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4A672" w14:textId="60648AFA" w:rsidR="00487EA1" w:rsidRPr="00487EA1" w:rsidRDefault="00C43542" w:rsidP="00487EA1">
      <w:pPr>
        <w:jc w:val="right"/>
        <w:rPr>
          <w:rFonts w:ascii="Century Gothic" w:hAnsi="Century Gothic"/>
          <w:sz w:val="19"/>
          <w:szCs w:val="19"/>
        </w:rPr>
      </w:pPr>
      <w:r>
        <w:rPr>
          <w:rFonts w:ascii="Century Gothic" w:hAnsi="Century Gothic"/>
          <w:sz w:val="19"/>
          <w:szCs w:val="19"/>
        </w:rPr>
        <w:t>Toluca, Estado de México, 26</w:t>
      </w:r>
      <w:r w:rsidR="00487EA1" w:rsidRPr="00487EA1">
        <w:rPr>
          <w:rFonts w:ascii="Century Gothic" w:hAnsi="Century Gothic"/>
          <w:sz w:val="19"/>
          <w:szCs w:val="19"/>
        </w:rPr>
        <w:t xml:space="preserve"> de abril de 2016</w:t>
      </w:r>
    </w:p>
    <w:p w14:paraId="3FE23310" w14:textId="2CEE25FC" w:rsidR="00487EA1" w:rsidRPr="00487EA1" w:rsidRDefault="008568B6" w:rsidP="00487EA1">
      <w:pPr>
        <w:jc w:val="right"/>
        <w:rPr>
          <w:rFonts w:ascii="Century Gothic" w:hAnsi="Century Gothic"/>
          <w:sz w:val="19"/>
          <w:szCs w:val="19"/>
        </w:rPr>
      </w:pPr>
      <w:r>
        <w:rPr>
          <w:rFonts w:ascii="Century Gothic" w:hAnsi="Century Gothic"/>
          <w:sz w:val="19"/>
          <w:szCs w:val="19"/>
        </w:rPr>
        <w:t>212G10200/SAPR/040</w:t>
      </w:r>
      <w:r w:rsidR="00487EA1" w:rsidRPr="00487EA1">
        <w:rPr>
          <w:rFonts w:ascii="Century Gothic" w:hAnsi="Century Gothic"/>
          <w:sz w:val="19"/>
          <w:szCs w:val="19"/>
        </w:rPr>
        <w:t>/2016</w:t>
      </w:r>
    </w:p>
    <w:p w14:paraId="62B818E3" w14:textId="77777777" w:rsidR="008568B6" w:rsidRPr="00924A5F" w:rsidRDefault="008568B6" w:rsidP="008568B6">
      <w:pPr>
        <w:spacing w:line="276" w:lineRule="auto"/>
        <w:rPr>
          <w:rFonts w:ascii="Century Gothic" w:eastAsia="Calibri" w:hAnsi="Century Gothic" w:cs="Arial"/>
          <w:b/>
          <w:sz w:val="24"/>
          <w:szCs w:val="24"/>
          <w:lang w:eastAsia="en-US"/>
        </w:rPr>
      </w:pPr>
    </w:p>
    <w:p w14:paraId="4B9FACC8" w14:textId="67B2C80F" w:rsidR="008568B6" w:rsidRPr="001146BC" w:rsidRDefault="007C050D" w:rsidP="008568B6">
      <w:pPr>
        <w:spacing w:line="276" w:lineRule="auto"/>
        <w:rPr>
          <w:rFonts w:ascii="Century Gothic" w:eastAsia="Calibri" w:hAnsi="Century Gothic" w:cs="Arial"/>
          <w:b/>
          <w:sz w:val="22"/>
          <w:szCs w:val="24"/>
          <w:lang w:eastAsia="en-US"/>
        </w:rPr>
      </w:pPr>
      <w:r w:rsidRPr="001146BC">
        <w:rPr>
          <w:rFonts w:ascii="Century Gothic" w:eastAsia="Calibri" w:hAnsi="Century Gothic" w:cs="Arial"/>
          <w:b/>
          <w:sz w:val="22"/>
          <w:szCs w:val="24"/>
          <w:lang w:eastAsia="en-US"/>
        </w:rPr>
        <w:t xml:space="preserve">LIC. </w:t>
      </w:r>
      <w:r w:rsidR="00864AA7" w:rsidRPr="001146BC">
        <w:rPr>
          <w:rFonts w:ascii="Century Gothic" w:eastAsia="Calibri" w:hAnsi="Century Gothic" w:cs="Arial"/>
          <w:b/>
          <w:sz w:val="22"/>
          <w:szCs w:val="24"/>
          <w:lang w:eastAsia="en-US"/>
        </w:rPr>
        <w:t>JOSÉ GUADALUPE LUNA HERNÁNDEZ</w:t>
      </w:r>
    </w:p>
    <w:p w14:paraId="47B45936" w14:textId="77777777" w:rsidR="008568B6" w:rsidRPr="001146BC" w:rsidRDefault="008568B6" w:rsidP="008568B6">
      <w:pPr>
        <w:spacing w:line="276" w:lineRule="auto"/>
        <w:rPr>
          <w:rFonts w:ascii="Century Gothic" w:hAnsi="Century Gothic" w:cs="Arial"/>
          <w:b/>
          <w:sz w:val="22"/>
          <w:szCs w:val="24"/>
        </w:rPr>
      </w:pPr>
      <w:r w:rsidRPr="001146BC">
        <w:rPr>
          <w:rFonts w:ascii="Century Gothic" w:hAnsi="Century Gothic" w:cs="Arial"/>
          <w:b/>
          <w:sz w:val="22"/>
          <w:szCs w:val="24"/>
        </w:rPr>
        <w:t>COMISIONADO DEL INFOEM</w:t>
      </w:r>
    </w:p>
    <w:p w14:paraId="6CCF3D50" w14:textId="77777777" w:rsidR="008568B6" w:rsidRPr="001146BC" w:rsidRDefault="008568B6" w:rsidP="008568B6">
      <w:pPr>
        <w:spacing w:line="276" w:lineRule="auto"/>
        <w:rPr>
          <w:rFonts w:ascii="Century Gothic" w:eastAsia="Calibri" w:hAnsi="Century Gothic" w:cs="Arial"/>
          <w:b/>
          <w:sz w:val="22"/>
          <w:szCs w:val="24"/>
          <w:lang w:eastAsia="en-US"/>
        </w:rPr>
      </w:pPr>
    </w:p>
    <w:p w14:paraId="657017F4" w14:textId="77777777" w:rsidR="008568B6" w:rsidRPr="001146BC" w:rsidRDefault="008568B6" w:rsidP="008568B6">
      <w:pPr>
        <w:spacing w:line="276" w:lineRule="auto"/>
        <w:rPr>
          <w:rFonts w:ascii="Century Gothic" w:eastAsia="Calibri" w:hAnsi="Century Gothic" w:cs="Arial"/>
          <w:b/>
          <w:sz w:val="22"/>
          <w:szCs w:val="24"/>
          <w:lang w:eastAsia="en-US"/>
        </w:rPr>
      </w:pPr>
      <w:r w:rsidRPr="001146BC">
        <w:rPr>
          <w:rFonts w:ascii="Century Gothic" w:eastAsia="Calibri" w:hAnsi="Century Gothic" w:cs="Arial"/>
          <w:b/>
          <w:sz w:val="22"/>
          <w:szCs w:val="24"/>
          <w:lang w:eastAsia="en-US"/>
        </w:rPr>
        <w:t xml:space="preserve">Distinguido Señor Comisionado. </w:t>
      </w:r>
    </w:p>
    <w:p w14:paraId="1853C914" w14:textId="77777777" w:rsidR="008568B6" w:rsidRPr="001146BC" w:rsidRDefault="008568B6" w:rsidP="008568B6">
      <w:pPr>
        <w:rPr>
          <w:rFonts w:ascii="Century Gothic" w:hAnsi="Century Gothic" w:cs="Arial"/>
          <w:sz w:val="22"/>
          <w:szCs w:val="24"/>
        </w:rPr>
      </w:pPr>
    </w:p>
    <w:p w14:paraId="76D37BF9" w14:textId="174344F7" w:rsidR="00177242" w:rsidRPr="001146BC" w:rsidRDefault="00864AA7" w:rsidP="00864AA7">
      <w:pPr>
        <w:rPr>
          <w:rFonts w:ascii="Century Gothic" w:hAnsi="Century Gothic" w:cs="Arial"/>
          <w:sz w:val="22"/>
          <w:szCs w:val="24"/>
        </w:rPr>
      </w:pPr>
      <w:r w:rsidRPr="001146BC">
        <w:rPr>
          <w:rFonts w:ascii="Century Gothic" w:hAnsi="Century Gothic" w:cs="Arial"/>
          <w:sz w:val="22"/>
          <w:szCs w:val="24"/>
        </w:rPr>
        <w:t>E</w:t>
      </w:r>
      <w:r w:rsidR="008568B6" w:rsidRPr="001146BC">
        <w:rPr>
          <w:rFonts w:ascii="Century Gothic" w:hAnsi="Century Gothic" w:cs="Arial"/>
          <w:sz w:val="22"/>
          <w:szCs w:val="24"/>
        </w:rPr>
        <w:t>n fecha 22 de abril de 2016, la Unidad de Información de la Procuraduría de Protección al Ambiente del Estado de México</w:t>
      </w:r>
      <w:r w:rsidR="005A7327" w:rsidRPr="001146BC">
        <w:rPr>
          <w:rFonts w:ascii="Century Gothic" w:hAnsi="Century Gothic" w:cs="Arial"/>
          <w:sz w:val="22"/>
          <w:szCs w:val="24"/>
        </w:rPr>
        <w:t xml:space="preserve"> (PROPAEM)</w:t>
      </w:r>
      <w:r w:rsidR="008568B6" w:rsidRPr="001146BC">
        <w:rPr>
          <w:rFonts w:ascii="Century Gothic" w:hAnsi="Century Gothic" w:cs="Arial"/>
          <w:sz w:val="22"/>
          <w:szCs w:val="24"/>
        </w:rPr>
        <w:t>, fue notificada vía electrónica sobre la interposición del recurso de revisión número 01333</w:t>
      </w:r>
      <w:r w:rsidR="005A7327" w:rsidRPr="001146BC">
        <w:rPr>
          <w:rFonts w:ascii="Century Gothic" w:hAnsi="Century Gothic" w:cs="Arial"/>
          <w:sz w:val="22"/>
          <w:szCs w:val="24"/>
        </w:rPr>
        <w:t>/INFOEM/IP/RR/2016, relacionado</w:t>
      </w:r>
      <w:r w:rsidR="008568B6" w:rsidRPr="001146BC">
        <w:rPr>
          <w:rFonts w:ascii="Century Gothic" w:hAnsi="Century Gothic" w:cs="Arial"/>
          <w:sz w:val="22"/>
          <w:szCs w:val="24"/>
        </w:rPr>
        <w:t xml:space="preserve"> con la solicitud en el Sistema de Acceso a la Información Mexiquense (SAIMEX) bajo el folio 00013/PROPAEM/IP/2016</w:t>
      </w:r>
      <w:r w:rsidR="005A7327" w:rsidRPr="001146BC">
        <w:rPr>
          <w:rFonts w:ascii="Century Gothic" w:hAnsi="Century Gothic" w:cs="Arial"/>
          <w:sz w:val="22"/>
          <w:szCs w:val="24"/>
        </w:rPr>
        <w:t>, presentado</w:t>
      </w:r>
      <w:r w:rsidR="008568B6" w:rsidRPr="001146BC">
        <w:rPr>
          <w:rFonts w:ascii="Century Gothic" w:hAnsi="Century Gothic" w:cs="Arial"/>
          <w:sz w:val="22"/>
          <w:szCs w:val="24"/>
        </w:rPr>
        <w:t xml:space="preserve"> por el C. </w:t>
      </w:r>
      <w:r w:rsidR="00194AD6">
        <w:rPr>
          <w:rFonts w:ascii="Century Gothic" w:hAnsi="Century Gothic" w:cs="Arial"/>
          <w:sz w:val="22"/>
          <w:szCs w:val="24"/>
        </w:rPr>
        <w:t>***************************</w:t>
      </w:r>
      <w:r w:rsidR="00177242" w:rsidRPr="001146BC">
        <w:rPr>
          <w:rFonts w:ascii="Century Gothic" w:hAnsi="Century Gothic" w:cs="Arial"/>
          <w:sz w:val="22"/>
          <w:szCs w:val="24"/>
        </w:rPr>
        <w:t>, en el que señaló com</w:t>
      </w:r>
      <w:r w:rsidR="005A7327" w:rsidRPr="001146BC">
        <w:rPr>
          <w:rFonts w:ascii="Century Gothic" w:hAnsi="Century Gothic" w:cs="Arial"/>
          <w:sz w:val="22"/>
          <w:szCs w:val="24"/>
        </w:rPr>
        <w:t>o acto</w:t>
      </w:r>
      <w:r w:rsidR="00177242" w:rsidRPr="001146BC">
        <w:rPr>
          <w:rFonts w:ascii="Century Gothic" w:hAnsi="Century Gothic" w:cs="Arial"/>
          <w:sz w:val="22"/>
          <w:szCs w:val="24"/>
        </w:rPr>
        <w:t xml:space="preserve"> impugnado lo siguiente:</w:t>
      </w:r>
    </w:p>
    <w:p w14:paraId="25B4F8E7" w14:textId="77777777" w:rsidR="00177242" w:rsidRPr="00177242" w:rsidRDefault="00177242" w:rsidP="00177242">
      <w:pPr>
        <w:ind w:left="567"/>
        <w:jc w:val="left"/>
        <w:rPr>
          <w:rFonts w:ascii="Century Gothic" w:hAnsi="Century Gothic" w:cs="Arial"/>
          <w:i/>
          <w:sz w:val="22"/>
          <w:szCs w:val="22"/>
        </w:rPr>
      </w:pPr>
    </w:p>
    <w:p w14:paraId="4733FE34" w14:textId="215BB845" w:rsidR="008568B6" w:rsidRPr="00D45BA8" w:rsidRDefault="00177242" w:rsidP="00177242">
      <w:pPr>
        <w:ind w:left="567"/>
        <w:rPr>
          <w:rFonts w:ascii="Century Gothic" w:hAnsi="Century Gothic"/>
          <w:i/>
          <w:szCs w:val="22"/>
          <w:lang w:val="es-ES_tradnl" w:eastAsia="es-ES_tradnl"/>
        </w:rPr>
      </w:pPr>
      <w:r w:rsidRPr="00D45BA8">
        <w:rPr>
          <w:rFonts w:ascii="Century Gothic" w:hAnsi="Century Gothic" w:cs="Arial"/>
          <w:i/>
          <w:szCs w:val="22"/>
        </w:rPr>
        <w:t>“</w:t>
      </w:r>
      <w:r w:rsidRPr="00D45BA8">
        <w:rPr>
          <w:rFonts w:ascii="Century Gothic" w:hAnsi="Century Gothic"/>
          <w:i/>
          <w:color w:val="000000"/>
          <w:szCs w:val="22"/>
          <w:lang w:val="es-ES_tradnl" w:eastAsia="es-ES_tradnl"/>
        </w:rPr>
        <w:t>La solicitud presentada a la Unidad de Información de la PROPAEM, no fue atendida en tiempo y forma, se supone que se niegan a proporcionarla como regularmente lo han venido haciendo.”</w:t>
      </w:r>
    </w:p>
    <w:p w14:paraId="4BC69738" w14:textId="77777777" w:rsidR="008568B6" w:rsidRPr="001146BC" w:rsidRDefault="008568B6" w:rsidP="008568B6">
      <w:pPr>
        <w:rPr>
          <w:rFonts w:ascii="Century Gothic" w:hAnsi="Century Gothic" w:cs="Arial"/>
          <w:sz w:val="22"/>
          <w:szCs w:val="24"/>
        </w:rPr>
      </w:pPr>
    </w:p>
    <w:p w14:paraId="01C6DA48" w14:textId="77777777" w:rsidR="00177242" w:rsidRPr="001146BC" w:rsidRDefault="00177242" w:rsidP="008568B6">
      <w:pPr>
        <w:rPr>
          <w:rFonts w:ascii="Century Gothic" w:hAnsi="Century Gothic" w:cs="Arial"/>
          <w:sz w:val="22"/>
          <w:szCs w:val="24"/>
        </w:rPr>
      </w:pPr>
      <w:r w:rsidRPr="001146BC">
        <w:rPr>
          <w:rFonts w:ascii="Century Gothic" w:hAnsi="Century Gothic" w:cs="Arial"/>
          <w:sz w:val="22"/>
          <w:szCs w:val="24"/>
        </w:rPr>
        <w:t>Asimismo, expresó como motivos de la inconformidad lo siguiente:</w:t>
      </w:r>
    </w:p>
    <w:p w14:paraId="46AF79B9" w14:textId="77777777" w:rsidR="00177242" w:rsidRPr="001146BC" w:rsidRDefault="00177242" w:rsidP="008568B6">
      <w:pPr>
        <w:rPr>
          <w:rFonts w:ascii="Century Gothic" w:hAnsi="Century Gothic" w:cs="Arial"/>
          <w:sz w:val="22"/>
          <w:szCs w:val="24"/>
        </w:rPr>
      </w:pPr>
    </w:p>
    <w:p w14:paraId="216EAE93" w14:textId="708F6957" w:rsidR="00177242" w:rsidRPr="00177242" w:rsidRDefault="00177242" w:rsidP="005A7327">
      <w:pPr>
        <w:ind w:left="567"/>
        <w:rPr>
          <w:rFonts w:ascii="Century Gothic" w:hAnsi="Century Gothic"/>
          <w:i/>
          <w:szCs w:val="22"/>
          <w:lang w:val="es-ES_tradnl" w:eastAsia="es-ES_tradnl"/>
        </w:rPr>
      </w:pPr>
      <w:r w:rsidRPr="00D45BA8">
        <w:rPr>
          <w:rFonts w:ascii="Century Gothic" w:hAnsi="Century Gothic"/>
          <w:i/>
          <w:color w:val="000000"/>
          <w:szCs w:val="22"/>
          <w:lang w:val="es-ES_tradnl" w:eastAsia="es-ES_tradnl"/>
        </w:rPr>
        <w:t>“</w:t>
      </w:r>
      <w:r w:rsidRPr="00177242">
        <w:rPr>
          <w:rFonts w:ascii="Century Gothic" w:hAnsi="Century Gothic"/>
          <w:i/>
          <w:color w:val="000000"/>
          <w:szCs w:val="22"/>
          <w:lang w:val="es-ES_tradnl" w:eastAsia="es-ES_tradnl"/>
        </w:rPr>
        <w:t>Se ha negado la información requerida y da la impresión de que el Instituto de Transparencia forma parte de la inpunidad</w:t>
      </w:r>
      <w:r w:rsidRPr="00D45BA8">
        <w:rPr>
          <w:rFonts w:ascii="Century Gothic" w:hAnsi="Century Gothic"/>
          <w:i/>
          <w:color w:val="000000"/>
          <w:szCs w:val="22"/>
          <w:lang w:val="es-ES_tradnl" w:eastAsia="es-ES_tradnl"/>
        </w:rPr>
        <w:t xml:space="preserve"> </w:t>
      </w:r>
      <w:r w:rsidRPr="00D45BA8">
        <w:rPr>
          <w:rFonts w:ascii="Century Gothic" w:hAnsi="Century Gothic"/>
          <w:color w:val="000000"/>
          <w:szCs w:val="22"/>
          <w:lang w:val="es-ES_tradnl" w:eastAsia="es-ES_tradnl"/>
        </w:rPr>
        <w:t>(sic)</w:t>
      </w:r>
      <w:r w:rsidRPr="00177242">
        <w:rPr>
          <w:rFonts w:ascii="Century Gothic" w:hAnsi="Century Gothic"/>
          <w:i/>
          <w:color w:val="000000"/>
          <w:szCs w:val="22"/>
          <w:lang w:val="es-ES_tradnl" w:eastAsia="es-ES_tradnl"/>
        </w:rPr>
        <w:t xml:space="preserve"> gubernamental y solo es un elefante blanco.</w:t>
      </w:r>
      <w:r w:rsidRPr="00D45BA8">
        <w:rPr>
          <w:rFonts w:ascii="Century Gothic" w:hAnsi="Century Gothic"/>
          <w:i/>
          <w:color w:val="000000"/>
          <w:szCs w:val="22"/>
          <w:lang w:val="es-ES_tradnl" w:eastAsia="es-ES_tradnl"/>
        </w:rPr>
        <w:t>”</w:t>
      </w:r>
    </w:p>
    <w:p w14:paraId="52B31AC7" w14:textId="77777777" w:rsidR="00177242" w:rsidRPr="001146BC" w:rsidRDefault="00177242" w:rsidP="008568B6">
      <w:pPr>
        <w:rPr>
          <w:rFonts w:ascii="Century Gothic" w:hAnsi="Century Gothic" w:cs="Arial"/>
          <w:sz w:val="22"/>
          <w:szCs w:val="24"/>
        </w:rPr>
      </w:pPr>
    </w:p>
    <w:p w14:paraId="65E718CA" w14:textId="70318DB0" w:rsidR="00C54ADA" w:rsidRPr="001146BC" w:rsidRDefault="008568B6" w:rsidP="008568B6">
      <w:pPr>
        <w:rPr>
          <w:rFonts w:ascii="Century Gothic" w:hAnsi="Century Gothic" w:cs="Arial"/>
          <w:sz w:val="22"/>
          <w:szCs w:val="24"/>
        </w:rPr>
      </w:pPr>
      <w:r w:rsidRPr="001146BC">
        <w:rPr>
          <w:rFonts w:ascii="Century Gothic" w:hAnsi="Century Gothic" w:cs="Arial"/>
          <w:sz w:val="22"/>
          <w:szCs w:val="24"/>
        </w:rPr>
        <w:t xml:space="preserve">En atención a los señalamientos </w:t>
      </w:r>
      <w:r w:rsidR="00177242" w:rsidRPr="001146BC">
        <w:rPr>
          <w:rFonts w:ascii="Century Gothic" w:hAnsi="Century Gothic" w:cs="Arial"/>
          <w:sz w:val="22"/>
          <w:szCs w:val="24"/>
        </w:rPr>
        <w:t xml:space="preserve">referidos por el ahora recurrente, respetuosamente me permito </w:t>
      </w:r>
      <w:r w:rsidR="00C97457" w:rsidRPr="001146BC">
        <w:rPr>
          <w:rFonts w:ascii="Century Gothic" w:hAnsi="Century Gothic" w:cs="Arial"/>
          <w:sz w:val="22"/>
          <w:szCs w:val="24"/>
        </w:rPr>
        <w:t>manifestar</w:t>
      </w:r>
      <w:r w:rsidRPr="001146BC">
        <w:rPr>
          <w:rFonts w:ascii="Century Gothic" w:hAnsi="Century Gothic" w:cs="Arial"/>
          <w:sz w:val="22"/>
          <w:szCs w:val="24"/>
        </w:rPr>
        <w:t xml:space="preserve"> a usted</w:t>
      </w:r>
      <w:r w:rsidR="00C97457" w:rsidRPr="001146BC">
        <w:rPr>
          <w:rFonts w:ascii="Century Gothic" w:hAnsi="Century Gothic" w:cs="Arial"/>
          <w:sz w:val="22"/>
          <w:szCs w:val="24"/>
        </w:rPr>
        <w:t>, Señor</w:t>
      </w:r>
      <w:r w:rsidRPr="001146BC">
        <w:rPr>
          <w:rFonts w:ascii="Century Gothic" w:hAnsi="Century Gothic" w:cs="Arial"/>
          <w:sz w:val="22"/>
          <w:szCs w:val="24"/>
        </w:rPr>
        <w:t xml:space="preserve"> Comisionado, </w:t>
      </w:r>
      <w:r w:rsidR="00C54ADA" w:rsidRPr="001146BC">
        <w:rPr>
          <w:rFonts w:ascii="Century Gothic" w:hAnsi="Century Gothic" w:cs="Arial"/>
          <w:sz w:val="22"/>
          <w:szCs w:val="24"/>
        </w:rPr>
        <w:t>las consideraciones que a continuación señalo:</w:t>
      </w:r>
    </w:p>
    <w:p w14:paraId="6A99F3D0" w14:textId="77777777" w:rsidR="00C54ADA" w:rsidRPr="001146BC" w:rsidRDefault="00C54ADA" w:rsidP="008568B6">
      <w:pPr>
        <w:rPr>
          <w:rFonts w:ascii="Century Gothic" w:hAnsi="Century Gothic" w:cs="Arial"/>
          <w:sz w:val="22"/>
          <w:szCs w:val="24"/>
        </w:rPr>
      </w:pPr>
    </w:p>
    <w:p w14:paraId="6698BC32" w14:textId="64BB04AE" w:rsidR="00177242" w:rsidRPr="001146BC" w:rsidRDefault="00C54ADA" w:rsidP="008568B6">
      <w:pPr>
        <w:rPr>
          <w:rFonts w:ascii="Century Gothic" w:hAnsi="Century Gothic" w:cs="Arial"/>
          <w:sz w:val="22"/>
          <w:szCs w:val="24"/>
        </w:rPr>
      </w:pPr>
      <w:r w:rsidRPr="001146BC">
        <w:rPr>
          <w:rFonts w:ascii="Century Gothic" w:hAnsi="Century Gothic" w:cs="Arial"/>
          <w:sz w:val="22"/>
          <w:szCs w:val="24"/>
        </w:rPr>
        <w:t>1. L</w:t>
      </w:r>
      <w:r w:rsidR="008568B6" w:rsidRPr="001146BC">
        <w:rPr>
          <w:rFonts w:ascii="Century Gothic" w:hAnsi="Century Gothic" w:cs="Arial"/>
          <w:sz w:val="22"/>
          <w:szCs w:val="24"/>
        </w:rPr>
        <w:t>a respuesta impugnada</w:t>
      </w:r>
      <w:r w:rsidRPr="001146BC">
        <w:rPr>
          <w:rFonts w:ascii="Century Gothic" w:hAnsi="Century Gothic" w:cs="Arial"/>
          <w:sz w:val="22"/>
          <w:szCs w:val="24"/>
        </w:rPr>
        <w:t>,</w:t>
      </w:r>
      <w:r w:rsidR="008568B6" w:rsidRPr="001146BC">
        <w:rPr>
          <w:rFonts w:ascii="Century Gothic" w:hAnsi="Century Gothic" w:cs="Arial"/>
          <w:sz w:val="22"/>
          <w:szCs w:val="24"/>
        </w:rPr>
        <w:t xml:space="preserve"> fue notificada al recurrente en fecha 12 de abril </w:t>
      </w:r>
      <w:r w:rsidR="00C97457" w:rsidRPr="001146BC">
        <w:rPr>
          <w:rFonts w:ascii="Century Gothic" w:hAnsi="Century Gothic" w:cs="Arial"/>
          <w:sz w:val="22"/>
          <w:szCs w:val="24"/>
        </w:rPr>
        <w:t xml:space="preserve">de </w:t>
      </w:r>
      <w:r w:rsidR="008568B6" w:rsidRPr="001146BC">
        <w:rPr>
          <w:rFonts w:ascii="Century Gothic" w:hAnsi="Century Gothic" w:cs="Arial"/>
          <w:sz w:val="22"/>
          <w:szCs w:val="24"/>
        </w:rPr>
        <w:t xml:space="preserve">2016, es decir, dentro del plazo de los 15 días hábiles contados a partir del día siguiente de la presentación de la solicitud, tal y como lo establece el artículo 46 de la </w:t>
      </w:r>
      <w:r w:rsidR="008568B6" w:rsidRPr="001146BC">
        <w:rPr>
          <w:rFonts w:ascii="Century Gothic" w:hAnsi="Century Gothic" w:cs="Arial"/>
          <w:i/>
          <w:sz w:val="22"/>
          <w:szCs w:val="24"/>
        </w:rPr>
        <w:t>Ley de Transparencia y Acceso a la Información Pública del Estado de México y Municipios</w:t>
      </w:r>
      <w:r w:rsidR="008568B6" w:rsidRPr="001146BC">
        <w:rPr>
          <w:rFonts w:ascii="Century Gothic" w:hAnsi="Century Gothic" w:cs="Arial"/>
          <w:sz w:val="22"/>
          <w:szCs w:val="24"/>
        </w:rPr>
        <w:t>,</w:t>
      </w:r>
      <w:r w:rsidR="00177242" w:rsidRPr="001146BC">
        <w:rPr>
          <w:rFonts w:ascii="Century Gothic" w:hAnsi="Century Gothic" w:cs="Arial"/>
          <w:sz w:val="22"/>
          <w:szCs w:val="24"/>
        </w:rPr>
        <w:t xml:space="preserve"> como consta en el tablero de control del Sistema de Acceso a la Información Mexiquense (SAIMEX)</w:t>
      </w:r>
      <w:r w:rsidRPr="001146BC">
        <w:rPr>
          <w:rFonts w:ascii="Century Gothic" w:hAnsi="Century Gothic" w:cs="Arial"/>
          <w:sz w:val="22"/>
          <w:szCs w:val="24"/>
        </w:rPr>
        <w:t>, que reporta 13 días de atención</w:t>
      </w:r>
      <w:r w:rsidR="00177242" w:rsidRPr="001146BC">
        <w:rPr>
          <w:rFonts w:ascii="Century Gothic" w:hAnsi="Century Gothic" w:cs="Arial"/>
          <w:sz w:val="22"/>
          <w:szCs w:val="24"/>
        </w:rPr>
        <w:t>.</w:t>
      </w:r>
    </w:p>
    <w:p w14:paraId="0F20DF08" w14:textId="77777777" w:rsidR="00177242" w:rsidRPr="001146BC" w:rsidRDefault="00177242" w:rsidP="008568B6">
      <w:pPr>
        <w:rPr>
          <w:rFonts w:ascii="Century Gothic" w:hAnsi="Century Gothic" w:cs="Arial"/>
          <w:sz w:val="22"/>
          <w:szCs w:val="24"/>
        </w:rPr>
      </w:pPr>
    </w:p>
    <w:p w14:paraId="4C19A96D" w14:textId="75AF8217" w:rsidR="00C54ADA" w:rsidRPr="001146BC" w:rsidRDefault="00C54ADA" w:rsidP="008568B6">
      <w:pPr>
        <w:rPr>
          <w:rFonts w:ascii="Century Gothic" w:hAnsi="Century Gothic" w:cs="Arial"/>
          <w:sz w:val="22"/>
          <w:szCs w:val="24"/>
        </w:rPr>
      </w:pPr>
      <w:r w:rsidRPr="001146BC">
        <w:rPr>
          <w:rFonts w:ascii="Century Gothic" w:hAnsi="Century Gothic" w:cs="Arial"/>
          <w:sz w:val="22"/>
          <w:szCs w:val="24"/>
        </w:rPr>
        <w:t xml:space="preserve">Por </w:t>
      </w:r>
      <w:r w:rsidR="00CB498E" w:rsidRPr="001146BC">
        <w:rPr>
          <w:rFonts w:ascii="Century Gothic" w:hAnsi="Century Gothic" w:cs="Arial"/>
          <w:sz w:val="22"/>
          <w:szCs w:val="24"/>
        </w:rPr>
        <w:t xml:space="preserve">lo antes expuesto, en </w:t>
      </w:r>
      <w:r w:rsidRPr="001146BC">
        <w:rPr>
          <w:rFonts w:ascii="Century Gothic" w:hAnsi="Century Gothic" w:cs="Arial"/>
          <w:sz w:val="22"/>
          <w:szCs w:val="24"/>
        </w:rPr>
        <w:t>primer término</w:t>
      </w:r>
      <w:r w:rsidR="001146BC" w:rsidRPr="001146BC">
        <w:rPr>
          <w:rFonts w:ascii="Century Gothic" w:hAnsi="Century Gothic" w:cs="Arial"/>
          <w:sz w:val="22"/>
          <w:szCs w:val="24"/>
        </w:rPr>
        <w:t>,</w:t>
      </w:r>
      <w:r w:rsidRPr="001146BC">
        <w:rPr>
          <w:rFonts w:ascii="Century Gothic" w:hAnsi="Century Gothic" w:cs="Arial"/>
          <w:sz w:val="22"/>
          <w:szCs w:val="24"/>
        </w:rPr>
        <w:t xml:space="preserve"> niego categóricamente </w:t>
      </w:r>
      <w:r w:rsidR="00CB498E" w:rsidRPr="001146BC">
        <w:rPr>
          <w:rFonts w:ascii="Century Gothic" w:hAnsi="Century Gothic" w:cs="Arial"/>
          <w:sz w:val="22"/>
          <w:szCs w:val="24"/>
        </w:rPr>
        <w:t>la afriamción del recurrente en el sentido de su solicitud “</w:t>
      </w:r>
      <w:r w:rsidRPr="001146BC">
        <w:rPr>
          <w:rFonts w:ascii="Century Gothic" w:hAnsi="Century Gothic" w:cs="Arial"/>
          <w:sz w:val="22"/>
          <w:szCs w:val="24"/>
        </w:rPr>
        <w:t xml:space="preserve">no </w:t>
      </w:r>
      <w:r w:rsidR="00CB498E" w:rsidRPr="001146BC">
        <w:rPr>
          <w:rFonts w:ascii="Century Gothic" w:hAnsi="Century Gothic" w:cs="Arial"/>
          <w:sz w:val="22"/>
          <w:szCs w:val="24"/>
        </w:rPr>
        <w:t xml:space="preserve">fue </w:t>
      </w:r>
      <w:r w:rsidRPr="001146BC">
        <w:rPr>
          <w:rFonts w:ascii="Century Gothic" w:hAnsi="Century Gothic" w:cs="Arial"/>
          <w:sz w:val="22"/>
          <w:szCs w:val="24"/>
        </w:rPr>
        <w:t>atendido en tiempo y forma</w:t>
      </w:r>
      <w:r w:rsidR="00CB498E" w:rsidRPr="001146BC">
        <w:rPr>
          <w:rFonts w:ascii="Century Gothic" w:hAnsi="Century Gothic" w:cs="Arial"/>
          <w:sz w:val="22"/>
          <w:szCs w:val="24"/>
        </w:rPr>
        <w:t>”</w:t>
      </w:r>
      <w:r w:rsidRPr="001146BC">
        <w:rPr>
          <w:rFonts w:ascii="Century Gothic" w:hAnsi="Century Gothic" w:cs="Arial"/>
          <w:sz w:val="22"/>
          <w:szCs w:val="24"/>
        </w:rPr>
        <w:t>.</w:t>
      </w:r>
    </w:p>
    <w:p w14:paraId="3F3ABBCC" w14:textId="77777777" w:rsidR="00CB498E" w:rsidRPr="001146BC" w:rsidRDefault="00CB498E" w:rsidP="008568B6">
      <w:pPr>
        <w:rPr>
          <w:rFonts w:ascii="Century Gothic" w:hAnsi="Century Gothic" w:cs="Arial"/>
          <w:sz w:val="22"/>
          <w:szCs w:val="24"/>
        </w:rPr>
      </w:pPr>
    </w:p>
    <w:p w14:paraId="4B434C30" w14:textId="2E4B7BF9" w:rsidR="00CB498E" w:rsidRPr="001146BC" w:rsidRDefault="00CB498E" w:rsidP="008568B6">
      <w:pPr>
        <w:rPr>
          <w:rFonts w:ascii="Century Gothic" w:hAnsi="Century Gothic" w:cs="Arial"/>
          <w:sz w:val="22"/>
          <w:szCs w:val="24"/>
        </w:rPr>
      </w:pPr>
      <w:r w:rsidRPr="001146BC">
        <w:rPr>
          <w:rFonts w:ascii="Century Gothic" w:hAnsi="Century Gothic" w:cs="Arial"/>
          <w:sz w:val="22"/>
          <w:szCs w:val="24"/>
        </w:rPr>
        <w:t>En segundo término, no es verdad que se le haya negado la información y esta Procuraduría desconoce los motivos por los cuales el peticionario afirma que “</w:t>
      </w:r>
      <w:r w:rsidRPr="001146BC">
        <w:rPr>
          <w:rFonts w:ascii="Century Gothic" w:hAnsi="Century Gothic" w:cs="Arial"/>
          <w:i/>
          <w:sz w:val="22"/>
          <w:szCs w:val="24"/>
        </w:rPr>
        <w:t xml:space="preserve">se </w:t>
      </w:r>
      <w:r w:rsidRPr="001146BC">
        <w:rPr>
          <w:rFonts w:ascii="Century Gothic" w:hAnsi="Century Gothic" w:cs="Arial"/>
          <w:i/>
          <w:sz w:val="22"/>
          <w:szCs w:val="24"/>
        </w:rPr>
        <w:lastRenderedPageBreak/>
        <w:t>suponen que se niegan a proporcionarla como regularmente se ha venido haciendo</w:t>
      </w:r>
      <w:r w:rsidRPr="001146BC">
        <w:rPr>
          <w:rFonts w:ascii="Century Gothic" w:hAnsi="Century Gothic" w:cs="Arial"/>
          <w:sz w:val="22"/>
          <w:szCs w:val="24"/>
        </w:rPr>
        <w:t xml:space="preserve">”. </w:t>
      </w:r>
    </w:p>
    <w:p w14:paraId="13E40F9F" w14:textId="77777777" w:rsidR="00C54ADA" w:rsidRPr="001146BC" w:rsidRDefault="00C54ADA" w:rsidP="008568B6">
      <w:pPr>
        <w:rPr>
          <w:rFonts w:ascii="Century Gothic" w:hAnsi="Century Gothic" w:cs="Arial"/>
          <w:sz w:val="22"/>
          <w:szCs w:val="24"/>
        </w:rPr>
      </w:pPr>
    </w:p>
    <w:p w14:paraId="6155CB25" w14:textId="4CF35692" w:rsidR="008568B6" w:rsidRPr="001146BC" w:rsidRDefault="003901A6" w:rsidP="008568B6">
      <w:pPr>
        <w:rPr>
          <w:rFonts w:ascii="Century Gothic" w:hAnsi="Century Gothic" w:cs="Arial"/>
          <w:color w:val="FF0000"/>
          <w:sz w:val="22"/>
          <w:szCs w:val="24"/>
        </w:rPr>
      </w:pPr>
      <w:r w:rsidRPr="001146BC">
        <w:rPr>
          <w:rFonts w:ascii="Century Gothic" w:hAnsi="Century Gothic" w:cs="Arial"/>
          <w:sz w:val="22"/>
          <w:szCs w:val="24"/>
        </w:rPr>
        <w:t>Es preciso manifestar que para los efectos procedentes, puede</w:t>
      </w:r>
      <w:r w:rsidR="008568B6" w:rsidRPr="001146BC">
        <w:rPr>
          <w:rFonts w:ascii="Century Gothic" w:hAnsi="Century Gothic" w:cs="Arial"/>
          <w:sz w:val="22"/>
          <w:szCs w:val="24"/>
        </w:rPr>
        <w:t xml:space="preserve"> considerarse </w:t>
      </w:r>
      <w:r w:rsidRPr="001146BC">
        <w:rPr>
          <w:rFonts w:ascii="Century Gothic" w:hAnsi="Century Gothic" w:cs="Arial"/>
          <w:sz w:val="22"/>
          <w:szCs w:val="24"/>
        </w:rPr>
        <w:t xml:space="preserve">que </w:t>
      </w:r>
      <w:r w:rsidR="008568B6" w:rsidRPr="001146BC">
        <w:rPr>
          <w:rFonts w:ascii="Century Gothic" w:hAnsi="Century Gothic" w:cs="Arial"/>
          <w:sz w:val="22"/>
          <w:szCs w:val="24"/>
        </w:rPr>
        <w:t xml:space="preserve">el 21 de marzo </w:t>
      </w:r>
      <w:r w:rsidRPr="001146BC">
        <w:rPr>
          <w:rFonts w:ascii="Century Gothic" w:hAnsi="Century Gothic" w:cs="Arial"/>
          <w:sz w:val="22"/>
          <w:szCs w:val="24"/>
        </w:rPr>
        <w:t xml:space="preserve">de </w:t>
      </w:r>
      <w:r w:rsidR="008568B6" w:rsidRPr="001146BC">
        <w:rPr>
          <w:rFonts w:ascii="Century Gothic" w:hAnsi="Century Gothic" w:cs="Arial"/>
          <w:sz w:val="22"/>
          <w:szCs w:val="24"/>
        </w:rPr>
        <w:t xml:space="preserve">2016 </w:t>
      </w:r>
      <w:r w:rsidRPr="001146BC">
        <w:rPr>
          <w:rFonts w:ascii="Century Gothic" w:hAnsi="Century Gothic" w:cs="Arial"/>
          <w:sz w:val="22"/>
          <w:szCs w:val="24"/>
        </w:rPr>
        <w:t xml:space="preserve">fue establecido en el calendario oficial </w:t>
      </w:r>
      <w:r w:rsidR="008568B6" w:rsidRPr="001146BC">
        <w:rPr>
          <w:rFonts w:ascii="Century Gothic" w:hAnsi="Century Gothic" w:cs="Arial"/>
          <w:sz w:val="22"/>
          <w:szCs w:val="24"/>
        </w:rPr>
        <w:t xml:space="preserve">como día inhábil, </w:t>
      </w:r>
      <w:r w:rsidRPr="001146BC">
        <w:rPr>
          <w:rFonts w:ascii="Century Gothic" w:hAnsi="Century Gothic" w:cs="Arial"/>
          <w:sz w:val="22"/>
          <w:szCs w:val="24"/>
        </w:rPr>
        <w:t xml:space="preserve">lo que se refuerza en </w:t>
      </w:r>
      <w:r w:rsidR="008568B6" w:rsidRPr="001146BC">
        <w:rPr>
          <w:rFonts w:ascii="Century Gothic" w:hAnsi="Century Gothic" w:cs="Arial"/>
          <w:sz w:val="22"/>
          <w:szCs w:val="24"/>
        </w:rPr>
        <w:t xml:space="preserve">lo </w:t>
      </w:r>
      <w:r w:rsidRPr="001146BC">
        <w:rPr>
          <w:rFonts w:ascii="Century Gothic" w:hAnsi="Century Gothic" w:cs="Arial"/>
          <w:sz w:val="22"/>
          <w:szCs w:val="24"/>
        </w:rPr>
        <w:t>dispuesto</w:t>
      </w:r>
      <w:r w:rsidR="008568B6" w:rsidRPr="001146BC">
        <w:rPr>
          <w:rFonts w:ascii="Century Gothic" w:hAnsi="Century Gothic" w:cs="Arial"/>
          <w:sz w:val="22"/>
          <w:szCs w:val="24"/>
        </w:rPr>
        <w:t xml:space="preserve"> en el artículo 74 fracción III de la Ley Federal del Trabajo</w:t>
      </w:r>
      <w:r w:rsidR="00A47AEA" w:rsidRPr="001146BC">
        <w:rPr>
          <w:rFonts w:ascii="Century Gothic" w:hAnsi="Century Gothic" w:cs="Arial"/>
          <w:sz w:val="22"/>
          <w:szCs w:val="24"/>
        </w:rPr>
        <w:t xml:space="preserve">; en este sentido, </w:t>
      </w:r>
      <w:r w:rsidR="008568B6" w:rsidRPr="001146BC">
        <w:rPr>
          <w:rFonts w:ascii="Century Gothic" w:hAnsi="Century Gothic" w:cs="Arial"/>
          <w:sz w:val="22"/>
          <w:szCs w:val="24"/>
        </w:rPr>
        <w:t xml:space="preserve">la semana del 21 al 25 de marzo 2016, </w:t>
      </w:r>
      <w:r w:rsidR="00A47AEA" w:rsidRPr="001146BC">
        <w:rPr>
          <w:rFonts w:ascii="Century Gothic" w:hAnsi="Century Gothic" w:cs="Arial"/>
          <w:sz w:val="22"/>
          <w:szCs w:val="24"/>
        </w:rPr>
        <w:t>está considerada en el calendario oficial,</w:t>
      </w:r>
      <w:r w:rsidR="008568B6" w:rsidRPr="001146BC">
        <w:rPr>
          <w:rFonts w:ascii="Century Gothic" w:hAnsi="Century Gothic" w:cs="Arial"/>
          <w:sz w:val="22"/>
          <w:szCs w:val="24"/>
        </w:rPr>
        <w:t xml:space="preserve"> como periodo vacacional de </w:t>
      </w:r>
      <w:r w:rsidR="00A47AEA" w:rsidRPr="001146BC">
        <w:rPr>
          <w:rFonts w:ascii="Century Gothic" w:hAnsi="Century Gothic" w:cs="Arial"/>
          <w:sz w:val="22"/>
          <w:szCs w:val="24"/>
        </w:rPr>
        <w:t xml:space="preserve">conformidad con el </w:t>
      </w:r>
      <w:r w:rsidR="00A47AEA" w:rsidRPr="001146BC">
        <w:rPr>
          <w:rFonts w:ascii="Century Gothic" w:hAnsi="Century Gothic" w:cs="Arial"/>
          <w:i/>
          <w:sz w:val="22"/>
          <w:szCs w:val="24"/>
        </w:rPr>
        <w:t>A</w:t>
      </w:r>
      <w:r w:rsidR="008568B6" w:rsidRPr="001146BC">
        <w:rPr>
          <w:rFonts w:ascii="Century Gothic" w:hAnsi="Century Gothic" w:cs="Arial"/>
          <w:i/>
          <w:sz w:val="22"/>
          <w:szCs w:val="24"/>
        </w:rPr>
        <w:t>cuerdo del Secretario de Finanzas por el que se establece el calendario oficial que regirá durante el año 2016</w:t>
      </w:r>
      <w:r w:rsidR="008568B6" w:rsidRPr="001146BC">
        <w:rPr>
          <w:rFonts w:ascii="Century Gothic" w:hAnsi="Century Gothic" w:cs="Arial"/>
          <w:sz w:val="22"/>
          <w:szCs w:val="24"/>
        </w:rPr>
        <w:t xml:space="preserve">, publicado en el periódico </w:t>
      </w:r>
      <w:r w:rsidR="00A47AEA" w:rsidRPr="001146BC">
        <w:rPr>
          <w:rFonts w:ascii="Century Gothic" w:hAnsi="Century Gothic" w:cs="Arial"/>
          <w:sz w:val="22"/>
          <w:szCs w:val="24"/>
        </w:rPr>
        <w:t xml:space="preserve">oficial </w:t>
      </w:r>
      <w:r w:rsidR="008568B6" w:rsidRPr="001146BC">
        <w:rPr>
          <w:rFonts w:ascii="Century Gothic" w:hAnsi="Century Gothic" w:cs="Arial"/>
          <w:i/>
          <w:sz w:val="22"/>
          <w:szCs w:val="24"/>
        </w:rPr>
        <w:t>Gaceta del Gobierno</w:t>
      </w:r>
      <w:r w:rsidR="008568B6" w:rsidRPr="001146BC">
        <w:rPr>
          <w:rFonts w:ascii="Century Gothic" w:hAnsi="Century Gothic" w:cs="Arial"/>
          <w:sz w:val="22"/>
          <w:szCs w:val="24"/>
        </w:rPr>
        <w:t xml:space="preserve"> el 24 de noviembre de 2015, </w:t>
      </w:r>
      <w:r w:rsidR="00A47AEA" w:rsidRPr="001146BC">
        <w:rPr>
          <w:rFonts w:ascii="Century Gothic" w:hAnsi="Century Gothic" w:cs="Arial"/>
          <w:sz w:val="22"/>
          <w:szCs w:val="24"/>
        </w:rPr>
        <w:t xml:space="preserve">lo que aplica para considerar el día 28 de marzo de 2016 como parte del periodo vacacional, como señala la fe de erratas del </w:t>
      </w:r>
      <w:r w:rsidR="00A47AEA" w:rsidRPr="001146BC">
        <w:rPr>
          <w:rFonts w:ascii="Century Gothic" w:hAnsi="Century Gothic" w:cs="Arial"/>
          <w:i/>
          <w:sz w:val="22"/>
          <w:szCs w:val="24"/>
        </w:rPr>
        <w:t>A</w:t>
      </w:r>
      <w:r w:rsidR="008568B6" w:rsidRPr="001146BC">
        <w:rPr>
          <w:rFonts w:ascii="Century Gothic" w:hAnsi="Century Gothic" w:cs="Arial"/>
          <w:i/>
          <w:sz w:val="22"/>
          <w:szCs w:val="24"/>
        </w:rPr>
        <w:t>cuerdo del Secretario de Finanzas por el que se establece el calendario oficial que regirá durante el año 2016</w:t>
      </w:r>
      <w:r w:rsidR="00A47AEA" w:rsidRPr="001146BC">
        <w:rPr>
          <w:rFonts w:ascii="Century Gothic" w:hAnsi="Century Gothic" w:cs="Arial"/>
          <w:sz w:val="22"/>
          <w:szCs w:val="24"/>
        </w:rPr>
        <w:t>, publicada</w:t>
      </w:r>
      <w:r w:rsidR="008568B6" w:rsidRPr="001146BC">
        <w:rPr>
          <w:rFonts w:ascii="Century Gothic" w:hAnsi="Century Gothic" w:cs="Arial"/>
          <w:sz w:val="22"/>
          <w:szCs w:val="24"/>
        </w:rPr>
        <w:t xml:space="preserve"> en el periódico Gaceta del Gobierno, el 17 de</w:t>
      </w:r>
      <w:r w:rsidR="00A47AEA" w:rsidRPr="001146BC">
        <w:rPr>
          <w:rFonts w:ascii="Century Gothic" w:hAnsi="Century Gothic" w:cs="Arial"/>
          <w:sz w:val="22"/>
          <w:szCs w:val="24"/>
        </w:rPr>
        <w:t xml:space="preserve"> febrero 2016.</w:t>
      </w:r>
    </w:p>
    <w:p w14:paraId="68C838BC" w14:textId="77777777" w:rsidR="008568B6" w:rsidRPr="001146BC" w:rsidRDefault="008568B6" w:rsidP="008568B6">
      <w:pPr>
        <w:rPr>
          <w:rFonts w:ascii="Century Gothic" w:hAnsi="Century Gothic" w:cs="Arial"/>
          <w:sz w:val="22"/>
          <w:szCs w:val="24"/>
        </w:rPr>
      </w:pPr>
    </w:p>
    <w:p w14:paraId="643566D3" w14:textId="1B49EC0F" w:rsidR="008568B6" w:rsidRPr="001146BC" w:rsidRDefault="008568B6" w:rsidP="008568B6">
      <w:pPr>
        <w:rPr>
          <w:rFonts w:ascii="Century Gothic" w:hAnsi="Century Gothic" w:cs="Arial"/>
          <w:sz w:val="22"/>
          <w:szCs w:val="24"/>
        </w:rPr>
      </w:pPr>
      <w:r w:rsidRPr="001146BC">
        <w:rPr>
          <w:rFonts w:ascii="Century Gothic" w:hAnsi="Century Gothic" w:cs="Arial"/>
          <w:sz w:val="22"/>
          <w:szCs w:val="24"/>
        </w:rPr>
        <w:t xml:space="preserve">Por lo </w:t>
      </w:r>
      <w:r w:rsidR="001146BC" w:rsidRPr="001146BC">
        <w:rPr>
          <w:rFonts w:ascii="Century Gothic" w:hAnsi="Century Gothic" w:cs="Arial"/>
          <w:sz w:val="22"/>
          <w:szCs w:val="24"/>
        </w:rPr>
        <w:t>referido,</w:t>
      </w:r>
      <w:r w:rsidRPr="001146BC">
        <w:rPr>
          <w:rFonts w:ascii="Century Gothic" w:hAnsi="Century Gothic" w:cs="Arial"/>
          <w:sz w:val="22"/>
          <w:szCs w:val="24"/>
        </w:rPr>
        <w:t xml:space="preserve"> es falso que la solicitud 00013/PROPAEM/IP/2016</w:t>
      </w:r>
      <w:r w:rsidR="00AA0454" w:rsidRPr="001146BC">
        <w:rPr>
          <w:rFonts w:ascii="Century Gothic" w:hAnsi="Century Gothic" w:cs="Arial"/>
          <w:sz w:val="22"/>
          <w:szCs w:val="24"/>
        </w:rPr>
        <w:t>,</w:t>
      </w:r>
      <w:r w:rsidRPr="001146BC">
        <w:rPr>
          <w:rFonts w:ascii="Century Gothic" w:hAnsi="Century Gothic" w:cs="Arial"/>
          <w:sz w:val="22"/>
          <w:szCs w:val="24"/>
        </w:rPr>
        <w:t xml:space="preserve"> no haya sido atendida en tiempo y forma como lo e</w:t>
      </w:r>
      <w:r w:rsidR="00AA0454" w:rsidRPr="001146BC">
        <w:rPr>
          <w:rFonts w:ascii="Century Gothic" w:hAnsi="Century Gothic" w:cs="Arial"/>
          <w:sz w:val="22"/>
          <w:szCs w:val="24"/>
        </w:rPr>
        <w:t>stablece el hoy recurrente en el</w:t>
      </w:r>
      <w:r w:rsidRPr="001146BC">
        <w:rPr>
          <w:rFonts w:ascii="Century Gothic" w:hAnsi="Century Gothic" w:cs="Arial"/>
          <w:sz w:val="22"/>
          <w:szCs w:val="24"/>
        </w:rPr>
        <w:t xml:space="preserve"> apartado de ACTO IMPUGNADO.</w:t>
      </w:r>
    </w:p>
    <w:p w14:paraId="6FB6A762" w14:textId="77777777" w:rsidR="008568B6" w:rsidRPr="001146BC" w:rsidRDefault="008568B6" w:rsidP="008568B6">
      <w:pPr>
        <w:rPr>
          <w:rFonts w:ascii="Century Gothic" w:hAnsi="Century Gothic" w:cs="Arial"/>
          <w:sz w:val="22"/>
          <w:szCs w:val="24"/>
        </w:rPr>
      </w:pPr>
    </w:p>
    <w:p w14:paraId="5341954F" w14:textId="30110077" w:rsidR="00CA0CFA" w:rsidRPr="001146BC" w:rsidRDefault="00CA0CFA" w:rsidP="008568B6">
      <w:pPr>
        <w:rPr>
          <w:rFonts w:ascii="Century Gothic" w:hAnsi="Century Gothic" w:cs="Arial"/>
          <w:sz w:val="22"/>
          <w:szCs w:val="24"/>
        </w:rPr>
      </w:pPr>
      <w:r w:rsidRPr="001146BC">
        <w:rPr>
          <w:rFonts w:ascii="Century Gothic" w:hAnsi="Century Gothic" w:cs="Arial"/>
          <w:sz w:val="22"/>
          <w:szCs w:val="24"/>
        </w:rPr>
        <w:t xml:space="preserve">2. También resulta falso lo expresado por el ahora recurrente respecto a que le fue negada la información, toda vez que en la </w:t>
      </w:r>
      <w:r w:rsidR="00D45BA8" w:rsidRPr="001146BC">
        <w:rPr>
          <w:rFonts w:ascii="Century Gothic" w:hAnsi="Century Gothic" w:cs="Arial"/>
          <w:sz w:val="22"/>
          <w:szCs w:val="24"/>
        </w:rPr>
        <w:t>atención</w:t>
      </w:r>
      <w:r w:rsidRPr="001146BC">
        <w:rPr>
          <w:rFonts w:ascii="Century Gothic" w:hAnsi="Century Gothic" w:cs="Arial"/>
          <w:sz w:val="22"/>
          <w:szCs w:val="24"/>
        </w:rPr>
        <w:t xml:space="preserve"> de este Organismo a su solicitud</w:t>
      </w:r>
      <w:r w:rsidR="00D45BA8" w:rsidRPr="001146BC">
        <w:rPr>
          <w:rFonts w:ascii="Century Gothic" w:hAnsi="Century Gothic" w:cs="Arial"/>
          <w:sz w:val="22"/>
          <w:szCs w:val="24"/>
        </w:rPr>
        <w:t>,</w:t>
      </w:r>
      <w:r w:rsidRPr="001146BC">
        <w:rPr>
          <w:rFonts w:ascii="Century Gothic" w:hAnsi="Century Gothic" w:cs="Arial"/>
          <w:sz w:val="22"/>
          <w:szCs w:val="24"/>
        </w:rPr>
        <w:t xml:space="preserve"> </w:t>
      </w:r>
      <w:r w:rsidR="00D45BA8" w:rsidRPr="001146BC">
        <w:rPr>
          <w:rFonts w:ascii="Century Gothic" w:hAnsi="Century Gothic" w:cs="Arial"/>
          <w:sz w:val="22"/>
          <w:szCs w:val="24"/>
        </w:rPr>
        <w:t>se otorgó la siguiente respuesta</w:t>
      </w:r>
      <w:r w:rsidR="002F4890" w:rsidRPr="001146BC">
        <w:rPr>
          <w:rFonts w:ascii="Century Gothic" w:hAnsi="Century Gothic" w:cs="Arial"/>
          <w:sz w:val="22"/>
          <w:szCs w:val="24"/>
        </w:rPr>
        <w:t xml:space="preserve"> favorable a la petición formulada y en términos de las disposiciones aplicables al caso</w:t>
      </w:r>
      <w:r w:rsidR="00D45BA8" w:rsidRPr="001146BC">
        <w:rPr>
          <w:rFonts w:ascii="Century Gothic" w:hAnsi="Century Gothic" w:cs="Arial"/>
          <w:sz w:val="22"/>
          <w:szCs w:val="24"/>
        </w:rPr>
        <w:t>:</w:t>
      </w:r>
    </w:p>
    <w:p w14:paraId="72C67E0F" w14:textId="77777777" w:rsidR="00D45BA8" w:rsidRDefault="00D45BA8" w:rsidP="008568B6">
      <w:pPr>
        <w:rPr>
          <w:rFonts w:ascii="Century Gothic" w:hAnsi="Century Gothic" w:cs="Arial"/>
          <w:sz w:val="24"/>
          <w:szCs w:val="24"/>
        </w:rPr>
      </w:pPr>
    </w:p>
    <w:p w14:paraId="75913F73" w14:textId="77777777" w:rsidR="00D45BA8" w:rsidRPr="00D45BA8" w:rsidRDefault="00D45BA8" w:rsidP="00D45BA8">
      <w:pPr>
        <w:ind w:left="567"/>
        <w:rPr>
          <w:rFonts w:ascii="Century Gothic" w:hAnsi="Century Gothic"/>
          <w:i/>
          <w:sz w:val="28"/>
          <w:szCs w:val="24"/>
          <w:lang w:val="es-ES_tradnl" w:eastAsia="es-ES_tradnl"/>
        </w:rPr>
      </w:pPr>
      <w:r w:rsidRPr="00D45BA8">
        <w:rPr>
          <w:rFonts w:ascii="Century Gothic" w:hAnsi="Century Gothic"/>
          <w:i/>
          <w:color w:val="000000"/>
          <w:szCs w:val="18"/>
          <w:lang w:val="es-ES_tradnl" w:eastAsia="es-ES_tradnl"/>
        </w:rPr>
        <w:t xml:space="preserve">En atención a su amable solicitud, registrada con el folio 00013/PROPAEM/IP/2016, en donde requirió información respecto a “CONVENIOS LABORALES SUSCRITOS CON EL SUTEYM (FIRMADOS POR LOS TITULARES) DE LOS AÑOS 2008, 2009, 2010, 2011, 2012, 2013, 2014, 2015,”, respetuosamente me permito comentarle que, referente a la consulta de los convenios celebrados con el SUTEYM, solo se cuenta con los firmados en los años 2013, 2014 y 2015, mismos que se encuentran en el archivo de esta Procuraduría de Protección al Ambiente; los años anteriores el personal sindicalizado de la PROPAEM se regía por el convenio del sector central. Así mismo, respetuosamente me permito comentarle que, de conformidad con el artículo 41 de la Ley de Transparencia y Acceso a la Información Pública del Estado de México y Municipios que señala: "... Los Sujetos Obligados sólo proporcionarán la información pública que se les requiera y que obre en sus archivos. No estarán obligados a procesarla, resumirla, efectuar cálculos o practicar investigaciones”, en razón de lo anterior me permito hacer de su conocimiento, </w:t>
      </w:r>
      <w:r w:rsidRPr="00D45BA8">
        <w:rPr>
          <w:rFonts w:ascii="Century Gothic" w:hAnsi="Century Gothic"/>
          <w:b/>
          <w:i/>
          <w:color w:val="000000"/>
          <w:szCs w:val="18"/>
          <w:lang w:val="es-ES_tradnl" w:eastAsia="es-ES_tradnl"/>
        </w:rPr>
        <w:t>que están a su disposición, en el archivo de este organismo, los expedientes que contienen los datos por usted solicitados, a fin de que, en caso de estimarlo conveniente, pueda usted consultarlos y recabar la información requerida</w:t>
      </w:r>
      <w:r w:rsidRPr="00D45BA8">
        <w:rPr>
          <w:rFonts w:ascii="Century Gothic" w:hAnsi="Century Gothic"/>
          <w:i/>
          <w:color w:val="000000"/>
          <w:szCs w:val="18"/>
          <w:lang w:val="es-ES_tradnl" w:eastAsia="es-ES_tradnl"/>
        </w:rPr>
        <w:t xml:space="preserve">. Cabe señalar que la Procuraduría de Protección al Ambiente, resguarda en sus archivos los convenios celebrados con el SUTEYM, firmados en los años 2013, 2014 y 2015. Para acordar los términos del procedimiento </w:t>
      </w:r>
      <w:r w:rsidRPr="00D45BA8">
        <w:rPr>
          <w:rFonts w:ascii="Century Gothic" w:hAnsi="Century Gothic"/>
          <w:i/>
          <w:color w:val="000000"/>
          <w:szCs w:val="18"/>
          <w:lang w:val="es-ES_tradnl" w:eastAsia="es-ES_tradnl"/>
        </w:rPr>
        <w:lastRenderedPageBreak/>
        <w:t>para la consulta del archivo, podrá ponerse en contacto con el Lic. José Antonio Dzib Sánchez, Titular de la Unidad de Información, en un horario de 9:00 horas a 17:00 horas de lunes a viernes, en el domicilio de la Procuraduría de Protección al Ambiente del Estado de México, sita en Paseo Tollocan sin número, esq. con avenida Benito Juárez, colonia Universidad, Toluca, Estado de México C.P. 50140; al interior del Parque Metropolitano Bicentenario, teléfono (01) 722 2 13 54 56. Para dar cumplimiento a las disposiciones legales aplicables, no omito hacer de su conocimiento el apercibimiento dispuesto en el artículo 4.26 del Reglamento de la Ley de Transparencia y Acceso a la Información Pública del Estado de México y Municipios que a la letra señala: ”...Cuando la información solicitada se encuentre disponible se hará saber al particular el lugar en donde se encuentra, apercibiéndole de que tiene cinco días hábiles para llevar a cabo su consulta, contados a partir del día siguiente al que reciba el acuerdo correspondiente por los medios de comunicación de Ley y el Reglamento. Transcurrido ese plazo sin haber acudido el solicitante, se tendrá por no presentada la petición.”</w:t>
      </w:r>
    </w:p>
    <w:p w14:paraId="59FD76A0" w14:textId="77777777" w:rsidR="00D45BA8" w:rsidRPr="001146BC" w:rsidRDefault="00D45BA8" w:rsidP="008568B6">
      <w:pPr>
        <w:rPr>
          <w:rFonts w:ascii="Century Gothic" w:hAnsi="Century Gothic" w:cs="Arial"/>
          <w:sz w:val="22"/>
          <w:szCs w:val="24"/>
        </w:rPr>
      </w:pPr>
    </w:p>
    <w:p w14:paraId="4D4048AC" w14:textId="01D25F48" w:rsidR="006C1204" w:rsidRPr="001146BC" w:rsidRDefault="006C1204" w:rsidP="006C1204">
      <w:pPr>
        <w:rPr>
          <w:rFonts w:ascii="Century Gothic" w:hAnsi="Century Gothic" w:cs="Arial"/>
          <w:sz w:val="22"/>
          <w:szCs w:val="24"/>
        </w:rPr>
      </w:pPr>
      <w:r w:rsidRPr="001146BC">
        <w:rPr>
          <w:rFonts w:ascii="Century Gothic" w:hAnsi="Century Gothic" w:cs="Arial"/>
          <w:sz w:val="22"/>
          <w:szCs w:val="24"/>
        </w:rPr>
        <w:t xml:space="preserve">3. Por lo que respecta a </w:t>
      </w:r>
      <w:r w:rsidR="008568B6" w:rsidRPr="001146BC">
        <w:rPr>
          <w:rFonts w:ascii="Century Gothic" w:hAnsi="Century Gothic" w:cs="Arial"/>
          <w:sz w:val="22"/>
          <w:szCs w:val="24"/>
        </w:rPr>
        <w:t xml:space="preserve">lo que </w:t>
      </w:r>
      <w:r w:rsidR="00CA0CFA" w:rsidRPr="001146BC">
        <w:rPr>
          <w:rFonts w:ascii="Century Gothic" w:hAnsi="Century Gothic" w:cs="Arial"/>
          <w:sz w:val="22"/>
          <w:szCs w:val="24"/>
        </w:rPr>
        <w:t xml:space="preserve">el ahora recurrente </w:t>
      </w:r>
      <w:r w:rsidR="008568B6" w:rsidRPr="001146BC">
        <w:rPr>
          <w:rFonts w:ascii="Century Gothic" w:hAnsi="Century Gothic" w:cs="Arial"/>
          <w:sz w:val="22"/>
          <w:szCs w:val="24"/>
        </w:rPr>
        <w:t xml:space="preserve">manifiesta en el apartado de RAZONES O MOTIVOS DE LA INCONFORMIDAD, </w:t>
      </w:r>
      <w:r w:rsidRPr="001146BC">
        <w:rPr>
          <w:rFonts w:ascii="Century Gothic" w:hAnsi="Century Gothic" w:cs="Arial"/>
          <w:sz w:val="22"/>
          <w:szCs w:val="24"/>
        </w:rPr>
        <w:t xml:space="preserve">en que señala que “Se ha negado la información requerida”, me permito hacer valer lo expresado en el numeral precedente, que demuestra que la respuesta otorgada </w:t>
      </w:r>
      <w:r w:rsidR="006F2396">
        <w:rPr>
          <w:rFonts w:ascii="Century Gothic" w:hAnsi="Century Gothic" w:cs="Arial"/>
          <w:sz w:val="22"/>
          <w:szCs w:val="24"/>
        </w:rPr>
        <w:t>fue</w:t>
      </w:r>
      <w:r w:rsidRPr="001146BC">
        <w:rPr>
          <w:rFonts w:ascii="Century Gothic" w:hAnsi="Century Gothic" w:cs="Arial"/>
          <w:sz w:val="22"/>
          <w:szCs w:val="24"/>
        </w:rPr>
        <w:t xml:space="preserve"> favorable a su petición. </w:t>
      </w:r>
      <w:r w:rsidR="006F2396">
        <w:rPr>
          <w:rFonts w:ascii="Century Gothic" w:hAnsi="Century Gothic" w:cs="Arial"/>
          <w:sz w:val="22"/>
          <w:szCs w:val="24"/>
        </w:rPr>
        <w:t xml:space="preserve">Por lo tanto </w:t>
      </w:r>
      <w:r w:rsidR="003037E3" w:rsidRPr="001146BC">
        <w:rPr>
          <w:rFonts w:ascii="Century Gothic" w:hAnsi="Century Gothic" w:cs="Arial"/>
          <w:sz w:val="22"/>
          <w:szCs w:val="24"/>
        </w:rPr>
        <w:t xml:space="preserve">es de considerarse que no se actualiza ninguno de los supuestos previstos en el artículo 71 de la </w:t>
      </w:r>
      <w:r w:rsidR="004C2DFC" w:rsidRPr="001146BC">
        <w:rPr>
          <w:rFonts w:ascii="Century Gothic" w:hAnsi="Century Gothic" w:cs="Arial"/>
          <w:i/>
          <w:sz w:val="22"/>
          <w:szCs w:val="24"/>
        </w:rPr>
        <w:t>Ley de Transparencia y Acceso a la Información Pública del Estado de México y Municipios</w:t>
      </w:r>
      <w:r w:rsidR="004C2DFC" w:rsidRPr="001146BC">
        <w:rPr>
          <w:rFonts w:ascii="Century Gothic" w:hAnsi="Century Gothic" w:cs="Arial"/>
          <w:sz w:val="22"/>
          <w:szCs w:val="24"/>
        </w:rPr>
        <w:t>.</w:t>
      </w:r>
    </w:p>
    <w:p w14:paraId="7DF1CDF1" w14:textId="77777777" w:rsidR="001146BC" w:rsidRPr="001146BC" w:rsidRDefault="001146BC" w:rsidP="006C1204">
      <w:pPr>
        <w:rPr>
          <w:rFonts w:ascii="Century Gothic" w:hAnsi="Century Gothic" w:cs="Arial"/>
          <w:sz w:val="22"/>
          <w:szCs w:val="24"/>
        </w:rPr>
      </w:pPr>
    </w:p>
    <w:p w14:paraId="4076963B" w14:textId="7EBDE410" w:rsidR="001146BC" w:rsidRPr="001146BC" w:rsidRDefault="001146BC" w:rsidP="006C1204">
      <w:pPr>
        <w:rPr>
          <w:rFonts w:ascii="Century Gothic" w:hAnsi="Century Gothic" w:cs="Arial"/>
          <w:sz w:val="22"/>
          <w:szCs w:val="24"/>
        </w:rPr>
      </w:pPr>
      <w:r w:rsidRPr="001146BC">
        <w:rPr>
          <w:rFonts w:ascii="Century Gothic" w:hAnsi="Century Gothic" w:cs="Arial"/>
          <w:sz w:val="22"/>
          <w:szCs w:val="24"/>
        </w:rPr>
        <w:t>En lo relativo a las expresiones vertidas por el ahora recurrente respecto al Instituto, esta Procuraduría considera que son juicios personales que si bien son respetables, no son compartidos por este Organismo, y no deben considerarse causa de agravio alguno.</w:t>
      </w:r>
    </w:p>
    <w:p w14:paraId="6F4C8A71" w14:textId="77777777" w:rsidR="008568B6" w:rsidRPr="001146BC" w:rsidRDefault="008568B6" w:rsidP="008568B6">
      <w:pPr>
        <w:rPr>
          <w:rFonts w:ascii="Century Gothic" w:hAnsi="Century Gothic" w:cs="Arial"/>
          <w:sz w:val="22"/>
          <w:szCs w:val="24"/>
        </w:rPr>
      </w:pPr>
    </w:p>
    <w:p w14:paraId="66680BC8" w14:textId="795E88F7" w:rsidR="008568B6" w:rsidRPr="001146BC" w:rsidRDefault="008568B6" w:rsidP="008568B6">
      <w:pPr>
        <w:rPr>
          <w:rFonts w:ascii="Century Gothic" w:hAnsi="Century Gothic" w:cs="Arial"/>
          <w:sz w:val="22"/>
          <w:szCs w:val="24"/>
        </w:rPr>
      </w:pPr>
      <w:r w:rsidRPr="001146BC">
        <w:rPr>
          <w:rFonts w:ascii="Century Gothic" w:hAnsi="Century Gothic" w:cs="Arial"/>
          <w:sz w:val="22"/>
          <w:szCs w:val="24"/>
        </w:rPr>
        <w:t>Por lo anteriormente fundado y motivado</w:t>
      </w:r>
      <w:r w:rsidR="006F2396">
        <w:rPr>
          <w:rFonts w:ascii="Century Gothic" w:hAnsi="Century Gothic" w:cs="Arial"/>
          <w:sz w:val="22"/>
          <w:szCs w:val="24"/>
        </w:rPr>
        <w:t>,</w:t>
      </w:r>
      <w:r w:rsidR="00826D63">
        <w:rPr>
          <w:rFonts w:ascii="Century Gothic" w:hAnsi="Century Gothic" w:cs="Arial"/>
          <w:sz w:val="22"/>
          <w:szCs w:val="24"/>
        </w:rPr>
        <w:t xml:space="preserve"> debe</w:t>
      </w:r>
      <w:r w:rsidRPr="001146BC">
        <w:rPr>
          <w:rFonts w:ascii="Century Gothic" w:hAnsi="Century Gothic" w:cs="Arial"/>
          <w:sz w:val="22"/>
          <w:szCs w:val="24"/>
        </w:rPr>
        <w:t xml:space="preserve"> ser desechado el recurso de revisión interpuesto por el C. </w:t>
      </w:r>
      <w:r w:rsidR="00194AD6">
        <w:rPr>
          <w:rFonts w:ascii="Century Gothic" w:hAnsi="Century Gothic" w:cs="Arial"/>
          <w:sz w:val="22"/>
          <w:szCs w:val="24"/>
        </w:rPr>
        <w:t>****************</w:t>
      </w:r>
      <w:bookmarkStart w:id="0" w:name="_GoBack"/>
      <w:bookmarkEnd w:id="0"/>
      <w:r w:rsidRPr="001146BC">
        <w:rPr>
          <w:rFonts w:ascii="Century Gothic" w:hAnsi="Century Gothic" w:cs="Arial"/>
          <w:sz w:val="22"/>
          <w:szCs w:val="24"/>
        </w:rPr>
        <w:t xml:space="preserve"> y ordenado el archivo definitivo del expediente.</w:t>
      </w:r>
    </w:p>
    <w:p w14:paraId="4098E5E0" w14:textId="77777777" w:rsidR="008568B6" w:rsidRDefault="008568B6" w:rsidP="008568B6">
      <w:pPr>
        <w:rPr>
          <w:rFonts w:ascii="Century Gothic" w:hAnsi="Century Gothic" w:cs="Arial"/>
          <w:sz w:val="22"/>
          <w:szCs w:val="24"/>
        </w:rPr>
      </w:pPr>
    </w:p>
    <w:p w14:paraId="2BD22E69" w14:textId="20DD1CF3" w:rsidR="00EE1C91" w:rsidRPr="001146BC" w:rsidRDefault="006F2396" w:rsidP="008568B6">
      <w:pPr>
        <w:rPr>
          <w:rFonts w:ascii="Century Gothic" w:hAnsi="Century Gothic" w:cs="Arial"/>
          <w:sz w:val="22"/>
          <w:szCs w:val="24"/>
        </w:rPr>
      </w:pPr>
      <w:r>
        <w:rPr>
          <w:rFonts w:ascii="Century Gothic" w:hAnsi="Century Gothic" w:cs="Arial"/>
          <w:sz w:val="22"/>
          <w:szCs w:val="24"/>
        </w:rPr>
        <w:t>Sin otro particular, le ruego tenerme por presentado en tiempo y forma y le expreso la seguridad de mi consideración y respeto.</w:t>
      </w:r>
    </w:p>
    <w:p w14:paraId="5DAC4DF3" w14:textId="44708332" w:rsidR="006F2396" w:rsidRDefault="006F2396" w:rsidP="008568B6">
      <w:pPr>
        <w:ind w:left="426"/>
        <w:jc w:val="center"/>
        <w:rPr>
          <w:rFonts w:ascii="Century Gothic" w:hAnsi="Century Gothic" w:cs="Arial"/>
          <w:sz w:val="22"/>
          <w:szCs w:val="24"/>
        </w:rPr>
      </w:pPr>
    </w:p>
    <w:p w14:paraId="7FF41C48" w14:textId="77777777" w:rsidR="006F2396" w:rsidRDefault="006F2396" w:rsidP="008568B6">
      <w:pPr>
        <w:ind w:left="426"/>
        <w:jc w:val="center"/>
        <w:rPr>
          <w:rFonts w:ascii="Century Gothic" w:hAnsi="Century Gothic" w:cs="Arial"/>
          <w:sz w:val="22"/>
          <w:szCs w:val="24"/>
        </w:rPr>
      </w:pPr>
    </w:p>
    <w:p w14:paraId="63A792C2" w14:textId="36373B8B" w:rsidR="008568B6" w:rsidRPr="001146BC" w:rsidRDefault="008568B6" w:rsidP="008568B6">
      <w:pPr>
        <w:ind w:left="426"/>
        <w:jc w:val="center"/>
        <w:rPr>
          <w:rFonts w:ascii="Century Gothic" w:hAnsi="Century Gothic" w:cs="Tahoma"/>
          <w:b/>
          <w:sz w:val="22"/>
          <w:szCs w:val="24"/>
        </w:rPr>
      </w:pPr>
      <w:r w:rsidRPr="001146BC">
        <w:rPr>
          <w:rFonts w:ascii="Century Gothic" w:hAnsi="Century Gothic" w:cs="Tahoma"/>
          <w:b/>
          <w:sz w:val="22"/>
          <w:szCs w:val="24"/>
        </w:rPr>
        <w:t>A T E N T A M E N T E</w:t>
      </w:r>
    </w:p>
    <w:p w14:paraId="19AB2594" w14:textId="77777777" w:rsidR="008568B6" w:rsidRDefault="008568B6" w:rsidP="008568B6">
      <w:pPr>
        <w:rPr>
          <w:rFonts w:ascii="Century Gothic" w:hAnsi="Century Gothic" w:cs="Tahoma"/>
          <w:b/>
          <w:bCs/>
          <w:sz w:val="22"/>
          <w:szCs w:val="24"/>
        </w:rPr>
      </w:pPr>
    </w:p>
    <w:p w14:paraId="394B397A" w14:textId="77777777" w:rsidR="00EE1C91" w:rsidRPr="001146BC" w:rsidRDefault="00EE1C91" w:rsidP="008568B6">
      <w:pPr>
        <w:rPr>
          <w:rFonts w:ascii="Century Gothic" w:hAnsi="Century Gothic" w:cs="Tahoma"/>
          <w:b/>
          <w:bCs/>
          <w:sz w:val="22"/>
          <w:szCs w:val="24"/>
        </w:rPr>
      </w:pPr>
    </w:p>
    <w:p w14:paraId="55CD58FC" w14:textId="77777777" w:rsidR="008568B6" w:rsidRPr="001146BC" w:rsidRDefault="008568B6" w:rsidP="008568B6">
      <w:pPr>
        <w:ind w:left="426"/>
        <w:jc w:val="center"/>
        <w:rPr>
          <w:rFonts w:ascii="Century Gothic" w:hAnsi="Century Gothic" w:cs="Tahoma"/>
          <w:b/>
          <w:bCs/>
          <w:sz w:val="22"/>
          <w:szCs w:val="24"/>
        </w:rPr>
      </w:pPr>
      <w:r w:rsidRPr="001146BC">
        <w:rPr>
          <w:rFonts w:ascii="Century Gothic" w:hAnsi="Century Gothic" w:cs="Tahoma"/>
          <w:b/>
          <w:bCs/>
          <w:sz w:val="22"/>
          <w:szCs w:val="24"/>
        </w:rPr>
        <w:t>Lic. José Antonio Dzib Sánchez</w:t>
      </w:r>
    </w:p>
    <w:p w14:paraId="41DB9A8E" w14:textId="77777777" w:rsidR="008568B6" w:rsidRPr="001146BC" w:rsidRDefault="008568B6" w:rsidP="008568B6">
      <w:pPr>
        <w:jc w:val="center"/>
        <w:rPr>
          <w:rFonts w:ascii="Century Gothic" w:hAnsi="Century Gothic" w:cs="Tahoma"/>
          <w:b/>
          <w:bCs/>
          <w:sz w:val="22"/>
          <w:szCs w:val="24"/>
        </w:rPr>
      </w:pPr>
      <w:r w:rsidRPr="001146BC">
        <w:rPr>
          <w:rFonts w:ascii="Century Gothic" w:hAnsi="Century Gothic" w:cs="Tahoma"/>
          <w:b/>
          <w:bCs/>
          <w:sz w:val="22"/>
          <w:szCs w:val="24"/>
        </w:rPr>
        <w:t xml:space="preserve">Subdirector de Auditoría, Peritajes y Registro y </w:t>
      </w:r>
    </w:p>
    <w:p w14:paraId="40EF2A83" w14:textId="741A7273" w:rsidR="008B0E72" w:rsidRPr="001146BC" w:rsidRDefault="008568B6" w:rsidP="00382398">
      <w:pPr>
        <w:jc w:val="center"/>
        <w:rPr>
          <w:rFonts w:ascii="Century Gothic" w:hAnsi="Century Gothic" w:cs="Tahoma"/>
          <w:b/>
          <w:bCs/>
          <w:sz w:val="22"/>
          <w:szCs w:val="24"/>
        </w:rPr>
      </w:pPr>
      <w:r w:rsidRPr="001146BC">
        <w:rPr>
          <w:rFonts w:ascii="Century Gothic" w:hAnsi="Century Gothic" w:cs="Tahoma"/>
          <w:b/>
          <w:bCs/>
          <w:sz w:val="22"/>
          <w:szCs w:val="24"/>
        </w:rPr>
        <w:t xml:space="preserve">Titular de la Unidad de Información </w:t>
      </w:r>
    </w:p>
    <w:sectPr w:rsidR="008B0E72" w:rsidRPr="001146BC" w:rsidSect="00F1353C">
      <w:headerReference w:type="default" r:id="rId8"/>
      <w:footerReference w:type="default" r:id="rId9"/>
      <w:pgSz w:w="12242" w:h="15842" w:code="1"/>
      <w:pgMar w:top="2047" w:right="1701" w:bottom="567" w:left="1701" w:header="397" w:footer="17" w:gutter="0"/>
      <w:cols w:space="708"/>
      <w:docGrid w:linePitch="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2F6CA" w14:textId="77777777" w:rsidR="00E16B50" w:rsidRDefault="00E16B50" w:rsidP="004F1439">
      <w:r>
        <w:separator/>
      </w:r>
    </w:p>
  </w:endnote>
  <w:endnote w:type="continuationSeparator" w:id="0">
    <w:p w14:paraId="47EAC654" w14:textId="77777777" w:rsidR="00E16B50" w:rsidRDefault="00E16B50" w:rsidP="004F1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arabara">
    <w:altName w:val="Britannic Bold"/>
    <w:charset w:val="00"/>
    <w:family w:val="auto"/>
    <w:pitch w:val="variable"/>
    <w:sig w:usb0="00000003" w:usb1="00000000" w:usb2="00000000" w:usb3="00000000" w:csb0="00000001" w:csb1="00000000"/>
  </w:font>
  <w:font w:name="Gotham Book">
    <w:altName w:val="Times New Roman"/>
    <w:charset w:val="00"/>
    <w:family w:val="auto"/>
    <w:pitch w:val="variable"/>
    <w:sig w:usb0="00000001" w:usb1="40000048" w:usb2="00000000" w:usb3="00000000" w:csb0="00000111" w:csb1="00000000"/>
  </w:font>
  <w:font w:name="Gill Sans MT">
    <w:altName w:val="Segoe UI"/>
    <w:charset w:val="00"/>
    <w:family w:val="auto"/>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71" w:type="dxa"/>
      <w:jc w:val="center"/>
      <w:tblCellMar>
        <w:left w:w="70" w:type="dxa"/>
        <w:right w:w="70" w:type="dxa"/>
      </w:tblCellMar>
      <w:tblLook w:val="0000" w:firstRow="0" w:lastRow="0" w:firstColumn="0" w:lastColumn="0" w:noHBand="0" w:noVBand="0"/>
    </w:tblPr>
    <w:tblGrid>
      <w:gridCol w:w="9779"/>
      <w:gridCol w:w="146"/>
      <w:gridCol w:w="146"/>
    </w:tblGrid>
    <w:tr w:rsidR="000C466B" w:rsidRPr="00BE4CF5" w14:paraId="621FB6B7" w14:textId="77777777" w:rsidTr="0083005C">
      <w:trPr>
        <w:jc w:val="center"/>
      </w:trPr>
      <w:tc>
        <w:tcPr>
          <w:tcW w:w="9779" w:type="dxa"/>
        </w:tcPr>
        <w:p w14:paraId="6BC5D87E" w14:textId="77777777" w:rsidR="000C466B" w:rsidRPr="001C6280" w:rsidRDefault="000C466B" w:rsidP="00886C79">
          <w:pPr>
            <w:tabs>
              <w:tab w:val="left" w:pos="0"/>
              <w:tab w:val="right" w:pos="8504"/>
            </w:tabs>
            <w:spacing w:line="360" w:lineRule="auto"/>
            <w:jc w:val="left"/>
            <w:rPr>
              <w:rFonts w:ascii="Harabara" w:hAnsi="Harabara"/>
              <w:color w:val="404040"/>
              <w:sz w:val="16"/>
              <w:szCs w:val="16"/>
            </w:rPr>
          </w:pPr>
          <w:r w:rsidRPr="001C6280">
            <w:rPr>
              <w:noProof/>
              <w:sz w:val="16"/>
              <w:szCs w:val="16"/>
              <w:lang w:eastAsia="es-MX"/>
            </w:rPr>
            <w:drawing>
              <wp:anchor distT="0" distB="0" distL="114300" distR="114300" simplePos="0" relativeHeight="251660288" behindDoc="1" locked="0" layoutInCell="1" allowOverlap="1" wp14:anchorId="7E5DEC32" wp14:editId="743B4826">
                <wp:simplePos x="0" y="0"/>
                <wp:positionH relativeFrom="column">
                  <wp:posOffset>-1404620</wp:posOffset>
                </wp:positionH>
                <wp:positionV relativeFrom="paragraph">
                  <wp:posOffset>-249555</wp:posOffset>
                </wp:positionV>
                <wp:extent cx="1532255" cy="153289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255" cy="1532890"/>
                        </a:xfrm>
                        <a:prstGeom prst="rect">
                          <a:avLst/>
                        </a:prstGeom>
                        <a:noFill/>
                      </pic:spPr>
                    </pic:pic>
                  </a:graphicData>
                </a:graphic>
                <wp14:sizeRelH relativeFrom="page">
                  <wp14:pctWidth>0</wp14:pctWidth>
                </wp14:sizeRelH>
                <wp14:sizeRelV relativeFrom="page">
                  <wp14:pctHeight>0</wp14:pctHeight>
                </wp14:sizeRelV>
              </wp:anchor>
            </w:drawing>
          </w:r>
        </w:p>
        <w:p w14:paraId="200F42FA" w14:textId="77777777" w:rsidR="000C466B" w:rsidRPr="00A16DFE" w:rsidRDefault="000C466B" w:rsidP="00886C79">
          <w:pPr>
            <w:tabs>
              <w:tab w:val="right" w:pos="9572"/>
            </w:tabs>
            <w:spacing w:line="360" w:lineRule="auto"/>
            <w:jc w:val="right"/>
            <w:rPr>
              <w:rFonts w:ascii="Harabara" w:hAnsi="Harabara"/>
              <w:color w:val="404040"/>
            </w:rPr>
          </w:pPr>
          <w:r w:rsidRPr="00A16DFE">
            <w:rPr>
              <w:rFonts w:ascii="Harabara" w:hAnsi="Harabara"/>
              <w:color w:val="404040"/>
            </w:rPr>
            <w:t>SECRETARÍA DEL MEDIO AMBIENTE</w:t>
          </w:r>
        </w:p>
        <w:p w14:paraId="04892533" w14:textId="77777777" w:rsidR="000C466B" w:rsidRDefault="000C466B" w:rsidP="0083005C">
          <w:pPr>
            <w:spacing w:line="360" w:lineRule="auto"/>
            <w:jc w:val="right"/>
            <w:rPr>
              <w:rFonts w:ascii="Harabara" w:hAnsi="Harabara"/>
              <w:color w:val="595959"/>
            </w:rPr>
          </w:pPr>
          <w:r>
            <w:rPr>
              <w:rFonts w:ascii="Harabara" w:hAnsi="Harabara"/>
              <w:color w:val="595959"/>
            </w:rPr>
            <w:t>PROCURADURÍA DE PROTECCIÓN AL AMBIENTE</w:t>
          </w:r>
        </w:p>
        <w:p w14:paraId="1C64C7BB" w14:textId="77777777" w:rsidR="000C466B" w:rsidRDefault="000C466B" w:rsidP="0083005C">
          <w:pPr>
            <w:shd w:val="clear" w:color="auto" w:fill="808080"/>
            <w:jc w:val="center"/>
            <w:rPr>
              <w:rFonts w:ascii="Gotham Book" w:hAnsi="Gotham Book"/>
              <w:color w:val="FFFFFF"/>
              <w:sz w:val="13"/>
              <w:szCs w:val="13"/>
            </w:rPr>
          </w:pPr>
        </w:p>
        <w:p w14:paraId="614F1F3B" w14:textId="77777777" w:rsidR="000C466B" w:rsidRPr="00894520" w:rsidRDefault="000C466B" w:rsidP="0083005C">
          <w:pPr>
            <w:shd w:val="clear" w:color="auto" w:fill="808080"/>
            <w:jc w:val="center"/>
            <w:rPr>
              <w:rFonts w:ascii="Gotham Book" w:hAnsi="Gotham Book"/>
              <w:color w:val="FFFFFF"/>
              <w:sz w:val="13"/>
              <w:szCs w:val="13"/>
            </w:rPr>
          </w:pPr>
          <w:r>
            <w:rPr>
              <w:rFonts w:ascii="Gotham Book" w:hAnsi="Gotham Book"/>
              <w:color w:val="FFFFFF"/>
              <w:sz w:val="13"/>
              <w:szCs w:val="13"/>
            </w:rPr>
            <w:t>PARQUE METROPOLITANO BICENTENARIO, PASEO TOLLOCAN S/N EQUINA AV. BENITO JUÁREZ, COL. UNIVERSIDAD, TOLUCA</w:t>
          </w:r>
          <w:r w:rsidRPr="00894520">
            <w:rPr>
              <w:rFonts w:ascii="Gotham Book" w:hAnsi="Gotham Book"/>
              <w:color w:val="FFFFFF"/>
              <w:sz w:val="13"/>
              <w:szCs w:val="13"/>
            </w:rPr>
            <w:t>, ESTADO DE MÉXICO</w:t>
          </w:r>
          <w:r>
            <w:rPr>
              <w:rFonts w:ascii="Gotham Book" w:hAnsi="Gotham Book"/>
              <w:color w:val="FFFFFF"/>
              <w:sz w:val="13"/>
              <w:szCs w:val="13"/>
            </w:rPr>
            <w:t xml:space="preserve">, C.P. 50180, TEL. 722 213 54 56 </w:t>
          </w:r>
        </w:p>
        <w:p w14:paraId="336E1385" w14:textId="77777777" w:rsidR="000C466B" w:rsidRPr="007137A5" w:rsidRDefault="000C466B" w:rsidP="00652C9A">
          <w:pPr>
            <w:rPr>
              <w:rFonts w:ascii="Gill Sans MT" w:hAnsi="Gill Sans MT"/>
              <w:b/>
              <w:color w:val="7F7F7F"/>
              <w:sz w:val="14"/>
              <w:szCs w:val="14"/>
            </w:rPr>
          </w:pPr>
        </w:p>
        <w:p w14:paraId="20EF9D2D" w14:textId="77777777" w:rsidR="000C466B" w:rsidRPr="00BE4CF5" w:rsidRDefault="000C466B" w:rsidP="0083005C">
          <w:pPr>
            <w:pStyle w:val="Piedepgina"/>
            <w:rPr>
              <w:rFonts w:ascii="Gill Sans MT" w:hAnsi="Gill Sans MT"/>
              <w:color w:val="4C4C4C"/>
              <w:sz w:val="14"/>
            </w:rPr>
          </w:pPr>
        </w:p>
      </w:tc>
      <w:tc>
        <w:tcPr>
          <w:tcW w:w="146" w:type="dxa"/>
        </w:tcPr>
        <w:p w14:paraId="236D823E" w14:textId="77777777" w:rsidR="000C466B" w:rsidRPr="00BE4CF5" w:rsidRDefault="000C466B" w:rsidP="0083005C">
          <w:pPr>
            <w:pStyle w:val="Piedepgina"/>
            <w:rPr>
              <w:rFonts w:ascii="Gill Sans MT" w:hAnsi="Gill Sans MT"/>
              <w:color w:val="4C4C4C"/>
              <w:sz w:val="14"/>
            </w:rPr>
          </w:pPr>
        </w:p>
      </w:tc>
      <w:tc>
        <w:tcPr>
          <w:tcW w:w="146" w:type="dxa"/>
        </w:tcPr>
        <w:p w14:paraId="3B2A5586" w14:textId="77777777" w:rsidR="000C466B" w:rsidRPr="00BE4CF5" w:rsidRDefault="000C466B" w:rsidP="0083005C">
          <w:pPr>
            <w:pStyle w:val="Piedepgina"/>
            <w:rPr>
              <w:rFonts w:ascii="Gill Sans MT" w:hAnsi="Gill Sans MT"/>
              <w:b/>
              <w:bCs/>
              <w:color w:val="4C4C4C"/>
              <w:sz w:val="14"/>
            </w:rPr>
          </w:pPr>
        </w:p>
      </w:tc>
    </w:tr>
  </w:tbl>
  <w:p w14:paraId="75B17DCB" w14:textId="77777777" w:rsidR="000C466B" w:rsidRPr="00917A9D" w:rsidRDefault="000C466B" w:rsidP="0083005C">
    <w:pPr>
      <w:pStyle w:val="Piedepgina"/>
      <w:jc w:val="center"/>
      <w:rPr>
        <w:rStyle w:val="Nmerodepgina"/>
        <w:rFonts w:ascii="Gill Sans MT" w:hAnsi="Gill Sans MT"/>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2B3E0" w14:textId="77777777" w:rsidR="00E16B50" w:rsidRDefault="00E16B50" w:rsidP="004F1439">
      <w:r>
        <w:separator/>
      </w:r>
    </w:p>
  </w:footnote>
  <w:footnote w:type="continuationSeparator" w:id="0">
    <w:p w14:paraId="009C747C" w14:textId="77777777" w:rsidR="00E16B50" w:rsidRDefault="00E16B50" w:rsidP="004F14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Look w:val="04A0" w:firstRow="1" w:lastRow="0" w:firstColumn="1" w:lastColumn="0" w:noHBand="0" w:noVBand="1"/>
    </w:tblPr>
    <w:tblGrid>
      <w:gridCol w:w="3367"/>
      <w:gridCol w:w="3044"/>
      <w:gridCol w:w="2429"/>
    </w:tblGrid>
    <w:tr w:rsidR="000C466B" w14:paraId="3CBE5F0C" w14:textId="77777777" w:rsidTr="00E842B4">
      <w:tc>
        <w:tcPr>
          <w:tcW w:w="1904" w:type="pct"/>
        </w:tcPr>
        <w:p w14:paraId="4ABE3C69" w14:textId="77777777" w:rsidR="000C466B" w:rsidRDefault="000C466B" w:rsidP="00A416F7">
          <w:pPr>
            <w:pStyle w:val="Encabezado"/>
          </w:pPr>
          <w:r w:rsidRPr="00C5166E">
            <w:rPr>
              <w:noProof/>
              <w:lang w:eastAsia="es-MX"/>
            </w:rPr>
            <w:drawing>
              <wp:inline distT="0" distB="0" distL="0" distR="0" wp14:anchorId="21FA85E3" wp14:editId="22EF10E3">
                <wp:extent cx="1445895" cy="935355"/>
                <wp:effectExtent l="0" t="0" r="1905" b="0"/>
                <wp:docPr id="8" name="Imagen 8" descr="M:\logos\log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logos\logos-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935355"/>
                        </a:xfrm>
                        <a:prstGeom prst="rect">
                          <a:avLst/>
                        </a:prstGeom>
                        <a:noFill/>
                        <a:ln>
                          <a:noFill/>
                        </a:ln>
                      </pic:spPr>
                    </pic:pic>
                  </a:graphicData>
                </a:graphic>
              </wp:inline>
            </w:drawing>
          </w:r>
        </w:p>
      </w:tc>
      <w:tc>
        <w:tcPr>
          <w:tcW w:w="1722" w:type="pct"/>
          <w:tcBorders>
            <w:right w:val="single" w:sz="12" w:space="0" w:color="BFBFBF"/>
          </w:tcBorders>
        </w:tcPr>
        <w:p w14:paraId="7F206C18" w14:textId="77777777" w:rsidR="000C466B" w:rsidRDefault="000C466B" w:rsidP="00A416F7">
          <w:pPr>
            <w:pStyle w:val="Encabezado"/>
            <w:jc w:val="right"/>
          </w:pPr>
          <w:r w:rsidRPr="00C5166E">
            <w:rPr>
              <w:noProof/>
              <w:lang w:eastAsia="es-MX"/>
            </w:rPr>
            <w:drawing>
              <wp:inline distT="0" distB="0" distL="0" distR="0" wp14:anchorId="48678984" wp14:editId="47135782">
                <wp:extent cx="1037535" cy="807764"/>
                <wp:effectExtent l="0" t="0" r="0" b="0"/>
                <wp:docPr id="7" name="Imagen 7" descr="M:\logos\log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logos\logos-03.jpg"/>
                        <pic:cNvPicPr>
                          <a:picLocks noChangeAspect="1" noChangeArrowheads="1"/>
                        </pic:cNvPicPr>
                      </pic:nvPicPr>
                      <pic:blipFill>
                        <a:blip r:embed="rId2">
                          <a:extLst>
                            <a:ext uri="{28A0092B-C50C-407E-A947-70E740481C1C}">
                              <a14:useLocalDpi xmlns:a14="http://schemas.microsoft.com/office/drawing/2010/main" val="0"/>
                            </a:ext>
                          </a:extLst>
                        </a:blip>
                        <a:srcRect b="5914"/>
                        <a:stretch>
                          <a:fillRect/>
                        </a:stretch>
                      </pic:blipFill>
                      <pic:spPr bwMode="auto">
                        <a:xfrm>
                          <a:off x="0" y="0"/>
                          <a:ext cx="1040162" cy="809810"/>
                        </a:xfrm>
                        <a:prstGeom prst="rect">
                          <a:avLst/>
                        </a:prstGeom>
                        <a:noFill/>
                        <a:ln>
                          <a:noFill/>
                        </a:ln>
                      </pic:spPr>
                    </pic:pic>
                  </a:graphicData>
                </a:graphic>
              </wp:inline>
            </w:drawing>
          </w:r>
        </w:p>
      </w:tc>
      <w:tc>
        <w:tcPr>
          <w:tcW w:w="1374" w:type="pct"/>
          <w:tcBorders>
            <w:left w:val="single" w:sz="12" w:space="0" w:color="BFBFBF"/>
          </w:tcBorders>
          <w:vAlign w:val="bottom"/>
        </w:tcPr>
        <w:p w14:paraId="19DFE0C3" w14:textId="77777777" w:rsidR="000C466B" w:rsidRDefault="000C466B" w:rsidP="00A416F7">
          <w:pPr>
            <w:pStyle w:val="Encabezado"/>
          </w:pPr>
          <w:r w:rsidRPr="00C5166E">
            <w:rPr>
              <w:noProof/>
              <w:lang w:eastAsia="es-MX"/>
            </w:rPr>
            <w:drawing>
              <wp:inline distT="0" distB="0" distL="0" distR="0" wp14:anchorId="4C10E5CD" wp14:editId="3F4CBF91">
                <wp:extent cx="1456690" cy="595630"/>
                <wp:effectExtent l="0" t="0" r="0" b="0"/>
                <wp:docPr id="6" name="Imagen 6" descr="C:\Documents and Settings\Administrador\Mis documentos\LOGO PROPAEM orig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dministrador\Mis documentos\LOGO PROPAEM original-01.jpg"/>
                        <pic:cNvPicPr>
                          <a:picLocks noChangeAspect="1" noChangeArrowheads="1"/>
                        </pic:cNvPicPr>
                      </pic:nvPicPr>
                      <pic:blipFill>
                        <a:blip r:embed="rId3">
                          <a:extLst>
                            <a:ext uri="{28A0092B-C50C-407E-A947-70E740481C1C}">
                              <a14:useLocalDpi xmlns:a14="http://schemas.microsoft.com/office/drawing/2010/main" val="0"/>
                            </a:ext>
                          </a:extLst>
                        </a:blip>
                        <a:srcRect l="8466" t="13979" r="10582" b="19354"/>
                        <a:stretch>
                          <a:fillRect/>
                        </a:stretch>
                      </pic:blipFill>
                      <pic:spPr bwMode="auto">
                        <a:xfrm>
                          <a:off x="0" y="0"/>
                          <a:ext cx="1456690" cy="595630"/>
                        </a:xfrm>
                        <a:prstGeom prst="rect">
                          <a:avLst/>
                        </a:prstGeom>
                        <a:noFill/>
                        <a:ln>
                          <a:noFill/>
                        </a:ln>
                      </pic:spPr>
                    </pic:pic>
                  </a:graphicData>
                </a:graphic>
              </wp:inline>
            </w:drawing>
          </w:r>
        </w:p>
      </w:tc>
    </w:tr>
  </w:tbl>
  <w:p w14:paraId="6E5130C3" w14:textId="77777777" w:rsidR="000C466B" w:rsidRDefault="000C466B" w:rsidP="00036865">
    <w:pPr>
      <w:pStyle w:val="Encabezado"/>
      <w:rPr>
        <w:rFonts w:ascii="Tahoma" w:hAnsi="Tahoma" w:cs="Tahoma"/>
        <w:b/>
        <w:i/>
        <w:sz w:val="16"/>
        <w:szCs w:val="16"/>
      </w:rPr>
    </w:pPr>
  </w:p>
  <w:p w14:paraId="3BC8AE23" w14:textId="3B1625B1" w:rsidR="000C466B" w:rsidRPr="00036865" w:rsidRDefault="000C466B" w:rsidP="00036865">
    <w:pPr>
      <w:pStyle w:val="Encabezado"/>
      <w:jc w:val="center"/>
      <w:rPr>
        <w:rFonts w:ascii="Monotype Corsiva" w:hAnsi="Monotype Corsiva" w:cs="Tahoma"/>
        <w:b/>
        <w:i/>
        <w:sz w:val="16"/>
        <w:szCs w:val="16"/>
      </w:rPr>
    </w:pPr>
    <w:r>
      <w:rPr>
        <w:rFonts w:ascii="Monotype Corsiva" w:hAnsi="Monotype Corsiva" w:cs="Tahoma"/>
        <w:b/>
        <w:i/>
        <w:sz w:val="16"/>
        <w:szCs w:val="16"/>
      </w:rPr>
      <w:t>“2016</w:t>
    </w:r>
    <w:r w:rsidRPr="00036865">
      <w:rPr>
        <w:rFonts w:ascii="Monotype Corsiva" w:hAnsi="Monotype Corsiva" w:cs="Tahoma"/>
        <w:b/>
        <w:i/>
        <w:sz w:val="16"/>
        <w:szCs w:val="16"/>
      </w:rPr>
      <w:t xml:space="preserve">. Año del </w:t>
    </w:r>
    <w:r>
      <w:rPr>
        <w:rFonts w:ascii="Monotype Corsiva" w:hAnsi="Monotype Corsiva" w:cs="Tahoma"/>
        <w:b/>
        <w:i/>
        <w:sz w:val="16"/>
        <w:szCs w:val="16"/>
      </w:rPr>
      <w:t>C</w:t>
    </w:r>
    <w:r w:rsidRPr="00036865">
      <w:rPr>
        <w:rFonts w:ascii="Monotype Corsiva" w:hAnsi="Monotype Corsiva" w:cs="Tahoma"/>
        <w:b/>
        <w:i/>
        <w:sz w:val="16"/>
        <w:szCs w:val="16"/>
      </w:rPr>
      <w:t xml:space="preserve">entenario </w:t>
    </w:r>
    <w:r>
      <w:rPr>
        <w:rFonts w:ascii="Monotype Corsiva" w:hAnsi="Monotype Corsiva" w:cs="Tahoma"/>
        <w:b/>
        <w:i/>
        <w:sz w:val="16"/>
        <w:szCs w:val="16"/>
      </w:rPr>
      <w:t>de la Instalación del Congreso Constituyente</w:t>
    </w:r>
    <w:r w:rsidRPr="00036865">
      <w:rPr>
        <w:rFonts w:ascii="Monotype Corsiva" w:hAnsi="Monotype Corsiva" w:cs="Tahoma"/>
        <w:b/>
        <w:i/>
        <w:sz w:val="16"/>
        <w:szCs w:val="16"/>
      </w:rPr>
      <w:t>”</w:t>
    </w:r>
  </w:p>
  <w:p w14:paraId="1CCD53F4" w14:textId="77777777" w:rsidR="000C466B" w:rsidRDefault="000C466B" w:rsidP="00036865">
    <w:pPr>
      <w:pStyle w:val="Encabezado"/>
      <w:jc w:val="center"/>
      <w:rPr>
        <w:rFonts w:ascii="Tahoma" w:hAnsi="Tahoma" w:cs="Tahoma"/>
        <w:b/>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842D6"/>
    <w:multiLevelType w:val="hybridMultilevel"/>
    <w:tmpl w:val="E1086B1C"/>
    <w:lvl w:ilvl="0" w:tplc="E01075F0">
      <w:start w:val="3"/>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73A6E59"/>
    <w:multiLevelType w:val="hybridMultilevel"/>
    <w:tmpl w:val="376EF5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87D4D5F"/>
    <w:multiLevelType w:val="hybridMultilevel"/>
    <w:tmpl w:val="14C29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F9C062F"/>
    <w:multiLevelType w:val="hybridMultilevel"/>
    <w:tmpl w:val="34949FF4"/>
    <w:lvl w:ilvl="0" w:tplc="4AB8C87E">
      <w:start w:val="3"/>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31B2FB2"/>
    <w:multiLevelType w:val="hybridMultilevel"/>
    <w:tmpl w:val="4C943E82"/>
    <w:lvl w:ilvl="0" w:tplc="72E8AEF4">
      <w:start w:val="1"/>
      <w:numFmt w:val="upp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nsid w:val="49423CA4"/>
    <w:multiLevelType w:val="hybridMultilevel"/>
    <w:tmpl w:val="0ACEF888"/>
    <w:lvl w:ilvl="0" w:tplc="8F2053CC">
      <w:start w:val="7"/>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FEC62E8"/>
    <w:multiLevelType w:val="hybridMultilevel"/>
    <w:tmpl w:val="080E712E"/>
    <w:lvl w:ilvl="0" w:tplc="A968A7D4">
      <w:start w:val="3"/>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D9971FD"/>
    <w:multiLevelType w:val="hybridMultilevel"/>
    <w:tmpl w:val="186C3A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C0705E6"/>
    <w:multiLevelType w:val="hybridMultilevel"/>
    <w:tmpl w:val="54A00F58"/>
    <w:lvl w:ilvl="0" w:tplc="696E1BC2">
      <w:numFmt w:val="bullet"/>
      <w:lvlText w:val="-"/>
      <w:lvlJc w:val="left"/>
      <w:pPr>
        <w:ind w:left="720" w:hanging="360"/>
      </w:pPr>
      <w:rPr>
        <w:rFonts w:ascii="Arial Narrow" w:eastAsia="Times New Roman" w:hAnsi="Arial Narrow"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020D84"/>
    <w:multiLevelType w:val="hybridMultilevel"/>
    <w:tmpl w:val="E002317E"/>
    <w:lvl w:ilvl="0" w:tplc="A1500096">
      <w:start w:val="3"/>
      <w:numFmt w:val="bullet"/>
      <w:lvlText w:val="-"/>
      <w:lvlJc w:val="left"/>
      <w:pPr>
        <w:ind w:left="720" w:hanging="360"/>
      </w:pPr>
      <w:rPr>
        <w:rFonts w:ascii="Arial Narrow" w:eastAsia="Times New Roman" w:hAnsi="Arial Narrow"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F0C4AFF"/>
    <w:multiLevelType w:val="hybridMultilevel"/>
    <w:tmpl w:val="92F44124"/>
    <w:lvl w:ilvl="0" w:tplc="D9E83DDC">
      <w:start w:val="3"/>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9"/>
  </w:num>
  <w:num w:numId="5">
    <w:abstractNumId w:val="10"/>
  </w:num>
  <w:num w:numId="6">
    <w:abstractNumId w:val="6"/>
  </w:num>
  <w:num w:numId="7">
    <w:abstractNumId w:val="3"/>
  </w:num>
  <w:num w:numId="8">
    <w:abstractNumId w:val="4"/>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439"/>
    <w:rsid w:val="00000728"/>
    <w:rsid w:val="000062A5"/>
    <w:rsid w:val="00006425"/>
    <w:rsid w:val="000107A8"/>
    <w:rsid w:val="00012419"/>
    <w:rsid w:val="000126B8"/>
    <w:rsid w:val="000139AC"/>
    <w:rsid w:val="000300EF"/>
    <w:rsid w:val="000337F7"/>
    <w:rsid w:val="000364D7"/>
    <w:rsid w:val="00036865"/>
    <w:rsid w:val="00036CD7"/>
    <w:rsid w:val="00037AB1"/>
    <w:rsid w:val="00041E57"/>
    <w:rsid w:val="000512DC"/>
    <w:rsid w:val="00067BB5"/>
    <w:rsid w:val="00083E25"/>
    <w:rsid w:val="000A1F34"/>
    <w:rsid w:val="000B6D84"/>
    <w:rsid w:val="000B6F97"/>
    <w:rsid w:val="000C466B"/>
    <w:rsid w:val="000D32DB"/>
    <w:rsid w:val="000F59A1"/>
    <w:rsid w:val="001146BC"/>
    <w:rsid w:val="0012216D"/>
    <w:rsid w:val="0013625D"/>
    <w:rsid w:val="001450AD"/>
    <w:rsid w:val="00154249"/>
    <w:rsid w:val="00177242"/>
    <w:rsid w:val="001821EC"/>
    <w:rsid w:val="00194AD6"/>
    <w:rsid w:val="001952EB"/>
    <w:rsid w:val="001A259C"/>
    <w:rsid w:val="001A386E"/>
    <w:rsid w:val="001A7A7A"/>
    <w:rsid w:val="001C3ABA"/>
    <w:rsid w:val="001C3B3C"/>
    <w:rsid w:val="001C489E"/>
    <w:rsid w:val="001C6280"/>
    <w:rsid w:val="001D1EA9"/>
    <w:rsid w:val="001D60EB"/>
    <w:rsid w:val="001F0C9C"/>
    <w:rsid w:val="0020394F"/>
    <w:rsid w:val="0021446B"/>
    <w:rsid w:val="00217E85"/>
    <w:rsid w:val="00221E15"/>
    <w:rsid w:val="002221CA"/>
    <w:rsid w:val="00233673"/>
    <w:rsid w:val="0023452A"/>
    <w:rsid w:val="00236C76"/>
    <w:rsid w:val="002467BB"/>
    <w:rsid w:val="00254403"/>
    <w:rsid w:val="002544C8"/>
    <w:rsid w:val="00271076"/>
    <w:rsid w:val="002710B5"/>
    <w:rsid w:val="002734B1"/>
    <w:rsid w:val="002756BF"/>
    <w:rsid w:val="00277F87"/>
    <w:rsid w:val="00290FB9"/>
    <w:rsid w:val="00295F16"/>
    <w:rsid w:val="002A6B6C"/>
    <w:rsid w:val="002B02E6"/>
    <w:rsid w:val="002B46E8"/>
    <w:rsid w:val="002D189D"/>
    <w:rsid w:val="002D7D18"/>
    <w:rsid w:val="002F4890"/>
    <w:rsid w:val="002F73C4"/>
    <w:rsid w:val="003037E3"/>
    <w:rsid w:val="00317E21"/>
    <w:rsid w:val="00324A48"/>
    <w:rsid w:val="00330392"/>
    <w:rsid w:val="00345905"/>
    <w:rsid w:val="00361B98"/>
    <w:rsid w:val="003642DA"/>
    <w:rsid w:val="00382398"/>
    <w:rsid w:val="0038281D"/>
    <w:rsid w:val="00384CB5"/>
    <w:rsid w:val="00387587"/>
    <w:rsid w:val="003901A6"/>
    <w:rsid w:val="00392852"/>
    <w:rsid w:val="003A0D1F"/>
    <w:rsid w:val="003A3459"/>
    <w:rsid w:val="003B6A66"/>
    <w:rsid w:val="003C135F"/>
    <w:rsid w:val="003C51E9"/>
    <w:rsid w:val="003D7C81"/>
    <w:rsid w:val="003F2F5D"/>
    <w:rsid w:val="003F6B5E"/>
    <w:rsid w:val="004120F4"/>
    <w:rsid w:val="004127B8"/>
    <w:rsid w:val="00461638"/>
    <w:rsid w:val="00472E6F"/>
    <w:rsid w:val="00487EA1"/>
    <w:rsid w:val="0049123A"/>
    <w:rsid w:val="00493B17"/>
    <w:rsid w:val="00495654"/>
    <w:rsid w:val="004A32E4"/>
    <w:rsid w:val="004B192B"/>
    <w:rsid w:val="004B24F9"/>
    <w:rsid w:val="004B2A00"/>
    <w:rsid w:val="004B3328"/>
    <w:rsid w:val="004C2DFC"/>
    <w:rsid w:val="004C5255"/>
    <w:rsid w:val="004F0726"/>
    <w:rsid w:val="004F11E0"/>
    <w:rsid w:val="004F1439"/>
    <w:rsid w:val="0050271E"/>
    <w:rsid w:val="0051064A"/>
    <w:rsid w:val="00513D93"/>
    <w:rsid w:val="0051574C"/>
    <w:rsid w:val="00524EC6"/>
    <w:rsid w:val="005276CE"/>
    <w:rsid w:val="00547292"/>
    <w:rsid w:val="00552A3E"/>
    <w:rsid w:val="00567A55"/>
    <w:rsid w:val="00567A7F"/>
    <w:rsid w:val="00572DBE"/>
    <w:rsid w:val="0057659E"/>
    <w:rsid w:val="005A7327"/>
    <w:rsid w:val="005C0018"/>
    <w:rsid w:val="005D1310"/>
    <w:rsid w:val="005E1A1B"/>
    <w:rsid w:val="005E7980"/>
    <w:rsid w:val="005F2016"/>
    <w:rsid w:val="005F3A46"/>
    <w:rsid w:val="006053FE"/>
    <w:rsid w:val="00617A05"/>
    <w:rsid w:val="00630C2A"/>
    <w:rsid w:val="00636D81"/>
    <w:rsid w:val="006528A0"/>
    <w:rsid w:val="00652C9A"/>
    <w:rsid w:val="00654213"/>
    <w:rsid w:val="0065647F"/>
    <w:rsid w:val="00667EE2"/>
    <w:rsid w:val="00671E84"/>
    <w:rsid w:val="006728E4"/>
    <w:rsid w:val="00672970"/>
    <w:rsid w:val="00683A20"/>
    <w:rsid w:val="006848C4"/>
    <w:rsid w:val="00692FD3"/>
    <w:rsid w:val="006A31AE"/>
    <w:rsid w:val="006B2461"/>
    <w:rsid w:val="006C1204"/>
    <w:rsid w:val="006C1A42"/>
    <w:rsid w:val="006C7D14"/>
    <w:rsid w:val="006D0107"/>
    <w:rsid w:val="006D756B"/>
    <w:rsid w:val="006E27D3"/>
    <w:rsid w:val="006E470B"/>
    <w:rsid w:val="006E4D68"/>
    <w:rsid w:val="006F2396"/>
    <w:rsid w:val="006F24F1"/>
    <w:rsid w:val="007016D4"/>
    <w:rsid w:val="00707FCC"/>
    <w:rsid w:val="007334CB"/>
    <w:rsid w:val="007523CD"/>
    <w:rsid w:val="00760DE2"/>
    <w:rsid w:val="00783D19"/>
    <w:rsid w:val="00784769"/>
    <w:rsid w:val="00785C69"/>
    <w:rsid w:val="00797DBE"/>
    <w:rsid w:val="007A0027"/>
    <w:rsid w:val="007A735D"/>
    <w:rsid w:val="007B7237"/>
    <w:rsid w:val="007B7678"/>
    <w:rsid w:val="007C015E"/>
    <w:rsid w:val="007C050D"/>
    <w:rsid w:val="007C175F"/>
    <w:rsid w:val="007C42EA"/>
    <w:rsid w:val="007D7733"/>
    <w:rsid w:val="007E281C"/>
    <w:rsid w:val="007E4C90"/>
    <w:rsid w:val="007F476A"/>
    <w:rsid w:val="00813932"/>
    <w:rsid w:val="00826D63"/>
    <w:rsid w:val="0083005C"/>
    <w:rsid w:val="00831B4C"/>
    <w:rsid w:val="00836982"/>
    <w:rsid w:val="00846FE0"/>
    <w:rsid w:val="00847A40"/>
    <w:rsid w:val="00852723"/>
    <w:rsid w:val="008542F1"/>
    <w:rsid w:val="008568B6"/>
    <w:rsid w:val="00864AA7"/>
    <w:rsid w:val="00886C79"/>
    <w:rsid w:val="008905A7"/>
    <w:rsid w:val="008A1BA7"/>
    <w:rsid w:val="008A2044"/>
    <w:rsid w:val="008A74BF"/>
    <w:rsid w:val="008B0E72"/>
    <w:rsid w:val="008B4556"/>
    <w:rsid w:val="008C4128"/>
    <w:rsid w:val="008C472E"/>
    <w:rsid w:val="008D18C3"/>
    <w:rsid w:val="008E45FE"/>
    <w:rsid w:val="008F79EE"/>
    <w:rsid w:val="00906729"/>
    <w:rsid w:val="00915804"/>
    <w:rsid w:val="009221B9"/>
    <w:rsid w:val="00936E3E"/>
    <w:rsid w:val="00950110"/>
    <w:rsid w:val="00953F47"/>
    <w:rsid w:val="00961A66"/>
    <w:rsid w:val="00967248"/>
    <w:rsid w:val="00975B7D"/>
    <w:rsid w:val="00995285"/>
    <w:rsid w:val="009A3E20"/>
    <w:rsid w:val="009A699B"/>
    <w:rsid w:val="009A7573"/>
    <w:rsid w:val="009B0AA7"/>
    <w:rsid w:val="009C3E8D"/>
    <w:rsid w:val="009C6A5C"/>
    <w:rsid w:val="009D45C4"/>
    <w:rsid w:val="009D4E62"/>
    <w:rsid w:val="009D4F86"/>
    <w:rsid w:val="00A06FF9"/>
    <w:rsid w:val="00A22F08"/>
    <w:rsid w:val="00A2302C"/>
    <w:rsid w:val="00A416F7"/>
    <w:rsid w:val="00A41B71"/>
    <w:rsid w:val="00A440AD"/>
    <w:rsid w:val="00A46C69"/>
    <w:rsid w:val="00A47AEA"/>
    <w:rsid w:val="00A5200D"/>
    <w:rsid w:val="00A530B0"/>
    <w:rsid w:val="00A73D2E"/>
    <w:rsid w:val="00A75EEB"/>
    <w:rsid w:val="00A77D54"/>
    <w:rsid w:val="00A87F9B"/>
    <w:rsid w:val="00A96CD7"/>
    <w:rsid w:val="00A97EDB"/>
    <w:rsid w:val="00AA0454"/>
    <w:rsid w:val="00AB0F1A"/>
    <w:rsid w:val="00AC131E"/>
    <w:rsid w:val="00AD2A29"/>
    <w:rsid w:val="00AE5468"/>
    <w:rsid w:val="00AF352D"/>
    <w:rsid w:val="00AF4403"/>
    <w:rsid w:val="00AF6B54"/>
    <w:rsid w:val="00B01CBA"/>
    <w:rsid w:val="00B05ACC"/>
    <w:rsid w:val="00B5121B"/>
    <w:rsid w:val="00B565B3"/>
    <w:rsid w:val="00B65764"/>
    <w:rsid w:val="00B80DC1"/>
    <w:rsid w:val="00B81542"/>
    <w:rsid w:val="00B863A9"/>
    <w:rsid w:val="00B9191C"/>
    <w:rsid w:val="00B92D2C"/>
    <w:rsid w:val="00B95AFE"/>
    <w:rsid w:val="00B95BC8"/>
    <w:rsid w:val="00BC5033"/>
    <w:rsid w:val="00BD1264"/>
    <w:rsid w:val="00BE6660"/>
    <w:rsid w:val="00BF44B2"/>
    <w:rsid w:val="00C0439B"/>
    <w:rsid w:val="00C0662B"/>
    <w:rsid w:val="00C10FC5"/>
    <w:rsid w:val="00C163AF"/>
    <w:rsid w:val="00C2109E"/>
    <w:rsid w:val="00C43542"/>
    <w:rsid w:val="00C43AC8"/>
    <w:rsid w:val="00C54ADA"/>
    <w:rsid w:val="00C57AE3"/>
    <w:rsid w:val="00C71CAA"/>
    <w:rsid w:val="00C741F5"/>
    <w:rsid w:val="00C76E23"/>
    <w:rsid w:val="00C80ED0"/>
    <w:rsid w:val="00C82986"/>
    <w:rsid w:val="00C97457"/>
    <w:rsid w:val="00CA0CFA"/>
    <w:rsid w:val="00CA748E"/>
    <w:rsid w:val="00CB498E"/>
    <w:rsid w:val="00CB66C3"/>
    <w:rsid w:val="00CC210C"/>
    <w:rsid w:val="00CC2AE5"/>
    <w:rsid w:val="00CC46BD"/>
    <w:rsid w:val="00CD4D02"/>
    <w:rsid w:val="00CD58AB"/>
    <w:rsid w:val="00CD7489"/>
    <w:rsid w:val="00CE044B"/>
    <w:rsid w:val="00CE73CE"/>
    <w:rsid w:val="00D01CE6"/>
    <w:rsid w:val="00D14637"/>
    <w:rsid w:val="00D23389"/>
    <w:rsid w:val="00D30181"/>
    <w:rsid w:val="00D33D51"/>
    <w:rsid w:val="00D405A6"/>
    <w:rsid w:val="00D45BA8"/>
    <w:rsid w:val="00D75BE1"/>
    <w:rsid w:val="00D81634"/>
    <w:rsid w:val="00D81A15"/>
    <w:rsid w:val="00D9023F"/>
    <w:rsid w:val="00D9223C"/>
    <w:rsid w:val="00D93F3E"/>
    <w:rsid w:val="00D96AFC"/>
    <w:rsid w:val="00DB36B9"/>
    <w:rsid w:val="00DB5F34"/>
    <w:rsid w:val="00DD4E1D"/>
    <w:rsid w:val="00DF7666"/>
    <w:rsid w:val="00E03368"/>
    <w:rsid w:val="00E128FD"/>
    <w:rsid w:val="00E16B50"/>
    <w:rsid w:val="00E23422"/>
    <w:rsid w:val="00E32255"/>
    <w:rsid w:val="00E33842"/>
    <w:rsid w:val="00E340E1"/>
    <w:rsid w:val="00E46E38"/>
    <w:rsid w:val="00E472C9"/>
    <w:rsid w:val="00E5386E"/>
    <w:rsid w:val="00E54581"/>
    <w:rsid w:val="00E60BF3"/>
    <w:rsid w:val="00E64B76"/>
    <w:rsid w:val="00E70ED0"/>
    <w:rsid w:val="00E71B3E"/>
    <w:rsid w:val="00E73F2E"/>
    <w:rsid w:val="00E842B4"/>
    <w:rsid w:val="00E85B55"/>
    <w:rsid w:val="00E85C13"/>
    <w:rsid w:val="00E93E08"/>
    <w:rsid w:val="00E95BAA"/>
    <w:rsid w:val="00EA22F4"/>
    <w:rsid w:val="00EA297D"/>
    <w:rsid w:val="00EA50AF"/>
    <w:rsid w:val="00EB3D36"/>
    <w:rsid w:val="00ED1D6E"/>
    <w:rsid w:val="00EE1C91"/>
    <w:rsid w:val="00EE2122"/>
    <w:rsid w:val="00EE41E2"/>
    <w:rsid w:val="00EE7DA0"/>
    <w:rsid w:val="00EE7F40"/>
    <w:rsid w:val="00EF0824"/>
    <w:rsid w:val="00EF3B64"/>
    <w:rsid w:val="00EF609E"/>
    <w:rsid w:val="00EF647D"/>
    <w:rsid w:val="00F03CD1"/>
    <w:rsid w:val="00F1353C"/>
    <w:rsid w:val="00F24D35"/>
    <w:rsid w:val="00F26129"/>
    <w:rsid w:val="00F50A18"/>
    <w:rsid w:val="00F53B04"/>
    <w:rsid w:val="00F640F3"/>
    <w:rsid w:val="00F70B8C"/>
    <w:rsid w:val="00F7117A"/>
    <w:rsid w:val="00F959C1"/>
    <w:rsid w:val="00FA0876"/>
    <w:rsid w:val="00FB0FC2"/>
    <w:rsid w:val="00FB5581"/>
    <w:rsid w:val="00FB7F45"/>
    <w:rsid w:val="00FD2C2C"/>
    <w:rsid w:val="00FD34CC"/>
    <w:rsid w:val="00FD7FA5"/>
    <w:rsid w:val="00FE128D"/>
    <w:rsid w:val="00FF670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2DC2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439"/>
    <w:pPr>
      <w:spacing w:after="0" w:line="240" w:lineRule="auto"/>
      <w:jc w:val="both"/>
    </w:pPr>
    <w:rPr>
      <w:rFonts w:ascii="Arial Narrow" w:eastAsia="Times New Roman" w:hAnsi="Arial Narrow"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F1439"/>
    <w:pPr>
      <w:tabs>
        <w:tab w:val="center" w:pos="4419"/>
        <w:tab w:val="right" w:pos="8838"/>
      </w:tabs>
    </w:pPr>
  </w:style>
  <w:style w:type="character" w:customStyle="1" w:styleId="EncabezadoCar">
    <w:name w:val="Encabezado Car"/>
    <w:basedOn w:val="Fuentedeprrafopredeter"/>
    <w:link w:val="Encabezado"/>
    <w:rsid w:val="004F1439"/>
    <w:rPr>
      <w:rFonts w:ascii="Arial Narrow" w:eastAsia="Times New Roman" w:hAnsi="Arial Narrow" w:cs="Times New Roman"/>
      <w:sz w:val="20"/>
      <w:szCs w:val="20"/>
      <w:lang w:eastAsia="es-ES"/>
    </w:rPr>
  </w:style>
  <w:style w:type="paragraph" w:styleId="Piedepgina">
    <w:name w:val="footer"/>
    <w:basedOn w:val="Normal"/>
    <w:link w:val="PiedepginaCar"/>
    <w:rsid w:val="004F1439"/>
    <w:pPr>
      <w:tabs>
        <w:tab w:val="center" w:pos="4419"/>
        <w:tab w:val="right" w:pos="8838"/>
      </w:tabs>
    </w:pPr>
  </w:style>
  <w:style w:type="character" w:customStyle="1" w:styleId="PiedepginaCar">
    <w:name w:val="Pie de página Car"/>
    <w:basedOn w:val="Fuentedeprrafopredeter"/>
    <w:link w:val="Piedepgina"/>
    <w:rsid w:val="004F1439"/>
    <w:rPr>
      <w:rFonts w:ascii="Arial Narrow" w:eastAsia="Times New Roman" w:hAnsi="Arial Narrow" w:cs="Times New Roman"/>
      <w:sz w:val="20"/>
      <w:szCs w:val="20"/>
      <w:lang w:eastAsia="es-ES"/>
    </w:rPr>
  </w:style>
  <w:style w:type="character" w:styleId="Nmerodepgina">
    <w:name w:val="page number"/>
    <w:basedOn w:val="Fuentedeprrafopredeter"/>
    <w:rsid w:val="004F1439"/>
  </w:style>
  <w:style w:type="paragraph" w:styleId="NormalWeb">
    <w:name w:val="Normal (Web)"/>
    <w:basedOn w:val="Normal"/>
    <w:semiHidden/>
    <w:rsid w:val="004F1439"/>
    <w:pPr>
      <w:spacing w:before="100" w:beforeAutospacing="1" w:after="100" w:afterAutospacing="1"/>
      <w:jc w:val="left"/>
    </w:pPr>
    <w:rPr>
      <w:rFonts w:ascii="Arial Unicode MS" w:eastAsia="Arial Unicode MS" w:hAnsi="Arial Unicode MS" w:cs="Arial Unicode MS" w:hint="eastAsia"/>
      <w:color w:val="000000"/>
      <w:sz w:val="24"/>
      <w:szCs w:val="24"/>
      <w:lang w:val="es-ES"/>
    </w:rPr>
  </w:style>
  <w:style w:type="paragraph" w:styleId="Prrafodelista">
    <w:name w:val="List Paragraph"/>
    <w:basedOn w:val="Normal"/>
    <w:uiPriority w:val="34"/>
    <w:qFormat/>
    <w:rsid w:val="00886C79"/>
    <w:pPr>
      <w:ind w:left="720"/>
      <w:contextualSpacing/>
    </w:pPr>
  </w:style>
  <w:style w:type="paragraph" w:styleId="Textodeglobo">
    <w:name w:val="Balloon Text"/>
    <w:basedOn w:val="Normal"/>
    <w:link w:val="TextodegloboCar"/>
    <w:uiPriority w:val="99"/>
    <w:semiHidden/>
    <w:unhideWhenUsed/>
    <w:rsid w:val="00EF647D"/>
    <w:rPr>
      <w:rFonts w:ascii="Tahoma" w:hAnsi="Tahoma" w:cs="Tahoma"/>
      <w:sz w:val="16"/>
      <w:szCs w:val="16"/>
    </w:rPr>
  </w:style>
  <w:style w:type="character" w:customStyle="1" w:styleId="TextodegloboCar">
    <w:name w:val="Texto de globo Car"/>
    <w:basedOn w:val="Fuentedeprrafopredeter"/>
    <w:link w:val="Textodeglobo"/>
    <w:uiPriority w:val="99"/>
    <w:semiHidden/>
    <w:rsid w:val="00EF647D"/>
    <w:rPr>
      <w:rFonts w:ascii="Tahoma" w:eastAsia="Times New Roman" w:hAnsi="Tahoma" w:cs="Tahoma"/>
      <w:sz w:val="16"/>
      <w:szCs w:val="16"/>
      <w:lang w:eastAsia="es-ES"/>
    </w:rPr>
  </w:style>
  <w:style w:type="paragraph" w:styleId="Sinespaciado">
    <w:name w:val="No Spacing"/>
    <w:uiPriority w:val="1"/>
    <w:qFormat/>
    <w:rsid w:val="00652C9A"/>
    <w:pPr>
      <w:spacing w:after="0" w:line="240" w:lineRule="auto"/>
    </w:pPr>
  </w:style>
  <w:style w:type="character" w:customStyle="1" w:styleId="apple-converted-space">
    <w:name w:val="apple-converted-space"/>
    <w:basedOn w:val="Fuentedeprrafopredeter"/>
    <w:rsid w:val="00487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08078">
      <w:bodyDiv w:val="1"/>
      <w:marLeft w:val="0"/>
      <w:marRight w:val="0"/>
      <w:marTop w:val="0"/>
      <w:marBottom w:val="0"/>
      <w:divBdr>
        <w:top w:val="none" w:sz="0" w:space="0" w:color="auto"/>
        <w:left w:val="none" w:sz="0" w:space="0" w:color="auto"/>
        <w:bottom w:val="none" w:sz="0" w:space="0" w:color="auto"/>
        <w:right w:val="none" w:sz="0" w:space="0" w:color="auto"/>
      </w:divBdr>
    </w:div>
    <w:div w:id="1218517366">
      <w:bodyDiv w:val="1"/>
      <w:marLeft w:val="0"/>
      <w:marRight w:val="0"/>
      <w:marTop w:val="0"/>
      <w:marBottom w:val="0"/>
      <w:divBdr>
        <w:top w:val="none" w:sz="0" w:space="0" w:color="auto"/>
        <w:left w:val="none" w:sz="0" w:space="0" w:color="auto"/>
        <w:bottom w:val="none" w:sz="0" w:space="0" w:color="auto"/>
        <w:right w:val="none" w:sz="0" w:space="0" w:color="auto"/>
      </w:divBdr>
    </w:div>
    <w:div w:id="1349259401">
      <w:bodyDiv w:val="1"/>
      <w:marLeft w:val="0"/>
      <w:marRight w:val="0"/>
      <w:marTop w:val="0"/>
      <w:marBottom w:val="0"/>
      <w:divBdr>
        <w:top w:val="none" w:sz="0" w:space="0" w:color="auto"/>
        <w:left w:val="none" w:sz="0" w:space="0" w:color="auto"/>
        <w:bottom w:val="none" w:sz="0" w:space="0" w:color="auto"/>
        <w:right w:val="none" w:sz="0" w:space="0" w:color="auto"/>
      </w:divBdr>
    </w:div>
    <w:div w:id="1844587139">
      <w:bodyDiv w:val="1"/>
      <w:marLeft w:val="0"/>
      <w:marRight w:val="0"/>
      <w:marTop w:val="0"/>
      <w:marBottom w:val="0"/>
      <w:divBdr>
        <w:top w:val="none" w:sz="0" w:space="0" w:color="auto"/>
        <w:left w:val="none" w:sz="0" w:space="0" w:color="auto"/>
        <w:bottom w:val="none" w:sz="0" w:space="0" w:color="auto"/>
        <w:right w:val="none" w:sz="0" w:space="0" w:color="auto"/>
      </w:divBdr>
    </w:div>
    <w:div w:id="1918899033">
      <w:bodyDiv w:val="1"/>
      <w:marLeft w:val="0"/>
      <w:marRight w:val="0"/>
      <w:marTop w:val="0"/>
      <w:marBottom w:val="0"/>
      <w:divBdr>
        <w:top w:val="none" w:sz="0" w:space="0" w:color="auto"/>
        <w:left w:val="none" w:sz="0" w:space="0" w:color="auto"/>
        <w:bottom w:val="none" w:sz="0" w:space="0" w:color="auto"/>
        <w:right w:val="none" w:sz="0" w:space="0" w:color="auto"/>
      </w:divBdr>
    </w:div>
    <w:div w:id="193077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014C5-AA60-4B4E-B152-0AC102118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1144</Words>
  <Characters>6294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SUBTOLUCAA</dc:creator>
  <cp:lastModifiedBy>USER</cp:lastModifiedBy>
  <cp:revision>3</cp:revision>
  <cp:lastPrinted>2016-01-08T19:00:00Z</cp:lastPrinted>
  <dcterms:created xsi:type="dcterms:W3CDTF">2016-06-06T16:43:00Z</dcterms:created>
  <dcterms:modified xsi:type="dcterms:W3CDTF">2017-01-09T18:22:00Z</dcterms:modified>
</cp:coreProperties>
</file>