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0506C8">
        <w:rPr>
          <w:rFonts w:ascii="Palatino Linotype" w:eastAsia="Times New Roman" w:hAnsi="Palatino Linotype" w:cs="Arial"/>
          <w:color w:val="000000"/>
          <w:sz w:val="24"/>
          <w:szCs w:val="24"/>
          <w:lang w:eastAsia="es-MX"/>
        </w:rPr>
        <w:t>ocho</w:t>
      </w:r>
      <w:r w:rsidR="00B75628">
        <w:rPr>
          <w:rFonts w:ascii="Palatino Linotype" w:eastAsia="Times New Roman" w:hAnsi="Palatino Linotype" w:cs="Arial"/>
          <w:color w:val="000000"/>
          <w:sz w:val="24"/>
          <w:szCs w:val="24"/>
          <w:lang w:eastAsia="es-MX"/>
        </w:rPr>
        <w:t xml:space="preserve"> de </w:t>
      </w:r>
      <w:r w:rsidR="000506C8">
        <w:rPr>
          <w:rFonts w:ascii="Palatino Linotype" w:eastAsia="Times New Roman" w:hAnsi="Palatino Linotype" w:cs="Arial"/>
          <w:color w:val="000000"/>
          <w:sz w:val="24"/>
          <w:szCs w:val="24"/>
          <w:lang w:eastAsia="es-MX"/>
        </w:rPr>
        <w:t>agosto</w:t>
      </w:r>
      <w:r w:rsidR="00F628C2" w:rsidRPr="00A23894">
        <w:rPr>
          <w:rFonts w:ascii="Palatino Linotype" w:eastAsia="Times New Roman" w:hAnsi="Palatino Linotype" w:cs="Arial"/>
          <w:color w:val="000000"/>
          <w:sz w:val="24"/>
          <w:szCs w:val="24"/>
          <w:lang w:eastAsia="es-MX"/>
        </w:rPr>
        <w:t xml:space="preserve"> de dos mil dieciocho</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D619F8">
        <w:rPr>
          <w:rFonts w:ascii="Palatino Linotype" w:hAnsi="Palatino Linotype" w:cs="Arial"/>
          <w:b/>
          <w:bCs/>
          <w:sz w:val="24"/>
          <w:lang w:eastAsia="es-MX"/>
        </w:rPr>
        <w:t>01910</w:t>
      </w:r>
      <w:r w:rsidR="00277BC2">
        <w:rPr>
          <w:rFonts w:ascii="Palatino Linotype" w:hAnsi="Palatino Linotype" w:cs="Arial"/>
          <w:b/>
          <w:bCs/>
          <w:sz w:val="24"/>
          <w:lang w:eastAsia="es-MX"/>
        </w:rPr>
        <w:t>/INFOEM/IP/RR/2018</w:t>
      </w:r>
      <w:r w:rsidR="00B55585">
        <w:rPr>
          <w:rFonts w:ascii="Palatino Linotype" w:hAnsi="Palatino Linotype" w:cs="Arial"/>
          <w:sz w:val="24"/>
        </w:rPr>
        <w:t>, interpuesto por 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D0650A">
        <w:rPr>
          <w:rFonts w:ascii="Palatino Linotype" w:hAnsi="Palatino Linotype" w:cs="Arial"/>
          <w:b/>
          <w:sz w:val="24"/>
          <w:szCs w:val="24"/>
        </w:rPr>
        <w:t>XXXXXXXXXXXXXXXX</w:t>
      </w:r>
      <w:r w:rsidR="00B75628" w:rsidRPr="00B75628">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D619F8">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9F22C8">
        <w:rPr>
          <w:rFonts w:ascii="Palatino Linotype" w:hAnsi="Palatino Linotype" w:cs="Arial"/>
          <w:sz w:val="24"/>
          <w:szCs w:val="24"/>
        </w:rPr>
        <w:t>del</w:t>
      </w:r>
      <w:r w:rsidRPr="00224181">
        <w:rPr>
          <w:rFonts w:ascii="Palatino Linotype" w:hAnsi="Palatino Linotype" w:cs="Arial"/>
          <w:sz w:val="24"/>
          <w:szCs w:val="24"/>
        </w:rPr>
        <w:t xml:space="preserve"> </w:t>
      </w:r>
      <w:r w:rsidR="00F80603" w:rsidRPr="00F80603">
        <w:rPr>
          <w:rFonts w:ascii="Palatino Linotype" w:hAnsi="Palatino Linotype" w:cs="Arial"/>
          <w:b/>
          <w:sz w:val="24"/>
          <w:szCs w:val="24"/>
        </w:rPr>
        <w:t>Universidad Politécnica del Valle de Toluca</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026BEE">
        <w:rPr>
          <w:rFonts w:ascii="Palatino Linotype" w:hAnsi="Palatino Linotype" w:cs="Arial"/>
          <w:sz w:val="24"/>
        </w:rPr>
        <w:t xml:space="preserve"> fecha veintiocho</w:t>
      </w:r>
      <w:r w:rsidR="00C56242">
        <w:rPr>
          <w:rFonts w:ascii="Palatino Linotype" w:hAnsi="Palatino Linotype" w:cs="Arial"/>
          <w:sz w:val="24"/>
        </w:rPr>
        <w:t xml:space="preserve"> de </w:t>
      </w:r>
      <w:r w:rsidR="00B75628">
        <w:rPr>
          <w:rFonts w:ascii="Palatino Linotype" w:hAnsi="Palatino Linotype" w:cs="Arial"/>
          <w:sz w:val="24"/>
        </w:rPr>
        <w:t>abril</w:t>
      </w:r>
      <w:r w:rsidR="00C56242">
        <w:rPr>
          <w:rFonts w:ascii="Palatino Linotype" w:hAnsi="Palatino Linotype" w:cs="Arial"/>
          <w:sz w:val="24"/>
        </w:rPr>
        <w:t xml:space="preserve">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2E7783">
        <w:rPr>
          <w:rFonts w:ascii="Palatino Linotype" w:hAnsi="Palatino Linotype" w:cs="Arial"/>
          <w:sz w:val="24"/>
        </w:rPr>
        <w:t>la</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B75628">
        <w:rPr>
          <w:rFonts w:ascii="Palatino Linotype" w:hAnsi="Palatino Linotype" w:cs="Arial"/>
          <w:b/>
          <w:sz w:val="24"/>
        </w:rPr>
        <w:t xml:space="preserve"> </w:t>
      </w:r>
      <w:r w:rsidR="002E7783" w:rsidRPr="002E7783">
        <w:rPr>
          <w:rFonts w:ascii="Palatino Linotype" w:hAnsi="Palatino Linotype" w:cs="Arial"/>
          <w:b/>
          <w:sz w:val="24"/>
        </w:rPr>
        <w:t>00138/UPVT/IP/2018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rsidR="002E7783"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2E7783" w:rsidRPr="002E7783">
        <w:rPr>
          <w:rFonts w:ascii="Palatino Linotype" w:hAnsi="Palatino Linotype"/>
          <w:i/>
          <w:lang w:val="es-ES_tradnl"/>
        </w:rPr>
        <w:t>Rectora, quiero tus evidencias de participación en gabinete regional</w:t>
      </w:r>
      <w:r w:rsidR="009F22C8" w:rsidRPr="009F22C8">
        <w:rPr>
          <w:rFonts w:ascii="Palatino Linotype" w:hAnsi="Palatino Linotype"/>
          <w:i/>
          <w:lang w:val="es-ES_tradnl"/>
        </w:rPr>
        <w:t>.</w:t>
      </w:r>
      <w:r w:rsidRPr="00C87F01">
        <w:rPr>
          <w:rFonts w:ascii="Palatino Linotype" w:hAnsi="Palatino Linotype"/>
          <w:i/>
          <w:lang w:val="es-ES_tradnl"/>
        </w:rPr>
        <w:t>”</w:t>
      </w:r>
      <w:r w:rsidRPr="007175C5">
        <w:rPr>
          <w:rFonts w:ascii="Palatino Linotype" w:hAnsi="Palatino Linotype"/>
          <w:i/>
          <w:lang w:val="es-ES_tradnl"/>
        </w:rPr>
        <w:t xml:space="preserve"> [Sic]</w:t>
      </w:r>
    </w:p>
    <w:p w:rsidR="002E7783" w:rsidRDefault="002E7783" w:rsidP="002E7783">
      <w:pPr>
        <w:tabs>
          <w:tab w:val="left" w:pos="8789"/>
          <w:tab w:val="left" w:pos="9072"/>
        </w:tabs>
        <w:spacing w:line="360" w:lineRule="auto"/>
        <w:jc w:val="both"/>
        <w:rPr>
          <w:rFonts w:ascii="Palatino Linotype" w:hAnsi="Palatino Linotype"/>
          <w:lang w:val="es-ES_tradnl"/>
        </w:rPr>
      </w:pPr>
    </w:p>
    <w:p w:rsidR="002E7783" w:rsidRDefault="002E7783" w:rsidP="002E7783">
      <w:pPr>
        <w:tabs>
          <w:tab w:val="left" w:pos="8789"/>
          <w:tab w:val="left" w:pos="9072"/>
        </w:tabs>
        <w:spacing w:line="360" w:lineRule="auto"/>
        <w:jc w:val="both"/>
        <w:rPr>
          <w:rFonts w:ascii="Palatino Linotype" w:hAnsi="Palatino Linotype"/>
          <w:lang w:val="es-ES_tradnl"/>
        </w:rPr>
      </w:pPr>
    </w:p>
    <w:p w:rsidR="008902C6" w:rsidRDefault="002E7783" w:rsidP="002E7783">
      <w:pPr>
        <w:tabs>
          <w:tab w:val="left" w:pos="8789"/>
          <w:tab w:val="left" w:pos="9072"/>
        </w:tabs>
        <w:spacing w:line="360" w:lineRule="auto"/>
        <w:jc w:val="both"/>
        <w:rPr>
          <w:rFonts w:ascii="Palatino Linotype" w:hAnsi="Palatino Linotype"/>
          <w:lang w:val="es-ES_tradnl"/>
        </w:rPr>
      </w:pPr>
      <w:r>
        <w:rPr>
          <w:rFonts w:ascii="Palatino Linotype" w:hAnsi="Palatino Linotype"/>
          <w:lang w:val="es-ES_tradnl"/>
        </w:rPr>
        <w:lastRenderedPageBreak/>
        <w:t>Cabe mencionar que dicha solicitud de acceso a la información fue admitida hasta el día treinta de abril de los corrientes debido a que la misma fue hecha en días inhábiles</w:t>
      </w:r>
    </w:p>
    <w:p w:rsidR="002E7783" w:rsidRPr="008902C6" w:rsidRDefault="002E7783" w:rsidP="002E7783">
      <w:pPr>
        <w:tabs>
          <w:tab w:val="left" w:pos="8789"/>
          <w:tab w:val="left" w:pos="9072"/>
        </w:tabs>
        <w:spacing w:line="360" w:lineRule="auto"/>
        <w:jc w:val="both"/>
        <w:rPr>
          <w:rFonts w:ascii="Palatino Linotype" w:hAnsi="Palatino Linotype"/>
          <w:lang w:val="es-ES_tradnl"/>
        </w:rPr>
      </w:pPr>
    </w:p>
    <w:p w:rsidR="00E3099C" w:rsidRPr="00BE2480" w:rsidRDefault="00A443F5"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rsidR="001425D2" w:rsidRPr="002E7783" w:rsidRDefault="00A443F5" w:rsidP="002E7783">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2E7783">
        <w:rPr>
          <w:rFonts w:ascii="Palatino Linotype" w:hAnsi="Palatino Linotype" w:cs="Arial"/>
          <w:sz w:val="24"/>
        </w:rPr>
        <w:t xml:space="preserve"> se aprecia que en fecha veintidós</w:t>
      </w:r>
      <w:r w:rsidR="00B51566">
        <w:rPr>
          <w:rFonts w:ascii="Palatino Linotype" w:hAnsi="Palatino Linotype" w:cs="Arial"/>
          <w:sz w:val="24"/>
        </w:rPr>
        <w:t xml:space="preserve"> de </w:t>
      </w:r>
      <w:r w:rsidR="002E7783">
        <w:rPr>
          <w:rFonts w:ascii="Palatino Linotype" w:hAnsi="Palatino Linotype" w:cs="Arial"/>
          <w:sz w:val="24"/>
        </w:rPr>
        <w:t>mayo</w:t>
      </w:r>
      <w:r w:rsidR="009F22C8">
        <w:rPr>
          <w:rFonts w:ascii="Palatino Linotype" w:hAnsi="Palatino Linotype" w:cs="Arial"/>
          <w:sz w:val="24"/>
        </w:rPr>
        <w:t xml:space="preserve"> de dos mil dieciocho</w:t>
      </w:r>
      <w:r w:rsidRPr="00A443F5">
        <w:rPr>
          <w:rFonts w:ascii="Palatino Linotype" w:hAnsi="Palatino Linotype" w:cs="Arial"/>
          <w:sz w:val="24"/>
        </w:rPr>
        <w:t xml:space="preserve"> el </w:t>
      </w:r>
      <w:r w:rsidR="00B51566">
        <w:rPr>
          <w:rFonts w:ascii="Palatino Linotype" w:hAnsi="Palatino Linotype" w:cs="Arial"/>
          <w:sz w:val="24"/>
        </w:rPr>
        <w:t>sujeto obligado emitió la debida respu</w:t>
      </w:r>
      <w:r w:rsidR="001425D2">
        <w:rPr>
          <w:rFonts w:ascii="Palatino Linotype" w:hAnsi="Palatino Linotype" w:cs="Arial"/>
          <w:sz w:val="24"/>
        </w:rPr>
        <w:t xml:space="preserve">esta, adjuntando </w:t>
      </w:r>
      <w:r w:rsidR="002E7783">
        <w:rPr>
          <w:rFonts w:ascii="Palatino Linotype" w:hAnsi="Palatino Linotype" w:cs="Arial"/>
          <w:sz w:val="24"/>
        </w:rPr>
        <w:t xml:space="preserve">dos archivos electrónicos </w:t>
      </w:r>
      <w:r w:rsidR="001425D2">
        <w:rPr>
          <w:rFonts w:ascii="Palatino Linotype" w:hAnsi="Palatino Linotype" w:cs="Arial"/>
          <w:sz w:val="24"/>
        </w:rPr>
        <w:t>denominado</w:t>
      </w:r>
      <w:r w:rsidR="002E7783">
        <w:rPr>
          <w:rFonts w:ascii="Palatino Linotype" w:hAnsi="Palatino Linotype" w:cs="Arial"/>
          <w:sz w:val="24"/>
        </w:rPr>
        <w:t>s</w:t>
      </w:r>
      <w:r w:rsidR="001425D2">
        <w:rPr>
          <w:rFonts w:ascii="Palatino Linotype" w:hAnsi="Palatino Linotype" w:cs="Arial"/>
          <w:sz w:val="24"/>
        </w:rPr>
        <w:t xml:space="preserve"> “</w:t>
      </w:r>
      <w:r w:rsidR="002E7783">
        <w:rPr>
          <w:rFonts w:ascii="Palatino Linotype" w:hAnsi="Palatino Linotype" w:cs="Arial"/>
          <w:sz w:val="24"/>
        </w:rPr>
        <w:t>SAIMEX GABINETE REGIONAL.pdf” y “</w:t>
      </w:r>
      <w:r w:rsidR="002E7783" w:rsidRPr="002E7783">
        <w:rPr>
          <w:rFonts w:ascii="Palatino Linotype" w:hAnsi="Palatino Linotype" w:cs="Arial"/>
          <w:sz w:val="24"/>
        </w:rPr>
        <w:t>OFICIO DE RESPUESTA 138.pdf</w:t>
      </w:r>
      <w:r w:rsidR="001425D2">
        <w:rPr>
          <w:rFonts w:ascii="Palatino Linotype" w:hAnsi="Palatino Linotype" w:cs="Arial"/>
          <w:sz w:val="24"/>
        </w:rPr>
        <w:t>”</w:t>
      </w:r>
      <w:r w:rsidR="00B51566">
        <w:rPr>
          <w:rFonts w:ascii="Palatino Linotype" w:hAnsi="Palatino Linotype" w:cs="Arial"/>
          <w:sz w:val="24"/>
        </w:rPr>
        <w:t>,</w:t>
      </w:r>
      <w:r w:rsidR="001425D2">
        <w:rPr>
          <w:rFonts w:ascii="Palatino Linotype" w:hAnsi="Palatino Linotype" w:cs="Arial"/>
          <w:sz w:val="24"/>
        </w:rPr>
        <w:t xml:space="preserve"> </w:t>
      </w:r>
      <w:r w:rsidR="002E7783">
        <w:rPr>
          <w:rFonts w:ascii="Palatino Linotype" w:hAnsi="Palatino Linotype" w:cs="Arial"/>
          <w:sz w:val="24"/>
        </w:rPr>
        <w:t>los cuales no resulta necesario insertarlos ya que ambos resultar ser del conocimiento de las partes, sin embargo, serán objeto de estudio más adelante</w:t>
      </w:r>
      <w:r w:rsidR="00B51566">
        <w:rPr>
          <w:rFonts w:ascii="Palatino Linotype" w:hAnsi="Palatino Linotype" w:cs="Arial"/>
          <w:sz w:val="24"/>
        </w:rPr>
        <w:t>.</w:t>
      </w:r>
      <w:r w:rsidR="009F22C8">
        <w:rPr>
          <w:noProof/>
          <w:lang w:eastAsia="es-MX"/>
        </w:rPr>
        <w:t xml:space="preserve"> </w:t>
      </w:r>
    </w:p>
    <w:p w:rsidR="00B51566" w:rsidRDefault="00B51566" w:rsidP="00FE4693">
      <w:pPr>
        <w:spacing w:before="240" w:line="360" w:lineRule="auto"/>
        <w:rPr>
          <w:rFonts w:ascii="Palatino Linotype" w:hAnsi="Palatino Linotype" w:cs="Arial"/>
          <w:b/>
          <w:sz w:val="28"/>
        </w:rPr>
      </w:pP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2E7783">
        <w:rPr>
          <w:rFonts w:ascii="Palatino Linotype" w:hAnsi="Palatino Linotype" w:cs="Arial"/>
          <w:sz w:val="24"/>
          <w:szCs w:val="24"/>
        </w:rPr>
        <w:t>la</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2E7783">
        <w:rPr>
          <w:rFonts w:ascii="Palatino Linotype" w:hAnsi="Palatino Linotype" w:cs="Arial"/>
          <w:sz w:val="24"/>
          <w:szCs w:val="24"/>
        </w:rPr>
        <w:t>veintitrés</w:t>
      </w:r>
      <w:r w:rsidR="001425D2">
        <w:rPr>
          <w:rFonts w:ascii="Palatino Linotype" w:hAnsi="Palatino Linotype" w:cs="Arial"/>
          <w:sz w:val="24"/>
          <w:szCs w:val="24"/>
        </w:rPr>
        <w:t xml:space="preserve"> de mayo</w:t>
      </w:r>
      <w:r w:rsidR="00E3099C">
        <w:rPr>
          <w:rFonts w:ascii="Palatino Linotype" w:hAnsi="Palatino Linotype" w:cs="Arial"/>
          <w:sz w:val="24"/>
          <w:szCs w:val="24"/>
        </w:rPr>
        <w:t xml:space="preserve"> de</w:t>
      </w:r>
      <w:r w:rsidR="00FE4693">
        <w:rPr>
          <w:rFonts w:ascii="Palatino Linotype" w:hAnsi="Palatino Linotype" w:cs="Arial"/>
          <w:sz w:val="24"/>
          <w:szCs w:val="24"/>
        </w:rPr>
        <w:t xml:space="preserve"> dos mil dieciocho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DE521E" w:rsidRPr="00DE521E">
        <w:rPr>
          <w:rFonts w:ascii="Palatino Linotype" w:hAnsi="Palatino Linotype" w:cs="Arial"/>
          <w:b/>
          <w:sz w:val="24"/>
          <w:szCs w:val="24"/>
        </w:rPr>
        <w:t>01910/INFOEM/IP/RR/2018</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lastRenderedPageBreak/>
        <w:t>Acto Impugnado:</w:t>
      </w:r>
    </w:p>
    <w:p w:rsidR="00203755" w:rsidRDefault="00203755" w:rsidP="00E3099C">
      <w:pPr>
        <w:spacing w:before="240"/>
        <w:jc w:val="both"/>
        <w:rPr>
          <w:rFonts w:ascii="Palatino Linotype" w:hAnsi="Palatino Linotype" w:cs="Arial"/>
          <w:b/>
          <w:sz w:val="24"/>
        </w:rPr>
      </w:pPr>
    </w:p>
    <w:p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DE521E" w:rsidRPr="00DE521E">
        <w:rPr>
          <w:rFonts w:ascii="Palatino Linotype" w:hAnsi="Palatino Linotype"/>
          <w:i/>
          <w:color w:val="000000"/>
        </w:rPr>
        <w:t>Su respuesta</w:t>
      </w:r>
      <w:r w:rsidR="001425D2" w:rsidRPr="001425D2">
        <w:rPr>
          <w:rFonts w:ascii="Palatino Linotype" w:hAnsi="Palatino Linotype"/>
          <w:i/>
          <w:color w:val="000000"/>
        </w:rPr>
        <w:t>.</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E3099C" w:rsidRDefault="00E3099C" w:rsidP="00E3099C">
      <w:pPr>
        <w:spacing w:before="240"/>
        <w:jc w:val="both"/>
        <w:rPr>
          <w:rFonts w:ascii="Palatino Linotype" w:hAnsi="Palatino Linotype" w:cs="Arial"/>
          <w:b/>
          <w:sz w:val="24"/>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DE521E" w:rsidRPr="00DE521E">
        <w:rPr>
          <w:rFonts w:ascii="Palatino Linotype" w:hAnsi="Palatino Linotype" w:cs="Arial"/>
          <w:i/>
        </w:rPr>
        <w:t>Una cosa es que como dicen no las generan y otra que se escuden en eso para no brindar la información</w:t>
      </w:r>
      <w:r>
        <w:rPr>
          <w:rFonts w:ascii="Palatino Linotype" w:hAnsi="Palatino Linotype" w:cs="Arial"/>
          <w:i/>
        </w:rPr>
        <w:t>.</w:t>
      </w:r>
      <w:r w:rsidR="00F12160">
        <w:rPr>
          <w:rFonts w:ascii="Palatino Linotype" w:hAnsi="Palatino Linotype" w:cs="Arial"/>
          <w:i/>
        </w:rPr>
        <w:t>”[S</w:t>
      </w:r>
      <w:r w:rsidRPr="004469D5">
        <w:rPr>
          <w:rFonts w:ascii="Palatino Linotype" w:hAnsi="Palatino Linotype" w:cs="Arial"/>
          <w:i/>
        </w:rPr>
        <w:t>ic]</w:t>
      </w:r>
    </w:p>
    <w:p w:rsidR="00E25D3E" w:rsidRDefault="00E25D3E" w:rsidP="00E3099C">
      <w:pPr>
        <w:spacing w:before="24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DE521E">
        <w:rPr>
          <w:rFonts w:ascii="Palatino Linotype" w:hAnsi="Palatino Linotype" w:cs="Arial"/>
          <w:sz w:val="24"/>
          <w:szCs w:val="24"/>
        </w:rPr>
        <w:t>ón en fecha veintinueve</w:t>
      </w:r>
      <w:r w:rsidR="00E25D3E">
        <w:rPr>
          <w:rFonts w:ascii="Palatino Linotype" w:hAnsi="Palatino Linotype" w:cs="Arial"/>
          <w:sz w:val="24"/>
          <w:szCs w:val="24"/>
        </w:rPr>
        <w:t xml:space="preserve"> de mayo</w:t>
      </w:r>
      <w:r w:rsidRPr="00FE4693">
        <w:rPr>
          <w:rFonts w:ascii="Palatino Linotype" w:hAnsi="Palatino Linotype" w:cs="Arial"/>
          <w:sz w:val="24"/>
          <w:szCs w:val="24"/>
        </w:rPr>
        <w:t xml:space="preserve"> de dos mil dieciocho, determinándose en él, un plazo de siete días para que las partes manifestaran lo que a su derecho corresponda en términos del numeral ya citado.</w:t>
      </w:r>
    </w:p>
    <w:p w:rsidR="007A2CA1" w:rsidRPr="007A2CA1" w:rsidRDefault="007A2CA1" w:rsidP="007A2CA1">
      <w:pPr>
        <w:spacing w:before="240" w:line="360" w:lineRule="auto"/>
        <w:jc w:val="both"/>
        <w:rPr>
          <w:rFonts w:ascii="Palatino Linotype" w:hAnsi="Palatino Linotype" w:cs="Arial"/>
          <w:sz w:val="24"/>
          <w:szCs w:val="24"/>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071B10"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 xml:space="preserve">ligado </w:t>
      </w:r>
      <w:r w:rsidR="00DE521E">
        <w:rPr>
          <w:rFonts w:ascii="Palatino Linotype" w:hAnsi="Palatino Linotype" w:cs="Arial"/>
          <w:sz w:val="24"/>
          <w:szCs w:val="24"/>
        </w:rPr>
        <w:t xml:space="preserve">en fecha siete de junio </w:t>
      </w:r>
      <w:r w:rsidR="00FE4693">
        <w:rPr>
          <w:rFonts w:ascii="Palatino Linotype" w:hAnsi="Palatino Linotype" w:cs="Arial"/>
          <w:sz w:val="24"/>
          <w:szCs w:val="24"/>
        </w:rPr>
        <w:t>de dos mil dieciocho</w:t>
      </w:r>
      <w:r w:rsidR="00E77373">
        <w:rPr>
          <w:rFonts w:ascii="Palatino Linotype" w:hAnsi="Palatino Linotype" w:cs="Arial"/>
          <w:sz w:val="24"/>
          <w:szCs w:val="24"/>
        </w:rPr>
        <w:t xml:space="preserve">, adjuntó </w:t>
      </w:r>
      <w:r w:rsidR="0056101D">
        <w:rPr>
          <w:rFonts w:ascii="Palatino Linotype" w:hAnsi="Palatino Linotype" w:cs="Arial"/>
          <w:sz w:val="24"/>
          <w:szCs w:val="24"/>
        </w:rPr>
        <w:t>a la etapa de</w:t>
      </w:r>
      <w:r w:rsidR="00F7456A">
        <w:rPr>
          <w:rFonts w:ascii="Palatino Linotype" w:hAnsi="Palatino Linotype" w:cs="Arial"/>
          <w:sz w:val="24"/>
          <w:szCs w:val="24"/>
        </w:rPr>
        <w:t xml:space="preserve"> manifestaciones un archivo denominado</w:t>
      </w:r>
      <w:r w:rsidR="0056101D">
        <w:rPr>
          <w:rFonts w:ascii="Palatino Linotype" w:hAnsi="Palatino Linotype" w:cs="Arial"/>
          <w:sz w:val="24"/>
          <w:szCs w:val="24"/>
        </w:rPr>
        <w:t xml:space="preserve"> “</w:t>
      </w:r>
      <w:r w:rsidR="00DE521E" w:rsidRPr="00DE521E">
        <w:rPr>
          <w:rFonts w:ascii="Palatino Linotype" w:hAnsi="Palatino Linotype" w:cs="Arial"/>
          <w:sz w:val="24"/>
          <w:szCs w:val="24"/>
        </w:rPr>
        <w:t xml:space="preserve">Informe Justificado </w:t>
      </w:r>
      <w:proofErr w:type="spellStart"/>
      <w:r w:rsidR="00DE521E" w:rsidRPr="00DE521E">
        <w:rPr>
          <w:rFonts w:ascii="Palatino Linotype" w:hAnsi="Palatino Linotype" w:cs="Arial"/>
          <w:sz w:val="24"/>
          <w:szCs w:val="24"/>
        </w:rPr>
        <w:t>Soli</w:t>
      </w:r>
      <w:proofErr w:type="spellEnd"/>
      <w:r w:rsidR="00DE521E" w:rsidRPr="00DE521E">
        <w:rPr>
          <w:rFonts w:ascii="Palatino Linotype" w:hAnsi="Palatino Linotype" w:cs="Arial"/>
          <w:sz w:val="24"/>
          <w:szCs w:val="24"/>
        </w:rPr>
        <w:t xml:space="preserve"> 138.pdf</w:t>
      </w:r>
      <w:r w:rsidR="0056101D">
        <w:rPr>
          <w:rFonts w:ascii="Palatino Linotype" w:hAnsi="Palatino Linotype" w:cs="Arial"/>
          <w:sz w:val="24"/>
          <w:szCs w:val="24"/>
        </w:rPr>
        <w:t>”</w:t>
      </w:r>
      <w:r w:rsidR="00DE521E">
        <w:rPr>
          <w:rFonts w:ascii="Palatino Linotype" w:hAnsi="Palatino Linotype" w:cs="Arial"/>
          <w:sz w:val="24"/>
          <w:szCs w:val="24"/>
        </w:rPr>
        <w:t>,</w:t>
      </w:r>
      <w:r w:rsidR="00111643">
        <w:rPr>
          <w:rFonts w:ascii="Palatino Linotype" w:hAnsi="Palatino Linotype" w:cs="Arial"/>
          <w:sz w:val="24"/>
          <w:szCs w:val="24"/>
        </w:rPr>
        <w:t xml:space="preserve"> asimism</w:t>
      </w:r>
      <w:r w:rsidR="00F7456A">
        <w:rPr>
          <w:rFonts w:ascii="Palatino Linotype" w:hAnsi="Palatino Linotype" w:cs="Arial"/>
          <w:sz w:val="24"/>
          <w:szCs w:val="24"/>
        </w:rPr>
        <w:t xml:space="preserve">o </w:t>
      </w:r>
      <w:r w:rsidR="00C5342D">
        <w:rPr>
          <w:rFonts w:ascii="Palatino Linotype" w:hAnsi="Palatino Linotype" w:cs="Arial"/>
          <w:sz w:val="24"/>
          <w:szCs w:val="24"/>
        </w:rPr>
        <w:t xml:space="preserve">se advierte </w:t>
      </w:r>
      <w:r w:rsidR="0016291B">
        <w:rPr>
          <w:rFonts w:ascii="Palatino Linotype" w:hAnsi="Palatino Linotype" w:cs="Arial"/>
          <w:sz w:val="24"/>
          <w:szCs w:val="24"/>
        </w:rPr>
        <w:t xml:space="preserve">que la </w:t>
      </w:r>
      <w:r w:rsidR="00CB1CC6">
        <w:rPr>
          <w:rFonts w:ascii="Palatino Linotype" w:hAnsi="Palatino Linotype" w:cs="Arial"/>
          <w:sz w:val="24"/>
          <w:szCs w:val="24"/>
        </w:rPr>
        <w:t xml:space="preserve">recurrente </w:t>
      </w:r>
      <w:r w:rsidR="00F7456A">
        <w:rPr>
          <w:rFonts w:ascii="Palatino Linotype" w:hAnsi="Palatino Linotype" w:cs="Arial"/>
          <w:sz w:val="24"/>
          <w:szCs w:val="24"/>
        </w:rPr>
        <w:lastRenderedPageBreak/>
        <w:t xml:space="preserve">no </w:t>
      </w:r>
      <w:r w:rsidR="00481BB8">
        <w:rPr>
          <w:rFonts w:ascii="Palatino Linotype" w:hAnsi="Palatino Linotype" w:cs="Arial"/>
          <w:sz w:val="24"/>
          <w:szCs w:val="24"/>
        </w:rPr>
        <w:t>realizó</w:t>
      </w:r>
      <w:r w:rsidR="00F7456A">
        <w:rPr>
          <w:rFonts w:ascii="Palatino Linotype" w:hAnsi="Palatino Linotype" w:cs="Arial"/>
          <w:sz w:val="24"/>
          <w:szCs w:val="24"/>
        </w:rPr>
        <w:t xml:space="preserve"> ningún tipo de manifestaciones</w:t>
      </w:r>
      <w:r w:rsidR="0056101D">
        <w:rPr>
          <w:rFonts w:ascii="Palatino Linotype" w:hAnsi="Palatino Linotype" w:cs="Arial"/>
          <w:sz w:val="24"/>
          <w:szCs w:val="24"/>
        </w:rPr>
        <w:t>,</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E77373"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Asimismo, 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sidR="00071B10">
        <w:rPr>
          <w:rFonts w:ascii="Palatino Linotype" w:hAnsi="Palatino Linotype" w:cs="Arial"/>
          <w:sz w:val="24"/>
          <w:szCs w:val="24"/>
        </w:rPr>
        <w:t>ante pr</w:t>
      </w:r>
      <w:r w:rsidR="00DE521E">
        <w:rPr>
          <w:rFonts w:ascii="Palatino Linotype" w:hAnsi="Palatino Linotype" w:cs="Arial"/>
          <w:sz w:val="24"/>
          <w:szCs w:val="24"/>
        </w:rPr>
        <w:t>oveído de fecha veintinueve</w:t>
      </w:r>
      <w:r w:rsidR="00F7456A">
        <w:rPr>
          <w:rFonts w:ascii="Palatino Linotype" w:hAnsi="Palatino Linotype" w:cs="Arial"/>
          <w:sz w:val="24"/>
          <w:szCs w:val="24"/>
        </w:rPr>
        <w:t xml:space="preserve"> </w:t>
      </w:r>
      <w:r w:rsidR="0056101D">
        <w:rPr>
          <w:rFonts w:ascii="Palatino Linotype" w:hAnsi="Palatino Linotype" w:cs="Arial"/>
          <w:sz w:val="24"/>
          <w:szCs w:val="24"/>
        </w:rPr>
        <w:t xml:space="preserve">de </w:t>
      </w:r>
      <w:r w:rsidR="00DE521E">
        <w:rPr>
          <w:rFonts w:ascii="Palatino Linotype" w:hAnsi="Palatino Linotype" w:cs="Arial"/>
          <w:sz w:val="24"/>
          <w:szCs w:val="24"/>
        </w:rPr>
        <w:t xml:space="preserve">junio </w:t>
      </w:r>
      <w:r w:rsidR="007836DD">
        <w:rPr>
          <w:rFonts w:ascii="Palatino Linotype" w:hAnsi="Palatino Linotype" w:cs="Arial"/>
          <w:sz w:val="24"/>
          <w:szCs w:val="24"/>
        </w:rPr>
        <w:t>de dos mil dieciocho</w:t>
      </w:r>
      <w:r>
        <w:rPr>
          <w:rFonts w:ascii="Palatino Linotype" w:hAnsi="Palatino Linotype" w:cs="Arial"/>
          <w:sz w:val="24"/>
          <w:szCs w:val="24"/>
        </w:rPr>
        <w:t>.</w:t>
      </w:r>
    </w:p>
    <w:p w:rsidR="00042285" w:rsidRDefault="00042285" w:rsidP="00042285">
      <w:pPr>
        <w:spacing w:before="240" w:line="360" w:lineRule="auto"/>
        <w:jc w:val="both"/>
        <w:rPr>
          <w:rFonts w:ascii="Palatino Linotype" w:hAnsi="Palatino Linotype" w:cs="Arial"/>
          <w:b/>
          <w:sz w:val="28"/>
        </w:rPr>
      </w:pPr>
    </w:p>
    <w:p w:rsidR="00042285" w:rsidRDefault="00042285" w:rsidP="00042285">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 la ampliación del término para resolver.</w:t>
      </w:r>
    </w:p>
    <w:p w:rsidR="00042285" w:rsidRDefault="00DE521E"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fecha </w:t>
      </w:r>
      <w:r w:rsidR="00B86290" w:rsidRPr="00B86290">
        <w:rPr>
          <w:rFonts w:ascii="Palatino Linotype" w:hAnsi="Palatino Linotype" w:cs="Arial"/>
          <w:sz w:val="24"/>
          <w:szCs w:val="24"/>
        </w:rPr>
        <w:t>diez</w:t>
      </w:r>
      <w:r>
        <w:rPr>
          <w:rFonts w:ascii="Palatino Linotype" w:hAnsi="Palatino Linotype" w:cs="Arial"/>
          <w:sz w:val="24"/>
          <w:szCs w:val="24"/>
        </w:rPr>
        <w:t xml:space="preserve"> de jul</w:t>
      </w:r>
      <w:r w:rsidR="00042285">
        <w:rPr>
          <w:rFonts w:ascii="Palatino Linotype" w:hAnsi="Palatino Linotype" w:cs="Arial"/>
          <w:sz w:val="24"/>
          <w:szCs w:val="24"/>
        </w:rPr>
        <w:t>io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B52B70" w:rsidRDefault="00B52B70" w:rsidP="00E3099C">
      <w:pPr>
        <w:spacing w:before="240" w:line="360" w:lineRule="auto"/>
        <w:jc w:val="center"/>
        <w:rPr>
          <w:rFonts w:ascii="Palatino Linotype" w:hAnsi="Palatino Linotype" w:cs="Arial"/>
          <w:b/>
          <w:sz w:val="28"/>
          <w:szCs w:val="28"/>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lastRenderedPageBreak/>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w:t>
      </w:r>
      <w:r w:rsidRPr="009D787B">
        <w:rPr>
          <w:rFonts w:ascii="Palatino Linotype" w:hAnsi="Palatino Linotype" w:cs="Arial"/>
          <w:sz w:val="24"/>
          <w:szCs w:val="24"/>
        </w:rPr>
        <w:lastRenderedPageBreak/>
        <w:t>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w:t>
      </w:r>
      <w:r w:rsidRPr="007309CC">
        <w:rPr>
          <w:rFonts w:ascii="Palatino Linotype" w:hAnsi="Palatino Linotype" w:cs="Times New Roman"/>
          <w:bCs/>
          <w:i/>
          <w:color w:val="000000" w:themeColor="text1"/>
          <w:sz w:val="24"/>
        </w:rPr>
        <w:lastRenderedPageBreak/>
        <w:t>intercambiado por medios electrónicos, con el que sea posible dar constancia de un hecho y que esté signado con la firma electrónica avanzada y/o en el que se encuentre plasmado el sello electrónico;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2B6649" w:rsidRPr="00382AD8" w:rsidRDefault="002B6649" w:rsidP="002B6649">
      <w:pPr>
        <w:spacing w:after="0" w:line="360" w:lineRule="auto"/>
        <w:ind w:left="851" w:right="851"/>
        <w:jc w:val="both"/>
        <w:rPr>
          <w:rFonts w:ascii="Palatino Linotype" w:hAnsi="Palatino Linotype" w:cs="Arial"/>
          <w:i/>
          <w:color w:val="000000" w:themeColor="text1"/>
        </w:rPr>
      </w:pPr>
    </w:p>
    <w:p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Por lo que el ejercicio del derecho de acceso a la información pública es la prerrogativa de las personas para buscar, difundir, investigar, recabar, recibir y solicitar información pública, sin necesidad de acreditar personalidad ni interés </w:t>
      </w:r>
      <w:r w:rsidR="00951B4F">
        <w:rPr>
          <w:rFonts w:ascii="Palatino Linotype" w:hAnsi="Palatino Linotype" w:cs="Arial"/>
          <w:color w:val="000000" w:themeColor="text1"/>
          <w:sz w:val="24"/>
          <w:szCs w:val="24"/>
        </w:rPr>
        <w:t xml:space="preserve"> </w:t>
      </w:r>
      <w:r w:rsidRPr="00382AD8">
        <w:rPr>
          <w:rFonts w:ascii="Palatino Linotype" w:hAnsi="Palatino Linotype" w:cs="Arial"/>
          <w:color w:val="000000" w:themeColor="text1"/>
          <w:sz w:val="24"/>
          <w:szCs w:val="24"/>
        </w:rPr>
        <w:t>jurídico.</w:t>
      </w:r>
    </w:p>
    <w:p w:rsidR="002B6649" w:rsidRDefault="002B6649" w:rsidP="002B6649">
      <w:pPr>
        <w:spacing w:after="0" w:line="360" w:lineRule="auto"/>
        <w:jc w:val="both"/>
        <w:rPr>
          <w:rFonts w:ascii="Palatino Linotype" w:hAnsi="Palatino Linotype" w:cs="Arial"/>
          <w:color w:val="000000" w:themeColor="text1"/>
          <w:sz w:val="24"/>
          <w:szCs w:val="24"/>
        </w:rPr>
      </w:pPr>
    </w:p>
    <w:p w:rsidR="00A7160D" w:rsidRDefault="00A7160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primeramente es necesari</w:t>
      </w:r>
      <w:r w:rsidR="0016291B">
        <w:rPr>
          <w:rFonts w:ascii="Palatino Linotype" w:hAnsi="Palatino Linotype" w:cs="Arial"/>
          <w:color w:val="000000" w:themeColor="text1"/>
          <w:sz w:val="24"/>
          <w:szCs w:val="24"/>
        </w:rPr>
        <w:t>o retomar los requerimientos de la</w:t>
      </w:r>
      <w:r>
        <w:rPr>
          <w:rFonts w:ascii="Palatino Linotype" w:hAnsi="Palatino Linotype" w:cs="Arial"/>
          <w:color w:val="000000" w:themeColor="text1"/>
          <w:sz w:val="24"/>
          <w:szCs w:val="24"/>
        </w:rPr>
        <w:t xml:space="preserve"> solicitante que versan específicamente en lo siguiente: </w:t>
      </w:r>
    </w:p>
    <w:p w:rsidR="00F7456A" w:rsidRDefault="00B86290" w:rsidP="00476E8D">
      <w:pPr>
        <w:spacing w:after="0" w:line="360" w:lineRule="auto"/>
        <w:ind w:left="851" w:right="850"/>
        <w:jc w:val="both"/>
        <w:rPr>
          <w:rFonts w:ascii="Palatino Linotype" w:hAnsi="Palatino Linotype" w:cs="Arial"/>
          <w:color w:val="000000" w:themeColor="text1"/>
          <w:sz w:val="24"/>
          <w:szCs w:val="24"/>
        </w:rPr>
      </w:pPr>
      <w:r>
        <w:rPr>
          <w:rFonts w:ascii="Palatino Linotype" w:hAnsi="Palatino Linotype"/>
          <w:i/>
          <w:lang w:val="es-ES_tradnl"/>
        </w:rPr>
        <w:t>“</w:t>
      </w:r>
      <w:r w:rsidRPr="002E7783">
        <w:rPr>
          <w:rFonts w:ascii="Palatino Linotype" w:hAnsi="Palatino Linotype"/>
          <w:i/>
          <w:lang w:val="es-ES_tradnl"/>
        </w:rPr>
        <w:t xml:space="preserve">Rectora, quiero tus </w:t>
      </w:r>
      <w:r w:rsidRPr="00476E8D">
        <w:rPr>
          <w:rFonts w:ascii="Palatino Linotype" w:hAnsi="Palatino Linotype"/>
          <w:i/>
          <w:u w:val="single"/>
          <w:lang w:val="es-ES_tradnl"/>
        </w:rPr>
        <w:t>evidencias de participación en gabinete regional</w:t>
      </w:r>
      <w:r w:rsidR="00476E8D">
        <w:rPr>
          <w:rFonts w:ascii="Palatino Linotype" w:hAnsi="Palatino Linotype"/>
          <w:i/>
          <w:lang w:val="es-ES_tradnl"/>
        </w:rPr>
        <w:t>” (sic)</w:t>
      </w:r>
    </w:p>
    <w:p w:rsidR="002E0D11" w:rsidRDefault="002E0D11" w:rsidP="002B6649">
      <w:pPr>
        <w:spacing w:after="0" w:line="360" w:lineRule="auto"/>
        <w:jc w:val="both"/>
        <w:rPr>
          <w:rFonts w:ascii="Palatino Linotype" w:hAnsi="Palatino Linotype" w:cs="Arial"/>
          <w:color w:val="000000" w:themeColor="text1"/>
          <w:sz w:val="24"/>
          <w:szCs w:val="24"/>
        </w:rPr>
      </w:pPr>
    </w:p>
    <w:p w:rsidR="00476E8D" w:rsidRDefault="00476E8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Como se puede observar </w:t>
      </w:r>
      <w:r w:rsidR="0016291B">
        <w:rPr>
          <w:rFonts w:ascii="Palatino Linotype" w:hAnsi="Palatino Linotype" w:cs="Arial"/>
          <w:color w:val="000000" w:themeColor="text1"/>
          <w:sz w:val="24"/>
          <w:szCs w:val="24"/>
        </w:rPr>
        <w:t>la</w:t>
      </w:r>
      <w:r w:rsidR="0047320A">
        <w:rPr>
          <w:rFonts w:ascii="Palatino Linotype" w:hAnsi="Palatino Linotype" w:cs="Arial"/>
          <w:color w:val="000000" w:themeColor="text1"/>
          <w:sz w:val="24"/>
          <w:szCs w:val="24"/>
        </w:rPr>
        <w:t xml:space="preserve"> recurrente  solicitó a la Universidad Politécnica del Valle de Toluca, las evidencias de participación por parte de </w:t>
      </w:r>
      <w:r w:rsidR="00951B4F">
        <w:rPr>
          <w:rFonts w:ascii="Palatino Linotype" w:hAnsi="Palatino Linotype" w:cs="Arial"/>
          <w:color w:val="000000" w:themeColor="text1"/>
          <w:sz w:val="24"/>
          <w:szCs w:val="24"/>
        </w:rPr>
        <w:t>la Rectora en gabinete regional.</w:t>
      </w:r>
    </w:p>
    <w:p w:rsidR="00951B4F" w:rsidRDefault="00951B4F" w:rsidP="002B6649">
      <w:pPr>
        <w:spacing w:after="0" w:line="360" w:lineRule="auto"/>
        <w:jc w:val="both"/>
        <w:rPr>
          <w:rFonts w:ascii="Palatino Linotype" w:hAnsi="Palatino Linotype" w:cs="Arial"/>
          <w:color w:val="000000" w:themeColor="text1"/>
          <w:sz w:val="24"/>
          <w:szCs w:val="24"/>
        </w:rPr>
      </w:pPr>
    </w:p>
    <w:p w:rsidR="00FC1876" w:rsidRDefault="00FC1876"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Por cuanto hace a la contestación por parte del sujeto obligado, fue en los siguientes términos:</w:t>
      </w:r>
    </w:p>
    <w:p w:rsidR="00C32452" w:rsidRDefault="008E01E3" w:rsidP="002B6649">
      <w:pPr>
        <w:spacing w:after="0" w:line="360" w:lineRule="auto"/>
        <w:jc w:val="both"/>
        <w:rPr>
          <w:noProof/>
          <w:lang w:eastAsia="es-MX"/>
        </w:rPr>
      </w:pPr>
      <w:r>
        <w:rPr>
          <w:noProof/>
          <w:lang w:eastAsia="es-MX"/>
        </w:rPr>
        <w:drawing>
          <wp:inline distT="0" distB="0" distL="0" distR="0" wp14:anchorId="57C6C94F" wp14:editId="0025CFD8">
            <wp:extent cx="5760085" cy="4953000"/>
            <wp:effectExtent l="19050" t="19050" r="1206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086" t="21380" r="10548" b="2943"/>
                    <a:stretch/>
                  </pic:blipFill>
                  <pic:spPr bwMode="auto">
                    <a:xfrm>
                      <a:off x="0" y="0"/>
                      <a:ext cx="5770612" cy="49620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E0D11" w:rsidRDefault="008E01E3"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w:lastRenderedPageBreak/>
        <w:drawing>
          <wp:inline distT="0" distB="0" distL="0" distR="0" wp14:anchorId="557ECB56">
            <wp:extent cx="5864860" cy="4645660"/>
            <wp:effectExtent l="0" t="0" r="254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4860" cy="4645660"/>
                    </a:xfrm>
                    <a:prstGeom prst="rect">
                      <a:avLst/>
                    </a:prstGeom>
                    <a:noFill/>
                  </pic:spPr>
                </pic:pic>
              </a:graphicData>
            </a:graphic>
          </wp:inline>
        </w:drawing>
      </w:r>
    </w:p>
    <w:p w:rsidR="002E0D11" w:rsidRDefault="002E0D11" w:rsidP="002B6649">
      <w:pPr>
        <w:spacing w:after="0" w:line="360" w:lineRule="auto"/>
        <w:jc w:val="both"/>
        <w:rPr>
          <w:rFonts w:ascii="Palatino Linotype" w:hAnsi="Palatino Linotype" w:cs="Arial"/>
          <w:color w:val="000000" w:themeColor="text1"/>
          <w:sz w:val="24"/>
          <w:szCs w:val="24"/>
        </w:rPr>
      </w:pPr>
    </w:p>
    <w:p w:rsidR="00C32452" w:rsidRDefault="008E01E3"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de acuerd</w:t>
      </w:r>
      <w:r w:rsidR="0016291B">
        <w:rPr>
          <w:rFonts w:ascii="Palatino Linotype" w:hAnsi="Palatino Linotype" w:cs="Arial"/>
          <w:color w:val="000000" w:themeColor="text1"/>
          <w:sz w:val="24"/>
          <w:szCs w:val="24"/>
        </w:rPr>
        <w:t>o a la solicitud que presenta la</w:t>
      </w:r>
      <w:r>
        <w:rPr>
          <w:rFonts w:ascii="Palatino Linotype" w:hAnsi="Palatino Linotype" w:cs="Arial"/>
          <w:color w:val="000000" w:themeColor="text1"/>
          <w:sz w:val="24"/>
          <w:szCs w:val="24"/>
        </w:rPr>
        <w:t xml:space="preserve"> recurrente al sujeto obligado, este a su vez </w:t>
      </w:r>
      <w:r w:rsidR="00DE43C3">
        <w:rPr>
          <w:rFonts w:ascii="Palatino Linotype" w:hAnsi="Palatino Linotype" w:cs="Arial"/>
          <w:color w:val="000000" w:themeColor="text1"/>
          <w:sz w:val="24"/>
          <w:szCs w:val="24"/>
        </w:rPr>
        <w:t>indica que derivado de una búsqueda exhaustiva no se cuenta con ninguna evidencia de participación en gabinete regional.</w:t>
      </w:r>
    </w:p>
    <w:p w:rsidR="00DE43C3" w:rsidRDefault="00DE43C3" w:rsidP="002B6649">
      <w:pPr>
        <w:spacing w:after="0" w:line="360" w:lineRule="auto"/>
        <w:jc w:val="both"/>
        <w:rPr>
          <w:rFonts w:ascii="Palatino Linotype" w:hAnsi="Palatino Linotype" w:cs="Arial"/>
          <w:color w:val="000000" w:themeColor="text1"/>
          <w:sz w:val="24"/>
          <w:szCs w:val="24"/>
        </w:rPr>
      </w:pPr>
    </w:p>
    <w:p w:rsidR="00DE43C3" w:rsidRDefault="00DE43C3"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Debido </w:t>
      </w:r>
      <w:r w:rsidR="0016291B">
        <w:rPr>
          <w:rFonts w:ascii="Palatino Linotype" w:hAnsi="Palatino Linotype" w:cs="Arial"/>
          <w:color w:val="000000" w:themeColor="text1"/>
          <w:sz w:val="24"/>
          <w:szCs w:val="24"/>
        </w:rPr>
        <w:t>a lo anterior la</w:t>
      </w:r>
      <w:r>
        <w:rPr>
          <w:rFonts w:ascii="Palatino Linotype" w:hAnsi="Palatino Linotype" w:cs="Arial"/>
          <w:color w:val="000000" w:themeColor="text1"/>
          <w:sz w:val="24"/>
          <w:szCs w:val="24"/>
        </w:rPr>
        <w:t xml:space="preserve"> recurrente interpone el recurso de revisión, debido a que dicha respuesta le resulta desfavorable y en medio de defensa respectivo argumenta los siguientes motivos o razones de inconformidad:</w:t>
      </w:r>
    </w:p>
    <w:p w:rsidR="00DE43C3" w:rsidRDefault="00DE43C3" w:rsidP="002B6649">
      <w:pPr>
        <w:spacing w:after="0" w:line="360" w:lineRule="auto"/>
        <w:jc w:val="both"/>
        <w:rPr>
          <w:rFonts w:ascii="Palatino Linotype" w:hAnsi="Palatino Linotype" w:cs="Arial"/>
          <w:color w:val="000000" w:themeColor="text1"/>
          <w:sz w:val="24"/>
          <w:szCs w:val="24"/>
        </w:rPr>
      </w:pPr>
    </w:p>
    <w:p w:rsidR="0016291B" w:rsidRPr="004469D5" w:rsidRDefault="0016291B" w:rsidP="0016291B">
      <w:pPr>
        <w:spacing w:line="240" w:lineRule="auto"/>
        <w:ind w:left="851" w:right="850"/>
        <w:jc w:val="both"/>
        <w:rPr>
          <w:rFonts w:ascii="Palatino Linotype" w:hAnsi="Palatino Linotype" w:cs="Arial"/>
          <w:i/>
        </w:rPr>
      </w:pPr>
      <w:r w:rsidRPr="004469D5">
        <w:rPr>
          <w:rFonts w:ascii="Palatino Linotype" w:hAnsi="Palatino Linotype" w:cs="Arial"/>
          <w:i/>
        </w:rPr>
        <w:lastRenderedPageBreak/>
        <w:t>“</w:t>
      </w:r>
      <w:r w:rsidRPr="00DE521E">
        <w:rPr>
          <w:rFonts w:ascii="Palatino Linotype" w:hAnsi="Palatino Linotype" w:cs="Arial"/>
          <w:i/>
        </w:rPr>
        <w:t>Una cosa es que como dicen no las generan y otra que se escuden en eso para no brindar la información</w:t>
      </w:r>
      <w:r>
        <w:rPr>
          <w:rFonts w:ascii="Palatino Linotype" w:hAnsi="Palatino Linotype" w:cs="Arial"/>
          <w:i/>
        </w:rPr>
        <w:t>.”[S</w:t>
      </w:r>
      <w:r w:rsidRPr="004469D5">
        <w:rPr>
          <w:rFonts w:ascii="Palatino Linotype" w:hAnsi="Palatino Linotype" w:cs="Arial"/>
          <w:i/>
        </w:rPr>
        <w:t>ic]</w:t>
      </w:r>
    </w:p>
    <w:p w:rsidR="0016291B" w:rsidRDefault="0016291B" w:rsidP="002B6649">
      <w:pPr>
        <w:spacing w:after="0" w:line="360" w:lineRule="auto"/>
        <w:jc w:val="both"/>
        <w:rPr>
          <w:rFonts w:ascii="Palatino Linotype" w:hAnsi="Palatino Linotype" w:cs="Arial"/>
          <w:color w:val="000000" w:themeColor="text1"/>
          <w:sz w:val="24"/>
          <w:szCs w:val="24"/>
        </w:rPr>
      </w:pPr>
    </w:p>
    <w:p w:rsidR="00DE43C3" w:rsidRDefault="0016291B"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Dado lo anterior es de observar que la particular, refiere estar inconforme en la totalidad de la respuesta proporcionada por el sujeto obligado, para lo cual el sujeto obligado emitió el informe justificado correspondiente al acto impugnado, que en su contenido, ratifica la respuesta primigenia.</w:t>
      </w:r>
    </w:p>
    <w:p w:rsidR="0016291B" w:rsidRDefault="0016291B" w:rsidP="002B6649">
      <w:pPr>
        <w:spacing w:after="0" w:line="360" w:lineRule="auto"/>
        <w:jc w:val="both"/>
        <w:rPr>
          <w:rFonts w:ascii="Palatino Linotype" w:hAnsi="Palatino Linotype" w:cs="Arial"/>
          <w:color w:val="000000" w:themeColor="text1"/>
          <w:sz w:val="24"/>
          <w:szCs w:val="24"/>
        </w:rPr>
      </w:pPr>
    </w:p>
    <w:p w:rsidR="002E0D11" w:rsidRDefault="0016291B"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Una vez establecido lo anterior, resulta necesari</w:t>
      </w:r>
      <w:r w:rsidR="00F13BF9">
        <w:rPr>
          <w:rFonts w:ascii="Palatino Linotype" w:hAnsi="Palatino Linotype" w:cs="Arial"/>
          <w:color w:val="000000" w:themeColor="text1"/>
          <w:sz w:val="24"/>
          <w:szCs w:val="24"/>
        </w:rPr>
        <w:t>o indagar en el marco normativo, así como en los medios electrónicos respectivos, para verificar si la respuesta emitida por dicha autoridad, colma con lo peticionado por la recurrente.</w:t>
      </w:r>
    </w:p>
    <w:p w:rsidR="00F13BF9" w:rsidRDefault="00F13BF9" w:rsidP="002B6649">
      <w:pPr>
        <w:spacing w:after="0" w:line="360" w:lineRule="auto"/>
        <w:jc w:val="both"/>
        <w:rPr>
          <w:rFonts w:ascii="Palatino Linotype" w:hAnsi="Palatino Linotype" w:cs="Arial"/>
          <w:color w:val="000000" w:themeColor="text1"/>
          <w:sz w:val="24"/>
          <w:szCs w:val="24"/>
        </w:rPr>
      </w:pPr>
    </w:p>
    <w:p w:rsidR="002E0D11" w:rsidRDefault="00F13BF9"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lo anterior, es menester referir lo que establece el Reglamento de los Gabinetes del Poder Ejecutivo, ya que en este</w:t>
      </w:r>
      <w:r w:rsidR="004059A9">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se encuentran plasmados los fundamentos jurídicos que regulan la organización y el funcionamiento de los gabinetes del Poder Ejecutivo, tal como la marca el artículo primero, que a la letra dice:</w:t>
      </w:r>
    </w:p>
    <w:p w:rsidR="00164FE1" w:rsidRDefault="00164FE1" w:rsidP="002B6649">
      <w:pPr>
        <w:spacing w:after="0" w:line="360" w:lineRule="auto"/>
        <w:jc w:val="both"/>
        <w:rPr>
          <w:rFonts w:ascii="Palatino Linotype" w:hAnsi="Palatino Linotype" w:cs="Arial"/>
          <w:color w:val="000000" w:themeColor="text1"/>
          <w:sz w:val="24"/>
          <w:szCs w:val="24"/>
        </w:rPr>
      </w:pPr>
    </w:p>
    <w:p w:rsidR="00164FE1" w:rsidRDefault="00164FE1" w:rsidP="00164FE1">
      <w:pPr>
        <w:spacing w:after="0" w:line="240" w:lineRule="auto"/>
        <w:ind w:left="851" w:right="850"/>
        <w:jc w:val="both"/>
        <w:rPr>
          <w:rFonts w:ascii="Palatino Linotype" w:hAnsi="Palatino Linotype"/>
          <w:i/>
        </w:rPr>
      </w:pPr>
      <w:r w:rsidRPr="00164FE1">
        <w:rPr>
          <w:rFonts w:ascii="Palatino Linotype" w:hAnsi="Palatino Linotype"/>
          <w:i/>
        </w:rPr>
        <w:t xml:space="preserve">REGLAMENTO DE LOS GABINETES DEL PODER EJECUTIVO DEL ESTADO DE MÉXICO </w:t>
      </w:r>
    </w:p>
    <w:p w:rsidR="00164FE1" w:rsidRPr="00164FE1" w:rsidRDefault="00164FE1" w:rsidP="00164FE1">
      <w:pPr>
        <w:spacing w:after="0" w:line="240" w:lineRule="auto"/>
        <w:ind w:left="851" w:right="850"/>
        <w:jc w:val="both"/>
        <w:rPr>
          <w:rFonts w:ascii="Palatino Linotype" w:hAnsi="Palatino Linotype"/>
          <w:i/>
        </w:rPr>
      </w:pPr>
    </w:p>
    <w:p w:rsidR="00F13BF9" w:rsidRDefault="00164FE1" w:rsidP="00164FE1">
      <w:pPr>
        <w:spacing w:after="0" w:line="240" w:lineRule="auto"/>
        <w:ind w:left="851" w:right="850"/>
        <w:jc w:val="both"/>
        <w:rPr>
          <w:rFonts w:ascii="Palatino Linotype" w:hAnsi="Palatino Linotype"/>
          <w:i/>
        </w:rPr>
      </w:pPr>
      <w:r w:rsidRPr="00164FE1">
        <w:rPr>
          <w:rFonts w:ascii="Palatino Linotype" w:hAnsi="Palatino Linotype"/>
          <w:i/>
        </w:rPr>
        <w:t>TÍTULO PRIMERO DISPOSICIONES GENERALES</w:t>
      </w:r>
    </w:p>
    <w:p w:rsidR="00164FE1" w:rsidRPr="00164FE1" w:rsidRDefault="00164FE1" w:rsidP="00164FE1">
      <w:pPr>
        <w:spacing w:after="0" w:line="240" w:lineRule="auto"/>
        <w:ind w:left="851" w:right="850"/>
        <w:jc w:val="both"/>
        <w:rPr>
          <w:rFonts w:ascii="Palatino Linotype" w:hAnsi="Palatino Linotype" w:cs="Arial"/>
          <w:i/>
          <w:color w:val="000000" w:themeColor="text1"/>
          <w:sz w:val="24"/>
          <w:szCs w:val="24"/>
        </w:rPr>
      </w:pPr>
    </w:p>
    <w:p w:rsidR="00F13BF9" w:rsidRDefault="00F13BF9" w:rsidP="00F13BF9">
      <w:pPr>
        <w:spacing w:after="0" w:line="240" w:lineRule="auto"/>
        <w:ind w:left="851" w:right="850"/>
        <w:jc w:val="both"/>
        <w:rPr>
          <w:rFonts w:ascii="Palatino Linotype" w:hAnsi="Palatino Linotype"/>
          <w:i/>
        </w:rPr>
      </w:pPr>
      <w:r w:rsidRPr="00F13BF9">
        <w:rPr>
          <w:rFonts w:ascii="Palatino Linotype" w:hAnsi="Palatino Linotype"/>
          <w:i/>
        </w:rPr>
        <w:t>Artículo 1. El presente Reglamento tiene por objeto regular la organización y el funcionamiento de los Gabinetes del Poder Ejecutivo del Estado de México.</w:t>
      </w:r>
      <w:r w:rsidR="004059A9">
        <w:rPr>
          <w:rFonts w:ascii="Palatino Linotype" w:hAnsi="Palatino Linotype"/>
          <w:i/>
        </w:rPr>
        <w:t xml:space="preserve"> </w:t>
      </w:r>
    </w:p>
    <w:p w:rsidR="00566571" w:rsidRDefault="00566571" w:rsidP="00F13BF9">
      <w:pPr>
        <w:spacing w:after="0" w:line="240" w:lineRule="auto"/>
        <w:ind w:left="851" w:right="850"/>
        <w:jc w:val="both"/>
        <w:rPr>
          <w:rFonts w:ascii="Palatino Linotype" w:hAnsi="Palatino Linotype"/>
          <w:i/>
        </w:rPr>
      </w:pPr>
    </w:p>
    <w:p w:rsidR="00566571" w:rsidRPr="00566571" w:rsidRDefault="00566571" w:rsidP="00F13BF9">
      <w:pPr>
        <w:spacing w:after="0" w:line="240" w:lineRule="auto"/>
        <w:ind w:left="851" w:right="850"/>
        <w:jc w:val="both"/>
        <w:rPr>
          <w:rFonts w:ascii="Palatino Linotype" w:hAnsi="Palatino Linotype" w:cs="Arial"/>
          <w:i/>
          <w:color w:val="000000" w:themeColor="text1"/>
          <w:szCs w:val="24"/>
        </w:rPr>
      </w:pPr>
      <w:r w:rsidRPr="00566571">
        <w:rPr>
          <w:rFonts w:ascii="Palatino Linotype" w:hAnsi="Palatino Linotype" w:cs="Arial"/>
          <w:i/>
          <w:color w:val="000000" w:themeColor="text1"/>
          <w:szCs w:val="24"/>
        </w:rPr>
        <w:t>La Secretaría Técnica del Gabinete orientará y supervisará las acciones de los gabinetes previstos en este Reglamento, de acuerdo con las políticas, lineamientos y prioridades que fije el Titular del Ejecutivo Estatal.</w:t>
      </w:r>
      <w:r w:rsidR="00991F41">
        <w:rPr>
          <w:rFonts w:ascii="Palatino Linotype" w:hAnsi="Palatino Linotype" w:cs="Arial"/>
          <w:i/>
          <w:color w:val="000000" w:themeColor="text1"/>
          <w:szCs w:val="24"/>
        </w:rPr>
        <w:t xml:space="preserve"> </w:t>
      </w:r>
    </w:p>
    <w:p w:rsidR="002E0D11" w:rsidRDefault="002E0D11" w:rsidP="002B6649">
      <w:pPr>
        <w:spacing w:after="0" w:line="360" w:lineRule="auto"/>
        <w:jc w:val="both"/>
        <w:rPr>
          <w:rFonts w:ascii="Palatino Linotype" w:hAnsi="Palatino Linotype" w:cs="Arial"/>
          <w:color w:val="000000" w:themeColor="text1"/>
          <w:sz w:val="24"/>
          <w:szCs w:val="24"/>
        </w:rPr>
      </w:pPr>
    </w:p>
    <w:p w:rsidR="0003540F" w:rsidRDefault="0003540F"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Como se observa en párrafos anteriores, el reglamento en mención tiene por objeto regular la organización y el funcionamiento de los Gabinetes del Poder Ejecutivo del Estado de México, así como también, la Secretaria Técnica del Gabinete orientará y supervisará las acciones de los Gabinetes que formen parte del Reglamento.</w:t>
      </w:r>
    </w:p>
    <w:p w:rsidR="0003540F" w:rsidRDefault="0003540F" w:rsidP="002B6649">
      <w:pPr>
        <w:spacing w:after="0" w:line="360" w:lineRule="auto"/>
        <w:jc w:val="both"/>
        <w:rPr>
          <w:rFonts w:ascii="Palatino Linotype" w:hAnsi="Palatino Linotype" w:cs="Arial"/>
          <w:color w:val="000000" w:themeColor="text1"/>
          <w:sz w:val="24"/>
          <w:szCs w:val="24"/>
        </w:rPr>
      </w:pPr>
    </w:p>
    <w:p w:rsidR="0003540F" w:rsidRDefault="0003540F"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si bien es cierto, la recurrente solicitó en </w:t>
      </w:r>
      <w:r w:rsidR="00B30175">
        <w:rPr>
          <w:rFonts w:ascii="Palatino Linotype" w:hAnsi="Palatino Linotype" w:cs="Arial"/>
          <w:color w:val="000000" w:themeColor="text1"/>
          <w:sz w:val="24"/>
          <w:szCs w:val="24"/>
        </w:rPr>
        <w:t>específico</w:t>
      </w:r>
      <w:r>
        <w:rPr>
          <w:rFonts w:ascii="Palatino Linotype" w:hAnsi="Palatino Linotype" w:cs="Arial"/>
          <w:color w:val="000000" w:themeColor="text1"/>
          <w:sz w:val="24"/>
          <w:szCs w:val="24"/>
        </w:rPr>
        <w:t>, información concerniente a los Gabinetes R</w:t>
      </w:r>
      <w:r w:rsidR="00B30175">
        <w:rPr>
          <w:rFonts w:ascii="Palatino Linotype" w:hAnsi="Palatino Linotype" w:cs="Arial"/>
          <w:color w:val="000000" w:themeColor="text1"/>
          <w:sz w:val="24"/>
          <w:szCs w:val="24"/>
        </w:rPr>
        <w:t>egionales, para lo cual resulta necesario hacer mención de lo que establece el Titulo Tercero del reglamento anteriormente referido ya que en este, se encuentran inmersos diversos artículos en los que se establece la finalidad de los gabinetes regionales, así como su conformación y/o integración.</w:t>
      </w:r>
    </w:p>
    <w:p w:rsidR="00B30175" w:rsidRDefault="00B30175" w:rsidP="002B6649">
      <w:pPr>
        <w:spacing w:after="0" w:line="360" w:lineRule="auto"/>
        <w:jc w:val="both"/>
        <w:rPr>
          <w:rFonts w:ascii="Palatino Linotype" w:hAnsi="Palatino Linotype" w:cs="Arial"/>
          <w:color w:val="000000" w:themeColor="text1"/>
          <w:sz w:val="24"/>
          <w:szCs w:val="24"/>
        </w:rPr>
      </w:pP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TÍTULO TERCERO DE LOS GABINETES REGIONALES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CAPÍTULO PRIMERO DISPOSICIONES GENERALES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Artículo 13. Los gabinetes regionales son las instancias de coordinación responsables de proponer, evaluar, acordar e implementar las políticas públicas de desarrollo regional y los programas y acciones de gobierno de las dependencias del Ejecutivo Estatal en cada una de las regiones en las que se divide el territorio estatal.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u w:val="single"/>
        </w:rPr>
      </w:pPr>
      <w:r w:rsidRPr="00B30175">
        <w:rPr>
          <w:rFonts w:ascii="Palatino Linotype" w:hAnsi="Palatino Linotype" w:cs="Arial"/>
          <w:i/>
          <w:color w:val="000000" w:themeColor="text1"/>
          <w:szCs w:val="24"/>
          <w:u w:val="single"/>
        </w:rPr>
        <w:t xml:space="preserve">Artículo 14. Los gabinetes regionales,  se integran por: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u w:val="single"/>
        </w:rPr>
        <w:t>I. Un Presidente</w:t>
      </w:r>
      <w:r w:rsidRPr="00B30175">
        <w:rPr>
          <w:rFonts w:ascii="Palatino Linotype" w:hAnsi="Palatino Linotype" w:cs="Arial"/>
          <w:i/>
          <w:color w:val="000000" w:themeColor="text1"/>
          <w:szCs w:val="24"/>
        </w:rPr>
        <w:t xml:space="preserve">, que será designado por el titular del Poder Ejecutivo del Estado.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u w:val="single"/>
        </w:rPr>
        <w:t>II. Un Secretario Técnico</w:t>
      </w:r>
      <w:r w:rsidRPr="00B30175">
        <w:rPr>
          <w:rFonts w:ascii="Palatino Linotype" w:hAnsi="Palatino Linotype" w:cs="Arial"/>
          <w:i/>
          <w:color w:val="000000" w:themeColor="text1"/>
          <w:szCs w:val="24"/>
        </w:rPr>
        <w:t>, que será nombrado por el presidente del gabinete regional correspondiente.</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Pr>
          <w:rFonts w:ascii="Palatino Linotype" w:hAnsi="Palatino Linotype" w:cs="Arial"/>
          <w:i/>
          <w:color w:val="000000" w:themeColor="text1"/>
          <w:szCs w:val="24"/>
        </w:rPr>
        <w:t xml:space="preserve">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I</w:t>
      </w:r>
      <w:r w:rsidRPr="00B30175">
        <w:rPr>
          <w:rFonts w:ascii="Palatino Linotype" w:hAnsi="Palatino Linotype" w:cs="Arial"/>
          <w:i/>
          <w:color w:val="000000" w:themeColor="text1"/>
          <w:szCs w:val="24"/>
          <w:u w:val="single"/>
        </w:rPr>
        <w:t>II. Representantes de cada una de las dependencias del Ejecutivo Estatal</w:t>
      </w:r>
      <w:r w:rsidRPr="00B30175">
        <w:rPr>
          <w:rFonts w:ascii="Palatino Linotype" w:hAnsi="Palatino Linotype" w:cs="Arial"/>
          <w:i/>
          <w:color w:val="000000" w:themeColor="text1"/>
          <w:szCs w:val="24"/>
        </w:rPr>
        <w:t xml:space="preserve"> que desarrollen programas y acciones en la región, los cuales deberán contar con un nivel igual o superior al de Director General.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u w:val="single"/>
        </w:rPr>
        <w:lastRenderedPageBreak/>
        <w:t>El Presidente podrá invitar a las sesiones de los gabinetes regionales a servidores  públicos</w:t>
      </w:r>
      <w:r w:rsidRPr="00B30175">
        <w:rPr>
          <w:rFonts w:ascii="Palatino Linotype" w:hAnsi="Palatino Linotype" w:cs="Arial"/>
          <w:i/>
          <w:color w:val="000000" w:themeColor="text1"/>
          <w:szCs w:val="24"/>
        </w:rPr>
        <w:t xml:space="preserve">  de los diferentes órdenes y niveles de gobierno, así  como  a expertos, especialistas </w:t>
      </w:r>
      <w:r w:rsidRPr="00B30175">
        <w:rPr>
          <w:rFonts w:ascii="Palatino Linotype" w:hAnsi="Palatino Linotype" w:cs="Arial"/>
          <w:i/>
          <w:color w:val="000000" w:themeColor="text1"/>
          <w:szCs w:val="24"/>
          <w:u w:val="single"/>
        </w:rPr>
        <w:t>o representantes de instituciones académicas</w:t>
      </w:r>
      <w:r w:rsidRPr="00B30175">
        <w:rPr>
          <w:rFonts w:ascii="Palatino Linotype" w:hAnsi="Palatino Linotype" w:cs="Arial"/>
          <w:i/>
          <w:color w:val="000000" w:themeColor="text1"/>
          <w:szCs w:val="24"/>
        </w:rPr>
        <w:t xml:space="preserve"> y de investigación que puedan contribuir a los fines de aquellos.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El Presidente podrá designar, por escrito, a un suplente, el cual deberá tener la jerarquía inmediata inferior y lo suplirá en sus ausencias temporales.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 xml:space="preserve"> </w:t>
      </w:r>
    </w:p>
    <w:p w:rsidR="00B30175" w:rsidRPr="00B30175" w:rsidRDefault="00B30175" w:rsidP="00B30175">
      <w:pPr>
        <w:spacing w:after="0" w:line="240" w:lineRule="auto"/>
        <w:ind w:left="851" w:right="850"/>
        <w:jc w:val="both"/>
        <w:rPr>
          <w:rFonts w:ascii="Palatino Linotype" w:hAnsi="Palatino Linotype" w:cs="Arial"/>
          <w:i/>
          <w:color w:val="000000" w:themeColor="text1"/>
          <w:szCs w:val="24"/>
        </w:rPr>
      </w:pPr>
      <w:r w:rsidRPr="00B30175">
        <w:rPr>
          <w:rFonts w:ascii="Palatino Linotype" w:hAnsi="Palatino Linotype" w:cs="Arial"/>
          <w:i/>
          <w:color w:val="000000" w:themeColor="text1"/>
          <w:szCs w:val="24"/>
        </w:rPr>
        <w:t>El Secretario Técnico del Gabinete del Gobierno del Estado designará un representante en cada gabinete regional, quien llevará a cabo el seguimiento de los avances y resultados en la región del Plan de Desarrollo del Estado de México y de los programas que de este deriven, de los programas regionales, del cumplimiento de las acciones de gobierno de carácter estatal con impacto en la región, de los compromisos de gobierno municipales y del cumplimiento de los compromisos comunitarios.</w:t>
      </w:r>
    </w:p>
    <w:p w:rsidR="00B30175" w:rsidRDefault="00B30175" w:rsidP="002B6649">
      <w:pPr>
        <w:spacing w:after="0" w:line="360" w:lineRule="auto"/>
        <w:jc w:val="both"/>
        <w:rPr>
          <w:rFonts w:ascii="Palatino Linotype" w:hAnsi="Palatino Linotype" w:cs="Arial"/>
          <w:color w:val="000000" w:themeColor="text1"/>
          <w:sz w:val="24"/>
          <w:szCs w:val="24"/>
        </w:rPr>
      </w:pPr>
    </w:p>
    <w:p w:rsidR="00257DEC" w:rsidRDefault="00257DEC"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lo anterior, se entiende que los Gabinetes Regionales son instancias de coordinación que proponen, evalúan e implementan políticas públicas de desarrollo, así como acciones de las dependencias del Poder Ejecutivo del Estado.</w:t>
      </w:r>
    </w:p>
    <w:p w:rsidR="00257DEC" w:rsidRDefault="00257DEC" w:rsidP="002B6649">
      <w:pPr>
        <w:spacing w:after="0" w:line="360" w:lineRule="auto"/>
        <w:jc w:val="both"/>
        <w:rPr>
          <w:rFonts w:ascii="Palatino Linotype" w:hAnsi="Palatino Linotype" w:cs="Arial"/>
          <w:color w:val="000000" w:themeColor="text1"/>
          <w:sz w:val="24"/>
          <w:szCs w:val="24"/>
        </w:rPr>
      </w:pPr>
    </w:p>
    <w:p w:rsidR="00257DEC" w:rsidRDefault="00257DEC"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Cabe señalar que el artículo catorce del Reglamento en mención, establece la integración de los Gabinetes Regionales, la cual se conforma por un Presidente, un Secretario Técnico, así como representantes de cada una de las dependencias del Ejecutivo Estatal. </w:t>
      </w:r>
    </w:p>
    <w:p w:rsidR="00257DEC" w:rsidRDefault="00257DEC" w:rsidP="002B6649">
      <w:pPr>
        <w:spacing w:after="0" w:line="360" w:lineRule="auto"/>
        <w:jc w:val="both"/>
        <w:rPr>
          <w:rFonts w:ascii="Palatino Linotype" w:hAnsi="Palatino Linotype" w:cs="Arial"/>
          <w:color w:val="000000" w:themeColor="text1"/>
          <w:sz w:val="24"/>
          <w:szCs w:val="24"/>
        </w:rPr>
      </w:pPr>
    </w:p>
    <w:p w:rsidR="00257DEC" w:rsidRDefault="00257DEC"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Asimismo dicha norma establece que, el Presidente del Gabinete Regional podrá invitar a las sesiones de los gabinetes regionales a diversos servidores públicos, que entre los cuales, se encuentran los representantes de instituciones académicas y de investigación.</w:t>
      </w:r>
    </w:p>
    <w:p w:rsidR="00257DEC" w:rsidRDefault="00257DEC" w:rsidP="002B6649">
      <w:pPr>
        <w:spacing w:after="0" w:line="360" w:lineRule="auto"/>
        <w:jc w:val="both"/>
        <w:rPr>
          <w:rFonts w:ascii="Palatino Linotype" w:hAnsi="Palatino Linotype" w:cs="Arial"/>
          <w:color w:val="000000" w:themeColor="text1"/>
          <w:sz w:val="24"/>
          <w:szCs w:val="24"/>
        </w:rPr>
      </w:pPr>
    </w:p>
    <w:p w:rsidR="00257DEC" w:rsidRDefault="00257DEC"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Por lo anterior se entiende que al referir que los representantes de las instituciones académicas y d</w:t>
      </w:r>
      <w:r w:rsidR="00857673">
        <w:rPr>
          <w:rFonts w:ascii="Palatino Linotype" w:hAnsi="Palatino Linotype" w:cs="Arial"/>
          <w:color w:val="000000" w:themeColor="text1"/>
          <w:sz w:val="24"/>
          <w:szCs w:val="24"/>
        </w:rPr>
        <w:t>e</w:t>
      </w:r>
      <w:r>
        <w:rPr>
          <w:rFonts w:ascii="Palatino Linotype" w:hAnsi="Palatino Linotype" w:cs="Arial"/>
          <w:color w:val="000000" w:themeColor="text1"/>
          <w:sz w:val="24"/>
          <w:szCs w:val="24"/>
        </w:rPr>
        <w:t xml:space="preserve"> investigación tienen la posibilidad de asistir </w:t>
      </w:r>
      <w:r w:rsidR="00857673">
        <w:rPr>
          <w:rFonts w:ascii="Palatino Linotype" w:hAnsi="Palatino Linotype" w:cs="Arial"/>
          <w:color w:val="000000" w:themeColor="text1"/>
          <w:sz w:val="24"/>
          <w:szCs w:val="24"/>
        </w:rPr>
        <w:t>a las sesiones de Gabinetes Regionales el sujeto obligado podría tener la información solicitada por la recurrente, aunado a ello también es cierto que no existe una fuente obligacional para que dichos representantes asistan a las sesiones ya referidas.</w:t>
      </w:r>
    </w:p>
    <w:p w:rsidR="00857673" w:rsidRDefault="00857673" w:rsidP="002B6649">
      <w:pPr>
        <w:spacing w:after="0" w:line="360" w:lineRule="auto"/>
        <w:jc w:val="both"/>
        <w:rPr>
          <w:rFonts w:ascii="Palatino Linotype" w:hAnsi="Palatino Linotype" w:cs="Arial"/>
          <w:color w:val="000000" w:themeColor="text1"/>
          <w:sz w:val="24"/>
          <w:szCs w:val="24"/>
        </w:rPr>
      </w:pPr>
    </w:p>
    <w:p w:rsidR="00857673" w:rsidRDefault="00857673"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igual forma esta ponencia resolutora considera necesario hacer mención de las funciones con las que cuenta el Secretario Técnico de los Gabinetes Regionales, ya que en el artículo veinte del multicitado Reglamento se encuentra establecido lo siguiente:</w:t>
      </w:r>
    </w:p>
    <w:p w:rsidR="00857673" w:rsidRDefault="00857673" w:rsidP="002B6649">
      <w:pPr>
        <w:spacing w:after="0" w:line="360" w:lineRule="auto"/>
        <w:jc w:val="both"/>
        <w:rPr>
          <w:rFonts w:ascii="Palatino Linotype" w:hAnsi="Palatino Linotype" w:cs="Arial"/>
          <w:color w:val="000000" w:themeColor="text1"/>
          <w:sz w:val="24"/>
          <w:szCs w:val="24"/>
        </w:rPr>
      </w:pP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Artículo 20. Corresponde al Secretario Técnico: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I. Preparar el orden del día de las sesiones y someterla a la consideración del Presidente.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II. Integrar, con un mínimo de cinco días hábiles previos a la sesión, la carpeta de la misma, que deberá contener el orden del día, el acta de la sesión anterior, y los acuerdos cumplidos y pendientes.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III. Realizar el registro de asistencia a las sesiones de los servidores públicos convocados.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IV. Elaborar el acta y registrar los acuerdos de las sesiones.</w:t>
      </w:r>
    </w:p>
    <w:p w:rsidR="00857673" w:rsidRPr="00857673" w:rsidRDefault="000B35AA" w:rsidP="000B35AA">
      <w:pPr>
        <w:spacing w:after="0" w:line="240" w:lineRule="auto"/>
        <w:ind w:left="851" w:right="850"/>
        <w:jc w:val="both"/>
        <w:rPr>
          <w:rFonts w:ascii="Palatino Linotype" w:hAnsi="Palatino Linotype" w:cs="Arial"/>
          <w:i/>
          <w:color w:val="000000" w:themeColor="text1"/>
          <w:szCs w:val="24"/>
        </w:rPr>
      </w:pPr>
      <w:r>
        <w:rPr>
          <w:rFonts w:ascii="Palatino Linotype" w:hAnsi="Palatino Linotype" w:cs="Arial"/>
          <w:i/>
          <w:color w:val="000000" w:themeColor="text1"/>
          <w:szCs w:val="24"/>
        </w:rPr>
        <w:t xml:space="preserve">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V. Realizar el seguimiento de los acuerdos tomados en las sesiones.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VI. Integrar y mantener actualizada la documentación del gabinete regional.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 </w:t>
      </w:r>
    </w:p>
    <w:p w:rsidR="00857673" w:rsidRPr="000B35AA" w:rsidRDefault="00857673" w:rsidP="00857673">
      <w:pPr>
        <w:spacing w:after="0" w:line="240" w:lineRule="auto"/>
        <w:ind w:left="851" w:right="850"/>
        <w:jc w:val="both"/>
        <w:rPr>
          <w:rFonts w:ascii="Palatino Linotype" w:hAnsi="Palatino Linotype" w:cs="Arial"/>
          <w:b/>
          <w:i/>
          <w:color w:val="000000" w:themeColor="text1"/>
          <w:szCs w:val="24"/>
          <w:u w:val="single"/>
        </w:rPr>
      </w:pPr>
      <w:r w:rsidRPr="000B35AA">
        <w:rPr>
          <w:rFonts w:ascii="Palatino Linotype" w:hAnsi="Palatino Linotype" w:cs="Arial"/>
          <w:b/>
          <w:i/>
          <w:color w:val="000000" w:themeColor="text1"/>
          <w:szCs w:val="24"/>
          <w:u w:val="single"/>
        </w:rPr>
        <w:t>VII. Entregar un repo</w:t>
      </w:r>
      <w:r w:rsidR="000B35AA" w:rsidRPr="000B35AA">
        <w:rPr>
          <w:rFonts w:ascii="Palatino Linotype" w:hAnsi="Palatino Linotype" w:cs="Arial"/>
          <w:b/>
          <w:i/>
          <w:color w:val="000000" w:themeColor="text1"/>
          <w:szCs w:val="24"/>
          <w:u w:val="single"/>
        </w:rPr>
        <w:t>rte mensual por escrito a la Se</w:t>
      </w:r>
      <w:r w:rsidRPr="000B35AA">
        <w:rPr>
          <w:rFonts w:ascii="Palatino Linotype" w:hAnsi="Palatino Linotype" w:cs="Arial"/>
          <w:b/>
          <w:i/>
          <w:color w:val="000000" w:themeColor="text1"/>
          <w:szCs w:val="24"/>
          <w:u w:val="single"/>
        </w:rPr>
        <w:t xml:space="preserve">cretaría Técnica del Gabinete del Gobierno, el estado de los acuerdos registrados, cumplidos y pendientes, indicando los responsables de su ejecución y cumplimiento.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 xml:space="preserve"> </w:t>
      </w:r>
    </w:p>
    <w:p w:rsidR="00857673" w:rsidRPr="00857673" w:rsidRDefault="00857673" w:rsidP="00857673">
      <w:pPr>
        <w:spacing w:after="0" w:line="240" w:lineRule="auto"/>
        <w:ind w:left="851" w:right="850"/>
        <w:jc w:val="both"/>
        <w:rPr>
          <w:rFonts w:ascii="Palatino Linotype" w:hAnsi="Palatino Linotype" w:cs="Arial"/>
          <w:i/>
          <w:color w:val="000000" w:themeColor="text1"/>
          <w:szCs w:val="24"/>
        </w:rPr>
      </w:pPr>
      <w:r w:rsidRPr="00857673">
        <w:rPr>
          <w:rFonts w:ascii="Palatino Linotype" w:hAnsi="Palatino Linotype" w:cs="Arial"/>
          <w:i/>
          <w:color w:val="000000" w:themeColor="text1"/>
          <w:szCs w:val="24"/>
        </w:rPr>
        <w:t>VIII. Ejecutar las instrucciones del Presidente.</w:t>
      </w:r>
    </w:p>
    <w:p w:rsidR="00857673" w:rsidRDefault="00857673" w:rsidP="002B6649">
      <w:pPr>
        <w:spacing w:after="0" w:line="360" w:lineRule="auto"/>
        <w:jc w:val="both"/>
        <w:rPr>
          <w:rFonts w:ascii="Palatino Linotype" w:hAnsi="Palatino Linotype" w:cs="Arial"/>
          <w:color w:val="000000" w:themeColor="text1"/>
          <w:sz w:val="24"/>
          <w:szCs w:val="24"/>
        </w:rPr>
      </w:pPr>
    </w:p>
    <w:p w:rsidR="00257DEC" w:rsidRDefault="000B35AA"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Del numeral anteriormente referido, encontramos que, el Secretario Técnico entregará un reporte mensual por escrito a la Secretaria Técnica del Gabinete del Gobierno, en el que se encuentre el estado de los acuerdos registrados, cumplidos y pendientes.</w:t>
      </w:r>
    </w:p>
    <w:p w:rsidR="000B35AA" w:rsidRDefault="000B35AA" w:rsidP="002B6649">
      <w:pPr>
        <w:spacing w:after="0" w:line="360" w:lineRule="auto"/>
        <w:jc w:val="both"/>
        <w:rPr>
          <w:rFonts w:ascii="Palatino Linotype" w:hAnsi="Palatino Linotype" w:cs="Arial"/>
          <w:color w:val="000000" w:themeColor="text1"/>
          <w:sz w:val="24"/>
          <w:szCs w:val="24"/>
        </w:rPr>
      </w:pPr>
    </w:p>
    <w:p w:rsidR="000B35AA" w:rsidRDefault="000B35AA"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lo anterior se entiende </w:t>
      </w:r>
      <w:r w:rsidR="0055477F">
        <w:rPr>
          <w:rFonts w:ascii="Palatino Linotype" w:hAnsi="Palatino Linotype" w:cs="Arial"/>
          <w:color w:val="000000" w:themeColor="text1"/>
          <w:sz w:val="24"/>
          <w:szCs w:val="24"/>
        </w:rPr>
        <w:t>que el Secretario Técnico es quien se encarga de llevar el control y registro de las sesiones que se celebren en Gabinete Regional.</w:t>
      </w:r>
    </w:p>
    <w:p w:rsidR="0055477F" w:rsidRDefault="0055477F" w:rsidP="002B6649">
      <w:pPr>
        <w:spacing w:after="0" w:line="360" w:lineRule="auto"/>
        <w:jc w:val="both"/>
        <w:rPr>
          <w:rFonts w:ascii="Palatino Linotype" w:hAnsi="Palatino Linotype" w:cs="Arial"/>
          <w:color w:val="000000" w:themeColor="text1"/>
          <w:sz w:val="24"/>
          <w:szCs w:val="24"/>
        </w:rPr>
      </w:pPr>
    </w:p>
    <w:p w:rsidR="0055477F" w:rsidRDefault="0055477F"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Aunado a lo anterior </w:t>
      </w:r>
      <w:r w:rsidR="00120FA1">
        <w:rPr>
          <w:rFonts w:ascii="Palatino Linotype" w:hAnsi="Palatino Linotype" w:cs="Arial"/>
          <w:color w:val="000000" w:themeColor="text1"/>
          <w:sz w:val="24"/>
          <w:szCs w:val="24"/>
        </w:rPr>
        <w:t>en el portal IPOMEX del sujeto obligado, en la fracción XV de la Agenda de Reuniones, se encuentran inmersos en los puntos 5, 8, 16 y 18, los registros de reuniones en los que el tema es: “</w:t>
      </w:r>
      <w:r w:rsidR="00120FA1" w:rsidRPr="00120FA1">
        <w:rPr>
          <w:rFonts w:ascii="Palatino Linotype" w:hAnsi="Palatino Linotype" w:cs="Arial"/>
          <w:color w:val="000000" w:themeColor="text1"/>
          <w:sz w:val="24"/>
          <w:szCs w:val="24"/>
        </w:rPr>
        <w:t>REUNION ORDINARIA</w:t>
      </w:r>
      <w:r w:rsidR="00120FA1">
        <w:rPr>
          <w:rFonts w:ascii="Palatino Linotype" w:hAnsi="Palatino Linotype" w:cs="Arial"/>
          <w:color w:val="000000" w:themeColor="text1"/>
          <w:sz w:val="24"/>
          <w:szCs w:val="24"/>
        </w:rPr>
        <w:t xml:space="preserve"> DE GABINETE REGIONAL VII LERMA”, sirve de sustento la siguiente imagen ilustrativa:</w:t>
      </w:r>
    </w:p>
    <w:p w:rsidR="00EE2F9E" w:rsidRDefault="00EE2F9E" w:rsidP="002B6649">
      <w:pPr>
        <w:spacing w:after="0" w:line="360" w:lineRule="auto"/>
        <w:jc w:val="both"/>
        <w:rPr>
          <w:noProof/>
          <w:lang w:eastAsia="es-MX"/>
        </w:rPr>
      </w:pPr>
    </w:p>
    <w:p w:rsidR="00120FA1" w:rsidRDefault="00EE2F9E" w:rsidP="002B6649">
      <w:pPr>
        <w:spacing w:after="0" w:line="360" w:lineRule="auto"/>
        <w:jc w:val="both"/>
        <w:rPr>
          <w:rFonts w:ascii="Palatino Linotype" w:hAnsi="Palatino Linotype" w:cs="Arial"/>
          <w:color w:val="000000" w:themeColor="text1"/>
          <w:sz w:val="24"/>
          <w:szCs w:val="24"/>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291465</wp:posOffset>
                </wp:positionH>
                <wp:positionV relativeFrom="paragraph">
                  <wp:posOffset>3026410</wp:posOffset>
                </wp:positionV>
                <wp:extent cx="4248150" cy="9525"/>
                <wp:effectExtent l="0" t="19050" r="38100" b="47625"/>
                <wp:wrapNone/>
                <wp:docPr id="6" name="6 Conector recto"/>
                <wp:cNvGraphicFramePr/>
                <a:graphic xmlns:a="http://schemas.openxmlformats.org/drawingml/2006/main">
                  <a:graphicData uri="http://schemas.microsoft.com/office/word/2010/wordprocessingShape">
                    <wps:wsp>
                      <wps:cNvCnPr/>
                      <wps:spPr>
                        <a:xfrm flipV="1">
                          <a:off x="0" y="0"/>
                          <a:ext cx="4248150" cy="9525"/>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93DB6" id="6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238.3pt" to="357.45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" strokecolor="black [3200]" strokeweight="4.5pt">
                <v:stroke joinstyle="miter"/>
              </v:line>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203542</wp:posOffset>
                </wp:positionH>
                <wp:positionV relativeFrom="paragraph">
                  <wp:posOffset>55343</wp:posOffset>
                </wp:positionV>
                <wp:extent cx="5442438" cy="3877407"/>
                <wp:effectExtent l="19050" t="19050" r="44450" b="46990"/>
                <wp:wrapNone/>
                <wp:docPr id="4" name="4 Rectángulo"/>
                <wp:cNvGraphicFramePr/>
                <a:graphic xmlns:a="http://schemas.openxmlformats.org/drawingml/2006/main">
                  <a:graphicData uri="http://schemas.microsoft.com/office/word/2010/wordprocessingShape">
                    <wps:wsp>
                      <wps:cNvSpPr/>
                      <wps:spPr>
                        <a:xfrm>
                          <a:off x="0" y="0"/>
                          <a:ext cx="5442438" cy="3877407"/>
                        </a:xfrm>
                        <a:prstGeom prst="rect">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8A828" id="4 Rectángulo" o:spid="_x0000_s1026" style="position:absolute;margin-left:16.05pt;margin-top:4.35pt;width:428.55pt;height:30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" filled="f" strokecolor="#002060" strokeweight="4.5pt"/>
            </w:pict>
          </mc:Fallback>
        </mc:AlternateContent>
      </w:r>
      <w:r w:rsidR="00120FA1">
        <w:rPr>
          <w:noProof/>
          <w:lang w:eastAsia="es-MX"/>
        </w:rPr>
        <w:drawing>
          <wp:inline distT="0" distB="0" distL="0" distR="0" wp14:anchorId="17FE3055" wp14:editId="2B08B14E">
            <wp:extent cx="5802923" cy="7350369"/>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197" t="18588" r="37461"/>
                    <a:stretch/>
                  </pic:blipFill>
                  <pic:spPr bwMode="auto">
                    <a:xfrm>
                      <a:off x="0" y="0"/>
                      <a:ext cx="5805652" cy="7353826"/>
                    </a:xfrm>
                    <a:prstGeom prst="rect">
                      <a:avLst/>
                    </a:prstGeom>
                    <a:ln>
                      <a:noFill/>
                    </a:ln>
                    <a:extLst>
                      <a:ext uri="{53640926-AAD7-44D8-BBD7-CCE9431645EC}">
                        <a14:shadowObscured xmlns:a14="http://schemas.microsoft.com/office/drawing/2010/main"/>
                      </a:ext>
                    </a:extLst>
                  </pic:spPr>
                </pic:pic>
              </a:graphicData>
            </a:graphic>
          </wp:inline>
        </w:drawing>
      </w:r>
    </w:p>
    <w:p w:rsidR="00257DEC" w:rsidRDefault="00EE2F9E"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Por lo anterior, se deduce que el sujeto obligado cuenta con la información referida en la solicitud de acceso a la información promovida por la hoy recurrente, ya que si bien es cierto en los registros de reuniones publicados en el portal IPOMEX, se encuentran algunos que corresponden a Reuniones de Gabinete Regional, en los que el área o unidad administrativa responsable de la información corresponde a </w:t>
      </w:r>
      <w:r w:rsidR="00786075">
        <w:rPr>
          <w:rFonts w:ascii="Palatino Linotype" w:hAnsi="Palatino Linotype" w:cs="Arial"/>
          <w:color w:val="000000" w:themeColor="text1"/>
          <w:sz w:val="24"/>
          <w:szCs w:val="24"/>
        </w:rPr>
        <w:t>Rectoría</w:t>
      </w:r>
      <w:r>
        <w:rPr>
          <w:rFonts w:ascii="Palatino Linotype" w:hAnsi="Palatino Linotype" w:cs="Arial"/>
          <w:color w:val="000000" w:themeColor="text1"/>
          <w:sz w:val="24"/>
          <w:szCs w:val="24"/>
        </w:rPr>
        <w:t>.</w:t>
      </w:r>
    </w:p>
    <w:p w:rsidR="00EE2F9E" w:rsidRDefault="00EE2F9E" w:rsidP="002B6649">
      <w:pPr>
        <w:spacing w:after="0" w:line="360" w:lineRule="auto"/>
        <w:jc w:val="both"/>
        <w:rPr>
          <w:rFonts w:ascii="Palatino Linotype" w:hAnsi="Palatino Linotype" w:cs="Arial"/>
          <w:color w:val="000000" w:themeColor="text1"/>
          <w:sz w:val="24"/>
          <w:szCs w:val="24"/>
        </w:rPr>
      </w:pPr>
    </w:p>
    <w:p w:rsidR="004F3819" w:rsidRDefault="00EE2F9E" w:rsidP="004F381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Si bien es cierto la recurrente omitió establecer en la solicitud de información la temporalidad en la que requería la información, por lo tanto, resulta dable hacer mención de lo </w:t>
      </w:r>
      <w:r w:rsidR="004F3819">
        <w:rPr>
          <w:rFonts w:ascii="Palatino Linotype" w:hAnsi="Palatino Linotype" w:cs="Arial"/>
          <w:color w:val="000000" w:themeColor="text1"/>
          <w:sz w:val="24"/>
          <w:szCs w:val="24"/>
        </w:rPr>
        <w:t xml:space="preserve">que se establece en el criterio 9/13 del </w:t>
      </w:r>
      <w:r w:rsidR="004F3819" w:rsidRPr="004F3819">
        <w:rPr>
          <w:rFonts w:ascii="Palatino Linotype" w:hAnsi="Palatino Linotype" w:cs="Arial"/>
          <w:color w:val="000000" w:themeColor="text1"/>
          <w:sz w:val="24"/>
          <w:szCs w:val="24"/>
        </w:rPr>
        <w:t>Instituto Nacional de Transparencia, Acceso a la Información y Protección de Datos Personales</w:t>
      </w:r>
      <w:r w:rsidR="004F3819">
        <w:rPr>
          <w:rFonts w:ascii="Palatino Linotype" w:hAnsi="Palatino Linotype" w:cs="Arial"/>
          <w:color w:val="000000" w:themeColor="text1"/>
          <w:sz w:val="24"/>
          <w:szCs w:val="24"/>
        </w:rPr>
        <w:t xml:space="preserve">, referente al Periodo de búsqueda de la información </w:t>
      </w:r>
      <w:r w:rsidR="004F3819" w:rsidRPr="004F3819">
        <w:rPr>
          <w:rFonts w:ascii="Palatino Linotype" w:hAnsi="Palatino Linotype" w:cs="Arial"/>
          <w:color w:val="000000" w:themeColor="text1"/>
          <w:sz w:val="24"/>
          <w:szCs w:val="24"/>
        </w:rPr>
        <w:t xml:space="preserve">cuando no se precisa en </w:t>
      </w:r>
      <w:r w:rsidR="004F3819">
        <w:rPr>
          <w:rFonts w:ascii="Palatino Linotype" w:hAnsi="Palatino Linotype" w:cs="Arial"/>
          <w:color w:val="000000" w:themeColor="text1"/>
          <w:sz w:val="24"/>
          <w:szCs w:val="24"/>
        </w:rPr>
        <w:t>la solicitud de información, en el cual se establece lo siguiente:</w:t>
      </w:r>
    </w:p>
    <w:p w:rsidR="004F3819" w:rsidRDefault="004F3819" w:rsidP="004F3819">
      <w:pPr>
        <w:spacing w:after="0" w:line="360" w:lineRule="auto"/>
        <w:jc w:val="both"/>
        <w:rPr>
          <w:rFonts w:ascii="Palatino Linotype" w:hAnsi="Palatino Linotype" w:cs="Arial"/>
          <w:color w:val="000000" w:themeColor="text1"/>
          <w:sz w:val="24"/>
          <w:szCs w:val="24"/>
        </w:rPr>
      </w:pPr>
      <w:r w:rsidRPr="004F3819">
        <w:rPr>
          <w:rFonts w:ascii="Palatino Linotype" w:hAnsi="Palatino Linotype" w:cs="Arial"/>
          <w:color w:val="000000" w:themeColor="text1"/>
          <w:sz w:val="24"/>
          <w:szCs w:val="24"/>
        </w:rPr>
        <w:t xml:space="preserve"> </w:t>
      </w:r>
    </w:p>
    <w:p w:rsidR="004F3819" w:rsidRPr="004F3819" w:rsidRDefault="004F3819" w:rsidP="004F3819">
      <w:pPr>
        <w:spacing w:after="0" w:line="240" w:lineRule="auto"/>
        <w:ind w:left="851" w:right="850"/>
        <w:jc w:val="both"/>
        <w:rPr>
          <w:rFonts w:ascii="Palatino Linotype" w:hAnsi="Palatino Linotype" w:cs="Arial"/>
          <w:i/>
          <w:color w:val="000000" w:themeColor="text1"/>
          <w:szCs w:val="24"/>
        </w:rPr>
      </w:pPr>
      <w:r w:rsidRPr="004F3819">
        <w:rPr>
          <w:rFonts w:ascii="Palatino Linotype" w:hAnsi="Palatino Linotype" w:cs="Arial"/>
          <w:i/>
          <w:color w:val="000000" w:themeColor="text1"/>
          <w:szCs w:val="24"/>
        </w:rPr>
        <w:t>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4F3819" w:rsidRDefault="004F3819" w:rsidP="004F3819">
      <w:pPr>
        <w:spacing w:after="0" w:line="360" w:lineRule="auto"/>
        <w:jc w:val="both"/>
        <w:rPr>
          <w:rFonts w:ascii="Palatino Linotype" w:hAnsi="Palatino Linotype" w:cs="Arial"/>
          <w:color w:val="000000" w:themeColor="text1"/>
          <w:sz w:val="24"/>
          <w:szCs w:val="24"/>
        </w:rPr>
      </w:pPr>
    </w:p>
    <w:p w:rsidR="004F3819" w:rsidRPr="004F3819" w:rsidRDefault="004F3819" w:rsidP="004F3819">
      <w:pPr>
        <w:spacing w:after="0" w:line="240" w:lineRule="auto"/>
        <w:ind w:left="851" w:right="850"/>
        <w:jc w:val="both"/>
        <w:rPr>
          <w:rFonts w:ascii="Palatino Linotype" w:hAnsi="Palatino Linotype" w:cs="Arial"/>
          <w:i/>
          <w:color w:val="000000" w:themeColor="text1"/>
          <w:szCs w:val="24"/>
        </w:rPr>
      </w:pPr>
      <w:r w:rsidRPr="004F3819">
        <w:rPr>
          <w:rFonts w:ascii="Palatino Linotype" w:hAnsi="Palatino Linotype" w:cs="Arial"/>
          <w:i/>
          <w:color w:val="000000" w:themeColor="text1"/>
          <w:szCs w:val="24"/>
        </w:rPr>
        <w:t>Resoluciones</w:t>
      </w:r>
    </w:p>
    <w:p w:rsidR="004F3819" w:rsidRPr="004F3819" w:rsidRDefault="004F3819" w:rsidP="004F3819">
      <w:pPr>
        <w:spacing w:after="0" w:line="240" w:lineRule="auto"/>
        <w:ind w:left="851" w:right="850"/>
        <w:jc w:val="both"/>
        <w:rPr>
          <w:rFonts w:ascii="Palatino Linotype" w:hAnsi="Palatino Linotype" w:cs="Arial"/>
          <w:i/>
          <w:color w:val="000000" w:themeColor="text1"/>
          <w:szCs w:val="24"/>
        </w:rPr>
      </w:pPr>
      <w:r w:rsidRPr="004F3819">
        <w:rPr>
          <w:rFonts w:ascii="Palatino Linotype" w:hAnsi="Palatino Linotype" w:cs="Arial"/>
          <w:i/>
          <w:color w:val="000000" w:themeColor="text1"/>
          <w:szCs w:val="24"/>
        </w:rPr>
        <w:t>•     RDA  1683/12.  Interpuesto  en  contra  del  Servicio  de  Administración  Tributaria.</w:t>
      </w:r>
    </w:p>
    <w:p w:rsidR="004F3819" w:rsidRPr="004F3819" w:rsidRDefault="004F3819" w:rsidP="004F3819">
      <w:pPr>
        <w:spacing w:after="0" w:line="240" w:lineRule="auto"/>
        <w:ind w:left="851" w:right="850"/>
        <w:jc w:val="both"/>
        <w:rPr>
          <w:rFonts w:ascii="Palatino Linotype" w:hAnsi="Palatino Linotype" w:cs="Arial"/>
          <w:i/>
          <w:color w:val="000000" w:themeColor="text1"/>
          <w:szCs w:val="24"/>
        </w:rPr>
      </w:pPr>
      <w:r w:rsidRPr="004F3819">
        <w:rPr>
          <w:rFonts w:ascii="Palatino Linotype" w:hAnsi="Palatino Linotype" w:cs="Arial"/>
          <w:i/>
          <w:color w:val="000000" w:themeColor="text1"/>
          <w:szCs w:val="24"/>
        </w:rPr>
        <w:t>Comisionado Ponente Ángel Trinidad Zaldívar.</w:t>
      </w:r>
    </w:p>
    <w:p w:rsidR="004F3819" w:rsidRPr="004F3819" w:rsidRDefault="004F3819" w:rsidP="004F3819">
      <w:pPr>
        <w:spacing w:after="0" w:line="240" w:lineRule="auto"/>
        <w:ind w:left="851" w:right="850"/>
        <w:jc w:val="both"/>
        <w:rPr>
          <w:rFonts w:ascii="Palatino Linotype" w:hAnsi="Palatino Linotype" w:cs="Arial"/>
          <w:i/>
          <w:color w:val="000000" w:themeColor="text1"/>
          <w:szCs w:val="24"/>
        </w:rPr>
      </w:pPr>
      <w:r w:rsidRPr="004F3819">
        <w:rPr>
          <w:rFonts w:ascii="Palatino Linotype" w:hAnsi="Palatino Linotype" w:cs="Arial"/>
          <w:i/>
          <w:color w:val="000000" w:themeColor="text1"/>
          <w:szCs w:val="24"/>
        </w:rPr>
        <w:t>•     RDA 1518/12. Interpuesto en contra de la Secretaría de Salud. Comisionado Ponente</w:t>
      </w:r>
    </w:p>
    <w:p w:rsidR="004F3819" w:rsidRPr="004F3819" w:rsidRDefault="004F3819" w:rsidP="004F3819">
      <w:pPr>
        <w:spacing w:after="0" w:line="240" w:lineRule="auto"/>
        <w:ind w:left="851" w:right="850"/>
        <w:jc w:val="both"/>
        <w:rPr>
          <w:rFonts w:ascii="Palatino Linotype" w:hAnsi="Palatino Linotype" w:cs="Arial"/>
          <w:i/>
          <w:color w:val="000000" w:themeColor="text1"/>
          <w:szCs w:val="24"/>
        </w:rPr>
      </w:pPr>
      <w:r w:rsidRPr="004F3819">
        <w:rPr>
          <w:rFonts w:ascii="Palatino Linotype" w:hAnsi="Palatino Linotype" w:cs="Arial"/>
          <w:i/>
          <w:color w:val="000000" w:themeColor="text1"/>
          <w:szCs w:val="24"/>
        </w:rPr>
        <w:t xml:space="preserve"> Ángel Trinidad Zaldívar. </w:t>
      </w:r>
    </w:p>
    <w:p w:rsidR="004F3819" w:rsidRPr="004F3819" w:rsidRDefault="004F3819" w:rsidP="004F3819">
      <w:pPr>
        <w:spacing w:after="0" w:line="240" w:lineRule="auto"/>
        <w:ind w:left="851" w:right="850"/>
        <w:jc w:val="both"/>
        <w:rPr>
          <w:rFonts w:ascii="Palatino Linotype" w:hAnsi="Palatino Linotype" w:cs="Arial"/>
          <w:i/>
          <w:color w:val="000000" w:themeColor="text1"/>
          <w:szCs w:val="24"/>
        </w:rPr>
      </w:pPr>
      <w:r w:rsidRPr="004F3819">
        <w:rPr>
          <w:rFonts w:ascii="Palatino Linotype" w:hAnsi="Palatino Linotype" w:cs="Arial"/>
          <w:i/>
          <w:color w:val="000000" w:themeColor="text1"/>
          <w:szCs w:val="24"/>
        </w:rPr>
        <w:t>•     RDA  1439/12.  Interpuesto  en  contra  de  la  Secretaría  de  Educación  Pública.</w:t>
      </w:r>
    </w:p>
    <w:p w:rsidR="004F3819" w:rsidRPr="004F3819" w:rsidRDefault="004F3819" w:rsidP="004F3819">
      <w:pPr>
        <w:spacing w:after="0" w:line="240" w:lineRule="auto"/>
        <w:ind w:left="851" w:right="850"/>
        <w:jc w:val="both"/>
        <w:rPr>
          <w:rFonts w:ascii="Palatino Linotype" w:hAnsi="Palatino Linotype" w:cs="Arial"/>
          <w:i/>
          <w:color w:val="000000" w:themeColor="text1"/>
          <w:szCs w:val="24"/>
        </w:rPr>
      </w:pPr>
      <w:r w:rsidRPr="004F3819">
        <w:rPr>
          <w:rFonts w:ascii="Palatino Linotype" w:hAnsi="Palatino Linotype" w:cs="Arial"/>
          <w:i/>
          <w:color w:val="000000" w:themeColor="text1"/>
          <w:szCs w:val="24"/>
        </w:rPr>
        <w:lastRenderedPageBreak/>
        <w:t xml:space="preserve">Comisionada Ponente Sigrid </w:t>
      </w:r>
      <w:proofErr w:type="spellStart"/>
      <w:r w:rsidRPr="004F3819">
        <w:rPr>
          <w:rFonts w:ascii="Palatino Linotype" w:hAnsi="Palatino Linotype" w:cs="Arial"/>
          <w:i/>
          <w:color w:val="000000" w:themeColor="text1"/>
          <w:szCs w:val="24"/>
        </w:rPr>
        <w:t>Arzt</w:t>
      </w:r>
      <w:proofErr w:type="spellEnd"/>
      <w:r w:rsidRPr="004F3819">
        <w:rPr>
          <w:rFonts w:ascii="Palatino Linotype" w:hAnsi="Palatino Linotype" w:cs="Arial"/>
          <w:i/>
          <w:color w:val="000000" w:themeColor="text1"/>
          <w:szCs w:val="24"/>
        </w:rPr>
        <w:t xml:space="preserve"> Colunga. </w:t>
      </w:r>
    </w:p>
    <w:p w:rsidR="004F3819" w:rsidRPr="004F3819" w:rsidRDefault="004F3819" w:rsidP="004F3819">
      <w:pPr>
        <w:spacing w:after="0" w:line="240" w:lineRule="auto"/>
        <w:ind w:left="851" w:right="850"/>
        <w:jc w:val="both"/>
        <w:rPr>
          <w:rFonts w:ascii="Palatino Linotype" w:hAnsi="Palatino Linotype" w:cs="Arial"/>
          <w:i/>
          <w:color w:val="000000" w:themeColor="text1"/>
          <w:szCs w:val="24"/>
        </w:rPr>
      </w:pPr>
      <w:r w:rsidRPr="004F3819">
        <w:rPr>
          <w:rFonts w:ascii="Palatino Linotype" w:hAnsi="Palatino Linotype" w:cs="Arial"/>
          <w:i/>
          <w:color w:val="000000" w:themeColor="text1"/>
          <w:szCs w:val="24"/>
        </w:rPr>
        <w:t>•     RDA  1308/12.  Interpuesto  en  contra  de  la  Secretaría  de  la  Defensa  Nacional.</w:t>
      </w:r>
    </w:p>
    <w:p w:rsidR="004F3819" w:rsidRPr="004F3819" w:rsidRDefault="004F3819" w:rsidP="004F3819">
      <w:pPr>
        <w:spacing w:after="0" w:line="240" w:lineRule="auto"/>
        <w:ind w:left="851" w:right="850"/>
        <w:jc w:val="both"/>
        <w:rPr>
          <w:rFonts w:ascii="Palatino Linotype" w:hAnsi="Palatino Linotype" w:cs="Arial"/>
          <w:i/>
          <w:color w:val="000000" w:themeColor="text1"/>
          <w:szCs w:val="24"/>
        </w:rPr>
      </w:pPr>
      <w:r w:rsidRPr="004F3819">
        <w:rPr>
          <w:rFonts w:ascii="Palatino Linotype" w:hAnsi="Palatino Linotype" w:cs="Arial"/>
          <w:i/>
          <w:color w:val="000000" w:themeColor="text1"/>
          <w:szCs w:val="24"/>
        </w:rPr>
        <w:t xml:space="preserve">Comisionado Ponente Ángel Trinidad Zaldívar. </w:t>
      </w:r>
    </w:p>
    <w:p w:rsidR="004F3819" w:rsidRPr="004F3819" w:rsidRDefault="004F3819" w:rsidP="004F3819">
      <w:pPr>
        <w:spacing w:after="0" w:line="240" w:lineRule="auto"/>
        <w:ind w:left="851" w:right="850"/>
        <w:jc w:val="both"/>
        <w:rPr>
          <w:rFonts w:ascii="Palatino Linotype" w:hAnsi="Palatino Linotype" w:cs="Arial"/>
          <w:i/>
          <w:color w:val="000000" w:themeColor="text1"/>
          <w:szCs w:val="24"/>
        </w:rPr>
      </w:pPr>
      <w:r w:rsidRPr="004F3819">
        <w:rPr>
          <w:rFonts w:ascii="Palatino Linotype" w:hAnsi="Palatino Linotype" w:cs="Arial"/>
          <w:i/>
          <w:color w:val="000000" w:themeColor="text1"/>
          <w:szCs w:val="24"/>
        </w:rPr>
        <w:t xml:space="preserve">•     2109/11. Interpuesto en contra del Instituto Mexicano del Seguro Social. Comisionada Ponente Jacqueline </w:t>
      </w:r>
      <w:proofErr w:type="spellStart"/>
      <w:r w:rsidRPr="004F3819">
        <w:rPr>
          <w:rFonts w:ascii="Palatino Linotype" w:hAnsi="Palatino Linotype" w:cs="Arial"/>
          <w:i/>
          <w:color w:val="000000" w:themeColor="text1"/>
          <w:szCs w:val="24"/>
        </w:rPr>
        <w:t>Peschard</w:t>
      </w:r>
      <w:proofErr w:type="spellEnd"/>
      <w:r w:rsidRPr="004F3819">
        <w:rPr>
          <w:rFonts w:ascii="Palatino Linotype" w:hAnsi="Palatino Linotype" w:cs="Arial"/>
          <w:i/>
          <w:color w:val="000000" w:themeColor="text1"/>
          <w:szCs w:val="24"/>
        </w:rPr>
        <w:t xml:space="preserve"> Mariscal. </w:t>
      </w:r>
    </w:p>
    <w:p w:rsidR="0003540F" w:rsidRDefault="0003540F" w:rsidP="002B6649">
      <w:pPr>
        <w:spacing w:after="0" w:line="360" w:lineRule="auto"/>
        <w:jc w:val="both"/>
        <w:rPr>
          <w:rFonts w:ascii="Palatino Linotype" w:hAnsi="Palatino Linotype" w:cs="Arial"/>
          <w:color w:val="000000" w:themeColor="text1"/>
          <w:sz w:val="24"/>
          <w:szCs w:val="24"/>
        </w:rPr>
      </w:pPr>
    </w:p>
    <w:p w:rsidR="00EE3C58" w:rsidRDefault="00EE3C58"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Con base a lo establecido anteriormente, se entiende que el sujeto obligado deberá hacer entrega de la información requerida por la recurrente en un periodo del veintiocho de abril de dos mil diecisiete al veintiocho de abril de dos mil dieciocho, para lo cual sirve de sustento la siguiente imagen ilustrativa, que a través de la cual se puede demostrar que el sujeto obligado </w:t>
      </w:r>
      <w:r w:rsidR="00B5115C">
        <w:rPr>
          <w:rFonts w:ascii="Palatino Linotype" w:hAnsi="Palatino Linotype" w:cs="Arial"/>
          <w:color w:val="000000" w:themeColor="text1"/>
          <w:sz w:val="24"/>
          <w:szCs w:val="24"/>
        </w:rPr>
        <w:t>puede contar</w:t>
      </w:r>
      <w:r>
        <w:rPr>
          <w:rFonts w:ascii="Palatino Linotype" w:hAnsi="Palatino Linotype" w:cs="Arial"/>
          <w:color w:val="000000" w:themeColor="text1"/>
          <w:sz w:val="24"/>
          <w:szCs w:val="24"/>
        </w:rPr>
        <w:t xml:space="preserve"> con información referente a los Gabinetes Regionales, en el año dos mil diecisiete.</w:t>
      </w:r>
    </w:p>
    <w:p w:rsidR="00B5115C" w:rsidRDefault="00B5115C" w:rsidP="002B6649">
      <w:pPr>
        <w:spacing w:after="0" w:line="360" w:lineRule="auto"/>
        <w:jc w:val="both"/>
        <w:rPr>
          <w:rFonts w:ascii="Palatino Linotype" w:hAnsi="Palatino Linotype" w:cs="Arial"/>
          <w:color w:val="000000" w:themeColor="text1"/>
          <w:sz w:val="24"/>
          <w:szCs w:val="24"/>
        </w:rPr>
      </w:pPr>
    </w:p>
    <w:p w:rsidR="00623209" w:rsidRDefault="00623209" w:rsidP="002B6649">
      <w:pPr>
        <w:spacing w:after="0" w:line="360" w:lineRule="auto"/>
        <w:jc w:val="both"/>
        <w:rPr>
          <w:noProof/>
          <w:lang w:eastAsia="es-MX"/>
        </w:rPr>
      </w:pPr>
    </w:p>
    <w:p w:rsidR="00B5115C" w:rsidRDefault="00B5115C" w:rsidP="002B6649">
      <w:pPr>
        <w:spacing w:after="0" w:line="360" w:lineRule="auto"/>
        <w:jc w:val="both"/>
        <w:rPr>
          <w:rFonts w:ascii="Palatino Linotype" w:hAnsi="Palatino Linotype" w:cs="Arial"/>
          <w:color w:val="000000" w:themeColor="text1"/>
          <w:sz w:val="24"/>
          <w:szCs w:val="24"/>
        </w:rPr>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89242</wp:posOffset>
                </wp:positionH>
                <wp:positionV relativeFrom="paragraph">
                  <wp:posOffset>98034</wp:posOffset>
                </wp:positionV>
                <wp:extent cx="5662246" cy="2004646"/>
                <wp:effectExtent l="19050" t="19050" r="34290" b="34290"/>
                <wp:wrapNone/>
                <wp:docPr id="11" name="11 Rectángulo"/>
                <wp:cNvGraphicFramePr/>
                <a:graphic xmlns:a="http://schemas.openxmlformats.org/drawingml/2006/main">
                  <a:graphicData uri="http://schemas.microsoft.com/office/word/2010/wordprocessingShape">
                    <wps:wsp>
                      <wps:cNvSpPr/>
                      <wps:spPr>
                        <a:xfrm>
                          <a:off x="0" y="0"/>
                          <a:ext cx="5662246" cy="2004646"/>
                        </a:xfrm>
                        <a:prstGeom prst="rect">
                          <a:avLst/>
                        </a:prstGeom>
                        <a:noFill/>
                        <a:ln w="571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83F1B" id="11 Rectángulo" o:spid="_x0000_s1026" style="position:absolute;margin-left:7.05pt;margin-top:7.7pt;width:445.85pt;height:15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" filled="f" strokecolor="#0d0d0d [3069]" strokeweight="4.5pt"/>
            </w:pict>
          </mc:Fallback>
        </mc:AlternateContent>
      </w:r>
      <w:r>
        <w:rPr>
          <w:noProof/>
          <w:lang w:eastAsia="es-MX"/>
        </w:rPr>
        <w:drawing>
          <wp:inline distT="0" distB="0" distL="0" distR="0" wp14:anchorId="477035DF" wp14:editId="4C466ADF">
            <wp:extent cx="5811715" cy="3253154"/>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825" t="27144" r="37931" b="23582"/>
                    <a:stretch/>
                  </pic:blipFill>
                  <pic:spPr bwMode="auto">
                    <a:xfrm>
                      <a:off x="0" y="0"/>
                      <a:ext cx="5814450" cy="3254685"/>
                    </a:xfrm>
                    <a:prstGeom prst="rect">
                      <a:avLst/>
                    </a:prstGeom>
                    <a:ln>
                      <a:noFill/>
                    </a:ln>
                    <a:extLst>
                      <a:ext uri="{53640926-AAD7-44D8-BBD7-CCE9431645EC}">
                        <a14:shadowObscured xmlns:a14="http://schemas.microsoft.com/office/drawing/2010/main"/>
                      </a:ext>
                    </a:extLst>
                  </pic:spPr>
                </pic:pic>
              </a:graphicData>
            </a:graphic>
          </wp:inline>
        </w:drawing>
      </w:r>
    </w:p>
    <w:p w:rsidR="002E0D11" w:rsidRDefault="00B5115C"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Por lo anterior resulta dable ordenar al sujeto obligado realice una nueva búsqueda exhaustiva y razonable en las distintas áreas que pudiesen tener la información solicita por la recurrente</w:t>
      </w:r>
      <w:r w:rsidR="00183C57">
        <w:rPr>
          <w:rFonts w:ascii="Palatino Linotype" w:hAnsi="Palatino Linotype" w:cs="Arial"/>
          <w:color w:val="000000" w:themeColor="text1"/>
          <w:sz w:val="24"/>
          <w:szCs w:val="24"/>
        </w:rPr>
        <w:t>, a efecto de que se le haga entrega a la recurrente el o los documentos en donde conste la evidencia de participación en gabinete regional por parte de la Rectora de la Universidad Politécnica del Valle de Toluca, del veintiocho de abril de dos mil diecisiete al veintiocho de abril de dos mil dieciocho.</w:t>
      </w:r>
    </w:p>
    <w:p w:rsidR="00183C57" w:rsidRDefault="00183C57" w:rsidP="002B6649">
      <w:pPr>
        <w:spacing w:after="0" w:line="360" w:lineRule="auto"/>
        <w:jc w:val="both"/>
        <w:rPr>
          <w:rFonts w:ascii="Palatino Linotype" w:hAnsi="Palatino Linotype" w:cs="Arial"/>
          <w:color w:val="000000" w:themeColor="text1"/>
          <w:sz w:val="24"/>
          <w:szCs w:val="24"/>
        </w:rPr>
      </w:pPr>
    </w:p>
    <w:p w:rsidR="00183C57" w:rsidRDefault="00183C57" w:rsidP="00183C57">
      <w:pPr>
        <w:spacing w:after="0" w:line="360" w:lineRule="auto"/>
        <w:jc w:val="both"/>
        <w:rPr>
          <w:rFonts w:ascii="Palatino Linotype" w:hAnsi="Palatino Linotype" w:cs="Arial"/>
          <w:color w:val="000000" w:themeColor="text1"/>
          <w:sz w:val="24"/>
          <w:szCs w:val="24"/>
        </w:rPr>
      </w:pPr>
      <w:r w:rsidRPr="00183C57">
        <w:rPr>
          <w:rFonts w:ascii="Palatino Linotype" w:hAnsi="Palatino Linotype" w:cs="Arial"/>
          <w:color w:val="000000" w:themeColor="text1"/>
          <w:sz w:val="24"/>
          <w:szCs w:val="24"/>
        </w:rPr>
        <w:t>Sirve de sustento el siguiente precepto legal</w:t>
      </w:r>
      <w:r>
        <w:rPr>
          <w:rFonts w:ascii="Palatino Linotype" w:hAnsi="Palatino Linotype" w:cs="Arial"/>
          <w:color w:val="000000" w:themeColor="text1"/>
          <w:sz w:val="24"/>
          <w:szCs w:val="24"/>
        </w:rPr>
        <w:t xml:space="preserve"> 162</w:t>
      </w:r>
      <w:r w:rsidRPr="00183C57">
        <w:rPr>
          <w:rFonts w:ascii="Palatino Linotype" w:hAnsi="Palatino Linotype" w:cs="Arial"/>
          <w:color w:val="000000" w:themeColor="text1"/>
          <w:sz w:val="24"/>
          <w:szCs w:val="24"/>
        </w:rPr>
        <w:t>, inmer</w:t>
      </w:r>
      <w:r>
        <w:rPr>
          <w:rFonts w:ascii="Palatino Linotype" w:hAnsi="Palatino Linotype" w:cs="Arial"/>
          <w:color w:val="000000" w:themeColor="text1"/>
          <w:sz w:val="24"/>
          <w:szCs w:val="24"/>
        </w:rPr>
        <w:t xml:space="preserve">so en la Ley de Transparencia y </w:t>
      </w:r>
      <w:r w:rsidRPr="00183C57">
        <w:rPr>
          <w:rFonts w:ascii="Palatino Linotype" w:hAnsi="Palatino Linotype" w:cs="Arial"/>
          <w:color w:val="000000" w:themeColor="text1"/>
          <w:sz w:val="24"/>
          <w:szCs w:val="24"/>
        </w:rPr>
        <w:t>Acceso a la información pública del</w:t>
      </w:r>
      <w:r>
        <w:rPr>
          <w:rFonts w:ascii="Palatino Linotype" w:hAnsi="Palatino Linotype" w:cs="Arial"/>
          <w:color w:val="000000" w:themeColor="text1"/>
          <w:sz w:val="24"/>
          <w:szCs w:val="24"/>
        </w:rPr>
        <w:t xml:space="preserve"> Estado de México y Municipios, el cual establece lo siguiente: </w:t>
      </w:r>
    </w:p>
    <w:p w:rsidR="00183C57" w:rsidRDefault="00183C57" w:rsidP="00183C57">
      <w:pPr>
        <w:spacing w:after="0" w:line="360" w:lineRule="auto"/>
        <w:jc w:val="both"/>
        <w:rPr>
          <w:rFonts w:ascii="Palatino Linotype" w:hAnsi="Palatino Linotype" w:cs="Arial"/>
          <w:color w:val="000000" w:themeColor="text1"/>
          <w:sz w:val="24"/>
          <w:szCs w:val="24"/>
        </w:rPr>
      </w:pPr>
    </w:p>
    <w:p w:rsidR="00183C57" w:rsidRPr="00183C57" w:rsidRDefault="00183C57" w:rsidP="00183C57">
      <w:pPr>
        <w:spacing w:after="0" w:line="240" w:lineRule="auto"/>
        <w:ind w:left="851" w:right="850"/>
        <w:jc w:val="both"/>
        <w:rPr>
          <w:rFonts w:ascii="Palatino Linotype" w:hAnsi="Palatino Linotype" w:cs="Arial"/>
          <w:i/>
          <w:color w:val="000000" w:themeColor="text1"/>
          <w:szCs w:val="24"/>
        </w:rPr>
      </w:pPr>
      <w:r w:rsidRPr="00183C57">
        <w:rPr>
          <w:rFonts w:ascii="Palatino Linotype" w:hAnsi="Palatino Linotype" w:cs="Arial"/>
          <w:i/>
          <w:color w:val="000000" w:themeColor="text1"/>
          <w:szCs w:val="24"/>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83C57" w:rsidRDefault="00183C57" w:rsidP="002B6649">
      <w:pPr>
        <w:spacing w:after="0" w:line="360" w:lineRule="auto"/>
        <w:jc w:val="both"/>
        <w:rPr>
          <w:rFonts w:ascii="Palatino Linotype" w:hAnsi="Palatino Linotype" w:cs="Arial"/>
          <w:color w:val="000000" w:themeColor="text1"/>
          <w:sz w:val="24"/>
          <w:szCs w:val="24"/>
        </w:rPr>
      </w:pPr>
    </w:p>
    <w:p w:rsidR="00183C57" w:rsidRDefault="00183C57"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es posible que la información solicitada por la recurrente contenga datos susceptibles de clasificar, por ende el sujeto obligado deberá hacer estrega de esta en versión pública.</w:t>
      </w:r>
    </w:p>
    <w:p w:rsidR="002E0D11" w:rsidRDefault="002E0D11" w:rsidP="002B6649">
      <w:pPr>
        <w:spacing w:after="0" w:line="360" w:lineRule="auto"/>
        <w:jc w:val="both"/>
        <w:rPr>
          <w:rFonts w:ascii="Palatino Linotype" w:hAnsi="Palatino Linotype" w:cs="Arial"/>
          <w:color w:val="000000" w:themeColor="text1"/>
          <w:sz w:val="24"/>
          <w:szCs w:val="24"/>
        </w:rPr>
      </w:pPr>
    </w:p>
    <w:p w:rsidR="00172F03" w:rsidRPr="00B34359" w:rsidRDefault="00172F03" w:rsidP="00172F03">
      <w:pPr>
        <w:pStyle w:val="Prrafodelista"/>
        <w:numPr>
          <w:ilvl w:val="0"/>
          <w:numId w:val="5"/>
        </w:numPr>
        <w:autoSpaceDE w:val="0"/>
        <w:autoSpaceDN w:val="0"/>
        <w:adjustRightInd w:val="0"/>
        <w:spacing w:before="240" w:line="360" w:lineRule="auto"/>
        <w:ind w:left="1004"/>
        <w:jc w:val="both"/>
        <w:rPr>
          <w:rFonts w:ascii="Palatino Linotype" w:hAnsi="Palatino Linotype" w:cs="Arial"/>
          <w:b/>
          <w:i/>
        </w:rPr>
      </w:pPr>
      <w:r w:rsidRPr="005D0FA2">
        <w:rPr>
          <w:rFonts w:ascii="Palatino Linotype" w:hAnsi="Palatino Linotype"/>
          <w:b/>
          <w:lang w:val="es-ES_tradnl"/>
        </w:rPr>
        <w:t xml:space="preserve">De la versión pública. </w:t>
      </w:r>
    </w:p>
    <w:p w:rsidR="00172F03" w:rsidRDefault="00172F03" w:rsidP="00172F03">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w:t>
      </w:r>
      <w:r>
        <w:rPr>
          <w:rFonts w:ascii="Palatino Linotype" w:eastAsia="Arial Unicode MS" w:hAnsi="Palatino Linotype" w:cs="Arial"/>
          <w:sz w:val="24"/>
          <w:szCs w:val="24"/>
        </w:rPr>
        <w:lastRenderedPageBreak/>
        <w:t xml:space="preserve">empero sin violar el derecho a la intimidad por medio de la protección de datos personales, por ende de la información que se ponga a disposición, </w:t>
      </w:r>
      <w:r w:rsidRPr="006A474F">
        <w:rPr>
          <w:rFonts w:ascii="Palatino Linotype" w:eastAsia="Arial Unicode MS" w:hAnsi="Palatino Linotype" w:cs="Arial"/>
          <w:b/>
          <w:sz w:val="24"/>
          <w:szCs w:val="24"/>
        </w:rPr>
        <w:t>su entrega deberá ser en versión pública;</w:t>
      </w:r>
      <w:r>
        <w:rPr>
          <w:rFonts w:ascii="Palatino Linotype" w:eastAsia="Arial Unicode MS" w:hAnsi="Palatino Linotype" w:cs="Arial"/>
          <w:sz w:val="24"/>
          <w:szCs w:val="24"/>
        </w:rPr>
        <w:t xml:space="preserve"> referencia cuyo fundamento legal aplicable se encuentra inmerso en los numerales</w:t>
      </w:r>
      <w:r w:rsidRPr="00F63127">
        <w:rPr>
          <w:rFonts w:ascii="Palatino Linotype" w:eastAsia="Arial Unicode MS" w:hAnsi="Palatino Linotype" w:cs="Arial"/>
          <w:sz w:val="24"/>
          <w:szCs w:val="24"/>
        </w:rPr>
        <w:t xml:space="preserve"> de la Ley de la materia, </w:t>
      </w:r>
      <w:r>
        <w:rPr>
          <w:rFonts w:ascii="Palatino Linotype" w:eastAsia="Arial Unicode MS" w:hAnsi="Palatino Linotype" w:cs="Arial"/>
          <w:sz w:val="24"/>
          <w:szCs w:val="24"/>
        </w:rPr>
        <w:t xml:space="preserve">que a la letra </w:t>
      </w:r>
      <w:r w:rsidRPr="00F63127">
        <w:rPr>
          <w:rFonts w:ascii="Palatino Linotype" w:eastAsia="Arial Unicode MS" w:hAnsi="Palatino Linotype" w:cs="Arial"/>
          <w:sz w:val="24"/>
          <w:szCs w:val="24"/>
        </w:rPr>
        <w:t>esgrimen:</w:t>
      </w:r>
    </w:p>
    <w:p w:rsidR="00172F03" w:rsidRPr="00317EAB" w:rsidRDefault="00172F03" w:rsidP="00172F03">
      <w:pPr>
        <w:spacing w:line="240" w:lineRule="auto"/>
        <w:ind w:left="851" w:right="851"/>
        <w:jc w:val="both"/>
        <w:rPr>
          <w:rFonts w:ascii="Palatino Linotype" w:hAnsi="Palatino Linotype" w:cs="Arial"/>
          <w:b/>
          <w:i/>
        </w:rPr>
      </w:pPr>
      <w:r w:rsidRPr="00317EAB">
        <w:rPr>
          <w:rFonts w:ascii="Palatino Linotype" w:hAnsi="Palatino Linotype" w:cs="Arial"/>
          <w:b/>
          <w:i/>
        </w:rPr>
        <w:t>Artículo 3. Para los efectos de la presente Ley se entenderá por:</w:t>
      </w:r>
    </w:p>
    <w:p w:rsidR="00172F03" w:rsidRPr="00317EAB" w:rsidRDefault="00172F03" w:rsidP="00172F03">
      <w:pPr>
        <w:spacing w:line="240" w:lineRule="auto"/>
        <w:ind w:left="851" w:right="851"/>
        <w:jc w:val="both"/>
        <w:rPr>
          <w:rFonts w:ascii="Palatino Linotype" w:hAnsi="Palatino Linotype" w:cs="Arial"/>
          <w:b/>
          <w:i/>
        </w:rPr>
      </w:pPr>
      <w:r w:rsidRPr="00317EAB">
        <w:rPr>
          <w:rFonts w:ascii="Palatino Linotype" w:hAnsi="Palatino Linotype" w:cs="Arial"/>
          <w:b/>
          <w:i/>
        </w:rPr>
        <w:t>[…]</w:t>
      </w:r>
    </w:p>
    <w:p w:rsidR="00172F03" w:rsidRPr="00317EAB" w:rsidRDefault="00172F03" w:rsidP="00172F03">
      <w:pPr>
        <w:spacing w:line="240" w:lineRule="auto"/>
        <w:ind w:left="851" w:right="851"/>
        <w:jc w:val="both"/>
        <w:rPr>
          <w:rFonts w:ascii="Palatino Linotype" w:hAnsi="Palatino Linotype" w:cs="Arial"/>
          <w:b/>
          <w:i/>
        </w:rPr>
      </w:pPr>
      <w:r w:rsidRPr="00317EAB">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172F03" w:rsidRPr="00317EAB" w:rsidRDefault="00172F03" w:rsidP="00172F03">
      <w:pPr>
        <w:spacing w:line="240" w:lineRule="auto"/>
        <w:ind w:left="851" w:right="851"/>
        <w:jc w:val="both"/>
        <w:rPr>
          <w:rFonts w:ascii="Palatino Linotype" w:hAnsi="Palatino Linotype" w:cs="Arial"/>
          <w:b/>
          <w:i/>
        </w:rPr>
      </w:pPr>
      <w:r w:rsidRPr="00317EAB">
        <w:rPr>
          <w:rFonts w:ascii="Palatino Linotype" w:hAnsi="Palatino Linotype" w:cs="Arial"/>
          <w:b/>
          <w:i/>
        </w:rPr>
        <w:t>[…]</w:t>
      </w:r>
    </w:p>
    <w:p w:rsidR="00172F03" w:rsidRPr="00317EAB" w:rsidRDefault="00172F03" w:rsidP="00172F03">
      <w:pPr>
        <w:spacing w:line="240" w:lineRule="auto"/>
        <w:ind w:left="851" w:right="851"/>
        <w:jc w:val="both"/>
        <w:rPr>
          <w:rFonts w:ascii="Palatino Linotype" w:hAnsi="Palatino Linotype" w:cs="Arial"/>
          <w:b/>
          <w:i/>
        </w:rPr>
      </w:pPr>
      <w:r w:rsidRPr="00317EAB">
        <w:rPr>
          <w:rFonts w:ascii="Palatino Linotype" w:hAnsi="Palatino Linotype" w:cs="Arial"/>
          <w:b/>
          <w:i/>
        </w:rPr>
        <w:t>XLV. Versión pública: Documento en el que se elimine, suprime o borra la información clasificada como reservada o confidencial para permitir su acceso.</w:t>
      </w:r>
    </w:p>
    <w:p w:rsidR="00172F03" w:rsidRDefault="00172F03" w:rsidP="00172F03">
      <w:pPr>
        <w:spacing w:line="240" w:lineRule="auto"/>
        <w:ind w:left="851" w:right="851"/>
        <w:jc w:val="both"/>
        <w:rPr>
          <w:rFonts w:ascii="Palatino Linotype" w:hAnsi="Palatino Linotype" w:cs="Arial"/>
          <w:i/>
        </w:rPr>
      </w:pPr>
      <w:r w:rsidRPr="00317EAB">
        <w:rPr>
          <w:rFonts w:ascii="Palatino Linotype" w:hAnsi="Palatino Linotype" w:cs="Arial"/>
          <w:i/>
        </w:rPr>
        <w:t xml:space="preserve">Artículo 122. La clasificación es el proceso mediante el cual el sujeto obligado determina que la información en su poder </w:t>
      </w:r>
      <w:proofErr w:type="spellStart"/>
      <w:r w:rsidRPr="00317EAB">
        <w:rPr>
          <w:rFonts w:ascii="Palatino Linotype" w:hAnsi="Palatino Linotype" w:cs="Arial"/>
          <w:i/>
        </w:rPr>
        <w:t>actualiza</w:t>
      </w:r>
      <w:proofErr w:type="spellEnd"/>
      <w:r w:rsidRPr="00317EAB">
        <w:rPr>
          <w:rFonts w:ascii="Palatino Linotype" w:hAnsi="Palatino Linotype" w:cs="Arial"/>
          <w:i/>
        </w:rPr>
        <w:t xml:space="preserve"> alguno de los supuestos de reserva o confidencialidad, de conformidad con lo dispuesto en el presente título.</w:t>
      </w:r>
    </w:p>
    <w:p w:rsidR="00172F03" w:rsidRDefault="00172F03" w:rsidP="00172F03">
      <w:pPr>
        <w:spacing w:line="240" w:lineRule="auto"/>
        <w:ind w:left="851" w:right="851"/>
        <w:jc w:val="both"/>
        <w:rPr>
          <w:rFonts w:ascii="Palatino Linotype" w:hAnsi="Palatino Linotype" w:cs="Arial"/>
          <w:i/>
        </w:rPr>
      </w:pPr>
      <w:r>
        <w:rPr>
          <w:rFonts w:ascii="Palatino Linotype" w:hAnsi="Palatino Linotype" w:cs="Arial"/>
          <w:i/>
        </w:rPr>
        <w:t>[…]</w:t>
      </w:r>
    </w:p>
    <w:p w:rsidR="00172F03" w:rsidRDefault="00172F03" w:rsidP="00172F03">
      <w:pPr>
        <w:spacing w:line="240" w:lineRule="auto"/>
        <w:ind w:left="851" w:right="851"/>
        <w:jc w:val="both"/>
        <w:rPr>
          <w:rFonts w:ascii="Palatino Linotype" w:hAnsi="Palatino Linotype" w:cs="Arial"/>
          <w:i/>
        </w:rPr>
      </w:pPr>
      <w:r w:rsidRPr="00317EAB">
        <w:rPr>
          <w:rFonts w:ascii="Palatino Linotype" w:hAnsi="Palatino Linotype" w:cs="Arial"/>
          <w:i/>
        </w:rPr>
        <w:t>Artículo 132. La clasificación de la información se llevará a cabo en el momento en que:</w:t>
      </w:r>
    </w:p>
    <w:p w:rsidR="00172F03" w:rsidRDefault="00172F03" w:rsidP="00172F03">
      <w:pPr>
        <w:spacing w:line="240" w:lineRule="auto"/>
        <w:ind w:left="851" w:right="851"/>
        <w:jc w:val="both"/>
        <w:rPr>
          <w:rFonts w:ascii="Palatino Linotype" w:hAnsi="Palatino Linotype" w:cs="Arial"/>
          <w:i/>
        </w:rPr>
      </w:pPr>
      <w:r>
        <w:rPr>
          <w:rFonts w:ascii="Palatino Linotype" w:hAnsi="Palatino Linotype" w:cs="Arial"/>
          <w:i/>
        </w:rPr>
        <w:t>[…]</w:t>
      </w:r>
    </w:p>
    <w:p w:rsidR="00172F03" w:rsidRPr="00317EAB" w:rsidRDefault="00172F03" w:rsidP="00172F03">
      <w:pPr>
        <w:spacing w:line="240" w:lineRule="auto"/>
        <w:ind w:left="851" w:right="851"/>
        <w:jc w:val="both"/>
        <w:rPr>
          <w:rFonts w:ascii="Palatino Linotype" w:hAnsi="Palatino Linotype" w:cs="Arial"/>
          <w:b/>
          <w:i/>
        </w:rPr>
      </w:pPr>
      <w:r w:rsidRPr="00317EAB">
        <w:rPr>
          <w:rFonts w:ascii="Palatino Linotype" w:hAnsi="Palatino Linotype" w:cs="Arial"/>
          <w:b/>
          <w:i/>
        </w:rPr>
        <w:t>III. Se generen versiones públicas para dar cumplimiento a las obligaciones de transparencia previstas en esta Ley.</w:t>
      </w:r>
    </w:p>
    <w:p w:rsidR="00172F03" w:rsidRDefault="00172F03" w:rsidP="00172F03">
      <w:pPr>
        <w:spacing w:line="240" w:lineRule="auto"/>
        <w:ind w:left="851" w:right="851"/>
        <w:jc w:val="both"/>
        <w:rPr>
          <w:rFonts w:ascii="Palatino Linotype" w:hAnsi="Palatino Linotype" w:cs="Arial"/>
          <w:b/>
          <w:i/>
          <w:u w:val="single"/>
        </w:rPr>
      </w:pPr>
      <w:r w:rsidRPr="00317EA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17EAB">
        <w:rPr>
          <w:rFonts w:ascii="Palatino Linotype" w:hAnsi="Palatino Linotype" w:cs="Arial"/>
          <w:b/>
          <w:i/>
          <w:u w:val="single"/>
        </w:rPr>
        <w:t>de manera genérica y fundando y motivando su clasificación.</w:t>
      </w:r>
    </w:p>
    <w:p w:rsidR="00172F03" w:rsidRPr="00317EAB" w:rsidRDefault="00172F03" w:rsidP="00172F03">
      <w:pPr>
        <w:spacing w:line="240" w:lineRule="auto"/>
        <w:ind w:left="851" w:right="851"/>
        <w:jc w:val="both"/>
        <w:rPr>
          <w:rFonts w:ascii="Palatino Linotype" w:hAnsi="Palatino Linotype" w:cs="Arial"/>
          <w:b/>
          <w:i/>
          <w:u w:val="single"/>
        </w:rPr>
      </w:pPr>
    </w:p>
    <w:p w:rsidR="00172F03" w:rsidRDefault="00172F03" w:rsidP="00172F03">
      <w:pPr>
        <w:spacing w:after="0" w:line="360" w:lineRule="auto"/>
        <w:ind w:right="51"/>
        <w:jc w:val="both"/>
        <w:rPr>
          <w:rFonts w:ascii="Palatino Linotype" w:hAnsi="Palatino Linotype" w:cs="Arial"/>
          <w:sz w:val="24"/>
          <w:szCs w:val="24"/>
        </w:rPr>
      </w:pPr>
      <w:r>
        <w:rPr>
          <w:rFonts w:ascii="Palatino Linotype" w:eastAsia="Arial Unicode MS" w:hAnsi="Palatino Linotype" w:cs="Arial"/>
          <w:sz w:val="24"/>
          <w:szCs w:val="24"/>
        </w:rPr>
        <w:lastRenderedPageBreak/>
        <w:t xml:space="preserve">Verbigracia, previo a poner a disposición la información correspondiente debe considerarse que tiene carácter de confidencial </w:t>
      </w:r>
      <w:r w:rsidRPr="00F63127">
        <w:rPr>
          <w:rFonts w:ascii="Palatino Linotype" w:hAnsi="Palatino Linotype" w:cs="Arial"/>
          <w:sz w:val="24"/>
          <w:szCs w:val="24"/>
        </w:rPr>
        <w:t xml:space="preserve">el Registro Federal de Contribuyentes </w:t>
      </w:r>
      <w:r w:rsidRPr="00926406">
        <w:rPr>
          <w:rFonts w:ascii="Palatino Linotype" w:hAnsi="Palatino Linotype" w:cs="Arial"/>
          <w:b/>
          <w:sz w:val="24"/>
          <w:szCs w:val="24"/>
        </w:rPr>
        <w:t>(RFC)</w:t>
      </w:r>
      <w:r>
        <w:rPr>
          <w:rFonts w:ascii="Palatino Linotype" w:hAnsi="Palatino Linotype" w:cs="Arial"/>
          <w:b/>
          <w:sz w:val="24"/>
          <w:szCs w:val="24"/>
        </w:rPr>
        <w:t xml:space="preserve"> </w:t>
      </w:r>
      <w:r w:rsidRPr="00926406">
        <w:rPr>
          <w:rFonts w:ascii="Palatino Linotype" w:hAnsi="Palatino Linotype" w:cs="Arial"/>
          <w:b/>
          <w:sz w:val="24"/>
          <w:szCs w:val="24"/>
        </w:rPr>
        <w:t>que no sean de proveedores</w:t>
      </w:r>
      <w:r w:rsidRPr="00F63127">
        <w:rPr>
          <w:rFonts w:ascii="Palatino Linotype" w:hAnsi="Palatino Linotype" w:cs="Arial"/>
          <w:sz w:val="24"/>
          <w:szCs w:val="24"/>
        </w:rPr>
        <w:t xml:space="preserve">, </w:t>
      </w:r>
      <w:r>
        <w:rPr>
          <w:rFonts w:ascii="Palatino Linotype" w:hAnsi="Palatino Linotype" w:cs="Arial"/>
          <w:sz w:val="24"/>
          <w:szCs w:val="24"/>
        </w:rPr>
        <w:t xml:space="preserve">cuenta bancaria, </w:t>
      </w:r>
      <w:r w:rsidRPr="00F63127">
        <w:rPr>
          <w:rFonts w:ascii="Palatino Linotype" w:hAnsi="Palatino Linotype" w:cs="Arial"/>
          <w:sz w:val="24"/>
          <w:szCs w:val="24"/>
        </w:rPr>
        <w:t>la Clave Única de Registro de Población (CURP),</w:t>
      </w:r>
      <w:r>
        <w:rPr>
          <w:rFonts w:ascii="Palatino Linotype" w:hAnsi="Palatino Linotype" w:cs="Arial"/>
          <w:sz w:val="24"/>
          <w:szCs w:val="24"/>
        </w:rPr>
        <w:t xml:space="preserve"> domicilio particular, teléfono particular, el nombre de las personas físicas que no tengan la calidad de servidor público o aquellos que no reciban recursos públicos,</w:t>
      </w:r>
      <w:r w:rsidRPr="00F63127">
        <w:rPr>
          <w:rFonts w:ascii="Palatino Linotype" w:hAnsi="Palatino Linotype" w:cs="Arial"/>
          <w:sz w:val="24"/>
          <w:szCs w:val="24"/>
        </w:rPr>
        <w:t xml:space="preserve"> entre otros considerados como datos personales</w:t>
      </w:r>
      <w:r>
        <w:rPr>
          <w:rFonts w:ascii="Palatino Linotype" w:hAnsi="Palatino Linotype" w:cs="Arial"/>
          <w:sz w:val="24"/>
          <w:szCs w:val="24"/>
        </w:rPr>
        <w:t xml:space="preserve"> en términos de la normatividad aplicable.</w:t>
      </w:r>
    </w:p>
    <w:p w:rsidR="00172F03" w:rsidRDefault="00172F03" w:rsidP="00172F03">
      <w:pPr>
        <w:spacing w:after="0" w:line="360" w:lineRule="auto"/>
        <w:ind w:right="51"/>
        <w:jc w:val="both"/>
        <w:rPr>
          <w:rFonts w:ascii="Palatino Linotype" w:hAnsi="Palatino Linotype" w:cs="Arial"/>
          <w:sz w:val="24"/>
          <w:szCs w:val="24"/>
        </w:rPr>
      </w:pPr>
    </w:p>
    <w:p w:rsidR="00172F03" w:rsidRDefault="00172F03" w:rsidP="00172F0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F63127">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172F03" w:rsidRDefault="00172F03" w:rsidP="00172F03">
      <w:pPr>
        <w:spacing w:before="240" w:after="240" w:line="360" w:lineRule="auto"/>
        <w:ind w:right="-91"/>
        <w:jc w:val="both"/>
        <w:rPr>
          <w:rFonts w:ascii="Palatino Linotype" w:eastAsia="Times New Roman" w:hAnsi="Palatino Linotype" w:cs="Arial"/>
          <w:sz w:val="24"/>
          <w:szCs w:val="24"/>
          <w:lang w:eastAsia="es-MX"/>
        </w:rPr>
      </w:pPr>
      <w:r w:rsidRPr="00F63127">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172F03" w:rsidRPr="00F63127" w:rsidRDefault="00172F03" w:rsidP="00172F03">
      <w:pPr>
        <w:spacing w:before="240" w:after="240" w:line="360" w:lineRule="auto"/>
        <w:ind w:right="-91"/>
        <w:jc w:val="both"/>
        <w:rPr>
          <w:rFonts w:ascii="Palatino Linotype" w:eastAsia="Times New Roman" w:hAnsi="Palatino Linotype" w:cs="Arial"/>
          <w:sz w:val="24"/>
          <w:szCs w:val="24"/>
          <w:lang w:eastAsia="es-MX"/>
        </w:rPr>
      </w:pPr>
    </w:p>
    <w:p w:rsidR="00172F03" w:rsidRDefault="00172F03" w:rsidP="00172F03">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Lo anterior, es compartido p</w:t>
      </w:r>
      <w:r>
        <w:rPr>
          <w:rFonts w:ascii="Palatino Linotype" w:hAnsi="Palatino Linotype" w:cs="Arial"/>
          <w:sz w:val="24"/>
          <w:szCs w:val="24"/>
        </w:rPr>
        <w:t xml:space="preserve">or el Instituto Nacional de Transparencia, </w:t>
      </w:r>
      <w:r w:rsidRPr="00E27A17">
        <w:rPr>
          <w:rFonts w:ascii="Palatino Linotype" w:hAnsi="Palatino Linotype" w:cs="Arial"/>
          <w:sz w:val="24"/>
          <w:szCs w:val="24"/>
        </w:rPr>
        <w:t>Acceso a la Información</w:t>
      </w:r>
      <w:r>
        <w:rPr>
          <w:rFonts w:ascii="Palatino Linotype" w:hAnsi="Palatino Linotype" w:cs="Arial"/>
          <w:sz w:val="24"/>
          <w:szCs w:val="24"/>
        </w:rPr>
        <w:t xml:space="preserve"> y Protección de Datos (INAI) a través del Criterio 19/17</w:t>
      </w:r>
      <w:r w:rsidRPr="00E27A17">
        <w:rPr>
          <w:rFonts w:ascii="Palatino Linotype" w:hAnsi="Palatino Linotype" w:cs="Arial"/>
          <w:sz w:val="24"/>
          <w:szCs w:val="24"/>
        </w:rPr>
        <w:t>, el cual es del tenor literal siguiente:</w:t>
      </w:r>
    </w:p>
    <w:p w:rsidR="00172F03" w:rsidRDefault="00172F03" w:rsidP="00172F03">
      <w:pPr>
        <w:tabs>
          <w:tab w:val="left" w:pos="8647"/>
        </w:tabs>
        <w:spacing w:after="0" w:line="360" w:lineRule="auto"/>
        <w:ind w:left="851" w:right="51"/>
        <w:jc w:val="both"/>
        <w:rPr>
          <w:rFonts w:ascii="Palatino Linotype" w:hAnsi="Palatino Linotype" w:cs="Arial"/>
          <w:sz w:val="24"/>
          <w:szCs w:val="24"/>
        </w:rPr>
      </w:pPr>
    </w:p>
    <w:p w:rsidR="00172F03" w:rsidRPr="00E655B8" w:rsidRDefault="00172F03" w:rsidP="00172F03">
      <w:pPr>
        <w:tabs>
          <w:tab w:val="left" w:pos="8647"/>
        </w:tabs>
        <w:spacing w:after="0" w:line="240" w:lineRule="auto"/>
        <w:ind w:left="851" w:right="850"/>
        <w:jc w:val="both"/>
        <w:rPr>
          <w:rFonts w:ascii="Palatino Linotype" w:hAnsi="Palatino Linotype" w:cs="Arial"/>
          <w:b/>
          <w:bCs/>
          <w:i/>
        </w:rPr>
      </w:pPr>
      <w:r w:rsidRPr="00E655B8">
        <w:rPr>
          <w:rFonts w:ascii="Palatino Linotype" w:hAnsi="Palatino Linotype" w:cs="Arial"/>
          <w:bCs/>
          <w:i/>
        </w:rPr>
        <w:t>“Registro Federal de Contribuyentes (RFC) de personas físicas. El RFC es una clave de carácter fiscal, única e irrepetible, que permite identificar al titular, su edad y fecha de nacimiento, por lo que es un dato personal de carácter confidencial.”</w:t>
      </w:r>
      <w:r w:rsidRPr="00497964">
        <w:rPr>
          <w:rFonts w:ascii="Palatino Linotype" w:hAnsi="Palatino Linotype" w:cs="Arial"/>
          <w:bCs/>
          <w:i/>
        </w:rPr>
        <w:t xml:space="preserve"> (Sic)</w:t>
      </w:r>
    </w:p>
    <w:p w:rsidR="00172F03" w:rsidRDefault="00172F03" w:rsidP="00172F03">
      <w:pPr>
        <w:tabs>
          <w:tab w:val="left" w:pos="8647"/>
        </w:tabs>
        <w:spacing w:after="0" w:line="240" w:lineRule="auto"/>
        <w:ind w:left="851" w:right="850"/>
        <w:jc w:val="both"/>
        <w:rPr>
          <w:rFonts w:ascii="Palatino Linotype" w:hAnsi="Palatino Linotype" w:cs="Arial"/>
          <w:b/>
          <w:i/>
        </w:rPr>
      </w:pPr>
    </w:p>
    <w:p w:rsidR="00172F03" w:rsidRPr="006150F6" w:rsidRDefault="00172F03" w:rsidP="00172F03">
      <w:pPr>
        <w:tabs>
          <w:tab w:val="left" w:pos="8647"/>
        </w:tabs>
        <w:spacing w:after="0" w:line="240" w:lineRule="auto"/>
        <w:ind w:left="851" w:right="850"/>
        <w:jc w:val="both"/>
        <w:rPr>
          <w:rFonts w:ascii="Palatino Linotype" w:hAnsi="Palatino Linotype" w:cs="Arial"/>
          <w:b/>
          <w:i/>
        </w:rPr>
      </w:pPr>
      <w:r w:rsidRPr="006150F6">
        <w:rPr>
          <w:rFonts w:ascii="Palatino Linotype" w:hAnsi="Palatino Linotype" w:cs="Arial"/>
          <w:b/>
          <w:i/>
        </w:rPr>
        <w:t>Resoluciones:</w:t>
      </w:r>
    </w:p>
    <w:p w:rsidR="00172F03" w:rsidRPr="006150F6" w:rsidRDefault="00172F03" w:rsidP="00172F03">
      <w:pPr>
        <w:tabs>
          <w:tab w:val="left" w:pos="8647"/>
        </w:tabs>
        <w:spacing w:after="0" w:line="240" w:lineRule="auto"/>
        <w:ind w:left="851" w:right="850"/>
        <w:jc w:val="both"/>
        <w:rPr>
          <w:rFonts w:ascii="Palatino Linotype" w:hAnsi="Palatino Linotype" w:cs="Arial"/>
          <w:i/>
          <w:lang w:val="es-ES"/>
        </w:rPr>
      </w:pPr>
      <w:r w:rsidRPr="006150F6">
        <w:rPr>
          <w:rFonts w:ascii="Palatino Linotype" w:hAnsi="Palatino Linotype" w:cs="Arial"/>
          <w:b/>
          <w:i/>
        </w:rPr>
        <w:t xml:space="preserve">RRA </w:t>
      </w:r>
      <w:r w:rsidRPr="006150F6">
        <w:rPr>
          <w:rFonts w:ascii="Palatino Linotype" w:hAnsi="Palatino Linotype" w:cs="Arial"/>
          <w:b/>
          <w:i/>
          <w:lang w:val="es-ES"/>
        </w:rPr>
        <w:t xml:space="preserve">0189/17. </w:t>
      </w:r>
      <w:r w:rsidRPr="006150F6">
        <w:rPr>
          <w:rFonts w:ascii="Palatino Linotype" w:hAnsi="Palatino Linotype" w:cs="Arial"/>
          <w:i/>
          <w:lang w:val="es-ES"/>
        </w:rPr>
        <w:t xml:space="preserve">Morena. 08 de febrero de 2017. Por unanimidad. Comisionado Ponente </w:t>
      </w:r>
      <w:r w:rsidRPr="006150F6">
        <w:rPr>
          <w:rFonts w:ascii="Palatino Linotype" w:hAnsi="Palatino Linotype" w:cs="Arial"/>
          <w:i/>
        </w:rPr>
        <w:t>Joel Salas Suárez.</w:t>
      </w:r>
    </w:p>
    <w:p w:rsidR="00172F03" w:rsidRPr="006150F6" w:rsidRDefault="00172F03" w:rsidP="00172F03">
      <w:pPr>
        <w:tabs>
          <w:tab w:val="left" w:pos="8647"/>
        </w:tabs>
        <w:spacing w:after="0" w:line="240" w:lineRule="auto"/>
        <w:ind w:left="851" w:right="850"/>
        <w:jc w:val="both"/>
        <w:rPr>
          <w:rFonts w:ascii="Palatino Linotype" w:hAnsi="Palatino Linotype" w:cs="Arial"/>
          <w:i/>
          <w:lang w:val="es-ES"/>
        </w:rPr>
      </w:pPr>
    </w:p>
    <w:p w:rsidR="00172F03" w:rsidRPr="006150F6" w:rsidRDefault="00172F03" w:rsidP="00172F03">
      <w:pPr>
        <w:tabs>
          <w:tab w:val="left" w:pos="8647"/>
        </w:tabs>
        <w:spacing w:after="0" w:line="240" w:lineRule="auto"/>
        <w:ind w:left="851" w:right="850"/>
        <w:jc w:val="both"/>
        <w:rPr>
          <w:rFonts w:ascii="Palatino Linotype" w:hAnsi="Palatino Linotype" w:cs="Arial"/>
          <w:i/>
          <w:lang w:val="es-ES"/>
        </w:rPr>
      </w:pPr>
      <w:r w:rsidRPr="006150F6">
        <w:rPr>
          <w:rFonts w:ascii="Palatino Linotype" w:hAnsi="Palatino Linotype" w:cs="Arial"/>
          <w:b/>
          <w:i/>
        </w:rPr>
        <w:t xml:space="preserve">RRA </w:t>
      </w:r>
      <w:r w:rsidRPr="006150F6">
        <w:rPr>
          <w:rFonts w:ascii="Palatino Linotype" w:hAnsi="Palatino Linotype" w:cs="Arial"/>
          <w:b/>
          <w:bCs/>
          <w:i/>
        </w:rPr>
        <w:t>0677</w:t>
      </w:r>
      <w:r w:rsidRPr="006150F6">
        <w:rPr>
          <w:rFonts w:ascii="Palatino Linotype" w:hAnsi="Palatino Linotype" w:cs="Arial"/>
          <w:b/>
          <w:i/>
        </w:rPr>
        <w:t xml:space="preserve">/17. </w:t>
      </w:r>
      <w:r w:rsidRPr="006150F6">
        <w:rPr>
          <w:rFonts w:ascii="Palatino Linotype" w:hAnsi="Palatino Linotype" w:cs="Arial"/>
          <w:i/>
          <w:lang w:val="es-ES"/>
        </w:rPr>
        <w:t xml:space="preserve">Universidad Nacional Autónoma de México. 08 de marzo de 2017. Por unanimidad. Comisionado Ponente </w:t>
      </w:r>
      <w:proofErr w:type="spellStart"/>
      <w:r w:rsidRPr="006150F6">
        <w:rPr>
          <w:rFonts w:ascii="Palatino Linotype" w:hAnsi="Palatino Linotype" w:cs="Arial"/>
          <w:i/>
          <w:lang w:val="es-ES"/>
        </w:rPr>
        <w:t>Rosendoevgueni</w:t>
      </w:r>
      <w:proofErr w:type="spellEnd"/>
      <w:r w:rsidRPr="006150F6">
        <w:rPr>
          <w:rFonts w:ascii="Palatino Linotype" w:hAnsi="Palatino Linotype" w:cs="Arial"/>
          <w:i/>
          <w:lang w:val="es-ES"/>
        </w:rPr>
        <w:t xml:space="preserve"> Monterrey </w:t>
      </w:r>
      <w:proofErr w:type="spellStart"/>
      <w:r w:rsidRPr="006150F6">
        <w:rPr>
          <w:rFonts w:ascii="Palatino Linotype" w:hAnsi="Palatino Linotype" w:cs="Arial"/>
          <w:i/>
          <w:lang w:val="es-ES"/>
        </w:rPr>
        <w:t>Chepov</w:t>
      </w:r>
      <w:proofErr w:type="spellEnd"/>
      <w:r w:rsidRPr="006150F6">
        <w:rPr>
          <w:rFonts w:ascii="Palatino Linotype" w:hAnsi="Palatino Linotype" w:cs="Arial"/>
          <w:i/>
        </w:rPr>
        <w:t>.</w:t>
      </w:r>
      <w:r w:rsidRPr="006150F6">
        <w:rPr>
          <w:rFonts w:ascii="Palatino Linotype" w:hAnsi="Palatino Linotype" w:cs="Arial"/>
          <w:b/>
          <w:i/>
        </w:rPr>
        <w:t xml:space="preserve"> </w:t>
      </w:r>
    </w:p>
    <w:p w:rsidR="00172F03" w:rsidRPr="006150F6" w:rsidRDefault="00172F03" w:rsidP="00172F03">
      <w:pPr>
        <w:tabs>
          <w:tab w:val="left" w:pos="8647"/>
        </w:tabs>
        <w:spacing w:after="0" w:line="240" w:lineRule="auto"/>
        <w:ind w:left="851" w:right="850"/>
        <w:jc w:val="both"/>
        <w:rPr>
          <w:rFonts w:ascii="Palatino Linotype" w:hAnsi="Palatino Linotype" w:cs="Arial"/>
          <w:i/>
          <w:lang w:val="es-ES"/>
        </w:rPr>
      </w:pPr>
    </w:p>
    <w:p w:rsidR="00172F03" w:rsidRDefault="00172F03" w:rsidP="00172F03">
      <w:pPr>
        <w:tabs>
          <w:tab w:val="left" w:pos="8647"/>
        </w:tabs>
        <w:spacing w:after="0" w:line="240" w:lineRule="auto"/>
        <w:ind w:left="851" w:right="850"/>
        <w:jc w:val="both"/>
        <w:rPr>
          <w:rFonts w:ascii="Palatino Linotype" w:hAnsi="Palatino Linotype" w:cs="Arial"/>
          <w:i/>
        </w:rPr>
      </w:pPr>
      <w:r w:rsidRPr="006150F6">
        <w:rPr>
          <w:rFonts w:ascii="Palatino Linotype" w:hAnsi="Palatino Linotype" w:cs="Arial"/>
          <w:b/>
          <w:i/>
        </w:rPr>
        <w:t>RRA</w:t>
      </w:r>
      <w:r w:rsidRPr="006150F6">
        <w:rPr>
          <w:rFonts w:ascii="Palatino Linotype" w:hAnsi="Palatino Linotype" w:cs="Arial"/>
          <w:i/>
          <w:lang w:val="es-ES"/>
        </w:rPr>
        <w:t xml:space="preserve"> </w:t>
      </w:r>
      <w:r w:rsidRPr="006150F6">
        <w:rPr>
          <w:rFonts w:ascii="Palatino Linotype" w:hAnsi="Palatino Linotype" w:cs="Arial"/>
          <w:b/>
          <w:i/>
        </w:rPr>
        <w:t xml:space="preserve">1564/17. </w:t>
      </w:r>
      <w:r w:rsidRPr="006150F6">
        <w:rPr>
          <w:rFonts w:ascii="Palatino Linotype" w:hAnsi="Palatino Linotype" w:cs="Arial"/>
          <w:i/>
          <w:lang w:val="es-ES"/>
        </w:rPr>
        <w:t>Tribunal Electoral del Poder Judicial de la Federación</w:t>
      </w:r>
      <w:r w:rsidRPr="006150F6">
        <w:rPr>
          <w:rFonts w:ascii="Palatino Linotype" w:hAnsi="Palatino Linotype" w:cs="Arial"/>
          <w:i/>
        </w:rPr>
        <w:t>. 26 de abril de 2017. Por unanimidad. Comisionado Ponente Oscar Mauricio Guerra Ford.</w:t>
      </w:r>
    </w:p>
    <w:p w:rsidR="00172F03" w:rsidRPr="00497964" w:rsidRDefault="00172F03" w:rsidP="00172F03">
      <w:pPr>
        <w:tabs>
          <w:tab w:val="left" w:pos="8647"/>
        </w:tabs>
        <w:spacing w:after="0" w:line="240" w:lineRule="auto"/>
        <w:ind w:left="567" w:right="567"/>
        <w:jc w:val="center"/>
        <w:rPr>
          <w:rFonts w:ascii="Palatino Linotype" w:hAnsi="Palatino Linotype" w:cs="Arial"/>
          <w:i/>
        </w:rPr>
      </w:pPr>
    </w:p>
    <w:p w:rsidR="00172F03" w:rsidRPr="00A97033" w:rsidRDefault="00172F03" w:rsidP="00172F03">
      <w:pPr>
        <w:autoSpaceDE w:val="0"/>
        <w:autoSpaceDN w:val="0"/>
        <w:adjustRightInd w:val="0"/>
        <w:spacing w:before="120" w:after="120"/>
        <w:ind w:left="567" w:right="850"/>
        <w:jc w:val="both"/>
        <w:rPr>
          <w:rFonts w:ascii="Palatino Linotype" w:eastAsia="Times New Roman" w:hAnsi="Palatino Linotype" w:cs="Arial"/>
          <w:i/>
        </w:rPr>
      </w:pPr>
    </w:p>
    <w:p w:rsidR="00172F03" w:rsidRDefault="00172F03" w:rsidP="00172F03">
      <w:pPr>
        <w:pStyle w:val="Sinespaciado"/>
        <w:spacing w:before="240" w:after="240" w:line="360" w:lineRule="auto"/>
        <w:jc w:val="both"/>
        <w:rPr>
          <w:rFonts w:ascii="Palatino Linotype" w:hAnsi="Palatino Linotype" w:cs="Arial"/>
          <w:lang w:eastAsia="es-MX"/>
        </w:rPr>
      </w:pPr>
      <w:r w:rsidRPr="00A97033">
        <w:rPr>
          <w:rFonts w:ascii="Palatino Linotype" w:hAnsi="Palatino Linotype" w:cs="Arial"/>
          <w:lang w:eastAsia="es-MX"/>
        </w:rPr>
        <w:t>Así</w:t>
      </w:r>
      <w:r>
        <w:rPr>
          <w:rFonts w:ascii="Palatino Linotype" w:hAnsi="Palatino Linotype" w:cs="Arial"/>
          <w:lang w:eastAsia="es-MX"/>
        </w:rPr>
        <w:t>,</w:t>
      </w:r>
      <w:r w:rsidRPr="00A97033">
        <w:rPr>
          <w:rFonts w:ascii="Palatino Linotype" w:hAnsi="Palatino Linotype" w:cs="Arial"/>
          <w:lang w:eastAsia="es-MX"/>
        </w:rPr>
        <w:t xml:space="preserve"> el RFC se vincula al nombre de su titular, permite identificar la edad de la persona, su fecha de nacimiento, así como su </w:t>
      </w:r>
      <w:proofErr w:type="spellStart"/>
      <w:r w:rsidRPr="00A97033">
        <w:rPr>
          <w:rFonts w:ascii="Palatino Linotype" w:hAnsi="Palatino Linotype" w:cs="Arial"/>
          <w:lang w:eastAsia="es-MX"/>
        </w:rPr>
        <w:t>homoclave</w:t>
      </w:r>
      <w:proofErr w:type="spellEnd"/>
      <w:r w:rsidRPr="00A97033">
        <w:rPr>
          <w:rFonts w:ascii="Palatino Linotype" w:hAnsi="Palatino Linotype" w:cs="Arial"/>
          <w:lang w:eastAsia="es-MX"/>
        </w:rPr>
        <w:t>, la cual es única e irrepetible y determina justamente la identificación de dicha persona para efectos fiscales, por lo éste constituye un dato personal que concierne a una persona físi</w:t>
      </w:r>
      <w:r>
        <w:rPr>
          <w:rFonts w:ascii="Palatino Linotype" w:hAnsi="Palatino Linotype" w:cs="Arial"/>
          <w:lang w:eastAsia="es-MX"/>
        </w:rPr>
        <w:t>ca identificada e identificable.</w:t>
      </w:r>
    </w:p>
    <w:p w:rsidR="00172F03" w:rsidRDefault="00172F03" w:rsidP="00172F03">
      <w:pPr>
        <w:pStyle w:val="Sinespaciado"/>
        <w:spacing w:before="240" w:after="240" w:line="360" w:lineRule="auto"/>
        <w:jc w:val="both"/>
        <w:rPr>
          <w:rFonts w:ascii="Palatino Linotype" w:eastAsia="Calibri" w:hAnsi="Palatino Linotype" w:cs="Arial"/>
          <w:lang w:eastAsia="es-MX"/>
        </w:rPr>
      </w:pPr>
      <w:r w:rsidRPr="00A97033">
        <w:rPr>
          <w:rFonts w:ascii="Palatino Linotype" w:hAnsi="Palatino Linotype" w:cs="Arial"/>
          <w:lang w:eastAsia="es-MX"/>
        </w:rPr>
        <w:t xml:space="preserve">En cuanto a la </w:t>
      </w:r>
      <w:r w:rsidRPr="00A97033">
        <w:rPr>
          <w:rFonts w:ascii="Palatino Linotype" w:hAnsi="Palatino Linotype" w:cs="Arial"/>
        </w:rPr>
        <w:t xml:space="preserve">Clave Única de Registro de Población (CURP) en virtud de que éste se </w:t>
      </w:r>
      <w:r w:rsidRPr="00A97033">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172F03" w:rsidRDefault="00172F03" w:rsidP="00172F03">
      <w:pPr>
        <w:pStyle w:val="Sinespaciado"/>
        <w:spacing w:before="240" w:after="240" w:line="360" w:lineRule="auto"/>
        <w:jc w:val="both"/>
        <w:rPr>
          <w:rFonts w:ascii="Palatino Linotype" w:eastAsia="Calibri" w:hAnsi="Palatino Linotype" w:cs="Arial"/>
          <w:lang w:eastAsia="es-MX"/>
        </w:rPr>
      </w:pPr>
    </w:p>
    <w:p w:rsidR="00172F03" w:rsidRDefault="00172F03" w:rsidP="00172F03">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Argumento q</w:t>
      </w:r>
      <w:r>
        <w:rPr>
          <w:rFonts w:ascii="Palatino Linotype" w:hAnsi="Palatino Linotype" w:cs="Arial"/>
          <w:sz w:val="24"/>
          <w:szCs w:val="24"/>
        </w:rPr>
        <w:t>ue es compartido por el</w:t>
      </w:r>
      <w:r w:rsidRPr="00E27A17">
        <w:rPr>
          <w:rFonts w:ascii="Palatino Linotype" w:hAnsi="Palatino Linotype" w:cs="Arial"/>
          <w:sz w:val="24"/>
          <w:szCs w:val="24"/>
        </w:rPr>
        <w:t xml:space="preserve"> </w:t>
      </w:r>
      <w:r w:rsidRPr="006150F6">
        <w:rPr>
          <w:rFonts w:ascii="Palatino Linotype" w:hAnsi="Palatino Linotype" w:cs="Arial"/>
          <w:b/>
          <w:sz w:val="24"/>
          <w:szCs w:val="24"/>
        </w:rPr>
        <w:t>Instituto Nacional de Transparencia, Acceso a la Información y Protección de Datos (INAI) conforme al Criterio número</w:t>
      </w:r>
      <w:r>
        <w:rPr>
          <w:rFonts w:ascii="Palatino Linotype" w:hAnsi="Palatino Linotype" w:cs="Arial"/>
          <w:b/>
          <w:sz w:val="24"/>
          <w:szCs w:val="24"/>
        </w:rPr>
        <w:t xml:space="preserve"> 18/17</w:t>
      </w:r>
      <w:r w:rsidRPr="00E27A17">
        <w:rPr>
          <w:rFonts w:ascii="Palatino Linotype" w:hAnsi="Palatino Linotype" w:cs="Arial"/>
          <w:sz w:val="24"/>
          <w:szCs w:val="24"/>
        </w:rPr>
        <w:t xml:space="preserve">, el cual refiere: </w:t>
      </w:r>
    </w:p>
    <w:p w:rsidR="00172F03" w:rsidRPr="00E27A17" w:rsidRDefault="00172F03" w:rsidP="00172F03">
      <w:pPr>
        <w:tabs>
          <w:tab w:val="left" w:pos="8647"/>
        </w:tabs>
        <w:spacing w:after="0" w:line="360" w:lineRule="auto"/>
        <w:ind w:right="51"/>
        <w:jc w:val="both"/>
        <w:rPr>
          <w:rFonts w:ascii="Palatino Linotype" w:hAnsi="Palatino Linotype" w:cs="Arial"/>
          <w:sz w:val="24"/>
          <w:szCs w:val="24"/>
        </w:rPr>
      </w:pPr>
    </w:p>
    <w:p w:rsidR="00172F03" w:rsidRPr="002C2273" w:rsidRDefault="00172F03" w:rsidP="00172F03">
      <w:pPr>
        <w:pStyle w:val="Default"/>
        <w:spacing w:before="120" w:after="120" w:line="360" w:lineRule="auto"/>
        <w:ind w:left="851" w:right="850"/>
        <w:jc w:val="both"/>
        <w:rPr>
          <w:rFonts w:ascii="Palatino Linotype" w:hAnsi="Palatino Linotype"/>
          <w:b/>
          <w:i/>
          <w:sz w:val="22"/>
        </w:rPr>
      </w:pPr>
      <w:r w:rsidRPr="002C2273">
        <w:rPr>
          <w:rFonts w:ascii="Palatino Linotype" w:hAnsi="Palatino Linotype"/>
          <w:b/>
          <w:bCs/>
          <w:i/>
          <w:sz w:val="22"/>
        </w:rPr>
        <w:lastRenderedPageBreak/>
        <w:t xml:space="preserve">“Clave Única de Registro de Población (CURP). </w:t>
      </w:r>
      <w:r w:rsidRPr="002C2273">
        <w:rPr>
          <w:rFonts w:ascii="Palatino Linotype" w:hAnsi="Palatino Linotype"/>
          <w:bCs/>
          <w:i/>
          <w:sz w:val="22"/>
        </w:rPr>
        <w:t xml:space="preserve">La </w:t>
      </w:r>
      <w:r w:rsidRPr="002C2273">
        <w:rPr>
          <w:rFonts w:ascii="Palatino Linotype" w:hAnsi="Palatino Linotype"/>
          <w:i/>
          <w:sz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172F03" w:rsidRPr="002C2273" w:rsidRDefault="00172F03" w:rsidP="00172F03">
      <w:pPr>
        <w:spacing w:before="120" w:after="120" w:line="360" w:lineRule="auto"/>
        <w:ind w:left="851" w:right="850"/>
        <w:jc w:val="both"/>
        <w:rPr>
          <w:rFonts w:ascii="Palatino Linotype" w:hAnsi="Palatino Linotype" w:cs="Arial"/>
          <w:b/>
          <w:i/>
          <w:szCs w:val="24"/>
        </w:rPr>
      </w:pPr>
    </w:p>
    <w:p w:rsidR="00172F03" w:rsidRPr="002C2273" w:rsidRDefault="00172F03" w:rsidP="00172F03">
      <w:pPr>
        <w:spacing w:before="120" w:after="120" w:line="360" w:lineRule="auto"/>
        <w:ind w:left="851" w:right="850"/>
        <w:jc w:val="both"/>
        <w:rPr>
          <w:rFonts w:ascii="Palatino Linotype" w:hAnsi="Palatino Linotype" w:cs="Arial"/>
          <w:b/>
          <w:i/>
          <w:szCs w:val="24"/>
        </w:rPr>
      </w:pPr>
      <w:r w:rsidRPr="002C2273">
        <w:rPr>
          <w:rFonts w:ascii="Palatino Linotype" w:hAnsi="Palatino Linotype" w:cs="Arial"/>
          <w:b/>
          <w:i/>
          <w:szCs w:val="24"/>
        </w:rPr>
        <w:t>Resoluciones:</w:t>
      </w:r>
    </w:p>
    <w:p w:rsidR="00172F03" w:rsidRPr="002C2273" w:rsidRDefault="00172F03" w:rsidP="00172F03">
      <w:pPr>
        <w:pStyle w:val="Prrafodelista"/>
        <w:tabs>
          <w:tab w:val="left" w:pos="284"/>
        </w:tabs>
        <w:spacing w:before="120" w:after="120" w:line="360" w:lineRule="auto"/>
        <w:ind w:left="851" w:right="850"/>
        <w:jc w:val="both"/>
        <w:rPr>
          <w:rFonts w:ascii="Palatino Linotype" w:hAnsi="Palatino Linotype"/>
          <w:b/>
          <w:i/>
          <w:sz w:val="22"/>
        </w:rPr>
      </w:pPr>
      <w:r w:rsidRPr="002C2273">
        <w:rPr>
          <w:rFonts w:ascii="Palatino Linotype" w:hAnsi="Palatino Linotype"/>
          <w:b/>
          <w:i/>
          <w:sz w:val="22"/>
        </w:rPr>
        <w:t xml:space="preserve">RRA 3995/16. </w:t>
      </w:r>
      <w:r w:rsidRPr="002C2273">
        <w:rPr>
          <w:rFonts w:ascii="Palatino Linotype" w:hAnsi="Palatino Linotype"/>
          <w:i/>
          <w:sz w:val="22"/>
        </w:rPr>
        <w:t xml:space="preserve">Secretaría de la Defensa Nacional. 1 de febrero de 2017. Por unanimidad. Comisionado Ponente </w:t>
      </w:r>
      <w:proofErr w:type="spellStart"/>
      <w:r w:rsidRPr="002C2273">
        <w:rPr>
          <w:rFonts w:ascii="Palatino Linotype" w:hAnsi="Palatino Linotype"/>
          <w:i/>
          <w:sz w:val="22"/>
        </w:rPr>
        <w:t>Rosendoevgueni</w:t>
      </w:r>
      <w:proofErr w:type="spellEnd"/>
      <w:r w:rsidRPr="002C2273">
        <w:rPr>
          <w:rFonts w:ascii="Palatino Linotype" w:hAnsi="Palatino Linotype"/>
          <w:i/>
          <w:sz w:val="22"/>
        </w:rPr>
        <w:t xml:space="preserve"> Monterrey </w:t>
      </w:r>
      <w:proofErr w:type="spellStart"/>
      <w:r w:rsidRPr="002C2273">
        <w:rPr>
          <w:rFonts w:ascii="Palatino Linotype" w:hAnsi="Palatino Linotype"/>
          <w:i/>
          <w:sz w:val="22"/>
        </w:rPr>
        <w:t>Chepov</w:t>
      </w:r>
      <w:proofErr w:type="spellEnd"/>
      <w:r w:rsidRPr="002C2273">
        <w:rPr>
          <w:rFonts w:ascii="Palatino Linotype" w:hAnsi="Palatino Linotype"/>
          <w:i/>
          <w:sz w:val="22"/>
        </w:rPr>
        <w:t>.</w:t>
      </w:r>
    </w:p>
    <w:p w:rsidR="00172F03" w:rsidRPr="002C2273" w:rsidRDefault="00172F03" w:rsidP="00172F03">
      <w:pPr>
        <w:pStyle w:val="Prrafodelista"/>
        <w:tabs>
          <w:tab w:val="left" w:pos="284"/>
        </w:tabs>
        <w:spacing w:before="120" w:after="120" w:line="360" w:lineRule="auto"/>
        <w:ind w:left="851" w:right="850"/>
        <w:jc w:val="both"/>
        <w:rPr>
          <w:rFonts w:ascii="Palatino Linotype" w:hAnsi="Palatino Linotype"/>
          <w:b/>
          <w:i/>
          <w:sz w:val="22"/>
        </w:rPr>
      </w:pPr>
      <w:r w:rsidRPr="002C2273">
        <w:rPr>
          <w:rFonts w:ascii="Palatino Linotype" w:hAnsi="Palatino Linotype" w:cs="Arial"/>
          <w:b/>
          <w:i/>
          <w:sz w:val="22"/>
        </w:rPr>
        <w:t xml:space="preserve">RRA </w:t>
      </w:r>
      <w:r w:rsidRPr="002C2273">
        <w:rPr>
          <w:rFonts w:ascii="Palatino Linotype" w:hAnsi="Palatino Linotype" w:cs="Arial"/>
          <w:b/>
          <w:bCs/>
          <w:i/>
          <w:sz w:val="22"/>
        </w:rPr>
        <w:t xml:space="preserve">0937/17. </w:t>
      </w:r>
      <w:r w:rsidRPr="002C2273">
        <w:rPr>
          <w:rFonts w:ascii="Palatino Linotype" w:hAnsi="Palatino Linotype" w:cs="Arial"/>
          <w:bCs/>
          <w:i/>
          <w:sz w:val="22"/>
        </w:rPr>
        <w:t xml:space="preserve">Senado de la República. </w:t>
      </w:r>
      <w:r w:rsidRPr="002C2273">
        <w:rPr>
          <w:rFonts w:ascii="Palatino Linotype" w:hAnsi="Palatino Linotype" w:cs="Arial"/>
          <w:bCs/>
          <w:i/>
          <w:sz w:val="22"/>
          <w:lang w:val="es-ES_tradnl"/>
        </w:rPr>
        <w:t xml:space="preserve">15 de marzo de 2017. Por unanimidad. Comisionada Ponente Ximena Puente de la Mora. </w:t>
      </w:r>
    </w:p>
    <w:p w:rsidR="00172F03" w:rsidRPr="006150F6" w:rsidRDefault="00172F03" w:rsidP="00172F03">
      <w:pPr>
        <w:pStyle w:val="Prrafodelista"/>
        <w:tabs>
          <w:tab w:val="left" w:pos="284"/>
        </w:tabs>
        <w:spacing w:before="120" w:after="120" w:line="360" w:lineRule="auto"/>
        <w:ind w:left="851" w:right="850"/>
        <w:jc w:val="both"/>
        <w:rPr>
          <w:rFonts w:ascii="Arial" w:hAnsi="Arial" w:cs="Arial"/>
          <w:b/>
          <w:i/>
          <w:sz w:val="22"/>
        </w:rPr>
      </w:pPr>
      <w:r w:rsidRPr="002C2273">
        <w:rPr>
          <w:rFonts w:ascii="Palatino Linotype" w:hAnsi="Palatino Linotype" w:cs="Arial"/>
          <w:b/>
          <w:i/>
          <w:sz w:val="22"/>
        </w:rPr>
        <w:t xml:space="preserve">RRA 0478/17. </w:t>
      </w:r>
      <w:r w:rsidRPr="002C2273">
        <w:rPr>
          <w:rFonts w:ascii="Palatino Linotype" w:eastAsia="Calibri" w:hAnsi="Palatino Linotype" w:cs="Arial"/>
          <w:i/>
          <w:sz w:val="22"/>
        </w:rPr>
        <w:t>Secretaría de Relaciones Exteriores</w:t>
      </w:r>
      <w:r w:rsidRPr="002C2273">
        <w:rPr>
          <w:rFonts w:ascii="Palatino Linotype" w:hAnsi="Palatino Linotype" w:cs="Arial"/>
          <w:i/>
          <w:sz w:val="22"/>
        </w:rPr>
        <w:t>. 26 de abril de 2017. Por unanimidad. Comisionada Ponente Areli Cano Guadiana.</w:t>
      </w:r>
      <w:r w:rsidRPr="006150F6">
        <w:rPr>
          <w:rFonts w:ascii="Arial" w:hAnsi="Arial" w:cs="Arial"/>
          <w:i/>
          <w:sz w:val="22"/>
        </w:rPr>
        <w:t xml:space="preserve"> </w:t>
      </w:r>
    </w:p>
    <w:p w:rsidR="00172F03" w:rsidRDefault="00172F03" w:rsidP="00172F03">
      <w:pPr>
        <w:pStyle w:val="Sinespaciado"/>
        <w:spacing w:line="360" w:lineRule="auto"/>
        <w:jc w:val="both"/>
        <w:rPr>
          <w:rFonts w:ascii="Palatino Linotype" w:hAnsi="Palatino Linotype" w:cs="Arial"/>
        </w:rPr>
      </w:pPr>
    </w:p>
    <w:p w:rsidR="00172F03" w:rsidRPr="00BF620B" w:rsidRDefault="00172F03" w:rsidP="00172F03">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Respecto</w:t>
      </w:r>
      <w:r w:rsidRPr="00BF620B">
        <w:rPr>
          <w:rFonts w:ascii="Palatino Linotype" w:hAnsi="Palatino Linotype" w:cs="Arial"/>
          <w:sz w:val="24"/>
          <w:szCs w:val="24"/>
        </w:rPr>
        <w:t xml:space="preserve"> de los préstamos o descuentos de carácter personal, en virtud de no tener relación con la prestación del servicio y al no involucrar instituciones públicas, se consideran datos confidenciales</w:t>
      </w:r>
      <w:r>
        <w:rPr>
          <w:rFonts w:ascii="Palatino Linotype" w:hAnsi="Palatino Linotype" w:cs="Arial"/>
          <w:sz w:val="24"/>
          <w:szCs w:val="24"/>
        </w:rPr>
        <w:t>, p</w:t>
      </w:r>
      <w:r w:rsidRPr="00BF620B">
        <w:rPr>
          <w:rFonts w:ascii="Palatino Linotype" w:hAnsi="Palatino Linotype" w:cs="Arial"/>
          <w:sz w:val="24"/>
          <w:szCs w:val="24"/>
        </w:rPr>
        <w:t>ara entender los límites y alcances de esta restricción, es oportuno recurrir al artículo 84 de la Ley del Trabajo de los Servidores Públicos del Estado y Municipios:</w:t>
      </w:r>
    </w:p>
    <w:p w:rsidR="00172F03" w:rsidRPr="00BF620B" w:rsidRDefault="00172F03" w:rsidP="00172F03">
      <w:pPr>
        <w:spacing w:after="0" w:line="360" w:lineRule="auto"/>
        <w:ind w:right="51"/>
        <w:jc w:val="both"/>
        <w:rPr>
          <w:rFonts w:ascii="Palatino Linotype" w:hAnsi="Palatino Linotype" w:cs="Arial"/>
          <w:sz w:val="24"/>
          <w:szCs w:val="24"/>
        </w:rPr>
      </w:pPr>
    </w:p>
    <w:p w:rsidR="00172F03" w:rsidRPr="00E557B2" w:rsidRDefault="00172F03" w:rsidP="00172F03">
      <w:pPr>
        <w:spacing w:after="0" w:line="360" w:lineRule="auto"/>
        <w:ind w:left="851" w:right="850"/>
        <w:jc w:val="both"/>
        <w:rPr>
          <w:rFonts w:ascii="Palatino Linotype" w:hAnsi="Palatino Linotype" w:cs="Arial"/>
          <w:b/>
          <w:bCs/>
          <w:i/>
          <w:noProof/>
          <w:sz w:val="24"/>
          <w:szCs w:val="24"/>
        </w:rPr>
      </w:pPr>
      <w:r w:rsidRPr="00E557B2">
        <w:rPr>
          <w:rFonts w:ascii="Palatino Linotype" w:hAnsi="Palatino Linotype" w:cs="Arial"/>
          <w:b/>
          <w:bCs/>
          <w:i/>
          <w:noProof/>
          <w:sz w:val="24"/>
          <w:szCs w:val="24"/>
        </w:rPr>
        <w:t xml:space="preserve">“ARTÍCULO 84. </w:t>
      </w:r>
      <w:r w:rsidRPr="00E557B2">
        <w:rPr>
          <w:rFonts w:ascii="Palatino Linotype" w:hAnsi="Palatino Linotype" w:cs="Arial"/>
          <w:bCs/>
          <w:i/>
          <w:noProof/>
          <w:sz w:val="24"/>
          <w:szCs w:val="24"/>
        </w:rPr>
        <w:t>Sólo podrán hacerse retenciones, descuentos o deducciones al sueldo de los servidores públicos por concepto de:</w:t>
      </w:r>
    </w:p>
    <w:p w:rsidR="00172F03" w:rsidRPr="00E557B2" w:rsidRDefault="00172F03" w:rsidP="00172F03">
      <w:pPr>
        <w:spacing w:after="0" w:line="360" w:lineRule="auto"/>
        <w:ind w:left="851" w:right="850"/>
        <w:jc w:val="both"/>
        <w:rPr>
          <w:rFonts w:ascii="Palatino Linotype" w:hAnsi="Palatino Linotype" w:cs="Arial"/>
          <w:bCs/>
          <w:i/>
          <w:noProof/>
          <w:sz w:val="24"/>
          <w:szCs w:val="24"/>
        </w:rPr>
      </w:pPr>
      <w:r w:rsidRPr="00E557B2">
        <w:rPr>
          <w:rFonts w:ascii="Palatino Linotype" w:hAnsi="Palatino Linotype" w:cs="Arial"/>
          <w:bCs/>
          <w:i/>
          <w:noProof/>
          <w:sz w:val="24"/>
          <w:szCs w:val="24"/>
        </w:rPr>
        <w:t>I. Gravámenes fiscales relacionados con el sueldo;</w:t>
      </w:r>
    </w:p>
    <w:p w:rsidR="00172F03" w:rsidRPr="00E557B2" w:rsidRDefault="00172F03" w:rsidP="00172F03">
      <w:pPr>
        <w:spacing w:after="0" w:line="360" w:lineRule="auto"/>
        <w:ind w:left="851" w:right="850"/>
        <w:jc w:val="both"/>
        <w:rPr>
          <w:rFonts w:ascii="Palatino Linotype" w:hAnsi="Palatino Linotype" w:cs="Arial"/>
          <w:bCs/>
          <w:i/>
          <w:noProof/>
          <w:sz w:val="24"/>
          <w:szCs w:val="24"/>
        </w:rPr>
      </w:pPr>
      <w:r w:rsidRPr="00E557B2">
        <w:rPr>
          <w:rFonts w:ascii="Palatino Linotype" w:hAnsi="Palatino Linotype" w:cs="Arial"/>
          <w:bCs/>
          <w:i/>
          <w:noProof/>
          <w:sz w:val="24"/>
          <w:szCs w:val="24"/>
        </w:rPr>
        <w:lastRenderedPageBreak/>
        <w:t>II. Deudas contraídas con las instituciones públicas o dependencias por concepto de anticipos de sueldo, pagos hechos con exceso, errores o pérdidas debidamente comprobados;</w:t>
      </w:r>
    </w:p>
    <w:p w:rsidR="00172F03" w:rsidRPr="00E557B2" w:rsidRDefault="00172F03" w:rsidP="00172F03">
      <w:pPr>
        <w:spacing w:after="0" w:line="360" w:lineRule="auto"/>
        <w:ind w:left="851" w:right="850"/>
        <w:jc w:val="both"/>
        <w:rPr>
          <w:rFonts w:ascii="Palatino Linotype" w:hAnsi="Palatino Linotype" w:cs="Arial"/>
          <w:bCs/>
          <w:i/>
          <w:noProof/>
          <w:sz w:val="24"/>
          <w:szCs w:val="24"/>
        </w:rPr>
      </w:pPr>
      <w:r w:rsidRPr="00E557B2">
        <w:rPr>
          <w:rFonts w:ascii="Palatino Linotype" w:hAnsi="Palatino Linotype" w:cs="Arial"/>
          <w:bCs/>
          <w:i/>
          <w:noProof/>
          <w:sz w:val="24"/>
          <w:szCs w:val="24"/>
        </w:rPr>
        <w:t>III. Cuotas sindicales;</w:t>
      </w:r>
    </w:p>
    <w:p w:rsidR="00172F03" w:rsidRPr="00E557B2" w:rsidRDefault="00172F03" w:rsidP="00172F03">
      <w:pPr>
        <w:spacing w:after="0" w:line="360" w:lineRule="auto"/>
        <w:ind w:left="851" w:right="850"/>
        <w:jc w:val="both"/>
        <w:rPr>
          <w:rFonts w:ascii="Palatino Linotype" w:hAnsi="Palatino Linotype" w:cs="Arial"/>
          <w:bCs/>
          <w:i/>
          <w:noProof/>
          <w:sz w:val="24"/>
          <w:szCs w:val="24"/>
        </w:rPr>
      </w:pPr>
      <w:r w:rsidRPr="00E557B2">
        <w:rPr>
          <w:rFonts w:ascii="Palatino Linotype" w:hAnsi="Palatino Linotype" w:cs="Arial"/>
          <w:bCs/>
          <w:i/>
          <w:noProof/>
          <w:sz w:val="24"/>
          <w:szCs w:val="24"/>
        </w:rPr>
        <w:t>IV. Cuotas de aportación a fondos para la constitución de cooperativas y de cajas de ahorro, siempre que el servidor público hubiese manifestado previamente, de manera expresa, su conformidad;</w:t>
      </w:r>
    </w:p>
    <w:p w:rsidR="00172F03" w:rsidRPr="00E557B2" w:rsidRDefault="00172F03" w:rsidP="00172F03">
      <w:pPr>
        <w:spacing w:after="0" w:line="360" w:lineRule="auto"/>
        <w:ind w:left="851" w:right="850"/>
        <w:jc w:val="both"/>
        <w:rPr>
          <w:rFonts w:ascii="Palatino Linotype" w:hAnsi="Palatino Linotype" w:cs="Arial"/>
          <w:bCs/>
          <w:i/>
          <w:noProof/>
          <w:sz w:val="24"/>
          <w:szCs w:val="24"/>
        </w:rPr>
      </w:pPr>
      <w:r w:rsidRPr="00E557B2">
        <w:rPr>
          <w:rFonts w:ascii="Palatino Linotype" w:hAnsi="Palatino Linotype" w:cs="Arial"/>
          <w:bCs/>
          <w:i/>
          <w:noProof/>
          <w:sz w:val="24"/>
          <w:szCs w:val="24"/>
        </w:rPr>
        <w:t>V. Descuentos ordenados por el Instituto de Seguridad Social del Estado de México y Municipios, con motivo de cuotas y obligaciones contraídas con éste por los servidores públicos;</w:t>
      </w:r>
    </w:p>
    <w:p w:rsidR="00172F03" w:rsidRPr="00E557B2" w:rsidRDefault="00172F03" w:rsidP="00172F03">
      <w:pPr>
        <w:spacing w:after="0" w:line="360" w:lineRule="auto"/>
        <w:ind w:left="851" w:right="850"/>
        <w:jc w:val="both"/>
        <w:rPr>
          <w:rFonts w:ascii="Palatino Linotype" w:hAnsi="Palatino Linotype" w:cs="Arial"/>
          <w:bCs/>
          <w:i/>
          <w:noProof/>
          <w:sz w:val="24"/>
          <w:szCs w:val="24"/>
        </w:rPr>
      </w:pPr>
      <w:r w:rsidRPr="00E557B2">
        <w:rPr>
          <w:rFonts w:ascii="Palatino Linotype" w:hAnsi="Palatino Linotype" w:cs="Arial"/>
          <w:bCs/>
          <w:i/>
          <w:noProof/>
          <w:sz w:val="24"/>
          <w:szCs w:val="24"/>
        </w:rPr>
        <w:t>VI. Obligaciones a cargo del servidor público con las que haya consentido, derivadas de la adquisición o del uso de habitaciones consideradas como de interés social;</w:t>
      </w:r>
    </w:p>
    <w:p w:rsidR="00172F03" w:rsidRPr="00E557B2" w:rsidRDefault="00172F03" w:rsidP="00172F03">
      <w:pPr>
        <w:spacing w:after="0" w:line="360" w:lineRule="auto"/>
        <w:ind w:left="851" w:right="850"/>
        <w:jc w:val="both"/>
        <w:rPr>
          <w:rFonts w:ascii="Palatino Linotype" w:hAnsi="Palatino Linotype" w:cs="Arial"/>
          <w:bCs/>
          <w:i/>
          <w:noProof/>
          <w:sz w:val="24"/>
          <w:szCs w:val="24"/>
        </w:rPr>
      </w:pPr>
      <w:r w:rsidRPr="00E557B2">
        <w:rPr>
          <w:rFonts w:ascii="Palatino Linotype" w:hAnsi="Palatino Linotype" w:cs="Arial"/>
          <w:bCs/>
          <w:i/>
          <w:noProof/>
          <w:sz w:val="24"/>
          <w:szCs w:val="24"/>
        </w:rPr>
        <w:t>VII. Faltas de puntualidad o de asistencia injustificadas;</w:t>
      </w:r>
    </w:p>
    <w:p w:rsidR="00172F03" w:rsidRPr="00E557B2" w:rsidRDefault="00172F03" w:rsidP="00172F03">
      <w:pPr>
        <w:spacing w:after="0" w:line="360" w:lineRule="auto"/>
        <w:ind w:left="851" w:right="850"/>
        <w:jc w:val="both"/>
        <w:rPr>
          <w:rFonts w:ascii="Palatino Linotype" w:hAnsi="Palatino Linotype" w:cs="Arial"/>
          <w:bCs/>
          <w:i/>
          <w:noProof/>
          <w:sz w:val="24"/>
          <w:szCs w:val="24"/>
        </w:rPr>
      </w:pPr>
      <w:r w:rsidRPr="00E557B2">
        <w:rPr>
          <w:rFonts w:ascii="Palatino Linotype" w:hAnsi="Palatino Linotype" w:cs="Arial"/>
          <w:b/>
          <w:bCs/>
          <w:i/>
          <w:noProof/>
          <w:sz w:val="24"/>
          <w:szCs w:val="24"/>
        </w:rPr>
        <w:t>VIII. Pensiones alimenticias ordenadas por la autoridad judicial;</w:t>
      </w:r>
      <w:r w:rsidRPr="00E557B2">
        <w:rPr>
          <w:rFonts w:ascii="Palatino Linotype" w:hAnsi="Palatino Linotype" w:cs="Arial"/>
          <w:bCs/>
          <w:i/>
          <w:noProof/>
          <w:sz w:val="24"/>
          <w:szCs w:val="24"/>
        </w:rPr>
        <w:t xml:space="preserve"> o</w:t>
      </w:r>
    </w:p>
    <w:p w:rsidR="00172F03" w:rsidRPr="00E557B2" w:rsidRDefault="00172F03" w:rsidP="00172F03">
      <w:pPr>
        <w:spacing w:after="0" w:line="360" w:lineRule="auto"/>
        <w:ind w:left="851" w:right="850"/>
        <w:jc w:val="both"/>
        <w:rPr>
          <w:rFonts w:ascii="Palatino Linotype" w:hAnsi="Palatino Linotype" w:cs="Arial"/>
          <w:b/>
          <w:bCs/>
          <w:i/>
          <w:noProof/>
          <w:sz w:val="24"/>
          <w:szCs w:val="24"/>
        </w:rPr>
      </w:pPr>
      <w:r w:rsidRPr="00E557B2">
        <w:rPr>
          <w:rFonts w:ascii="Palatino Linotype" w:hAnsi="Palatino Linotype" w:cs="Arial"/>
          <w:b/>
          <w:bCs/>
          <w:i/>
          <w:noProof/>
          <w:sz w:val="24"/>
          <w:szCs w:val="24"/>
        </w:rPr>
        <w:t>IX. Cualquier otro convenido con instituciones de servicios y aceptado por el servidor público.</w:t>
      </w:r>
    </w:p>
    <w:p w:rsidR="00172F03" w:rsidRPr="00E557B2" w:rsidRDefault="00172F03" w:rsidP="00172F03">
      <w:pPr>
        <w:spacing w:after="0" w:line="360" w:lineRule="auto"/>
        <w:ind w:left="851" w:right="850"/>
        <w:jc w:val="both"/>
        <w:rPr>
          <w:rFonts w:ascii="Palatino Linotype" w:hAnsi="Palatino Linotype" w:cs="Arial"/>
          <w:bCs/>
          <w:i/>
          <w:noProof/>
          <w:sz w:val="24"/>
          <w:szCs w:val="24"/>
        </w:rPr>
      </w:pPr>
      <w:r w:rsidRPr="00E557B2">
        <w:rPr>
          <w:rFonts w:ascii="Palatino Linotype" w:hAnsi="Palatino Linotype" w:cs="Arial"/>
          <w:bCs/>
          <w:i/>
          <w:noProof/>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172F03" w:rsidRPr="00E557B2" w:rsidRDefault="00172F03" w:rsidP="00172F03">
      <w:pPr>
        <w:spacing w:after="0" w:line="360" w:lineRule="auto"/>
        <w:ind w:left="851" w:right="850"/>
        <w:jc w:val="both"/>
        <w:rPr>
          <w:rFonts w:ascii="Palatino Linotype" w:hAnsi="Palatino Linotype" w:cs="Arial"/>
          <w:i/>
          <w:sz w:val="24"/>
          <w:szCs w:val="24"/>
        </w:rPr>
      </w:pPr>
      <w:r w:rsidRPr="00E557B2">
        <w:rPr>
          <w:rFonts w:ascii="Palatino Linotype" w:hAnsi="Palatino Linotype" w:cs="Arial"/>
          <w:i/>
          <w:sz w:val="24"/>
          <w:szCs w:val="24"/>
        </w:rPr>
        <w:lastRenderedPageBreak/>
        <w:t>(Énfasis añadido)</w:t>
      </w:r>
    </w:p>
    <w:p w:rsidR="00172F03" w:rsidRPr="006E4D8F" w:rsidRDefault="00172F03" w:rsidP="00172F03">
      <w:pPr>
        <w:spacing w:after="0" w:line="360" w:lineRule="auto"/>
        <w:ind w:right="850"/>
        <w:jc w:val="both"/>
        <w:rPr>
          <w:rFonts w:ascii="Palatino Linotype" w:hAnsi="Palatino Linotype" w:cs="Arial"/>
          <w:sz w:val="24"/>
          <w:szCs w:val="24"/>
        </w:rPr>
      </w:pPr>
    </w:p>
    <w:p w:rsidR="00172F03" w:rsidRDefault="00172F03" w:rsidP="00172F03">
      <w:pPr>
        <w:spacing w:after="0" w:line="360" w:lineRule="auto"/>
        <w:ind w:right="51"/>
        <w:jc w:val="both"/>
        <w:rPr>
          <w:rFonts w:ascii="Palatino Linotype" w:hAnsi="Palatino Linotype" w:cs="Arial"/>
          <w:sz w:val="24"/>
          <w:szCs w:val="24"/>
        </w:rPr>
      </w:pPr>
      <w:r w:rsidRPr="006E4D8F">
        <w:rPr>
          <w:rFonts w:ascii="Palatino Linotype" w:hAnsi="Palatino Linotype" w:cs="Arial"/>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r>
        <w:rPr>
          <w:rFonts w:ascii="Palatino Linotype" w:hAnsi="Palatino Linotype" w:cs="Arial"/>
          <w:sz w:val="24"/>
          <w:szCs w:val="24"/>
        </w:rPr>
        <w:t>.</w:t>
      </w:r>
    </w:p>
    <w:p w:rsidR="00172F03" w:rsidRDefault="00172F03" w:rsidP="00172F03">
      <w:pPr>
        <w:spacing w:after="0" w:line="360" w:lineRule="auto"/>
        <w:ind w:right="51"/>
        <w:jc w:val="both"/>
        <w:rPr>
          <w:rFonts w:ascii="Palatino Linotype" w:hAnsi="Palatino Linotype" w:cs="Arial"/>
          <w:sz w:val="24"/>
          <w:szCs w:val="24"/>
        </w:rPr>
      </w:pPr>
    </w:p>
    <w:p w:rsidR="00172F03" w:rsidRDefault="00172F03" w:rsidP="00172F03">
      <w:pPr>
        <w:pStyle w:val="Prrafodelista"/>
        <w:autoSpaceDE w:val="0"/>
        <w:autoSpaceDN w:val="0"/>
        <w:adjustRightInd w:val="0"/>
        <w:spacing w:line="360" w:lineRule="auto"/>
        <w:ind w:left="0"/>
        <w:contextualSpacing/>
        <w:jc w:val="both"/>
        <w:rPr>
          <w:rFonts w:ascii="Palatino Linotype" w:hAnsi="Palatino Linotype" w:cs="Arial"/>
        </w:rPr>
      </w:pPr>
      <w:r w:rsidRPr="00E27A17">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172F03" w:rsidRDefault="00172F03" w:rsidP="00172F03">
      <w:pPr>
        <w:pStyle w:val="Prrafodelista"/>
        <w:autoSpaceDE w:val="0"/>
        <w:autoSpaceDN w:val="0"/>
        <w:adjustRightInd w:val="0"/>
        <w:spacing w:line="360" w:lineRule="auto"/>
        <w:ind w:left="0"/>
        <w:contextualSpacing/>
        <w:jc w:val="both"/>
        <w:rPr>
          <w:rFonts w:ascii="Palatino Linotype" w:hAnsi="Palatino Linotype" w:cs="Arial"/>
        </w:rPr>
      </w:pPr>
    </w:p>
    <w:p w:rsidR="00172F03" w:rsidRPr="000752E0" w:rsidRDefault="00172F03" w:rsidP="00172F03">
      <w:pPr>
        <w:tabs>
          <w:tab w:val="left" w:pos="8647"/>
        </w:tabs>
        <w:spacing w:after="0" w:line="360" w:lineRule="auto"/>
        <w:jc w:val="both"/>
        <w:rPr>
          <w:rFonts w:ascii="Palatino Linotype" w:hAnsi="Palatino Linotype" w:cs="Arial"/>
          <w:sz w:val="24"/>
          <w:szCs w:val="24"/>
        </w:rPr>
      </w:pPr>
      <w:r w:rsidRPr="000752E0">
        <w:rPr>
          <w:rFonts w:ascii="Palatino Linotype" w:hAnsi="Palatino Linotype" w:cs="Arial"/>
          <w:sz w:val="24"/>
          <w:szCs w:val="24"/>
        </w:rPr>
        <w:t>Además de ello, se considera que se deberá testar el</w:t>
      </w:r>
      <w:r>
        <w:rPr>
          <w:rFonts w:ascii="Palatino Linotype" w:hAnsi="Palatino Linotype" w:cs="Arial"/>
          <w:sz w:val="24"/>
          <w:szCs w:val="24"/>
        </w:rPr>
        <w:t xml:space="preserve"> sello </w:t>
      </w:r>
      <w:r w:rsidRPr="000752E0">
        <w:rPr>
          <w:rFonts w:ascii="Palatino Linotype" w:hAnsi="Palatino Linotype" w:cs="Arial"/>
          <w:sz w:val="24"/>
          <w:szCs w:val="24"/>
        </w:rPr>
        <w:t>digital</w:t>
      </w:r>
      <w:r>
        <w:rPr>
          <w:rFonts w:ascii="Palatino Linotype" w:hAnsi="Palatino Linotype" w:cs="Arial"/>
          <w:sz w:val="24"/>
          <w:szCs w:val="24"/>
        </w:rPr>
        <w:t xml:space="preserve"> </w:t>
      </w:r>
      <w:r w:rsidRPr="000752E0">
        <w:rPr>
          <w:rFonts w:ascii="Palatino Linotype" w:hAnsi="Palatino Linotype" w:cs="Arial"/>
          <w:sz w:val="24"/>
          <w:szCs w:val="24"/>
        </w:rPr>
        <w:t>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172F03" w:rsidRDefault="00172F03" w:rsidP="00172F03">
      <w:pPr>
        <w:tabs>
          <w:tab w:val="left" w:pos="8647"/>
        </w:tabs>
        <w:spacing w:after="0" w:line="360" w:lineRule="auto"/>
        <w:ind w:right="51"/>
        <w:jc w:val="both"/>
        <w:rPr>
          <w:rFonts w:ascii="Palatino Linotype" w:hAnsi="Palatino Linotype" w:cs="Arial"/>
          <w:sz w:val="24"/>
          <w:szCs w:val="24"/>
        </w:rPr>
      </w:pPr>
    </w:p>
    <w:p w:rsidR="00172F03" w:rsidRDefault="00172F03" w:rsidP="00172F03">
      <w:pPr>
        <w:tabs>
          <w:tab w:val="left" w:pos="8647"/>
        </w:tabs>
        <w:spacing w:after="0" w:line="360" w:lineRule="auto"/>
        <w:jc w:val="both"/>
        <w:rPr>
          <w:rFonts w:ascii="Palatino Linotype" w:hAnsi="Palatino Linotype" w:cs="Arial"/>
          <w:sz w:val="24"/>
          <w:szCs w:val="24"/>
        </w:rPr>
      </w:pPr>
      <w:r w:rsidRPr="000752E0">
        <w:rPr>
          <w:rFonts w:ascii="Palatino Linotype" w:hAnsi="Palatino Linotype" w:cs="Arial"/>
          <w:sz w:val="24"/>
          <w:szCs w:val="24"/>
        </w:rPr>
        <w:lastRenderedPageBreak/>
        <w:t>De este modo, en las versiones públicas de los documentos que se ordena su entrega se deben testar tanto números de las cuentas bancarias, CLABES, como el</w:t>
      </w:r>
      <w:r>
        <w:rPr>
          <w:rFonts w:ascii="Palatino Linotype" w:hAnsi="Palatino Linotype" w:cs="Arial"/>
          <w:sz w:val="24"/>
          <w:szCs w:val="24"/>
        </w:rPr>
        <w:t xml:space="preserve"> </w:t>
      </w:r>
      <w:r w:rsidRPr="000752E0">
        <w:rPr>
          <w:rFonts w:ascii="Palatino Linotype" w:hAnsi="Palatino Linotype" w:cs="Arial"/>
          <w:sz w:val="24"/>
          <w:szCs w:val="24"/>
        </w:rPr>
        <w:t>sello</w:t>
      </w:r>
      <w:r>
        <w:rPr>
          <w:rFonts w:ascii="Palatino Linotype" w:hAnsi="Palatino Linotype" w:cs="Arial"/>
          <w:sz w:val="24"/>
          <w:szCs w:val="24"/>
        </w:rPr>
        <w:t xml:space="preserve"> </w:t>
      </w:r>
      <w:r w:rsidRPr="000752E0">
        <w:rPr>
          <w:rFonts w:ascii="Palatino Linotype" w:hAnsi="Palatino Linotype" w:cs="Arial"/>
          <w:sz w:val="24"/>
          <w:szCs w:val="24"/>
        </w:rPr>
        <w:t>digital</w:t>
      </w:r>
      <w:r>
        <w:rPr>
          <w:rFonts w:ascii="Palatino Linotype" w:hAnsi="Palatino Linotype" w:cs="Arial"/>
          <w:sz w:val="24"/>
          <w:szCs w:val="24"/>
        </w:rPr>
        <w:t xml:space="preserve"> </w:t>
      </w:r>
      <w:r w:rsidRPr="000752E0">
        <w:rPr>
          <w:rFonts w:ascii="Palatino Linotype" w:hAnsi="Palatino Linotype" w:cs="Arial"/>
          <w:sz w:val="24"/>
          <w:szCs w:val="24"/>
        </w:rPr>
        <w:t>y su correspondiente cadena original; si es que se desprende esta información; en caso contrario, los documentos deben entregarse en forma íntegra.</w:t>
      </w:r>
    </w:p>
    <w:p w:rsidR="00172F03" w:rsidRDefault="00172F03" w:rsidP="00172F03">
      <w:pPr>
        <w:tabs>
          <w:tab w:val="left" w:pos="8647"/>
        </w:tabs>
        <w:spacing w:after="0" w:line="360" w:lineRule="auto"/>
        <w:ind w:right="51"/>
        <w:jc w:val="both"/>
        <w:rPr>
          <w:rFonts w:ascii="Palatino Linotype" w:hAnsi="Palatino Linotype" w:cs="Arial"/>
          <w:sz w:val="24"/>
          <w:szCs w:val="24"/>
        </w:rPr>
      </w:pPr>
    </w:p>
    <w:p w:rsidR="00172F03" w:rsidRDefault="00172F03" w:rsidP="00172F03">
      <w:pPr>
        <w:tabs>
          <w:tab w:val="left" w:pos="8647"/>
        </w:tabs>
        <w:spacing w:after="0" w:line="360" w:lineRule="auto"/>
        <w:jc w:val="both"/>
        <w:rPr>
          <w:rFonts w:ascii="Palatino Linotype" w:hAnsi="Palatino Linotype" w:cs="Arial"/>
          <w:sz w:val="24"/>
          <w:szCs w:val="24"/>
        </w:rPr>
      </w:pPr>
      <w:r w:rsidRPr="000752E0">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172F03" w:rsidRDefault="00172F03" w:rsidP="00172F03">
      <w:pPr>
        <w:tabs>
          <w:tab w:val="left" w:pos="8647"/>
        </w:tabs>
        <w:spacing w:after="0" w:line="360" w:lineRule="auto"/>
        <w:ind w:right="51"/>
        <w:jc w:val="both"/>
        <w:rPr>
          <w:rFonts w:ascii="Palatino Linotype" w:hAnsi="Palatino Linotype" w:cs="Arial"/>
          <w:sz w:val="24"/>
          <w:szCs w:val="24"/>
        </w:rPr>
      </w:pPr>
    </w:p>
    <w:p w:rsidR="00172F03" w:rsidRPr="00497964" w:rsidRDefault="00172F03" w:rsidP="00172F03">
      <w:pPr>
        <w:tabs>
          <w:tab w:val="left" w:pos="8222"/>
        </w:tabs>
        <w:spacing w:after="0" w:line="240" w:lineRule="auto"/>
        <w:ind w:left="851" w:right="850"/>
        <w:jc w:val="both"/>
        <w:rPr>
          <w:rFonts w:ascii="Palatino Linotype" w:hAnsi="Palatino Linotype" w:cs="Arial"/>
          <w:bCs/>
          <w:i/>
        </w:rPr>
      </w:pPr>
      <w:r w:rsidRPr="00497964">
        <w:rPr>
          <w:rFonts w:ascii="Palatino Linotype" w:hAnsi="Palatino Linotype" w:cs="Arial"/>
          <w:bCs/>
          <w:i/>
        </w:rPr>
        <w:t>“Cuarto.</w:t>
      </w:r>
      <w:r>
        <w:rPr>
          <w:rFonts w:ascii="Palatino Linotype" w:hAnsi="Palatino Linotype" w:cs="Arial"/>
          <w:bCs/>
          <w:i/>
        </w:rPr>
        <w:t xml:space="preserve"> </w:t>
      </w:r>
      <w:r w:rsidRPr="00497964">
        <w:rPr>
          <w:rFonts w:ascii="Palatino Linotype" w:hAnsi="Palatino Linotype" w:cs="Arial"/>
          <w:b/>
          <w:bCs/>
          <w:i/>
          <w:u w:val="single"/>
        </w:rPr>
        <w:t>Para clasificar la información como reservada o confidencial, de manera total o parcial, el titular</w:t>
      </w:r>
      <w:r>
        <w:rPr>
          <w:rFonts w:ascii="Palatino Linotype" w:hAnsi="Palatino Linotype" w:cs="Arial"/>
          <w:b/>
          <w:bCs/>
          <w:i/>
          <w:u w:val="single"/>
        </w:rPr>
        <w:t xml:space="preserve"> </w:t>
      </w:r>
      <w:r w:rsidRPr="00497964">
        <w:rPr>
          <w:rFonts w:ascii="Palatino Linotype" w:hAnsi="Palatino Linotype" w:cs="Arial"/>
          <w:b/>
          <w:bCs/>
          <w:i/>
          <w:u w:val="single"/>
        </w:rPr>
        <w:t>del área del sujeto obligado deberá atender lo dispuesto por el Título Sexto de la Ley General, en relación con</w:t>
      </w:r>
      <w:r>
        <w:rPr>
          <w:rFonts w:ascii="Palatino Linotype" w:hAnsi="Palatino Linotype" w:cs="Arial"/>
          <w:b/>
          <w:bCs/>
          <w:i/>
          <w:u w:val="single"/>
        </w:rPr>
        <w:t xml:space="preserve"> </w:t>
      </w:r>
      <w:r w:rsidRPr="00497964">
        <w:rPr>
          <w:rFonts w:ascii="Palatino Linotype" w:hAnsi="Palatino Linotype" w:cs="Arial"/>
          <w:b/>
          <w:bCs/>
          <w:i/>
          <w:u w:val="single"/>
        </w:rPr>
        <w:t>las disposiciones contenidas en los presentes lineamientos, así como en</w:t>
      </w:r>
      <w:r>
        <w:rPr>
          <w:rFonts w:ascii="Palatino Linotype" w:hAnsi="Palatino Linotype" w:cs="Arial"/>
          <w:b/>
          <w:bCs/>
          <w:i/>
          <w:u w:val="single"/>
        </w:rPr>
        <w:t xml:space="preserve"> aquellas disposiciones legales </w:t>
      </w:r>
      <w:r w:rsidRPr="00497964">
        <w:rPr>
          <w:rFonts w:ascii="Palatino Linotype" w:hAnsi="Palatino Linotype" w:cs="Arial"/>
          <w:b/>
          <w:bCs/>
          <w:i/>
          <w:u w:val="single"/>
        </w:rPr>
        <w:t>aplicables a la materia en el ámbito de sus respectivas competencias</w:t>
      </w:r>
      <w:r w:rsidRPr="00497964">
        <w:rPr>
          <w:rFonts w:ascii="Palatino Linotype" w:hAnsi="Palatino Linotype" w:cs="Arial"/>
          <w:bCs/>
          <w:i/>
        </w:rPr>
        <w:t>, en tanto estas últimas no contravengan lo dispuesto en la Ley General.</w:t>
      </w:r>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Los sujetos obligados deberán aplicar, de manera estricta, las excepciones al derecho de acceso a la información y sólo podrán invocarlas cuando acrediten su procedencia.</w:t>
      </w:r>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w:t>
      </w:r>
    </w:p>
    <w:p w:rsidR="00172F03" w:rsidRDefault="00172F03" w:rsidP="00172F03">
      <w:pPr>
        <w:tabs>
          <w:tab w:val="left" w:pos="8222"/>
          <w:tab w:val="left" w:pos="8647"/>
        </w:tabs>
        <w:spacing w:after="0" w:line="240" w:lineRule="auto"/>
        <w:ind w:left="851" w:right="850"/>
        <w:jc w:val="both"/>
        <w:rPr>
          <w:rFonts w:ascii="Palatino Linotype" w:hAnsi="Palatino Linotype" w:cs="Arial"/>
          <w:bCs/>
          <w:i/>
        </w:rPr>
      </w:pPr>
      <w:r>
        <w:rPr>
          <w:rFonts w:ascii="Palatino Linotype" w:hAnsi="Palatino Linotype" w:cs="Arial"/>
          <w:bCs/>
          <w:i/>
        </w:rPr>
        <w:t xml:space="preserve">Quinto. </w:t>
      </w:r>
      <w:r w:rsidRPr="00497964">
        <w:rPr>
          <w:rFonts w:ascii="Palatino Linotype" w:hAnsi="Palatino Linotype" w:cs="Arial"/>
          <w:b/>
          <w:bCs/>
          <w:i/>
          <w:u w:val="single"/>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497964">
        <w:rPr>
          <w:rFonts w:ascii="Palatino Linotype" w:hAnsi="Palatino Linotype" w:cs="Arial"/>
          <w:bCs/>
          <w:i/>
        </w:rPr>
        <w:t>, observando lo dispuesto en la Ley General y las demás disposiciones aplicables en la materia.</w:t>
      </w:r>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Cs/>
          <w:i/>
        </w:rPr>
      </w:pPr>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
          <w:bCs/>
          <w:i/>
        </w:rPr>
      </w:pPr>
      <w:r w:rsidRPr="00497964">
        <w:rPr>
          <w:rFonts w:ascii="Palatino Linotype" w:hAnsi="Palatino Linotype" w:cs="Arial"/>
          <w:bCs/>
          <w:i/>
        </w:rPr>
        <w:t>Octavo.</w:t>
      </w:r>
      <w:r>
        <w:rPr>
          <w:rFonts w:ascii="Palatino Linotype" w:hAnsi="Palatino Linotype" w:cs="Arial"/>
          <w:bCs/>
          <w:i/>
        </w:rPr>
        <w:t xml:space="preserve"> </w:t>
      </w:r>
      <w:r w:rsidRPr="00497964">
        <w:rPr>
          <w:rFonts w:ascii="Palatino Linotype" w:hAnsi="Palatino Linotype" w:cs="Arial"/>
          <w:b/>
          <w:bCs/>
          <w:i/>
          <w:u w:val="single"/>
        </w:rPr>
        <w:t>Para fundar la clasificación de la información se debe señalar el artículo, fracción, inciso, párrafo o numeral de la ley o tratado internacional suscrito por el Estado mexicano que expresamente le otorga el carácter de reservada o confidencial</w:t>
      </w:r>
      <w:r w:rsidRPr="00497964">
        <w:rPr>
          <w:rFonts w:ascii="Palatino Linotype" w:hAnsi="Palatino Linotype" w:cs="Arial"/>
          <w:b/>
          <w:bCs/>
          <w:i/>
        </w:rPr>
        <w:t>.</w:t>
      </w:r>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
          <w:bCs/>
          <w:i/>
        </w:rPr>
      </w:pPr>
      <w:r w:rsidRPr="00497964">
        <w:rPr>
          <w:rFonts w:ascii="Palatino Linotype" w:hAnsi="Palatino Linotype" w:cs="Arial"/>
          <w:b/>
          <w:bCs/>
          <w:i/>
          <w:u w:val="single"/>
        </w:rPr>
        <w:lastRenderedPageBreak/>
        <w:t>Para motivar la clasificación se deberán señalar las razones o circunstancias especiales que lo llevaron a concluir que el caso particular se ajusta al supuesto previsto por la norma legal invocada como fundamento</w:t>
      </w:r>
      <w:r w:rsidRPr="00497964">
        <w:rPr>
          <w:rFonts w:ascii="Palatino Linotype" w:hAnsi="Palatino Linotype" w:cs="Arial"/>
          <w:b/>
          <w:bCs/>
          <w:i/>
        </w:rPr>
        <w:t>.</w:t>
      </w:r>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w:t>
      </w:r>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DE LA INFORMACIÓN CONFIDENCIAL</w:t>
      </w:r>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Trigésimo octavo. Se considera información confidencial:</w:t>
      </w:r>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
          <w:bCs/>
          <w:i/>
        </w:rPr>
      </w:pPr>
      <w:r>
        <w:rPr>
          <w:rFonts w:ascii="Palatino Linotype" w:hAnsi="Palatino Linotype" w:cs="Arial"/>
          <w:bCs/>
          <w:i/>
        </w:rPr>
        <w:t xml:space="preserve">I. </w:t>
      </w:r>
      <w:r w:rsidRPr="00497964">
        <w:rPr>
          <w:rFonts w:ascii="Palatino Linotype" w:hAnsi="Palatino Linotype" w:cs="Arial"/>
          <w:b/>
          <w:bCs/>
          <w:i/>
          <w:u w:val="single"/>
        </w:rPr>
        <w:t>Los datos personales en los términos de la norma aplicable</w:t>
      </w:r>
      <w:r w:rsidRPr="00497964">
        <w:rPr>
          <w:rFonts w:ascii="Palatino Linotype" w:hAnsi="Palatino Linotype" w:cs="Arial"/>
          <w:b/>
          <w:bCs/>
          <w:i/>
        </w:rPr>
        <w:t>;</w:t>
      </w:r>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II.</w:t>
      </w:r>
      <w:r>
        <w:rPr>
          <w:rFonts w:ascii="Palatino Linotype" w:hAnsi="Palatino Linotype" w:cs="Arial"/>
          <w:bCs/>
          <w:i/>
        </w:rPr>
        <w:t xml:space="preserve"> </w:t>
      </w:r>
      <w:r w:rsidRPr="00497964">
        <w:rPr>
          <w:rFonts w:ascii="Palatino Linotype" w:hAnsi="Palatino Linotype" w:cs="Arial"/>
          <w:bCs/>
          <w:i/>
        </w:rPr>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Cs/>
          <w:i/>
        </w:rPr>
      </w:pPr>
      <w:proofErr w:type="gramStart"/>
      <w:r>
        <w:rPr>
          <w:rFonts w:ascii="Palatino Linotype" w:hAnsi="Palatino Linotype" w:cs="Arial"/>
          <w:bCs/>
          <w:i/>
        </w:rPr>
        <w:t xml:space="preserve">III </w:t>
      </w:r>
      <w:r w:rsidRPr="00497964">
        <w:rPr>
          <w:rFonts w:ascii="Palatino Linotype" w:hAnsi="Palatino Linotype" w:cs="Arial"/>
          <w:bCs/>
          <w:i/>
        </w:rPr>
        <w:t>…</w:t>
      </w:r>
      <w:proofErr w:type="gramEnd"/>
    </w:p>
    <w:p w:rsidR="00172F03" w:rsidRPr="00497964" w:rsidRDefault="00172F03" w:rsidP="00172F03">
      <w:pPr>
        <w:tabs>
          <w:tab w:val="left" w:pos="8222"/>
          <w:tab w:val="left" w:pos="8647"/>
        </w:tabs>
        <w:spacing w:after="0" w:line="240" w:lineRule="auto"/>
        <w:ind w:left="851" w:right="850"/>
        <w:jc w:val="both"/>
        <w:rPr>
          <w:rFonts w:ascii="Palatino Linotype" w:hAnsi="Palatino Linotype" w:cs="Arial"/>
          <w:bCs/>
          <w:i/>
        </w:rPr>
      </w:pPr>
      <w:r w:rsidRPr="00497964">
        <w:rPr>
          <w:rFonts w:ascii="Palatino Linotype" w:hAnsi="Palatino Linotype" w:cs="Arial"/>
          <w:bCs/>
          <w:i/>
        </w:rPr>
        <w:t>La información confidencial no estará sujeta a temporalidad alguna y sólo podrán tener acceso a ella los</w:t>
      </w:r>
      <w:r>
        <w:rPr>
          <w:rFonts w:ascii="Palatino Linotype" w:hAnsi="Palatino Linotype" w:cs="Arial"/>
          <w:bCs/>
          <w:i/>
        </w:rPr>
        <w:t xml:space="preserve"> </w:t>
      </w:r>
      <w:r w:rsidRPr="00497964">
        <w:rPr>
          <w:rFonts w:ascii="Palatino Linotype" w:hAnsi="Palatino Linotype" w:cs="Arial"/>
          <w:bCs/>
          <w:i/>
        </w:rPr>
        <w:t>titulares de la misma, sus representantes y los servidores públicos facultados para ello.”</w:t>
      </w:r>
    </w:p>
    <w:p w:rsidR="00172F03" w:rsidRDefault="00172F03" w:rsidP="00172F03">
      <w:pPr>
        <w:tabs>
          <w:tab w:val="left" w:pos="8222"/>
          <w:tab w:val="left" w:pos="8647"/>
        </w:tabs>
        <w:spacing w:after="0" w:line="240" w:lineRule="auto"/>
        <w:ind w:left="851" w:right="850"/>
        <w:jc w:val="right"/>
        <w:rPr>
          <w:rFonts w:ascii="Palatino Linotype" w:hAnsi="Palatino Linotype" w:cs="Arial"/>
          <w:bCs/>
          <w:i/>
        </w:rPr>
      </w:pPr>
      <w:r w:rsidRPr="00497964">
        <w:rPr>
          <w:rFonts w:ascii="Palatino Linotype" w:hAnsi="Palatino Linotype" w:cs="Arial"/>
          <w:bCs/>
          <w:i/>
        </w:rPr>
        <w:t>(Énfasis añadido)</w:t>
      </w:r>
    </w:p>
    <w:p w:rsidR="00172F03" w:rsidRDefault="00172F03" w:rsidP="00172F03">
      <w:pPr>
        <w:tabs>
          <w:tab w:val="left" w:pos="8222"/>
          <w:tab w:val="left" w:pos="8647"/>
        </w:tabs>
        <w:spacing w:after="0" w:line="240" w:lineRule="auto"/>
        <w:ind w:left="851" w:right="850"/>
        <w:jc w:val="right"/>
        <w:rPr>
          <w:rFonts w:ascii="Palatino Linotype" w:hAnsi="Palatino Linotype" w:cs="Arial"/>
          <w:bCs/>
          <w:i/>
        </w:rPr>
      </w:pPr>
    </w:p>
    <w:p w:rsidR="00172F03" w:rsidRPr="00A038C3" w:rsidRDefault="00172F03" w:rsidP="00172F03">
      <w:pPr>
        <w:tabs>
          <w:tab w:val="left" w:pos="8647"/>
        </w:tabs>
        <w:spacing w:after="0" w:line="360" w:lineRule="auto"/>
        <w:jc w:val="both"/>
        <w:rPr>
          <w:rFonts w:ascii="Palatino Linotype" w:hAnsi="Palatino Linotype" w:cs="Arial"/>
          <w:sz w:val="24"/>
          <w:szCs w:val="24"/>
        </w:rPr>
      </w:pPr>
      <w:r w:rsidRPr="00A038C3">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172F03" w:rsidRPr="00A038C3" w:rsidRDefault="00172F03" w:rsidP="00172F03">
      <w:pPr>
        <w:tabs>
          <w:tab w:val="left" w:pos="8647"/>
        </w:tabs>
        <w:spacing w:after="0" w:line="360" w:lineRule="auto"/>
        <w:ind w:right="51"/>
        <w:jc w:val="both"/>
        <w:rPr>
          <w:rFonts w:ascii="Palatino Linotype" w:hAnsi="Palatino Linotype" w:cs="Arial"/>
          <w:sz w:val="24"/>
          <w:szCs w:val="24"/>
        </w:rPr>
      </w:pPr>
    </w:p>
    <w:p w:rsidR="00172F03" w:rsidRPr="00A038C3" w:rsidRDefault="00172F03" w:rsidP="00172F03">
      <w:pPr>
        <w:tabs>
          <w:tab w:val="left" w:pos="8647"/>
        </w:tabs>
        <w:spacing w:after="0" w:line="360" w:lineRule="auto"/>
        <w:jc w:val="both"/>
        <w:rPr>
          <w:rFonts w:ascii="Palatino Linotype" w:hAnsi="Palatino Linotype" w:cs="Arial"/>
          <w:sz w:val="24"/>
          <w:szCs w:val="24"/>
        </w:rPr>
      </w:pPr>
      <w:r w:rsidRPr="00A038C3">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w:t>
      </w:r>
      <w:r>
        <w:rPr>
          <w:rFonts w:ascii="Palatino Linotype" w:hAnsi="Palatino Linotype" w:cs="Arial"/>
          <w:sz w:val="24"/>
          <w:szCs w:val="24"/>
        </w:rPr>
        <w:t xml:space="preserve"> razonamientos que llevaron al sujeto o</w:t>
      </w:r>
      <w:r w:rsidRPr="00A038C3">
        <w:rPr>
          <w:rFonts w:ascii="Palatino Linotype" w:hAnsi="Palatino Linotype" w:cs="Arial"/>
          <w:sz w:val="24"/>
          <w:szCs w:val="24"/>
        </w:rPr>
        <w:t xml:space="preserve">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A038C3">
        <w:rPr>
          <w:rFonts w:ascii="Palatino Linotype" w:hAnsi="Palatino Linotype" w:cs="Arial"/>
          <w:sz w:val="24"/>
          <w:szCs w:val="24"/>
        </w:rPr>
        <w:lastRenderedPageBreak/>
        <w:t>las razones de ello se estaría violentando desde un inicio el derecho de acceso a la información del solicitante.</w:t>
      </w:r>
    </w:p>
    <w:p w:rsidR="00172F03" w:rsidRPr="00A038C3" w:rsidRDefault="00172F03" w:rsidP="00172F03">
      <w:pPr>
        <w:tabs>
          <w:tab w:val="left" w:pos="8647"/>
        </w:tabs>
        <w:spacing w:after="0" w:line="360" w:lineRule="auto"/>
        <w:ind w:right="51"/>
        <w:jc w:val="both"/>
        <w:rPr>
          <w:rFonts w:ascii="Palatino Linotype" w:hAnsi="Palatino Linotype" w:cs="Arial"/>
          <w:sz w:val="24"/>
          <w:szCs w:val="24"/>
        </w:rPr>
      </w:pPr>
    </w:p>
    <w:p w:rsidR="00172F03" w:rsidRDefault="00172F03" w:rsidP="00172F03">
      <w:pPr>
        <w:spacing w:before="240" w:after="240" w:line="360" w:lineRule="auto"/>
        <w:jc w:val="both"/>
        <w:rPr>
          <w:rFonts w:ascii="Palatino Linotype" w:hAnsi="Palatino Linotype" w:cs="Arial"/>
          <w:i/>
          <w:iCs/>
          <w:sz w:val="24"/>
          <w:szCs w:val="24"/>
        </w:rPr>
      </w:pPr>
      <w:r>
        <w:rPr>
          <w:rFonts w:ascii="Palatino Linotype" w:hAnsi="Palatino Linotype" w:cs="Arial"/>
          <w:sz w:val="24"/>
          <w:szCs w:val="24"/>
        </w:rPr>
        <w:t>Entonces, el sujeto o</w:t>
      </w:r>
      <w:r w:rsidRPr="00A038C3">
        <w:rPr>
          <w:rFonts w:ascii="Palatino Linotype" w:hAnsi="Palatino Linotype" w:cs="Arial"/>
          <w:sz w:val="24"/>
          <w:szCs w:val="24"/>
        </w:rPr>
        <w:t>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A038C3">
        <w:rPr>
          <w:rFonts w:ascii="Palatino Linotype" w:hAnsi="Palatino Linotype" w:cs="Arial"/>
          <w:i/>
          <w:iCs/>
          <w:sz w:val="24"/>
          <w:szCs w:val="24"/>
        </w:rPr>
        <w:t>.</w:t>
      </w:r>
    </w:p>
    <w:p w:rsidR="00172F03" w:rsidRDefault="00172F03" w:rsidP="00172F03">
      <w:pPr>
        <w:spacing w:before="240" w:after="240" w:line="360" w:lineRule="auto"/>
        <w:jc w:val="both"/>
        <w:rPr>
          <w:rFonts w:ascii="Palatino Linotype" w:hAnsi="Palatino Linotype" w:cs="Arial"/>
          <w:sz w:val="24"/>
          <w:szCs w:val="24"/>
          <w:lang w:val="es-ES_tradnl"/>
        </w:rPr>
      </w:pPr>
      <w:r w:rsidRPr="00E71E73">
        <w:rPr>
          <w:rFonts w:ascii="Palatino Linotype" w:hAnsi="Palatino Linotype" w:cs="Arial"/>
          <w:sz w:val="24"/>
          <w:szCs w:val="24"/>
          <w:lang w:val="es-ES_tradnl"/>
        </w:rPr>
        <w:t>Por ende, en el presente caso el sujeto obligado sólo podrá testar los datos referidos con antelación, clasificación que tiene que efectuar mediante las formalidades que la Ley impone</w:t>
      </w:r>
      <w:r>
        <w:rPr>
          <w:rFonts w:ascii="Palatino Linotype" w:hAnsi="Palatino Linotype" w:cs="Arial"/>
          <w:sz w:val="24"/>
          <w:szCs w:val="24"/>
          <w:lang w:val="es-ES_tradnl"/>
        </w:rPr>
        <w:t>.</w:t>
      </w:r>
    </w:p>
    <w:p w:rsidR="00172F03" w:rsidRDefault="00172F03" w:rsidP="00172F03">
      <w:pPr>
        <w:spacing w:before="240" w:after="240" w:line="360" w:lineRule="auto"/>
        <w:jc w:val="both"/>
        <w:rPr>
          <w:rFonts w:ascii="Palatino Linotype" w:hAnsi="Palatino Linotype" w:cs="Arial"/>
          <w:sz w:val="24"/>
          <w:szCs w:val="24"/>
        </w:rPr>
      </w:pPr>
    </w:p>
    <w:p w:rsidR="00172F03" w:rsidRDefault="00172F03" w:rsidP="00172F0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8C49D6" w:rsidRDefault="008C49D6" w:rsidP="0045369F">
      <w:pPr>
        <w:autoSpaceDE w:val="0"/>
        <w:autoSpaceDN w:val="0"/>
        <w:adjustRightInd w:val="0"/>
        <w:spacing w:before="240" w:line="360" w:lineRule="auto"/>
        <w:jc w:val="both"/>
        <w:rPr>
          <w:rFonts w:ascii="Palatino Linotype" w:hAnsi="Palatino Linotype" w:cs="Arial"/>
          <w:sz w:val="24"/>
        </w:rPr>
      </w:pP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172F03" w:rsidRPr="00921CA9" w:rsidRDefault="006A2B44" w:rsidP="005A5FD6">
      <w:pPr>
        <w:spacing w:before="240" w:line="24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172F03">
        <w:rPr>
          <w:rFonts w:ascii="Palatino Linotype" w:hAnsi="Palatino Linotype" w:cs="Arial"/>
          <w:sz w:val="24"/>
          <w:szCs w:val="24"/>
          <w:lang w:val="es-ES_tradnl"/>
        </w:rPr>
        <w:t xml:space="preserve">Se </w:t>
      </w:r>
      <w:r w:rsidR="00172F03" w:rsidRPr="005C18C0">
        <w:rPr>
          <w:rFonts w:ascii="Palatino Linotype" w:hAnsi="Palatino Linotype" w:cs="Arial"/>
          <w:b/>
          <w:sz w:val="24"/>
          <w:szCs w:val="24"/>
          <w:lang w:val="es-ES_tradnl"/>
        </w:rPr>
        <w:t>Revoca</w:t>
      </w:r>
      <w:r w:rsidR="00172F03" w:rsidRPr="00921CA9">
        <w:rPr>
          <w:rFonts w:ascii="Palatino Linotype" w:hAnsi="Palatino Linotype" w:cs="Arial"/>
          <w:sz w:val="24"/>
          <w:szCs w:val="24"/>
          <w:lang w:val="es-ES_tradnl"/>
        </w:rPr>
        <w:t xml:space="preserve"> </w:t>
      </w:r>
      <w:r w:rsidR="00172F03">
        <w:rPr>
          <w:rFonts w:ascii="Palatino Linotype" w:eastAsia="Arial Unicode MS" w:hAnsi="Palatino Linotype" w:cs="Arial"/>
          <w:sz w:val="24"/>
          <w:szCs w:val="24"/>
        </w:rPr>
        <w:t xml:space="preserve">la respuesta del sujeto obligado, por resultar fundados los motivos </w:t>
      </w:r>
      <w:r w:rsidR="002B520C">
        <w:rPr>
          <w:rFonts w:ascii="Palatino Linotype" w:eastAsia="Arial Unicode MS" w:hAnsi="Palatino Linotype" w:cs="Arial"/>
          <w:sz w:val="24"/>
          <w:szCs w:val="24"/>
        </w:rPr>
        <w:t>de inconformidad vertidos por la</w:t>
      </w:r>
      <w:r w:rsidR="00172F03">
        <w:rPr>
          <w:rFonts w:ascii="Palatino Linotype" w:eastAsia="Arial Unicode MS" w:hAnsi="Palatino Linotype" w:cs="Arial"/>
          <w:sz w:val="24"/>
          <w:szCs w:val="24"/>
        </w:rPr>
        <w:t xml:space="preserve"> recurrente, en términos del considerando cuarto de ésta resolución.</w:t>
      </w:r>
    </w:p>
    <w:p w:rsidR="006A2B44" w:rsidRPr="009902AF" w:rsidRDefault="006A2B44" w:rsidP="005A5FD6">
      <w:pPr>
        <w:spacing w:before="240" w:line="240" w:lineRule="auto"/>
        <w:jc w:val="both"/>
        <w:rPr>
          <w:rFonts w:ascii="Palatino Linotype" w:hAnsi="Palatino Linotype" w:cs="Arial"/>
          <w:sz w:val="18"/>
          <w:szCs w:val="18"/>
        </w:rPr>
      </w:pPr>
    </w:p>
    <w:p w:rsidR="002A3C76" w:rsidRDefault="006A2B44" w:rsidP="005A5FD6">
      <w:pPr>
        <w:autoSpaceDE w:val="0"/>
        <w:autoSpaceDN w:val="0"/>
        <w:adjustRightInd w:val="0"/>
        <w:spacing w:before="240" w:line="24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2A3C76" w:rsidRPr="007C135E">
        <w:rPr>
          <w:rFonts w:ascii="Palatino Linotype" w:hAnsi="Palatino Linotype" w:cs="Arial"/>
          <w:sz w:val="24"/>
          <w:szCs w:val="24"/>
        </w:rPr>
        <w:t xml:space="preserve">Se ordena al </w:t>
      </w:r>
      <w:r w:rsidR="002A3C76" w:rsidRPr="00A51ED1">
        <w:rPr>
          <w:rFonts w:ascii="Palatino Linotype" w:hAnsi="Palatino Linotype" w:cs="Arial"/>
          <w:sz w:val="24"/>
          <w:szCs w:val="24"/>
        </w:rPr>
        <w:t>sujeto obligado</w:t>
      </w:r>
      <w:r w:rsidR="00295459">
        <w:rPr>
          <w:rFonts w:ascii="Palatino Linotype" w:hAnsi="Palatino Linotype" w:cs="Arial"/>
          <w:sz w:val="24"/>
          <w:szCs w:val="24"/>
        </w:rPr>
        <w:t>, posterior de haber</w:t>
      </w:r>
      <w:r w:rsidR="002A3C76">
        <w:rPr>
          <w:rFonts w:ascii="Palatino Linotype" w:hAnsi="Palatino Linotype" w:cs="Arial"/>
          <w:sz w:val="24"/>
          <w:szCs w:val="24"/>
        </w:rPr>
        <w:t xml:space="preserve"> realizado una búsqueda exhaustiva y razonable</w:t>
      </w:r>
      <w:r w:rsidR="00295459">
        <w:rPr>
          <w:rFonts w:ascii="Palatino Linotype" w:hAnsi="Palatino Linotype" w:cs="Arial"/>
          <w:sz w:val="24"/>
          <w:szCs w:val="24"/>
        </w:rPr>
        <w:t>,</w:t>
      </w:r>
      <w:r w:rsidR="00183C57">
        <w:rPr>
          <w:rFonts w:ascii="Palatino Linotype" w:hAnsi="Palatino Linotype" w:cs="Arial"/>
          <w:sz w:val="24"/>
          <w:szCs w:val="24"/>
        </w:rPr>
        <w:t xml:space="preserve"> haga entrega a la </w:t>
      </w:r>
      <w:r w:rsidR="002A3C76">
        <w:rPr>
          <w:rFonts w:ascii="Palatino Linotype" w:hAnsi="Palatino Linotype" w:cs="Arial"/>
          <w:sz w:val="24"/>
          <w:szCs w:val="24"/>
        </w:rPr>
        <w:t>recurrente, en versión pública</w:t>
      </w:r>
      <w:r w:rsidR="00295459">
        <w:rPr>
          <w:rFonts w:ascii="Palatino Linotype" w:hAnsi="Palatino Linotype" w:cs="Arial"/>
          <w:sz w:val="24"/>
          <w:szCs w:val="24"/>
        </w:rPr>
        <w:t xml:space="preserve"> en </w:t>
      </w:r>
      <w:r w:rsidR="00295459">
        <w:rPr>
          <w:rFonts w:ascii="Palatino Linotype" w:hAnsi="Palatino Linotype" w:cs="Arial"/>
          <w:sz w:val="24"/>
          <w:szCs w:val="24"/>
        </w:rPr>
        <w:lastRenderedPageBreak/>
        <w:t>caso</w:t>
      </w:r>
      <w:r w:rsidR="002A3C76">
        <w:rPr>
          <w:rFonts w:ascii="Palatino Linotype" w:hAnsi="Palatino Linotype" w:cs="Arial"/>
          <w:sz w:val="24"/>
          <w:szCs w:val="24"/>
        </w:rPr>
        <w:t xml:space="preserve"> de ser procedente, a</w:t>
      </w:r>
      <w:r w:rsidR="00183C57">
        <w:rPr>
          <w:rFonts w:ascii="Palatino Linotype" w:hAnsi="Palatino Linotype" w:cs="Arial"/>
          <w:sz w:val="24"/>
          <w:szCs w:val="24"/>
        </w:rPr>
        <w:t xml:space="preserve"> través del SAIMEX, el o los documentos en donde conste lo siguiente</w:t>
      </w:r>
      <w:r w:rsidR="002A3C76">
        <w:rPr>
          <w:rFonts w:ascii="Palatino Linotype" w:hAnsi="Palatino Linotype" w:cs="Arial"/>
          <w:sz w:val="24"/>
          <w:szCs w:val="24"/>
        </w:rPr>
        <w:t>:</w:t>
      </w:r>
    </w:p>
    <w:p w:rsidR="00172F03" w:rsidRDefault="00172F03" w:rsidP="005A5FD6">
      <w:pPr>
        <w:autoSpaceDE w:val="0"/>
        <w:autoSpaceDN w:val="0"/>
        <w:adjustRightInd w:val="0"/>
        <w:spacing w:before="240" w:line="240" w:lineRule="auto"/>
        <w:ind w:right="49"/>
        <w:jc w:val="both"/>
        <w:rPr>
          <w:rFonts w:ascii="Palatino Linotype" w:hAnsi="Palatino Linotype" w:cs="Arial"/>
          <w:sz w:val="24"/>
          <w:szCs w:val="24"/>
        </w:rPr>
      </w:pPr>
    </w:p>
    <w:p w:rsidR="00183C57" w:rsidRDefault="00183C57" w:rsidP="00183C57">
      <w:pPr>
        <w:pStyle w:val="Prrafodelista"/>
        <w:numPr>
          <w:ilvl w:val="0"/>
          <w:numId w:val="12"/>
        </w:numPr>
        <w:spacing w:before="240"/>
        <w:ind w:right="567"/>
        <w:jc w:val="both"/>
        <w:rPr>
          <w:rFonts w:ascii="Palatino Linotype" w:hAnsi="Palatino Linotype" w:cs="Arial"/>
          <w:i/>
          <w:sz w:val="22"/>
          <w:szCs w:val="22"/>
          <w:lang w:val="es-ES_tradnl"/>
        </w:rPr>
      </w:pPr>
      <w:r>
        <w:rPr>
          <w:rFonts w:ascii="Palatino Linotype" w:hAnsi="Palatino Linotype" w:cs="Arial"/>
          <w:i/>
          <w:sz w:val="22"/>
          <w:szCs w:val="22"/>
          <w:lang w:val="es-ES_tradnl"/>
        </w:rPr>
        <w:t>Evidencia de participación por parte de la Rectora en Gabinete Regional, del veintiocho de abril de dos mil diecisiete al veintiocho de abril de dos mil dieciocho.</w:t>
      </w:r>
    </w:p>
    <w:p w:rsidR="002A3C76" w:rsidRDefault="00183C57" w:rsidP="00183C57">
      <w:pPr>
        <w:pStyle w:val="Prrafodelista"/>
        <w:spacing w:before="240"/>
        <w:ind w:left="1211" w:right="567"/>
        <w:jc w:val="both"/>
        <w:rPr>
          <w:rFonts w:ascii="Palatino Linotype" w:hAnsi="Palatino Linotype" w:cs="Arial"/>
          <w:i/>
          <w:sz w:val="22"/>
          <w:szCs w:val="22"/>
          <w:lang w:val="es-ES_tradnl"/>
        </w:rPr>
      </w:pPr>
      <w:r>
        <w:rPr>
          <w:rFonts w:ascii="Palatino Linotype" w:hAnsi="Palatino Linotype" w:cs="Arial"/>
          <w:i/>
          <w:sz w:val="22"/>
          <w:szCs w:val="22"/>
          <w:lang w:val="es-ES_tradnl"/>
        </w:rPr>
        <w:t xml:space="preserve"> </w:t>
      </w:r>
    </w:p>
    <w:p w:rsidR="002A3C76" w:rsidRDefault="002A3C76" w:rsidP="005A5FD6">
      <w:pPr>
        <w:pStyle w:val="Prrafodelista"/>
        <w:ind w:left="851"/>
        <w:jc w:val="both"/>
        <w:rPr>
          <w:rFonts w:ascii="Palatino Linotype" w:hAnsi="Palatino Linotype"/>
          <w:i/>
        </w:rPr>
      </w:pPr>
      <w:r w:rsidRPr="002A3C76">
        <w:rPr>
          <w:rFonts w:ascii="Palatino Linotype" w:hAnsi="Palatino Linotype"/>
          <w:i/>
        </w:rPr>
        <w:t>Por lo que hace a los datos susceptibles de clasificar, se deberá generar la versión pública correspondiente, en aquellos casos que sea procedente y notificar el acuerdo de clasificación que respalde la versión pública en términos de lo señalado en el Considerando Cuarto y en los artículos 49 fracción VIII, 132 fracción II de la Ley de Transparencia y Acceso a la Información Pública del Estado de México y Municipios y demás normatividad aplicable.</w:t>
      </w:r>
    </w:p>
    <w:p w:rsidR="002A3C76" w:rsidRPr="002A3C76" w:rsidRDefault="002A3C76" w:rsidP="005A5FD6">
      <w:pPr>
        <w:pStyle w:val="Prrafodelista"/>
        <w:ind w:left="851"/>
        <w:jc w:val="both"/>
        <w:rPr>
          <w:rFonts w:ascii="Palatino Linotype" w:hAnsi="Palatino Linotype"/>
          <w:i/>
        </w:rPr>
      </w:pPr>
    </w:p>
    <w:p w:rsidR="006A2B44" w:rsidRDefault="006A2B44" w:rsidP="005A5FD6">
      <w:pPr>
        <w:autoSpaceDE w:val="0"/>
        <w:autoSpaceDN w:val="0"/>
        <w:adjustRightInd w:val="0"/>
        <w:spacing w:before="240" w:line="24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6A2B44" w:rsidRDefault="006A2B44" w:rsidP="005A5FD6">
      <w:pPr>
        <w:autoSpaceDE w:val="0"/>
        <w:autoSpaceDN w:val="0"/>
        <w:adjustRightInd w:val="0"/>
        <w:spacing w:before="240" w:line="240" w:lineRule="auto"/>
        <w:jc w:val="both"/>
        <w:rPr>
          <w:rFonts w:ascii="Palatino Linotype" w:hAnsi="Palatino Linotype" w:cs="Arial"/>
          <w:sz w:val="24"/>
          <w:szCs w:val="24"/>
        </w:rPr>
      </w:pPr>
    </w:p>
    <w:p w:rsidR="00CC7A6C" w:rsidRDefault="006A2B44" w:rsidP="005A5FD6">
      <w:pPr>
        <w:autoSpaceDE w:val="0"/>
        <w:autoSpaceDN w:val="0"/>
        <w:adjustRightInd w:val="0"/>
        <w:spacing w:before="240" w:line="24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183C57">
        <w:rPr>
          <w:rFonts w:ascii="Palatino Linotype" w:hAnsi="Palatino Linotype" w:cs="Arial"/>
          <w:sz w:val="24"/>
          <w:szCs w:val="24"/>
        </w:rPr>
        <w:t xml:space="preserve"> a la</w:t>
      </w:r>
      <w:r>
        <w:rPr>
          <w:rFonts w:ascii="Palatino Linotype" w:hAnsi="Palatino Linotype" w:cs="Arial"/>
          <w:sz w:val="24"/>
          <w:szCs w:val="24"/>
        </w:rPr>
        <w:t xml:space="preserve"> recurrente la presente resolución, </w:t>
      </w:r>
      <w:r w:rsidR="00CC7A6C">
        <w:rPr>
          <w:rFonts w:ascii="Palatino Linotype" w:hAnsi="Palatino Linotype" w:cs="Arial"/>
          <w:sz w:val="24"/>
          <w:szCs w:val="24"/>
        </w:rPr>
        <w:t>así como el informe justificado.</w:t>
      </w:r>
    </w:p>
    <w:p w:rsidR="00CC7A6C" w:rsidRDefault="00CC7A6C" w:rsidP="005A5FD6">
      <w:pPr>
        <w:autoSpaceDE w:val="0"/>
        <w:autoSpaceDN w:val="0"/>
        <w:adjustRightInd w:val="0"/>
        <w:spacing w:before="240" w:line="240" w:lineRule="auto"/>
        <w:jc w:val="both"/>
        <w:rPr>
          <w:rFonts w:ascii="Palatino Linotype" w:hAnsi="Palatino Linotype" w:cs="Arial"/>
          <w:sz w:val="24"/>
          <w:szCs w:val="24"/>
        </w:rPr>
      </w:pPr>
    </w:p>
    <w:p w:rsidR="006A2B44" w:rsidRDefault="00CC7A6C" w:rsidP="005A5FD6">
      <w:pPr>
        <w:autoSpaceDE w:val="0"/>
        <w:autoSpaceDN w:val="0"/>
        <w:adjustRightInd w:val="0"/>
        <w:spacing w:before="240" w:line="240" w:lineRule="auto"/>
        <w:jc w:val="both"/>
        <w:rPr>
          <w:rFonts w:ascii="Palatino Linotype" w:hAnsi="Palatino Linotype" w:cs="Arial"/>
          <w:sz w:val="24"/>
          <w:szCs w:val="24"/>
        </w:rPr>
      </w:pPr>
      <w:r>
        <w:rPr>
          <w:rFonts w:ascii="Palatino Linotype" w:hAnsi="Palatino Linotype" w:cs="Arial"/>
          <w:b/>
          <w:sz w:val="28"/>
          <w:szCs w:val="28"/>
        </w:rPr>
        <w:t>QUINTO.</w:t>
      </w:r>
      <w:r w:rsidR="00183C57">
        <w:rPr>
          <w:rFonts w:ascii="Palatino Linotype" w:hAnsi="Palatino Linotype" w:cs="Arial"/>
          <w:sz w:val="24"/>
          <w:szCs w:val="24"/>
        </w:rPr>
        <w:t xml:space="preserve"> </w:t>
      </w:r>
      <w:r w:rsidR="000C7AFA">
        <w:rPr>
          <w:rFonts w:ascii="Palatino Linotype" w:hAnsi="Palatino Linotype" w:cs="Arial"/>
          <w:sz w:val="24"/>
          <w:szCs w:val="24"/>
        </w:rPr>
        <w:t>Se hace del conocimiento a la</w:t>
      </w:r>
      <w:r w:rsidR="000C7AFA">
        <w:rPr>
          <w:rFonts w:ascii="Palatino Linotype" w:hAnsi="Palatino Linotype" w:cs="Arial"/>
          <w:b/>
          <w:sz w:val="24"/>
          <w:szCs w:val="24"/>
        </w:rPr>
        <w:t xml:space="preserve"> recurrente </w:t>
      </w:r>
      <w:r w:rsidR="000C7AFA">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80CE6" w:rsidRPr="009902AF" w:rsidRDefault="00280CE6" w:rsidP="00D03642">
      <w:pPr>
        <w:autoSpaceDE w:val="0"/>
        <w:autoSpaceDN w:val="0"/>
        <w:adjustRightInd w:val="0"/>
        <w:spacing w:before="240" w:line="360" w:lineRule="auto"/>
        <w:jc w:val="both"/>
        <w:rPr>
          <w:rFonts w:ascii="Palatino Linotype" w:hAnsi="Palatino Linotype" w:cs="Arial"/>
          <w:b/>
          <w:sz w:val="18"/>
          <w:szCs w:val="18"/>
        </w:rPr>
      </w:pPr>
    </w:p>
    <w:p w:rsidR="006B7634" w:rsidRDefault="00E3099C" w:rsidP="000506C8">
      <w:pPr>
        <w:spacing w:before="240" w:line="240" w:lineRule="auto"/>
        <w:jc w:val="both"/>
        <w:rPr>
          <w:rFonts w:ascii="Palatino Linotype" w:hAnsi="Palatino Linotype" w:cs="Arial"/>
        </w:rPr>
      </w:pPr>
      <w:r w:rsidRPr="007D53C0">
        <w:rPr>
          <w:rFonts w:ascii="Palatino Linotype" w:hAnsi="Palatino Linotype" w:cs="Arial"/>
        </w:rPr>
        <w:lastRenderedPageBreak/>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277BC2">
        <w:rPr>
          <w:rFonts w:ascii="Palatino Linotype" w:hAnsi="Palatino Linotype" w:cs="Arial"/>
        </w:rPr>
        <w:t>ZULEMA MARTÍNEZ SÁNCHEZ, EVA ABAID YAPUR</w:t>
      </w:r>
      <w:r w:rsidR="0099266B">
        <w:rPr>
          <w:rFonts w:ascii="Palatino Linotype" w:hAnsi="Palatino Linotype" w:cs="Arial"/>
        </w:rPr>
        <w:t xml:space="preserve"> CON AUSENCIA JUSTIFICADA</w:t>
      </w:r>
      <w:r w:rsidRPr="00277BC2">
        <w:rPr>
          <w:rFonts w:ascii="Palatino Linotype" w:hAnsi="Palatino Linotype" w:cs="Arial"/>
        </w:rPr>
        <w:t>,</w:t>
      </w:r>
      <w:r w:rsidR="0099266B">
        <w:rPr>
          <w:rFonts w:ascii="Palatino Linotype" w:hAnsi="Palatino Linotype" w:cs="Arial"/>
        </w:rPr>
        <w:t xml:space="preserve"> JOSÉ GUADALUPE LUNA HERNÁNDEZ Y </w:t>
      </w:r>
      <w:r w:rsidRPr="00277BC2">
        <w:rPr>
          <w:rFonts w:ascii="Palatino Linotype" w:hAnsi="Palatino Linotype" w:cs="Arial"/>
        </w:rPr>
        <w:t>JAVI</w:t>
      </w:r>
      <w:r w:rsidR="00057C41" w:rsidRPr="00277BC2">
        <w:rPr>
          <w:rFonts w:ascii="Palatino Linotype" w:hAnsi="Palatino Linotype" w:cs="Arial"/>
        </w:rPr>
        <w:t xml:space="preserve">ER MARTÍNEZ CRUZ </w:t>
      </w:r>
      <w:r w:rsidR="00277BC2" w:rsidRPr="00277BC2">
        <w:rPr>
          <w:rFonts w:ascii="Palatino Linotype" w:hAnsi="Palatino Linotype" w:cs="Arial"/>
        </w:rPr>
        <w:t>EN LA VIGÉSIMA</w:t>
      </w:r>
      <w:r w:rsidR="0099266B">
        <w:rPr>
          <w:rFonts w:ascii="Palatino Linotype" w:hAnsi="Palatino Linotype" w:cs="Arial"/>
        </w:rPr>
        <w:t xml:space="preserve"> </w:t>
      </w:r>
      <w:r w:rsidR="000506C8">
        <w:rPr>
          <w:rFonts w:ascii="Palatino Linotype" w:hAnsi="Palatino Linotype" w:cs="Arial"/>
        </w:rPr>
        <w:t>OCTAVA</w:t>
      </w:r>
      <w:r w:rsidR="00277BC2" w:rsidRPr="00277BC2">
        <w:rPr>
          <w:rFonts w:ascii="Palatino Linotype" w:hAnsi="Palatino Linotype" w:cs="Arial"/>
        </w:rPr>
        <w:t xml:space="preserve"> </w:t>
      </w:r>
      <w:r w:rsidR="000506C8">
        <w:rPr>
          <w:rFonts w:ascii="Palatino Linotype" w:hAnsi="Palatino Linotype" w:cs="Arial"/>
        </w:rPr>
        <w:t>SESIÓN ORDINARIA CELEBRADA EL OCHO</w:t>
      </w:r>
      <w:r w:rsidR="0099266B">
        <w:rPr>
          <w:rFonts w:ascii="Palatino Linotype" w:hAnsi="Palatino Linotype" w:cs="Arial"/>
        </w:rPr>
        <w:t xml:space="preserve"> DE </w:t>
      </w:r>
      <w:r w:rsidR="000506C8">
        <w:rPr>
          <w:rFonts w:ascii="Palatino Linotype" w:hAnsi="Palatino Linotype" w:cs="Arial"/>
        </w:rPr>
        <w:t xml:space="preserve">AGOSTO </w:t>
      </w:r>
      <w:r w:rsidR="006B7634" w:rsidRPr="00277BC2">
        <w:rPr>
          <w:rFonts w:ascii="Palatino Linotype" w:hAnsi="Palatino Linotype" w:cs="Arial"/>
        </w:rPr>
        <w:t>DE DOS MIL DIECIOCHO, ANTE EL</w:t>
      </w:r>
      <w:r w:rsidR="00277BC2" w:rsidRPr="00277BC2">
        <w:rPr>
          <w:rFonts w:ascii="Palatino Linotype" w:hAnsi="Palatino Linotype" w:cs="Arial"/>
        </w:rPr>
        <w:t xml:space="preserve"> SECRETARIO TÉCNICO</w:t>
      </w:r>
      <w:r w:rsidRPr="00277BC2">
        <w:rPr>
          <w:rFonts w:ascii="Palatino Linotype" w:hAnsi="Palatino Linotype" w:cs="Arial"/>
        </w:rPr>
        <w:t xml:space="preserve"> DEL PLENO, </w:t>
      </w:r>
      <w:r w:rsidR="00715CD7">
        <w:rPr>
          <w:rFonts w:ascii="Palatino Linotype" w:hAnsi="Palatino Linotype" w:cs="Arial"/>
        </w:rPr>
        <w:t xml:space="preserve">ALEXIS TAPIA RAMÍREZ. </w:t>
      </w:r>
    </w:p>
    <w:p w:rsidR="000506C8" w:rsidRPr="002908D2" w:rsidRDefault="000506C8" w:rsidP="000506C8">
      <w:pPr>
        <w:spacing w:before="240" w:line="240" w:lineRule="auto"/>
        <w:jc w:val="both"/>
        <w:rPr>
          <w:rFonts w:ascii="Palatino Linotype" w:hAnsi="Palatino Linotype" w:cs="Arial"/>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715CD7" w:rsidRDefault="0099266B" w:rsidP="00E3099C">
      <w:pPr>
        <w:spacing w:before="240"/>
        <w:rPr>
          <w:rFonts w:ascii="Palatino Linotype" w:hAnsi="Palatino Linotype"/>
          <w:b/>
        </w:rPr>
      </w:pPr>
      <w:r>
        <w:rPr>
          <w:rFonts w:ascii="Palatino Linotype" w:hAnsi="Palatino Linotype"/>
          <w:b/>
        </w:rPr>
        <w:br/>
      </w: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99266B" w:rsidP="00E3099C">
                            <w:pPr>
                              <w:jc w:val="center"/>
                              <w:rPr>
                                <w:rFonts w:ascii="Palatino Linotype" w:hAnsi="Palatino Linotype"/>
                                <w:b/>
                              </w:rPr>
                            </w:pPr>
                            <w:r>
                              <w:rPr>
                                <w:rFonts w:ascii="Palatino Linotype" w:hAnsi="Palatino Linotype"/>
                                <w:b/>
                              </w:rPr>
                              <w:t>(Ausencia Justificada</w:t>
                            </w:r>
                            <w:r w:rsidR="00E3099C">
                              <w:rPr>
                                <w:rFonts w:ascii="Palatino Linotype" w:hAnsi="Palatino Linotype"/>
                                <w:b/>
                              </w:rPr>
                              <w:t>).</w:t>
                            </w:r>
                          </w:p>
                          <w:p w:rsidR="00E3099C" w:rsidRDefault="00E3099C"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99266B" w:rsidP="00E3099C">
                      <w:pPr>
                        <w:jc w:val="center"/>
                        <w:rPr>
                          <w:rFonts w:ascii="Palatino Linotype" w:hAnsi="Palatino Linotype"/>
                          <w:b/>
                        </w:rPr>
                      </w:pPr>
                      <w:r>
                        <w:rPr>
                          <w:rFonts w:ascii="Palatino Linotype" w:hAnsi="Palatino Linotype"/>
                          <w:b/>
                        </w:rPr>
                        <w:t>(Ausencia Justificada</w:t>
                      </w:r>
                      <w:r w:rsidR="00E3099C">
                        <w:rPr>
                          <w:rFonts w:ascii="Palatino Linotype" w:hAnsi="Palatino Linotype"/>
                          <w:b/>
                        </w:rPr>
                        <w:t>).</w:t>
                      </w:r>
                    </w:p>
                    <w:p w:rsidR="00E3099C" w:rsidRDefault="00E3099C"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99266B" w:rsidRDefault="0099266B" w:rsidP="00E3099C">
      <w:pPr>
        <w:spacing w:before="240"/>
        <w:rPr>
          <w:rFonts w:ascii="Palatino Linotype" w:hAnsi="Palatino Linotype"/>
          <w:b/>
          <w:sz w:val="18"/>
          <w:szCs w:val="18"/>
        </w:rPr>
      </w:pPr>
    </w:p>
    <w:p w:rsidR="00E3099C" w:rsidRPr="00B93570" w:rsidRDefault="00E3099C"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3D45C301" wp14:editId="3856BF60">
                <wp:simplePos x="0" y="0"/>
                <wp:positionH relativeFrom="margin">
                  <wp:posOffset>1770270</wp:posOffset>
                </wp:positionH>
                <wp:positionV relativeFrom="paragraph">
                  <wp:posOffset>76200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5C301" id="Cuadro de texto 5" o:spid="_x0000_s1029" type="#_x0000_t202" style="position:absolute;margin-left:139.4pt;margin-top:6pt;width:168pt;height:73.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14E4E9F5" wp14:editId="2CF01314">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A0AF" id="Cuadro de texto 24" o:spid="_x0000_s1030"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" fillcolor="white [3201]" strokecolor="white [3212]" strokeweight=".5pt">
                <v:textbo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v:textbox>
                <w10:wrap anchorx="page"/>
              </v:shape>
            </w:pict>
          </mc:Fallback>
        </mc:AlternateContent>
      </w:r>
    </w:p>
    <w:p w:rsidR="00E3099C" w:rsidRDefault="00E3099C" w:rsidP="00E3099C">
      <w:pPr>
        <w:spacing w:before="240"/>
        <w:rPr>
          <w:rFonts w:ascii="Palatino Linotype" w:hAnsi="Palatino Linotype" w:cs="Arial"/>
          <w:sz w:val="16"/>
          <w:szCs w:val="16"/>
        </w:rPr>
      </w:pPr>
    </w:p>
    <w:p w:rsidR="00E3099C" w:rsidRDefault="00E3099C" w:rsidP="00E3099C">
      <w:pPr>
        <w:spacing w:before="240" w:line="240" w:lineRule="auto"/>
        <w:jc w:val="both"/>
        <w:rPr>
          <w:rFonts w:ascii="Palatino Linotype" w:hAnsi="Palatino Linotype" w:cs="Arial"/>
          <w:sz w:val="16"/>
          <w:szCs w:val="16"/>
        </w:rPr>
      </w:pPr>
    </w:p>
    <w:p w:rsidR="006B7634" w:rsidRPr="002F0E1E" w:rsidRDefault="0099266B" w:rsidP="0099266B">
      <w:pPr>
        <w:spacing w:before="240" w:line="240" w:lineRule="auto"/>
        <w:jc w:val="both"/>
        <w:rPr>
          <w:rFonts w:ascii="Palatino Linotype" w:hAnsi="Palatino Linotype" w:cs="Arial"/>
          <w:bCs/>
          <w:sz w:val="16"/>
          <w:szCs w:val="16"/>
          <w:lang w:eastAsia="es-MX"/>
        </w:rPr>
      </w:pPr>
      <w:r>
        <w:rPr>
          <w:rFonts w:ascii="Palatino Linotype" w:hAnsi="Palatino Linotype" w:cs="Arial"/>
          <w:sz w:val="16"/>
          <w:szCs w:val="16"/>
        </w:rPr>
        <w:br/>
      </w:r>
      <w:r w:rsidR="00E3099C" w:rsidRPr="0007089E">
        <w:rPr>
          <w:rFonts w:ascii="Palatino Linotype" w:hAnsi="Palatino Linotype" w:cs="Arial"/>
          <w:sz w:val="16"/>
          <w:szCs w:val="16"/>
        </w:rPr>
        <w:t xml:space="preserve">Esta hoja corresponde a la resolución </w:t>
      </w:r>
      <w:r w:rsidR="00E3099C"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00E3099C" w:rsidRPr="00435462">
        <w:rPr>
          <w:rFonts w:ascii="Palatino Linotype" w:hAnsi="Palatino Linotype" w:cs="Arial"/>
          <w:sz w:val="16"/>
          <w:szCs w:val="16"/>
        </w:rPr>
        <w:t xml:space="preserve"> </w:t>
      </w:r>
      <w:r w:rsidR="000506C8">
        <w:rPr>
          <w:rFonts w:ascii="Palatino Linotype" w:hAnsi="Palatino Linotype" w:cs="Arial"/>
          <w:sz w:val="16"/>
          <w:szCs w:val="16"/>
        </w:rPr>
        <w:t>ocho</w:t>
      </w:r>
      <w:r w:rsidR="001C76AE">
        <w:rPr>
          <w:rFonts w:ascii="Palatino Linotype" w:hAnsi="Palatino Linotype" w:cs="Arial"/>
          <w:sz w:val="16"/>
          <w:szCs w:val="16"/>
        </w:rPr>
        <w:t xml:space="preserve"> de </w:t>
      </w:r>
      <w:r w:rsidR="000506C8">
        <w:rPr>
          <w:rFonts w:ascii="Palatino Linotype" w:hAnsi="Palatino Linotype" w:cs="Arial"/>
          <w:sz w:val="16"/>
          <w:szCs w:val="16"/>
        </w:rPr>
        <w:t>agosto</w:t>
      </w:r>
      <w:r w:rsidR="00277BC2">
        <w:rPr>
          <w:rFonts w:ascii="Palatino Linotype" w:hAnsi="Palatino Linotype" w:cs="Arial"/>
          <w:sz w:val="16"/>
          <w:szCs w:val="16"/>
        </w:rPr>
        <w:t xml:space="preserve"> de dos mil dieciocho</w:t>
      </w:r>
      <w:r w:rsidR="00E3099C" w:rsidRPr="00861BBC">
        <w:rPr>
          <w:rFonts w:ascii="Palatino Linotype" w:hAnsi="Palatino Linotype" w:cs="Arial"/>
          <w:sz w:val="16"/>
          <w:szCs w:val="16"/>
        </w:rPr>
        <w:t xml:space="preserve">, emitida en el recurso de revisión </w:t>
      </w:r>
      <w:r w:rsidR="000506C8">
        <w:rPr>
          <w:rFonts w:ascii="Palatino Linotype" w:hAnsi="Palatino Linotype" w:cs="Arial"/>
          <w:bCs/>
          <w:sz w:val="16"/>
          <w:szCs w:val="16"/>
          <w:lang w:eastAsia="es-MX"/>
        </w:rPr>
        <w:t>01910</w:t>
      </w:r>
      <w:r w:rsidR="00280CE6">
        <w:rPr>
          <w:rFonts w:ascii="Palatino Linotype" w:hAnsi="Palatino Linotype" w:cs="Arial"/>
          <w:bCs/>
          <w:sz w:val="16"/>
          <w:szCs w:val="16"/>
          <w:lang w:eastAsia="es-MX"/>
        </w:rPr>
        <w:t>/INFOEM/IP/RR/2018</w:t>
      </w:r>
      <w:r w:rsidR="00E3099C" w:rsidRPr="00861BBC">
        <w:rPr>
          <w:rFonts w:ascii="Palatino Linotype" w:hAnsi="Palatino Linotype" w:cs="Arial"/>
          <w:bCs/>
          <w:sz w:val="16"/>
          <w:szCs w:val="16"/>
          <w:lang w:eastAsia="es-MX"/>
        </w:rPr>
        <w:t>.</w:t>
      </w:r>
      <w:r w:rsidR="002F0E1E">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F0E1E" w:rsidSect="00581590">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642" w:rsidRDefault="00D81642" w:rsidP="00E3099C">
      <w:pPr>
        <w:spacing w:after="0" w:line="240" w:lineRule="auto"/>
      </w:pPr>
      <w:r>
        <w:separator/>
      </w:r>
    </w:p>
  </w:endnote>
  <w:endnote w:type="continuationSeparator" w:id="0">
    <w:p w:rsidR="00D81642" w:rsidRDefault="00D81642"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6CF5">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76CF5">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6CF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76CF5">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642" w:rsidRDefault="00D81642" w:rsidP="00E3099C">
      <w:pPr>
        <w:spacing w:after="0" w:line="240" w:lineRule="auto"/>
      </w:pPr>
      <w:r>
        <w:separator/>
      </w:r>
    </w:p>
  </w:footnote>
  <w:footnote w:type="continuationSeparator" w:id="0">
    <w:p w:rsidR="00D81642" w:rsidRDefault="00D81642" w:rsidP="00E3099C">
      <w:pPr>
        <w:spacing w:after="0" w:line="240" w:lineRule="auto"/>
      </w:pPr>
      <w:r>
        <w:continuationSeparator/>
      </w:r>
    </w:p>
  </w:footnote>
  <w:footnote w:id="1">
    <w:p w:rsidR="00E5244D" w:rsidRPr="00911081" w:rsidRDefault="00E5244D"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5244D" w:rsidRPr="00911081" w:rsidRDefault="00E5244D"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Default="0058159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Default="00F80603"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01910</w:t>
          </w:r>
          <w:r w:rsidR="009F22C8">
            <w:rPr>
              <w:rFonts w:ascii="Palatino Linotype" w:hAnsi="Palatino Linotype" w:cs="Arial"/>
              <w:bCs/>
              <w:sz w:val="24"/>
              <w:lang w:eastAsia="es-MX"/>
            </w:rPr>
            <w:t>/INFOEM/IP/RR/2018</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F80603" w:rsidP="00581590">
          <w:pPr>
            <w:spacing w:after="120" w:line="256" w:lineRule="auto"/>
            <w:ind w:left="-486" w:right="214" w:firstLine="284"/>
            <w:jc w:val="right"/>
            <w:rPr>
              <w:rFonts w:ascii="Palatino Linotype" w:hAnsi="Palatino Linotype" w:cs="Arial"/>
              <w:szCs w:val="20"/>
            </w:rPr>
          </w:pPr>
          <w:r w:rsidRPr="006D227C">
            <w:rPr>
              <w:rFonts w:ascii="Palatino Linotype" w:hAnsi="Palatino Linotype" w:cs="Arial"/>
              <w:szCs w:val="20"/>
            </w:rPr>
            <w:t>Universidad Politécnica del Valle de Toluca</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Pr="00B4142F" w:rsidRDefault="006D227C"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01910</w:t>
          </w:r>
          <w:r w:rsidR="009F22C8">
            <w:rPr>
              <w:rFonts w:ascii="Palatino Linotype" w:hAnsi="Palatino Linotype" w:cs="Arial"/>
              <w:bCs/>
              <w:sz w:val="24"/>
              <w:lang w:eastAsia="es-MX"/>
            </w:rPr>
            <w:t>/INFOEM/IP/RR/2018</w:t>
          </w:r>
        </w:p>
      </w:tc>
    </w:tr>
    <w:tr w:rsidR="00581590" w:rsidTr="00581590">
      <w:trPr>
        <w:trHeight w:val="196"/>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81590" w:rsidRPr="00F06FED" w:rsidRDefault="00D0650A"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6D227C" w:rsidP="00581590">
          <w:pPr>
            <w:spacing w:after="120" w:line="256" w:lineRule="auto"/>
            <w:ind w:left="-495" w:right="214" w:firstLine="567"/>
            <w:jc w:val="right"/>
            <w:rPr>
              <w:rFonts w:ascii="Palatino Linotype" w:hAnsi="Palatino Linotype" w:cs="Arial"/>
              <w:szCs w:val="20"/>
            </w:rPr>
          </w:pPr>
          <w:r w:rsidRPr="006D227C">
            <w:rPr>
              <w:rFonts w:ascii="Palatino Linotype" w:hAnsi="Palatino Linotype" w:cs="Arial"/>
              <w:szCs w:val="20"/>
            </w:rPr>
            <w:t>Universidad Politécnica del Valle de Toluca</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0778B"/>
    <w:multiLevelType w:val="hybridMultilevel"/>
    <w:tmpl w:val="BFAE04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1"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7"/>
  </w:num>
  <w:num w:numId="4">
    <w:abstractNumId w:val="11"/>
  </w:num>
  <w:num w:numId="5">
    <w:abstractNumId w:val="2"/>
  </w:num>
  <w:num w:numId="6">
    <w:abstractNumId w:val="12"/>
  </w:num>
  <w:num w:numId="7">
    <w:abstractNumId w:val="5"/>
  </w:num>
  <w:num w:numId="8">
    <w:abstractNumId w:val="6"/>
  </w:num>
  <w:num w:numId="9">
    <w:abstractNumId w:val="8"/>
  </w:num>
  <w:num w:numId="10">
    <w:abstractNumId w:val="1"/>
  </w:num>
  <w:num w:numId="11">
    <w:abstractNumId w:val="4"/>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12829"/>
    <w:rsid w:val="0001435C"/>
    <w:rsid w:val="0001774D"/>
    <w:rsid w:val="000238DF"/>
    <w:rsid w:val="00026B0C"/>
    <w:rsid w:val="00026BEE"/>
    <w:rsid w:val="0003144E"/>
    <w:rsid w:val="0003540F"/>
    <w:rsid w:val="00042285"/>
    <w:rsid w:val="0004700A"/>
    <w:rsid w:val="000506C8"/>
    <w:rsid w:val="00057C41"/>
    <w:rsid w:val="00065A25"/>
    <w:rsid w:val="00066895"/>
    <w:rsid w:val="00071B10"/>
    <w:rsid w:val="00076FFB"/>
    <w:rsid w:val="00087BC6"/>
    <w:rsid w:val="000B35AA"/>
    <w:rsid w:val="000C7AFA"/>
    <w:rsid w:val="000E415C"/>
    <w:rsid w:val="000E70B4"/>
    <w:rsid w:val="00111643"/>
    <w:rsid w:val="001129FA"/>
    <w:rsid w:val="0011305B"/>
    <w:rsid w:val="00113B26"/>
    <w:rsid w:val="00116280"/>
    <w:rsid w:val="00117061"/>
    <w:rsid w:val="00120FA1"/>
    <w:rsid w:val="00122B8A"/>
    <w:rsid w:val="00137751"/>
    <w:rsid w:val="001425D2"/>
    <w:rsid w:val="0014307A"/>
    <w:rsid w:val="00145A5C"/>
    <w:rsid w:val="0015173B"/>
    <w:rsid w:val="00155AAE"/>
    <w:rsid w:val="0016291B"/>
    <w:rsid w:val="00164FE1"/>
    <w:rsid w:val="00172378"/>
    <w:rsid w:val="00172F03"/>
    <w:rsid w:val="00175547"/>
    <w:rsid w:val="00176C95"/>
    <w:rsid w:val="00183C57"/>
    <w:rsid w:val="00185B42"/>
    <w:rsid w:val="001862E6"/>
    <w:rsid w:val="0019326F"/>
    <w:rsid w:val="001949BE"/>
    <w:rsid w:val="001A032F"/>
    <w:rsid w:val="001B38FF"/>
    <w:rsid w:val="001B3A64"/>
    <w:rsid w:val="001C22C5"/>
    <w:rsid w:val="001C34D3"/>
    <w:rsid w:val="001C76AE"/>
    <w:rsid w:val="001F6E82"/>
    <w:rsid w:val="001F7A91"/>
    <w:rsid w:val="00203755"/>
    <w:rsid w:val="0024257F"/>
    <w:rsid w:val="00243AA7"/>
    <w:rsid w:val="00257DEC"/>
    <w:rsid w:val="00273A01"/>
    <w:rsid w:val="00277BC2"/>
    <w:rsid w:val="00280CE6"/>
    <w:rsid w:val="00286D8A"/>
    <w:rsid w:val="002908D2"/>
    <w:rsid w:val="00295459"/>
    <w:rsid w:val="002A3B24"/>
    <w:rsid w:val="002A3C76"/>
    <w:rsid w:val="002A5ADD"/>
    <w:rsid w:val="002B520C"/>
    <w:rsid w:val="002B6649"/>
    <w:rsid w:val="002C5B56"/>
    <w:rsid w:val="002C692F"/>
    <w:rsid w:val="002E0D11"/>
    <w:rsid w:val="002E1008"/>
    <w:rsid w:val="002E7783"/>
    <w:rsid w:val="002F0E1E"/>
    <w:rsid w:val="002F5B20"/>
    <w:rsid w:val="0031435A"/>
    <w:rsid w:val="00316F60"/>
    <w:rsid w:val="00317C24"/>
    <w:rsid w:val="003340F5"/>
    <w:rsid w:val="00353EFD"/>
    <w:rsid w:val="003619F8"/>
    <w:rsid w:val="00366F5B"/>
    <w:rsid w:val="003776F0"/>
    <w:rsid w:val="00380EEB"/>
    <w:rsid w:val="00392196"/>
    <w:rsid w:val="00394E0D"/>
    <w:rsid w:val="00397679"/>
    <w:rsid w:val="003C5DD5"/>
    <w:rsid w:val="003D06E7"/>
    <w:rsid w:val="003D0981"/>
    <w:rsid w:val="003D5F5A"/>
    <w:rsid w:val="003D7E53"/>
    <w:rsid w:val="003E5DA1"/>
    <w:rsid w:val="00400D28"/>
    <w:rsid w:val="004059A9"/>
    <w:rsid w:val="00413F19"/>
    <w:rsid w:val="0041620D"/>
    <w:rsid w:val="00435462"/>
    <w:rsid w:val="00435F2E"/>
    <w:rsid w:val="0044778A"/>
    <w:rsid w:val="0045369F"/>
    <w:rsid w:val="0046021E"/>
    <w:rsid w:val="0046654E"/>
    <w:rsid w:val="0047320A"/>
    <w:rsid w:val="00476E8D"/>
    <w:rsid w:val="00481BB8"/>
    <w:rsid w:val="00482A78"/>
    <w:rsid w:val="00484202"/>
    <w:rsid w:val="004A265C"/>
    <w:rsid w:val="004B3BA0"/>
    <w:rsid w:val="004B44B6"/>
    <w:rsid w:val="004E0A09"/>
    <w:rsid w:val="004F3819"/>
    <w:rsid w:val="00504926"/>
    <w:rsid w:val="00552654"/>
    <w:rsid w:val="0055477F"/>
    <w:rsid w:val="0055602E"/>
    <w:rsid w:val="0056101D"/>
    <w:rsid w:val="00561E8A"/>
    <w:rsid w:val="00566571"/>
    <w:rsid w:val="00570C3F"/>
    <w:rsid w:val="00580097"/>
    <w:rsid w:val="00580F3F"/>
    <w:rsid w:val="00581590"/>
    <w:rsid w:val="00586E5C"/>
    <w:rsid w:val="005959AF"/>
    <w:rsid w:val="005A5FD6"/>
    <w:rsid w:val="005B5571"/>
    <w:rsid w:val="005D0FA2"/>
    <w:rsid w:val="005D1480"/>
    <w:rsid w:val="005D5E29"/>
    <w:rsid w:val="005F60DD"/>
    <w:rsid w:val="006027D2"/>
    <w:rsid w:val="006033D4"/>
    <w:rsid w:val="0061038C"/>
    <w:rsid w:val="00614542"/>
    <w:rsid w:val="006215C8"/>
    <w:rsid w:val="00623209"/>
    <w:rsid w:val="006345A5"/>
    <w:rsid w:val="0064532D"/>
    <w:rsid w:val="006467CF"/>
    <w:rsid w:val="00651F44"/>
    <w:rsid w:val="006955D7"/>
    <w:rsid w:val="00695C6F"/>
    <w:rsid w:val="0069665A"/>
    <w:rsid w:val="006A2B44"/>
    <w:rsid w:val="006B2DEC"/>
    <w:rsid w:val="006B7634"/>
    <w:rsid w:val="006C0A28"/>
    <w:rsid w:val="006C69A3"/>
    <w:rsid w:val="006C742F"/>
    <w:rsid w:val="006D227C"/>
    <w:rsid w:val="006D7AAC"/>
    <w:rsid w:val="006E0297"/>
    <w:rsid w:val="006E16AB"/>
    <w:rsid w:val="006E3127"/>
    <w:rsid w:val="006E6F77"/>
    <w:rsid w:val="006F5DAF"/>
    <w:rsid w:val="006F7EE9"/>
    <w:rsid w:val="00712000"/>
    <w:rsid w:val="00715CD7"/>
    <w:rsid w:val="007212E8"/>
    <w:rsid w:val="00724FB9"/>
    <w:rsid w:val="00733F93"/>
    <w:rsid w:val="007355DC"/>
    <w:rsid w:val="007442C8"/>
    <w:rsid w:val="00751225"/>
    <w:rsid w:val="00764AD8"/>
    <w:rsid w:val="00776CF5"/>
    <w:rsid w:val="00780A5D"/>
    <w:rsid w:val="00780D82"/>
    <w:rsid w:val="007836DD"/>
    <w:rsid w:val="00786075"/>
    <w:rsid w:val="00786666"/>
    <w:rsid w:val="00794C9A"/>
    <w:rsid w:val="00796D4F"/>
    <w:rsid w:val="007A1F05"/>
    <w:rsid w:val="007A2CA1"/>
    <w:rsid w:val="007A69CD"/>
    <w:rsid w:val="007B06CF"/>
    <w:rsid w:val="007C003E"/>
    <w:rsid w:val="007C41F8"/>
    <w:rsid w:val="007C7B43"/>
    <w:rsid w:val="007E6674"/>
    <w:rsid w:val="007E71F1"/>
    <w:rsid w:val="007E7DAF"/>
    <w:rsid w:val="008128F0"/>
    <w:rsid w:val="00812F2A"/>
    <w:rsid w:val="008203B4"/>
    <w:rsid w:val="00823379"/>
    <w:rsid w:val="008374B6"/>
    <w:rsid w:val="008377BC"/>
    <w:rsid w:val="00842D95"/>
    <w:rsid w:val="0085193B"/>
    <w:rsid w:val="00857209"/>
    <w:rsid w:val="00857673"/>
    <w:rsid w:val="00875899"/>
    <w:rsid w:val="00880047"/>
    <w:rsid w:val="008902C6"/>
    <w:rsid w:val="008C4246"/>
    <w:rsid w:val="008C49D6"/>
    <w:rsid w:val="008D2AB9"/>
    <w:rsid w:val="008E01E3"/>
    <w:rsid w:val="008F62F7"/>
    <w:rsid w:val="00910E6B"/>
    <w:rsid w:val="00944AD4"/>
    <w:rsid w:val="00945DFF"/>
    <w:rsid w:val="00951B4F"/>
    <w:rsid w:val="009634D3"/>
    <w:rsid w:val="00966406"/>
    <w:rsid w:val="00983481"/>
    <w:rsid w:val="009844BC"/>
    <w:rsid w:val="009844C6"/>
    <w:rsid w:val="00984FB1"/>
    <w:rsid w:val="00991F41"/>
    <w:rsid w:val="0099266B"/>
    <w:rsid w:val="009948B2"/>
    <w:rsid w:val="00997032"/>
    <w:rsid w:val="009A5A37"/>
    <w:rsid w:val="009C2B98"/>
    <w:rsid w:val="009D7904"/>
    <w:rsid w:val="009F22C8"/>
    <w:rsid w:val="009F2ADB"/>
    <w:rsid w:val="009F4967"/>
    <w:rsid w:val="00A05F91"/>
    <w:rsid w:val="00A21F47"/>
    <w:rsid w:val="00A23894"/>
    <w:rsid w:val="00A3160B"/>
    <w:rsid w:val="00A322E7"/>
    <w:rsid w:val="00A359B3"/>
    <w:rsid w:val="00A35D1D"/>
    <w:rsid w:val="00A36987"/>
    <w:rsid w:val="00A42402"/>
    <w:rsid w:val="00A443F5"/>
    <w:rsid w:val="00A4606D"/>
    <w:rsid w:val="00A514EA"/>
    <w:rsid w:val="00A64887"/>
    <w:rsid w:val="00A7160D"/>
    <w:rsid w:val="00A75CE6"/>
    <w:rsid w:val="00A75F4B"/>
    <w:rsid w:val="00A7699A"/>
    <w:rsid w:val="00A778A8"/>
    <w:rsid w:val="00A9152A"/>
    <w:rsid w:val="00A91D2E"/>
    <w:rsid w:val="00A9241D"/>
    <w:rsid w:val="00A92E52"/>
    <w:rsid w:val="00AB2E16"/>
    <w:rsid w:val="00AB2FD1"/>
    <w:rsid w:val="00AF4B73"/>
    <w:rsid w:val="00AF63EF"/>
    <w:rsid w:val="00AF7682"/>
    <w:rsid w:val="00B036E0"/>
    <w:rsid w:val="00B10A4B"/>
    <w:rsid w:val="00B14C6E"/>
    <w:rsid w:val="00B20E08"/>
    <w:rsid w:val="00B23AF2"/>
    <w:rsid w:val="00B24009"/>
    <w:rsid w:val="00B244F2"/>
    <w:rsid w:val="00B30175"/>
    <w:rsid w:val="00B30918"/>
    <w:rsid w:val="00B310EE"/>
    <w:rsid w:val="00B342F6"/>
    <w:rsid w:val="00B34359"/>
    <w:rsid w:val="00B43B76"/>
    <w:rsid w:val="00B447BE"/>
    <w:rsid w:val="00B5115C"/>
    <w:rsid w:val="00B51566"/>
    <w:rsid w:val="00B52B70"/>
    <w:rsid w:val="00B55585"/>
    <w:rsid w:val="00B63AC0"/>
    <w:rsid w:val="00B66B6D"/>
    <w:rsid w:val="00B75628"/>
    <w:rsid w:val="00B86290"/>
    <w:rsid w:val="00B91C85"/>
    <w:rsid w:val="00BA01EF"/>
    <w:rsid w:val="00BA5AB9"/>
    <w:rsid w:val="00BB7261"/>
    <w:rsid w:val="00BC1722"/>
    <w:rsid w:val="00BC51DC"/>
    <w:rsid w:val="00BE2480"/>
    <w:rsid w:val="00BE3EA3"/>
    <w:rsid w:val="00BF245A"/>
    <w:rsid w:val="00C0245B"/>
    <w:rsid w:val="00C02B79"/>
    <w:rsid w:val="00C139E9"/>
    <w:rsid w:val="00C14CE7"/>
    <w:rsid w:val="00C14FF0"/>
    <w:rsid w:val="00C257BF"/>
    <w:rsid w:val="00C32452"/>
    <w:rsid w:val="00C327FA"/>
    <w:rsid w:val="00C33C6C"/>
    <w:rsid w:val="00C400FB"/>
    <w:rsid w:val="00C43B98"/>
    <w:rsid w:val="00C47403"/>
    <w:rsid w:val="00C5342D"/>
    <w:rsid w:val="00C56242"/>
    <w:rsid w:val="00C63F76"/>
    <w:rsid w:val="00C6712D"/>
    <w:rsid w:val="00C6793D"/>
    <w:rsid w:val="00C76332"/>
    <w:rsid w:val="00C8328F"/>
    <w:rsid w:val="00CA7A7C"/>
    <w:rsid w:val="00CB1CC6"/>
    <w:rsid w:val="00CC7A6C"/>
    <w:rsid w:val="00CD7067"/>
    <w:rsid w:val="00CF4002"/>
    <w:rsid w:val="00CF7CCA"/>
    <w:rsid w:val="00D03642"/>
    <w:rsid w:val="00D0650A"/>
    <w:rsid w:val="00D070F9"/>
    <w:rsid w:val="00D34DC4"/>
    <w:rsid w:val="00D47D28"/>
    <w:rsid w:val="00D50FAC"/>
    <w:rsid w:val="00D51755"/>
    <w:rsid w:val="00D619F8"/>
    <w:rsid w:val="00D621DF"/>
    <w:rsid w:val="00D700FF"/>
    <w:rsid w:val="00D7698B"/>
    <w:rsid w:val="00D81642"/>
    <w:rsid w:val="00D87979"/>
    <w:rsid w:val="00DA68EB"/>
    <w:rsid w:val="00DB2541"/>
    <w:rsid w:val="00DB53FA"/>
    <w:rsid w:val="00DB68DE"/>
    <w:rsid w:val="00DB7F64"/>
    <w:rsid w:val="00DC5845"/>
    <w:rsid w:val="00DD233D"/>
    <w:rsid w:val="00DD3B5A"/>
    <w:rsid w:val="00DE43C3"/>
    <w:rsid w:val="00DE521E"/>
    <w:rsid w:val="00E07CE2"/>
    <w:rsid w:val="00E10C8E"/>
    <w:rsid w:val="00E25D3E"/>
    <w:rsid w:val="00E26784"/>
    <w:rsid w:val="00E30435"/>
    <w:rsid w:val="00E3099C"/>
    <w:rsid w:val="00E32E2B"/>
    <w:rsid w:val="00E366CE"/>
    <w:rsid w:val="00E45628"/>
    <w:rsid w:val="00E5244D"/>
    <w:rsid w:val="00E54466"/>
    <w:rsid w:val="00E5512C"/>
    <w:rsid w:val="00E55405"/>
    <w:rsid w:val="00E621FB"/>
    <w:rsid w:val="00E675E7"/>
    <w:rsid w:val="00E7640B"/>
    <w:rsid w:val="00E77373"/>
    <w:rsid w:val="00E8436A"/>
    <w:rsid w:val="00E8694A"/>
    <w:rsid w:val="00E90E42"/>
    <w:rsid w:val="00E95BE2"/>
    <w:rsid w:val="00EB245C"/>
    <w:rsid w:val="00EB71D1"/>
    <w:rsid w:val="00EE2F9E"/>
    <w:rsid w:val="00EE3C58"/>
    <w:rsid w:val="00F12160"/>
    <w:rsid w:val="00F13BF9"/>
    <w:rsid w:val="00F254BF"/>
    <w:rsid w:val="00F628C2"/>
    <w:rsid w:val="00F7456A"/>
    <w:rsid w:val="00F80603"/>
    <w:rsid w:val="00F81A4B"/>
    <w:rsid w:val="00F86DE8"/>
    <w:rsid w:val="00F86E91"/>
    <w:rsid w:val="00F87338"/>
    <w:rsid w:val="00FB0137"/>
    <w:rsid w:val="00FC1876"/>
    <w:rsid w:val="00FE2B2F"/>
    <w:rsid w:val="00FE4693"/>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0EA9F45-F3E3-492E-821F-4784E51A1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64396093">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9794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054C9-7A8A-4E36-A0D2-7916E9965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6352</Words>
  <Characters>34938</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2018-08-08T20:15:00Z</cp:lastPrinted>
  <dcterms:created xsi:type="dcterms:W3CDTF">2018-08-22T19:48:00Z</dcterms:created>
  <dcterms:modified xsi:type="dcterms:W3CDTF">2018-08-22T19:48:00Z</dcterms:modified>
</cp:coreProperties>
</file>