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302D1D0F" w:rsidR="00BC61B2" w:rsidRPr="00765E19" w:rsidRDefault="00A20B1F" w:rsidP="001E74A5">
      <w:pPr>
        <w:spacing w:line="360" w:lineRule="auto"/>
        <w:jc w:val="center"/>
        <w:rPr>
          <w:rFonts w:ascii="Palatino Linotype" w:eastAsia="Times New Roman" w:hAnsi="Palatino Linotype" w:cs="Times New Roman"/>
          <w:b/>
          <w:u w:val="single"/>
        </w:rPr>
      </w:pPr>
      <w:r w:rsidRPr="00765E19">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Palatino Linotype" w:hAnsi="Palatino Linotype"/>
          <w:b/>
          <w:bCs/>
        </w:rPr>
      </w:sdtEndPr>
      <w:sdtContent>
        <w:p w14:paraId="79CB4F2F" w14:textId="37302309" w:rsidR="00DA7E2F" w:rsidRPr="00765E19" w:rsidRDefault="00DA7E2F" w:rsidP="00A67428">
          <w:pPr>
            <w:pStyle w:val="TtulodeTDC"/>
            <w:spacing w:before="0" w:line="480" w:lineRule="auto"/>
          </w:pPr>
        </w:p>
        <w:p w14:paraId="22DAE731" w14:textId="77777777" w:rsidR="00765E19" w:rsidRPr="00765E19" w:rsidRDefault="00DA7E2F">
          <w:pPr>
            <w:pStyle w:val="TDC1"/>
            <w:rPr>
              <w:rFonts w:ascii="Palatino Linotype" w:hAnsi="Palatino Linotype"/>
              <w:noProof/>
              <w:lang w:val="es-MX" w:eastAsia="es-MX"/>
            </w:rPr>
          </w:pPr>
          <w:r w:rsidRPr="00765E19">
            <w:rPr>
              <w:rFonts w:ascii="Palatino Linotype" w:hAnsi="Palatino Linotype"/>
            </w:rPr>
            <w:fldChar w:fldCharType="begin"/>
          </w:r>
          <w:r w:rsidRPr="00765E19">
            <w:rPr>
              <w:rFonts w:ascii="Palatino Linotype" w:hAnsi="Palatino Linotype"/>
            </w:rPr>
            <w:instrText xml:space="preserve"> TOC \o "1-3" \h \z \u </w:instrText>
          </w:r>
          <w:r w:rsidRPr="00765E19">
            <w:rPr>
              <w:rFonts w:ascii="Palatino Linotype" w:hAnsi="Palatino Linotype"/>
            </w:rPr>
            <w:fldChar w:fldCharType="separate"/>
          </w:r>
          <w:hyperlink w:anchor="_Toc516484333" w:history="1">
            <w:r w:rsidR="00765E19" w:rsidRPr="00765E19">
              <w:rPr>
                <w:rStyle w:val="Hipervnculo"/>
                <w:rFonts w:ascii="Palatino Linotype" w:hAnsi="Palatino Linotype"/>
                <w:b/>
                <w:noProof/>
              </w:rPr>
              <w:t>ANTECEDENTES</w:t>
            </w:r>
            <w:r w:rsidR="00765E19" w:rsidRPr="00765E19">
              <w:rPr>
                <w:rFonts w:ascii="Palatino Linotype" w:hAnsi="Palatino Linotype"/>
                <w:noProof/>
                <w:webHidden/>
              </w:rPr>
              <w:tab/>
            </w:r>
            <w:r w:rsidR="00765E19" w:rsidRPr="00765E19">
              <w:rPr>
                <w:rFonts w:ascii="Palatino Linotype" w:hAnsi="Palatino Linotype"/>
                <w:noProof/>
                <w:webHidden/>
              </w:rPr>
              <w:fldChar w:fldCharType="begin"/>
            </w:r>
            <w:r w:rsidR="00765E19" w:rsidRPr="00765E19">
              <w:rPr>
                <w:rFonts w:ascii="Palatino Linotype" w:hAnsi="Palatino Linotype"/>
                <w:noProof/>
                <w:webHidden/>
              </w:rPr>
              <w:instrText xml:space="preserve"> PAGEREF _Toc516484333 \h </w:instrText>
            </w:r>
            <w:r w:rsidR="00765E19" w:rsidRPr="00765E19">
              <w:rPr>
                <w:rFonts w:ascii="Palatino Linotype" w:hAnsi="Palatino Linotype"/>
                <w:noProof/>
                <w:webHidden/>
              </w:rPr>
            </w:r>
            <w:r w:rsidR="00765E19" w:rsidRPr="00765E19">
              <w:rPr>
                <w:rFonts w:ascii="Palatino Linotype" w:hAnsi="Palatino Linotype"/>
                <w:noProof/>
                <w:webHidden/>
              </w:rPr>
              <w:fldChar w:fldCharType="separate"/>
            </w:r>
            <w:r w:rsidR="00765E19" w:rsidRPr="00765E19">
              <w:rPr>
                <w:rFonts w:ascii="Palatino Linotype" w:hAnsi="Palatino Linotype"/>
                <w:noProof/>
                <w:webHidden/>
              </w:rPr>
              <w:t>3</w:t>
            </w:r>
            <w:r w:rsidR="00765E19" w:rsidRPr="00765E19">
              <w:rPr>
                <w:rFonts w:ascii="Palatino Linotype" w:hAnsi="Palatino Linotype"/>
                <w:noProof/>
                <w:webHidden/>
              </w:rPr>
              <w:fldChar w:fldCharType="end"/>
            </w:r>
          </w:hyperlink>
        </w:p>
        <w:p w14:paraId="632FB632" w14:textId="77777777" w:rsidR="00765E19" w:rsidRPr="00765E19" w:rsidRDefault="001F4B1F">
          <w:pPr>
            <w:pStyle w:val="TDC2"/>
            <w:rPr>
              <w:rFonts w:ascii="Palatino Linotype" w:hAnsi="Palatino Linotype"/>
              <w:noProof/>
              <w:lang w:val="es-MX" w:eastAsia="es-MX"/>
            </w:rPr>
          </w:pPr>
          <w:hyperlink w:anchor="_Toc516484336" w:history="1">
            <w:r w:rsidR="00765E19" w:rsidRPr="00765E19">
              <w:rPr>
                <w:rStyle w:val="Hipervnculo"/>
                <w:rFonts w:ascii="Palatino Linotype" w:hAnsi="Palatino Linotype"/>
                <w:b/>
                <w:noProof/>
              </w:rPr>
              <w:t>CONSIDERANDO</w:t>
            </w:r>
            <w:r w:rsidR="00765E19" w:rsidRPr="00765E19">
              <w:rPr>
                <w:rFonts w:ascii="Palatino Linotype" w:hAnsi="Palatino Linotype"/>
                <w:noProof/>
                <w:webHidden/>
              </w:rPr>
              <w:tab/>
            </w:r>
            <w:r w:rsidR="00765E19" w:rsidRPr="00765E19">
              <w:rPr>
                <w:rFonts w:ascii="Palatino Linotype" w:hAnsi="Palatino Linotype"/>
                <w:noProof/>
                <w:webHidden/>
              </w:rPr>
              <w:fldChar w:fldCharType="begin"/>
            </w:r>
            <w:r w:rsidR="00765E19" w:rsidRPr="00765E19">
              <w:rPr>
                <w:rFonts w:ascii="Palatino Linotype" w:hAnsi="Palatino Linotype"/>
                <w:noProof/>
                <w:webHidden/>
              </w:rPr>
              <w:instrText xml:space="preserve"> PAGEREF _Toc516484336 \h </w:instrText>
            </w:r>
            <w:r w:rsidR="00765E19" w:rsidRPr="00765E19">
              <w:rPr>
                <w:rFonts w:ascii="Palatino Linotype" w:hAnsi="Palatino Linotype"/>
                <w:noProof/>
                <w:webHidden/>
              </w:rPr>
            </w:r>
            <w:r w:rsidR="00765E19" w:rsidRPr="00765E19">
              <w:rPr>
                <w:rFonts w:ascii="Palatino Linotype" w:hAnsi="Palatino Linotype"/>
                <w:noProof/>
                <w:webHidden/>
              </w:rPr>
              <w:fldChar w:fldCharType="separate"/>
            </w:r>
            <w:r w:rsidR="00765E19" w:rsidRPr="00765E19">
              <w:rPr>
                <w:rFonts w:ascii="Palatino Linotype" w:hAnsi="Palatino Linotype"/>
                <w:noProof/>
                <w:webHidden/>
              </w:rPr>
              <w:t>6</w:t>
            </w:r>
            <w:r w:rsidR="00765E19" w:rsidRPr="00765E19">
              <w:rPr>
                <w:rFonts w:ascii="Palatino Linotype" w:hAnsi="Palatino Linotype"/>
                <w:noProof/>
                <w:webHidden/>
              </w:rPr>
              <w:fldChar w:fldCharType="end"/>
            </w:r>
          </w:hyperlink>
        </w:p>
        <w:p w14:paraId="386D95A0" w14:textId="77777777" w:rsidR="00765E19" w:rsidRPr="00765E19" w:rsidRDefault="001F4B1F">
          <w:pPr>
            <w:pStyle w:val="TDC2"/>
            <w:rPr>
              <w:rFonts w:ascii="Palatino Linotype" w:hAnsi="Palatino Linotype"/>
              <w:noProof/>
              <w:lang w:val="es-MX" w:eastAsia="es-MX"/>
            </w:rPr>
          </w:pPr>
          <w:hyperlink w:anchor="_Toc516484337" w:history="1">
            <w:r w:rsidR="00765E19" w:rsidRPr="00765E19">
              <w:rPr>
                <w:rStyle w:val="Hipervnculo"/>
                <w:rFonts w:ascii="Palatino Linotype" w:hAnsi="Palatino Linotype"/>
                <w:b/>
                <w:noProof/>
              </w:rPr>
              <w:t>PRIMERO. De la competencia</w:t>
            </w:r>
            <w:r w:rsidR="00765E19" w:rsidRPr="00765E19">
              <w:rPr>
                <w:rFonts w:ascii="Palatino Linotype" w:hAnsi="Palatino Linotype"/>
                <w:noProof/>
                <w:webHidden/>
              </w:rPr>
              <w:tab/>
            </w:r>
            <w:r w:rsidR="00765E19" w:rsidRPr="00765E19">
              <w:rPr>
                <w:rFonts w:ascii="Palatino Linotype" w:hAnsi="Palatino Linotype"/>
                <w:noProof/>
                <w:webHidden/>
              </w:rPr>
              <w:fldChar w:fldCharType="begin"/>
            </w:r>
            <w:r w:rsidR="00765E19" w:rsidRPr="00765E19">
              <w:rPr>
                <w:rFonts w:ascii="Palatino Linotype" w:hAnsi="Palatino Linotype"/>
                <w:noProof/>
                <w:webHidden/>
              </w:rPr>
              <w:instrText xml:space="preserve"> PAGEREF _Toc516484337 \h </w:instrText>
            </w:r>
            <w:r w:rsidR="00765E19" w:rsidRPr="00765E19">
              <w:rPr>
                <w:rFonts w:ascii="Palatino Linotype" w:hAnsi="Palatino Linotype"/>
                <w:noProof/>
                <w:webHidden/>
              </w:rPr>
            </w:r>
            <w:r w:rsidR="00765E19" w:rsidRPr="00765E19">
              <w:rPr>
                <w:rFonts w:ascii="Palatino Linotype" w:hAnsi="Palatino Linotype"/>
                <w:noProof/>
                <w:webHidden/>
              </w:rPr>
              <w:fldChar w:fldCharType="separate"/>
            </w:r>
            <w:r w:rsidR="00765E19" w:rsidRPr="00765E19">
              <w:rPr>
                <w:rFonts w:ascii="Palatino Linotype" w:hAnsi="Palatino Linotype"/>
                <w:noProof/>
                <w:webHidden/>
              </w:rPr>
              <w:t>6</w:t>
            </w:r>
            <w:r w:rsidR="00765E19" w:rsidRPr="00765E19">
              <w:rPr>
                <w:rFonts w:ascii="Palatino Linotype" w:hAnsi="Palatino Linotype"/>
                <w:noProof/>
                <w:webHidden/>
              </w:rPr>
              <w:fldChar w:fldCharType="end"/>
            </w:r>
          </w:hyperlink>
        </w:p>
        <w:p w14:paraId="5F11DF75" w14:textId="77777777" w:rsidR="00765E19" w:rsidRPr="00765E19" w:rsidRDefault="001F4B1F">
          <w:pPr>
            <w:pStyle w:val="TDC2"/>
            <w:rPr>
              <w:rFonts w:ascii="Palatino Linotype" w:hAnsi="Palatino Linotype"/>
              <w:noProof/>
              <w:lang w:val="es-MX" w:eastAsia="es-MX"/>
            </w:rPr>
          </w:pPr>
          <w:hyperlink w:anchor="_Toc516484338" w:history="1">
            <w:r w:rsidR="00765E19" w:rsidRPr="00765E19">
              <w:rPr>
                <w:rStyle w:val="Hipervnculo"/>
                <w:rFonts w:ascii="Palatino Linotype" w:hAnsi="Palatino Linotype"/>
                <w:b/>
                <w:noProof/>
              </w:rPr>
              <w:t>SEGUNDO. De la oportunidad y procedencia.</w:t>
            </w:r>
            <w:r w:rsidR="00765E19" w:rsidRPr="00765E19">
              <w:rPr>
                <w:rFonts w:ascii="Palatino Linotype" w:hAnsi="Palatino Linotype"/>
                <w:noProof/>
                <w:webHidden/>
              </w:rPr>
              <w:tab/>
            </w:r>
            <w:r w:rsidR="00765E19" w:rsidRPr="00765E19">
              <w:rPr>
                <w:rFonts w:ascii="Palatino Linotype" w:hAnsi="Palatino Linotype"/>
                <w:noProof/>
                <w:webHidden/>
              </w:rPr>
              <w:fldChar w:fldCharType="begin"/>
            </w:r>
            <w:r w:rsidR="00765E19" w:rsidRPr="00765E19">
              <w:rPr>
                <w:rFonts w:ascii="Palatino Linotype" w:hAnsi="Palatino Linotype"/>
                <w:noProof/>
                <w:webHidden/>
              </w:rPr>
              <w:instrText xml:space="preserve"> PAGEREF _Toc516484338 \h </w:instrText>
            </w:r>
            <w:r w:rsidR="00765E19" w:rsidRPr="00765E19">
              <w:rPr>
                <w:rFonts w:ascii="Palatino Linotype" w:hAnsi="Palatino Linotype"/>
                <w:noProof/>
                <w:webHidden/>
              </w:rPr>
            </w:r>
            <w:r w:rsidR="00765E19" w:rsidRPr="00765E19">
              <w:rPr>
                <w:rFonts w:ascii="Palatino Linotype" w:hAnsi="Palatino Linotype"/>
                <w:noProof/>
                <w:webHidden/>
              </w:rPr>
              <w:fldChar w:fldCharType="separate"/>
            </w:r>
            <w:r w:rsidR="00765E19" w:rsidRPr="00765E19">
              <w:rPr>
                <w:rFonts w:ascii="Palatino Linotype" w:hAnsi="Palatino Linotype"/>
                <w:noProof/>
                <w:webHidden/>
              </w:rPr>
              <w:t>6</w:t>
            </w:r>
            <w:r w:rsidR="00765E19" w:rsidRPr="00765E19">
              <w:rPr>
                <w:rFonts w:ascii="Palatino Linotype" w:hAnsi="Palatino Linotype"/>
                <w:noProof/>
                <w:webHidden/>
              </w:rPr>
              <w:fldChar w:fldCharType="end"/>
            </w:r>
          </w:hyperlink>
        </w:p>
        <w:p w14:paraId="4BB67E85" w14:textId="77777777" w:rsidR="00765E19" w:rsidRPr="00765E19" w:rsidRDefault="001F4B1F">
          <w:pPr>
            <w:pStyle w:val="TDC1"/>
            <w:rPr>
              <w:rFonts w:ascii="Palatino Linotype" w:hAnsi="Palatino Linotype"/>
              <w:noProof/>
              <w:lang w:val="es-MX" w:eastAsia="es-MX"/>
            </w:rPr>
          </w:pPr>
          <w:hyperlink w:anchor="_Toc516484339" w:history="1">
            <w:r w:rsidR="00765E19" w:rsidRPr="00765E19">
              <w:rPr>
                <w:rStyle w:val="Hipervnculo"/>
                <w:rFonts w:ascii="Palatino Linotype" w:hAnsi="Palatino Linotype"/>
                <w:b/>
                <w:noProof/>
              </w:rPr>
              <w:t>TERCERO. De las causales del desechamiento.</w:t>
            </w:r>
            <w:r w:rsidR="00765E19" w:rsidRPr="00765E19">
              <w:rPr>
                <w:rFonts w:ascii="Palatino Linotype" w:hAnsi="Palatino Linotype"/>
                <w:noProof/>
                <w:webHidden/>
              </w:rPr>
              <w:tab/>
            </w:r>
            <w:r w:rsidR="00765E19" w:rsidRPr="00765E19">
              <w:rPr>
                <w:rFonts w:ascii="Palatino Linotype" w:hAnsi="Palatino Linotype"/>
                <w:noProof/>
                <w:webHidden/>
              </w:rPr>
              <w:fldChar w:fldCharType="begin"/>
            </w:r>
            <w:r w:rsidR="00765E19" w:rsidRPr="00765E19">
              <w:rPr>
                <w:rFonts w:ascii="Palatino Linotype" w:hAnsi="Palatino Linotype"/>
                <w:noProof/>
                <w:webHidden/>
              </w:rPr>
              <w:instrText xml:space="preserve"> PAGEREF _Toc516484339 \h </w:instrText>
            </w:r>
            <w:r w:rsidR="00765E19" w:rsidRPr="00765E19">
              <w:rPr>
                <w:rFonts w:ascii="Palatino Linotype" w:hAnsi="Palatino Linotype"/>
                <w:noProof/>
                <w:webHidden/>
              </w:rPr>
            </w:r>
            <w:r w:rsidR="00765E19" w:rsidRPr="00765E19">
              <w:rPr>
                <w:rFonts w:ascii="Palatino Linotype" w:hAnsi="Palatino Linotype"/>
                <w:noProof/>
                <w:webHidden/>
              </w:rPr>
              <w:fldChar w:fldCharType="separate"/>
            </w:r>
            <w:r w:rsidR="00765E19" w:rsidRPr="00765E19">
              <w:rPr>
                <w:rFonts w:ascii="Palatino Linotype" w:hAnsi="Palatino Linotype"/>
                <w:noProof/>
                <w:webHidden/>
              </w:rPr>
              <w:t>7</w:t>
            </w:r>
            <w:r w:rsidR="00765E19" w:rsidRPr="00765E19">
              <w:rPr>
                <w:rFonts w:ascii="Palatino Linotype" w:hAnsi="Palatino Linotype"/>
                <w:noProof/>
                <w:webHidden/>
              </w:rPr>
              <w:fldChar w:fldCharType="end"/>
            </w:r>
          </w:hyperlink>
        </w:p>
        <w:p w14:paraId="33208730" w14:textId="47A391CE" w:rsidR="00765E19" w:rsidRPr="00765E19" w:rsidRDefault="001F4B1F">
          <w:pPr>
            <w:pStyle w:val="TDC1"/>
            <w:rPr>
              <w:rFonts w:ascii="Palatino Linotype" w:hAnsi="Palatino Linotype"/>
              <w:noProof/>
              <w:lang w:val="es-MX" w:eastAsia="es-MX"/>
            </w:rPr>
          </w:pPr>
          <w:hyperlink w:anchor="_Toc516484340" w:history="1">
            <w:r w:rsidR="00765E19" w:rsidRPr="00765E19">
              <w:rPr>
                <w:rStyle w:val="Hipervnculo"/>
                <w:rFonts w:ascii="Palatino Linotype" w:hAnsi="Palatino Linotype"/>
                <w:b/>
                <w:noProof/>
              </w:rPr>
              <w:t>R E S O L U T I V O S</w:t>
            </w:r>
            <w:r w:rsidR="00765E19" w:rsidRPr="00765E19">
              <w:rPr>
                <w:rFonts w:ascii="Palatino Linotype" w:hAnsi="Palatino Linotype"/>
                <w:noProof/>
                <w:webHidden/>
              </w:rPr>
              <w:tab/>
            </w:r>
            <w:r w:rsidR="00765E19" w:rsidRPr="00765E19">
              <w:rPr>
                <w:rFonts w:ascii="Palatino Linotype" w:hAnsi="Palatino Linotype"/>
                <w:noProof/>
                <w:webHidden/>
              </w:rPr>
              <w:fldChar w:fldCharType="begin"/>
            </w:r>
            <w:r w:rsidR="00765E19" w:rsidRPr="00765E19">
              <w:rPr>
                <w:rFonts w:ascii="Palatino Linotype" w:hAnsi="Palatino Linotype"/>
                <w:noProof/>
                <w:webHidden/>
              </w:rPr>
              <w:instrText xml:space="preserve"> PAGEREF _Toc516484340 \h </w:instrText>
            </w:r>
            <w:r w:rsidR="00765E19" w:rsidRPr="00765E19">
              <w:rPr>
                <w:rFonts w:ascii="Palatino Linotype" w:hAnsi="Palatino Linotype"/>
                <w:noProof/>
                <w:webHidden/>
              </w:rPr>
            </w:r>
            <w:r w:rsidR="00765E19" w:rsidRPr="00765E19">
              <w:rPr>
                <w:rFonts w:ascii="Palatino Linotype" w:hAnsi="Palatino Linotype"/>
                <w:noProof/>
                <w:webHidden/>
              </w:rPr>
              <w:fldChar w:fldCharType="separate"/>
            </w:r>
            <w:r w:rsidR="00765E19" w:rsidRPr="00765E19">
              <w:rPr>
                <w:rFonts w:ascii="Palatino Linotype" w:hAnsi="Palatino Linotype"/>
                <w:noProof/>
                <w:webHidden/>
              </w:rPr>
              <w:t>15</w:t>
            </w:r>
            <w:r w:rsidR="00765E19" w:rsidRPr="00765E19">
              <w:rPr>
                <w:rFonts w:ascii="Palatino Linotype" w:hAnsi="Palatino Linotype"/>
                <w:noProof/>
                <w:webHidden/>
              </w:rPr>
              <w:fldChar w:fldCharType="end"/>
            </w:r>
          </w:hyperlink>
        </w:p>
        <w:p w14:paraId="07A9A973" w14:textId="691D6214" w:rsidR="00DA7E2F" w:rsidRPr="00765E19" w:rsidRDefault="00765E19" w:rsidP="00440800">
          <w:pPr>
            <w:spacing w:line="480" w:lineRule="auto"/>
            <w:rPr>
              <w:rFonts w:ascii="Palatino Linotype" w:hAnsi="Palatino Linotype"/>
            </w:rPr>
          </w:pPr>
          <w:r w:rsidRPr="00765E19">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4D39D6C3" wp14:editId="59903B35">
                    <wp:simplePos x="0" y="0"/>
                    <wp:positionH relativeFrom="column">
                      <wp:posOffset>348615</wp:posOffset>
                    </wp:positionH>
                    <wp:positionV relativeFrom="paragraph">
                      <wp:posOffset>29845</wp:posOffset>
                    </wp:positionV>
                    <wp:extent cx="5219700" cy="38766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219700" cy="387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5616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2.35pt" to="438.45pt,3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" strokecolor="black [3040]"/>
                </w:pict>
              </mc:Fallback>
            </mc:AlternateContent>
          </w:r>
          <w:r w:rsidR="00DA7E2F" w:rsidRPr="00765E19">
            <w:rPr>
              <w:rFonts w:ascii="Palatino Linotype" w:hAnsi="Palatino Linotype"/>
              <w:b/>
              <w:bCs/>
              <w:lang w:val="es-ES"/>
            </w:rPr>
            <w:fldChar w:fldCharType="end"/>
          </w:r>
        </w:p>
      </w:sdtContent>
    </w:sdt>
    <w:p w14:paraId="5E41A56F" w14:textId="6C53A7D9" w:rsidR="000D5A1D" w:rsidRPr="00765E19" w:rsidRDefault="000D5A1D" w:rsidP="001E74A5">
      <w:pPr>
        <w:spacing w:before="240" w:after="240" w:line="360" w:lineRule="auto"/>
        <w:ind w:left="708"/>
        <w:jc w:val="center"/>
        <w:rPr>
          <w:rFonts w:ascii="Palatino Linotype" w:hAnsi="Palatino Linotype"/>
          <w:b/>
        </w:rPr>
      </w:pPr>
    </w:p>
    <w:p w14:paraId="311C8EB9" w14:textId="402B75C7" w:rsidR="00312733" w:rsidRPr="00765E19" w:rsidRDefault="00312733" w:rsidP="001E74A5">
      <w:pPr>
        <w:spacing w:before="240" w:after="240" w:line="360" w:lineRule="auto"/>
        <w:ind w:left="708"/>
        <w:jc w:val="center"/>
        <w:rPr>
          <w:rFonts w:ascii="Palatino Linotype" w:hAnsi="Palatino Linotype"/>
          <w:b/>
        </w:rPr>
      </w:pPr>
    </w:p>
    <w:p w14:paraId="2F9C2899" w14:textId="67006B92" w:rsidR="00312733" w:rsidRPr="00765E19" w:rsidRDefault="00312733" w:rsidP="001E74A5">
      <w:pPr>
        <w:spacing w:before="240" w:after="240" w:line="360" w:lineRule="auto"/>
        <w:ind w:left="708"/>
        <w:jc w:val="center"/>
        <w:rPr>
          <w:rFonts w:ascii="Palatino Linotype" w:hAnsi="Palatino Linotype"/>
          <w:b/>
        </w:rPr>
      </w:pPr>
    </w:p>
    <w:p w14:paraId="748519F8" w14:textId="7EE0D9C4" w:rsidR="004413DD" w:rsidRPr="00765E19" w:rsidRDefault="004413DD" w:rsidP="001E74A5">
      <w:pPr>
        <w:spacing w:before="240" w:after="240" w:line="360" w:lineRule="auto"/>
        <w:ind w:left="708"/>
        <w:jc w:val="center"/>
        <w:rPr>
          <w:rFonts w:ascii="Palatino Linotype" w:hAnsi="Palatino Linotype"/>
          <w:b/>
        </w:rPr>
      </w:pPr>
    </w:p>
    <w:p w14:paraId="31422BAB" w14:textId="7D4CE47D" w:rsidR="004413DD" w:rsidRPr="00765E19" w:rsidRDefault="004413DD" w:rsidP="001E74A5">
      <w:pPr>
        <w:spacing w:before="240" w:after="240" w:line="360" w:lineRule="auto"/>
        <w:ind w:left="708"/>
        <w:jc w:val="center"/>
        <w:rPr>
          <w:rFonts w:ascii="Palatino Linotype" w:hAnsi="Palatino Linotype"/>
          <w:b/>
        </w:rPr>
      </w:pPr>
    </w:p>
    <w:p w14:paraId="12FC464F" w14:textId="1CE98C7A" w:rsidR="00802BFE" w:rsidRPr="00765E19" w:rsidRDefault="00802BFE" w:rsidP="001E74A5">
      <w:pPr>
        <w:spacing w:before="240" w:after="240" w:line="360" w:lineRule="auto"/>
        <w:ind w:left="708"/>
        <w:jc w:val="center"/>
        <w:rPr>
          <w:rFonts w:ascii="Palatino Linotype" w:hAnsi="Palatino Linotype"/>
          <w:b/>
        </w:rPr>
      </w:pPr>
    </w:p>
    <w:p w14:paraId="1B546CD2" w14:textId="77777777" w:rsidR="00765E19" w:rsidRPr="00765E19" w:rsidRDefault="00765E19" w:rsidP="001E74A5">
      <w:pPr>
        <w:spacing w:before="240" w:after="240" w:line="360" w:lineRule="auto"/>
        <w:ind w:left="708"/>
        <w:jc w:val="center"/>
        <w:rPr>
          <w:rFonts w:ascii="Palatino Linotype" w:hAnsi="Palatino Linotype"/>
          <w:b/>
        </w:rPr>
      </w:pPr>
    </w:p>
    <w:p w14:paraId="73F7F940" w14:textId="7E04D45B" w:rsidR="00662C69" w:rsidRPr="00765E19" w:rsidRDefault="009B11D6" w:rsidP="00440800">
      <w:pPr>
        <w:tabs>
          <w:tab w:val="left" w:pos="3465"/>
        </w:tabs>
        <w:spacing w:before="240" w:after="360" w:line="360" w:lineRule="auto"/>
        <w:jc w:val="both"/>
        <w:rPr>
          <w:rFonts w:ascii="Palatino Linotype" w:hAnsi="Palatino Linotype"/>
        </w:rPr>
      </w:pPr>
      <w:r w:rsidRPr="00765E19">
        <w:rPr>
          <w:rFonts w:ascii="Palatino Linotype" w:hAnsi="Palatino Linotype"/>
        </w:rPr>
        <w:lastRenderedPageBreak/>
        <w:t>R</w:t>
      </w:r>
      <w:r w:rsidR="00662C69" w:rsidRPr="00765E19">
        <w:rPr>
          <w:rFonts w:ascii="Palatino Linotype" w:hAnsi="Palatino Linotype"/>
        </w:rPr>
        <w:t>esolución del Pleno del Instituto de Transparencia, Acceso a la Información Pública y Protección de Datos Personales del Estado de México y Mun</w:t>
      </w:r>
      <w:r w:rsidR="000D5A1D" w:rsidRPr="00765E19">
        <w:rPr>
          <w:rFonts w:ascii="Palatino Linotype" w:hAnsi="Palatino Linotype"/>
        </w:rPr>
        <w:t>icipios, con</w:t>
      </w:r>
      <w:r w:rsidR="00662C69" w:rsidRPr="00765E19">
        <w:rPr>
          <w:rFonts w:ascii="Palatino Linotype" w:hAnsi="Palatino Linotype"/>
        </w:rPr>
        <w:t xml:space="preserve"> </w:t>
      </w:r>
      <w:r w:rsidR="00485DB6" w:rsidRPr="00765E19">
        <w:rPr>
          <w:rFonts w:ascii="Palatino Linotype" w:hAnsi="Palatino Linotype"/>
        </w:rPr>
        <w:t xml:space="preserve">domicilio </w:t>
      </w:r>
      <w:r w:rsidR="00662C69" w:rsidRPr="00765E19">
        <w:rPr>
          <w:rFonts w:ascii="Palatino Linotype" w:hAnsi="Palatino Linotype"/>
        </w:rPr>
        <w:t xml:space="preserve">en Metepec, Estado de México; de </w:t>
      </w:r>
      <w:r w:rsidR="00875DF8" w:rsidRPr="00765E19">
        <w:rPr>
          <w:rFonts w:ascii="Palatino Linotype" w:hAnsi="Palatino Linotype"/>
        </w:rPr>
        <w:t xml:space="preserve">fecha </w:t>
      </w:r>
      <w:r w:rsidR="00765E19">
        <w:rPr>
          <w:rFonts w:ascii="Palatino Linotype" w:hAnsi="Palatino Linotype"/>
        </w:rPr>
        <w:t>seis</w:t>
      </w:r>
      <w:r w:rsidR="00875DF8" w:rsidRPr="00765E19">
        <w:rPr>
          <w:rFonts w:ascii="Palatino Linotype" w:hAnsi="Palatino Linotype"/>
        </w:rPr>
        <w:t xml:space="preserve"> (</w:t>
      </w:r>
      <w:r w:rsidR="00765E19">
        <w:rPr>
          <w:rFonts w:ascii="Palatino Linotype" w:hAnsi="Palatino Linotype"/>
        </w:rPr>
        <w:t>06</w:t>
      </w:r>
      <w:r w:rsidR="00875DF8" w:rsidRPr="00765E19">
        <w:rPr>
          <w:rFonts w:ascii="Palatino Linotype" w:hAnsi="Palatino Linotype"/>
        </w:rPr>
        <w:t xml:space="preserve">) de </w:t>
      </w:r>
      <w:r w:rsidR="00765E19">
        <w:rPr>
          <w:rFonts w:ascii="Palatino Linotype" w:hAnsi="Palatino Linotype"/>
        </w:rPr>
        <w:t>junio</w:t>
      </w:r>
      <w:r w:rsidR="0039142B" w:rsidRPr="00765E19">
        <w:rPr>
          <w:rFonts w:ascii="Palatino Linotype" w:hAnsi="Palatino Linotype"/>
        </w:rPr>
        <w:t xml:space="preserve"> d</w:t>
      </w:r>
      <w:r w:rsidR="00875DF8" w:rsidRPr="00765E19">
        <w:rPr>
          <w:rFonts w:ascii="Palatino Linotype" w:hAnsi="Palatino Linotype"/>
        </w:rPr>
        <w:t>e dos mil dieciocho</w:t>
      </w:r>
      <w:r w:rsidR="00662C69" w:rsidRPr="00765E19">
        <w:rPr>
          <w:rFonts w:ascii="Palatino Linotype" w:hAnsi="Palatino Linotype"/>
        </w:rPr>
        <w:t>.</w:t>
      </w:r>
    </w:p>
    <w:p w14:paraId="02C1324E" w14:textId="77711017" w:rsidR="00662C69" w:rsidRPr="00765E19" w:rsidRDefault="00662C69" w:rsidP="001E74A5">
      <w:pPr>
        <w:spacing w:before="240" w:after="360" w:line="360" w:lineRule="auto"/>
        <w:jc w:val="both"/>
        <w:rPr>
          <w:rFonts w:ascii="Palatino Linotype" w:hAnsi="Palatino Linotype"/>
          <w:b/>
        </w:rPr>
      </w:pPr>
      <w:r w:rsidRPr="00765E19">
        <w:rPr>
          <w:rFonts w:ascii="Palatino Linotype" w:hAnsi="Palatino Linotype"/>
          <w:b/>
        </w:rPr>
        <w:t>VISTO</w:t>
      </w:r>
      <w:r w:rsidRPr="00765E19">
        <w:rPr>
          <w:rFonts w:ascii="Palatino Linotype" w:hAnsi="Palatino Linotype"/>
        </w:rPr>
        <w:t xml:space="preserve"> el expediente electrónico for</w:t>
      </w:r>
      <w:r w:rsidR="00D37494" w:rsidRPr="00765E19">
        <w:rPr>
          <w:rFonts w:ascii="Palatino Linotype" w:hAnsi="Palatino Linotype"/>
        </w:rPr>
        <w:t>mado con motivo del</w:t>
      </w:r>
      <w:r w:rsidRPr="00765E19">
        <w:rPr>
          <w:rFonts w:ascii="Palatino Linotype" w:hAnsi="Palatino Linotype"/>
        </w:rPr>
        <w:t xml:space="preserve"> recurso de revisión </w:t>
      </w:r>
      <w:r w:rsidR="00D9532B" w:rsidRPr="00765E19">
        <w:rPr>
          <w:rFonts w:ascii="Palatino Linotype" w:hAnsi="Palatino Linotype"/>
          <w:b/>
        </w:rPr>
        <w:t>01168</w:t>
      </w:r>
      <w:r w:rsidR="0039142B" w:rsidRPr="00765E19">
        <w:rPr>
          <w:rFonts w:ascii="Palatino Linotype" w:hAnsi="Palatino Linotype"/>
          <w:b/>
        </w:rPr>
        <w:t>/INFOEM/IP/RR/2018</w:t>
      </w:r>
      <w:r w:rsidR="00AF3D59" w:rsidRPr="00765E19">
        <w:rPr>
          <w:rFonts w:ascii="Palatino Linotype" w:hAnsi="Palatino Linotype" w:cs="Arial"/>
          <w:b/>
          <w:bCs/>
        </w:rPr>
        <w:t>;</w:t>
      </w:r>
      <w:r w:rsidR="00335BFE" w:rsidRPr="00765E19">
        <w:rPr>
          <w:rFonts w:ascii="Palatino Linotype" w:hAnsi="Palatino Linotype" w:cs="Arial"/>
          <w:b/>
          <w:bCs/>
        </w:rPr>
        <w:t xml:space="preserve"> </w:t>
      </w:r>
      <w:r w:rsidRPr="00765E19">
        <w:rPr>
          <w:rFonts w:ascii="Palatino Linotype" w:hAnsi="Palatino Linotype"/>
        </w:rPr>
        <w:t xml:space="preserve">promovido por </w:t>
      </w:r>
      <w:r w:rsidR="001F4B1F" w:rsidRPr="001F4B1F">
        <w:rPr>
          <w:rFonts w:ascii="Palatino Linotype" w:hAnsi="Palatino Linotype"/>
          <w:b/>
          <w:szCs w:val="22"/>
          <w:highlight w:val="black"/>
        </w:rPr>
        <w:t>--------------------------------------</w:t>
      </w:r>
      <w:r w:rsidRPr="00765E19">
        <w:rPr>
          <w:rFonts w:ascii="Palatino Linotype" w:hAnsi="Palatino Linotype"/>
          <w:b/>
        </w:rPr>
        <w:t xml:space="preserve">, </w:t>
      </w:r>
      <w:r w:rsidRPr="00765E19">
        <w:rPr>
          <w:rFonts w:ascii="Palatino Linotype" w:hAnsi="Palatino Linotype" w:cs="Arial"/>
        </w:rPr>
        <w:t xml:space="preserve">en su </w:t>
      </w:r>
      <w:r w:rsidR="00D83C17" w:rsidRPr="00765E19">
        <w:rPr>
          <w:rFonts w:ascii="Palatino Linotype" w:hAnsi="Palatino Linotype" w:cs="Arial"/>
        </w:rPr>
        <w:t>calidad</w:t>
      </w:r>
      <w:r w:rsidRPr="00765E19">
        <w:rPr>
          <w:rFonts w:ascii="Palatino Linotype" w:hAnsi="Palatino Linotype" w:cs="Arial"/>
        </w:rPr>
        <w:t xml:space="preserve"> de </w:t>
      </w:r>
      <w:r w:rsidRPr="00765E19">
        <w:rPr>
          <w:rFonts w:ascii="Palatino Linotype" w:hAnsi="Palatino Linotype" w:cs="Arial"/>
          <w:b/>
        </w:rPr>
        <w:t>RECURRENTE</w:t>
      </w:r>
      <w:r w:rsidRPr="00765E19">
        <w:rPr>
          <w:rFonts w:ascii="Palatino Linotype" w:hAnsi="Palatino Linotype" w:cs="Arial"/>
        </w:rPr>
        <w:t xml:space="preserve">, en contra </w:t>
      </w:r>
      <w:r w:rsidR="000D5A1D" w:rsidRPr="00765E19">
        <w:rPr>
          <w:rFonts w:ascii="Palatino Linotype" w:hAnsi="Palatino Linotype" w:cs="Arial"/>
        </w:rPr>
        <w:t xml:space="preserve">de </w:t>
      </w:r>
      <w:r w:rsidR="00843908" w:rsidRPr="00765E19">
        <w:rPr>
          <w:rFonts w:ascii="Palatino Linotype" w:hAnsi="Palatino Linotype" w:cs="Arial"/>
        </w:rPr>
        <w:t>la respuesta del</w:t>
      </w:r>
      <w:r w:rsidR="00133CE5" w:rsidRPr="00765E19">
        <w:rPr>
          <w:rFonts w:ascii="Palatino Linotype" w:hAnsi="Palatino Linotype"/>
        </w:rPr>
        <w:t xml:space="preserve"> </w:t>
      </w:r>
      <w:r w:rsidR="00BF2346" w:rsidRPr="00765E19">
        <w:rPr>
          <w:rFonts w:ascii="Palatino Linotype" w:hAnsi="Palatino Linotype"/>
          <w:b/>
        </w:rPr>
        <w:t xml:space="preserve">Ayuntamiento de </w:t>
      </w:r>
      <w:proofErr w:type="spellStart"/>
      <w:r w:rsidR="00D9532B" w:rsidRPr="00765E19">
        <w:rPr>
          <w:rFonts w:ascii="Palatino Linotype" w:hAnsi="Palatino Linotype"/>
          <w:b/>
        </w:rPr>
        <w:t>Cocotitlán</w:t>
      </w:r>
      <w:proofErr w:type="spellEnd"/>
      <w:r w:rsidR="0036073F" w:rsidRPr="00765E19">
        <w:rPr>
          <w:rFonts w:ascii="Palatino Linotype" w:hAnsi="Palatino Linotype"/>
          <w:b/>
        </w:rPr>
        <w:t xml:space="preserve">, </w:t>
      </w:r>
      <w:r w:rsidRPr="00765E19">
        <w:rPr>
          <w:rFonts w:ascii="Palatino Linotype" w:hAnsi="Palatino Linotype"/>
        </w:rPr>
        <w:t>en lo sucesivo el</w:t>
      </w:r>
      <w:r w:rsidRPr="00765E19">
        <w:rPr>
          <w:rFonts w:ascii="Palatino Linotype" w:hAnsi="Palatino Linotype"/>
          <w:b/>
        </w:rPr>
        <w:t xml:space="preserve"> SUJETO OBLIGADO, </w:t>
      </w:r>
      <w:r w:rsidRPr="00765E19">
        <w:rPr>
          <w:rFonts w:ascii="Palatino Linotype" w:hAnsi="Palatino Linotype"/>
        </w:rPr>
        <w:t>se procede a dictar la presente resolución, con base en los siguientes:</w:t>
      </w:r>
    </w:p>
    <w:p w14:paraId="769E1410" w14:textId="5740327F" w:rsidR="00587366" w:rsidRPr="00765E19" w:rsidRDefault="00662C69" w:rsidP="001E74A5">
      <w:pPr>
        <w:pStyle w:val="Ttulo1"/>
        <w:spacing w:line="360" w:lineRule="auto"/>
        <w:jc w:val="center"/>
        <w:rPr>
          <w:b/>
        </w:rPr>
      </w:pPr>
      <w:bookmarkStart w:id="0" w:name="_Toc461555884"/>
      <w:bookmarkStart w:id="1" w:name="_Toc466371847"/>
      <w:bookmarkStart w:id="2" w:name="_Toc516484333"/>
      <w:r w:rsidRPr="00765E19">
        <w:rPr>
          <w:b/>
        </w:rPr>
        <w:t>ANTECEDENTES</w:t>
      </w:r>
      <w:bookmarkEnd w:id="0"/>
      <w:bookmarkEnd w:id="1"/>
      <w:bookmarkEnd w:id="2"/>
    </w:p>
    <w:p w14:paraId="402A4C0A" w14:textId="72962FD7" w:rsidR="00D9392E" w:rsidRPr="00765E19"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765E19">
        <w:rPr>
          <w:rFonts w:ascii="Palatino Linotype" w:eastAsia="Calibri" w:hAnsi="Palatino Linotype" w:cs="Arial"/>
          <w:lang w:val="es-ES"/>
        </w:rPr>
        <w:t xml:space="preserve">El día </w:t>
      </w:r>
      <w:r w:rsidR="0039142B" w:rsidRPr="00765E19">
        <w:rPr>
          <w:rFonts w:ascii="Palatino Linotype" w:eastAsia="Calibri" w:hAnsi="Palatino Linotype" w:cs="Arial"/>
          <w:lang w:val="es-ES"/>
        </w:rPr>
        <w:t>veintidós</w:t>
      </w:r>
      <w:r w:rsidRPr="00765E19">
        <w:rPr>
          <w:rFonts w:ascii="Palatino Linotype" w:eastAsia="Calibri" w:hAnsi="Palatino Linotype" w:cs="Arial"/>
          <w:lang w:val="es-ES"/>
        </w:rPr>
        <w:t xml:space="preserve"> (</w:t>
      </w:r>
      <w:r w:rsidR="0039142B" w:rsidRPr="00765E19">
        <w:rPr>
          <w:rFonts w:ascii="Palatino Linotype" w:eastAsia="Calibri" w:hAnsi="Palatino Linotype" w:cs="Arial"/>
          <w:lang w:val="es-ES"/>
        </w:rPr>
        <w:t>22</w:t>
      </w:r>
      <w:r w:rsidRPr="00765E19">
        <w:rPr>
          <w:rFonts w:ascii="Palatino Linotype" w:eastAsia="Calibri" w:hAnsi="Palatino Linotype" w:cs="Arial"/>
          <w:lang w:val="es-ES"/>
        </w:rPr>
        <w:t xml:space="preserve">) de </w:t>
      </w:r>
      <w:r w:rsidR="0039142B" w:rsidRPr="00765E19">
        <w:rPr>
          <w:rFonts w:ascii="Palatino Linotype" w:eastAsia="Calibri" w:hAnsi="Palatino Linotype" w:cs="Arial"/>
          <w:lang w:val="es-ES"/>
        </w:rPr>
        <w:t>marzo d</w:t>
      </w:r>
      <w:r w:rsidRPr="00765E19">
        <w:rPr>
          <w:rFonts w:ascii="Palatino Linotype" w:eastAsia="Calibri" w:hAnsi="Palatino Linotype" w:cs="Arial"/>
          <w:lang w:val="es-ES"/>
        </w:rPr>
        <w:t xml:space="preserve">e dos mil </w:t>
      </w:r>
      <w:r w:rsidR="0039142B" w:rsidRPr="00765E19">
        <w:rPr>
          <w:rFonts w:ascii="Palatino Linotype" w:eastAsia="Calibri" w:hAnsi="Palatino Linotype" w:cs="Arial"/>
          <w:lang w:val="es-ES"/>
        </w:rPr>
        <w:t>dieciocho</w:t>
      </w:r>
      <w:r w:rsidRPr="00765E19">
        <w:rPr>
          <w:rFonts w:ascii="Palatino Linotype" w:hAnsi="Palatino Linotype"/>
          <w:b/>
        </w:rPr>
        <w:t xml:space="preserve">, </w:t>
      </w:r>
      <w:r w:rsidRPr="00765E19">
        <w:rPr>
          <w:rFonts w:ascii="Palatino Linotype" w:eastAsia="Calibri" w:hAnsi="Palatino Linotype" w:cs="Arial"/>
          <w:lang w:val="es-ES"/>
        </w:rPr>
        <w:t xml:space="preserve">se presentó ante el </w:t>
      </w:r>
      <w:r w:rsidRPr="00765E19">
        <w:rPr>
          <w:rFonts w:ascii="Palatino Linotype" w:eastAsia="Calibri" w:hAnsi="Palatino Linotype" w:cs="Arial"/>
          <w:b/>
          <w:lang w:val="es-ES"/>
        </w:rPr>
        <w:t>SUJETO OBLIGADO</w:t>
      </w:r>
      <w:r w:rsidRPr="00765E19">
        <w:rPr>
          <w:rFonts w:ascii="Palatino Linotype" w:eastAsia="Calibri" w:hAnsi="Palatino Linotype" w:cs="Arial"/>
        </w:rPr>
        <w:t xml:space="preserve"> vía </w:t>
      </w:r>
      <w:r w:rsidRPr="00765E19">
        <w:rPr>
          <w:rFonts w:ascii="Palatino Linotype" w:eastAsia="Calibri" w:hAnsi="Palatino Linotype" w:cs="Arial"/>
          <w:lang w:val="es-ES"/>
        </w:rPr>
        <w:t xml:space="preserve">Sistema de Acceso a la Información Mexiquense </w:t>
      </w:r>
      <w:r w:rsidRPr="00765E19">
        <w:rPr>
          <w:rFonts w:ascii="Palatino Linotype" w:eastAsia="Calibri" w:hAnsi="Palatino Linotype" w:cs="Arial"/>
          <w:b/>
          <w:lang w:val="es-ES"/>
        </w:rPr>
        <w:t>SAIMEX</w:t>
      </w:r>
      <w:r w:rsidRPr="00765E19">
        <w:rPr>
          <w:rFonts w:ascii="Palatino Linotype" w:eastAsia="Calibri" w:hAnsi="Palatino Linotype" w:cs="Arial"/>
          <w:lang w:val="es-ES"/>
        </w:rPr>
        <w:t xml:space="preserve">, la solicitud de información pública registrada con el número </w:t>
      </w:r>
      <w:r w:rsidR="00D9532B" w:rsidRPr="00765E19">
        <w:rPr>
          <w:rFonts w:ascii="Palatino Linotype" w:hAnsi="Palatino Linotype"/>
          <w:b/>
          <w:bCs/>
          <w:color w:val="000000" w:themeColor="text1"/>
        </w:rPr>
        <w:t>00014</w:t>
      </w:r>
      <w:r w:rsidR="00C47CDC" w:rsidRPr="00765E19">
        <w:rPr>
          <w:rFonts w:ascii="Palatino Linotype" w:hAnsi="Palatino Linotype"/>
          <w:b/>
          <w:bCs/>
          <w:color w:val="000000" w:themeColor="text1"/>
        </w:rPr>
        <w:t>/</w:t>
      </w:r>
      <w:r w:rsidR="00D9532B" w:rsidRPr="00765E19">
        <w:rPr>
          <w:rFonts w:ascii="Palatino Linotype" w:hAnsi="Palatino Linotype"/>
          <w:b/>
          <w:bCs/>
          <w:color w:val="000000" w:themeColor="text1"/>
        </w:rPr>
        <w:t>COCOTIT</w:t>
      </w:r>
      <w:r w:rsidR="00C47CDC" w:rsidRPr="00765E19">
        <w:rPr>
          <w:rFonts w:ascii="Palatino Linotype" w:hAnsi="Palatino Linotype"/>
          <w:b/>
          <w:bCs/>
          <w:color w:val="000000" w:themeColor="text1"/>
        </w:rPr>
        <w:t>/IP/201</w:t>
      </w:r>
      <w:r w:rsidR="00D9532B" w:rsidRPr="00765E19">
        <w:rPr>
          <w:rFonts w:ascii="Palatino Linotype" w:hAnsi="Palatino Linotype"/>
          <w:b/>
          <w:bCs/>
          <w:color w:val="000000" w:themeColor="text1"/>
        </w:rPr>
        <w:t>8</w:t>
      </w:r>
      <w:r w:rsidRPr="00765E19">
        <w:rPr>
          <w:rFonts w:ascii="Palatino Linotype" w:eastAsia="Calibri" w:hAnsi="Palatino Linotype" w:cs="Arial"/>
          <w:lang w:val="es-ES"/>
        </w:rPr>
        <w:t xml:space="preserve"> mediante la cual solicitó:</w:t>
      </w:r>
    </w:p>
    <w:p w14:paraId="780D2256" w14:textId="77777777" w:rsidR="00D9392E" w:rsidRPr="00765E19" w:rsidRDefault="00D9392E" w:rsidP="001C34D6">
      <w:pPr>
        <w:pStyle w:val="Prrafodelista"/>
        <w:spacing w:line="360" w:lineRule="auto"/>
        <w:ind w:left="360"/>
        <w:jc w:val="both"/>
        <w:rPr>
          <w:rFonts w:ascii="Palatino Linotype" w:hAnsi="Palatino Linotype"/>
          <w:i/>
          <w:color w:val="000000"/>
          <w:sz w:val="22"/>
          <w:szCs w:val="22"/>
        </w:rPr>
      </w:pPr>
    </w:p>
    <w:p w14:paraId="7C855111" w14:textId="30D31647" w:rsidR="00C50A2B" w:rsidRPr="00765E19" w:rsidRDefault="001C34D6" w:rsidP="00306B0E">
      <w:pPr>
        <w:pStyle w:val="Prrafodelista"/>
        <w:spacing w:line="360" w:lineRule="auto"/>
        <w:ind w:left="426" w:right="333"/>
        <w:jc w:val="both"/>
        <w:rPr>
          <w:rFonts w:ascii="Palatino Linotype" w:hAnsi="Palatino Linotype"/>
          <w:color w:val="000000"/>
          <w:sz w:val="22"/>
        </w:rPr>
      </w:pPr>
      <w:r w:rsidRPr="00765E19">
        <w:rPr>
          <w:rFonts w:ascii="Palatino Linotype" w:hAnsi="Palatino Linotype"/>
          <w:i/>
          <w:color w:val="000000"/>
          <w:sz w:val="22"/>
          <w:szCs w:val="22"/>
        </w:rPr>
        <w:t>“</w:t>
      </w:r>
      <w:r w:rsidR="00D9532B" w:rsidRPr="00765E19">
        <w:rPr>
          <w:rFonts w:ascii="Palatino Linotype" w:hAnsi="Palatino Linotype"/>
          <w:i/>
          <w:color w:val="000000"/>
          <w:sz w:val="22"/>
          <w:szCs w:val="22"/>
        </w:rPr>
        <w:t xml:space="preserve">Remuneraciones de cada uno de los servidores </w:t>
      </w:r>
      <w:proofErr w:type="spellStart"/>
      <w:r w:rsidR="00D9532B" w:rsidRPr="00765E19">
        <w:rPr>
          <w:rFonts w:ascii="Palatino Linotype" w:hAnsi="Palatino Linotype"/>
          <w:i/>
          <w:color w:val="000000"/>
          <w:sz w:val="22"/>
          <w:szCs w:val="22"/>
        </w:rPr>
        <w:t>publicos</w:t>
      </w:r>
      <w:proofErr w:type="spellEnd"/>
      <w:r w:rsidR="00D9532B" w:rsidRPr="00765E19">
        <w:rPr>
          <w:rFonts w:ascii="Palatino Linotype" w:hAnsi="Palatino Linotype"/>
          <w:i/>
          <w:color w:val="000000"/>
          <w:sz w:val="22"/>
          <w:szCs w:val="22"/>
        </w:rPr>
        <w:t xml:space="preserve"> de DIF municipal de </w:t>
      </w:r>
      <w:proofErr w:type="spellStart"/>
      <w:r w:rsidR="00D9532B" w:rsidRPr="00765E19">
        <w:rPr>
          <w:rFonts w:ascii="Palatino Linotype" w:hAnsi="Palatino Linotype"/>
          <w:i/>
          <w:color w:val="000000"/>
          <w:sz w:val="22"/>
          <w:szCs w:val="22"/>
        </w:rPr>
        <w:t>cocotitlan</w:t>
      </w:r>
      <w:proofErr w:type="spellEnd"/>
      <w:r w:rsidRPr="00765E19">
        <w:rPr>
          <w:rFonts w:ascii="Palatino Linotype" w:hAnsi="Palatino Linotype"/>
          <w:i/>
          <w:color w:val="000000"/>
          <w:sz w:val="22"/>
        </w:rPr>
        <w:t>”</w:t>
      </w:r>
      <w:r w:rsidRPr="00765E19">
        <w:rPr>
          <w:rFonts w:ascii="Palatino Linotype" w:hAnsi="Palatino Linotype"/>
          <w:color w:val="000000"/>
          <w:sz w:val="22"/>
        </w:rPr>
        <w:t xml:space="preserve"> </w:t>
      </w:r>
      <w:r w:rsidR="00C50A2B" w:rsidRPr="00765E19">
        <w:rPr>
          <w:rFonts w:ascii="Palatino Linotype" w:hAnsi="Palatino Linotype"/>
          <w:color w:val="000000"/>
          <w:sz w:val="22"/>
        </w:rPr>
        <w:t>(Sic).</w:t>
      </w:r>
    </w:p>
    <w:p w14:paraId="49C21E77" w14:textId="37B814E2" w:rsidR="0039142B" w:rsidRPr="00765E19" w:rsidRDefault="0039142B" w:rsidP="00997C2A">
      <w:pPr>
        <w:pStyle w:val="Prrafodelista"/>
        <w:numPr>
          <w:ilvl w:val="0"/>
          <w:numId w:val="4"/>
        </w:numPr>
        <w:spacing w:before="240" w:after="240" w:line="360" w:lineRule="auto"/>
        <w:ind w:left="284" w:hanging="284"/>
        <w:jc w:val="both"/>
        <w:rPr>
          <w:rFonts w:ascii="Palatino Linotype" w:eastAsia="MS Mincho" w:hAnsi="Palatino Linotype" w:cs="Times New Roman"/>
        </w:rPr>
      </w:pPr>
      <w:r w:rsidRPr="00765E19">
        <w:rPr>
          <w:rFonts w:ascii="Palatino Linotype" w:eastAsia="Calibri" w:hAnsi="Palatino Linotype" w:cs="Arial"/>
          <w:lang w:val="es-AR"/>
        </w:rPr>
        <w:t>Señaló como modalidad de entrega de la información: “</w:t>
      </w:r>
      <w:r w:rsidRPr="00765E19">
        <w:rPr>
          <w:rFonts w:ascii="Palatino Linotype" w:eastAsia="Calibri" w:hAnsi="Palatino Linotype" w:cs="Arial"/>
          <w:i/>
          <w:lang w:val="es-AR"/>
        </w:rPr>
        <w:t xml:space="preserve">A través del </w:t>
      </w:r>
      <w:r w:rsidRPr="00765E19">
        <w:rPr>
          <w:rFonts w:ascii="Palatino Linotype" w:eastAsia="Calibri" w:hAnsi="Palatino Linotype" w:cs="Arial"/>
          <w:b/>
          <w:i/>
          <w:lang w:val="es-AR"/>
        </w:rPr>
        <w:t>SAIMEX</w:t>
      </w:r>
      <w:r w:rsidRPr="00765E19">
        <w:rPr>
          <w:rFonts w:ascii="Palatino Linotype" w:eastAsia="Calibri" w:hAnsi="Palatino Linotype" w:cs="Arial"/>
          <w:i/>
          <w:lang w:val="es-AR"/>
        </w:rPr>
        <w:t>”.</w:t>
      </w:r>
    </w:p>
    <w:p w14:paraId="35BA18A9" w14:textId="77777777" w:rsidR="0039142B" w:rsidRPr="00765E19"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7A8DB888" w:rsidR="0022448D" w:rsidRPr="00765E19" w:rsidRDefault="0039142B" w:rsidP="00997C2A">
      <w:pPr>
        <w:pStyle w:val="Prrafodelista"/>
        <w:numPr>
          <w:ilvl w:val="0"/>
          <w:numId w:val="4"/>
        </w:numPr>
        <w:spacing w:before="240" w:after="240" w:line="360" w:lineRule="auto"/>
        <w:ind w:left="284" w:hanging="284"/>
        <w:jc w:val="both"/>
        <w:rPr>
          <w:rFonts w:ascii="Palatino Linotype" w:eastAsia="MS Mincho" w:hAnsi="Palatino Linotype" w:cs="Times New Roman"/>
        </w:rPr>
      </w:pPr>
      <w:r w:rsidRPr="00765E19">
        <w:rPr>
          <w:rFonts w:ascii="Palatino Linotype" w:eastAsia="Calibri" w:hAnsi="Palatino Linotype" w:cs="Arial"/>
        </w:rPr>
        <w:t xml:space="preserve">En </w:t>
      </w:r>
      <w:r w:rsidR="00C47CDC" w:rsidRPr="00765E19">
        <w:rPr>
          <w:rFonts w:ascii="Palatino Linotype" w:eastAsia="Calibri" w:hAnsi="Palatino Linotype" w:cs="Arial"/>
          <w:lang w:val="es-AR"/>
        </w:rPr>
        <w:t xml:space="preserve">fecha </w:t>
      </w:r>
      <w:r w:rsidRPr="00765E19">
        <w:rPr>
          <w:rFonts w:ascii="Palatino Linotype" w:eastAsia="Calibri" w:hAnsi="Palatino Linotype" w:cs="Arial"/>
          <w:lang w:val="es-AR"/>
        </w:rPr>
        <w:t>diecinueve</w:t>
      </w:r>
      <w:r w:rsidR="005D6FF0" w:rsidRPr="00765E19">
        <w:rPr>
          <w:rFonts w:ascii="Palatino Linotype" w:eastAsia="Calibri" w:hAnsi="Palatino Linotype" w:cs="Arial"/>
          <w:lang w:val="es-AR"/>
        </w:rPr>
        <w:t xml:space="preserve"> (</w:t>
      </w:r>
      <w:r w:rsidRPr="00765E19">
        <w:rPr>
          <w:rFonts w:ascii="Palatino Linotype" w:eastAsia="Calibri" w:hAnsi="Palatino Linotype" w:cs="Arial"/>
          <w:lang w:val="es-AR"/>
        </w:rPr>
        <w:t>19</w:t>
      </w:r>
      <w:r w:rsidR="00552213" w:rsidRPr="00765E19">
        <w:rPr>
          <w:rFonts w:ascii="Palatino Linotype" w:eastAsia="MS Mincho" w:hAnsi="Palatino Linotype" w:cs="Times New Roman"/>
          <w:i/>
        </w:rPr>
        <w:t>)</w:t>
      </w:r>
      <w:r w:rsidR="00552213" w:rsidRPr="00765E19">
        <w:rPr>
          <w:rFonts w:ascii="Palatino Linotype" w:eastAsia="MS Mincho" w:hAnsi="Palatino Linotype" w:cs="Times New Roman"/>
        </w:rPr>
        <w:t xml:space="preserve"> de </w:t>
      </w:r>
      <w:r w:rsidRPr="00765E19">
        <w:rPr>
          <w:rFonts w:ascii="Palatino Linotype" w:eastAsia="MS Mincho" w:hAnsi="Palatino Linotype" w:cs="Times New Roman"/>
        </w:rPr>
        <w:t>abril</w:t>
      </w:r>
      <w:r w:rsidR="00552213" w:rsidRPr="00765E19">
        <w:rPr>
          <w:rFonts w:ascii="Palatino Linotype" w:eastAsia="MS Mincho" w:hAnsi="Palatino Linotype" w:cs="Times New Roman"/>
        </w:rPr>
        <w:t xml:space="preserve"> de dos mil </w:t>
      </w:r>
      <w:r w:rsidRPr="00765E19">
        <w:rPr>
          <w:rFonts w:ascii="Palatino Linotype" w:eastAsia="MS Mincho" w:hAnsi="Palatino Linotype" w:cs="Times New Roman"/>
        </w:rPr>
        <w:t>dieciocho</w:t>
      </w:r>
      <w:r w:rsidR="00552213" w:rsidRPr="00765E19">
        <w:rPr>
          <w:rFonts w:ascii="Palatino Linotype" w:eastAsia="Times New Roman" w:hAnsi="Palatino Linotype" w:cs="Arial"/>
          <w:lang w:val="es-ES"/>
        </w:rPr>
        <w:t xml:space="preserve">, el </w:t>
      </w:r>
      <w:r w:rsidR="00552213" w:rsidRPr="00765E19">
        <w:rPr>
          <w:rFonts w:ascii="Palatino Linotype" w:eastAsia="Times New Roman" w:hAnsi="Palatino Linotype" w:cs="Arial"/>
          <w:b/>
          <w:lang w:val="es-ES"/>
        </w:rPr>
        <w:t>SUJETO OBLIGADO</w:t>
      </w:r>
      <w:r w:rsidR="00552213" w:rsidRPr="00765E19">
        <w:rPr>
          <w:rFonts w:ascii="Palatino Linotype" w:eastAsia="Times New Roman" w:hAnsi="Palatino Linotype" w:cs="Arial"/>
          <w:lang w:val="es-ES"/>
        </w:rPr>
        <w:t>,</w:t>
      </w:r>
      <w:r w:rsidR="00102D65" w:rsidRPr="00765E19">
        <w:rPr>
          <w:rFonts w:ascii="Palatino Linotype" w:eastAsia="Times New Roman" w:hAnsi="Palatino Linotype" w:cs="Arial"/>
          <w:lang w:val="es-ES"/>
        </w:rPr>
        <w:t xml:space="preserve"> dio respuesta a la solicitud</w:t>
      </w:r>
      <w:r w:rsidR="00552213" w:rsidRPr="00765E19">
        <w:rPr>
          <w:rFonts w:ascii="Palatino Linotype" w:eastAsia="Times New Roman" w:hAnsi="Palatino Linotype" w:cs="Arial"/>
          <w:lang w:val="es-ES"/>
        </w:rPr>
        <w:t xml:space="preserve"> de información presentada, </w:t>
      </w:r>
      <w:r w:rsidR="00102D65" w:rsidRPr="00765E19">
        <w:rPr>
          <w:rFonts w:ascii="Palatino Linotype" w:eastAsia="Times New Roman" w:hAnsi="Palatino Linotype" w:cs="Arial"/>
          <w:lang w:val="es-ES"/>
        </w:rPr>
        <w:t xml:space="preserve">mediante </w:t>
      </w:r>
      <w:r w:rsidR="0022448D" w:rsidRPr="00765E19">
        <w:rPr>
          <w:rFonts w:ascii="Palatino Linotype" w:eastAsia="Times New Roman" w:hAnsi="Palatino Linotype" w:cs="Arial"/>
          <w:lang w:val="es-ES"/>
        </w:rPr>
        <w:t>el escrito siguiente:</w:t>
      </w:r>
    </w:p>
    <w:p w14:paraId="35A36DE0" w14:textId="77777777" w:rsidR="0039142B" w:rsidRPr="00765E19" w:rsidRDefault="0039142B" w:rsidP="0022448D">
      <w:pPr>
        <w:pStyle w:val="Prrafodelista"/>
        <w:spacing w:before="240" w:after="240" w:line="360" w:lineRule="auto"/>
        <w:ind w:left="284"/>
        <w:jc w:val="center"/>
        <w:rPr>
          <w:noProof/>
          <w:lang w:val="es-MX" w:eastAsia="es-MX"/>
        </w:rPr>
      </w:pPr>
    </w:p>
    <w:p w14:paraId="769ED926" w14:textId="77777777" w:rsidR="00D9532B" w:rsidRPr="00765E19" w:rsidRDefault="00D9532B" w:rsidP="0022448D">
      <w:pPr>
        <w:pStyle w:val="Prrafodelista"/>
        <w:spacing w:before="240" w:after="240" w:line="360" w:lineRule="auto"/>
        <w:ind w:left="284"/>
        <w:jc w:val="center"/>
        <w:rPr>
          <w:noProof/>
          <w:lang w:val="es-MX" w:eastAsia="es-MX"/>
        </w:rPr>
      </w:pPr>
    </w:p>
    <w:p w14:paraId="4A147A50" w14:textId="62F44143" w:rsidR="0022448D" w:rsidRPr="00765E19" w:rsidRDefault="001F4B1F" w:rsidP="0022448D">
      <w:pPr>
        <w:pStyle w:val="Prrafodelista"/>
        <w:spacing w:before="240" w:after="240" w:line="360" w:lineRule="auto"/>
        <w:ind w:left="284"/>
        <w:jc w:val="center"/>
        <w:rPr>
          <w:rFonts w:ascii="Palatino Linotype" w:eastAsia="MS Mincho" w:hAnsi="Palatino Linotype" w:cs="Times New Roman"/>
        </w:rPr>
      </w:pPr>
      <w:r w:rsidRPr="001F4B1F">
        <w:rPr>
          <w:rFonts w:ascii="Palatino Linotype" w:eastAsia="MS Mincho" w:hAnsi="Palatino Linotype" w:cs="Times New Roman"/>
          <w:noProof/>
          <w:lang w:val="es-MX" w:eastAsia="es-MX"/>
        </w:rPr>
        <w:lastRenderedPageBreak/>
        <w:drawing>
          <wp:inline distT="0" distB="0" distL="0" distR="0" wp14:anchorId="30C297B9" wp14:editId="0B83A704">
            <wp:extent cx="5612130" cy="3790311"/>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790311"/>
                    </a:xfrm>
                    <a:prstGeom prst="rect">
                      <a:avLst/>
                    </a:prstGeom>
                    <a:noFill/>
                    <a:ln>
                      <a:noFill/>
                    </a:ln>
                  </pic:spPr>
                </pic:pic>
              </a:graphicData>
            </a:graphic>
          </wp:inline>
        </w:drawing>
      </w:r>
    </w:p>
    <w:p w14:paraId="3A5057F4" w14:textId="77777777" w:rsidR="005D6FF0" w:rsidRPr="00765E19" w:rsidRDefault="005D6FF0" w:rsidP="005D6FF0">
      <w:pPr>
        <w:pStyle w:val="Prrafodelista"/>
        <w:spacing w:before="240" w:after="240" w:line="360" w:lineRule="auto"/>
        <w:ind w:left="284"/>
        <w:jc w:val="both"/>
        <w:rPr>
          <w:rFonts w:ascii="Palatino Linotype" w:eastAsia="MS Mincho" w:hAnsi="Palatino Linotype" w:cs="Times New Roman"/>
        </w:rPr>
      </w:pPr>
    </w:p>
    <w:p w14:paraId="58465188" w14:textId="066D1623" w:rsidR="00C47CDC" w:rsidRPr="00765E19" w:rsidRDefault="0039142B" w:rsidP="00997C2A">
      <w:pPr>
        <w:pStyle w:val="Prrafodelista"/>
        <w:numPr>
          <w:ilvl w:val="0"/>
          <w:numId w:val="4"/>
        </w:numPr>
        <w:spacing w:line="360" w:lineRule="auto"/>
        <w:ind w:left="284" w:hanging="284"/>
        <w:jc w:val="both"/>
        <w:rPr>
          <w:rFonts w:ascii="Palatino Linotype" w:hAnsi="Palatino Linotype"/>
          <w:b/>
          <w:i/>
          <w:szCs w:val="22"/>
        </w:rPr>
      </w:pPr>
      <w:r w:rsidRPr="00765E19">
        <w:rPr>
          <w:rFonts w:ascii="Palatino Linotype" w:hAnsi="Palatino Linotype"/>
          <w:szCs w:val="22"/>
        </w:rPr>
        <w:t>Asimismo, adjuntó</w:t>
      </w:r>
      <w:r w:rsidR="00DF0DF7" w:rsidRPr="00765E19">
        <w:rPr>
          <w:rFonts w:ascii="Palatino Linotype" w:hAnsi="Palatino Linotype"/>
          <w:szCs w:val="22"/>
        </w:rPr>
        <w:t xml:space="preserve"> </w:t>
      </w:r>
      <w:r w:rsidR="00D9532B" w:rsidRPr="00765E19">
        <w:rPr>
          <w:rFonts w:ascii="Palatino Linotype" w:hAnsi="Palatino Linotype"/>
          <w:szCs w:val="22"/>
        </w:rPr>
        <w:t>el</w:t>
      </w:r>
      <w:r w:rsidR="00C47CDC" w:rsidRPr="00765E19">
        <w:rPr>
          <w:rFonts w:ascii="Palatino Linotype" w:hAnsi="Palatino Linotype"/>
          <w:szCs w:val="22"/>
        </w:rPr>
        <w:t xml:space="preserve"> archivo electrónico siguiente:</w:t>
      </w:r>
    </w:p>
    <w:p w14:paraId="1CB2B270" w14:textId="7BA875F0" w:rsidR="00C47CDC" w:rsidRPr="00765E19" w:rsidRDefault="00C54922" w:rsidP="00161E95">
      <w:pPr>
        <w:pStyle w:val="Prrafodelista"/>
        <w:numPr>
          <w:ilvl w:val="0"/>
          <w:numId w:val="16"/>
        </w:numPr>
        <w:spacing w:line="360" w:lineRule="auto"/>
        <w:ind w:left="709"/>
        <w:jc w:val="both"/>
        <w:rPr>
          <w:rFonts w:ascii="Palatino Linotype" w:hAnsi="Palatino Linotype"/>
          <w:b/>
          <w:i/>
          <w:szCs w:val="22"/>
        </w:rPr>
      </w:pPr>
      <w:r w:rsidRPr="00765E19">
        <w:rPr>
          <w:rFonts w:ascii="Palatino Linotype" w:hAnsi="Palatino Linotype"/>
          <w:b/>
          <w:i/>
          <w:szCs w:val="22"/>
        </w:rPr>
        <w:t>“</w:t>
      </w:r>
      <w:r w:rsidR="00D9532B" w:rsidRPr="00765E19">
        <w:rPr>
          <w:rFonts w:ascii="Palatino Linotype" w:hAnsi="Palatino Linotype"/>
          <w:b/>
          <w:i/>
          <w:szCs w:val="22"/>
        </w:rPr>
        <w:t>2018_04_19_16_36_16.pdf</w:t>
      </w:r>
      <w:r w:rsidRPr="00765E19">
        <w:rPr>
          <w:rFonts w:ascii="Palatino Linotype" w:hAnsi="Palatino Linotype"/>
          <w:b/>
          <w:i/>
          <w:szCs w:val="22"/>
        </w:rPr>
        <w:t>”:</w:t>
      </w:r>
      <w:r w:rsidRPr="00765E19">
        <w:rPr>
          <w:rFonts w:ascii="Palatino Linotype" w:hAnsi="Palatino Linotype"/>
          <w:szCs w:val="22"/>
        </w:rPr>
        <w:t xml:space="preserve"> Mismo que resulta ser</w:t>
      </w:r>
      <w:r w:rsidR="00651380" w:rsidRPr="00765E19">
        <w:rPr>
          <w:rFonts w:ascii="Palatino Linotype" w:hAnsi="Palatino Linotype"/>
          <w:szCs w:val="22"/>
        </w:rPr>
        <w:t xml:space="preserve"> un archivo en formato PDF, el cual muestra en dos páginas la tabla de remuneraciones del personal adscrito al </w:t>
      </w:r>
      <w:r w:rsidR="00EE5F95" w:rsidRPr="00765E19">
        <w:rPr>
          <w:rFonts w:ascii="Palatino Linotype" w:hAnsi="Palatino Linotype"/>
          <w:szCs w:val="22"/>
        </w:rPr>
        <w:t>Sistema</w:t>
      </w:r>
      <w:r w:rsidR="00651380" w:rsidRPr="00765E19">
        <w:rPr>
          <w:rFonts w:ascii="Palatino Linotype" w:hAnsi="Palatino Linotype"/>
          <w:szCs w:val="22"/>
        </w:rPr>
        <w:t xml:space="preserve"> Municipal para el Desarrollo Integral de la Familia de </w:t>
      </w:r>
      <w:proofErr w:type="spellStart"/>
      <w:r w:rsidR="00651380" w:rsidRPr="00765E19">
        <w:rPr>
          <w:rFonts w:ascii="Palatino Linotype" w:hAnsi="Palatino Linotype"/>
          <w:szCs w:val="22"/>
        </w:rPr>
        <w:t>Cocotitlán</w:t>
      </w:r>
      <w:proofErr w:type="spellEnd"/>
      <w:r w:rsidR="00651380" w:rsidRPr="00765E19">
        <w:rPr>
          <w:rFonts w:ascii="Palatino Linotype" w:hAnsi="Palatino Linotype"/>
          <w:szCs w:val="22"/>
        </w:rPr>
        <w:t>.</w:t>
      </w:r>
    </w:p>
    <w:p w14:paraId="05A229A2" w14:textId="4D8D1B81" w:rsidR="00161E95" w:rsidRPr="00765E19" w:rsidRDefault="00161E95" w:rsidP="00D9532B">
      <w:pPr>
        <w:spacing w:line="360" w:lineRule="auto"/>
        <w:jc w:val="both"/>
        <w:rPr>
          <w:rFonts w:ascii="Palatino Linotype" w:hAnsi="Palatino Linotype"/>
          <w:b/>
          <w:i/>
          <w:szCs w:val="22"/>
        </w:rPr>
      </w:pPr>
    </w:p>
    <w:p w14:paraId="272B63B3" w14:textId="0E71E251" w:rsidR="000D5A1D" w:rsidRPr="00765E19" w:rsidRDefault="00DB4BEF" w:rsidP="00997C2A">
      <w:pPr>
        <w:pStyle w:val="Prrafodelista"/>
        <w:numPr>
          <w:ilvl w:val="0"/>
          <w:numId w:val="4"/>
        </w:numPr>
        <w:spacing w:line="360" w:lineRule="auto"/>
        <w:ind w:left="284" w:hanging="284"/>
        <w:jc w:val="both"/>
        <w:rPr>
          <w:rFonts w:ascii="Palatino Linotype" w:hAnsi="Palatino Linotype"/>
          <w:b/>
          <w:i/>
          <w:szCs w:val="22"/>
        </w:rPr>
      </w:pPr>
      <w:r w:rsidRPr="00765E19">
        <w:rPr>
          <w:rFonts w:ascii="Palatino Linotype" w:eastAsia="Times New Roman" w:hAnsi="Palatino Linotype" w:cs="Arial"/>
          <w:lang w:val="es-ES"/>
        </w:rPr>
        <w:t xml:space="preserve">El </w:t>
      </w:r>
      <w:r w:rsidR="00651380" w:rsidRPr="00765E19">
        <w:rPr>
          <w:rFonts w:ascii="Palatino Linotype" w:eastAsia="Times New Roman" w:hAnsi="Palatino Linotype" w:cs="Arial"/>
          <w:lang w:val="es-ES"/>
        </w:rPr>
        <w:t>veinticuatro</w:t>
      </w:r>
      <w:r w:rsidR="001E3F91" w:rsidRPr="00765E19">
        <w:rPr>
          <w:rFonts w:ascii="Palatino Linotype" w:eastAsia="Times New Roman" w:hAnsi="Palatino Linotype" w:cs="Arial"/>
          <w:lang w:val="es-ES"/>
        </w:rPr>
        <w:t xml:space="preserve"> </w:t>
      </w:r>
      <w:r w:rsidR="00D85885" w:rsidRPr="00765E19">
        <w:rPr>
          <w:rFonts w:ascii="Palatino Linotype" w:eastAsia="Times New Roman" w:hAnsi="Palatino Linotype" w:cs="Arial"/>
          <w:lang w:val="es-ES"/>
        </w:rPr>
        <w:t>(</w:t>
      </w:r>
      <w:r w:rsidR="00DF0DF7" w:rsidRPr="00765E19">
        <w:rPr>
          <w:rFonts w:ascii="Palatino Linotype" w:eastAsia="Times New Roman" w:hAnsi="Palatino Linotype" w:cs="Arial"/>
          <w:lang w:val="es-ES"/>
        </w:rPr>
        <w:t>2</w:t>
      </w:r>
      <w:r w:rsidR="00651380" w:rsidRPr="00765E19">
        <w:rPr>
          <w:rFonts w:ascii="Palatino Linotype" w:eastAsia="Times New Roman" w:hAnsi="Palatino Linotype" w:cs="Arial"/>
          <w:lang w:val="es-ES"/>
        </w:rPr>
        <w:t>4</w:t>
      </w:r>
      <w:r w:rsidR="00D85885" w:rsidRPr="00765E19">
        <w:rPr>
          <w:rFonts w:ascii="Palatino Linotype" w:eastAsia="Times New Roman" w:hAnsi="Palatino Linotype" w:cs="Arial"/>
          <w:lang w:val="es-ES"/>
        </w:rPr>
        <w:t xml:space="preserve">) </w:t>
      </w:r>
      <w:r w:rsidR="00FE49E3" w:rsidRPr="00765E19">
        <w:rPr>
          <w:rFonts w:ascii="Palatino Linotype" w:eastAsia="Times New Roman" w:hAnsi="Palatino Linotype" w:cs="Arial"/>
          <w:lang w:val="es-ES"/>
        </w:rPr>
        <w:t xml:space="preserve">de </w:t>
      </w:r>
      <w:r w:rsidR="00DF0DF7" w:rsidRPr="00765E19">
        <w:rPr>
          <w:rFonts w:ascii="Palatino Linotype" w:eastAsia="Times New Roman" w:hAnsi="Palatino Linotype" w:cs="Arial"/>
          <w:lang w:val="es-ES"/>
        </w:rPr>
        <w:t>abril</w:t>
      </w:r>
      <w:r w:rsidR="00464CB6" w:rsidRPr="00765E19">
        <w:rPr>
          <w:rFonts w:ascii="Palatino Linotype" w:eastAsia="Times New Roman" w:hAnsi="Palatino Linotype" w:cs="Arial"/>
          <w:lang w:val="es-ES"/>
        </w:rPr>
        <w:t xml:space="preserve"> </w:t>
      </w:r>
      <w:r w:rsidRPr="00765E19">
        <w:rPr>
          <w:rFonts w:ascii="Palatino Linotype" w:eastAsia="Times New Roman" w:hAnsi="Palatino Linotype" w:cs="Arial"/>
          <w:lang w:val="es-ES"/>
        </w:rPr>
        <w:t xml:space="preserve">de dos mil </w:t>
      </w:r>
      <w:r w:rsidR="00DF0DF7" w:rsidRPr="00765E19">
        <w:rPr>
          <w:rFonts w:ascii="Palatino Linotype" w:eastAsia="Times New Roman" w:hAnsi="Palatino Linotype" w:cs="Arial"/>
          <w:lang w:val="es-ES"/>
        </w:rPr>
        <w:t>dieciocho</w:t>
      </w:r>
      <w:r w:rsidR="00FE49E3" w:rsidRPr="00765E19">
        <w:rPr>
          <w:rFonts w:ascii="Palatino Linotype" w:eastAsia="Times New Roman" w:hAnsi="Palatino Linotype" w:cs="Arial"/>
          <w:lang w:val="es-ES"/>
        </w:rPr>
        <w:t xml:space="preserve">, </w:t>
      </w:r>
      <w:r w:rsidR="009316E9" w:rsidRPr="00765E19">
        <w:rPr>
          <w:rFonts w:ascii="Palatino Linotype" w:eastAsia="Times New Roman" w:hAnsi="Palatino Linotype" w:cs="Arial"/>
          <w:lang w:val="es-ES"/>
        </w:rPr>
        <w:t xml:space="preserve">estando en tiempo y </w:t>
      </w:r>
      <w:r w:rsidR="00852B26" w:rsidRPr="001F4B1F">
        <w:rPr>
          <w:rFonts w:ascii="Palatino Linotype" w:eastAsia="Times New Roman" w:hAnsi="Palatino Linotype" w:cs="Arial"/>
          <w:highlight w:val="black"/>
          <w:lang w:val="es-ES"/>
        </w:rPr>
        <w:t>forma</w:t>
      </w:r>
      <w:r w:rsidR="00843908" w:rsidRPr="001F4B1F">
        <w:rPr>
          <w:rFonts w:ascii="Palatino Linotype" w:eastAsia="Times New Roman" w:hAnsi="Palatino Linotype" w:cs="Arial"/>
          <w:highlight w:val="black"/>
          <w:lang w:val="es-ES"/>
        </w:rPr>
        <w:t xml:space="preserve"> </w:t>
      </w:r>
      <w:r w:rsidR="001F4B1F" w:rsidRPr="001F4B1F">
        <w:rPr>
          <w:rFonts w:ascii="Palatino Linotype" w:eastAsia="Times New Roman" w:hAnsi="Palatino Linotype" w:cs="Arial"/>
          <w:b/>
          <w:highlight w:val="black"/>
          <w:lang w:val="es-ES"/>
        </w:rPr>
        <w:t>---------------------------------------</w:t>
      </w:r>
      <w:r w:rsidRPr="00765E19">
        <w:rPr>
          <w:rFonts w:ascii="Palatino Linotype" w:eastAsia="Times New Roman" w:hAnsi="Palatino Linotype" w:cs="Arial"/>
          <w:b/>
          <w:lang w:val="es-ES"/>
        </w:rPr>
        <w:t>,</w:t>
      </w:r>
      <w:r w:rsidRPr="00765E19">
        <w:rPr>
          <w:rFonts w:ascii="Palatino Linotype" w:eastAsia="Times New Roman" w:hAnsi="Palatino Linotype" w:cs="Arial"/>
          <w:lang w:val="es-ES"/>
        </w:rPr>
        <w:t xml:space="preserve"> interpuso</w:t>
      </w:r>
      <w:r w:rsidR="009316E9" w:rsidRPr="00765E19">
        <w:rPr>
          <w:rFonts w:ascii="Palatino Linotype" w:eastAsia="Times New Roman" w:hAnsi="Palatino Linotype" w:cs="Arial"/>
          <w:lang w:val="es-ES"/>
        </w:rPr>
        <w:t xml:space="preserve"> </w:t>
      </w:r>
      <w:r w:rsidR="00102D65" w:rsidRPr="00765E19">
        <w:rPr>
          <w:rFonts w:ascii="Palatino Linotype" w:eastAsia="Times New Roman" w:hAnsi="Palatino Linotype" w:cs="Arial"/>
          <w:lang w:val="es-ES"/>
        </w:rPr>
        <w:t>el</w:t>
      </w:r>
      <w:r w:rsidR="004D68F8" w:rsidRPr="00765E19">
        <w:rPr>
          <w:rFonts w:ascii="Palatino Linotype" w:eastAsia="Times New Roman" w:hAnsi="Palatino Linotype" w:cs="Arial"/>
          <w:lang w:val="es-ES"/>
        </w:rPr>
        <w:t xml:space="preserve"> recurso de revisión </w:t>
      </w:r>
      <w:r w:rsidR="00651380" w:rsidRPr="00765E19">
        <w:rPr>
          <w:rFonts w:ascii="Palatino Linotype" w:eastAsia="Calibri" w:hAnsi="Palatino Linotype" w:cs="Arial"/>
          <w:b/>
          <w:lang w:val="es-ES"/>
        </w:rPr>
        <w:t>01168</w:t>
      </w:r>
      <w:r w:rsidR="00C47CDC" w:rsidRPr="00765E19">
        <w:rPr>
          <w:rFonts w:ascii="Palatino Linotype" w:eastAsia="Calibri" w:hAnsi="Palatino Linotype" w:cs="Arial"/>
          <w:b/>
          <w:lang w:val="es-ES"/>
        </w:rPr>
        <w:t>/INFOEM/IP/RR/201</w:t>
      </w:r>
      <w:r w:rsidR="00DF0DF7" w:rsidRPr="00765E19">
        <w:rPr>
          <w:rFonts w:ascii="Palatino Linotype" w:eastAsia="Calibri" w:hAnsi="Palatino Linotype" w:cs="Arial"/>
          <w:b/>
          <w:lang w:val="es-ES"/>
        </w:rPr>
        <w:t>8</w:t>
      </w:r>
      <w:r w:rsidR="009A0461" w:rsidRPr="00765E19">
        <w:rPr>
          <w:rFonts w:ascii="Palatino Linotype" w:eastAsia="Calibri" w:hAnsi="Palatino Linotype" w:cs="Arial"/>
          <w:b/>
          <w:lang w:val="es-ES"/>
        </w:rPr>
        <w:t>;</w:t>
      </w:r>
      <w:r w:rsidR="00102D65" w:rsidRPr="00765E19">
        <w:rPr>
          <w:rFonts w:ascii="Palatino Linotype" w:eastAsia="Times New Roman" w:hAnsi="Palatino Linotype" w:cs="Arial"/>
          <w:lang w:val="es-ES"/>
        </w:rPr>
        <w:t xml:space="preserve"> impugnación</w:t>
      </w:r>
      <w:r w:rsidR="004D68F8" w:rsidRPr="00765E19">
        <w:rPr>
          <w:rFonts w:ascii="Palatino Linotype" w:eastAsia="Times New Roman" w:hAnsi="Palatino Linotype" w:cs="Arial"/>
          <w:lang w:val="es-ES"/>
        </w:rPr>
        <w:t xml:space="preserve"> </w:t>
      </w:r>
      <w:r w:rsidR="00A45546" w:rsidRPr="00765E19">
        <w:rPr>
          <w:rFonts w:ascii="Palatino Linotype" w:eastAsia="Times New Roman" w:hAnsi="Palatino Linotype" w:cs="Arial"/>
          <w:lang w:val="es-ES"/>
        </w:rPr>
        <w:t xml:space="preserve">en </w:t>
      </w:r>
      <w:r w:rsidR="00977D37" w:rsidRPr="00765E19">
        <w:rPr>
          <w:rFonts w:ascii="Palatino Linotype" w:eastAsia="Times New Roman" w:hAnsi="Palatino Linotype" w:cs="Arial"/>
          <w:lang w:val="es-ES"/>
        </w:rPr>
        <w:t>la</w:t>
      </w:r>
      <w:r w:rsidR="00A45546" w:rsidRPr="00765E19">
        <w:rPr>
          <w:rFonts w:ascii="Palatino Linotype" w:eastAsia="Times New Roman" w:hAnsi="Palatino Linotype" w:cs="Arial"/>
          <w:lang w:val="es-ES"/>
        </w:rPr>
        <w:t xml:space="preserve"> que refirió </w:t>
      </w:r>
      <w:r w:rsidR="004D68F8" w:rsidRPr="00765E19">
        <w:rPr>
          <w:rFonts w:ascii="Palatino Linotype" w:eastAsia="Times New Roman" w:hAnsi="Palatino Linotype" w:cs="Arial"/>
          <w:lang w:val="es-ES"/>
        </w:rPr>
        <w:t>lo siguiente:</w:t>
      </w:r>
    </w:p>
    <w:p w14:paraId="2183E167" w14:textId="77777777" w:rsidR="00C50A2B" w:rsidRPr="00765E19" w:rsidRDefault="00C50A2B" w:rsidP="00C50A2B">
      <w:pPr>
        <w:pStyle w:val="Prrafodelista"/>
        <w:spacing w:line="360" w:lineRule="auto"/>
        <w:ind w:left="284"/>
        <w:jc w:val="both"/>
        <w:rPr>
          <w:rFonts w:ascii="Palatino Linotype" w:hAnsi="Palatino Linotype"/>
          <w:b/>
          <w:i/>
          <w:szCs w:val="22"/>
        </w:rPr>
      </w:pPr>
    </w:p>
    <w:p w14:paraId="72214A49" w14:textId="61317AF1" w:rsidR="000D5A1D" w:rsidRPr="00765E19" w:rsidRDefault="00A51F40" w:rsidP="00977D37">
      <w:pPr>
        <w:tabs>
          <w:tab w:val="left" w:pos="567"/>
        </w:tabs>
        <w:spacing w:line="360" w:lineRule="auto"/>
        <w:ind w:left="709" w:hanging="425"/>
        <w:jc w:val="both"/>
        <w:rPr>
          <w:rFonts w:ascii="Palatino Linotype" w:hAnsi="Palatino Linotype"/>
          <w:b/>
          <w:i/>
          <w:sz w:val="22"/>
          <w:szCs w:val="22"/>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847170"/>
      <w:bookmarkStart w:id="25" w:name="_Toc516484334"/>
      <w:r w:rsidRPr="00765E19">
        <w:rPr>
          <w:rStyle w:val="Ttulo2Car"/>
          <w:rFonts w:ascii="Palatino Linotype" w:hAnsi="Palatino Linotype"/>
          <w:b/>
          <w:color w:val="auto"/>
          <w:sz w:val="24"/>
          <w:lang w:val="es-ES"/>
        </w:rPr>
        <w:lastRenderedPageBreak/>
        <w:t xml:space="preserve">a) </w:t>
      </w:r>
      <w:r w:rsidR="009E4942" w:rsidRPr="00765E19">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765E19">
        <w:rPr>
          <w:rStyle w:val="Ttulo2Car"/>
          <w:rFonts w:ascii="Palatino Linotype" w:hAnsi="Palatino Linotype"/>
          <w:b/>
          <w:color w:val="auto"/>
          <w:sz w:val="24"/>
          <w:lang w:val="es-ES"/>
        </w:rPr>
        <w:t xml:space="preserve"> </w:t>
      </w:r>
      <w:bookmarkStart w:id="26" w:name="_Toc461555886"/>
      <w:bookmarkStart w:id="27" w:name="_Toc465264613"/>
      <w:bookmarkStart w:id="28" w:name="_Toc465264858"/>
      <w:bookmarkStart w:id="29" w:name="_Toc465266509"/>
      <w:bookmarkStart w:id="30" w:name="_Toc466302241"/>
      <w:bookmarkStart w:id="31" w:name="_Toc466371849"/>
      <w:bookmarkStart w:id="32" w:name="_Toc466371908"/>
      <w:bookmarkStart w:id="33" w:name="_Toc466377638"/>
      <w:r w:rsidR="001E3F91" w:rsidRPr="00765E19">
        <w:rPr>
          <w:rStyle w:val="Ttulo2Car"/>
          <w:rFonts w:ascii="Palatino Linotype" w:hAnsi="Palatino Linotype"/>
          <w:i/>
          <w:color w:val="auto"/>
          <w:sz w:val="24"/>
          <w:szCs w:val="24"/>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651380" w:rsidRPr="00765E19">
        <w:t xml:space="preserve"> </w:t>
      </w:r>
      <w:r w:rsidR="00651380" w:rsidRPr="00765E19">
        <w:rPr>
          <w:rStyle w:val="Ttulo2Car"/>
          <w:rFonts w:ascii="Palatino Linotype" w:hAnsi="Palatino Linotype"/>
          <w:i/>
          <w:color w:val="auto"/>
          <w:sz w:val="24"/>
          <w:szCs w:val="24"/>
          <w:lang w:val="es-ES"/>
        </w:rPr>
        <w:t xml:space="preserve">El documento adjunto, carece de sellos y firmas, por lo que solicite se adjunte de esta manera con firmas de los responsables de general la </w:t>
      </w:r>
      <w:proofErr w:type="spellStart"/>
      <w:r w:rsidR="00651380" w:rsidRPr="00765E19">
        <w:rPr>
          <w:rStyle w:val="Ttulo2Car"/>
          <w:rFonts w:ascii="Palatino Linotype" w:hAnsi="Palatino Linotype"/>
          <w:i/>
          <w:color w:val="auto"/>
          <w:sz w:val="24"/>
          <w:szCs w:val="24"/>
          <w:lang w:val="es-ES"/>
        </w:rPr>
        <w:t>informacion</w:t>
      </w:r>
      <w:proofErr w:type="spellEnd"/>
      <w:r w:rsidR="00651380" w:rsidRPr="00765E19">
        <w:rPr>
          <w:rStyle w:val="Ttulo2Car"/>
          <w:rFonts w:ascii="Palatino Linotype" w:hAnsi="Palatino Linotype"/>
          <w:i/>
          <w:color w:val="auto"/>
          <w:sz w:val="24"/>
          <w:szCs w:val="24"/>
          <w:lang w:val="es-ES"/>
        </w:rPr>
        <w:t xml:space="preserve">, </w:t>
      </w:r>
      <w:proofErr w:type="spellStart"/>
      <w:r w:rsidR="00651380" w:rsidRPr="00765E19">
        <w:rPr>
          <w:rStyle w:val="Ttulo2Car"/>
          <w:rFonts w:ascii="Palatino Linotype" w:hAnsi="Palatino Linotype"/>
          <w:i/>
          <w:color w:val="auto"/>
          <w:sz w:val="24"/>
          <w:szCs w:val="24"/>
          <w:lang w:val="es-ES"/>
        </w:rPr>
        <w:t>asi</w:t>
      </w:r>
      <w:proofErr w:type="spellEnd"/>
      <w:r w:rsidR="00651380" w:rsidRPr="00765E19">
        <w:rPr>
          <w:rStyle w:val="Ttulo2Car"/>
          <w:rFonts w:ascii="Palatino Linotype" w:hAnsi="Palatino Linotype"/>
          <w:i/>
          <w:color w:val="auto"/>
          <w:sz w:val="24"/>
          <w:szCs w:val="24"/>
          <w:lang w:val="es-ES"/>
        </w:rPr>
        <w:t xml:space="preserve"> mismo se publiquen dentro del portal de </w:t>
      </w:r>
      <w:proofErr w:type="spellStart"/>
      <w:r w:rsidR="00651380" w:rsidRPr="00765E19">
        <w:rPr>
          <w:rStyle w:val="Ttulo2Car"/>
          <w:rFonts w:ascii="Palatino Linotype" w:hAnsi="Palatino Linotype"/>
          <w:i/>
          <w:color w:val="auto"/>
          <w:sz w:val="24"/>
          <w:szCs w:val="24"/>
          <w:lang w:val="es-ES"/>
        </w:rPr>
        <w:t>ipomex</w:t>
      </w:r>
      <w:proofErr w:type="spellEnd"/>
      <w:r w:rsidR="00651380" w:rsidRPr="00765E19">
        <w:rPr>
          <w:rStyle w:val="Ttulo2Car"/>
          <w:rFonts w:ascii="Palatino Linotype" w:hAnsi="Palatino Linotype"/>
          <w:i/>
          <w:color w:val="auto"/>
          <w:sz w:val="24"/>
          <w:szCs w:val="24"/>
          <w:lang w:val="es-ES"/>
        </w:rPr>
        <w:t xml:space="preserve"> como marca el inciso, REMUNERACIONES DE SERVIDORES PUBLICOS</w:t>
      </w:r>
      <w:r w:rsidR="009E4942" w:rsidRPr="00765E19">
        <w:rPr>
          <w:rFonts w:ascii="Palatino Linotype" w:eastAsia="Calibri" w:hAnsi="Palatino Linotype" w:cs="Arial"/>
          <w:i/>
          <w:lang w:val="es-ES"/>
        </w:rPr>
        <w:t>”</w:t>
      </w:r>
      <w:r w:rsidR="003A730E" w:rsidRPr="00765E19">
        <w:rPr>
          <w:rFonts w:ascii="Palatino Linotype" w:eastAsia="Calibri" w:hAnsi="Palatino Linotype" w:cs="Arial"/>
          <w:i/>
          <w:sz w:val="22"/>
          <w:szCs w:val="22"/>
          <w:lang w:val="es-ES"/>
        </w:rPr>
        <w:t xml:space="preserve"> </w:t>
      </w:r>
      <w:r w:rsidR="009E4942" w:rsidRPr="00765E19">
        <w:rPr>
          <w:rFonts w:ascii="Palatino Linotype" w:eastAsia="Calibri" w:hAnsi="Palatino Linotype" w:cs="Arial"/>
          <w:sz w:val="22"/>
          <w:szCs w:val="22"/>
          <w:lang w:val="es-ES"/>
        </w:rPr>
        <w:t xml:space="preserve">(Sic); </w:t>
      </w:r>
    </w:p>
    <w:p w14:paraId="070C6DE9" w14:textId="77777777" w:rsidR="000D5A1D" w:rsidRPr="00765E19"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018BC191" w:rsidR="00FE49E3" w:rsidRPr="00765E19" w:rsidRDefault="009E4942" w:rsidP="00651380">
      <w:pPr>
        <w:pStyle w:val="Prrafodelista"/>
        <w:numPr>
          <w:ilvl w:val="0"/>
          <w:numId w:val="2"/>
        </w:numPr>
        <w:spacing w:line="360" w:lineRule="auto"/>
        <w:jc w:val="both"/>
        <w:rPr>
          <w:rFonts w:ascii="Palatino Linotype" w:hAnsi="Palatino Linotype"/>
          <w:b/>
          <w:i/>
          <w:szCs w:val="22"/>
        </w:rPr>
      </w:pPr>
      <w:bookmarkStart w:id="34" w:name="_Toc461555887"/>
      <w:bookmarkStart w:id="35" w:name="_Toc465264614"/>
      <w:bookmarkStart w:id="36" w:name="_Toc465264859"/>
      <w:bookmarkStart w:id="37" w:name="_Toc465266510"/>
      <w:bookmarkStart w:id="38" w:name="_Toc466302242"/>
      <w:bookmarkStart w:id="39" w:name="_Toc466371850"/>
      <w:bookmarkStart w:id="40" w:name="_Toc466371909"/>
      <w:bookmarkStart w:id="41" w:name="_Toc466377639"/>
      <w:bookmarkStart w:id="42" w:name="_Toc475619391"/>
      <w:bookmarkStart w:id="43" w:name="_Toc476048183"/>
      <w:bookmarkStart w:id="44" w:name="_Toc476071562"/>
      <w:bookmarkStart w:id="45" w:name="_Toc491370293"/>
      <w:bookmarkStart w:id="46" w:name="_Toc491971187"/>
      <w:bookmarkStart w:id="47" w:name="_Toc495570292"/>
      <w:bookmarkStart w:id="48" w:name="_Toc495570361"/>
      <w:bookmarkStart w:id="49" w:name="_Toc496099780"/>
      <w:bookmarkStart w:id="50" w:name="_Toc496100156"/>
      <w:bookmarkStart w:id="51" w:name="_Toc499756970"/>
      <w:bookmarkStart w:id="52" w:name="_Toc499757013"/>
      <w:bookmarkStart w:id="53" w:name="_Toc500245730"/>
      <w:bookmarkStart w:id="54" w:name="_Toc500353777"/>
      <w:bookmarkStart w:id="55" w:name="_Toc500847171"/>
      <w:bookmarkStart w:id="56" w:name="_Toc516484335"/>
      <w:r w:rsidRPr="00765E19">
        <w:rPr>
          <w:rStyle w:val="Ttulo2Car"/>
          <w:rFonts w:ascii="Palatino Linotype" w:hAnsi="Palatino Linotype"/>
          <w:b/>
          <w:color w:val="auto"/>
          <w:sz w:val="24"/>
          <w:lang w:val="es-ES"/>
        </w:rPr>
        <w:t>Razones o Motivos de inconformidad:</w:t>
      </w:r>
      <w:bookmarkEnd w:id="34"/>
      <w:bookmarkEnd w:id="35"/>
      <w:bookmarkEnd w:id="36"/>
      <w:bookmarkEnd w:id="37"/>
      <w:bookmarkEnd w:id="38"/>
      <w:bookmarkEnd w:id="39"/>
      <w:bookmarkEnd w:id="40"/>
      <w:bookmarkEnd w:id="41"/>
      <w:r w:rsidR="000631D9" w:rsidRPr="00765E19">
        <w:rPr>
          <w:rStyle w:val="Ttulo2Car"/>
          <w:rFonts w:ascii="Palatino Linotype" w:hAnsi="Palatino Linotype"/>
          <w:b/>
          <w:color w:val="auto"/>
          <w:sz w:val="24"/>
          <w:lang w:val="es-ES"/>
        </w:rPr>
        <w:t xml:space="preserve"> </w:t>
      </w:r>
      <w:bookmarkStart w:id="57" w:name="_Toc461555888"/>
      <w:bookmarkStart w:id="58" w:name="_Toc465264615"/>
      <w:bookmarkStart w:id="59" w:name="_Toc465264860"/>
      <w:bookmarkStart w:id="60" w:name="_Toc465266511"/>
      <w:bookmarkStart w:id="61" w:name="_Toc466302243"/>
      <w:bookmarkStart w:id="62" w:name="_Toc466371851"/>
      <w:bookmarkStart w:id="63" w:name="_Toc466371910"/>
      <w:bookmarkStart w:id="64" w:name="_Toc466377640"/>
      <w:r w:rsidR="000631D9" w:rsidRPr="00765E19">
        <w:rPr>
          <w:rStyle w:val="Ttulo2Car"/>
          <w:rFonts w:ascii="Palatino Linotype" w:hAnsi="Palatino Linotype"/>
          <w:i/>
          <w:color w:val="auto"/>
          <w:sz w:val="24"/>
          <w:lang w:val="es-ES"/>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7"/>
      <w:bookmarkEnd w:id="58"/>
      <w:bookmarkEnd w:id="59"/>
      <w:bookmarkEnd w:id="60"/>
      <w:bookmarkEnd w:id="61"/>
      <w:bookmarkEnd w:id="62"/>
      <w:bookmarkEnd w:id="63"/>
      <w:bookmarkEnd w:id="64"/>
      <w:r w:rsidR="00651380" w:rsidRPr="00765E19">
        <w:rPr>
          <w:rStyle w:val="Ttulo2Car"/>
          <w:rFonts w:ascii="Palatino Linotype" w:hAnsi="Palatino Linotype"/>
          <w:i/>
          <w:color w:val="auto"/>
          <w:sz w:val="24"/>
          <w:lang w:val="es-ES"/>
        </w:rPr>
        <w:t xml:space="preserve">Dentro de la cuneta publica </w:t>
      </w:r>
      <w:proofErr w:type="spellStart"/>
      <w:r w:rsidR="00651380" w:rsidRPr="00765E19">
        <w:rPr>
          <w:rStyle w:val="Ttulo2Car"/>
          <w:rFonts w:ascii="Palatino Linotype" w:hAnsi="Palatino Linotype"/>
          <w:i/>
          <w:color w:val="auto"/>
          <w:sz w:val="24"/>
          <w:lang w:val="es-ES"/>
        </w:rPr>
        <w:t>exixte</w:t>
      </w:r>
      <w:proofErr w:type="spellEnd"/>
      <w:r w:rsidR="00651380" w:rsidRPr="00765E19">
        <w:rPr>
          <w:rStyle w:val="Ttulo2Car"/>
          <w:rFonts w:ascii="Palatino Linotype" w:hAnsi="Palatino Linotype"/>
          <w:i/>
          <w:color w:val="auto"/>
          <w:sz w:val="24"/>
          <w:lang w:val="es-ES"/>
        </w:rPr>
        <w:t xml:space="preserve"> un monto por </w:t>
      </w:r>
      <w:proofErr w:type="spellStart"/>
      <w:r w:rsidR="00651380" w:rsidRPr="00765E19">
        <w:rPr>
          <w:rStyle w:val="Ttulo2Car"/>
          <w:rFonts w:ascii="Palatino Linotype" w:hAnsi="Palatino Linotype"/>
          <w:i/>
          <w:color w:val="auto"/>
          <w:sz w:val="24"/>
          <w:lang w:val="es-ES"/>
        </w:rPr>
        <w:t>condceprto</w:t>
      </w:r>
      <w:proofErr w:type="spellEnd"/>
      <w:r w:rsidR="00651380" w:rsidRPr="00765E19">
        <w:rPr>
          <w:rStyle w:val="Ttulo2Car"/>
          <w:rFonts w:ascii="Palatino Linotype" w:hAnsi="Palatino Linotype"/>
          <w:i/>
          <w:color w:val="auto"/>
          <w:sz w:val="24"/>
          <w:lang w:val="es-ES"/>
        </w:rPr>
        <w:t xml:space="preserve"> de </w:t>
      </w:r>
      <w:proofErr w:type="spellStart"/>
      <w:r w:rsidR="00651380" w:rsidRPr="00765E19">
        <w:rPr>
          <w:rStyle w:val="Ttulo2Car"/>
          <w:rFonts w:ascii="Palatino Linotype" w:hAnsi="Palatino Linotype"/>
          <w:i/>
          <w:color w:val="auto"/>
          <w:sz w:val="24"/>
          <w:lang w:val="es-ES"/>
        </w:rPr>
        <w:t>suedos</w:t>
      </w:r>
      <w:proofErr w:type="spellEnd"/>
      <w:r w:rsidR="00651380" w:rsidRPr="00765E19">
        <w:rPr>
          <w:rStyle w:val="Ttulo2Car"/>
          <w:rFonts w:ascii="Palatino Linotype" w:hAnsi="Palatino Linotype"/>
          <w:i/>
          <w:color w:val="auto"/>
          <w:sz w:val="24"/>
          <w:lang w:val="es-ES"/>
        </w:rPr>
        <w:t xml:space="preserve"> y </w:t>
      </w:r>
      <w:proofErr w:type="spellStart"/>
      <w:r w:rsidR="00651380" w:rsidRPr="00765E19">
        <w:rPr>
          <w:rStyle w:val="Ttulo2Car"/>
          <w:rFonts w:ascii="Palatino Linotype" w:hAnsi="Palatino Linotype"/>
          <w:i/>
          <w:color w:val="auto"/>
          <w:sz w:val="24"/>
          <w:lang w:val="es-ES"/>
        </w:rPr>
        <w:t>salaracios</w:t>
      </w:r>
      <w:proofErr w:type="spellEnd"/>
      <w:r w:rsidR="00651380" w:rsidRPr="00765E19">
        <w:rPr>
          <w:rStyle w:val="Ttulo2Car"/>
          <w:rFonts w:ascii="Palatino Linotype" w:hAnsi="Palatino Linotype"/>
          <w:i/>
          <w:color w:val="auto"/>
          <w:sz w:val="24"/>
          <w:lang w:val="es-ES"/>
        </w:rPr>
        <w:t xml:space="preserve"> por aproximadamente 4 millones de pesos, </w:t>
      </w:r>
      <w:proofErr w:type="spellStart"/>
      <w:r w:rsidR="00651380" w:rsidRPr="00765E19">
        <w:rPr>
          <w:rStyle w:val="Ttulo2Car"/>
          <w:rFonts w:ascii="Palatino Linotype" w:hAnsi="Palatino Linotype"/>
          <w:i/>
          <w:color w:val="auto"/>
          <w:sz w:val="24"/>
          <w:lang w:val="es-ES"/>
        </w:rPr>
        <w:t>anuales;y</w:t>
      </w:r>
      <w:proofErr w:type="spellEnd"/>
      <w:r w:rsidR="00651380" w:rsidRPr="00765E19">
        <w:rPr>
          <w:rStyle w:val="Ttulo2Car"/>
          <w:rFonts w:ascii="Palatino Linotype" w:hAnsi="Palatino Linotype"/>
          <w:i/>
          <w:color w:val="auto"/>
          <w:sz w:val="24"/>
          <w:lang w:val="es-ES"/>
        </w:rPr>
        <w:t xml:space="preserve"> el documento que </w:t>
      </w:r>
      <w:proofErr w:type="spellStart"/>
      <w:r w:rsidR="00651380" w:rsidRPr="00765E19">
        <w:rPr>
          <w:rStyle w:val="Ttulo2Car"/>
          <w:rFonts w:ascii="Palatino Linotype" w:hAnsi="Palatino Linotype"/>
          <w:i/>
          <w:color w:val="auto"/>
          <w:sz w:val="24"/>
          <w:lang w:val="es-ES"/>
        </w:rPr>
        <w:t>envian</w:t>
      </w:r>
      <w:proofErr w:type="spellEnd"/>
      <w:r w:rsidR="00651380" w:rsidRPr="00765E19">
        <w:rPr>
          <w:rStyle w:val="Ttulo2Car"/>
          <w:rFonts w:ascii="Palatino Linotype" w:hAnsi="Palatino Linotype"/>
          <w:i/>
          <w:color w:val="auto"/>
          <w:sz w:val="24"/>
          <w:lang w:val="es-ES"/>
        </w:rPr>
        <w:t xml:space="preserve"> es una pago anual por 1 </w:t>
      </w:r>
      <w:proofErr w:type="spellStart"/>
      <w:r w:rsidR="00651380" w:rsidRPr="00765E19">
        <w:rPr>
          <w:rStyle w:val="Ttulo2Car"/>
          <w:rFonts w:ascii="Palatino Linotype" w:hAnsi="Palatino Linotype"/>
          <w:i/>
          <w:color w:val="auto"/>
          <w:sz w:val="24"/>
          <w:lang w:val="es-ES"/>
        </w:rPr>
        <w:t>millon</w:t>
      </w:r>
      <w:proofErr w:type="spellEnd"/>
      <w:r w:rsidR="00651380" w:rsidRPr="00765E19">
        <w:rPr>
          <w:rStyle w:val="Ttulo2Car"/>
          <w:rFonts w:ascii="Palatino Linotype" w:hAnsi="Palatino Linotype"/>
          <w:i/>
          <w:color w:val="auto"/>
          <w:sz w:val="24"/>
          <w:lang w:val="es-ES"/>
        </w:rPr>
        <w:t xml:space="preserve"> 300 mil pesos por lo que no </w:t>
      </w:r>
      <w:proofErr w:type="spellStart"/>
      <w:r w:rsidR="00651380" w:rsidRPr="00765E19">
        <w:rPr>
          <w:rStyle w:val="Ttulo2Car"/>
          <w:rFonts w:ascii="Palatino Linotype" w:hAnsi="Palatino Linotype"/>
          <w:i/>
          <w:color w:val="auto"/>
          <w:sz w:val="24"/>
          <w:lang w:val="es-ES"/>
        </w:rPr>
        <w:t>cresponde</w:t>
      </w:r>
      <w:proofErr w:type="spellEnd"/>
      <w:r w:rsidR="00651380" w:rsidRPr="00765E19">
        <w:rPr>
          <w:rStyle w:val="Ttulo2Car"/>
          <w:rFonts w:ascii="Palatino Linotype" w:hAnsi="Palatino Linotype"/>
          <w:i/>
          <w:color w:val="auto"/>
          <w:sz w:val="24"/>
          <w:lang w:val="es-ES"/>
        </w:rPr>
        <w:t xml:space="preserve"> el gasto</w:t>
      </w:r>
      <w:bookmarkEnd w:id="56"/>
      <w:r w:rsidR="00FE49E3" w:rsidRPr="00765E19">
        <w:rPr>
          <w:rFonts w:ascii="Palatino Linotype" w:hAnsi="Palatino Linotype"/>
          <w:i/>
          <w:szCs w:val="22"/>
        </w:rPr>
        <w:t>”</w:t>
      </w:r>
      <w:r w:rsidR="00FE49E3" w:rsidRPr="00765E19">
        <w:rPr>
          <w:rFonts w:ascii="Palatino Linotype" w:hAnsi="Palatino Linotype"/>
          <w:szCs w:val="22"/>
        </w:rPr>
        <w:t xml:space="preserve"> (Sic)</w:t>
      </w:r>
    </w:p>
    <w:p w14:paraId="010DA04C" w14:textId="77777777" w:rsidR="003F140F" w:rsidRPr="00765E19" w:rsidRDefault="003F140F" w:rsidP="003F140F">
      <w:pPr>
        <w:pStyle w:val="Prrafodelista"/>
        <w:spacing w:line="360" w:lineRule="auto"/>
        <w:jc w:val="both"/>
        <w:rPr>
          <w:rStyle w:val="Ttulo2Car"/>
          <w:rFonts w:ascii="Palatino Linotype" w:hAnsi="Palatino Linotype"/>
          <w:b/>
          <w:color w:val="auto"/>
          <w:sz w:val="24"/>
          <w:lang w:val="es-ES"/>
        </w:rPr>
      </w:pPr>
    </w:p>
    <w:p w14:paraId="7DD2621B" w14:textId="5B039008" w:rsidR="007446C2" w:rsidRPr="00765E19" w:rsidRDefault="00FE49E3" w:rsidP="004C6796">
      <w:pPr>
        <w:pStyle w:val="Prrafodelista"/>
        <w:numPr>
          <w:ilvl w:val="0"/>
          <w:numId w:val="25"/>
        </w:numPr>
        <w:spacing w:before="240" w:after="240" w:line="360" w:lineRule="auto"/>
        <w:jc w:val="both"/>
        <w:rPr>
          <w:rFonts w:ascii="Palatino Linotype" w:eastAsia="Calibri" w:hAnsi="Palatino Linotype" w:cs="Arial"/>
          <w:color w:val="000000" w:themeColor="text1"/>
          <w:lang w:val="es-ES"/>
        </w:rPr>
      </w:pPr>
      <w:r w:rsidRPr="00765E19">
        <w:rPr>
          <w:rFonts w:ascii="Palatino Linotype" w:eastAsia="Calibri" w:hAnsi="Palatino Linotype" w:cs="Arial"/>
          <w:lang w:val="es-ES"/>
        </w:rPr>
        <w:t xml:space="preserve">El </w:t>
      </w:r>
      <w:r w:rsidR="0004686A" w:rsidRPr="00765E1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765E19">
        <w:rPr>
          <w:rFonts w:ascii="Palatino Linotype" w:eastAsia="Calibri" w:hAnsi="Palatino Linotype" w:cs="Arial"/>
          <w:lang w:val="es-ES"/>
        </w:rPr>
        <w:t>del</w:t>
      </w:r>
      <w:r w:rsidR="0004686A" w:rsidRPr="00765E19">
        <w:rPr>
          <w:rFonts w:ascii="Palatino Linotype" w:eastAsia="Calibri" w:hAnsi="Palatino Linotype" w:cs="Arial"/>
          <w:lang w:val="es-ES"/>
        </w:rPr>
        <w:t xml:space="preserve"> </w:t>
      </w:r>
      <w:r w:rsidR="00B81371" w:rsidRPr="00765E19">
        <w:rPr>
          <w:rFonts w:ascii="Palatino Linotype" w:eastAsia="Calibri" w:hAnsi="Palatino Linotype" w:cs="Arial"/>
          <w:lang w:val="es-ES"/>
        </w:rPr>
        <w:t xml:space="preserve">acuerdo </w:t>
      </w:r>
      <w:r w:rsidR="00F147C6" w:rsidRPr="00765E19">
        <w:rPr>
          <w:rFonts w:ascii="Palatino Linotype" w:eastAsia="Calibri" w:hAnsi="Palatino Linotype" w:cs="Arial"/>
          <w:lang w:val="es-ES"/>
        </w:rPr>
        <w:t xml:space="preserve">de admisión </w:t>
      </w:r>
      <w:r w:rsidR="00B81371" w:rsidRPr="00765E19">
        <w:rPr>
          <w:rFonts w:ascii="Palatino Linotype" w:eastAsia="Calibri" w:hAnsi="Palatino Linotype" w:cs="Arial"/>
          <w:lang w:val="es-ES"/>
        </w:rPr>
        <w:t xml:space="preserve">de fecha </w:t>
      </w:r>
      <w:r w:rsidR="00651380" w:rsidRPr="00765E19">
        <w:rPr>
          <w:rFonts w:ascii="Palatino Linotype" w:eastAsia="Calibri" w:hAnsi="Palatino Linotype" w:cs="Arial"/>
          <w:lang w:val="es-ES"/>
        </w:rPr>
        <w:t>treinta</w:t>
      </w:r>
      <w:r w:rsidR="001E3F91" w:rsidRPr="00765E19">
        <w:rPr>
          <w:rFonts w:ascii="Palatino Linotype" w:eastAsia="Calibri" w:hAnsi="Palatino Linotype" w:cs="Arial"/>
          <w:lang w:val="es-ES"/>
        </w:rPr>
        <w:t xml:space="preserve"> </w:t>
      </w:r>
      <w:r w:rsidR="00C862C4" w:rsidRPr="00765E19">
        <w:rPr>
          <w:rFonts w:ascii="Palatino Linotype" w:eastAsia="Calibri" w:hAnsi="Palatino Linotype" w:cs="Arial"/>
          <w:lang w:val="es-ES"/>
        </w:rPr>
        <w:t>(</w:t>
      </w:r>
      <w:r w:rsidR="00651380" w:rsidRPr="00765E19">
        <w:rPr>
          <w:rFonts w:ascii="Palatino Linotype" w:eastAsia="Calibri" w:hAnsi="Palatino Linotype" w:cs="Arial"/>
          <w:lang w:val="es-ES"/>
        </w:rPr>
        <w:t>30</w:t>
      </w:r>
      <w:r w:rsidR="00C862C4" w:rsidRPr="00765E19">
        <w:rPr>
          <w:rFonts w:ascii="Palatino Linotype" w:eastAsia="Calibri" w:hAnsi="Palatino Linotype" w:cs="Arial"/>
          <w:lang w:val="es-ES"/>
        </w:rPr>
        <w:t xml:space="preserve">) de </w:t>
      </w:r>
      <w:r w:rsidR="003A03D0" w:rsidRPr="00765E19">
        <w:rPr>
          <w:rFonts w:ascii="Palatino Linotype" w:eastAsia="Calibri" w:hAnsi="Palatino Linotype" w:cs="Arial"/>
          <w:lang w:val="es-ES"/>
        </w:rPr>
        <w:t>abril</w:t>
      </w:r>
      <w:r w:rsidR="003762FD" w:rsidRPr="00765E19">
        <w:rPr>
          <w:rFonts w:ascii="Palatino Linotype" w:eastAsia="Calibri" w:hAnsi="Palatino Linotype" w:cs="Arial"/>
          <w:lang w:val="es-ES"/>
        </w:rPr>
        <w:t xml:space="preserve"> </w:t>
      </w:r>
      <w:r w:rsidR="003A03D0" w:rsidRPr="00765E19">
        <w:rPr>
          <w:rFonts w:ascii="Palatino Linotype" w:eastAsia="Calibri" w:hAnsi="Palatino Linotype" w:cs="Arial"/>
          <w:lang w:val="es-ES"/>
        </w:rPr>
        <w:t>d</w:t>
      </w:r>
      <w:r w:rsidR="0075650E" w:rsidRPr="00765E19">
        <w:rPr>
          <w:rFonts w:ascii="Palatino Linotype" w:eastAsia="Calibri" w:hAnsi="Palatino Linotype" w:cs="Arial"/>
          <w:lang w:val="es-ES"/>
        </w:rPr>
        <w:t xml:space="preserve">e dos mil </w:t>
      </w:r>
      <w:r w:rsidR="00527E7A" w:rsidRPr="00765E19">
        <w:rPr>
          <w:rFonts w:ascii="Palatino Linotype" w:eastAsia="Calibri" w:hAnsi="Palatino Linotype" w:cs="Arial"/>
          <w:lang w:val="es-ES"/>
        </w:rPr>
        <w:t>dieci</w:t>
      </w:r>
      <w:r w:rsidR="003A03D0" w:rsidRPr="00765E19">
        <w:rPr>
          <w:rFonts w:ascii="Palatino Linotype" w:eastAsia="Calibri" w:hAnsi="Palatino Linotype" w:cs="Arial"/>
          <w:lang w:val="es-ES"/>
        </w:rPr>
        <w:t>ocho</w:t>
      </w:r>
      <w:r w:rsidR="006A1047" w:rsidRPr="00765E19">
        <w:rPr>
          <w:rFonts w:ascii="Palatino Linotype" w:eastAsia="Calibri" w:hAnsi="Palatino Linotype" w:cs="Arial"/>
          <w:lang w:val="es-ES"/>
        </w:rPr>
        <w:t xml:space="preserve">, </w:t>
      </w:r>
      <w:r w:rsidR="00B81371" w:rsidRPr="00765E19">
        <w:rPr>
          <w:rFonts w:ascii="Palatino Linotype" w:eastAsia="Calibri" w:hAnsi="Palatino Linotype" w:cs="Arial"/>
          <w:lang w:val="es-ES"/>
        </w:rPr>
        <w:t xml:space="preserve">puso a </w:t>
      </w:r>
      <w:r w:rsidR="00875167" w:rsidRPr="00765E19">
        <w:rPr>
          <w:rFonts w:ascii="Palatino Linotype" w:eastAsia="Calibri" w:hAnsi="Palatino Linotype" w:cs="Arial"/>
          <w:lang w:val="es-ES"/>
        </w:rPr>
        <w:t>disposición</w:t>
      </w:r>
      <w:r w:rsidR="00B81371" w:rsidRPr="00765E19">
        <w:rPr>
          <w:rFonts w:ascii="Palatino Linotype" w:eastAsia="Calibri" w:hAnsi="Palatino Linotype" w:cs="Arial"/>
          <w:lang w:val="es-ES"/>
        </w:rPr>
        <w:t xml:space="preserve"> de las partes el expediente electrónico </w:t>
      </w:r>
      <w:r w:rsidR="00B81371" w:rsidRPr="00765E19">
        <w:rPr>
          <w:rFonts w:ascii="Palatino Linotype" w:eastAsia="Calibri" w:hAnsi="Palatino Linotype" w:cs="Arial"/>
        </w:rPr>
        <w:t xml:space="preserve">vía </w:t>
      </w:r>
      <w:r w:rsidR="00B81371" w:rsidRPr="00765E19">
        <w:rPr>
          <w:rFonts w:ascii="Palatino Linotype" w:eastAsia="Calibri" w:hAnsi="Palatino Linotype" w:cs="Arial"/>
          <w:lang w:val="es-ES"/>
        </w:rPr>
        <w:t xml:space="preserve">Sistema de Acceso a la Información Mexiquense </w:t>
      </w:r>
      <w:r w:rsidR="00B81371" w:rsidRPr="00765E19">
        <w:rPr>
          <w:rFonts w:ascii="Palatino Linotype" w:eastAsia="Calibri" w:hAnsi="Palatino Linotype" w:cs="Arial"/>
          <w:b/>
          <w:lang w:val="es-ES"/>
        </w:rPr>
        <w:t xml:space="preserve">SAIMEX </w:t>
      </w:r>
      <w:r w:rsidR="00B81371" w:rsidRPr="00765E19">
        <w:rPr>
          <w:rFonts w:ascii="Palatino Linotype" w:eastAsia="Calibri" w:hAnsi="Palatino Linotype" w:cs="Arial"/>
          <w:lang w:val="es-ES"/>
        </w:rPr>
        <w:t xml:space="preserve">a efecto de que en un plazo máximo de siete días </w:t>
      </w:r>
      <w:r w:rsidR="00875167" w:rsidRPr="00765E19">
        <w:rPr>
          <w:rFonts w:ascii="Palatino Linotype" w:eastAsia="Calibri" w:hAnsi="Palatino Linotype" w:cs="Arial"/>
          <w:lang w:val="es-ES"/>
        </w:rPr>
        <w:t>manifestaran</w:t>
      </w:r>
      <w:r w:rsidR="00B81371" w:rsidRPr="00765E19">
        <w:rPr>
          <w:rFonts w:ascii="Palatino Linotype" w:eastAsia="Calibri" w:hAnsi="Palatino Linotype" w:cs="Arial"/>
          <w:lang w:val="es-ES"/>
        </w:rPr>
        <w:t xml:space="preserve"> lo que a</w:t>
      </w:r>
      <w:r w:rsidR="003A2029" w:rsidRPr="00765E19">
        <w:rPr>
          <w:rFonts w:ascii="Palatino Linotype" w:eastAsia="Calibri" w:hAnsi="Palatino Linotype" w:cs="Arial"/>
          <w:lang w:val="es-ES"/>
        </w:rPr>
        <w:t xml:space="preserve"> su</w:t>
      </w:r>
      <w:r w:rsidR="00B81371" w:rsidRPr="00765E19">
        <w:rPr>
          <w:rFonts w:ascii="Palatino Linotype" w:eastAsia="Calibri" w:hAnsi="Palatino Linotype" w:cs="Arial"/>
          <w:lang w:val="es-ES"/>
        </w:rPr>
        <w:t xml:space="preserve"> derecho conviniera</w:t>
      </w:r>
      <w:r w:rsidR="00875167" w:rsidRPr="00765E19">
        <w:rPr>
          <w:rFonts w:ascii="Palatino Linotype" w:eastAsia="Calibri" w:hAnsi="Palatino Linotype" w:cs="Arial"/>
          <w:lang w:val="es-ES"/>
        </w:rPr>
        <w:t>n</w:t>
      </w:r>
      <w:r w:rsidR="00032493" w:rsidRPr="00765E19">
        <w:rPr>
          <w:rFonts w:ascii="Palatino Linotype" w:eastAsia="Calibri" w:hAnsi="Palatino Linotype" w:cs="Arial"/>
          <w:lang w:val="es-ES"/>
        </w:rPr>
        <w:t>,</w:t>
      </w:r>
      <w:r w:rsidR="00B81371" w:rsidRPr="00765E19">
        <w:rPr>
          <w:rFonts w:ascii="Palatino Linotype" w:eastAsia="Calibri" w:hAnsi="Palatino Linotype" w:cs="Arial"/>
          <w:lang w:val="es-ES"/>
        </w:rPr>
        <w:t xml:space="preserve"> </w:t>
      </w:r>
      <w:r w:rsidR="00875167" w:rsidRPr="00765E19">
        <w:rPr>
          <w:rFonts w:ascii="Palatino Linotype" w:eastAsia="Calibri" w:hAnsi="Palatino Linotype" w:cs="Arial"/>
          <w:lang w:val="es-ES"/>
        </w:rPr>
        <w:t>ofrecieran pruebas y</w:t>
      </w:r>
      <w:r w:rsidR="00132C06" w:rsidRPr="00765E19">
        <w:rPr>
          <w:rFonts w:ascii="Palatino Linotype" w:eastAsia="Calibri" w:hAnsi="Palatino Linotype" w:cs="Arial"/>
          <w:lang w:val="es-ES"/>
        </w:rPr>
        <w:t xml:space="preserve"> </w:t>
      </w:r>
      <w:r w:rsidR="00875167" w:rsidRPr="00765E19">
        <w:rPr>
          <w:rFonts w:ascii="Palatino Linotype" w:eastAsia="Calibri" w:hAnsi="Palatino Linotype" w:cs="Arial"/>
          <w:lang w:val="es-ES"/>
        </w:rPr>
        <w:t>alegatos según corresponda a</w:t>
      </w:r>
      <w:r w:rsidR="004C20F2" w:rsidRPr="00765E19">
        <w:rPr>
          <w:rFonts w:ascii="Palatino Linotype" w:eastAsia="Calibri" w:hAnsi="Palatino Linotype" w:cs="Arial"/>
          <w:lang w:val="es-ES"/>
        </w:rPr>
        <w:t xml:space="preserve"> </w:t>
      </w:r>
      <w:r w:rsidR="00875167" w:rsidRPr="00765E19">
        <w:rPr>
          <w:rFonts w:ascii="Palatino Linotype" w:eastAsia="Calibri" w:hAnsi="Palatino Linotype" w:cs="Arial"/>
          <w:lang w:val="es-ES"/>
        </w:rPr>
        <w:t>l</w:t>
      </w:r>
      <w:r w:rsidR="004C20F2" w:rsidRPr="00765E19">
        <w:rPr>
          <w:rFonts w:ascii="Palatino Linotype" w:eastAsia="Calibri" w:hAnsi="Palatino Linotype" w:cs="Arial"/>
          <w:lang w:val="es-ES"/>
        </w:rPr>
        <w:t>os</w:t>
      </w:r>
      <w:r w:rsidR="00875167" w:rsidRPr="00765E19">
        <w:rPr>
          <w:rFonts w:ascii="Palatino Linotype" w:eastAsia="Calibri" w:hAnsi="Palatino Linotype" w:cs="Arial"/>
          <w:lang w:val="es-ES"/>
        </w:rPr>
        <w:t xml:space="preserve"> caso</w:t>
      </w:r>
      <w:r w:rsidR="004C20F2" w:rsidRPr="00765E19">
        <w:rPr>
          <w:rFonts w:ascii="Palatino Linotype" w:eastAsia="Calibri" w:hAnsi="Palatino Linotype" w:cs="Arial"/>
          <w:lang w:val="es-ES"/>
        </w:rPr>
        <w:t>s</w:t>
      </w:r>
      <w:r w:rsidR="00875167" w:rsidRPr="00765E19">
        <w:rPr>
          <w:rFonts w:ascii="Palatino Linotype" w:eastAsia="Calibri" w:hAnsi="Palatino Linotype" w:cs="Arial"/>
          <w:lang w:val="es-ES"/>
        </w:rPr>
        <w:t xml:space="preserve"> concreto</w:t>
      </w:r>
      <w:r w:rsidR="004C20F2" w:rsidRPr="00765E19">
        <w:rPr>
          <w:rFonts w:ascii="Palatino Linotype" w:eastAsia="Calibri" w:hAnsi="Palatino Linotype" w:cs="Arial"/>
          <w:lang w:val="es-ES"/>
        </w:rPr>
        <w:t>s</w:t>
      </w:r>
      <w:r w:rsidR="00875167" w:rsidRPr="00765E19">
        <w:rPr>
          <w:rFonts w:ascii="Palatino Linotype" w:eastAsia="Calibri" w:hAnsi="Palatino Linotype" w:cs="Arial"/>
          <w:lang w:val="es-ES"/>
        </w:rPr>
        <w:t xml:space="preserve">, </w:t>
      </w:r>
      <w:r w:rsidR="00F147C6" w:rsidRPr="00765E19">
        <w:rPr>
          <w:rFonts w:ascii="Palatino Linotype" w:eastAsia="Calibri" w:hAnsi="Palatino Linotype" w:cs="Arial"/>
          <w:lang w:val="es-ES"/>
        </w:rPr>
        <w:t>de esta forma</w:t>
      </w:r>
      <w:r w:rsidR="00875167" w:rsidRPr="00765E19">
        <w:rPr>
          <w:rFonts w:ascii="Palatino Linotype" w:eastAsia="Calibri" w:hAnsi="Palatino Linotype" w:cs="Arial"/>
          <w:lang w:val="es-ES"/>
        </w:rPr>
        <w:t xml:space="preserve"> para que el </w:t>
      </w:r>
      <w:r w:rsidR="00875167" w:rsidRPr="00765E19">
        <w:rPr>
          <w:rFonts w:ascii="Palatino Linotype" w:eastAsia="Calibri" w:hAnsi="Palatino Linotype" w:cs="Arial"/>
          <w:b/>
          <w:lang w:val="es-ES"/>
        </w:rPr>
        <w:t>SUJETO OBLIGADO</w:t>
      </w:r>
      <w:r w:rsidR="00875167" w:rsidRPr="00765E19">
        <w:rPr>
          <w:rFonts w:ascii="Palatino Linotype" w:eastAsia="Calibri" w:hAnsi="Palatino Linotype" w:cs="Arial"/>
          <w:lang w:val="es-ES"/>
        </w:rPr>
        <w:t xml:space="preserve"> </w:t>
      </w:r>
      <w:r w:rsidR="00B81371" w:rsidRPr="00765E19">
        <w:rPr>
          <w:rFonts w:ascii="Palatino Linotype" w:eastAsia="Calibri" w:hAnsi="Palatino Linotype" w:cs="Arial"/>
          <w:lang w:val="es-ES"/>
        </w:rPr>
        <w:t>presentar</w:t>
      </w:r>
      <w:r w:rsidR="003A03D0" w:rsidRPr="00765E19">
        <w:rPr>
          <w:rFonts w:ascii="Palatino Linotype" w:eastAsia="Calibri" w:hAnsi="Palatino Linotype" w:cs="Arial"/>
          <w:lang w:val="es-ES"/>
        </w:rPr>
        <w:t>a</w:t>
      </w:r>
      <w:r w:rsidR="00B81371" w:rsidRPr="00765E19">
        <w:rPr>
          <w:rFonts w:ascii="Palatino Linotype" w:eastAsia="Calibri" w:hAnsi="Palatino Linotype" w:cs="Arial"/>
          <w:lang w:val="es-ES"/>
        </w:rPr>
        <w:t xml:space="preserve"> el Informe Justificado</w:t>
      </w:r>
      <w:r w:rsidR="00875167" w:rsidRPr="00765E19">
        <w:rPr>
          <w:rFonts w:ascii="Palatino Linotype" w:eastAsia="Calibri" w:hAnsi="Palatino Linotype" w:cs="Arial"/>
          <w:lang w:val="es-ES"/>
        </w:rPr>
        <w:t xml:space="preserve"> procedente</w:t>
      </w:r>
    </w:p>
    <w:p w14:paraId="3022AEC6" w14:textId="77777777" w:rsidR="007446C2" w:rsidRPr="00765E19" w:rsidRDefault="007446C2" w:rsidP="007446C2">
      <w:pPr>
        <w:pStyle w:val="Prrafodelista"/>
        <w:spacing w:before="240" w:after="240" w:line="360" w:lineRule="auto"/>
        <w:ind w:left="426"/>
        <w:jc w:val="both"/>
        <w:rPr>
          <w:rFonts w:ascii="Palatino Linotype" w:eastAsia="Calibri" w:hAnsi="Palatino Linotype" w:cs="Arial"/>
          <w:color w:val="000000" w:themeColor="text1"/>
          <w:lang w:val="es-ES"/>
        </w:rPr>
      </w:pPr>
    </w:p>
    <w:p w14:paraId="6CE8B2A2" w14:textId="2E14557E" w:rsidR="00651380" w:rsidRPr="00765E19" w:rsidRDefault="00651380" w:rsidP="00805A0C">
      <w:pPr>
        <w:pStyle w:val="Prrafodelista"/>
        <w:numPr>
          <w:ilvl w:val="0"/>
          <w:numId w:val="25"/>
        </w:numPr>
        <w:spacing w:before="240" w:after="240" w:line="360" w:lineRule="auto"/>
        <w:ind w:left="284" w:hanging="284"/>
        <w:jc w:val="both"/>
        <w:rPr>
          <w:rFonts w:ascii="Palatino Linotype" w:hAnsi="Palatino Linotype"/>
        </w:rPr>
      </w:pPr>
      <w:r w:rsidRPr="00765E19">
        <w:rPr>
          <w:rFonts w:ascii="Palatino Linotype" w:eastAsia="Calibri" w:hAnsi="Palatino Linotype" w:cs="Arial"/>
          <w:lang w:val="es-ES"/>
        </w:rPr>
        <w:t>Cabe resaltar que ninguna de las partes aportó pruebas, formuló alegatos o generó manifestación alguna dentro del período de instrucción.</w:t>
      </w:r>
    </w:p>
    <w:p w14:paraId="17425176" w14:textId="77777777" w:rsidR="00651380" w:rsidRPr="00765E19" w:rsidRDefault="00651380" w:rsidP="00651380">
      <w:pPr>
        <w:pStyle w:val="Prrafodelista"/>
        <w:spacing w:before="240" w:after="240" w:line="360" w:lineRule="auto"/>
        <w:ind w:left="284"/>
        <w:jc w:val="both"/>
        <w:rPr>
          <w:rFonts w:ascii="Palatino Linotype" w:hAnsi="Palatino Linotype"/>
        </w:rPr>
      </w:pPr>
    </w:p>
    <w:p w14:paraId="502E9C42" w14:textId="4B71A229" w:rsidR="006B004E" w:rsidRPr="00765E19" w:rsidRDefault="00861622" w:rsidP="00805A0C">
      <w:pPr>
        <w:pStyle w:val="Prrafodelista"/>
        <w:numPr>
          <w:ilvl w:val="0"/>
          <w:numId w:val="25"/>
        </w:numPr>
        <w:spacing w:before="240" w:after="240" w:line="360" w:lineRule="auto"/>
        <w:ind w:left="284" w:hanging="284"/>
        <w:jc w:val="both"/>
        <w:rPr>
          <w:rFonts w:ascii="Palatino Linotype" w:hAnsi="Palatino Linotype"/>
        </w:rPr>
      </w:pPr>
      <w:r w:rsidRPr="00765E19">
        <w:rPr>
          <w:rFonts w:ascii="Palatino Linotype" w:hAnsi="Palatino Linotype"/>
        </w:rPr>
        <w:t xml:space="preserve">El Comisionado Ponente decretó </w:t>
      </w:r>
      <w:r w:rsidR="00BF1B7F" w:rsidRPr="00765E19">
        <w:rPr>
          <w:rFonts w:ascii="Palatino Linotype" w:hAnsi="Palatino Linotype"/>
        </w:rPr>
        <w:t>e</w:t>
      </w:r>
      <w:r w:rsidR="00512F22" w:rsidRPr="00765E19">
        <w:rPr>
          <w:rFonts w:ascii="Palatino Linotype" w:hAnsi="Palatino Linotype"/>
        </w:rPr>
        <w:t>l cierre de instrucción</w:t>
      </w:r>
      <w:r w:rsidR="00512F22" w:rsidRPr="00765E19">
        <w:rPr>
          <w:rFonts w:ascii="Palatino Linotype" w:hAnsi="Palatino Linotype" w:cs="Arial"/>
        </w:rPr>
        <w:t xml:space="preserve"> </w:t>
      </w:r>
      <w:r w:rsidR="00BF1B7F" w:rsidRPr="00765E19">
        <w:rPr>
          <w:rFonts w:ascii="Palatino Linotype" w:hAnsi="Palatino Linotype" w:cs="Arial"/>
        </w:rPr>
        <w:t>de</w:t>
      </w:r>
      <w:r w:rsidR="003E6D0F" w:rsidRPr="00765E19">
        <w:rPr>
          <w:rFonts w:ascii="Palatino Linotype" w:hAnsi="Palatino Linotype" w:cs="Arial"/>
        </w:rPr>
        <w:t>l recurso de</w:t>
      </w:r>
      <w:r w:rsidR="00BF1B7F" w:rsidRPr="00765E19">
        <w:rPr>
          <w:rFonts w:ascii="Palatino Linotype" w:hAnsi="Palatino Linotype" w:cs="Arial"/>
        </w:rPr>
        <w:t xml:space="preserve"> revisión</w:t>
      </w:r>
      <w:r w:rsidR="003F2778" w:rsidRPr="00765E19">
        <w:rPr>
          <w:rFonts w:ascii="Palatino Linotype" w:hAnsi="Palatino Linotype" w:cs="Arial"/>
        </w:rPr>
        <w:t xml:space="preserve"> de referencia</w:t>
      </w:r>
      <w:r w:rsidR="00BF1B7F" w:rsidRPr="00765E19">
        <w:rPr>
          <w:rFonts w:ascii="Palatino Linotype" w:hAnsi="Palatino Linotype" w:cs="Arial"/>
        </w:rPr>
        <w:t xml:space="preserve"> </w:t>
      </w:r>
      <w:r w:rsidR="00512F22" w:rsidRPr="00765E19">
        <w:rPr>
          <w:rFonts w:ascii="Palatino Linotype" w:hAnsi="Palatino Linotype"/>
        </w:rPr>
        <w:t>mediante acuerdo</w:t>
      </w:r>
      <w:r w:rsidR="00BF1B7F" w:rsidRPr="00765E19">
        <w:rPr>
          <w:rFonts w:ascii="Palatino Linotype" w:hAnsi="Palatino Linotype"/>
        </w:rPr>
        <w:t xml:space="preserve"> de fecha</w:t>
      </w:r>
      <w:r w:rsidR="000E2665" w:rsidRPr="00765E19">
        <w:rPr>
          <w:rFonts w:ascii="Palatino Linotype" w:hAnsi="Palatino Linotype"/>
        </w:rPr>
        <w:t xml:space="preserve"> </w:t>
      </w:r>
      <w:r w:rsidR="00651380" w:rsidRPr="00765E19">
        <w:rPr>
          <w:rFonts w:ascii="Palatino Linotype" w:hAnsi="Palatino Linotype"/>
        </w:rPr>
        <w:t>once</w:t>
      </w:r>
      <w:r w:rsidR="004C67E2" w:rsidRPr="00765E19">
        <w:rPr>
          <w:rFonts w:ascii="Palatino Linotype" w:hAnsi="Palatino Linotype"/>
        </w:rPr>
        <w:t xml:space="preserve"> </w:t>
      </w:r>
      <w:r w:rsidR="00C862C4" w:rsidRPr="00765E19">
        <w:rPr>
          <w:rFonts w:ascii="Palatino Linotype" w:hAnsi="Palatino Linotype"/>
        </w:rPr>
        <w:t>(</w:t>
      </w:r>
      <w:r w:rsidR="00FB27FA" w:rsidRPr="00765E19">
        <w:rPr>
          <w:rFonts w:ascii="Palatino Linotype" w:hAnsi="Palatino Linotype"/>
        </w:rPr>
        <w:t>1</w:t>
      </w:r>
      <w:r w:rsidR="00651380" w:rsidRPr="00765E19">
        <w:rPr>
          <w:rFonts w:ascii="Palatino Linotype" w:hAnsi="Palatino Linotype"/>
        </w:rPr>
        <w:t>1</w:t>
      </w:r>
      <w:r w:rsidR="00C862C4" w:rsidRPr="00765E19">
        <w:rPr>
          <w:rFonts w:ascii="Palatino Linotype" w:hAnsi="Palatino Linotype"/>
        </w:rPr>
        <w:t>)</w:t>
      </w:r>
      <w:r w:rsidR="00BF1B7F" w:rsidRPr="00765E19">
        <w:rPr>
          <w:rFonts w:ascii="Palatino Linotype" w:hAnsi="Palatino Linotype"/>
        </w:rPr>
        <w:t xml:space="preserve"> </w:t>
      </w:r>
      <w:r w:rsidR="00C862C4" w:rsidRPr="00765E19">
        <w:rPr>
          <w:rFonts w:ascii="Palatino Linotype" w:hAnsi="Palatino Linotype"/>
        </w:rPr>
        <w:t xml:space="preserve">de </w:t>
      </w:r>
      <w:r w:rsidR="006257C2" w:rsidRPr="00765E19">
        <w:rPr>
          <w:rFonts w:ascii="Palatino Linotype" w:hAnsi="Palatino Linotype"/>
        </w:rPr>
        <w:t>mayo</w:t>
      </w:r>
      <w:r w:rsidR="004C67E2" w:rsidRPr="00765E19">
        <w:rPr>
          <w:rFonts w:ascii="Palatino Linotype" w:hAnsi="Palatino Linotype"/>
        </w:rPr>
        <w:t xml:space="preserve"> </w:t>
      </w:r>
      <w:r w:rsidR="006257C2" w:rsidRPr="00765E19">
        <w:rPr>
          <w:rFonts w:ascii="Palatino Linotype" w:hAnsi="Palatino Linotype"/>
        </w:rPr>
        <w:t>d</w:t>
      </w:r>
      <w:r w:rsidR="00C862C4" w:rsidRPr="00765E19">
        <w:rPr>
          <w:rFonts w:ascii="Palatino Linotype" w:hAnsi="Palatino Linotype"/>
        </w:rPr>
        <w:t xml:space="preserve">e dos mil </w:t>
      </w:r>
      <w:r w:rsidR="006257C2" w:rsidRPr="00765E19">
        <w:rPr>
          <w:rFonts w:ascii="Palatino Linotype" w:hAnsi="Palatino Linotype"/>
        </w:rPr>
        <w:t>dieciocho</w:t>
      </w:r>
      <w:r w:rsidR="00C862C4" w:rsidRPr="00765E19">
        <w:rPr>
          <w:rFonts w:ascii="Palatino Linotype" w:hAnsi="Palatino Linotype"/>
        </w:rPr>
        <w:t xml:space="preserve">, </w:t>
      </w:r>
      <w:r w:rsidR="00512F22" w:rsidRPr="00765E19">
        <w:rPr>
          <w:rFonts w:ascii="Palatino Linotype" w:hAnsi="Palatino Linotype" w:cs="Arial"/>
        </w:rPr>
        <w:lastRenderedPageBreak/>
        <w:t>por lo que ordenó turnar el expediente a resolución, misma que ahora se pronuncia; y</w:t>
      </w:r>
      <w:bookmarkStart w:id="65" w:name="_Toc461555889"/>
      <w:bookmarkStart w:id="66" w:name="_Toc466371858"/>
      <w:r w:rsidR="006257C2" w:rsidRPr="00765E19">
        <w:rPr>
          <w:rFonts w:ascii="Palatino Linotype" w:hAnsi="Palatino Linotype" w:cs="Arial"/>
        </w:rPr>
        <w:t>------------------------------------------------------------------------------------------</w:t>
      </w:r>
    </w:p>
    <w:p w14:paraId="6166D356" w14:textId="77777777" w:rsidR="00651380" w:rsidRPr="00765E19" w:rsidRDefault="00651380" w:rsidP="00651380">
      <w:pPr>
        <w:pStyle w:val="Prrafodelista"/>
        <w:spacing w:before="240" w:after="240" w:line="360" w:lineRule="auto"/>
        <w:ind w:left="284"/>
        <w:jc w:val="both"/>
        <w:rPr>
          <w:rFonts w:ascii="Palatino Linotype" w:hAnsi="Palatino Linotype"/>
        </w:rPr>
      </w:pPr>
    </w:p>
    <w:p w14:paraId="5CB47E4D" w14:textId="272D7EDF" w:rsidR="00C33279" w:rsidRPr="00765E19" w:rsidRDefault="007C0013" w:rsidP="00551A9B">
      <w:pPr>
        <w:pStyle w:val="Ttulo2"/>
        <w:jc w:val="center"/>
        <w:rPr>
          <w:rFonts w:ascii="Palatino Linotype" w:hAnsi="Palatino Linotype"/>
          <w:b/>
          <w:color w:val="000000" w:themeColor="text1"/>
          <w:sz w:val="24"/>
        </w:rPr>
      </w:pPr>
      <w:bookmarkStart w:id="67" w:name="_Toc516484336"/>
      <w:r w:rsidRPr="00765E19">
        <w:rPr>
          <w:rFonts w:ascii="Palatino Linotype" w:hAnsi="Palatino Linotype"/>
          <w:b/>
          <w:color w:val="000000" w:themeColor="text1"/>
          <w:sz w:val="24"/>
        </w:rPr>
        <w:t>CONSIDERANDO</w:t>
      </w:r>
      <w:bookmarkEnd w:id="65"/>
      <w:bookmarkEnd w:id="66"/>
      <w:bookmarkEnd w:id="67"/>
    </w:p>
    <w:p w14:paraId="435CF9A4" w14:textId="77777777" w:rsidR="00FC1DA7" w:rsidRPr="00765E19" w:rsidRDefault="00FC1DA7" w:rsidP="00FC1DA7">
      <w:pPr>
        <w:rPr>
          <w:lang w:val="es-MX" w:eastAsia="en-US"/>
        </w:rPr>
      </w:pPr>
    </w:p>
    <w:p w14:paraId="629A5BE2" w14:textId="56C3E7D5" w:rsidR="007C0013" w:rsidRPr="00765E19" w:rsidRDefault="007C0013" w:rsidP="001E74A5">
      <w:pPr>
        <w:pStyle w:val="Ttulo2"/>
        <w:spacing w:line="360" w:lineRule="auto"/>
        <w:rPr>
          <w:rFonts w:ascii="Palatino Linotype" w:hAnsi="Palatino Linotype"/>
          <w:b/>
          <w:color w:val="auto"/>
          <w:sz w:val="24"/>
        </w:rPr>
      </w:pPr>
      <w:bookmarkStart w:id="68" w:name="_Toc461555890"/>
      <w:bookmarkStart w:id="69" w:name="_Toc466371859"/>
      <w:bookmarkStart w:id="70" w:name="_Toc516484337"/>
      <w:r w:rsidRPr="00765E19">
        <w:rPr>
          <w:rFonts w:ascii="Palatino Linotype" w:hAnsi="Palatino Linotype"/>
          <w:b/>
          <w:color w:val="auto"/>
          <w:sz w:val="24"/>
        </w:rPr>
        <w:t>PRIMERO. De la competencia</w:t>
      </w:r>
      <w:bookmarkEnd w:id="68"/>
      <w:bookmarkEnd w:id="69"/>
      <w:bookmarkEnd w:id="70"/>
    </w:p>
    <w:p w14:paraId="60FBD8C7" w14:textId="77777777" w:rsidR="00FC1DA7" w:rsidRPr="00765E19" w:rsidRDefault="00FC1DA7" w:rsidP="00FC1DA7">
      <w:pPr>
        <w:rPr>
          <w:lang w:val="es-MX" w:eastAsia="en-US"/>
        </w:rPr>
      </w:pPr>
    </w:p>
    <w:p w14:paraId="0BF52B18" w14:textId="5C8B41E7" w:rsidR="005A228F" w:rsidRPr="00765E19" w:rsidRDefault="00A45546" w:rsidP="004C6796">
      <w:pPr>
        <w:pStyle w:val="Prrafodelista"/>
        <w:numPr>
          <w:ilvl w:val="0"/>
          <w:numId w:val="25"/>
        </w:numPr>
        <w:spacing w:line="360" w:lineRule="auto"/>
        <w:ind w:left="284" w:hanging="284"/>
        <w:jc w:val="both"/>
        <w:rPr>
          <w:rFonts w:ascii="Palatino Linotype" w:eastAsia="Calibri" w:hAnsi="Palatino Linotype" w:cs="Times New Roman"/>
          <w:b/>
          <w:lang w:val="es-ES"/>
        </w:rPr>
      </w:pPr>
      <w:r w:rsidRPr="00765E1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65E19">
        <w:rPr>
          <w:rFonts w:ascii="Palatino Linotype" w:eastAsia="Calibri" w:hAnsi="Palatino Linotype" w:cs="Times New Roman"/>
          <w:b/>
          <w:lang w:val="es-ES"/>
        </w:rPr>
        <w:t>Constitución Política de los Estados Unidos Mexicanos</w:t>
      </w:r>
      <w:r w:rsidRPr="00765E19">
        <w:rPr>
          <w:rFonts w:ascii="Palatino Linotype" w:eastAsia="Calibri" w:hAnsi="Palatino Linotype" w:cs="Times New Roman"/>
          <w:lang w:val="es-ES"/>
        </w:rPr>
        <w:t xml:space="preserve">; 5, párrafos vigésimo, vigésimo primero y vigésimo segundo fracciones IV y V de la </w:t>
      </w:r>
      <w:r w:rsidRPr="00765E19">
        <w:rPr>
          <w:rFonts w:ascii="Palatino Linotype" w:eastAsia="Calibri" w:hAnsi="Palatino Linotype" w:cs="Times New Roman"/>
          <w:b/>
          <w:lang w:val="es-ES"/>
        </w:rPr>
        <w:t>Constitución Política del Estado Libre y Soberano de México</w:t>
      </w:r>
      <w:r w:rsidRPr="00765E19">
        <w:rPr>
          <w:rFonts w:ascii="Palatino Linotype" w:eastAsia="Calibri" w:hAnsi="Palatino Linotype" w:cs="Times New Roman"/>
          <w:lang w:val="es-ES"/>
        </w:rPr>
        <w:t xml:space="preserve">; artículos 1, 2 fracción II, 13, 29, 36 fracciones I y II, 176, 178, 179, 181 párrafo tercero y 185 </w:t>
      </w:r>
      <w:r w:rsidRPr="00765E19">
        <w:rPr>
          <w:rFonts w:ascii="Palatino Linotype" w:eastAsia="Calibri" w:hAnsi="Palatino Linotype" w:cs="Arial"/>
          <w:lang w:val="es-ES"/>
        </w:rPr>
        <w:t xml:space="preserve">de la </w:t>
      </w:r>
      <w:r w:rsidRPr="00765E19">
        <w:rPr>
          <w:rFonts w:ascii="Palatino Linotype" w:eastAsia="Calibri" w:hAnsi="Palatino Linotype" w:cs="Arial"/>
          <w:b/>
          <w:lang w:val="es-ES"/>
        </w:rPr>
        <w:t>Ley de Transparencia y Acceso a la Información Pública del Estado de México y Municipios</w:t>
      </w:r>
      <w:r w:rsidRPr="00765E19">
        <w:rPr>
          <w:rFonts w:ascii="Palatino Linotype" w:eastAsia="Calibri" w:hAnsi="Palatino Linotype" w:cs="Arial"/>
          <w:lang w:val="es-ES"/>
        </w:rPr>
        <w:t xml:space="preserve">; y 10, 7, 9 fracciones I y XXIV, y 11 del </w:t>
      </w:r>
      <w:r w:rsidRPr="00765E1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765E19"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765E19" w:rsidRDefault="007C0013" w:rsidP="001E74A5">
      <w:pPr>
        <w:pStyle w:val="Ttulo2"/>
        <w:spacing w:line="360" w:lineRule="auto"/>
        <w:rPr>
          <w:rFonts w:ascii="Palatino Linotype" w:hAnsi="Palatino Linotype"/>
          <w:b/>
          <w:color w:val="auto"/>
          <w:sz w:val="24"/>
        </w:rPr>
      </w:pPr>
      <w:bookmarkStart w:id="71" w:name="_Toc461555891"/>
      <w:bookmarkStart w:id="72" w:name="_Toc466371860"/>
      <w:bookmarkStart w:id="73" w:name="_Toc516484338"/>
      <w:r w:rsidRPr="00765E19">
        <w:rPr>
          <w:rFonts w:ascii="Palatino Linotype" w:hAnsi="Palatino Linotype"/>
          <w:b/>
          <w:color w:val="auto"/>
          <w:sz w:val="24"/>
        </w:rPr>
        <w:t>SEGUNDO. De la oportunidad y proced</w:t>
      </w:r>
      <w:r w:rsidR="00F35C44" w:rsidRPr="00765E19">
        <w:rPr>
          <w:rFonts w:ascii="Palatino Linotype" w:hAnsi="Palatino Linotype"/>
          <w:b/>
          <w:color w:val="auto"/>
          <w:sz w:val="24"/>
        </w:rPr>
        <w:t>encia</w:t>
      </w:r>
      <w:r w:rsidRPr="00765E19">
        <w:rPr>
          <w:rFonts w:ascii="Palatino Linotype" w:hAnsi="Palatino Linotype"/>
          <w:b/>
          <w:color w:val="auto"/>
          <w:sz w:val="24"/>
        </w:rPr>
        <w:t>.</w:t>
      </w:r>
      <w:bookmarkEnd w:id="71"/>
      <w:bookmarkEnd w:id="72"/>
      <w:bookmarkEnd w:id="73"/>
    </w:p>
    <w:p w14:paraId="2A690F57" w14:textId="57761A83" w:rsidR="00B02BDD" w:rsidRPr="00765E19" w:rsidRDefault="003E6D0F" w:rsidP="004C6796">
      <w:pPr>
        <w:pStyle w:val="Prrafodelista"/>
        <w:numPr>
          <w:ilvl w:val="0"/>
          <w:numId w:val="25"/>
        </w:numPr>
        <w:spacing w:before="240" w:after="240" w:line="360" w:lineRule="auto"/>
        <w:ind w:left="426" w:right="49" w:hanging="426"/>
        <w:jc w:val="both"/>
        <w:rPr>
          <w:rFonts w:ascii="Palatino Linotype" w:eastAsia="Times New Roman" w:hAnsi="Palatino Linotype" w:cs="Arial"/>
          <w:bCs/>
          <w:color w:val="555555"/>
          <w:lang w:val="es-MX" w:eastAsia="es-MX"/>
        </w:rPr>
      </w:pPr>
      <w:r w:rsidRPr="00765E19">
        <w:rPr>
          <w:rFonts w:ascii="Palatino Linotype" w:eastAsia="Calibri" w:hAnsi="Palatino Linotype" w:cs="Arial"/>
        </w:rPr>
        <w:t xml:space="preserve">El medio de impugnación fue presentado a través del </w:t>
      </w:r>
      <w:r w:rsidRPr="00765E19">
        <w:rPr>
          <w:rFonts w:ascii="Palatino Linotype" w:eastAsia="Calibri" w:hAnsi="Palatino Linotype" w:cs="Arial"/>
          <w:b/>
        </w:rPr>
        <w:t>SAIMEX,</w:t>
      </w:r>
      <w:r w:rsidRPr="00765E1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65E19">
        <w:rPr>
          <w:rFonts w:ascii="Palatino Linotype" w:eastAsia="Calibri" w:hAnsi="Palatino Linotype" w:cs="Arial"/>
          <w:b/>
        </w:rPr>
        <w:t>SUJETO OBLIGADO</w:t>
      </w:r>
      <w:r w:rsidR="00EF26CB" w:rsidRPr="00765E19">
        <w:rPr>
          <w:rFonts w:ascii="Palatino Linotype" w:eastAsia="Calibri" w:hAnsi="Palatino Linotype" w:cs="Arial"/>
        </w:rPr>
        <w:t xml:space="preserve"> </w:t>
      </w:r>
      <w:r w:rsidR="00FB27FA" w:rsidRPr="00765E19">
        <w:rPr>
          <w:rFonts w:ascii="Palatino Linotype" w:eastAsia="Calibri" w:hAnsi="Palatino Linotype" w:cs="Arial"/>
        </w:rPr>
        <w:t xml:space="preserve">entregó respuesta el </w:t>
      </w:r>
      <w:r w:rsidR="006257C2" w:rsidRPr="00765E19">
        <w:rPr>
          <w:rFonts w:ascii="Palatino Linotype" w:eastAsia="Calibri" w:hAnsi="Palatino Linotype" w:cs="Arial"/>
        </w:rPr>
        <w:t>diecinueve</w:t>
      </w:r>
      <w:r w:rsidRPr="00765E19">
        <w:rPr>
          <w:rFonts w:ascii="Palatino Linotype" w:eastAsia="Calibri" w:hAnsi="Palatino Linotype" w:cs="Arial"/>
        </w:rPr>
        <w:t xml:space="preserve"> (</w:t>
      </w:r>
      <w:r w:rsidR="006257C2" w:rsidRPr="00765E19">
        <w:rPr>
          <w:rFonts w:ascii="Palatino Linotype" w:eastAsia="Calibri" w:hAnsi="Palatino Linotype" w:cs="Arial"/>
        </w:rPr>
        <w:t>19</w:t>
      </w:r>
      <w:r w:rsidRPr="00765E19">
        <w:rPr>
          <w:rFonts w:ascii="Palatino Linotype" w:eastAsia="Calibri" w:hAnsi="Palatino Linotype" w:cs="Arial"/>
        </w:rPr>
        <w:t xml:space="preserve">) de </w:t>
      </w:r>
      <w:r w:rsidR="006257C2" w:rsidRPr="00765E19">
        <w:rPr>
          <w:rFonts w:ascii="Palatino Linotype" w:eastAsia="Calibri" w:hAnsi="Palatino Linotype" w:cs="Arial"/>
        </w:rPr>
        <w:t>abril</w:t>
      </w:r>
      <w:r w:rsidRPr="00765E19">
        <w:rPr>
          <w:rFonts w:ascii="Palatino Linotype" w:eastAsia="Calibri" w:hAnsi="Palatino Linotype" w:cs="Arial"/>
        </w:rPr>
        <w:t xml:space="preserve"> </w:t>
      </w:r>
      <w:r w:rsidR="006257C2" w:rsidRPr="00765E19">
        <w:rPr>
          <w:rFonts w:ascii="Palatino Linotype" w:eastAsia="Calibri" w:hAnsi="Palatino Linotype" w:cs="Arial"/>
        </w:rPr>
        <w:t>de dos mil dieciocho</w:t>
      </w:r>
      <w:r w:rsidRPr="00765E19">
        <w:rPr>
          <w:rFonts w:ascii="Palatino Linotype" w:eastAsia="Calibri" w:hAnsi="Palatino Linotype" w:cs="Arial"/>
        </w:rPr>
        <w:t xml:space="preserve">, </w:t>
      </w:r>
      <w:r w:rsidRPr="00765E19">
        <w:rPr>
          <w:rFonts w:ascii="Palatino Linotype" w:hAnsi="Palatino Linotype" w:cs="Arial"/>
        </w:rPr>
        <w:lastRenderedPageBreak/>
        <w:t xml:space="preserve">de tal forma que el plazo para interponer el recurso transcurrió del día </w:t>
      </w:r>
      <w:r w:rsidR="006257C2" w:rsidRPr="00765E19">
        <w:rPr>
          <w:rFonts w:ascii="Palatino Linotype" w:hAnsi="Palatino Linotype" w:cs="Arial"/>
        </w:rPr>
        <w:t>veinte</w:t>
      </w:r>
      <w:r w:rsidR="00EF26CB" w:rsidRPr="00765E19">
        <w:rPr>
          <w:rFonts w:ascii="Palatino Linotype" w:hAnsi="Palatino Linotype" w:cs="Arial"/>
        </w:rPr>
        <w:t xml:space="preserve"> (</w:t>
      </w:r>
      <w:r w:rsidR="006257C2" w:rsidRPr="00765E19">
        <w:rPr>
          <w:rFonts w:ascii="Palatino Linotype" w:hAnsi="Palatino Linotype" w:cs="Arial"/>
        </w:rPr>
        <w:t>20</w:t>
      </w:r>
      <w:r w:rsidRPr="00765E19">
        <w:rPr>
          <w:rFonts w:ascii="Palatino Linotype" w:hAnsi="Palatino Linotype" w:cs="Arial"/>
        </w:rPr>
        <w:t xml:space="preserve">) </w:t>
      </w:r>
      <w:r w:rsidR="007B5AF0" w:rsidRPr="00765E19">
        <w:rPr>
          <w:rFonts w:ascii="Palatino Linotype" w:hAnsi="Palatino Linotype" w:cs="Arial"/>
        </w:rPr>
        <w:t xml:space="preserve">de </w:t>
      </w:r>
      <w:r w:rsidR="006257C2" w:rsidRPr="00765E19">
        <w:rPr>
          <w:rFonts w:ascii="Palatino Linotype" w:hAnsi="Palatino Linotype" w:cs="Arial"/>
        </w:rPr>
        <w:t>abril de dos mil dieciocho</w:t>
      </w:r>
      <w:r w:rsidR="007B5AF0" w:rsidRPr="00765E19">
        <w:rPr>
          <w:rFonts w:ascii="Palatino Linotype" w:hAnsi="Palatino Linotype" w:cs="Arial"/>
        </w:rPr>
        <w:t xml:space="preserve">, </w:t>
      </w:r>
      <w:r w:rsidRPr="00765E19">
        <w:rPr>
          <w:rFonts w:ascii="Palatino Linotype" w:hAnsi="Palatino Linotype" w:cs="Arial"/>
        </w:rPr>
        <w:t>al</w:t>
      </w:r>
      <w:r w:rsidR="007B5AF0" w:rsidRPr="00765E19">
        <w:rPr>
          <w:rFonts w:ascii="Palatino Linotype" w:hAnsi="Palatino Linotype" w:cs="Arial"/>
        </w:rPr>
        <w:t xml:space="preserve"> </w:t>
      </w:r>
      <w:r w:rsidR="006257C2" w:rsidRPr="00765E19">
        <w:rPr>
          <w:rFonts w:ascii="Palatino Linotype" w:hAnsi="Palatino Linotype" w:cs="Arial"/>
        </w:rPr>
        <w:t>once</w:t>
      </w:r>
      <w:r w:rsidR="00EF26CB" w:rsidRPr="00765E19">
        <w:rPr>
          <w:rFonts w:ascii="Palatino Linotype" w:hAnsi="Palatino Linotype" w:cs="Arial"/>
        </w:rPr>
        <w:t xml:space="preserve"> (</w:t>
      </w:r>
      <w:r w:rsidR="007B5AF0" w:rsidRPr="00765E19">
        <w:rPr>
          <w:rFonts w:ascii="Palatino Linotype" w:hAnsi="Palatino Linotype" w:cs="Arial"/>
        </w:rPr>
        <w:t>1</w:t>
      </w:r>
      <w:r w:rsidR="006257C2" w:rsidRPr="00765E19">
        <w:rPr>
          <w:rFonts w:ascii="Palatino Linotype" w:hAnsi="Palatino Linotype" w:cs="Arial"/>
        </w:rPr>
        <w:t>1</w:t>
      </w:r>
      <w:r w:rsidR="00EF26CB" w:rsidRPr="00765E19">
        <w:rPr>
          <w:rFonts w:ascii="Palatino Linotype" w:hAnsi="Palatino Linotype" w:cs="Arial"/>
        </w:rPr>
        <w:t xml:space="preserve">) </w:t>
      </w:r>
      <w:r w:rsidR="007B5AF0" w:rsidRPr="00765E19">
        <w:rPr>
          <w:rFonts w:ascii="Palatino Linotype" w:hAnsi="Palatino Linotype" w:cs="Arial"/>
        </w:rPr>
        <w:t xml:space="preserve">de </w:t>
      </w:r>
      <w:r w:rsidR="006257C2" w:rsidRPr="00765E19">
        <w:rPr>
          <w:rFonts w:ascii="Palatino Linotype" w:hAnsi="Palatino Linotype" w:cs="Arial"/>
        </w:rPr>
        <w:t>mayo</w:t>
      </w:r>
      <w:r w:rsidR="007B5AF0" w:rsidRPr="00765E19">
        <w:rPr>
          <w:rFonts w:ascii="Palatino Linotype" w:hAnsi="Palatino Linotype" w:cs="Arial"/>
        </w:rPr>
        <w:t xml:space="preserve"> </w:t>
      </w:r>
      <w:r w:rsidR="006257C2" w:rsidRPr="00765E19">
        <w:rPr>
          <w:rFonts w:ascii="Palatino Linotype" w:hAnsi="Palatino Linotype" w:cs="Arial"/>
        </w:rPr>
        <w:t>de dos mil dieciocho</w:t>
      </w:r>
      <w:r w:rsidRPr="00765E19">
        <w:rPr>
          <w:rFonts w:ascii="Palatino Linotype" w:hAnsi="Palatino Linotype" w:cs="Arial"/>
        </w:rPr>
        <w:t xml:space="preserve">; en consecuencia, presentó su inconformidad el día </w:t>
      </w:r>
      <w:r w:rsidR="00797C82" w:rsidRPr="00765E19">
        <w:rPr>
          <w:rFonts w:ascii="Palatino Linotype" w:hAnsi="Palatino Linotype" w:cs="Arial"/>
        </w:rPr>
        <w:t>veinticuatro</w:t>
      </w:r>
      <w:r w:rsidRPr="00765E19">
        <w:rPr>
          <w:rFonts w:ascii="Palatino Linotype" w:hAnsi="Palatino Linotype" w:cs="Arial"/>
        </w:rPr>
        <w:t xml:space="preserve"> (</w:t>
      </w:r>
      <w:r w:rsidR="00797C82" w:rsidRPr="00765E19">
        <w:rPr>
          <w:rFonts w:ascii="Palatino Linotype" w:hAnsi="Palatino Linotype" w:cs="Arial"/>
        </w:rPr>
        <w:t>24</w:t>
      </w:r>
      <w:r w:rsidRPr="00765E19">
        <w:rPr>
          <w:rFonts w:ascii="Palatino Linotype" w:hAnsi="Palatino Linotype" w:cs="Arial"/>
        </w:rPr>
        <w:t xml:space="preserve">) de </w:t>
      </w:r>
      <w:r w:rsidR="00797C82" w:rsidRPr="00765E19">
        <w:rPr>
          <w:rFonts w:ascii="Palatino Linotype" w:hAnsi="Palatino Linotype" w:cs="Arial"/>
        </w:rPr>
        <w:t>abril</w:t>
      </w:r>
      <w:r w:rsidRPr="00765E19">
        <w:rPr>
          <w:rFonts w:ascii="Palatino Linotype" w:hAnsi="Palatino Linotype" w:cs="Arial"/>
        </w:rPr>
        <w:t xml:space="preserve"> de dos mil </w:t>
      </w:r>
      <w:r w:rsidR="00797C82" w:rsidRPr="00765E19">
        <w:rPr>
          <w:rFonts w:ascii="Palatino Linotype" w:hAnsi="Palatino Linotype" w:cs="Arial"/>
        </w:rPr>
        <w:t>dieciocho</w:t>
      </w:r>
      <w:r w:rsidRPr="00765E19">
        <w:rPr>
          <w:rFonts w:ascii="Palatino Linotype" w:hAnsi="Palatino Linotype" w:cs="Arial"/>
        </w:rPr>
        <w:t xml:space="preserve">, </w:t>
      </w:r>
      <w:r w:rsidR="00B02BDD" w:rsidRPr="00765E19">
        <w:rPr>
          <w:rFonts w:ascii="Palatino Linotype" w:hAnsi="Palatino Linotype" w:cs="Arial"/>
        </w:rPr>
        <w:t xml:space="preserve">es decir </w:t>
      </w:r>
      <w:r w:rsidR="00C41131" w:rsidRPr="00765E19">
        <w:rPr>
          <w:rFonts w:ascii="Palatino Linotype" w:hAnsi="Palatino Linotype" w:cs="Arial"/>
        </w:rPr>
        <w:t>dentro del plazo legalmente establecido para tal efecto</w:t>
      </w:r>
      <w:r w:rsidR="00B02BDD" w:rsidRPr="00765E19">
        <w:rPr>
          <w:rFonts w:ascii="Palatino Linotype" w:hAnsi="Palatino Linotype" w:cs="Arial"/>
        </w:rPr>
        <w:t>.</w:t>
      </w:r>
    </w:p>
    <w:p w14:paraId="2657C8AA" w14:textId="77777777" w:rsidR="00374CE8" w:rsidRPr="00765E19" w:rsidRDefault="00374CE8" w:rsidP="00374CE8">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14:paraId="16978246" w14:textId="25729C9F" w:rsidR="00F35C44" w:rsidRPr="00765E19" w:rsidRDefault="00F35C44" w:rsidP="004C6796">
      <w:pPr>
        <w:pStyle w:val="Prrafodelista"/>
        <w:numPr>
          <w:ilvl w:val="0"/>
          <w:numId w:val="25"/>
        </w:numPr>
        <w:spacing w:before="240" w:after="240" w:line="360" w:lineRule="auto"/>
        <w:ind w:left="426" w:hanging="426"/>
        <w:jc w:val="both"/>
        <w:rPr>
          <w:rFonts w:ascii="Palatino Linotype" w:hAnsi="Palatino Linotype"/>
        </w:rPr>
      </w:pPr>
      <w:r w:rsidRPr="00765E19">
        <w:rPr>
          <w:rFonts w:ascii="Palatino Linotype" w:eastAsia="Calibri" w:hAnsi="Palatino Linotype" w:cs="Arial"/>
        </w:rPr>
        <w:t xml:space="preserve">Por otro lado, </w:t>
      </w:r>
      <w:r w:rsidR="00C41131" w:rsidRPr="00765E19">
        <w:rPr>
          <w:rFonts w:ascii="Palatino Linotype" w:eastAsia="Calibri" w:hAnsi="Palatino Linotype" w:cs="Arial"/>
        </w:rPr>
        <w:t>e</w:t>
      </w:r>
      <w:r w:rsidRPr="00765E19">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765E19">
        <w:rPr>
          <w:rFonts w:ascii="Palatino Linotype" w:eastAsia="Calibri" w:hAnsi="Palatino Linotype" w:cs="Arial"/>
        </w:rPr>
        <w:t>é</w:t>
      </w:r>
      <w:r w:rsidRPr="00765E19">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0F14A0DC" w14:textId="5D06883A" w:rsidR="00AF717E" w:rsidRPr="00765E19" w:rsidRDefault="00AF717E" w:rsidP="00AF717E">
      <w:pPr>
        <w:pStyle w:val="Prrafodelista"/>
        <w:rPr>
          <w:rFonts w:ascii="Palatino Linotype" w:hAnsi="Palatino Linotype"/>
        </w:rPr>
      </w:pPr>
    </w:p>
    <w:p w14:paraId="0E7137A8" w14:textId="0DDFEF92" w:rsidR="00C50A2B" w:rsidRPr="00765E19" w:rsidRDefault="00C50A2B" w:rsidP="00C50A2B">
      <w:pPr>
        <w:pStyle w:val="Ttulo1"/>
        <w:spacing w:line="360" w:lineRule="auto"/>
        <w:rPr>
          <w:b/>
          <w:color w:val="000000" w:themeColor="text1"/>
          <w:szCs w:val="24"/>
        </w:rPr>
      </w:pPr>
      <w:bookmarkStart w:id="74" w:name="_Toc500360400"/>
      <w:bookmarkStart w:id="75" w:name="_Toc500786931"/>
      <w:bookmarkStart w:id="76" w:name="_Toc516484339"/>
      <w:bookmarkStart w:id="77" w:name="_Toc495427545"/>
      <w:bookmarkStart w:id="78" w:name="_Toc499296549"/>
      <w:bookmarkStart w:id="79" w:name="_Toc459174366"/>
      <w:bookmarkStart w:id="80" w:name="_Toc459659884"/>
      <w:bookmarkStart w:id="81" w:name="_Toc461687280"/>
      <w:bookmarkStart w:id="82" w:name="_Toc462771051"/>
      <w:bookmarkStart w:id="83" w:name="_Toc464139201"/>
      <w:r w:rsidRPr="00765E19">
        <w:rPr>
          <w:b/>
          <w:color w:val="000000" w:themeColor="text1"/>
          <w:szCs w:val="24"/>
        </w:rPr>
        <w:t xml:space="preserve">TERCERO. </w:t>
      </w:r>
      <w:r w:rsidRPr="00765E19">
        <w:rPr>
          <w:b/>
          <w:szCs w:val="24"/>
        </w:rPr>
        <w:t xml:space="preserve">De las causales del </w:t>
      </w:r>
      <w:proofErr w:type="spellStart"/>
      <w:r w:rsidR="00086383" w:rsidRPr="00765E19">
        <w:rPr>
          <w:b/>
          <w:szCs w:val="24"/>
        </w:rPr>
        <w:t>desechamiento</w:t>
      </w:r>
      <w:proofErr w:type="spellEnd"/>
      <w:r w:rsidRPr="00765E19">
        <w:rPr>
          <w:b/>
          <w:szCs w:val="24"/>
        </w:rPr>
        <w:t>.</w:t>
      </w:r>
      <w:bookmarkEnd w:id="74"/>
      <w:bookmarkEnd w:id="75"/>
      <w:bookmarkEnd w:id="76"/>
    </w:p>
    <w:bookmarkEnd w:id="77"/>
    <w:bookmarkEnd w:id="78"/>
    <w:p w14:paraId="7D0DAE2C" w14:textId="5FFEE4A7" w:rsidR="00C50A2B" w:rsidRPr="00765E19" w:rsidRDefault="00C50A2B" w:rsidP="004C6796">
      <w:pPr>
        <w:pStyle w:val="Prrafodelista"/>
        <w:numPr>
          <w:ilvl w:val="0"/>
          <w:numId w:val="25"/>
        </w:numPr>
        <w:spacing w:before="240" w:after="240" w:line="360" w:lineRule="auto"/>
        <w:ind w:left="426" w:right="49"/>
        <w:jc w:val="both"/>
        <w:rPr>
          <w:rFonts w:ascii="Palatino Linotype" w:hAnsi="Palatino Linotype" w:cs="Arial"/>
        </w:rPr>
      </w:pPr>
      <w:r w:rsidRPr="00765E19">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765E19">
        <w:rPr>
          <w:rFonts w:ascii="Palatino Linotype" w:eastAsia="Calibri" w:hAnsi="Palatino Linotype" w:cs="Arial"/>
        </w:rPr>
        <w:t>Transparencia, Acceso a la Información Pública del Estado de México y Municipios</w:t>
      </w:r>
      <w:r w:rsidRPr="00765E19">
        <w:rPr>
          <w:rFonts w:ascii="Palatino Linotype" w:hAnsi="Palatino Linotype" w:cs="Arial"/>
          <w:szCs w:val="23"/>
        </w:rPr>
        <w:t xml:space="preserve">, y determinar la confirmación; revocación o modificación; </w:t>
      </w:r>
      <w:proofErr w:type="spellStart"/>
      <w:r w:rsidRPr="00765E19">
        <w:rPr>
          <w:rFonts w:ascii="Palatino Linotype" w:hAnsi="Palatino Linotype" w:cs="Arial"/>
          <w:b/>
          <w:szCs w:val="23"/>
          <w:u w:val="single"/>
        </w:rPr>
        <w:t>desechamiento</w:t>
      </w:r>
      <w:proofErr w:type="spellEnd"/>
      <w:r w:rsidRPr="00765E19">
        <w:rPr>
          <w:rFonts w:ascii="Palatino Linotype" w:hAnsi="Palatino Linotype" w:cs="Arial"/>
          <w:szCs w:val="23"/>
        </w:rPr>
        <w:t xml:space="preserve"> o sobreseimiento; y en su caso ordenar la entrega de la información respecto a la respuesta emitida por el </w:t>
      </w:r>
      <w:r w:rsidRPr="00765E19">
        <w:rPr>
          <w:rFonts w:ascii="Palatino Linotype" w:hAnsi="Palatino Linotype" w:cs="Arial"/>
          <w:b/>
          <w:szCs w:val="23"/>
        </w:rPr>
        <w:t>SUJETO</w:t>
      </w:r>
      <w:r w:rsidRPr="00765E19">
        <w:rPr>
          <w:rFonts w:ascii="Palatino Linotype" w:hAnsi="Palatino Linotype" w:cs="Arial"/>
          <w:szCs w:val="23"/>
        </w:rPr>
        <w:t xml:space="preserve"> </w:t>
      </w:r>
      <w:r w:rsidRPr="00765E19">
        <w:rPr>
          <w:rFonts w:ascii="Palatino Linotype" w:hAnsi="Palatino Linotype" w:cs="Arial"/>
          <w:b/>
          <w:szCs w:val="23"/>
        </w:rPr>
        <w:t>OBLIGADO</w:t>
      </w:r>
      <w:r w:rsidRPr="00765E19">
        <w:rPr>
          <w:rFonts w:ascii="Palatino Linotype" w:hAnsi="Palatino Linotype" w:cs="Arial"/>
          <w:szCs w:val="23"/>
        </w:rPr>
        <w:t xml:space="preserve"> de </w:t>
      </w:r>
      <w:r w:rsidRPr="00765E19">
        <w:rPr>
          <w:rFonts w:ascii="Palatino Linotype" w:hAnsi="Palatino Linotype"/>
        </w:rPr>
        <w:t xml:space="preserve">fecha </w:t>
      </w:r>
      <w:r w:rsidR="006257C2" w:rsidRPr="00765E19">
        <w:rPr>
          <w:rFonts w:ascii="Palatino Linotype" w:hAnsi="Palatino Linotype"/>
        </w:rPr>
        <w:t>diecinueve</w:t>
      </w:r>
      <w:r w:rsidRPr="00765E19">
        <w:rPr>
          <w:rFonts w:ascii="Palatino Linotype" w:hAnsi="Palatino Linotype"/>
        </w:rPr>
        <w:t xml:space="preserve"> (</w:t>
      </w:r>
      <w:r w:rsidR="006257C2" w:rsidRPr="00765E19">
        <w:rPr>
          <w:rFonts w:ascii="Palatino Linotype" w:hAnsi="Palatino Linotype"/>
        </w:rPr>
        <w:t>19</w:t>
      </w:r>
      <w:r w:rsidRPr="00765E19">
        <w:rPr>
          <w:rFonts w:ascii="Palatino Linotype" w:hAnsi="Palatino Linotype"/>
        </w:rPr>
        <w:t xml:space="preserve">) de </w:t>
      </w:r>
      <w:r w:rsidR="006257C2" w:rsidRPr="00765E19">
        <w:rPr>
          <w:rFonts w:ascii="Palatino Linotype" w:hAnsi="Palatino Linotype"/>
        </w:rPr>
        <w:t>abril d</w:t>
      </w:r>
      <w:r w:rsidRPr="00765E19">
        <w:rPr>
          <w:rFonts w:ascii="Palatino Linotype" w:hAnsi="Palatino Linotype"/>
        </w:rPr>
        <w:t xml:space="preserve">e dos mil </w:t>
      </w:r>
      <w:r w:rsidR="006257C2" w:rsidRPr="00765E19">
        <w:rPr>
          <w:rFonts w:ascii="Palatino Linotype" w:hAnsi="Palatino Linotype"/>
        </w:rPr>
        <w:t>dieciocho</w:t>
      </w:r>
      <w:r w:rsidRPr="00765E19">
        <w:rPr>
          <w:rFonts w:ascii="Palatino Linotype" w:hAnsi="Palatino Linotype" w:cs="Arial"/>
          <w:szCs w:val="23"/>
        </w:rPr>
        <w:t xml:space="preserve">, de la cual se </w:t>
      </w:r>
      <w:r w:rsidR="00DC60E8" w:rsidRPr="00765E19">
        <w:rPr>
          <w:rFonts w:ascii="Palatino Linotype" w:hAnsi="Palatino Linotype" w:cs="Arial"/>
          <w:szCs w:val="23"/>
        </w:rPr>
        <w:t>manifiesta que</w:t>
      </w:r>
      <w:r w:rsidRPr="00765E19">
        <w:rPr>
          <w:rFonts w:ascii="Palatino Linotype" w:hAnsi="Palatino Linotype" w:cs="Arial"/>
        </w:rPr>
        <w:t xml:space="preserve"> el Ayuntamiento de </w:t>
      </w:r>
      <w:proofErr w:type="spellStart"/>
      <w:r w:rsidR="00E65DDF" w:rsidRPr="00765E19">
        <w:rPr>
          <w:rFonts w:ascii="Palatino Linotype" w:hAnsi="Palatino Linotype" w:cs="Arial"/>
        </w:rPr>
        <w:t>Cocotitlán</w:t>
      </w:r>
      <w:proofErr w:type="spellEnd"/>
      <w:r w:rsidRPr="00765E19">
        <w:rPr>
          <w:rFonts w:ascii="Palatino Linotype" w:hAnsi="Palatino Linotype" w:cs="Arial"/>
        </w:rPr>
        <w:t>, realiz</w:t>
      </w:r>
      <w:r w:rsidR="002058A7" w:rsidRPr="00765E19">
        <w:rPr>
          <w:rFonts w:ascii="Palatino Linotype" w:hAnsi="Palatino Linotype" w:cs="Arial"/>
        </w:rPr>
        <w:t>ó</w:t>
      </w:r>
      <w:r w:rsidRPr="00765E19">
        <w:rPr>
          <w:rFonts w:ascii="Palatino Linotype" w:hAnsi="Palatino Linotype" w:cs="Arial"/>
        </w:rPr>
        <w:t xml:space="preserve"> pronunciamientos concretos en referencia a los requerimientos del</w:t>
      </w:r>
      <w:r w:rsidR="002058A7" w:rsidRPr="00765E19">
        <w:rPr>
          <w:rFonts w:ascii="Palatino Linotype" w:hAnsi="Palatino Linotype" w:cs="Arial"/>
        </w:rPr>
        <w:t xml:space="preserve"> </w:t>
      </w:r>
      <w:r w:rsidRPr="00765E19">
        <w:rPr>
          <w:rFonts w:ascii="Palatino Linotype" w:hAnsi="Palatino Linotype" w:cs="Arial"/>
        </w:rPr>
        <w:t xml:space="preserve">particular, los cuales </w:t>
      </w:r>
      <w:r w:rsidRPr="00765E19">
        <w:rPr>
          <w:rFonts w:ascii="Palatino Linotype" w:hAnsi="Palatino Linotype" w:cs="Arial"/>
          <w:b/>
        </w:rPr>
        <w:t xml:space="preserve">fueron formulados a modo de </w:t>
      </w:r>
      <w:r w:rsidR="00E65DDF" w:rsidRPr="00765E19">
        <w:rPr>
          <w:rFonts w:ascii="Palatino Linotype" w:hAnsi="Palatino Linotype" w:cs="Arial"/>
          <w:b/>
        </w:rPr>
        <w:t>requerimiento</w:t>
      </w:r>
      <w:r w:rsidRPr="00765E19">
        <w:rPr>
          <w:rFonts w:ascii="Palatino Linotype" w:hAnsi="Palatino Linotype" w:cs="Arial"/>
          <w:b/>
        </w:rPr>
        <w:t>.</w:t>
      </w:r>
      <w:r w:rsidRPr="00765E19">
        <w:rPr>
          <w:rFonts w:ascii="Palatino Linotype" w:hAnsi="Palatino Linotype" w:cs="Arial"/>
        </w:rPr>
        <w:t xml:space="preserve"> </w:t>
      </w:r>
    </w:p>
    <w:p w14:paraId="7768451C" w14:textId="77777777" w:rsidR="00C50A2B" w:rsidRPr="00765E19" w:rsidRDefault="00C50A2B" w:rsidP="00C50A2B">
      <w:pPr>
        <w:pStyle w:val="Prrafodelista"/>
        <w:spacing w:before="240" w:after="240" w:line="360" w:lineRule="auto"/>
        <w:ind w:left="284" w:right="49"/>
        <w:jc w:val="both"/>
        <w:rPr>
          <w:rFonts w:ascii="Palatino Linotype" w:hAnsi="Palatino Linotype" w:cs="Arial"/>
        </w:rPr>
      </w:pPr>
    </w:p>
    <w:p w14:paraId="76304432" w14:textId="17B773E4" w:rsidR="00C50A2B" w:rsidRPr="00765E19" w:rsidRDefault="00C50A2B" w:rsidP="004C6796">
      <w:pPr>
        <w:pStyle w:val="Prrafodelista"/>
        <w:numPr>
          <w:ilvl w:val="0"/>
          <w:numId w:val="25"/>
        </w:numPr>
        <w:spacing w:before="240" w:after="240" w:line="360" w:lineRule="auto"/>
        <w:ind w:left="426" w:right="49"/>
        <w:jc w:val="both"/>
        <w:rPr>
          <w:rFonts w:ascii="Palatino Linotype" w:eastAsia="MS Mincho" w:hAnsi="Palatino Linotype" w:cs="Times New Roman"/>
          <w:color w:val="000000"/>
        </w:rPr>
      </w:pPr>
      <w:r w:rsidRPr="00765E19">
        <w:rPr>
          <w:rFonts w:ascii="Palatino Linotype" w:eastAsia="Calibri" w:hAnsi="Palatino Linotype" w:cs="Arial"/>
          <w:szCs w:val="22"/>
          <w:lang w:val="es-MX" w:eastAsia="en-US"/>
        </w:rPr>
        <w:lastRenderedPageBreak/>
        <w:t xml:space="preserve">Asimismo, es de señalar que </w:t>
      </w:r>
      <w:r w:rsidRPr="00765E19">
        <w:rPr>
          <w:rFonts w:ascii="Palatino Linotype" w:eastAsia="MS Mincho" w:hAnsi="Palatino Linotype" w:cs="Times New Roman"/>
        </w:rPr>
        <w:t xml:space="preserve">para actualizar el </w:t>
      </w:r>
      <w:proofErr w:type="spellStart"/>
      <w:r w:rsidR="00E65DDF" w:rsidRPr="00765E19">
        <w:rPr>
          <w:rFonts w:ascii="Palatino Linotype" w:eastAsia="MS Mincho" w:hAnsi="Palatino Linotype" w:cs="Times New Roman"/>
        </w:rPr>
        <w:t>desechamiento</w:t>
      </w:r>
      <w:proofErr w:type="spellEnd"/>
      <w:r w:rsidR="00805A0C" w:rsidRPr="00765E19">
        <w:rPr>
          <w:rFonts w:ascii="Palatino Linotype" w:eastAsia="MS Mincho" w:hAnsi="Palatino Linotype" w:cs="Times New Roman"/>
        </w:rPr>
        <w:t xml:space="preserve"> de un recurso de revisión, </w:t>
      </w:r>
      <w:r w:rsidR="00DC60E8" w:rsidRPr="00765E19">
        <w:rPr>
          <w:rFonts w:ascii="Palatino Linotype" w:eastAsia="Calibri" w:hAnsi="Palatino Linotype" w:cs="Arial"/>
          <w:lang w:val="es-ES"/>
        </w:rPr>
        <w:t xml:space="preserve"> debe ser ajeno en su acto impugnado y en sus razones o motivos de inconformidad de cualquiera de las causales contenidas en el artículo 179</w:t>
      </w:r>
      <w:r w:rsidR="00086383" w:rsidRPr="00765E19">
        <w:rPr>
          <w:rFonts w:ascii="Palatino Linotype" w:eastAsia="Calibri" w:hAnsi="Palatino Linotype" w:cs="Arial"/>
          <w:lang w:val="es-ES"/>
        </w:rPr>
        <w:t xml:space="preserve"> de la Ley de Transparencia y Acceso a la Información Pública del Estado de México y Municipios</w:t>
      </w:r>
      <w:r w:rsidR="00DC60E8" w:rsidRPr="00765E19">
        <w:rPr>
          <w:rFonts w:ascii="Palatino Linotype" w:eastAsia="Calibri" w:hAnsi="Palatino Linotype" w:cs="Arial"/>
          <w:lang w:val="es-ES"/>
        </w:rPr>
        <w:t>, aunado a</w:t>
      </w:r>
      <w:r w:rsidR="00086383" w:rsidRPr="00765E19">
        <w:rPr>
          <w:rFonts w:ascii="Palatino Linotype" w:eastAsia="Calibri" w:hAnsi="Palatino Linotype" w:cs="Arial"/>
          <w:lang w:val="es-ES"/>
        </w:rPr>
        <w:t xml:space="preserve"> que</w:t>
      </w:r>
      <w:r w:rsidR="00DC60E8" w:rsidRPr="00765E19">
        <w:rPr>
          <w:rFonts w:ascii="Palatino Linotype" w:eastAsia="Calibri" w:hAnsi="Palatino Linotype" w:cs="Arial"/>
          <w:lang w:val="es-ES"/>
        </w:rPr>
        <w:t xml:space="preserve"> debe actualizar alguno de los supuestos contenidos en el artículo 191 de la Ley </w:t>
      </w:r>
      <w:r w:rsidR="00086383" w:rsidRPr="00765E19">
        <w:rPr>
          <w:rFonts w:ascii="Palatino Linotype" w:eastAsia="Calibri" w:hAnsi="Palatino Linotype" w:cs="Arial"/>
          <w:lang w:val="es-ES"/>
        </w:rPr>
        <w:t>en comento, situación que ocurrió en el caso concreto y que a continuación se amplía,</w:t>
      </w:r>
    </w:p>
    <w:p w14:paraId="594D542B" w14:textId="77777777" w:rsidR="00223ACC" w:rsidRPr="00765E19" w:rsidRDefault="00223ACC" w:rsidP="00223ACC">
      <w:pPr>
        <w:pStyle w:val="Prrafodelista"/>
        <w:rPr>
          <w:rFonts w:ascii="Palatino Linotype" w:eastAsia="MS Mincho" w:hAnsi="Palatino Linotype" w:cs="Times New Roman"/>
          <w:color w:val="000000"/>
        </w:rPr>
      </w:pPr>
    </w:p>
    <w:p w14:paraId="060299C5" w14:textId="2084AACF" w:rsidR="00AD5712" w:rsidRPr="00765E19" w:rsidRDefault="00223ACC" w:rsidP="00A96264">
      <w:pPr>
        <w:pStyle w:val="Prrafodelista"/>
        <w:numPr>
          <w:ilvl w:val="0"/>
          <w:numId w:val="25"/>
        </w:numPr>
        <w:spacing w:before="240" w:after="240" w:line="360" w:lineRule="auto"/>
        <w:ind w:left="426" w:right="49"/>
        <w:jc w:val="both"/>
        <w:rPr>
          <w:rFonts w:ascii="Palatino Linotype" w:eastAsia="MS Mincho" w:hAnsi="Palatino Linotype" w:cs="Times New Roman"/>
          <w:color w:val="000000"/>
        </w:rPr>
      </w:pPr>
      <w:r w:rsidRPr="00765E19">
        <w:rPr>
          <w:rFonts w:ascii="Palatino Linotype" w:eastAsia="MS Mincho" w:hAnsi="Palatino Linotype" w:cs="Times New Roman"/>
          <w:color w:val="000000"/>
        </w:rPr>
        <w:t>Primeramente referir que con relación a</w:t>
      </w:r>
      <w:r w:rsidR="00FC2E20" w:rsidRPr="00765E19">
        <w:rPr>
          <w:rFonts w:ascii="Palatino Linotype" w:eastAsia="MS Mincho" w:hAnsi="Palatino Linotype" w:cs="Times New Roman"/>
          <w:color w:val="000000"/>
        </w:rPr>
        <w:t xml:space="preserve"> la solicitud consistente en: </w:t>
      </w:r>
      <w:r w:rsidR="00DC60E8" w:rsidRPr="00765E19">
        <w:rPr>
          <w:rFonts w:ascii="Palatino Linotype" w:eastAsia="MS Mincho" w:hAnsi="Palatino Linotype" w:cs="Times New Roman"/>
          <w:i/>
          <w:color w:val="000000"/>
        </w:rPr>
        <w:t xml:space="preserve">“Remuneraciones de cada uno de los servidores públicos de DIF municipal de </w:t>
      </w:r>
      <w:proofErr w:type="spellStart"/>
      <w:r w:rsidR="00DC60E8" w:rsidRPr="00765E19">
        <w:rPr>
          <w:rFonts w:ascii="Palatino Linotype" w:eastAsia="MS Mincho" w:hAnsi="Palatino Linotype" w:cs="Times New Roman"/>
          <w:i/>
          <w:color w:val="000000"/>
        </w:rPr>
        <w:t>cocotitlan</w:t>
      </w:r>
      <w:proofErr w:type="spellEnd"/>
      <w:r w:rsidRPr="00765E19">
        <w:rPr>
          <w:rFonts w:ascii="Palatino Linotype" w:hAnsi="Palatino Linotype"/>
          <w:i/>
          <w:color w:val="000000"/>
          <w:szCs w:val="22"/>
        </w:rPr>
        <w:t>”</w:t>
      </w:r>
      <w:r w:rsidR="00DC60E8" w:rsidRPr="00765E19">
        <w:rPr>
          <w:rFonts w:ascii="Palatino Linotype" w:hAnsi="Palatino Linotype"/>
          <w:color w:val="000000"/>
          <w:szCs w:val="22"/>
        </w:rPr>
        <w:t xml:space="preserve"> (Sic)</w:t>
      </w:r>
      <w:r w:rsidRPr="00765E19">
        <w:rPr>
          <w:rFonts w:ascii="Palatino Linotype" w:hAnsi="Palatino Linotype"/>
          <w:i/>
          <w:color w:val="000000"/>
          <w:szCs w:val="22"/>
        </w:rPr>
        <w:t xml:space="preserve">, </w:t>
      </w:r>
      <w:r w:rsidR="00DC60E8" w:rsidRPr="00765E19">
        <w:rPr>
          <w:rFonts w:ascii="Palatino Linotype" w:hAnsi="Palatino Linotype"/>
          <w:i/>
          <w:color w:val="000000"/>
          <w:szCs w:val="22"/>
        </w:rPr>
        <w:t>é</w:t>
      </w:r>
      <w:r w:rsidR="00FC2E20" w:rsidRPr="00765E19">
        <w:rPr>
          <w:rFonts w:ascii="Palatino Linotype" w:hAnsi="Palatino Linotype"/>
          <w:color w:val="000000"/>
          <w:szCs w:val="22"/>
        </w:rPr>
        <w:t xml:space="preserve">sta se tiene por colmada toda vez </w:t>
      </w:r>
      <w:r w:rsidRPr="00765E19">
        <w:rPr>
          <w:rFonts w:ascii="Palatino Linotype" w:hAnsi="Palatino Linotype"/>
          <w:color w:val="000000"/>
          <w:szCs w:val="22"/>
        </w:rPr>
        <w:t xml:space="preserve">que del </w:t>
      </w:r>
      <w:r w:rsidR="00DC60E8" w:rsidRPr="00765E19">
        <w:rPr>
          <w:rFonts w:ascii="Palatino Linotype" w:hAnsi="Palatino Linotype"/>
          <w:color w:val="000000"/>
          <w:szCs w:val="22"/>
        </w:rPr>
        <w:t>documento PDF re</w:t>
      </w:r>
      <w:r w:rsidRPr="00765E19">
        <w:rPr>
          <w:rFonts w:ascii="Palatino Linotype" w:hAnsi="Palatino Linotype"/>
          <w:color w:val="000000"/>
          <w:szCs w:val="22"/>
        </w:rPr>
        <w:t>mitido en la respuesta primigenia</w:t>
      </w:r>
      <w:r w:rsidR="00412696" w:rsidRPr="00765E19">
        <w:rPr>
          <w:rFonts w:ascii="Palatino Linotype" w:hAnsi="Palatino Linotype"/>
          <w:color w:val="000000"/>
          <w:szCs w:val="22"/>
        </w:rPr>
        <w:t>,</w:t>
      </w:r>
      <w:r w:rsidRPr="00765E19">
        <w:rPr>
          <w:rFonts w:ascii="Palatino Linotype" w:hAnsi="Palatino Linotype"/>
          <w:color w:val="000000"/>
          <w:szCs w:val="22"/>
        </w:rPr>
        <w:t xml:space="preserve"> el </w:t>
      </w:r>
      <w:r w:rsidRPr="00765E19">
        <w:rPr>
          <w:rFonts w:ascii="Palatino Linotype" w:hAnsi="Palatino Linotype"/>
          <w:b/>
          <w:color w:val="000000"/>
          <w:szCs w:val="22"/>
        </w:rPr>
        <w:t>SUJETO OBLIGADO</w:t>
      </w:r>
      <w:r w:rsidR="000E1389" w:rsidRPr="00765E19">
        <w:rPr>
          <w:rFonts w:ascii="Palatino Linotype" w:hAnsi="Palatino Linotype"/>
          <w:b/>
          <w:color w:val="000000"/>
          <w:szCs w:val="22"/>
        </w:rPr>
        <w:t xml:space="preserve"> </w:t>
      </w:r>
      <w:r w:rsidR="000E1389" w:rsidRPr="00765E19">
        <w:rPr>
          <w:rFonts w:ascii="Palatino Linotype" w:hAnsi="Palatino Linotype"/>
          <w:color w:val="000000"/>
          <w:szCs w:val="22"/>
        </w:rPr>
        <w:t xml:space="preserve">adjuntó al oficio de respuesta </w:t>
      </w:r>
      <w:r w:rsidR="00086383" w:rsidRPr="00765E19">
        <w:rPr>
          <w:rFonts w:ascii="Palatino Linotype" w:hAnsi="Palatino Linotype"/>
          <w:color w:val="000000"/>
          <w:szCs w:val="22"/>
        </w:rPr>
        <w:t>el</w:t>
      </w:r>
      <w:r w:rsidR="000E1389" w:rsidRPr="00765E19">
        <w:rPr>
          <w:rFonts w:ascii="Palatino Linotype" w:hAnsi="Palatino Linotype"/>
          <w:color w:val="000000"/>
          <w:szCs w:val="22"/>
        </w:rPr>
        <w:t xml:space="preserve"> </w:t>
      </w:r>
      <w:r w:rsidR="00086383" w:rsidRPr="00765E19">
        <w:rPr>
          <w:rFonts w:ascii="Palatino Linotype" w:hAnsi="Palatino Linotype"/>
          <w:color w:val="000000"/>
          <w:szCs w:val="22"/>
        </w:rPr>
        <w:t>desglose</w:t>
      </w:r>
      <w:r w:rsidR="000E1389" w:rsidRPr="00765E19">
        <w:rPr>
          <w:rFonts w:ascii="Palatino Linotype" w:hAnsi="Palatino Linotype"/>
          <w:color w:val="000000"/>
          <w:szCs w:val="22"/>
        </w:rPr>
        <w:t xml:space="preserve"> de información</w:t>
      </w:r>
      <w:r w:rsidR="00086383" w:rsidRPr="00765E19">
        <w:rPr>
          <w:rFonts w:ascii="Palatino Linotype" w:hAnsi="Palatino Linotype"/>
          <w:color w:val="000000"/>
          <w:szCs w:val="22"/>
        </w:rPr>
        <w:t xml:space="preserve"> de sueldos y salarios del personal del Instituto del Desarrollo Integral de la Familia, </w:t>
      </w:r>
      <w:r w:rsidR="000E1389" w:rsidRPr="00765E19">
        <w:rPr>
          <w:rFonts w:ascii="Palatino Linotype" w:hAnsi="Palatino Linotype"/>
          <w:color w:val="000000"/>
          <w:szCs w:val="22"/>
        </w:rPr>
        <w:t xml:space="preserve">mediante la cual se aprecian las </w:t>
      </w:r>
      <w:r w:rsidR="00086383" w:rsidRPr="00765E19">
        <w:rPr>
          <w:rFonts w:ascii="Palatino Linotype" w:hAnsi="Palatino Linotype"/>
          <w:color w:val="000000"/>
          <w:szCs w:val="22"/>
        </w:rPr>
        <w:t>remuneraciones de cada uno de los servidores públicos que</w:t>
      </w:r>
      <w:r w:rsidR="00095DD5" w:rsidRPr="00765E19">
        <w:rPr>
          <w:rFonts w:ascii="Palatino Linotype" w:hAnsi="Palatino Linotype"/>
          <w:color w:val="000000"/>
          <w:szCs w:val="22"/>
        </w:rPr>
        <w:t xml:space="preserve"> </w:t>
      </w:r>
      <w:r w:rsidR="00086383" w:rsidRPr="00765E19">
        <w:rPr>
          <w:rFonts w:ascii="Palatino Linotype" w:hAnsi="Palatino Linotype"/>
          <w:color w:val="000000"/>
          <w:szCs w:val="22"/>
        </w:rPr>
        <w:t>l</w:t>
      </w:r>
      <w:r w:rsidR="00095DD5" w:rsidRPr="00765E19">
        <w:rPr>
          <w:rFonts w:ascii="Palatino Linotype" w:hAnsi="Palatino Linotype"/>
          <w:color w:val="000000"/>
          <w:szCs w:val="22"/>
        </w:rPr>
        <w:t>a</w:t>
      </w:r>
      <w:r w:rsidR="00086383" w:rsidRPr="00765E19">
        <w:rPr>
          <w:rFonts w:ascii="Palatino Linotype" w:hAnsi="Palatino Linotype"/>
          <w:color w:val="000000"/>
          <w:szCs w:val="22"/>
        </w:rPr>
        <w:t xml:space="preserve"> hoy </w:t>
      </w:r>
      <w:r w:rsidR="00086383" w:rsidRPr="00765E19">
        <w:rPr>
          <w:rFonts w:ascii="Palatino Linotype" w:hAnsi="Palatino Linotype"/>
          <w:b/>
          <w:color w:val="000000"/>
          <w:szCs w:val="22"/>
        </w:rPr>
        <w:t>RECURRENTE</w:t>
      </w:r>
      <w:r w:rsidR="00086383" w:rsidRPr="00765E19">
        <w:rPr>
          <w:rFonts w:ascii="Palatino Linotype" w:hAnsi="Palatino Linotype"/>
          <w:color w:val="000000"/>
          <w:szCs w:val="22"/>
        </w:rPr>
        <w:t xml:space="preserve"> requirió en su solicitud de información</w:t>
      </w:r>
      <w:r w:rsidR="00FE7171" w:rsidRPr="00765E19">
        <w:rPr>
          <w:rFonts w:ascii="Palatino Linotype" w:hAnsi="Palatino Linotype"/>
          <w:color w:val="000000"/>
          <w:szCs w:val="22"/>
        </w:rPr>
        <w:t>;</w:t>
      </w:r>
      <w:r w:rsidR="00663470" w:rsidRPr="00765E19">
        <w:rPr>
          <w:rFonts w:ascii="Palatino Linotype" w:hAnsi="Palatino Linotype"/>
          <w:color w:val="000000"/>
          <w:szCs w:val="22"/>
        </w:rPr>
        <w:t xml:space="preserve"> soporte documental al que el </w:t>
      </w:r>
      <w:r w:rsidR="00663470" w:rsidRPr="00765E19">
        <w:rPr>
          <w:rFonts w:ascii="Palatino Linotype" w:hAnsi="Palatino Linotype"/>
          <w:b/>
          <w:color w:val="000000"/>
          <w:szCs w:val="22"/>
        </w:rPr>
        <w:t xml:space="preserve">SUJETO OBLIGADO </w:t>
      </w:r>
      <w:r w:rsidR="00663470" w:rsidRPr="00765E19">
        <w:rPr>
          <w:rFonts w:ascii="Palatino Linotype" w:hAnsi="Palatino Linotype"/>
          <w:color w:val="000000"/>
          <w:szCs w:val="22"/>
        </w:rPr>
        <w:t xml:space="preserve">en el </w:t>
      </w:r>
      <w:r w:rsidR="00EE4F40" w:rsidRPr="00765E19">
        <w:rPr>
          <w:rFonts w:ascii="Palatino Linotype" w:hAnsi="Palatino Linotype"/>
          <w:color w:val="000000"/>
          <w:szCs w:val="22"/>
        </w:rPr>
        <w:t>acuse</w:t>
      </w:r>
      <w:r w:rsidR="00663470" w:rsidRPr="00765E19">
        <w:rPr>
          <w:rFonts w:ascii="Palatino Linotype" w:hAnsi="Palatino Linotype"/>
          <w:color w:val="000000"/>
          <w:szCs w:val="22"/>
        </w:rPr>
        <w:t xml:space="preserve"> de respuesta plasmado en el anterior párrafo </w:t>
      </w:r>
      <w:r w:rsidR="00EE4F40" w:rsidRPr="00765E19">
        <w:rPr>
          <w:rFonts w:ascii="Palatino Linotype" w:hAnsi="Palatino Linotype"/>
          <w:color w:val="000000"/>
          <w:szCs w:val="22"/>
        </w:rPr>
        <w:t>tercero</w:t>
      </w:r>
      <w:r w:rsidR="00663470" w:rsidRPr="00765E19">
        <w:rPr>
          <w:rFonts w:ascii="Palatino Linotype" w:hAnsi="Palatino Linotype"/>
          <w:color w:val="000000"/>
          <w:szCs w:val="22"/>
        </w:rPr>
        <w:t xml:space="preserve"> (0</w:t>
      </w:r>
      <w:r w:rsidR="00EE4F40" w:rsidRPr="00765E19">
        <w:rPr>
          <w:rFonts w:ascii="Palatino Linotype" w:hAnsi="Palatino Linotype"/>
          <w:color w:val="000000"/>
          <w:szCs w:val="22"/>
        </w:rPr>
        <w:t>3</w:t>
      </w:r>
      <w:r w:rsidR="00663470" w:rsidRPr="00765E19">
        <w:rPr>
          <w:rFonts w:ascii="Palatino Linotype" w:hAnsi="Palatino Linotype"/>
          <w:color w:val="000000"/>
          <w:szCs w:val="22"/>
        </w:rPr>
        <w:t xml:space="preserve">) refiriera de la siguiente manera: </w:t>
      </w:r>
      <w:r w:rsidR="00663470" w:rsidRPr="00765E19">
        <w:rPr>
          <w:rFonts w:ascii="Palatino Linotype" w:hAnsi="Palatino Linotype"/>
          <w:i/>
          <w:color w:val="000000"/>
          <w:szCs w:val="22"/>
        </w:rPr>
        <w:t>“</w:t>
      </w:r>
      <w:r w:rsidR="00EE4F40" w:rsidRPr="00765E19">
        <w:rPr>
          <w:rFonts w:ascii="Palatino Linotype" w:hAnsi="Palatino Linotype"/>
          <w:i/>
          <w:color w:val="000000"/>
          <w:szCs w:val="22"/>
        </w:rPr>
        <w:t>(…) sírvase a encontrar en archivo adjunto copia digitalizada en formato .</w:t>
      </w:r>
      <w:proofErr w:type="spellStart"/>
      <w:r w:rsidR="00EE4F40" w:rsidRPr="00765E19">
        <w:rPr>
          <w:rFonts w:ascii="Palatino Linotype" w:hAnsi="Palatino Linotype"/>
          <w:i/>
          <w:color w:val="000000"/>
          <w:szCs w:val="22"/>
        </w:rPr>
        <w:t>pdf</w:t>
      </w:r>
      <w:proofErr w:type="spellEnd"/>
      <w:r w:rsidR="00EE4F40" w:rsidRPr="00765E19">
        <w:rPr>
          <w:rFonts w:ascii="Palatino Linotype" w:hAnsi="Palatino Linotype"/>
          <w:i/>
          <w:color w:val="000000"/>
          <w:szCs w:val="22"/>
        </w:rPr>
        <w:t xml:space="preserve"> emitido por la Servidora Pública Habilitada, Presidenta del DIF Municipal, en el cual se detalla y da respuesta a su solicitud de información, así como los archivos anexos que dan respuesta a la misma. (…)”.</w:t>
      </w:r>
    </w:p>
    <w:p w14:paraId="0D368A14" w14:textId="77777777" w:rsidR="00223ACC" w:rsidRPr="00765E19" w:rsidRDefault="00223ACC" w:rsidP="00223ACC">
      <w:pPr>
        <w:pStyle w:val="Prrafodelista"/>
        <w:rPr>
          <w:rFonts w:ascii="Palatino Linotype" w:eastAsia="MS Mincho" w:hAnsi="Palatino Linotype" w:cs="Times New Roman"/>
          <w:color w:val="000000"/>
        </w:rPr>
      </w:pPr>
    </w:p>
    <w:p w14:paraId="2C85A9D9" w14:textId="66C14B9C" w:rsidR="00B23E88" w:rsidRPr="00765E19" w:rsidRDefault="0032586C"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cs="Arial"/>
          <w:noProof/>
          <w:lang w:eastAsia="es-MX"/>
        </w:rPr>
        <w:t>De lo anterior se advierte</w:t>
      </w:r>
      <w:r w:rsidR="002F7D11" w:rsidRPr="00765E19">
        <w:rPr>
          <w:rFonts w:ascii="Palatino Linotype" w:hAnsi="Palatino Linotype" w:cs="Arial"/>
          <w:noProof/>
          <w:lang w:eastAsia="es-MX"/>
        </w:rPr>
        <w:t xml:space="preserve"> que</w:t>
      </w:r>
      <w:r w:rsidRPr="00765E19">
        <w:rPr>
          <w:rFonts w:ascii="Palatino Linotype" w:hAnsi="Palatino Linotype" w:cs="Arial"/>
          <w:noProof/>
          <w:lang w:eastAsia="es-MX"/>
        </w:rPr>
        <w:t xml:space="preserve"> el </w:t>
      </w:r>
      <w:r w:rsidRPr="00765E19">
        <w:rPr>
          <w:rFonts w:ascii="Palatino Linotype" w:hAnsi="Palatino Linotype" w:cs="Arial"/>
          <w:b/>
          <w:noProof/>
          <w:lang w:eastAsia="es-MX"/>
        </w:rPr>
        <w:t>SUJETO OBLIGADO</w:t>
      </w:r>
      <w:r w:rsidRPr="00765E19">
        <w:rPr>
          <w:rFonts w:ascii="Palatino Linotype" w:hAnsi="Palatino Linotype" w:cs="Arial"/>
          <w:noProof/>
          <w:lang w:eastAsia="es-MX"/>
        </w:rPr>
        <w:t xml:space="preserve"> </w:t>
      </w:r>
      <w:r w:rsidR="002F7D11" w:rsidRPr="00765E19">
        <w:rPr>
          <w:rFonts w:ascii="Palatino Linotype" w:hAnsi="Palatino Linotype" w:cs="Arial"/>
          <w:noProof/>
          <w:lang w:eastAsia="es-MX"/>
        </w:rPr>
        <w:t>ma</w:t>
      </w:r>
      <w:r w:rsidR="00EE5F95" w:rsidRPr="00765E19">
        <w:rPr>
          <w:rFonts w:ascii="Palatino Linotype" w:hAnsi="Palatino Linotype" w:cs="Arial"/>
          <w:noProof/>
          <w:lang w:eastAsia="es-MX"/>
        </w:rPr>
        <w:t>nifestó de manera puntual los sueldos y s</w:t>
      </w:r>
      <w:r w:rsidR="00095DD5" w:rsidRPr="00765E19">
        <w:rPr>
          <w:rFonts w:ascii="Palatino Linotype" w:hAnsi="Palatino Linotype" w:cs="Arial"/>
          <w:noProof/>
          <w:lang w:eastAsia="es-MX"/>
        </w:rPr>
        <w:t>a</w:t>
      </w:r>
      <w:r w:rsidR="00EE5F95" w:rsidRPr="00765E19">
        <w:rPr>
          <w:rFonts w:ascii="Palatino Linotype" w:hAnsi="Palatino Linotype" w:cs="Arial"/>
          <w:noProof/>
          <w:lang w:eastAsia="es-MX"/>
        </w:rPr>
        <w:t xml:space="preserve">larios de todos lo servidores públicos integrantes del </w:t>
      </w:r>
      <w:r w:rsidR="00095DD5" w:rsidRPr="00765E19">
        <w:rPr>
          <w:rFonts w:ascii="Palatino Linotype" w:hAnsi="Palatino Linotype" w:cs="Arial"/>
          <w:noProof/>
          <w:lang w:eastAsia="es-MX"/>
        </w:rPr>
        <w:lastRenderedPageBreak/>
        <w:t>Sistema Municipal para el Desarrollo Integral</w:t>
      </w:r>
      <w:r w:rsidR="00EE5F95" w:rsidRPr="00765E19">
        <w:rPr>
          <w:rFonts w:ascii="Palatino Linotype" w:hAnsi="Palatino Linotype" w:cs="Arial"/>
          <w:noProof/>
          <w:lang w:eastAsia="es-MX"/>
        </w:rPr>
        <w:t xml:space="preserve"> de</w:t>
      </w:r>
      <w:r w:rsidR="00BB3295" w:rsidRPr="00765E19">
        <w:rPr>
          <w:rFonts w:ascii="Palatino Linotype" w:hAnsi="Palatino Linotype" w:cs="Arial"/>
          <w:noProof/>
          <w:lang w:eastAsia="es-MX"/>
        </w:rPr>
        <w:t xml:space="preserve"> la Familia, po</w:t>
      </w:r>
      <w:r w:rsidR="00095DD5" w:rsidRPr="00765E19">
        <w:rPr>
          <w:rFonts w:ascii="Palatino Linotype" w:hAnsi="Palatino Linotype" w:cs="Arial"/>
          <w:noProof/>
          <w:lang w:eastAsia="es-MX"/>
        </w:rPr>
        <w:t>r medio del archivo correspondiente a sus obligaciones de cuenta pública con el Órgano Superior de Fiscalizaci</w:t>
      </w:r>
      <w:r w:rsidR="00BB3295" w:rsidRPr="00765E19">
        <w:rPr>
          <w:rFonts w:ascii="Palatino Linotype" w:hAnsi="Palatino Linotype" w:cs="Arial"/>
          <w:noProof/>
          <w:lang w:eastAsia="es-MX"/>
        </w:rPr>
        <w:t>ón.</w:t>
      </w:r>
    </w:p>
    <w:p w14:paraId="207E8F51" w14:textId="77777777" w:rsidR="00BB3295" w:rsidRPr="00765E19" w:rsidRDefault="00BB3295" w:rsidP="00BB3295">
      <w:pPr>
        <w:pStyle w:val="Prrafodelista"/>
        <w:spacing w:line="360" w:lineRule="auto"/>
        <w:ind w:left="426" w:right="49"/>
        <w:jc w:val="both"/>
        <w:rPr>
          <w:rFonts w:ascii="Palatino Linotype" w:hAnsi="Palatino Linotype"/>
        </w:rPr>
      </w:pPr>
    </w:p>
    <w:p w14:paraId="089567F1" w14:textId="53CFD88A" w:rsidR="00BB3295" w:rsidRPr="00765E19" w:rsidRDefault="00BB3295"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rPr>
        <w:t xml:space="preserve">No resulta ocioso mencionar que la Ley de Fiscalización Superior del Estado de México </w:t>
      </w:r>
      <w:r w:rsidRPr="00765E19">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765E19">
        <w:rPr>
          <w:rFonts w:ascii="Palatino Linotype" w:hAnsi="Palatino Linotype" w:cs="Bookman Old Style"/>
          <w:b/>
          <w:lang w:val="es-MX"/>
        </w:rPr>
        <w:t xml:space="preserve">Informe Mensual. </w:t>
      </w:r>
      <w:r w:rsidRPr="00765E19">
        <w:rPr>
          <w:rFonts w:ascii="Palatino Linotype" w:hAnsi="Palatino Linotype" w:cs="Bookman Old Style"/>
          <w:lang w:val="es-MX"/>
        </w:rPr>
        <w:t>El artículo 32 párrafo segundo de la ley en cita establece lo siguiente:</w:t>
      </w:r>
    </w:p>
    <w:p w14:paraId="5FE85422" w14:textId="77777777" w:rsidR="00BB3295" w:rsidRPr="00765E19" w:rsidRDefault="00BB3295" w:rsidP="00BB3295">
      <w:pPr>
        <w:pStyle w:val="Sinespaciado"/>
        <w:ind w:left="851" w:right="567"/>
        <w:jc w:val="both"/>
        <w:rPr>
          <w:rFonts w:ascii="Palatino Linotype" w:hAnsi="Palatino Linotype"/>
          <w:i/>
          <w:sz w:val="22"/>
          <w:lang w:val="es-MX"/>
        </w:rPr>
      </w:pPr>
      <w:r w:rsidRPr="00765E19">
        <w:rPr>
          <w:rFonts w:ascii="Palatino Linotype" w:hAnsi="Palatino Linotype"/>
          <w:i/>
          <w:sz w:val="22"/>
          <w:lang w:val="es-MX"/>
        </w:rPr>
        <w:t>“Articulo 32.-</w:t>
      </w:r>
    </w:p>
    <w:p w14:paraId="6EF09210" w14:textId="77777777" w:rsidR="00BB3295" w:rsidRPr="00765E19" w:rsidRDefault="00BB3295" w:rsidP="00BB3295">
      <w:pPr>
        <w:pStyle w:val="Sinespaciado"/>
        <w:ind w:left="851" w:right="567"/>
        <w:jc w:val="both"/>
        <w:rPr>
          <w:rFonts w:ascii="Palatino Linotype" w:hAnsi="Palatino Linotype"/>
          <w:i/>
          <w:sz w:val="22"/>
          <w:lang w:val="es-MX"/>
        </w:rPr>
      </w:pPr>
      <w:r w:rsidRPr="00765E19">
        <w:rPr>
          <w:rFonts w:ascii="Palatino Linotype" w:hAnsi="Palatino Linotype"/>
          <w:i/>
          <w:sz w:val="22"/>
          <w:lang w:val="es-MX"/>
        </w:rPr>
        <w:t>(…)</w:t>
      </w:r>
    </w:p>
    <w:p w14:paraId="4D2D096F" w14:textId="1E20575E" w:rsidR="00BB3295" w:rsidRPr="00765E19" w:rsidRDefault="00BB3295" w:rsidP="00BB3295">
      <w:pPr>
        <w:pStyle w:val="Sinespaciado"/>
        <w:ind w:left="851" w:right="567"/>
        <w:jc w:val="both"/>
        <w:rPr>
          <w:rFonts w:ascii="Palatino Linotype" w:hAnsi="Palatino Linotype"/>
          <w:i/>
          <w:sz w:val="22"/>
          <w:lang w:val="es-MX"/>
        </w:rPr>
      </w:pPr>
      <w:r w:rsidRPr="00765E19">
        <w:rPr>
          <w:rFonts w:ascii="Palatino Linotype" w:hAnsi="Palatino Linotype"/>
          <w:i/>
          <w:sz w:val="22"/>
          <w:lang w:val="es-MX"/>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2BB0B0C0" w14:textId="017541BD" w:rsidR="00B23E88" w:rsidRPr="00765E19" w:rsidRDefault="00B23E88" w:rsidP="00B23E88">
      <w:pPr>
        <w:pStyle w:val="Prrafodelista"/>
        <w:spacing w:line="360" w:lineRule="auto"/>
        <w:ind w:left="426" w:right="49"/>
        <w:jc w:val="both"/>
        <w:rPr>
          <w:rFonts w:ascii="Palatino Linotype" w:hAnsi="Palatino Linotype"/>
        </w:rPr>
      </w:pPr>
    </w:p>
    <w:p w14:paraId="34797703" w14:textId="698AEEE2" w:rsidR="00B23E88" w:rsidRPr="00765E19" w:rsidRDefault="000442EC"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color w:val="000000" w:themeColor="text1"/>
        </w:rPr>
        <w:t xml:space="preserve">Es así que, para </w:t>
      </w:r>
      <w:r w:rsidRPr="00765E19">
        <w:rPr>
          <w:rFonts w:ascii="Palatino Linotype" w:hAnsi="Palatino Linotype" w:cs="Bookman Old Style"/>
          <w:lang w:val="es-MX"/>
        </w:rPr>
        <w:t>tal efecto el Órgano Superior de Fiscalización establece los lineamientos, criterios, procedimientos, métodos y sistemas para las acciones de control y evaluación, necesarios para la fiscalización de las cuentas públicas y los informes trimestrales y mensuales</w:t>
      </w:r>
    </w:p>
    <w:p w14:paraId="48A458F2" w14:textId="0A67B0A0" w:rsidR="00B23E88" w:rsidRPr="00765E19" w:rsidRDefault="00B23E88" w:rsidP="00B23E88">
      <w:pPr>
        <w:pStyle w:val="Prrafodelista"/>
        <w:spacing w:line="360" w:lineRule="auto"/>
        <w:ind w:left="426" w:right="49"/>
        <w:jc w:val="both"/>
        <w:rPr>
          <w:rFonts w:ascii="Palatino Linotype" w:hAnsi="Palatino Linotype"/>
        </w:rPr>
      </w:pPr>
    </w:p>
    <w:p w14:paraId="7D1E0CB3" w14:textId="6D31A1B4" w:rsidR="00B23E88" w:rsidRPr="00765E19" w:rsidRDefault="006715FB"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color w:val="000000" w:themeColor="text1"/>
        </w:rPr>
        <w:t>Por ello,</w:t>
      </w:r>
      <w:r w:rsidR="0075200A" w:rsidRPr="00765E19">
        <w:rPr>
          <w:rFonts w:ascii="Palatino Linotype" w:hAnsi="Palatino Linotype" w:cs="Bookman Old Style"/>
          <w:lang w:val="es-MX"/>
        </w:rPr>
        <w:t xml:space="preserve"> los </w:t>
      </w:r>
      <w:r w:rsidR="0075200A" w:rsidRPr="00765E19">
        <w:rPr>
          <w:rFonts w:ascii="Palatino Linotype" w:hAnsi="Palatino Linotype" w:cs="Bookman Old Style"/>
          <w:b/>
          <w:lang w:val="es-MX"/>
        </w:rPr>
        <w:t xml:space="preserve">Lineamientos para la Integración del Informe Mensual 2018 </w:t>
      </w:r>
      <w:r w:rsidR="0075200A" w:rsidRPr="00765E19">
        <w:rPr>
          <w:rFonts w:ascii="Palatino Linotype" w:hAnsi="Palatino Linotype" w:cs="Bookman Old Style"/>
          <w:lang w:val="es-MX"/>
        </w:rPr>
        <w:t xml:space="preserve">son el instrumento que sirve como herramienta para elaborar y presentar los </w:t>
      </w:r>
      <w:r w:rsidR="0075200A" w:rsidRPr="00765E19">
        <w:rPr>
          <w:rFonts w:ascii="Palatino Linotype" w:hAnsi="Palatino Linotype" w:cs="Bookman Old Style"/>
          <w:lang w:val="es-MX"/>
        </w:rPr>
        <w:lastRenderedPageBreak/>
        <w:t>Informes Mensuales, de acuerdo a los requerimientos financieros, contables, patrimoniales, presupuestales, programáticos y administrativos que señales los ordenamientos legales respectivos, entre los que destacan: L</w:t>
      </w:r>
      <w:r w:rsidR="0075200A" w:rsidRPr="00765E19">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78E3B9CA" w14:textId="46EFB01C" w:rsidR="00B23E88" w:rsidRPr="00765E19" w:rsidRDefault="00B23E88" w:rsidP="00B23E88">
      <w:pPr>
        <w:pStyle w:val="Prrafodelista"/>
        <w:spacing w:line="360" w:lineRule="auto"/>
        <w:ind w:left="426" w:right="49"/>
        <w:jc w:val="both"/>
        <w:rPr>
          <w:rFonts w:ascii="Palatino Linotype" w:hAnsi="Palatino Linotype"/>
        </w:rPr>
      </w:pPr>
    </w:p>
    <w:p w14:paraId="4D6836EB" w14:textId="77B8FF9C" w:rsidR="00E34657" w:rsidRPr="00765E19" w:rsidRDefault="006715FB" w:rsidP="0075200A">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color w:val="000000" w:themeColor="text1"/>
        </w:rPr>
        <w:t xml:space="preserve">Una vez precisado lo anterior, resulta necesario atender a las causales de impugnación promovidas por el </w:t>
      </w:r>
      <w:r w:rsidRPr="00765E19">
        <w:rPr>
          <w:rFonts w:ascii="Palatino Linotype" w:hAnsi="Palatino Linotype"/>
          <w:b/>
          <w:color w:val="000000" w:themeColor="text1"/>
        </w:rPr>
        <w:t>RECURRENTE</w:t>
      </w:r>
      <w:r w:rsidRPr="00765E19">
        <w:rPr>
          <w:rFonts w:ascii="Palatino Linotype" w:hAnsi="Palatino Linotype"/>
          <w:color w:val="000000" w:themeColor="text1"/>
        </w:rPr>
        <w:t xml:space="preserve"> dentro del recurso de revisión </w:t>
      </w:r>
      <w:r w:rsidR="007E2958" w:rsidRPr="00765E19">
        <w:rPr>
          <w:rFonts w:ascii="Palatino Linotype" w:hAnsi="Palatino Linotype"/>
          <w:color w:val="000000" w:themeColor="text1"/>
        </w:rPr>
        <w:t>01168/INFOEM/IP/RR/2018, expuestas en el párrafo quinto (05) de ésta resolución, mismas que son sintetizables de la siguiente manera:</w:t>
      </w:r>
    </w:p>
    <w:p w14:paraId="56B84EEF" w14:textId="348FC9E2" w:rsidR="007E2958" w:rsidRPr="00765E19" w:rsidRDefault="007E2958" w:rsidP="007E2958">
      <w:pPr>
        <w:pStyle w:val="Prrafodelista"/>
        <w:numPr>
          <w:ilvl w:val="1"/>
          <w:numId w:val="3"/>
        </w:numPr>
        <w:spacing w:line="360" w:lineRule="auto"/>
        <w:ind w:right="49"/>
        <w:jc w:val="both"/>
        <w:rPr>
          <w:rFonts w:ascii="Palatino Linotype" w:hAnsi="Palatino Linotype"/>
        </w:rPr>
      </w:pPr>
      <w:r w:rsidRPr="00765E19">
        <w:rPr>
          <w:rFonts w:ascii="Palatino Linotype" w:hAnsi="Palatino Linotype"/>
          <w:color w:val="000000" w:themeColor="text1"/>
        </w:rPr>
        <w:t>El documento carece de sellos y firmas.</w:t>
      </w:r>
    </w:p>
    <w:p w14:paraId="0F330D3E" w14:textId="4DF90E2B" w:rsidR="007E2958" w:rsidRPr="00765E19" w:rsidRDefault="007E2958" w:rsidP="007E2958">
      <w:pPr>
        <w:pStyle w:val="Prrafodelista"/>
        <w:numPr>
          <w:ilvl w:val="1"/>
          <w:numId w:val="3"/>
        </w:numPr>
        <w:spacing w:line="360" w:lineRule="auto"/>
        <w:ind w:right="49"/>
        <w:jc w:val="both"/>
        <w:rPr>
          <w:rFonts w:ascii="Palatino Linotype" w:hAnsi="Palatino Linotype"/>
        </w:rPr>
      </w:pPr>
      <w:r w:rsidRPr="00765E19">
        <w:rPr>
          <w:rFonts w:ascii="Palatino Linotype" w:hAnsi="Palatino Linotype"/>
          <w:color w:val="000000" w:themeColor="text1"/>
        </w:rPr>
        <w:t>El documento enviado no corresponde al gasto de la cuenta pública.</w:t>
      </w:r>
    </w:p>
    <w:p w14:paraId="6BAD3E14" w14:textId="7443FA2C" w:rsidR="00B23E88" w:rsidRPr="00765E19" w:rsidRDefault="00B23E88" w:rsidP="00B23E88">
      <w:pPr>
        <w:pStyle w:val="Prrafodelista"/>
        <w:spacing w:line="360" w:lineRule="auto"/>
        <w:ind w:left="426" w:right="49"/>
        <w:jc w:val="both"/>
        <w:rPr>
          <w:rFonts w:ascii="Palatino Linotype" w:hAnsi="Palatino Linotype"/>
        </w:rPr>
      </w:pPr>
    </w:p>
    <w:p w14:paraId="70F32B2C" w14:textId="4E3BB36A" w:rsidR="00B23E88" w:rsidRPr="00765E19" w:rsidRDefault="008D3A4F"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rPr>
        <w:t>Así las cosas</w:t>
      </w:r>
      <w:r w:rsidR="00FE1002" w:rsidRPr="00765E19">
        <w:rPr>
          <w:rFonts w:ascii="Palatino Linotype" w:hAnsi="Palatino Linotype"/>
        </w:rPr>
        <w:t>, debe decirse que ambas manifestaciones, referentes</w:t>
      </w:r>
      <w:r w:rsidR="007E2958" w:rsidRPr="00765E19">
        <w:rPr>
          <w:rFonts w:ascii="Palatino Linotype" w:hAnsi="Palatino Linotype"/>
        </w:rPr>
        <w:t xml:space="preserve"> a que el documento carece de </w:t>
      </w:r>
      <w:r w:rsidRPr="00765E19">
        <w:rPr>
          <w:rFonts w:ascii="Palatino Linotype" w:hAnsi="Palatino Linotype"/>
        </w:rPr>
        <w:t>sellos y firmas</w:t>
      </w:r>
      <w:r w:rsidR="00FE1002" w:rsidRPr="00765E19">
        <w:rPr>
          <w:rFonts w:ascii="Palatino Linotype" w:hAnsi="Palatino Linotype"/>
        </w:rPr>
        <w:t>, o que no corresponde al gasto de la cuenta pública</w:t>
      </w:r>
      <w:r w:rsidRPr="00765E19">
        <w:rPr>
          <w:rFonts w:ascii="Palatino Linotype" w:hAnsi="Palatino Linotype"/>
        </w:rPr>
        <w:t xml:space="preserve">, es menester resaltar que la respuesta del </w:t>
      </w:r>
      <w:r w:rsidRPr="00765E19">
        <w:rPr>
          <w:rFonts w:ascii="Palatino Linotype" w:hAnsi="Palatino Linotype"/>
          <w:b/>
        </w:rPr>
        <w:t>SUJETO OBLIGADO</w:t>
      </w:r>
      <w:r w:rsidRPr="00765E19">
        <w:rPr>
          <w:rFonts w:ascii="Palatino Linotype" w:hAnsi="Palatino Linotype"/>
        </w:rPr>
        <w:t xml:space="preserve"> implica un acto de autoridad, de modo que, al responder la solicitud de información por medio de un documento mediante el cual se muestra la tabla de remuneraciones de los servidores públicos adscritos al Sistema Municipal para el Desarrollo Integral de la Familia, el Ayuntamiento de </w:t>
      </w:r>
      <w:proofErr w:type="spellStart"/>
      <w:r w:rsidRPr="00765E19">
        <w:rPr>
          <w:rFonts w:ascii="Palatino Linotype" w:hAnsi="Palatino Linotype"/>
        </w:rPr>
        <w:t>Cocotitlán</w:t>
      </w:r>
      <w:proofErr w:type="spellEnd"/>
      <w:r w:rsidRPr="00765E19">
        <w:rPr>
          <w:rFonts w:ascii="Palatino Linotype" w:hAnsi="Palatino Linotype"/>
        </w:rPr>
        <w:t xml:space="preserve"> está realizando meramente una confesión expresa respecto de la información otorgada, misma que tiene la presunción de ser veraz.</w:t>
      </w:r>
    </w:p>
    <w:p w14:paraId="76A8F490" w14:textId="77777777" w:rsidR="00EA6C56" w:rsidRPr="00765E19" w:rsidRDefault="00EA6C56" w:rsidP="00B23E88">
      <w:pPr>
        <w:spacing w:line="360" w:lineRule="auto"/>
        <w:ind w:left="360" w:right="49"/>
        <w:jc w:val="both"/>
        <w:rPr>
          <w:rFonts w:ascii="Palatino Linotype" w:hAnsi="Palatino Linotype"/>
        </w:rPr>
      </w:pPr>
    </w:p>
    <w:p w14:paraId="73506F9F" w14:textId="47C30D40" w:rsidR="00B23E88" w:rsidRPr="00765E19" w:rsidRDefault="008D3A4F"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rPr>
        <w:lastRenderedPageBreak/>
        <w:t xml:space="preserve">Derivado de ello, resulta imperativo mencionar que éste Órgano Garante no tiene facultades para pronunciarse sobre la veracidad de la información que los sujetos Obligados ponen a disposición de los particulares, toda vez que se aleja de las atribuciones de éste Instituto, máxime que al momento en que el </w:t>
      </w:r>
      <w:r w:rsidRPr="00765E19">
        <w:rPr>
          <w:rFonts w:ascii="Palatino Linotype" w:hAnsi="Palatino Linotype"/>
          <w:b/>
        </w:rPr>
        <w:t>SUJETO OBLIGADO</w:t>
      </w:r>
      <w:r w:rsidRPr="00765E19">
        <w:rPr>
          <w:rFonts w:ascii="Palatino Linotype" w:hAnsi="Palatino Linotype"/>
        </w:rPr>
        <w:t xml:space="preserve"> pone a disposición la información, la misma tiene el carácter de oficial, ergo, se presume veraz, tan es así que la misma queda registrada en el Sistema de Acceso a la Información Mexiquense (SAIMEX).</w:t>
      </w:r>
    </w:p>
    <w:p w14:paraId="353E6DB9" w14:textId="2B102B6B" w:rsidR="00B23E88" w:rsidRPr="00765E19" w:rsidRDefault="00B23E88" w:rsidP="00B23E88">
      <w:pPr>
        <w:pStyle w:val="Prrafodelista"/>
        <w:spacing w:line="360" w:lineRule="auto"/>
        <w:ind w:left="426" w:right="49"/>
        <w:jc w:val="both"/>
        <w:rPr>
          <w:rFonts w:ascii="Palatino Linotype" w:hAnsi="Palatino Linotype"/>
        </w:rPr>
      </w:pPr>
    </w:p>
    <w:p w14:paraId="706D6607" w14:textId="537BD794" w:rsidR="00B23E88" w:rsidRPr="00765E19" w:rsidRDefault="008D3A4F" w:rsidP="00805A0C">
      <w:pPr>
        <w:pStyle w:val="Prrafodelista"/>
        <w:numPr>
          <w:ilvl w:val="0"/>
          <w:numId w:val="3"/>
        </w:numPr>
        <w:spacing w:line="360" w:lineRule="auto"/>
        <w:ind w:left="426" w:right="49"/>
        <w:jc w:val="both"/>
        <w:rPr>
          <w:rFonts w:ascii="Palatino Linotype" w:hAnsi="Palatino Linotype"/>
        </w:rPr>
      </w:pPr>
      <w:r w:rsidRPr="00765E19">
        <w:rPr>
          <w:rFonts w:ascii="Palatino Linotype" w:hAnsi="Palatino Linotype"/>
        </w:rPr>
        <w:t>Sirve de apoyo a lo anterior por analogía, el criterio 31-10 emitido por el entonces Instituto Federal de Acceso a la Información y Protección de Datos, mismo que dice:</w:t>
      </w:r>
    </w:p>
    <w:p w14:paraId="066B0A6E" w14:textId="3E325A1B" w:rsidR="008D3A4F" w:rsidRPr="00765E19" w:rsidRDefault="008D3A4F" w:rsidP="008D3A4F">
      <w:pPr>
        <w:pStyle w:val="Sinespaciado"/>
        <w:ind w:left="851" w:right="567"/>
        <w:jc w:val="both"/>
        <w:rPr>
          <w:rFonts w:ascii="Palatino Linotype" w:hAnsi="Palatino Linotype"/>
          <w:i/>
          <w:sz w:val="22"/>
          <w:lang w:val="es-ES"/>
        </w:rPr>
      </w:pPr>
      <w:r w:rsidRPr="00765E19">
        <w:rPr>
          <w:rFonts w:ascii="Palatino Linotype" w:hAnsi="Palatino Linotype"/>
          <w:i/>
          <w:sz w:val="22"/>
          <w:lang w:val="es-E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6F30E7" w14:textId="265E7978" w:rsidR="00B23E88" w:rsidRPr="00765E19" w:rsidRDefault="00B23E88" w:rsidP="00B23E88">
      <w:pPr>
        <w:pStyle w:val="Prrafodelista"/>
        <w:spacing w:line="360" w:lineRule="auto"/>
        <w:ind w:left="426" w:right="49"/>
        <w:jc w:val="both"/>
        <w:rPr>
          <w:rFonts w:ascii="Palatino Linotype" w:hAnsi="Palatino Linotype"/>
        </w:rPr>
      </w:pPr>
    </w:p>
    <w:p w14:paraId="07CC7DFB" w14:textId="136B8907" w:rsidR="00EC152A" w:rsidRPr="00765E19" w:rsidRDefault="000C48CA" w:rsidP="00EC6BD3">
      <w:pPr>
        <w:pStyle w:val="Prrafodelista"/>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765E19">
        <w:rPr>
          <w:rFonts w:ascii="Palatino Linotype" w:hAnsi="Palatino Linotype"/>
          <w:color w:val="000000" w:themeColor="text1"/>
        </w:rPr>
        <w:t xml:space="preserve">Finalmente, </w:t>
      </w:r>
      <w:bookmarkStart w:id="84" w:name="_Toc466371865"/>
      <w:bookmarkStart w:id="85" w:name="_Toc466377653"/>
      <w:bookmarkEnd w:id="79"/>
      <w:bookmarkEnd w:id="80"/>
      <w:bookmarkEnd w:id="81"/>
      <w:bookmarkEnd w:id="82"/>
      <w:bookmarkEnd w:id="83"/>
      <w:r w:rsidR="00FE1002" w:rsidRPr="00765E19">
        <w:rPr>
          <w:rFonts w:ascii="Palatino Linotype" w:hAnsi="Palatino Linotype"/>
          <w:color w:val="000000" w:themeColor="text1"/>
        </w:rPr>
        <w:t xml:space="preserve">debe </w:t>
      </w:r>
      <w:r w:rsidR="00A47279" w:rsidRPr="00765E19">
        <w:rPr>
          <w:rFonts w:ascii="Palatino Linotype" w:hAnsi="Palatino Linotype"/>
          <w:color w:val="000000" w:themeColor="text1"/>
        </w:rPr>
        <w:t>señalar</w:t>
      </w:r>
      <w:r w:rsidR="00FE1002" w:rsidRPr="00765E19">
        <w:rPr>
          <w:rFonts w:ascii="Palatino Linotype" w:hAnsi="Palatino Linotype"/>
          <w:color w:val="000000" w:themeColor="text1"/>
        </w:rPr>
        <w:t>se</w:t>
      </w:r>
      <w:r w:rsidR="00A47279" w:rsidRPr="00765E19">
        <w:rPr>
          <w:rFonts w:ascii="Palatino Linotype" w:hAnsi="Palatino Linotype"/>
          <w:color w:val="000000" w:themeColor="text1"/>
        </w:rPr>
        <w:t xml:space="preserve"> que los motivos de inconformidad previamente transcritos resultan ser una ampliación a lo que inicialmente solicitó el </w:t>
      </w:r>
      <w:r w:rsidR="00A47279" w:rsidRPr="00765E19">
        <w:rPr>
          <w:rFonts w:ascii="Palatino Linotype" w:hAnsi="Palatino Linotype"/>
          <w:b/>
          <w:color w:val="000000" w:themeColor="text1"/>
        </w:rPr>
        <w:t>RECURRENTE</w:t>
      </w:r>
      <w:r w:rsidR="00A47279" w:rsidRPr="00765E19">
        <w:rPr>
          <w:rFonts w:ascii="Palatino Linotype" w:hAnsi="Palatino Linotype"/>
          <w:color w:val="000000" w:themeColor="text1"/>
        </w:rPr>
        <w:t xml:space="preserve"> en su solicitud de información primigenia</w:t>
      </w:r>
      <w:r w:rsidR="00EC152A" w:rsidRPr="00765E19">
        <w:rPr>
          <w:rFonts w:ascii="Palatino Linotype" w:eastAsia="Times New Roman" w:hAnsi="Palatino Linotype" w:cs="Arial"/>
          <w:color w:val="000000" w:themeColor="text1"/>
          <w:lang w:val="es-ES"/>
        </w:rPr>
        <w:t xml:space="preserve">; lo anterior se entiende como una </w:t>
      </w:r>
      <w:r w:rsidR="00EC152A" w:rsidRPr="00765E19">
        <w:rPr>
          <w:rFonts w:ascii="Palatino Linotype" w:eastAsia="Times New Roman" w:hAnsi="Palatino Linotype" w:cs="Arial"/>
          <w:b/>
          <w:bCs/>
          <w:i/>
          <w:iCs/>
          <w:color w:val="000000" w:themeColor="text1"/>
          <w:lang w:val="es-ES"/>
        </w:rPr>
        <w:t xml:space="preserve">Plus </w:t>
      </w:r>
      <w:proofErr w:type="spellStart"/>
      <w:r w:rsidR="00EC152A" w:rsidRPr="00765E19">
        <w:rPr>
          <w:rFonts w:ascii="Palatino Linotype" w:eastAsia="Times New Roman" w:hAnsi="Palatino Linotype" w:cs="Arial"/>
          <w:b/>
          <w:bCs/>
          <w:i/>
          <w:iCs/>
          <w:color w:val="000000" w:themeColor="text1"/>
          <w:lang w:val="es-ES"/>
        </w:rPr>
        <w:t>Petitio</w:t>
      </w:r>
      <w:proofErr w:type="spellEnd"/>
      <w:r w:rsidR="00EC152A" w:rsidRPr="00765E19">
        <w:rPr>
          <w:rFonts w:ascii="Palatino Linotype" w:eastAsia="Times New Roman" w:hAnsi="Palatino Linotype" w:cs="Arial"/>
          <w:b/>
          <w:bCs/>
          <w:i/>
          <w:iCs/>
          <w:color w:val="000000" w:themeColor="text1"/>
          <w:lang w:val="es-ES"/>
        </w:rPr>
        <w:t xml:space="preserve"> </w:t>
      </w:r>
      <w:r w:rsidR="00EC152A" w:rsidRPr="00765E19">
        <w:rPr>
          <w:rFonts w:ascii="Palatino Linotype" w:eastAsia="Times New Roman" w:hAnsi="Palatino Linotype" w:cs="Arial"/>
          <w:color w:val="000000" w:themeColor="text1"/>
          <w:lang w:val="es-ES"/>
        </w:rPr>
        <w:t>a su solicitud inicial que no puede abordarse</w:t>
      </w:r>
      <w:r w:rsidR="00EC152A" w:rsidRPr="00765E19">
        <w:rPr>
          <w:rFonts w:ascii="Palatino Linotype" w:eastAsia="Times New Roman" w:hAnsi="Palatino Linotype" w:cs="Arial"/>
          <w:i/>
          <w:iCs/>
          <w:color w:val="000000" w:themeColor="text1"/>
          <w:lang w:val="es-ES"/>
        </w:rPr>
        <w:t>.</w:t>
      </w:r>
    </w:p>
    <w:p w14:paraId="7DE20365" w14:textId="77777777" w:rsidR="00A47279" w:rsidRPr="00765E19" w:rsidRDefault="00A47279" w:rsidP="00A47279">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0CAA5741" w14:textId="25B1B8CA" w:rsidR="00A47279" w:rsidRPr="00765E19" w:rsidRDefault="00A47279" w:rsidP="00A47279">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765E19">
        <w:rPr>
          <w:rFonts w:ascii="Palatino Linotype" w:hAnsi="Palatino Linotype"/>
          <w:color w:val="000000" w:themeColor="text1"/>
        </w:rPr>
        <w:t xml:space="preserve">Robusteciendo lo anterior, </w:t>
      </w:r>
      <w:r w:rsidRPr="00765E19">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E7E06A7" w14:textId="77777777" w:rsidR="00A47279" w:rsidRPr="00765E19" w:rsidRDefault="00A47279" w:rsidP="00BD2E8E">
      <w:pPr>
        <w:pStyle w:val="Sinespaciado"/>
        <w:ind w:left="851" w:right="567"/>
        <w:jc w:val="both"/>
        <w:rPr>
          <w:rFonts w:ascii="Palatino Linotype" w:hAnsi="Palatino Linotype"/>
          <w:i/>
          <w:sz w:val="22"/>
          <w:lang w:val="es-ES"/>
        </w:rPr>
      </w:pPr>
      <w:r w:rsidRPr="00765E19">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765E19">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34C916E" w14:textId="31483532" w:rsidR="00A47279" w:rsidRPr="00765E19" w:rsidRDefault="00A47279" w:rsidP="00C65BF3">
      <w:pPr>
        <w:pStyle w:val="Sinespaciado"/>
        <w:ind w:left="851" w:right="567"/>
        <w:jc w:val="both"/>
        <w:rPr>
          <w:rFonts w:ascii="Palatino Linotype" w:hAnsi="Palatino Linotype"/>
          <w:i/>
          <w:sz w:val="22"/>
          <w:lang w:val="es-ES"/>
        </w:rPr>
      </w:pPr>
      <w:r w:rsidRPr="00765E19">
        <w:rPr>
          <w:rFonts w:ascii="Palatino Linotype" w:hAnsi="Palatino Linotype"/>
          <w:i/>
          <w:sz w:val="22"/>
          <w:lang w:val="es-ES"/>
        </w:rPr>
        <w:t>OCTAVO TRIBUNAL COLEGIADO EN MATERIA ADMINISTRATIVA DEL PRIMER CIRCUITO.</w:t>
      </w:r>
    </w:p>
    <w:p w14:paraId="2E0AE0BF" w14:textId="3FB796BC" w:rsidR="00A47279" w:rsidRPr="00765E19" w:rsidRDefault="00A47279" w:rsidP="00A47279">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765E19">
        <w:rPr>
          <w:rFonts w:ascii="Palatino Linotype" w:hAnsi="Palatino Linotype"/>
          <w:color w:val="000000" w:themeColor="text1"/>
        </w:rPr>
        <w:t xml:space="preserve">Asimismo, ha sido criterio del Instituto Nacional de Transparencia, Acceso a la Información y Protección de Datos Personales </w:t>
      </w:r>
      <w:r w:rsidRPr="00765E19">
        <w:rPr>
          <w:rFonts w:ascii="Palatino Linotype" w:eastAsia="Times New Roman" w:hAnsi="Palatino Linotype" w:cs="Arial"/>
          <w:color w:val="000000" w:themeColor="text1"/>
          <w:lang w:val="es-ES"/>
        </w:rPr>
        <w:t xml:space="preserve">bajo el número 27/10 que </w:t>
      </w:r>
      <w:r w:rsidRPr="00765E19">
        <w:rPr>
          <w:rFonts w:ascii="Palatino Linotype" w:eastAsia="Times New Roman" w:hAnsi="Palatino Linotype" w:cs="Arial"/>
          <w:bCs/>
          <w:color w:val="000000" w:themeColor="text1"/>
          <w:u w:val="single"/>
          <w:lang w:val="es-ES"/>
        </w:rPr>
        <w:t>resulta improcedente ampliar las solicitudes de información pública</w:t>
      </w:r>
      <w:r w:rsidRPr="00765E19">
        <w:rPr>
          <w:rFonts w:ascii="Palatino Linotype" w:eastAsia="Times New Roman" w:hAnsi="Palatino Linotype" w:cs="Arial"/>
          <w:color w:val="000000" w:themeColor="text1"/>
          <w:u w:val="single"/>
          <w:lang w:val="es-ES"/>
        </w:rPr>
        <w:t xml:space="preserve"> o de datos </w:t>
      </w:r>
      <w:r w:rsidRPr="00765E19">
        <w:rPr>
          <w:rFonts w:ascii="Palatino Linotype" w:eastAsia="Times New Roman" w:hAnsi="Palatino Linotype" w:cs="Arial"/>
          <w:color w:val="000000" w:themeColor="text1"/>
          <w:u w:val="single"/>
          <w:lang w:val="es-ES"/>
        </w:rPr>
        <w:lastRenderedPageBreak/>
        <w:t>personales a través de la interposición del recurso de revisión</w:t>
      </w:r>
      <w:r w:rsidRPr="00765E19">
        <w:rPr>
          <w:rFonts w:ascii="Palatino Linotype" w:eastAsia="Times New Roman" w:hAnsi="Palatino Linotype" w:cs="Arial"/>
          <w:color w:val="000000" w:themeColor="text1"/>
          <w:lang w:val="es-ES"/>
        </w:rPr>
        <w:t xml:space="preserve">, como se estima acontece en el presente asunto, al aumentar datos a la solicitud inicial, </w:t>
      </w:r>
      <w:r w:rsidRPr="00765E19">
        <w:rPr>
          <w:rFonts w:ascii="Palatino Linotype" w:eastAsia="Times New Roman" w:hAnsi="Palatino Linotype" w:cs="Arial"/>
          <w:b/>
          <w:bCs/>
          <w:color w:val="000000" w:themeColor="text1"/>
          <w:lang w:val="es-ES"/>
        </w:rPr>
        <w:t>por lo que se insiste no se puede entrar al estudio de la información novedosa</w:t>
      </w:r>
      <w:r w:rsidRPr="00765E19">
        <w:rPr>
          <w:rFonts w:ascii="Palatino Linotype" w:eastAsia="Times New Roman" w:hAnsi="Palatino Linotype" w:cs="Arial"/>
          <w:color w:val="000000" w:themeColor="text1"/>
          <w:lang w:val="es-ES"/>
        </w:rPr>
        <w:t>, criterio que es de la literalidad siguiente:</w:t>
      </w:r>
    </w:p>
    <w:p w14:paraId="215520B5" w14:textId="77777777" w:rsidR="00A47279" w:rsidRPr="00765E19" w:rsidRDefault="00A47279" w:rsidP="00765E19">
      <w:pPr>
        <w:pStyle w:val="Sinespaciado"/>
        <w:spacing w:line="240" w:lineRule="atLeast"/>
        <w:ind w:left="425" w:rightChars="256" w:right="614"/>
        <w:jc w:val="both"/>
        <w:rPr>
          <w:rFonts w:ascii="Palatino Linotype" w:hAnsi="Palatino Linotype"/>
          <w:i/>
          <w:sz w:val="22"/>
          <w:lang w:val="es-ES"/>
        </w:rPr>
      </w:pPr>
      <w:r w:rsidRPr="00765E19">
        <w:rPr>
          <w:rFonts w:ascii="Palatino Linotype" w:hAnsi="Palatino Linotype"/>
          <w:i/>
          <w:sz w:val="22"/>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F74852C" w14:textId="3DF89C4C" w:rsidR="00FE1002" w:rsidRPr="00765E19" w:rsidRDefault="00A47279" w:rsidP="00765E19">
      <w:pPr>
        <w:pStyle w:val="Sinespaciado"/>
        <w:tabs>
          <w:tab w:val="left" w:pos="426"/>
          <w:tab w:val="left" w:pos="8222"/>
        </w:tabs>
        <w:spacing w:before="240" w:after="240" w:line="240" w:lineRule="atLeast"/>
        <w:ind w:left="425" w:rightChars="256" w:right="614"/>
        <w:jc w:val="both"/>
        <w:rPr>
          <w:rFonts w:ascii="Palatino Linotype" w:eastAsia="Times New Roman" w:hAnsi="Palatino Linotype" w:cs="Arial"/>
          <w:color w:val="000000" w:themeColor="text1"/>
          <w:lang w:val="es-ES"/>
        </w:rPr>
      </w:pPr>
      <w:r w:rsidRPr="00765E19">
        <w:rPr>
          <w:rFonts w:ascii="Palatino Linotype" w:hAnsi="Palatino Linotype"/>
          <w:i/>
          <w:sz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765E19">
        <w:rPr>
          <w:rFonts w:ascii="Palatino Linotype" w:hAnsi="Palatino Linotype"/>
          <w:i/>
          <w:sz w:val="22"/>
          <w:lang w:val="es-ES"/>
        </w:rPr>
        <w:t>Marván</w:t>
      </w:r>
      <w:proofErr w:type="spellEnd"/>
      <w:r w:rsidRPr="00765E19">
        <w:rPr>
          <w:rFonts w:ascii="Palatino Linotype" w:hAnsi="Palatino Linotype"/>
          <w:i/>
          <w:sz w:val="22"/>
          <w:lang w:val="es-ES"/>
        </w:rPr>
        <w:t xml:space="preserve"> Laborde1523 1006/10 Instituto Mexicano del Seguro Social – Sigrid </w:t>
      </w:r>
      <w:proofErr w:type="spellStart"/>
      <w:r w:rsidRPr="00765E19">
        <w:rPr>
          <w:rFonts w:ascii="Palatino Linotype" w:hAnsi="Palatino Linotype"/>
          <w:i/>
          <w:sz w:val="22"/>
          <w:lang w:val="es-ES"/>
        </w:rPr>
        <w:t>Arzt</w:t>
      </w:r>
      <w:proofErr w:type="spellEnd"/>
      <w:r w:rsidRPr="00765E19">
        <w:rPr>
          <w:rFonts w:ascii="Palatino Linotype" w:hAnsi="Palatino Linotype"/>
          <w:i/>
          <w:sz w:val="22"/>
          <w:lang w:val="es-ES"/>
        </w:rPr>
        <w:t xml:space="preserve"> Colunga 1378/10 Instituto de Seguridad y Servicios Sociales de los Trabajadores del Estado – María Elena Pérez-Jaén Zermeño</w:t>
      </w:r>
    </w:p>
    <w:p w14:paraId="6A816EDB" w14:textId="7E089EF4" w:rsidR="00A47279" w:rsidRPr="00765E19" w:rsidRDefault="00594C52" w:rsidP="00A47279">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765E19">
        <w:rPr>
          <w:rFonts w:ascii="Palatino Linotype" w:hAnsi="Palatino Linotype"/>
          <w:color w:val="000000" w:themeColor="text1"/>
        </w:rPr>
        <w:t>Así las cosas, la Ley de Transparencia y Acceso a la Información Pública del Estado de México y Municipios, en su numeral 191 fracción VII expone lo siguiente:</w:t>
      </w:r>
    </w:p>
    <w:p w14:paraId="2BC6E3B3" w14:textId="33B01AC3" w:rsidR="00594C52" w:rsidRPr="00765E19" w:rsidRDefault="00594C52" w:rsidP="00765E19">
      <w:pPr>
        <w:pStyle w:val="Sinespaciado"/>
        <w:tabs>
          <w:tab w:val="left" w:pos="426"/>
          <w:tab w:val="left" w:pos="8222"/>
        </w:tabs>
        <w:spacing w:before="240" w:after="240" w:line="240" w:lineRule="atLeast"/>
        <w:ind w:left="425" w:right="51"/>
        <w:jc w:val="both"/>
        <w:rPr>
          <w:rFonts w:ascii="Palatino Linotype" w:hAnsi="Palatino Linotype"/>
          <w:i/>
          <w:color w:val="000000" w:themeColor="text1"/>
          <w:sz w:val="22"/>
        </w:rPr>
      </w:pPr>
      <w:r w:rsidRPr="00765E19">
        <w:rPr>
          <w:rFonts w:ascii="Palatino Linotype" w:hAnsi="Palatino Linotype"/>
          <w:b/>
          <w:i/>
          <w:color w:val="000000" w:themeColor="text1"/>
          <w:sz w:val="22"/>
        </w:rPr>
        <w:t>“Artículo 191.</w:t>
      </w:r>
      <w:r w:rsidRPr="00765E19">
        <w:rPr>
          <w:rFonts w:ascii="Palatino Linotype" w:hAnsi="Palatino Linotype"/>
          <w:i/>
          <w:color w:val="000000" w:themeColor="text1"/>
          <w:sz w:val="22"/>
        </w:rPr>
        <w:t xml:space="preserve"> El recurso será desechado por improcedente cuando:</w:t>
      </w:r>
    </w:p>
    <w:p w14:paraId="344C6738" w14:textId="6A500AA8" w:rsidR="00594C52" w:rsidRPr="00765E19" w:rsidRDefault="00594C52" w:rsidP="00765E19">
      <w:pPr>
        <w:pStyle w:val="Sinespaciado"/>
        <w:tabs>
          <w:tab w:val="left" w:pos="426"/>
          <w:tab w:val="left" w:pos="8222"/>
        </w:tabs>
        <w:spacing w:before="240" w:after="240" w:line="240" w:lineRule="atLeast"/>
        <w:ind w:left="425" w:right="51"/>
        <w:jc w:val="both"/>
        <w:rPr>
          <w:rFonts w:ascii="Palatino Linotype" w:hAnsi="Palatino Linotype"/>
          <w:i/>
          <w:color w:val="000000" w:themeColor="text1"/>
          <w:sz w:val="22"/>
        </w:rPr>
      </w:pPr>
      <w:r w:rsidRPr="00765E19">
        <w:rPr>
          <w:rFonts w:ascii="Palatino Linotype" w:hAnsi="Palatino Linotype"/>
          <w:i/>
          <w:color w:val="000000" w:themeColor="text1"/>
          <w:sz w:val="22"/>
        </w:rPr>
        <w:t>(…)</w:t>
      </w:r>
    </w:p>
    <w:p w14:paraId="250128EE" w14:textId="264ABAFD" w:rsidR="00FE1002" w:rsidRPr="00765E19" w:rsidRDefault="00FE1002" w:rsidP="00765E19">
      <w:pPr>
        <w:pStyle w:val="Sinespaciado"/>
        <w:tabs>
          <w:tab w:val="left" w:pos="426"/>
          <w:tab w:val="left" w:pos="8222"/>
        </w:tabs>
        <w:spacing w:before="240" w:after="240" w:line="240" w:lineRule="atLeast"/>
        <w:ind w:left="425" w:right="51"/>
        <w:jc w:val="both"/>
        <w:rPr>
          <w:rFonts w:ascii="Palatino Linotype" w:hAnsi="Palatino Linotype"/>
          <w:i/>
          <w:color w:val="000000" w:themeColor="text1"/>
          <w:sz w:val="22"/>
          <w:lang w:val="es-ES"/>
        </w:rPr>
      </w:pPr>
      <w:r w:rsidRPr="00765E19">
        <w:rPr>
          <w:rFonts w:ascii="Palatino Linotype" w:hAnsi="Palatino Linotype"/>
          <w:b/>
          <w:i/>
          <w:color w:val="000000" w:themeColor="text1"/>
          <w:sz w:val="22"/>
          <w:lang w:val="es-ES"/>
        </w:rPr>
        <w:t>V.</w:t>
      </w:r>
      <w:r w:rsidRPr="00765E19">
        <w:rPr>
          <w:rFonts w:ascii="Palatino Linotype" w:hAnsi="Palatino Linotype"/>
          <w:i/>
          <w:color w:val="000000" w:themeColor="text1"/>
          <w:sz w:val="22"/>
          <w:lang w:val="es-ES"/>
        </w:rPr>
        <w:t xml:space="preserve"> Se impugne la veracidad de la información proporcionada;</w:t>
      </w:r>
    </w:p>
    <w:p w14:paraId="19387770" w14:textId="2F50A5CF" w:rsidR="00FE1002" w:rsidRPr="00765E19" w:rsidRDefault="00FE1002" w:rsidP="00765E19">
      <w:pPr>
        <w:pStyle w:val="Sinespaciado"/>
        <w:tabs>
          <w:tab w:val="left" w:pos="426"/>
          <w:tab w:val="left" w:pos="8222"/>
        </w:tabs>
        <w:spacing w:before="240" w:after="240" w:line="240" w:lineRule="atLeast"/>
        <w:ind w:left="425" w:right="51"/>
        <w:jc w:val="both"/>
        <w:rPr>
          <w:rFonts w:ascii="Palatino Linotype" w:hAnsi="Palatino Linotype"/>
          <w:i/>
          <w:color w:val="000000" w:themeColor="text1"/>
          <w:sz w:val="22"/>
          <w:lang w:val="es-ES"/>
        </w:rPr>
      </w:pPr>
      <w:r w:rsidRPr="00765E19">
        <w:rPr>
          <w:rFonts w:ascii="Palatino Linotype" w:hAnsi="Palatino Linotype"/>
          <w:i/>
          <w:color w:val="000000" w:themeColor="text1"/>
          <w:sz w:val="22"/>
          <w:lang w:val="es-ES"/>
        </w:rPr>
        <w:t>(…)</w:t>
      </w:r>
    </w:p>
    <w:p w14:paraId="38212332" w14:textId="5752BFCD" w:rsidR="00594C52" w:rsidRPr="00765E19" w:rsidRDefault="00594C52" w:rsidP="00765E19">
      <w:pPr>
        <w:pStyle w:val="Sinespaciado"/>
        <w:tabs>
          <w:tab w:val="left" w:pos="426"/>
          <w:tab w:val="left" w:pos="8222"/>
        </w:tabs>
        <w:spacing w:before="240" w:after="240" w:line="240" w:lineRule="atLeast"/>
        <w:ind w:left="425" w:right="51"/>
        <w:jc w:val="both"/>
        <w:rPr>
          <w:rFonts w:ascii="Palatino Linotype" w:hAnsi="Palatino Linotype"/>
          <w:b/>
          <w:i/>
          <w:color w:val="000000" w:themeColor="text1"/>
          <w:sz w:val="22"/>
          <w:u w:val="single"/>
        </w:rPr>
      </w:pPr>
      <w:r w:rsidRPr="00765E19">
        <w:rPr>
          <w:rFonts w:ascii="Palatino Linotype" w:hAnsi="Palatino Linotype"/>
          <w:b/>
          <w:i/>
          <w:color w:val="000000" w:themeColor="text1"/>
          <w:sz w:val="22"/>
          <w:u w:val="single"/>
        </w:rPr>
        <w:t>VII. El recurrente amplíe su solicitud en el recurso de revisión, únicamente respecto de los nuevos contenidos.”</w:t>
      </w:r>
    </w:p>
    <w:p w14:paraId="6E41B533" w14:textId="77777777" w:rsidR="00594C52" w:rsidRPr="00765E19" w:rsidRDefault="00594C52" w:rsidP="00594C52">
      <w:pPr>
        <w:pStyle w:val="Sinespaciado"/>
        <w:tabs>
          <w:tab w:val="left" w:pos="426"/>
          <w:tab w:val="left" w:pos="8222"/>
        </w:tabs>
        <w:spacing w:before="240" w:after="240"/>
        <w:ind w:left="426" w:right="51"/>
        <w:jc w:val="both"/>
        <w:rPr>
          <w:rFonts w:ascii="Palatino Linotype" w:hAnsi="Palatino Linotype"/>
          <w:i/>
          <w:color w:val="000000" w:themeColor="text1"/>
          <w:sz w:val="22"/>
        </w:rPr>
      </w:pPr>
    </w:p>
    <w:p w14:paraId="552327D6" w14:textId="457213BF" w:rsidR="00BD2E8E" w:rsidRPr="00765E19" w:rsidRDefault="00594C52" w:rsidP="00C65BF3">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765E19">
        <w:rPr>
          <w:rFonts w:ascii="Palatino Linotype" w:hAnsi="Palatino Linotype"/>
          <w:color w:val="000000" w:themeColor="text1"/>
        </w:rPr>
        <w:lastRenderedPageBreak/>
        <w:t xml:space="preserve">De lo anterior se entiende que, el </w:t>
      </w:r>
      <w:r w:rsidRPr="00765E19">
        <w:rPr>
          <w:rFonts w:ascii="Palatino Linotype" w:hAnsi="Palatino Linotype"/>
          <w:b/>
          <w:color w:val="000000" w:themeColor="text1"/>
        </w:rPr>
        <w:t xml:space="preserve">SUJETO OBLIGADO </w:t>
      </w:r>
      <w:r w:rsidRPr="00765E19">
        <w:rPr>
          <w:rFonts w:ascii="Palatino Linotype" w:hAnsi="Palatino Linotype"/>
          <w:color w:val="000000" w:themeColor="text1"/>
        </w:rPr>
        <w:t>al haber atendido en su totalidad a la solicitud de información, colmó plenamente el derecho de acceso a la información de</w:t>
      </w:r>
      <w:r w:rsidR="00FE1002" w:rsidRPr="00765E19">
        <w:rPr>
          <w:rFonts w:ascii="Palatino Linotype" w:hAnsi="Palatino Linotype"/>
          <w:color w:val="000000" w:themeColor="text1"/>
        </w:rPr>
        <w:t xml:space="preserve"> </w:t>
      </w:r>
      <w:r w:rsidRPr="00765E19">
        <w:rPr>
          <w:rFonts w:ascii="Palatino Linotype" w:hAnsi="Palatino Linotype"/>
          <w:color w:val="000000" w:themeColor="text1"/>
        </w:rPr>
        <w:t>l</w:t>
      </w:r>
      <w:r w:rsidR="00FE1002" w:rsidRPr="00765E19">
        <w:rPr>
          <w:rFonts w:ascii="Palatino Linotype" w:hAnsi="Palatino Linotype"/>
          <w:color w:val="000000" w:themeColor="text1"/>
        </w:rPr>
        <w:t>a</w:t>
      </w:r>
      <w:r w:rsidRPr="00765E19">
        <w:rPr>
          <w:rFonts w:ascii="Palatino Linotype" w:hAnsi="Palatino Linotype"/>
          <w:color w:val="000000" w:themeColor="text1"/>
        </w:rPr>
        <w:t xml:space="preserve"> hoy </w:t>
      </w:r>
      <w:r w:rsidRPr="00765E19">
        <w:rPr>
          <w:rFonts w:ascii="Palatino Linotype" w:hAnsi="Palatino Linotype"/>
          <w:b/>
          <w:color w:val="000000" w:themeColor="text1"/>
        </w:rPr>
        <w:t>RECURRENTE</w:t>
      </w:r>
      <w:r w:rsidRPr="00765E19">
        <w:rPr>
          <w:rFonts w:ascii="Palatino Linotype" w:hAnsi="Palatino Linotype"/>
          <w:color w:val="000000" w:themeColor="text1"/>
        </w:rPr>
        <w:t xml:space="preserve"> por cuanto hac</w:t>
      </w:r>
      <w:r w:rsidR="00036C94" w:rsidRPr="00765E19">
        <w:rPr>
          <w:rFonts w:ascii="Palatino Linotype" w:hAnsi="Palatino Linotype"/>
          <w:color w:val="000000" w:themeColor="text1"/>
        </w:rPr>
        <w:t>e a su solicitud primigenia; luego entonces</w:t>
      </w:r>
      <w:r w:rsidRPr="00765E19">
        <w:rPr>
          <w:rFonts w:ascii="Palatino Linotype" w:hAnsi="Palatino Linotype"/>
          <w:color w:val="000000" w:themeColor="text1"/>
        </w:rPr>
        <w:t>,</w:t>
      </w:r>
      <w:r w:rsidR="00036C94" w:rsidRPr="00765E19">
        <w:rPr>
          <w:rFonts w:ascii="Palatino Linotype" w:hAnsi="Palatino Linotype"/>
          <w:color w:val="000000" w:themeColor="text1"/>
        </w:rPr>
        <w:t xml:space="preserve"> es dable decretar el </w:t>
      </w:r>
      <w:proofErr w:type="spellStart"/>
      <w:r w:rsidR="00036C94" w:rsidRPr="00765E19">
        <w:rPr>
          <w:rFonts w:ascii="Palatino Linotype" w:hAnsi="Palatino Linotype"/>
          <w:color w:val="000000" w:themeColor="text1"/>
        </w:rPr>
        <w:t>desechamiento</w:t>
      </w:r>
      <w:proofErr w:type="spellEnd"/>
      <w:r w:rsidR="00036C94" w:rsidRPr="00765E19">
        <w:rPr>
          <w:rFonts w:ascii="Palatino Linotype" w:hAnsi="Palatino Linotype"/>
          <w:color w:val="000000" w:themeColor="text1"/>
        </w:rPr>
        <w:t xml:space="preserve"> al haberse</w:t>
      </w:r>
      <w:r w:rsidRPr="00765E19">
        <w:rPr>
          <w:rFonts w:ascii="Palatino Linotype" w:hAnsi="Palatino Linotype"/>
          <w:color w:val="000000" w:themeColor="text1"/>
        </w:rPr>
        <w:t xml:space="preserve"> actualiza</w:t>
      </w:r>
      <w:r w:rsidR="00036C94" w:rsidRPr="00765E19">
        <w:rPr>
          <w:rFonts w:ascii="Palatino Linotype" w:hAnsi="Palatino Linotype"/>
          <w:color w:val="000000" w:themeColor="text1"/>
        </w:rPr>
        <w:t>do</w:t>
      </w:r>
      <w:r w:rsidRPr="00765E19">
        <w:rPr>
          <w:rFonts w:ascii="Palatino Linotype" w:hAnsi="Palatino Linotype"/>
          <w:color w:val="000000" w:themeColor="text1"/>
        </w:rPr>
        <w:t xml:space="preserve"> la</w:t>
      </w:r>
      <w:r w:rsidR="00FE1002" w:rsidRPr="00765E19">
        <w:rPr>
          <w:rFonts w:ascii="Palatino Linotype" w:hAnsi="Palatino Linotype"/>
          <w:color w:val="000000" w:themeColor="text1"/>
        </w:rPr>
        <w:t>s</w:t>
      </w:r>
      <w:r w:rsidRPr="00765E19">
        <w:rPr>
          <w:rFonts w:ascii="Palatino Linotype" w:hAnsi="Palatino Linotype"/>
          <w:color w:val="000000" w:themeColor="text1"/>
        </w:rPr>
        <w:t xml:space="preserve"> causal</w:t>
      </w:r>
      <w:r w:rsidR="00FE1002" w:rsidRPr="00765E19">
        <w:rPr>
          <w:rFonts w:ascii="Palatino Linotype" w:hAnsi="Palatino Linotype"/>
          <w:color w:val="000000" w:themeColor="text1"/>
        </w:rPr>
        <w:t>es</w:t>
      </w:r>
      <w:r w:rsidRPr="00765E19">
        <w:rPr>
          <w:rFonts w:ascii="Palatino Linotype" w:hAnsi="Palatino Linotype"/>
          <w:color w:val="000000" w:themeColor="text1"/>
        </w:rPr>
        <w:t xml:space="preserve"> de improcedencia contenida</w:t>
      </w:r>
      <w:r w:rsidR="00FE1002" w:rsidRPr="00765E19">
        <w:rPr>
          <w:rFonts w:ascii="Palatino Linotype" w:hAnsi="Palatino Linotype"/>
          <w:color w:val="000000" w:themeColor="text1"/>
        </w:rPr>
        <w:t>s</w:t>
      </w:r>
      <w:r w:rsidRPr="00765E19">
        <w:rPr>
          <w:rFonts w:ascii="Palatino Linotype" w:hAnsi="Palatino Linotype"/>
          <w:color w:val="000000" w:themeColor="text1"/>
        </w:rPr>
        <w:t xml:space="preserve"> en la</w:t>
      </w:r>
      <w:r w:rsidR="00FE1002" w:rsidRPr="00765E19">
        <w:rPr>
          <w:rFonts w:ascii="Palatino Linotype" w:hAnsi="Palatino Linotype"/>
          <w:color w:val="000000" w:themeColor="text1"/>
        </w:rPr>
        <w:t>s</w:t>
      </w:r>
      <w:r w:rsidRPr="00765E19">
        <w:rPr>
          <w:rFonts w:ascii="Palatino Linotype" w:hAnsi="Palatino Linotype"/>
          <w:color w:val="000000" w:themeColor="text1"/>
        </w:rPr>
        <w:t xml:space="preserve"> fracci</w:t>
      </w:r>
      <w:r w:rsidR="00FE1002" w:rsidRPr="00765E19">
        <w:rPr>
          <w:rFonts w:ascii="Palatino Linotype" w:hAnsi="Palatino Linotype"/>
          <w:color w:val="000000" w:themeColor="text1"/>
        </w:rPr>
        <w:t>o</w:t>
      </w:r>
      <w:r w:rsidRPr="00765E19">
        <w:rPr>
          <w:rFonts w:ascii="Palatino Linotype" w:hAnsi="Palatino Linotype"/>
          <w:color w:val="000000" w:themeColor="text1"/>
        </w:rPr>
        <w:t>n</w:t>
      </w:r>
      <w:r w:rsidR="00FE1002" w:rsidRPr="00765E19">
        <w:rPr>
          <w:rFonts w:ascii="Palatino Linotype" w:hAnsi="Palatino Linotype"/>
          <w:color w:val="000000" w:themeColor="text1"/>
        </w:rPr>
        <w:t>es</w:t>
      </w:r>
      <w:r w:rsidRPr="00765E19">
        <w:rPr>
          <w:rFonts w:ascii="Palatino Linotype" w:hAnsi="Palatino Linotype"/>
          <w:color w:val="000000" w:themeColor="text1"/>
        </w:rPr>
        <w:t xml:space="preserve"> </w:t>
      </w:r>
      <w:r w:rsidR="00FE1002" w:rsidRPr="00765E19">
        <w:rPr>
          <w:rFonts w:ascii="Palatino Linotype" w:hAnsi="Palatino Linotype"/>
          <w:color w:val="000000" w:themeColor="text1"/>
        </w:rPr>
        <w:t xml:space="preserve">V y </w:t>
      </w:r>
      <w:r w:rsidRPr="00765E19">
        <w:rPr>
          <w:rFonts w:ascii="Palatino Linotype" w:hAnsi="Palatino Linotype"/>
          <w:color w:val="000000" w:themeColor="text1"/>
        </w:rPr>
        <w:t xml:space="preserve">VII del artículo 191 de la Ley </w:t>
      </w:r>
      <w:r w:rsidR="00FE1002" w:rsidRPr="00765E19">
        <w:rPr>
          <w:rFonts w:ascii="Palatino Linotype" w:hAnsi="Palatino Linotype"/>
          <w:color w:val="000000" w:themeColor="text1"/>
        </w:rPr>
        <w:t>de Transparencia y Acceso a la Información Pública del Estado de México y Municipios</w:t>
      </w:r>
      <w:r w:rsidRPr="00765E19">
        <w:rPr>
          <w:rFonts w:ascii="Palatino Linotype" w:hAnsi="Palatino Linotype"/>
          <w:color w:val="000000" w:themeColor="text1"/>
        </w:rPr>
        <w:t>.</w:t>
      </w:r>
    </w:p>
    <w:p w14:paraId="7CA37FE9" w14:textId="3201A27F" w:rsidR="00A47279" w:rsidRPr="00765E19" w:rsidRDefault="004C6796" w:rsidP="00A47279">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765E19">
        <w:rPr>
          <w:rFonts w:ascii="Palatino Linotype" w:hAnsi="Palatino Linotype"/>
          <w:color w:val="000000" w:themeColor="text1"/>
        </w:rPr>
        <w:t xml:space="preserve">Sirve como criterio orientador para </w:t>
      </w:r>
      <w:r w:rsidR="00036C94" w:rsidRPr="00765E19">
        <w:rPr>
          <w:rFonts w:ascii="Palatino Linotype" w:hAnsi="Palatino Linotype"/>
          <w:color w:val="000000" w:themeColor="text1"/>
        </w:rPr>
        <w:t xml:space="preserve">la presente </w:t>
      </w:r>
      <w:r w:rsidRPr="00765E19">
        <w:rPr>
          <w:rFonts w:ascii="Palatino Linotype" w:hAnsi="Palatino Linotype"/>
          <w:color w:val="000000" w:themeColor="text1"/>
        </w:rPr>
        <w:t>resolución lo que establece el más alto Tribunal del país como a continuación se muestra:</w:t>
      </w:r>
    </w:p>
    <w:p w14:paraId="0CC716B1" w14:textId="2D12EDEF" w:rsidR="00036C94" w:rsidRPr="00765E19" w:rsidRDefault="00036C94" w:rsidP="00036C94">
      <w:pPr>
        <w:pStyle w:val="Sinespaciado"/>
        <w:ind w:left="851" w:right="567"/>
        <w:jc w:val="both"/>
        <w:rPr>
          <w:rFonts w:ascii="Palatino Linotype" w:hAnsi="Palatino Linotype"/>
          <w:i/>
          <w:sz w:val="22"/>
        </w:rPr>
      </w:pPr>
      <w:r w:rsidRPr="00765E19">
        <w:rPr>
          <w:rFonts w:ascii="Palatino Linotype" w:hAnsi="Palatino Linotype"/>
          <w:i/>
          <w:sz w:val="22"/>
        </w:rPr>
        <w:t xml:space="preserve">DEMANDA EN EL JUICIO CONTENCIOSO ADMINISTRATIVO FEDERAL. SU DESECHAMIENTO SÓLO PROCEDE RESPECTO DE CAUSALES DE IMPROCEDENCIA QUE RESULTEN NOTORIAS Y MANIFIESTAS. ”La facultad que tienen los Magistrados instructores para desechar la demanda en el juicio contencioso administrativo federal, en términos del artículo 38, fracción I, de la Ley Orgánica del Tribunal Federal de Justicia Fiscal y Administrativa, no debe entenderse irrestricta, sino acotada a los casos en que la improcedencia de los actos impugnados resulte notoria y manifiesta, pues a la luz del principio de interpretación conforme a la Constitución y a los tratados, previsto en el artículo 1o. constitucional, esa intelección es acorde con el diverso principio de tutela judicial efectiva, contenido en el artículo 17 constitucional y, armónicamente, con los preceptos 8, numeral 1 (garantías judiciales) y 25, numeral 1 (protección judicial), de la Convención Americana sobre Derechos Humanos. Así, sólo por excepción puede vedarse el acceso a los tribunales y, por lo mismo, en términos del principio pro persona (artículo 1o. constitucional), el citado artículo 38, fracción I, es de aplicación estricta para desechar de plano una demanda; de lo contrario, esto es, de estimar dable el </w:t>
      </w:r>
      <w:proofErr w:type="spellStart"/>
      <w:r w:rsidRPr="00765E19">
        <w:rPr>
          <w:rFonts w:ascii="Palatino Linotype" w:hAnsi="Palatino Linotype"/>
          <w:i/>
          <w:sz w:val="22"/>
        </w:rPr>
        <w:t>desechamiento</w:t>
      </w:r>
      <w:proofErr w:type="spellEnd"/>
      <w:r w:rsidRPr="00765E19">
        <w:rPr>
          <w:rFonts w:ascii="Palatino Linotype" w:hAnsi="Palatino Linotype"/>
          <w:i/>
          <w:sz w:val="22"/>
        </w:rPr>
        <w:t xml:space="preserve"> de ésta sin que la causal de improcedencia resulte notoria y manifiesta, se vulneraría el principio de acceso a la justicia y de la previsión de recursos idóneos y efectivos, al permitir que en esa fase inicial se analizaran cuestiones propias de la sentencia o, incluso, que pudiesen ser materia de prueba durante la sustanciación del juicio.”</w:t>
      </w:r>
    </w:p>
    <w:p w14:paraId="4CBE3F1E" w14:textId="77777777" w:rsidR="00036C94" w:rsidRPr="00765E19" w:rsidRDefault="00036C94" w:rsidP="00036C94">
      <w:pPr>
        <w:pStyle w:val="Sinespaciado"/>
        <w:ind w:left="851" w:right="567"/>
        <w:jc w:val="both"/>
        <w:rPr>
          <w:rFonts w:ascii="Palatino Linotype" w:hAnsi="Palatino Linotype"/>
          <w:i/>
          <w:sz w:val="22"/>
        </w:rPr>
      </w:pPr>
    </w:p>
    <w:p w14:paraId="3DC9CC68" w14:textId="3FEBB533" w:rsidR="00036C94" w:rsidRPr="00765E19" w:rsidRDefault="00036C94" w:rsidP="00036C94">
      <w:pPr>
        <w:pStyle w:val="Sinespaciado"/>
        <w:ind w:left="851" w:right="567"/>
        <w:jc w:val="both"/>
        <w:rPr>
          <w:rFonts w:ascii="Palatino Linotype" w:hAnsi="Palatino Linotype"/>
          <w:i/>
          <w:sz w:val="22"/>
        </w:rPr>
      </w:pPr>
      <w:r w:rsidRPr="00765E19">
        <w:rPr>
          <w:rFonts w:ascii="Palatino Linotype" w:hAnsi="Palatino Linotype"/>
          <w:i/>
          <w:sz w:val="22"/>
        </w:rPr>
        <w:t>DÉCIMO OCTAVO TRIBUNAL COLEGIADO EN MATERIA ADMINISTRATIVA DEL PRIMER CIRCUITO.</w:t>
      </w:r>
    </w:p>
    <w:p w14:paraId="239AB2E9" w14:textId="1FF97C17" w:rsidR="00084E31" w:rsidRPr="00765E19" w:rsidRDefault="00755369" w:rsidP="00C65BF3">
      <w:pPr>
        <w:pStyle w:val="Prrafodelista"/>
        <w:numPr>
          <w:ilvl w:val="0"/>
          <w:numId w:val="23"/>
        </w:numPr>
        <w:spacing w:before="240" w:after="240" w:line="360" w:lineRule="auto"/>
        <w:ind w:left="426" w:right="49"/>
        <w:jc w:val="both"/>
        <w:rPr>
          <w:rFonts w:ascii="Palatino Linotype" w:eastAsia="MS Mincho" w:hAnsi="Palatino Linotype" w:cs="Times New Roman"/>
          <w:color w:val="000000"/>
        </w:rPr>
      </w:pPr>
      <w:bookmarkStart w:id="86" w:name="_Toc495427547"/>
      <w:bookmarkStart w:id="87" w:name="_Toc497905366"/>
      <w:r w:rsidRPr="00765E19">
        <w:rPr>
          <w:rFonts w:ascii="Palatino Linotype" w:eastAsia="MS Mincho" w:hAnsi="Palatino Linotype" w:cs="Times New Roman"/>
          <w:color w:val="000000"/>
        </w:rPr>
        <w:lastRenderedPageBreak/>
        <w:t>Por lo anterior</w:t>
      </w:r>
      <w:r w:rsidR="004C6796" w:rsidRPr="00765E19">
        <w:rPr>
          <w:rFonts w:ascii="Palatino Linotype" w:eastAsia="MS Mincho" w:hAnsi="Palatino Linotype" w:cs="Times New Roman"/>
          <w:color w:val="000000"/>
        </w:rPr>
        <w:t>mente expuesto</w:t>
      </w:r>
      <w:r w:rsidRPr="00765E19">
        <w:rPr>
          <w:rFonts w:ascii="Palatino Linotype" w:eastAsia="MS Mincho" w:hAnsi="Palatino Linotype" w:cs="Times New Roman"/>
          <w:color w:val="000000"/>
        </w:rPr>
        <w:t xml:space="preserve">, este Pleno determina el </w:t>
      </w:r>
      <w:r w:rsidR="00036C94" w:rsidRPr="00765E19">
        <w:rPr>
          <w:rFonts w:ascii="Palatino Linotype" w:eastAsia="MS Mincho" w:hAnsi="Palatino Linotype" w:cs="Times New Roman"/>
          <w:b/>
          <w:color w:val="000000"/>
        </w:rPr>
        <w:t>DESECHAMIENTO</w:t>
      </w:r>
      <w:r w:rsidRPr="00765E19">
        <w:rPr>
          <w:rFonts w:ascii="Palatino Linotype" w:eastAsia="MS Mincho" w:hAnsi="Palatino Linotype" w:cs="Times New Roman"/>
          <w:color w:val="000000"/>
        </w:rPr>
        <w:t xml:space="preserve"> del presente recur</w:t>
      </w:r>
      <w:r w:rsidR="004C6796" w:rsidRPr="00765E19">
        <w:rPr>
          <w:rFonts w:ascii="Palatino Linotype" w:eastAsia="MS Mincho" w:hAnsi="Palatino Linotype" w:cs="Times New Roman"/>
          <w:color w:val="000000"/>
        </w:rPr>
        <w:t>so de revisión, toda vez que e</w:t>
      </w:r>
      <w:r w:rsidRPr="00765E19">
        <w:rPr>
          <w:rFonts w:ascii="Palatino Linotype" w:eastAsia="MS Mincho" w:hAnsi="Palatino Linotype" w:cs="Times New Roman"/>
          <w:color w:val="000000"/>
        </w:rPr>
        <w:t>l derecho de acceso a la</w:t>
      </w:r>
      <w:r w:rsidR="004C6796" w:rsidRPr="00765E19">
        <w:rPr>
          <w:rFonts w:ascii="Palatino Linotype" w:eastAsia="MS Mincho" w:hAnsi="Palatino Linotype" w:cs="Times New Roman"/>
          <w:color w:val="000000"/>
        </w:rPr>
        <w:t xml:space="preserve"> información pública establecido</w:t>
      </w:r>
      <w:r w:rsidRPr="00765E19">
        <w:rPr>
          <w:rFonts w:ascii="Palatino Linotype" w:eastAsia="MS Mincho" w:hAnsi="Palatino Linotype" w:cs="Times New Roman"/>
          <w:color w:val="000000"/>
        </w:rPr>
        <w:t xml:space="preserve"> constitucionalmente a favor de </w:t>
      </w:r>
      <w:r w:rsidR="001F4B1F" w:rsidRPr="001F4B1F">
        <w:rPr>
          <w:rFonts w:ascii="Palatino Linotype" w:hAnsi="Palatino Linotype" w:cs="Arial"/>
          <w:b/>
          <w:szCs w:val="20"/>
          <w:highlight w:val="black"/>
        </w:rPr>
        <w:t>-----------------------------------------------------------</w:t>
      </w:r>
      <w:r w:rsidR="004C6796" w:rsidRPr="00765E19">
        <w:rPr>
          <w:rFonts w:ascii="Palatino Linotype" w:eastAsia="MS Mincho" w:hAnsi="Palatino Linotype" w:cs="Times New Roman"/>
          <w:color w:val="000000"/>
        </w:rPr>
        <w:t xml:space="preserve">, fue atendido plenamente por el </w:t>
      </w:r>
      <w:r w:rsidR="004C6796" w:rsidRPr="00765E19">
        <w:rPr>
          <w:rFonts w:ascii="Palatino Linotype" w:eastAsia="MS Mincho" w:hAnsi="Palatino Linotype" w:cs="Times New Roman"/>
          <w:b/>
          <w:color w:val="000000"/>
        </w:rPr>
        <w:t>SUJETO OBLIGADO.</w:t>
      </w:r>
    </w:p>
    <w:p w14:paraId="18C7D92B" w14:textId="77777777" w:rsidR="009959DB" w:rsidRPr="00765E19" w:rsidRDefault="009959DB" w:rsidP="009959DB">
      <w:pPr>
        <w:pStyle w:val="Ttulo1"/>
        <w:spacing w:line="360" w:lineRule="auto"/>
        <w:jc w:val="center"/>
        <w:rPr>
          <w:b/>
          <w:color w:val="000000" w:themeColor="text1"/>
          <w:szCs w:val="24"/>
        </w:rPr>
      </w:pPr>
      <w:bookmarkStart w:id="88" w:name="_Toc516484340"/>
      <w:r w:rsidRPr="00765E19">
        <w:rPr>
          <w:b/>
          <w:color w:val="000000" w:themeColor="text1"/>
          <w:szCs w:val="24"/>
        </w:rPr>
        <w:t>R E S O L U T I V O S</w:t>
      </w:r>
      <w:bookmarkEnd w:id="84"/>
      <w:bookmarkEnd w:id="85"/>
      <w:bookmarkEnd w:id="86"/>
      <w:bookmarkEnd w:id="87"/>
      <w:bookmarkEnd w:id="88"/>
    </w:p>
    <w:p w14:paraId="639746D2" w14:textId="34017247" w:rsidR="00875DF8" w:rsidRPr="00765E19" w:rsidRDefault="00875DF8" w:rsidP="00875DF8">
      <w:pPr>
        <w:spacing w:before="240" w:after="240" w:line="360" w:lineRule="auto"/>
        <w:jc w:val="both"/>
        <w:rPr>
          <w:rFonts w:ascii="Palatino Linotype" w:hAnsi="Palatino Linotype" w:cs="Arial"/>
        </w:rPr>
      </w:pPr>
      <w:bookmarkStart w:id="89" w:name="_Toc461648588"/>
      <w:bookmarkStart w:id="90" w:name="_Toc461648680"/>
      <w:bookmarkStart w:id="91" w:name="_Toc462228047"/>
      <w:bookmarkStart w:id="92" w:name="_Toc462228127"/>
      <w:bookmarkStart w:id="93" w:name="_Toc496099787"/>
      <w:bookmarkStart w:id="94" w:name="_Toc496100164"/>
      <w:bookmarkStart w:id="95" w:name="_Toc499756976"/>
      <w:bookmarkStart w:id="96" w:name="_Toc499757019"/>
      <w:bookmarkStart w:id="97" w:name="_Toc500245736"/>
      <w:bookmarkStart w:id="98" w:name="_Toc500360402"/>
      <w:bookmarkStart w:id="99" w:name="_Toc500786933"/>
      <w:bookmarkStart w:id="100" w:name="_Toc500847177"/>
      <w:bookmarkStart w:id="101" w:name="_Toc516484341"/>
      <w:r w:rsidRPr="00765E19">
        <w:rPr>
          <w:rStyle w:val="Ttulo2Car"/>
          <w:rFonts w:ascii="Palatino Linotype" w:hAnsi="Palatino Linotype"/>
          <w:b/>
          <w:color w:val="auto"/>
          <w:sz w:val="24"/>
        </w:rPr>
        <w:t xml:space="preserve">PRIMERO. </w:t>
      </w:r>
      <w:r w:rsidRPr="00765E19">
        <w:rPr>
          <w:rStyle w:val="Ttulo2Car"/>
          <w:rFonts w:ascii="Palatino Linotype" w:hAnsi="Palatino Linotype"/>
          <w:color w:val="auto"/>
          <w:sz w:val="24"/>
        </w:rPr>
        <w:t>Se</w:t>
      </w:r>
      <w:r w:rsidRPr="00765E19">
        <w:rPr>
          <w:rStyle w:val="Ttulo2Car"/>
          <w:rFonts w:ascii="Palatino Linotype" w:hAnsi="Palatino Linotype"/>
          <w:b/>
          <w:color w:val="auto"/>
          <w:sz w:val="24"/>
        </w:rPr>
        <w:t xml:space="preserve"> </w:t>
      </w:r>
      <w:r w:rsidR="00036C94" w:rsidRPr="00765E19">
        <w:rPr>
          <w:rStyle w:val="Ttulo2Car"/>
          <w:rFonts w:ascii="Palatino Linotype" w:hAnsi="Palatino Linotype"/>
          <w:b/>
          <w:color w:val="auto"/>
          <w:sz w:val="24"/>
        </w:rPr>
        <w:t>DESECHA</w:t>
      </w:r>
      <w:r w:rsidRPr="00765E19">
        <w:rPr>
          <w:rStyle w:val="Ttulo2Car"/>
          <w:rFonts w:ascii="Palatino Linotype" w:hAnsi="Palatino Linotype"/>
          <w:b/>
          <w:color w:val="auto"/>
          <w:sz w:val="24"/>
        </w:rPr>
        <w:t xml:space="preserve"> </w:t>
      </w:r>
      <w:r w:rsidRPr="00765E19">
        <w:rPr>
          <w:rStyle w:val="Ttulo2Car"/>
          <w:rFonts w:ascii="Palatino Linotype" w:hAnsi="Palatino Linotype"/>
          <w:color w:val="auto"/>
          <w:sz w:val="24"/>
        </w:rPr>
        <w:t>el pres</w:t>
      </w:r>
      <w:r w:rsidR="00EA420B" w:rsidRPr="00765E19">
        <w:rPr>
          <w:rStyle w:val="Ttulo2Car"/>
          <w:rFonts w:ascii="Palatino Linotype" w:hAnsi="Palatino Linotype"/>
          <w:color w:val="auto"/>
          <w:sz w:val="24"/>
        </w:rPr>
        <w:t>ente recurso de revisión por las razones y fundamentos plasmados</w:t>
      </w:r>
      <w:r w:rsidRPr="00765E19">
        <w:rPr>
          <w:rStyle w:val="Ttulo2Car"/>
          <w:rFonts w:ascii="Palatino Linotype" w:hAnsi="Palatino Linotype"/>
          <w:color w:val="auto"/>
          <w:sz w:val="24"/>
        </w:rPr>
        <w:t xml:space="preserve"> en el considerando</w:t>
      </w:r>
      <w:r w:rsidRPr="00765E19">
        <w:rPr>
          <w:rStyle w:val="Ttulo2Car"/>
          <w:rFonts w:ascii="Palatino Linotype" w:hAnsi="Palatino Linotype"/>
          <w:b/>
          <w:color w:val="auto"/>
          <w:sz w:val="24"/>
        </w:rPr>
        <w:t xml:space="preserve"> TERCERO </w:t>
      </w:r>
      <w:r w:rsidRPr="00765E19">
        <w:rPr>
          <w:rStyle w:val="Ttulo2Car"/>
          <w:rFonts w:ascii="Palatino Linotype" w:hAnsi="Palatino Linotype"/>
          <w:color w:val="auto"/>
          <w:sz w:val="24"/>
        </w:rPr>
        <w:t>de esta resolución</w:t>
      </w:r>
      <w:bookmarkEnd w:id="89"/>
      <w:bookmarkEnd w:id="90"/>
      <w:bookmarkEnd w:id="91"/>
      <w:bookmarkEnd w:id="92"/>
      <w:bookmarkEnd w:id="93"/>
      <w:bookmarkEnd w:id="94"/>
      <w:bookmarkEnd w:id="95"/>
      <w:bookmarkEnd w:id="96"/>
      <w:bookmarkEnd w:id="97"/>
      <w:bookmarkEnd w:id="98"/>
      <w:bookmarkEnd w:id="99"/>
      <w:bookmarkEnd w:id="100"/>
      <w:bookmarkEnd w:id="101"/>
      <w:r w:rsidRPr="00765E19">
        <w:rPr>
          <w:rFonts w:ascii="Palatino Linotype" w:hAnsi="Palatino Linotype" w:cs="Arial"/>
        </w:rPr>
        <w:t>.</w:t>
      </w:r>
    </w:p>
    <w:p w14:paraId="3D84E1D9" w14:textId="77777777" w:rsidR="00875DF8" w:rsidRPr="00765E19" w:rsidRDefault="00875DF8" w:rsidP="00875DF8">
      <w:pPr>
        <w:shd w:val="clear" w:color="auto" w:fill="FFFFFF"/>
        <w:spacing w:before="240" w:after="360" w:line="360" w:lineRule="auto"/>
        <w:jc w:val="both"/>
        <w:rPr>
          <w:rStyle w:val="Ttulo2Car"/>
          <w:rFonts w:ascii="Palatino Linotype" w:hAnsi="Palatino Linotype"/>
          <w:b/>
          <w:color w:val="000000" w:themeColor="text1"/>
          <w:sz w:val="24"/>
        </w:rPr>
      </w:pPr>
      <w:bookmarkStart w:id="102" w:name="_Toc461648590"/>
      <w:bookmarkStart w:id="103" w:name="_Toc461648682"/>
      <w:bookmarkStart w:id="104" w:name="_Toc462228049"/>
      <w:bookmarkStart w:id="105" w:name="_Toc462228129"/>
      <w:bookmarkStart w:id="106" w:name="_Toc496099789"/>
      <w:bookmarkStart w:id="107" w:name="_Toc496100166"/>
      <w:bookmarkStart w:id="108" w:name="_Toc499756977"/>
      <w:bookmarkStart w:id="109" w:name="_Toc499757020"/>
      <w:bookmarkStart w:id="110" w:name="_Toc500245737"/>
      <w:bookmarkStart w:id="111" w:name="_Toc500360403"/>
      <w:bookmarkStart w:id="112" w:name="_Toc500786934"/>
      <w:bookmarkStart w:id="113" w:name="_Toc500847178"/>
      <w:bookmarkStart w:id="114" w:name="_Toc516484342"/>
      <w:r w:rsidRPr="00765E19">
        <w:rPr>
          <w:rStyle w:val="Ttulo2Car"/>
          <w:rFonts w:ascii="Palatino Linotype" w:hAnsi="Palatino Linotype"/>
          <w:b/>
          <w:color w:val="000000" w:themeColor="text1"/>
          <w:sz w:val="24"/>
        </w:rPr>
        <w:t>SEGUNDO.</w:t>
      </w:r>
      <w:bookmarkEnd w:id="102"/>
      <w:bookmarkEnd w:id="103"/>
      <w:bookmarkEnd w:id="104"/>
      <w:bookmarkEnd w:id="105"/>
      <w:bookmarkEnd w:id="106"/>
      <w:bookmarkEnd w:id="107"/>
      <w:bookmarkEnd w:id="108"/>
      <w:bookmarkEnd w:id="109"/>
      <w:bookmarkEnd w:id="110"/>
      <w:bookmarkEnd w:id="111"/>
      <w:bookmarkEnd w:id="112"/>
      <w:bookmarkEnd w:id="113"/>
      <w:bookmarkEnd w:id="114"/>
      <w:r w:rsidRPr="00765E19">
        <w:rPr>
          <w:rStyle w:val="Ttulo2Car"/>
          <w:rFonts w:ascii="Palatino Linotype" w:hAnsi="Palatino Linotype"/>
          <w:b/>
          <w:color w:val="000000" w:themeColor="text1"/>
          <w:sz w:val="24"/>
        </w:rPr>
        <w:t xml:space="preserve"> </w:t>
      </w:r>
      <w:r w:rsidRPr="00765E19">
        <w:rPr>
          <w:rFonts w:ascii="Palatino Linotype" w:eastAsia="MS Mincho" w:hAnsi="Palatino Linotype" w:cs="Arial"/>
          <w:b/>
          <w:bCs/>
          <w:color w:val="000000" w:themeColor="text1"/>
          <w:shd w:val="clear" w:color="auto" w:fill="FFFFFF"/>
        </w:rPr>
        <w:t xml:space="preserve">Remítase </w:t>
      </w:r>
      <w:r w:rsidRPr="00765E19">
        <w:rPr>
          <w:rFonts w:ascii="Palatino Linotype" w:eastAsia="MS Mincho" w:hAnsi="Palatino Linotype" w:cs="Times New Roman"/>
          <w:color w:val="000000" w:themeColor="text1"/>
          <w:shd w:val="clear" w:color="auto" w:fill="FFFFFF"/>
        </w:rPr>
        <w:t>al Titular de la Unidad de Transparencia del</w:t>
      </w:r>
      <w:r w:rsidRPr="00765E19">
        <w:rPr>
          <w:rFonts w:ascii="Palatino Linotype" w:eastAsia="MS Mincho" w:hAnsi="Palatino Linotype" w:cs="Times New Roman"/>
          <w:b/>
          <w:bCs/>
          <w:color w:val="000000" w:themeColor="text1"/>
          <w:shd w:val="clear" w:color="auto" w:fill="FFFFFF"/>
        </w:rPr>
        <w:t xml:space="preserve"> SUJETO OBLIGADO</w:t>
      </w:r>
      <w:r w:rsidRPr="00765E19">
        <w:rPr>
          <w:rFonts w:ascii="Palatino Linotype" w:eastAsia="MS Mincho" w:hAnsi="Palatino Linotype" w:cs="Times New Roman"/>
          <w:color w:val="000000" w:themeColor="text1"/>
          <w:shd w:val="clear" w:color="auto" w:fill="FFFFFF"/>
        </w:rPr>
        <w:t xml:space="preserve"> vía Sistema de Acceso a Información Mexiquense, </w:t>
      </w:r>
      <w:r w:rsidRPr="00765E19">
        <w:rPr>
          <w:rFonts w:ascii="Palatino Linotype" w:eastAsia="MS Mincho" w:hAnsi="Palatino Linotype" w:cs="Times New Roman"/>
          <w:b/>
          <w:color w:val="000000" w:themeColor="text1"/>
          <w:shd w:val="clear" w:color="auto" w:fill="FFFFFF"/>
        </w:rPr>
        <w:t>SAIMEX</w:t>
      </w:r>
      <w:r w:rsidRPr="00765E19">
        <w:rPr>
          <w:rFonts w:ascii="Palatino Linotype" w:eastAsia="MS Mincho" w:hAnsi="Palatino Linotype" w:cs="Times New Roman"/>
          <w:color w:val="000000" w:themeColor="text1"/>
          <w:shd w:val="clear" w:color="auto" w:fill="FFFFFF"/>
        </w:rPr>
        <w:t>, la presente resolución.</w:t>
      </w:r>
    </w:p>
    <w:p w14:paraId="2DD90977" w14:textId="27830CB2" w:rsidR="00875DF8" w:rsidRPr="00765E19" w:rsidRDefault="00875DF8" w:rsidP="00875DF8">
      <w:pPr>
        <w:spacing w:before="240" w:after="360" w:line="360" w:lineRule="auto"/>
        <w:jc w:val="both"/>
        <w:rPr>
          <w:rFonts w:ascii="Palatino Linotype" w:eastAsia="MS Mincho" w:hAnsi="Palatino Linotype" w:cs="Times New Roman"/>
          <w:color w:val="000000" w:themeColor="text1"/>
        </w:rPr>
      </w:pPr>
      <w:bookmarkStart w:id="115" w:name="_Toc496100167"/>
      <w:bookmarkStart w:id="116" w:name="_Toc499756978"/>
      <w:bookmarkStart w:id="117" w:name="_Toc499757021"/>
      <w:bookmarkStart w:id="118" w:name="_Toc500245738"/>
      <w:bookmarkStart w:id="119" w:name="_Toc500360404"/>
      <w:bookmarkStart w:id="120" w:name="_Toc500786935"/>
      <w:bookmarkStart w:id="121" w:name="_Toc500847179"/>
      <w:bookmarkStart w:id="122" w:name="_Toc516484343"/>
      <w:r w:rsidRPr="00765E19">
        <w:rPr>
          <w:rStyle w:val="Ttulo2Car"/>
          <w:rFonts w:ascii="Palatino Linotype" w:hAnsi="Palatino Linotype"/>
          <w:b/>
          <w:color w:val="000000" w:themeColor="text1"/>
          <w:sz w:val="24"/>
        </w:rPr>
        <w:t>TERCERO.</w:t>
      </w:r>
      <w:bookmarkEnd w:id="115"/>
      <w:bookmarkEnd w:id="116"/>
      <w:bookmarkEnd w:id="117"/>
      <w:bookmarkEnd w:id="118"/>
      <w:bookmarkEnd w:id="119"/>
      <w:bookmarkEnd w:id="120"/>
      <w:bookmarkEnd w:id="121"/>
      <w:bookmarkEnd w:id="122"/>
      <w:r w:rsidRPr="00765E19">
        <w:rPr>
          <w:rFonts w:ascii="Palatino Linotype" w:eastAsia="MS Mincho" w:hAnsi="Palatino Linotype" w:cs="Times New Roman"/>
          <w:b/>
          <w:color w:val="000000" w:themeColor="text1"/>
          <w:sz w:val="22"/>
        </w:rPr>
        <w:t xml:space="preserve"> </w:t>
      </w:r>
      <w:r w:rsidRPr="00765E19">
        <w:rPr>
          <w:rFonts w:ascii="Palatino Linotype" w:eastAsia="MS Mincho" w:hAnsi="Palatino Linotype" w:cs="Times New Roman"/>
          <w:color w:val="000000" w:themeColor="text1"/>
        </w:rPr>
        <w:t>Notifíquese a</w:t>
      </w:r>
      <w:r w:rsidRPr="00765E19">
        <w:rPr>
          <w:rFonts w:ascii="Palatino Linotype" w:eastAsia="MS Mincho" w:hAnsi="Palatino Linotype" w:cs="Times New Roman"/>
          <w:b/>
          <w:color w:val="000000" w:themeColor="text1"/>
        </w:rPr>
        <w:t xml:space="preserve"> </w:t>
      </w:r>
      <w:r w:rsidR="001F4B1F" w:rsidRPr="001F4B1F">
        <w:rPr>
          <w:rFonts w:ascii="Palatino Linotype" w:eastAsia="MS Mincho" w:hAnsi="Palatino Linotype" w:cs="Times New Roman"/>
          <w:b/>
          <w:color w:val="000000" w:themeColor="text1"/>
          <w:highlight w:val="black"/>
        </w:rPr>
        <w:t>------------------------------</w:t>
      </w:r>
      <w:r w:rsidR="001F4B1F">
        <w:rPr>
          <w:rFonts w:ascii="Palatino Linotype" w:eastAsia="MS Mincho" w:hAnsi="Palatino Linotype" w:cs="Times New Roman"/>
          <w:b/>
          <w:color w:val="000000" w:themeColor="text1"/>
        </w:rPr>
        <w:t xml:space="preserve">, </w:t>
      </w:r>
      <w:r w:rsidRPr="00765E19">
        <w:rPr>
          <w:rFonts w:ascii="Palatino Linotype" w:eastAsia="MS Mincho" w:hAnsi="Palatino Linotype" w:cs="Times New Roman"/>
          <w:color w:val="000000" w:themeColor="text1"/>
        </w:rPr>
        <w:t>la presente</w:t>
      </w:r>
      <w:r w:rsidR="00036C94" w:rsidRPr="00765E19">
        <w:rPr>
          <w:rFonts w:ascii="Palatino Linotype" w:eastAsia="MS Mincho" w:hAnsi="Palatino Linotype" w:cs="Times New Roman"/>
          <w:color w:val="000000" w:themeColor="text1"/>
        </w:rPr>
        <w:t xml:space="preserve"> resolución</w:t>
      </w:r>
      <w:r w:rsidR="004D2676" w:rsidRPr="00765E19">
        <w:rPr>
          <w:rFonts w:ascii="Palatino Linotype" w:hAnsi="Palatino Linotype" w:cs="Arial"/>
          <w:bCs/>
          <w:lang w:eastAsia="es-MX"/>
        </w:rPr>
        <w:t>.</w:t>
      </w:r>
    </w:p>
    <w:p w14:paraId="7A4CE694" w14:textId="12EE591C" w:rsidR="00875DF8" w:rsidRDefault="00875DF8" w:rsidP="00875DF8">
      <w:pPr>
        <w:spacing w:before="240" w:after="360" w:line="360" w:lineRule="auto"/>
        <w:jc w:val="both"/>
        <w:rPr>
          <w:rFonts w:ascii="Palatino Linotype" w:eastAsia="MS Mincho" w:hAnsi="Palatino Linotype" w:cs="Times New Roman"/>
          <w:color w:val="000000" w:themeColor="text1"/>
        </w:rPr>
      </w:pPr>
      <w:bookmarkStart w:id="123" w:name="_Toc496100168"/>
      <w:bookmarkStart w:id="124" w:name="_Toc499757022"/>
      <w:bookmarkStart w:id="125" w:name="_Toc500245739"/>
      <w:bookmarkStart w:id="126" w:name="_Toc500360405"/>
      <w:bookmarkStart w:id="127" w:name="_Toc500786936"/>
      <w:bookmarkStart w:id="128" w:name="_Toc500847180"/>
      <w:bookmarkStart w:id="129" w:name="_Toc516484344"/>
      <w:r w:rsidRPr="00765E19">
        <w:rPr>
          <w:rStyle w:val="Ttulo2Car"/>
          <w:rFonts w:ascii="Palatino Linotype" w:hAnsi="Palatino Linotype"/>
          <w:b/>
          <w:color w:val="000000" w:themeColor="text1"/>
          <w:sz w:val="24"/>
        </w:rPr>
        <w:t>CUARTO.</w:t>
      </w:r>
      <w:bookmarkEnd w:id="123"/>
      <w:bookmarkEnd w:id="124"/>
      <w:bookmarkEnd w:id="125"/>
      <w:bookmarkEnd w:id="126"/>
      <w:bookmarkEnd w:id="127"/>
      <w:bookmarkEnd w:id="128"/>
      <w:bookmarkEnd w:id="129"/>
      <w:r w:rsidRPr="00765E19">
        <w:rPr>
          <w:rFonts w:ascii="Palatino Linotype" w:eastAsia="MS Mincho" w:hAnsi="Palatino Linotype" w:cs="Times New Roman"/>
          <w:b/>
          <w:color w:val="000000" w:themeColor="text1"/>
          <w:sz w:val="22"/>
        </w:rPr>
        <w:t xml:space="preserve"> </w:t>
      </w:r>
      <w:r w:rsidRPr="00765E19">
        <w:rPr>
          <w:rFonts w:ascii="Palatino Linotype" w:eastAsia="MS Mincho" w:hAnsi="Palatino Linotype" w:cs="Times New Roman"/>
          <w:color w:val="000000" w:themeColor="text1"/>
        </w:rPr>
        <w:t xml:space="preserve">Se hace del conocimiento de </w:t>
      </w:r>
      <w:r w:rsidR="001F4B1F" w:rsidRPr="001F4B1F">
        <w:rPr>
          <w:rFonts w:ascii="Palatino Linotype" w:eastAsia="MS Mincho" w:hAnsi="Palatino Linotype" w:cs="Times New Roman"/>
          <w:color w:val="000000" w:themeColor="text1"/>
          <w:highlight w:val="black"/>
        </w:rPr>
        <w:t>----------------------------------------</w:t>
      </w:r>
      <w:bookmarkStart w:id="130" w:name="_GoBack"/>
      <w:bookmarkEnd w:id="130"/>
      <w:r w:rsidR="001F4B1F">
        <w:rPr>
          <w:rFonts w:ascii="Palatino Linotype" w:eastAsia="MS Mincho" w:hAnsi="Palatino Linotype" w:cs="Times New Roman"/>
          <w:color w:val="000000" w:themeColor="text1"/>
        </w:rPr>
        <w:t xml:space="preserve"> </w:t>
      </w:r>
      <w:r w:rsidRPr="00765E1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013B20A" w14:textId="492CA1F7" w:rsidR="00765E19" w:rsidRPr="00765E19" w:rsidRDefault="00765E19" w:rsidP="00875DF8">
      <w:pPr>
        <w:spacing w:before="240" w:after="360" w:line="360" w:lineRule="auto"/>
        <w:jc w:val="both"/>
        <w:rPr>
          <w:rFonts w:ascii="Palatino Linotype" w:eastAsia="MS Mincho" w:hAnsi="Palatino Linotype" w:cs="Times New Roman"/>
          <w:color w:val="000000" w:themeColor="text1"/>
        </w:rPr>
      </w:pPr>
      <w:r w:rsidRPr="00765E1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 xml:space="preserve"> EMITIENDO VOTO PARTICULAR CONCURRENTE</w:t>
      </w:r>
      <w:r w:rsidRPr="00765E19">
        <w:rPr>
          <w:rFonts w:ascii="Palatino Linotype" w:hAnsi="Palatino Linotype"/>
          <w:color w:val="000000" w:themeColor="text1"/>
        </w:rPr>
        <w:t xml:space="preserve">; </w:t>
      </w:r>
      <w:r w:rsidRPr="00765E19">
        <w:rPr>
          <w:rFonts w:ascii="Palatino Linotype" w:hAnsi="Palatino Linotype"/>
          <w:color w:val="000000" w:themeColor="text1"/>
        </w:rPr>
        <w:lastRenderedPageBreak/>
        <w:t>EVA ABAID YAPUR</w:t>
      </w:r>
      <w:r>
        <w:rPr>
          <w:rFonts w:ascii="Palatino Linotype" w:hAnsi="Palatino Linotype"/>
          <w:color w:val="000000" w:themeColor="text1"/>
        </w:rPr>
        <w:t xml:space="preserve"> EMITIENDO VOTO PARTICULAR</w:t>
      </w:r>
      <w:r w:rsidRPr="00765E19">
        <w:rPr>
          <w:rFonts w:ascii="Palatino Linotype" w:hAnsi="Palatino Linotype"/>
          <w:color w:val="000000" w:themeColor="text1"/>
        </w:rPr>
        <w:t>; JOSÉ GUADALUPE LUNA HERNÁNDEZ Y JAVIER MARTÍNEZ CRUZ</w:t>
      </w:r>
      <w:r>
        <w:rPr>
          <w:rFonts w:ascii="Palatino Linotype" w:hAnsi="Palatino Linotype"/>
          <w:color w:val="000000" w:themeColor="text1"/>
        </w:rPr>
        <w:t xml:space="preserve"> EMITIENDO VOTO PARTICULAR CONCURRENTE</w:t>
      </w:r>
      <w:r w:rsidRPr="00765E19">
        <w:rPr>
          <w:rFonts w:ascii="Palatino Linotype" w:hAnsi="Palatino Linotype"/>
          <w:color w:val="000000" w:themeColor="text1"/>
        </w:rPr>
        <w:t>; EN LA VIGÉSIMA PRIMERA SESIÓN ORDINARIA CELEBRADA EL SEIS (6) DE JUNIO DE DOS MIL DIECIOCHO, ANTE EL SECRETARIO TÉCNICO DEL PLENO ALEXIS TAPIA RAMÍREZ</w:t>
      </w:r>
      <w:r>
        <w:rPr>
          <w:rFonts w:ascii="Palatino Linotype" w:hAnsi="Palatino Linotype"/>
          <w:color w:val="000000" w:themeColor="text1"/>
        </w:rPr>
        <w:t>.</w:t>
      </w:r>
    </w:p>
    <w:tbl>
      <w:tblPr>
        <w:tblStyle w:val="Tablaconcuadrcula1"/>
        <w:tblW w:w="91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836"/>
      </w:tblGrid>
      <w:tr w:rsidR="009959DB" w:rsidRPr="00765E19" w14:paraId="03EB0F00" w14:textId="77777777" w:rsidTr="00765E19">
        <w:trPr>
          <w:trHeight w:val="1760"/>
        </w:trPr>
        <w:tc>
          <w:tcPr>
            <w:tcW w:w="9103" w:type="dxa"/>
            <w:gridSpan w:val="2"/>
            <w:vAlign w:val="center"/>
          </w:tcPr>
          <w:p w14:paraId="431D424A" w14:textId="11B73135" w:rsidR="00036C94" w:rsidRPr="00765E19" w:rsidRDefault="00036C94" w:rsidP="00765E19">
            <w:pPr>
              <w:pStyle w:val="Prrafodelista"/>
              <w:ind w:left="0"/>
              <w:jc w:val="both"/>
              <w:rPr>
                <w:rFonts w:ascii="Palatino Linotype" w:hAnsi="Palatino Linotype" w:cs="Arial"/>
                <w:color w:val="000000" w:themeColor="text1"/>
              </w:rPr>
            </w:pPr>
          </w:p>
          <w:p w14:paraId="52DFF0CE" w14:textId="77777777" w:rsidR="00765E19" w:rsidRPr="00765E19" w:rsidRDefault="00765E19" w:rsidP="00765E19">
            <w:pPr>
              <w:jc w:val="center"/>
              <w:rPr>
                <w:rFonts w:ascii="Palatino Linotype" w:hAnsi="Palatino Linotype" w:cs="Times New Roman"/>
                <w:b/>
                <w:color w:val="000000" w:themeColor="text1"/>
              </w:rPr>
            </w:pPr>
          </w:p>
          <w:p w14:paraId="76A93289" w14:textId="77777777" w:rsidR="009959DB" w:rsidRPr="00765E19" w:rsidRDefault="009959DB" w:rsidP="00765E19">
            <w:pPr>
              <w:jc w:val="center"/>
              <w:rPr>
                <w:rFonts w:ascii="Palatino Linotype" w:hAnsi="Palatino Linotype" w:cs="Times New Roman"/>
                <w:b/>
                <w:color w:val="000000" w:themeColor="text1"/>
              </w:rPr>
            </w:pPr>
            <w:r w:rsidRPr="00765E19">
              <w:rPr>
                <w:rFonts w:ascii="Palatino Linotype" w:hAnsi="Palatino Linotype" w:cs="Times New Roman"/>
                <w:b/>
                <w:color w:val="000000" w:themeColor="text1"/>
              </w:rPr>
              <w:t>Zulema Martínez Sánchez</w:t>
            </w:r>
          </w:p>
          <w:p w14:paraId="5404AD8D" w14:textId="77777777" w:rsidR="009959DB" w:rsidRPr="00765E19" w:rsidRDefault="009959DB" w:rsidP="00765E19">
            <w:pPr>
              <w:jc w:val="center"/>
              <w:rPr>
                <w:rFonts w:ascii="Palatino Linotype" w:hAnsi="Palatino Linotype"/>
                <w:color w:val="000000" w:themeColor="text1"/>
              </w:rPr>
            </w:pPr>
            <w:r w:rsidRPr="00765E19">
              <w:rPr>
                <w:rFonts w:ascii="Palatino Linotype" w:hAnsi="Palatino Linotype"/>
                <w:color w:val="000000" w:themeColor="text1"/>
              </w:rPr>
              <w:t>Comisionada Presidenta</w:t>
            </w:r>
          </w:p>
          <w:p w14:paraId="5282EDD6" w14:textId="77777777" w:rsidR="009959DB" w:rsidRPr="00765E19" w:rsidRDefault="009959DB" w:rsidP="00765E19">
            <w:pPr>
              <w:jc w:val="center"/>
              <w:rPr>
                <w:rFonts w:ascii="Palatino Linotype" w:hAnsi="Palatino Linotype"/>
                <w:color w:val="000000" w:themeColor="text1"/>
              </w:rPr>
            </w:pPr>
            <w:r w:rsidRPr="00765E19">
              <w:rPr>
                <w:rFonts w:ascii="Palatino Linotype" w:hAnsi="Palatino Linotype" w:cs="Times New Roman"/>
                <w:color w:val="000000" w:themeColor="text1"/>
              </w:rPr>
              <w:t>(Rúbrica)</w:t>
            </w:r>
          </w:p>
        </w:tc>
      </w:tr>
      <w:tr w:rsidR="009959DB" w:rsidRPr="00765E19" w14:paraId="6A19EF61" w14:textId="77777777" w:rsidTr="00765E19">
        <w:trPr>
          <w:trHeight w:val="2100"/>
        </w:trPr>
        <w:tc>
          <w:tcPr>
            <w:tcW w:w="4267" w:type="dxa"/>
            <w:vAlign w:val="center"/>
          </w:tcPr>
          <w:p w14:paraId="4D2415FC" w14:textId="77777777" w:rsidR="004D791A" w:rsidRPr="00765E19" w:rsidRDefault="004D791A" w:rsidP="00765E19">
            <w:pPr>
              <w:rPr>
                <w:rFonts w:ascii="Palatino Linotype" w:hAnsi="Palatino Linotype" w:cs="Times New Roman"/>
                <w:b/>
                <w:color w:val="000000" w:themeColor="text1"/>
              </w:rPr>
            </w:pPr>
          </w:p>
          <w:p w14:paraId="2023A5AB" w14:textId="77777777" w:rsidR="009959DB" w:rsidRPr="00765E19" w:rsidRDefault="009959DB" w:rsidP="00765E19">
            <w:pPr>
              <w:jc w:val="center"/>
              <w:rPr>
                <w:rFonts w:ascii="Palatino Linotype" w:hAnsi="Palatino Linotype" w:cs="Times New Roman"/>
                <w:b/>
                <w:color w:val="000000" w:themeColor="text1"/>
              </w:rPr>
            </w:pPr>
            <w:r w:rsidRPr="00765E19">
              <w:rPr>
                <w:rFonts w:ascii="Palatino Linotype" w:hAnsi="Palatino Linotype" w:cs="Times New Roman"/>
                <w:b/>
                <w:color w:val="000000" w:themeColor="text1"/>
              </w:rPr>
              <w:t xml:space="preserve">Eva </w:t>
            </w:r>
            <w:proofErr w:type="spellStart"/>
            <w:r w:rsidRPr="00765E19">
              <w:rPr>
                <w:rFonts w:ascii="Palatino Linotype" w:hAnsi="Palatino Linotype" w:cs="Times New Roman"/>
                <w:b/>
                <w:color w:val="000000" w:themeColor="text1"/>
              </w:rPr>
              <w:t>Abaid</w:t>
            </w:r>
            <w:proofErr w:type="spellEnd"/>
            <w:r w:rsidRPr="00765E19">
              <w:rPr>
                <w:rFonts w:ascii="Palatino Linotype" w:hAnsi="Palatino Linotype" w:cs="Times New Roman"/>
                <w:b/>
                <w:color w:val="000000" w:themeColor="text1"/>
              </w:rPr>
              <w:t xml:space="preserve"> </w:t>
            </w:r>
            <w:proofErr w:type="spellStart"/>
            <w:r w:rsidRPr="00765E19">
              <w:rPr>
                <w:rFonts w:ascii="Palatino Linotype" w:hAnsi="Palatino Linotype" w:cs="Times New Roman"/>
                <w:b/>
                <w:color w:val="000000" w:themeColor="text1"/>
              </w:rPr>
              <w:t>Yapur</w:t>
            </w:r>
            <w:proofErr w:type="spellEnd"/>
          </w:p>
          <w:p w14:paraId="129746B3" w14:textId="77777777" w:rsidR="009959DB" w:rsidRPr="00765E19" w:rsidRDefault="009959DB"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Comisionada</w:t>
            </w:r>
          </w:p>
          <w:p w14:paraId="507FEFA2" w14:textId="77777777" w:rsidR="009959DB" w:rsidRPr="00765E19" w:rsidRDefault="009959DB"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(Rúbrica)</w:t>
            </w:r>
          </w:p>
        </w:tc>
        <w:tc>
          <w:tcPr>
            <w:tcW w:w="4835" w:type="dxa"/>
            <w:vAlign w:val="center"/>
          </w:tcPr>
          <w:p w14:paraId="7C6C46B3" w14:textId="77777777" w:rsidR="004D791A" w:rsidRPr="00765E19" w:rsidRDefault="004D791A" w:rsidP="00765E19">
            <w:pPr>
              <w:jc w:val="center"/>
              <w:rPr>
                <w:rFonts w:ascii="Palatino Linotype" w:hAnsi="Palatino Linotype" w:cs="Times New Roman"/>
                <w:b/>
                <w:color w:val="000000" w:themeColor="text1"/>
              </w:rPr>
            </w:pPr>
          </w:p>
          <w:p w14:paraId="732CE043" w14:textId="77777777" w:rsidR="009959DB" w:rsidRPr="00765E19" w:rsidRDefault="009959DB" w:rsidP="00765E19">
            <w:pPr>
              <w:jc w:val="center"/>
              <w:rPr>
                <w:rFonts w:ascii="Palatino Linotype" w:hAnsi="Palatino Linotype" w:cs="Times New Roman"/>
                <w:b/>
                <w:color w:val="000000" w:themeColor="text1"/>
              </w:rPr>
            </w:pPr>
            <w:r w:rsidRPr="00765E19">
              <w:rPr>
                <w:rFonts w:ascii="Palatino Linotype" w:hAnsi="Palatino Linotype" w:cs="Times New Roman"/>
                <w:b/>
                <w:color w:val="000000" w:themeColor="text1"/>
              </w:rPr>
              <w:t>José Guadalupe Luna Hernández</w:t>
            </w:r>
          </w:p>
          <w:p w14:paraId="1BA46CF1" w14:textId="77777777" w:rsidR="009959DB" w:rsidRPr="00765E19" w:rsidRDefault="009959DB"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Comisionado</w:t>
            </w:r>
          </w:p>
          <w:p w14:paraId="0DF4241C" w14:textId="77777777" w:rsidR="009959DB" w:rsidRPr="00765E19" w:rsidRDefault="009959DB"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(Rúbrica)</w:t>
            </w:r>
          </w:p>
        </w:tc>
      </w:tr>
      <w:tr w:rsidR="0034614E" w:rsidRPr="00765E19" w14:paraId="4AEE3EA2" w14:textId="77777777" w:rsidTr="00765E19">
        <w:trPr>
          <w:trHeight w:val="2186"/>
        </w:trPr>
        <w:tc>
          <w:tcPr>
            <w:tcW w:w="9103" w:type="dxa"/>
            <w:gridSpan w:val="2"/>
            <w:vAlign w:val="center"/>
          </w:tcPr>
          <w:p w14:paraId="03EE7C37" w14:textId="77777777" w:rsidR="0034614E" w:rsidRPr="00765E19" w:rsidRDefault="0034614E" w:rsidP="00765E19">
            <w:pPr>
              <w:jc w:val="center"/>
              <w:rPr>
                <w:rFonts w:ascii="Palatino Linotype" w:hAnsi="Palatino Linotype" w:cs="Times New Roman"/>
                <w:b/>
                <w:color w:val="000000" w:themeColor="text1"/>
              </w:rPr>
            </w:pPr>
          </w:p>
          <w:p w14:paraId="6F1FF789" w14:textId="77777777" w:rsidR="0034614E" w:rsidRPr="00765E19" w:rsidRDefault="0034614E" w:rsidP="00765E19">
            <w:pPr>
              <w:jc w:val="center"/>
              <w:rPr>
                <w:rFonts w:ascii="Palatino Linotype" w:hAnsi="Palatino Linotype" w:cs="Times New Roman"/>
                <w:b/>
                <w:color w:val="000000" w:themeColor="text1"/>
              </w:rPr>
            </w:pPr>
            <w:r w:rsidRPr="00765E19">
              <w:rPr>
                <w:rFonts w:ascii="Palatino Linotype" w:hAnsi="Palatino Linotype" w:cs="Times New Roman"/>
                <w:b/>
                <w:color w:val="000000" w:themeColor="text1"/>
              </w:rPr>
              <w:t>Javier Martínez Cruz</w:t>
            </w:r>
          </w:p>
          <w:p w14:paraId="38682D65" w14:textId="77777777" w:rsidR="0034614E" w:rsidRPr="00765E19" w:rsidRDefault="0034614E"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Comisionado</w:t>
            </w:r>
          </w:p>
          <w:p w14:paraId="19E39595" w14:textId="0FA24174" w:rsidR="0034614E" w:rsidRPr="00765E19" w:rsidRDefault="0034614E"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(Rúbrica)</w:t>
            </w:r>
          </w:p>
        </w:tc>
      </w:tr>
      <w:tr w:rsidR="009959DB" w:rsidRPr="00765E19" w14:paraId="21A689F2" w14:textId="77777777" w:rsidTr="00765E19">
        <w:trPr>
          <w:trHeight w:val="1902"/>
        </w:trPr>
        <w:tc>
          <w:tcPr>
            <w:tcW w:w="9103" w:type="dxa"/>
            <w:gridSpan w:val="2"/>
            <w:vAlign w:val="center"/>
          </w:tcPr>
          <w:p w14:paraId="61F23A3D" w14:textId="77777777" w:rsidR="009959DB" w:rsidRPr="00765E19" w:rsidRDefault="009959DB" w:rsidP="00765E19">
            <w:pPr>
              <w:pStyle w:val="Prrafodelista"/>
              <w:ind w:left="0"/>
              <w:rPr>
                <w:rFonts w:ascii="Palatino Linotype" w:hAnsi="Palatino Linotype"/>
                <w:color w:val="000000" w:themeColor="text1"/>
              </w:rPr>
            </w:pPr>
          </w:p>
          <w:p w14:paraId="24B128E1" w14:textId="78E463D6" w:rsidR="009959DB" w:rsidRPr="00765E19" w:rsidRDefault="0034614E" w:rsidP="00765E19">
            <w:pPr>
              <w:jc w:val="center"/>
              <w:rPr>
                <w:rFonts w:ascii="Palatino Linotype" w:hAnsi="Palatino Linotype" w:cs="Times New Roman"/>
                <w:b/>
                <w:color w:val="000000" w:themeColor="text1"/>
              </w:rPr>
            </w:pPr>
            <w:r w:rsidRPr="00765E19">
              <w:rPr>
                <w:rFonts w:ascii="Palatino Linotype" w:hAnsi="Palatino Linotype" w:cs="Times New Roman"/>
                <w:b/>
                <w:color w:val="000000" w:themeColor="text1"/>
              </w:rPr>
              <w:t>Alexis Tapia Ramírez</w:t>
            </w:r>
          </w:p>
          <w:p w14:paraId="3B79F6BC" w14:textId="4AE470CA" w:rsidR="009959DB" w:rsidRPr="00765E19" w:rsidRDefault="0034614E"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Secretario</w:t>
            </w:r>
            <w:r w:rsidR="009959DB" w:rsidRPr="00765E19">
              <w:rPr>
                <w:rFonts w:ascii="Palatino Linotype" w:hAnsi="Palatino Linotype" w:cs="Times New Roman"/>
                <w:color w:val="000000" w:themeColor="text1"/>
              </w:rPr>
              <w:t xml:space="preserve"> Técnic</w:t>
            </w:r>
            <w:r w:rsidRPr="00765E19">
              <w:rPr>
                <w:rFonts w:ascii="Palatino Linotype" w:hAnsi="Palatino Linotype" w:cs="Times New Roman"/>
                <w:color w:val="000000" w:themeColor="text1"/>
              </w:rPr>
              <w:t>o</w:t>
            </w:r>
            <w:r w:rsidR="009959DB" w:rsidRPr="00765E19">
              <w:rPr>
                <w:rFonts w:ascii="Palatino Linotype" w:hAnsi="Palatino Linotype" w:cs="Times New Roman"/>
                <w:color w:val="000000" w:themeColor="text1"/>
              </w:rPr>
              <w:t xml:space="preserve"> del Pleno</w:t>
            </w:r>
          </w:p>
          <w:p w14:paraId="6AE9AD34" w14:textId="69C3629C" w:rsidR="009959DB" w:rsidRPr="00765E19" w:rsidRDefault="009959DB" w:rsidP="00765E19">
            <w:pPr>
              <w:jc w:val="center"/>
              <w:rPr>
                <w:rFonts w:ascii="Palatino Linotype" w:hAnsi="Palatino Linotype" w:cs="Times New Roman"/>
                <w:color w:val="000000" w:themeColor="text1"/>
              </w:rPr>
            </w:pPr>
            <w:r w:rsidRPr="00765E19">
              <w:rPr>
                <w:rFonts w:ascii="Palatino Linotype" w:hAnsi="Palatino Linotype" w:cs="Times New Roman"/>
                <w:color w:val="000000" w:themeColor="text1"/>
              </w:rPr>
              <w:t>(Rúbrica)</w:t>
            </w:r>
          </w:p>
        </w:tc>
      </w:tr>
    </w:tbl>
    <w:p w14:paraId="09D5B693" w14:textId="4E75AB92" w:rsidR="00BB5CA9" w:rsidRPr="00EE0ACB" w:rsidRDefault="00036C94" w:rsidP="00036C94">
      <w:pPr>
        <w:spacing w:before="240" w:after="240" w:line="360" w:lineRule="auto"/>
        <w:ind w:right="49"/>
        <w:jc w:val="both"/>
      </w:pPr>
      <w:r w:rsidRPr="00765E19">
        <w:rPr>
          <w:rFonts w:ascii="Palatino Linotype" w:hAnsi="Palatino Linotype" w:cs="Arial"/>
          <w:color w:val="000000" w:themeColor="text1"/>
        </w:rPr>
        <w:t xml:space="preserve">Esta hoja corresponde a la resolución del </w:t>
      </w:r>
      <w:r w:rsidR="00765E19">
        <w:rPr>
          <w:rFonts w:ascii="Palatino Linotype" w:hAnsi="Palatino Linotype" w:cs="Arial"/>
          <w:color w:val="000000" w:themeColor="text1"/>
        </w:rPr>
        <w:t>seis</w:t>
      </w:r>
      <w:r w:rsidRPr="00765E19">
        <w:rPr>
          <w:rFonts w:ascii="Palatino Linotype" w:hAnsi="Palatino Linotype" w:cs="Arial"/>
          <w:color w:val="000000" w:themeColor="text1"/>
        </w:rPr>
        <w:t xml:space="preserve"> (</w:t>
      </w:r>
      <w:r w:rsidR="00765E19">
        <w:rPr>
          <w:rFonts w:ascii="Palatino Linotype" w:hAnsi="Palatino Linotype" w:cs="Arial"/>
          <w:color w:val="000000" w:themeColor="text1"/>
        </w:rPr>
        <w:t>06</w:t>
      </w:r>
      <w:r w:rsidRPr="00765E19">
        <w:rPr>
          <w:rFonts w:ascii="Palatino Linotype" w:hAnsi="Palatino Linotype" w:cs="Arial"/>
          <w:color w:val="000000" w:themeColor="text1"/>
        </w:rPr>
        <w:t xml:space="preserve">) de </w:t>
      </w:r>
      <w:r w:rsidR="00765E19">
        <w:rPr>
          <w:rFonts w:ascii="Palatino Linotype" w:hAnsi="Palatino Linotype" w:cs="Arial"/>
          <w:color w:val="000000" w:themeColor="text1"/>
        </w:rPr>
        <w:t>junio</w:t>
      </w:r>
      <w:r w:rsidRPr="00765E19">
        <w:rPr>
          <w:rFonts w:ascii="Palatino Linotype" w:hAnsi="Palatino Linotype" w:cs="Arial"/>
          <w:color w:val="000000" w:themeColor="text1"/>
        </w:rPr>
        <w:t xml:space="preserve"> de dos mil dieciocho emitida en el recurso de revisión </w:t>
      </w:r>
      <w:r w:rsidRPr="00765E19">
        <w:rPr>
          <w:rFonts w:ascii="Palatino Linotype" w:hAnsi="Palatino Linotype" w:cs="Arial"/>
          <w:b/>
          <w:bCs/>
          <w:color w:val="000000" w:themeColor="text1"/>
          <w:lang w:eastAsia="es-MX"/>
        </w:rPr>
        <w:t>01168/INFOEM/IP/RR/2018</w:t>
      </w:r>
      <w:r w:rsidRPr="00765E19">
        <w:rPr>
          <w:rFonts w:ascii="Palatino Linotype" w:hAnsi="Palatino Linotype" w:cs="Arial"/>
          <w:color w:val="000000" w:themeColor="text1"/>
        </w:rPr>
        <w:t>.</w:t>
      </w:r>
    </w:p>
    <w:sectPr w:rsidR="00BB5CA9" w:rsidRPr="00EE0ACB"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E6143" w14:textId="77777777" w:rsidR="0025228A" w:rsidRDefault="0025228A" w:rsidP="00587366">
      <w:r>
        <w:separator/>
      </w:r>
    </w:p>
  </w:endnote>
  <w:endnote w:type="continuationSeparator" w:id="0">
    <w:p w14:paraId="13425F5B" w14:textId="77777777" w:rsidR="0025228A" w:rsidRDefault="0025228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C60E8" w:rsidRPr="00883450" w:rsidRDefault="00DC60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4B1F">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4B1F">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77777777" w:rsidR="00DC60E8" w:rsidRDefault="00DC60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C60E8" w:rsidRPr="00883450" w:rsidRDefault="00DC60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4B1F" w:rsidRPr="001F4B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4B1F" w:rsidRPr="001F4B1F">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77777777" w:rsidR="00DC60E8" w:rsidRPr="00883450" w:rsidRDefault="00DC60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B0F05" w14:textId="77777777" w:rsidR="0025228A" w:rsidRDefault="0025228A" w:rsidP="00587366">
      <w:r>
        <w:separator/>
      </w:r>
    </w:p>
  </w:footnote>
  <w:footnote w:type="continuationSeparator" w:id="0">
    <w:p w14:paraId="202D6C5A" w14:textId="77777777" w:rsidR="0025228A" w:rsidRDefault="0025228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C60E8" w:rsidRDefault="00DC60E8" w:rsidP="001C6012">
    <w:pPr>
      <w:pStyle w:val="Encabezado"/>
      <w:tabs>
        <w:tab w:val="clear" w:pos="4252"/>
        <w:tab w:val="clear" w:pos="8504"/>
        <w:tab w:val="left" w:pos="8460"/>
      </w:tabs>
    </w:pPr>
    <w:r>
      <w:tab/>
    </w:r>
  </w:p>
  <w:p w14:paraId="64F5F23E" w14:textId="390690E5" w:rsidR="00DC60E8" w:rsidRDefault="00DC60E8">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C60E8" w:rsidRPr="00674A46" w14:paraId="07F2896E" w14:textId="77777777" w:rsidTr="006E6B65">
      <w:trPr>
        <w:trHeight w:val="138"/>
        <w:jc w:val="right"/>
      </w:trPr>
      <w:tc>
        <w:tcPr>
          <w:tcW w:w="3544" w:type="dxa"/>
          <w:vAlign w:val="center"/>
        </w:tcPr>
        <w:p w14:paraId="4A5B1974" w14:textId="3B2AB4E0" w:rsidR="00DC60E8" w:rsidRPr="00674A46" w:rsidRDefault="00DC60E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87D58D5" w:rsidR="00DC60E8" w:rsidRPr="00674A46" w:rsidRDefault="00EA420B"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0116</w:t>
          </w:r>
          <w:r w:rsidR="00DC60E8">
            <w:rPr>
              <w:rFonts w:ascii="Palatino Linotype" w:hAnsi="Palatino Linotype" w:cs="Arial"/>
              <w:b/>
              <w:bCs/>
              <w:sz w:val="22"/>
              <w:szCs w:val="22"/>
              <w:lang w:eastAsia="es-MX"/>
            </w:rPr>
            <w:t>8/INFOEM/IP/RR/2018</w:t>
          </w:r>
        </w:p>
      </w:tc>
    </w:tr>
    <w:tr w:rsidR="00DC60E8" w:rsidRPr="00674A46" w14:paraId="1B5D8690" w14:textId="77777777" w:rsidTr="006E6B65">
      <w:trPr>
        <w:trHeight w:val="233"/>
        <w:jc w:val="right"/>
      </w:trPr>
      <w:tc>
        <w:tcPr>
          <w:tcW w:w="3544" w:type="dxa"/>
          <w:vAlign w:val="center"/>
        </w:tcPr>
        <w:p w14:paraId="3903F2C6" w14:textId="22D569F8" w:rsidR="00DC60E8" w:rsidRPr="00674A46" w:rsidRDefault="00DC60E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769DFE" w:rsidR="00DC60E8" w:rsidRPr="00B75F20" w:rsidRDefault="00DC60E8" w:rsidP="00D9532B">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sz w:val="22"/>
            </w:rPr>
            <w:t>Cocotitlán</w:t>
          </w:r>
          <w:proofErr w:type="spellEnd"/>
        </w:p>
      </w:tc>
    </w:tr>
    <w:tr w:rsidR="00DC60E8" w:rsidRPr="00674A46" w14:paraId="095EB01B" w14:textId="77777777" w:rsidTr="006E6B65">
      <w:trPr>
        <w:trHeight w:val="321"/>
        <w:jc w:val="right"/>
      </w:trPr>
      <w:tc>
        <w:tcPr>
          <w:tcW w:w="3544" w:type="dxa"/>
          <w:vAlign w:val="center"/>
        </w:tcPr>
        <w:p w14:paraId="6E000A51" w14:textId="25DCC1C7" w:rsidR="00DC60E8" w:rsidRPr="00674A46" w:rsidRDefault="00DC60E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C60E8" w:rsidRPr="00674A46" w:rsidRDefault="00DC60E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C60E8" w:rsidRDefault="00DC60E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C60E8" w:rsidRDefault="00DC60E8"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C60E8" w:rsidRPr="00674A46" w14:paraId="0A3256F2" w14:textId="77777777" w:rsidTr="006E6B65">
      <w:trPr>
        <w:trHeight w:val="138"/>
        <w:jc w:val="right"/>
      </w:trPr>
      <w:tc>
        <w:tcPr>
          <w:tcW w:w="3261" w:type="dxa"/>
          <w:vAlign w:val="center"/>
        </w:tcPr>
        <w:p w14:paraId="3D80769D" w14:textId="316F11F8" w:rsidR="00DC60E8" w:rsidRPr="00674A46" w:rsidRDefault="00DC60E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3BA64F7" w:rsidR="00DC60E8" w:rsidRPr="00674A46" w:rsidRDefault="00DC60E8" w:rsidP="0039142B">
          <w:pPr>
            <w:pStyle w:val="Encabezado"/>
            <w:rPr>
              <w:rFonts w:ascii="Palatino Linotype" w:hAnsi="Palatino Linotype"/>
              <w:b/>
              <w:sz w:val="22"/>
              <w:szCs w:val="22"/>
            </w:rPr>
          </w:pPr>
          <w:r>
            <w:rPr>
              <w:rFonts w:ascii="Palatino Linotype" w:hAnsi="Palatino Linotype" w:cs="Arial"/>
              <w:b/>
              <w:bCs/>
              <w:sz w:val="22"/>
              <w:szCs w:val="22"/>
              <w:lang w:eastAsia="es-MX"/>
            </w:rPr>
            <w:t>01168/INFOEM/IP/RR/2018</w:t>
          </w:r>
        </w:p>
      </w:tc>
    </w:tr>
    <w:tr w:rsidR="00DC60E8" w:rsidRPr="00B75F20" w14:paraId="128C8B3C" w14:textId="77777777" w:rsidTr="006E6B65">
      <w:trPr>
        <w:trHeight w:val="233"/>
        <w:jc w:val="right"/>
      </w:trPr>
      <w:tc>
        <w:tcPr>
          <w:tcW w:w="3261" w:type="dxa"/>
          <w:vAlign w:val="center"/>
        </w:tcPr>
        <w:p w14:paraId="483E3371" w14:textId="66B1BC74" w:rsidR="00DC60E8" w:rsidRPr="00674A46" w:rsidRDefault="00DC60E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29CB6EC" w:rsidR="00DC60E8" w:rsidRPr="00B75F20" w:rsidRDefault="001F4B1F" w:rsidP="0058757A">
          <w:pPr>
            <w:pStyle w:val="Encabezado"/>
            <w:rPr>
              <w:rFonts w:ascii="Palatino Linotype" w:hAnsi="Palatino Linotype"/>
              <w:b/>
              <w:sz w:val="22"/>
              <w:szCs w:val="22"/>
            </w:rPr>
          </w:pPr>
          <w:r w:rsidRPr="001F4B1F">
            <w:rPr>
              <w:rFonts w:ascii="Palatino Linotype" w:hAnsi="Palatino Linotype"/>
              <w:b/>
              <w:sz w:val="22"/>
              <w:szCs w:val="22"/>
              <w:highlight w:val="black"/>
            </w:rPr>
            <w:t>------------------------------------</w:t>
          </w:r>
        </w:p>
      </w:tc>
    </w:tr>
    <w:tr w:rsidR="00DC60E8" w:rsidRPr="00674A46" w14:paraId="41BE0704" w14:textId="77777777" w:rsidTr="006E6B65">
      <w:trPr>
        <w:trHeight w:val="321"/>
        <w:jc w:val="right"/>
      </w:trPr>
      <w:tc>
        <w:tcPr>
          <w:tcW w:w="3261" w:type="dxa"/>
          <w:vAlign w:val="center"/>
        </w:tcPr>
        <w:p w14:paraId="34C64148" w14:textId="10C6C8A9" w:rsidR="00DC60E8" w:rsidRPr="00674A46" w:rsidRDefault="00DC60E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C951433" w:rsidR="00DC60E8" w:rsidRPr="00674A46" w:rsidRDefault="00DC60E8" w:rsidP="00D9532B">
          <w:pPr>
            <w:pStyle w:val="Encabezado"/>
            <w:rPr>
              <w:rFonts w:ascii="Palatino Linotype" w:hAnsi="Palatino Linotype"/>
              <w:b/>
              <w:sz w:val="22"/>
              <w:szCs w:val="22"/>
            </w:rPr>
          </w:pPr>
          <w:r w:rsidRPr="00F24AB7">
            <w:rPr>
              <w:rFonts w:ascii="Palatino Linotype" w:hAnsi="Palatino Linotype"/>
              <w:b/>
              <w:bCs/>
              <w:color w:val="000000"/>
              <w:sz w:val="22"/>
              <w:szCs w:val="22"/>
            </w:rPr>
            <w:t xml:space="preserve">Ayuntamiento de </w:t>
          </w:r>
          <w:proofErr w:type="spellStart"/>
          <w:r>
            <w:rPr>
              <w:rFonts w:ascii="Palatino Linotype" w:hAnsi="Palatino Linotype"/>
              <w:b/>
            </w:rPr>
            <w:t>Cocotitlán</w:t>
          </w:r>
          <w:proofErr w:type="spellEnd"/>
        </w:p>
      </w:tc>
    </w:tr>
    <w:tr w:rsidR="00DC60E8" w:rsidRPr="00674A46" w14:paraId="0C8B6193" w14:textId="77777777" w:rsidTr="006E6B65">
      <w:trPr>
        <w:trHeight w:val="321"/>
        <w:jc w:val="right"/>
      </w:trPr>
      <w:tc>
        <w:tcPr>
          <w:tcW w:w="3261" w:type="dxa"/>
          <w:vAlign w:val="center"/>
        </w:tcPr>
        <w:p w14:paraId="321FFAFF" w14:textId="40E5A678" w:rsidR="00DC60E8" w:rsidRPr="00674A46" w:rsidRDefault="00DC60E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C60E8" w:rsidRPr="00674A46" w:rsidRDefault="00DC60E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C60E8" w:rsidRDefault="00DC60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975873FA"/>
    <w:lvl w:ilvl="0" w:tplc="92D8E56A">
      <w:start w:val="6"/>
      <w:numFmt w:val="decimal"/>
      <w:lvlText w:val="%1."/>
      <w:lvlJc w:val="left"/>
      <w:pPr>
        <w:ind w:left="720" w:hanging="436"/>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73ECAD4C"/>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8"/>
  </w:num>
  <w:num w:numId="5">
    <w:abstractNumId w:val="16"/>
  </w:num>
  <w:num w:numId="6">
    <w:abstractNumId w:val="17"/>
  </w:num>
  <w:num w:numId="7">
    <w:abstractNumId w:val="22"/>
  </w:num>
  <w:num w:numId="8">
    <w:abstractNumId w:val="14"/>
  </w:num>
  <w:num w:numId="9">
    <w:abstractNumId w:val="4"/>
  </w:num>
  <w:num w:numId="10">
    <w:abstractNumId w:val="19"/>
  </w:num>
  <w:num w:numId="11">
    <w:abstractNumId w:val="11"/>
  </w:num>
  <w:num w:numId="12">
    <w:abstractNumId w:val="21"/>
  </w:num>
  <w:num w:numId="13">
    <w:abstractNumId w:val="20"/>
  </w:num>
  <w:num w:numId="14">
    <w:abstractNumId w:val="2"/>
  </w:num>
  <w:num w:numId="15">
    <w:abstractNumId w:val="13"/>
  </w:num>
  <w:num w:numId="16">
    <w:abstractNumId w:val="10"/>
  </w:num>
  <w:num w:numId="17">
    <w:abstractNumId w:val="7"/>
  </w:num>
  <w:num w:numId="18">
    <w:abstractNumId w:val="24"/>
  </w:num>
  <w:num w:numId="19">
    <w:abstractNumId w:val="1"/>
  </w:num>
  <w:num w:numId="20">
    <w:abstractNumId w:val="12"/>
  </w:num>
  <w:num w:numId="21">
    <w:abstractNumId w:val="23"/>
  </w:num>
  <w:num w:numId="22">
    <w:abstractNumId w:val="0"/>
  </w:num>
  <w:num w:numId="23">
    <w:abstractNumId w:val="5"/>
  </w:num>
  <w:num w:numId="24">
    <w:abstractNumId w:val="18"/>
  </w:num>
  <w:num w:numId="2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203D3"/>
    <w:rsid w:val="000211F8"/>
    <w:rsid w:val="0002146F"/>
    <w:rsid w:val="00024F35"/>
    <w:rsid w:val="0003063D"/>
    <w:rsid w:val="00031F10"/>
    <w:rsid w:val="00032493"/>
    <w:rsid w:val="00036C94"/>
    <w:rsid w:val="0004072A"/>
    <w:rsid w:val="0004193F"/>
    <w:rsid w:val="00042380"/>
    <w:rsid w:val="000442EC"/>
    <w:rsid w:val="0004686A"/>
    <w:rsid w:val="000468E2"/>
    <w:rsid w:val="0005237C"/>
    <w:rsid w:val="00052A3C"/>
    <w:rsid w:val="00054A03"/>
    <w:rsid w:val="00056A79"/>
    <w:rsid w:val="00061344"/>
    <w:rsid w:val="00062648"/>
    <w:rsid w:val="000631D9"/>
    <w:rsid w:val="0006407E"/>
    <w:rsid w:val="00064A37"/>
    <w:rsid w:val="00064B95"/>
    <w:rsid w:val="00074573"/>
    <w:rsid w:val="000800AC"/>
    <w:rsid w:val="0008230A"/>
    <w:rsid w:val="00082D11"/>
    <w:rsid w:val="000834FE"/>
    <w:rsid w:val="00084E31"/>
    <w:rsid w:val="0008542A"/>
    <w:rsid w:val="00086383"/>
    <w:rsid w:val="00090D6F"/>
    <w:rsid w:val="00095DD5"/>
    <w:rsid w:val="000A3F90"/>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2EDD"/>
    <w:rsid w:val="000F37A8"/>
    <w:rsid w:val="000F6D7E"/>
    <w:rsid w:val="00100187"/>
    <w:rsid w:val="00100DDD"/>
    <w:rsid w:val="00102D65"/>
    <w:rsid w:val="00103888"/>
    <w:rsid w:val="00107499"/>
    <w:rsid w:val="00107557"/>
    <w:rsid w:val="0011167C"/>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2F19"/>
    <w:rsid w:val="00153833"/>
    <w:rsid w:val="00154304"/>
    <w:rsid w:val="0015466E"/>
    <w:rsid w:val="00154765"/>
    <w:rsid w:val="00154EF0"/>
    <w:rsid w:val="00156A23"/>
    <w:rsid w:val="00161E95"/>
    <w:rsid w:val="00163780"/>
    <w:rsid w:val="00163B1F"/>
    <w:rsid w:val="001648EE"/>
    <w:rsid w:val="00164B65"/>
    <w:rsid w:val="001656F2"/>
    <w:rsid w:val="00166794"/>
    <w:rsid w:val="0017653A"/>
    <w:rsid w:val="001775DF"/>
    <w:rsid w:val="00192E4B"/>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7D8F"/>
    <w:rsid w:val="001D7E82"/>
    <w:rsid w:val="001E0AD2"/>
    <w:rsid w:val="001E3F91"/>
    <w:rsid w:val="001E5C94"/>
    <w:rsid w:val="001E6822"/>
    <w:rsid w:val="001E74A5"/>
    <w:rsid w:val="001E7B9E"/>
    <w:rsid w:val="001F025B"/>
    <w:rsid w:val="001F4B1F"/>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30170"/>
    <w:rsid w:val="002305CF"/>
    <w:rsid w:val="00233E08"/>
    <w:rsid w:val="002345FF"/>
    <w:rsid w:val="00237611"/>
    <w:rsid w:val="00244476"/>
    <w:rsid w:val="0025228A"/>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7A35"/>
    <w:rsid w:val="00280994"/>
    <w:rsid w:val="00280E3F"/>
    <w:rsid w:val="002871EB"/>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6B0E"/>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20F2"/>
    <w:rsid w:val="004C251E"/>
    <w:rsid w:val="004C3F25"/>
    <w:rsid w:val="004C4E77"/>
    <w:rsid w:val="004C525E"/>
    <w:rsid w:val="004C6796"/>
    <w:rsid w:val="004C67E2"/>
    <w:rsid w:val="004C7A27"/>
    <w:rsid w:val="004D0490"/>
    <w:rsid w:val="004D12F1"/>
    <w:rsid w:val="004D1805"/>
    <w:rsid w:val="004D1CB6"/>
    <w:rsid w:val="004D257A"/>
    <w:rsid w:val="004D2676"/>
    <w:rsid w:val="004D3142"/>
    <w:rsid w:val="004D4509"/>
    <w:rsid w:val="004D52DD"/>
    <w:rsid w:val="004D68F8"/>
    <w:rsid w:val="004D6D19"/>
    <w:rsid w:val="004D791A"/>
    <w:rsid w:val="004E11D8"/>
    <w:rsid w:val="004E6E3A"/>
    <w:rsid w:val="004E7723"/>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6E0"/>
    <w:rsid w:val="00551A9B"/>
    <w:rsid w:val="005520BF"/>
    <w:rsid w:val="00552213"/>
    <w:rsid w:val="0055544F"/>
    <w:rsid w:val="00556B04"/>
    <w:rsid w:val="00562B0A"/>
    <w:rsid w:val="00562CCE"/>
    <w:rsid w:val="005669D6"/>
    <w:rsid w:val="00567998"/>
    <w:rsid w:val="005759CD"/>
    <w:rsid w:val="00577884"/>
    <w:rsid w:val="00581C0F"/>
    <w:rsid w:val="00582919"/>
    <w:rsid w:val="005849B2"/>
    <w:rsid w:val="00585172"/>
    <w:rsid w:val="00587366"/>
    <w:rsid w:val="0058757A"/>
    <w:rsid w:val="00590037"/>
    <w:rsid w:val="005914ED"/>
    <w:rsid w:val="00593476"/>
    <w:rsid w:val="00594C52"/>
    <w:rsid w:val="00595511"/>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AC3"/>
    <w:rsid w:val="00605865"/>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1380"/>
    <w:rsid w:val="0065715E"/>
    <w:rsid w:val="00657670"/>
    <w:rsid w:val="00657DBF"/>
    <w:rsid w:val="00657DE0"/>
    <w:rsid w:val="00662C69"/>
    <w:rsid w:val="00663470"/>
    <w:rsid w:val="00663CC7"/>
    <w:rsid w:val="0066458B"/>
    <w:rsid w:val="00664805"/>
    <w:rsid w:val="006715FB"/>
    <w:rsid w:val="006718FB"/>
    <w:rsid w:val="006720F3"/>
    <w:rsid w:val="00673695"/>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36BC"/>
    <w:rsid w:val="00714576"/>
    <w:rsid w:val="00715A04"/>
    <w:rsid w:val="00721335"/>
    <w:rsid w:val="00721924"/>
    <w:rsid w:val="00721F66"/>
    <w:rsid w:val="00722B93"/>
    <w:rsid w:val="00731F1F"/>
    <w:rsid w:val="007365AD"/>
    <w:rsid w:val="00742486"/>
    <w:rsid w:val="0074433B"/>
    <w:rsid w:val="007446C2"/>
    <w:rsid w:val="0074628D"/>
    <w:rsid w:val="007473D2"/>
    <w:rsid w:val="007479C2"/>
    <w:rsid w:val="00750A80"/>
    <w:rsid w:val="0075151E"/>
    <w:rsid w:val="0075200A"/>
    <w:rsid w:val="0075265E"/>
    <w:rsid w:val="0075440D"/>
    <w:rsid w:val="00754EF8"/>
    <w:rsid w:val="00755369"/>
    <w:rsid w:val="0075604A"/>
    <w:rsid w:val="0075650E"/>
    <w:rsid w:val="00757995"/>
    <w:rsid w:val="007644E6"/>
    <w:rsid w:val="007652EA"/>
    <w:rsid w:val="00765E19"/>
    <w:rsid w:val="00766CDD"/>
    <w:rsid w:val="007674F3"/>
    <w:rsid w:val="00767CD2"/>
    <w:rsid w:val="00770859"/>
    <w:rsid w:val="00772A0D"/>
    <w:rsid w:val="00774A5F"/>
    <w:rsid w:val="00774DFD"/>
    <w:rsid w:val="007753FA"/>
    <w:rsid w:val="0077544D"/>
    <w:rsid w:val="0078079A"/>
    <w:rsid w:val="007860B9"/>
    <w:rsid w:val="007914E4"/>
    <w:rsid w:val="00791E58"/>
    <w:rsid w:val="00797C82"/>
    <w:rsid w:val="007A0692"/>
    <w:rsid w:val="007A082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6110"/>
    <w:rsid w:val="007C7154"/>
    <w:rsid w:val="007D0C01"/>
    <w:rsid w:val="007D3FBD"/>
    <w:rsid w:val="007D49A0"/>
    <w:rsid w:val="007D7EF3"/>
    <w:rsid w:val="007E2958"/>
    <w:rsid w:val="007E5125"/>
    <w:rsid w:val="007E5DB4"/>
    <w:rsid w:val="007E72DF"/>
    <w:rsid w:val="007F0617"/>
    <w:rsid w:val="007F313E"/>
    <w:rsid w:val="007F729E"/>
    <w:rsid w:val="00800E69"/>
    <w:rsid w:val="00802BFE"/>
    <w:rsid w:val="008039C2"/>
    <w:rsid w:val="008046E4"/>
    <w:rsid w:val="008055FF"/>
    <w:rsid w:val="00805A0C"/>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59A"/>
    <w:rsid w:val="00875167"/>
    <w:rsid w:val="00875DF8"/>
    <w:rsid w:val="00881572"/>
    <w:rsid w:val="00882FEA"/>
    <w:rsid w:val="00883450"/>
    <w:rsid w:val="0088398C"/>
    <w:rsid w:val="00885A71"/>
    <w:rsid w:val="00885C6E"/>
    <w:rsid w:val="0088743F"/>
    <w:rsid w:val="0089067B"/>
    <w:rsid w:val="00893857"/>
    <w:rsid w:val="0089412A"/>
    <w:rsid w:val="00895536"/>
    <w:rsid w:val="00896AD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3A4F"/>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15B0"/>
    <w:rsid w:val="009316E9"/>
    <w:rsid w:val="0093416D"/>
    <w:rsid w:val="00937309"/>
    <w:rsid w:val="00945A61"/>
    <w:rsid w:val="00950154"/>
    <w:rsid w:val="00953054"/>
    <w:rsid w:val="009531D6"/>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26C7"/>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129D"/>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6264"/>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F1F04"/>
    <w:rsid w:val="00AF3B55"/>
    <w:rsid w:val="00AF3D59"/>
    <w:rsid w:val="00AF6794"/>
    <w:rsid w:val="00AF6F48"/>
    <w:rsid w:val="00AF717E"/>
    <w:rsid w:val="00B016F7"/>
    <w:rsid w:val="00B02BDD"/>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33EB"/>
    <w:rsid w:val="00B447D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DE0"/>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3295"/>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762"/>
    <w:rsid w:val="00C17637"/>
    <w:rsid w:val="00C179FC"/>
    <w:rsid w:val="00C20EB1"/>
    <w:rsid w:val="00C2139F"/>
    <w:rsid w:val="00C2575E"/>
    <w:rsid w:val="00C27ABF"/>
    <w:rsid w:val="00C3086E"/>
    <w:rsid w:val="00C315FB"/>
    <w:rsid w:val="00C317BD"/>
    <w:rsid w:val="00C33279"/>
    <w:rsid w:val="00C41015"/>
    <w:rsid w:val="00C41131"/>
    <w:rsid w:val="00C411C1"/>
    <w:rsid w:val="00C45BF0"/>
    <w:rsid w:val="00C47468"/>
    <w:rsid w:val="00C47CDC"/>
    <w:rsid w:val="00C50A2B"/>
    <w:rsid w:val="00C54922"/>
    <w:rsid w:val="00C55FE8"/>
    <w:rsid w:val="00C6220B"/>
    <w:rsid w:val="00C634D6"/>
    <w:rsid w:val="00C63CF2"/>
    <w:rsid w:val="00C648FC"/>
    <w:rsid w:val="00C65BF3"/>
    <w:rsid w:val="00C663BE"/>
    <w:rsid w:val="00C71858"/>
    <w:rsid w:val="00C722C5"/>
    <w:rsid w:val="00C744AE"/>
    <w:rsid w:val="00C74781"/>
    <w:rsid w:val="00C80034"/>
    <w:rsid w:val="00C83EA7"/>
    <w:rsid w:val="00C84559"/>
    <w:rsid w:val="00C862C4"/>
    <w:rsid w:val="00C86B34"/>
    <w:rsid w:val="00C95593"/>
    <w:rsid w:val="00CA2022"/>
    <w:rsid w:val="00CB3C69"/>
    <w:rsid w:val="00CB57BF"/>
    <w:rsid w:val="00CB7F82"/>
    <w:rsid w:val="00CC10A6"/>
    <w:rsid w:val="00CC2DE4"/>
    <w:rsid w:val="00CC360E"/>
    <w:rsid w:val="00CC48D6"/>
    <w:rsid w:val="00CD32FE"/>
    <w:rsid w:val="00CD6866"/>
    <w:rsid w:val="00CD76D4"/>
    <w:rsid w:val="00CD7893"/>
    <w:rsid w:val="00CE03CC"/>
    <w:rsid w:val="00CE30B1"/>
    <w:rsid w:val="00CE7E6A"/>
    <w:rsid w:val="00CF030B"/>
    <w:rsid w:val="00CF23A2"/>
    <w:rsid w:val="00CF5D77"/>
    <w:rsid w:val="00CF6EB2"/>
    <w:rsid w:val="00D10F1E"/>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D69"/>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2D08"/>
    <w:rsid w:val="00D9372E"/>
    <w:rsid w:val="00D9392E"/>
    <w:rsid w:val="00D947F0"/>
    <w:rsid w:val="00D9532B"/>
    <w:rsid w:val="00D963CC"/>
    <w:rsid w:val="00DA3A4F"/>
    <w:rsid w:val="00DA42C0"/>
    <w:rsid w:val="00DA52A2"/>
    <w:rsid w:val="00DA57B0"/>
    <w:rsid w:val="00DA7E2F"/>
    <w:rsid w:val="00DB0C0B"/>
    <w:rsid w:val="00DB31E7"/>
    <w:rsid w:val="00DB3A66"/>
    <w:rsid w:val="00DB4BEF"/>
    <w:rsid w:val="00DB74A4"/>
    <w:rsid w:val="00DB78B2"/>
    <w:rsid w:val="00DC073A"/>
    <w:rsid w:val="00DC230C"/>
    <w:rsid w:val="00DC27E7"/>
    <w:rsid w:val="00DC2CE7"/>
    <w:rsid w:val="00DC301A"/>
    <w:rsid w:val="00DC60E8"/>
    <w:rsid w:val="00DC6AEA"/>
    <w:rsid w:val="00DC7377"/>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4E89"/>
    <w:rsid w:val="00E601CE"/>
    <w:rsid w:val="00E602CF"/>
    <w:rsid w:val="00E61EE8"/>
    <w:rsid w:val="00E62441"/>
    <w:rsid w:val="00E63879"/>
    <w:rsid w:val="00E65DDF"/>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A0CA1"/>
    <w:rsid w:val="00EA3249"/>
    <w:rsid w:val="00EA3C59"/>
    <w:rsid w:val="00EA420B"/>
    <w:rsid w:val="00EA5118"/>
    <w:rsid w:val="00EA6C56"/>
    <w:rsid w:val="00EB02F9"/>
    <w:rsid w:val="00EB0DF0"/>
    <w:rsid w:val="00EB1A2C"/>
    <w:rsid w:val="00EB2513"/>
    <w:rsid w:val="00EB40DC"/>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40"/>
    <w:rsid w:val="00EE4FBE"/>
    <w:rsid w:val="00EE5F95"/>
    <w:rsid w:val="00EF26CB"/>
    <w:rsid w:val="00EF2E2B"/>
    <w:rsid w:val="00EF34D2"/>
    <w:rsid w:val="00EF4C26"/>
    <w:rsid w:val="00EF5CC0"/>
    <w:rsid w:val="00F00649"/>
    <w:rsid w:val="00F02412"/>
    <w:rsid w:val="00F026B4"/>
    <w:rsid w:val="00F02E9D"/>
    <w:rsid w:val="00F04044"/>
    <w:rsid w:val="00F046C8"/>
    <w:rsid w:val="00F047AB"/>
    <w:rsid w:val="00F05DE1"/>
    <w:rsid w:val="00F07353"/>
    <w:rsid w:val="00F10D6B"/>
    <w:rsid w:val="00F12CDC"/>
    <w:rsid w:val="00F13E45"/>
    <w:rsid w:val="00F147C6"/>
    <w:rsid w:val="00F21705"/>
    <w:rsid w:val="00F231FC"/>
    <w:rsid w:val="00F24AB7"/>
    <w:rsid w:val="00F25E84"/>
    <w:rsid w:val="00F26068"/>
    <w:rsid w:val="00F2706D"/>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27FA"/>
    <w:rsid w:val="00FB380D"/>
    <w:rsid w:val="00FB76C5"/>
    <w:rsid w:val="00FC0C57"/>
    <w:rsid w:val="00FC1DA7"/>
    <w:rsid w:val="00FC2414"/>
    <w:rsid w:val="00FC2C4D"/>
    <w:rsid w:val="00FC2E20"/>
    <w:rsid w:val="00FC44A1"/>
    <w:rsid w:val="00FC4DEB"/>
    <w:rsid w:val="00FC77FF"/>
    <w:rsid w:val="00FC7E40"/>
    <w:rsid w:val="00FD1351"/>
    <w:rsid w:val="00FD4B65"/>
    <w:rsid w:val="00FD6729"/>
    <w:rsid w:val="00FD7EFE"/>
    <w:rsid w:val="00FE1002"/>
    <w:rsid w:val="00FE2025"/>
    <w:rsid w:val="00FE2D9D"/>
    <w:rsid w:val="00FE3280"/>
    <w:rsid w:val="00FE4790"/>
    <w:rsid w:val="00FE49E3"/>
    <w:rsid w:val="00FE4E1B"/>
    <w:rsid w:val="00FE7171"/>
    <w:rsid w:val="00FE7904"/>
    <w:rsid w:val="00FE79C6"/>
    <w:rsid w:val="00FF0AD1"/>
    <w:rsid w:val="00FF2F56"/>
    <w:rsid w:val="00FF3373"/>
    <w:rsid w:val="00FF3B7B"/>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3481873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9914681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CD06-8504-4F83-9647-C9D74853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3350</Words>
  <Characters>18429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2017-10-12T20:00:00Z</cp:lastPrinted>
  <dcterms:created xsi:type="dcterms:W3CDTF">2018-05-29T23:30:00Z</dcterms:created>
  <dcterms:modified xsi:type="dcterms:W3CDTF">2018-06-26T22:53:00Z</dcterms:modified>
</cp:coreProperties>
</file>