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956"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del uno de agosto de dos mil dieciocho.</w:t>
      </w:r>
    </w:p>
    <w:p w:rsidR="00530956"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electrónico formado con motivo del recurso de revisión </w:t>
      </w:r>
      <w:r>
        <w:rPr>
          <w:rFonts w:ascii="Palatino Linotype" w:hAnsi="Palatino Linotype" w:cs="Arial"/>
          <w:b/>
          <w:bCs/>
        </w:rPr>
        <w:t>02049/INFOEM/IP/RR/2018</w:t>
      </w:r>
      <w:r>
        <w:rPr>
          <w:rFonts w:ascii="Palatino Linotype" w:hAnsi="Palatino Linotype" w:cs="Arial"/>
          <w:b/>
          <w:bCs/>
          <w:sz w:val="22"/>
        </w:rPr>
        <w:t xml:space="preserve">, </w:t>
      </w:r>
      <w:r>
        <w:rPr>
          <w:rFonts w:ascii="Palatino Linotype" w:hAnsi="Palatino Linotype" w:cs="Arial"/>
        </w:rPr>
        <w:t xml:space="preserve">interpuesto por la </w:t>
      </w:r>
      <w:r>
        <w:rPr>
          <w:rFonts w:ascii="Palatino Linotype" w:hAnsi="Palatino Linotype" w:cs="Arial"/>
          <w:b/>
        </w:rPr>
        <w:t xml:space="preserve">C. </w:t>
      </w:r>
      <w:r w:rsidR="00245F57">
        <w:rPr>
          <w:rFonts w:ascii="Palatino Linotype" w:hAnsi="Palatino Linotype"/>
          <w:b/>
          <w:szCs w:val="22"/>
        </w:rPr>
        <w:t xml:space="preserve">Xxxxx </w:t>
      </w:r>
      <w:proofErr w:type="spellStart"/>
      <w:r w:rsidR="00245F57">
        <w:rPr>
          <w:rFonts w:ascii="Palatino Linotype" w:hAnsi="Palatino Linotype"/>
          <w:b/>
          <w:szCs w:val="22"/>
        </w:rPr>
        <w:t>Xxxxxx</w:t>
      </w:r>
      <w:proofErr w:type="spellEnd"/>
      <w:r w:rsidR="00245F57">
        <w:rPr>
          <w:rFonts w:ascii="Palatino Linotype" w:hAnsi="Palatino Linotype"/>
          <w:b/>
          <w:szCs w:val="22"/>
        </w:rPr>
        <w:t xml:space="preserve"> Xxxxxxxxx</w:t>
      </w:r>
      <w:bookmarkStart w:id="0" w:name="_GoBack"/>
      <w:bookmarkEnd w:id="0"/>
      <w:r>
        <w:rPr>
          <w:rFonts w:ascii="Palatino Linotype" w:hAnsi="Palatino Linotype"/>
          <w:b/>
          <w:szCs w:val="22"/>
        </w:rPr>
        <w:t xml:space="preserve">, </w:t>
      </w:r>
      <w:r>
        <w:rPr>
          <w:rFonts w:ascii="Palatino Linotype" w:hAnsi="Palatino Linotype" w:cs="Arial"/>
        </w:rPr>
        <w:t>la</w:t>
      </w:r>
      <w:r>
        <w:rPr>
          <w:rFonts w:ascii="Palatino Linotype" w:hAnsi="Palatino Linotype" w:cs="Arial"/>
          <w:b/>
        </w:rPr>
        <w:t xml:space="preserve"> recurrente</w:t>
      </w:r>
      <w:r>
        <w:rPr>
          <w:rFonts w:ascii="Palatino Linotype" w:hAnsi="Palatino Linotype" w:cs="Arial"/>
        </w:rPr>
        <w:t>, contra la</w:t>
      </w:r>
      <w:r>
        <w:rPr>
          <w:rFonts w:ascii="Palatino Linotype" w:hAnsi="Palatino Linotype" w:cs="Arial"/>
          <w:b/>
        </w:rPr>
        <w:t xml:space="preserve"> Universidad Politécnica del Valle de Toluca</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ambos así denominados en lo sucesivo, en contra de la respuesta a la solicitud de información con número de folio </w:t>
      </w:r>
      <w:r>
        <w:rPr>
          <w:rFonts w:ascii="Palatino Linotype" w:hAnsi="Palatino Linotype" w:cs="Arial"/>
          <w:b/>
        </w:rPr>
        <w:t>00193/UPVT/IP/2018</w:t>
      </w:r>
      <w:r>
        <w:rPr>
          <w:rFonts w:ascii="Palatino Linotype" w:hAnsi="Palatino Linotype" w:cs="Arial"/>
          <w:b/>
          <w:sz w:val="22"/>
        </w:rPr>
        <w:t xml:space="preserve">, </w:t>
      </w:r>
      <w:r>
        <w:rPr>
          <w:rFonts w:ascii="Palatino Linotype" w:hAnsi="Palatino Linotype" w:cs="Arial"/>
        </w:rPr>
        <w:t>se procede a dictar la presente Resolución, con fundamento en lo siguiente:</w:t>
      </w:r>
    </w:p>
    <w:p w:rsidR="00530956" w:rsidRDefault="00530956" w:rsidP="00530956">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I.</w:t>
      </w:r>
      <w:r>
        <w:rPr>
          <w:rFonts w:ascii="Palatino Linotype" w:hAnsi="Palatino Linotype" w:cs="Arial"/>
          <w:b/>
          <w:sz w:val="28"/>
        </w:rPr>
        <w:tab/>
        <w:t>A N T E C E D E N T E S:</w:t>
      </w:r>
    </w:p>
    <w:p w:rsidR="00530956"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w:t>
      </w:r>
      <w:r>
        <w:rPr>
          <w:rFonts w:ascii="Palatino Linotype" w:hAnsi="Palatino Linotype" w:cs="Arial"/>
        </w:rPr>
        <w:t xml:space="preserve"> </w:t>
      </w:r>
      <w:r>
        <w:rPr>
          <w:rFonts w:ascii="Palatino Linotype" w:hAnsi="Palatino Linotype" w:cs="Arial"/>
          <w:b/>
        </w:rPr>
        <w:t>Solicitud de acceso a la información.</w:t>
      </w:r>
      <w:r>
        <w:rPr>
          <w:rFonts w:ascii="Palatino Linotype" w:hAnsi="Palatino Linotype" w:cs="Arial"/>
        </w:rPr>
        <w:t xml:space="preserve"> Con fecha nueve de mayo de dos mil dieciocho, la </w:t>
      </w:r>
      <w:r>
        <w:rPr>
          <w:rFonts w:ascii="Palatino Linotype" w:hAnsi="Palatino Linotype" w:cs="Arial"/>
          <w:b/>
        </w:rPr>
        <w:t>recurrente</w:t>
      </w:r>
      <w:r>
        <w:rPr>
          <w:rFonts w:ascii="Palatino Linotype" w:hAnsi="Palatino Linotype" w:cs="Arial"/>
        </w:rPr>
        <w:t xml:space="preserve"> presentó solicitud de acceso a la información pública al </w:t>
      </w:r>
      <w:r>
        <w:rPr>
          <w:rFonts w:ascii="Palatino Linotype" w:hAnsi="Palatino Linotype" w:cs="Arial"/>
          <w:b/>
        </w:rPr>
        <w:t>Sujeto Obligado</w:t>
      </w:r>
      <w:r>
        <w:rPr>
          <w:rFonts w:ascii="Palatino Linotype" w:hAnsi="Palatino Linotype" w:cs="Arial"/>
        </w:rPr>
        <w:t xml:space="preserve"> mediante el Sistema de Información Mexiquense (</w:t>
      </w:r>
      <w:r>
        <w:rPr>
          <w:rFonts w:ascii="Palatino Linotype" w:hAnsi="Palatino Linotype" w:cs="Arial"/>
          <w:b/>
        </w:rPr>
        <w:t>SAIMEX</w:t>
      </w:r>
      <w:r>
        <w:rPr>
          <w:rFonts w:ascii="Palatino Linotype" w:hAnsi="Palatino Linotype" w:cs="Arial"/>
        </w:rPr>
        <w:t>), requiriendo lo siguiente:</w:t>
      </w:r>
    </w:p>
    <w:p w:rsidR="00530956" w:rsidRDefault="00530956" w:rsidP="00530956">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530956">
        <w:rPr>
          <w:rFonts w:ascii="Palatino Linotype" w:hAnsi="Palatino Linotype" w:cs="Arial"/>
          <w:i/>
          <w:sz w:val="22"/>
        </w:rPr>
        <w:t xml:space="preserve">Relación de puestos de secretarías, auxiliares administrativos, técnicos laboratoristas, jefes de oficina, indicando la persona y área a la que se pertenece y </w:t>
      </w:r>
      <w:proofErr w:type="spellStart"/>
      <w:r w:rsidRPr="00530956">
        <w:rPr>
          <w:rFonts w:ascii="Palatino Linotype" w:hAnsi="Palatino Linotype" w:cs="Arial"/>
          <w:i/>
          <w:sz w:val="22"/>
        </w:rPr>
        <w:t>cual</w:t>
      </w:r>
      <w:proofErr w:type="spellEnd"/>
      <w:r w:rsidRPr="00530956">
        <w:rPr>
          <w:rFonts w:ascii="Palatino Linotype" w:hAnsi="Palatino Linotype" w:cs="Arial"/>
          <w:i/>
          <w:sz w:val="22"/>
        </w:rPr>
        <w:t xml:space="preserve"> fue su proceso de selección para ocupar el puesto que se indique.</w:t>
      </w:r>
      <w:r>
        <w:rPr>
          <w:rFonts w:ascii="Palatino Linotype" w:hAnsi="Palatino Linotype" w:cs="Arial"/>
          <w:i/>
          <w:sz w:val="22"/>
        </w:rPr>
        <w:t>” (Sic.)</w:t>
      </w:r>
    </w:p>
    <w:p w:rsidR="00530956" w:rsidRDefault="00530956" w:rsidP="00530956">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530956"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b/>
        </w:rPr>
        <w:t>SEGUNDO. Respuesta</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el </w:t>
      </w:r>
      <w:r>
        <w:rPr>
          <w:rFonts w:ascii="Palatino Linotype" w:hAnsi="Palatino Linotype" w:cs="Arial"/>
          <w:b/>
        </w:rPr>
        <w:t>Sujeto Obligado</w:t>
      </w:r>
      <w:r>
        <w:rPr>
          <w:rFonts w:ascii="Palatino Linotype" w:hAnsi="Palatino Linotype" w:cs="Arial"/>
        </w:rPr>
        <w:t xml:space="preserve"> respondió a la solicitud de acceso </w:t>
      </w:r>
      <w:r>
        <w:rPr>
          <w:rFonts w:ascii="Palatino Linotype" w:hAnsi="Palatino Linotype" w:cs="Arial"/>
        </w:rPr>
        <w:lastRenderedPageBreak/>
        <w:t xml:space="preserve">a la información que fuera presentada por el recurrente, en fecha treinta de mayo de dos mil dieciocho, en los términos siguientes: </w:t>
      </w:r>
    </w:p>
    <w:p w:rsidR="00530956" w:rsidRPr="00530956" w:rsidRDefault="00530956" w:rsidP="00530956">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53095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30956" w:rsidRDefault="00530956" w:rsidP="00530956">
      <w:pPr>
        <w:spacing w:before="100" w:beforeAutospacing="1" w:after="100" w:afterAutospacing="1"/>
        <w:ind w:left="851" w:right="851"/>
        <w:jc w:val="both"/>
        <w:rPr>
          <w:rFonts w:ascii="Palatino Linotype" w:hAnsi="Palatino Linotype" w:cs="Arial"/>
          <w:i/>
          <w:sz w:val="22"/>
        </w:rPr>
      </w:pPr>
      <w:r w:rsidRPr="00530956">
        <w:rPr>
          <w:rFonts w:ascii="Palatino Linotype" w:hAnsi="Palatino Linotype" w:cs="Arial"/>
          <w:i/>
          <w:sz w:val="22"/>
        </w:rPr>
        <w:t xml:space="preserve">En atención a la solicitud de información pública registrada con el </w:t>
      </w:r>
      <w:proofErr w:type="spellStart"/>
      <w:r w:rsidRPr="00530956">
        <w:rPr>
          <w:rFonts w:ascii="Palatino Linotype" w:hAnsi="Palatino Linotype" w:cs="Arial"/>
          <w:i/>
          <w:sz w:val="22"/>
        </w:rPr>
        <w:t>numero</w:t>
      </w:r>
      <w:proofErr w:type="spellEnd"/>
      <w:r w:rsidRPr="00530956">
        <w:rPr>
          <w:rFonts w:ascii="Palatino Linotype" w:hAnsi="Palatino Linotype" w:cs="Arial"/>
          <w:i/>
          <w:sz w:val="22"/>
        </w:rPr>
        <w:t xml:space="preserve"> de folio 00193/UPVT/IP/2018 que realizó el 9 de mayo del año en curso, sírvase encontrar en archivo adjunto copia digitalizada en formato </w:t>
      </w:r>
      <w:proofErr w:type="spellStart"/>
      <w:r w:rsidRPr="00530956">
        <w:rPr>
          <w:rFonts w:ascii="Palatino Linotype" w:hAnsi="Palatino Linotype" w:cs="Arial"/>
          <w:i/>
          <w:sz w:val="22"/>
        </w:rPr>
        <w:t>pdf</w:t>
      </w:r>
      <w:proofErr w:type="spellEnd"/>
      <w:r w:rsidRPr="00530956">
        <w:rPr>
          <w:rFonts w:ascii="Palatino Linotype" w:hAnsi="Palatino Linotype" w:cs="Arial"/>
          <w:i/>
          <w:sz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Pr>
          <w:rFonts w:ascii="Palatino Linotype" w:hAnsi="Palatino Linotype" w:cs="Arial"/>
          <w:i/>
          <w:sz w:val="22"/>
        </w:rPr>
        <w:t>” (Sic.)</w:t>
      </w:r>
    </w:p>
    <w:p w:rsidR="00530956" w:rsidRPr="00A43254" w:rsidRDefault="00530956" w:rsidP="00530956">
      <w:pPr>
        <w:spacing w:before="100" w:beforeAutospacing="1" w:after="100" w:afterAutospacing="1" w:line="360" w:lineRule="auto"/>
        <w:jc w:val="both"/>
        <w:rPr>
          <w:rFonts w:ascii="Palatino Linotype" w:hAnsi="Palatino Linotype" w:cs="Arial"/>
          <w:i/>
        </w:rPr>
      </w:pPr>
      <w:r w:rsidRPr="00A43254">
        <w:rPr>
          <w:rFonts w:ascii="Palatino Linotype" w:hAnsi="Palatino Linotype" w:cs="Arial"/>
        </w:rPr>
        <w:t xml:space="preserve">Cabe hacer mención que el Sujeto Obligado adjuntó a su respuesta los archivos </w:t>
      </w:r>
      <w:r w:rsidRPr="00A43254">
        <w:rPr>
          <w:rFonts w:ascii="Palatino Linotype" w:hAnsi="Palatino Linotype" w:cs="Arial"/>
          <w:i/>
        </w:rPr>
        <w:t xml:space="preserve">“00193UPVTIP2018.pdf” </w:t>
      </w:r>
      <w:r w:rsidRPr="00A43254">
        <w:rPr>
          <w:rFonts w:ascii="Palatino Linotype" w:hAnsi="Palatino Linotype" w:cs="Arial"/>
        </w:rPr>
        <w:t>y</w:t>
      </w:r>
      <w:r w:rsidRPr="00A43254">
        <w:rPr>
          <w:rFonts w:ascii="Palatino Linotype" w:hAnsi="Palatino Linotype" w:cs="Arial"/>
          <w:i/>
        </w:rPr>
        <w:t xml:space="preserve"> “OFICIO DE RESPUESTA SOLI 193.pdf”</w:t>
      </w:r>
      <w:r w:rsidRPr="00A43254">
        <w:rPr>
          <w:rFonts w:ascii="Palatino Linotype" w:hAnsi="Palatino Linotype" w:cs="Arial"/>
        </w:rPr>
        <w:t>, los cuales contienen lo siguiente:</w:t>
      </w:r>
    </w:p>
    <w:p w:rsidR="00530956" w:rsidRPr="00A43254" w:rsidRDefault="00530956" w:rsidP="00530956">
      <w:pPr>
        <w:pStyle w:val="Prrafodelista"/>
        <w:numPr>
          <w:ilvl w:val="0"/>
          <w:numId w:val="1"/>
        </w:numPr>
        <w:spacing w:before="100" w:beforeAutospacing="1" w:after="100" w:afterAutospacing="1" w:line="360" w:lineRule="auto"/>
        <w:jc w:val="both"/>
        <w:rPr>
          <w:rFonts w:ascii="Palatino Linotype" w:hAnsi="Palatino Linotype" w:cs="Arial"/>
        </w:rPr>
      </w:pPr>
      <w:r w:rsidRPr="00A43254">
        <w:rPr>
          <w:rFonts w:ascii="Palatino Linotype" w:hAnsi="Palatino Linotype" w:cs="Arial"/>
        </w:rPr>
        <w:t xml:space="preserve">El archivo </w:t>
      </w:r>
      <w:r w:rsidRPr="00A43254">
        <w:rPr>
          <w:rFonts w:ascii="Palatino Linotype" w:hAnsi="Palatino Linotype" w:cs="Arial"/>
          <w:i/>
        </w:rPr>
        <w:t xml:space="preserve">“00193UPVTIP2018.pdf”, </w:t>
      </w:r>
      <w:r w:rsidRPr="00A43254">
        <w:rPr>
          <w:rFonts w:ascii="Palatino Linotype" w:hAnsi="Palatino Linotype" w:cs="Arial"/>
        </w:rPr>
        <w:t xml:space="preserve">contiene el </w:t>
      </w:r>
      <w:r w:rsidR="0095549B" w:rsidRPr="00A43254">
        <w:rPr>
          <w:rFonts w:ascii="Palatino Linotype" w:hAnsi="Palatino Linotype" w:cs="Arial"/>
        </w:rPr>
        <w:t>oficio número 205BL14002/304/2018 de fecha treinta de mayo de dos mil dieciocho, remitido por la Jefa del Departamento de Recursos Humanos y Materiales, en donde se envía la relación de puestos de secretarias, auxiliares administrativos, técnicos laboratoristas, jefes de oficina, área de adscrip</w:t>
      </w:r>
      <w:r w:rsidR="00FB069A">
        <w:rPr>
          <w:rFonts w:ascii="Palatino Linotype" w:hAnsi="Palatino Linotype" w:cs="Arial"/>
        </w:rPr>
        <w:t>ción y denominación del puesto.</w:t>
      </w:r>
    </w:p>
    <w:p w:rsidR="00530956" w:rsidRPr="00A43254" w:rsidRDefault="00530956" w:rsidP="00530956">
      <w:pPr>
        <w:pStyle w:val="Prrafodelista"/>
        <w:numPr>
          <w:ilvl w:val="0"/>
          <w:numId w:val="1"/>
        </w:numPr>
        <w:spacing w:before="100" w:beforeAutospacing="1" w:after="100" w:afterAutospacing="1" w:line="360" w:lineRule="auto"/>
        <w:jc w:val="both"/>
        <w:rPr>
          <w:rFonts w:ascii="Palatino Linotype" w:hAnsi="Palatino Linotype" w:cs="Arial"/>
        </w:rPr>
      </w:pPr>
      <w:r w:rsidRPr="00A43254">
        <w:rPr>
          <w:rFonts w:ascii="Palatino Linotype" w:hAnsi="Palatino Linotype" w:cs="Arial"/>
        </w:rPr>
        <w:t xml:space="preserve">El archivo </w:t>
      </w:r>
      <w:r w:rsidRPr="00A43254">
        <w:rPr>
          <w:rFonts w:ascii="Palatino Linotype" w:hAnsi="Palatino Linotype" w:cs="Arial"/>
          <w:i/>
        </w:rPr>
        <w:t xml:space="preserve">“OFICIO DE RESPUESTA SOLI 193.pdf”, </w:t>
      </w:r>
      <w:r w:rsidRPr="00A43254">
        <w:rPr>
          <w:rFonts w:ascii="Palatino Linotype" w:hAnsi="Palatino Linotype" w:cs="Arial"/>
        </w:rPr>
        <w:t xml:space="preserve">contiene </w:t>
      </w:r>
      <w:r w:rsidR="00A43254" w:rsidRPr="00A43254">
        <w:rPr>
          <w:rFonts w:ascii="Palatino Linotype" w:hAnsi="Palatino Linotype" w:cs="Arial"/>
        </w:rPr>
        <w:t xml:space="preserve">el oficio número 205BL16001/782/2018 de fecha treinta de mayo de dos mil dieciocho, que remite la Titular de la Unidad de Transparencia, en donde se menciona que </w:t>
      </w:r>
      <w:r w:rsidR="00FB069A">
        <w:rPr>
          <w:rFonts w:ascii="Palatino Linotype" w:hAnsi="Palatino Linotype" w:cs="Arial"/>
        </w:rPr>
        <w:lastRenderedPageBreak/>
        <w:t>env</w:t>
      </w:r>
      <w:r w:rsidR="00FB069A" w:rsidRPr="00A43254">
        <w:rPr>
          <w:rFonts w:ascii="Palatino Linotype" w:hAnsi="Palatino Linotype" w:cs="Arial"/>
        </w:rPr>
        <w:t>ía</w:t>
      </w:r>
      <w:r w:rsidR="00A43254" w:rsidRPr="00A43254">
        <w:rPr>
          <w:rFonts w:ascii="Palatino Linotype" w:hAnsi="Palatino Linotype" w:cs="Arial"/>
        </w:rPr>
        <w:t xml:space="preserve"> un archivo adjunto en formato </w:t>
      </w:r>
      <w:proofErr w:type="spellStart"/>
      <w:r w:rsidR="00A43254" w:rsidRPr="00A43254">
        <w:rPr>
          <w:rFonts w:ascii="Palatino Linotype" w:hAnsi="Palatino Linotype" w:cs="Arial"/>
        </w:rPr>
        <w:t>pdf</w:t>
      </w:r>
      <w:proofErr w:type="spellEnd"/>
      <w:r w:rsidR="00A43254" w:rsidRPr="00A43254">
        <w:rPr>
          <w:rFonts w:ascii="Palatino Linotype" w:hAnsi="Palatino Linotype" w:cs="Arial"/>
        </w:rPr>
        <w:t>, en donde se detalla lo relacionado con la solicitud de información.</w:t>
      </w:r>
    </w:p>
    <w:p w:rsidR="00530956" w:rsidRPr="00BE096B"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Pr="00BE096B">
        <w:rPr>
          <w:rFonts w:ascii="Palatino Linotype" w:hAnsi="Palatino Linotype" w:cs="Arial"/>
          <w:b/>
        </w:rPr>
        <w:t>.</w:t>
      </w:r>
      <w:r w:rsidRPr="00BE096B">
        <w:rPr>
          <w:rFonts w:ascii="Palatino Linotype" w:hAnsi="Palatino Linotype" w:cs="Arial"/>
        </w:rPr>
        <w:t xml:space="preserve"> </w:t>
      </w:r>
      <w:r w:rsidRPr="00BE096B">
        <w:rPr>
          <w:rFonts w:ascii="Palatino Linotype" w:hAnsi="Palatino Linotype" w:cs="Arial"/>
          <w:b/>
        </w:rPr>
        <w:t>Interposición del recurso de revisión</w:t>
      </w:r>
      <w:r w:rsidRPr="00BE096B">
        <w:rPr>
          <w:rFonts w:ascii="Palatino Linotype" w:hAnsi="Palatino Linotype" w:cs="Arial"/>
        </w:rPr>
        <w:t xml:space="preserve">. Con </w:t>
      </w:r>
      <w:r w:rsidR="00A43254">
        <w:rPr>
          <w:rFonts w:ascii="Palatino Linotype" w:hAnsi="Palatino Linotype" w:cs="Arial"/>
        </w:rPr>
        <w:t xml:space="preserve">fecha </w:t>
      </w:r>
      <w:r>
        <w:rPr>
          <w:rFonts w:ascii="Palatino Linotype" w:hAnsi="Palatino Linotype" w:cs="Arial"/>
        </w:rPr>
        <w:t>treinta y uno de mayo</w:t>
      </w:r>
      <w:r w:rsidRPr="00BE096B">
        <w:rPr>
          <w:rFonts w:ascii="Palatino Linotype" w:hAnsi="Palatino Linotype" w:cs="Arial"/>
        </w:rPr>
        <w:t xml:space="preserve"> de d</w:t>
      </w:r>
      <w:r>
        <w:rPr>
          <w:rFonts w:ascii="Palatino Linotype" w:hAnsi="Palatino Linotype" w:cs="Arial"/>
        </w:rPr>
        <w:t>os mil dieciocho, la</w:t>
      </w:r>
      <w:r w:rsidRPr="00BE096B">
        <w:rPr>
          <w:rFonts w:ascii="Palatino Linotype" w:hAnsi="Palatino Linotype" w:cs="Arial"/>
        </w:rPr>
        <w:t xml:space="preserve"> solicitante ante la respuesta emitida por parte del </w:t>
      </w:r>
      <w:r w:rsidRPr="00BE096B">
        <w:rPr>
          <w:rFonts w:ascii="Palatino Linotype" w:hAnsi="Palatino Linotype" w:cs="Arial"/>
          <w:b/>
        </w:rPr>
        <w:t>Sujeto Obligado</w:t>
      </w:r>
      <w:r w:rsidRPr="00BE096B">
        <w:rPr>
          <w:rFonts w:ascii="Palatino Linotype" w:hAnsi="Palatino Linotype" w:cs="Arial"/>
        </w:rPr>
        <w:t xml:space="preserve">, interpuso el recurso de revisión mediante el </w:t>
      </w:r>
      <w:r w:rsidRPr="00BE096B">
        <w:rPr>
          <w:rFonts w:ascii="Palatino Linotype" w:hAnsi="Palatino Linotype" w:cs="Arial"/>
          <w:b/>
        </w:rPr>
        <w:t>SAIMEX</w:t>
      </w:r>
      <w:r w:rsidRPr="00BE096B">
        <w:rPr>
          <w:rFonts w:ascii="Palatino Linotype" w:hAnsi="Palatino Linotype" w:cs="Arial"/>
        </w:rPr>
        <w:t>, en donde se manifestó de la siguiente manera:</w:t>
      </w:r>
    </w:p>
    <w:p w:rsidR="00530956" w:rsidRDefault="00530956" w:rsidP="00530956">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 impugnado</w:t>
      </w:r>
    </w:p>
    <w:p w:rsidR="00530956" w:rsidRDefault="00530956" w:rsidP="00530956">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530956">
        <w:rPr>
          <w:rFonts w:ascii="Palatino Linotype" w:hAnsi="Palatino Linotype" w:cs="Arial"/>
          <w:i/>
          <w:sz w:val="22"/>
        </w:rPr>
        <w:t>Información incompleta</w:t>
      </w:r>
      <w:r>
        <w:rPr>
          <w:rFonts w:ascii="Palatino Linotype" w:hAnsi="Palatino Linotype" w:cs="Arial"/>
          <w:i/>
          <w:sz w:val="22"/>
        </w:rPr>
        <w:t>” (Sic.)</w:t>
      </w:r>
    </w:p>
    <w:p w:rsidR="00530956" w:rsidRDefault="00530956" w:rsidP="00530956">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530956" w:rsidRDefault="00530956" w:rsidP="00530956">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530956">
        <w:rPr>
          <w:rFonts w:ascii="Palatino Linotype" w:hAnsi="Palatino Linotype" w:cs="Arial"/>
          <w:i/>
          <w:sz w:val="22"/>
        </w:rPr>
        <w:t xml:space="preserve">Falta mencionar el proceso de </w:t>
      </w:r>
      <w:proofErr w:type="spellStart"/>
      <w:r w:rsidRPr="00530956">
        <w:rPr>
          <w:rFonts w:ascii="Palatino Linotype" w:hAnsi="Palatino Linotype" w:cs="Arial"/>
          <w:i/>
          <w:sz w:val="22"/>
        </w:rPr>
        <w:t>como</w:t>
      </w:r>
      <w:proofErr w:type="spellEnd"/>
      <w:r w:rsidRPr="00530956">
        <w:rPr>
          <w:rFonts w:ascii="Palatino Linotype" w:hAnsi="Palatino Linotype" w:cs="Arial"/>
          <w:i/>
          <w:sz w:val="22"/>
        </w:rPr>
        <w:t xml:space="preserve"> llegaron a ocupar esa plaza</w:t>
      </w:r>
      <w:r>
        <w:rPr>
          <w:rFonts w:ascii="Palatino Linotype" w:hAnsi="Palatino Linotype" w:cs="Arial"/>
          <w:i/>
          <w:sz w:val="22"/>
        </w:rPr>
        <w:t>” (Sic.)</w:t>
      </w:r>
    </w:p>
    <w:p w:rsidR="00530956" w:rsidRDefault="00530956" w:rsidP="00530956">
      <w:pPr>
        <w:spacing w:before="240" w:after="240"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CUARTO.</w:t>
      </w:r>
      <w:r>
        <w:rPr>
          <w:rFonts w:ascii="Palatino Linotype" w:eastAsiaTheme="minorHAnsi" w:hAnsi="Palatino Linotype" w:cs="Arial"/>
          <w:szCs w:val="22"/>
          <w:lang w:val="es-MX" w:eastAsia="en-US"/>
        </w:rPr>
        <w:t xml:space="preserve"> </w:t>
      </w:r>
      <w:r>
        <w:rPr>
          <w:rFonts w:ascii="Palatino Linotype" w:eastAsiaTheme="minorHAnsi" w:hAnsi="Palatino Linotype" w:cs="Arial"/>
          <w:b/>
          <w:szCs w:val="22"/>
          <w:lang w:val="es-MX" w:eastAsia="en-US"/>
        </w:rPr>
        <w:t>Turno</w:t>
      </w:r>
      <w:r>
        <w:rPr>
          <w:rFonts w:ascii="Palatino Linotype" w:eastAsiaTheme="minorHAnsi" w:hAnsi="Palatino Linotype" w:cs="Arial"/>
          <w:szCs w:val="22"/>
          <w:lang w:val="es-MX" w:eastAsia="en-US"/>
        </w:rPr>
        <w:t xml:space="preserve">. Con fundamento en lo dispuesto, en el artículo 185 fracción I, de la Ley de Transparencia y Acceso a la Información Pública del Estado de México y Municipios, el recurso de revisión con número </w:t>
      </w:r>
      <w:r>
        <w:rPr>
          <w:rFonts w:ascii="Palatino Linotype" w:eastAsiaTheme="minorHAnsi" w:hAnsi="Palatino Linotype" w:cs="Arial"/>
          <w:b/>
          <w:szCs w:val="22"/>
          <w:lang w:val="es-MX" w:eastAsia="en-US"/>
        </w:rPr>
        <w:t>02049/INFOEM/IP/RR/2018</w:t>
      </w:r>
      <w:r>
        <w:rPr>
          <w:rFonts w:ascii="Palatino Linotype" w:eastAsiaTheme="minorHAnsi" w:hAnsi="Palatino Linotype" w:cs="Arial"/>
          <w:szCs w:val="22"/>
          <w:lang w:val="es-MX" w:eastAsia="en-US"/>
        </w:rPr>
        <w:t>,</w:t>
      </w:r>
      <w:r>
        <w:rPr>
          <w:rFonts w:ascii="Palatino Linotype" w:eastAsiaTheme="minorHAnsi" w:hAnsi="Palatino Linotype" w:cs="Arial"/>
          <w:b/>
          <w:szCs w:val="22"/>
          <w:lang w:val="es-MX" w:eastAsia="en-US"/>
        </w:rPr>
        <w:t xml:space="preserve"> </w:t>
      </w:r>
      <w:r>
        <w:rPr>
          <w:rFonts w:ascii="Palatino Linotype" w:eastAsiaTheme="minorHAnsi" w:hAnsi="Palatino Linotype" w:cs="Arial"/>
          <w:bCs/>
          <w:szCs w:val="22"/>
          <w:lang w:val="es-MX" w:eastAsia="en-US"/>
        </w:rPr>
        <w:t>fue</w:t>
      </w:r>
      <w:r>
        <w:rPr>
          <w:rFonts w:ascii="Palatino Linotype" w:eastAsiaTheme="minorHAnsi" w:hAnsi="Palatino Linotype" w:cs="Arial"/>
          <w:b/>
          <w:bCs/>
          <w:szCs w:val="22"/>
          <w:lang w:val="es-MX" w:eastAsia="en-US"/>
        </w:rPr>
        <w:t xml:space="preserve"> </w:t>
      </w:r>
      <w:r>
        <w:rPr>
          <w:rFonts w:ascii="Palatino Linotype" w:eastAsiaTheme="minorHAnsi" w:hAnsi="Palatino Linotype" w:cs="Arial"/>
          <w:szCs w:val="22"/>
          <w:lang w:val="es-MX" w:eastAsia="en-US"/>
        </w:rPr>
        <w:t>turnado al Comisionado Ponente, para su revisión y análisis sobre la admisión o desechamiento del mismo.</w:t>
      </w:r>
    </w:p>
    <w:p w:rsidR="00530956"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 xml:space="preserve">QUINTO. Admisión. </w:t>
      </w:r>
      <w:r>
        <w:rPr>
          <w:rFonts w:ascii="Palatino Linotype" w:hAnsi="Palatino Linotype" w:cs="Arial"/>
        </w:rPr>
        <w:t xml:space="preserve">Con fecha seis de junio de dos mil dieciocho, éste Órgano Garante denominado, Instituto de Transparencia, Acceso a la Información Pública y Protección de Datos Personales del Estado de México y Municipios, tuvo a bien admitir a trámite el recurso de revisión que se resuelve, dando un plazo de siete días hábiles para que las partes manifestaran lo que a su derecho conviniera, ofrecieran </w:t>
      </w:r>
      <w:r>
        <w:rPr>
          <w:rFonts w:ascii="Palatino Linotype" w:hAnsi="Palatino Linotype" w:cs="Arial"/>
        </w:rPr>
        <w:lastRenderedPageBreak/>
        <w:t xml:space="preserve">pruebas, formularan alegatos y el </w:t>
      </w:r>
      <w:r>
        <w:rPr>
          <w:rFonts w:ascii="Palatino Linotype" w:hAnsi="Palatino Linotype" w:cs="Arial"/>
          <w:b/>
        </w:rPr>
        <w:t xml:space="preserve">Sujeto Obligado </w:t>
      </w:r>
      <w:r>
        <w:rPr>
          <w:rFonts w:ascii="Palatino Linotype" w:hAnsi="Palatino Linotype" w:cs="Arial"/>
        </w:rPr>
        <w:t>presentara su informe justificado.</w:t>
      </w:r>
    </w:p>
    <w:p w:rsidR="00530956" w:rsidRPr="00F21F1B" w:rsidRDefault="00530956" w:rsidP="00530956">
      <w:pPr>
        <w:spacing w:before="100" w:beforeAutospacing="1" w:after="100" w:afterAutospacing="1" w:line="360" w:lineRule="auto"/>
        <w:jc w:val="both"/>
        <w:rPr>
          <w:rFonts w:ascii="Palatino Linotype" w:hAnsi="Palatino Linotype" w:cs="Arial"/>
        </w:rPr>
      </w:pPr>
      <w:r w:rsidRPr="00F21F1B">
        <w:rPr>
          <w:rFonts w:ascii="Palatino Linotype" w:hAnsi="Palatino Linotype" w:cs="Arial"/>
          <w:b/>
        </w:rPr>
        <w:t>SEXTO. Manifestaciones.</w:t>
      </w:r>
      <w:r w:rsidRPr="00F21F1B">
        <w:rPr>
          <w:rFonts w:ascii="Palatino Linotype" w:hAnsi="Palatino Linotype" w:cs="Arial"/>
        </w:rPr>
        <w:t xml:space="preserve"> Con fecha </w:t>
      </w:r>
      <w:r w:rsidR="007A22D6">
        <w:rPr>
          <w:rFonts w:ascii="Palatino Linotype" w:hAnsi="Palatino Linotype" w:cs="Arial"/>
        </w:rPr>
        <w:t>quince de junio</w:t>
      </w:r>
      <w:r w:rsidRPr="00F21F1B">
        <w:rPr>
          <w:rFonts w:ascii="Palatino Linotype" w:hAnsi="Palatino Linotype" w:cs="Arial"/>
        </w:rPr>
        <w:t xml:space="preserve"> de dos mil dieciocho de los documentos que obran en el expediente electrónico, se advierte que el Sujeto Obligado remitió a través del </w:t>
      </w:r>
      <w:r w:rsidRPr="00F21F1B">
        <w:rPr>
          <w:rFonts w:ascii="Palatino Linotype" w:hAnsi="Palatino Linotype" w:cs="Arial"/>
          <w:b/>
        </w:rPr>
        <w:t xml:space="preserve">SAIMEX </w:t>
      </w:r>
      <w:r w:rsidRPr="00F21F1B">
        <w:rPr>
          <w:rFonts w:ascii="Palatino Linotype" w:hAnsi="Palatino Linotype" w:cs="Arial"/>
        </w:rPr>
        <w:t xml:space="preserve">el archivo, </w:t>
      </w:r>
      <w:r w:rsidRPr="00F21F1B">
        <w:rPr>
          <w:rFonts w:ascii="Palatino Linotype" w:hAnsi="Palatino Linotype" w:cs="Arial"/>
          <w:i/>
        </w:rPr>
        <w:t>“</w:t>
      </w:r>
      <w:r w:rsidR="00834C8D" w:rsidRPr="00834C8D">
        <w:rPr>
          <w:rFonts w:ascii="Palatino Linotype" w:hAnsi="Palatino Linotype" w:cs="Arial"/>
          <w:i/>
        </w:rPr>
        <w:t>INFORME JUSTIFICADO SOLICITUD 193.pdf</w:t>
      </w:r>
      <w:r w:rsidRPr="00F21F1B">
        <w:rPr>
          <w:rFonts w:ascii="Palatino Linotype" w:hAnsi="Palatino Linotype" w:cs="Arial"/>
          <w:i/>
        </w:rPr>
        <w:t xml:space="preserve">”, </w:t>
      </w:r>
      <w:r w:rsidRPr="00F21F1B">
        <w:rPr>
          <w:rFonts w:ascii="Palatino Linotype" w:hAnsi="Palatino Linotype" w:cs="Arial"/>
        </w:rPr>
        <w:t>el cual contiene lo siguiente:</w:t>
      </w:r>
    </w:p>
    <w:p w:rsidR="00530956" w:rsidRPr="00023903" w:rsidRDefault="00530956" w:rsidP="00530956">
      <w:pPr>
        <w:numPr>
          <w:ilvl w:val="0"/>
          <w:numId w:val="1"/>
        </w:numPr>
        <w:spacing w:before="100" w:beforeAutospacing="1" w:after="100" w:afterAutospacing="1" w:line="360" w:lineRule="auto"/>
        <w:jc w:val="both"/>
        <w:rPr>
          <w:rFonts w:ascii="Palatino Linotype" w:hAnsi="Palatino Linotype" w:cs="Arial"/>
        </w:rPr>
      </w:pPr>
      <w:r w:rsidRPr="00023903">
        <w:rPr>
          <w:rFonts w:ascii="Palatino Linotype" w:hAnsi="Palatino Linotype" w:cs="Arial"/>
        </w:rPr>
        <w:t>El informe justificado remitido por parte del Sujeto Obligado, en donde de manera general, el Sujeto Obligado ratifica su respuesta y menciona que la obligación de proporcionar información no comprende el procesamiento de la misma y que por parte del Jefe del Departamento de Recursos Humanos y Materiales se confirma la respuesta inicial emitida por esa misma dependencia.</w:t>
      </w:r>
    </w:p>
    <w:p w:rsidR="00530956" w:rsidRPr="00843206"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rPr>
        <w:t>Dicho informe justificado</w:t>
      </w:r>
      <w:r w:rsidRPr="00843206">
        <w:rPr>
          <w:rFonts w:ascii="Palatino Linotype" w:hAnsi="Palatino Linotype" w:cs="Arial"/>
        </w:rPr>
        <w:t xml:space="preserve"> </w:t>
      </w:r>
      <w:r w:rsidR="00834C8D">
        <w:rPr>
          <w:rFonts w:ascii="Palatino Linotype" w:hAnsi="Palatino Linotype" w:cs="Arial"/>
        </w:rPr>
        <w:t xml:space="preserve">no </w:t>
      </w:r>
      <w:r w:rsidRPr="00843206">
        <w:rPr>
          <w:rFonts w:ascii="Palatino Linotype" w:hAnsi="Palatino Linotype" w:cs="Arial"/>
        </w:rPr>
        <w:t xml:space="preserve">se puso a la vista del recurrente </w:t>
      </w:r>
      <w:r w:rsidR="00834C8D">
        <w:rPr>
          <w:rFonts w:ascii="Palatino Linotype" w:hAnsi="Palatino Linotype" w:cs="Arial"/>
        </w:rPr>
        <w:t>toda vez que no modificaba ni aportaba nuevos elementos a la respuesta inicial.</w:t>
      </w:r>
    </w:p>
    <w:p w:rsidR="00530956" w:rsidRDefault="00530956" w:rsidP="00530956">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SÉPTIMO</w:t>
      </w:r>
      <w:r w:rsidRPr="00BB7E15">
        <w:rPr>
          <w:rFonts w:ascii="Palatino Linotype" w:eastAsiaTheme="minorHAnsi" w:hAnsi="Palatino Linotype" w:cs="Arial"/>
          <w:b/>
          <w:szCs w:val="22"/>
          <w:lang w:val="es-MX" w:eastAsia="en-US"/>
        </w:rPr>
        <w:t>. Cierre de instrucción.</w:t>
      </w:r>
      <w:r w:rsidRPr="00BB7E15">
        <w:rPr>
          <w:rFonts w:ascii="Palatino Linotype" w:eastAsiaTheme="minorHAnsi" w:hAnsi="Palatino Linotype" w:cs="Arial"/>
          <w:szCs w:val="22"/>
          <w:lang w:val="es-MX" w:eastAsia="en-US"/>
        </w:rPr>
        <w:t xml:space="preserve"> Con fecha </w:t>
      </w:r>
      <w:r w:rsidR="00834C8D">
        <w:rPr>
          <w:rFonts w:ascii="Palatino Linotype" w:eastAsiaTheme="minorHAnsi" w:hAnsi="Palatino Linotype" w:cs="Arial"/>
          <w:szCs w:val="22"/>
          <w:lang w:val="es-MX" w:eastAsia="en-US"/>
        </w:rPr>
        <w:t>diez de julio</w:t>
      </w:r>
      <w:r w:rsidRPr="00BB7E15">
        <w:rPr>
          <w:rFonts w:ascii="Palatino Linotype" w:eastAsiaTheme="minorHAnsi" w:hAnsi="Palatino Linotype" w:cs="Arial"/>
          <w:szCs w:val="22"/>
          <w:lang w:val="es-MX" w:eastAsia="en-US"/>
        </w:rPr>
        <w:t xml:space="preserve"> de dos mil dieciocho, el Comisionado ponente determinó el cierre de instrucción en términos de la fracción VI del artículo 185 de la Ley de Transparencia y Acceso a la Información Pública del Estado de México y Municipios.</w:t>
      </w:r>
    </w:p>
    <w:p w:rsidR="00023903" w:rsidRDefault="00023903" w:rsidP="00530956">
      <w:pPr>
        <w:spacing w:before="100" w:beforeAutospacing="1" w:after="100" w:afterAutospacing="1" w:line="360" w:lineRule="auto"/>
        <w:jc w:val="both"/>
        <w:rPr>
          <w:rFonts w:ascii="Palatino Linotype" w:eastAsiaTheme="minorHAnsi" w:hAnsi="Palatino Linotype" w:cs="Arial"/>
          <w:szCs w:val="22"/>
          <w:lang w:val="es-MX" w:eastAsia="en-US"/>
        </w:rPr>
      </w:pPr>
    </w:p>
    <w:p w:rsidR="00023903" w:rsidRPr="00BB7E15" w:rsidRDefault="00023903" w:rsidP="00530956">
      <w:pPr>
        <w:spacing w:before="100" w:beforeAutospacing="1" w:after="100" w:afterAutospacing="1" w:line="360" w:lineRule="auto"/>
        <w:jc w:val="both"/>
        <w:rPr>
          <w:rFonts w:ascii="Palatino Linotype" w:eastAsiaTheme="minorHAnsi" w:hAnsi="Palatino Linotype" w:cs="Arial"/>
          <w:szCs w:val="22"/>
          <w:lang w:val="es-MX" w:eastAsia="en-US"/>
        </w:rPr>
      </w:pPr>
    </w:p>
    <w:p w:rsidR="00530956" w:rsidRDefault="00530956" w:rsidP="00530956">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lastRenderedPageBreak/>
        <w:t xml:space="preserve">II. </w:t>
      </w:r>
      <w:r>
        <w:rPr>
          <w:rFonts w:ascii="Palatino Linotype" w:hAnsi="Palatino Linotype" w:cs="Arial"/>
          <w:b/>
          <w:sz w:val="28"/>
        </w:rPr>
        <w:tab/>
        <w:t>C O N S I D E R A N D O:</w:t>
      </w:r>
    </w:p>
    <w:p w:rsidR="00530956"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 Competencia.</w:t>
      </w:r>
      <w:r>
        <w:rPr>
          <w:rFonts w:ascii="Palatino Linotype" w:hAnsi="Palatino Linotype" w:cs="Arial"/>
        </w:rPr>
        <w:t xml:space="preserve"> Este Órgano Garante, el Instituto de Transparencia, Acceso a la Información Pública y Protección de Datos Personales del Estado de México y Municipios, es competente para conocer y resolver el presente recurso de revisión interpuesto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30956" w:rsidRDefault="00530956" w:rsidP="00530956">
      <w:pPr>
        <w:spacing w:before="100" w:beforeAutospacing="1" w:after="100" w:afterAutospacing="1" w:line="360" w:lineRule="auto"/>
        <w:jc w:val="both"/>
        <w:rPr>
          <w:rFonts w:ascii="Palatino Linotype" w:hAnsi="Palatino Linotype" w:cs="Arial"/>
        </w:rPr>
      </w:pPr>
      <w:r w:rsidRPr="00F21F1B">
        <w:rPr>
          <w:rFonts w:ascii="Palatino Linotype" w:hAnsi="Palatino Linotype" w:cs="Arial"/>
          <w:b/>
        </w:rPr>
        <w:t xml:space="preserve">SEGUNDO. Oportunidad y </w:t>
      </w:r>
      <w:proofErr w:type="spellStart"/>
      <w:r w:rsidRPr="00F21F1B">
        <w:rPr>
          <w:rFonts w:ascii="Palatino Linotype" w:hAnsi="Palatino Linotype" w:cs="Arial"/>
          <w:b/>
        </w:rPr>
        <w:t>Pocedibilidad</w:t>
      </w:r>
      <w:proofErr w:type="spellEnd"/>
      <w:r w:rsidRPr="00F21F1B">
        <w:rPr>
          <w:rFonts w:ascii="Palatino Linotype" w:hAnsi="Palatino Linotype" w:cs="Arial"/>
          <w:b/>
        </w:rPr>
        <w:t xml:space="preserve"> del Recurso de Revisión.</w:t>
      </w:r>
      <w:r w:rsidRPr="00F21F1B">
        <w:rPr>
          <w:rFonts w:ascii="Palatino Linotype" w:hAnsi="Palatino Linotype" w:cs="Arial"/>
        </w:rPr>
        <w:t xml:space="preserve"> De conformidad con los requisitos y elementos de oportunidad y </w:t>
      </w:r>
      <w:proofErr w:type="spellStart"/>
      <w:r w:rsidRPr="00F21F1B">
        <w:rPr>
          <w:rFonts w:ascii="Palatino Linotype" w:hAnsi="Palatino Linotype" w:cs="Arial"/>
        </w:rPr>
        <w:t>procedibilidad</w:t>
      </w:r>
      <w:proofErr w:type="spellEnd"/>
      <w:r w:rsidRPr="00F21F1B">
        <w:rPr>
          <w:rFonts w:ascii="Palatino Linotype" w:hAnsi="Palatino Linotype" w:cs="Arial"/>
        </w:rPr>
        <w:t xml:space="preserve"> que deben poseer los recursos de revisión interpuestos, advertidos en los artículos 178 y 180 de la Ley de Transparencia y Acceso a la Información Pública del Estado de México y Municipios; en la sustancia del asunto se tiene que el medio de impugnación fue interpuesto dentro del plazo de quince días hábiles, previsto en el artículo 178 párrafo primero, del ordenamiento ya mencionado, toda vez que el </w:t>
      </w:r>
      <w:r w:rsidRPr="00F21F1B">
        <w:rPr>
          <w:rFonts w:ascii="Palatino Linotype" w:hAnsi="Palatino Linotype" w:cs="Arial"/>
          <w:b/>
        </w:rPr>
        <w:t>Sujeto Obligado</w:t>
      </w:r>
      <w:r w:rsidRPr="00F21F1B">
        <w:rPr>
          <w:rFonts w:ascii="Palatino Linotype" w:hAnsi="Palatino Linotype" w:cs="Arial"/>
        </w:rPr>
        <w:t xml:space="preserve"> expresó su respuesta a la solicitud planteada por la parte solicitante, en fecha treinta</w:t>
      </w:r>
      <w:r w:rsidR="00DA4FCE">
        <w:rPr>
          <w:rFonts w:ascii="Palatino Linotype" w:hAnsi="Palatino Linotype" w:cs="Arial"/>
        </w:rPr>
        <w:t xml:space="preserve"> de mayo</w:t>
      </w:r>
      <w:r w:rsidRPr="00F21F1B">
        <w:rPr>
          <w:rFonts w:ascii="Palatino Linotype" w:hAnsi="Palatino Linotype" w:cs="Arial"/>
        </w:rPr>
        <w:t xml:space="preserve"> de dos mil dieciocho y la parte recurrente </w:t>
      </w:r>
      <w:r w:rsidRPr="00F21F1B">
        <w:rPr>
          <w:rFonts w:ascii="Palatino Linotype" w:hAnsi="Palatino Linotype" w:cs="Arial"/>
        </w:rPr>
        <w:lastRenderedPageBreak/>
        <w:t xml:space="preserve">presentó recurso de revisión en fecha </w:t>
      </w:r>
      <w:r w:rsidR="00DA4FCE">
        <w:rPr>
          <w:rFonts w:ascii="Palatino Linotype" w:hAnsi="Palatino Linotype" w:cs="Arial"/>
        </w:rPr>
        <w:t>treinta y uno</w:t>
      </w:r>
      <w:r w:rsidRPr="00F21F1B">
        <w:rPr>
          <w:rFonts w:ascii="Palatino Linotype" w:hAnsi="Palatino Linotype" w:cs="Arial"/>
        </w:rPr>
        <w:t xml:space="preserve"> de mayo del presente, siendo éste al día hábil siguiente a que tuvo conocimiento de la respuesta.</w:t>
      </w:r>
    </w:p>
    <w:p w:rsidR="00530956" w:rsidRDefault="00530956" w:rsidP="00530956">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Por cuanto hace referencia a la </w:t>
      </w:r>
      <w:proofErr w:type="spellStart"/>
      <w:r>
        <w:rPr>
          <w:rFonts w:ascii="Palatino Linotype" w:hAnsi="Palatino Linotype" w:cs="Arial"/>
          <w:lang w:val="es-MX"/>
        </w:rPr>
        <w:t>procedibilidad</w:t>
      </w:r>
      <w:proofErr w:type="spellEnd"/>
      <w:r>
        <w:rPr>
          <w:rFonts w:ascii="Palatino Linotype" w:hAnsi="Palatino Linotype" w:cs="Arial"/>
          <w:lang w:val="es-MX"/>
        </w:rPr>
        <w:t xml:space="preserve"> del recurso de revisión, hecho el análisis del formato de interposición del recurso, viendo los requisitos de fondo y forma, se colige la acreditación plena de todos y cada uno de los elementos exigidos por el artículo 180 de la Ley de Transparencia y Acceso a la Información Pública del Estado de México y Municipios, en atención a que fue presentado mediante el formato visible en </w:t>
      </w:r>
      <w:r>
        <w:rPr>
          <w:rFonts w:ascii="Palatino Linotype" w:hAnsi="Palatino Linotype" w:cs="Arial"/>
          <w:bCs/>
          <w:lang w:val="es-MX"/>
        </w:rPr>
        <w:t>el</w:t>
      </w:r>
      <w:r>
        <w:rPr>
          <w:rFonts w:ascii="Palatino Linotype" w:hAnsi="Palatino Linotype" w:cs="Arial"/>
          <w:lang w:val="es-MX"/>
        </w:rPr>
        <w:t> </w:t>
      </w:r>
      <w:r>
        <w:rPr>
          <w:rFonts w:ascii="Palatino Linotype" w:hAnsi="Palatino Linotype" w:cs="Arial"/>
          <w:b/>
          <w:bCs/>
          <w:lang w:val="es-MX"/>
        </w:rPr>
        <w:t>SAIMEX</w:t>
      </w:r>
      <w:r>
        <w:rPr>
          <w:rFonts w:ascii="Palatino Linotype" w:hAnsi="Palatino Linotype" w:cs="Arial"/>
          <w:lang w:val="es-MX"/>
        </w:rPr>
        <w:t>.</w:t>
      </w:r>
    </w:p>
    <w:p w:rsidR="00530956" w:rsidRDefault="00530956" w:rsidP="00530956">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Por tanto, se advierte que resulta procedente la interposición del recurso, según lo aportado por el recurrente en sus motivos de inconformidad, de acuerdo </w:t>
      </w:r>
      <w:r w:rsidR="00DA4FCE">
        <w:rPr>
          <w:rFonts w:ascii="Palatino Linotype" w:hAnsi="Palatino Linotype" w:cs="Arial"/>
          <w:lang w:val="es-MX"/>
        </w:rPr>
        <w:t>al artículo 179, fracción V</w:t>
      </w:r>
      <w:r>
        <w:rPr>
          <w:rFonts w:ascii="Palatino Linotype" w:hAnsi="Palatino Linotype" w:cs="Arial"/>
          <w:lang w:val="es-MX"/>
        </w:rPr>
        <w:t xml:space="preserve"> del ordenamiento legal citado, que a la letra dice: </w:t>
      </w:r>
    </w:p>
    <w:p w:rsidR="00530956" w:rsidRDefault="00530956" w:rsidP="00530956">
      <w:pPr>
        <w:spacing w:before="100" w:beforeAutospacing="1" w:after="100" w:afterAutospacing="1"/>
        <w:ind w:left="851" w:right="902"/>
        <w:jc w:val="both"/>
        <w:rPr>
          <w:rFonts w:ascii="Palatino Linotype" w:hAnsi="Palatino Linotype" w:cs="Arial"/>
          <w:i/>
          <w:sz w:val="22"/>
          <w:lang w:val="es-MX"/>
        </w:rPr>
      </w:pPr>
      <w:r>
        <w:rPr>
          <w:rFonts w:ascii="Palatino Linotype" w:hAnsi="Palatino Linotype" w:cs="Arial"/>
          <w:bCs/>
          <w:i/>
          <w:iCs/>
          <w:sz w:val="22"/>
          <w:lang w:val="es-MX"/>
        </w:rPr>
        <w:t>“</w:t>
      </w:r>
      <w:r>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p>
    <w:p w:rsidR="00530956" w:rsidRDefault="00530956" w:rsidP="00530956">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Cs/>
          <w:i/>
          <w:iCs/>
          <w:sz w:val="22"/>
          <w:lang w:val="es-MX"/>
        </w:rPr>
        <w:t>(…)</w:t>
      </w:r>
    </w:p>
    <w:p w:rsidR="00530956" w:rsidRPr="00F21F1B" w:rsidRDefault="00DA4FCE" w:rsidP="00530956">
      <w:pPr>
        <w:spacing w:before="100" w:beforeAutospacing="1" w:after="100" w:afterAutospacing="1"/>
        <w:ind w:left="851" w:right="902"/>
        <w:jc w:val="both"/>
        <w:rPr>
          <w:rFonts w:ascii="Palatino Linotype" w:hAnsi="Palatino Linotype" w:cs="Arial"/>
          <w:i/>
          <w:sz w:val="22"/>
          <w:lang w:val="es-MX"/>
        </w:rPr>
      </w:pPr>
      <w:r>
        <w:rPr>
          <w:rFonts w:ascii="Palatino Linotype" w:hAnsi="Palatino Linotype" w:cs="Arial"/>
          <w:b/>
          <w:bCs/>
          <w:i/>
          <w:iCs/>
          <w:sz w:val="22"/>
          <w:lang w:val="es-MX"/>
        </w:rPr>
        <w:t>V</w:t>
      </w:r>
      <w:r w:rsidR="00530956" w:rsidRPr="00F21F1B">
        <w:rPr>
          <w:rFonts w:ascii="Palatino Linotype" w:hAnsi="Palatino Linotype" w:cs="Arial"/>
          <w:b/>
          <w:bCs/>
          <w:i/>
          <w:iCs/>
          <w:sz w:val="22"/>
          <w:lang w:val="es-MX"/>
        </w:rPr>
        <w:t>.</w:t>
      </w:r>
      <w:r>
        <w:rPr>
          <w:rFonts w:ascii="Palatino Linotype" w:hAnsi="Palatino Linotype" w:cs="Arial"/>
          <w:bCs/>
          <w:i/>
          <w:iCs/>
          <w:sz w:val="22"/>
          <w:lang w:val="es-MX"/>
        </w:rPr>
        <w:t xml:space="preserve"> La entrega de información incompleta</w:t>
      </w:r>
      <w:r w:rsidR="00530956">
        <w:rPr>
          <w:rFonts w:ascii="Palatino Linotype" w:hAnsi="Palatino Linotype" w:cs="Arial"/>
          <w:bCs/>
          <w:i/>
          <w:iCs/>
          <w:sz w:val="22"/>
          <w:lang w:val="es-MX"/>
        </w:rPr>
        <w:t>; (…)”</w:t>
      </w:r>
      <w:r w:rsidR="00530956">
        <w:rPr>
          <w:rFonts w:ascii="Palatino Linotype" w:hAnsi="Palatino Linotype" w:cs="Arial"/>
          <w:bCs/>
          <w:i/>
          <w:iCs/>
          <w:sz w:val="22"/>
          <w:vertAlign w:val="superscript"/>
          <w:lang w:val="es-MX"/>
        </w:rPr>
        <w:footnoteReference w:id="1"/>
      </w:r>
      <w:r w:rsidR="00530956">
        <w:rPr>
          <w:rFonts w:ascii="Palatino Linotype" w:hAnsi="Palatino Linotype" w:cs="Arial"/>
          <w:i/>
          <w:sz w:val="22"/>
          <w:lang w:val="es-MX"/>
        </w:rPr>
        <w:t> </w:t>
      </w:r>
    </w:p>
    <w:p w:rsidR="00530956" w:rsidRDefault="00530956" w:rsidP="0053095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Se menciona lo anterior ya que el recurrente en su acto impugnado y motivos de inconformidad menciona que </w:t>
      </w:r>
      <w:r w:rsidR="00DA4FCE">
        <w:rPr>
          <w:rFonts w:ascii="Palatino Linotype" w:hAnsi="Palatino Linotype" w:cs="Arial"/>
        </w:rPr>
        <w:t xml:space="preserve">la información </w:t>
      </w:r>
      <w:r w:rsidR="00023903">
        <w:rPr>
          <w:rFonts w:ascii="Palatino Linotype" w:hAnsi="Palatino Linotype" w:cs="Arial"/>
        </w:rPr>
        <w:t>está</w:t>
      </w:r>
      <w:r w:rsidR="00DA4FCE">
        <w:rPr>
          <w:rFonts w:ascii="Palatino Linotype" w:hAnsi="Palatino Linotype" w:cs="Arial"/>
        </w:rPr>
        <w:t xml:space="preserve"> incompleta, que falta el proceso de cómo llegaron a ocupar la plaza.</w:t>
      </w:r>
    </w:p>
    <w:p w:rsidR="00530956" w:rsidRDefault="00530956" w:rsidP="00530956">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b/>
          <w:lang w:val="es-MX"/>
        </w:rPr>
        <w:lastRenderedPageBreak/>
        <w:t xml:space="preserve">TERCERO. Materia de la Revisión. </w:t>
      </w:r>
      <w:r>
        <w:rPr>
          <w:rFonts w:ascii="Palatino Linotype" w:hAnsi="Palatino Linotype" w:cs="Arial"/>
          <w:lang w:val="es-MX"/>
        </w:rPr>
        <w:t xml:space="preserve">De la revisión a las constancias y documentos que obran en el expediente electrónico se advierte, que el tema sobre el que este Órgano Garante se pronunciará será: </w:t>
      </w:r>
    </w:p>
    <w:p w:rsidR="00530956" w:rsidRDefault="00530956" w:rsidP="00530956">
      <w:pPr>
        <w:numPr>
          <w:ilvl w:val="0"/>
          <w:numId w:val="2"/>
        </w:num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Determinar si la respuesta emitida por el Sujeto Obligado satisface el requerimiento del particular, de lo contrario ordenar la entrega de la información faltante.</w:t>
      </w:r>
    </w:p>
    <w:p w:rsidR="00530956" w:rsidRDefault="00530956" w:rsidP="00530956">
      <w:pPr>
        <w:spacing w:before="100" w:beforeAutospacing="1" w:after="100" w:afterAutospacing="1" w:line="360" w:lineRule="auto"/>
        <w:jc w:val="both"/>
        <w:rPr>
          <w:rFonts w:ascii="Palatino Linotype" w:hAnsi="Palatino Linotype" w:cs="Segoe UI"/>
        </w:rPr>
      </w:pPr>
      <w:r>
        <w:rPr>
          <w:rFonts w:ascii="Palatino Linotype" w:hAnsi="Palatino Linotype"/>
          <w:b/>
        </w:rPr>
        <w:t>CUARTO. Estudio del asunto</w:t>
      </w:r>
      <w:r>
        <w:rPr>
          <w:rFonts w:ascii="Palatino Linotype" w:hAnsi="Palatino Linotype"/>
        </w:rPr>
        <w:t xml:space="preserve">. </w:t>
      </w:r>
      <w:r>
        <w:rPr>
          <w:rFonts w:ascii="Palatino Linotype" w:hAnsi="Palatino Linotype" w:cs="Segoe UI"/>
        </w:rPr>
        <w:t xml:space="preserve">Se hace referencia que la parte recurrente solicitó que el </w:t>
      </w:r>
      <w:r>
        <w:rPr>
          <w:rFonts w:ascii="Palatino Linotype" w:hAnsi="Palatino Linotype" w:cs="Segoe UI"/>
          <w:b/>
        </w:rPr>
        <w:t>Sujeto Obligado</w:t>
      </w:r>
      <w:r>
        <w:rPr>
          <w:rFonts w:ascii="Palatino Linotype" w:hAnsi="Palatino Linotype" w:cs="Segoe UI"/>
        </w:rPr>
        <w:t xml:space="preserve"> le hiciera entrega, de lo siguiente:</w:t>
      </w:r>
    </w:p>
    <w:p w:rsidR="00E47452" w:rsidRDefault="002D0829" w:rsidP="00023903">
      <w:pPr>
        <w:pStyle w:val="Prrafodelista"/>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rPr>
        <w:t>La relación de puestos de secretarias, auxiliares administrativos, técnicos laboratoristas, jefes de oficina, en donde se indique el área de adscripción y proceso de selección.</w:t>
      </w:r>
    </w:p>
    <w:p w:rsidR="00023903" w:rsidRDefault="00023903" w:rsidP="00023903">
      <w:pPr>
        <w:spacing w:before="100" w:beforeAutospacing="1" w:after="100" w:afterAutospacing="1" w:line="360" w:lineRule="auto"/>
        <w:jc w:val="both"/>
        <w:rPr>
          <w:rFonts w:ascii="Palatino Linotype" w:hAnsi="Palatino Linotype" w:cs="Arial"/>
        </w:rPr>
      </w:pPr>
      <w:r w:rsidRPr="00023903">
        <w:rPr>
          <w:rFonts w:ascii="Palatino Linotype" w:hAnsi="Palatino Linotype" w:cs="Arial"/>
        </w:rPr>
        <w:t>Una vez precisado lo anterior es relevante mencionar que derivado del análisis realizado a las constancias que integran el presente recurso de revisión se concluye que las razones o motivos de inconformidad vertidos por el recurrente resultan fundados, en atención a lo siguiente:</w:t>
      </w:r>
    </w:p>
    <w:p w:rsidR="00E97F30" w:rsidRDefault="00E97F30" w:rsidP="00E97F30">
      <w:pPr>
        <w:spacing w:before="240" w:after="240" w:line="360" w:lineRule="auto"/>
        <w:jc w:val="both"/>
        <w:rPr>
          <w:rFonts w:ascii="Palatino Linotype" w:hAnsi="Palatino Linotype"/>
        </w:rPr>
      </w:pPr>
      <w:r>
        <w:rPr>
          <w:rFonts w:ascii="Palatino Linotype" w:hAnsi="Palatino Linotype"/>
        </w:rPr>
        <w:t xml:space="preserve">En primer término, se puntualiza que de los motivos de inconformidad expresados por la recurrente se advierte que únicamente se inconforma respecto al proceso de selección de los servidores públicos, en este sentido, se precisa que </w:t>
      </w:r>
      <w:r>
        <w:rPr>
          <w:rFonts w:ascii="Palatino Linotype" w:hAnsi="Palatino Linotype" w:cs="Arial"/>
        </w:rPr>
        <w:t xml:space="preserve">de lo referido con anterioridad se aprecia que el recurrente no </w:t>
      </w:r>
      <w:r>
        <w:rPr>
          <w:rFonts w:ascii="Palatino Linotype" w:hAnsi="Palatino Linotype"/>
        </w:rPr>
        <w:t xml:space="preserve">señaló motivo de inconformidad alguno para combatir la información relativa a la relación de puestos </w:t>
      </w:r>
      <w:r w:rsidRPr="00E97F30">
        <w:rPr>
          <w:rFonts w:ascii="Palatino Linotype" w:hAnsi="Palatino Linotype"/>
        </w:rPr>
        <w:t xml:space="preserve">de secretarias, </w:t>
      </w:r>
      <w:r w:rsidRPr="00E97F30">
        <w:rPr>
          <w:rFonts w:ascii="Palatino Linotype" w:hAnsi="Palatino Linotype"/>
        </w:rPr>
        <w:lastRenderedPageBreak/>
        <w:t>auxiliares administrativos, técnicos laboratoristas, jefes de oficina, en donde se indique el área de adscripción</w:t>
      </w:r>
      <w:r>
        <w:rPr>
          <w:rFonts w:ascii="Palatino Linotype" w:hAnsi="Palatino Linotype"/>
        </w:rPr>
        <w:t>.</w:t>
      </w:r>
    </w:p>
    <w:p w:rsidR="00E97F30" w:rsidRDefault="00E97F30" w:rsidP="00E97F30">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Por tal motivo el análisis será únicamente sobre </w:t>
      </w:r>
      <w:r w:rsidR="00E54869">
        <w:rPr>
          <w:rFonts w:ascii="Palatino Linotype" w:hAnsi="Palatino Linotype" w:cs="Segoe UI"/>
        </w:rPr>
        <w:t>el punto controvertido, no así por el restante</w:t>
      </w:r>
      <w:r>
        <w:rPr>
          <w:rFonts w:ascii="Palatino Linotype" w:hAnsi="Palatino Linotype" w:cs="Segoe UI"/>
        </w:rPr>
        <w:t xml:space="preserve">; lo anterior es así, debido a que cuando la parte recurrente impugna la respuesta del Sujeto Obligado y no expresa razón o motivo de inconformidad en contra de todos los rubros de la respuesta que pudieran ser un agravio a su derecho, los mismos deben declararse atendidos. </w:t>
      </w:r>
    </w:p>
    <w:p w:rsidR="00E97F30" w:rsidRDefault="00E97F30" w:rsidP="00E97F30">
      <w:pPr>
        <w:spacing w:before="100" w:beforeAutospacing="1" w:after="100" w:afterAutospacing="1" w:line="360" w:lineRule="auto"/>
        <w:jc w:val="both"/>
        <w:rPr>
          <w:rFonts w:ascii="Palatino Linotype" w:hAnsi="Palatino Linotype" w:cs="Segoe UI"/>
        </w:rPr>
      </w:pPr>
      <w:r>
        <w:rPr>
          <w:rFonts w:ascii="Palatino Linotype" w:hAnsi="Palatino Linotype" w:cs="Segoe UI"/>
        </w:rPr>
        <w:t>Sirve de apoyo a lo anterior, por analogía, la Tesis Jurisprudencial Número 3ª./J.7/91, publicada en el Semanario Judicial de la Federación y su Gaceta bajo el número de registro 174,177, que establece lo siguiente:</w:t>
      </w:r>
    </w:p>
    <w:p w:rsidR="00E97F30" w:rsidRDefault="00E97F30" w:rsidP="00E97F30">
      <w:pPr>
        <w:spacing w:before="100" w:beforeAutospacing="1" w:after="100" w:afterAutospacing="1"/>
        <w:ind w:left="851" w:right="902"/>
        <w:jc w:val="both"/>
        <w:rPr>
          <w:rFonts w:ascii="Palatino Linotype" w:hAnsi="Palatino Linotype" w:cs="Segoe UI"/>
          <w:sz w:val="22"/>
        </w:rPr>
      </w:pPr>
      <w:r>
        <w:rPr>
          <w:rFonts w:ascii="Palatino Linotype" w:hAnsi="Palatino Linotype" w:cs="Segoe UI"/>
          <w:sz w:val="22"/>
        </w:rPr>
        <w:t>“</w:t>
      </w:r>
      <w:r>
        <w:rPr>
          <w:rFonts w:ascii="Palatino Linotype" w:hAnsi="Palatino Linotype" w:cs="Segoe UI"/>
          <w:b/>
          <w:bCs/>
          <w:i/>
          <w:iCs/>
          <w:sz w:val="22"/>
        </w:rPr>
        <w:t>REVISIÓN EN AMPARO. LOS RESOLUTIVOS NO COMBATIDOS DEBEN DECLARARSE FIRMES</w:t>
      </w:r>
      <w:r>
        <w:rPr>
          <w:rFonts w:ascii="Palatino Linotype" w:hAnsi="Palatino Linotype" w:cs="Segoe UI"/>
          <w:i/>
          <w:iCs/>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97F30" w:rsidRDefault="00E97F30" w:rsidP="00E97F30">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w:t>
      </w:r>
      <w:r>
        <w:rPr>
          <w:rFonts w:ascii="Palatino Linotype" w:hAnsi="Palatino Linotype" w:cs="Segoe UI"/>
        </w:rPr>
        <w:lastRenderedPageBreak/>
        <w:t>en el Semanario Judicial de la Federación y su Gaceta bajo el número de registro 176,608 que a la letra dice:</w:t>
      </w:r>
    </w:p>
    <w:p w:rsidR="00E97F30" w:rsidRDefault="00E97F30" w:rsidP="00E97F30">
      <w:pPr>
        <w:spacing w:before="100" w:beforeAutospacing="1" w:after="100" w:afterAutospacing="1"/>
        <w:ind w:left="851" w:right="902"/>
        <w:jc w:val="both"/>
        <w:rPr>
          <w:rFonts w:ascii="Palatino Linotype" w:hAnsi="Palatino Linotype" w:cs="Segoe UI"/>
          <w:sz w:val="22"/>
        </w:rPr>
      </w:pPr>
      <w:r>
        <w:rPr>
          <w:rFonts w:ascii="Palatino Linotype" w:hAnsi="Palatino Linotype" w:cs="Segoe UI"/>
          <w:i/>
          <w:iCs/>
          <w:sz w:val="22"/>
        </w:rPr>
        <w:t>“</w:t>
      </w:r>
      <w:r>
        <w:rPr>
          <w:rFonts w:ascii="Palatino Linotype" w:hAnsi="Palatino Linotype" w:cs="Segoe UI"/>
          <w:b/>
          <w:bCs/>
          <w:i/>
          <w:iCs/>
          <w:sz w:val="22"/>
        </w:rPr>
        <w:t>ACTOS CONSENTIDOS. SON LOS QUE NO SE IMPUGNAN MEDIANTE EL RECURSO IDÓNEO</w:t>
      </w:r>
      <w:r>
        <w:rPr>
          <w:rFonts w:ascii="Palatino Linotype" w:hAnsi="Palatino Linotype" w:cs="Segoe UI"/>
          <w:i/>
          <w:iCs/>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97F30" w:rsidRDefault="00E54869" w:rsidP="0002390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Precisado lo anterior, </w:t>
      </w:r>
      <w:r w:rsidR="00DA79B5">
        <w:rPr>
          <w:rFonts w:ascii="Palatino Linotype" w:hAnsi="Palatino Linotype" w:cs="Arial"/>
        </w:rPr>
        <w:t>el presente análisis se realizara en relación al proceso de selección de los servidores públicos referidos en l</w:t>
      </w:r>
      <w:r w:rsidR="00E03E6C">
        <w:rPr>
          <w:rFonts w:ascii="Palatino Linotype" w:hAnsi="Palatino Linotype" w:cs="Arial"/>
        </w:rPr>
        <w:t>a respuesta remitida por parte del Sujeto Obligado.</w:t>
      </w:r>
    </w:p>
    <w:p w:rsidR="00DA79B5" w:rsidRDefault="00DA79B5" w:rsidP="00DA79B5">
      <w:pPr>
        <w:spacing w:before="100" w:beforeAutospacing="1" w:after="100" w:afterAutospacing="1" w:line="360" w:lineRule="auto"/>
        <w:jc w:val="both"/>
        <w:rPr>
          <w:rFonts w:ascii="Palatino Linotype" w:hAnsi="Palatino Linotype" w:cs="Arial"/>
        </w:rPr>
      </w:pPr>
      <w:r>
        <w:rPr>
          <w:rFonts w:ascii="Palatino Linotype" w:hAnsi="Palatino Linotype" w:cs="Arial"/>
        </w:rPr>
        <w:t>Primeramente, es preciso mencionar que son facultades del rector nombrar y remover al personal, como lo establece la fracción IX del artículo 27 del Decreto del Ejecutivo del Estado por el que se crea el Organismo Público Descentralizado de carácter Estatal denominado Universidad Politécnica del Valle de Toluca, de fecha 13 de noviembre de 2006, que establece lo siguiente:</w:t>
      </w:r>
    </w:p>
    <w:p w:rsidR="00DA79B5" w:rsidRPr="001738CC" w:rsidRDefault="00DA79B5" w:rsidP="00DA79B5">
      <w:pPr>
        <w:spacing w:before="100" w:beforeAutospacing="1" w:after="100" w:afterAutospacing="1"/>
        <w:ind w:left="851" w:right="851"/>
        <w:jc w:val="both"/>
        <w:rPr>
          <w:rFonts w:ascii="Palatino Linotype" w:hAnsi="Palatino Linotype" w:cs="Arial"/>
          <w:i/>
          <w:sz w:val="22"/>
        </w:rPr>
      </w:pPr>
      <w:r w:rsidRPr="001738CC">
        <w:rPr>
          <w:rFonts w:ascii="Palatino Linotype" w:hAnsi="Palatino Linotype" w:cs="Arial"/>
          <w:i/>
          <w:sz w:val="22"/>
        </w:rPr>
        <w:t>“Artículo 27.- El Rector de la Universidad Politécnica del Valle de Toluca tendrá las facultades y obligaciones siguientes:</w:t>
      </w:r>
    </w:p>
    <w:p w:rsidR="00DA79B5" w:rsidRPr="001738CC" w:rsidRDefault="00DA79B5" w:rsidP="00DA79B5">
      <w:pPr>
        <w:spacing w:before="100" w:beforeAutospacing="1" w:after="100" w:afterAutospacing="1"/>
        <w:ind w:left="851" w:right="851"/>
        <w:jc w:val="both"/>
        <w:rPr>
          <w:rFonts w:ascii="Palatino Linotype" w:hAnsi="Palatino Linotype" w:cs="Arial"/>
          <w:i/>
          <w:sz w:val="22"/>
        </w:rPr>
      </w:pPr>
      <w:r w:rsidRPr="001738CC">
        <w:rPr>
          <w:rFonts w:ascii="Palatino Linotype" w:hAnsi="Palatino Linotype" w:cs="Arial"/>
          <w:i/>
          <w:sz w:val="22"/>
        </w:rPr>
        <w:t>(…)</w:t>
      </w:r>
    </w:p>
    <w:p w:rsidR="00DA79B5" w:rsidRPr="001738CC" w:rsidRDefault="00DA79B5" w:rsidP="00DA79B5">
      <w:pPr>
        <w:spacing w:before="100" w:beforeAutospacing="1" w:after="100" w:afterAutospacing="1"/>
        <w:ind w:left="851" w:right="851"/>
        <w:jc w:val="both"/>
        <w:rPr>
          <w:rFonts w:ascii="Palatino Linotype" w:hAnsi="Palatino Linotype" w:cs="Arial"/>
          <w:i/>
          <w:sz w:val="22"/>
        </w:rPr>
      </w:pPr>
      <w:r w:rsidRPr="001738CC">
        <w:rPr>
          <w:rFonts w:ascii="Palatino Linotype" w:hAnsi="Palatino Linotype" w:cs="Arial"/>
          <w:i/>
          <w:sz w:val="22"/>
        </w:rPr>
        <w:t>IX. Nombrar y remover al personal de la Universidad cuyo nombramiento o remoción no este determinado de otra manera (…)”</w:t>
      </w:r>
    </w:p>
    <w:p w:rsidR="00DA79B5" w:rsidRDefault="00DA79B5" w:rsidP="00DA79B5">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Como se puede visualizar, del precepto invocado anteriormente, menciona que el rector puede nombrar y remover al personal, para el caso concreto, se entiende que el rector puede designar al personal dentro de la Universidad.</w:t>
      </w:r>
    </w:p>
    <w:p w:rsidR="00DA79B5" w:rsidRDefault="00DA79B5" w:rsidP="00DA79B5">
      <w:pPr>
        <w:spacing w:before="100" w:beforeAutospacing="1" w:after="100" w:afterAutospacing="1" w:line="360" w:lineRule="auto"/>
        <w:jc w:val="both"/>
        <w:rPr>
          <w:rFonts w:ascii="Palatino Linotype" w:hAnsi="Palatino Linotype" w:cs="Arial"/>
        </w:rPr>
      </w:pPr>
      <w:r>
        <w:rPr>
          <w:rFonts w:ascii="Palatino Linotype" w:hAnsi="Palatino Linotype" w:cs="Arial"/>
        </w:rPr>
        <w:t>Ahora, ante tal situación, este Órgano Garante se dio a la tarea de investigar la naturaleza de los cargos de los servidores públicos de quienes se solicitó información, encontrando que dentro de la Universidad existen cinco tipos de personal, entre los que se encuentran, el de confianza, académico, técnico de apoyo y de servicios administrativos, lo anterior está establecido en el artículo 35 del  Decreto de creación ya referido en líneas que anteceden, que reza de la siguiente manera:</w:t>
      </w:r>
    </w:p>
    <w:p w:rsidR="00DA79B5" w:rsidRPr="005169B2" w:rsidRDefault="00DA79B5" w:rsidP="00DA79B5">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5169B2">
        <w:rPr>
          <w:rFonts w:ascii="Palatino Linotype" w:hAnsi="Palatino Linotype" w:cs="Arial"/>
          <w:i/>
          <w:sz w:val="22"/>
        </w:rPr>
        <w:t>Artículo 35.- Para el cumplimiento de su objetivo la Universidad contará con el siguiente personal:</w:t>
      </w:r>
    </w:p>
    <w:p w:rsidR="00DA79B5" w:rsidRPr="005169B2" w:rsidRDefault="00DA79B5" w:rsidP="00DA79B5">
      <w:pPr>
        <w:spacing w:before="100" w:beforeAutospacing="1" w:after="100" w:afterAutospacing="1"/>
        <w:ind w:left="851" w:right="851"/>
        <w:jc w:val="both"/>
        <w:rPr>
          <w:rFonts w:ascii="Palatino Linotype" w:hAnsi="Palatino Linotype" w:cs="Arial"/>
          <w:i/>
          <w:sz w:val="22"/>
        </w:rPr>
      </w:pPr>
      <w:r w:rsidRPr="005169B2">
        <w:rPr>
          <w:rFonts w:ascii="Palatino Linotype" w:hAnsi="Palatino Linotype" w:cs="Arial"/>
          <w:i/>
          <w:sz w:val="22"/>
        </w:rPr>
        <w:t>I. Confianza</w:t>
      </w:r>
    </w:p>
    <w:p w:rsidR="00DA79B5" w:rsidRPr="005169B2" w:rsidRDefault="00DA79B5" w:rsidP="00DA79B5">
      <w:pPr>
        <w:spacing w:before="100" w:beforeAutospacing="1" w:after="100" w:afterAutospacing="1"/>
        <w:ind w:left="851" w:right="851"/>
        <w:jc w:val="both"/>
        <w:rPr>
          <w:rFonts w:ascii="Palatino Linotype" w:hAnsi="Palatino Linotype" w:cs="Arial"/>
          <w:i/>
          <w:sz w:val="22"/>
        </w:rPr>
      </w:pPr>
      <w:r w:rsidRPr="005169B2">
        <w:rPr>
          <w:rFonts w:ascii="Palatino Linotype" w:hAnsi="Palatino Linotype" w:cs="Arial"/>
          <w:i/>
          <w:sz w:val="22"/>
        </w:rPr>
        <w:t>II. Académico</w:t>
      </w:r>
    </w:p>
    <w:p w:rsidR="00DA79B5" w:rsidRPr="005169B2" w:rsidRDefault="00DA79B5" w:rsidP="00DA79B5">
      <w:pPr>
        <w:spacing w:before="100" w:beforeAutospacing="1" w:after="100" w:afterAutospacing="1"/>
        <w:ind w:left="851" w:right="851"/>
        <w:jc w:val="both"/>
        <w:rPr>
          <w:rFonts w:ascii="Palatino Linotype" w:hAnsi="Palatino Linotype" w:cs="Arial"/>
          <w:i/>
          <w:sz w:val="22"/>
        </w:rPr>
      </w:pPr>
      <w:r w:rsidRPr="005169B2">
        <w:rPr>
          <w:rFonts w:ascii="Palatino Linotype" w:hAnsi="Palatino Linotype" w:cs="Arial"/>
          <w:i/>
          <w:sz w:val="22"/>
        </w:rPr>
        <w:t xml:space="preserve">III. Técnico de apoyo; y </w:t>
      </w:r>
    </w:p>
    <w:p w:rsidR="00DA79B5" w:rsidRPr="005169B2" w:rsidRDefault="00DA79B5" w:rsidP="00DA79B5">
      <w:pPr>
        <w:spacing w:before="100" w:beforeAutospacing="1" w:after="100" w:afterAutospacing="1"/>
        <w:ind w:left="851" w:right="851"/>
        <w:jc w:val="both"/>
        <w:rPr>
          <w:rFonts w:ascii="Palatino Linotype" w:hAnsi="Palatino Linotype" w:cs="Arial"/>
          <w:i/>
          <w:sz w:val="22"/>
        </w:rPr>
      </w:pPr>
      <w:r w:rsidRPr="005169B2">
        <w:rPr>
          <w:rFonts w:ascii="Palatino Linotype" w:hAnsi="Palatino Linotype" w:cs="Arial"/>
          <w:i/>
          <w:sz w:val="22"/>
        </w:rPr>
        <w:t>IV. De servicios administrativos</w:t>
      </w:r>
      <w:r>
        <w:rPr>
          <w:rFonts w:ascii="Palatino Linotype" w:hAnsi="Palatino Linotype" w:cs="Arial"/>
          <w:i/>
          <w:sz w:val="22"/>
        </w:rPr>
        <w:t>”</w:t>
      </w:r>
    </w:p>
    <w:p w:rsidR="00DA79B5" w:rsidRDefault="00DA79B5" w:rsidP="00DA79B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Una vez analizado lo anterior, se llega a la conclusión de que los servidores públicos </w:t>
      </w:r>
      <w:r w:rsidR="00FB069A">
        <w:rPr>
          <w:rFonts w:ascii="Palatino Linotype" w:hAnsi="Palatino Linotype" w:cs="Arial"/>
        </w:rPr>
        <w:t>de los que se entregó información,</w:t>
      </w:r>
      <w:r>
        <w:rPr>
          <w:rFonts w:ascii="Palatino Linotype" w:hAnsi="Palatino Linotype" w:cs="Arial"/>
        </w:rPr>
        <w:t xml:space="preserve"> desempeñan funciones de personal administrativo y técnico de apoyo, para lo cual se deben realizar procedimientos para ingresar a la Universidad y así comprobar la capacidad y aptitud para desempeñar el cargo, lo anterior lo establece el artículo 37 y 38 del multicitado Decreto de creación de la Universidad que a la letra dice:</w:t>
      </w:r>
    </w:p>
    <w:p w:rsidR="00DA79B5" w:rsidRDefault="00DA79B5" w:rsidP="00DA79B5">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lastRenderedPageBreak/>
        <w:t>“Articulo 37.- El personal técnico de apoyo será el contratado para realizar funciones que faciliten y complementen directamente el desarrollo de las labores académicas”</w:t>
      </w:r>
    </w:p>
    <w:p w:rsidR="00DA79B5" w:rsidRPr="00B9666F" w:rsidRDefault="00DA79B5" w:rsidP="00DA79B5">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“Artículo 38</w:t>
      </w:r>
      <w:r w:rsidRPr="00B9666F">
        <w:rPr>
          <w:rFonts w:ascii="Palatino Linotype" w:hAnsi="Palatino Linotype" w:cs="Arial"/>
          <w:i/>
          <w:sz w:val="22"/>
        </w:rPr>
        <w:t xml:space="preserve">.- El personal </w:t>
      </w:r>
      <w:r>
        <w:rPr>
          <w:rFonts w:ascii="Palatino Linotype" w:hAnsi="Palatino Linotype" w:cs="Arial"/>
          <w:i/>
          <w:sz w:val="22"/>
        </w:rPr>
        <w:t>de servicios administrativos será el contratado para realizar labores distintas a las del personal académico y técnico de apoyo</w:t>
      </w:r>
      <w:r w:rsidRPr="00B9666F">
        <w:rPr>
          <w:rFonts w:ascii="Palatino Linotype" w:hAnsi="Palatino Linotype" w:cs="Arial"/>
          <w:i/>
          <w:sz w:val="22"/>
        </w:rPr>
        <w:t>.”</w:t>
      </w:r>
    </w:p>
    <w:p w:rsidR="00E03E6C" w:rsidRDefault="00DA79B5" w:rsidP="00DA79B5">
      <w:pPr>
        <w:spacing w:before="240" w:after="240" w:line="360" w:lineRule="auto"/>
        <w:jc w:val="both"/>
        <w:rPr>
          <w:rFonts w:ascii="Palatino Linotype" w:hAnsi="Palatino Linotype" w:cs="Arial"/>
        </w:rPr>
      </w:pPr>
      <w:r>
        <w:rPr>
          <w:rFonts w:ascii="Palatino Linotype" w:hAnsi="Palatino Linotype" w:cs="Arial"/>
        </w:rPr>
        <w:t>Entonces el</w:t>
      </w:r>
      <w:r w:rsidRPr="00575037">
        <w:rPr>
          <w:rFonts w:ascii="Palatino Linotype" w:hAnsi="Palatino Linotype" w:cs="Arial"/>
        </w:rPr>
        <w:t xml:space="preserve"> proceso de ingreso</w:t>
      </w:r>
      <w:r>
        <w:rPr>
          <w:rFonts w:ascii="Palatino Linotype" w:hAnsi="Palatino Linotype" w:cs="Arial"/>
        </w:rPr>
        <w:t xml:space="preserve"> y selección</w:t>
      </w:r>
      <w:r w:rsidRPr="00575037">
        <w:rPr>
          <w:rFonts w:ascii="Palatino Linotype" w:hAnsi="Palatino Linotype" w:cs="Arial"/>
        </w:rPr>
        <w:t>, que ha</w:t>
      </w:r>
      <w:r>
        <w:rPr>
          <w:rFonts w:ascii="Palatino Linotype" w:hAnsi="Palatino Linotype" w:cs="Arial"/>
        </w:rPr>
        <w:t>n</w:t>
      </w:r>
      <w:r w:rsidRPr="00575037">
        <w:rPr>
          <w:rFonts w:ascii="Palatino Linotype" w:hAnsi="Palatino Linotype" w:cs="Arial"/>
        </w:rPr>
        <w:t xml:space="preserve"> tenido </w:t>
      </w:r>
      <w:r>
        <w:rPr>
          <w:rFonts w:ascii="Palatino Linotype" w:hAnsi="Palatino Linotype" w:cs="Arial"/>
        </w:rPr>
        <w:t>los servidores públicos referidos</w:t>
      </w:r>
      <w:r w:rsidRPr="00575037">
        <w:rPr>
          <w:rFonts w:ascii="Palatino Linotype" w:hAnsi="Palatino Linotype" w:cs="Arial"/>
        </w:rPr>
        <w:t xml:space="preserve"> para ocupar el </w:t>
      </w:r>
      <w:r>
        <w:rPr>
          <w:rFonts w:ascii="Palatino Linotype" w:hAnsi="Palatino Linotype" w:cs="Arial"/>
        </w:rPr>
        <w:t>cargo que actualmente desempeñan</w:t>
      </w:r>
      <w:r w:rsidRPr="00575037">
        <w:rPr>
          <w:rFonts w:ascii="Palatino Linotype" w:hAnsi="Palatino Linotype" w:cs="Arial"/>
        </w:rPr>
        <w:t>, si bien es cierto que el ingreso se acredita a través de los nombr</w:t>
      </w:r>
      <w:r w:rsidR="00E03E6C">
        <w:rPr>
          <w:rFonts w:ascii="Palatino Linotype" w:hAnsi="Palatino Linotype" w:cs="Arial"/>
        </w:rPr>
        <w:t>amientos y/o contratos</w:t>
      </w:r>
      <w:r w:rsidRPr="00575037">
        <w:rPr>
          <w:rFonts w:ascii="Palatino Linotype" w:hAnsi="Palatino Linotype" w:cs="Arial"/>
        </w:rPr>
        <w:t>, lo cierto es que esos documentos sólo evidencian la etapa final del proceso que corresponde al ingreso, es decir</w:t>
      </w:r>
      <w:r>
        <w:rPr>
          <w:rFonts w:ascii="Palatino Linotype" w:hAnsi="Palatino Linotype" w:cs="Arial"/>
        </w:rPr>
        <w:t>,</w:t>
      </w:r>
      <w:r w:rsidRPr="00575037">
        <w:rPr>
          <w:rFonts w:ascii="Palatino Linotype" w:hAnsi="Palatino Linotype" w:cs="Arial"/>
        </w:rPr>
        <w:t xml:space="preserve"> no se puede advertir el procedimiento de contratación o selección al que se sometieron pa</w:t>
      </w:r>
      <w:r w:rsidR="00E03E6C">
        <w:rPr>
          <w:rFonts w:ascii="Palatino Linotype" w:hAnsi="Palatino Linotype" w:cs="Arial"/>
        </w:rPr>
        <w:t>ra finalmente obtener el cargo.</w:t>
      </w:r>
    </w:p>
    <w:p w:rsidR="00DA79B5" w:rsidRDefault="00DA79B5" w:rsidP="00DA79B5">
      <w:pPr>
        <w:spacing w:before="240" w:after="240" w:line="360" w:lineRule="auto"/>
        <w:jc w:val="both"/>
        <w:rPr>
          <w:rFonts w:ascii="Palatino Linotype" w:hAnsi="Palatino Linotype" w:cs="Arial"/>
        </w:rPr>
      </w:pPr>
      <w:r w:rsidRPr="00575037">
        <w:rPr>
          <w:rFonts w:ascii="Palatino Linotype" w:hAnsi="Palatino Linotype" w:cs="Arial"/>
        </w:rPr>
        <w:t>Al respecto cabe señalar, que el Manual General de Organización del Sujeto Obligado menciona que el Departamento de Recursos Humamos y Materiales tiene como objetivo realizar las acciones de selección, ingreso, contratación, introducción, integración, registro, control, capacitación y desarrollo del personal adscrito a la Universidad y entre sus funciones tiene que llevar el registro y control de los nombramientos, asensos, licencias, altas, contrataciones, bajas, entre otras del personal como se observa a continuación:</w:t>
      </w:r>
    </w:p>
    <w:p w:rsidR="00DA79B5" w:rsidRPr="00575037" w:rsidRDefault="00FB069A" w:rsidP="00DA79B5">
      <w:pPr>
        <w:spacing w:before="240" w:after="240" w:line="360" w:lineRule="auto"/>
        <w:jc w:val="both"/>
        <w:rPr>
          <w:rFonts w:ascii="Palatino Linotype" w:hAnsi="Palatino Linotype" w:cs="Arial"/>
        </w:rPr>
      </w:pPr>
      <w:r>
        <w:rPr>
          <w:rFonts w:ascii="Palatino Linotype" w:hAnsi="Palatino Linotype" w:cs="Arial"/>
        </w:rPr>
        <w:t>----------------------------------------------------------------------------------------------------------------------------------------------------------------------------------------------------------------------------------------------------------------------------------------------------------------------------------------------------------------------------------------------------------------------------------------------------------------------------------------------------------------------------------------------------------------------</w:t>
      </w:r>
    </w:p>
    <w:p w:rsidR="00DA79B5" w:rsidRPr="00575037" w:rsidRDefault="00DA79B5" w:rsidP="00DA79B5">
      <w:pPr>
        <w:spacing w:before="240" w:after="240" w:line="360" w:lineRule="auto"/>
        <w:jc w:val="both"/>
        <w:rPr>
          <w:rFonts w:ascii="Palatino Linotype" w:hAnsi="Palatino Linotype" w:cs="Arial"/>
        </w:rPr>
      </w:pPr>
      <w:r w:rsidRPr="00575037">
        <w:rPr>
          <w:rFonts w:ascii="Palatino Linotype" w:hAnsi="Palatino Linotype" w:cs="Arial"/>
          <w:noProof/>
          <w:lang w:val="es-MX" w:eastAsia="es-MX"/>
        </w:rPr>
        <w:lastRenderedPageBreak/>
        <w:drawing>
          <wp:anchor distT="0" distB="0" distL="114300" distR="114300" simplePos="0" relativeHeight="251659264" behindDoc="1" locked="0" layoutInCell="1" allowOverlap="1" wp14:anchorId="56BC0423" wp14:editId="05F792C7">
            <wp:simplePos x="0" y="0"/>
            <wp:positionH relativeFrom="margin">
              <wp:posOffset>-226695</wp:posOffset>
            </wp:positionH>
            <wp:positionV relativeFrom="paragraph">
              <wp:posOffset>162560</wp:posOffset>
            </wp:positionV>
            <wp:extent cx="5657850" cy="28289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491.png"/>
                    <pic:cNvPicPr/>
                  </pic:nvPicPr>
                  <pic:blipFill>
                    <a:blip r:embed="rId7">
                      <a:extLst>
                        <a:ext uri="{28A0092B-C50C-407E-A947-70E740481C1C}">
                          <a14:useLocalDpi xmlns:a14="http://schemas.microsoft.com/office/drawing/2010/main" val="0"/>
                        </a:ext>
                      </a:extLst>
                    </a:blip>
                    <a:stretch>
                      <a:fillRect/>
                    </a:stretch>
                  </pic:blipFill>
                  <pic:spPr>
                    <a:xfrm>
                      <a:off x="0" y="0"/>
                      <a:ext cx="5657850" cy="2828925"/>
                    </a:xfrm>
                    <a:prstGeom prst="rect">
                      <a:avLst/>
                    </a:prstGeom>
                  </pic:spPr>
                </pic:pic>
              </a:graphicData>
            </a:graphic>
            <wp14:sizeRelH relativeFrom="margin">
              <wp14:pctWidth>0</wp14:pctWidth>
            </wp14:sizeRelH>
            <wp14:sizeRelV relativeFrom="margin">
              <wp14:pctHeight>0</wp14:pctHeight>
            </wp14:sizeRelV>
          </wp:anchor>
        </w:drawing>
      </w:r>
    </w:p>
    <w:p w:rsidR="00DA79B5" w:rsidRPr="00575037" w:rsidRDefault="00DA79B5" w:rsidP="00DA79B5">
      <w:pPr>
        <w:spacing w:before="240" w:after="240" w:line="360" w:lineRule="auto"/>
        <w:jc w:val="both"/>
        <w:rPr>
          <w:rFonts w:ascii="Palatino Linotype" w:hAnsi="Palatino Linotype" w:cs="Arial"/>
        </w:rPr>
      </w:pPr>
    </w:p>
    <w:p w:rsidR="00DA79B5" w:rsidRPr="00575037" w:rsidRDefault="00DA79B5" w:rsidP="00DA79B5">
      <w:pPr>
        <w:spacing w:before="240" w:after="240" w:line="360" w:lineRule="auto"/>
        <w:jc w:val="both"/>
        <w:rPr>
          <w:rFonts w:ascii="Palatino Linotype" w:hAnsi="Palatino Linotype" w:cs="Arial"/>
        </w:rPr>
      </w:pPr>
    </w:p>
    <w:p w:rsidR="00DA79B5" w:rsidRPr="00575037" w:rsidRDefault="00DA79B5" w:rsidP="00DA79B5">
      <w:pPr>
        <w:spacing w:before="240" w:after="240" w:line="360" w:lineRule="auto"/>
        <w:jc w:val="both"/>
        <w:rPr>
          <w:rFonts w:ascii="Palatino Linotype" w:hAnsi="Palatino Linotype" w:cs="Arial"/>
        </w:rPr>
      </w:pPr>
    </w:p>
    <w:p w:rsidR="00FB069A" w:rsidRDefault="00FB069A" w:rsidP="00DA79B5">
      <w:pPr>
        <w:spacing w:before="100" w:beforeAutospacing="1" w:after="100" w:afterAutospacing="1" w:line="360" w:lineRule="auto"/>
        <w:jc w:val="both"/>
        <w:rPr>
          <w:rFonts w:ascii="Palatino Linotype" w:hAnsi="Palatino Linotype" w:cs="Arial"/>
        </w:rPr>
      </w:pPr>
    </w:p>
    <w:p w:rsidR="00FB069A" w:rsidRDefault="00FB069A" w:rsidP="00DA79B5">
      <w:pPr>
        <w:spacing w:before="100" w:beforeAutospacing="1" w:after="100" w:afterAutospacing="1" w:line="360" w:lineRule="auto"/>
        <w:jc w:val="both"/>
        <w:rPr>
          <w:rFonts w:ascii="Palatino Linotype" w:hAnsi="Palatino Linotype" w:cs="Arial"/>
        </w:rPr>
      </w:pPr>
    </w:p>
    <w:p w:rsidR="00FB069A" w:rsidRDefault="00FB069A" w:rsidP="00DA79B5">
      <w:pPr>
        <w:spacing w:before="100" w:beforeAutospacing="1" w:after="100" w:afterAutospacing="1" w:line="360" w:lineRule="auto"/>
        <w:jc w:val="both"/>
        <w:rPr>
          <w:rFonts w:ascii="Palatino Linotype" w:hAnsi="Palatino Linotype" w:cs="Arial"/>
        </w:rPr>
      </w:pPr>
    </w:p>
    <w:p w:rsidR="00DA79B5" w:rsidRDefault="00E03E6C" w:rsidP="00DA79B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Del precepto jurídico anteriormente señalado se </w:t>
      </w:r>
      <w:r w:rsidR="00FB069A">
        <w:rPr>
          <w:rFonts w:ascii="Palatino Linotype" w:hAnsi="Palatino Linotype" w:cs="Arial"/>
        </w:rPr>
        <w:t>desprende</w:t>
      </w:r>
      <w:r>
        <w:rPr>
          <w:rFonts w:ascii="Palatino Linotype" w:hAnsi="Palatino Linotype" w:cs="Arial"/>
        </w:rPr>
        <w:t xml:space="preserve"> que el Departamento de Recursos Humanos y Materiales, es el encargado de realizar los proceso de selección del personal que ingresa a laborar a la Universidad y </w:t>
      </w:r>
      <w:r w:rsidR="00DA79B5">
        <w:rPr>
          <w:rFonts w:ascii="Palatino Linotype" w:hAnsi="Palatino Linotype" w:cs="Arial"/>
        </w:rPr>
        <w:t>es su obligación documentar todo tipo de actos que ejecute, como lo establece el artículo 18 de la Ley de la materia, que reza de la siguiente manera:</w:t>
      </w:r>
    </w:p>
    <w:p w:rsidR="00DA79B5" w:rsidRPr="00FA7979" w:rsidRDefault="00DA79B5" w:rsidP="00DA79B5">
      <w:pPr>
        <w:spacing w:before="100" w:beforeAutospacing="1" w:after="100" w:afterAutospacing="1"/>
        <w:ind w:left="851" w:right="851"/>
        <w:jc w:val="both"/>
        <w:rPr>
          <w:rFonts w:ascii="Palatino Linotype" w:hAnsi="Palatino Linotype" w:cs="Arial"/>
          <w:i/>
          <w:sz w:val="22"/>
        </w:rPr>
      </w:pPr>
      <w:r w:rsidRPr="00FA7979">
        <w:rPr>
          <w:rFonts w:ascii="Palatino Linotype" w:hAnsi="Palatino Linotype" w:cs="Arial"/>
          <w:i/>
          <w:sz w:val="22"/>
        </w:rPr>
        <w:t>“Artículo 18. Los sujetos obligados deberán documentar todo acto que derive del ejercicio de sus facultades, competencias o funciones, considerando desde su origen la eventual publicidad y reutilización de la información que generen.”</w:t>
      </w:r>
    </w:p>
    <w:p w:rsidR="00DA79B5" w:rsidRDefault="00DA79B5" w:rsidP="00DA79B5">
      <w:pPr>
        <w:spacing w:before="100" w:beforeAutospacing="1" w:after="100" w:afterAutospacing="1" w:line="360" w:lineRule="auto"/>
        <w:jc w:val="both"/>
        <w:rPr>
          <w:rFonts w:ascii="Palatino Linotype" w:eastAsia="Times New Roman" w:hAnsi="Palatino Linotype"/>
        </w:rPr>
      </w:pPr>
      <w:r>
        <w:rPr>
          <w:rFonts w:ascii="Palatino Linotype" w:eastAsia="Times New Roman" w:hAnsi="Palatino Linotype"/>
        </w:rPr>
        <w:t xml:space="preserve">Es decir, aquellos procedimientos interiores, </w:t>
      </w:r>
      <w:r w:rsidR="00E03E6C">
        <w:rPr>
          <w:rFonts w:ascii="Palatino Linotype" w:eastAsia="Times New Roman" w:hAnsi="Palatino Linotype"/>
        </w:rPr>
        <w:t>para el ingreso y selección</w:t>
      </w:r>
      <w:r>
        <w:rPr>
          <w:rFonts w:ascii="Palatino Linotype" w:eastAsia="Times New Roman" w:hAnsi="Palatino Linotype"/>
        </w:rPr>
        <w:t xml:space="preserve"> del servidor público, que realice la Universidad deben ser documentados y demostrados, ya que, como se ha mencionado son actos de autoridad que deben ser transparentados.</w:t>
      </w:r>
    </w:p>
    <w:p w:rsidR="00DA79B5" w:rsidRPr="00DA79B5" w:rsidRDefault="00DA79B5" w:rsidP="00023903">
      <w:pPr>
        <w:spacing w:before="100" w:beforeAutospacing="1" w:after="100" w:afterAutospacing="1" w:line="360" w:lineRule="auto"/>
        <w:jc w:val="both"/>
        <w:rPr>
          <w:rFonts w:ascii="Palatino Linotype" w:eastAsia="Times New Roman" w:hAnsi="Palatino Linotype"/>
        </w:rPr>
      </w:pPr>
      <w:r>
        <w:rPr>
          <w:rFonts w:ascii="Palatino Linotype" w:eastAsia="Times New Roman" w:hAnsi="Palatino Linotype"/>
        </w:rPr>
        <w:lastRenderedPageBreak/>
        <w:t>De la totalidad del análisis anterior este Instituto, estima pertinente ordenar el documento do</w:t>
      </w:r>
      <w:r w:rsidR="00E03E6C">
        <w:rPr>
          <w:rFonts w:ascii="Palatino Linotype" w:eastAsia="Times New Roman" w:hAnsi="Palatino Linotype"/>
        </w:rPr>
        <w:t>nde conste el proceso de selección,</w:t>
      </w:r>
      <w:r>
        <w:rPr>
          <w:rFonts w:ascii="Palatino Linotype" w:eastAsia="Times New Roman" w:hAnsi="Palatino Linotype"/>
        </w:rPr>
        <w:t xml:space="preserve"> de</w:t>
      </w:r>
      <w:r w:rsidR="00E03E6C">
        <w:rPr>
          <w:rFonts w:ascii="Palatino Linotype" w:eastAsia="Times New Roman" w:hAnsi="Palatino Linotype"/>
        </w:rPr>
        <w:t xml:space="preserve"> </w:t>
      </w:r>
      <w:r>
        <w:rPr>
          <w:rFonts w:ascii="Palatino Linotype" w:eastAsia="Times New Roman" w:hAnsi="Palatino Linotype"/>
        </w:rPr>
        <w:t>l</w:t>
      </w:r>
      <w:r w:rsidR="00E03E6C">
        <w:rPr>
          <w:rFonts w:ascii="Palatino Linotype" w:eastAsia="Times New Roman" w:hAnsi="Palatino Linotype"/>
        </w:rPr>
        <w:t>os</w:t>
      </w:r>
      <w:r>
        <w:rPr>
          <w:rFonts w:ascii="Palatino Linotype" w:eastAsia="Times New Roman" w:hAnsi="Palatino Linotype"/>
        </w:rPr>
        <w:t xml:space="preserve"> servidor</w:t>
      </w:r>
      <w:r w:rsidR="00E03E6C">
        <w:rPr>
          <w:rFonts w:ascii="Palatino Linotype" w:eastAsia="Times New Roman" w:hAnsi="Palatino Linotype"/>
        </w:rPr>
        <w:t>es</w:t>
      </w:r>
      <w:r>
        <w:rPr>
          <w:rFonts w:ascii="Palatino Linotype" w:eastAsia="Times New Roman" w:hAnsi="Palatino Linotype"/>
        </w:rPr>
        <w:t xml:space="preserve"> público</w:t>
      </w:r>
      <w:r w:rsidR="00E03E6C">
        <w:rPr>
          <w:rFonts w:ascii="Palatino Linotype" w:eastAsia="Times New Roman" w:hAnsi="Palatino Linotype"/>
        </w:rPr>
        <w:t>s</w:t>
      </w:r>
      <w:r>
        <w:rPr>
          <w:rFonts w:ascii="Palatino Linotype" w:eastAsia="Times New Roman" w:hAnsi="Palatino Linotype"/>
        </w:rPr>
        <w:t xml:space="preserve"> referido</w:t>
      </w:r>
      <w:r w:rsidR="00E03E6C">
        <w:rPr>
          <w:rFonts w:ascii="Palatino Linotype" w:eastAsia="Times New Roman" w:hAnsi="Palatino Linotype"/>
        </w:rPr>
        <w:t>s</w:t>
      </w:r>
      <w:r>
        <w:rPr>
          <w:rFonts w:ascii="Palatino Linotype" w:eastAsia="Times New Roman" w:hAnsi="Palatino Linotype"/>
        </w:rPr>
        <w:t xml:space="preserve"> </w:t>
      </w:r>
      <w:r w:rsidR="00E03E6C">
        <w:rPr>
          <w:rFonts w:ascii="Palatino Linotype" w:eastAsia="Times New Roman" w:hAnsi="Palatino Linotype"/>
        </w:rPr>
        <w:t>en la solicitud de información.</w:t>
      </w:r>
    </w:p>
    <w:p w:rsidR="00023903" w:rsidRPr="006E7342" w:rsidRDefault="00023903" w:rsidP="00023903">
      <w:pPr>
        <w:spacing w:before="100" w:beforeAutospacing="1" w:after="100" w:afterAutospacing="1" w:line="360" w:lineRule="auto"/>
        <w:jc w:val="both"/>
      </w:pPr>
      <w:r>
        <w:rPr>
          <w:rFonts w:ascii="Palatino Linotype" w:eastAsia="Times New Roman" w:hAnsi="Palatino Linotype"/>
          <w:b/>
        </w:rPr>
        <w:t xml:space="preserve">QUINTO. Versión Pública. </w:t>
      </w:r>
      <w:r>
        <w:rPr>
          <w:rFonts w:ascii="Palatino Linotype" w:eastAsia="Times New Roman" w:hAnsi="Palatino Linotype"/>
        </w:rPr>
        <w:t xml:space="preserve">Finalmente para la entrega de los documentos en los que obre la información que se ordena; en razón de que el derecho de acceso a la información pública no es absoluto, </w:t>
      </w:r>
      <w:r>
        <w:rPr>
          <w:rFonts w:ascii="Palatino Linotype" w:eastAsia="Times New Roman" w:hAnsi="Palatino Linotype" w:cs="Arial"/>
        </w:rPr>
        <w:t xml:space="preserve">sino que encuentra como excepciones que la información sobre la cual se peticiona el acceso, sea o contenga datos que deban ser clasificados en los términos que la misma Ley de la Materia señala, el </w:t>
      </w:r>
      <w:r>
        <w:rPr>
          <w:rFonts w:ascii="Palatino Linotype" w:eastAsia="Times New Roman" w:hAnsi="Palatino Linotype" w:cs="Arial"/>
          <w:b/>
        </w:rPr>
        <w:t xml:space="preserve">Sujeto Obligado </w:t>
      </w:r>
      <w:r>
        <w:rPr>
          <w:rFonts w:ascii="Palatino Linotype" w:eastAsia="Times New Roman" w:hAnsi="Palatino Linotype"/>
        </w:rPr>
        <w:t xml:space="preserve">tendrá que hacer la elaboración de una versión pública de los mismos, a fin de satisfacer el derecho de acceso a la información pública de la recurrente sin menoscabar el derecho a la protección de los datos personales de terceros, como el mismo </w:t>
      </w:r>
      <w:r>
        <w:rPr>
          <w:rFonts w:ascii="Palatino Linotype" w:eastAsia="Times New Roman" w:hAnsi="Palatino Linotype"/>
          <w:b/>
        </w:rPr>
        <w:t>Sujeto Obligado</w:t>
      </w:r>
      <w:r>
        <w:rPr>
          <w:rFonts w:ascii="Palatino Linotype" w:eastAsia="Times New Roman" w:hAnsi="Palatino Linotype"/>
        </w:rPr>
        <w:t xml:space="preserve"> lo ha mencionado, tendrá que tener cautela, ya que se maneja información; presupuestal, patrimonial, de obra pública y de nómina.</w:t>
      </w:r>
    </w:p>
    <w:p w:rsidR="00023903" w:rsidRDefault="00023903" w:rsidP="00023903">
      <w:pPr>
        <w:autoSpaceDE w:val="0"/>
        <w:autoSpaceDN w:val="0"/>
        <w:adjustRightInd w:val="0"/>
        <w:spacing w:before="100" w:beforeAutospacing="1" w:after="100" w:afterAutospacing="1" w:line="360" w:lineRule="auto"/>
        <w:jc w:val="both"/>
        <w:rPr>
          <w:rFonts w:ascii="Palatino Linotype" w:eastAsia="Times New Roman" w:hAnsi="Palatino Linotype" w:cs="Arial"/>
        </w:rPr>
      </w:pPr>
      <w:r>
        <w:rPr>
          <w:rFonts w:ascii="Palatino Linotype" w:eastAsia="Times New Roman"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023903" w:rsidRDefault="00023903" w:rsidP="00023903">
      <w:pPr>
        <w:autoSpaceDE w:val="0"/>
        <w:autoSpaceDN w:val="0"/>
        <w:adjustRightInd w:val="0"/>
        <w:ind w:left="993" w:right="1041"/>
        <w:jc w:val="both"/>
        <w:rPr>
          <w:rFonts w:ascii="Palatino Linotype" w:eastAsia="Times New Roman" w:hAnsi="Palatino Linotype" w:cs="Arial"/>
          <w:b/>
          <w:i/>
          <w:sz w:val="22"/>
          <w:szCs w:val="22"/>
        </w:rPr>
      </w:pPr>
      <w:r>
        <w:rPr>
          <w:rFonts w:ascii="Palatino Linotype" w:eastAsia="Times New Roman" w:hAnsi="Palatino Linotype" w:cs="Arial"/>
          <w:b/>
          <w:i/>
          <w:sz w:val="22"/>
          <w:szCs w:val="22"/>
        </w:rPr>
        <w:t>“Artículo 3. Para los efectos de la presente Ley se entenderá por:</w:t>
      </w:r>
    </w:p>
    <w:p w:rsidR="00023903" w:rsidRDefault="00023903" w:rsidP="00023903">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IX. Datos personales:</w:t>
      </w:r>
      <w:r>
        <w:rPr>
          <w:rFonts w:ascii="Palatino Linotype" w:eastAsia="Times New Roman" w:hAnsi="Palatino Linotype" w:cs="Arial"/>
          <w:i/>
          <w:sz w:val="22"/>
          <w:szCs w:val="22"/>
        </w:rPr>
        <w:t xml:space="preserve"> </w:t>
      </w:r>
      <w:r>
        <w:rPr>
          <w:rFonts w:ascii="Palatino Linotype" w:eastAsia="Times New Roman" w:hAnsi="Palatino Linotype" w:cs="Arial"/>
          <w:b/>
          <w:i/>
          <w:sz w:val="22"/>
          <w:szCs w:val="22"/>
        </w:rPr>
        <w:t>La información concerniente a una persona, identificada o identificable</w:t>
      </w:r>
      <w:r>
        <w:rPr>
          <w:rFonts w:ascii="Palatino Linotype" w:eastAsia="Times New Roman" w:hAnsi="Palatino Linotype" w:cs="Arial"/>
          <w:i/>
          <w:sz w:val="22"/>
          <w:szCs w:val="22"/>
        </w:rPr>
        <w:t xml:space="preserve"> según lo dispuesto por la Ley de Protección de Datos Personales del Estado de México;</w:t>
      </w:r>
    </w:p>
    <w:p w:rsidR="00023903" w:rsidRDefault="00023903" w:rsidP="00023903">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XX. Información clasificada:</w:t>
      </w:r>
      <w:r>
        <w:rPr>
          <w:rFonts w:ascii="Palatino Linotype" w:eastAsia="Times New Roman" w:hAnsi="Palatino Linotype" w:cs="Arial"/>
          <w:i/>
          <w:sz w:val="22"/>
          <w:szCs w:val="22"/>
        </w:rPr>
        <w:t xml:space="preserve"> Aquella considerada por la presente Ley como reservada o confidencial;</w:t>
      </w:r>
    </w:p>
    <w:p w:rsidR="00023903" w:rsidRDefault="00023903" w:rsidP="00023903">
      <w:pPr>
        <w:autoSpaceDE w:val="0"/>
        <w:autoSpaceDN w:val="0"/>
        <w:adjustRightInd w:val="0"/>
        <w:ind w:left="993" w:right="1041"/>
        <w:jc w:val="both"/>
        <w:rPr>
          <w:rFonts w:ascii="Palatino Linotype" w:eastAsia="Times New Roman" w:hAnsi="Palatino Linotype"/>
          <w:i/>
          <w:sz w:val="22"/>
          <w:szCs w:val="22"/>
        </w:rPr>
      </w:pPr>
      <w:r>
        <w:rPr>
          <w:rFonts w:ascii="Palatino Linotype" w:eastAsia="Times New Roman" w:hAnsi="Palatino Linotype"/>
          <w:b/>
          <w:i/>
          <w:sz w:val="22"/>
          <w:szCs w:val="22"/>
        </w:rPr>
        <w:t>XXXII. Protección de Datos Personales:</w:t>
      </w:r>
      <w:r>
        <w:rPr>
          <w:rFonts w:ascii="Palatino Linotype" w:eastAsia="Times New Roman" w:hAnsi="Palatino Linotype"/>
          <w:i/>
          <w:sz w:val="22"/>
          <w:szCs w:val="22"/>
        </w:rPr>
        <w:t xml:space="preserve"> Derecho humano que tutela la privacidad de datos personales en poder de los sujetos obligados y sujetos particulares;</w:t>
      </w:r>
    </w:p>
    <w:p w:rsidR="00023903" w:rsidRDefault="00023903" w:rsidP="00023903">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lastRenderedPageBreak/>
        <w:t>XLV. Versión pública</w:t>
      </w:r>
      <w:r>
        <w:rPr>
          <w:rFonts w:ascii="Palatino Linotype" w:eastAsia="Times New Roman" w:hAnsi="Palatino Linotype" w:cs="Arial"/>
          <w:i/>
          <w:sz w:val="22"/>
          <w:szCs w:val="22"/>
        </w:rPr>
        <w:t>: Documento en el que se elimine, suprime o borra la información clasificada como reservada o confidencial para permitir su acceso.”</w:t>
      </w:r>
    </w:p>
    <w:p w:rsidR="00023903" w:rsidRDefault="00023903" w:rsidP="00023903">
      <w:pPr>
        <w:autoSpaceDE w:val="0"/>
        <w:autoSpaceDN w:val="0"/>
        <w:adjustRightInd w:val="0"/>
        <w:ind w:left="993" w:right="1041"/>
        <w:jc w:val="both"/>
        <w:rPr>
          <w:rFonts w:ascii="Palatino Linotype" w:eastAsia="Times New Roman" w:hAnsi="Palatino Linotype" w:cs="Arial"/>
          <w:i/>
          <w:sz w:val="22"/>
          <w:szCs w:val="22"/>
        </w:rPr>
      </w:pPr>
    </w:p>
    <w:p w:rsidR="00023903" w:rsidRDefault="00023903" w:rsidP="00023903">
      <w:pPr>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6.</w:t>
      </w:r>
      <w:r>
        <w:rPr>
          <w:rFonts w:ascii="Palatino Linotype" w:eastAsia="Times New Roman"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23903" w:rsidRDefault="00023903" w:rsidP="00023903">
      <w:pPr>
        <w:ind w:left="993" w:right="1041"/>
        <w:contextualSpacing/>
        <w:jc w:val="both"/>
        <w:rPr>
          <w:rFonts w:ascii="Palatino Linotype" w:eastAsia="Times New Roman" w:hAnsi="Palatino Linotype" w:cs="Arial"/>
          <w:bCs/>
          <w:i/>
          <w:noProof/>
          <w:sz w:val="22"/>
          <w:szCs w:val="22"/>
        </w:rPr>
      </w:pPr>
    </w:p>
    <w:p w:rsidR="00023903" w:rsidRDefault="00023903" w:rsidP="00023903">
      <w:pPr>
        <w:spacing w:before="240"/>
        <w:ind w:left="993" w:right="1041"/>
        <w:contextualSpacing/>
        <w:jc w:val="both"/>
        <w:rPr>
          <w:rFonts w:ascii="Palatino Linotype" w:eastAsia="Times New Roman" w:hAnsi="Palatino Linotype" w:cs="Arial"/>
          <w:b/>
          <w:bCs/>
          <w:i/>
          <w:noProof/>
          <w:sz w:val="22"/>
          <w:szCs w:val="22"/>
        </w:rPr>
      </w:pPr>
      <w:r>
        <w:rPr>
          <w:rFonts w:ascii="Palatino Linotype" w:eastAsia="Times New Roman" w:hAnsi="Palatino Linotype"/>
          <w:b/>
          <w:i/>
          <w:sz w:val="22"/>
          <w:szCs w:val="22"/>
        </w:rPr>
        <w:t>“Artículo 137.</w:t>
      </w:r>
      <w:r>
        <w:rPr>
          <w:rFonts w:ascii="Palatino Linotype" w:eastAsia="Times New Roman"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23903" w:rsidRDefault="00023903" w:rsidP="00023903">
      <w:pPr>
        <w:spacing w:before="240"/>
        <w:ind w:left="993" w:right="1041"/>
        <w:contextualSpacing/>
        <w:jc w:val="both"/>
        <w:rPr>
          <w:rFonts w:ascii="Palatino Linotype" w:eastAsia="Times New Roman" w:hAnsi="Palatino Linotype" w:cs="Arial"/>
          <w:b/>
          <w:bCs/>
          <w:i/>
          <w:noProof/>
          <w:sz w:val="22"/>
          <w:szCs w:val="22"/>
        </w:rPr>
      </w:pPr>
    </w:p>
    <w:p w:rsidR="00023903" w:rsidRDefault="00023903" w:rsidP="00023903">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143</w:t>
      </w:r>
      <w:r>
        <w:rPr>
          <w:rFonts w:ascii="Palatino Linotype" w:eastAsia="Times New Roman" w:hAnsi="Palatino Linotype"/>
          <w:i/>
          <w:sz w:val="22"/>
          <w:szCs w:val="22"/>
        </w:rPr>
        <w:t>. Para los efectos de esta Ley se considera información confidencial, la clasificada como tal, de manera permanente, por su naturaleza, cuando:</w:t>
      </w:r>
    </w:p>
    <w:p w:rsidR="00023903" w:rsidRDefault="00023903" w:rsidP="00023903">
      <w:pPr>
        <w:spacing w:before="240"/>
        <w:ind w:left="993" w:right="1041"/>
        <w:contextualSpacing/>
        <w:jc w:val="both"/>
        <w:rPr>
          <w:rFonts w:ascii="Palatino Linotype" w:eastAsia="Times New Roman" w:hAnsi="Palatino Linotype"/>
          <w:i/>
        </w:rPr>
      </w:pPr>
      <w:r>
        <w:rPr>
          <w:rFonts w:ascii="Palatino Linotype" w:eastAsia="Times New Roman" w:hAnsi="Palatino Linotype"/>
          <w:b/>
          <w:i/>
          <w:sz w:val="22"/>
          <w:szCs w:val="22"/>
        </w:rPr>
        <w:t>I.</w:t>
      </w:r>
      <w:r>
        <w:rPr>
          <w:rFonts w:ascii="Palatino Linotype" w:eastAsia="Times New Roman" w:hAnsi="Palatino Linotype"/>
          <w:i/>
          <w:sz w:val="22"/>
          <w:szCs w:val="22"/>
        </w:rPr>
        <w:t xml:space="preserve"> Se refiera a la información privada y los datos personales concernientes a una persona física o jurídico colectiva identificada o identificable…”</w:t>
      </w:r>
    </w:p>
    <w:p w:rsidR="00023903" w:rsidRDefault="00023903" w:rsidP="00023903">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w:t>
      </w:r>
      <w:r>
        <w:rPr>
          <w:rFonts w:ascii="Palatino Linotype" w:eastAsia="Times New Roman" w:hAnsi="Palatino Linotype" w:cs="Arial"/>
        </w:rPr>
        <w:lastRenderedPageBreak/>
        <w:t>tengan el carácter de sensibles, es decir los que afectan la esfera más íntima de su titular o cuya utilización indebida pueda dar origen a discriminación o conlleven un riesgo grave para aquel, de acuerdo a lo que señala la fracción XII de la Ley de Protección de Datos Personales en Posesión de Sujetos Obligados del Estado de México y Municipios.</w:t>
      </w:r>
    </w:p>
    <w:p w:rsidR="00023903" w:rsidRDefault="00023903" w:rsidP="00023903">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023903" w:rsidRDefault="00023903" w:rsidP="00023903">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023903" w:rsidRDefault="00023903" w:rsidP="00023903">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49.</w:t>
      </w:r>
      <w:r>
        <w:rPr>
          <w:rFonts w:ascii="Palatino Linotype" w:eastAsia="Times New Roman" w:hAnsi="Palatino Linotype"/>
          <w:i/>
          <w:sz w:val="22"/>
          <w:szCs w:val="22"/>
        </w:rPr>
        <w:t xml:space="preserve"> </w:t>
      </w:r>
      <w:r>
        <w:rPr>
          <w:rFonts w:ascii="Palatino Linotype" w:eastAsia="Times New Roman" w:hAnsi="Palatino Linotype"/>
          <w:b/>
          <w:i/>
          <w:sz w:val="22"/>
          <w:szCs w:val="22"/>
        </w:rPr>
        <w:t>Los Comités de Transparencia</w:t>
      </w:r>
      <w:r>
        <w:rPr>
          <w:rFonts w:ascii="Palatino Linotype" w:eastAsia="Times New Roman" w:hAnsi="Palatino Linotype"/>
          <w:i/>
          <w:sz w:val="22"/>
          <w:szCs w:val="22"/>
        </w:rPr>
        <w:t xml:space="preserve"> tendrán las siguientes atribuciones:</w:t>
      </w:r>
    </w:p>
    <w:p w:rsidR="00023903" w:rsidRDefault="00023903" w:rsidP="00023903">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VIII. Aprobar, modificar o revocar la clasificación de la información</w:t>
      </w:r>
      <w:r>
        <w:rPr>
          <w:rFonts w:ascii="Palatino Linotype" w:eastAsia="Times New Roman" w:hAnsi="Palatino Linotype"/>
          <w:i/>
          <w:sz w:val="22"/>
          <w:szCs w:val="22"/>
        </w:rPr>
        <w:t>…”</w:t>
      </w:r>
    </w:p>
    <w:p w:rsidR="00023903" w:rsidRDefault="00023903" w:rsidP="00023903">
      <w:pPr>
        <w:spacing w:before="240"/>
        <w:ind w:left="993" w:right="1041"/>
        <w:contextualSpacing/>
        <w:jc w:val="both"/>
        <w:rPr>
          <w:rFonts w:ascii="Palatino Linotype" w:eastAsia="Times New Roman" w:hAnsi="Palatino Linotype"/>
          <w:b/>
          <w:i/>
          <w:sz w:val="22"/>
          <w:szCs w:val="22"/>
        </w:rPr>
      </w:pPr>
    </w:p>
    <w:p w:rsidR="00023903" w:rsidRDefault="00023903" w:rsidP="00023903">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i/>
          <w:sz w:val="22"/>
          <w:szCs w:val="22"/>
        </w:rPr>
        <w:t>“</w:t>
      </w:r>
      <w:r>
        <w:rPr>
          <w:rFonts w:ascii="Palatino Linotype" w:eastAsia="Times New Roman" w:hAnsi="Palatino Linotype"/>
          <w:b/>
          <w:i/>
          <w:sz w:val="22"/>
          <w:szCs w:val="22"/>
        </w:rPr>
        <w:t>Artículo 53.</w:t>
      </w:r>
      <w:r>
        <w:rPr>
          <w:rFonts w:ascii="Palatino Linotype" w:eastAsia="Times New Roman" w:hAnsi="Palatino Linotype"/>
          <w:i/>
          <w:sz w:val="22"/>
          <w:szCs w:val="22"/>
        </w:rPr>
        <w:t xml:space="preserve"> Las </w:t>
      </w:r>
      <w:r>
        <w:rPr>
          <w:rFonts w:ascii="Palatino Linotype" w:eastAsia="Times New Roman" w:hAnsi="Palatino Linotype"/>
          <w:b/>
          <w:i/>
          <w:sz w:val="22"/>
          <w:szCs w:val="22"/>
        </w:rPr>
        <w:t>Unidades de Transparencia</w:t>
      </w:r>
      <w:r>
        <w:rPr>
          <w:rFonts w:ascii="Palatino Linotype" w:eastAsia="Times New Roman" w:hAnsi="Palatino Linotype"/>
          <w:i/>
          <w:sz w:val="22"/>
          <w:szCs w:val="22"/>
        </w:rPr>
        <w:t xml:space="preserve"> tendrán las siguientes </w:t>
      </w:r>
      <w:r>
        <w:rPr>
          <w:rFonts w:ascii="Palatino Linotype" w:eastAsia="Times New Roman" w:hAnsi="Palatino Linotype"/>
          <w:b/>
          <w:i/>
          <w:sz w:val="22"/>
          <w:szCs w:val="22"/>
        </w:rPr>
        <w:t>funciones</w:t>
      </w:r>
      <w:r>
        <w:rPr>
          <w:rFonts w:ascii="Palatino Linotype" w:eastAsia="Times New Roman" w:hAnsi="Palatino Linotype"/>
          <w:i/>
          <w:sz w:val="22"/>
          <w:szCs w:val="22"/>
        </w:rPr>
        <w:t>:</w:t>
      </w:r>
    </w:p>
    <w:p w:rsidR="00023903" w:rsidRDefault="00023903" w:rsidP="00023903">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X. Presentar ante el Comité, el proyecto de clasificación de información</w:t>
      </w:r>
      <w:r>
        <w:rPr>
          <w:rFonts w:ascii="Palatino Linotype" w:eastAsia="Times New Roman" w:hAnsi="Palatino Linotype"/>
          <w:i/>
          <w:sz w:val="22"/>
          <w:szCs w:val="22"/>
        </w:rPr>
        <w:t xml:space="preserve">…” </w:t>
      </w:r>
    </w:p>
    <w:p w:rsidR="00023903" w:rsidRDefault="00023903" w:rsidP="00023903">
      <w:pPr>
        <w:spacing w:before="240"/>
        <w:ind w:left="993" w:right="1041"/>
        <w:contextualSpacing/>
        <w:jc w:val="both"/>
        <w:rPr>
          <w:rFonts w:ascii="Palatino Linotype" w:eastAsia="Times New Roman" w:hAnsi="Palatino Linotype"/>
          <w:i/>
          <w:sz w:val="22"/>
          <w:szCs w:val="22"/>
        </w:rPr>
      </w:pPr>
    </w:p>
    <w:p w:rsidR="00023903" w:rsidRDefault="00023903" w:rsidP="00023903">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lastRenderedPageBreak/>
        <w:t>“Artículo 59.</w:t>
      </w:r>
      <w:r>
        <w:rPr>
          <w:rFonts w:ascii="Palatino Linotype" w:eastAsia="Times New Roman" w:hAnsi="Palatino Linotype"/>
          <w:i/>
          <w:sz w:val="22"/>
          <w:szCs w:val="22"/>
        </w:rPr>
        <w:t xml:space="preserve"> Los </w:t>
      </w:r>
      <w:r>
        <w:rPr>
          <w:rFonts w:ascii="Palatino Linotype" w:eastAsia="Times New Roman" w:hAnsi="Palatino Linotype"/>
          <w:b/>
          <w:i/>
          <w:sz w:val="22"/>
          <w:szCs w:val="22"/>
        </w:rPr>
        <w:t>servidores públicos habilitados</w:t>
      </w:r>
      <w:r>
        <w:rPr>
          <w:rFonts w:ascii="Palatino Linotype" w:eastAsia="Times New Roman" w:hAnsi="Palatino Linotype"/>
          <w:i/>
          <w:sz w:val="22"/>
          <w:szCs w:val="22"/>
        </w:rPr>
        <w:t xml:space="preserve"> tendrán las </w:t>
      </w:r>
      <w:r>
        <w:rPr>
          <w:rFonts w:ascii="Palatino Linotype" w:eastAsia="Times New Roman" w:hAnsi="Palatino Linotype"/>
          <w:b/>
          <w:i/>
          <w:sz w:val="22"/>
          <w:szCs w:val="22"/>
        </w:rPr>
        <w:t>funciones</w:t>
      </w:r>
      <w:r>
        <w:rPr>
          <w:rFonts w:ascii="Palatino Linotype" w:eastAsia="Times New Roman" w:hAnsi="Palatino Linotype"/>
          <w:i/>
          <w:sz w:val="22"/>
          <w:szCs w:val="22"/>
        </w:rPr>
        <w:t xml:space="preserve"> siguientes:</w:t>
      </w:r>
    </w:p>
    <w:p w:rsidR="00023903" w:rsidRDefault="00023903" w:rsidP="00023903">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V. Integrar y presentar al responsable de la Unidad de Transparencia la propuesta de clasificación de información</w:t>
      </w:r>
      <w:r>
        <w:rPr>
          <w:rFonts w:ascii="Palatino Linotype" w:eastAsia="Times New Roman" w:hAnsi="Palatino Linotype"/>
          <w:i/>
          <w:sz w:val="22"/>
          <w:szCs w:val="22"/>
        </w:rPr>
        <w:t>, la cual tendrá los fundamentos y argumentos en que se basa dicha propuesta…”</w:t>
      </w:r>
    </w:p>
    <w:p w:rsidR="00023903" w:rsidRDefault="00023903" w:rsidP="00023903">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023903" w:rsidRDefault="00023903" w:rsidP="00023903">
      <w:pPr>
        <w:spacing w:before="240" w:after="240" w:line="360" w:lineRule="auto"/>
        <w:jc w:val="both"/>
        <w:rPr>
          <w:rFonts w:ascii="Palatino Linotype" w:eastAsia="Times New Roman" w:hAnsi="Palatino Linotype"/>
        </w:rPr>
      </w:pPr>
      <w:r>
        <w:rPr>
          <w:rFonts w:ascii="Palatino Linotype" w:eastAsia="Times New Roman" w:hAnsi="Palatino Linotype" w:cs="Arial"/>
        </w:rPr>
        <w:t>Para lo cual a su vez en el caso de información de carácter confidencial se debe atender a lo que señala el artículo 149 de la Ley de Transparencia Local vigente, que se lee como sigue:</w:t>
      </w:r>
    </w:p>
    <w:p w:rsidR="00023903" w:rsidRDefault="00023903" w:rsidP="00023903">
      <w:pPr>
        <w:spacing w:before="240" w:after="240"/>
        <w:ind w:left="993" w:right="1041"/>
        <w:jc w:val="both"/>
        <w:rPr>
          <w:rFonts w:ascii="Palatino Linotype" w:eastAsia="Times New Roman" w:hAnsi="Palatino Linotype" w:cs="Arial"/>
          <w:i/>
          <w:sz w:val="22"/>
          <w:szCs w:val="22"/>
        </w:rPr>
      </w:pPr>
      <w:r>
        <w:rPr>
          <w:rFonts w:ascii="Palatino Linotype" w:eastAsia="Times New Roman" w:hAnsi="Palatino Linotype"/>
          <w:i/>
          <w:sz w:val="22"/>
          <w:szCs w:val="22"/>
        </w:rPr>
        <w:t>“</w:t>
      </w:r>
      <w:r>
        <w:rPr>
          <w:rFonts w:ascii="Palatino Linotype" w:eastAsia="Times New Roman" w:hAnsi="Palatino Linotype"/>
          <w:b/>
          <w:i/>
          <w:sz w:val="22"/>
          <w:szCs w:val="22"/>
        </w:rPr>
        <w:t>Artículo 149.</w:t>
      </w:r>
      <w:r>
        <w:rPr>
          <w:rFonts w:ascii="Palatino Linotype" w:eastAsia="Times New Roman" w:hAnsi="Palatino Linotype"/>
          <w:i/>
          <w:sz w:val="22"/>
          <w:szCs w:val="22"/>
        </w:rPr>
        <w:t xml:space="preserve"> El </w:t>
      </w:r>
      <w:r>
        <w:rPr>
          <w:rFonts w:ascii="Palatino Linotype" w:eastAsia="Times New Roman" w:hAnsi="Palatino Linotype"/>
          <w:b/>
          <w:i/>
          <w:sz w:val="22"/>
          <w:szCs w:val="22"/>
        </w:rPr>
        <w:t>acuerdo que clasifique la información como confidencial</w:t>
      </w:r>
      <w:r>
        <w:rPr>
          <w:rFonts w:ascii="Palatino Linotype" w:eastAsia="Times New Roman" w:hAnsi="Palatino Linotype"/>
          <w:i/>
          <w:sz w:val="22"/>
          <w:szCs w:val="22"/>
        </w:rPr>
        <w:t xml:space="preserve"> deberá contener un razonamiento lógico en el que demuestre que la información se encuentra en alguna o algunas de las hipótesis previstas en la presente Ley.”</w:t>
      </w:r>
    </w:p>
    <w:p w:rsidR="00023903" w:rsidRDefault="00023903" w:rsidP="00023903">
      <w:pPr>
        <w:spacing w:before="240" w:after="240" w:line="360" w:lineRule="auto"/>
        <w:ind w:right="49"/>
        <w:jc w:val="both"/>
        <w:rPr>
          <w:rFonts w:ascii="Palatino Linotype" w:eastAsia="Times New Roman" w:hAnsi="Palatino Linotype" w:cs="Arial"/>
          <w:lang w:eastAsia="es-CO"/>
        </w:rPr>
      </w:pPr>
      <w:r>
        <w:rPr>
          <w:rFonts w:ascii="Palatino Linotype" w:eastAsia="Times New Roman"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w:t>
      </w:r>
      <w:r>
        <w:rPr>
          <w:rFonts w:ascii="Palatino Linotype" w:eastAsia="Times New Roman" w:hAnsi="Palatino Linotype" w:cs="Arial"/>
          <w:lang w:eastAsia="es-CO"/>
        </w:rPr>
        <w:lastRenderedPageBreak/>
        <w:t>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023903" w:rsidRDefault="00023903" w:rsidP="00023903">
      <w:pPr>
        <w:spacing w:before="240" w:after="240" w:line="360" w:lineRule="auto"/>
        <w:jc w:val="both"/>
        <w:rPr>
          <w:rFonts w:ascii="Palatino Linotype" w:eastAsia="Times New Roman" w:hAnsi="Palatino Linotype" w:cs="Arial"/>
          <w:lang w:val="es-MX"/>
        </w:rPr>
      </w:pPr>
      <w:r>
        <w:rPr>
          <w:rFonts w:ascii="Palatino Linotype" w:eastAsia="Times New Roman" w:hAnsi="Palatino Linotype" w:cs="Arial"/>
          <w:lang w:val="es-MX"/>
        </w:rPr>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w:t>
      </w:r>
      <w:r>
        <w:rPr>
          <w:rFonts w:ascii="Palatino Linotype" w:eastAsia="Times New Roman" w:hAnsi="Palatino Linotype" w:cs="Arial"/>
          <w:b/>
          <w:lang w:val="es-MX"/>
        </w:rPr>
        <w:t>Clave Única de Registro de Población</w:t>
      </w:r>
      <w:r>
        <w:rPr>
          <w:rFonts w:ascii="Palatino Linotype" w:eastAsia="Times New Roman" w:hAnsi="Palatino Linotype" w:cs="Arial"/>
          <w:lang w:val="es-MX"/>
        </w:rPr>
        <w:t xml:space="preserve"> (CURP), </w:t>
      </w:r>
      <w:r w:rsidRPr="00360366">
        <w:rPr>
          <w:rFonts w:ascii="Palatino Linotype" w:eastAsia="Times New Roman" w:hAnsi="Palatino Linotype" w:cs="Arial"/>
          <w:b/>
          <w:lang w:val="es-MX"/>
        </w:rPr>
        <w:t>Registro Federal de Contribuyentes</w:t>
      </w:r>
      <w:r>
        <w:rPr>
          <w:rFonts w:ascii="Palatino Linotype" w:eastAsia="Times New Roman" w:hAnsi="Palatino Linotype" w:cs="Arial"/>
          <w:lang w:val="es-MX"/>
        </w:rPr>
        <w:t xml:space="preserve"> (RFC), fotografías y calificaciones de las evaluaciones.</w:t>
      </w:r>
    </w:p>
    <w:p w:rsidR="00023903" w:rsidRDefault="00023903" w:rsidP="00023903">
      <w:pPr>
        <w:spacing w:before="240" w:after="240" w:line="360" w:lineRule="auto"/>
        <w:jc w:val="both"/>
        <w:rPr>
          <w:rFonts w:ascii="Palatino Linotype" w:eastAsia="Times New Roman" w:hAnsi="Palatino Linotype" w:cs="Arial"/>
          <w:lang w:val="es-MX" w:eastAsia="es-MX"/>
        </w:rPr>
      </w:pPr>
      <w:r>
        <w:rPr>
          <w:rFonts w:ascii="Palatino Linotype" w:eastAsia="Times New Roman" w:hAnsi="Palatino Linotype" w:cs="Arial"/>
          <w:lang w:val="es-MX" w:eastAsia="es-MX"/>
        </w:rPr>
        <w:t xml:space="preserve">En cuanto a la </w:t>
      </w:r>
      <w:r>
        <w:rPr>
          <w:rFonts w:ascii="Palatino Linotype" w:eastAsia="Times New Roman" w:hAnsi="Palatino Linotype" w:cs="Arial"/>
          <w:lang w:val="es-MX"/>
        </w:rPr>
        <w:t xml:space="preserve">CURP en virtud de que éste se </w:t>
      </w:r>
      <w:r>
        <w:rPr>
          <w:rFonts w:ascii="Palatino Linotype" w:eastAsia="Times New Roman"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23903" w:rsidRDefault="00023903" w:rsidP="00023903">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 xml:space="preserve">Argumento que es compartido por el entonces </w:t>
      </w:r>
      <w:r>
        <w:rPr>
          <w:rFonts w:ascii="Palatino Linotype" w:eastAsia="Times New Roman" w:hAnsi="Palatino Linotype" w:cs="Arial"/>
          <w:lang w:eastAsia="es-MX"/>
        </w:rPr>
        <w:t>Instituto Federal de Acceso a la Información Pública y Protección de Datos Personales (IFAI)</w:t>
      </w:r>
      <w:r>
        <w:rPr>
          <w:rFonts w:ascii="Palatino Linotype" w:eastAsia="Times New Roman" w:hAnsi="Palatino Linotype" w:cs="Arial"/>
          <w:bCs/>
        </w:rPr>
        <w:t xml:space="preserve">, conforme al </w:t>
      </w:r>
      <w:r>
        <w:rPr>
          <w:rFonts w:ascii="Palatino Linotype" w:eastAsia="Times New Roman" w:hAnsi="Palatino Linotype" w:cs="Arial"/>
        </w:rPr>
        <w:t xml:space="preserve">criterio número 0003-10, el cual refiere: </w:t>
      </w:r>
    </w:p>
    <w:p w:rsidR="00023903" w:rsidRDefault="00023903" w:rsidP="00023903">
      <w:pPr>
        <w:autoSpaceDE w:val="0"/>
        <w:autoSpaceDN w:val="0"/>
        <w:adjustRightInd w:val="0"/>
        <w:spacing w:before="240" w:after="240"/>
        <w:ind w:left="851" w:right="900"/>
        <w:jc w:val="both"/>
        <w:rPr>
          <w:rFonts w:ascii="Palatino Linotype" w:eastAsia="Times New Roman" w:hAnsi="Palatino Linotype" w:cs="Arial"/>
          <w:i/>
          <w:sz w:val="22"/>
          <w:lang w:eastAsia="es-MX"/>
        </w:rPr>
      </w:pPr>
      <w:r>
        <w:rPr>
          <w:rFonts w:ascii="Palatino Linotype" w:eastAsia="Times New Roman" w:hAnsi="Palatino Linotype" w:cs="Arial"/>
          <w:b/>
          <w:bCs/>
          <w:i/>
          <w:sz w:val="22"/>
          <w:lang w:eastAsia="es-MX"/>
        </w:rPr>
        <w:t xml:space="preserve">“Criterio 003-10 Clave Única de Registro de Población (CURP) es un dato personal confidencial. </w:t>
      </w:r>
      <w:r>
        <w:rPr>
          <w:rFonts w:ascii="Palatino Linotype" w:eastAsia="Times New Roman" w:hAnsi="Palatino Linotype" w:cs="Arial"/>
          <w:i/>
          <w:sz w:val="22"/>
          <w:lang w:eastAsia="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w:t>
      </w:r>
      <w:r>
        <w:rPr>
          <w:rFonts w:ascii="Palatino Linotype" w:eastAsia="Times New Roman" w:hAnsi="Palatino Linotype" w:cs="Arial"/>
          <w:i/>
          <w:sz w:val="22"/>
          <w:lang w:eastAsia="es-MX"/>
        </w:rPr>
        <w:lastRenderedPageBreak/>
        <w:t>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(Sic)</w:t>
      </w:r>
    </w:p>
    <w:p w:rsidR="00023903" w:rsidRPr="00380365" w:rsidRDefault="00023903" w:rsidP="00023903">
      <w:pPr>
        <w:spacing w:before="100" w:beforeAutospacing="1" w:after="100" w:afterAutospacing="1" w:line="360" w:lineRule="auto"/>
        <w:ind w:right="-425"/>
        <w:jc w:val="both"/>
        <w:rPr>
          <w:rFonts w:ascii="Palatino Linotype" w:hAnsi="Palatino Linotype" w:cs="Arial"/>
        </w:rPr>
      </w:pPr>
      <w:r w:rsidRPr="00380365">
        <w:rPr>
          <w:rFonts w:ascii="Palatino Linotype" w:eastAsia="Times New Roman"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023903" w:rsidRPr="00380365" w:rsidRDefault="00023903" w:rsidP="00023903">
      <w:pPr>
        <w:spacing w:before="100" w:beforeAutospacing="1" w:after="100" w:afterAutospacing="1" w:line="360" w:lineRule="auto"/>
        <w:ind w:right="-425"/>
        <w:jc w:val="both"/>
        <w:rPr>
          <w:rFonts w:ascii="Palatino Linotype" w:eastAsia="Times New Roman" w:hAnsi="Palatino Linotype" w:cs="Arial"/>
          <w:lang w:eastAsia="es-MX"/>
        </w:rPr>
      </w:pPr>
      <w:r w:rsidRPr="00380365">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23903" w:rsidRPr="00380365" w:rsidRDefault="00023903" w:rsidP="00023903">
      <w:pPr>
        <w:spacing w:before="100" w:beforeAutospacing="1" w:after="100" w:afterAutospacing="1" w:line="360" w:lineRule="auto"/>
        <w:ind w:right="-425"/>
        <w:jc w:val="both"/>
        <w:rPr>
          <w:rFonts w:ascii="Palatino Linotype" w:eastAsia="Times New Roman" w:hAnsi="Palatino Linotype" w:cs="Arial"/>
          <w:lang w:eastAsia="es-MX"/>
        </w:rPr>
      </w:pPr>
      <w:r w:rsidRPr="00380365">
        <w:rPr>
          <w:rFonts w:ascii="Palatino Linotype" w:eastAsia="Times New Roman" w:hAnsi="Palatino Linotype" w:cs="Arial"/>
          <w:lang w:eastAsia="es-MX"/>
        </w:rPr>
        <w:t>Lo anterior es compartido por el entonces Instituto Federal de Acceso a la Información Pública y Protección de Datos Personales (IFAI) a través del Criterio 09/2009, el cual es del tenor literal siguiente:</w:t>
      </w:r>
    </w:p>
    <w:p w:rsidR="00023903" w:rsidRPr="00380365" w:rsidRDefault="00023903" w:rsidP="00023903">
      <w:pPr>
        <w:autoSpaceDE w:val="0"/>
        <w:autoSpaceDN w:val="0"/>
        <w:adjustRightInd w:val="0"/>
        <w:spacing w:before="100" w:beforeAutospacing="1" w:after="100" w:afterAutospacing="1"/>
        <w:ind w:left="851" w:right="851"/>
        <w:jc w:val="both"/>
        <w:rPr>
          <w:rFonts w:ascii="Palatino Linotype" w:eastAsia="Times New Roman" w:hAnsi="Palatino Linotype" w:cs="Arial"/>
          <w:sz w:val="22"/>
          <w:szCs w:val="20"/>
        </w:rPr>
      </w:pPr>
      <w:r w:rsidRPr="00380365">
        <w:rPr>
          <w:rFonts w:ascii="Palatino Linotype" w:eastAsia="Times New Roman" w:hAnsi="Palatino Linotype" w:cs="Arial"/>
          <w:b/>
          <w:bCs/>
          <w:i/>
          <w:sz w:val="22"/>
          <w:szCs w:val="22"/>
        </w:rPr>
        <w:t xml:space="preserve">“Registro Federal de Contribuyentes (RFC) de las personas físicas es un dato personal confidencial. </w:t>
      </w:r>
      <w:r w:rsidRPr="00380365">
        <w:rPr>
          <w:rFonts w:ascii="Palatino Linotype" w:eastAsia="Times New Roman" w:hAnsi="Palatino Linotype" w:cs="Arial"/>
          <w:i/>
          <w:sz w:val="22"/>
          <w:szCs w:val="22"/>
        </w:rPr>
        <w:t>De conformidad con lo establecido en el artículo 18,</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fracción II de la Ley Federal de Transparencia y Acceso a la Información Pública</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Gubernamental se considera información confidencial los datos personales que</w:t>
      </w:r>
      <w:r w:rsidRPr="00380365">
        <w:rPr>
          <w:rFonts w:ascii="Palatino Linotype" w:eastAsia="Times New Roman" w:hAnsi="Palatino Linotype" w:cs="Arial"/>
          <w:bCs/>
          <w:i/>
          <w:sz w:val="22"/>
          <w:szCs w:val="22"/>
        </w:rPr>
        <w:t xml:space="preserve"> </w:t>
      </w:r>
      <w:r w:rsidRPr="00380365">
        <w:rPr>
          <w:rFonts w:ascii="Palatino Linotype" w:eastAsia="Times New Roman" w:hAnsi="Palatino Linotype" w:cs="Arial"/>
          <w:i/>
          <w:sz w:val="22"/>
          <w:szCs w:val="22"/>
        </w:rPr>
        <w:t>requieren el consentimiento de los individuos para su difusión, distribución o</w:t>
      </w:r>
      <w:r w:rsidRPr="00380365">
        <w:rPr>
          <w:rFonts w:ascii="Palatino Linotype" w:eastAsia="Times New Roman" w:hAnsi="Palatino Linotype" w:cs="Arial"/>
          <w:bCs/>
          <w:i/>
          <w:sz w:val="22"/>
          <w:szCs w:val="22"/>
        </w:rPr>
        <w:t xml:space="preserve"> </w:t>
      </w:r>
      <w:r w:rsidRPr="00380365">
        <w:rPr>
          <w:rFonts w:ascii="Palatino Linotype" w:eastAsia="Times New Roman" w:hAnsi="Palatino Linotype" w:cs="Arial"/>
          <w:i/>
          <w:sz w:val="22"/>
          <w:szCs w:val="22"/>
        </w:rPr>
        <w:t>comercialización en los términos de esta Ley. Por su parte, según dispone el</w:t>
      </w:r>
      <w:r w:rsidRPr="00380365">
        <w:rPr>
          <w:rFonts w:ascii="Palatino Linotype" w:eastAsia="Times New Roman" w:hAnsi="Palatino Linotype" w:cs="Arial"/>
          <w:bCs/>
          <w:i/>
          <w:sz w:val="22"/>
          <w:szCs w:val="22"/>
        </w:rPr>
        <w:t xml:space="preserve"> </w:t>
      </w:r>
      <w:r w:rsidRPr="00380365">
        <w:rPr>
          <w:rFonts w:ascii="Palatino Linotype" w:eastAsia="Times New Roman" w:hAnsi="Palatino Linotype" w:cs="Arial"/>
          <w:i/>
          <w:sz w:val="22"/>
          <w:szCs w:val="22"/>
        </w:rPr>
        <w:t>artículo 3, fracción II de la Ley Federal de Transparencia y Acceso a la Información</w:t>
      </w:r>
      <w:r w:rsidRPr="00380365">
        <w:rPr>
          <w:rFonts w:ascii="Palatino Linotype" w:eastAsia="Times New Roman" w:hAnsi="Palatino Linotype" w:cs="Arial"/>
          <w:bCs/>
          <w:i/>
          <w:sz w:val="22"/>
          <w:szCs w:val="22"/>
        </w:rPr>
        <w:t xml:space="preserve"> </w:t>
      </w:r>
      <w:r w:rsidRPr="00380365">
        <w:rPr>
          <w:rFonts w:ascii="Palatino Linotype" w:eastAsia="Times New Roman" w:hAnsi="Palatino Linotype" w:cs="Arial"/>
          <w:i/>
          <w:sz w:val="22"/>
          <w:szCs w:val="22"/>
        </w:rPr>
        <w:t>Pública Gubernamental, dato personal es toda aquella información concerniente a</w:t>
      </w:r>
      <w:r w:rsidRPr="00380365">
        <w:rPr>
          <w:rFonts w:ascii="Palatino Linotype" w:eastAsia="Times New Roman" w:hAnsi="Palatino Linotype" w:cs="Arial"/>
          <w:bCs/>
          <w:i/>
          <w:sz w:val="22"/>
          <w:szCs w:val="22"/>
        </w:rPr>
        <w:t xml:space="preserve"> </w:t>
      </w:r>
      <w:r w:rsidRPr="00380365">
        <w:rPr>
          <w:rFonts w:ascii="Palatino Linotype" w:eastAsia="Times New Roman" w:hAnsi="Palatino Linotype" w:cs="Arial"/>
          <w:i/>
          <w:sz w:val="22"/>
          <w:szCs w:val="22"/>
        </w:rPr>
        <w:t>una persona física identificada o identificable. Para obtener el RFC es necesario</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acreditar previamente mediante documentos oficiales (pasaporte, acta de</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nacimiento, etc.) la identidad de la persona, su fecha y lugar de nacimiento, entre</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otros. De acuerdo con la legislación tributaria, las personas físicas tramitan su</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lastRenderedPageBreak/>
        <w:t>inscripción en el Registro Federal de Contribuyentes con el único propósito de</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realizar mediante esa clave de identificación, operaciones o actividades de</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naturaleza tributaria. En este sentido, el artículo 79 del Código Fiscal de la</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Federación prevé que la utilización de una clave de registro no asignada por la</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autoridad constituye como una infracción en materia fiscal. De acuerdo con lo</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antes apuntado, el RFC vinculado al nombre de su titular, permite identificar la</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 xml:space="preserve">edad de la persona, así como su </w:t>
      </w:r>
      <w:proofErr w:type="spellStart"/>
      <w:r w:rsidRPr="00380365">
        <w:rPr>
          <w:rFonts w:ascii="Palatino Linotype" w:eastAsia="Times New Roman" w:hAnsi="Palatino Linotype" w:cs="Arial"/>
          <w:i/>
          <w:sz w:val="22"/>
          <w:szCs w:val="22"/>
        </w:rPr>
        <w:t>homoclave</w:t>
      </w:r>
      <w:proofErr w:type="spellEnd"/>
      <w:r w:rsidRPr="00380365">
        <w:rPr>
          <w:rFonts w:ascii="Palatino Linotype" w:eastAsia="Times New Roman" w:hAnsi="Palatino Linotype" w:cs="Arial"/>
          <w:i/>
          <w:sz w:val="22"/>
          <w:szCs w:val="22"/>
        </w:rPr>
        <w:t>, siendo esta última única e irrepetible,</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por lo que es posible concluir que el RFC constituye un dato personal y, por tanto,</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información confidencial, de conformidad con los previsto en el artículo 18,</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fracción II de la Ley Federal de Transparencia y Acceso a la Información Pública</w:t>
      </w:r>
      <w:r w:rsidRPr="00380365">
        <w:rPr>
          <w:rFonts w:ascii="Palatino Linotype" w:eastAsia="Times New Roman" w:hAnsi="Palatino Linotype" w:cs="Arial"/>
          <w:b/>
          <w:bCs/>
          <w:i/>
          <w:sz w:val="22"/>
          <w:szCs w:val="22"/>
        </w:rPr>
        <w:t xml:space="preserve"> </w:t>
      </w:r>
      <w:r w:rsidRPr="00380365">
        <w:rPr>
          <w:rFonts w:ascii="Palatino Linotype" w:eastAsia="Times New Roman" w:hAnsi="Palatino Linotype" w:cs="Arial"/>
          <w:i/>
          <w:sz w:val="22"/>
          <w:szCs w:val="22"/>
        </w:rPr>
        <w:t>Gubernamental</w:t>
      </w:r>
      <w:r w:rsidRPr="00380365">
        <w:rPr>
          <w:rFonts w:ascii="Palatino Linotype" w:eastAsia="Times New Roman" w:hAnsi="Palatino Linotype" w:cs="Arial"/>
          <w:bCs/>
          <w:i/>
          <w:sz w:val="22"/>
          <w:szCs w:val="22"/>
        </w:rPr>
        <w:t>…”</w:t>
      </w:r>
      <w:r w:rsidRPr="00380365">
        <w:rPr>
          <w:rFonts w:ascii="Palatino Linotype" w:eastAsia="Times New Roman" w:hAnsi="Palatino Linotype" w:cs="Arial"/>
          <w:bCs/>
          <w:i/>
          <w:sz w:val="20"/>
          <w:szCs w:val="20"/>
        </w:rPr>
        <w:t xml:space="preserve"> </w:t>
      </w:r>
    </w:p>
    <w:p w:rsidR="00023903" w:rsidRDefault="00023903" w:rsidP="00023903">
      <w:pPr>
        <w:spacing w:before="100" w:beforeAutospacing="1" w:after="100" w:afterAutospacing="1" w:line="360" w:lineRule="auto"/>
        <w:ind w:right="-425"/>
        <w:jc w:val="both"/>
        <w:rPr>
          <w:rFonts w:ascii="Palatino Linotype" w:hAnsi="Palatino Linotype" w:cs="Arial"/>
          <w:lang w:eastAsia="es-MX"/>
        </w:rPr>
      </w:pPr>
      <w:r w:rsidRPr="00380365">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380365">
        <w:rPr>
          <w:rFonts w:ascii="Palatino Linotype" w:hAnsi="Palatino Linotype" w:cs="Arial"/>
          <w:lang w:eastAsia="es-MX"/>
        </w:rPr>
        <w:t>homoclave</w:t>
      </w:r>
      <w:proofErr w:type="spellEnd"/>
      <w:r w:rsidRPr="00380365">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w:t>
      </w:r>
    </w:p>
    <w:p w:rsidR="00023903" w:rsidRPr="00323237" w:rsidRDefault="00023903" w:rsidP="00023903">
      <w:pPr>
        <w:spacing w:line="360" w:lineRule="auto"/>
        <w:jc w:val="both"/>
        <w:rPr>
          <w:rFonts w:ascii="Palatino Linotype" w:eastAsiaTheme="minorHAnsi" w:hAnsi="Palatino Linotype" w:cs="Bookman Old Style"/>
          <w:lang w:val="es-MX" w:eastAsia="en-US"/>
        </w:rPr>
      </w:pPr>
      <w:r w:rsidRPr="00323237">
        <w:rPr>
          <w:rFonts w:ascii="Palatino Linotype" w:eastAsiaTheme="minorHAnsi" w:hAnsi="Palatino Linotype" w:cs="Bookman Old Style"/>
          <w:lang w:val="es-MX" w:eastAsia="en-US"/>
        </w:rPr>
        <w:t>Respecto a la fotografía constituye un dato personal, lo anterior es evidente en atención a que hace identificable a la persona, por lo que son  susceptibles de ser testados con el objeto de protegerlos, en términos del artículo 4 fracción XI de la Ley de Protección de Datos Personales en Posesión de Sujetos Obligados del Estado de México y Municipios que contiene lo siguiente:</w:t>
      </w:r>
    </w:p>
    <w:p w:rsidR="00023903" w:rsidRPr="00323237" w:rsidRDefault="00023903" w:rsidP="00023903">
      <w:pPr>
        <w:spacing w:line="360" w:lineRule="auto"/>
        <w:jc w:val="both"/>
        <w:rPr>
          <w:rFonts w:ascii="Palatino Linotype" w:eastAsiaTheme="minorHAnsi" w:hAnsi="Palatino Linotype" w:cs="Bookman Old Style"/>
          <w:sz w:val="22"/>
          <w:lang w:val="es-MX" w:eastAsia="en-US"/>
        </w:rPr>
      </w:pPr>
    </w:p>
    <w:p w:rsidR="00023903" w:rsidRPr="00323237" w:rsidRDefault="00023903" w:rsidP="00023903">
      <w:pPr>
        <w:ind w:left="851" w:right="990"/>
        <w:jc w:val="both"/>
        <w:rPr>
          <w:rFonts w:ascii="Palatino Linotype" w:eastAsiaTheme="minorHAnsi" w:hAnsi="Palatino Linotype" w:cs="Bookman Old Style"/>
          <w:i/>
          <w:sz w:val="22"/>
          <w:szCs w:val="22"/>
          <w:lang w:val="es-MX" w:eastAsia="en-US"/>
        </w:rPr>
      </w:pPr>
      <w:r w:rsidRPr="00323237">
        <w:rPr>
          <w:rFonts w:ascii="Palatino Linotype" w:eastAsiaTheme="minorHAnsi" w:hAnsi="Palatino Linotype" w:cs="Bookman Old Style"/>
          <w:b/>
          <w:i/>
          <w:sz w:val="22"/>
          <w:szCs w:val="22"/>
          <w:lang w:val="es-MX" w:eastAsia="en-US"/>
        </w:rPr>
        <w:t>“Artículo 4</w:t>
      </w:r>
      <w:r w:rsidRPr="00323237">
        <w:rPr>
          <w:rFonts w:ascii="Palatino Linotype" w:eastAsiaTheme="minorHAnsi" w:hAnsi="Palatino Linotype" w:cs="Bookman Old Style"/>
          <w:i/>
          <w:sz w:val="22"/>
          <w:szCs w:val="22"/>
          <w:lang w:val="es-MX" w:eastAsia="en-US"/>
        </w:rPr>
        <w:t xml:space="preserve">.- Para los efectos de esta Ley se entiende por: </w:t>
      </w:r>
    </w:p>
    <w:p w:rsidR="00023903" w:rsidRPr="00323237" w:rsidRDefault="00023903" w:rsidP="00023903">
      <w:pPr>
        <w:ind w:left="851" w:right="990"/>
        <w:jc w:val="both"/>
        <w:rPr>
          <w:rFonts w:ascii="Palatino Linotype" w:eastAsiaTheme="minorHAnsi" w:hAnsi="Palatino Linotype" w:cs="Bookman Old Style"/>
          <w:i/>
          <w:sz w:val="22"/>
          <w:szCs w:val="22"/>
          <w:lang w:val="es-MX" w:eastAsia="en-US"/>
        </w:rPr>
      </w:pPr>
      <w:r w:rsidRPr="00323237">
        <w:rPr>
          <w:rFonts w:ascii="Palatino Linotype" w:eastAsiaTheme="minorHAnsi" w:hAnsi="Palatino Linotype" w:cs="Bookman Old Style"/>
          <w:i/>
          <w:sz w:val="22"/>
          <w:szCs w:val="22"/>
          <w:lang w:val="es-MX" w:eastAsia="en-US"/>
        </w:rPr>
        <w:t>(…)</w:t>
      </w:r>
    </w:p>
    <w:p w:rsidR="00023903" w:rsidRPr="00323237" w:rsidRDefault="00023903" w:rsidP="00023903">
      <w:pPr>
        <w:ind w:left="851" w:right="990"/>
        <w:jc w:val="both"/>
        <w:rPr>
          <w:rFonts w:ascii="Palatino Linotype" w:eastAsiaTheme="minorHAnsi" w:hAnsi="Palatino Linotype" w:cs="Bookman Old Style"/>
          <w:b/>
          <w:i/>
          <w:sz w:val="22"/>
          <w:szCs w:val="22"/>
          <w:lang w:val="es-MX" w:eastAsia="en-US"/>
        </w:rPr>
      </w:pPr>
      <w:r w:rsidRPr="00323237">
        <w:rPr>
          <w:rFonts w:ascii="Palatino Linotype" w:eastAsiaTheme="minorHAnsi" w:hAnsi="Palatino Linotype" w:cs="Bookman Old Style"/>
          <w:b/>
          <w:i/>
          <w:sz w:val="22"/>
          <w:szCs w:val="22"/>
          <w:lang w:val="es-MX" w:eastAsia="en-US"/>
        </w:rPr>
        <w:t xml:space="preserve">XI. Datos personales: </w:t>
      </w:r>
      <w:r w:rsidRPr="00323237">
        <w:rPr>
          <w:rFonts w:ascii="Palatino Linotype" w:eastAsiaTheme="minorHAnsi" w:hAnsi="Palatino Linotype" w:cs="Bookman Old Style"/>
          <w:i/>
          <w:sz w:val="22"/>
          <w:szCs w:val="22"/>
          <w:lang w:val="es-MX" w:eastAsia="en-US"/>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w:t>
      </w:r>
      <w:r w:rsidRPr="00323237">
        <w:rPr>
          <w:rFonts w:ascii="Palatino Linotype" w:eastAsiaTheme="minorHAnsi" w:hAnsi="Palatino Linotype" w:cs="Bookman Old Style"/>
          <w:i/>
          <w:sz w:val="22"/>
          <w:szCs w:val="22"/>
          <w:lang w:val="es-MX" w:eastAsia="en-US"/>
        </w:rPr>
        <w:lastRenderedPageBreak/>
        <w:t>o indirectamente a través de cualquier documento informativo físico o electrónico.</w:t>
      </w:r>
      <w:r w:rsidRPr="00323237">
        <w:rPr>
          <w:rFonts w:ascii="Palatino Linotype" w:eastAsiaTheme="minorHAnsi" w:hAnsi="Palatino Linotype" w:cs="Bookman Old Style"/>
          <w:b/>
          <w:i/>
          <w:sz w:val="22"/>
          <w:szCs w:val="22"/>
          <w:lang w:val="es-MX" w:eastAsia="en-US"/>
        </w:rPr>
        <w:t xml:space="preserve"> </w:t>
      </w:r>
      <w:r w:rsidRPr="00323237">
        <w:rPr>
          <w:rFonts w:ascii="Palatino Linotype" w:eastAsiaTheme="minorHAnsi" w:hAnsi="Palatino Linotype" w:cs="Bookman Old Style"/>
          <w:i/>
          <w:sz w:val="22"/>
          <w:szCs w:val="22"/>
          <w:lang w:val="es-MX" w:eastAsia="en-US"/>
        </w:rPr>
        <w:t>(…)“</w:t>
      </w:r>
    </w:p>
    <w:p w:rsidR="00023903" w:rsidRDefault="00023903" w:rsidP="00023903">
      <w:pPr>
        <w:spacing w:before="100" w:beforeAutospacing="1" w:after="100" w:afterAutospacing="1" w:line="360" w:lineRule="auto"/>
        <w:ind w:right="-3"/>
        <w:jc w:val="both"/>
        <w:rPr>
          <w:rFonts w:ascii="Palatino Linotype" w:hAnsi="Palatino Linotype" w:cs="Arial"/>
          <w:color w:val="000000" w:themeColor="text1"/>
          <w:lang w:eastAsia="en-US"/>
        </w:rPr>
      </w:pPr>
      <w:r w:rsidRPr="00323237">
        <w:rPr>
          <w:rFonts w:ascii="Palatino Linotype" w:eastAsia="Times New Roman" w:hAnsi="Palatino Linotype" w:cs="Arial"/>
        </w:rPr>
        <w:t>En efecto, la fotografía en los comprobantes de estudio de los servidores públicos es susceptible de ser testada, en atención a que se</w:t>
      </w:r>
      <w:r w:rsidRPr="00323237">
        <w:rPr>
          <w:rFonts w:ascii="Palatino Linotype" w:hAnsi="Palatino Linotype" w:cs="Arial"/>
          <w:color w:val="000000" w:themeColor="text1"/>
          <w:lang w:eastAsia="en-US"/>
        </w:rPr>
        <w:t xml:space="preserve"> estaría violentando entre otros el derecho a la propia imagen que tiene dicha persona, entendiendo éste un derecho subjetivo y personal exigible frente a todos, particulares y poderes públicos, que otorgar a su titular la facultad de decidir todo lo relativo a la captación, reproducción o publicación de su imagen; debido a que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w:t>
      </w:r>
      <w:r>
        <w:rPr>
          <w:rFonts w:ascii="Palatino Linotype" w:hAnsi="Palatino Linotype" w:cs="Arial"/>
          <w:color w:val="000000" w:themeColor="text1"/>
          <w:lang w:eastAsia="en-US"/>
        </w:rPr>
        <w:t>.</w:t>
      </w:r>
    </w:p>
    <w:p w:rsidR="00023903" w:rsidRPr="00323237" w:rsidRDefault="00023903" w:rsidP="00023903">
      <w:pPr>
        <w:spacing w:before="240" w:after="240" w:line="360" w:lineRule="auto"/>
        <w:jc w:val="both"/>
        <w:rPr>
          <w:rFonts w:ascii="Palatino Linotype" w:hAnsi="Palatino Linotype" w:cs="Arial"/>
          <w:color w:val="000000" w:themeColor="text1"/>
          <w:lang w:val="es-MX" w:eastAsia="en-US"/>
        </w:rPr>
      </w:pPr>
      <w:r w:rsidRPr="00323237">
        <w:rPr>
          <w:rFonts w:ascii="Palatino Linotype" w:hAnsi="Palatino Linotype" w:cs="Arial"/>
          <w:color w:val="000000" w:themeColor="text1"/>
          <w:lang w:eastAsia="en-US"/>
        </w:rPr>
        <w:t>Sirve de sustento el criterio 5/9 del entonces Instituto Federal de Acceso a la Información y Protección de Datos (IFAI), ahora INAI, en el sentido de que la fotografía de servidores públicos en un dato personal confidencial:</w:t>
      </w:r>
    </w:p>
    <w:p w:rsidR="00023903" w:rsidRPr="00323237" w:rsidRDefault="00023903" w:rsidP="00023903">
      <w:pPr>
        <w:spacing w:before="240" w:after="240" w:line="276" w:lineRule="auto"/>
        <w:ind w:left="851" w:right="851"/>
        <w:jc w:val="both"/>
        <w:rPr>
          <w:rFonts w:ascii="Palatino Linotype" w:hAnsi="Palatino Linotype" w:cs="Arial"/>
          <w:color w:val="000000" w:themeColor="text1"/>
          <w:sz w:val="22"/>
          <w:lang w:val="es-MX" w:eastAsia="en-US"/>
        </w:rPr>
      </w:pPr>
      <w:r w:rsidRPr="00323237">
        <w:rPr>
          <w:rFonts w:ascii="Palatino Linotype" w:hAnsi="Palatino Linotype" w:cs="Arial"/>
          <w:b/>
          <w:bCs/>
          <w:i/>
          <w:iCs/>
          <w:color w:val="000000" w:themeColor="text1"/>
          <w:sz w:val="22"/>
          <w:lang w:eastAsia="en-US"/>
        </w:rPr>
        <w:t>“FOTOGRAFÍA DE SERVIDORES PÚBLICOS ES UN DATO PERSONAL CONFIDENCIAL. </w:t>
      </w:r>
      <w:r w:rsidRPr="00323237">
        <w:rPr>
          <w:rFonts w:ascii="Palatino Linotype" w:hAnsi="Palatino Linotype" w:cs="Arial"/>
          <w:i/>
          <w:iCs/>
          <w:color w:val="000000" w:themeColor="text1"/>
          <w:sz w:val="22"/>
          <w:lang w:eastAsia="en-US"/>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w:t>
      </w:r>
      <w:r w:rsidRPr="00323237">
        <w:rPr>
          <w:rFonts w:ascii="Palatino Linotype" w:hAnsi="Palatino Linotype" w:cs="Arial"/>
          <w:i/>
          <w:iCs/>
          <w:color w:val="000000" w:themeColor="text1"/>
          <w:sz w:val="22"/>
          <w:lang w:eastAsia="en-US"/>
        </w:rPr>
        <w:lastRenderedPageBreak/>
        <w:t>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p w:rsidR="00023903" w:rsidRPr="006D38ED" w:rsidRDefault="00023903" w:rsidP="00023903">
      <w:pPr>
        <w:spacing w:before="240" w:after="240" w:line="360" w:lineRule="auto"/>
        <w:jc w:val="both"/>
        <w:rPr>
          <w:rFonts w:ascii="Palatino Linotype" w:hAnsi="Palatino Linotype" w:cs="Arial"/>
          <w:color w:val="000000" w:themeColor="text1"/>
          <w:lang w:val="es-MX" w:eastAsia="en-US"/>
        </w:rPr>
      </w:pPr>
      <w:r w:rsidRPr="00323237">
        <w:rPr>
          <w:rFonts w:ascii="Palatino Linotype" w:hAnsi="Palatino Linotype" w:cs="Arial"/>
          <w:color w:val="000000" w:themeColor="text1"/>
          <w:lang w:eastAsia="en-US"/>
        </w:rPr>
        <w:t>Bajo esta tesitura, se precisa que la fotografía, es un dato personal que debe ser protegido, ya que no contribuye de manera sustancial al derecho de acceso a la información pública, a la trasparencia ni rendición de cuentas, al contrario dicho derecho, tiene una limitante al invadir la esfera jurídica personal y particular de las personas aun y cuando son servidores públicos.</w:t>
      </w:r>
    </w:p>
    <w:p w:rsidR="00023903" w:rsidRPr="006D38ED" w:rsidRDefault="00023903" w:rsidP="00023903">
      <w:pPr>
        <w:spacing w:before="240" w:after="240" w:line="360" w:lineRule="auto"/>
        <w:ind w:right="142"/>
        <w:jc w:val="both"/>
        <w:rPr>
          <w:rFonts w:ascii="Palatino Linotype" w:hAnsi="Palatino Linotype" w:cs="Arial"/>
        </w:rPr>
      </w:pPr>
      <w:r>
        <w:rPr>
          <w:rFonts w:ascii="Palatino Linotype" w:hAnsi="Palatino Linotype" w:cs="Arial"/>
        </w:rPr>
        <w:t>Finalmente respecto a las calificaciones de las evaluaciones, se consideran un dato personal sensible, en atención a que revelan aspectos personales, que conllevan una invasión o a su esfera personal, atentando así con los derechos humanos de las personas.</w:t>
      </w:r>
    </w:p>
    <w:p w:rsidR="00023903" w:rsidRPr="00AE3A96" w:rsidRDefault="00023903" w:rsidP="00023903">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Por lo anteriormente mencionado, con fundamento en lo prescrito en los artículos 5 párrafos </w:t>
      </w:r>
      <w:r>
        <w:rPr>
          <w:rFonts w:ascii="Palatino Linotype" w:hAnsi="Palatino Linotype" w:cs="Arial"/>
        </w:rPr>
        <w:t>vigésimo, vigésimo primero</w:t>
      </w:r>
      <w:r>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w:t>
      </w:r>
      <w:r>
        <w:rPr>
          <w:rFonts w:ascii="Palatino Linotype" w:eastAsia="Times New Roman" w:hAnsi="Palatino Linotype" w:cs="Arial"/>
          <w:szCs w:val="22"/>
          <w:lang w:val="es-MX" w:eastAsia="en-US"/>
        </w:rPr>
        <w:lastRenderedPageBreak/>
        <w:t>181, 185 de la Ley de Transparencia y Acceso a la Información Pública del Estado de México y Municipios, este Pleno:</w:t>
      </w:r>
    </w:p>
    <w:p w:rsidR="00023903" w:rsidRDefault="00023903" w:rsidP="00023903">
      <w:pPr>
        <w:spacing w:before="240" w:after="240" w:line="360" w:lineRule="auto"/>
        <w:jc w:val="center"/>
        <w:rPr>
          <w:rFonts w:ascii="Palatino Linotype" w:hAnsi="Palatino Linotype" w:cs="Arial"/>
          <w:b/>
          <w:sz w:val="28"/>
        </w:rPr>
      </w:pPr>
      <w:r>
        <w:rPr>
          <w:rFonts w:ascii="Palatino Linotype" w:hAnsi="Palatino Linotype" w:cs="Arial"/>
          <w:b/>
          <w:sz w:val="28"/>
        </w:rPr>
        <w:t xml:space="preserve">III. </w:t>
      </w:r>
      <w:r>
        <w:rPr>
          <w:rFonts w:ascii="Palatino Linotype" w:hAnsi="Palatino Linotype" w:cs="Arial"/>
          <w:b/>
          <w:sz w:val="28"/>
        </w:rPr>
        <w:tab/>
        <w:t>R E S U E L V E:</w:t>
      </w:r>
    </w:p>
    <w:p w:rsidR="00023903" w:rsidRPr="00DB0552" w:rsidRDefault="00023903" w:rsidP="00023903">
      <w:pPr>
        <w:spacing w:before="240" w:after="240" w:line="360" w:lineRule="auto"/>
        <w:jc w:val="both"/>
        <w:rPr>
          <w:rFonts w:ascii="Palatino Linotype" w:eastAsia="Times New Roman" w:hAnsi="Palatino Linotype" w:cs="Arial"/>
        </w:rPr>
      </w:pPr>
      <w:r w:rsidRPr="00DB0552">
        <w:rPr>
          <w:rFonts w:ascii="Palatino Linotype" w:eastAsia="Times New Roman" w:hAnsi="Palatino Linotype" w:cs="Arial"/>
          <w:b/>
          <w:bCs/>
          <w:sz w:val="28"/>
        </w:rPr>
        <w:t>PRIMERO</w:t>
      </w:r>
      <w:r>
        <w:rPr>
          <w:rFonts w:ascii="Palatino Linotype" w:eastAsia="Times New Roman" w:hAnsi="Palatino Linotype" w:cs="Arial"/>
        </w:rPr>
        <w:t xml:space="preserve">. Resultan </w:t>
      </w:r>
      <w:r w:rsidRPr="00DB0552">
        <w:rPr>
          <w:rFonts w:ascii="Palatino Linotype" w:eastAsia="Times New Roman" w:hAnsi="Palatino Linotype" w:cs="Arial"/>
        </w:rPr>
        <w:t xml:space="preserve">fundadas las razones o motivos de inconformidad hechos valer por el recurrente, por lo que en términos del considerando </w:t>
      </w:r>
      <w:r w:rsidRPr="00DB0552">
        <w:rPr>
          <w:rFonts w:ascii="Palatino Linotype" w:eastAsia="Times New Roman" w:hAnsi="Palatino Linotype" w:cs="Arial"/>
          <w:b/>
        </w:rPr>
        <w:t>CUARTO,</w:t>
      </w:r>
      <w:r w:rsidRPr="00DB0552">
        <w:rPr>
          <w:rFonts w:ascii="Palatino Linotype" w:eastAsia="Times New Roman" w:hAnsi="Palatino Linotype" w:cs="Arial"/>
        </w:rPr>
        <w:t xml:space="preserve"> se </w:t>
      </w:r>
      <w:r>
        <w:rPr>
          <w:rFonts w:ascii="Palatino Linotype" w:eastAsia="Times New Roman" w:hAnsi="Palatino Linotype" w:cs="Arial"/>
          <w:b/>
        </w:rPr>
        <w:t>MODIFICA</w:t>
      </w:r>
      <w:r w:rsidRPr="00DB0552">
        <w:rPr>
          <w:rFonts w:ascii="Palatino Linotype" w:eastAsia="Times New Roman" w:hAnsi="Palatino Linotype" w:cs="Arial"/>
        </w:rPr>
        <w:t xml:space="preserve"> la respuesta del Sujeto Obligado.</w:t>
      </w:r>
    </w:p>
    <w:p w:rsidR="00023903" w:rsidRPr="00C310C2" w:rsidRDefault="00023903" w:rsidP="00023903">
      <w:pPr>
        <w:spacing w:before="240" w:after="240" w:line="360" w:lineRule="auto"/>
        <w:jc w:val="both"/>
        <w:rPr>
          <w:rFonts w:ascii="Palatino Linotype" w:eastAsia="Times New Roman" w:hAnsi="Palatino Linotype" w:cs="Arial"/>
        </w:rPr>
      </w:pPr>
      <w:r w:rsidRPr="00DB0552">
        <w:rPr>
          <w:rFonts w:ascii="Palatino Linotype" w:eastAsia="Times New Roman" w:hAnsi="Palatino Linotype" w:cs="Arial"/>
          <w:b/>
          <w:bCs/>
          <w:sz w:val="28"/>
        </w:rPr>
        <w:t>SEGUNDO</w:t>
      </w:r>
      <w:r w:rsidRPr="00DB0552">
        <w:rPr>
          <w:rFonts w:ascii="Palatino Linotype" w:eastAsia="Times New Roman" w:hAnsi="Palatino Linotype" w:cs="Arial"/>
          <w:b/>
          <w:bCs/>
        </w:rPr>
        <w:t xml:space="preserve">. </w:t>
      </w:r>
      <w:r w:rsidRPr="00DB0552">
        <w:rPr>
          <w:rFonts w:ascii="Palatino Linotype" w:eastAsia="Times New Roman" w:hAnsi="Palatino Linotype" w:cs="Arial"/>
        </w:rPr>
        <w:t xml:space="preserve">Se </w:t>
      </w:r>
      <w:r w:rsidRPr="00DB0552">
        <w:rPr>
          <w:rFonts w:ascii="Palatino Linotype" w:eastAsia="Times New Roman" w:hAnsi="Palatino Linotype" w:cs="Arial"/>
          <w:b/>
          <w:bCs/>
        </w:rPr>
        <w:t>ORDENA</w:t>
      </w:r>
      <w:r w:rsidRPr="00DB0552">
        <w:rPr>
          <w:rFonts w:ascii="Palatino Linotype" w:eastAsia="Times New Roman" w:hAnsi="Palatino Linotype" w:cs="Arial"/>
        </w:rPr>
        <w:t xml:space="preserve"> a</w:t>
      </w:r>
      <w:r>
        <w:rPr>
          <w:rFonts w:ascii="Palatino Linotype" w:eastAsia="Times New Roman" w:hAnsi="Palatino Linotype" w:cs="Arial"/>
        </w:rPr>
        <w:t xml:space="preserve"> la Universidad Politécnica del Valle de Toluca</w:t>
      </w:r>
      <w:r w:rsidRPr="00DB0552">
        <w:rPr>
          <w:rFonts w:ascii="Palatino Linotype" w:eastAsia="Times New Roman" w:hAnsi="Palatino Linotype" w:cs="Arial"/>
        </w:rPr>
        <w:t xml:space="preserve">, </w:t>
      </w:r>
      <w:r w:rsidRPr="00DB0552">
        <w:rPr>
          <w:rFonts w:ascii="Palatino Linotype" w:eastAsia="Times New Roman" w:hAnsi="Palatino Linotype" w:cs="Arial"/>
          <w:bCs/>
        </w:rPr>
        <w:t>atienda la solicitud de información</w:t>
      </w:r>
      <w:r w:rsidRPr="00DB0552">
        <w:rPr>
          <w:rFonts w:ascii="Palatino Linotype" w:eastAsia="Times New Roman" w:hAnsi="Palatino Linotype" w:cs="Arial"/>
        </w:rPr>
        <w:t xml:space="preserve"> </w:t>
      </w:r>
      <w:r w:rsidR="00271965">
        <w:rPr>
          <w:rFonts w:ascii="Palatino Linotype" w:hAnsi="Palatino Linotype"/>
          <w:b/>
          <w:bCs/>
        </w:rPr>
        <w:t>00193</w:t>
      </w:r>
      <w:r>
        <w:rPr>
          <w:rFonts w:ascii="Palatino Linotype" w:hAnsi="Palatino Linotype"/>
          <w:b/>
          <w:bCs/>
        </w:rPr>
        <w:t>/UPVT/IP/2018</w:t>
      </w:r>
      <w:r w:rsidRPr="00DB0552">
        <w:rPr>
          <w:rFonts w:ascii="Palatino Linotype" w:eastAsia="Times New Roman" w:hAnsi="Palatino Linotype" w:cs="Arial"/>
        </w:rPr>
        <w:t>, mediante la entrega vía SAIMEX</w:t>
      </w:r>
      <w:r w:rsidRPr="00C310C2">
        <w:rPr>
          <w:rFonts w:ascii="Palatino Linotype" w:eastAsia="Times New Roman" w:hAnsi="Palatino Linotype" w:cs="Arial"/>
          <w:bCs/>
        </w:rPr>
        <w:t xml:space="preserve">, en versión pública, </w:t>
      </w:r>
      <w:r w:rsidRPr="00C310C2">
        <w:rPr>
          <w:rFonts w:ascii="Palatino Linotype" w:eastAsia="Times New Roman" w:hAnsi="Palatino Linotype" w:cs="Arial"/>
        </w:rPr>
        <w:t xml:space="preserve">en términos de los considerandos </w:t>
      </w:r>
      <w:r w:rsidRPr="00C310C2">
        <w:rPr>
          <w:rFonts w:ascii="Palatino Linotype" w:eastAsia="Times New Roman" w:hAnsi="Palatino Linotype" w:cs="Arial"/>
          <w:b/>
        </w:rPr>
        <w:t xml:space="preserve">CUARTO </w:t>
      </w:r>
      <w:r w:rsidRPr="00C310C2">
        <w:rPr>
          <w:rFonts w:ascii="Palatino Linotype" w:eastAsia="Times New Roman" w:hAnsi="Palatino Linotype" w:cs="Arial"/>
        </w:rPr>
        <w:t>y</w:t>
      </w:r>
      <w:r w:rsidRPr="00C310C2">
        <w:rPr>
          <w:rFonts w:ascii="Palatino Linotype" w:eastAsia="Times New Roman" w:hAnsi="Palatino Linotype" w:cs="Arial"/>
          <w:b/>
        </w:rPr>
        <w:t xml:space="preserve"> QUINTO </w:t>
      </w:r>
      <w:r w:rsidRPr="00C310C2">
        <w:rPr>
          <w:rFonts w:ascii="Palatino Linotype" w:eastAsia="Times New Roman" w:hAnsi="Palatino Linotype" w:cs="Arial"/>
        </w:rPr>
        <w:t>de esta resolución, de lo siguiente:</w:t>
      </w:r>
    </w:p>
    <w:p w:rsidR="00E03E6C" w:rsidRPr="00E03E6C" w:rsidRDefault="00023903" w:rsidP="00023903">
      <w:pPr>
        <w:numPr>
          <w:ilvl w:val="0"/>
          <w:numId w:val="4"/>
        </w:numPr>
        <w:spacing w:before="100" w:beforeAutospacing="1" w:after="100" w:afterAutospacing="1" w:line="360" w:lineRule="auto"/>
        <w:jc w:val="both"/>
        <w:rPr>
          <w:rFonts w:ascii="Palatino Linotype" w:hAnsi="Palatino Linotype" w:cs="Segoe UI"/>
          <w:i/>
        </w:rPr>
      </w:pPr>
      <w:r w:rsidRPr="00E03E6C">
        <w:rPr>
          <w:rFonts w:ascii="Palatino Linotype" w:eastAsiaTheme="minorHAnsi" w:hAnsi="Palatino Linotype" w:cs="Arial"/>
          <w:szCs w:val="22"/>
          <w:lang w:val="es-MX" w:eastAsia="en-US"/>
        </w:rPr>
        <w:t xml:space="preserve">El documento o documentos en donde conste el proceso </w:t>
      </w:r>
      <w:r w:rsidR="00FB069A">
        <w:rPr>
          <w:rFonts w:ascii="Palatino Linotype" w:eastAsiaTheme="minorHAnsi" w:hAnsi="Palatino Linotype" w:cs="Arial"/>
          <w:szCs w:val="22"/>
          <w:lang w:val="es-MX" w:eastAsia="en-US"/>
        </w:rPr>
        <w:t xml:space="preserve">de </w:t>
      </w:r>
      <w:r w:rsidR="00E03E6C" w:rsidRPr="00E03E6C">
        <w:rPr>
          <w:rFonts w:ascii="Palatino Linotype" w:eastAsiaTheme="minorHAnsi" w:hAnsi="Palatino Linotype" w:cs="Arial"/>
          <w:szCs w:val="22"/>
          <w:lang w:val="es-MX" w:eastAsia="en-US"/>
        </w:rPr>
        <w:t>selección, de los servidores</w:t>
      </w:r>
      <w:r w:rsidR="00FB069A">
        <w:rPr>
          <w:rFonts w:ascii="Palatino Linotype" w:eastAsiaTheme="minorHAnsi" w:hAnsi="Palatino Linotype" w:cs="Arial"/>
          <w:szCs w:val="22"/>
          <w:lang w:val="es-MX" w:eastAsia="en-US"/>
        </w:rPr>
        <w:t xml:space="preserve"> públicos enviados en respuesta.</w:t>
      </w:r>
    </w:p>
    <w:p w:rsidR="00023903" w:rsidRPr="00E03E6C" w:rsidRDefault="00023903" w:rsidP="00E03E6C">
      <w:pPr>
        <w:spacing w:before="100" w:beforeAutospacing="1" w:after="100" w:afterAutospacing="1" w:line="360" w:lineRule="auto"/>
        <w:jc w:val="both"/>
        <w:rPr>
          <w:rFonts w:ascii="Palatino Linotype" w:hAnsi="Palatino Linotype" w:cs="Segoe UI"/>
          <w:i/>
        </w:rPr>
      </w:pPr>
      <w:r w:rsidRPr="00E03E6C">
        <w:rPr>
          <w:rFonts w:ascii="Palatino Linotype" w:hAnsi="Palatino Linotype" w:cs="Segoe UI"/>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023903" w:rsidRPr="00DB0552" w:rsidRDefault="00023903" w:rsidP="00023903">
      <w:pPr>
        <w:spacing w:before="240" w:after="240" w:line="360" w:lineRule="auto"/>
        <w:jc w:val="both"/>
        <w:rPr>
          <w:rFonts w:ascii="Palatino Linotype" w:eastAsia="Times New Roman" w:hAnsi="Palatino Linotype" w:cs="Arial"/>
          <w:lang w:val="es-MX" w:eastAsia="en-US"/>
        </w:rPr>
      </w:pPr>
      <w:r w:rsidRPr="00DB0552">
        <w:rPr>
          <w:rFonts w:ascii="Palatino Linotype" w:eastAsia="Times New Roman" w:hAnsi="Palatino Linotype" w:cs="Arial"/>
          <w:b/>
          <w:bCs/>
          <w:sz w:val="28"/>
          <w:lang w:val="es-MX" w:eastAsia="en-US"/>
        </w:rPr>
        <w:t>TERCERO</w:t>
      </w:r>
      <w:r w:rsidRPr="00DB0552">
        <w:rPr>
          <w:rFonts w:ascii="Palatino Linotype" w:eastAsia="Times New Roman" w:hAnsi="Palatino Linotype" w:cs="Arial"/>
          <w:b/>
          <w:bCs/>
          <w:lang w:val="es-MX" w:eastAsia="en-US"/>
        </w:rPr>
        <w:t>. NOTIFÍQUESE</w:t>
      </w:r>
      <w:r w:rsidRPr="00DB0552">
        <w:rPr>
          <w:rFonts w:ascii="Palatino Linotype" w:eastAsia="Times New Roman" w:hAnsi="Palatino Linotype" w:cs="Arial"/>
          <w:lang w:val="es-MX" w:eastAsia="en-US"/>
        </w:rPr>
        <w:t xml:space="preserve"> la presente resolución </w:t>
      </w:r>
      <w:r w:rsidRPr="00DB0552">
        <w:rPr>
          <w:rFonts w:ascii="Palatino Linotype" w:eastAsia="Times New Roman" w:hAnsi="Palatino Linotype" w:cs="Arial"/>
          <w:bCs/>
          <w:lang w:val="es-MX" w:eastAsia="en-US"/>
        </w:rPr>
        <w:t>al Titular de la Unidad de Transparencia del</w:t>
      </w:r>
      <w:r w:rsidRPr="00DB0552">
        <w:rPr>
          <w:rFonts w:ascii="Palatino Linotype" w:eastAsia="Times New Roman" w:hAnsi="Palatino Linotype" w:cs="Arial"/>
          <w:b/>
          <w:bCs/>
          <w:lang w:val="es-MX" w:eastAsia="en-US"/>
        </w:rPr>
        <w:t> </w:t>
      </w:r>
      <w:r w:rsidRPr="00DB0552">
        <w:rPr>
          <w:rFonts w:ascii="Palatino Linotype" w:eastAsia="Times New Roman" w:hAnsi="Palatino Linotype" w:cs="Arial"/>
          <w:bCs/>
          <w:lang w:val="es-MX" w:eastAsia="en-US"/>
        </w:rPr>
        <w:t xml:space="preserve">Sujeto Obligado, para que en los términos previstos en los </w:t>
      </w:r>
      <w:r w:rsidRPr="00DB0552">
        <w:rPr>
          <w:rFonts w:ascii="Palatino Linotype" w:eastAsia="Times New Roman" w:hAnsi="Palatino Linotype" w:cs="Arial"/>
          <w:bCs/>
          <w:lang w:val="es-MX" w:eastAsia="en-US"/>
        </w:rPr>
        <w:lastRenderedPageBreak/>
        <w:t>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de la misma</w:t>
      </w:r>
      <w:r w:rsidRPr="00DB0552">
        <w:rPr>
          <w:rFonts w:ascii="Palatino Linotype" w:eastAsia="Times New Roman" w:hAnsi="Palatino Linotype" w:cs="Arial"/>
          <w:lang w:val="es-MX" w:eastAsia="en-US"/>
        </w:rPr>
        <w:t xml:space="preserve"> tal y como lo disponen los artículos 198 y 199 de la citada ley. </w:t>
      </w:r>
    </w:p>
    <w:p w:rsidR="00023903" w:rsidRPr="00DB0552" w:rsidRDefault="00023903" w:rsidP="00023903">
      <w:pPr>
        <w:spacing w:before="240" w:after="240" w:line="360" w:lineRule="auto"/>
        <w:jc w:val="both"/>
        <w:rPr>
          <w:rFonts w:ascii="Palatino Linotype" w:eastAsiaTheme="minorHAnsi" w:hAnsi="Palatino Linotype" w:cs="Arial"/>
          <w:lang w:val="es-MX" w:eastAsia="en-US"/>
        </w:rPr>
      </w:pPr>
      <w:r w:rsidRPr="00DB0552">
        <w:rPr>
          <w:rFonts w:ascii="Palatino Linotype" w:eastAsia="Times New Roman" w:hAnsi="Palatino Linotype" w:cs="Arial"/>
          <w:b/>
          <w:sz w:val="28"/>
          <w:lang w:val="es-MX" w:eastAsia="en-US"/>
        </w:rPr>
        <w:t>CUARTO.</w:t>
      </w:r>
      <w:r w:rsidRPr="00DB0552">
        <w:rPr>
          <w:rFonts w:ascii="Palatino Linotype" w:eastAsia="Times New Roman" w:hAnsi="Palatino Linotype" w:cs="Arial"/>
          <w:b/>
          <w:lang w:val="es-MX" w:eastAsia="en-US"/>
        </w:rPr>
        <w:t xml:space="preserve"> </w:t>
      </w:r>
      <w:r w:rsidRPr="00DB0552">
        <w:rPr>
          <w:rFonts w:ascii="Palatino Linotype" w:eastAsiaTheme="minorHAnsi" w:hAnsi="Palatino Linotype" w:cs="Arial"/>
          <w:b/>
          <w:lang w:val="es-MX" w:eastAsia="en-US"/>
        </w:rPr>
        <w:t>NOTIFÍQUESE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al recurrente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rsidR="00023903" w:rsidRDefault="00023903" w:rsidP="00023903">
      <w:pPr>
        <w:spacing w:before="100" w:beforeAutospacing="1" w:after="100" w:afterAutospacing="1" w:line="360" w:lineRule="auto"/>
        <w:jc w:val="both"/>
        <w:rPr>
          <w:rFonts w:ascii="Palatino Linotype" w:hAnsi="Palatino Linotype" w:cs="Arial"/>
          <w:szCs w:val="25"/>
        </w:rPr>
      </w:pPr>
      <w:r>
        <w:rPr>
          <w:rFonts w:ascii="Palatino Linotype" w:hAnsi="Palatino Linotype" w:cs="Arial"/>
          <w:szCs w:val="25"/>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w:t>
      </w:r>
      <w:r w:rsidR="00772D02">
        <w:rPr>
          <w:rFonts w:ascii="Palatino Linotype" w:hAnsi="Palatino Linotype" w:cs="Arial"/>
          <w:szCs w:val="25"/>
        </w:rPr>
        <w:t xml:space="preserve">EMITIENDO VOTO PARTICULAR </w:t>
      </w:r>
      <w:r>
        <w:rPr>
          <w:rFonts w:ascii="Palatino Linotype" w:hAnsi="Palatino Linotype" w:cs="Arial"/>
          <w:szCs w:val="25"/>
        </w:rPr>
        <w:t xml:space="preserve">Y JAVIER MARTÍNEZ CRUZ, EN LA VIGÉSIMA </w:t>
      </w:r>
      <w:r w:rsidR="00271965">
        <w:rPr>
          <w:rFonts w:ascii="Palatino Linotype" w:hAnsi="Palatino Linotype" w:cs="Arial"/>
          <w:szCs w:val="25"/>
        </w:rPr>
        <w:t>SÉPTIMA</w:t>
      </w:r>
      <w:r>
        <w:rPr>
          <w:rFonts w:ascii="Palatino Linotype" w:hAnsi="Palatino Linotype" w:cs="Arial"/>
          <w:szCs w:val="25"/>
        </w:rPr>
        <w:t xml:space="preserve"> SESIÓN ORDINARIA CELEBRADA EL DÍA </w:t>
      </w:r>
      <w:r w:rsidR="00271965">
        <w:rPr>
          <w:rFonts w:ascii="Palatino Linotype" w:hAnsi="Palatino Linotype" w:cs="Arial"/>
          <w:szCs w:val="25"/>
        </w:rPr>
        <w:t>UNO DE AGOSTO</w:t>
      </w:r>
      <w:r>
        <w:rPr>
          <w:rFonts w:ascii="Palatino Linotype" w:hAnsi="Palatino Linotype" w:cs="Arial"/>
          <w:szCs w:val="25"/>
        </w:rPr>
        <w:t xml:space="preserve"> DE DOS MIL DIECIOCHO, ANTE EL SECRETARIO TÉCNICO DEL PLENO, ALEXIS TAPIA RAMÍREZ. </w:t>
      </w:r>
    </w:p>
    <w:p w:rsidR="00023903" w:rsidRDefault="00023903" w:rsidP="00023903">
      <w:pPr>
        <w:spacing w:before="240" w:after="240" w:line="360" w:lineRule="auto"/>
        <w:jc w:val="both"/>
        <w:rPr>
          <w:rFonts w:ascii="Palatino Linotype" w:hAnsi="Palatino Linotype" w:cs="Arial"/>
          <w:szCs w:val="25"/>
        </w:rPr>
      </w:pPr>
    </w:p>
    <w:p w:rsidR="00E03E6C" w:rsidRDefault="00E03E6C" w:rsidP="00023903">
      <w:pPr>
        <w:spacing w:before="240" w:after="240" w:line="360" w:lineRule="auto"/>
        <w:jc w:val="both"/>
        <w:rPr>
          <w:rFonts w:ascii="Palatino Linotype" w:hAnsi="Palatino Linotype" w:cs="Arial"/>
          <w:szCs w:val="25"/>
        </w:rPr>
      </w:pPr>
    </w:p>
    <w:p w:rsidR="00E03E6C" w:rsidRDefault="00E03E6C" w:rsidP="00023903">
      <w:pPr>
        <w:spacing w:before="240" w:after="240" w:line="360" w:lineRule="auto"/>
        <w:jc w:val="both"/>
        <w:rPr>
          <w:rFonts w:ascii="Palatino Linotype" w:hAnsi="Palatino Linotype" w:cs="Arial"/>
          <w:szCs w:val="25"/>
        </w:rPr>
      </w:pPr>
    </w:p>
    <w:p w:rsidR="00E03E6C" w:rsidRDefault="00E03E6C" w:rsidP="00023903">
      <w:pPr>
        <w:spacing w:before="240" w:after="240" w:line="360" w:lineRule="auto"/>
        <w:jc w:val="both"/>
        <w:rPr>
          <w:rFonts w:ascii="Palatino Linotype" w:hAnsi="Palatino Linotype" w:cs="Arial"/>
          <w:szCs w:val="25"/>
        </w:rPr>
      </w:pPr>
    </w:p>
    <w:p w:rsidR="00FB069A" w:rsidRDefault="00FB069A" w:rsidP="00023903">
      <w:pPr>
        <w:spacing w:before="240" w:after="240"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023903" w:rsidTr="00F459DA">
        <w:trPr>
          <w:trHeight w:val="924"/>
          <w:jc w:val="center"/>
        </w:trPr>
        <w:tc>
          <w:tcPr>
            <w:tcW w:w="5000" w:type="pct"/>
            <w:gridSpan w:val="2"/>
          </w:tcPr>
          <w:p w:rsidR="00023903" w:rsidRDefault="00023903" w:rsidP="00F459DA">
            <w:pPr>
              <w:spacing w:line="252" w:lineRule="auto"/>
              <w:jc w:val="center"/>
              <w:rPr>
                <w:rFonts w:ascii="Palatino Linotype" w:hAnsi="Palatino Linotype" w:cs="Arial"/>
                <w:b/>
              </w:rPr>
            </w:pPr>
            <w:r>
              <w:rPr>
                <w:rFonts w:ascii="Palatino Linotype" w:hAnsi="Palatino Linotype" w:cs="Arial"/>
                <w:b/>
              </w:rPr>
              <w:t>Zulema Martínez Sánchez</w:t>
            </w:r>
          </w:p>
          <w:p w:rsidR="00023903" w:rsidRDefault="00023903" w:rsidP="00F459DA">
            <w:pPr>
              <w:spacing w:line="252" w:lineRule="auto"/>
              <w:jc w:val="center"/>
              <w:rPr>
                <w:rFonts w:ascii="Palatino Linotype" w:hAnsi="Palatino Linotype" w:cs="Arial"/>
              </w:rPr>
            </w:pPr>
            <w:r>
              <w:rPr>
                <w:rFonts w:ascii="Palatino Linotype" w:hAnsi="Palatino Linotype" w:cs="Arial"/>
              </w:rPr>
              <w:t>Comisionada Presidenta</w:t>
            </w:r>
          </w:p>
          <w:p w:rsidR="00023903" w:rsidRDefault="00023903" w:rsidP="00F459DA">
            <w:pPr>
              <w:spacing w:line="252" w:lineRule="auto"/>
              <w:jc w:val="center"/>
              <w:rPr>
                <w:rFonts w:ascii="Palatino Linotype" w:hAnsi="Palatino Linotype" w:cs="Arial"/>
              </w:rPr>
            </w:pPr>
            <w:r>
              <w:rPr>
                <w:rFonts w:ascii="Palatino Linotype" w:hAnsi="Palatino Linotype" w:cs="Arial"/>
              </w:rPr>
              <w:t>(Rúbrica)</w:t>
            </w:r>
          </w:p>
          <w:p w:rsidR="00023903" w:rsidRDefault="00023903" w:rsidP="00F459DA">
            <w:pPr>
              <w:spacing w:line="252" w:lineRule="auto"/>
              <w:rPr>
                <w:rFonts w:ascii="Palatino Linotype" w:hAnsi="Palatino Linotype" w:cs="Arial"/>
              </w:rPr>
            </w:pPr>
          </w:p>
          <w:p w:rsidR="00E03E6C" w:rsidRDefault="00E03E6C" w:rsidP="00F459DA">
            <w:pPr>
              <w:spacing w:line="360" w:lineRule="auto"/>
              <w:rPr>
                <w:rFonts w:ascii="Palatino Linotype" w:hAnsi="Palatino Linotype" w:cs="Arial"/>
              </w:rPr>
            </w:pPr>
          </w:p>
          <w:p w:rsidR="00E03E6C" w:rsidRDefault="00E03E6C" w:rsidP="00F459DA">
            <w:pPr>
              <w:spacing w:line="360" w:lineRule="auto"/>
              <w:rPr>
                <w:rFonts w:ascii="Palatino Linotype" w:hAnsi="Palatino Linotype" w:cs="Arial"/>
              </w:rPr>
            </w:pPr>
          </w:p>
          <w:p w:rsidR="00023903" w:rsidRDefault="00023903" w:rsidP="00F459DA">
            <w:pPr>
              <w:spacing w:line="360" w:lineRule="auto"/>
              <w:rPr>
                <w:rFonts w:ascii="Palatino Linotype" w:hAnsi="Palatino Linotype" w:cs="Arial"/>
              </w:rPr>
            </w:pPr>
          </w:p>
        </w:tc>
      </w:tr>
      <w:tr w:rsidR="00023903" w:rsidTr="00F459DA">
        <w:trPr>
          <w:trHeight w:val="902"/>
          <w:jc w:val="center"/>
        </w:trPr>
        <w:tc>
          <w:tcPr>
            <w:tcW w:w="2385" w:type="pct"/>
            <w:hideMark/>
          </w:tcPr>
          <w:p w:rsidR="00023903" w:rsidRDefault="00023903" w:rsidP="00F459DA">
            <w:pPr>
              <w:spacing w:line="252"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023903" w:rsidRDefault="00023903" w:rsidP="00F459DA">
            <w:pPr>
              <w:spacing w:line="252" w:lineRule="auto"/>
              <w:jc w:val="center"/>
              <w:rPr>
                <w:rFonts w:ascii="Palatino Linotype" w:hAnsi="Palatino Linotype" w:cs="Arial"/>
              </w:rPr>
            </w:pPr>
            <w:r>
              <w:rPr>
                <w:rFonts w:ascii="Palatino Linotype" w:hAnsi="Palatino Linotype" w:cs="Arial"/>
              </w:rPr>
              <w:t>Comisionada</w:t>
            </w:r>
          </w:p>
          <w:p w:rsidR="00023903" w:rsidRDefault="00023903" w:rsidP="00F459DA">
            <w:pPr>
              <w:spacing w:line="252" w:lineRule="auto"/>
              <w:jc w:val="center"/>
              <w:rPr>
                <w:rFonts w:ascii="Palatino Linotype" w:hAnsi="Palatino Linotype" w:cs="Arial"/>
              </w:rPr>
            </w:pPr>
            <w:r>
              <w:rPr>
                <w:rFonts w:ascii="Palatino Linotype" w:hAnsi="Palatino Linotype" w:cs="Arial"/>
              </w:rPr>
              <w:t>(Rúbrica)</w:t>
            </w:r>
          </w:p>
        </w:tc>
        <w:tc>
          <w:tcPr>
            <w:tcW w:w="2615" w:type="pct"/>
          </w:tcPr>
          <w:p w:rsidR="00023903" w:rsidRDefault="00023903" w:rsidP="00F459DA">
            <w:pPr>
              <w:spacing w:line="252" w:lineRule="auto"/>
              <w:jc w:val="center"/>
              <w:rPr>
                <w:rFonts w:ascii="Palatino Linotype" w:hAnsi="Palatino Linotype" w:cs="Arial"/>
                <w:b/>
              </w:rPr>
            </w:pPr>
            <w:r>
              <w:rPr>
                <w:rFonts w:ascii="Palatino Linotype" w:hAnsi="Palatino Linotype" w:cs="Arial"/>
                <w:b/>
              </w:rPr>
              <w:t>José Guadalupe Luna Hernández</w:t>
            </w:r>
          </w:p>
          <w:p w:rsidR="00023903" w:rsidRDefault="00023903" w:rsidP="00F459DA">
            <w:pPr>
              <w:spacing w:line="252" w:lineRule="auto"/>
              <w:jc w:val="center"/>
              <w:rPr>
                <w:rFonts w:ascii="Palatino Linotype" w:hAnsi="Palatino Linotype" w:cs="Arial"/>
              </w:rPr>
            </w:pPr>
            <w:r>
              <w:rPr>
                <w:rFonts w:ascii="Palatino Linotype" w:hAnsi="Palatino Linotype" w:cs="Arial"/>
              </w:rPr>
              <w:t>Comisionado</w:t>
            </w:r>
          </w:p>
          <w:p w:rsidR="00023903" w:rsidRDefault="00023903" w:rsidP="00F459DA">
            <w:pPr>
              <w:spacing w:line="252" w:lineRule="auto"/>
              <w:jc w:val="center"/>
              <w:rPr>
                <w:rFonts w:ascii="Palatino Linotype" w:hAnsi="Palatino Linotype" w:cs="Arial"/>
              </w:rPr>
            </w:pPr>
            <w:r>
              <w:rPr>
                <w:rFonts w:ascii="Palatino Linotype" w:hAnsi="Palatino Linotype" w:cs="Arial"/>
              </w:rPr>
              <w:t>(Rúbrica)</w:t>
            </w:r>
          </w:p>
          <w:p w:rsidR="00023903" w:rsidRDefault="00023903" w:rsidP="00F459DA">
            <w:pPr>
              <w:spacing w:line="252" w:lineRule="auto"/>
              <w:rPr>
                <w:rFonts w:ascii="Palatino Linotype" w:hAnsi="Palatino Linotype" w:cs="Arial"/>
              </w:rPr>
            </w:pPr>
          </w:p>
          <w:p w:rsidR="00023903" w:rsidRDefault="00023903" w:rsidP="00F459DA">
            <w:pPr>
              <w:spacing w:line="252" w:lineRule="auto"/>
              <w:rPr>
                <w:rFonts w:ascii="Palatino Linotype" w:hAnsi="Palatino Linotype" w:cs="Arial"/>
              </w:rPr>
            </w:pPr>
          </w:p>
          <w:p w:rsidR="00023903" w:rsidRDefault="00023903" w:rsidP="00F459DA">
            <w:pPr>
              <w:spacing w:line="252" w:lineRule="auto"/>
              <w:rPr>
                <w:rFonts w:ascii="Palatino Linotype" w:hAnsi="Palatino Linotype" w:cs="Arial"/>
              </w:rPr>
            </w:pPr>
          </w:p>
          <w:p w:rsidR="00023903" w:rsidRDefault="00023903" w:rsidP="00F459DA">
            <w:pPr>
              <w:spacing w:line="252" w:lineRule="auto"/>
              <w:rPr>
                <w:rFonts w:ascii="Palatino Linotype" w:hAnsi="Palatino Linotype" w:cs="Arial"/>
              </w:rPr>
            </w:pPr>
          </w:p>
        </w:tc>
      </w:tr>
      <w:tr w:rsidR="00023903" w:rsidTr="00F459DA">
        <w:trPr>
          <w:jc w:val="center"/>
        </w:trPr>
        <w:tc>
          <w:tcPr>
            <w:tcW w:w="5000" w:type="pct"/>
            <w:gridSpan w:val="2"/>
          </w:tcPr>
          <w:p w:rsidR="00023903" w:rsidRDefault="00023903" w:rsidP="00F459DA">
            <w:pPr>
              <w:spacing w:line="252" w:lineRule="auto"/>
              <w:jc w:val="center"/>
              <w:rPr>
                <w:rFonts w:ascii="Palatino Linotype" w:hAnsi="Palatino Linotype" w:cs="Arial"/>
                <w:b/>
              </w:rPr>
            </w:pPr>
            <w:r>
              <w:rPr>
                <w:rFonts w:ascii="Palatino Linotype" w:hAnsi="Palatino Linotype" w:cs="Arial"/>
                <w:b/>
              </w:rPr>
              <w:t xml:space="preserve">Javier Martínez Cruz </w:t>
            </w:r>
          </w:p>
          <w:p w:rsidR="00023903" w:rsidRDefault="00023903" w:rsidP="00F459DA">
            <w:pPr>
              <w:spacing w:line="252" w:lineRule="auto"/>
              <w:jc w:val="center"/>
              <w:rPr>
                <w:rFonts w:ascii="Palatino Linotype" w:hAnsi="Palatino Linotype" w:cs="Arial"/>
              </w:rPr>
            </w:pPr>
            <w:r>
              <w:rPr>
                <w:rFonts w:ascii="Palatino Linotype" w:hAnsi="Palatino Linotype" w:cs="Arial"/>
              </w:rPr>
              <w:t>Comisionado</w:t>
            </w:r>
          </w:p>
          <w:p w:rsidR="00023903" w:rsidRDefault="00023903" w:rsidP="00F459DA">
            <w:pPr>
              <w:spacing w:line="252" w:lineRule="auto"/>
              <w:jc w:val="center"/>
              <w:rPr>
                <w:rFonts w:ascii="Palatino Linotype" w:hAnsi="Palatino Linotype" w:cs="Arial"/>
              </w:rPr>
            </w:pPr>
            <w:r>
              <w:rPr>
                <w:rFonts w:ascii="Palatino Linotype" w:hAnsi="Palatino Linotype" w:cs="Arial"/>
              </w:rPr>
              <w:t>(Rúbrica)</w:t>
            </w:r>
          </w:p>
          <w:p w:rsidR="00023903" w:rsidRDefault="00023903" w:rsidP="00F459DA">
            <w:pPr>
              <w:spacing w:line="252" w:lineRule="auto"/>
              <w:rPr>
                <w:rFonts w:ascii="Palatino Linotype" w:hAnsi="Palatino Linotype" w:cs="Arial"/>
              </w:rPr>
            </w:pPr>
          </w:p>
          <w:p w:rsidR="00023903" w:rsidRDefault="00023903" w:rsidP="00F459DA">
            <w:pPr>
              <w:spacing w:line="252" w:lineRule="auto"/>
              <w:rPr>
                <w:rFonts w:ascii="Palatino Linotype" w:hAnsi="Palatino Linotype" w:cs="Arial"/>
              </w:rPr>
            </w:pPr>
          </w:p>
          <w:p w:rsidR="00023903" w:rsidRDefault="00023903" w:rsidP="00F459DA">
            <w:pPr>
              <w:spacing w:line="252" w:lineRule="auto"/>
              <w:rPr>
                <w:rFonts w:ascii="Palatino Linotype" w:hAnsi="Palatino Linotype" w:cs="Arial"/>
              </w:rPr>
            </w:pPr>
          </w:p>
          <w:p w:rsidR="00023903" w:rsidRDefault="00023903" w:rsidP="00F459DA">
            <w:pPr>
              <w:spacing w:line="252" w:lineRule="auto"/>
              <w:rPr>
                <w:rFonts w:ascii="Palatino Linotype" w:hAnsi="Palatino Linotype" w:cs="Arial"/>
              </w:rPr>
            </w:pPr>
          </w:p>
        </w:tc>
      </w:tr>
      <w:tr w:rsidR="00023903" w:rsidTr="00F459DA">
        <w:trPr>
          <w:jc w:val="center"/>
        </w:trPr>
        <w:tc>
          <w:tcPr>
            <w:tcW w:w="5000" w:type="pct"/>
            <w:gridSpan w:val="2"/>
          </w:tcPr>
          <w:p w:rsidR="00023903" w:rsidRDefault="00023903" w:rsidP="00F459DA">
            <w:pPr>
              <w:spacing w:line="252" w:lineRule="auto"/>
              <w:jc w:val="center"/>
              <w:rPr>
                <w:rFonts w:ascii="Palatino Linotype" w:hAnsi="Palatino Linotype" w:cs="Arial"/>
                <w:b/>
              </w:rPr>
            </w:pPr>
            <w:r>
              <w:rPr>
                <w:rFonts w:ascii="Palatino Linotype" w:hAnsi="Palatino Linotype" w:cs="Arial"/>
                <w:b/>
              </w:rPr>
              <w:t xml:space="preserve">      Alexis Tapia Ramírez</w:t>
            </w:r>
          </w:p>
          <w:p w:rsidR="00023903" w:rsidRDefault="00023903" w:rsidP="00F459DA">
            <w:pPr>
              <w:tabs>
                <w:tab w:val="left" w:pos="780"/>
                <w:tab w:val="center" w:pos="4499"/>
              </w:tabs>
              <w:spacing w:line="252" w:lineRule="auto"/>
              <w:rPr>
                <w:rFonts w:ascii="Palatino Linotype" w:hAnsi="Palatino Linotype" w:cs="Arial"/>
              </w:rPr>
            </w:pPr>
            <w:r>
              <w:rPr>
                <w:rFonts w:ascii="Palatino Linotype" w:hAnsi="Palatino Linotype" w:cs="Arial"/>
              </w:rPr>
              <w:tab/>
            </w:r>
            <w:r>
              <w:rPr>
                <w:rFonts w:ascii="Palatino Linotype" w:hAnsi="Palatino Linotype" w:cs="Arial"/>
              </w:rPr>
              <w:tab/>
              <w:t>Secretario Técnico del Pleno</w:t>
            </w:r>
          </w:p>
          <w:p w:rsidR="00023903" w:rsidRDefault="00023903" w:rsidP="00F459DA">
            <w:pPr>
              <w:spacing w:line="252" w:lineRule="auto"/>
              <w:jc w:val="center"/>
              <w:rPr>
                <w:rFonts w:ascii="Palatino Linotype" w:hAnsi="Palatino Linotype" w:cs="Arial"/>
              </w:rPr>
            </w:pPr>
            <w:r>
              <w:rPr>
                <w:rFonts w:ascii="Palatino Linotype" w:hAnsi="Palatino Linotype" w:cs="Arial"/>
              </w:rPr>
              <w:t xml:space="preserve">    (Rúbrica)</w:t>
            </w:r>
          </w:p>
          <w:p w:rsidR="00023903" w:rsidRDefault="00023903" w:rsidP="00F459DA">
            <w:pPr>
              <w:spacing w:line="252" w:lineRule="auto"/>
              <w:rPr>
                <w:rFonts w:ascii="Palatino Linotype" w:hAnsi="Palatino Linotype" w:cs="Arial"/>
              </w:rPr>
            </w:pPr>
          </w:p>
        </w:tc>
      </w:tr>
    </w:tbl>
    <w:p w:rsidR="00023903" w:rsidRPr="00E03E6C" w:rsidRDefault="00023903" w:rsidP="00023903">
      <w:pPr>
        <w:spacing w:before="100" w:beforeAutospacing="1" w:after="100" w:afterAutospacing="1" w:line="360" w:lineRule="auto"/>
        <w:jc w:val="both"/>
      </w:pPr>
      <w:r>
        <w:rPr>
          <w:rFonts w:ascii="Palatino Linotype" w:hAnsi="Palatino Linotype" w:cs="Arial"/>
          <w:sz w:val="20"/>
          <w:szCs w:val="20"/>
        </w:rPr>
        <w:t xml:space="preserve">Esta hoja corresponde a la resolución de fecha </w:t>
      </w:r>
      <w:r w:rsidR="00271965">
        <w:rPr>
          <w:rFonts w:ascii="Palatino Linotype" w:hAnsi="Palatino Linotype" w:cs="Arial"/>
          <w:sz w:val="20"/>
          <w:szCs w:val="20"/>
        </w:rPr>
        <w:t>uno de agosto</w:t>
      </w:r>
      <w:r>
        <w:rPr>
          <w:rFonts w:ascii="Palatino Linotype" w:hAnsi="Palatino Linotype" w:cs="Arial"/>
          <w:sz w:val="20"/>
          <w:szCs w:val="20"/>
        </w:rPr>
        <w:t xml:space="preserve"> de dos mil dieciocho, emitida en el recurso de revisión </w:t>
      </w:r>
      <w:r w:rsidR="00271965">
        <w:rPr>
          <w:rFonts w:ascii="Palatino Linotype" w:hAnsi="Palatino Linotype" w:cs="Arial"/>
          <w:b/>
          <w:bCs/>
          <w:sz w:val="20"/>
          <w:szCs w:val="20"/>
        </w:rPr>
        <w:t>02049</w:t>
      </w:r>
      <w:r w:rsidRPr="00B378C6">
        <w:rPr>
          <w:rFonts w:ascii="Palatino Linotype" w:hAnsi="Palatino Linotype" w:cs="Arial"/>
          <w:b/>
          <w:bCs/>
          <w:sz w:val="20"/>
          <w:szCs w:val="20"/>
        </w:rPr>
        <w:t>/INFOEM/IP/RR/2018</w:t>
      </w:r>
      <w:r>
        <w:rPr>
          <w:rFonts w:ascii="Palatino Linotype" w:hAnsi="Palatino Linotype" w:cs="Arial"/>
          <w:bCs/>
          <w:sz w:val="20"/>
          <w:szCs w:val="20"/>
        </w:rPr>
        <w:t>.</w:t>
      </w:r>
      <w:r>
        <w:rPr>
          <w:rFonts w:ascii="Palatino Linotype" w:hAnsi="Palatino Linotype" w:cs="Arial"/>
        </w:rPr>
        <w:t xml:space="preserve"> </w:t>
      </w:r>
    </w:p>
    <w:sectPr w:rsidR="00023903" w:rsidRPr="00E03E6C" w:rsidSect="002D0829">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EC" w:rsidRDefault="000573EC" w:rsidP="00530956">
      <w:r>
        <w:separator/>
      </w:r>
    </w:p>
  </w:endnote>
  <w:endnote w:type="continuationSeparator" w:id="0">
    <w:p w:rsidR="000573EC" w:rsidRDefault="000573EC" w:rsidP="0053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29" w:rsidRPr="007C5455" w:rsidRDefault="002D0829" w:rsidP="002D0829">
    <w:pPr>
      <w:tabs>
        <w:tab w:val="center" w:pos="4419"/>
        <w:tab w:val="right" w:pos="8838"/>
      </w:tabs>
      <w:jc w:val="right"/>
    </w:pPr>
    <w:r w:rsidRPr="007C5455">
      <w:rPr>
        <w:rFonts w:ascii="Arial" w:hAnsi="Arial" w:cs="Arial"/>
        <w:b/>
        <w:bCs/>
        <w:sz w:val="20"/>
        <w:szCs w:val="20"/>
      </w:rPr>
      <w:t xml:space="preserve">Página </w:t>
    </w:r>
    <w:r w:rsidRPr="007C5455">
      <w:rPr>
        <w:rFonts w:ascii="Arial" w:hAnsi="Arial" w:cs="Arial"/>
        <w:b/>
        <w:bCs/>
        <w:sz w:val="20"/>
        <w:szCs w:val="20"/>
      </w:rPr>
      <w:fldChar w:fldCharType="begin"/>
    </w:r>
    <w:r w:rsidRPr="007C5455">
      <w:rPr>
        <w:rFonts w:ascii="Arial" w:hAnsi="Arial" w:cs="Arial"/>
        <w:b/>
        <w:bCs/>
        <w:sz w:val="20"/>
        <w:szCs w:val="20"/>
      </w:rPr>
      <w:instrText>PAGE</w:instrText>
    </w:r>
    <w:r w:rsidRPr="007C5455">
      <w:rPr>
        <w:rFonts w:ascii="Arial" w:hAnsi="Arial" w:cs="Arial"/>
        <w:b/>
        <w:bCs/>
        <w:sz w:val="20"/>
        <w:szCs w:val="20"/>
      </w:rPr>
      <w:fldChar w:fldCharType="separate"/>
    </w:r>
    <w:r w:rsidR="00245F57">
      <w:rPr>
        <w:rFonts w:ascii="Arial" w:hAnsi="Arial" w:cs="Arial"/>
        <w:b/>
        <w:bCs/>
        <w:noProof/>
        <w:sz w:val="20"/>
        <w:szCs w:val="20"/>
      </w:rPr>
      <w:t>20</w:t>
    </w:r>
    <w:r w:rsidRPr="007C5455">
      <w:rPr>
        <w:rFonts w:ascii="Arial" w:hAnsi="Arial" w:cs="Arial"/>
        <w:b/>
        <w:bCs/>
        <w:sz w:val="20"/>
        <w:szCs w:val="20"/>
      </w:rPr>
      <w:fldChar w:fldCharType="end"/>
    </w:r>
    <w:r w:rsidRPr="007C5455">
      <w:rPr>
        <w:rFonts w:ascii="Arial" w:hAnsi="Arial" w:cs="Arial"/>
        <w:sz w:val="20"/>
        <w:szCs w:val="20"/>
      </w:rPr>
      <w:t xml:space="preserve"> de </w:t>
    </w:r>
    <w:r w:rsidRPr="007C5455">
      <w:rPr>
        <w:rFonts w:ascii="Arial" w:hAnsi="Arial" w:cs="Arial"/>
        <w:b/>
        <w:bCs/>
        <w:sz w:val="20"/>
        <w:szCs w:val="20"/>
      </w:rPr>
      <w:fldChar w:fldCharType="begin"/>
    </w:r>
    <w:r w:rsidRPr="007C5455">
      <w:rPr>
        <w:rFonts w:ascii="Arial" w:hAnsi="Arial" w:cs="Arial"/>
        <w:b/>
        <w:bCs/>
        <w:sz w:val="20"/>
        <w:szCs w:val="20"/>
      </w:rPr>
      <w:instrText>NUMPAGES</w:instrText>
    </w:r>
    <w:r w:rsidRPr="007C5455">
      <w:rPr>
        <w:rFonts w:ascii="Arial" w:hAnsi="Arial" w:cs="Arial"/>
        <w:b/>
        <w:bCs/>
        <w:sz w:val="20"/>
        <w:szCs w:val="20"/>
      </w:rPr>
      <w:fldChar w:fldCharType="separate"/>
    </w:r>
    <w:r w:rsidR="00245F57">
      <w:rPr>
        <w:rFonts w:ascii="Arial" w:hAnsi="Arial" w:cs="Arial"/>
        <w:b/>
        <w:bCs/>
        <w:noProof/>
        <w:sz w:val="20"/>
        <w:szCs w:val="20"/>
      </w:rPr>
      <w:t>24</w:t>
    </w:r>
    <w:r w:rsidRPr="007C5455">
      <w:rPr>
        <w:rFonts w:ascii="Arial" w:hAnsi="Arial" w:cs="Arial"/>
        <w:b/>
        <w:bCs/>
        <w:sz w:val="20"/>
        <w:szCs w:val="20"/>
      </w:rPr>
      <w:fldChar w:fldCharType="end"/>
    </w:r>
  </w:p>
  <w:p w:rsidR="002D0829" w:rsidRDefault="002D08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29" w:rsidRPr="007C5455" w:rsidRDefault="002D0829" w:rsidP="002D0829">
    <w:pPr>
      <w:tabs>
        <w:tab w:val="center" w:pos="4419"/>
        <w:tab w:val="right" w:pos="8838"/>
      </w:tabs>
      <w:jc w:val="right"/>
    </w:pPr>
    <w:r w:rsidRPr="007C5455">
      <w:rPr>
        <w:rFonts w:ascii="Arial" w:hAnsi="Arial" w:cs="Arial"/>
        <w:b/>
        <w:bCs/>
        <w:sz w:val="20"/>
        <w:szCs w:val="20"/>
      </w:rPr>
      <w:t xml:space="preserve">Página </w:t>
    </w:r>
    <w:r w:rsidRPr="007C5455">
      <w:rPr>
        <w:rFonts w:ascii="Arial" w:hAnsi="Arial" w:cs="Arial"/>
        <w:b/>
        <w:bCs/>
        <w:sz w:val="20"/>
        <w:szCs w:val="20"/>
      </w:rPr>
      <w:fldChar w:fldCharType="begin"/>
    </w:r>
    <w:r w:rsidRPr="007C5455">
      <w:rPr>
        <w:rFonts w:ascii="Arial" w:hAnsi="Arial" w:cs="Arial"/>
        <w:b/>
        <w:bCs/>
        <w:sz w:val="20"/>
        <w:szCs w:val="20"/>
      </w:rPr>
      <w:instrText>PAGE</w:instrText>
    </w:r>
    <w:r w:rsidRPr="007C5455">
      <w:rPr>
        <w:rFonts w:ascii="Arial" w:hAnsi="Arial" w:cs="Arial"/>
        <w:b/>
        <w:bCs/>
        <w:sz w:val="20"/>
        <w:szCs w:val="20"/>
      </w:rPr>
      <w:fldChar w:fldCharType="separate"/>
    </w:r>
    <w:r w:rsidR="00245F57">
      <w:rPr>
        <w:rFonts w:ascii="Arial" w:hAnsi="Arial" w:cs="Arial"/>
        <w:b/>
        <w:bCs/>
        <w:noProof/>
        <w:sz w:val="20"/>
        <w:szCs w:val="20"/>
      </w:rPr>
      <w:t>1</w:t>
    </w:r>
    <w:r w:rsidRPr="007C5455">
      <w:rPr>
        <w:rFonts w:ascii="Arial" w:hAnsi="Arial" w:cs="Arial"/>
        <w:b/>
        <w:bCs/>
        <w:sz w:val="20"/>
        <w:szCs w:val="20"/>
      </w:rPr>
      <w:fldChar w:fldCharType="end"/>
    </w:r>
    <w:r w:rsidRPr="007C5455">
      <w:rPr>
        <w:rFonts w:ascii="Arial" w:hAnsi="Arial" w:cs="Arial"/>
        <w:sz w:val="20"/>
        <w:szCs w:val="20"/>
      </w:rPr>
      <w:t xml:space="preserve"> de </w:t>
    </w:r>
    <w:r w:rsidRPr="007C5455">
      <w:rPr>
        <w:rFonts w:ascii="Arial" w:hAnsi="Arial" w:cs="Arial"/>
        <w:b/>
        <w:bCs/>
        <w:sz w:val="20"/>
        <w:szCs w:val="20"/>
      </w:rPr>
      <w:fldChar w:fldCharType="begin"/>
    </w:r>
    <w:r w:rsidRPr="007C5455">
      <w:rPr>
        <w:rFonts w:ascii="Arial" w:hAnsi="Arial" w:cs="Arial"/>
        <w:b/>
        <w:bCs/>
        <w:sz w:val="20"/>
        <w:szCs w:val="20"/>
      </w:rPr>
      <w:instrText>NUMPAGES</w:instrText>
    </w:r>
    <w:r w:rsidRPr="007C5455">
      <w:rPr>
        <w:rFonts w:ascii="Arial" w:hAnsi="Arial" w:cs="Arial"/>
        <w:b/>
        <w:bCs/>
        <w:sz w:val="20"/>
        <w:szCs w:val="20"/>
      </w:rPr>
      <w:fldChar w:fldCharType="separate"/>
    </w:r>
    <w:r w:rsidR="00245F57">
      <w:rPr>
        <w:rFonts w:ascii="Arial" w:hAnsi="Arial" w:cs="Arial"/>
        <w:b/>
        <w:bCs/>
        <w:noProof/>
        <w:sz w:val="20"/>
        <w:szCs w:val="20"/>
      </w:rPr>
      <w:t>24</w:t>
    </w:r>
    <w:r w:rsidRPr="007C5455">
      <w:rPr>
        <w:rFonts w:ascii="Arial" w:hAnsi="Arial" w:cs="Arial"/>
        <w:b/>
        <w:bCs/>
        <w:sz w:val="20"/>
        <w:szCs w:val="20"/>
      </w:rPr>
      <w:fldChar w:fldCharType="end"/>
    </w:r>
  </w:p>
  <w:p w:rsidR="002D0829" w:rsidRDefault="002D08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EC" w:rsidRDefault="000573EC" w:rsidP="00530956">
      <w:r>
        <w:separator/>
      </w:r>
    </w:p>
  </w:footnote>
  <w:footnote w:type="continuationSeparator" w:id="0">
    <w:p w:rsidR="000573EC" w:rsidRDefault="000573EC" w:rsidP="00530956">
      <w:r>
        <w:continuationSeparator/>
      </w:r>
    </w:p>
  </w:footnote>
  <w:footnote w:id="1">
    <w:p w:rsidR="00530956" w:rsidRDefault="00530956" w:rsidP="00530956">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2D0829" w:rsidRPr="007C5455" w:rsidTr="00F459DA">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rPr>
              <w:rFonts w:ascii="Palatino Linotype" w:hAnsi="Palatino Linotype"/>
              <w:b/>
            </w:rPr>
          </w:pPr>
          <w:r w:rsidRPr="007C5455">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tabs>
              <w:tab w:val="center" w:pos="4252"/>
              <w:tab w:val="right" w:pos="8504"/>
            </w:tabs>
            <w:jc w:val="both"/>
            <w:rPr>
              <w:rFonts w:ascii="Palatino Linotype" w:hAnsi="Palatino Linotype"/>
              <w:b/>
            </w:rPr>
          </w:pPr>
          <w:r>
            <w:rPr>
              <w:rFonts w:ascii="Palatino Linotype" w:hAnsi="Palatino Linotype" w:cs="Arial"/>
              <w:b/>
              <w:bCs/>
              <w:lang w:eastAsia="es-MX"/>
            </w:rPr>
            <w:t>02049</w:t>
          </w:r>
          <w:r w:rsidRPr="007C5455">
            <w:rPr>
              <w:rFonts w:ascii="Palatino Linotype" w:hAnsi="Palatino Linotype" w:cs="Arial"/>
              <w:b/>
              <w:bCs/>
              <w:lang w:eastAsia="es-MX"/>
            </w:rPr>
            <w:t xml:space="preserve">/INFOEM/IP/RR/2018 </w:t>
          </w:r>
        </w:p>
      </w:tc>
    </w:tr>
    <w:tr w:rsidR="002D0829" w:rsidRPr="007C5455" w:rsidTr="00F459DA">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rPr>
              <w:rFonts w:ascii="Palatino Linotype" w:hAnsi="Palatino Linotype"/>
              <w:b/>
            </w:rPr>
          </w:pPr>
          <w:r w:rsidRPr="007C5455">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tabs>
              <w:tab w:val="center" w:pos="4252"/>
              <w:tab w:val="right" w:pos="8504"/>
            </w:tabs>
            <w:jc w:val="both"/>
            <w:rPr>
              <w:rFonts w:ascii="Palatino Linotype" w:hAnsi="Palatino Linotype"/>
              <w:b/>
            </w:rPr>
          </w:pPr>
          <w:r>
            <w:rPr>
              <w:rFonts w:ascii="Palatino Linotype" w:hAnsi="Palatino Linotype" w:cs="Arial"/>
              <w:b/>
            </w:rPr>
            <w:t xml:space="preserve">Universidad Politécnica del Valle de Toluca </w:t>
          </w:r>
        </w:p>
      </w:tc>
    </w:tr>
    <w:tr w:rsidR="002D0829" w:rsidRPr="007C5455" w:rsidTr="00F459DA">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rPr>
              <w:rFonts w:ascii="Palatino Linotype" w:hAnsi="Palatino Linotype"/>
              <w:b/>
              <w:highlight w:val="yellow"/>
            </w:rPr>
          </w:pPr>
          <w:r w:rsidRPr="007C5455">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tabs>
              <w:tab w:val="center" w:pos="4252"/>
              <w:tab w:val="right" w:pos="8504"/>
            </w:tabs>
            <w:jc w:val="both"/>
            <w:rPr>
              <w:rFonts w:ascii="Palatino Linotype" w:hAnsi="Palatino Linotype"/>
              <w:b/>
            </w:rPr>
          </w:pPr>
          <w:r w:rsidRPr="007C5455">
            <w:rPr>
              <w:rFonts w:ascii="Palatino Linotype" w:hAnsi="Palatino Linotype"/>
              <w:b/>
            </w:rPr>
            <w:t>Javier Martínez Cruz</w:t>
          </w:r>
        </w:p>
      </w:tc>
    </w:tr>
  </w:tbl>
  <w:p w:rsidR="002D0829" w:rsidRPr="007C5455" w:rsidRDefault="002D0829" w:rsidP="002D0829">
    <w:pPr>
      <w:tabs>
        <w:tab w:val="center" w:pos="4419"/>
        <w:tab w:val="right" w:pos="8838"/>
      </w:tabs>
    </w:pPr>
  </w:p>
  <w:p w:rsidR="002D0829" w:rsidRDefault="002D0829" w:rsidP="002D0829">
    <w:pPr>
      <w:pStyle w:val="Encabezado"/>
    </w:pPr>
  </w:p>
  <w:p w:rsidR="002D0829" w:rsidRDefault="002D08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2D0829" w:rsidRPr="007C5455" w:rsidTr="00F459DA">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rPr>
              <w:rFonts w:ascii="Palatino Linotype" w:hAnsi="Palatino Linotype"/>
              <w:b/>
            </w:rPr>
          </w:pPr>
          <w:r w:rsidRPr="007C5455">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02049</w:t>
          </w:r>
          <w:r w:rsidRPr="007C5455">
            <w:rPr>
              <w:rFonts w:ascii="Palatino Linotype" w:hAnsi="Palatino Linotype" w:cs="Arial"/>
              <w:b/>
              <w:bCs/>
              <w:lang w:eastAsia="es-MX"/>
            </w:rPr>
            <w:t xml:space="preserve">/INFOEM/IP/RR/2018 </w:t>
          </w:r>
        </w:p>
      </w:tc>
    </w:tr>
    <w:tr w:rsidR="002D0829" w:rsidRPr="007C5455" w:rsidTr="00F459DA">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rPr>
              <w:rFonts w:ascii="Palatino Linotype" w:hAnsi="Palatino Linotype"/>
              <w:b/>
            </w:rPr>
          </w:pPr>
          <w:r w:rsidRPr="007C5455">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45F57" w:rsidP="002D0829">
          <w:pPr>
            <w:tabs>
              <w:tab w:val="center" w:pos="4252"/>
              <w:tab w:val="right" w:pos="8504"/>
            </w:tabs>
            <w:jc w:val="both"/>
            <w:rPr>
              <w:rFonts w:ascii="Palatino Linotype" w:hAnsi="Palatino Linotype"/>
              <w:b/>
            </w:rPr>
          </w:pPr>
          <w:r>
            <w:rPr>
              <w:rFonts w:ascii="Palatino Linotype" w:hAnsi="Palatino Linotype"/>
              <w:b/>
              <w:szCs w:val="22"/>
            </w:rPr>
            <w:t xml:space="preserve">Xxxxx </w:t>
          </w:r>
          <w:proofErr w:type="spellStart"/>
          <w:r>
            <w:rPr>
              <w:rFonts w:ascii="Palatino Linotype" w:hAnsi="Palatino Linotype"/>
              <w:b/>
              <w:szCs w:val="22"/>
            </w:rPr>
            <w:t>Xxxxxx</w:t>
          </w:r>
          <w:proofErr w:type="spellEnd"/>
          <w:r>
            <w:rPr>
              <w:rFonts w:ascii="Palatino Linotype" w:hAnsi="Palatino Linotype"/>
              <w:b/>
              <w:szCs w:val="22"/>
            </w:rPr>
            <w:t xml:space="preserve"> </w:t>
          </w:r>
          <w:proofErr w:type="spellStart"/>
          <w:r>
            <w:rPr>
              <w:rFonts w:ascii="Palatino Linotype" w:hAnsi="Palatino Linotype"/>
              <w:b/>
              <w:szCs w:val="22"/>
            </w:rPr>
            <w:t>Xxxxxxxxx</w:t>
          </w:r>
          <w:proofErr w:type="spellEnd"/>
          <w:r w:rsidR="002D0829">
            <w:rPr>
              <w:rFonts w:ascii="Palatino Linotype" w:hAnsi="Palatino Linotype"/>
              <w:b/>
              <w:szCs w:val="22"/>
            </w:rPr>
            <w:t xml:space="preserve"> </w:t>
          </w:r>
        </w:p>
      </w:tc>
    </w:tr>
    <w:tr w:rsidR="002D0829" w:rsidRPr="007C5455" w:rsidTr="00F459DA">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rPr>
              <w:rFonts w:ascii="Palatino Linotype" w:hAnsi="Palatino Linotype"/>
              <w:b/>
            </w:rPr>
          </w:pPr>
          <w:r w:rsidRPr="007C5455">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tabs>
              <w:tab w:val="center" w:pos="4252"/>
              <w:tab w:val="right" w:pos="8504"/>
            </w:tabs>
            <w:jc w:val="both"/>
            <w:rPr>
              <w:rFonts w:ascii="Palatino Linotype" w:hAnsi="Palatino Linotype"/>
              <w:b/>
            </w:rPr>
          </w:pPr>
          <w:r>
            <w:rPr>
              <w:rFonts w:ascii="Palatino Linotype" w:hAnsi="Palatino Linotype" w:cs="Arial"/>
              <w:b/>
            </w:rPr>
            <w:t>Universidad Politécnica del Valle de Toluca</w:t>
          </w:r>
        </w:p>
      </w:tc>
    </w:tr>
    <w:tr w:rsidR="002D0829" w:rsidRPr="007C5455" w:rsidTr="00F459DA">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rPr>
              <w:rFonts w:ascii="Palatino Linotype" w:hAnsi="Palatino Linotype"/>
              <w:b/>
              <w:highlight w:val="yellow"/>
            </w:rPr>
          </w:pPr>
          <w:r w:rsidRPr="007C5455">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D0829" w:rsidRPr="007C5455" w:rsidRDefault="002D0829" w:rsidP="002D0829">
          <w:pPr>
            <w:tabs>
              <w:tab w:val="center" w:pos="4252"/>
              <w:tab w:val="right" w:pos="8504"/>
            </w:tabs>
            <w:jc w:val="both"/>
            <w:rPr>
              <w:rFonts w:ascii="Palatino Linotype" w:hAnsi="Palatino Linotype"/>
              <w:b/>
            </w:rPr>
          </w:pPr>
          <w:r w:rsidRPr="007C5455">
            <w:rPr>
              <w:rFonts w:ascii="Palatino Linotype" w:hAnsi="Palatino Linotype"/>
              <w:b/>
            </w:rPr>
            <w:t>Javier Martínez Cruz</w:t>
          </w:r>
        </w:p>
      </w:tc>
    </w:tr>
  </w:tbl>
  <w:p w:rsidR="002D0829" w:rsidRPr="007C5455" w:rsidRDefault="002D0829" w:rsidP="002D0829">
    <w:pPr>
      <w:tabs>
        <w:tab w:val="center" w:pos="4419"/>
        <w:tab w:val="right" w:pos="8838"/>
      </w:tabs>
    </w:pPr>
  </w:p>
  <w:p w:rsidR="002D0829" w:rsidRDefault="002D08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C7C0F"/>
    <w:multiLevelType w:val="hybridMultilevel"/>
    <w:tmpl w:val="213A05FC"/>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D7A3673"/>
    <w:multiLevelType w:val="hybridMultilevel"/>
    <w:tmpl w:val="FADA256C"/>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56"/>
    <w:rsid w:val="00023903"/>
    <w:rsid w:val="000573EC"/>
    <w:rsid w:val="00135DC4"/>
    <w:rsid w:val="00245F57"/>
    <w:rsid w:val="00271965"/>
    <w:rsid w:val="002A3F05"/>
    <w:rsid w:val="002D0829"/>
    <w:rsid w:val="00530956"/>
    <w:rsid w:val="00772D02"/>
    <w:rsid w:val="007A22D6"/>
    <w:rsid w:val="00834C8D"/>
    <w:rsid w:val="0095549B"/>
    <w:rsid w:val="009A0AEE"/>
    <w:rsid w:val="00A43254"/>
    <w:rsid w:val="00A4798C"/>
    <w:rsid w:val="00DA4FCE"/>
    <w:rsid w:val="00DA79B5"/>
    <w:rsid w:val="00E03E6C"/>
    <w:rsid w:val="00E54869"/>
    <w:rsid w:val="00E97F30"/>
    <w:rsid w:val="00F53D42"/>
    <w:rsid w:val="00FB06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0BA56-8591-4928-A609-FA0B4FEA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95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3095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0956"/>
    <w:rPr>
      <w:rFonts w:ascii="Times New Roman" w:eastAsia="Calibri" w:hAnsi="Times New Roman" w:cs="Times New Roman"/>
      <w:sz w:val="24"/>
      <w:szCs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530956"/>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30956"/>
    <w:rPr>
      <w:sz w:val="20"/>
      <w:szCs w:val="20"/>
    </w:rPr>
  </w:style>
  <w:style w:type="character" w:customStyle="1" w:styleId="TextonotapieCar1">
    <w:name w:val="Texto nota pie Car1"/>
    <w:basedOn w:val="Fuentedeprrafopredeter"/>
    <w:uiPriority w:val="99"/>
    <w:semiHidden/>
    <w:rsid w:val="00530956"/>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30956"/>
    <w:rPr>
      <w:vertAlign w:val="superscript"/>
    </w:rPr>
  </w:style>
  <w:style w:type="paragraph" w:styleId="Encabezado">
    <w:name w:val="header"/>
    <w:basedOn w:val="Normal"/>
    <w:link w:val="EncabezadoCar"/>
    <w:uiPriority w:val="99"/>
    <w:unhideWhenUsed/>
    <w:rsid w:val="002D0829"/>
    <w:pPr>
      <w:tabs>
        <w:tab w:val="center" w:pos="4419"/>
        <w:tab w:val="right" w:pos="8838"/>
      </w:tabs>
    </w:pPr>
  </w:style>
  <w:style w:type="character" w:customStyle="1" w:styleId="EncabezadoCar">
    <w:name w:val="Encabezado Car"/>
    <w:basedOn w:val="Fuentedeprrafopredeter"/>
    <w:link w:val="Encabezado"/>
    <w:uiPriority w:val="99"/>
    <w:rsid w:val="002D082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D0829"/>
    <w:pPr>
      <w:tabs>
        <w:tab w:val="center" w:pos="4419"/>
        <w:tab w:val="right" w:pos="8838"/>
      </w:tabs>
    </w:pPr>
  </w:style>
  <w:style w:type="character" w:customStyle="1" w:styleId="PiedepginaCar">
    <w:name w:val="Pie de página Car"/>
    <w:basedOn w:val="Fuentedeprrafopredeter"/>
    <w:link w:val="Piedepgina"/>
    <w:uiPriority w:val="99"/>
    <w:rsid w:val="002D0829"/>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2D08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5662</Words>
  <Characters>31146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2018-10-01T21:55:00Z</dcterms:created>
  <dcterms:modified xsi:type="dcterms:W3CDTF">2018-10-01T21:55:00Z</dcterms:modified>
</cp:coreProperties>
</file>