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AA378C">
        <w:rPr>
          <w:rFonts w:ascii="Palatino Linotype" w:eastAsia="Times New Roman" w:hAnsi="Palatino Linotype" w:cs="Arial"/>
          <w:color w:val="000000"/>
          <w:sz w:val="24"/>
          <w:szCs w:val="24"/>
          <w:lang w:eastAsia="es-MX"/>
        </w:rPr>
        <w:t xml:space="preserve">a </w:t>
      </w:r>
      <w:r w:rsidR="002241B8" w:rsidRPr="00AA378C">
        <w:rPr>
          <w:rFonts w:ascii="Palatino Linotype" w:eastAsia="Times New Roman" w:hAnsi="Palatino Linotype" w:cs="Arial"/>
          <w:color w:val="000000"/>
          <w:sz w:val="24"/>
          <w:szCs w:val="24"/>
          <w:lang w:eastAsia="es-MX"/>
        </w:rPr>
        <w:t>ocho de agosto</w:t>
      </w:r>
      <w:r w:rsidR="007B496F" w:rsidRPr="00AA378C">
        <w:rPr>
          <w:rFonts w:ascii="Palatino Linotype" w:eastAsia="Times New Roman" w:hAnsi="Palatino Linotype" w:cs="Arial"/>
          <w:color w:val="000000"/>
          <w:sz w:val="24"/>
          <w:szCs w:val="24"/>
          <w:lang w:eastAsia="es-MX"/>
        </w:rPr>
        <w:t xml:space="preserve"> </w:t>
      </w:r>
      <w:r w:rsidR="00D06CA0" w:rsidRPr="00AA378C">
        <w:rPr>
          <w:rFonts w:ascii="Palatino Linotype" w:eastAsia="Times New Roman" w:hAnsi="Palatino Linotype" w:cs="Arial"/>
          <w:color w:val="000000"/>
          <w:sz w:val="24"/>
          <w:szCs w:val="24"/>
          <w:lang w:eastAsia="es-MX"/>
        </w:rPr>
        <w:t xml:space="preserve">de </w:t>
      </w:r>
      <w:r w:rsidRPr="00AA378C">
        <w:rPr>
          <w:rFonts w:ascii="Palatino Linotype" w:eastAsia="Times New Roman" w:hAnsi="Palatino Linotype" w:cs="Arial"/>
          <w:color w:val="000000"/>
          <w:sz w:val="24"/>
          <w:szCs w:val="24"/>
          <w:lang w:eastAsia="es-MX"/>
        </w:rPr>
        <w:t>dos mil dieci</w:t>
      </w:r>
      <w:r w:rsidR="00E753C9" w:rsidRPr="00AA378C">
        <w:rPr>
          <w:rFonts w:ascii="Palatino Linotype" w:eastAsia="Times New Roman" w:hAnsi="Palatino Linotype" w:cs="Arial"/>
          <w:color w:val="000000"/>
          <w:sz w:val="24"/>
          <w:szCs w:val="24"/>
          <w:lang w:eastAsia="es-MX"/>
        </w:rPr>
        <w:t>ocho</w:t>
      </w:r>
      <w:r w:rsidRPr="002241B8">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2241B8" w:rsidRPr="002241B8">
        <w:rPr>
          <w:rFonts w:ascii="Palatino Linotype" w:hAnsi="Palatino Linotype" w:cs="Arial"/>
          <w:b/>
          <w:bCs/>
          <w:sz w:val="24"/>
          <w:lang w:eastAsia="es-MX"/>
        </w:rPr>
        <w:t>02050/INFOEM/IP/RR/2018</w:t>
      </w:r>
      <w:r w:rsidRPr="00F403EA">
        <w:rPr>
          <w:rFonts w:ascii="Palatino Linotype" w:hAnsi="Palatino Linotype" w:cs="Arial"/>
          <w:sz w:val="24"/>
        </w:rPr>
        <w:t xml:space="preserve">, </w:t>
      </w:r>
      <w:r w:rsidR="00F51E44">
        <w:rPr>
          <w:rFonts w:ascii="Palatino Linotype" w:hAnsi="Palatino Linotype" w:cs="Arial"/>
          <w:sz w:val="24"/>
          <w:szCs w:val="24"/>
        </w:rPr>
        <w:t>interpuesto por l</w:t>
      </w:r>
      <w:r w:rsidR="00486142">
        <w:rPr>
          <w:rFonts w:ascii="Palatino Linotype" w:hAnsi="Palatino Linotype" w:cs="Arial"/>
          <w:sz w:val="24"/>
          <w:szCs w:val="24"/>
        </w:rPr>
        <w:t>a</w:t>
      </w:r>
      <w:r w:rsidRPr="00F403EA">
        <w:rPr>
          <w:rFonts w:ascii="Palatino Linotype" w:hAnsi="Palatino Linotype" w:cs="Arial"/>
          <w:sz w:val="24"/>
          <w:szCs w:val="24"/>
        </w:rPr>
        <w:t xml:space="preserve"> </w:t>
      </w:r>
      <w:r w:rsidRPr="00F403EA">
        <w:rPr>
          <w:rFonts w:ascii="Palatino Linotype" w:hAnsi="Palatino Linotype" w:cs="Arial"/>
          <w:b/>
          <w:sz w:val="24"/>
          <w:szCs w:val="24"/>
        </w:rPr>
        <w:t>C.</w:t>
      </w:r>
      <w:r w:rsidR="001B031B">
        <w:rPr>
          <w:rFonts w:ascii="Palatino Linotype" w:hAnsi="Palatino Linotype" w:cs="Arial"/>
          <w:b/>
          <w:sz w:val="24"/>
          <w:szCs w:val="24"/>
        </w:rPr>
        <w:t xml:space="preserve"> </w:t>
      </w:r>
      <w:r w:rsidR="002B3B6B">
        <w:rPr>
          <w:rFonts w:ascii="Palatino Linotype" w:hAnsi="Palatino Linotype" w:cs="Arial"/>
          <w:b/>
          <w:sz w:val="24"/>
          <w:szCs w:val="24"/>
        </w:rPr>
        <w:t>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486142">
        <w:rPr>
          <w:rFonts w:ascii="Palatino Linotype" w:hAnsi="Palatino Linotype" w:cs="Arial"/>
          <w:b/>
          <w:sz w:val="24"/>
          <w:szCs w:val="24"/>
        </w:rPr>
        <w:t>La</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486142">
        <w:rPr>
          <w:rFonts w:ascii="Palatino Linotype" w:hAnsi="Palatino Linotype" w:cs="Arial"/>
          <w:sz w:val="24"/>
          <w:szCs w:val="24"/>
        </w:rPr>
        <w:t xml:space="preserve"> </w:t>
      </w:r>
      <w:r w:rsidR="00F847C1">
        <w:rPr>
          <w:rFonts w:ascii="Palatino Linotype" w:hAnsi="Palatino Linotype" w:cs="Arial"/>
          <w:sz w:val="24"/>
          <w:szCs w:val="24"/>
        </w:rPr>
        <w:t>l</w:t>
      </w:r>
      <w:r w:rsidR="00486142">
        <w:rPr>
          <w:rFonts w:ascii="Palatino Linotype" w:hAnsi="Palatino Linotype" w:cs="Arial"/>
          <w:sz w:val="24"/>
          <w:szCs w:val="24"/>
        </w:rPr>
        <w:t>a</w:t>
      </w:r>
      <w:r w:rsidR="00F847C1">
        <w:rPr>
          <w:rFonts w:ascii="Palatino Linotype" w:hAnsi="Palatino Linotype" w:cs="Arial"/>
          <w:sz w:val="24"/>
          <w:szCs w:val="24"/>
        </w:rPr>
        <w:t xml:space="preserve"> </w:t>
      </w:r>
      <w:r w:rsidR="00486142">
        <w:rPr>
          <w:rFonts w:ascii="Palatino Linotype" w:hAnsi="Palatino Linotype" w:cs="Arial"/>
          <w:b/>
          <w:sz w:val="24"/>
          <w:szCs w:val="24"/>
        </w:rPr>
        <w:t>Universidad Politécnica del Valle de Toluca</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AA378C">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2241B8">
        <w:rPr>
          <w:rFonts w:ascii="Palatino Linotype" w:hAnsi="Palatino Linotype" w:cs="Arial"/>
          <w:sz w:val="24"/>
        </w:rPr>
        <w:t>nueve de mayo</w:t>
      </w:r>
      <w:r w:rsidR="00486142">
        <w:rPr>
          <w:rFonts w:ascii="Palatino Linotype" w:hAnsi="Palatino Linotype" w:cs="Arial"/>
          <w:sz w:val="24"/>
        </w:rPr>
        <w:t xml:space="preserve">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285490">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241B8" w:rsidRPr="002241B8">
        <w:rPr>
          <w:rFonts w:ascii="Palatino Linotype" w:hAnsi="Palatino Linotype" w:cs="Arial"/>
          <w:b/>
          <w:sz w:val="24"/>
        </w:rPr>
        <w:t>00194/UPVT/IP/2018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A378C">
      <w:pPr>
        <w:spacing w:before="240"/>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2241B8" w:rsidRPr="002241B8">
        <w:rPr>
          <w:rFonts w:ascii="Palatino Linotype" w:eastAsia="Times New Roman" w:hAnsi="Palatino Linotype" w:cs="Times New Roman"/>
          <w:i/>
          <w:sz w:val="24"/>
          <w:szCs w:val="24"/>
          <w:lang w:val="es-ES_tradnl" w:eastAsia="es-ES"/>
        </w:rPr>
        <w:t>Histórico de compra de hojas blancas y bolígrafos que se han adquirido por la universidad</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sidR="00A33D8F">
        <w:rPr>
          <w:rFonts w:ascii="Palatino Linotype" w:eastAsia="Times New Roman" w:hAnsi="Palatino Linotype" w:cs="Times New Roman"/>
          <w:sz w:val="24"/>
          <w:szCs w:val="24"/>
          <w:lang w:val="es-ES_tradnl" w:eastAsia="es-ES"/>
        </w:rPr>
        <w:t xml:space="preserve">A través del </w:t>
      </w:r>
      <w:r w:rsidR="00A33D8F" w:rsidRPr="006E27B0">
        <w:rPr>
          <w:rFonts w:ascii="Palatino Linotype" w:eastAsia="Times New Roman" w:hAnsi="Palatino Linotype" w:cs="Times New Roman"/>
          <w:b/>
          <w:sz w:val="24"/>
          <w:szCs w:val="24"/>
          <w:lang w:val="es-ES_tradnl" w:eastAsia="es-ES"/>
        </w:rPr>
        <w:t>SAIMEX</w:t>
      </w:r>
      <w:r w:rsidR="00A33D8F">
        <w:rPr>
          <w:rFonts w:ascii="Palatino Linotype" w:eastAsia="Times New Roman" w:hAnsi="Palatino Linotype" w:cs="Times New Roman"/>
          <w:sz w:val="24"/>
          <w:szCs w:val="24"/>
          <w:lang w:val="es-ES_tradnl" w:eastAsia="es-ES"/>
        </w:rPr>
        <w:t>.</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szCs w:val="20"/>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DB0AC7" w:rsidRPr="00DE7FAE" w:rsidRDefault="00DB0AC7" w:rsidP="00DB0AC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6E27B0">
        <w:rPr>
          <w:rFonts w:ascii="Palatino Linotype" w:hAnsi="Palatino Linotype" w:cs="Arial"/>
          <w:sz w:val="24"/>
          <w:szCs w:val="24"/>
        </w:rPr>
        <w:t>treinta</w:t>
      </w:r>
      <w:r w:rsidR="00241BE7">
        <w:rPr>
          <w:rFonts w:ascii="Palatino Linotype" w:hAnsi="Palatino Linotype" w:cs="Arial"/>
          <w:sz w:val="24"/>
          <w:szCs w:val="24"/>
        </w:rPr>
        <w:t xml:space="preserve"> de mayo de dos mil dieciocho, </w:t>
      </w:r>
      <w:r w:rsidR="00241BE7" w:rsidRPr="00241BE7">
        <w:rPr>
          <w:rFonts w:ascii="Palatino Linotype" w:hAnsi="Palatino Linotype" w:cs="Arial"/>
          <w:b/>
          <w:sz w:val="24"/>
          <w:szCs w:val="24"/>
        </w:rPr>
        <w:t>E</w:t>
      </w:r>
      <w:r w:rsidRPr="00241BE7">
        <w:rPr>
          <w:rFonts w:ascii="Palatino Linotype" w:hAnsi="Palatino Linotype" w:cs="Arial"/>
          <w:b/>
          <w:sz w:val="24"/>
          <w:szCs w:val="24"/>
        </w:rPr>
        <w:t>l</w:t>
      </w:r>
      <w:r>
        <w:rPr>
          <w:rFonts w:ascii="Palatino Linotype" w:hAnsi="Palatino Linotype" w:cs="Arial"/>
          <w:sz w:val="24"/>
          <w:szCs w:val="24"/>
        </w:rPr>
        <w:t xml:space="preserve"> </w:t>
      </w:r>
      <w:r w:rsidRPr="00404FF3">
        <w:rPr>
          <w:rFonts w:ascii="Palatino Linotype" w:hAnsi="Palatino Linotype" w:cs="Arial"/>
          <w:b/>
          <w:sz w:val="24"/>
          <w:szCs w:val="24"/>
        </w:rPr>
        <w:t>Sujeto Obligado</w:t>
      </w:r>
      <w:r w:rsidRPr="00DE7FAE">
        <w:rPr>
          <w:rFonts w:ascii="Palatino Linotype" w:hAnsi="Palatino Linotype" w:cs="Arial"/>
          <w:sz w:val="24"/>
          <w:szCs w:val="24"/>
        </w:rPr>
        <w:t xml:space="preserve"> 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DB0AC7" w:rsidRPr="00DE7FAE" w:rsidRDefault="00DB0AC7" w:rsidP="00DB0AC7">
      <w:pPr>
        <w:spacing w:after="0" w:line="360" w:lineRule="auto"/>
        <w:jc w:val="both"/>
        <w:rPr>
          <w:rFonts w:ascii="Palatino Linotype" w:hAnsi="Palatino Linotype" w:cs="Arial"/>
          <w:sz w:val="24"/>
          <w:szCs w:val="24"/>
        </w:rPr>
      </w:pPr>
    </w:p>
    <w:p w:rsidR="00DB0AC7" w:rsidRPr="00DB0AC7" w:rsidRDefault="00DB0AC7" w:rsidP="00DB0AC7">
      <w:pPr>
        <w:pStyle w:val="Prrafodelista"/>
        <w:ind w:left="567" w:right="567"/>
        <w:jc w:val="right"/>
        <w:rPr>
          <w:rFonts w:ascii="Palatino Linotype" w:hAnsi="Palatino Linotype"/>
          <w:i/>
          <w:color w:val="000000"/>
          <w:sz w:val="22"/>
          <w:szCs w:val="22"/>
        </w:rPr>
      </w:pPr>
      <w:r w:rsidRPr="009C1C36">
        <w:rPr>
          <w:rFonts w:ascii="Palatino Linotype" w:hAnsi="Palatino Linotype"/>
          <w:i/>
          <w:color w:val="000000"/>
          <w:sz w:val="22"/>
          <w:szCs w:val="22"/>
        </w:rPr>
        <w:t>“</w:t>
      </w:r>
      <w:r w:rsidRPr="00DB0AC7">
        <w:rPr>
          <w:rFonts w:ascii="Palatino Linotype" w:hAnsi="Palatino Linotype"/>
          <w:i/>
          <w:color w:val="000000"/>
          <w:sz w:val="22"/>
          <w:szCs w:val="22"/>
        </w:rPr>
        <w:t>Metepec, México a 30 de Mayo de 2018</w:t>
      </w:r>
    </w:p>
    <w:p w:rsidR="00DB0AC7" w:rsidRPr="00DB0AC7" w:rsidRDefault="00DB0AC7" w:rsidP="00DB0AC7">
      <w:pPr>
        <w:pStyle w:val="Prrafodelista"/>
        <w:ind w:left="567" w:right="567"/>
        <w:jc w:val="right"/>
        <w:rPr>
          <w:rFonts w:ascii="Palatino Linotype" w:hAnsi="Palatino Linotype"/>
          <w:i/>
          <w:color w:val="000000"/>
          <w:sz w:val="22"/>
          <w:szCs w:val="22"/>
        </w:rPr>
      </w:pPr>
      <w:r w:rsidRPr="00DB0AC7">
        <w:rPr>
          <w:rFonts w:ascii="Palatino Linotype" w:hAnsi="Palatino Linotype"/>
          <w:i/>
          <w:color w:val="000000"/>
          <w:sz w:val="22"/>
          <w:szCs w:val="22"/>
        </w:rPr>
        <w:t xml:space="preserve">Nombre del solicitante: </w:t>
      </w:r>
      <w:r w:rsidR="002B3B6B">
        <w:rPr>
          <w:rFonts w:ascii="Palatino Linotype" w:hAnsi="Palatino Linotype"/>
          <w:i/>
          <w:color w:val="000000"/>
          <w:sz w:val="22"/>
          <w:szCs w:val="22"/>
        </w:rPr>
        <w:t>XXXXXXXXXX</w:t>
      </w:r>
    </w:p>
    <w:p w:rsidR="00DB0AC7" w:rsidRDefault="00DB0AC7" w:rsidP="00DB0AC7">
      <w:pPr>
        <w:pStyle w:val="Prrafodelista"/>
        <w:ind w:left="567" w:right="567"/>
        <w:jc w:val="right"/>
        <w:rPr>
          <w:rFonts w:ascii="Palatino Linotype" w:hAnsi="Palatino Linotype"/>
          <w:i/>
          <w:color w:val="000000"/>
          <w:sz w:val="22"/>
          <w:szCs w:val="22"/>
        </w:rPr>
      </w:pPr>
      <w:r w:rsidRPr="00DB0AC7">
        <w:rPr>
          <w:rFonts w:ascii="Palatino Linotype" w:hAnsi="Palatino Linotype"/>
          <w:i/>
          <w:color w:val="000000"/>
          <w:sz w:val="22"/>
          <w:szCs w:val="22"/>
        </w:rPr>
        <w:t>Folio de la solicitud: 00194/UPVT/IP/2018</w:t>
      </w:r>
    </w:p>
    <w:p w:rsidR="00DB0AC7" w:rsidRPr="00DB0AC7" w:rsidRDefault="00DB0AC7" w:rsidP="00DB0AC7">
      <w:pPr>
        <w:pStyle w:val="Prrafodelista"/>
        <w:ind w:left="567" w:right="567"/>
        <w:jc w:val="right"/>
        <w:rPr>
          <w:rFonts w:ascii="Palatino Linotype" w:hAnsi="Palatino Linotype"/>
          <w:i/>
          <w:color w:val="000000"/>
          <w:sz w:val="22"/>
          <w:szCs w:val="22"/>
        </w:rPr>
      </w:pPr>
    </w:p>
    <w:p w:rsidR="00DB0AC7" w:rsidRDefault="00DB0AC7" w:rsidP="00DB0AC7">
      <w:pPr>
        <w:pStyle w:val="Prrafodelista"/>
        <w:ind w:left="567" w:right="567"/>
        <w:jc w:val="both"/>
        <w:rPr>
          <w:rFonts w:ascii="Palatino Linotype" w:hAnsi="Palatino Linotype"/>
          <w:i/>
          <w:color w:val="000000"/>
          <w:sz w:val="22"/>
          <w:szCs w:val="22"/>
        </w:rPr>
      </w:pPr>
      <w:r w:rsidRPr="00DB0AC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B0AC7" w:rsidRPr="00DB0AC7" w:rsidRDefault="00DB0AC7" w:rsidP="00DB0AC7">
      <w:pPr>
        <w:pStyle w:val="Prrafodelista"/>
        <w:ind w:left="567" w:right="567"/>
        <w:jc w:val="both"/>
        <w:rPr>
          <w:rFonts w:ascii="Palatino Linotype" w:hAnsi="Palatino Linotype"/>
          <w:i/>
          <w:color w:val="000000"/>
          <w:sz w:val="22"/>
          <w:szCs w:val="22"/>
        </w:rPr>
      </w:pPr>
    </w:p>
    <w:p w:rsidR="00DB0AC7" w:rsidRDefault="00DB0AC7" w:rsidP="00DB0AC7">
      <w:pPr>
        <w:pStyle w:val="Prrafodelista"/>
        <w:ind w:left="567" w:right="567"/>
        <w:jc w:val="both"/>
        <w:rPr>
          <w:rFonts w:ascii="Palatino Linotype" w:hAnsi="Palatino Linotype"/>
          <w:i/>
          <w:color w:val="000000"/>
          <w:sz w:val="22"/>
          <w:szCs w:val="22"/>
        </w:rPr>
      </w:pPr>
      <w:r w:rsidRPr="00DB0AC7">
        <w:rPr>
          <w:rFonts w:ascii="Palatino Linotype" w:hAnsi="Palatino Linotype"/>
          <w:i/>
          <w:color w:val="000000"/>
          <w:sz w:val="22"/>
          <w:szCs w:val="22"/>
        </w:rPr>
        <w:t xml:space="preserve">En atención a la solicitud de información pública registrada con el </w:t>
      </w:r>
      <w:proofErr w:type="spellStart"/>
      <w:r w:rsidRPr="00DB0AC7">
        <w:rPr>
          <w:rFonts w:ascii="Palatino Linotype" w:hAnsi="Palatino Linotype"/>
          <w:i/>
          <w:color w:val="000000"/>
          <w:sz w:val="22"/>
          <w:szCs w:val="22"/>
        </w:rPr>
        <w:t>numero</w:t>
      </w:r>
      <w:proofErr w:type="spellEnd"/>
      <w:r w:rsidRPr="00DB0AC7">
        <w:rPr>
          <w:rFonts w:ascii="Palatino Linotype" w:hAnsi="Palatino Linotype"/>
          <w:i/>
          <w:color w:val="000000"/>
          <w:sz w:val="22"/>
          <w:szCs w:val="22"/>
        </w:rPr>
        <w:t xml:space="preserve"> de folio 00194/UPVT/IP/2018 que realizó el 9 de mayo del año en curso, sírvase encontrar en archivo adjunto copia digitalizada en formato </w:t>
      </w:r>
      <w:proofErr w:type="spellStart"/>
      <w:r w:rsidRPr="00DB0AC7">
        <w:rPr>
          <w:rFonts w:ascii="Palatino Linotype" w:hAnsi="Palatino Linotype"/>
          <w:i/>
          <w:color w:val="000000"/>
          <w:sz w:val="22"/>
          <w:szCs w:val="22"/>
        </w:rPr>
        <w:t>pdf</w:t>
      </w:r>
      <w:proofErr w:type="spellEnd"/>
      <w:r w:rsidRPr="00DB0AC7">
        <w:rPr>
          <w:rFonts w:ascii="Palatino Linotype" w:hAnsi="Palatino Linotype"/>
          <w:i/>
          <w:color w:val="000000"/>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DB0AC7" w:rsidRPr="00DB0AC7" w:rsidRDefault="00DB0AC7" w:rsidP="00DB0AC7">
      <w:pPr>
        <w:pStyle w:val="Prrafodelista"/>
        <w:ind w:left="567" w:right="567"/>
        <w:jc w:val="right"/>
        <w:rPr>
          <w:rFonts w:ascii="Palatino Linotype" w:hAnsi="Palatino Linotype"/>
          <w:i/>
          <w:color w:val="000000"/>
          <w:sz w:val="22"/>
          <w:szCs w:val="22"/>
        </w:rPr>
      </w:pPr>
    </w:p>
    <w:p w:rsidR="00DB0AC7" w:rsidRPr="00DB0AC7" w:rsidRDefault="00DB0AC7" w:rsidP="00DB0AC7">
      <w:pPr>
        <w:pStyle w:val="Prrafodelista"/>
        <w:ind w:left="567" w:right="567"/>
        <w:rPr>
          <w:rFonts w:ascii="Palatino Linotype" w:hAnsi="Palatino Linotype"/>
          <w:i/>
          <w:color w:val="000000"/>
          <w:sz w:val="22"/>
          <w:szCs w:val="22"/>
        </w:rPr>
      </w:pPr>
      <w:r w:rsidRPr="00DB0AC7">
        <w:rPr>
          <w:rFonts w:ascii="Palatino Linotype" w:hAnsi="Palatino Linotype"/>
          <w:i/>
          <w:color w:val="000000"/>
          <w:sz w:val="22"/>
          <w:szCs w:val="22"/>
        </w:rPr>
        <w:t>ATENTAMENTE</w:t>
      </w:r>
    </w:p>
    <w:p w:rsidR="00DB0AC7" w:rsidRPr="009C1C36" w:rsidRDefault="00DB0AC7" w:rsidP="00DB0AC7">
      <w:pPr>
        <w:pStyle w:val="Prrafodelista"/>
        <w:ind w:left="567" w:right="567"/>
        <w:rPr>
          <w:rFonts w:ascii="Palatino Linotype" w:hAnsi="Palatino Linotype"/>
          <w:i/>
          <w:color w:val="000000"/>
          <w:sz w:val="22"/>
          <w:szCs w:val="22"/>
        </w:rPr>
      </w:pPr>
      <w:r w:rsidRPr="00DB0AC7">
        <w:rPr>
          <w:rFonts w:ascii="Palatino Linotype" w:hAnsi="Palatino Linotype"/>
          <w:i/>
          <w:color w:val="000000"/>
          <w:sz w:val="22"/>
          <w:szCs w:val="22"/>
        </w:rPr>
        <w:t>LIC. GABRIELA AVILES OLIVARES</w:t>
      </w:r>
      <w:r>
        <w:rPr>
          <w:rFonts w:ascii="Palatino Linotype" w:hAnsi="Palatino Linotype"/>
          <w:i/>
          <w:color w:val="000000"/>
          <w:sz w:val="22"/>
          <w:szCs w:val="22"/>
        </w:rPr>
        <w:t>” (s</w:t>
      </w:r>
      <w:r w:rsidRPr="009C1C36">
        <w:rPr>
          <w:rFonts w:ascii="Palatino Linotype" w:hAnsi="Palatino Linotype"/>
          <w:i/>
          <w:color w:val="000000"/>
          <w:sz w:val="22"/>
          <w:szCs w:val="22"/>
        </w:rPr>
        <w:t>ic</w:t>
      </w:r>
      <w:r>
        <w:rPr>
          <w:rFonts w:ascii="Palatino Linotype" w:hAnsi="Palatino Linotype"/>
          <w:i/>
          <w:color w:val="000000"/>
          <w:sz w:val="22"/>
          <w:szCs w:val="22"/>
        </w:rPr>
        <w:t>)</w:t>
      </w:r>
    </w:p>
    <w:p w:rsidR="00DB0AC7" w:rsidRDefault="00DB0AC7" w:rsidP="00AA378C">
      <w:pPr>
        <w:spacing w:before="240" w:after="120" w:line="360" w:lineRule="auto"/>
        <w:jc w:val="both"/>
        <w:rPr>
          <w:rFonts w:ascii="Palatino Linotype" w:hAnsi="Palatino Linotype" w:cs="Arial"/>
          <w:sz w:val="24"/>
          <w:szCs w:val="24"/>
        </w:rPr>
      </w:pPr>
    </w:p>
    <w:p w:rsidR="00DB0AC7" w:rsidRDefault="00DB0AC7" w:rsidP="00AA378C">
      <w:pPr>
        <w:spacing w:before="240" w:after="120" w:line="360" w:lineRule="auto"/>
        <w:jc w:val="both"/>
        <w:rPr>
          <w:rFonts w:ascii="Palatino Linotype" w:hAnsi="Palatino Linotype" w:cs="Arial"/>
          <w:b/>
          <w:sz w:val="28"/>
        </w:rPr>
      </w:pPr>
      <w:r>
        <w:rPr>
          <w:rFonts w:ascii="Palatino Linotype" w:hAnsi="Palatino Linotype" w:cs="Arial"/>
          <w:sz w:val="24"/>
          <w:szCs w:val="24"/>
        </w:rPr>
        <w:t>Adjuntando para tal efecto los archivos electrónicos “</w:t>
      </w:r>
      <w:r w:rsidRPr="00DB0AC7">
        <w:rPr>
          <w:rFonts w:ascii="Palatino Linotype" w:hAnsi="Palatino Linotype"/>
          <w:b/>
          <w:sz w:val="24"/>
          <w:szCs w:val="24"/>
        </w:rPr>
        <w:t>00194UPVTIP2018.pdf</w:t>
      </w:r>
      <w:r>
        <w:rPr>
          <w:rFonts w:ascii="Palatino Linotype" w:hAnsi="Palatino Linotype" w:cs="Arial"/>
          <w:sz w:val="24"/>
          <w:szCs w:val="24"/>
        </w:rPr>
        <w:t>” y “</w:t>
      </w:r>
      <w:r w:rsidR="006E27B0" w:rsidRPr="006E27B0">
        <w:rPr>
          <w:rFonts w:ascii="Palatino Linotype" w:hAnsi="Palatino Linotype" w:cs="Arial"/>
          <w:b/>
          <w:sz w:val="24"/>
          <w:szCs w:val="24"/>
        </w:rPr>
        <w:t>OFICIO DE RESPUESTA SOLI 194.pdf</w:t>
      </w:r>
      <w:r>
        <w:rPr>
          <w:rFonts w:ascii="Palatino Linotype" w:hAnsi="Palatino Linotype" w:cs="Arial"/>
          <w:sz w:val="24"/>
          <w:szCs w:val="24"/>
        </w:rPr>
        <w:t xml:space="preserve">”; los cuales no se </w:t>
      </w:r>
      <w:r w:rsidRPr="00AF0D60">
        <w:rPr>
          <w:rFonts w:ascii="Palatino Linotype" w:hAnsi="Palatino Linotype" w:cs="Arial"/>
          <w:sz w:val="24"/>
          <w:szCs w:val="24"/>
        </w:rPr>
        <w:t>inserta</w:t>
      </w:r>
      <w:r>
        <w:rPr>
          <w:rFonts w:ascii="Palatino Linotype" w:hAnsi="Palatino Linotype" w:cs="Arial"/>
          <w:sz w:val="24"/>
          <w:szCs w:val="24"/>
        </w:rPr>
        <w:t>n</w:t>
      </w:r>
      <w:r w:rsidRPr="00AF0D60">
        <w:rPr>
          <w:rFonts w:ascii="Palatino Linotype" w:hAnsi="Palatino Linotype" w:cs="Arial"/>
          <w:sz w:val="24"/>
          <w:szCs w:val="24"/>
        </w:rPr>
        <w:t xml:space="preserve"> en el presente </w:t>
      </w:r>
      <w:r w:rsidRPr="00AF0D60">
        <w:rPr>
          <w:rFonts w:ascii="Palatino Linotype" w:hAnsi="Palatino Linotype" w:cs="Arial"/>
          <w:sz w:val="24"/>
          <w:szCs w:val="24"/>
        </w:rPr>
        <w:lastRenderedPageBreak/>
        <w:t>apartado por ser del conocimiento de las partes, pero habrá de hacerse el análisis y estudio correspondiente en párrafos posteriores.</w:t>
      </w:r>
    </w:p>
    <w:p w:rsidR="00B53C91" w:rsidRDefault="00B53C91" w:rsidP="00B53C91">
      <w:pPr>
        <w:spacing w:before="240" w:line="360" w:lineRule="auto"/>
        <w:jc w:val="both"/>
        <w:rPr>
          <w:rFonts w:ascii="Palatino Linotype" w:hAnsi="Palatino Linotype"/>
          <w:color w:val="000000"/>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6168E4" w:rsidP="006E27B0">
      <w:pPr>
        <w:spacing w:after="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w:t>
      </w:r>
      <w:r w:rsidR="00411E24">
        <w:rPr>
          <w:rFonts w:ascii="Palatino Linotype" w:hAnsi="Palatino Linotype" w:cs="Arial"/>
          <w:sz w:val="24"/>
          <w:szCs w:val="24"/>
        </w:rPr>
        <w:t xml:space="preserve">la respuesta notificada por </w:t>
      </w:r>
      <w:r w:rsidR="00411E24" w:rsidRPr="00411E24">
        <w:rPr>
          <w:rFonts w:ascii="Palatino Linotype" w:hAnsi="Palatino Linotype" w:cs="Arial"/>
          <w:b/>
          <w:sz w:val="24"/>
          <w:szCs w:val="24"/>
        </w:rPr>
        <w:t>E</w:t>
      </w:r>
      <w:r w:rsidR="0049478F" w:rsidRPr="00411E24">
        <w:rPr>
          <w:rFonts w:ascii="Palatino Linotype" w:hAnsi="Palatino Linotype" w:cs="Arial"/>
          <w:b/>
          <w:sz w:val="24"/>
          <w:szCs w:val="24"/>
        </w:rPr>
        <w:t>l Sujeto O</w:t>
      </w:r>
      <w:r w:rsidRPr="00411E24">
        <w:rPr>
          <w:rFonts w:ascii="Palatino Linotype" w:hAnsi="Palatino Linotype" w:cs="Arial"/>
          <w:b/>
          <w:sz w:val="24"/>
          <w:szCs w:val="24"/>
        </w:rPr>
        <w:t>bligado</w:t>
      </w:r>
      <w:r w:rsidRPr="0096643B">
        <w:rPr>
          <w:rFonts w:ascii="Palatino Linotype" w:hAnsi="Palatino Linotype" w:cs="Arial"/>
          <w:sz w:val="24"/>
          <w:szCs w:val="24"/>
        </w:rPr>
        <w:t xml:space="preserve">, </w:t>
      </w:r>
      <w:r w:rsidR="00285490" w:rsidRPr="00411E24">
        <w:rPr>
          <w:rFonts w:ascii="Palatino Linotype" w:hAnsi="Palatino Linotype" w:cs="Arial"/>
          <w:b/>
          <w:sz w:val="24"/>
          <w:szCs w:val="24"/>
        </w:rPr>
        <w:t>La</w:t>
      </w:r>
      <w:r w:rsidRPr="00411E24">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49478F">
        <w:rPr>
          <w:rFonts w:ascii="Palatino Linotype" w:hAnsi="Palatino Linotype" w:cs="Arial"/>
          <w:sz w:val="24"/>
          <w:szCs w:val="24"/>
        </w:rPr>
        <w:t>treintaiuno</w:t>
      </w:r>
      <w:r w:rsidR="00B57CC2">
        <w:rPr>
          <w:rFonts w:ascii="Palatino Linotype" w:hAnsi="Palatino Linotype" w:cs="Arial"/>
          <w:sz w:val="24"/>
          <w:szCs w:val="24"/>
        </w:rPr>
        <w:t xml:space="preserve"> de mayo de </w:t>
      </w:r>
      <w:r w:rsidR="00B24099">
        <w:rPr>
          <w:rFonts w:ascii="Palatino Linotype" w:hAnsi="Palatino Linotype" w:cs="Arial"/>
          <w:sz w:val="24"/>
          <w:szCs w:val="24"/>
        </w:rPr>
        <w:t>dos mil dieciocho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49478F" w:rsidRPr="0049478F">
        <w:rPr>
          <w:rFonts w:ascii="Palatino Linotype" w:hAnsi="Palatino Linotype" w:cs="Arial"/>
          <w:b/>
          <w:bCs/>
          <w:sz w:val="24"/>
          <w:szCs w:val="24"/>
          <w:lang w:eastAsia="es-MX"/>
        </w:rPr>
        <w:t>02050/INFOEM/IP/RR/2018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7A0426" w:rsidRDefault="007A0426" w:rsidP="006E27B0">
      <w:pPr>
        <w:spacing w:after="0" w:line="360" w:lineRule="auto"/>
        <w:jc w:val="both"/>
        <w:rPr>
          <w:rFonts w:ascii="Palatino Linotype" w:hAnsi="Palatino Linotype" w:cs="Arial"/>
          <w:sz w:val="24"/>
        </w:rPr>
      </w:pPr>
    </w:p>
    <w:p w:rsidR="006168E4" w:rsidRDefault="006168E4" w:rsidP="00AA378C">
      <w:pPr>
        <w:spacing w:before="240" w:after="12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AA378C">
      <w:pPr>
        <w:spacing w:before="240" w:after="120" w:line="360" w:lineRule="auto"/>
        <w:ind w:left="851" w:right="851"/>
        <w:jc w:val="both"/>
        <w:rPr>
          <w:rFonts w:ascii="Palatino Linotype" w:hAnsi="Palatino Linotype" w:cs="Arial"/>
          <w:i/>
        </w:rPr>
      </w:pPr>
      <w:r w:rsidRPr="00295668">
        <w:rPr>
          <w:rFonts w:ascii="Palatino Linotype" w:hAnsi="Palatino Linotype" w:cs="Arial"/>
          <w:i/>
        </w:rPr>
        <w:t>“</w:t>
      </w:r>
      <w:r w:rsidR="0049478F" w:rsidRPr="0049478F">
        <w:rPr>
          <w:rFonts w:ascii="Palatino Linotype" w:hAnsi="Palatino Linotype" w:cs="Arial"/>
          <w:i/>
        </w:rPr>
        <w:t>Niegan información</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2577FE" w:rsidRPr="00295668" w:rsidRDefault="002577FE" w:rsidP="006E27B0">
      <w:pPr>
        <w:spacing w:after="0" w:line="360" w:lineRule="auto"/>
        <w:ind w:left="851" w:right="851"/>
        <w:jc w:val="both"/>
        <w:rPr>
          <w:rFonts w:ascii="Palatino Linotype" w:hAnsi="Palatino Linotype" w:cs="Arial"/>
          <w:i/>
        </w:rPr>
      </w:pPr>
    </w:p>
    <w:p w:rsidR="006168E4" w:rsidRDefault="006168E4" w:rsidP="00AA378C">
      <w:pPr>
        <w:spacing w:before="240" w:after="12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AA378C">
      <w:pPr>
        <w:spacing w:before="240" w:after="120" w:line="360" w:lineRule="auto"/>
        <w:ind w:left="851" w:right="851"/>
        <w:jc w:val="both"/>
        <w:rPr>
          <w:rFonts w:ascii="Palatino Linotype" w:hAnsi="Palatino Linotype" w:cs="Arial"/>
          <w:i/>
        </w:rPr>
      </w:pPr>
      <w:r>
        <w:rPr>
          <w:rFonts w:ascii="Palatino Linotype" w:hAnsi="Palatino Linotype" w:cs="Arial"/>
          <w:i/>
        </w:rPr>
        <w:t>“</w:t>
      </w:r>
      <w:r w:rsidR="0049478F" w:rsidRPr="0049478F">
        <w:rPr>
          <w:rFonts w:ascii="Palatino Linotype" w:hAnsi="Palatino Linotype" w:cs="Arial"/>
          <w:i/>
        </w:rPr>
        <w:t>Solo proporcionan lo que quieren, violan derecho de acceso a la información</w:t>
      </w:r>
      <w:r w:rsidR="006168E4" w:rsidRPr="00295668">
        <w:rPr>
          <w:rFonts w:ascii="Palatino Linotype" w:hAnsi="Palatino Linotype" w:cs="Arial"/>
          <w:i/>
        </w:rPr>
        <w:t>” [sic]</w:t>
      </w:r>
    </w:p>
    <w:p w:rsidR="002C5CC3" w:rsidRPr="00295668" w:rsidRDefault="002C5CC3" w:rsidP="00844569">
      <w:pPr>
        <w:spacing w:before="240" w:line="360" w:lineRule="auto"/>
        <w:ind w:right="851"/>
        <w:jc w:val="both"/>
        <w:rPr>
          <w:rFonts w:ascii="Palatino Linotype" w:hAnsi="Palatino Linotype"/>
          <w:color w:val="000000"/>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 xml:space="preserve">Municipios, del cual recayó acuerdo de admisión en fecha </w:t>
      </w:r>
      <w:r w:rsidR="00411E24">
        <w:rPr>
          <w:rFonts w:ascii="Palatino Linotype" w:hAnsi="Palatino Linotype" w:cs="Arial"/>
          <w:sz w:val="24"/>
          <w:szCs w:val="24"/>
        </w:rPr>
        <w:t>seis de junio</w:t>
      </w:r>
      <w:r w:rsidR="00B57CC2">
        <w:rPr>
          <w:rFonts w:ascii="Palatino Linotype" w:hAnsi="Palatino Linotype" w:cs="Arial"/>
          <w:sz w:val="24"/>
          <w:szCs w:val="24"/>
        </w:rPr>
        <w:t xml:space="preserve"> </w:t>
      </w:r>
      <w:r w:rsidR="007D2878">
        <w:rPr>
          <w:rFonts w:ascii="Palatino Linotype" w:hAnsi="Palatino Linotype" w:cs="Arial"/>
          <w:sz w:val="24"/>
          <w:szCs w:val="24"/>
        </w:rPr>
        <w:t>de 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AA378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411E24" w:rsidRPr="00411E24">
        <w:rPr>
          <w:rFonts w:ascii="Palatino Linotype" w:hAnsi="Palatino Linotype" w:cs="Arial"/>
          <w:b/>
          <w:sz w:val="24"/>
          <w:szCs w:val="24"/>
        </w:rPr>
        <w:t>El Sujeto O</w:t>
      </w:r>
      <w:r w:rsidR="007A078B" w:rsidRPr="00411E24">
        <w:rPr>
          <w:rFonts w:ascii="Palatino Linotype" w:hAnsi="Palatino Linotype" w:cs="Arial"/>
          <w:b/>
          <w:sz w:val="24"/>
          <w:szCs w:val="24"/>
        </w:rPr>
        <w:t>bligado</w:t>
      </w:r>
      <w:r w:rsidR="007A078B">
        <w:rPr>
          <w:rFonts w:ascii="Palatino Linotype" w:hAnsi="Palatino Linotype" w:cs="Arial"/>
          <w:sz w:val="24"/>
          <w:szCs w:val="24"/>
        </w:rPr>
        <w:t xml:space="preserve"> en fecha </w:t>
      </w:r>
      <w:r w:rsidR="00411E24">
        <w:rPr>
          <w:rFonts w:ascii="Palatino Linotype" w:hAnsi="Palatino Linotype" w:cs="Arial"/>
          <w:sz w:val="24"/>
          <w:szCs w:val="24"/>
        </w:rPr>
        <w:t>quince de junio</w:t>
      </w:r>
      <w:r w:rsidR="00B57CC2">
        <w:rPr>
          <w:rFonts w:ascii="Palatino Linotype" w:hAnsi="Palatino Linotype" w:cs="Arial"/>
          <w:sz w:val="24"/>
          <w:szCs w:val="24"/>
        </w:rPr>
        <w:t xml:space="preserve"> </w:t>
      </w:r>
      <w:r w:rsidR="007A078B">
        <w:rPr>
          <w:rFonts w:ascii="Palatino Linotype" w:hAnsi="Palatino Linotype" w:cs="Arial"/>
          <w:sz w:val="24"/>
          <w:szCs w:val="24"/>
        </w:rPr>
        <w:t>del presente año remitió manifestaciones, misma</w:t>
      </w:r>
      <w:r w:rsidR="00F41077">
        <w:rPr>
          <w:rFonts w:ascii="Palatino Linotype" w:hAnsi="Palatino Linotype" w:cs="Arial"/>
          <w:sz w:val="24"/>
          <w:szCs w:val="24"/>
        </w:rPr>
        <w:t xml:space="preserve">s que fueron puestos a la vista, </w:t>
      </w:r>
      <w:r w:rsidR="00B57CC2">
        <w:rPr>
          <w:rFonts w:ascii="Palatino Linotype" w:hAnsi="Palatino Linotype" w:cs="Arial"/>
          <w:sz w:val="24"/>
          <w:szCs w:val="24"/>
        </w:rPr>
        <w:t xml:space="preserve">sin que se adviertan </w:t>
      </w:r>
      <w:r w:rsidR="00F41077">
        <w:rPr>
          <w:rFonts w:ascii="Palatino Linotype" w:hAnsi="Palatino Linotype" w:cs="Arial"/>
          <w:sz w:val="24"/>
          <w:szCs w:val="24"/>
        </w:rPr>
        <w:t>manifestaciones</w:t>
      </w:r>
      <w:r w:rsidR="00411E24">
        <w:rPr>
          <w:rFonts w:ascii="Palatino Linotype" w:hAnsi="Palatino Linotype" w:cs="Arial"/>
          <w:sz w:val="24"/>
          <w:szCs w:val="24"/>
        </w:rPr>
        <w:t xml:space="preserve"> por parte de </w:t>
      </w:r>
      <w:r w:rsidR="00411E24" w:rsidRPr="00411E24">
        <w:rPr>
          <w:rFonts w:ascii="Palatino Linotype" w:hAnsi="Palatino Linotype" w:cs="Arial"/>
          <w:b/>
          <w:sz w:val="24"/>
          <w:szCs w:val="24"/>
        </w:rPr>
        <w:t>La R</w:t>
      </w:r>
      <w:r w:rsidR="00B57CC2" w:rsidRPr="00411E24">
        <w:rPr>
          <w:rFonts w:ascii="Palatino Linotype" w:hAnsi="Palatino Linotype" w:cs="Arial"/>
          <w:b/>
          <w:sz w:val="24"/>
          <w:szCs w:val="24"/>
        </w:rPr>
        <w:t>ecurrente</w:t>
      </w:r>
      <w:r w:rsidR="00F41077">
        <w:rPr>
          <w:rFonts w:ascii="Palatino Linotype" w:hAnsi="Palatino Linotype" w:cs="Arial"/>
          <w:sz w:val="24"/>
          <w:szCs w:val="24"/>
        </w:rPr>
        <w:t xml:space="preserve">; </w:t>
      </w:r>
      <w:r w:rsidRPr="00523CF0">
        <w:rPr>
          <w:rFonts w:ascii="Palatino Linotype" w:hAnsi="Palatino Linotype" w:cs="Arial"/>
          <w:sz w:val="24"/>
          <w:szCs w:val="24"/>
        </w:rPr>
        <w:t xml:space="preserve">decretándose el cierre de la misma en fecha </w:t>
      </w:r>
      <w:r w:rsidR="00411E24">
        <w:rPr>
          <w:rFonts w:ascii="Palatino Linotype" w:hAnsi="Palatino Linotype" w:cs="Arial"/>
          <w:sz w:val="24"/>
          <w:szCs w:val="24"/>
        </w:rPr>
        <w:t>veintidós</w:t>
      </w:r>
      <w:r w:rsidR="00B57CC2">
        <w:rPr>
          <w:rFonts w:ascii="Palatino Linotype" w:hAnsi="Palatino Linotype" w:cs="Arial"/>
          <w:sz w:val="24"/>
          <w:szCs w:val="24"/>
        </w:rPr>
        <w:t xml:space="preserve"> de junio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Default="00921DB9" w:rsidP="00AA378C">
      <w:pPr>
        <w:spacing w:before="240" w:line="360" w:lineRule="auto"/>
        <w:jc w:val="both"/>
        <w:rPr>
          <w:rFonts w:ascii="Palatino Linotype" w:hAnsi="Palatino Linotype" w:cs="Arial"/>
          <w:sz w:val="24"/>
          <w:szCs w:val="24"/>
        </w:rPr>
      </w:pPr>
    </w:p>
    <w:p w:rsidR="008D72BC" w:rsidRPr="008D72BC" w:rsidRDefault="008D72BC" w:rsidP="00AA378C">
      <w:pPr>
        <w:spacing w:before="240" w:line="360" w:lineRule="auto"/>
        <w:jc w:val="both"/>
        <w:rPr>
          <w:rFonts w:ascii="Palatino Linotype" w:eastAsia="Calibri" w:hAnsi="Palatino Linotype" w:cs="Arial"/>
          <w:sz w:val="28"/>
          <w:szCs w:val="28"/>
        </w:rPr>
      </w:pPr>
      <w:r w:rsidRPr="008D72BC">
        <w:rPr>
          <w:rFonts w:ascii="Palatino Linotype" w:eastAsia="Calibri" w:hAnsi="Palatino Linotype" w:cs="Times New Roman"/>
          <w:b/>
          <w:sz w:val="28"/>
          <w:szCs w:val="28"/>
        </w:rPr>
        <w:t>SEXTO. De la ampliación del término para resolver.</w:t>
      </w:r>
    </w:p>
    <w:p w:rsidR="008D72BC" w:rsidRDefault="008D72BC" w:rsidP="008D72BC">
      <w:pPr>
        <w:spacing w:after="0" w:line="360" w:lineRule="auto"/>
        <w:jc w:val="both"/>
        <w:rPr>
          <w:rFonts w:ascii="Palatino Linotype" w:hAnsi="Palatino Linotype" w:cs="Arial"/>
          <w:sz w:val="24"/>
          <w:szCs w:val="24"/>
        </w:rPr>
      </w:pPr>
      <w:r w:rsidRPr="00D81530">
        <w:rPr>
          <w:rFonts w:ascii="Palatino Linotype" w:eastAsia="Calibri" w:hAnsi="Palatino Linotype" w:cs="Arial"/>
          <w:sz w:val="24"/>
          <w:szCs w:val="24"/>
        </w:rPr>
        <w:t xml:space="preserve">En fecha </w:t>
      </w:r>
      <w:r>
        <w:rPr>
          <w:rFonts w:ascii="Palatino Linotype" w:eastAsia="Calibri" w:hAnsi="Palatino Linotype" w:cs="Arial"/>
          <w:sz w:val="24"/>
          <w:szCs w:val="24"/>
        </w:rPr>
        <w:t>primero de agosto</w:t>
      </w:r>
      <w:r w:rsidRPr="00D81530">
        <w:rPr>
          <w:rFonts w:ascii="Palatino Linotype" w:eastAsia="Calibri" w:hAnsi="Palatino Linotype" w:cs="Arial"/>
          <w:sz w:val="24"/>
          <w:szCs w:val="24"/>
        </w:rPr>
        <w:t xml:space="preserve"> de dos mil dieciocho,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CD5AC6" w:rsidRPr="00CD7669" w:rsidRDefault="00CD5AC6" w:rsidP="00180B9F">
      <w:pPr>
        <w:spacing w:before="240" w:line="360" w:lineRule="auto"/>
        <w:jc w:val="both"/>
        <w:rPr>
          <w:rFonts w:ascii="Palatino Linotype" w:hAnsi="Palatino Linotype" w:cs="Arial"/>
          <w:sz w:val="24"/>
          <w:szCs w:val="24"/>
        </w:rPr>
      </w:pPr>
    </w:p>
    <w:p w:rsidR="006168E4" w:rsidRPr="006E27B0" w:rsidRDefault="006168E4" w:rsidP="00844569">
      <w:pPr>
        <w:spacing w:before="240" w:line="360" w:lineRule="auto"/>
        <w:jc w:val="center"/>
        <w:rPr>
          <w:rFonts w:ascii="Palatino Linotype" w:hAnsi="Palatino Linotype" w:cs="Arial"/>
          <w:b/>
          <w:sz w:val="28"/>
        </w:rPr>
      </w:pPr>
      <w:r w:rsidRPr="006E27B0">
        <w:rPr>
          <w:rFonts w:ascii="Palatino Linotype" w:hAnsi="Palatino Linotype" w:cs="Arial"/>
          <w:b/>
          <w:sz w:val="28"/>
        </w:rPr>
        <w:lastRenderedPageBreak/>
        <w:t xml:space="preserve">C O N S I D E R A N D O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285490">
        <w:rPr>
          <w:rFonts w:ascii="Palatino Linotype" w:hAnsi="Palatino Linotype" w:cs="Arial"/>
          <w:sz w:val="24"/>
        </w:rPr>
        <w:t xml:space="preserve"> </w:t>
      </w:r>
      <w:r w:rsidR="00285490" w:rsidRPr="00241BE7">
        <w:rPr>
          <w:rFonts w:ascii="Palatino Linotype" w:hAnsi="Palatino Linotype" w:cs="Arial"/>
          <w:b/>
          <w:sz w:val="24"/>
        </w:rPr>
        <w:t>La</w:t>
      </w:r>
      <w:r w:rsidRPr="00241BE7">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F510DB" w:rsidRDefault="00F510DB" w:rsidP="00661753">
      <w:pPr>
        <w:tabs>
          <w:tab w:val="left" w:pos="709"/>
        </w:tabs>
        <w:spacing w:before="240" w:line="360" w:lineRule="auto"/>
        <w:ind w:right="51"/>
        <w:jc w:val="both"/>
        <w:rPr>
          <w:rFonts w:ascii="Palatino Linotype" w:hAnsi="Palatino Linotype"/>
          <w:sz w:val="24"/>
          <w:szCs w:val="24"/>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E274D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E274D5">
      <w:pPr>
        <w:pStyle w:val="Prrafodelista"/>
        <w:autoSpaceDE w:val="0"/>
        <w:autoSpaceDN w:val="0"/>
        <w:adjustRightInd w:val="0"/>
        <w:spacing w:line="360" w:lineRule="auto"/>
        <w:ind w:left="0"/>
        <w:jc w:val="both"/>
        <w:rPr>
          <w:rFonts w:ascii="Palatino Linotype" w:hAnsi="Palatino Linotype" w:cs="Arial"/>
        </w:rPr>
      </w:pPr>
    </w:p>
    <w:p w:rsidR="00526244" w:rsidRDefault="00526244" w:rsidP="00E274D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AA378C" w:rsidRPr="0006149A" w:rsidRDefault="00AA378C" w:rsidP="00E274D5">
      <w:pPr>
        <w:pStyle w:val="Prrafodelista"/>
        <w:autoSpaceDE w:val="0"/>
        <w:autoSpaceDN w:val="0"/>
        <w:adjustRightInd w:val="0"/>
        <w:spacing w:line="360" w:lineRule="auto"/>
        <w:ind w:left="0"/>
        <w:jc w:val="both"/>
        <w:rPr>
          <w:rFonts w:ascii="Palatino Linotype" w:hAnsi="Palatino Linotype" w:cs="Arial"/>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Default="00526244" w:rsidP="006E27B0">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E27B0" w:rsidRPr="0006149A" w:rsidRDefault="006E27B0" w:rsidP="006E27B0">
      <w:pPr>
        <w:pStyle w:val="Prrafodelista"/>
        <w:autoSpaceDE w:val="0"/>
        <w:autoSpaceDN w:val="0"/>
        <w:adjustRightInd w:val="0"/>
        <w:spacing w:line="360" w:lineRule="auto"/>
        <w:ind w:left="0"/>
        <w:jc w:val="both"/>
        <w:rPr>
          <w:rFonts w:ascii="Palatino Linotype" w:hAnsi="Palatino Linotype" w:cs="Arial"/>
        </w:rPr>
      </w:pPr>
    </w:p>
    <w:p w:rsidR="006E27B0" w:rsidRPr="0006149A" w:rsidRDefault="00526244" w:rsidP="00AA378C">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r w:rsidRPr="0006149A">
        <w:rPr>
          <w:rFonts w:ascii="Palatino Linotype" w:hAnsi="Palatino Linotype" w:cs="Arial"/>
          <w:color w:val="000000" w:themeColor="text1"/>
        </w:rPr>
        <w:t>Como se enunció en los antecedentes de la presente resolución, los requerimientos solicitados fueron los siguientes:</w:t>
      </w:r>
    </w:p>
    <w:p w:rsidR="006E27B0" w:rsidRDefault="00462670" w:rsidP="00AA378C">
      <w:pPr>
        <w:spacing w:before="240" w:after="240"/>
        <w:ind w:left="851" w:right="708"/>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i/>
          <w:sz w:val="24"/>
          <w:szCs w:val="24"/>
          <w:lang w:val="es-ES_tradnl" w:eastAsia="es-ES"/>
        </w:rPr>
        <w:t>“</w:t>
      </w:r>
      <w:r w:rsidR="00411E24" w:rsidRPr="00411E24">
        <w:rPr>
          <w:rFonts w:ascii="Palatino Linotype" w:eastAsia="Times New Roman" w:hAnsi="Palatino Linotype" w:cs="Times New Roman"/>
          <w:i/>
          <w:sz w:val="24"/>
          <w:szCs w:val="24"/>
          <w:lang w:val="es-ES_tradnl" w:eastAsia="es-ES"/>
        </w:rPr>
        <w:t>Histórico de compra de hojas blancas y bolígrafos que se han adquirido por la universidad</w:t>
      </w:r>
      <w:r>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sz w:val="24"/>
          <w:szCs w:val="24"/>
          <w:lang w:val="es-ES_tradnl" w:eastAsia="es-ES"/>
        </w:rPr>
        <w:t xml:space="preserve"> [Sic]</w:t>
      </w:r>
    </w:p>
    <w:p w:rsidR="00AA378C" w:rsidRPr="006E27B0" w:rsidRDefault="00AA378C" w:rsidP="00AA378C">
      <w:pPr>
        <w:spacing w:before="240" w:after="240"/>
        <w:ind w:left="851" w:right="708"/>
        <w:jc w:val="both"/>
        <w:rPr>
          <w:rFonts w:ascii="Palatino Linotype" w:eastAsia="Times New Roman" w:hAnsi="Palatino Linotype" w:cs="Times New Roman"/>
          <w:i/>
          <w:sz w:val="24"/>
          <w:szCs w:val="24"/>
          <w:lang w:val="es-ES_tradnl" w:eastAsia="es-ES"/>
        </w:rPr>
      </w:pPr>
    </w:p>
    <w:p w:rsidR="00526244" w:rsidRDefault="006E27B0" w:rsidP="00AA378C">
      <w:pPr>
        <w:spacing w:before="240" w:after="240" w:line="360" w:lineRule="auto"/>
        <w:jc w:val="both"/>
        <w:rPr>
          <w:rFonts w:ascii="Palatino Linotype" w:hAnsi="Palatino Linotype" w:cs="Arial"/>
          <w:sz w:val="24"/>
          <w:szCs w:val="24"/>
        </w:rPr>
      </w:pPr>
      <w:r w:rsidRPr="006E27B0">
        <w:rPr>
          <w:rFonts w:ascii="Palatino Linotype" w:hAnsi="Palatino Linotype" w:cs="Arial"/>
          <w:sz w:val="24"/>
          <w:szCs w:val="24"/>
        </w:rPr>
        <w:t>Atento a la solicitud de in</w:t>
      </w:r>
      <w:r>
        <w:rPr>
          <w:rFonts w:ascii="Palatino Linotype" w:hAnsi="Palatino Linotype" w:cs="Arial"/>
          <w:sz w:val="24"/>
          <w:szCs w:val="24"/>
        </w:rPr>
        <w:t xml:space="preserve">formación, </w:t>
      </w:r>
      <w:r w:rsidRPr="006E27B0">
        <w:rPr>
          <w:rFonts w:ascii="Palatino Linotype" w:hAnsi="Palatino Linotype" w:cs="Arial"/>
          <w:b/>
          <w:sz w:val="24"/>
          <w:szCs w:val="24"/>
        </w:rPr>
        <w:t xml:space="preserve">El Sujeto Obligado </w:t>
      </w:r>
      <w:r w:rsidRPr="006E27B0">
        <w:rPr>
          <w:rFonts w:ascii="Palatino Linotype" w:hAnsi="Palatino Linotype" w:cs="Arial"/>
          <w:sz w:val="24"/>
          <w:szCs w:val="24"/>
        </w:rPr>
        <w:t>emitió su respuesta remitiendo dos archivos electrónicos, en los cuales manifestó lo siguiente:</w:t>
      </w:r>
    </w:p>
    <w:p w:rsidR="00AA378C" w:rsidRDefault="00AA378C" w:rsidP="00AA378C">
      <w:pPr>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18837</wp:posOffset>
                </wp:positionV>
                <wp:extent cx="5740400" cy="1938867"/>
                <wp:effectExtent l="0" t="0" r="69850" b="61595"/>
                <wp:wrapNone/>
                <wp:docPr id="2" name="Conector recto de flecha 2"/>
                <wp:cNvGraphicFramePr/>
                <a:graphic xmlns:a="http://schemas.openxmlformats.org/drawingml/2006/main">
                  <a:graphicData uri="http://schemas.microsoft.com/office/word/2010/wordprocessingShape">
                    <wps:wsp>
                      <wps:cNvCnPr/>
                      <wps:spPr>
                        <a:xfrm>
                          <a:off x="0" y="0"/>
                          <a:ext cx="5740400" cy="19388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2BCB2D" id="_x0000_t32" coordsize="21600,21600" o:spt="32" o:oned="t" path="m,l21600,21600e" filled="f">
                <v:path arrowok="t" fillok="f" o:connecttype="none"/>
                <o:lock v:ext="edit" shapetype="t"/>
              </v:shapetype>
              <v:shape id="Conector recto de flecha 2" o:spid="_x0000_s1026" type="#_x0000_t32" style="position:absolute;margin-left:.95pt;margin-top:1.5pt;width:452pt;height:152.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" strokecolor="#5b9bd5 [3204]" strokeweight=".5pt">
                <v:stroke endarrow="block" joinstyle="miter"/>
              </v:shape>
            </w:pict>
          </mc:Fallback>
        </mc:AlternateContent>
      </w:r>
    </w:p>
    <w:p w:rsidR="00AA378C" w:rsidRDefault="00AA378C" w:rsidP="00AA378C">
      <w:pPr>
        <w:spacing w:before="240" w:after="240" w:line="360" w:lineRule="auto"/>
        <w:jc w:val="both"/>
        <w:rPr>
          <w:rFonts w:ascii="Palatino Linotype" w:hAnsi="Palatino Linotype" w:cs="Arial"/>
          <w:sz w:val="24"/>
          <w:szCs w:val="24"/>
        </w:rPr>
      </w:pPr>
    </w:p>
    <w:p w:rsidR="00AA378C" w:rsidRDefault="00AA378C" w:rsidP="00AA378C">
      <w:pPr>
        <w:spacing w:before="240" w:after="240" w:line="360" w:lineRule="auto"/>
        <w:jc w:val="both"/>
        <w:rPr>
          <w:rFonts w:ascii="Palatino Linotype" w:hAnsi="Palatino Linotype" w:cs="Arial"/>
          <w:sz w:val="24"/>
          <w:szCs w:val="24"/>
        </w:rPr>
      </w:pPr>
    </w:p>
    <w:p w:rsidR="00AA378C" w:rsidRDefault="00AA378C" w:rsidP="00AA378C">
      <w:pPr>
        <w:spacing w:before="240" w:after="240" w:line="360" w:lineRule="auto"/>
        <w:jc w:val="both"/>
        <w:rPr>
          <w:rFonts w:ascii="Palatino Linotype" w:hAnsi="Palatino Linotype" w:cs="Arial"/>
          <w:sz w:val="24"/>
          <w:szCs w:val="24"/>
        </w:rPr>
      </w:pPr>
    </w:p>
    <w:p w:rsidR="006E27B0" w:rsidRPr="002D0CB4" w:rsidRDefault="006E27B0" w:rsidP="00B73262">
      <w:pPr>
        <w:pStyle w:val="Prrafodelista"/>
        <w:numPr>
          <w:ilvl w:val="0"/>
          <w:numId w:val="9"/>
        </w:numPr>
        <w:spacing w:line="360" w:lineRule="auto"/>
        <w:jc w:val="both"/>
        <w:rPr>
          <w:rFonts w:ascii="Palatino Linotype" w:hAnsi="Palatino Linotype"/>
          <w:color w:val="000000"/>
        </w:rPr>
      </w:pPr>
      <w:r w:rsidRPr="002D0CB4">
        <w:rPr>
          <w:rFonts w:ascii="Palatino Linotype" w:hAnsi="Palatino Linotype"/>
          <w:b/>
          <w:color w:val="000000"/>
        </w:rPr>
        <w:lastRenderedPageBreak/>
        <w:t>00194UPVTIP2018.pdf</w:t>
      </w:r>
      <w:r w:rsidRPr="002D0CB4">
        <w:rPr>
          <w:rFonts w:ascii="Palatino Linotype" w:hAnsi="Palatino Linotype"/>
          <w:color w:val="000000"/>
        </w:rPr>
        <w:t>:</w:t>
      </w:r>
    </w:p>
    <w:p w:rsidR="006E27B0" w:rsidRDefault="006E27B0" w:rsidP="00B73262">
      <w:pPr>
        <w:spacing w:after="0" w:line="360" w:lineRule="auto"/>
        <w:jc w:val="center"/>
        <w:rPr>
          <w:rFonts w:ascii="Palatino Linotype" w:hAnsi="Palatino Linotype"/>
          <w:color w:val="000000"/>
          <w:sz w:val="24"/>
          <w:szCs w:val="24"/>
        </w:rPr>
      </w:pPr>
      <w:r>
        <w:rPr>
          <w:rFonts w:ascii="Palatino Linotype" w:hAnsi="Palatino Linotype"/>
          <w:noProof/>
          <w:color w:val="000000"/>
          <w:sz w:val="24"/>
          <w:szCs w:val="24"/>
          <w:lang w:eastAsia="es-MX"/>
        </w:rPr>
        <w:drawing>
          <wp:inline distT="0" distB="0" distL="0" distR="0" wp14:anchorId="18D8EB00" wp14:editId="54BC2EA6">
            <wp:extent cx="4749326" cy="3387436"/>
            <wp:effectExtent l="190500" t="190500" r="184785"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0624" cy="3388362"/>
                    </a:xfrm>
                    <a:prstGeom prst="rect">
                      <a:avLst/>
                    </a:prstGeom>
                    <a:noFill/>
                    <a:ln>
                      <a:noFill/>
                    </a:ln>
                    <a:effectLst>
                      <a:outerShdw blurRad="190500" algn="ctr" rotWithShape="0">
                        <a:prstClr val="black">
                          <a:alpha val="70000"/>
                        </a:prstClr>
                      </a:outerShdw>
                    </a:effectLst>
                  </pic:spPr>
                </pic:pic>
              </a:graphicData>
            </a:graphic>
          </wp:inline>
        </w:drawing>
      </w:r>
    </w:p>
    <w:p w:rsidR="00AA378C" w:rsidRDefault="00AA378C" w:rsidP="00B73262">
      <w:pPr>
        <w:spacing w:after="0" w:line="360" w:lineRule="auto"/>
        <w:jc w:val="center"/>
        <w:rPr>
          <w:rFonts w:ascii="Palatino Linotype" w:hAnsi="Palatino Linotype"/>
          <w:color w:val="000000"/>
          <w:sz w:val="24"/>
          <w:szCs w:val="24"/>
        </w:rPr>
      </w:pPr>
    </w:p>
    <w:p w:rsidR="006E27B0" w:rsidRDefault="006E27B0" w:rsidP="00B73262">
      <w:pPr>
        <w:pStyle w:val="Prrafodelista"/>
        <w:numPr>
          <w:ilvl w:val="0"/>
          <w:numId w:val="10"/>
        </w:numPr>
        <w:spacing w:line="360" w:lineRule="auto"/>
        <w:jc w:val="both"/>
        <w:rPr>
          <w:rFonts w:ascii="Palatino Linotype" w:hAnsi="Palatino Linotype"/>
          <w:b/>
          <w:color w:val="000000"/>
        </w:rPr>
      </w:pPr>
      <w:r w:rsidRPr="0049478F">
        <w:rPr>
          <w:rFonts w:ascii="Palatino Linotype" w:hAnsi="Palatino Linotype"/>
          <w:b/>
          <w:color w:val="000000"/>
        </w:rPr>
        <w:t>OFICIO DE RESPUESTA SOLI 194.pdf:</w:t>
      </w:r>
    </w:p>
    <w:p w:rsidR="006E27B0" w:rsidRPr="0049478F" w:rsidRDefault="006E27B0" w:rsidP="006E27B0">
      <w:pPr>
        <w:spacing w:before="240" w:line="360" w:lineRule="auto"/>
        <w:jc w:val="center"/>
        <w:rPr>
          <w:rFonts w:ascii="Palatino Linotype" w:hAnsi="Palatino Linotype"/>
          <w:b/>
          <w:color w:val="000000"/>
        </w:rPr>
      </w:pPr>
      <w:r>
        <w:rPr>
          <w:rFonts w:ascii="Palatino Linotype" w:hAnsi="Palatino Linotype"/>
          <w:b/>
          <w:noProof/>
          <w:color w:val="000000"/>
          <w:lang w:eastAsia="es-MX"/>
        </w:rPr>
        <w:drawing>
          <wp:inline distT="0" distB="0" distL="0" distR="0" wp14:anchorId="5256735D" wp14:editId="5994A78D">
            <wp:extent cx="5410200" cy="144817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4086" cy="1454564"/>
                    </a:xfrm>
                    <a:prstGeom prst="rect">
                      <a:avLst/>
                    </a:prstGeom>
                    <a:noFill/>
                    <a:ln>
                      <a:noFill/>
                    </a:ln>
                    <a:effectLst>
                      <a:outerShdw blurRad="190500" algn="ctr" rotWithShape="0">
                        <a:prstClr val="black">
                          <a:alpha val="70000"/>
                        </a:prstClr>
                      </a:outerShdw>
                    </a:effectLst>
                  </pic:spPr>
                </pic:pic>
              </a:graphicData>
            </a:graphic>
          </wp:inline>
        </w:drawing>
      </w:r>
    </w:p>
    <w:p w:rsidR="004117EF" w:rsidRPr="004117EF" w:rsidRDefault="004117EF" w:rsidP="004117EF">
      <w:pPr>
        <w:spacing w:after="0" w:line="360" w:lineRule="auto"/>
        <w:jc w:val="both"/>
        <w:rPr>
          <w:rFonts w:ascii="Palatino Linotype" w:hAnsi="Palatino Linotype"/>
          <w:sz w:val="24"/>
          <w:szCs w:val="24"/>
        </w:rPr>
      </w:pPr>
      <w:r w:rsidRPr="004117EF">
        <w:rPr>
          <w:rFonts w:ascii="Palatino Linotype" w:hAnsi="Palatino Linotype"/>
          <w:sz w:val="24"/>
          <w:szCs w:val="24"/>
        </w:rPr>
        <w:lastRenderedPageBreak/>
        <w:t xml:space="preserve">Inconforme con la respuesta emitida por el </w:t>
      </w:r>
      <w:r w:rsidRPr="004117EF">
        <w:rPr>
          <w:rFonts w:ascii="Palatino Linotype" w:hAnsi="Palatino Linotype"/>
          <w:b/>
          <w:sz w:val="24"/>
          <w:szCs w:val="24"/>
        </w:rPr>
        <w:t>Sujeto Obligado</w:t>
      </w:r>
      <w:r w:rsidRPr="004117EF">
        <w:rPr>
          <w:rFonts w:ascii="Palatino Linotype" w:hAnsi="Palatino Linotype"/>
          <w:sz w:val="24"/>
          <w:szCs w:val="24"/>
        </w:rPr>
        <w:t xml:space="preserve">, el </w:t>
      </w:r>
      <w:r w:rsidRPr="004117EF">
        <w:rPr>
          <w:rFonts w:ascii="Palatino Linotype" w:hAnsi="Palatino Linotype"/>
          <w:b/>
          <w:sz w:val="24"/>
          <w:szCs w:val="24"/>
        </w:rPr>
        <w:t>Recurrente</w:t>
      </w:r>
      <w:r w:rsidRPr="004117EF">
        <w:rPr>
          <w:rFonts w:ascii="Palatino Linotype" w:hAnsi="Palatino Linotype"/>
          <w:sz w:val="24"/>
          <w:szCs w:val="24"/>
        </w:rPr>
        <w:t xml:space="preserve"> interpuso el presente recurso de revisión, señalando como motivos de inconformidad.</w:t>
      </w:r>
    </w:p>
    <w:p w:rsidR="004117EF" w:rsidRPr="004117EF" w:rsidRDefault="004117EF" w:rsidP="004117EF">
      <w:pPr>
        <w:spacing w:after="0" w:line="360" w:lineRule="auto"/>
        <w:jc w:val="both"/>
        <w:rPr>
          <w:rFonts w:ascii="Palatino Linotype" w:hAnsi="Palatino Linotype"/>
          <w:sz w:val="24"/>
          <w:szCs w:val="24"/>
        </w:rPr>
      </w:pPr>
    </w:p>
    <w:p w:rsidR="004117EF" w:rsidRPr="004117EF" w:rsidRDefault="004117EF" w:rsidP="004117EF">
      <w:pPr>
        <w:tabs>
          <w:tab w:val="left" w:pos="851"/>
        </w:tabs>
        <w:spacing w:line="240" w:lineRule="auto"/>
        <w:ind w:left="851" w:right="851"/>
        <w:jc w:val="both"/>
        <w:rPr>
          <w:rFonts w:ascii="Palatino Linotype" w:hAnsi="Palatino Linotype" w:cs="Arial"/>
          <w:sz w:val="24"/>
          <w:szCs w:val="24"/>
        </w:rPr>
      </w:pPr>
      <w:r w:rsidRPr="004117EF">
        <w:rPr>
          <w:rFonts w:ascii="Palatino Linotype" w:hAnsi="Palatino Linotype" w:cs="Arial"/>
          <w:i/>
          <w:szCs w:val="24"/>
        </w:rPr>
        <w:t>“Solo proporcionan lo que quieren, violan derecho de acceso a la información” [Sic]</w:t>
      </w:r>
    </w:p>
    <w:p w:rsidR="004117EF" w:rsidRPr="004117EF" w:rsidRDefault="004117EF" w:rsidP="004117EF">
      <w:pPr>
        <w:spacing w:after="0" w:line="360" w:lineRule="auto"/>
        <w:jc w:val="both"/>
        <w:rPr>
          <w:rFonts w:ascii="Palatino Linotype" w:hAnsi="Palatino Linotype"/>
          <w:sz w:val="24"/>
          <w:szCs w:val="24"/>
        </w:rPr>
      </w:pPr>
    </w:p>
    <w:p w:rsidR="004117EF" w:rsidRDefault="004117EF" w:rsidP="004117EF">
      <w:pPr>
        <w:spacing w:after="0" w:line="360" w:lineRule="auto"/>
        <w:jc w:val="both"/>
        <w:rPr>
          <w:rFonts w:ascii="Palatino Linotype" w:hAnsi="Palatino Linotype"/>
          <w:sz w:val="24"/>
          <w:szCs w:val="24"/>
        </w:rPr>
      </w:pPr>
      <w:r w:rsidRPr="004117EF">
        <w:rPr>
          <w:rFonts w:ascii="Palatino Linotype" w:hAnsi="Palatino Linotype"/>
          <w:sz w:val="24"/>
          <w:szCs w:val="24"/>
        </w:rPr>
        <w:t xml:space="preserve">Por su parte, el </w:t>
      </w:r>
      <w:r w:rsidRPr="004117EF">
        <w:rPr>
          <w:rFonts w:ascii="Palatino Linotype" w:hAnsi="Palatino Linotype"/>
          <w:b/>
          <w:sz w:val="24"/>
          <w:szCs w:val="24"/>
        </w:rPr>
        <w:t>Sujeto Obligado</w:t>
      </w:r>
      <w:r w:rsidRPr="004117EF">
        <w:rPr>
          <w:rFonts w:ascii="Palatino Linotype" w:hAnsi="Palatino Linotype"/>
          <w:sz w:val="24"/>
          <w:szCs w:val="24"/>
        </w:rPr>
        <w:t xml:space="preserve"> remitió su Informe Justificado en fecha </w:t>
      </w:r>
      <w:r>
        <w:rPr>
          <w:rFonts w:ascii="Palatino Linotype" w:hAnsi="Palatino Linotype"/>
          <w:sz w:val="24"/>
          <w:szCs w:val="24"/>
        </w:rPr>
        <w:t>quince de junio</w:t>
      </w:r>
      <w:r w:rsidRPr="004117EF">
        <w:rPr>
          <w:rFonts w:ascii="Palatino Linotype" w:hAnsi="Palatino Linotype"/>
          <w:sz w:val="24"/>
          <w:szCs w:val="24"/>
        </w:rPr>
        <w:t xml:space="preserve"> de dos mil dieciocho, en el que medularmente ratificó su respuesta, como se puede apreciar en la imagen que a continuación se inserta:</w:t>
      </w:r>
    </w:p>
    <w:p w:rsidR="005E398E" w:rsidRPr="004117EF" w:rsidRDefault="005E398E" w:rsidP="004117EF">
      <w:pPr>
        <w:spacing w:after="0" w:line="360" w:lineRule="auto"/>
        <w:jc w:val="both"/>
        <w:rPr>
          <w:rFonts w:ascii="Palatino Linotype" w:hAnsi="Palatino Linotype"/>
          <w:sz w:val="24"/>
          <w:szCs w:val="24"/>
        </w:rPr>
      </w:pPr>
    </w:p>
    <w:p w:rsidR="00526244" w:rsidRPr="0007432B" w:rsidRDefault="00E6099D" w:rsidP="0007432B">
      <w:pPr>
        <w:tabs>
          <w:tab w:val="left" w:pos="709"/>
        </w:tabs>
        <w:spacing w:before="240" w:line="360" w:lineRule="auto"/>
        <w:ind w:right="51"/>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2364105</wp:posOffset>
                </wp:positionH>
                <wp:positionV relativeFrom="paragraph">
                  <wp:posOffset>826770</wp:posOffset>
                </wp:positionV>
                <wp:extent cx="1828800" cy="167640"/>
                <wp:effectExtent l="19050" t="19050" r="19050" b="22860"/>
                <wp:wrapNone/>
                <wp:docPr id="12" name="Rectángulo 12"/>
                <wp:cNvGraphicFramePr/>
                <a:graphic xmlns:a="http://schemas.openxmlformats.org/drawingml/2006/main">
                  <a:graphicData uri="http://schemas.microsoft.com/office/word/2010/wordprocessingShape">
                    <wps:wsp>
                      <wps:cNvSpPr/>
                      <wps:spPr>
                        <a:xfrm>
                          <a:off x="0" y="0"/>
                          <a:ext cx="1828800" cy="16764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1E4D8" id="Rectángulo 12" o:spid="_x0000_s1026" style="position:absolute;margin-left:186.15pt;margin-top:65.1pt;width:2in;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" filled="f" strokecolor="#c00000" strokeweight="2.25pt"/>
            </w:pict>
          </mc:Fallback>
        </mc:AlternateContent>
      </w:r>
      <w:r w:rsidR="004117EF">
        <w:rPr>
          <w:rFonts w:ascii="Palatino Linotype" w:hAnsi="Palatino Linotype"/>
          <w:noProof/>
          <w:sz w:val="24"/>
          <w:szCs w:val="24"/>
          <w:lang w:eastAsia="es-MX"/>
        </w:rPr>
        <w:drawing>
          <wp:inline distT="0" distB="0" distL="0" distR="0">
            <wp:extent cx="5494022" cy="872067"/>
            <wp:effectExtent l="190500" t="190500" r="182880" b="1949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8478" cy="874362"/>
                    </a:xfrm>
                    <a:prstGeom prst="rect">
                      <a:avLst/>
                    </a:prstGeom>
                    <a:noFill/>
                    <a:ln>
                      <a:noFill/>
                    </a:ln>
                    <a:effectLst>
                      <a:outerShdw blurRad="190500" algn="ctr" rotWithShape="0">
                        <a:prstClr val="black">
                          <a:alpha val="70000"/>
                        </a:prstClr>
                      </a:outerShdw>
                    </a:effectLst>
                  </pic:spPr>
                </pic:pic>
              </a:graphicData>
            </a:graphic>
          </wp:inline>
        </w:drawing>
      </w:r>
    </w:p>
    <w:p w:rsidR="0007432B" w:rsidRDefault="0007432B" w:rsidP="00E274D5">
      <w:pPr>
        <w:tabs>
          <w:tab w:val="left" w:pos="8647"/>
        </w:tabs>
        <w:spacing w:after="0" w:line="360" w:lineRule="auto"/>
        <w:jc w:val="both"/>
        <w:rPr>
          <w:rFonts w:ascii="Palatino Linotype" w:hAnsi="Palatino Linotype" w:cs="Arial"/>
          <w:sz w:val="24"/>
          <w:szCs w:val="24"/>
        </w:rPr>
      </w:pPr>
      <w:r w:rsidRPr="0007432B">
        <w:rPr>
          <w:rFonts w:ascii="Palatino Linotype" w:hAnsi="Palatino Linotype" w:cs="Arial"/>
          <w:sz w:val="24"/>
          <w:szCs w:val="24"/>
        </w:rPr>
        <w:t>En primera instancia, es necesario hacer referencia a los motivos o razones</w:t>
      </w:r>
      <w:r>
        <w:rPr>
          <w:rFonts w:ascii="Palatino Linotype" w:hAnsi="Palatino Linotype" w:cs="Arial"/>
          <w:sz w:val="24"/>
          <w:szCs w:val="24"/>
        </w:rPr>
        <w:t xml:space="preserve"> de inconformidad que expresa La</w:t>
      </w:r>
      <w:r w:rsidRPr="0007432B">
        <w:rPr>
          <w:rFonts w:ascii="Palatino Linotype" w:hAnsi="Palatino Linotype" w:cs="Arial"/>
          <w:sz w:val="24"/>
          <w:szCs w:val="24"/>
        </w:rPr>
        <w:t xml:space="preserve"> Recurrente, los cuales adminiculados con el acto impugnado, señalan que </w:t>
      </w:r>
      <w:r>
        <w:rPr>
          <w:rFonts w:ascii="Palatino Linotype" w:hAnsi="Palatino Linotype" w:cs="Arial"/>
          <w:sz w:val="24"/>
          <w:szCs w:val="24"/>
        </w:rPr>
        <w:t>se está negando la información solicita</w:t>
      </w:r>
      <w:r w:rsidR="00D52297">
        <w:rPr>
          <w:rFonts w:ascii="Palatino Linotype" w:hAnsi="Palatino Linotype" w:cs="Arial"/>
          <w:sz w:val="24"/>
          <w:szCs w:val="24"/>
        </w:rPr>
        <w:t>da</w:t>
      </w:r>
      <w:r w:rsidRPr="0007432B">
        <w:rPr>
          <w:rFonts w:ascii="Palatino Linotype" w:hAnsi="Palatino Linotype" w:cs="Arial"/>
          <w:sz w:val="24"/>
          <w:szCs w:val="24"/>
        </w:rPr>
        <w:t>.</w:t>
      </w:r>
    </w:p>
    <w:p w:rsidR="00837B4D" w:rsidRDefault="00837B4D" w:rsidP="00E274D5">
      <w:pPr>
        <w:tabs>
          <w:tab w:val="left" w:pos="8647"/>
        </w:tabs>
        <w:spacing w:after="0" w:line="360" w:lineRule="auto"/>
        <w:jc w:val="both"/>
        <w:rPr>
          <w:rFonts w:ascii="Palatino Linotype" w:hAnsi="Palatino Linotype" w:cs="Arial"/>
          <w:sz w:val="24"/>
          <w:szCs w:val="24"/>
        </w:rPr>
      </w:pPr>
    </w:p>
    <w:p w:rsidR="00526244" w:rsidRDefault="00526244" w:rsidP="00E274D5">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07432B">
        <w:rPr>
          <w:rFonts w:ascii="Palatino Linotype" w:hAnsi="Palatino Linotype" w:cs="Arial"/>
          <w:sz w:val="24"/>
          <w:szCs w:val="24"/>
        </w:rPr>
        <w:t xml:space="preserve">parte del </w:t>
      </w:r>
      <w:r w:rsidR="0007432B" w:rsidRPr="00E6099D">
        <w:rPr>
          <w:rFonts w:ascii="Palatino Linotype" w:hAnsi="Palatino Linotype" w:cs="Arial"/>
          <w:b/>
          <w:sz w:val="24"/>
          <w:szCs w:val="24"/>
        </w:rPr>
        <w:t>Sujeto O</w:t>
      </w:r>
      <w:r w:rsidRPr="00E6099D">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rsidR="00526244" w:rsidRDefault="00526244" w:rsidP="00E274D5">
      <w:pPr>
        <w:tabs>
          <w:tab w:val="left" w:pos="709"/>
        </w:tabs>
        <w:spacing w:after="0" w:line="360" w:lineRule="auto"/>
        <w:ind w:right="51"/>
        <w:jc w:val="both"/>
        <w:rPr>
          <w:rFonts w:ascii="Palatino Linotype" w:hAnsi="Palatino Linotype" w:cs="Arial"/>
          <w:sz w:val="24"/>
          <w:szCs w:val="24"/>
        </w:rPr>
      </w:pPr>
    </w:p>
    <w:p w:rsidR="00F043B8" w:rsidRPr="006676E2" w:rsidRDefault="00F043B8" w:rsidP="00E6099D">
      <w:pPr>
        <w:tabs>
          <w:tab w:val="left" w:pos="8647"/>
        </w:tabs>
        <w:spacing w:after="0" w:line="360" w:lineRule="auto"/>
        <w:jc w:val="both"/>
        <w:rPr>
          <w:rFonts w:ascii="Palatino Linotype" w:hAnsi="Palatino Linotype" w:cs="Arial"/>
          <w:sz w:val="24"/>
          <w:szCs w:val="24"/>
        </w:rPr>
      </w:pPr>
      <w:r w:rsidRPr="006676E2">
        <w:rPr>
          <w:rFonts w:ascii="Palatino Linotype" w:hAnsi="Palatino Linotype" w:cs="Arial"/>
          <w:sz w:val="24"/>
          <w:szCs w:val="24"/>
        </w:rPr>
        <w:lastRenderedPageBreak/>
        <w:t>Es de precisar que se obvia el análisis d</w:t>
      </w:r>
      <w:r w:rsidR="0007432B">
        <w:rPr>
          <w:rFonts w:ascii="Palatino Linotype" w:hAnsi="Palatino Linotype" w:cs="Arial"/>
          <w:sz w:val="24"/>
          <w:szCs w:val="24"/>
        </w:rPr>
        <w:t xml:space="preserve">e la competencia por parte del </w:t>
      </w:r>
      <w:r w:rsidR="0007432B" w:rsidRPr="00E6099D">
        <w:rPr>
          <w:rFonts w:ascii="Palatino Linotype" w:hAnsi="Palatino Linotype" w:cs="Arial"/>
          <w:b/>
          <w:sz w:val="24"/>
          <w:szCs w:val="24"/>
        </w:rPr>
        <w:t>Sujeto O</w:t>
      </w:r>
      <w:r w:rsidRPr="00E6099D">
        <w:rPr>
          <w:rFonts w:ascii="Palatino Linotype" w:hAnsi="Palatino Linotype" w:cs="Arial"/>
          <w:b/>
          <w:sz w:val="24"/>
          <w:szCs w:val="24"/>
        </w:rPr>
        <w:t>bligado</w:t>
      </w:r>
      <w:r w:rsidRPr="006676E2">
        <w:rPr>
          <w:rFonts w:ascii="Palatino Linotype" w:hAnsi="Palatino Linotype" w:cs="Arial"/>
          <w:sz w:val="24"/>
          <w:szCs w:val="24"/>
        </w:rPr>
        <w:t xml:space="preserve">, para generar, administrar o poseer la información solicitada, dado que éste ha asumido la misma, en razón de que da respuesta </w:t>
      </w:r>
      <w:r w:rsidR="0007432B">
        <w:rPr>
          <w:rFonts w:ascii="Palatino Linotype" w:hAnsi="Palatino Linotype" w:cs="Arial"/>
          <w:sz w:val="24"/>
          <w:szCs w:val="24"/>
        </w:rPr>
        <w:t>a la solicitud de información referente a la compra de hojas blancas y bolígrafos correspondiente a los años dos mil diecisiete y dos mil dieciocho</w:t>
      </w:r>
      <w:r w:rsidRPr="006676E2">
        <w:rPr>
          <w:rFonts w:ascii="Palatino Linotype" w:hAnsi="Palatino Linotype" w:cs="Arial"/>
          <w:sz w:val="24"/>
          <w:szCs w:val="24"/>
        </w:rPr>
        <w:t>, po</w:t>
      </w:r>
      <w:r w:rsidR="00E6099D">
        <w:rPr>
          <w:rFonts w:ascii="Palatino Linotype" w:hAnsi="Palatino Linotype" w:cs="Arial"/>
          <w:sz w:val="24"/>
          <w:szCs w:val="24"/>
        </w:rPr>
        <w:t xml:space="preserve">r lo tanto, el hecho de que </w:t>
      </w:r>
      <w:r w:rsidR="00E6099D" w:rsidRPr="00E6099D">
        <w:rPr>
          <w:rFonts w:ascii="Palatino Linotype" w:hAnsi="Palatino Linotype" w:cs="Arial"/>
          <w:b/>
          <w:sz w:val="24"/>
          <w:szCs w:val="24"/>
        </w:rPr>
        <w:t>E</w:t>
      </w:r>
      <w:r w:rsidR="0007432B" w:rsidRPr="00E6099D">
        <w:rPr>
          <w:rFonts w:ascii="Palatino Linotype" w:hAnsi="Palatino Linotype" w:cs="Arial"/>
          <w:b/>
          <w:sz w:val="24"/>
          <w:szCs w:val="24"/>
        </w:rPr>
        <w:t>l Sujeto O</w:t>
      </w:r>
      <w:r w:rsidRPr="00E6099D">
        <w:rPr>
          <w:rFonts w:ascii="Palatino Linotype" w:hAnsi="Palatino Linotype" w:cs="Arial"/>
          <w:b/>
          <w:sz w:val="24"/>
          <w:szCs w:val="24"/>
        </w:rPr>
        <w:t>bligado</w:t>
      </w:r>
      <w:r w:rsidRPr="006676E2">
        <w:rPr>
          <w:rFonts w:ascii="Palatino Linotype" w:hAnsi="Palatino Linotype" w:cs="Arial"/>
          <w:sz w:val="24"/>
          <w:szCs w:val="24"/>
        </w:rPr>
        <w:t xml:space="preserve"> haya inten</w:t>
      </w:r>
      <w:r w:rsidR="0007432B">
        <w:rPr>
          <w:rFonts w:ascii="Palatino Linotype" w:hAnsi="Palatino Linotype" w:cs="Arial"/>
          <w:sz w:val="24"/>
          <w:szCs w:val="24"/>
        </w:rPr>
        <w:t xml:space="preserve">tado otorgar lo solicitado a </w:t>
      </w:r>
      <w:r w:rsidR="0007432B" w:rsidRPr="00E6099D">
        <w:rPr>
          <w:rFonts w:ascii="Palatino Linotype" w:hAnsi="Palatino Linotype" w:cs="Arial"/>
          <w:b/>
          <w:sz w:val="24"/>
          <w:szCs w:val="24"/>
        </w:rPr>
        <w:t>La Recurrente</w:t>
      </w:r>
      <w:r w:rsidRPr="006676E2">
        <w:rPr>
          <w:rFonts w:ascii="Palatino Linotype" w:hAnsi="Palatino Linotype" w:cs="Arial"/>
          <w:sz w:val="24"/>
          <w:szCs w:val="24"/>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F043B8" w:rsidRPr="006676E2" w:rsidRDefault="00F043B8" w:rsidP="00E6099D">
      <w:pPr>
        <w:tabs>
          <w:tab w:val="left" w:pos="8647"/>
        </w:tabs>
        <w:spacing w:after="0" w:line="360" w:lineRule="auto"/>
        <w:jc w:val="both"/>
        <w:rPr>
          <w:rFonts w:ascii="Palatino Linotype" w:hAnsi="Palatino Linotype" w:cs="Arial"/>
          <w:sz w:val="24"/>
          <w:szCs w:val="24"/>
        </w:rPr>
      </w:pPr>
    </w:p>
    <w:p w:rsidR="00F043B8" w:rsidRPr="00F043B8" w:rsidRDefault="00F043B8" w:rsidP="00E6099D">
      <w:pPr>
        <w:tabs>
          <w:tab w:val="left" w:pos="8647"/>
        </w:tabs>
        <w:spacing w:after="0" w:line="360" w:lineRule="auto"/>
        <w:jc w:val="both"/>
        <w:rPr>
          <w:rFonts w:ascii="Palatino Linotype" w:hAnsi="Palatino Linotype"/>
          <w:sz w:val="24"/>
          <w:szCs w:val="24"/>
        </w:rPr>
      </w:pPr>
      <w:r w:rsidRPr="006676E2">
        <w:rPr>
          <w:rFonts w:ascii="Palatino Linotype" w:hAnsi="Palatino Linotype"/>
          <w:sz w:val="24"/>
          <w:szCs w:val="24"/>
        </w:rPr>
        <w:t>De hecho el estudio de la naturaleza jurídica de la información pública solicitada, tiene por objeto determinar si ésta la genera, posee o adm</w:t>
      </w:r>
      <w:r w:rsidR="0007432B">
        <w:rPr>
          <w:rFonts w:ascii="Palatino Linotype" w:hAnsi="Palatino Linotype"/>
          <w:sz w:val="24"/>
          <w:szCs w:val="24"/>
        </w:rPr>
        <w:t>inist</w:t>
      </w:r>
      <w:r w:rsidR="00E6099D">
        <w:rPr>
          <w:rFonts w:ascii="Palatino Linotype" w:hAnsi="Palatino Linotype"/>
          <w:sz w:val="24"/>
          <w:szCs w:val="24"/>
        </w:rPr>
        <w:t xml:space="preserve">ra </w:t>
      </w:r>
      <w:r w:rsidR="00E6099D" w:rsidRPr="00E6099D">
        <w:rPr>
          <w:rFonts w:ascii="Palatino Linotype" w:hAnsi="Palatino Linotype"/>
          <w:b/>
          <w:sz w:val="24"/>
          <w:szCs w:val="24"/>
        </w:rPr>
        <w:t>E</w:t>
      </w:r>
      <w:r w:rsidR="0007432B" w:rsidRPr="00E6099D">
        <w:rPr>
          <w:rFonts w:ascii="Palatino Linotype" w:hAnsi="Palatino Linotype"/>
          <w:b/>
          <w:sz w:val="24"/>
          <w:szCs w:val="24"/>
        </w:rPr>
        <w:t>l Sujeto O</w:t>
      </w:r>
      <w:r w:rsidRPr="00E6099D">
        <w:rPr>
          <w:rFonts w:ascii="Palatino Linotype" w:hAnsi="Palatino Linotype"/>
          <w:b/>
          <w:sz w:val="24"/>
          <w:szCs w:val="24"/>
        </w:rPr>
        <w:t>bligado</w:t>
      </w:r>
      <w:r w:rsidRPr="006676E2">
        <w:rPr>
          <w:rFonts w:ascii="Palatino Linotype" w:hAnsi="Palatino Linotype"/>
          <w:sz w:val="24"/>
          <w:szCs w:val="24"/>
        </w:rPr>
        <w:t>; sin embargo, en aquellos casos en que éste la asume, implica en automático que la genera, posee o administra; por consiguiente, a nada práctico nos conduciría su estudio, ya que se insiste la información pública solicitada, ya f</w:t>
      </w:r>
      <w:r w:rsidR="0007432B">
        <w:rPr>
          <w:rFonts w:ascii="Palatino Linotype" w:hAnsi="Palatino Linotype"/>
          <w:sz w:val="24"/>
          <w:szCs w:val="24"/>
        </w:rPr>
        <w:t>ue as</w:t>
      </w:r>
      <w:r w:rsidR="00E6099D">
        <w:rPr>
          <w:rFonts w:ascii="Palatino Linotype" w:hAnsi="Palatino Linotype"/>
          <w:sz w:val="24"/>
          <w:szCs w:val="24"/>
        </w:rPr>
        <w:t xml:space="preserve">umida por </w:t>
      </w:r>
      <w:r w:rsidR="00E6099D" w:rsidRPr="00E6099D">
        <w:rPr>
          <w:rFonts w:ascii="Palatino Linotype" w:hAnsi="Palatino Linotype"/>
          <w:b/>
          <w:sz w:val="24"/>
          <w:szCs w:val="24"/>
        </w:rPr>
        <w:t>E</w:t>
      </w:r>
      <w:r w:rsidR="0007432B" w:rsidRPr="00E6099D">
        <w:rPr>
          <w:rFonts w:ascii="Palatino Linotype" w:hAnsi="Palatino Linotype"/>
          <w:b/>
          <w:sz w:val="24"/>
          <w:szCs w:val="24"/>
        </w:rPr>
        <w:t>l Sujeto O</w:t>
      </w:r>
      <w:r w:rsidRPr="00E6099D">
        <w:rPr>
          <w:rFonts w:ascii="Palatino Linotype" w:hAnsi="Palatino Linotype"/>
          <w:b/>
          <w:sz w:val="24"/>
          <w:szCs w:val="24"/>
        </w:rPr>
        <w:t>bligado</w:t>
      </w:r>
      <w:r w:rsidRPr="006676E2">
        <w:rPr>
          <w:rFonts w:ascii="Palatino Linotype" w:hAnsi="Palatino Linotype"/>
          <w:sz w:val="24"/>
          <w:szCs w:val="24"/>
        </w:rPr>
        <w:t>.</w:t>
      </w:r>
    </w:p>
    <w:p w:rsidR="00F043B8" w:rsidRDefault="00F043B8" w:rsidP="00E274D5">
      <w:pPr>
        <w:tabs>
          <w:tab w:val="left" w:pos="709"/>
        </w:tabs>
        <w:spacing w:after="0" w:line="360" w:lineRule="auto"/>
        <w:ind w:right="51"/>
        <w:jc w:val="both"/>
        <w:rPr>
          <w:rFonts w:ascii="Palatino Linotype" w:hAnsi="Palatino Linotype" w:cs="Arial"/>
          <w:sz w:val="24"/>
          <w:szCs w:val="24"/>
        </w:rPr>
      </w:pPr>
    </w:p>
    <w:p w:rsidR="00837B4D" w:rsidRDefault="00837B4D" w:rsidP="00E274D5">
      <w:pPr>
        <w:autoSpaceDE w:val="0"/>
        <w:autoSpaceDN w:val="0"/>
        <w:adjustRightInd w:val="0"/>
        <w:spacing w:after="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Ahora bien, es de advertirse lo siguiente, e</w:t>
      </w:r>
      <w:r w:rsidRPr="009B3996">
        <w:rPr>
          <w:rFonts w:ascii="Palatino Linotype" w:hAnsi="Palatino Linotype" w:cs="Arial"/>
          <w:color w:val="000000"/>
          <w:sz w:val="24"/>
          <w:szCs w:val="24"/>
        </w:rPr>
        <w:t>n primera instancia, nuestra Carta Magna dispone que para el ejercicio del derecho de acceso a la información</w:t>
      </w:r>
      <w:r w:rsidR="0007432B">
        <w:rPr>
          <w:rFonts w:ascii="Palatino Linotype" w:hAnsi="Palatino Linotype" w:cs="Arial"/>
          <w:color w:val="000000"/>
          <w:sz w:val="24"/>
          <w:szCs w:val="24"/>
        </w:rPr>
        <w:t>,</w:t>
      </w:r>
      <w:r w:rsidRPr="009B3996">
        <w:rPr>
          <w:rFonts w:ascii="Palatino Linotype" w:hAnsi="Palatino Linotype" w:cs="Arial"/>
          <w:color w:val="000000"/>
          <w:sz w:val="24"/>
          <w:szCs w:val="24"/>
        </w:rPr>
        <w:t xml:space="preserve"> los Estados deben observar diversos principios y bases, entre los cuales se establece que toda la información en posesión de cualquier autoridad, órgano, organismo, órganos autónomos, así como de cualquier sindicato que reciba y ejerza recursos públicos o </w:t>
      </w:r>
      <w:r w:rsidRPr="009B3996">
        <w:rPr>
          <w:rFonts w:ascii="Palatino Linotype" w:hAnsi="Palatino Linotype" w:cs="Arial"/>
          <w:color w:val="000000"/>
          <w:sz w:val="24"/>
          <w:szCs w:val="24"/>
        </w:rPr>
        <w:lastRenderedPageBreak/>
        <w:t>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5E398E" w:rsidRPr="009B3996" w:rsidRDefault="005E398E" w:rsidP="00E274D5">
      <w:pPr>
        <w:autoSpaceDE w:val="0"/>
        <w:autoSpaceDN w:val="0"/>
        <w:adjustRightInd w:val="0"/>
        <w:spacing w:after="0" w:line="360" w:lineRule="auto"/>
        <w:ind w:right="-91"/>
        <w:jc w:val="both"/>
        <w:rPr>
          <w:rFonts w:ascii="Palatino Linotype" w:hAnsi="Palatino Linotype" w:cs="Arial"/>
          <w:color w:val="000000"/>
          <w:sz w:val="24"/>
          <w:szCs w:val="24"/>
        </w:rPr>
      </w:pPr>
    </w:p>
    <w:p w:rsidR="00837B4D" w:rsidRPr="009B3996" w:rsidRDefault="00837B4D" w:rsidP="0007432B">
      <w:pPr>
        <w:spacing w:after="0" w:line="24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r w:rsidRPr="0007432B">
        <w:rPr>
          <w:rFonts w:ascii="Palatino Linotype" w:hAnsi="Palatino Linotype" w:cs="Arial"/>
          <w:b/>
          <w:bCs/>
          <w:i/>
          <w:sz w:val="24"/>
          <w:szCs w:val="24"/>
        </w:rPr>
        <w:t>Artículo 6</w:t>
      </w:r>
    </w:p>
    <w:p w:rsidR="00837B4D" w:rsidRPr="009B3996" w:rsidRDefault="00837B4D" w:rsidP="0007432B">
      <w:pPr>
        <w:spacing w:after="0" w:line="24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p>
    <w:p w:rsidR="00837B4D" w:rsidRPr="009B3996" w:rsidRDefault="00837B4D" w:rsidP="0007432B">
      <w:pPr>
        <w:spacing w:after="0" w:line="24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837B4D" w:rsidRPr="009B3996" w:rsidRDefault="00837B4D" w:rsidP="0007432B">
      <w:pPr>
        <w:spacing w:after="0" w:line="240" w:lineRule="auto"/>
        <w:ind w:left="851" w:right="851"/>
        <w:jc w:val="both"/>
        <w:rPr>
          <w:rFonts w:ascii="Palatino Linotype" w:hAnsi="Palatino Linotype" w:cs="Arial"/>
          <w:bCs/>
          <w:i/>
          <w:sz w:val="24"/>
          <w:szCs w:val="24"/>
        </w:rPr>
      </w:pPr>
    </w:p>
    <w:p w:rsidR="00837B4D" w:rsidRPr="009B3996" w:rsidRDefault="00837B4D" w:rsidP="0007432B">
      <w:pPr>
        <w:tabs>
          <w:tab w:val="left" w:pos="709"/>
        </w:tabs>
        <w:spacing w:line="24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7B4D" w:rsidRPr="009B3996" w:rsidRDefault="00837B4D" w:rsidP="00837B4D">
      <w:pPr>
        <w:tabs>
          <w:tab w:val="left" w:pos="709"/>
        </w:tabs>
        <w:spacing w:line="480" w:lineRule="auto"/>
        <w:jc w:val="both"/>
        <w:rPr>
          <w:rFonts w:ascii="Palatino Linotype" w:hAnsi="Palatino Linotype" w:cs="Arial"/>
          <w:sz w:val="24"/>
          <w:szCs w:val="24"/>
        </w:rPr>
      </w:pPr>
    </w:p>
    <w:p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5E398E" w:rsidRPr="009B3996" w:rsidRDefault="005E398E" w:rsidP="00837B4D">
      <w:pPr>
        <w:tabs>
          <w:tab w:val="left" w:pos="709"/>
        </w:tabs>
        <w:spacing w:line="360" w:lineRule="auto"/>
        <w:jc w:val="both"/>
        <w:rPr>
          <w:rFonts w:ascii="Palatino Linotype" w:hAnsi="Palatino Linotype" w:cs="Arial"/>
          <w:sz w:val="24"/>
          <w:szCs w:val="24"/>
        </w:rPr>
      </w:pPr>
    </w:p>
    <w:p w:rsidR="00837B4D" w:rsidRPr="009B3996" w:rsidRDefault="00837B4D" w:rsidP="0007432B">
      <w:pPr>
        <w:spacing w:after="0" w:line="240" w:lineRule="auto"/>
        <w:ind w:left="851" w:right="851"/>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837B4D" w:rsidRPr="009B3996" w:rsidRDefault="00837B4D" w:rsidP="0007432B">
      <w:pPr>
        <w:spacing w:after="0" w:line="240" w:lineRule="auto"/>
        <w:ind w:left="851" w:right="851"/>
        <w:jc w:val="both"/>
        <w:rPr>
          <w:rFonts w:ascii="Palatino Linotype" w:hAnsi="Palatino Linotype" w:cs="Arial"/>
          <w:i/>
          <w:sz w:val="24"/>
          <w:szCs w:val="24"/>
        </w:rPr>
      </w:pPr>
      <w:r w:rsidRPr="009B3996">
        <w:rPr>
          <w:rFonts w:ascii="Palatino Linotype" w:hAnsi="Palatino Linotype" w:cs="Arial"/>
          <w:i/>
          <w:sz w:val="24"/>
          <w:szCs w:val="24"/>
        </w:rPr>
        <w:t>…</w:t>
      </w:r>
    </w:p>
    <w:p w:rsidR="00837B4D" w:rsidRPr="009B3996" w:rsidRDefault="00837B4D" w:rsidP="0007432B">
      <w:pPr>
        <w:spacing w:after="0" w:line="24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837B4D" w:rsidRPr="009B3996" w:rsidRDefault="00837B4D" w:rsidP="0007432B">
      <w:pPr>
        <w:spacing w:after="0" w:line="240" w:lineRule="auto"/>
        <w:ind w:left="851" w:right="851"/>
        <w:jc w:val="both"/>
        <w:rPr>
          <w:rFonts w:ascii="Palatino Linotype" w:hAnsi="Palatino Linotype" w:cs="Arial"/>
          <w:i/>
          <w:sz w:val="24"/>
          <w:szCs w:val="24"/>
        </w:rPr>
      </w:pPr>
    </w:p>
    <w:p w:rsidR="00837B4D" w:rsidRPr="009B3996" w:rsidRDefault="00837B4D" w:rsidP="0007432B">
      <w:pPr>
        <w:autoSpaceDE w:val="0"/>
        <w:autoSpaceDN w:val="0"/>
        <w:adjustRightInd w:val="0"/>
        <w:spacing w:after="0" w:line="240" w:lineRule="auto"/>
        <w:ind w:left="851" w:right="851"/>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7B4D" w:rsidRPr="009B3996" w:rsidRDefault="00837B4D" w:rsidP="0007432B">
      <w:pPr>
        <w:autoSpaceDE w:val="0"/>
        <w:autoSpaceDN w:val="0"/>
        <w:adjustRightInd w:val="0"/>
        <w:spacing w:after="0" w:line="240" w:lineRule="auto"/>
        <w:ind w:left="851" w:right="851"/>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7B4D" w:rsidRPr="009B3996" w:rsidRDefault="00837B4D" w:rsidP="0007432B">
      <w:pPr>
        <w:autoSpaceDE w:val="0"/>
        <w:autoSpaceDN w:val="0"/>
        <w:adjustRightInd w:val="0"/>
        <w:spacing w:after="0" w:line="24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837B4D" w:rsidRPr="009B3996" w:rsidRDefault="00837B4D" w:rsidP="0007432B">
      <w:pPr>
        <w:spacing w:after="0" w:line="240" w:lineRule="auto"/>
        <w:ind w:left="851" w:right="851"/>
        <w:jc w:val="both"/>
        <w:rPr>
          <w:rFonts w:ascii="Palatino Linotype" w:hAnsi="Palatino Linotype" w:cs="Arial"/>
          <w:i/>
          <w:sz w:val="24"/>
          <w:szCs w:val="24"/>
        </w:rPr>
      </w:pPr>
    </w:p>
    <w:p w:rsidR="00837B4D" w:rsidRPr="009B3996" w:rsidRDefault="00837B4D" w:rsidP="0007432B">
      <w:pPr>
        <w:spacing w:after="0" w:line="24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837B4D" w:rsidRPr="009B3996" w:rsidRDefault="00837B4D" w:rsidP="0007432B">
      <w:pPr>
        <w:spacing w:after="0" w:line="240" w:lineRule="auto"/>
        <w:ind w:left="851" w:right="851"/>
        <w:jc w:val="both"/>
        <w:rPr>
          <w:rFonts w:ascii="Palatino Linotype" w:hAnsi="Palatino Linotype" w:cs="Arial"/>
          <w:i/>
          <w:sz w:val="24"/>
          <w:szCs w:val="24"/>
        </w:rPr>
      </w:pPr>
    </w:p>
    <w:p w:rsidR="00837B4D" w:rsidRPr="007C58CA" w:rsidRDefault="00837B4D" w:rsidP="0007432B">
      <w:pPr>
        <w:spacing w:after="0" w:line="240" w:lineRule="auto"/>
        <w:ind w:left="851" w:right="851"/>
        <w:jc w:val="both"/>
        <w:rPr>
          <w:rFonts w:ascii="Palatino Linotype" w:hAnsi="Palatino Linotype" w:cs="Arial"/>
          <w:i/>
          <w:sz w:val="24"/>
          <w:szCs w:val="24"/>
          <w:u w:val="single"/>
        </w:rPr>
      </w:pPr>
      <w:r w:rsidRPr="005473DC">
        <w:rPr>
          <w:rFonts w:ascii="Palatino Linotype" w:hAnsi="Palatino Linotype" w:cs="Arial"/>
          <w:b/>
          <w:i/>
          <w:sz w:val="24"/>
          <w:szCs w:val="24"/>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837B4D" w:rsidRDefault="00837B4D" w:rsidP="0007432B">
      <w:pPr>
        <w:spacing w:after="0" w:line="240" w:lineRule="auto"/>
        <w:ind w:left="851" w:right="851"/>
        <w:jc w:val="right"/>
        <w:rPr>
          <w:rFonts w:ascii="Palatino Linotype" w:hAnsi="Palatino Linotype" w:cs="Arial"/>
          <w:sz w:val="24"/>
          <w:szCs w:val="24"/>
        </w:rPr>
      </w:pPr>
    </w:p>
    <w:p w:rsidR="00837B4D" w:rsidRPr="005355FA" w:rsidRDefault="00837B4D" w:rsidP="0007432B">
      <w:pPr>
        <w:spacing w:after="0" w:line="240" w:lineRule="auto"/>
        <w:ind w:left="851" w:right="851"/>
        <w:jc w:val="right"/>
        <w:rPr>
          <w:rFonts w:ascii="Palatino Linotype" w:hAnsi="Palatino Linotype" w:cs="Arial"/>
          <w:sz w:val="24"/>
          <w:szCs w:val="24"/>
        </w:rPr>
      </w:pPr>
      <w:r w:rsidRPr="005355FA">
        <w:rPr>
          <w:rFonts w:ascii="Palatino Linotype" w:hAnsi="Palatino Linotype" w:cs="Arial"/>
          <w:sz w:val="24"/>
          <w:szCs w:val="24"/>
        </w:rPr>
        <w:t>[Énfasis añadido]</w:t>
      </w:r>
    </w:p>
    <w:p w:rsidR="0007432B" w:rsidRDefault="0007432B" w:rsidP="00837B4D">
      <w:pPr>
        <w:spacing w:before="240" w:after="240" w:line="360" w:lineRule="auto"/>
        <w:jc w:val="both"/>
        <w:rPr>
          <w:rFonts w:ascii="Palatino Linotype" w:hAnsi="Palatino Linotype" w:cs="Arial"/>
          <w:sz w:val="24"/>
          <w:szCs w:val="24"/>
        </w:rPr>
      </w:pPr>
    </w:p>
    <w:p w:rsidR="00837B4D" w:rsidRDefault="00837B4D" w:rsidP="005E398E">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37B4D" w:rsidRDefault="00837B4D" w:rsidP="005E398E">
      <w:pPr>
        <w:tabs>
          <w:tab w:val="left" w:pos="709"/>
        </w:tabs>
        <w:spacing w:after="0" w:line="360" w:lineRule="auto"/>
        <w:jc w:val="both"/>
        <w:rPr>
          <w:rFonts w:ascii="Palatino Linotype" w:hAnsi="Palatino Linotype" w:cs="Arial"/>
          <w:sz w:val="24"/>
          <w:szCs w:val="24"/>
        </w:rPr>
      </w:pPr>
    </w:p>
    <w:p w:rsidR="0031297F" w:rsidRDefault="00836BAC" w:rsidP="005E398E">
      <w:pPr>
        <w:pStyle w:val="Sinespaciado"/>
        <w:spacing w:line="360" w:lineRule="auto"/>
        <w:jc w:val="both"/>
        <w:rPr>
          <w:rFonts w:ascii="Palatino Linotype" w:hAnsi="Palatino Linotype"/>
        </w:rPr>
      </w:pPr>
      <w:r>
        <w:rPr>
          <w:rFonts w:ascii="Palatino Linotype" w:hAnsi="Palatino Linotype" w:cs="Arial"/>
        </w:rPr>
        <w:t>A efecto de realizar un análisis respecto de si la información otorgada colma lo requerido por l</w:t>
      </w:r>
      <w:r w:rsidR="00F043B8">
        <w:rPr>
          <w:rFonts w:ascii="Palatino Linotype" w:hAnsi="Palatino Linotype" w:cs="Arial"/>
        </w:rPr>
        <w:t>a</w:t>
      </w:r>
      <w:r>
        <w:rPr>
          <w:rFonts w:ascii="Palatino Linotype" w:hAnsi="Palatino Linotype" w:cs="Arial"/>
        </w:rPr>
        <w:t xml:space="preserve"> entonces solicitante, es </w:t>
      </w:r>
      <w:r w:rsidR="006B53DD">
        <w:rPr>
          <w:rFonts w:ascii="Palatino Linotype" w:hAnsi="Palatino Linotype" w:cs="Arial"/>
        </w:rPr>
        <w:t xml:space="preserve">de precisarse que </w:t>
      </w:r>
      <w:r w:rsidR="006B53DD" w:rsidRPr="00E6099D">
        <w:rPr>
          <w:rFonts w:ascii="Palatino Linotype" w:hAnsi="Palatino Linotype" w:cs="Arial"/>
          <w:b/>
        </w:rPr>
        <w:t>La R</w:t>
      </w:r>
      <w:r w:rsidR="00F043B8" w:rsidRPr="00E6099D">
        <w:rPr>
          <w:rFonts w:ascii="Palatino Linotype" w:hAnsi="Palatino Linotype" w:cs="Arial"/>
          <w:b/>
        </w:rPr>
        <w:t xml:space="preserve">ecurrente </w:t>
      </w:r>
      <w:r w:rsidR="00F043B8">
        <w:rPr>
          <w:rFonts w:ascii="Palatino Linotype" w:hAnsi="Palatino Linotype" w:cs="Arial"/>
        </w:rPr>
        <w:t xml:space="preserve">desea conocer específicamente “histórico </w:t>
      </w:r>
      <w:r w:rsidR="006B53DD" w:rsidRPr="006B53DD">
        <w:rPr>
          <w:rFonts w:ascii="Palatino Linotype" w:hAnsi="Palatino Linotype" w:cs="Arial"/>
        </w:rPr>
        <w:t>de compra</w:t>
      </w:r>
      <w:r w:rsidR="0031297F">
        <w:rPr>
          <w:rFonts w:ascii="Palatino Linotype" w:hAnsi="Palatino Linotype" w:cs="Arial"/>
        </w:rPr>
        <w:t>”;</w:t>
      </w:r>
      <w:r w:rsidR="0031297F" w:rsidRPr="0031297F">
        <w:rPr>
          <w:rFonts w:ascii="Palatino Linotype" w:hAnsi="Palatino Linotype"/>
        </w:rPr>
        <w:t xml:space="preserve"> </w:t>
      </w:r>
      <w:r w:rsidR="0031297F" w:rsidRPr="00906D6B">
        <w:rPr>
          <w:rFonts w:ascii="Palatino Linotype" w:hAnsi="Palatino Linotype"/>
        </w:rPr>
        <w:t xml:space="preserve">lo cual no es óbice para que dichos documentos no obren en los archivos del </w:t>
      </w:r>
      <w:r w:rsidR="0031297F" w:rsidRPr="00906D6B">
        <w:rPr>
          <w:rFonts w:ascii="Palatino Linotype" w:hAnsi="Palatino Linotype"/>
          <w:b/>
        </w:rPr>
        <w:t>Sujeto Obligado</w:t>
      </w:r>
      <w:r w:rsidR="0031297F" w:rsidRPr="00906D6B">
        <w:rPr>
          <w:rFonts w:ascii="Palatino Linotype" w:hAnsi="Palatino Linotype"/>
        </w:rPr>
        <w:t>, pues éste tiene la obligación de resguardar los documentos que se generen en el ejercicio de sus facultades obligacionales y competencias.</w:t>
      </w:r>
    </w:p>
    <w:p w:rsidR="00E274D5" w:rsidRPr="00906D6B" w:rsidRDefault="00E274D5" w:rsidP="00E274D5">
      <w:pPr>
        <w:pStyle w:val="Sinespaciado"/>
        <w:spacing w:line="360" w:lineRule="auto"/>
        <w:jc w:val="both"/>
        <w:rPr>
          <w:rFonts w:ascii="Palatino Linotype" w:hAnsi="Palatino Linotype"/>
        </w:rPr>
      </w:pPr>
    </w:p>
    <w:p w:rsidR="0031297F" w:rsidRDefault="0031297F" w:rsidP="00E274D5">
      <w:pPr>
        <w:pStyle w:val="Sinespaciado"/>
        <w:spacing w:line="360" w:lineRule="auto"/>
        <w:jc w:val="both"/>
        <w:rPr>
          <w:rFonts w:ascii="Palatino Linotype" w:hAnsi="Palatino Linotype"/>
        </w:rPr>
      </w:pPr>
      <w:r w:rsidRPr="00906D6B">
        <w:rPr>
          <w:rFonts w:ascii="Palatino Linotype" w:hAnsi="Palatino Linotype"/>
        </w:rPr>
        <w:t xml:space="preserve">Por tanto,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 xml:space="preserve">“establecer las </w:t>
      </w:r>
      <w:r w:rsidRPr="00906D6B">
        <w:rPr>
          <w:rFonts w:ascii="Palatino Linotype" w:hAnsi="Palatino Linotype"/>
          <w:i/>
        </w:rPr>
        <w:lastRenderedPageBreak/>
        <w:t>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5E398E" w:rsidRPr="00906D6B" w:rsidRDefault="005E398E" w:rsidP="00E274D5">
      <w:pPr>
        <w:pStyle w:val="Sinespaciado"/>
        <w:spacing w:line="360" w:lineRule="auto"/>
        <w:jc w:val="both"/>
        <w:rPr>
          <w:rFonts w:ascii="Palatino Linotype" w:hAnsi="Palatino Linotype"/>
        </w:rPr>
      </w:pPr>
    </w:p>
    <w:p w:rsidR="0031297F" w:rsidRPr="00906D6B" w:rsidRDefault="0031297F" w:rsidP="0031297F">
      <w:pPr>
        <w:pStyle w:val="Sinespaciado"/>
        <w:spacing w:before="120" w:after="120"/>
        <w:ind w:left="851" w:right="851"/>
        <w:jc w:val="both"/>
        <w:rPr>
          <w:rFonts w:ascii="Palatino Linotype" w:hAnsi="Palatino Linotype"/>
          <w:b/>
          <w:i/>
        </w:rPr>
      </w:pPr>
      <w:r w:rsidRPr="00906D6B">
        <w:rPr>
          <w:rFonts w:ascii="Palatino Linotype" w:hAnsi="Palatino Linotype"/>
          <w:b/>
          <w:i/>
        </w:rPr>
        <w:t>Cuarto.</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31297F" w:rsidRPr="00906D6B"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31297F" w:rsidRDefault="0031297F" w:rsidP="0031297F">
      <w:pPr>
        <w:pStyle w:val="Sinespaciado"/>
        <w:spacing w:before="120" w:after="120"/>
        <w:ind w:left="851" w:right="851"/>
        <w:jc w:val="both"/>
        <w:rPr>
          <w:rFonts w:ascii="Palatino Linotype" w:hAnsi="Palatino Linotype"/>
          <w:i/>
        </w:rPr>
      </w:pPr>
      <w:r w:rsidRPr="00906D6B">
        <w:rPr>
          <w:rFonts w:ascii="Palatino Linotype" w:hAnsi="Palatino Linotype"/>
          <w:b/>
          <w:i/>
        </w:rPr>
        <w:lastRenderedPageBreak/>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31297F" w:rsidRPr="00906D6B" w:rsidRDefault="0031297F" w:rsidP="0031297F">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5E398E" w:rsidRDefault="005E398E" w:rsidP="00E6099D">
      <w:pPr>
        <w:pStyle w:val="Sinespaciado"/>
        <w:spacing w:line="360" w:lineRule="auto"/>
        <w:jc w:val="both"/>
        <w:rPr>
          <w:rFonts w:ascii="Palatino Linotype" w:hAnsi="Palatino Linotype"/>
        </w:rPr>
      </w:pPr>
    </w:p>
    <w:p w:rsidR="0031297F" w:rsidRDefault="0031297F" w:rsidP="00E6099D">
      <w:pPr>
        <w:pStyle w:val="Sinespaciado"/>
        <w:spacing w:line="360" w:lineRule="auto"/>
        <w:jc w:val="both"/>
        <w:rPr>
          <w:rFonts w:ascii="Palatino Linotype" w:hAnsi="Palatino Linotype"/>
        </w:rPr>
      </w:pPr>
      <w:r w:rsidRPr="00906D6B">
        <w:rPr>
          <w:rFonts w:ascii="Palatino Linotype" w:hAnsi="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E6099D" w:rsidRPr="00906D6B" w:rsidRDefault="00E6099D" w:rsidP="00E6099D">
      <w:pPr>
        <w:pStyle w:val="Sinespaciado"/>
        <w:spacing w:line="360" w:lineRule="auto"/>
        <w:jc w:val="both"/>
        <w:rPr>
          <w:rFonts w:ascii="Palatino Linotype" w:hAnsi="Palatino Linotype"/>
        </w:rPr>
      </w:pPr>
    </w:p>
    <w:p w:rsidR="0031297F" w:rsidRDefault="0031297F" w:rsidP="00E6099D">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rsidR="005E398E" w:rsidRPr="00906D6B" w:rsidRDefault="005E398E" w:rsidP="00E6099D">
      <w:pPr>
        <w:pStyle w:val="Sinespaciado"/>
        <w:spacing w:line="360" w:lineRule="auto"/>
        <w:jc w:val="both"/>
        <w:rPr>
          <w:rFonts w:ascii="Palatino Linotype" w:hAnsi="Palatino Linotype"/>
        </w:rPr>
      </w:pPr>
    </w:p>
    <w:p w:rsidR="0031297F" w:rsidRPr="00906D6B" w:rsidRDefault="0031297F" w:rsidP="0031297F">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31297F" w:rsidRDefault="0031297F" w:rsidP="0031297F">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31297F" w:rsidRPr="00906D6B" w:rsidRDefault="0031297F" w:rsidP="0031297F">
      <w:pPr>
        <w:pStyle w:val="Sinespaciado"/>
        <w:spacing w:before="120" w:after="120"/>
        <w:ind w:left="567" w:right="567"/>
        <w:jc w:val="both"/>
        <w:rPr>
          <w:rFonts w:ascii="Palatino Linotype" w:hAnsi="Palatino Linotype"/>
          <w:i/>
        </w:rPr>
      </w:pPr>
      <w:r>
        <w:rPr>
          <w:rFonts w:ascii="Palatino Linotype" w:hAnsi="Palatino Linotype"/>
          <w:i/>
        </w:rPr>
        <w:lastRenderedPageBreak/>
        <w:t>…</w:t>
      </w:r>
    </w:p>
    <w:p w:rsidR="0031297F" w:rsidRPr="00906D6B" w:rsidRDefault="0031297F" w:rsidP="0031297F">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xml:space="preserve">- Las Unidades Administrativas al realizar la transferencia de los expedientes de trámite concluido, señalarán en el Inventario correspondiente los plazos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 éstos en el Archivo de Concentración. Para determinar el plazo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deberán considerar el marco legal o administrativo bajo el cual se produjeron o recibieron los documentos y los siguientes períodos:</w:t>
      </w:r>
    </w:p>
    <w:p w:rsidR="0031297F" w:rsidRPr="0031297F" w:rsidRDefault="0031297F" w:rsidP="0031297F">
      <w:pPr>
        <w:pStyle w:val="Sinespaciado"/>
        <w:numPr>
          <w:ilvl w:val="0"/>
          <w:numId w:val="11"/>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31297F" w:rsidRPr="0031297F" w:rsidRDefault="0031297F" w:rsidP="0031297F">
      <w:pPr>
        <w:pStyle w:val="Sinespaciado"/>
        <w:numPr>
          <w:ilvl w:val="0"/>
          <w:numId w:val="11"/>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31297F" w:rsidRPr="00906D6B" w:rsidRDefault="0031297F" w:rsidP="0031297F">
      <w:pPr>
        <w:pStyle w:val="Sinespaciado"/>
        <w:numPr>
          <w:ilvl w:val="0"/>
          <w:numId w:val="11"/>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31297F" w:rsidRPr="00906D6B" w:rsidRDefault="0031297F" w:rsidP="0031297F">
      <w:pPr>
        <w:pStyle w:val="Sinespaciado"/>
        <w:numPr>
          <w:ilvl w:val="0"/>
          <w:numId w:val="11"/>
        </w:numPr>
        <w:spacing w:before="120" w:after="120"/>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31297F" w:rsidRPr="00906D6B" w:rsidRDefault="0031297F" w:rsidP="0031297F">
      <w:pPr>
        <w:pStyle w:val="Sinespaciado"/>
        <w:numPr>
          <w:ilvl w:val="0"/>
          <w:numId w:val="11"/>
        </w:numPr>
        <w:spacing w:before="120" w:after="120"/>
        <w:ind w:right="567" w:hanging="720"/>
        <w:jc w:val="both"/>
        <w:rPr>
          <w:rFonts w:ascii="Palatino Linotype" w:hAnsi="Palatino Linotype"/>
        </w:rPr>
      </w:pPr>
      <w:r w:rsidRPr="00906D6B">
        <w:rPr>
          <w:rFonts w:ascii="Palatino Linotype" w:hAnsi="Palatino Linotype"/>
          <w:i/>
        </w:rPr>
        <w:t xml:space="preserve">Cuando las Unidades Administrativas no indique el plazo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 sus expedientes en el Inventario correspondiente, los Archivos de Concentración podrán rechazar la transferencia de los expedientes.</w:t>
      </w:r>
      <w:r>
        <w:rPr>
          <w:rFonts w:ascii="Palatino Linotype" w:hAnsi="Palatino Linotype"/>
          <w:i/>
        </w:rPr>
        <w:t>”</w:t>
      </w:r>
    </w:p>
    <w:p w:rsidR="00E6099D" w:rsidRDefault="00E6099D" w:rsidP="00E274D5">
      <w:pPr>
        <w:pStyle w:val="Sinespaciado"/>
        <w:spacing w:line="360" w:lineRule="auto"/>
        <w:jc w:val="both"/>
        <w:rPr>
          <w:rFonts w:ascii="Palatino Linotype" w:hAnsi="Palatino Linotype"/>
        </w:rPr>
      </w:pPr>
    </w:p>
    <w:p w:rsidR="0031297F" w:rsidRDefault="0031297F" w:rsidP="00E274D5">
      <w:pPr>
        <w:pStyle w:val="Sinespaciado"/>
        <w:spacing w:line="360" w:lineRule="auto"/>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E274D5" w:rsidRPr="00906D6B" w:rsidRDefault="00E274D5" w:rsidP="00E274D5">
      <w:pPr>
        <w:pStyle w:val="Sinespaciado"/>
        <w:spacing w:line="360" w:lineRule="auto"/>
        <w:jc w:val="both"/>
        <w:rPr>
          <w:rFonts w:ascii="Palatino Linotype" w:hAnsi="Palatino Linotype"/>
        </w:rPr>
      </w:pPr>
    </w:p>
    <w:p w:rsidR="0031297F" w:rsidRDefault="0031297F" w:rsidP="00E274D5">
      <w:pPr>
        <w:pStyle w:val="Sinespaciado"/>
        <w:spacing w:line="360" w:lineRule="auto"/>
        <w:jc w:val="both"/>
        <w:rPr>
          <w:rFonts w:ascii="Palatino Linotype" w:hAnsi="Palatino Linotype"/>
        </w:rPr>
      </w:pPr>
      <w:r w:rsidRPr="00906D6B">
        <w:rPr>
          <w:rFonts w:ascii="Palatino Linotype" w:hAnsi="Palatino Linotype"/>
        </w:rPr>
        <w:lastRenderedPageBreak/>
        <w:t>Una vez establecido lo anterior, se tiene que</w:t>
      </w:r>
      <w:r>
        <w:rPr>
          <w:rFonts w:ascii="Palatino Linotype" w:hAnsi="Palatino Linotype"/>
        </w:rPr>
        <w:t xml:space="preserve"> </w:t>
      </w:r>
      <w:r w:rsidRPr="0031297F">
        <w:rPr>
          <w:rFonts w:ascii="Palatino Linotype" w:hAnsi="Palatino Linotype"/>
          <w:b/>
        </w:rPr>
        <w:t>La</w:t>
      </w:r>
      <w:r w:rsidRPr="00906D6B">
        <w:rPr>
          <w:rFonts w:ascii="Palatino Linotype" w:hAnsi="Palatino Linotype"/>
          <w:b/>
        </w:rPr>
        <w:t xml:space="preserve"> Recurrente</w:t>
      </w:r>
      <w:r w:rsidRPr="00906D6B">
        <w:rPr>
          <w:rFonts w:ascii="Palatino Linotype" w:hAnsi="Palatino Linotype"/>
        </w:rPr>
        <w:t xml:space="preserve"> solicitó información del  </w:t>
      </w:r>
      <w:r w:rsidRPr="00906D6B">
        <w:rPr>
          <w:rFonts w:ascii="Palatino Linotype" w:hAnsi="Palatino Linotype"/>
          <w:b/>
        </w:rPr>
        <w:t>“</w:t>
      </w:r>
      <w:r w:rsidRPr="0031297F">
        <w:rPr>
          <w:rFonts w:ascii="Palatino Linotype" w:hAnsi="Palatino Linotype"/>
          <w:b/>
        </w:rPr>
        <w:t>Histórico de compra de hojas blancas y bolígrafos</w:t>
      </w:r>
      <w:r w:rsidRPr="00906D6B">
        <w:rPr>
          <w:rFonts w:ascii="Palatino Linotype" w:hAnsi="Palatino Linotype"/>
          <w:b/>
        </w:rPr>
        <w:t>”</w:t>
      </w:r>
      <w:r w:rsidRPr="00906D6B">
        <w:rPr>
          <w:rFonts w:ascii="Palatino Linotype" w:hAnsi="Palatino Linotype"/>
        </w:rPr>
        <w:t xml:space="preserve">, </w:t>
      </w:r>
      <w:r>
        <w:rPr>
          <w:rFonts w:ascii="Palatino Linotype" w:hAnsi="Palatino Linotype"/>
        </w:rPr>
        <w:t xml:space="preserve">por lo que </w:t>
      </w:r>
      <w:r w:rsidRPr="00906D6B">
        <w:rPr>
          <w:rFonts w:ascii="Palatino Linotype" w:hAnsi="Palatino Linotype"/>
        </w:rPr>
        <w:t xml:space="preserve">siendo la fecha de su solicitud el día </w:t>
      </w:r>
      <w:r>
        <w:rPr>
          <w:rFonts w:ascii="Palatino Linotype" w:hAnsi="Palatino Linotype"/>
        </w:rPr>
        <w:t>nueve</w:t>
      </w:r>
      <w:r w:rsidRPr="00906D6B">
        <w:rPr>
          <w:rFonts w:ascii="Palatino Linotype" w:hAnsi="Palatino Linotype"/>
        </w:rPr>
        <w:t xml:space="preserve"> de mayo de dos mil dieciocho</w:t>
      </w:r>
      <w:r w:rsidR="002931FE">
        <w:rPr>
          <w:rFonts w:ascii="Palatino Linotype" w:hAnsi="Palatino Linotype"/>
        </w:rPr>
        <w:t xml:space="preserve"> y</w:t>
      </w:r>
      <w:r w:rsidRPr="00906D6B">
        <w:rPr>
          <w:rFonts w:ascii="Palatino Linotype" w:hAnsi="Palatino Linotype"/>
        </w:rPr>
        <w:t xml:space="preserve"> sumando los dos años de permanencia en el Archivo de Trámite y los seis años en el Archivo de Concentración, da un total de ocho años</w:t>
      </w:r>
      <w:r>
        <w:rPr>
          <w:rFonts w:ascii="Palatino Linotype" w:hAnsi="Palatino Linotype"/>
        </w:rPr>
        <w:t>;</w:t>
      </w:r>
      <w:r w:rsidRPr="00906D6B">
        <w:rPr>
          <w:rFonts w:ascii="Palatino Linotype" w:hAnsi="Palatino Linotype"/>
        </w:rPr>
        <w:t xml:space="preserve"> por lo </w:t>
      </w:r>
      <w:r>
        <w:rPr>
          <w:rFonts w:ascii="Palatino Linotype" w:hAnsi="Palatino Linotype"/>
        </w:rPr>
        <w:t xml:space="preserve">tanto, </w:t>
      </w:r>
      <w:r w:rsidR="005E398E">
        <w:rPr>
          <w:rFonts w:ascii="Palatino Linotype" w:hAnsi="Palatino Linotype"/>
        </w:rPr>
        <w:t>derivado de la solicitud de información se debe proporcionar</w:t>
      </w:r>
      <w:r>
        <w:rPr>
          <w:rFonts w:ascii="Palatino Linotype" w:hAnsi="Palatino Linotype"/>
        </w:rPr>
        <w:t xml:space="preserve"> los </w:t>
      </w:r>
      <w:r w:rsidR="00577D36">
        <w:rPr>
          <w:rFonts w:ascii="Palatino Linotype" w:hAnsi="Palatino Linotype"/>
        </w:rPr>
        <w:t xml:space="preserve">documentos en donde conste la compra de hojas blancas y bolígrafos adquiridos por </w:t>
      </w:r>
      <w:r w:rsidR="00577D36" w:rsidRPr="003D08FC">
        <w:rPr>
          <w:rFonts w:ascii="Palatino Linotype" w:hAnsi="Palatino Linotype"/>
          <w:b/>
        </w:rPr>
        <w:t>El Sujeto Obligado</w:t>
      </w:r>
      <w:r w:rsidR="00B648D1">
        <w:rPr>
          <w:rFonts w:ascii="Palatino Linotype" w:hAnsi="Palatino Linotype"/>
        </w:rPr>
        <w:t xml:space="preserve"> en el periodo que comprende del nueve de mayo de dos mil diez al nueve de mayo de dos mil dieciocho</w:t>
      </w:r>
      <w:r>
        <w:rPr>
          <w:rFonts w:ascii="Palatino Linotype" w:hAnsi="Palatino Linotype"/>
        </w:rPr>
        <w:t>.</w:t>
      </w:r>
    </w:p>
    <w:p w:rsidR="00E274D5" w:rsidRPr="00906D6B" w:rsidRDefault="00E274D5" w:rsidP="00E274D5">
      <w:pPr>
        <w:pStyle w:val="Sinespaciado"/>
        <w:spacing w:line="360" w:lineRule="auto"/>
        <w:jc w:val="both"/>
        <w:rPr>
          <w:rFonts w:ascii="Palatino Linotype" w:hAnsi="Palatino Linotype"/>
        </w:rPr>
      </w:pPr>
    </w:p>
    <w:p w:rsidR="0031297F" w:rsidRDefault="0031297F" w:rsidP="00E274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ese tenor, se procede al análisis de la temporalidad de la información proporcionada y así determinar si ésta colma la temporalidad </w:t>
      </w:r>
      <w:r w:rsidR="005E398E">
        <w:rPr>
          <w:rFonts w:ascii="Palatino Linotype" w:hAnsi="Palatino Linotype" w:cs="Arial"/>
          <w:sz w:val="24"/>
          <w:szCs w:val="24"/>
        </w:rPr>
        <w:t>referida en el párrafo anterior, motivo por el cual</w:t>
      </w:r>
      <w:r>
        <w:rPr>
          <w:rFonts w:ascii="Palatino Linotype" w:hAnsi="Palatino Linotype" w:cs="Arial"/>
          <w:sz w:val="24"/>
          <w:szCs w:val="24"/>
        </w:rPr>
        <w:t>, se trae a contexto la información proporcionada</w:t>
      </w:r>
      <w:r w:rsidR="005E398E">
        <w:rPr>
          <w:rFonts w:ascii="Palatino Linotype" w:hAnsi="Palatino Linotype" w:cs="Arial"/>
          <w:sz w:val="24"/>
          <w:szCs w:val="24"/>
        </w:rPr>
        <w:t xml:space="preserve"> por </w:t>
      </w:r>
      <w:r w:rsidR="005E398E" w:rsidRPr="005E398E">
        <w:rPr>
          <w:rFonts w:ascii="Palatino Linotype" w:hAnsi="Palatino Linotype" w:cs="Arial"/>
          <w:b/>
          <w:sz w:val="24"/>
          <w:szCs w:val="24"/>
        </w:rPr>
        <w:t>El Sujeto Obligado</w:t>
      </w:r>
      <w:r w:rsidR="005E398E">
        <w:rPr>
          <w:rFonts w:ascii="Palatino Linotype" w:hAnsi="Palatino Linotype" w:cs="Arial"/>
          <w:b/>
          <w:sz w:val="24"/>
          <w:szCs w:val="24"/>
        </w:rPr>
        <w:t xml:space="preserve"> </w:t>
      </w:r>
      <w:r w:rsidR="005E398E" w:rsidRPr="005E398E">
        <w:rPr>
          <w:rFonts w:ascii="Palatino Linotype" w:hAnsi="Palatino Linotype" w:cs="Arial"/>
          <w:sz w:val="24"/>
          <w:szCs w:val="24"/>
        </w:rPr>
        <w:t>en la respuesta a la solicitud de acceso a la información</w:t>
      </w:r>
      <w:r>
        <w:rPr>
          <w:rFonts w:ascii="Palatino Linotype" w:hAnsi="Palatino Linotype" w:cs="Arial"/>
          <w:sz w:val="24"/>
          <w:szCs w:val="24"/>
        </w:rPr>
        <w:t>, la cual consiste en lo siguiente:</w:t>
      </w:r>
    </w:p>
    <w:p w:rsidR="00AA378C" w:rsidRDefault="00AA378C" w:rsidP="00E274D5">
      <w:pPr>
        <w:autoSpaceDE w:val="0"/>
        <w:autoSpaceDN w:val="0"/>
        <w:adjustRightInd w:val="0"/>
        <w:spacing w:after="0" w:line="360" w:lineRule="auto"/>
        <w:jc w:val="both"/>
        <w:rPr>
          <w:rFonts w:ascii="Palatino Linotype" w:hAnsi="Palatino Linotype" w:cs="Arial"/>
          <w:sz w:val="24"/>
          <w:szCs w:val="24"/>
        </w:rPr>
      </w:pPr>
    </w:p>
    <w:p w:rsidR="00947EC9" w:rsidRDefault="00947EC9" w:rsidP="0031297F">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599988" cy="1295400"/>
            <wp:effectExtent l="190500" t="190500" r="19177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621" cy="1296703"/>
                    </a:xfrm>
                    <a:prstGeom prst="rect">
                      <a:avLst/>
                    </a:prstGeom>
                    <a:noFill/>
                    <a:ln>
                      <a:noFill/>
                    </a:ln>
                    <a:effectLst>
                      <a:outerShdw blurRad="190500" algn="ctr" rotWithShape="0">
                        <a:prstClr val="black">
                          <a:alpha val="70000"/>
                        </a:prstClr>
                      </a:outerShdw>
                    </a:effectLst>
                  </pic:spPr>
                </pic:pic>
              </a:graphicData>
            </a:graphic>
          </wp:inline>
        </w:drawing>
      </w:r>
    </w:p>
    <w:p w:rsidR="00947EC9" w:rsidRDefault="00947EC9" w:rsidP="0031297F">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327002" cy="1181100"/>
            <wp:effectExtent l="190500" t="190500" r="198120"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0598" cy="1181897"/>
                    </a:xfrm>
                    <a:prstGeom prst="rect">
                      <a:avLst/>
                    </a:prstGeom>
                    <a:noFill/>
                    <a:ln>
                      <a:noFill/>
                    </a:ln>
                    <a:effectLst>
                      <a:outerShdw blurRad="190500" algn="ctr" rotWithShape="0">
                        <a:prstClr val="black">
                          <a:alpha val="70000"/>
                        </a:prstClr>
                      </a:outerShdw>
                    </a:effectLst>
                  </pic:spPr>
                </pic:pic>
              </a:graphicData>
            </a:graphic>
          </wp:inline>
        </w:drawing>
      </w:r>
    </w:p>
    <w:p w:rsidR="0031297F" w:rsidRDefault="0031297F" w:rsidP="00E274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lo anterior se advierte que solo se proporciona información qu</w:t>
      </w:r>
      <w:r w:rsidR="00947EC9">
        <w:rPr>
          <w:rFonts w:ascii="Palatino Linotype" w:hAnsi="Palatino Linotype" w:cs="Arial"/>
          <w:sz w:val="24"/>
          <w:szCs w:val="24"/>
        </w:rPr>
        <w:t>e comprende los años 2017 y 2018, argumentando que para el último año al momento de la solicitud no se ha realizado alguna compra referente a la información solicitada.</w:t>
      </w:r>
    </w:p>
    <w:p w:rsidR="00947EC9" w:rsidRDefault="00947EC9" w:rsidP="00E274D5">
      <w:pPr>
        <w:autoSpaceDE w:val="0"/>
        <w:autoSpaceDN w:val="0"/>
        <w:adjustRightInd w:val="0"/>
        <w:spacing w:after="0" w:line="360" w:lineRule="auto"/>
        <w:jc w:val="both"/>
        <w:rPr>
          <w:rFonts w:ascii="Palatino Linotype" w:hAnsi="Palatino Linotype" w:cs="Arial"/>
          <w:sz w:val="24"/>
          <w:szCs w:val="24"/>
        </w:rPr>
      </w:pPr>
    </w:p>
    <w:p w:rsidR="00947EC9" w:rsidRDefault="00E274D5" w:rsidP="00E274D5">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Derivado de la información proporcionada por </w:t>
      </w:r>
      <w:r w:rsidRPr="00E274D5">
        <w:rPr>
          <w:rFonts w:ascii="Palatino Linotype" w:hAnsi="Palatino Linotype" w:cs="Arial"/>
          <w:b/>
          <w:sz w:val="24"/>
          <w:szCs w:val="24"/>
          <w:lang w:eastAsia="es-MX"/>
        </w:rPr>
        <w:t>El Sujeto Obligado</w:t>
      </w:r>
      <w:r w:rsidR="00947EC9">
        <w:rPr>
          <w:rFonts w:ascii="Palatino Linotype" w:hAnsi="Palatino Linotype" w:cs="Arial"/>
          <w:sz w:val="24"/>
          <w:szCs w:val="24"/>
          <w:lang w:eastAsia="es-MX"/>
        </w:rPr>
        <w:t xml:space="preserve">, toda vez que existió un pronunciamiento por parte del </w:t>
      </w:r>
      <w:r w:rsidR="00947EC9">
        <w:rPr>
          <w:rFonts w:ascii="Palatino Linotype" w:hAnsi="Palatino Linotype" w:cs="Arial"/>
          <w:b/>
          <w:sz w:val="24"/>
          <w:szCs w:val="24"/>
          <w:lang w:eastAsia="es-MX"/>
        </w:rPr>
        <w:t>Sujeto Obligado</w:t>
      </w:r>
      <w:r w:rsidR="00947EC9">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947EC9" w:rsidRDefault="00947EC9" w:rsidP="00947EC9">
      <w:pPr>
        <w:spacing w:line="360" w:lineRule="auto"/>
        <w:jc w:val="both"/>
        <w:rPr>
          <w:rFonts w:ascii="Palatino Linotype" w:hAnsi="Palatino Linotype" w:cs="Arial"/>
          <w:sz w:val="24"/>
          <w:szCs w:val="24"/>
          <w:lang w:eastAsia="es-MX"/>
        </w:rPr>
      </w:pPr>
    </w:p>
    <w:p w:rsidR="00947EC9" w:rsidRDefault="00947EC9" w:rsidP="00E274D5">
      <w:pPr>
        <w:spacing w:after="120" w:line="240" w:lineRule="auto"/>
        <w:ind w:left="851" w:right="851"/>
        <w:jc w:val="both"/>
        <w:rPr>
          <w:rFonts w:ascii="Palatino Linotype" w:hAnsi="Palatino Linotype" w:cs="Arial"/>
          <w:i/>
          <w:lang w:eastAsia="es-MX"/>
        </w:rPr>
      </w:pPr>
      <w:r>
        <w:rPr>
          <w:rFonts w:ascii="Palatino Linotype" w:hAnsi="Palatino Linotype" w:cs="Arial"/>
          <w:i/>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Pr>
          <w:rFonts w:ascii="Palatino Linotype" w:hAnsi="Palatino Linotype" w:cs="Arial"/>
          <w:i/>
          <w:lang w:eastAsia="es-MX"/>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47EC9" w:rsidRDefault="00947EC9" w:rsidP="0031297F">
      <w:pPr>
        <w:autoSpaceDE w:val="0"/>
        <w:autoSpaceDN w:val="0"/>
        <w:adjustRightInd w:val="0"/>
        <w:spacing w:before="240" w:after="240" w:line="360" w:lineRule="auto"/>
        <w:jc w:val="both"/>
        <w:rPr>
          <w:rFonts w:ascii="Palatino Linotype" w:hAnsi="Palatino Linotype" w:cs="Arial"/>
          <w:sz w:val="24"/>
          <w:szCs w:val="24"/>
        </w:rPr>
      </w:pPr>
    </w:p>
    <w:p w:rsidR="0031297F" w:rsidRDefault="0031297F" w:rsidP="00757769">
      <w:pPr>
        <w:spacing w:after="0" w:line="360" w:lineRule="auto"/>
        <w:jc w:val="both"/>
        <w:rPr>
          <w:rFonts w:ascii="Palatino Linotype" w:hAnsi="Palatino Linotype"/>
          <w:sz w:val="24"/>
          <w:szCs w:val="24"/>
        </w:rPr>
      </w:pPr>
      <w:r w:rsidRPr="007E62ED">
        <w:rPr>
          <w:rFonts w:ascii="Palatino Linotype" w:hAnsi="Palatino Linotype"/>
          <w:sz w:val="24"/>
          <w:szCs w:val="24"/>
        </w:rPr>
        <w:t>Bajo ese tenor, este Órgano Garante consid</w:t>
      </w:r>
      <w:r w:rsidR="00E274D5">
        <w:rPr>
          <w:rFonts w:ascii="Palatino Linotype" w:hAnsi="Palatino Linotype"/>
          <w:sz w:val="24"/>
          <w:szCs w:val="24"/>
        </w:rPr>
        <w:t xml:space="preserve">era viable ordenar </w:t>
      </w:r>
      <w:r w:rsidR="005E398E">
        <w:rPr>
          <w:rFonts w:ascii="Palatino Linotype" w:hAnsi="Palatino Linotype"/>
          <w:sz w:val="24"/>
          <w:szCs w:val="24"/>
        </w:rPr>
        <w:t>la información faltante, correspondiente a la entrega</w:t>
      </w:r>
      <w:r w:rsidRPr="007E62ED">
        <w:rPr>
          <w:rFonts w:ascii="Palatino Linotype" w:hAnsi="Palatino Linotype"/>
          <w:sz w:val="24"/>
          <w:szCs w:val="24"/>
        </w:rPr>
        <w:t xml:space="preserve"> </w:t>
      </w:r>
      <w:r w:rsidR="00E274D5" w:rsidRPr="00E274D5">
        <w:rPr>
          <w:rFonts w:ascii="Palatino Linotype" w:hAnsi="Palatino Linotype"/>
          <w:sz w:val="24"/>
          <w:szCs w:val="24"/>
        </w:rPr>
        <w:t>del o de los documentos donde conste</w:t>
      </w:r>
      <w:r w:rsidR="005E398E">
        <w:rPr>
          <w:rFonts w:ascii="Palatino Linotype" w:hAnsi="Palatino Linotype"/>
          <w:sz w:val="24"/>
          <w:szCs w:val="24"/>
        </w:rPr>
        <w:t xml:space="preserve"> o de los cuales se pueda</w:t>
      </w:r>
      <w:r w:rsidR="00E274D5" w:rsidRPr="00E274D5">
        <w:rPr>
          <w:rFonts w:ascii="Palatino Linotype" w:hAnsi="Palatino Linotype"/>
          <w:sz w:val="24"/>
          <w:szCs w:val="24"/>
        </w:rPr>
        <w:t xml:space="preserve"> advertir</w:t>
      </w:r>
      <w:r w:rsidR="00E274D5">
        <w:rPr>
          <w:rFonts w:ascii="Palatino Linotype" w:hAnsi="Palatino Linotype"/>
          <w:sz w:val="24"/>
          <w:szCs w:val="24"/>
        </w:rPr>
        <w:t xml:space="preserve"> </w:t>
      </w:r>
      <w:r w:rsidR="005E398E">
        <w:rPr>
          <w:rFonts w:ascii="Palatino Linotype" w:hAnsi="Palatino Linotype"/>
          <w:sz w:val="24"/>
          <w:szCs w:val="24"/>
        </w:rPr>
        <w:t xml:space="preserve">la compra </w:t>
      </w:r>
      <w:r w:rsidR="00E274D5" w:rsidRPr="00E274D5">
        <w:rPr>
          <w:rFonts w:ascii="Palatino Linotype" w:hAnsi="Palatino Linotype"/>
          <w:sz w:val="24"/>
          <w:szCs w:val="24"/>
        </w:rPr>
        <w:t xml:space="preserve">de hojas blancas y bolígrafos adquiridos por </w:t>
      </w:r>
      <w:r w:rsidR="00E274D5" w:rsidRPr="00E274D5">
        <w:rPr>
          <w:rFonts w:ascii="Palatino Linotype" w:hAnsi="Palatino Linotype"/>
          <w:b/>
          <w:sz w:val="24"/>
          <w:szCs w:val="24"/>
        </w:rPr>
        <w:t>El Sujeto Obligado</w:t>
      </w:r>
      <w:r w:rsidRPr="007E62ED">
        <w:rPr>
          <w:rFonts w:ascii="Palatino Linotype" w:hAnsi="Palatino Linotype" w:cs="Arial"/>
          <w:i/>
          <w:sz w:val="24"/>
          <w:szCs w:val="24"/>
        </w:rPr>
        <w:t xml:space="preserve"> </w:t>
      </w:r>
      <w:r w:rsidRPr="007E62ED">
        <w:rPr>
          <w:rFonts w:ascii="Palatino Linotype" w:hAnsi="Palatino Linotype" w:cs="Arial"/>
          <w:sz w:val="24"/>
          <w:szCs w:val="24"/>
        </w:rPr>
        <w:t xml:space="preserve">del periodo comprendido </w:t>
      </w:r>
      <w:r w:rsidR="00757769">
        <w:rPr>
          <w:rFonts w:ascii="Palatino Linotype" w:hAnsi="Palatino Linotype" w:cs="Arial"/>
          <w:sz w:val="24"/>
          <w:szCs w:val="24"/>
        </w:rPr>
        <w:t>del nueve de mayo de dos mil diez, al treintaiuno de diciembre de dos mil dieciséis.</w:t>
      </w:r>
    </w:p>
    <w:p w:rsidR="00C13244" w:rsidRPr="00523CF0" w:rsidRDefault="00C13244" w:rsidP="00757769">
      <w:pPr>
        <w:tabs>
          <w:tab w:val="left" w:pos="709"/>
        </w:tabs>
        <w:spacing w:after="0" w:line="360" w:lineRule="auto"/>
        <w:ind w:right="51"/>
        <w:jc w:val="both"/>
        <w:rPr>
          <w:rFonts w:ascii="Palatino Linotype" w:hAnsi="Palatino Linotype" w:cs="Arial"/>
          <w:sz w:val="24"/>
          <w:szCs w:val="24"/>
        </w:rPr>
      </w:pPr>
    </w:p>
    <w:p w:rsidR="00C13244" w:rsidRPr="003235EA" w:rsidRDefault="00757769" w:rsidP="0075776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colige que </w:t>
      </w:r>
      <w:r w:rsidRPr="00757769">
        <w:rPr>
          <w:rFonts w:ascii="Palatino Linotype" w:hAnsi="Palatino Linotype" w:cs="Arial"/>
          <w:b/>
          <w:sz w:val="24"/>
          <w:szCs w:val="24"/>
        </w:rPr>
        <w:t>El Sujeto O</w:t>
      </w:r>
      <w:r w:rsidR="00C13244" w:rsidRPr="00757769">
        <w:rPr>
          <w:rFonts w:ascii="Palatino Linotype" w:hAnsi="Palatino Linotype" w:cs="Arial"/>
          <w:b/>
          <w:sz w:val="24"/>
          <w:szCs w:val="24"/>
        </w:rPr>
        <w:t>bligado</w:t>
      </w:r>
      <w:r w:rsidR="00C13244" w:rsidRPr="00523CF0">
        <w:rPr>
          <w:rFonts w:ascii="Palatino Linotype" w:hAnsi="Palatino Linotype" w:cs="Arial"/>
          <w:sz w:val="24"/>
          <w:szCs w:val="24"/>
        </w:rPr>
        <w:t xml:space="preserve"> omitió responder de manera adecuada a la solicit</w:t>
      </w:r>
      <w:r w:rsidR="00C13244">
        <w:rPr>
          <w:rFonts w:ascii="Palatino Linotype" w:hAnsi="Palatino Linotype" w:cs="Arial"/>
          <w:sz w:val="24"/>
          <w:szCs w:val="24"/>
        </w:rPr>
        <w:t>ud formulada por la particular</w:t>
      </w:r>
      <w:r w:rsidR="00C13244" w:rsidRPr="00523CF0">
        <w:rPr>
          <w:rFonts w:ascii="Palatino Linotype" w:hAnsi="Palatino Linotype" w:cs="Arial"/>
          <w:sz w:val="24"/>
          <w:szCs w:val="24"/>
        </w:rPr>
        <w:t>, por lo cual se duele</w:t>
      </w:r>
      <w:r>
        <w:rPr>
          <w:rFonts w:ascii="Palatino Linotype" w:hAnsi="Palatino Linotype" w:cs="Arial"/>
          <w:sz w:val="24"/>
          <w:szCs w:val="24"/>
        </w:rPr>
        <w:t xml:space="preserve"> </w:t>
      </w:r>
      <w:r w:rsidRPr="005E398E">
        <w:rPr>
          <w:rFonts w:ascii="Palatino Linotype" w:hAnsi="Palatino Linotype" w:cs="Arial"/>
          <w:b/>
          <w:sz w:val="24"/>
          <w:szCs w:val="24"/>
        </w:rPr>
        <w:t>La R</w:t>
      </w:r>
      <w:r w:rsidR="00C13244" w:rsidRPr="005E398E">
        <w:rPr>
          <w:rFonts w:ascii="Palatino Linotype" w:hAnsi="Palatino Linotype" w:cs="Arial"/>
          <w:b/>
          <w:sz w:val="24"/>
          <w:szCs w:val="24"/>
        </w:rPr>
        <w:t>ecurrente</w:t>
      </w:r>
      <w:r w:rsidR="00C13244">
        <w:rPr>
          <w:rFonts w:ascii="Palatino Linotype" w:hAnsi="Palatino Linotype" w:cs="Arial"/>
          <w:sz w:val="24"/>
          <w:szCs w:val="24"/>
        </w:rPr>
        <w:t xml:space="preserve"> </w:t>
      </w:r>
      <w:r>
        <w:rPr>
          <w:rFonts w:ascii="Palatino Linotype" w:hAnsi="Palatino Linotype" w:cs="Arial"/>
          <w:sz w:val="24"/>
          <w:szCs w:val="24"/>
        </w:rPr>
        <w:t xml:space="preserve">manifestando </w:t>
      </w:r>
      <w:r w:rsidR="00C13244">
        <w:rPr>
          <w:rFonts w:ascii="Palatino Linotype" w:hAnsi="Palatino Linotype" w:cs="Arial"/>
          <w:sz w:val="24"/>
          <w:szCs w:val="24"/>
        </w:rPr>
        <w:t>los</w:t>
      </w:r>
      <w:r w:rsidR="00C13244" w:rsidRPr="00523CF0">
        <w:rPr>
          <w:rFonts w:ascii="Palatino Linotype" w:hAnsi="Palatino Linotype" w:cs="Arial"/>
          <w:sz w:val="24"/>
          <w:szCs w:val="24"/>
        </w:rPr>
        <w:t xml:space="preserve"> motivo</w:t>
      </w:r>
      <w:r w:rsidR="00C13244">
        <w:rPr>
          <w:rFonts w:ascii="Palatino Linotype" w:hAnsi="Palatino Linotype" w:cs="Arial"/>
          <w:sz w:val="24"/>
          <w:szCs w:val="24"/>
        </w:rPr>
        <w:t>s</w:t>
      </w:r>
      <w:r w:rsidR="00C13244" w:rsidRPr="00523CF0">
        <w:rPr>
          <w:rFonts w:ascii="Palatino Linotype" w:hAnsi="Palatino Linotype" w:cs="Arial"/>
          <w:sz w:val="24"/>
          <w:szCs w:val="24"/>
        </w:rPr>
        <w:t xml:space="preserve"> de inconformidad correspondiente</w:t>
      </w:r>
      <w:r w:rsidR="00C13244">
        <w:rPr>
          <w:rFonts w:ascii="Palatino Linotype" w:hAnsi="Palatino Linotype" w:cs="Arial"/>
          <w:sz w:val="24"/>
          <w:szCs w:val="24"/>
        </w:rPr>
        <w:t xml:space="preserve">s, </w:t>
      </w:r>
      <w:r w:rsidR="00C13244" w:rsidRPr="00523CF0">
        <w:rPr>
          <w:rFonts w:ascii="Palatino Linotype" w:hAnsi="Palatino Linotype" w:cs="Arial"/>
          <w:sz w:val="24"/>
          <w:szCs w:val="24"/>
        </w:rPr>
        <w:t>l</w:t>
      </w:r>
      <w:r w:rsidR="00C13244">
        <w:rPr>
          <w:rFonts w:ascii="Palatino Linotype" w:hAnsi="Palatino Linotype" w:cs="Arial"/>
          <w:sz w:val="24"/>
          <w:szCs w:val="24"/>
        </w:rPr>
        <w:t xml:space="preserve">os cuales </w:t>
      </w:r>
      <w:r w:rsidR="00C13244" w:rsidRPr="00523CF0">
        <w:rPr>
          <w:rFonts w:ascii="Palatino Linotype" w:hAnsi="Palatino Linotype" w:cs="Arial"/>
          <w:sz w:val="24"/>
          <w:szCs w:val="24"/>
        </w:rPr>
        <w:t>deviene</w:t>
      </w:r>
      <w:r w:rsidR="00C13244">
        <w:rPr>
          <w:rFonts w:ascii="Palatino Linotype" w:hAnsi="Palatino Linotype" w:cs="Arial"/>
          <w:sz w:val="24"/>
          <w:szCs w:val="24"/>
        </w:rPr>
        <w:t>n</w:t>
      </w:r>
      <w:r w:rsidR="00C13244" w:rsidRPr="00523CF0">
        <w:rPr>
          <w:rFonts w:ascii="Palatino Linotype" w:hAnsi="Palatino Linotype" w:cs="Arial"/>
          <w:sz w:val="24"/>
          <w:szCs w:val="24"/>
        </w:rPr>
        <w:t xml:space="preserve"> </w:t>
      </w:r>
      <w:r w:rsidR="00C13244">
        <w:rPr>
          <w:rFonts w:ascii="Palatino Linotype" w:hAnsi="Palatino Linotype" w:cs="Arial"/>
          <w:sz w:val="24"/>
          <w:szCs w:val="24"/>
        </w:rPr>
        <w:t xml:space="preserve">parcialmente </w:t>
      </w:r>
      <w:r w:rsidR="00C13244" w:rsidRPr="00523CF0">
        <w:rPr>
          <w:rFonts w:ascii="Palatino Linotype" w:hAnsi="Palatino Linotype" w:cs="Arial"/>
          <w:sz w:val="24"/>
          <w:szCs w:val="24"/>
        </w:rPr>
        <w:t>fundado</w:t>
      </w:r>
      <w:r w:rsidR="00C13244">
        <w:rPr>
          <w:rFonts w:ascii="Palatino Linotype" w:hAnsi="Palatino Linotype" w:cs="Arial"/>
          <w:sz w:val="24"/>
          <w:szCs w:val="24"/>
        </w:rPr>
        <w:t xml:space="preserve">s y por tanto deberá ordenarse la </w:t>
      </w:r>
      <w:r w:rsidR="00C13244" w:rsidRPr="00523CF0">
        <w:rPr>
          <w:rFonts w:ascii="Palatino Linotype" w:hAnsi="Palatino Linotype" w:cs="Arial"/>
          <w:sz w:val="24"/>
          <w:szCs w:val="24"/>
        </w:rPr>
        <w:t xml:space="preserve">entrega </w:t>
      </w:r>
      <w:r w:rsidR="00C13244">
        <w:rPr>
          <w:rFonts w:ascii="Palatino Linotype" w:hAnsi="Palatino Linotype" w:cs="Arial"/>
          <w:sz w:val="24"/>
          <w:szCs w:val="24"/>
        </w:rPr>
        <w:t>de la información faltante</w:t>
      </w:r>
      <w:r>
        <w:rPr>
          <w:rFonts w:ascii="Palatino Linotype" w:hAnsi="Palatino Linotype" w:cs="Arial"/>
          <w:sz w:val="24"/>
          <w:szCs w:val="24"/>
        </w:rPr>
        <w:t xml:space="preserve">, para lo cual </w:t>
      </w:r>
      <w:r w:rsidRPr="005E398E">
        <w:rPr>
          <w:rFonts w:ascii="Palatino Linotype" w:hAnsi="Palatino Linotype" w:cs="Arial"/>
          <w:b/>
          <w:sz w:val="24"/>
          <w:szCs w:val="24"/>
        </w:rPr>
        <w:t>El Sujeto O</w:t>
      </w:r>
      <w:r w:rsidR="00C13244" w:rsidRPr="005E398E">
        <w:rPr>
          <w:rFonts w:ascii="Palatino Linotype" w:hAnsi="Palatino Linotype" w:cs="Arial"/>
          <w:b/>
          <w:sz w:val="24"/>
          <w:szCs w:val="24"/>
        </w:rPr>
        <w:t>bligado</w:t>
      </w:r>
      <w:r w:rsidR="00C13244" w:rsidRPr="00523CF0">
        <w:rPr>
          <w:rFonts w:ascii="Palatino Linotype" w:hAnsi="Palatino Linotype" w:cs="Arial"/>
          <w:sz w:val="24"/>
          <w:szCs w:val="24"/>
        </w:rPr>
        <w:t xml:space="preserve"> deberá realizar los trámites internos para la debida atención de la solicitud de información, siguiendo los parámetros fijados en la Ley de Transparencia y Acceso a la Información Pública del Estado de México y Municipios.</w:t>
      </w:r>
    </w:p>
    <w:p w:rsidR="00C13244" w:rsidRPr="00523CF0" w:rsidRDefault="00C13244" w:rsidP="00757769">
      <w:pPr>
        <w:tabs>
          <w:tab w:val="left" w:pos="709"/>
        </w:tabs>
        <w:spacing w:after="0" w:line="360" w:lineRule="auto"/>
        <w:jc w:val="both"/>
        <w:rPr>
          <w:rFonts w:ascii="Palatino Linotype" w:hAnsi="Palatino Linotype" w:cs="Arial"/>
          <w:sz w:val="24"/>
          <w:szCs w:val="24"/>
        </w:rPr>
      </w:pPr>
    </w:p>
    <w:p w:rsidR="003235EA" w:rsidRPr="00523CF0" w:rsidRDefault="003235EA" w:rsidP="00757769">
      <w:pPr>
        <w:tabs>
          <w:tab w:val="left" w:pos="709"/>
        </w:tabs>
        <w:spacing w:after="0" w:line="360" w:lineRule="auto"/>
        <w:jc w:val="both"/>
        <w:rPr>
          <w:rFonts w:ascii="Palatino Linotype" w:hAnsi="Palatino Linotype"/>
          <w:sz w:val="24"/>
          <w:szCs w:val="24"/>
        </w:rPr>
      </w:pPr>
      <w:r w:rsidRPr="00523CF0">
        <w:rPr>
          <w:rFonts w:ascii="Palatino Linotype" w:hAnsi="Palatino Linotype"/>
          <w:sz w:val="24"/>
          <w:szCs w:val="24"/>
        </w:rPr>
        <w:t xml:space="preserve">En mérito de lo expuesto en líneas anteriores, resultan </w:t>
      </w:r>
      <w:r w:rsidR="006640A0">
        <w:rPr>
          <w:rFonts w:ascii="Palatino Linotype" w:hAnsi="Palatino Linotype"/>
          <w:sz w:val="24"/>
          <w:szCs w:val="24"/>
        </w:rPr>
        <w:t xml:space="preserve">parcialmente </w:t>
      </w:r>
      <w:r w:rsidRPr="00523CF0">
        <w:rPr>
          <w:rFonts w:ascii="Palatino Linotype" w:hAnsi="Palatino Linotype"/>
          <w:sz w:val="24"/>
          <w:szCs w:val="24"/>
        </w:rPr>
        <w:t>fundado</w:t>
      </w:r>
      <w:r>
        <w:rPr>
          <w:rFonts w:ascii="Palatino Linotype" w:hAnsi="Palatino Linotype"/>
          <w:sz w:val="24"/>
          <w:szCs w:val="24"/>
        </w:rPr>
        <w:t>s</w:t>
      </w:r>
      <w:r w:rsidRPr="00523CF0">
        <w:rPr>
          <w:rFonts w:ascii="Palatino Linotype" w:hAnsi="Palatino Linotype"/>
          <w:sz w:val="24"/>
          <w:szCs w:val="24"/>
        </w:rPr>
        <w:t xml:space="preserve"> l</w:t>
      </w:r>
      <w:r>
        <w:rPr>
          <w:rFonts w:ascii="Palatino Linotype" w:hAnsi="Palatino Linotype"/>
          <w:sz w:val="24"/>
          <w:szCs w:val="24"/>
        </w:rPr>
        <w:t>os motivos de inconformidad</w:t>
      </w:r>
      <w:r w:rsidR="00757769">
        <w:rPr>
          <w:rFonts w:ascii="Palatino Linotype" w:hAnsi="Palatino Linotype"/>
          <w:sz w:val="24"/>
          <w:szCs w:val="24"/>
        </w:rPr>
        <w:t xml:space="preserve"> </w:t>
      </w:r>
      <w:r w:rsidR="00757769" w:rsidRPr="00757769">
        <w:rPr>
          <w:rFonts w:ascii="Palatino Linotype" w:hAnsi="Palatino Linotype"/>
          <w:sz w:val="24"/>
          <w:szCs w:val="24"/>
        </w:rPr>
        <w:t xml:space="preserve">que arguye </w:t>
      </w:r>
      <w:r w:rsidRPr="00757769">
        <w:rPr>
          <w:rFonts w:ascii="Palatino Linotype" w:hAnsi="Palatino Linotype"/>
          <w:b/>
          <w:sz w:val="24"/>
          <w:szCs w:val="24"/>
        </w:rPr>
        <w:t>La Recurrente</w:t>
      </w:r>
      <w:r w:rsidRPr="00523CF0">
        <w:rPr>
          <w:rFonts w:ascii="Palatino Linotype" w:hAnsi="Palatino Linotype"/>
          <w:sz w:val="24"/>
          <w:szCs w:val="24"/>
        </w:rPr>
        <w:t xml:space="preserve"> en su medio de impugnación que fue materia de estudio, por ello </w:t>
      </w:r>
      <w:r w:rsidRPr="00757769">
        <w:rPr>
          <w:rFonts w:ascii="Palatino Linotype" w:hAnsi="Palatino Linotype" w:cs="Arial"/>
          <w:sz w:val="24"/>
        </w:rPr>
        <w:t xml:space="preserve">con fundamento en la </w:t>
      </w:r>
      <w:r w:rsidR="007E3348" w:rsidRPr="00757769">
        <w:rPr>
          <w:rFonts w:ascii="Palatino Linotype" w:hAnsi="Palatino Linotype" w:cs="Arial"/>
          <w:sz w:val="24"/>
        </w:rPr>
        <w:t xml:space="preserve">segunda </w:t>
      </w:r>
      <w:r w:rsidRPr="00757769">
        <w:rPr>
          <w:rFonts w:ascii="Palatino Linotype" w:hAnsi="Palatino Linotype" w:cs="Arial"/>
          <w:sz w:val="24"/>
        </w:rPr>
        <w:t xml:space="preserve">hipótesis de la </w:t>
      </w:r>
      <w:r w:rsidRPr="00757769">
        <w:rPr>
          <w:rFonts w:ascii="Palatino Linotype" w:hAnsi="Palatino Linotype" w:cs="Arial"/>
          <w:sz w:val="24"/>
        </w:rPr>
        <w:lastRenderedPageBreak/>
        <w:t xml:space="preserve">fracción </w:t>
      </w:r>
      <w:r w:rsidR="007E3348" w:rsidRPr="00757769">
        <w:rPr>
          <w:rFonts w:ascii="Palatino Linotype" w:hAnsi="Palatino Linotype" w:cs="Arial"/>
          <w:sz w:val="24"/>
        </w:rPr>
        <w:t>I</w:t>
      </w:r>
      <w:r w:rsidRPr="00757769">
        <w:rPr>
          <w:rFonts w:ascii="Palatino Linotype" w:hAnsi="Palatino Linotype" w:cs="Arial"/>
          <w:sz w:val="24"/>
        </w:rPr>
        <w:t>II del artículo 186</w:t>
      </w:r>
      <w:r w:rsidRPr="00523CF0">
        <w:rPr>
          <w:rFonts w:ascii="Palatino Linotype" w:hAnsi="Palatino Linotype" w:cs="Arial"/>
          <w:b/>
          <w:sz w:val="24"/>
        </w:rPr>
        <w:t xml:space="preserve">, </w:t>
      </w:r>
      <w:r w:rsidRPr="00523CF0">
        <w:rPr>
          <w:rFonts w:ascii="Palatino Linotype" w:hAnsi="Palatino Linotype" w:cs="Arial"/>
          <w:sz w:val="24"/>
        </w:rPr>
        <w:t xml:space="preserve">de la Ley de Transparencia y Acceso a la Información Pública del Estado de México y Municipios, se </w:t>
      </w:r>
      <w:r w:rsidR="00A70ADB">
        <w:rPr>
          <w:rFonts w:ascii="Palatino Linotype" w:hAnsi="Palatino Linotype" w:cs="Arial"/>
          <w:b/>
          <w:sz w:val="24"/>
        </w:rPr>
        <w:t>MODIFIC</w:t>
      </w:r>
      <w:r w:rsidRPr="00523CF0">
        <w:rPr>
          <w:rFonts w:ascii="Palatino Linotype" w:hAnsi="Palatino Linotype" w:cs="Arial"/>
          <w:b/>
          <w:sz w:val="24"/>
        </w:rPr>
        <w:t xml:space="preserve">A </w:t>
      </w:r>
      <w:r w:rsidRPr="00523CF0">
        <w:rPr>
          <w:rFonts w:ascii="Palatino Linotype" w:hAnsi="Palatino Linotype" w:cs="Arial"/>
          <w:sz w:val="24"/>
        </w:rPr>
        <w:t>la respuesta a la solicitud de información número</w:t>
      </w:r>
      <w:r w:rsidRPr="00523CF0">
        <w:rPr>
          <w:rFonts w:ascii="Palatino Linotype" w:hAnsi="Palatino Linotype"/>
          <w:b/>
          <w:sz w:val="24"/>
          <w:szCs w:val="24"/>
        </w:rPr>
        <w:t xml:space="preserve"> </w:t>
      </w:r>
      <w:r w:rsidR="00433CD5" w:rsidRPr="00433CD5">
        <w:rPr>
          <w:rFonts w:ascii="Palatino Linotype" w:hAnsi="Palatino Linotype" w:cs="Arial"/>
          <w:b/>
          <w:sz w:val="24"/>
        </w:rPr>
        <w:t>00194/UPVT/IP/2018</w:t>
      </w:r>
      <w:r w:rsidR="005F4C67">
        <w:rPr>
          <w:rFonts w:ascii="Palatino Linotype" w:hAnsi="Palatino Linotype" w:cs="Arial"/>
          <w:b/>
          <w:sz w:val="24"/>
        </w:rPr>
        <w:t xml:space="preserve"> </w:t>
      </w:r>
      <w:r w:rsidRPr="00523CF0">
        <w:rPr>
          <w:rFonts w:ascii="Palatino Linotype" w:hAnsi="Palatino Linotype"/>
          <w:sz w:val="24"/>
          <w:szCs w:val="24"/>
        </w:rPr>
        <w:t>que ha sido materia del presente fallo.</w:t>
      </w:r>
    </w:p>
    <w:p w:rsidR="00F510DB" w:rsidRDefault="00F510DB" w:rsidP="00661753">
      <w:pPr>
        <w:tabs>
          <w:tab w:val="left" w:pos="709"/>
        </w:tabs>
        <w:spacing w:before="240" w:line="360" w:lineRule="auto"/>
        <w:ind w:right="51"/>
        <w:jc w:val="both"/>
        <w:rPr>
          <w:rFonts w:ascii="Palatino Linotype" w:hAnsi="Palatino Linotype"/>
          <w:sz w:val="24"/>
          <w:szCs w:val="24"/>
        </w:rPr>
      </w:pPr>
    </w:p>
    <w:p w:rsidR="00661753" w:rsidRDefault="00661753" w:rsidP="00661753">
      <w:pPr>
        <w:tabs>
          <w:tab w:val="left" w:pos="709"/>
        </w:tabs>
        <w:spacing w:before="240" w:line="360" w:lineRule="auto"/>
        <w:ind w:right="51"/>
        <w:jc w:val="both"/>
        <w:rPr>
          <w:rFonts w:ascii="Palatino Linotype" w:hAnsi="Palatino Linotype"/>
          <w:sz w:val="24"/>
          <w:szCs w:val="24"/>
        </w:rPr>
      </w:pPr>
      <w:r w:rsidRPr="00D05C83">
        <w:rPr>
          <w:rFonts w:ascii="Palatino Linotype" w:hAnsi="Palatino Linotype"/>
          <w:sz w:val="24"/>
          <w:szCs w:val="24"/>
        </w:rPr>
        <w:t>Por lo antes expuesto y fundado es de resolverse y;</w:t>
      </w:r>
    </w:p>
    <w:p w:rsidR="00661753" w:rsidRPr="00D05C83" w:rsidRDefault="00661753" w:rsidP="00661753">
      <w:pPr>
        <w:tabs>
          <w:tab w:val="left" w:pos="709"/>
        </w:tabs>
        <w:spacing w:before="240" w:line="360" w:lineRule="auto"/>
        <w:ind w:right="51"/>
        <w:jc w:val="both"/>
        <w:rPr>
          <w:rFonts w:ascii="Palatino Linotype" w:hAnsi="Palatino Linotype"/>
          <w:sz w:val="24"/>
          <w:szCs w:val="24"/>
        </w:rPr>
      </w:pPr>
    </w:p>
    <w:p w:rsidR="00661753" w:rsidRPr="00D05C83" w:rsidRDefault="00661753" w:rsidP="006617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66175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7E3348">
        <w:rPr>
          <w:rFonts w:ascii="Palatino Linotype" w:hAnsi="Palatino Linotype" w:cs="Arial"/>
          <w:b/>
          <w:sz w:val="24"/>
          <w:szCs w:val="24"/>
        </w:rPr>
        <w:t>MODIFIC</w:t>
      </w:r>
      <w:r>
        <w:rPr>
          <w:rFonts w:ascii="Palatino Linotype" w:hAnsi="Palatino Linotype" w:cs="Arial"/>
          <w:b/>
          <w:sz w:val="24"/>
          <w:szCs w:val="24"/>
        </w:rPr>
        <w:t>A</w:t>
      </w:r>
      <w:r w:rsidRPr="00A05065">
        <w:rPr>
          <w:rFonts w:ascii="Palatino Linotype" w:hAnsi="Palatino Linotype" w:cs="Arial"/>
          <w:b/>
          <w:sz w:val="24"/>
          <w:szCs w:val="24"/>
        </w:rPr>
        <w:t xml:space="preserve"> </w:t>
      </w:r>
      <w:r>
        <w:rPr>
          <w:rFonts w:ascii="Palatino Linotype" w:hAnsi="Palatino Linotype" w:cs="Arial"/>
          <w:sz w:val="24"/>
          <w:szCs w:val="24"/>
        </w:rPr>
        <w:t xml:space="preserve">la respuesta entregada por </w:t>
      </w:r>
      <w:r w:rsidR="00433CD5">
        <w:rPr>
          <w:rFonts w:ascii="Palatino Linotype" w:hAnsi="Palatino Linotype" w:cs="Arial"/>
          <w:b/>
          <w:sz w:val="24"/>
          <w:szCs w:val="24"/>
        </w:rPr>
        <w:t>E</w:t>
      </w:r>
      <w:r w:rsidRPr="00C24CCD">
        <w:rPr>
          <w:rFonts w:ascii="Palatino Linotype" w:hAnsi="Palatino Linotype" w:cs="Arial"/>
          <w:b/>
          <w:sz w:val="24"/>
          <w:szCs w:val="24"/>
        </w:rPr>
        <w:t>l Sujeto Obligado</w:t>
      </w:r>
      <w:r w:rsidRPr="00A05065">
        <w:rPr>
          <w:rFonts w:ascii="Palatino Linotype" w:hAnsi="Palatino Linotype" w:cs="Arial"/>
          <w:b/>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información número</w:t>
      </w:r>
      <w:r w:rsidR="00974E2C">
        <w:rPr>
          <w:rFonts w:ascii="Palatino Linotype" w:hAnsi="Palatino Linotype" w:cs="Arial"/>
          <w:sz w:val="24"/>
          <w:szCs w:val="24"/>
        </w:rPr>
        <w:t xml:space="preserve"> </w:t>
      </w:r>
      <w:r w:rsidR="00433CD5" w:rsidRPr="00433CD5">
        <w:rPr>
          <w:rFonts w:ascii="Palatino Linotype" w:hAnsi="Palatino Linotype" w:cs="Arial"/>
          <w:b/>
          <w:sz w:val="24"/>
        </w:rPr>
        <w:t>00194/UPVT/IP/2018</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007E3348">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974E2C" w:rsidRPr="00433CD5">
        <w:rPr>
          <w:rFonts w:ascii="Palatino Linotype" w:eastAsia="Arial Unicode MS" w:hAnsi="Palatino Linotype" w:cs="Arial"/>
          <w:b/>
          <w:sz w:val="24"/>
          <w:szCs w:val="24"/>
        </w:rPr>
        <w:t>La</w:t>
      </w:r>
      <w:r w:rsidRPr="00433CD5">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w:t>
      </w:r>
      <w:r w:rsidR="007E3348">
        <w:rPr>
          <w:rFonts w:ascii="Palatino Linotype" w:eastAsia="Arial Unicode MS" w:hAnsi="Palatino Linotype" w:cs="Arial"/>
          <w:sz w:val="24"/>
          <w:szCs w:val="24"/>
        </w:rPr>
        <w:t>l</w:t>
      </w:r>
      <w:r w:rsidRPr="00921CA9">
        <w:rPr>
          <w:rFonts w:ascii="Palatino Linotype" w:eastAsia="Arial Unicode MS" w:hAnsi="Palatino Linotype" w:cs="Arial"/>
          <w:b/>
          <w:sz w:val="24"/>
          <w:szCs w:val="24"/>
        </w:rPr>
        <w:t xml:space="preserve"> </w:t>
      </w:r>
      <w:r w:rsidR="00433CD5">
        <w:rPr>
          <w:rFonts w:ascii="Palatino Linotype" w:hAnsi="Palatino Linotype" w:cs="Arial"/>
          <w:sz w:val="24"/>
          <w:szCs w:val="24"/>
        </w:rPr>
        <w:t>c</w:t>
      </w:r>
      <w:r w:rsidRPr="00433CD5">
        <w:rPr>
          <w:rFonts w:ascii="Palatino Linotype" w:hAnsi="Palatino Linotype" w:cs="Arial"/>
          <w:sz w:val="24"/>
          <w:szCs w:val="24"/>
        </w:rPr>
        <w:t>onsiderando</w:t>
      </w:r>
      <w:r w:rsidRPr="00921CA9">
        <w:rPr>
          <w:rFonts w:ascii="Palatino Linotype" w:hAnsi="Palatino Linotype" w:cs="Arial"/>
          <w:b/>
          <w:sz w:val="24"/>
          <w:szCs w:val="24"/>
        </w:rPr>
        <w:t xml:space="preserve"> </w:t>
      </w:r>
      <w:r w:rsidR="00433CD5">
        <w:rPr>
          <w:rFonts w:ascii="Palatino Linotype" w:hAnsi="Palatino Linotype" w:cs="Arial"/>
          <w:b/>
          <w:sz w:val="24"/>
          <w:szCs w:val="24"/>
        </w:rPr>
        <w:t>CUARTO</w:t>
      </w:r>
      <w:r w:rsidRPr="00921CA9">
        <w:rPr>
          <w:rFonts w:ascii="Palatino Linotype" w:hAnsi="Palatino Linotype" w:cs="Arial"/>
          <w:sz w:val="24"/>
          <w:szCs w:val="24"/>
        </w:rPr>
        <w:t xml:space="preserve"> de la presente resolución</w:t>
      </w:r>
      <w:r>
        <w:rPr>
          <w:rFonts w:ascii="Palatino Linotype" w:hAnsi="Palatino Linotype" w:cs="Arial"/>
          <w:sz w:val="24"/>
          <w:szCs w:val="24"/>
        </w:rPr>
        <w:t>.</w:t>
      </w:r>
    </w:p>
    <w:p w:rsidR="00661753" w:rsidRPr="00863D71" w:rsidRDefault="00661753" w:rsidP="00661753">
      <w:pPr>
        <w:spacing w:before="240" w:line="360" w:lineRule="auto"/>
        <w:jc w:val="both"/>
        <w:rPr>
          <w:rFonts w:ascii="Palatino Linotype" w:hAnsi="Palatino Linotype" w:cs="Arial"/>
          <w:sz w:val="24"/>
          <w:szCs w:val="24"/>
        </w:rPr>
      </w:pPr>
    </w:p>
    <w:p w:rsidR="00661753" w:rsidRPr="006E2A59" w:rsidRDefault="00661753" w:rsidP="00661753">
      <w:pPr>
        <w:autoSpaceDE w:val="0"/>
        <w:autoSpaceDN w:val="0"/>
        <w:adjustRightInd w:val="0"/>
        <w:spacing w:before="240" w:line="360" w:lineRule="auto"/>
        <w:ind w:right="49"/>
        <w:jc w:val="both"/>
        <w:rPr>
          <w:rFonts w:ascii="Palatino Linotype" w:hAnsi="Palatino Linotype" w:cs="Arial"/>
          <w:sz w:val="24"/>
          <w:szCs w:val="24"/>
        </w:rPr>
      </w:pPr>
      <w:r w:rsidRPr="00863D71">
        <w:rPr>
          <w:rFonts w:ascii="Palatino Linotype" w:hAnsi="Palatino Linotype" w:cs="Arial"/>
          <w:b/>
          <w:sz w:val="24"/>
          <w:szCs w:val="24"/>
          <w:lang w:val="es-ES_tradnl"/>
        </w:rPr>
        <w:t>SEGUNDO.</w:t>
      </w:r>
      <w:r w:rsidRPr="00863D71">
        <w:rPr>
          <w:rFonts w:ascii="Palatino Linotype" w:hAnsi="Palatino Linotype" w:cs="Arial"/>
          <w:sz w:val="24"/>
          <w:szCs w:val="24"/>
        </w:rPr>
        <w:t xml:space="preserve"> Se ordena al </w:t>
      </w:r>
      <w:r w:rsidRPr="00863D71">
        <w:rPr>
          <w:rFonts w:ascii="Palatino Linotype" w:hAnsi="Palatino Linotype" w:cs="Arial"/>
          <w:b/>
          <w:sz w:val="24"/>
          <w:szCs w:val="24"/>
        </w:rPr>
        <w:t>Sujeto Obligado</w:t>
      </w:r>
      <w:r w:rsidRPr="00863D71">
        <w:rPr>
          <w:rFonts w:ascii="Palatino Linotype" w:hAnsi="Palatino Linotype" w:cs="Arial"/>
          <w:sz w:val="24"/>
          <w:szCs w:val="24"/>
        </w:rPr>
        <w:t xml:space="preserve"> haga entrega</w:t>
      </w:r>
      <w:r>
        <w:rPr>
          <w:rFonts w:ascii="Palatino Linotype" w:hAnsi="Palatino Linotype" w:cs="Arial"/>
          <w:b/>
          <w:sz w:val="24"/>
          <w:szCs w:val="24"/>
        </w:rPr>
        <w:t xml:space="preserve"> </w:t>
      </w:r>
      <w:r w:rsidRPr="00863D71">
        <w:rPr>
          <w:rFonts w:ascii="Palatino Linotype" w:hAnsi="Palatino Linotype" w:cs="Arial"/>
          <w:sz w:val="24"/>
          <w:szCs w:val="24"/>
        </w:rPr>
        <w:t xml:space="preserve">a </w:t>
      </w:r>
      <w:r w:rsidR="00FE3653" w:rsidRPr="00433CD5">
        <w:rPr>
          <w:rFonts w:ascii="Palatino Linotype" w:hAnsi="Palatino Linotype" w:cs="Arial"/>
          <w:b/>
          <w:sz w:val="24"/>
          <w:szCs w:val="24"/>
        </w:rPr>
        <w:t>La</w:t>
      </w:r>
      <w:r w:rsidRPr="00433CD5">
        <w:rPr>
          <w:rFonts w:ascii="Palatino Linotype" w:hAnsi="Palatino Linotype" w:cs="Arial"/>
          <w:b/>
          <w:sz w:val="24"/>
          <w:szCs w:val="24"/>
        </w:rPr>
        <w:t xml:space="preserve"> Recurrente</w:t>
      </w:r>
      <w:r w:rsidRPr="00863D71">
        <w:rPr>
          <w:rFonts w:ascii="Palatino Linotype" w:hAnsi="Palatino Linotype" w:cs="Arial"/>
          <w:sz w:val="24"/>
          <w:szCs w:val="24"/>
        </w:rPr>
        <w:t xml:space="preserve"> a través del </w:t>
      </w:r>
      <w:r w:rsidRPr="005E398E">
        <w:rPr>
          <w:rFonts w:ascii="Palatino Linotype" w:hAnsi="Palatino Linotype" w:cs="Arial"/>
          <w:b/>
          <w:sz w:val="24"/>
          <w:szCs w:val="24"/>
        </w:rPr>
        <w:t>SAIMEX</w:t>
      </w:r>
      <w:r w:rsidR="00FE3653">
        <w:rPr>
          <w:rFonts w:ascii="Palatino Linotype" w:hAnsi="Palatino Linotype" w:cs="Arial"/>
          <w:sz w:val="24"/>
          <w:szCs w:val="24"/>
        </w:rPr>
        <w:t>,</w:t>
      </w:r>
      <w:r w:rsidRPr="00863D71">
        <w:rPr>
          <w:rFonts w:ascii="Palatino Linotype" w:hAnsi="Palatino Linotype" w:cs="Arial"/>
          <w:sz w:val="24"/>
          <w:szCs w:val="24"/>
        </w:rPr>
        <w:t xml:space="preserve"> de</w:t>
      </w:r>
      <w:r w:rsidR="00082F06">
        <w:rPr>
          <w:rFonts w:ascii="Palatino Linotype" w:hAnsi="Palatino Linotype" w:cs="Arial"/>
          <w:sz w:val="24"/>
          <w:szCs w:val="24"/>
        </w:rPr>
        <w:t xml:space="preserve">l o de los documentos donde </w:t>
      </w:r>
      <w:r w:rsidR="00082F06" w:rsidRPr="006E2A59">
        <w:rPr>
          <w:rFonts w:ascii="Palatino Linotype" w:hAnsi="Palatino Linotype" w:cs="Arial"/>
          <w:sz w:val="24"/>
          <w:szCs w:val="24"/>
        </w:rPr>
        <w:t>conste o de los cuales se pueda advertir</w:t>
      </w:r>
      <w:r w:rsidRPr="006E2A59">
        <w:rPr>
          <w:rFonts w:ascii="Palatino Linotype" w:hAnsi="Palatino Linotype" w:cs="Arial"/>
          <w:sz w:val="24"/>
          <w:szCs w:val="24"/>
        </w:rPr>
        <w:t>:</w:t>
      </w:r>
    </w:p>
    <w:p w:rsidR="00661753" w:rsidRPr="00433CD5" w:rsidRDefault="00433CD5" w:rsidP="00433CD5">
      <w:pPr>
        <w:pStyle w:val="Prrafodelista"/>
        <w:numPr>
          <w:ilvl w:val="0"/>
          <w:numId w:val="13"/>
        </w:numPr>
        <w:tabs>
          <w:tab w:val="left" w:pos="709"/>
        </w:tabs>
        <w:spacing w:before="240" w:line="360" w:lineRule="auto"/>
        <w:ind w:right="51"/>
        <w:jc w:val="both"/>
        <w:rPr>
          <w:rFonts w:ascii="Palatino Linotype" w:hAnsi="Palatino Linotype"/>
        </w:rPr>
      </w:pPr>
      <w:r>
        <w:rPr>
          <w:rFonts w:ascii="Palatino Linotype" w:hAnsi="Palatino Linotype"/>
        </w:rPr>
        <w:t>La compra de hojas blancas y bolígrafos adquiridos por  El Sujeto Obligado en</w:t>
      </w:r>
      <w:r w:rsidR="00233F78">
        <w:rPr>
          <w:rFonts w:ascii="Palatino Linotype" w:hAnsi="Palatino Linotype"/>
        </w:rPr>
        <w:t xml:space="preserve"> el periodo comprendido entre </w:t>
      </w:r>
      <w:r w:rsidRPr="00433CD5">
        <w:rPr>
          <w:rFonts w:ascii="Palatino Linotype" w:hAnsi="Palatino Linotype"/>
        </w:rPr>
        <w:t>el nueve de mayo de dos mil diez, al treintaiuno de diciembre de dos mil dieciséis</w:t>
      </w:r>
      <w:r w:rsidR="004F7F7A">
        <w:rPr>
          <w:rFonts w:ascii="Palatino Linotype" w:hAnsi="Palatino Linotype"/>
        </w:rPr>
        <w:t>.</w:t>
      </w:r>
    </w:p>
    <w:p w:rsidR="00433CD5" w:rsidRDefault="00433CD5" w:rsidP="00661753">
      <w:pPr>
        <w:autoSpaceDE w:val="0"/>
        <w:autoSpaceDN w:val="0"/>
        <w:adjustRightInd w:val="0"/>
        <w:spacing w:before="240" w:line="360" w:lineRule="auto"/>
        <w:jc w:val="both"/>
        <w:rPr>
          <w:rFonts w:ascii="Palatino Linotype" w:hAnsi="Palatino Linotype" w:cs="Arial"/>
          <w:b/>
          <w:sz w:val="24"/>
          <w:szCs w:val="24"/>
        </w:rPr>
      </w:pPr>
    </w:p>
    <w:p w:rsidR="00661753" w:rsidRPr="00D05C83" w:rsidRDefault="00661753" w:rsidP="0066175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sidRPr="00D05C83">
        <w:rPr>
          <w:rFonts w:ascii="Palatino Linotype" w:hAnsi="Palatino Linotype" w:cs="Arial"/>
          <w:sz w:val="24"/>
          <w:szCs w:val="24"/>
        </w:rPr>
        <w:t>al Titular de la Unidad de Transparencia del</w:t>
      </w:r>
      <w:r w:rsidRPr="00D05C83">
        <w:rPr>
          <w:rFonts w:ascii="Palatino Linotype" w:hAnsi="Palatino Linotype" w:cs="Arial"/>
          <w:b/>
          <w:sz w:val="24"/>
          <w:szCs w:val="24"/>
        </w:rPr>
        <w:t xml:space="preserve"> </w:t>
      </w:r>
      <w:r w:rsidR="00433CD5" w:rsidRPr="00D05C83">
        <w:rPr>
          <w:rFonts w:ascii="Palatino Linotype" w:hAnsi="Palatino Linotype" w:cs="Arial"/>
          <w:b/>
          <w:sz w:val="24"/>
          <w:szCs w:val="24"/>
        </w:rPr>
        <w:t>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61753" w:rsidRPr="00D05C83" w:rsidRDefault="00661753" w:rsidP="00661753">
      <w:pPr>
        <w:autoSpaceDE w:val="0"/>
        <w:autoSpaceDN w:val="0"/>
        <w:adjustRightInd w:val="0"/>
        <w:spacing w:before="240" w:line="360" w:lineRule="auto"/>
        <w:jc w:val="both"/>
        <w:rPr>
          <w:rFonts w:ascii="Palatino Linotype" w:hAnsi="Palatino Linotype" w:cs="Arial"/>
          <w:sz w:val="24"/>
          <w:szCs w:val="24"/>
        </w:rPr>
      </w:pPr>
    </w:p>
    <w:p w:rsidR="00661753" w:rsidRPr="00D05C83" w:rsidRDefault="00661753" w:rsidP="0066175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a</w:t>
      </w:r>
      <w:r w:rsidR="00DB0194">
        <w:rPr>
          <w:rFonts w:ascii="Palatino Linotype" w:hAnsi="Palatino Linotype" w:cs="Arial"/>
          <w:sz w:val="24"/>
          <w:szCs w:val="24"/>
        </w:rPr>
        <w:t xml:space="preserve"> </w:t>
      </w:r>
      <w:r w:rsidR="00433CD5" w:rsidRPr="00433CD5">
        <w:rPr>
          <w:rFonts w:ascii="Palatino Linotype" w:hAnsi="Palatino Linotype" w:cs="Arial"/>
          <w:b/>
          <w:sz w:val="24"/>
          <w:szCs w:val="24"/>
        </w:rPr>
        <w:t>La R</w:t>
      </w:r>
      <w:r w:rsidRPr="00433CD5">
        <w:rPr>
          <w:rFonts w:ascii="Palatino Linotype" w:hAnsi="Palatino Linotype" w:cs="Arial"/>
          <w:b/>
          <w:sz w:val="24"/>
          <w:szCs w:val="24"/>
        </w:rPr>
        <w:t>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661753" w:rsidRPr="00D05C83" w:rsidRDefault="00661753" w:rsidP="00661753">
      <w:pPr>
        <w:autoSpaceDE w:val="0"/>
        <w:autoSpaceDN w:val="0"/>
        <w:adjustRightInd w:val="0"/>
        <w:spacing w:before="240" w:line="360" w:lineRule="auto"/>
        <w:jc w:val="both"/>
        <w:rPr>
          <w:rFonts w:ascii="Palatino Linotype" w:hAnsi="Palatino Linotype" w:cs="Arial"/>
          <w:sz w:val="24"/>
          <w:szCs w:val="24"/>
        </w:rPr>
      </w:pPr>
    </w:p>
    <w:p w:rsidR="00433CD5" w:rsidRDefault="00433CD5" w:rsidP="00433CD5">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BE321E" w:rsidRPr="00BE321E">
        <w:t xml:space="preserve"> </w:t>
      </w:r>
      <w:r w:rsidR="00BE321E" w:rsidRPr="00BE321E">
        <w:rPr>
          <w:rFonts w:ascii="Palatino Linotype" w:hAnsi="Palatino Linotype" w:cs="Arial"/>
          <w:sz w:val="24"/>
          <w:szCs w:val="24"/>
        </w:rPr>
        <w:t>CON AUSENCIA JUSTIFICADA</w:t>
      </w:r>
      <w:r>
        <w:rPr>
          <w:rFonts w:ascii="Palatino Linotype" w:hAnsi="Palatino Linotype" w:cs="Arial"/>
          <w:sz w:val="24"/>
          <w:szCs w:val="24"/>
        </w:rPr>
        <w:t xml:space="preserve">, JOSÉ GUADALUPE LUNA HERNÁNDEZ Y JAVIER MARTÍNEZ CRUZ, </w:t>
      </w:r>
      <w:r w:rsidRPr="00AA378C">
        <w:rPr>
          <w:rFonts w:ascii="Palatino Linotype" w:hAnsi="Palatino Linotype" w:cs="Arial"/>
          <w:sz w:val="24"/>
          <w:szCs w:val="24"/>
        </w:rPr>
        <w:t xml:space="preserve">EN LA VIGÉSIMA </w:t>
      </w:r>
      <w:r w:rsidR="0019161A" w:rsidRPr="00AA378C">
        <w:rPr>
          <w:rFonts w:ascii="Palatino Linotype" w:hAnsi="Palatino Linotype" w:cs="Arial"/>
          <w:sz w:val="24"/>
          <w:szCs w:val="24"/>
        </w:rPr>
        <w:t>OCTAVA</w:t>
      </w:r>
      <w:r w:rsidRPr="00AA378C">
        <w:rPr>
          <w:rFonts w:ascii="Palatino Linotype" w:hAnsi="Palatino Linotype" w:cs="Arial"/>
          <w:sz w:val="24"/>
          <w:szCs w:val="24"/>
        </w:rPr>
        <w:t xml:space="preserve"> SESIÓN ORDINARIA CELEBRADA EL </w:t>
      </w:r>
      <w:r w:rsidR="0019161A" w:rsidRPr="00AA378C">
        <w:rPr>
          <w:rFonts w:ascii="Palatino Linotype" w:hAnsi="Palatino Linotype" w:cs="Arial"/>
          <w:sz w:val="24"/>
          <w:szCs w:val="24"/>
        </w:rPr>
        <w:t>OCHO DE AGOSTO</w:t>
      </w:r>
      <w:r w:rsidRPr="00AA378C">
        <w:rPr>
          <w:rFonts w:ascii="Palatino Linotype" w:hAnsi="Palatino Linotype" w:cs="Arial"/>
          <w:sz w:val="24"/>
          <w:szCs w:val="24"/>
        </w:rPr>
        <w:t xml:space="preserve"> DE DOS MIL DIECIOCHO</w:t>
      </w:r>
      <w:r>
        <w:rPr>
          <w:rFonts w:ascii="Palatino Linotype" w:hAnsi="Palatino Linotype" w:cs="Arial"/>
          <w:sz w:val="24"/>
          <w:szCs w:val="24"/>
        </w:rPr>
        <w:t>, ANTE EL SECRETARIO TÉCNICO DEL PLENO, ALEXIS TAPIA RAMÍREZ.--------------------------------------------------------------------------------------------------------------------------------------------------------------------------------------------------------------------------------------------</w:t>
      </w:r>
      <w:r w:rsidR="00BE321E">
        <w:rPr>
          <w:rFonts w:ascii="Palatino Linotype" w:hAnsi="Palatino Linotype" w:cs="Arial"/>
          <w:sz w:val="24"/>
          <w:szCs w:val="24"/>
        </w:rPr>
        <w:t>-</w:t>
      </w:r>
    </w:p>
    <w:p w:rsidR="00433CD5" w:rsidRDefault="00433CD5" w:rsidP="00433CD5">
      <w:pPr>
        <w:spacing w:before="240" w:line="360" w:lineRule="auto"/>
        <w:jc w:val="both"/>
        <w:rPr>
          <w:rFonts w:ascii="Palatino Linotype" w:hAnsi="Palatino Linotype" w:cs="Arial"/>
          <w:sz w:val="24"/>
          <w:szCs w:val="24"/>
        </w:rPr>
      </w:pPr>
    </w:p>
    <w:p w:rsidR="00433CD5" w:rsidRDefault="00433CD5" w:rsidP="00433CD5">
      <w:pPr>
        <w:spacing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55168" behindDoc="0" locked="0" layoutInCell="1" allowOverlap="1">
                <wp:simplePos x="0" y="0"/>
                <wp:positionH relativeFrom="page">
                  <wp:posOffset>2600325</wp:posOffset>
                </wp:positionH>
                <wp:positionV relativeFrom="paragraph">
                  <wp:posOffset>455295</wp:posOffset>
                </wp:positionV>
                <wp:extent cx="2551430" cy="971550"/>
                <wp:effectExtent l="0" t="0" r="20320" b="19050"/>
                <wp:wrapNone/>
                <wp:docPr id="9" name="Cuadro de texto 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3CD5" w:rsidRDefault="00433CD5" w:rsidP="00433CD5">
                            <w:pPr>
                              <w:jc w:val="center"/>
                              <w:rPr>
                                <w:rFonts w:ascii="Palatino Linotype" w:hAnsi="Palatino Linotype"/>
                              </w:rPr>
                            </w:pPr>
                            <w:r>
                              <w:rPr>
                                <w:rFonts w:ascii="Palatino Linotype" w:hAnsi="Palatino Linotype"/>
                                <w:b/>
                              </w:rPr>
                              <w:t>Zulema Martínez Sánchez</w:t>
                            </w:r>
                          </w:p>
                          <w:p w:rsidR="00433CD5" w:rsidRDefault="00433CD5" w:rsidP="00433CD5">
                            <w:pPr>
                              <w:jc w:val="center"/>
                              <w:rPr>
                                <w:rFonts w:ascii="Palatino Linotype" w:hAnsi="Palatino Linotype"/>
                              </w:rPr>
                            </w:pPr>
                            <w:r>
                              <w:rPr>
                                <w:rFonts w:ascii="Palatino Linotype" w:hAnsi="Palatino Linotype"/>
                              </w:rPr>
                              <w:t>Comisionada Presidenta</w:t>
                            </w:r>
                          </w:p>
                          <w:p w:rsidR="00433CD5" w:rsidRDefault="00433CD5" w:rsidP="00433CD5">
                            <w:pPr>
                              <w:jc w:val="center"/>
                              <w:rPr>
                                <w:rFonts w:ascii="Palatino Linotype" w:hAnsi="Palatino Linotype"/>
                                <w:b/>
                              </w:rPr>
                            </w:pPr>
                            <w:r>
                              <w:rPr>
                                <w:rFonts w:ascii="Palatino Linotype" w:hAnsi="Palatino Linotype"/>
                                <w:b/>
                              </w:rPr>
                              <w:t>(Rúbrica).</w:t>
                            </w:r>
                          </w:p>
                          <w:p w:rsidR="00433CD5" w:rsidRDefault="00433CD5" w:rsidP="00433CD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204.75pt;margin-top:35.85pt;width:200.9pt;height: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" fillcolor="white [3201]" strokecolor="white [3212]" strokeweight=".5pt">
                <v:textbox>
                  <w:txbxContent>
                    <w:p w:rsidR="00433CD5" w:rsidRDefault="00433CD5" w:rsidP="00433CD5">
                      <w:pPr>
                        <w:jc w:val="center"/>
                        <w:rPr>
                          <w:rFonts w:ascii="Palatino Linotype" w:hAnsi="Palatino Linotype"/>
                        </w:rPr>
                      </w:pPr>
                      <w:r>
                        <w:rPr>
                          <w:rFonts w:ascii="Palatino Linotype" w:hAnsi="Palatino Linotype"/>
                          <w:b/>
                        </w:rPr>
                        <w:t>Zulema Martínez Sánchez</w:t>
                      </w:r>
                    </w:p>
                    <w:p w:rsidR="00433CD5" w:rsidRDefault="00433CD5" w:rsidP="00433CD5">
                      <w:pPr>
                        <w:jc w:val="center"/>
                        <w:rPr>
                          <w:rFonts w:ascii="Palatino Linotype" w:hAnsi="Palatino Linotype"/>
                        </w:rPr>
                      </w:pPr>
                      <w:r>
                        <w:rPr>
                          <w:rFonts w:ascii="Palatino Linotype" w:hAnsi="Palatino Linotype"/>
                        </w:rPr>
                        <w:t>Comisionada Presidenta</w:t>
                      </w:r>
                    </w:p>
                    <w:p w:rsidR="00433CD5" w:rsidRDefault="00433CD5" w:rsidP="00433CD5">
                      <w:pPr>
                        <w:jc w:val="center"/>
                        <w:rPr>
                          <w:rFonts w:ascii="Palatino Linotype" w:hAnsi="Palatino Linotype"/>
                          <w:b/>
                        </w:rPr>
                      </w:pPr>
                      <w:r>
                        <w:rPr>
                          <w:rFonts w:ascii="Palatino Linotype" w:hAnsi="Palatino Linotype"/>
                          <w:b/>
                        </w:rPr>
                        <w:t>(Rúbrica).</w:t>
                      </w:r>
                    </w:p>
                    <w:p w:rsidR="00433CD5" w:rsidRDefault="00433CD5" w:rsidP="00433CD5">
                      <w:pPr>
                        <w:jc w:val="center"/>
                        <w:rPr>
                          <w:rFonts w:ascii="Palatino Linotype" w:hAnsi="Palatino Linotype"/>
                          <w:b/>
                        </w:rPr>
                      </w:pPr>
                    </w:p>
                  </w:txbxContent>
                </v:textbox>
                <w10:wrap anchorx="page"/>
              </v:shape>
            </w:pict>
          </mc:Fallback>
        </mc:AlternateContent>
      </w:r>
      <w:r>
        <w:rPr>
          <w:rFonts w:ascii="Palatino Linotype" w:hAnsi="Palatino Linotype" w:cs="Arial"/>
          <w:sz w:val="24"/>
          <w:szCs w:val="24"/>
        </w:rPr>
        <w:t xml:space="preserve"> </w:t>
      </w:r>
    </w:p>
    <w:p w:rsidR="00433CD5" w:rsidRDefault="00433CD5" w:rsidP="00433CD5">
      <w:pPr>
        <w:autoSpaceDE w:val="0"/>
        <w:autoSpaceDN w:val="0"/>
        <w:adjustRightInd w:val="0"/>
        <w:spacing w:before="240" w:line="48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56192" behindDoc="0" locked="0" layoutInCell="1" allowOverlap="1">
                <wp:simplePos x="0" y="0"/>
                <wp:positionH relativeFrom="margin">
                  <wp:posOffset>1804035</wp:posOffset>
                </wp:positionH>
                <wp:positionV relativeFrom="paragraph">
                  <wp:posOffset>3158490</wp:posOffset>
                </wp:positionV>
                <wp:extent cx="2133600" cy="937895"/>
                <wp:effectExtent l="0" t="0" r="19050" b="14605"/>
                <wp:wrapNone/>
                <wp:docPr id="18" name="Cuadro de texto 18"/>
                <wp:cNvGraphicFramePr/>
                <a:graphic xmlns:a="http://schemas.openxmlformats.org/drawingml/2006/main">
                  <a:graphicData uri="http://schemas.microsoft.com/office/word/2010/wordprocessingShape">
                    <wps:wsp>
                      <wps:cNvSpPr txBox="1"/>
                      <wps:spPr>
                        <a:xfrm>
                          <a:off x="0" y="0"/>
                          <a:ext cx="2133600"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3CD5" w:rsidRDefault="00433CD5" w:rsidP="00433CD5">
                            <w:pPr>
                              <w:jc w:val="center"/>
                              <w:rPr>
                                <w:rFonts w:ascii="Palatino Linotype" w:hAnsi="Palatino Linotype"/>
                              </w:rPr>
                            </w:pPr>
                            <w:r>
                              <w:rPr>
                                <w:rFonts w:ascii="Palatino Linotype" w:hAnsi="Palatino Linotype"/>
                                <w:b/>
                              </w:rPr>
                              <w:t>Javier Martínez Cruz</w:t>
                            </w:r>
                          </w:p>
                          <w:p w:rsidR="00433CD5" w:rsidRDefault="00433CD5" w:rsidP="00433CD5">
                            <w:pPr>
                              <w:jc w:val="center"/>
                              <w:rPr>
                                <w:rFonts w:ascii="Palatino Linotype" w:hAnsi="Palatino Linotype"/>
                              </w:rPr>
                            </w:pPr>
                            <w:r>
                              <w:rPr>
                                <w:rFonts w:ascii="Palatino Linotype" w:hAnsi="Palatino Linotype"/>
                              </w:rPr>
                              <w:t>Comisionado</w:t>
                            </w:r>
                          </w:p>
                          <w:p w:rsidR="00433CD5" w:rsidRDefault="00433CD5" w:rsidP="00433CD5">
                            <w:pPr>
                              <w:jc w:val="center"/>
                              <w:rPr>
                                <w:rFonts w:ascii="Palatino Linotype" w:hAnsi="Palatino Linotype"/>
                                <w:b/>
                              </w:rPr>
                            </w:pPr>
                            <w:r>
                              <w:rPr>
                                <w:rFonts w:ascii="Palatino Linotype" w:hAnsi="Palatino Linotype"/>
                                <w:b/>
                              </w:rPr>
                              <w:t>(Rúbrica).</w:t>
                            </w:r>
                          </w:p>
                          <w:p w:rsidR="00433CD5" w:rsidRDefault="00433CD5" w:rsidP="00433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7" type="#_x0000_t202" style="position:absolute;left:0;text-align:left;margin-left:142.05pt;margin-top:248.7pt;width:168pt;height:7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" fillcolor="white [3201]" strokecolor="white [3212]" strokeweight=".5pt">
                <v:textbox>
                  <w:txbxContent>
                    <w:p w:rsidR="00433CD5" w:rsidRDefault="00433CD5" w:rsidP="00433CD5">
                      <w:pPr>
                        <w:jc w:val="center"/>
                        <w:rPr>
                          <w:rFonts w:ascii="Palatino Linotype" w:hAnsi="Palatino Linotype"/>
                        </w:rPr>
                      </w:pPr>
                      <w:r>
                        <w:rPr>
                          <w:rFonts w:ascii="Palatino Linotype" w:hAnsi="Palatino Linotype"/>
                          <w:b/>
                        </w:rPr>
                        <w:t>Javier Martínez Cruz</w:t>
                      </w:r>
                    </w:p>
                    <w:p w:rsidR="00433CD5" w:rsidRDefault="00433CD5" w:rsidP="00433CD5">
                      <w:pPr>
                        <w:jc w:val="center"/>
                        <w:rPr>
                          <w:rFonts w:ascii="Palatino Linotype" w:hAnsi="Palatino Linotype"/>
                        </w:rPr>
                      </w:pPr>
                      <w:r>
                        <w:rPr>
                          <w:rFonts w:ascii="Palatino Linotype" w:hAnsi="Palatino Linotype"/>
                        </w:rPr>
                        <w:t>Comisionado</w:t>
                      </w:r>
                    </w:p>
                    <w:p w:rsidR="00433CD5" w:rsidRDefault="00433CD5" w:rsidP="00433CD5">
                      <w:pPr>
                        <w:jc w:val="center"/>
                        <w:rPr>
                          <w:rFonts w:ascii="Palatino Linotype" w:hAnsi="Palatino Linotype"/>
                          <w:b/>
                        </w:rPr>
                      </w:pPr>
                      <w:r>
                        <w:rPr>
                          <w:rFonts w:ascii="Palatino Linotype" w:hAnsi="Palatino Linotype"/>
                          <w:b/>
                        </w:rPr>
                        <w:t>(Rúbrica).</w:t>
                      </w:r>
                    </w:p>
                    <w:p w:rsidR="00433CD5" w:rsidRDefault="00433CD5" w:rsidP="00433CD5"/>
                  </w:txbxContent>
                </v:textbox>
                <w10:wrap anchorx="margin"/>
              </v:shape>
            </w:pict>
          </mc:Fallback>
        </mc:AlternateContent>
      </w:r>
    </w:p>
    <w:p w:rsidR="00433CD5" w:rsidRDefault="00433CD5" w:rsidP="00433CD5">
      <w:pPr>
        <w:autoSpaceDE w:val="0"/>
        <w:autoSpaceDN w:val="0"/>
        <w:adjustRightInd w:val="0"/>
        <w:spacing w:before="240" w:line="480" w:lineRule="auto"/>
        <w:jc w:val="both"/>
        <w:rPr>
          <w:rFonts w:ascii="Palatino Linotype" w:hAnsi="Palatino Linotype" w:cs="Arial"/>
          <w:sz w:val="24"/>
          <w:szCs w:val="24"/>
        </w:rPr>
      </w:pPr>
    </w:p>
    <w:p w:rsidR="00433CD5" w:rsidRDefault="00433CD5" w:rsidP="00433CD5">
      <w:pPr>
        <w:autoSpaceDE w:val="0"/>
        <w:autoSpaceDN w:val="0"/>
        <w:adjustRightInd w:val="0"/>
        <w:spacing w:before="240" w:line="480" w:lineRule="auto"/>
        <w:jc w:val="both"/>
        <w:rPr>
          <w:rFonts w:ascii="Palatino Linotype" w:hAnsi="Palatino Linotype" w:cs="Arial"/>
          <w:sz w:val="24"/>
          <w:szCs w:val="24"/>
        </w:rPr>
      </w:pPr>
      <w:r>
        <w:rPr>
          <w:rFonts w:ascii="Palatino Linotype" w:hAnsi="Palatino Linotype" w:cs="Arial"/>
          <w:sz w:val="24"/>
          <w:szCs w:val="24"/>
        </w:rPr>
        <w:t xml:space="preserve"> </w:t>
      </w:r>
    </w:p>
    <w:p w:rsidR="00433CD5" w:rsidRDefault="00433CD5" w:rsidP="00433CD5">
      <w:pPr>
        <w:spacing w:before="240" w:line="480" w:lineRule="auto"/>
        <w:jc w:val="both"/>
        <w:rPr>
          <w:rFonts w:ascii="Palatino Linotype" w:hAnsi="Palatino Linotype"/>
        </w:rPr>
      </w:pPr>
      <w:r>
        <w:rPr>
          <w:noProof/>
          <w:lang w:eastAsia="es-MX"/>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8890</wp:posOffset>
                </wp:positionV>
                <wp:extent cx="1943100" cy="89535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1943100"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3CD5" w:rsidRDefault="00433CD5" w:rsidP="00433CD5">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433CD5" w:rsidRDefault="00433CD5" w:rsidP="00433CD5">
                            <w:pPr>
                              <w:jc w:val="center"/>
                              <w:rPr>
                                <w:rFonts w:ascii="Palatino Linotype" w:hAnsi="Palatino Linotype"/>
                              </w:rPr>
                            </w:pPr>
                            <w:r>
                              <w:rPr>
                                <w:rFonts w:ascii="Palatino Linotype" w:hAnsi="Palatino Linotype"/>
                              </w:rPr>
                              <w:t>Comisionada</w:t>
                            </w:r>
                          </w:p>
                          <w:p w:rsidR="00433CD5" w:rsidRDefault="00433CD5" w:rsidP="00433CD5">
                            <w:pPr>
                              <w:jc w:val="center"/>
                              <w:rPr>
                                <w:rFonts w:ascii="Palatino Linotype" w:hAnsi="Palatino Linotype"/>
                                <w:b/>
                              </w:rPr>
                            </w:pPr>
                            <w:r>
                              <w:rPr>
                                <w:rFonts w:ascii="Palatino Linotype" w:hAnsi="Palatino Linotype"/>
                                <w:b/>
                              </w:rPr>
                              <w:t>(</w:t>
                            </w:r>
                            <w:r w:rsidR="00BE321E" w:rsidRPr="00BE321E">
                              <w:rPr>
                                <w:rFonts w:ascii="Palatino Linotype" w:hAnsi="Palatino Linotype"/>
                                <w:b/>
                              </w:rPr>
                              <w:t>Ausencia Justificada</w:t>
                            </w:r>
                            <w:r>
                              <w:rPr>
                                <w:rFonts w:ascii="Palatino Linotype" w:hAnsi="Palatino Linotype"/>
                                <w:b/>
                              </w:rPr>
                              <w:t>).</w:t>
                            </w:r>
                          </w:p>
                          <w:p w:rsidR="00433CD5" w:rsidRDefault="00433CD5" w:rsidP="00433CD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8" type="#_x0000_t202" style="position:absolute;left:0;text-align:left;margin-left:0;margin-top:.7pt;width:153pt;height:7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" fillcolor="white [3201]" strokecolor="white [3212]" strokeweight=".5pt">
                <v:textbox>
                  <w:txbxContent>
                    <w:p w:rsidR="00433CD5" w:rsidRDefault="00433CD5" w:rsidP="00433CD5">
                      <w:pPr>
                        <w:jc w:val="center"/>
                        <w:rPr>
                          <w:rFonts w:ascii="Palatino Linotype" w:hAnsi="Palatino Linotype"/>
                          <w:b/>
                        </w:rPr>
                      </w:pPr>
                      <w:r>
                        <w:rPr>
                          <w:rFonts w:ascii="Palatino Linotype" w:hAnsi="Palatino Linotype"/>
                          <w:b/>
                        </w:rPr>
                        <w:t>Eva Abaid Yapur</w:t>
                      </w:r>
                    </w:p>
                    <w:p w:rsidR="00433CD5" w:rsidRDefault="00433CD5" w:rsidP="00433CD5">
                      <w:pPr>
                        <w:jc w:val="center"/>
                        <w:rPr>
                          <w:rFonts w:ascii="Palatino Linotype" w:hAnsi="Palatino Linotype"/>
                        </w:rPr>
                      </w:pPr>
                      <w:r>
                        <w:rPr>
                          <w:rFonts w:ascii="Palatino Linotype" w:hAnsi="Palatino Linotype"/>
                        </w:rPr>
                        <w:t>Comisionada</w:t>
                      </w:r>
                    </w:p>
                    <w:p w:rsidR="00433CD5" w:rsidRDefault="00433CD5" w:rsidP="00433CD5">
                      <w:pPr>
                        <w:jc w:val="center"/>
                        <w:rPr>
                          <w:rFonts w:ascii="Palatino Linotype" w:hAnsi="Palatino Linotype"/>
                          <w:b/>
                        </w:rPr>
                      </w:pPr>
                      <w:r>
                        <w:rPr>
                          <w:rFonts w:ascii="Palatino Linotype" w:hAnsi="Palatino Linotype"/>
                          <w:b/>
                        </w:rPr>
                        <w:t>(</w:t>
                      </w:r>
                      <w:r w:rsidR="00BE321E" w:rsidRPr="00BE321E">
                        <w:rPr>
                          <w:rFonts w:ascii="Palatino Linotype" w:hAnsi="Palatino Linotype"/>
                          <w:b/>
                        </w:rPr>
                        <w:t>Ausencia Justificada</w:t>
                      </w:r>
                      <w:r>
                        <w:rPr>
                          <w:rFonts w:ascii="Palatino Linotype" w:hAnsi="Palatino Linotype"/>
                          <w:b/>
                        </w:rPr>
                        <w:t>).</w:t>
                      </w:r>
                    </w:p>
                    <w:p w:rsidR="00433CD5" w:rsidRDefault="00433CD5" w:rsidP="00433CD5">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simplePos x="0" y="0"/>
                <wp:positionH relativeFrom="margin">
                  <wp:posOffset>1282065</wp:posOffset>
                </wp:positionH>
                <wp:positionV relativeFrom="paragraph">
                  <wp:posOffset>3067685</wp:posOffset>
                </wp:positionV>
                <wp:extent cx="3152775" cy="91440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3CD5" w:rsidRDefault="00433CD5" w:rsidP="00433CD5">
                            <w:pPr>
                              <w:jc w:val="center"/>
                              <w:rPr>
                                <w:rFonts w:ascii="Palatino Linotype" w:hAnsi="Palatino Linotype"/>
                                <w:b/>
                              </w:rPr>
                            </w:pPr>
                            <w:r>
                              <w:rPr>
                                <w:rFonts w:ascii="Palatino Linotype" w:hAnsi="Palatino Linotype"/>
                                <w:b/>
                              </w:rPr>
                              <w:t xml:space="preserve">Alexis Tapia Ramírez </w:t>
                            </w:r>
                          </w:p>
                          <w:p w:rsidR="00433CD5" w:rsidRDefault="00433CD5" w:rsidP="00433CD5">
                            <w:pPr>
                              <w:jc w:val="center"/>
                              <w:rPr>
                                <w:rFonts w:ascii="Palatino Linotype" w:hAnsi="Palatino Linotype"/>
                              </w:rPr>
                            </w:pPr>
                            <w:r>
                              <w:rPr>
                                <w:rFonts w:ascii="Palatino Linotype" w:hAnsi="Palatino Linotype"/>
                              </w:rPr>
                              <w:t xml:space="preserve">Secretario Técnico del Pleno </w:t>
                            </w:r>
                          </w:p>
                          <w:p w:rsidR="00433CD5" w:rsidRDefault="00433CD5" w:rsidP="00433CD5">
                            <w:pPr>
                              <w:jc w:val="center"/>
                              <w:rPr>
                                <w:rFonts w:ascii="Palatino Linotype" w:hAnsi="Palatino Linotype"/>
                                <w:b/>
                              </w:rPr>
                            </w:pPr>
                            <w:r>
                              <w:rPr>
                                <w:rFonts w:ascii="Palatino Linotype" w:hAnsi="Palatino Linotype"/>
                                <w:b/>
                              </w:rPr>
                              <w:t>(Rúbrica).</w:t>
                            </w:r>
                          </w:p>
                          <w:p w:rsidR="00433CD5" w:rsidRDefault="00433CD5" w:rsidP="00433CD5">
                            <w:pPr>
                              <w:jc w:val="center"/>
                              <w:rPr>
                                <w:rFonts w:ascii="Palatino Linotype" w:hAnsi="Palatino Linotype"/>
                              </w:rPr>
                            </w:pPr>
                          </w:p>
                          <w:p w:rsidR="00433CD5" w:rsidRDefault="00433CD5" w:rsidP="00433CD5">
                            <w:pPr>
                              <w:jc w:val="center"/>
                              <w:rPr>
                                <w:rFonts w:ascii="Palatino Linotype" w:hAnsi="Palatino Linotype"/>
                              </w:rPr>
                            </w:pPr>
                          </w:p>
                          <w:p w:rsidR="00433CD5" w:rsidRDefault="00433CD5" w:rsidP="00433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9" type="#_x0000_t202" style="position:absolute;left:0;text-align:left;margin-left:100.95pt;margin-top:241.55pt;width:248.25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tcmAIAAMA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" fillcolor="white [3201]" strokecolor="white [3212]" strokeweight=".5pt">
                <v:textbox>
                  <w:txbxContent>
                    <w:p w:rsidR="00433CD5" w:rsidRDefault="00433CD5" w:rsidP="00433CD5">
                      <w:pPr>
                        <w:jc w:val="center"/>
                        <w:rPr>
                          <w:rFonts w:ascii="Palatino Linotype" w:hAnsi="Palatino Linotype"/>
                          <w:b/>
                        </w:rPr>
                      </w:pPr>
                      <w:r>
                        <w:rPr>
                          <w:rFonts w:ascii="Palatino Linotype" w:hAnsi="Palatino Linotype"/>
                          <w:b/>
                        </w:rPr>
                        <w:t xml:space="preserve">Alexis Tapia Ramírez </w:t>
                      </w:r>
                    </w:p>
                    <w:p w:rsidR="00433CD5" w:rsidRDefault="00433CD5" w:rsidP="00433CD5">
                      <w:pPr>
                        <w:jc w:val="center"/>
                        <w:rPr>
                          <w:rFonts w:ascii="Palatino Linotype" w:hAnsi="Palatino Linotype"/>
                        </w:rPr>
                      </w:pPr>
                      <w:r>
                        <w:rPr>
                          <w:rFonts w:ascii="Palatino Linotype" w:hAnsi="Palatino Linotype"/>
                        </w:rPr>
                        <w:t xml:space="preserve">Secretario Técnico del Pleno </w:t>
                      </w:r>
                    </w:p>
                    <w:p w:rsidR="00433CD5" w:rsidRDefault="00433CD5" w:rsidP="00433CD5">
                      <w:pPr>
                        <w:jc w:val="center"/>
                        <w:rPr>
                          <w:rFonts w:ascii="Palatino Linotype" w:hAnsi="Palatino Linotype"/>
                          <w:b/>
                        </w:rPr>
                      </w:pPr>
                      <w:r>
                        <w:rPr>
                          <w:rFonts w:ascii="Palatino Linotype" w:hAnsi="Palatino Linotype"/>
                          <w:b/>
                        </w:rPr>
                        <w:t>(Rúbrica).</w:t>
                      </w:r>
                    </w:p>
                    <w:p w:rsidR="00433CD5" w:rsidRDefault="00433CD5" w:rsidP="00433CD5">
                      <w:pPr>
                        <w:jc w:val="center"/>
                        <w:rPr>
                          <w:rFonts w:ascii="Palatino Linotype" w:hAnsi="Palatino Linotype"/>
                        </w:rPr>
                      </w:pPr>
                    </w:p>
                    <w:p w:rsidR="00433CD5" w:rsidRDefault="00433CD5" w:rsidP="00433CD5">
                      <w:pPr>
                        <w:jc w:val="center"/>
                        <w:rPr>
                          <w:rFonts w:ascii="Palatino Linotype" w:hAnsi="Palatino Linotype"/>
                        </w:rPr>
                      </w:pPr>
                    </w:p>
                    <w:p w:rsidR="00433CD5" w:rsidRDefault="00433CD5" w:rsidP="00433CD5"/>
                  </w:txbxContent>
                </v:textbox>
                <w10:wrap anchorx="margin"/>
              </v:shape>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3550920</wp:posOffset>
                </wp:positionH>
                <wp:positionV relativeFrom="paragraph">
                  <wp:posOffset>37465</wp:posOffset>
                </wp:positionV>
                <wp:extent cx="2543175" cy="9429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3CD5" w:rsidRDefault="00433CD5" w:rsidP="00433CD5">
                            <w:pPr>
                              <w:jc w:val="center"/>
                              <w:rPr>
                                <w:rFonts w:ascii="Palatino Linotype" w:hAnsi="Palatino Linotype"/>
                              </w:rPr>
                            </w:pPr>
                            <w:r>
                              <w:rPr>
                                <w:rFonts w:ascii="Palatino Linotype" w:hAnsi="Palatino Linotype"/>
                                <w:b/>
                              </w:rPr>
                              <w:t>José Guadalupe Luna Hernández</w:t>
                            </w:r>
                          </w:p>
                          <w:p w:rsidR="00433CD5" w:rsidRDefault="00433CD5" w:rsidP="00433CD5">
                            <w:pPr>
                              <w:jc w:val="center"/>
                              <w:rPr>
                                <w:rFonts w:ascii="Palatino Linotype" w:hAnsi="Palatino Linotype"/>
                              </w:rPr>
                            </w:pPr>
                            <w:r>
                              <w:rPr>
                                <w:rFonts w:ascii="Palatino Linotype" w:hAnsi="Palatino Linotype"/>
                              </w:rPr>
                              <w:t>Comisionado</w:t>
                            </w:r>
                          </w:p>
                          <w:p w:rsidR="00433CD5" w:rsidRDefault="00433CD5" w:rsidP="00433CD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0" type="#_x0000_t202" style="position:absolute;left:0;text-align:left;margin-left:279.6pt;margin-top:2.95pt;width:200.25pt;height:7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YbmAIAAMA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" fillcolor="white [3201]" strokecolor="white [3212]" strokeweight=".5pt">
                <v:textbox>
                  <w:txbxContent>
                    <w:p w:rsidR="00433CD5" w:rsidRDefault="00433CD5" w:rsidP="00433CD5">
                      <w:pPr>
                        <w:jc w:val="center"/>
                        <w:rPr>
                          <w:rFonts w:ascii="Palatino Linotype" w:hAnsi="Palatino Linotype"/>
                        </w:rPr>
                      </w:pPr>
                      <w:r>
                        <w:rPr>
                          <w:rFonts w:ascii="Palatino Linotype" w:hAnsi="Palatino Linotype"/>
                          <w:b/>
                        </w:rPr>
                        <w:t>José Guadalupe Luna Hernández</w:t>
                      </w:r>
                    </w:p>
                    <w:p w:rsidR="00433CD5" w:rsidRDefault="00433CD5" w:rsidP="00433CD5">
                      <w:pPr>
                        <w:jc w:val="center"/>
                        <w:rPr>
                          <w:rFonts w:ascii="Palatino Linotype" w:hAnsi="Palatino Linotype"/>
                        </w:rPr>
                      </w:pPr>
                      <w:r>
                        <w:rPr>
                          <w:rFonts w:ascii="Palatino Linotype" w:hAnsi="Palatino Linotype"/>
                        </w:rPr>
                        <w:t>Comisionado</w:t>
                      </w:r>
                    </w:p>
                    <w:p w:rsidR="00433CD5" w:rsidRDefault="00433CD5" w:rsidP="00433CD5">
                      <w:pPr>
                        <w:jc w:val="center"/>
                        <w:rPr>
                          <w:rFonts w:ascii="Palatino Linotype" w:hAnsi="Palatino Linotype"/>
                          <w:b/>
                        </w:rPr>
                      </w:pPr>
                      <w:r>
                        <w:rPr>
                          <w:rFonts w:ascii="Palatino Linotype" w:hAnsi="Palatino Linotype"/>
                          <w:b/>
                        </w:rPr>
                        <w:t>(Rúbrica).</w:t>
                      </w:r>
                    </w:p>
                  </w:txbxContent>
                </v:textbox>
                <w10:wrap anchorx="margin"/>
              </v:shape>
            </w:pict>
          </mc:Fallback>
        </mc:AlternateContent>
      </w:r>
    </w:p>
    <w:p w:rsidR="00433CD5" w:rsidRDefault="00433CD5" w:rsidP="00433CD5">
      <w:pPr>
        <w:spacing w:before="240" w:line="480" w:lineRule="auto"/>
        <w:jc w:val="both"/>
        <w:rPr>
          <w:rFonts w:ascii="Palatino Linotype" w:hAnsi="Palatino Linotype"/>
        </w:rPr>
      </w:pPr>
    </w:p>
    <w:p w:rsidR="00433CD5" w:rsidRDefault="00433CD5" w:rsidP="00433CD5">
      <w:pPr>
        <w:spacing w:before="240" w:line="480" w:lineRule="auto"/>
        <w:jc w:val="center"/>
        <w:rPr>
          <w:rFonts w:ascii="Palatino Linotype" w:hAnsi="Palatino Linotype"/>
        </w:rPr>
      </w:pPr>
    </w:p>
    <w:p w:rsidR="00433CD5" w:rsidRDefault="00433CD5" w:rsidP="00433CD5">
      <w:pPr>
        <w:spacing w:before="240" w:line="480" w:lineRule="auto"/>
        <w:rPr>
          <w:rFonts w:ascii="Palatino Linotype" w:hAnsi="Palatino Linotype"/>
          <w:b/>
        </w:rPr>
      </w:pPr>
    </w:p>
    <w:p w:rsidR="00433CD5" w:rsidRDefault="00433CD5" w:rsidP="00433CD5">
      <w:pPr>
        <w:spacing w:before="240" w:line="480" w:lineRule="auto"/>
        <w:rPr>
          <w:rFonts w:ascii="Palatino Linotype" w:hAnsi="Palatino Linotype"/>
          <w:b/>
        </w:rPr>
      </w:pPr>
    </w:p>
    <w:p w:rsidR="00433CD5" w:rsidRDefault="00433CD5" w:rsidP="00433CD5">
      <w:pPr>
        <w:spacing w:before="240" w:line="480" w:lineRule="auto"/>
        <w:rPr>
          <w:rFonts w:ascii="Palatino Linotype" w:hAnsi="Palatino Linotype"/>
          <w:b/>
        </w:rPr>
      </w:pPr>
    </w:p>
    <w:p w:rsidR="00433CD5" w:rsidRDefault="00433CD5" w:rsidP="00433CD5">
      <w:pPr>
        <w:spacing w:before="240" w:line="480" w:lineRule="auto"/>
        <w:rPr>
          <w:rFonts w:ascii="Palatino Linotype" w:hAnsi="Palatino Linotype"/>
          <w:b/>
        </w:rPr>
      </w:pPr>
    </w:p>
    <w:p w:rsidR="00433CD5" w:rsidRDefault="00433CD5" w:rsidP="00433CD5">
      <w:pPr>
        <w:spacing w:before="240"/>
        <w:jc w:val="both"/>
        <w:rPr>
          <w:rFonts w:ascii="Palatino Linotype" w:hAnsi="Palatino Linotype" w:cs="Arial"/>
          <w:sz w:val="16"/>
          <w:szCs w:val="16"/>
        </w:rPr>
      </w:pPr>
    </w:p>
    <w:p w:rsidR="00433CD5" w:rsidRDefault="00433CD5" w:rsidP="00433CD5">
      <w:pPr>
        <w:spacing w:before="240"/>
        <w:jc w:val="both"/>
        <w:rPr>
          <w:rFonts w:ascii="Palatino Linotype" w:hAnsi="Palatino Linotype" w:cs="Arial"/>
          <w:sz w:val="16"/>
          <w:szCs w:val="16"/>
        </w:rPr>
      </w:pPr>
    </w:p>
    <w:p w:rsidR="00DD13E2" w:rsidRPr="00433CD5" w:rsidRDefault="00433CD5" w:rsidP="00433CD5">
      <w:pPr>
        <w:spacing w:before="240"/>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19161A" w:rsidRPr="00AA378C">
        <w:rPr>
          <w:rFonts w:ascii="Palatino Linotype" w:hAnsi="Palatino Linotype" w:cs="Arial"/>
          <w:sz w:val="16"/>
          <w:szCs w:val="16"/>
        </w:rPr>
        <w:t>ocho de agosto</w:t>
      </w:r>
      <w:r w:rsidRPr="00AA378C">
        <w:rPr>
          <w:rFonts w:ascii="Palatino Linotype" w:hAnsi="Palatino Linotype" w:cs="Arial"/>
          <w:sz w:val="16"/>
          <w:szCs w:val="16"/>
        </w:rPr>
        <w:t xml:space="preserve"> de dos mil dieciocho</w:t>
      </w:r>
      <w:r>
        <w:rPr>
          <w:rFonts w:ascii="Palatino Linotype" w:hAnsi="Palatino Linotype" w:cs="Arial"/>
          <w:sz w:val="16"/>
          <w:szCs w:val="16"/>
        </w:rPr>
        <w:t xml:space="preserve">, emitida en el recurso de revisión 02050/INFOEM/IP/RR/2018. </w:t>
      </w:r>
      <w:r>
        <w:rPr>
          <w:rFonts w:ascii="Palatino Linotype" w:hAnsi="Palatino Linotype" w:cs="Arial"/>
          <w:sz w:val="16"/>
          <w:szCs w:val="16"/>
        </w:rPr>
        <w:br/>
      </w:r>
      <w:r>
        <w:rPr>
          <w:rFonts w:ascii="Palatino Linotype" w:hAnsi="Palatino Linotype" w:cs="Arial"/>
          <w:bCs/>
          <w:sz w:val="16"/>
          <w:szCs w:val="16"/>
          <w:lang w:eastAsia="es-MX"/>
        </w:rPr>
        <w:t>OSAM/EJDG</w:t>
      </w:r>
    </w:p>
    <w:sectPr w:rsidR="00DD13E2" w:rsidRPr="00433CD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D6F" w:rsidRDefault="00B14D6F" w:rsidP="006168E4">
      <w:pPr>
        <w:spacing w:after="0" w:line="240" w:lineRule="auto"/>
      </w:pPr>
      <w:r>
        <w:separator/>
      </w:r>
    </w:p>
  </w:endnote>
  <w:endnote w:type="continuationSeparator" w:id="0">
    <w:p w:rsidR="00B14D6F" w:rsidRDefault="00B14D6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9B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19B7">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9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19B7">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D6F" w:rsidRDefault="00B14D6F" w:rsidP="006168E4">
      <w:pPr>
        <w:spacing w:after="0" w:line="240" w:lineRule="auto"/>
      </w:pPr>
      <w:r>
        <w:separator/>
      </w:r>
    </w:p>
  </w:footnote>
  <w:footnote w:type="continuationSeparator" w:id="0">
    <w:p w:rsidR="00B14D6F" w:rsidRDefault="00B14D6F" w:rsidP="006168E4">
      <w:pPr>
        <w:spacing w:after="0" w:line="240" w:lineRule="auto"/>
      </w:pPr>
      <w:r>
        <w:continuationSeparator/>
      </w:r>
    </w:p>
  </w:footnote>
  <w:footnote w:id="1">
    <w:p w:rsidR="005F4C67" w:rsidRPr="00EE06B0" w:rsidRDefault="005F4C67"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5F4C67" w:rsidRPr="00EE06B0" w:rsidRDefault="005F4C67"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Default="005F4C6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F4C67" w:rsidTr="00FB4AAD">
      <w:trPr>
        <w:trHeight w:val="227"/>
      </w:trPr>
      <w:tc>
        <w:tcPr>
          <w:tcW w:w="5529" w:type="dxa"/>
          <w:hideMark/>
        </w:tcPr>
        <w:p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F4C67" w:rsidRPr="00B4142F" w:rsidRDefault="002241B8" w:rsidP="00486142">
          <w:pPr>
            <w:spacing w:after="120" w:line="256" w:lineRule="auto"/>
            <w:ind w:left="639" w:right="214"/>
            <w:jc w:val="both"/>
            <w:rPr>
              <w:rFonts w:ascii="Palatino Linotype" w:hAnsi="Palatino Linotype" w:cs="Arial"/>
              <w:szCs w:val="20"/>
            </w:rPr>
          </w:pPr>
          <w:r w:rsidRPr="002241B8">
            <w:rPr>
              <w:rFonts w:ascii="Palatino Linotype" w:hAnsi="Palatino Linotype" w:cs="Arial"/>
              <w:bCs/>
              <w:sz w:val="24"/>
              <w:lang w:eastAsia="es-MX"/>
            </w:rPr>
            <w:t>02050/INFOEM/IP/RR/2018</w:t>
          </w:r>
        </w:p>
      </w:tc>
    </w:tr>
    <w:tr w:rsidR="005F4C67" w:rsidTr="00FB4AAD">
      <w:trPr>
        <w:trHeight w:val="242"/>
      </w:trPr>
      <w:tc>
        <w:tcPr>
          <w:tcW w:w="5529" w:type="dxa"/>
          <w:hideMark/>
        </w:tcPr>
        <w:p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F4C67" w:rsidRPr="00F06FED" w:rsidRDefault="005F4C67" w:rsidP="00952219">
          <w:pPr>
            <w:spacing w:after="120" w:line="256" w:lineRule="auto"/>
            <w:ind w:left="639" w:right="214"/>
            <w:jc w:val="both"/>
            <w:rPr>
              <w:rFonts w:ascii="Palatino Linotype" w:hAnsi="Palatino Linotype" w:cs="Arial"/>
            </w:rPr>
          </w:pPr>
          <w:r>
            <w:rPr>
              <w:rFonts w:ascii="Palatino Linotype" w:hAnsi="Palatino Linotype" w:cs="Arial"/>
            </w:rPr>
            <w:t>Universidad Politécnica del Valle de Toluca</w:t>
          </w:r>
        </w:p>
      </w:tc>
    </w:tr>
    <w:tr w:rsidR="005F4C67" w:rsidTr="00FB4AAD">
      <w:trPr>
        <w:trHeight w:val="342"/>
      </w:trPr>
      <w:tc>
        <w:tcPr>
          <w:tcW w:w="5529" w:type="dxa"/>
          <w:hideMark/>
        </w:tcPr>
        <w:p w:rsidR="005F4C67" w:rsidRDefault="005F4C6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F4C67" w:rsidRDefault="005F4C6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5F4C67" w:rsidRDefault="005F4C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F4C67" w:rsidTr="00FB4AAD">
      <w:trPr>
        <w:trHeight w:val="227"/>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F4C67" w:rsidRPr="00B4142F" w:rsidRDefault="002241B8" w:rsidP="00486142">
          <w:pPr>
            <w:spacing w:after="120" w:line="256" w:lineRule="auto"/>
            <w:ind w:left="639" w:right="214"/>
            <w:jc w:val="both"/>
            <w:rPr>
              <w:rFonts w:ascii="Palatino Linotype" w:hAnsi="Palatino Linotype" w:cs="Arial"/>
              <w:szCs w:val="20"/>
            </w:rPr>
          </w:pPr>
          <w:r w:rsidRPr="002241B8">
            <w:rPr>
              <w:rFonts w:ascii="Palatino Linotype" w:hAnsi="Palatino Linotype" w:cs="Arial"/>
              <w:bCs/>
              <w:sz w:val="24"/>
              <w:lang w:eastAsia="es-MX"/>
            </w:rPr>
            <w:t>02050/INFOEM/IP/RR/2018</w:t>
          </w:r>
        </w:p>
      </w:tc>
    </w:tr>
    <w:tr w:rsidR="005F4C67" w:rsidTr="00FB4AAD">
      <w:trPr>
        <w:trHeight w:val="196"/>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F4C67" w:rsidRPr="00F06FED" w:rsidRDefault="002B3B6B" w:rsidP="00486142">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5F4C67" w:rsidTr="00FB4AAD">
      <w:trPr>
        <w:trHeight w:val="242"/>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F4C67" w:rsidRDefault="005F4C67" w:rsidP="00952219">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Universidad Politécnica del Valle de Toluca </w:t>
          </w:r>
        </w:p>
      </w:tc>
    </w:tr>
    <w:tr w:rsidR="005F4C67" w:rsidTr="00FB4AAD">
      <w:trPr>
        <w:trHeight w:val="342"/>
      </w:trPr>
      <w:tc>
        <w:tcPr>
          <w:tcW w:w="5529" w:type="dxa"/>
          <w:hideMark/>
        </w:tcPr>
        <w:p w:rsidR="005F4C67" w:rsidRDefault="005F4C6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F4C67" w:rsidRDefault="005F4C6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5F4C67" w:rsidRDefault="005F4C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101DAF"/>
    <w:multiLevelType w:val="hybridMultilevel"/>
    <w:tmpl w:val="0AA4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311DD7"/>
    <w:multiLevelType w:val="hybridMultilevel"/>
    <w:tmpl w:val="DEA62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8"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2A32920"/>
    <w:multiLevelType w:val="hybridMultilevel"/>
    <w:tmpl w:val="C85619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5"/>
  </w:num>
  <w:num w:numId="5">
    <w:abstractNumId w:val="8"/>
  </w:num>
  <w:num w:numId="6">
    <w:abstractNumId w:val="7"/>
  </w:num>
  <w:num w:numId="7">
    <w:abstractNumId w:val="9"/>
  </w:num>
  <w:num w:numId="8">
    <w:abstractNumId w:val="4"/>
  </w:num>
  <w:num w:numId="9">
    <w:abstractNumId w:val="6"/>
  </w:num>
  <w:num w:numId="10">
    <w:abstractNumId w:val="3"/>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48DF"/>
    <w:rsid w:val="000306A7"/>
    <w:rsid w:val="00045379"/>
    <w:rsid w:val="00055224"/>
    <w:rsid w:val="00061821"/>
    <w:rsid w:val="000623F9"/>
    <w:rsid w:val="00063A10"/>
    <w:rsid w:val="00064C6D"/>
    <w:rsid w:val="000662F8"/>
    <w:rsid w:val="00073E78"/>
    <w:rsid w:val="0007432B"/>
    <w:rsid w:val="00082F06"/>
    <w:rsid w:val="00091552"/>
    <w:rsid w:val="00091C3A"/>
    <w:rsid w:val="000A1AE4"/>
    <w:rsid w:val="000A244E"/>
    <w:rsid w:val="000A3486"/>
    <w:rsid w:val="000A79DA"/>
    <w:rsid w:val="000B09A8"/>
    <w:rsid w:val="000B15C9"/>
    <w:rsid w:val="000B4B51"/>
    <w:rsid w:val="000B7158"/>
    <w:rsid w:val="000C5B8B"/>
    <w:rsid w:val="000D1B55"/>
    <w:rsid w:val="000D3C75"/>
    <w:rsid w:val="000E53AB"/>
    <w:rsid w:val="000E686B"/>
    <w:rsid w:val="000F3BA0"/>
    <w:rsid w:val="00111DCD"/>
    <w:rsid w:val="00114CF9"/>
    <w:rsid w:val="00114DD7"/>
    <w:rsid w:val="00124855"/>
    <w:rsid w:val="001254F5"/>
    <w:rsid w:val="00136FAD"/>
    <w:rsid w:val="00142383"/>
    <w:rsid w:val="00146F0A"/>
    <w:rsid w:val="00152C2B"/>
    <w:rsid w:val="001564EA"/>
    <w:rsid w:val="001727D1"/>
    <w:rsid w:val="00175897"/>
    <w:rsid w:val="00180B9F"/>
    <w:rsid w:val="00181CC5"/>
    <w:rsid w:val="00184EA4"/>
    <w:rsid w:val="0019161A"/>
    <w:rsid w:val="00193784"/>
    <w:rsid w:val="001A02EC"/>
    <w:rsid w:val="001A19B7"/>
    <w:rsid w:val="001A577E"/>
    <w:rsid w:val="001A5B30"/>
    <w:rsid w:val="001A7C9B"/>
    <w:rsid w:val="001B031B"/>
    <w:rsid w:val="001B05B9"/>
    <w:rsid w:val="001B7B88"/>
    <w:rsid w:val="001C7319"/>
    <w:rsid w:val="001C7D87"/>
    <w:rsid w:val="001D0E5D"/>
    <w:rsid w:val="001D2B2C"/>
    <w:rsid w:val="001D3E87"/>
    <w:rsid w:val="0021501E"/>
    <w:rsid w:val="00215523"/>
    <w:rsid w:val="002164AC"/>
    <w:rsid w:val="002201D4"/>
    <w:rsid w:val="002205C0"/>
    <w:rsid w:val="002241B8"/>
    <w:rsid w:val="0023373D"/>
    <w:rsid w:val="00233F78"/>
    <w:rsid w:val="0023423C"/>
    <w:rsid w:val="00241BE7"/>
    <w:rsid w:val="0024491F"/>
    <w:rsid w:val="002546C4"/>
    <w:rsid w:val="002577FE"/>
    <w:rsid w:val="00260579"/>
    <w:rsid w:val="00273D0E"/>
    <w:rsid w:val="0027584B"/>
    <w:rsid w:val="00285490"/>
    <w:rsid w:val="002931FE"/>
    <w:rsid w:val="002A2034"/>
    <w:rsid w:val="002A24F4"/>
    <w:rsid w:val="002A38BF"/>
    <w:rsid w:val="002A597E"/>
    <w:rsid w:val="002B107F"/>
    <w:rsid w:val="002B28A2"/>
    <w:rsid w:val="002B3B6B"/>
    <w:rsid w:val="002B5DBD"/>
    <w:rsid w:val="002C5CC3"/>
    <w:rsid w:val="002C72D2"/>
    <w:rsid w:val="002D0CB4"/>
    <w:rsid w:val="002E2D7B"/>
    <w:rsid w:val="002E5E6A"/>
    <w:rsid w:val="002F37BE"/>
    <w:rsid w:val="00300D0B"/>
    <w:rsid w:val="00306096"/>
    <w:rsid w:val="0031297F"/>
    <w:rsid w:val="0031645D"/>
    <w:rsid w:val="00320A67"/>
    <w:rsid w:val="003231A7"/>
    <w:rsid w:val="003235EA"/>
    <w:rsid w:val="003272FB"/>
    <w:rsid w:val="00361B9C"/>
    <w:rsid w:val="00376CEC"/>
    <w:rsid w:val="00380758"/>
    <w:rsid w:val="00380A5A"/>
    <w:rsid w:val="003822AF"/>
    <w:rsid w:val="00394A1E"/>
    <w:rsid w:val="003A61F9"/>
    <w:rsid w:val="003B1E88"/>
    <w:rsid w:val="003D08FC"/>
    <w:rsid w:val="003E16E1"/>
    <w:rsid w:val="004012CF"/>
    <w:rsid w:val="00402FF3"/>
    <w:rsid w:val="00404991"/>
    <w:rsid w:val="004069EB"/>
    <w:rsid w:val="004117EF"/>
    <w:rsid w:val="00411E24"/>
    <w:rsid w:val="00412FC2"/>
    <w:rsid w:val="00423213"/>
    <w:rsid w:val="0042416D"/>
    <w:rsid w:val="00433CD5"/>
    <w:rsid w:val="004516EB"/>
    <w:rsid w:val="004529B6"/>
    <w:rsid w:val="00453DBD"/>
    <w:rsid w:val="00454CE6"/>
    <w:rsid w:val="0045795D"/>
    <w:rsid w:val="00462670"/>
    <w:rsid w:val="00462881"/>
    <w:rsid w:val="00463B4A"/>
    <w:rsid w:val="00475F48"/>
    <w:rsid w:val="00477CC2"/>
    <w:rsid w:val="0048180A"/>
    <w:rsid w:val="00481C7A"/>
    <w:rsid w:val="00486142"/>
    <w:rsid w:val="004906C8"/>
    <w:rsid w:val="0049478F"/>
    <w:rsid w:val="004967E2"/>
    <w:rsid w:val="004A290F"/>
    <w:rsid w:val="004A5FFD"/>
    <w:rsid w:val="004A7CE2"/>
    <w:rsid w:val="004C4DA7"/>
    <w:rsid w:val="004D08EB"/>
    <w:rsid w:val="004D5CF6"/>
    <w:rsid w:val="004E0951"/>
    <w:rsid w:val="004E2371"/>
    <w:rsid w:val="004E6BE9"/>
    <w:rsid w:val="004F7F7A"/>
    <w:rsid w:val="00503655"/>
    <w:rsid w:val="00515090"/>
    <w:rsid w:val="00521E57"/>
    <w:rsid w:val="00526244"/>
    <w:rsid w:val="00526987"/>
    <w:rsid w:val="005305EA"/>
    <w:rsid w:val="005371E7"/>
    <w:rsid w:val="00540538"/>
    <w:rsid w:val="005520FE"/>
    <w:rsid w:val="00556513"/>
    <w:rsid w:val="00562579"/>
    <w:rsid w:val="00562653"/>
    <w:rsid w:val="005733EB"/>
    <w:rsid w:val="00577D36"/>
    <w:rsid w:val="00580802"/>
    <w:rsid w:val="00581A22"/>
    <w:rsid w:val="00593E91"/>
    <w:rsid w:val="005A0B49"/>
    <w:rsid w:val="005A6D57"/>
    <w:rsid w:val="005A6FF6"/>
    <w:rsid w:val="005B5B70"/>
    <w:rsid w:val="005B5F05"/>
    <w:rsid w:val="005C6982"/>
    <w:rsid w:val="005D2B59"/>
    <w:rsid w:val="005D362F"/>
    <w:rsid w:val="005D370F"/>
    <w:rsid w:val="005E398E"/>
    <w:rsid w:val="005E4D7C"/>
    <w:rsid w:val="005F048E"/>
    <w:rsid w:val="005F4C67"/>
    <w:rsid w:val="005F57F0"/>
    <w:rsid w:val="006001B9"/>
    <w:rsid w:val="006073EF"/>
    <w:rsid w:val="0061042F"/>
    <w:rsid w:val="006126B4"/>
    <w:rsid w:val="006168E4"/>
    <w:rsid w:val="00637512"/>
    <w:rsid w:val="00640EE4"/>
    <w:rsid w:val="006466F5"/>
    <w:rsid w:val="00655E87"/>
    <w:rsid w:val="00661753"/>
    <w:rsid w:val="006640A0"/>
    <w:rsid w:val="00665035"/>
    <w:rsid w:val="006848B7"/>
    <w:rsid w:val="006B1953"/>
    <w:rsid w:val="006B1BF1"/>
    <w:rsid w:val="006B26E3"/>
    <w:rsid w:val="006B4A8B"/>
    <w:rsid w:val="006B53DD"/>
    <w:rsid w:val="006B7444"/>
    <w:rsid w:val="006D23FC"/>
    <w:rsid w:val="006E27B0"/>
    <w:rsid w:val="006E2A59"/>
    <w:rsid w:val="006E2D8D"/>
    <w:rsid w:val="00701033"/>
    <w:rsid w:val="0070578A"/>
    <w:rsid w:val="007135F0"/>
    <w:rsid w:val="00715E04"/>
    <w:rsid w:val="007407EE"/>
    <w:rsid w:val="007424D1"/>
    <w:rsid w:val="00744EEF"/>
    <w:rsid w:val="00754CAE"/>
    <w:rsid w:val="00757769"/>
    <w:rsid w:val="00780F82"/>
    <w:rsid w:val="007851D5"/>
    <w:rsid w:val="0079451C"/>
    <w:rsid w:val="0079486A"/>
    <w:rsid w:val="00794F80"/>
    <w:rsid w:val="007A0426"/>
    <w:rsid w:val="007A078B"/>
    <w:rsid w:val="007A1C9E"/>
    <w:rsid w:val="007B2C77"/>
    <w:rsid w:val="007B496F"/>
    <w:rsid w:val="007D135D"/>
    <w:rsid w:val="007D1A27"/>
    <w:rsid w:val="007D1B24"/>
    <w:rsid w:val="007D1F15"/>
    <w:rsid w:val="007D25B1"/>
    <w:rsid w:val="007D2878"/>
    <w:rsid w:val="007E1CBA"/>
    <w:rsid w:val="007E3348"/>
    <w:rsid w:val="007E7BAB"/>
    <w:rsid w:val="007E7DCE"/>
    <w:rsid w:val="007F20AC"/>
    <w:rsid w:val="007F2A8A"/>
    <w:rsid w:val="00802C56"/>
    <w:rsid w:val="00811205"/>
    <w:rsid w:val="00812C48"/>
    <w:rsid w:val="008146F9"/>
    <w:rsid w:val="00824DCD"/>
    <w:rsid w:val="00827F11"/>
    <w:rsid w:val="00836BAC"/>
    <w:rsid w:val="00837B4D"/>
    <w:rsid w:val="00844569"/>
    <w:rsid w:val="00847D23"/>
    <w:rsid w:val="00857750"/>
    <w:rsid w:val="00863327"/>
    <w:rsid w:val="00870F44"/>
    <w:rsid w:val="00884054"/>
    <w:rsid w:val="00895089"/>
    <w:rsid w:val="008951ED"/>
    <w:rsid w:val="008A75BE"/>
    <w:rsid w:val="008C32A8"/>
    <w:rsid w:val="008C55A3"/>
    <w:rsid w:val="008D72BC"/>
    <w:rsid w:val="008E00B1"/>
    <w:rsid w:val="008E6375"/>
    <w:rsid w:val="008F4C65"/>
    <w:rsid w:val="00905422"/>
    <w:rsid w:val="00913133"/>
    <w:rsid w:val="00913EC2"/>
    <w:rsid w:val="00921DB9"/>
    <w:rsid w:val="009222FF"/>
    <w:rsid w:val="0092403D"/>
    <w:rsid w:val="0092607C"/>
    <w:rsid w:val="009402DB"/>
    <w:rsid w:val="009449B8"/>
    <w:rsid w:val="00944DC9"/>
    <w:rsid w:val="00947EC9"/>
    <w:rsid w:val="00952219"/>
    <w:rsid w:val="00957712"/>
    <w:rsid w:val="009611E0"/>
    <w:rsid w:val="00965FEE"/>
    <w:rsid w:val="0096643B"/>
    <w:rsid w:val="009706B5"/>
    <w:rsid w:val="00972BDF"/>
    <w:rsid w:val="00974E2C"/>
    <w:rsid w:val="0098182D"/>
    <w:rsid w:val="00986753"/>
    <w:rsid w:val="00990720"/>
    <w:rsid w:val="009A686F"/>
    <w:rsid w:val="009B33A8"/>
    <w:rsid w:val="009B3487"/>
    <w:rsid w:val="009B5AA4"/>
    <w:rsid w:val="009B7C61"/>
    <w:rsid w:val="009C3793"/>
    <w:rsid w:val="009E1411"/>
    <w:rsid w:val="009E52F2"/>
    <w:rsid w:val="009F3C1F"/>
    <w:rsid w:val="009F614E"/>
    <w:rsid w:val="009F6942"/>
    <w:rsid w:val="009F762B"/>
    <w:rsid w:val="00A02047"/>
    <w:rsid w:val="00A036BE"/>
    <w:rsid w:val="00A12205"/>
    <w:rsid w:val="00A33D8F"/>
    <w:rsid w:val="00A4348E"/>
    <w:rsid w:val="00A453DC"/>
    <w:rsid w:val="00A625E2"/>
    <w:rsid w:val="00A70ADB"/>
    <w:rsid w:val="00A714A6"/>
    <w:rsid w:val="00A72465"/>
    <w:rsid w:val="00A80C92"/>
    <w:rsid w:val="00A82461"/>
    <w:rsid w:val="00A851D8"/>
    <w:rsid w:val="00A953BA"/>
    <w:rsid w:val="00AA16B9"/>
    <w:rsid w:val="00AA378C"/>
    <w:rsid w:val="00AA5D62"/>
    <w:rsid w:val="00AB3710"/>
    <w:rsid w:val="00AB4B0F"/>
    <w:rsid w:val="00AB6C3B"/>
    <w:rsid w:val="00AE008F"/>
    <w:rsid w:val="00AE6C8A"/>
    <w:rsid w:val="00B10BDF"/>
    <w:rsid w:val="00B11E08"/>
    <w:rsid w:val="00B14D6F"/>
    <w:rsid w:val="00B24099"/>
    <w:rsid w:val="00B32CD3"/>
    <w:rsid w:val="00B34819"/>
    <w:rsid w:val="00B35A93"/>
    <w:rsid w:val="00B3672D"/>
    <w:rsid w:val="00B4281E"/>
    <w:rsid w:val="00B4745C"/>
    <w:rsid w:val="00B53C91"/>
    <w:rsid w:val="00B57CC2"/>
    <w:rsid w:val="00B648D1"/>
    <w:rsid w:val="00B73262"/>
    <w:rsid w:val="00B808CD"/>
    <w:rsid w:val="00B87DE1"/>
    <w:rsid w:val="00B9223B"/>
    <w:rsid w:val="00BA152F"/>
    <w:rsid w:val="00BA4D1F"/>
    <w:rsid w:val="00BA7AD1"/>
    <w:rsid w:val="00BB2250"/>
    <w:rsid w:val="00BC0FDD"/>
    <w:rsid w:val="00BC22E0"/>
    <w:rsid w:val="00BC7F24"/>
    <w:rsid w:val="00BD53B0"/>
    <w:rsid w:val="00BE28ED"/>
    <w:rsid w:val="00BE321E"/>
    <w:rsid w:val="00C11741"/>
    <w:rsid w:val="00C13244"/>
    <w:rsid w:val="00C25084"/>
    <w:rsid w:val="00C30C67"/>
    <w:rsid w:val="00C441BB"/>
    <w:rsid w:val="00C65592"/>
    <w:rsid w:val="00C71CD1"/>
    <w:rsid w:val="00C73143"/>
    <w:rsid w:val="00C77685"/>
    <w:rsid w:val="00C77815"/>
    <w:rsid w:val="00C85378"/>
    <w:rsid w:val="00C9297C"/>
    <w:rsid w:val="00C93AA1"/>
    <w:rsid w:val="00CA6FDA"/>
    <w:rsid w:val="00CB3B6F"/>
    <w:rsid w:val="00CC0C5F"/>
    <w:rsid w:val="00CC2F3D"/>
    <w:rsid w:val="00CC5FF3"/>
    <w:rsid w:val="00CD5AC6"/>
    <w:rsid w:val="00CE2ADF"/>
    <w:rsid w:val="00CE6A31"/>
    <w:rsid w:val="00CF1D7D"/>
    <w:rsid w:val="00CF45D3"/>
    <w:rsid w:val="00CF6949"/>
    <w:rsid w:val="00CF6B6C"/>
    <w:rsid w:val="00D00B9F"/>
    <w:rsid w:val="00D042BB"/>
    <w:rsid w:val="00D06CA0"/>
    <w:rsid w:val="00D1344B"/>
    <w:rsid w:val="00D17789"/>
    <w:rsid w:val="00D21565"/>
    <w:rsid w:val="00D2737E"/>
    <w:rsid w:val="00D274A9"/>
    <w:rsid w:val="00D32644"/>
    <w:rsid w:val="00D33619"/>
    <w:rsid w:val="00D448DC"/>
    <w:rsid w:val="00D52297"/>
    <w:rsid w:val="00D52AC7"/>
    <w:rsid w:val="00D54CA9"/>
    <w:rsid w:val="00D56AB4"/>
    <w:rsid w:val="00D628FD"/>
    <w:rsid w:val="00D6340F"/>
    <w:rsid w:val="00D72A80"/>
    <w:rsid w:val="00D72D16"/>
    <w:rsid w:val="00D8195B"/>
    <w:rsid w:val="00D8619F"/>
    <w:rsid w:val="00D86764"/>
    <w:rsid w:val="00DB0194"/>
    <w:rsid w:val="00DB0AC7"/>
    <w:rsid w:val="00DB5C0A"/>
    <w:rsid w:val="00DD13E2"/>
    <w:rsid w:val="00DF003C"/>
    <w:rsid w:val="00DF1D84"/>
    <w:rsid w:val="00DF4501"/>
    <w:rsid w:val="00DF6DF8"/>
    <w:rsid w:val="00DF78AE"/>
    <w:rsid w:val="00E11E2E"/>
    <w:rsid w:val="00E274D5"/>
    <w:rsid w:val="00E30A6E"/>
    <w:rsid w:val="00E371EC"/>
    <w:rsid w:val="00E46E26"/>
    <w:rsid w:val="00E6099D"/>
    <w:rsid w:val="00E6446E"/>
    <w:rsid w:val="00E70E35"/>
    <w:rsid w:val="00E72AE3"/>
    <w:rsid w:val="00E73B51"/>
    <w:rsid w:val="00E753C9"/>
    <w:rsid w:val="00E776C7"/>
    <w:rsid w:val="00E90602"/>
    <w:rsid w:val="00EA10DB"/>
    <w:rsid w:val="00EA1F89"/>
    <w:rsid w:val="00EA64CB"/>
    <w:rsid w:val="00EB117B"/>
    <w:rsid w:val="00EB40D6"/>
    <w:rsid w:val="00EB5F75"/>
    <w:rsid w:val="00EB6EF6"/>
    <w:rsid w:val="00EB79CD"/>
    <w:rsid w:val="00EE0F2E"/>
    <w:rsid w:val="00EE2A41"/>
    <w:rsid w:val="00EE4BE2"/>
    <w:rsid w:val="00EF09FB"/>
    <w:rsid w:val="00EF1594"/>
    <w:rsid w:val="00F02923"/>
    <w:rsid w:val="00F0351B"/>
    <w:rsid w:val="00F043B8"/>
    <w:rsid w:val="00F06472"/>
    <w:rsid w:val="00F22566"/>
    <w:rsid w:val="00F22963"/>
    <w:rsid w:val="00F403EA"/>
    <w:rsid w:val="00F41077"/>
    <w:rsid w:val="00F41CF9"/>
    <w:rsid w:val="00F42753"/>
    <w:rsid w:val="00F510DB"/>
    <w:rsid w:val="00F51E44"/>
    <w:rsid w:val="00F727B0"/>
    <w:rsid w:val="00F847C1"/>
    <w:rsid w:val="00F95796"/>
    <w:rsid w:val="00FA2545"/>
    <w:rsid w:val="00FA5745"/>
    <w:rsid w:val="00FB4AAD"/>
    <w:rsid w:val="00FB4E3D"/>
    <w:rsid w:val="00FB5F2A"/>
    <w:rsid w:val="00FC4F9B"/>
    <w:rsid w:val="00FC59F0"/>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4891295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7640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36139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16596377">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143C-331E-4F5E-BFCA-C0A087C2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4308</Words>
  <Characters>23694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2018-08-09T17:26:00Z</cp:lastPrinted>
  <dcterms:created xsi:type="dcterms:W3CDTF">2018-08-23T00:07:00Z</dcterms:created>
  <dcterms:modified xsi:type="dcterms:W3CDTF">2018-08-23T15:10:00Z</dcterms:modified>
</cp:coreProperties>
</file>