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322" w:rsidRPr="009A26A1" w:rsidRDefault="00CF1142" w:rsidP="00CF1142">
      <w:pPr>
        <w:spacing w:before="240" w:after="240" w:line="276" w:lineRule="auto"/>
        <w:jc w:val="right"/>
        <w:rPr>
          <w:rFonts w:ascii="Palatino Linotype" w:hAnsi="Palatino Linotype"/>
          <w:b/>
          <w:sz w:val="24"/>
          <w:szCs w:val="24"/>
        </w:rPr>
      </w:pPr>
      <w:r w:rsidRPr="009A26A1">
        <w:rPr>
          <w:rFonts w:ascii="Palatino Linotype" w:hAnsi="Palatino Linotype"/>
          <w:b/>
          <w:sz w:val="24"/>
          <w:szCs w:val="24"/>
        </w:rPr>
        <w:t>Metepec, México.</w:t>
      </w:r>
    </w:p>
    <w:p w:rsidR="00B72322" w:rsidRPr="009A26A1" w:rsidRDefault="006B6DB0" w:rsidP="00CF1142">
      <w:pPr>
        <w:spacing w:before="240" w:after="240" w:line="276" w:lineRule="auto"/>
        <w:jc w:val="right"/>
        <w:rPr>
          <w:rFonts w:ascii="Palatino Linotype" w:hAnsi="Palatino Linotype"/>
          <w:b/>
          <w:sz w:val="24"/>
          <w:szCs w:val="24"/>
        </w:rPr>
      </w:pPr>
      <w:r>
        <w:rPr>
          <w:rFonts w:ascii="Palatino Linotype" w:hAnsi="Palatino Linotype"/>
          <w:b/>
          <w:sz w:val="24"/>
          <w:szCs w:val="24"/>
        </w:rPr>
        <w:t>Agosto</w:t>
      </w:r>
      <w:r w:rsidR="0025161A" w:rsidRPr="009A26A1">
        <w:rPr>
          <w:rFonts w:ascii="Palatino Linotype" w:hAnsi="Palatino Linotype"/>
          <w:b/>
          <w:sz w:val="24"/>
          <w:szCs w:val="24"/>
        </w:rPr>
        <w:t xml:space="preserve"> </w:t>
      </w:r>
      <w:r>
        <w:rPr>
          <w:rFonts w:ascii="Palatino Linotype" w:hAnsi="Palatino Linotype"/>
          <w:b/>
          <w:sz w:val="24"/>
          <w:szCs w:val="24"/>
        </w:rPr>
        <w:t xml:space="preserve">06 </w:t>
      </w:r>
      <w:r w:rsidR="004C7C6B" w:rsidRPr="009A26A1">
        <w:rPr>
          <w:rFonts w:ascii="Palatino Linotype" w:hAnsi="Palatino Linotype"/>
          <w:b/>
          <w:sz w:val="24"/>
          <w:szCs w:val="24"/>
        </w:rPr>
        <w:t>de 201</w:t>
      </w:r>
      <w:r w:rsidR="00C73E61" w:rsidRPr="009A26A1">
        <w:rPr>
          <w:rFonts w:ascii="Palatino Linotype" w:hAnsi="Palatino Linotype"/>
          <w:b/>
          <w:sz w:val="24"/>
          <w:szCs w:val="24"/>
        </w:rPr>
        <w:t>8</w:t>
      </w:r>
    </w:p>
    <w:p w:rsidR="00B72322" w:rsidRPr="009A26A1" w:rsidRDefault="00B72322" w:rsidP="00B72322">
      <w:pPr>
        <w:spacing w:before="240" w:after="240" w:line="360" w:lineRule="auto"/>
        <w:jc w:val="both"/>
        <w:rPr>
          <w:rFonts w:ascii="Palatino Linotype" w:hAnsi="Palatino Linotype"/>
          <w:b/>
          <w:sz w:val="24"/>
          <w:szCs w:val="24"/>
        </w:rPr>
      </w:pPr>
      <w:r w:rsidRPr="009A26A1">
        <w:rPr>
          <w:rFonts w:ascii="Palatino Linotype" w:hAnsi="Palatino Linotype"/>
          <w:b/>
          <w:noProof/>
          <w:sz w:val="24"/>
          <w:szCs w:val="24"/>
          <w:lang w:eastAsia="es-MX"/>
        </w:rPr>
        <mc:AlternateContent>
          <mc:Choice Requires="wps">
            <w:drawing>
              <wp:anchor distT="0" distB="0" distL="114300" distR="114300" simplePos="0" relativeHeight="251657216" behindDoc="1" locked="0" layoutInCell="0" allowOverlap="1" wp14:anchorId="6D430A1A" wp14:editId="3FE78913">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226A1" w:rsidRDefault="000226A1"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D430A1A"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0226A1" w:rsidRDefault="000226A1"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Pr="009A26A1">
        <w:rPr>
          <w:rFonts w:ascii="Palatino Linotype" w:hAnsi="Palatino Linotype"/>
          <w:b/>
          <w:sz w:val="24"/>
          <w:szCs w:val="24"/>
        </w:rPr>
        <w:t xml:space="preserve">VOTO PARTICULAR </w:t>
      </w:r>
      <w:r w:rsidR="004C7C6B" w:rsidRPr="009A26A1">
        <w:rPr>
          <w:rFonts w:ascii="Palatino Linotype" w:hAnsi="Palatino Linotype"/>
          <w:b/>
          <w:sz w:val="24"/>
          <w:szCs w:val="24"/>
        </w:rPr>
        <w:t>QUE FORMULA</w:t>
      </w:r>
      <w:r w:rsidRPr="009A26A1">
        <w:rPr>
          <w:rFonts w:ascii="Palatino Linotype" w:hAnsi="Palatino Linotype"/>
          <w:b/>
          <w:sz w:val="24"/>
          <w:szCs w:val="24"/>
        </w:rPr>
        <w:t xml:space="preserve"> EL COMISIONADO JAVIER MARTÍNEZ CRUZ, EN RELACIÓN CON LA RESOLUCIÓN DICTADA POR EL PLENO DEL INSTITUTO DE TRANSPARENCIA, ACCESO A LA INFORMACIÓN PÚBLICA Y PROTECCIÓN DE DATOS PERSONALES DEL ESTADO DE MÉXICO Y MUNICIPIOS, EN LA </w:t>
      </w:r>
      <w:r w:rsidR="002E589A" w:rsidRPr="009A26A1">
        <w:rPr>
          <w:rFonts w:ascii="Palatino Linotype" w:hAnsi="Palatino Linotype"/>
          <w:b/>
          <w:sz w:val="24"/>
          <w:szCs w:val="24"/>
        </w:rPr>
        <w:t xml:space="preserve">VIGÉSIMA </w:t>
      </w:r>
      <w:r w:rsidR="006B6DB0">
        <w:rPr>
          <w:rFonts w:ascii="Palatino Linotype" w:hAnsi="Palatino Linotype"/>
          <w:b/>
          <w:sz w:val="24"/>
          <w:szCs w:val="24"/>
        </w:rPr>
        <w:t>SÉPTIMA</w:t>
      </w:r>
      <w:r w:rsidR="002E589A" w:rsidRPr="009A26A1">
        <w:rPr>
          <w:rFonts w:ascii="Palatino Linotype" w:hAnsi="Palatino Linotype"/>
          <w:b/>
          <w:sz w:val="24"/>
          <w:szCs w:val="24"/>
        </w:rPr>
        <w:t xml:space="preserve"> </w:t>
      </w:r>
      <w:r w:rsidRPr="009A26A1">
        <w:rPr>
          <w:rFonts w:ascii="Palatino Linotype" w:hAnsi="Palatino Linotype"/>
          <w:b/>
          <w:sz w:val="24"/>
          <w:szCs w:val="24"/>
        </w:rPr>
        <w:t xml:space="preserve">SESIÓN ORDINARIA DEL </w:t>
      </w:r>
      <w:r w:rsidR="00390E50">
        <w:rPr>
          <w:rFonts w:ascii="Palatino Linotype" w:hAnsi="Palatino Linotype"/>
          <w:b/>
          <w:sz w:val="24"/>
          <w:szCs w:val="24"/>
        </w:rPr>
        <w:t>UNO</w:t>
      </w:r>
      <w:r w:rsidR="00FC00D0" w:rsidRPr="009A26A1">
        <w:rPr>
          <w:rFonts w:ascii="Palatino Linotype" w:hAnsi="Palatino Linotype"/>
          <w:b/>
          <w:sz w:val="24"/>
          <w:szCs w:val="24"/>
        </w:rPr>
        <w:t xml:space="preserve"> </w:t>
      </w:r>
      <w:r w:rsidR="005604F4" w:rsidRPr="009A26A1">
        <w:rPr>
          <w:rFonts w:ascii="Palatino Linotype" w:hAnsi="Palatino Linotype"/>
          <w:b/>
          <w:sz w:val="24"/>
          <w:szCs w:val="24"/>
        </w:rPr>
        <w:t xml:space="preserve">DE </w:t>
      </w:r>
      <w:r w:rsidR="00390E50">
        <w:rPr>
          <w:rFonts w:ascii="Palatino Linotype" w:hAnsi="Palatino Linotype"/>
          <w:b/>
          <w:sz w:val="24"/>
          <w:szCs w:val="24"/>
        </w:rPr>
        <w:t xml:space="preserve">AGOSTO </w:t>
      </w:r>
      <w:r w:rsidRPr="009A26A1">
        <w:rPr>
          <w:rFonts w:ascii="Palatino Linotype" w:hAnsi="Palatino Linotype"/>
          <w:b/>
          <w:sz w:val="24"/>
          <w:szCs w:val="24"/>
        </w:rPr>
        <w:t xml:space="preserve">DE DOS MIL </w:t>
      </w:r>
      <w:r w:rsidR="0043077C" w:rsidRPr="009A26A1">
        <w:rPr>
          <w:rFonts w:ascii="Palatino Linotype" w:hAnsi="Palatino Linotype"/>
          <w:b/>
          <w:sz w:val="24"/>
          <w:szCs w:val="24"/>
        </w:rPr>
        <w:t>DIECI</w:t>
      </w:r>
      <w:r w:rsidR="0025161A" w:rsidRPr="009A26A1">
        <w:rPr>
          <w:rFonts w:ascii="Palatino Linotype" w:hAnsi="Palatino Linotype"/>
          <w:b/>
          <w:sz w:val="24"/>
          <w:szCs w:val="24"/>
        </w:rPr>
        <w:t>OCHO</w:t>
      </w:r>
      <w:r w:rsidR="0043077C" w:rsidRPr="009A26A1">
        <w:rPr>
          <w:rFonts w:ascii="Palatino Linotype" w:hAnsi="Palatino Linotype"/>
          <w:b/>
          <w:sz w:val="24"/>
          <w:szCs w:val="24"/>
        </w:rPr>
        <w:t>, EN EL</w:t>
      </w:r>
      <w:r w:rsidRPr="009A26A1">
        <w:rPr>
          <w:rFonts w:ascii="Palatino Linotype" w:hAnsi="Palatino Linotype"/>
          <w:b/>
          <w:sz w:val="24"/>
          <w:szCs w:val="24"/>
        </w:rPr>
        <w:t xml:space="preserve"> RECURSO DE REVISIÓN </w:t>
      </w:r>
      <w:r w:rsidR="003D235F" w:rsidRPr="009A26A1">
        <w:rPr>
          <w:rFonts w:ascii="Palatino Linotype" w:hAnsi="Palatino Linotype"/>
          <w:b/>
          <w:sz w:val="24"/>
          <w:szCs w:val="24"/>
        </w:rPr>
        <w:t>0</w:t>
      </w:r>
      <w:r w:rsidR="00390E50">
        <w:rPr>
          <w:rFonts w:ascii="Palatino Linotype" w:hAnsi="Palatino Linotype"/>
          <w:b/>
          <w:sz w:val="24"/>
          <w:szCs w:val="24"/>
        </w:rPr>
        <w:t>2053</w:t>
      </w:r>
      <w:r w:rsidR="005765BC" w:rsidRPr="009A26A1">
        <w:rPr>
          <w:rFonts w:ascii="Palatino Linotype" w:hAnsi="Palatino Linotype"/>
          <w:b/>
          <w:sz w:val="24"/>
          <w:szCs w:val="24"/>
        </w:rPr>
        <w:t>/INFOEM/IP/RR/201</w:t>
      </w:r>
      <w:r w:rsidR="00FA58BE" w:rsidRPr="009A26A1">
        <w:rPr>
          <w:rFonts w:ascii="Palatino Linotype" w:hAnsi="Palatino Linotype"/>
          <w:b/>
          <w:sz w:val="24"/>
          <w:szCs w:val="24"/>
        </w:rPr>
        <w:t>8</w:t>
      </w:r>
      <w:r w:rsidRPr="009A26A1">
        <w:rPr>
          <w:rFonts w:ascii="Palatino Linotype" w:hAnsi="Palatino Linotype"/>
          <w:b/>
          <w:sz w:val="24"/>
          <w:szCs w:val="24"/>
        </w:rPr>
        <w:t>.</w:t>
      </w:r>
      <w:r w:rsidRPr="009A26A1">
        <w:rPr>
          <w:rFonts w:ascii="Palatino Linotype" w:hAnsi="Palatino Linotype"/>
          <w:b/>
          <w:noProof/>
          <w:sz w:val="24"/>
          <w:szCs w:val="24"/>
          <w:lang w:eastAsia="es-MX"/>
        </w:rPr>
        <w:t xml:space="preserve"> </w:t>
      </w:r>
    </w:p>
    <w:p w:rsidR="00B72322" w:rsidRPr="009A26A1" w:rsidRDefault="00B72322" w:rsidP="00B72322">
      <w:pPr>
        <w:spacing w:before="240" w:after="240" w:line="360" w:lineRule="auto"/>
        <w:jc w:val="both"/>
        <w:rPr>
          <w:rFonts w:ascii="Palatino Linotype" w:hAnsi="Palatino Linotype"/>
          <w:sz w:val="24"/>
          <w:szCs w:val="24"/>
        </w:rPr>
      </w:pPr>
      <w:r w:rsidRPr="009A26A1">
        <w:rPr>
          <w:rFonts w:ascii="Palatino Linotype" w:hAnsi="Palatino Linotype"/>
          <w:sz w:val="24"/>
          <w:szCs w:val="24"/>
        </w:rPr>
        <w:t>El Pleno del Instituto de Transparencia, Acceso a la Información Pública y Protección de Datos Personales del Estado de México resolvió por unanimidad de voto</w:t>
      </w:r>
      <w:r w:rsidR="0043077C" w:rsidRPr="009A26A1">
        <w:rPr>
          <w:rFonts w:ascii="Palatino Linotype" w:hAnsi="Palatino Linotype"/>
          <w:sz w:val="24"/>
          <w:szCs w:val="24"/>
        </w:rPr>
        <w:t>s,  la resolución relativa al</w:t>
      </w:r>
      <w:r w:rsidRPr="009A26A1">
        <w:rPr>
          <w:rFonts w:ascii="Palatino Linotype" w:hAnsi="Palatino Linotype"/>
          <w:sz w:val="24"/>
          <w:szCs w:val="24"/>
        </w:rPr>
        <w:t xml:space="preserve"> recurso de </w:t>
      </w:r>
      <w:r w:rsidRPr="00F67396">
        <w:rPr>
          <w:rFonts w:ascii="Palatino Linotype" w:hAnsi="Palatino Linotype"/>
          <w:sz w:val="24"/>
          <w:szCs w:val="24"/>
        </w:rPr>
        <w:t xml:space="preserve">revisión </w:t>
      </w:r>
      <w:r w:rsidR="00542A15" w:rsidRPr="00F67396">
        <w:rPr>
          <w:rFonts w:ascii="Palatino Linotype" w:hAnsi="Palatino Linotype" w:cs="Arial"/>
          <w:b/>
          <w:bCs/>
          <w:sz w:val="24"/>
          <w:szCs w:val="24"/>
          <w:lang w:eastAsia="es-MX"/>
        </w:rPr>
        <w:t>0</w:t>
      </w:r>
      <w:r w:rsidR="005B1D14" w:rsidRPr="00F67396">
        <w:rPr>
          <w:rFonts w:ascii="Palatino Linotype" w:hAnsi="Palatino Linotype" w:cs="Arial"/>
          <w:b/>
          <w:bCs/>
          <w:sz w:val="24"/>
          <w:szCs w:val="24"/>
          <w:lang w:eastAsia="es-MX"/>
        </w:rPr>
        <w:t>20</w:t>
      </w:r>
      <w:r w:rsidR="00390E50" w:rsidRPr="00F67396">
        <w:rPr>
          <w:rFonts w:ascii="Palatino Linotype" w:hAnsi="Palatino Linotype" w:cs="Arial"/>
          <w:b/>
          <w:bCs/>
          <w:sz w:val="24"/>
          <w:szCs w:val="24"/>
          <w:lang w:eastAsia="es-MX"/>
        </w:rPr>
        <w:t>53</w:t>
      </w:r>
      <w:r w:rsidR="00146F5D" w:rsidRPr="00F67396">
        <w:rPr>
          <w:rFonts w:ascii="Palatino Linotype" w:hAnsi="Palatino Linotype" w:cs="Arial"/>
          <w:b/>
          <w:bCs/>
          <w:sz w:val="24"/>
          <w:szCs w:val="24"/>
          <w:lang w:eastAsia="es-MX"/>
        </w:rPr>
        <w:t>/INFOEM/IP/RR/201</w:t>
      </w:r>
      <w:r w:rsidR="00FA58BE" w:rsidRPr="00F67396">
        <w:rPr>
          <w:rFonts w:ascii="Palatino Linotype" w:hAnsi="Palatino Linotype" w:cs="Arial"/>
          <w:b/>
          <w:bCs/>
          <w:sz w:val="24"/>
          <w:szCs w:val="24"/>
          <w:lang w:eastAsia="es-MX"/>
        </w:rPr>
        <w:t>8</w:t>
      </w:r>
      <w:r w:rsidR="00146F5D" w:rsidRPr="009A26A1">
        <w:rPr>
          <w:rFonts w:ascii="Palatino Linotype" w:hAnsi="Palatino Linotype" w:cs="Arial"/>
          <w:bCs/>
          <w:sz w:val="24"/>
          <w:szCs w:val="24"/>
          <w:lang w:eastAsia="es-MX"/>
        </w:rPr>
        <w:t xml:space="preserve"> </w:t>
      </w:r>
      <w:r w:rsidR="00AC664A" w:rsidRPr="009A26A1">
        <w:rPr>
          <w:rFonts w:ascii="Palatino Linotype" w:hAnsi="Palatino Linotype"/>
          <w:sz w:val="24"/>
          <w:szCs w:val="24"/>
        </w:rPr>
        <w:t xml:space="preserve">presentada por </w:t>
      </w:r>
      <w:r w:rsidR="00542A15" w:rsidRPr="009A26A1">
        <w:rPr>
          <w:rFonts w:ascii="Palatino Linotype" w:hAnsi="Palatino Linotype"/>
          <w:sz w:val="24"/>
          <w:szCs w:val="24"/>
        </w:rPr>
        <w:t>e</w:t>
      </w:r>
      <w:r w:rsidR="00146F5D" w:rsidRPr="009A26A1">
        <w:rPr>
          <w:rFonts w:ascii="Palatino Linotype" w:hAnsi="Palatino Linotype"/>
          <w:sz w:val="24"/>
          <w:szCs w:val="24"/>
        </w:rPr>
        <w:t>l Comisionad</w:t>
      </w:r>
      <w:r w:rsidR="00542A15" w:rsidRPr="009A26A1">
        <w:rPr>
          <w:rFonts w:ascii="Palatino Linotype" w:hAnsi="Palatino Linotype"/>
          <w:sz w:val="24"/>
          <w:szCs w:val="24"/>
        </w:rPr>
        <w:t>o</w:t>
      </w:r>
      <w:r w:rsidR="00146F5D" w:rsidRPr="009A26A1">
        <w:rPr>
          <w:rFonts w:ascii="Palatino Linotype" w:hAnsi="Palatino Linotype"/>
          <w:sz w:val="24"/>
          <w:szCs w:val="24"/>
        </w:rPr>
        <w:t xml:space="preserve"> </w:t>
      </w:r>
      <w:r w:rsidR="00542A15" w:rsidRPr="009A26A1">
        <w:rPr>
          <w:rFonts w:ascii="Palatino Linotype" w:hAnsi="Palatino Linotype"/>
          <w:sz w:val="24"/>
          <w:szCs w:val="24"/>
        </w:rPr>
        <w:t>José Guadalupe Luna Hernández</w:t>
      </w:r>
      <w:r w:rsidRPr="009A26A1">
        <w:rPr>
          <w:rFonts w:ascii="Palatino Linotype" w:hAnsi="Palatino Linotype"/>
          <w:sz w:val="24"/>
          <w:szCs w:val="24"/>
        </w:rPr>
        <w:t xml:space="preserve">, respecto de la cual, </w:t>
      </w:r>
      <w:r w:rsidR="0043077C" w:rsidRPr="009A26A1">
        <w:rPr>
          <w:rFonts w:ascii="Palatino Linotype" w:hAnsi="Palatino Linotype"/>
          <w:sz w:val="24"/>
          <w:szCs w:val="24"/>
        </w:rPr>
        <w:t xml:space="preserve">el </w:t>
      </w:r>
      <w:r w:rsidRPr="009A26A1">
        <w:rPr>
          <w:rFonts w:ascii="Palatino Linotype" w:hAnsi="Palatino Linotype"/>
          <w:sz w:val="24"/>
          <w:szCs w:val="24"/>
        </w:rPr>
        <w:t>suscrito</w:t>
      </w:r>
      <w:r w:rsidR="0043077C" w:rsidRPr="009A26A1">
        <w:rPr>
          <w:rFonts w:ascii="Palatino Linotype" w:hAnsi="Palatino Linotype"/>
          <w:sz w:val="24"/>
          <w:szCs w:val="24"/>
        </w:rPr>
        <w:t>, formula</w:t>
      </w:r>
      <w:r w:rsidRPr="009A26A1">
        <w:rPr>
          <w:rFonts w:ascii="Palatino Linotype" w:hAnsi="Palatino Linotype"/>
          <w:sz w:val="24"/>
          <w:szCs w:val="24"/>
        </w:rPr>
        <w:t xml:space="preserve"> </w:t>
      </w:r>
      <w:r w:rsidRPr="009A26A1">
        <w:rPr>
          <w:rFonts w:ascii="Palatino Linotype" w:hAnsi="Palatino Linotype"/>
          <w:b/>
          <w:sz w:val="24"/>
          <w:szCs w:val="24"/>
        </w:rPr>
        <w:t>VOTO PARTICULAR</w:t>
      </w:r>
      <w:r w:rsidRPr="009A26A1">
        <w:rPr>
          <w:rFonts w:ascii="Palatino Linotype" w:hAnsi="Palatino Linotype"/>
          <w:sz w:val="24"/>
          <w:szCs w:val="24"/>
        </w:rPr>
        <w:t xml:space="preserve">, con fundamento en </w:t>
      </w:r>
      <w:r w:rsidR="003D235F" w:rsidRPr="009A26A1">
        <w:rPr>
          <w:rFonts w:ascii="Palatino Linotype" w:hAnsi="Palatino Linotype"/>
          <w:sz w:val="24"/>
          <w:szCs w:val="24"/>
        </w:rPr>
        <w:t>el artículo</w:t>
      </w:r>
      <w:r w:rsidRPr="009A26A1">
        <w:rPr>
          <w:rFonts w:ascii="Palatino Linotype" w:hAnsi="Palatino Linotype"/>
          <w:sz w:val="24"/>
          <w:szCs w:val="24"/>
        </w:rPr>
        <w:t xml:space="preserve"> </w:t>
      </w:r>
      <w:r w:rsidR="003D235F" w:rsidRPr="009A26A1">
        <w:rPr>
          <w:rFonts w:ascii="Palatino Linotype" w:hAnsi="Palatino Linotype"/>
          <w:sz w:val="24"/>
          <w:szCs w:val="24"/>
        </w:rPr>
        <w:t>14 fracción</w:t>
      </w:r>
      <w:r w:rsidRPr="009A26A1">
        <w:rPr>
          <w:rFonts w:ascii="Palatino Linotype" w:hAnsi="Palatino Linotype"/>
          <w:sz w:val="24"/>
          <w:szCs w:val="24"/>
        </w:rPr>
        <w:t xml:space="preserve"> </w:t>
      </w:r>
      <w:r w:rsidR="003D235F" w:rsidRPr="009A26A1">
        <w:rPr>
          <w:rFonts w:ascii="Palatino Linotype" w:hAnsi="Palatino Linotype"/>
          <w:sz w:val="24"/>
          <w:szCs w:val="24"/>
        </w:rPr>
        <w:t>XI</w:t>
      </w:r>
      <w:r w:rsidRPr="009A26A1">
        <w:rPr>
          <w:rFonts w:ascii="Palatino Linotype" w:hAnsi="Palatino Linotype"/>
          <w:sz w:val="24"/>
          <w:szCs w:val="24"/>
        </w:rPr>
        <w:t xml:space="preserve"> del Reglamento del Instituto de Transparencia, Acceso a la Información Pública y Protección de Personales Datos del Estado de México.</w:t>
      </w:r>
    </w:p>
    <w:p w:rsidR="00FC00D0" w:rsidRDefault="00B72322" w:rsidP="00D923D5">
      <w:pPr>
        <w:spacing w:before="240" w:after="240" w:line="360" w:lineRule="auto"/>
        <w:jc w:val="both"/>
        <w:rPr>
          <w:rFonts w:ascii="Palatino Linotype" w:hAnsi="Palatino Linotype"/>
          <w:sz w:val="24"/>
          <w:szCs w:val="24"/>
        </w:rPr>
      </w:pPr>
      <w:r w:rsidRPr="009A5981">
        <w:rPr>
          <w:rFonts w:ascii="Palatino Linotype" w:hAnsi="Palatino Linotype"/>
          <w:sz w:val="24"/>
          <w:szCs w:val="24"/>
        </w:rPr>
        <w:t>De manera previa a la</w:t>
      </w:r>
      <w:r w:rsidR="00784989" w:rsidRPr="009A5981">
        <w:rPr>
          <w:rFonts w:ascii="Palatino Linotype" w:hAnsi="Palatino Linotype"/>
          <w:sz w:val="24"/>
          <w:szCs w:val="24"/>
        </w:rPr>
        <w:t xml:space="preserve"> emisión del presente voto, se debe</w:t>
      </w:r>
      <w:r w:rsidRPr="009A5981">
        <w:rPr>
          <w:rFonts w:ascii="Palatino Linotype" w:hAnsi="Palatino Linotype"/>
          <w:sz w:val="24"/>
          <w:szCs w:val="24"/>
        </w:rPr>
        <w:t xml:space="preserve"> precisar</w:t>
      </w:r>
      <w:r w:rsidR="003565EA" w:rsidRPr="009A5981">
        <w:rPr>
          <w:rFonts w:ascii="Palatino Linotype" w:hAnsi="Palatino Linotype"/>
          <w:sz w:val="24"/>
          <w:szCs w:val="24"/>
        </w:rPr>
        <w:t xml:space="preserve"> la materia en que radicó </w:t>
      </w:r>
      <w:r w:rsidR="00CD36A0" w:rsidRPr="009A5981">
        <w:rPr>
          <w:rFonts w:ascii="Palatino Linotype" w:hAnsi="Palatino Linotype"/>
          <w:sz w:val="24"/>
          <w:szCs w:val="24"/>
        </w:rPr>
        <w:t xml:space="preserve">el </w:t>
      </w:r>
      <w:r w:rsidR="009B5C84" w:rsidRPr="009A5981">
        <w:rPr>
          <w:rFonts w:ascii="Palatino Linotype" w:hAnsi="Palatino Linotype"/>
          <w:sz w:val="24"/>
          <w:szCs w:val="24"/>
        </w:rPr>
        <w:t>recurso</w:t>
      </w:r>
      <w:r w:rsidR="00784989" w:rsidRPr="009A5981">
        <w:rPr>
          <w:rFonts w:ascii="Palatino Linotype" w:hAnsi="Palatino Linotype"/>
          <w:sz w:val="24"/>
          <w:szCs w:val="24"/>
        </w:rPr>
        <w:t xml:space="preserve"> de revisión, </w:t>
      </w:r>
      <w:r w:rsidR="00CD36A0" w:rsidRPr="009A5981">
        <w:rPr>
          <w:rFonts w:ascii="Palatino Linotype" w:hAnsi="Palatino Linotype"/>
          <w:sz w:val="24"/>
          <w:szCs w:val="24"/>
        </w:rPr>
        <w:t xml:space="preserve">el cual consiste en la entrega de </w:t>
      </w:r>
      <w:r w:rsidR="003E566C" w:rsidRPr="009A5981">
        <w:rPr>
          <w:rFonts w:ascii="Palatino Linotype" w:hAnsi="Palatino Linotype"/>
          <w:sz w:val="24"/>
          <w:szCs w:val="24"/>
        </w:rPr>
        <w:t>documentación</w:t>
      </w:r>
      <w:r w:rsidR="00CD36A0" w:rsidRPr="009A5981">
        <w:rPr>
          <w:rFonts w:ascii="Palatino Linotype" w:hAnsi="Palatino Linotype"/>
          <w:sz w:val="24"/>
          <w:szCs w:val="24"/>
        </w:rPr>
        <w:t xml:space="preserve"> relacionada</w:t>
      </w:r>
      <w:r w:rsidR="006D5D9E" w:rsidRPr="009A5981">
        <w:rPr>
          <w:rFonts w:ascii="Palatino Linotype" w:hAnsi="Palatino Linotype"/>
          <w:sz w:val="24"/>
          <w:szCs w:val="24"/>
        </w:rPr>
        <w:t xml:space="preserve"> con </w:t>
      </w:r>
      <w:r w:rsidR="00417D28">
        <w:rPr>
          <w:rFonts w:ascii="Palatino Linotype" w:hAnsi="Palatino Linotype"/>
          <w:sz w:val="24"/>
          <w:szCs w:val="24"/>
        </w:rPr>
        <w:t>el nombre de los integrantes del órgano electoral independiente electo en el LXII Consejo Estatal del Sindicato de Maestros al Servicio del Estado de México.</w:t>
      </w:r>
    </w:p>
    <w:p w:rsidR="00A53E0C" w:rsidRDefault="00A53E0C" w:rsidP="00D923D5">
      <w:pPr>
        <w:spacing w:before="240" w:after="240" w:line="360" w:lineRule="auto"/>
        <w:jc w:val="both"/>
        <w:rPr>
          <w:rFonts w:ascii="Palatino Linotype" w:hAnsi="Palatino Linotype"/>
          <w:sz w:val="24"/>
          <w:szCs w:val="24"/>
        </w:rPr>
      </w:pPr>
    </w:p>
    <w:p w:rsidR="00A53E0C" w:rsidRPr="00A53E0C" w:rsidRDefault="00A53E0C" w:rsidP="00D923D5">
      <w:pPr>
        <w:spacing w:before="240" w:after="240" w:line="360" w:lineRule="auto"/>
        <w:jc w:val="both"/>
        <w:rPr>
          <w:rFonts w:ascii="Palatino Linotype" w:hAnsi="Palatino Linotype"/>
          <w:sz w:val="14"/>
          <w:szCs w:val="24"/>
        </w:rPr>
      </w:pPr>
    </w:p>
    <w:p w:rsidR="00417D28" w:rsidRDefault="00417D28" w:rsidP="00D923D5">
      <w:pPr>
        <w:spacing w:before="240" w:after="240" w:line="360" w:lineRule="auto"/>
        <w:jc w:val="both"/>
        <w:rPr>
          <w:rFonts w:ascii="Palatino Linotype" w:hAnsi="Palatino Linotype"/>
          <w:sz w:val="24"/>
          <w:szCs w:val="24"/>
        </w:rPr>
      </w:pPr>
      <w:r>
        <w:rPr>
          <w:rFonts w:ascii="Palatino Linotype" w:hAnsi="Palatino Linotype"/>
          <w:sz w:val="24"/>
          <w:szCs w:val="24"/>
        </w:rPr>
        <w:t xml:space="preserve">En respuesta el Sujeto Obligado refirió que no se había llevado a cabo el citado Consejo Estatal del Sindicato de Maestros al Servicio del Estado de México, no obstante se clasificó como confidencial el nombre de los integrantes del referido Órgano Electoral del Consejo </w:t>
      </w:r>
      <w:r w:rsidR="00C6536D">
        <w:rPr>
          <w:rFonts w:ascii="Palatino Linotype" w:hAnsi="Palatino Linotype"/>
          <w:sz w:val="24"/>
          <w:szCs w:val="24"/>
        </w:rPr>
        <w:t>XLII, adjuntando el Acta de la Cuarta Sesión Extra-ordinaria de su Comité de Transparencia. Ante tal respuesta, el recurrente interpuso el recurso de revisión en donde medularmente expresó inconformidad por la clasificación de la información como confidencial que su parecer carecía de fundamentación y motivación.</w:t>
      </w:r>
    </w:p>
    <w:p w:rsidR="0016230B" w:rsidRPr="009A5981" w:rsidRDefault="0016230B" w:rsidP="00D923D5">
      <w:pPr>
        <w:spacing w:before="240" w:after="240" w:line="360" w:lineRule="auto"/>
        <w:jc w:val="both"/>
        <w:rPr>
          <w:rFonts w:ascii="Palatino Linotype" w:hAnsi="Palatino Linotype"/>
          <w:sz w:val="24"/>
          <w:szCs w:val="24"/>
        </w:rPr>
      </w:pPr>
      <w:r>
        <w:rPr>
          <w:rFonts w:ascii="Palatino Linotype" w:eastAsia="MS Mincho" w:hAnsi="Palatino Linotype" w:cstheme="majorBidi"/>
          <w:sz w:val="24"/>
          <w:szCs w:val="24"/>
          <w:lang w:val="es-ES_tradnl" w:eastAsia="es-ES"/>
        </w:rPr>
        <w:t xml:space="preserve">En consecuencia, la Ponencia </w:t>
      </w:r>
      <w:proofErr w:type="spellStart"/>
      <w:r>
        <w:rPr>
          <w:rFonts w:ascii="Palatino Linotype" w:eastAsia="MS Mincho" w:hAnsi="Palatino Linotype" w:cstheme="majorBidi"/>
          <w:sz w:val="24"/>
          <w:szCs w:val="24"/>
          <w:lang w:val="es-ES_tradnl" w:eastAsia="es-ES"/>
        </w:rPr>
        <w:t>resolutora</w:t>
      </w:r>
      <w:proofErr w:type="spellEnd"/>
      <w:r>
        <w:rPr>
          <w:rFonts w:ascii="Palatino Linotype" w:eastAsia="MS Mincho" w:hAnsi="Palatino Linotype" w:cstheme="majorBidi"/>
          <w:sz w:val="24"/>
          <w:szCs w:val="24"/>
          <w:lang w:val="es-ES_tradnl" w:eastAsia="es-ES"/>
        </w:rPr>
        <w:t xml:space="preserve"> determinó</w:t>
      </w:r>
      <w:r w:rsidR="00FB1916">
        <w:rPr>
          <w:rFonts w:ascii="Palatino Linotype" w:eastAsia="MS Mincho" w:hAnsi="Palatino Linotype" w:cstheme="majorBidi"/>
          <w:sz w:val="24"/>
          <w:szCs w:val="24"/>
          <w:lang w:val="es-ES_tradnl" w:eastAsia="es-ES"/>
        </w:rPr>
        <w:t xml:space="preserve"> que los nombres solicitados al ser de integrantes del </w:t>
      </w:r>
      <w:r w:rsidR="00FB1916">
        <w:rPr>
          <w:rFonts w:ascii="Palatino Linotype" w:hAnsi="Palatino Linotype"/>
          <w:sz w:val="24"/>
          <w:szCs w:val="24"/>
        </w:rPr>
        <w:t xml:space="preserve">Órgano Electoral del sindicato, son de conocimiento público pues los mismos, realizan actos de autoridad dentro de la agrupación de maestros servidores públicos, por ende </w:t>
      </w:r>
      <w:r w:rsidR="00F000F7">
        <w:rPr>
          <w:rFonts w:ascii="Palatino Linotype" w:hAnsi="Palatino Linotype"/>
          <w:sz w:val="24"/>
          <w:szCs w:val="24"/>
        </w:rPr>
        <w:t xml:space="preserve">se </w:t>
      </w:r>
      <w:r w:rsidR="00143106">
        <w:rPr>
          <w:rFonts w:ascii="Palatino Linotype" w:hAnsi="Palatino Linotype"/>
          <w:sz w:val="24"/>
          <w:szCs w:val="24"/>
        </w:rPr>
        <w:t>determinó</w:t>
      </w:r>
      <w:r w:rsidR="00F000F7">
        <w:rPr>
          <w:rFonts w:ascii="Palatino Linotype" w:hAnsi="Palatino Linotype"/>
          <w:sz w:val="24"/>
          <w:szCs w:val="24"/>
        </w:rPr>
        <w:t xml:space="preserve"> ordenar el documento en donde se</w:t>
      </w:r>
      <w:r w:rsidR="00247112">
        <w:rPr>
          <w:rFonts w:ascii="Palatino Linotype" w:hAnsi="Palatino Linotype"/>
          <w:sz w:val="24"/>
          <w:szCs w:val="24"/>
        </w:rPr>
        <w:t xml:space="preserve"> puedan advertir dichos nombres y en el resolutivo quinto se determinó que tanto el recurrente como el Sujeto Obligado podrían recurrir la resolución vía Juicio de Amparo, en caso de considerarla desfavorable.</w:t>
      </w:r>
    </w:p>
    <w:p w:rsidR="009A5981" w:rsidRDefault="00F73593" w:rsidP="002E5EF4">
      <w:pPr>
        <w:spacing w:before="240" w:after="0" w:line="360" w:lineRule="auto"/>
        <w:jc w:val="both"/>
        <w:rPr>
          <w:rFonts w:ascii="Palatino Linotype" w:hAnsi="Palatino Linotype"/>
          <w:sz w:val="24"/>
          <w:szCs w:val="24"/>
        </w:rPr>
      </w:pPr>
      <w:r w:rsidRPr="00F73593">
        <w:rPr>
          <w:rFonts w:ascii="Palatino Linotype" w:hAnsi="Palatino Linotype" w:cs="Arial"/>
          <w:sz w:val="24"/>
          <w:szCs w:val="24"/>
        </w:rPr>
        <w:t xml:space="preserve">Ahora bien, es respecto de la determinación </w:t>
      </w:r>
      <w:r w:rsidR="00143106" w:rsidRPr="00F73593">
        <w:rPr>
          <w:rFonts w:ascii="Palatino Linotype" w:hAnsi="Palatino Linotype" w:cs="Arial"/>
          <w:sz w:val="24"/>
          <w:szCs w:val="24"/>
        </w:rPr>
        <w:t xml:space="preserve">que hace la ponencia que </w:t>
      </w:r>
      <w:r w:rsidRPr="00F73593">
        <w:rPr>
          <w:rFonts w:ascii="Palatino Linotype" w:hAnsi="Palatino Linotype" w:cs="Arial"/>
          <w:sz w:val="24"/>
          <w:szCs w:val="24"/>
        </w:rPr>
        <w:t>resuelve</w:t>
      </w:r>
      <w:r w:rsidR="00143106" w:rsidRPr="00F73593">
        <w:rPr>
          <w:rFonts w:ascii="Palatino Linotype" w:hAnsi="Palatino Linotype" w:cs="Arial"/>
          <w:sz w:val="24"/>
          <w:szCs w:val="24"/>
        </w:rPr>
        <w:t xml:space="preserve"> </w:t>
      </w:r>
      <w:r w:rsidRPr="00F73593">
        <w:rPr>
          <w:rFonts w:ascii="Palatino Linotype" w:hAnsi="Palatino Linotype" w:cs="Arial"/>
          <w:sz w:val="24"/>
          <w:szCs w:val="24"/>
        </w:rPr>
        <w:t>sobre la posibilidad de</w:t>
      </w:r>
      <w:r>
        <w:rPr>
          <w:rFonts w:ascii="Palatino Linotype" w:hAnsi="Palatino Linotype" w:cs="Arial"/>
          <w:sz w:val="24"/>
          <w:szCs w:val="24"/>
        </w:rPr>
        <w:t xml:space="preserve"> que el </w:t>
      </w:r>
      <w:r>
        <w:rPr>
          <w:rFonts w:ascii="Palatino Linotype" w:hAnsi="Palatino Linotype"/>
          <w:sz w:val="24"/>
          <w:szCs w:val="24"/>
        </w:rPr>
        <w:t xml:space="preserve">Sindicato de Maestros al Servicio del Estado de México pueda recurrir la resolución vía Amparo, sobre la que versa el presente voto, </w:t>
      </w:r>
      <w:r w:rsidR="00BA57EF">
        <w:rPr>
          <w:rFonts w:ascii="Palatino Linotype" w:hAnsi="Palatino Linotype"/>
          <w:sz w:val="24"/>
          <w:szCs w:val="24"/>
        </w:rPr>
        <w:t>ya que no comparto la determinación de que los sindicatos en materia de acceso a la información tengan la posibilidad de recurrir las resoluciones del Pleno de éste Instituto.</w:t>
      </w:r>
    </w:p>
    <w:p w:rsidR="00682FD5" w:rsidRDefault="00682FD5" w:rsidP="002E5EF4">
      <w:pPr>
        <w:spacing w:before="240" w:after="0" w:line="360" w:lineRule="auto"/>
        <w:jc w:val="both"/>
        <w:rPr>
          <w:rFonts w:ascii="Palatino Linotype" w:hAnsi="Palatino Linotype"/>
          <w:sz w:val="24"/>
          <w:szCs w:val="24"/>
        </w:rPr>
      </w:pPr>
    </w:p>
    <w:p w:rsidR="00682FD5" w:rsidRPr="00682FD5" w:rsidRDefault="00682FD5" w:rsidP="002E5EF4">
      <w:pPr>
        <w:spacing w:before="240" w:after="0" w:line="360" w:lineRule="auto"/>
        <w:jc w:val="both"/>
        <w:rPr>
          <w:rFonts w:ascii="Palatino Linotype" w:hAnsi="Palatino Linotype"/>
          <w:sz w:val="14"/>
          <w:szCs w:val="14"/>
        </w:rPr>
      </w:pPr>
    </w:p>
    <w:p w:rsidR="00132C79" w:rsidRDefault="00132C79" w:rsidP="002E5EF4">
      <w:pPr>
        <w:spacing w:before="240" w:after="0" w:line="360" w:lineRule="auto"/>
        <w:jc w:val="both"/>
        <w:rPr>
          <w:rFonts w:ascii="Palatino Linotype" w:hAnsi="Palatino Linotype"/>
          <w:sz w:val="24"/>
          <w:szCs w:val="24"/>
        </w:rPr>
      </w:pPr>
      <w:r>
        <w:rPr>
          <w:rFonts w:ascii="Palatino Linotype" w:hAnsi="Palatino Linotype"/>
          <w:sz w:val="24"/>
          <w:szCs w:val="24"/>
        </w:rPr>
        <w:t xml:space="preserve">Lo anterior es así, debido a que la Ley de </w:t>
      </w:r>
      <w:r w:rsidR="00682FD5">
        <w:rPr>
          <w:rFonts w:ascii="Palatino Linotype" w:hAnsi="Palatino Linotype"/>
          <w:sz w:val="24"/>
          <w:szCs w:val="24"/>
        </w:rPr>
        <w:t>Transparencia y Acceso a la Información Pública del Estado de México y Municipios, menciona en su exposición de motivos que al otorgarle autonomía al Instituto Garante sus resoluciones deben ser vinculatorias, definitivas en inatacables para los Sujetos Obligados, dado que el Pleno conformado por los Comisionados es la máxima autoridad en la materia y únicamente los particulares en el ejercicio del derecho humano de acceso a la información podrían considerar desfavorable la resolución emitida pudiendo impugnar el acto de la autoridad ante un Tribunal del Poder Judicial.</w:t>
      </w:r>
    </w:p>
    <w:p w:rsidR="0088756B" w:rsidRDefault="00955DC8" w:rsidP="002E5EF4">
      <w:pPr>
        <w:spacing w:before="240" w:after="0" w:line="360" w:lineRule="auto"/>
        <w:jc w:val="both"/>
        <w:rPr>
          <w:rFonts w:ascii="Palatino Linotype" w:hAnsi="Palatino Linotype"/>
          <w:sz w:val="24"/>
          <w:szCs w:val="24"/>
        </w:rPr>
      </w:pPr>
      <w:r>
        <w:rPr>
          <w:rFonts w:ascii="Palatino Linotype" w:hAnsi="Palatino Linotype"/>
          <w:sz w:val="24"/>
          <w:szCs w:val="24"/>
        </w:rPr>
        <w:t>En ese sentido</w:t>
      </w:r>
      <w:r w:rsidR="0088756B">
        <w:rPr>
          <w:rFonts w:ascii="Palatino Linotype" w:hAnsi="Palatino Linotype"/>
          <w:sz w:val="24"/>
          <w:szCs w:val="24"/>
        </w:rPr>
        <w:t xml:space="preserve">, </w:t>
      </w:r>
      <w:r>
        <w:rPr>
          <w:rFonts w:ascii="Palatino Linotype" w:hAnsi="Palatino Linotype"/>
          <w:sz w:val="24"/>
          <w:szCs w:val="24"/>
        </w:rPr>
        <w:t>en los artículos 119 y 194 de la Ley de la Materia, el legislador estableció que como características de las resoluciones emitidas por el Instituto deberían ser vinculatorias, definitivas e inatacables para los sujetos obligados, como se observa a continuación:</w:t>
      </w:r>
    </w:p>
    <w:p w:rsidR="00955DC8" w:rsidRPr="00F67396" w:rsidRDefault="00955DC8" w:rsidP="00955DC8">
      <w:pPr>
        <w:spacing w:after="0" w:line="276" w:lineRule="auto"/>
        <w:ind w:left="851" w:right="1134"/>
        <w:jc w:val="both"/>
        <w:rPr>
          <w:rFonts w:ascii="Palatino Linotype" w:hAnsi="Palatino Linotype" w:cs="Arial"/>
          <w:i/>
          <w:sz w:val="24"/>
          <w:szCs w:val="24"/>
        </w:rPr>
      </w:pPr>
      <w:r w:rsidRPr="00F67396">
        <w:rPr>
          <w:rFonts w:ascii="Palatino Linotype" w:hAnsi="Palatino Linotype" w:cs="Arial"/>
          <w:b/>
          <w:i/>
          <w:sz w:val="24"/>
          <w:szCs w:val="24"/>
        </w:rPr>
        <w:t>“Artículo 119.</w:t>
      </w:r>
      <w:r w:rsidRPr="00F67396">
        <w:rPr>
          <w:rFonts w:ascii="Palatino Linotype" w:hAnsi="Palatino Linotype" w:cs="Arial"/>
          <w:i/>
          <w:sz w:val="24"/>
          <w:szCs w:val="24"/>
        </w:rPr>
        <w:t xml:space="preserve"> El Instituto, en el ámbito de su competencia, debe notificar la resolución al denunciante y al sujeto obligado, dentro de los tres días hábiles siguientes a su emisión. </w:t>
      </w:r>
    </w:p>
    <w:p w:rsidR="00955DC8" w:rsidRPr="00F67396" w:rsidRDefault="00955DC8" w:rsidP="00955DC8">
      <w:pPr>
        <w:spacing w:after="0" w:line="276" w:lineRule="auto"/>
        <w:ind w:left="851" w:right="1134"/>
        <w:jc w:val="both"/>
        <w:rPr>
          <w:rFonts w:ascii="Palatino Linotype" w:hAnsi="Palatino Linotype" w:cs="Arial"/>
          <w:b/>
          <w:i/>
          <w:sz w:val="24"/>
          <w:szCs w:val="24"/>
        </w:rPr>
      </w:pPr>
      <w:r w:rsidRPr="00F67396">
        <w:rPr>
          <w:rFonts w:ascii="Palatino Linotype" w:hAnsi="Palatino Linotype" w:cs="Arial"/>
          <w:b/>
          <w:i/>
          <w:sz w:val="24"/>
          <w:szCs w:val="24"/>
        </w:rPr>
        <w:t xml:space="preserve">Las resoluciones que emita el Instituto, a que se refiere este capítulo, son definitivas e inatacables para los sujetos obligados. El particular podrá impugnar la resolución por la vía del juicio de amparo que corresponda, en los términos de la legislación aplicable. </w:t>
      </w:r>
    </w:p>
    <w:p w:rsidR="00955DC8" w:rsidRPr="00F67396" w:rsidRDefault="00955DC8" w:rsidP="00955DC8">
      <w:pPr>
        <w:spacing w:after="0" w:line="276" w:lineRule="auto"/>
        <w:ind w:left="851" w:right="1134"/>
        <w:jc w:val="both"/>
        <w:rPr>
          <w:rFonts w:ascii="Palatino Linotype" w:hAnsi="Palatino Linotype" w:cs="Arial"/>
          <w:i/>
          <w:sz w:val="24"/>
          <w:szCs w:val="24"/>
        </w:rPr>
      </w:pPr>
      <w:r w:rsidRPr="00F67396">
        <w:rPr>
          <w:rFonts w:ascii="Palatino Linotype" w:hAnsi="Palatino Linotype" w:cs="Arial"/>
          <w:i/>
          <w:sz w:val="24"/>
          <w:szCs w:val="24"/>
        </w:rPr>
        <w:t>El sujeto obligado deberá cumplir con la resolución en el plazo de quince días hábiles, a partir del día siguiente al en que se le notifique la misma.</w:t>
      </w:r>
    </w:p>
    <w:p w:rsidR="00955DC8" w:rsidRPr="00F67396" w:rsidRDefault="00955DC8" w:rsidP="00955DC8">
      <w:pPr>
        <w:spacing w:after="0" w:line="276" w:lineRule="auto"/>
        <w:ind w:left="851" w:right="1134"/>
        <w:jc w:val="both"/>
        <w:rPr>
          <w:rFonts w:ascii="Palatino Linotype" w:hAnsi="Palatino Linotype" w:cs="Arial"/>
          <w:i/>
          <w:sz w:val="24"/>
          <w:szCs w:val="24"/>
        </w:rPr>
      </w:pPr>
      <w:r w:rsidRPr="00F67396">
        <w:rPr>
          <w:rFonts w:ascii="Palatino Linotype" w:hAnsi="Palatino Linotype" w:cs="Arial"/>
          <w:i/>
          <w:sz w:val="24"/>
          <w:szCs w:val="24"/>
        </w:rPr>
        <w:t>…</w:t>
      </w:r>
    </w:p>
    <w:p w:rsidR="00F67396" w:rsidRDefault="00955DC8" w:rsidP="00955DC8">
      <w:pPr>
        <w:spacing w:after="0" w:line="276" w:lineRule="auto"/>
        <w:ind w:left="851" w:right="1134"/>
        <w:jc w:val="both"/>
        <w:rPr>
          <w:rFonts w:ascii="Palatino Linotype" w:hAnsi="Palatino Linotype" w:cs="Arial"/>
          <w:b/>
          <w:i/>
          <w:sz w:val="24"/>
          <w:szCs w:val="24"/>
        </w:rPr>
      </w:pPr>
      <w:r w:rsidRPr="00F67396">
        <w:rPr>
          <w:rFonts w:ascii="Palatino Linotype" w:hAnsi="Palatino Linotype" w:cs="Arial"/>
          <w:b/>
          <w:i/>
          <w:sz w:val="24"/>
          <w:szCs w:val="24"/>
        </w:rPr>
        <w:t xml:space="preserve">Artículo 194. Las resoluciones del Instituto son vinculatorias, definitivas e inatacables para los sujetos obligados, y contra </w:t>
      </w:r>
    </w:p>
    <w:p w:rsidR="00F67396" w:rsidRDefault="00F67396" w:rsidP="00955DC8">
      <w:pPr>
        <w:spacing w:after="0" w:line="276" w:lineRule="auto"/>
        <w:ind w:left="851" w:right="1134"/>
        <w:jc w:val="both"/>
        <w:rPr>
          <w:rFonts w:ascii="Palatino Linotype" w:hAnsi="Palatino Linotype" w:cs="Arial"/>
          <w:b/>
          <w:i/>
          <w:sz w:val="24"/>
          <w:szCs w:val="24"/>
        </w:rPr>
      </w:pPr>
    </w:p>
    <w:p w:rsidR="00955DC8" w:rsidRPr="00F67396" w:rsidRDefault="00955DC8" w:rsidP="00955DC8">
      <w:pPr>
        <w:spacing w:after="0" w:line="276" w:lineRule="auto"/>
        <w:ind w:left="851" w:right="1134"/>
        <w:jc w:val="both"/>
        <w:rPr>
          <w:rFonts w:ascii="Palatino Linotype" w:hAnsi="Palatino Linotype" w:cs="Arial"/>
          <w:b/>
          <w:i/>
          <w:sz w:val="24"/>
          <w:szCs w:val="24"/>
        </w:rPr>
      </w:pPr>
      <w:proofErr w:type="gramStart"/>
      <w:r w:rsidRPr="00F67396">
        <w:rPr>
          <w:rFonts w:ascii="Palatino Linotype" w:hAnsi="Palatino Linotype" w:cs="Arial"/>
          <w:b/>
          <w:i/>
          <w:sz w:val="24"/>
          <w:szCs w:val="24"/>
        </w:rPr>
        <w:t>ellas</w:t>
      </w:r>
      <w:proofErr w:type="gramEnd"/>
      <w:r w:rsidRPr="00F67396">
        <w:rPr>
          <w:rFonts w:ascii="Palatino Linotype" w:hAnsi="Palatino Linotype" w:cs="Arial"/>
          <w:b/>
          <w:i/>
          <w:sz w:val="24"/>
          <w:szCs w:val="24"/>
        </w:rPr>
        <w:t xml:space="preserve"> no procederá recurso alguno, por lo que cuando satisfacen plenamente la solicitud de la persona, adquieren la condición de resolución dictada por órgano constitucional en el régimen jurídico nacional.”</w:t>
      </w:r>
    </w:p>
    <w:p w:rsidR="00955DC8" w:rsidRDefault="00955DC8" w:rsidP="002E5EF4">
      <w:pPr>
        <w:spacing w:before="240" w:after="0" w:line="360" w:lineRule="auto"/>
        <w:jc w:val="both"/>
        <w:rPr>
          <w:rFonts w:ascii="Palatino Linotype" w:hAnsi="Palatino Linotype" w:cs="Arial"/>
          <w:sz w:val="24"/>
          <w:szCs w:val="24"/>
        </w:rPr>
      </w:pPr>
      <w:r>
        <w:rPr>
          <w:rFonts w:ascii="Palatino Linotype" w:hAnsi="Palatino Linotype" w:cs="Arial"/>
          <w:sz w:val="24"/>
          <w:szCs w:val="24"/>
        </w:rPr>
        <w:t>De la interpretación de los preceptos normativos anteriormente citados, se puede advertir que el Instituto de Transparencia, Acceso a la Información Pública y Pro</w:t>
      </w:r>
      <w:r w:rsidR="00250A4E">
        <w:rPr>
          <w:rFonts w:ascii="Palatino Linotype" w:hAnsi="Palatino Linotype" w:cs="Arial"/>
          <w:sz w:val="24"/>
          <w:szCs w:val="24"/>
        </w:rPr>
        <w:t>tección de Datos Personales del Estado de México y Municipios, al ser un Organismo Constitucional Autónomo, puede dictar resoluciones inatacables para todos los sujetos obligados de la Ley en las materias que tiene encomendado garantizar y que en el caso particular corresponde a dos derechos humanos: acceso a la información pública y protección de datos personales</w:t>
      </w:r>
      <w:r w:rsidR="0075625B">
        <w:rPr>
          <w:rFonts w:ascii="Palatino Linotype" w:hAnsi="Palatino Linotype" w:cs="Arial"/>
          <w:sz w:val="24"/>
          <w:szCs w:val="24"/>
        </w:rPr>
        <w:t>.</w:t>
      </w:r>
    </w:p>
    <w:p w:rsidR="0075625B" w:rsidRDefault="0075625B" w:rsidP="002E5EF4">
      <w:pPr>
        <w:spacing w:before="240" w:after="0" w:line="360" w:lineRule="auto"/>
        <w:jc w:val="both"/>
        <w:rPr>
          <w:rFonts w:ascii="Palatino Linotype" w:hAnsi="Palatino Linotype" w:cs="Arial"/>
          <w:sz w:val="24"/>
          <w:szCs w:val="24"/>
        </w:rPr>
      </w:pPr>
      <w:r>
        <w:rPr>
          <w:rFonts w:ascii="Palatino Linotype" w:hAnsi="Palatino Linotype" w:cs="Arial"/>
          <w:sz w:val="24"/>
          <w:szCs w:val="24"/>
        </w:rPr>
        <w:t xml:space="preserve">Bajo esa </w:t>
      </w:r>
      <w:r w:rsidR="004A1DA7">
        <w:rPr>
          <w:rFonts w:ascii="Palatino Linotype" w:hAnsi="Palatino Linotype" w:cs="Arial"/>
          <w:sz w:val="24"/>
          <w:szCs w:val="24"/>
        </w:rPr>
        <w:t>óptica, los sujetos obligados contemplados por la Ley de Transparencia vigente en el Estado de México se encuentran establecidos en la fracción XLI del artículo 3 que a continuación se transcribe:</w:t>
      </w:r>
    </w:p>
    <w:p w:rsidR="004A1DA7" w:rsidRPr="00F67396" w:rsidRDefault="004A1DA7" w:rsidP="004A1DA7">
      <w:pPr>
        <w:spacing w:after="0" w:line="276" w:lineRule="auto"/>
        <w:ind w:left="851" w:right="1134"/>
        <w:jc w:val="both"/>
        <w:rPr>
          <w:rFonts w:ascii="Palatino Linotype" w:hAnsi="Palatino Linotype" w:cs="Arial"/>
          <w:i/>
          <w:sz w:val="24"/>
          <w:szCs w:val="24"/>
        </w:rPr>
      </w:pPr>
      <w:r w:rsidRPr="00F67396">
        <w:rPr>
          <w:rFonts w:ascii="Palatino Linotype" w:hAnsi="Palatino Linotype" w:cs="Arial"/>
          <w:b/>
          <w:i/>
          <w:sz w:val="24"/>
          <w:szCs w:val="24"/>
        </w:rPr>
        <w:t xml:space="preserve">“Artículo 3. </w:t>
      </w:r>
      <w:r w:rsidRPr="00F67396">
        <w:rPr>
          <w:rFonts w:ascii="Palatino Linotype" w:hAnsi="Palatino Linotype" w:cs="Arial"/>
          <w:i/>
          <w:sz w:val="24"/>
          <w:szCs w:val="24"/>
        </w:rPr>
        <w:t>Para los efectos de la presente Ley se entenderá por:</w:t>
      </w:r>
    </w:p>
    <w:p w:rsidR="004A1DA7" w:rsidRPr="00F67396" w:rsidRDefault="004A1DA7" w:rsidP="004A1DA7">
      <w:pPr>
        <w:spacing w:after="0" w:line="276" w:lineRule="auto"/>
        <w:ind w:left="851" w:right="1134"/>
        <w:jc w:val="both"/>
        <w:rPr>
          <w:rFonts w:ascii="Palatino Linotype" w:hAnsi="Palatino Linotype" w:cs="Arial"/>
          <w:i/>
          <w:sz w:val="24"/>
          <w:szCs w:val="24"/>
        </w:rPr>
      </w:pPr>
      <w:r w:rsidRPr="00F67396">
        <w:rPr>
          <w:rFonts w:ascii="Palatino Linotype" w:hAnsi="Palatino Linotype" w:cs="Arial"/>
          <w:i/>
          <w:sz w:val="24"/>
          <w:szCs w:val="24"/>
        </w:rPr>
        <w:t>…</w:t>
      </w:r>
    </w:p>
    <w:p w:rsidR="004A1DA7" w:rsidRPr="00F67396" w:rsidRDefault="004A1DA7" w:rsidP="004A1DA7">
      <w:pPr>
        <w:spacing w:after="0" w:line="276" w:lineRule="auto"/>
        <w:ind w:left="851" w:right="1134"/>
        <w:jc w:val="both"/>
        <w:rPr>
          <w:rFonts w:ascii="Palatino Linotype" w:hAnsi="Palatino Linotype" w:cs="Arial"/>
          <w:b/>
          <w:i/>
          <w:sz w:val="24"/>
          <w:szCs w:val="24"/>
          <w:u w:val="single"/>
        </w:rPr>
      </w:pPr>
      <w:r w:rsidRPr="00F67396">
        <w:rPr>
          <w:rFonts w:ascii="Palatino Linotype" w:hAnsi="Palatino Linotype" w:cs="Arial"/>
          <w:b/>
          <w:i/>
          <w:sz w:val="24"/>
          <w:szCs w:val="24"/>
        </w:rPr>
        <w:t xml:space="preserve">XLI. Sujetos obligados: </w:t>
      </w:r>
      <w:r w:rsidRPr="00F67396">
        <w:rPr>
          <w:rFonts w:ascii="Palatino Linotype" w:hAnsi="Palatino Linotype" w:cs="Arial"/>
          <w:b/>
          <w:i/>
          <w:sz w:val="24"/>
          <w:szCs w:val="24"/>
          <w:u w:val="single"/>
        </w:rPr>
        <w:t>Cualquier autoridad, entidad, órgano y</w:t>
      </w:r>
      <w:r w:rsidRPr="00F67396">
        <w:rPr>
          <w:rFonts w:ascii="Palatino Linotype" w:hAnsi="Palatino Linotype" w:cs="Arial"/>
          <w:b/>
          <w:i/>
          <w:sz w:val="24"/>
          <w:szCs w:val="24"/>
        </w:rPr>
        <w:t xml:space="preserve"> </w:t>
      </w:r>
      <w:r w:rsidRPr="00F67396">
        <w:rPr>
          <w:rFonts w:ascii="Palatino Linotype" w:hAnsi="Palatino Linotype" w:cs="Arial"/>
          <w:i/>
          <w:sz w:val="24"/>
          <w:szCs w:val="24"/>
        </w:rPr>
        <w:t>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w:t>
      </w:r>
      <w:r w:rsidRPr="00F67396">
        <w:rPr>
          <w:rFonts w:ascii="Palatino Linotype" w:hAnsi="Palatino Linotype" w:cs="Arial"/>
          <w:b/>
          <w:i/>
          <w:sz w:val="24"/>
          <w:szCs w:val="24"/>
        </w:rPr>
        <w:t xml:space="preserve"> </w:t>
      </w:r>
      <w:r w:rsidRPr="00F67396">
        <w:rPr>
          <w:rFonts w:ascii="Palatino Linotype" w:hAnsi="Palatino Linotype" w:cs="Arial"/>
          <w:b/>
          <w:i/>
          <w:sz w:val="24"/>
          <w:szCs w:val="24"/>
          <w:u w:val="single"/>
        </w:rPr>
        <w:t>sindicato que reciba y ejerza recursos públicos o realice actos de autoridad en el ámbito estatal y municipal, que deba cumplir con las obligaciones previstas en la presente Ley;</w:t>
      </w:r>
    </w:p>
    <w:p w:rsidR="004A1DA7" w:rsidRPr="00F67396" w:rsidRDefault="004A1DA7" w:rsidP="004A1DA7">
      <w:pPr>
        <w:spacing w:after="0" w:line="276" w:lineRule="auto"/>
        <w:ind w:left="851" w:right="1134"/>
        <w:jc w:val="both"/>
        <w:rPr>
          <w:rFonts w:ascii="Palatino Linotype" w:hAnsi="Palatino Linotype" w:cs="Arial"/>
          <w:i/>
          <w:sz w:val="24"/>
          <w:szCs w:val="24"/>
        </w:rPr>
      </w:pPr>
      <w:r w:rsidRPr="00F67396">
        <w:rPr>
          <w:rFonts w:ascii="Palatino Linotype" w:hAnsi="Palatino Linotype" w:cs="Arial"/>
          <w:i/>
          <w:sz w:val="24"/>
          <w:szCs w:val="24"/>
        </w:rPr>
        <w:t>…”</w:t>
      </w:r>
    </w:p>
    <w:p w:rsidR="00F67396" w:rsidRDefault="00F67396" w:rsidP="002E5EF4">
      <w:pPr>
        <w:spacing w:before="240" w:after="0" w:line="360" w:lineRule="auto"/>
        <w:jc w:val="both"/>
        <w:rPr>
          <w:rFonts w:ascii="Palatino Linotype" w:hAnsi="Palatino Linotype" w:cs="Arial"/>
          <w:sz w:val="24"/>
          <w:szCs w:val="24"/>
        </w:rPr>
      </w:pPr>
    </w:p>
    <w:p w:rsidR="004A1DA7" w:rsidRDefault="004A1DA7" w:rsidP="002E5EF4">
      <w:pPr>
        <w:spacing w:before="240" w:after="0" w:line="360" w:lineRule="auto"/>
        <w:jc w:val="both"/>
        <w:rPr>
          <w:rFonts w:ascii="Palatino Linotype" w:hAnsi="Palatino Linotype" w:cs="Arial"/>
          <w:sz w:val="24"/>
          <w:szCs w:val="24"/>
        </w:rPr>
      </w:pPr>
      <w:r>
        <w:rPr>
          <w:rFonts w:ascii="Palatino Linotype" w:hAnsi="Palatino Linotype" w:cs="Arial"/>
          <w:sz w:val="24"/>
          <w:szCs w:val="24"/>
        </w:rPr>
        <w:t xml:space="preserve">Como bien se desprende del párrafo citado, todos los Sindicatos que reciban y ejerzan recursos públicos o realicen actos de autoridad son sujetos obligados de la Ley en mención, ello incluye al Sindicato </w:t>
      </w:r>
      <w:r>
        <w:rPr>
          <w:rFonts w:ascii="Palatino Linotype" w:hAnsi="Palatino Linotype"/>
          <w:sz w:val="24"/>
          <w:szCs w:val="24"/>
        </w:rPr>
        <w:t>de Mae</w:t>
      </w:r>
      <w:r w:rsidR="00F67396">
        <w:rPr>
          <w:rFonts w:ascii="Palatino Linotype" w:hAnsi="Palatino Linotype"/>
          <w:sz w:val="24"/>
          <w:szCs w:val="24"/>
        </w:rPr>
        <w:t xml:space="preserve">stros al Servicio del Estado de </w:t>
      </w:r>
      <w:r>
        <w:rPr>
          <w:rFonts w:ascii="Palatino Linotype" w:hAnsi="Palatino Linotype"/>
          <w:sz w:val="24"/>
          <w:szCs w:val="24"/>
        </w:rPr>
        <w:t>México</w:t>
      </w:r>
      <w:r>
        <w:rPr>
          <w:rFonts w:ascii="Palatino Linotype" w:hAnsi="Palatino Linotype" w:cs="Arial"/>
          <w:sz w:val="24"/>
          <w:szCs w:val="24"/>
        </w:rPr>
        <w:t xml:space="preserve">, quién tiene el deber de cumplir con lo previsto </w:t>
      </w:r>
      <w:r w:rsidR="00D7796E">
        <w:rPr>
          <w:rFonts w:ascii="Palatino Linotype" w:hAnsi="Palatino Linotype" w:cs="Arial"/>
          <w:sz w:val="24"/>
          <w:szCs w:val="24"/>
        </w:rPr>
        <w:t>en la normatividad al transparentar sus acciones y cumplir con las resoluciones que derivado de los recursos de revisión interpuestos en su contra, se dicten por el Pleno de este Órgano Garante, y que por ende quedarán limitados a impugnar las mismas.</w:t>
      </w:r>
    </w:p>
    <w:p w:rsidR="00D7796E" w:rsidRDefault="00D7796E" w:rsidP="002E5EF4">
      <w:pPr>
        <w:spacing w:before="240" w:after="0" w:line="360" w:lineRule="auto"/>
        <w:jc w:val="both"/>
        <w:rPr>
          <w:rFonts w:ascii="Palatino Linotype" w:hAnsi="Palatino Linotype" w:cs="Arial"/>
          <w:sz w:val="24"/>
          <w:szCs w:val="24"/>
        </w:rPr>
      </w:pPr>
      <w:r>
        <w:rPr>
          <w:rFonts w:ascii="Palatino Linotype" w:hAnsi="Palatino Linotype" w:cs="Arial"/>
          <w:sz w:val="24"/>
          <w:szCs w:val="24"/>
        </w:rPr>
        <w:t>Lo anterior es así, ya que si bien</w:t>
      </w:r>
      <w:r w:rsidR="000F0F40">
        <w:rPr>
          <w:rFonts w:ascii="Palatino Linotype" w:hAnsi="Palatino Linotype" w:cs="Arial"/>
          <w:sz w:val="24"/>
          <w:szCs w:val="24"/>
        </w:rPr>
        <w:t xml:space="preserve"> los sindicatos se conforman de trabajadores que por decisión particular se agremian en la búsqueda de fines comunes, lo cierto es que en cuanto a la transparencia y el derecho de acceso a la información no se enfrentan como particulares sino como una organización, por lo cual no existiría la posibilidad de que recurrieran la resolución v</w:t>
      </w:r>
      <w:r w:rsidR="00450E7A">
        <w:rPr>
          <w:rFonts w:ascii="Palatino Linotype" w:hAnsi="Palatino Linotype" w:cs="Arial"/>
          <w:sz w:val="24"/>
          <w:szCs w:val="24"/>
        </w:rPr>
        <w:t xml:space="preserve">ía juicio de amparo, ya que el amparo protege </w:t>
      </w:r>
      <w:r w:rsidR="000D121F">
        <w:rPr>
          <w:rFonts w:ascii="Palatino Linotype" w:hAnsi="Palatino Linotype" w:cs="Arial"/>
          <w:sz w:val="24"/>
          <w:szCs w:val="24"/>
        </w:rPr>
        <w:t>a las personas frente a normas generales, actos u omisiones por parte de los poderes públicos o de particulares en ciertos casos</w:t>
      </w:r>
      <w:r w:rsidR="000D121F">
        <w:rPr>
          <w:rStyle w:val="Refdenotaalpie"/>
          <w:rFonts w:ascii="Palatino Linotype" w:hAnsi="Palatino Linotype" w:cs="Arial"/>
          <w:sz w:val="24"/>
          <w:szCs w:val="24"/>
        </w:rPr>
        <w:footnoteReference w:id="1"/>
      </w:r>
      <w:r w:rsidR="00E24FF8">
        <w:rPr>
          <w:rFonts w:ascii="Palatino Linotype" w:hAnsi="Palatino Linotype" w:cs="Arial"/>
          <w:sz w:val="24"/>
          <w:szCs w:val="24"/>
        </w:rPr>
        <w:t>, situación que no se acreditaría para el Sujeto Obligado, sino para los particulares, quienes en el ejercicio de su derecho humano se verían vulnerados por las determinaciones de este Instituto.</w:t>
      </w:r>
    </w:p>
    <w:p w:rsidR="00F67396" w:rsidRDefault="002E5EF4" w:rsidP="002E5EF4">
      <w:pPr>
        <w:spacing w:before="240" w:after="0" w:line="360" w:lineRule="auto"/>
        <w:jc w:val="both"/>
        <w:rPr>
          <w:rFonts w:ascii="Palatino Linotype" w:hAnsi="Palatino Linotype" w:cs="Arial"/>
          <w:sz w:val="24"/>
          <w:szCs w:val="24"/>
        </w:rPr>
      </w:pPr>
      <w:r w:rsidRPr="009A26A1">
        <w:rPr>
          <w:rFonts w:ascii="Palatino Linotype" w:hAnsi="Palatino Linotype" w:cs="Arial"/>
          <w:sz w:val="24"/>
          <w:szCs w:val="24"/>
        </w:rPr>
        <w:t xml:space="preserve">En conclusión y a mi consideración, el sentido de la resolución es compartido, ya que estimo resultaba procedente modificar la respuesta del Sujeto Obligado, para tener por satisfecho el derecho de acceso a la información pública del particular, el </w:t>
      </w:r>
    </w:p>
    <w:p w:rsidR="00F67396" w:rsidRDefault="00F67396" w:rsidP="002E5EF4">
      <w:pPr>
        <w:spacing w:before="240" w:after="0" w:line="360" w:lineRule="auto"/>
        <w:jc w:val="both"/>
        <w:rPr>
          <w:rFonts w:ascii="Palatino Linotype" w:hAnsi="Palatino Linotype" w:cs="Arial"/>
          <w:sz w:val="24"/>
          <w:szCs w:val="24"/>
        </w:rPr>
      </w:pPr>
      <w:bookmarkStart w:id="0" w:name="_GoBack"/>
      <w:bookmarkEnd w:id="0"/>
    </w:p>
    <w:p w:rsidR="002E5EF4" w:rsidRPr="009A26A1" w:rsidRDefault="002E5EF4" w:rsidP="002E5EF4">
      <w:pPr>
        <w:spacing w:before="240" w:after="0" w:line="360" w:lineRule="auto"/>
        <w:jc w:val="both"/>
        <w:rPr>
          <w:rFonts w:ascii="Palatino Linotype" w:hAnsi="Palatino Linotype" w:cs="Arial"/>
          <w:sz w:val="24"/>
          <w:szCs w:val="24"/>
        </w:rPr>
      </w:pPr>
      <w:proofErr w:type="gramStart"/>
      <w:r w:rsidRPr="009A26A1">
        <w:rPr>
          <w:rFonts w:ascii="Palatino Linotype" w:hAnsi="Palatino Linotype" w:cs="Arial"/>
          <w:sz w:val="24"/>
          <w:szCs w:val="24"/>
        </w:rPr>
        <w:t>cual</w:t>
      </w:r>
      <w:proofErr w:type="gramEnd"/>
      <w:r w:rsidRPr="009A26A1">
        <w:rPr>
          <w:rFonts w:ascii="Palatino Linotype" w:hAnsi="Palatino Linotype" w:cs="Arial"/>
          <w:sz w:val="24"/>
          <w:szCs w:val="24"/>
        </w:rPr>
        <w:t xml:space="preserve"> es menester de éste Pleno garantizar. No obstante, para el suscrito, </w:t>
      </w:r>
      <w:r w:rsidR="006D52ED">
        <w:rPr>
          <w:rFonts w:ascii="Palatino Linotype" w:hAnsi="Palatino Linotype" w:cs="Arial"/>
          <w:sz w:val="24"/>
          <w:szCs w:val="24"/>
        </w:rPr>
        <w:t>se debió omitir en el resolutivo Quinto al sujeto obligado</w:t>
      </w:r>
      <w:r w:rsidRPr="009A26A1">
        <w:rPr>
          <w:rFonts w:ascii="Palatino Linotype" w:hAnsi="Palatino Linotype" w:cs="Arial"/>
          <w:sz w:val="24"/>
          <w:szCs w:val="24"/>
        </w:rPr>
        <w:t>.</w:t>
      </w:r>
    </w:p>
    <w:p w:rsidR="002E5EF4" w:rsidRPr="009A26A1" w:rsidRDefault="002E5EF4" w:rsidP="002E5EF4">
      <w:pPr>
        <w:spacing w:before="240" w:after="0" w:line="360" w:lineRule="auto"/>
        <w:jc w:val="both"/>
        <w:rPr>
          <w:rFonts w:ascii="Palatino Linotype" w:hAnsi="Palatino Linotype" w:cs="Arial"/>
          <w:sz w:val="24"/>
          <w:szCs w:val="24"/>
        </w:rPr>
      </w:pPr>
      <w:r w:rsidRPr="009A26A1">
        <w:rPr>
          <w:rFonts w:ascii="Palatino Linotype" w:hAnsi="Palatino Linotype" w:cs="Arial"/>
          <w:sz w:val="24"/>
          <w:szCs w:val="24"/>
        </w:rPr>
        <w:t xml:space="preserve">Por todo lo expuesto es que formulo el presente voto particular, en los términos precisados, considerando que las reflexiones aquí expuestas hubieran resultado importantes para </w:t>
      </w:r>
      <w:r w:rsidR="00F67396">
        <w:rPr>
          <w:rFonts w:ascii="Palatino Linotype" w:hAnsi="Palatino Linotype" w:cs="Arial"/>
          <w:sz w:val="24"/>
          <w:szCs w:val="24"/>
        </w:rPr>
        <w:t>la resolución emitida</w:t>
      </w:r>
      <w:r w:rsidRPr="009A26A1">
        <w:rPr>
          <w:rFonts w:ascii="Palatino Linotype" w:hAnsi="Palatino Linotype" w:cs="Arial"/>
          <w:sz w:val="24"/>
          <w:szCs w:val="24"/>
        </w:rPr>
        <w:t xml:space="preserve"> en el recurso de revisión que fue resuelto por el Pleno de este Instituto, mencionado.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23607D" w:rsidRPr="009A26A1" w:rsidTr="006F7C5A">
        <w:trPr>
          <w:trHeight w:val="809"/>
          <w:jc w:val="center"/>
        </w:trPr>
        <w:tc>
          <w:tcPr>
            <w:tcW w:w="4396" w:type="dxa"/>
          </w:tcPr>
          <w:p w:rsidR="0023607D" w:rsidRPr="009A26A1" w:rsidRDefault="0023607D" w:rsidP="000226A1">
            <w:pPr>
              <w:jc w:val="center"/>
              <w:rPr>
                <w:rFonts w:ascii="Palatino Linotype" w:hAnsi="Palatino Linotype"/>
                <w:b/>
                <w:sz w:val="24"/>
                <w:szCs w:val="24"/>
              </w:rPr>
            </w:pPr>
          </w:p>
          <w:p w:rsidR="000A0C45" w:rsidRPr="009A26A1" w:rsidRDefault="000A0C45" w:rsidP="000226A1">
            <w:pPr>
              <w:jc w:val="center"/>
              <w:rPr>
                <w:rFonts w:ascii="Palatino Linotype" w:hAnsi="Palatino Linotype"/>
                <w:b/>
                <w:sz w:val="24"/>
                <w:szCs w:val="24"/>
              </w:rPr>
            </w:pPr>
          </w:p>
          <w:p w:rsidR="00EE44E1" w:rsidRPr="009A26A1" w:rsidRDefault="00EE44E1" w:rsidP="000226A1">
            <w:pPr>
              <w:jc w:val="center"/>
              <w:rPr>
                <w:rFonts w:ascii="Palatino Linotype" w:hAnsi="Palatino Linotype"/>
                <w:b/>
                <w:sz w:val="24"/>
                <w:szCs w:val="24"/>
              </w:rPr>
            </w:pPr>
          </w:p>
          <w:p w:rsidR="0023607D" w:rsidRPr="009A26A1" w:rsidRDefault="0023607D" w:rsidP="000226A1">
            <w:pPr>
              <w:jc w:val="center"/>
              <w:rPr>
                <w:rFonts w:ascii="Palatino Linotype" w:hAnsi="Palatino Linotype"/>
                <w:b/>
                <w:sz w:val="24"/>
                <w:szCs w:val="24"/>
              </w:rPr>
            </w:pPr>
            <w:r w:rsidRPr="009A26A1">
              <w:rPr>
                <w:rFonts w:ascii="Palatino Linotype" w:hAnsi="Palatino Linotype"/>
                <w:b/>
                <w:sz w:val="24"/>
                <w:szCs w:val="24"/>
              </w:rPr>
              <w:t>Javier Martínez Cruz</w:t>
            </w:r>
          </w:p>
        </w:tc>
      </w:tr>
      <w:tr w:rsidR="0023607D" w:rsidRPr="009A26A1" w:rsidTr="006F7C5A">
        <w:trPr>
          <w:trHeight w:val="319"/>
          <w:jc w:val="center"/>
        </w:trPr>
        <w:tc>
          <w:tcPr>
            <w:tcW w:w="4396" w:type="dxa"/>
          </w:tcPr>
          <w:p w:rsidR="0023607D" w:rsidRPr="009A26A1" w:rsidRDefault="0023607D" w:rsidP="000A0C45">
            <w:pPr>
              <w:jc w:val="center"/>
              <w:rPr>
                <w:rFonts w:ascii="Palatino Linotype" w:hAnsi="Palatino Linotype"/>
                <w:b/>
                <w:sz w:val="24"/>
                <w:szCs w:val="24"/>
              </w:rPr>
            </w:pPr>
            <w:r w:rsidRPr="009A26A1">
              <w:rPr>
                <w:rFonts w:ascii="Palatino Linotype" w:hAnsi="Palatino Linotype"/>
                <w:b/>
                <w:sz w:val="24"/>
                <w:szCs w:val="24"/>
              </w:rPr>
              <w:t>Comisionado</w:t>
            </w:r>
          </w:p>
          <w:p w:rsidR="00873D78" w:rsidRDefault="00797101" w:rsidP="000A0C45">
            <w:pPr>
              <w:jc w:val="center"/>
              <w:rPr>
                <w:rFonts w:ascii="Palatino Linotype" w:hAnsi="Palatino Linotype"/>
                <w:sz w:val="24"/>
                <w:szCs w:val="24"/>
              </w:rPr>
            </w:pPr>
            <w:r>
              <w:rPr>
                <w:rFonts w:ascii="Palatino Linotype" w:hAnsi="Palatino Linotype"/>
                <w:sz w:val="24"/>
                <w:szCs w:val="24"/>
              </w:rPr>
              <w:t>(Rúbrica)</w:t>
            </w:r>
          </w:p>
          <w:p w:rsidR="00797101" w:rsidRPr="009A26A1" w:rsidRDefault="00797101" w:rsidP="00797101">
            <w:pPr>
              <w:rPr>
                <w:rFonts w:ascii="Palatino Linotype" w:hAnsi="Palatino Linotype"/>
                <w:sz w:val="24"/>
                <w:szCs w:val="24"/>
              </w:rPr>
            </w:pPr>
          </w:p>
        </w:tc>
      </w:tr>
    </w:tbl>
    <w:p w:rsidR="00E95564" w:rsidRPr="009A26A1" w:rsidRDefault="00E95564" w:rsidP="00991198">
      <w:pPr>
        <w:rPr>
          <w:rFonts w:ascii="Palatino Linotype" w:hAnsi="Palatino Linotype"/>
          <w:sz w:val="24"/>
          <w:szCs w:val="24"/>
        </w:rPr>
      </w:pPr>
    </w:p>
    <w:sectPr w:rsidR="00E95564" w:rsidRPr="009A26A1" w:rsidSect="003D47A6">
      <w:headerReference w:type="even" r:id="rId8"/>
      <w:headerReference w:type="default" r:id="rId9"/>
      <w:footerReference w:type="default" r:id="rId10"/>
      <w:headerReference w:type="first" r:id="rId11"/>
      <w:pgSz w:w="12240" w:h="15840"/>
      <w:pgMar w:top="1276" w:right="1701" w:bottom="221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FF5" w:rsidRDefault="00144FF5" w:rsidP="004E7F5E">
      <w:pPr>
        <w:spacing w:after="0" w:line="240" w:lineRule="auto"/>
      </w:pPr>
      <w:r>
        <w:separator/>
      </w:r>
    </w:p>
  </w:endnote>
  <w:endnote w:type="continuationSeparator" w:id="0">
    <w:p w:rsidR="00144FF5" w:rsidRDefault="00144FF5"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8486039"/>
      <w:docPartObj>
        <w:docPartGallery w:val="Page Numbers (Bottom of Page)"/>
        <w:docPartUnique/>
      </w:docPartObj>
    </w:sdtPr>
    <w:sdtEndPr/>
    <w:sdtContent>
      <w:p w:rsidR="000226A1" w:rsidRDefault="00510604">
        <w:pPr>
          <w:pStyle w:val="Piedepgina"/>
          <w:jc w:val="right"/>
        </w:pPr>
        <w:r>
          <w:t>6</w:t>
        </w:r>
        <w:r w:rsidR="000226A1">
          <w:t xml:space="preserve"> de </w:t>
        </w:r>
        <w:r>
          <w:t>6</w:t>
        </w:r>
      </w:p>
    </w:sdtContent>
  </w:sdt>
  <w:p w:rsidR="000226A1" w:rsidRDefault="000226A1" w:rsidP="00ED38A6">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FF5" w:rsidRDefault="00144FF5" w:rsidP="004E7F5E">
      <w:pPr>
        <w:spacing w:after="0" w:line="240" w:lineRule="auto"/>
      </w:pPr>
      <w:r>
        <w:separator/>
      </w:r>
    </w:p>
  </w:footnote>
  <w:footnote w:type="continuationSeparator" w:id="0">
    <w:p w:rsidR="00144FF5" w:rsidRDefault="00144FF5" w:rsidP="004E7F5E">
      <w:pPr>
        <w:spacing w:after="0" w:line="240" w:lineRule="auto"/>
      </w:pPr>
      <w:r>
        <w:continuationSeparator/>
      </w:r>
    </w:p>
  </w:footnote>
  <w:footnote w:id="1">
    <w:p w:rsidR="000D121F" w:rsidRDefault="000D121F">
      <w:pPr>
        <w:pStyle w:val="Textonotapie"/>
      </w:pPr>
      <w:r>
        <w:rPr>
          <w:rStyle w:val="Refdenotaalpie"/>
        </w:rPr>
        <w:footnoteRef/>
      </w:r>
      <w:r>
        <w:t xml:space="preserve"> </w:t>
      </w:r>
      <w:r w:rsidRPr="000D121F">
        <w:rPr>
          <w:rFonts w:ascii="Palatino Linotype" w:hAnsi="Palatino Linotype"/>
        </w:rPr>
        <w:t>Párrafo segundo del artículo 1 de la Ley de Amparo, Reglamentaria de los artículo</w:t>
      </w:r>
      <w:r>
        <w:rPr>
          <w:rFonts w:ascii="Palatino Linotype" w:hAnsi="Palatino Linotype"/>
        </w:rPr>
        <w:t>s</w:t>
      </w:r>
      <w:r w:rsidRPr="000D121F">
        <w:rPr>
          <w:rFonts w:ascii="Palatino Linotype" w:hAnsi="Palatino Linotype"/>
        </w:rPr>
        <w:t xml:space="preserve"> 103 y 107 de la CPEUM.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6A1" w:rsidRDefault="008571D6">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6A1" w:rsidRDefault="008571D6" w:rsidP="00C46947">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79.4pt;margin-top:-88.95pt;width:598.5pt;height:779.25pt;z-index:-251656192;mso-position-horizontal-relative:margin;mso-position-vertical-relative:margin" o:allowincell="f">
          <v:imagedata r:id="rId1" o:title="fondo opinion particular"/>
          <w10:wrap anchorx="margin" anchory="margin"/>
        </v:shape>
      </w:pict>
    </w:r>
  </w:p>
  <w:p w:rsidR="000226A1" w:rsidRDefault="000226A1" w:rsidP="00C46947">
    <w:pPr>
      <w:pStyle w:val="Encabezado"/>
      <w:jc w:val="right"/>
      <w:rPr>
        <w:rFonts w:ascii="Palatino Linotype" w:hAnsi="Palatino Linotype"/>
        <w:b/>
      </w:rPr>
    </w:pPr>
    <w:r>
      <w:rPr>
        <w:rFonts w:ascii="Palatino Linotype" w:hAnsi="Palatino Linotype"/>
        <w:b/>
      </w:rPr>
      <w:t>VOTO PARTICULAR</w:t>
    </w:r>
  </w:p>
  <w:p w:rsidR="000226A1" w:rsidRDefault="000226A1" w:rsidP="005604F4">
    <w:pPr>
      <w:pStyle w:val="Encabezado"/>
      <w:jc w:val="right"/>
    </w:pPr>
    <w:r w:rsidRPr="002A7C5D">
      <w:rPr>
        <w:rFonts w:ascii="Palatino Linotype" w:hAnsi="Palatino Linotype"/>
        <w:b/>
      </w:rPr>
      <w:t xml:space="preserve">RECURSO DE REVISIÓN </w:t>
    </w:r>
    <w:r>
      <w:rPr>
        <w:rFonts w:ascii="Palatino Linotype" w:hAnsi="Palatino Linotype" w:cs="Arial"/>
        <w:b/>
        <w:bCs/>
        <w:sz w:val="24"/>
        <w:szCs w:val="24"/>
        <w:lang w:eastAsia="es-MX"/>
      </w:rPr>
      <w:t>0</w:t>
    </w:r>
    <w:r w:rsidR="006B6DB0">
      <w:rPr>
        <w:rFonts w:ascii="Palatino Linotype" w:hAnsi="Palatino Linotype" w:cs="Arial"/>
        <w:b/>
        <w:bCs/>
        <w:sz w:val="24"/>
        <w:szCs w:val="24"/>
        <w:lang w:eastAsia="es-MX"/>
      </w:rPr>
      <w:t>2053</w:t>
    </w:r>
    <w:r>
      <w:rPr>
        <w:rFonts w:ascii="Palatino Linotype" w:hAnsi="Palatino Linotype" w:cs="Arial"/>
        <w:b/>
        <w:bCs/>
        <w:sz w:val="24"/>
        <w:szCs w:val="24"/>
        <w:lang w:eastAsia="es-MX"/>
      </w:rPr>
      <w:t>/INFOEM/IP/RR/2018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6A1" w:rsidRDefault="008571D6">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F572A09"/>
    <w:multiLevelType w:val="hybridMultilevel"/>
    <w:tmpl w:val="1616B8BA"/>
    <w:lvl w:ilvl="0" w:tplc="9A7049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4195C98"/>
    <w:multiLevelType w:val="hybridMultilevel"/>
    <w:tmpl w:val="BA8635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9">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EF8481B"/>
    <w:multiLevelType w:val="hybridMultilevel"/>
    <w:tmpl w:val="F636FD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7"/>
  </w:num>
  <w:num w:numId="6">
    <w:abstractNumId w:val="9"/>
  </w:num>
  <w:num w:numId="7">
    <w:abstractNumId w:val="11"/>
  </w:num>
  <w:num w:numId="8">
    <w:abstractNumId w:val="2"/>
  </w:num>
  <w:num w:numId="9">
    <w:abstractNumId w:val="8"/>
  </w:num>
  <w:num w:numId="10">
    <w:abstractNumId w:val="6"/>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F6"/>
    <w:rsid w:val="000015B0"/>
    <w:rsid w:val="00001618"/>
    <w:rsid w:val="0000196A"/>
    <w:rsid w:val="00004C47"/>
    <w:rsid w:val="00005C5B"/>
    <w:rsid w:val="000060D4"/>
    <w:rsid w:val="000116E0"/>
    <w:rsid w:val="00011C09"/>
    <w:rsid w:val="000157D6"/>
    <w:rsid w:val="00021FAC"/>
    <w:rsid w:val="00022600"/>
    <w:rsid w:val="000226A1"/>
    <w:rsid w:val="00022A3A"/>
    <w:rsid w:val="000251C8"/>
    <w:rsid w:val="00025768"/>
    <w:rsid w:val="00027495"/>
    <w:rsid w:val="00031C45"/>
    <w:rsid w:val="000322F5"/>
    <w:rsid w:val="00034A90"/>
    <w:rsid w:val="000352DD"/>
    <w:rsid w:val="00037035"/>
    <w:rsid w:val="00043560"/>
    <w:rsid w:val="0004482E"/>
    <w:rsid w:val="00045AA8"/>
    <w:rsid w:val="00052356"/>
    <w:rsid w:val="00055383"/>
    <w:rsid w:val="000556A8"/>
    <w:rsid w:val="00056A42"/>
    <w:rsid w:val="00057D96"/>
    <w:rsid w:val="00065C00"/>
    <w:rsid w:val="00066649"/>
    <w:rsid w:val="00067681"/>
    <w:rsid w:val="00070B4C"/>
    <w:rsid w:val="000718C0"/>
    <w:rsid w:val="000724A4"/>
    <w:rsid w:val="00073B83"/>
    <w:rsid w:val="000742E3"/>
    <w:rsid w:val="00077198"/>
    <w:rsid w:val="00077EBA"/>
    <w:rsid w:val="00081A36"/>
    <w:rsid w:val="00081AFF"/>
    <w:rsid w:val="00081C48"/>
    <w:rsid w:val="0008606D"/>
    <w:rsid w:val="000876A2"/>
    <w:rsid w:val="00087FB7"/>
    <w:rsid w:val="00090025"/>
    <w:rsid w:val="00090A05"/>
    <w:rsid w:val="000919AF"/>
    <w:rsid w:val="0009246D"/>
    <w:rsid w:val="00096010"/>
    <w:rsid w:val="00096D99"/>
    <w:rsid w:val="000A0C45"/>
    <w:rsid w:val="000A0EDF"/>
    <w:rsid w:val="000A3419"/>
    <w:rsid w:val="000A42B1"/>
    <w:rsid w:val="000B106B"/>
    <w:rsid w:val="000B127C"/>
    <w:rsid w:val="000B3737"/>
    <w:rsid w:val="000B5A95"/>
    <w:rsid w:val="000C390D"/>
    <w:rsid w:val="000C56D0"/>
    <w:rsid w:val="000C5730"/>
    <w:rsid w:val="000D121F"/>
    <w:rsid w:val="000D14F0"/>
    <w:rsid w:val="000D3D02"/>
    <w:rsid w:val="000E07A9"/>
    <w:rsid w:val="000E345C"/>
    <w:rsid w:val="000E4FD5"/>
    <w:rsid w:val="000E6F9C"/>
    <w:rsid w:val="000E743E"/>
    <w:rsid w:val="000F0F40"/>
    <w:rsid w:val="000F17E0"/>
    <w:rsid w:val="000F189B"/>
    <w:rsid w:val="000F1BAF"/>
    <w:rsid w:val="000F39DD"/>
    <w:rsid w:val="000F7639"/>
    <w:rsid w:val="0010020A"/>
    <w:rsid w:val="00101DBA"/>
    <w:rsid w:val="00104D96"/>
    <w:rsid w:val="00107347"/>
    <w:rsid w:val="00107EC2"/>
    <w:rsid w:val="001111B0"/>
    <w:rsid w:val="00112C9B"/>
    <w:rsid w:val="00116761"/>
    <w:rsid w:val="00116AE2"/>
    <w:rsid w:val="00116B65"/>
    <w:rsid w:val="00117399"/>
    <w:rsid w:val="00117CBD"/>
    <w:rsid w:val="00120A74"/>
    <w:rsid w:val="0012242E"/>
    <w:rsid w:val="00122651"/>
    <w:rsid w:val="00122BDF"/>
    <w:rsid w:val="00130958"/>
    <w:rsid w:val="00132719"/>
    <w:rsid w:val="00132972"/>
    <w:rsid w:val="00132C79"/>
    <w:rsid w:val="0013341A"/>
    <w:rsid w:val="00135B64"/>
    <w:rsid w:val="00136EDB"/>
    <w:rsid w:val="00143106"/>
    <w:rsid w:val="0014418A"/>
    <w:rsid w:val="00144FF5"/>
    <w:rsid w:val="00145434"/>
    <w:rsid w:val="00146F5D"/>
    <w:rsid w:val="001474AE"/>
    <w:rsid w:val="001509E6"/>
    <w:rsid w:val="0015327E"/>
    <w:rsid w:val="00153946"/>
    <w:rsid w:val="001569F0"/>
    <w:rsid w:val="0016230B"/>
    <w:rsid w:val="001633C9"/>
    <w:rsid w:val="001641CD"/>
    <w:rsid w:val="001674D2"/>
    <w:rsid w:val="0017049B"/>
    <w:rsid w:val="00170CAC"/>
    <w:rsid w:val="00170F88"/>
    <w:rsid w:val="001723DC"/>
    <w:rsid w:val="00173BBE"/>
    <w:rsid w:val="001749BF"/>
    <w:rsid w:val="0017514A"/>
    <w:rsid w:val="001776DD"/>
    <w:rsid w:val="00182157"/>
    <w:rsid w:val="00184959"/>
    <w:rsid w:val="001859F8"/>
    <w:rsid w:val="00185F02"/>
    <w:rsid w:val="00194E9A"/>
    <w:rsid w:val="0019565B"/>
    <w:rsid w:val="00197702"/>
    <w:rsid w:val="001A1018"/>
    <w:rsid w:val="001A200B"/>
    <w:rsid w:val="001A2486"/>
    <w:rsid w:val="001A4C6F"/>
    <w:rsid w:val="001A5CD9"/>
    <w:rsid w:val="001B2E18"/>
    <w:rsid w:val="001B435E"/>
    <w:rsid w:val="001C15EE"/>
    <w:rsid w:val="001C223A"/>
    <w:rsid w:val="001C5252"/>
    <w:rsid w:val="001C58A6"/>
    <w:rsid w:val="001D002F"/>
    <w:rsid w:val="001D3387"/>
    <w:rsid w:val="001D3FD4"/>
    <w:rsid w:val="001D425C"/>
    <w:rsid w:val="001D4E73"/>
    <w:rsid w:val="001D54E8"/>
    <w:rsid w:val="001D5756"/>
    <w:rsid w:val="001D5A99"/>
    <w:rsid w:val="001D5C8F"/>
    <w:rsid w:val="001D5EB9"/>
    <w:rsid w:val="001D63A6"/>
    <w:rsid w:val="001E17E8"/>
    <w:rsid w:val="001E31F8"/>
    <w:rsid w:val="001E33C5"/>
    <w:rsid w:val="001E3F78"/>
    <w:rsid w:val="001E67A8"/>
    <w:rsid w:val="001E6C79"/>
    <w:rsid w:val="001F0194"/>
    <w:rsid w:val="001F5D65"/>
    <w:rsid w:val="00203D6F"/>
    <w:rsid w:val="0020670F"/>
    <w:rsid w:val="00210753"/>
    <w:rsid w:val="00211CD2"/>
    <w:rsid w:val="00214F41"/>
    <w:rsid w:val="002156F4"/>
    <w:rsid w:val="00220E95"/>
    <w:rsid w:val="00222983"/>
    <w:rsid w:val="00222E6F"/>
    <w:rsid w:val="00225F85"/>
    <w:rsid w:val="0023094A"/>
    <w:rsid w:val="00230D57"/>
    <w:rsid w:val="00232C74"/>
    <w:rsid w:val="00232C86"/>
    <w:rsid w:val="002337F8"/>
    <w:rsid w:val="00233F68"/>
    <w:rsid w:val="002350CD"/>
    <w:rsid w:val="0023607D"/>
    <w:rsid w:val="0023687B"/>
    <w:rsid w:val="00245CA8"/>
    <w:rsid w:val="00247112"/>
    <w:rsid w:val="00247F22"/>
    <w:rsid w:val="00250A4E"/>
    <w:rsid w:val="0025161A"/>
    <w:rsid w:val="00251938"/>
    <w:rsid w:val="00251A53"/>
    <w:rsid w:val="002535ED"/>
    <w:rsid w:val="002537DC"/>
    <w:rsid w:val="00253FFE"/>
    <w:rsid w:val="00255475"/>
    <w:rsid w:val="00255F64"/>
    <w:rsid w:val="00256C42"/>
    <w:rsid w:val="00257CFE"/>
    <w:rsid w:val="00261762"/>
    <w:rsid w:val="00261B1F"/>
    <w:rsid w:val="0026218D"/>
    <w:rsid w:val="002659B1"/>
    <w:rsid w:val="002702A4"/>
    <w:rsid w:val="002768A4"/>
    <w:rsid w:val="0027781D"/>
    <w:rsid w:val="0027797A"/>
    <w:rsid w:val="00282114"/>
    <w:rsid w:val="0028230C"/>
    <w:rsid w:val="00282D10"/>
    <w:rsid w:val="002854AF"/>
    <w:rsid w:val="00286D17"/>
    <w:rsid w:val="0028787D"/>
    <w:rsid w:val="00290395"/>
    <w:rsid w:val="00293F5C"/>
    <w:rsid w:val="00297FEB"/>
    <w:rsid w:val="002A0335"/>
    <w:rsid w:val="002A11C1"/>
    <w:rsid w:val="002A14D3"/>
    <w:rsid w:val="002A1758"/>
    <w:rsid w:val="002A27CF"/>
    <w:rsid w:val="002A675C"/>
    <w:rsid w:val="002A7C5D"/>
    <w:rsid w:val="002B0C88"/>
    <w:rsid w:val="002B1DE8"/>
    <w:rsid w:val="002B39F5"/>
    <w:rsid w:val="002B443D"/>
    <w:rsid w:val="002B5144"/>
    <w:rsid w:val="002B5D68"/>
    <w:rsid w:val="002B6E61"/>
    <w:rsid w:val="002C7A5B"/>
    <w:rsid w:val="002D07A7"/>
    <w:rsid w:val="002D30A8"/>
    <w:rsid w:val="002E0C12"/>
    <w:rsid w:val="002E11D9"/>
    <w:rsid w:val="002E44ED"/>
    <w:rsid w:val="002E4C3F"/>
    <w:rsid w:val="002E589A"/>
    <w:rsid w:val="002E5EF4"/>
    <w:rsid w:val="002F3106"/>
    <w:rsid w:val="00301664"/>
    <w:rsid w:val="00306340"/>
    <w:rsid w:val="00307366"/>
    <w:rsid w:val="0031071E"/>
    <w:rsid w:val="00311CE7"/>
    <w:rsid w:val="00315D1F"/>
    <w:rsid w:val="003201EE"/>
    <w:rsid w:val="00321CF3"/>
    <w:rsid w:val="003449BA"/>
    <w:rsid w:val="00347B55"/>
    <w:rsid w:val="00350062"/>
    <w:rsid w:val="00350982"/>
    <w:rsid w:val="00351E9A"/>
    <w:rsid w:val="00353B12"/>
    <w:rsid w:val="00353C59"/>
    <w:rsid w:val="003565EA"/>
    <w:rsid w:val="00357E98"/>
    <w:rsid w:val="003633CF"/>
    <w:rsid w:val="003655A3"/>
    <w:rsid w:val="003670FA"/>
    <w:rsid w:val="00371DE6"/>
    <w:rsid w:val="00373349"/>
    <w:rsid w:val="0037354C"/>
    <w:rsid w:val="00375858"/>
    <w:rsid w:val="00381C9C"/>
    <w:rsid w:val="003844F3"/>
    <w:rsid w:val="003854E1"/>
    <w:rsid w:val="00385516"/>
    <w:rsid w:val="00386D79"/>
    <w:rsid w:val="00390E50"/>
    <w:rsid w:val="00392E5E"/>
    <w:rsid w:val="003959D4"/>
    <w:rsid w:val="00395EFC"/>
    <w:rsid w:val="003972A2"/>
    <w:rsid w:val="003A2F7F"/>
    <w:rsid w:val="003A3C8A"/>
    <w:rsid w:val="003B1072"/>
    <w:rsid w:val="003B36D2"/>
    <w:rsid w:val="003B3C36"/>
    <w:rsid w:val="003B5016"/>
    <w:rsid w:val="003B5FBF"/>
    <w:rsid w:val="003B7BE5"/>
    <w:rsid w:val="003C1430"/>
    <w:rsid w:val="003C2717"/>
    <w:rsid w:val="003C55B3"/>
    <w:rsid w:val="003C5FDD"/>
    <w:rsid w:val="003D0592"/>
    <w:rsid w:val="003D1042"/>
    <w:rsid w:val="003D235F"/>
    <w:rsid w:val="003D23C2"/>
    <w:rsid w:val="003D2D47"/>
    <w:rsid w:val="003D3DF0"/>
    <w:rsid w:val="003D47A6"/>
    <w:rsid w:val="003D7E1D"/>
    <w:rsid w:val="003E1C90"/>
    <w:rsid w:val="003E22D1"/>
    <w:rsid w:val="003E511E"/>
    <w:rsid w:val="003E566C"/>
    <w:rsid w:val="003E7FD7"/>
    <w:rsid w:val="003F1CEE"/>
    <w:rsid w:val="003F1E01"/>
    <w:rsid w:val="003F29FD"/>
    <w:rsid w:val="003F54EA"/>
    <w:rsid w:val="003F6045"/>
    <w:rsid w:val="00404AC4"/>
    <w:rsid w:val="00404D84"/>
    <w:rsid w:val="00404F09"/>
    <w:rsid w:val="00415574"/>
    <w:rsid w:val="00415C72"/>
    <w:rsid w:val="0041600F"/>
    <w:rsid w:val="00416635"/>
    <w:rsid w:val="00417D28"/>
    <w:rsid w:val="00421827"/>
    <w:rsid w:val="00423F5C"/>
    <w:rsid w:val="004265F4"/>
    <w:rsid w:val="00427908"/>
    <w:rsid w:val="0043077C"/>
    <w:rsid w:val="00432641"/>
    <w:rsid w:val="00432C3A"/>
    <w:rsid w:val="004332ED"/>
    <w:rsid w:val="0043498E"/>
    <w:rsid w:val="00435C2D"/>
    <w:rsid w:val="0044097B"/>
    <w:rsid w:val="004410A9"/>
    <w:rsid w:val="00446A1B"/>
    <w:rsid w:val="00450D6F"/>
    <w:rsid w:val="00450E7A"/>
    <w:rsid w:val="00452DD8"/>
    <w:rsid w:val="00454588"/>
    <w:rsid w:val="004607C5"/>
    <w:rsid w:val="004660DB"/>
    <w:rsid w:val="00466A2B"/>
    <w:rsid w:val="00466B45"/>
    <w:rsid w:val="00466BF4"/>
    <w:rsid w:val="00467A90"/>
    <w:rsid w:val="00473E92"/>
    <w:rsid w:val="0047565B"/>
    <w:rsid w:val="00476ED1"/>
    <w:rsid w:val="00477A5A"/>
    <w:rsid w:val="004809B9"/>
    <w:rsid w:val="00482566"/>
    <w:rsid w:val="00483FF7"/>
    <w:rsid w:val="00486DE4"/>
    <w:rsid w:val="00491129"/>
    <w:rsid w:val="0049314A"/>
    <w:rsid w:val="004A028F"/>
    <w:rsid w:val="004A0BD1"/>
    <w:rsid w:val="004A0E49"/>
    <w:rsid w:val="004A1AA8"/>
    <w:rsid w:val="004A1DA7"/>
    <w:rsid w:val="004A39EA"/>
    <w:rsid w:val="004A41E2"/>
    <w:rsid w:val="004A4735"/>
    <w:rsid w:val="004A4E01"/>
    <w:rsid w:val="004B08CC"/>
    <w:rsid w:val="004B09D8"/>
    <w:rsid w:val="004B4ECC"/>
    <w:rsid w:val="004B63AD"/>
    <w:rsid w:val="004B7785"/>
    <w:rsid w:val="004B7892"/>
    <w:rsid w:val="004C1C0C"/>
    <w:rsid w:val="004C2F04"/>
    <w:rsid w:val="004C381C"/>
    <w:rsid w:val="004C5C58"/>
    <w:rsid w:val="004C7553"/>
    <w:rsid w:val="004C7C6B"/>
    <w:rsid w:val="004D12D8"/>
    <w:rsid w:val="004D1908"/>
    <w:rsid w:val="004D2670"/>
    <w:rsid w:val="004D3264"/>
    <w:rsid w:val="004D7269"/>
    <w:rsid w:val="004D77AA"/>
    <w:rsid w:val="004E114C"/>
    <w:rsid w:val="004E1586"/>
    <w:rsid w:val="004E2DA5"/>
    <w:rsid w:val="004E34A3"/>
    <w:rsid w:val="004E41A7"/>
    <w:rsid w:val="004E6098"/>
    <w:rsid w:val="004E7F5E"/>
    <w:rsid w:val="004F252E"/>
    <w:rsid w:val="004F3187"/>
    <w:rsid w:val="004F6367"/>
    <w:rsid w:val="004F6AF1"/>
    <w:rsid w:val="004F705D"/>
    <w:rsid w:val="00504707"/>
    <w:rsid w:val="0050586B"/>
    <w:rsid w:val="00506FCB"/>
    <w:rsid w:val="005102FB"/>
    <w:rsid w:val="00510604"/>
    <w:rsid w:val="00514DB3"/>
    <w:rsid w:val="00515C4C"/>
    <w:rsid w:val="0052147B"/>
    <w:rsid w:val="0052194C"/>
    <w:rsid w:val="00521A0F"/>
    <w:rsid w:val="00527157"/>
    <w:rsid w:val="005309F8"/>
    <w:rsid w:val="00530B1C"/>
    <w:rsid w:val="0053498D"/>
    <w:rsid w:val="00542A15"/>
    <w:rsid w:val="0054397E"/>
    <w:rsid w:val="00543EEF"/>
    <w:rsid w:val="005449A2"/>
    <w:rsid w:val="005459A2"/>
    <w:rsid w:val="00547484"/>
    <w:rsid w:val="00550DBA"/>
    <w:rsid w:val="00551748"/>
    <w:rsid w:val="00552D85"/>
    <w:rsid w:val="00553818"/>
    <w:rsid w:val="005548A6"/>
    <w:rsid w:val="00554DCD"/>
    <w:rsid w:val="00556CA8"/>
    <w:rsid w:val="005604F4"/>
    <w:rsid w:val="00564F2E"/>
    <w:rsid w:val="005671E6"/>
    <w:rsid w:val="00575A23"/>
    <w:rsid w:val="005765BC"/>
    <w:rsid w:val="005776B7"/>
    <w:rsid w:val="00581E6C"/>
    <w:rsid w:val="00582040"/>
    <w:rsid w:val="00582061"/>
    <w:rsid w:val="005844C9"/>
    <w:rsid w:val="00590084"/>
    <w:rsid w:val="005906A0"/>
    <w:rsid w:val="00591560"/>
    <w:rsid w:val="005956DF"/>
    <w:rsid w:val="0059772D"/>
    <w:rsid w:val="00597AF1"/>
    <w:rsid w:val="005A33FA"/>
    <w:rsid w:val="005A3C30"/>
    <w:rsid w:val="005A60F4"/>
    <w:rsid w:val="005A684B"/>
    <w:rsid w:val="005A73D5"/>
    <w:rsid w:val="005B05C7"/>
    <w:rsid w:val="005B1B82"/>
    <w:rsid w:val="005B1D14"/>
    <w:rsid w:val="005B24E5"/>
    <w:rsid w:val="005B3410"/>
    <w:rsid w:val="005B38C1"/>
    <w:rsid w:val="005B3EBA"/>
    <w:rsid w:val="005B66FD"/>
    <w:rsid w:val="005B6F86"/>
    <w:rsid w:val="005B71F8"/>
    <w:rsid w:val="005C08E0"/>
    <w:rsid w:val="005C315A"/>
    <w:rsid w:val="005C5788"/>
    <w:rsid w:val="005C7FFC"/>
    <w:rsid w:val="005D571A"/>
    <w:rsid w:val="005D7711"/>
    <w:rsid w:val="005E06BC"/>
    <w:rsid w:val="005E3752"/>
    <w:rsid w:val="005E385C"/>
    <w:rsid w:val="005E440C"/>
    <w:rsid w:val="005E61BD"/>
    <w:rsid w:val="005E7968"/>
    <w:rsid w:val="005E79FC"/>
    <w:rsid w:val="005E7E37"/>
    <w:rsid w:val="005F048A"/>
    <w:rsid w:val="005F32F1"/>
    <w:rsid w:val="005F39F9"/>
    <w:rsid w:val="005F6A08"/>
    <w:rsid w:val="005F7076"/>
    <w:rsid w:val="005F7668"/>
    <w:rsid w:val="00601212"/>
    <w:rsid w:val="00603220"/>
    <w:rsid w:val="00603C38"/>
    <w:rsid w:val="00606DDB"/>
    <w:rsid w:val="00611681"/>
    <w:rsid w:val="00611952"/>
    <w:rsid w:val="00611DF2"/>
    <w:rsid w:val="00616274"/>
    <w:rsid w:val="00616C68"/>
    <w:rsid w:val="0062043B"/>
    <w:rsid w:val="00620E67"/>
    <w:rsid w:val="0062181F"/>
    <w:rsid w:val="00622D24"/>
    <w:rsid w:val="00627BF2"/>
    <w:rsid w:val="00630D44"/>
    <w:rsid w:val="00632045"/>
    <w:rsid w:val="0063358A"/>
    <w:rsid w:val="00635658"/>
    <w:rsid w:val="006406DD"/>
    <w:rsid w:val="0064261A"/>
    <w:rsid w:val="00643B3E"/>
    <w:rsid w:val="00646ABF"/>
    <w:rsid w:val="00650B1E"/>
    <w:rsid w:val="006510AA"/>
    <w:rsid w:val="00651CAE"/>
    <w:rsid w:val="00652F43"/>
    <w:rsid w:val="00655898"/>
    <w:rsid w:val="00660074"/>
    <w:rsid w:val="006628B8"/>
    <w:rsid w:val="00662BB1"/>
    <w:rsid w:val="006645F8"/>
    <w:rsid w:val="00667B95"/>
    <w:rsid w:val="00671D19"/>
    <w:rsid w:val="0067296B"/>
    <w:rsid w:val="006736DB"/>
    <w:rsid w:val="006738BF"/>
    <w:rsid w:val="006749BC"/>
    <w:rsid w:val="00674C55"/>
    <w:rsid w:val="006750D1"/>
    <w:rsid w:val="0067651E"/>
    <w:rsid w:val="00676933"/>
    <w:rsid w:val="0068108C"/>
    <w:rsid w:val="00682BB3"/>
    <w:rsid w:val="00682FD5"/>
    <w:rsid w:val="00683514"/>
    <w:rsid w:val="0068651D"/>
    <w:rsid w:val="006908C3"/>
    <w:rsid w:val="00693AA6"/>
    <w:rsid w:val="00693F7C"/>
    <w:rsid w:val="00694784"/>
    <w:rsid w:val="006953FF"/>
    <w:rsid w:val="006A3448"/>
    <w:rsid w:val="006A58FB"/>
    <w:rsid w:val="006B0468"/>
    <w:rsid w:val="006B29C2"/>
    <w:rsid w:val="006B3E1F"/>
    <w:rsid w:val="006B5E8A"/>
    <w:rsid w:val="006B5F1F"/>
    <w:rsid w:val="006B648F"/>
    <w:rsid w:val="006B6DB0"/>
    <w:rsid w:val="006C0762"/>
    <w:rsid w:val="006C3250"/>
    <w:rsid w:val="006C55A2"/>
    <w:rsid w:val="006C6037"/>
    <w:rsid w:val="006D153D"/>
    <w:rsid w:val="006D2799"/>
    <w:rsid w:val="006D40AC"/>
    <w:rsid w:val="006D52ED"/>
    <w:rsid w:val="006D5D9E"/>
    <w:rsid w:val="006E0AEC"/>
    <w:rsid w:val="006E2A9B"/>
    <w:rsid w:val="006E3A08"/>
    <w:rsid w:val="006E6057"/>
    <w:rsid w:val="006E6222"/>
    <w:rsid w:val="006F616D"/>
    <w:rsid w:val="006F6FB3"/>
    <w:rsid w:val="006F7C5A"/>
    <w:rsid w:val="007006D3"/>
    <w:rsid w:val="00702EC9"/>
    <w:rsid w:val="007055BB"/>
    <w:rsid w:val="00705865"/>
    <w:rsid w:val="0070743B"/>
    <w:rsid w:val="00707FBC"/>
    <w:rsid w:val="00715E8F"/>
    <w:rsid w:val="007161AC"/>
    <w:rsid w:val="00716859"/>
    <w:rsid w:val="00720D0B"/>
    <w:rsid w:val="007224A8"/>
    <w:rsid w:val="00724ABC"/>
    <w:rsid w:val="007262FA"/>
    <w:rsid w:val="007267E7"/>
    <w:rsid w:val="00727451"/>
    <w:rsid w:val="00731D50"/>
    <w:rsid w:val="00733B37"/>
    <w:rsid w:val="00733C88"/>
    <w:rsid w:val="00735106"/>
    <w:rsid w:val="00735F99"/>
    <w:rsid w:val="0074016E"/>
    <w:rsid w:val="007409FD"/>
    <w:rsid w:val="007411E3"/>
    <w:rsid w:val="00741ED4"/>
    <w:rsid w:val="00742921"/>
    <w:rsid w:val="00742CFD"/>
    <w:rsid w:val="0074485A"/>
    <w:rsid w:val="00745B7B"/>
    <w:rsid w:val="00751804"/>
    <w:rsid w:val="00753328"/>
    <w:rsid w:val="007551CB"/>
    <w:rsid w:val="0075625B"/>
    <w:rsid w:val="007622A3"/>
    <w:rsid w:val="00762615"/>
    <w:rsid w:val="00763242"/>
    <w:rsid w:val="00764273"/>
    <w:rsid w:val="00767776"/>
    <w:rsid w:val="00767DBE"/>
    <w:rsid w:val="00771214"/>
    <w:rsid w:val="0077170A"/>
    <w:rsid w:val="00771984"/>
    <w:rsid w:val="00773FC0"/>
    <w:rsid w:val="00784989"/>
    <w:rsid w:val="007850CB"/>
    <w:rsid w:val="00785B83"/>
    <w:rsid w:val="00790E57"/>
    <w:rsid w:val="00794B8C"/>
    <w:rsid w:val="00797101"/>
    <w:rsid w:val="007A18E4"/>
    <w:rsid w:val="007A2CF0"/>
    <w:rsid w:val="007A5363"/>
    <w:rsid w:val="007A7BF6"/>
    <w:rsid w:val="007B10BA"/>
    <w:rsid w:val="007B19F1"/>
    <w:rsid w:val="007B41CD"/>
    <w:rsid w:val="007B69EA"/>
    <w:rsid w:val="007C6FF1"/>
    <w:rsid w:val="007C7E1F"/>
    <w:rsid w:val="007D2C55"/>
    <w:rsid w:val="007D667D"/>
    <w:rsid w:val="007D6E6B"/>
    <w:rsid w:val="007D74E6"/>
    <w:rsid w:val="007E3030"/>
    <w:rsid w:val="007F3483"/>
    <w:rsid w:val="007F3613"/>
    <w:rsid w:val="007F496E"/>
    <w:rsid w:val="007F4A64"/>
    <w:rsid w:val="007F5FA6"/>
    <w:rsid w:val="007F764A"/>
    <w:rsid w:val="008000C6"/>
    <w:rsid w:val="00800105"/>
    <w:rsid w:val="0080079A"/>
    <w:rsid w:val="00801167"/>
    <w:rsid w:val="0080231B"/>
    <w:rsid w:val="00802B9C"/>
    <w:rsid w:val="00804413"/>
    <w:rsid w:val="00807C04"/>
    <w:rsid w:val="0081076A"/>
    <w:rsid w:val="00810B26"/>
    <w:rsid w:val="00811478"/>
    <w:rsid w:val="00812D63"/>
    <w:rsid w:val="00813331"/>
    <w:rsid w:val="0081376E"/>
    <w:rsid w:val="00822844"/>
    <w:rsid w:val="00825F3C"/>
    <w:rsid w:val="008262F7"/>
    <w:rsid w:val="00827823"/>
    <w:rsid w:val="00827F75"/>
    <w:rsid w:val="00832161"/>
    <w:rsid w:val="00833F35"/>
    <w:rsid w:val="00835727"/>
    <w:rsid w:val="00835C7B"/>
    <w:rsid w:val="00844019"/>
    <w:rsid w:val="008462B3"/>
    <w:rsid w:val="008516F2"/>
    <w:rsid w:val="00852329"/>
    <w:rsid w:val="00854AC4"/>
    <w:rsid w:val="00854EB9"/>
    <w:rsid w:val="00856C07"/>
    <w:rsid w:val="008571D6"/>
    <w:rsid w:val="00857730"/>
    <w:rsid w:val="00863B81"/>
    <w:rsid w:val="00866BB2"/>
    <w:rsid w:val="00870442"/>
    <w:rsid w:val="008729B1"/>
    <w:rsid w:val="00873D78"/>
    <w:rsid w:val="008800B0"/>
    <w:rsid w:val="0088116F"/>
    <w:rsid w:val="0088188F"/>
    <w:rsid w:val="00882092"/>
    <w:rsid w:val="008830F8"/>
    <w:rsid w:val="00883EC1"/>
    <w:rsid w:val="0088756B"/>
    <w:rsid w:val="008942E2"/>
    <w:rsid w:val="008A144C"/>
    <w:rsid w:val="008A1AB0"/>
    <w:rsid w:val="008A3397"/>
    <w:rsid w:val="008B2205"/>
    <w:rsid w:val="008B402E"/>
    <w:rsid w:val="008B5CF6"/>
    <w:rsid w:val="008C4FC0"/>
    <w:rsid w:val="008C7966"/>
    <w:rsid w:val="008D17AF"/>
    <w:rsid w:val="008D36F3"/>
    <w:rsid w:val="008D4C93"/>
    <w:rsid w:val="008D6D23"/>
    <w:rsid w:val="008E228A"/>
    <w:rsid w:val="008E425D"/>
    <w:rsid w:val="008E4721"/>
    <w:rsid w:val="008E5F97"/>
    <w:rsid w:val="008E6760"/>
    <w:rsid w:val="008E6952"/>
    <w:rsid w:val="008F1B97"/>
    <w:rsid w:val="008F3EE4"/>
    <w:rsid w:val="008F56F1"/>
    <w:rsid w:val="008F726A"/>
    <w:rsid w:val="0090073F"/>
    <w:rsid w:val="009037E8"/>
    <w:rsid w:val="00904109"/>
    <w:rsid w:val="00904807"/>
    <w:rsid w:val="0090690F"/>
    <w:rsid w:val="00906932"/>
    <w:rsid w:val="00910B6C"/>
    <w:rsid w:val="009130B9"/>
    <w:rsid w:val="00917FB4"/>
    <w:rsid w:val="00921880"/>
    <w:rsid w:val="00922195"/>
    <w:rsid w:val="0092358A"/>
    <w:rsid w:val="0092406A"/>
    <w:rsid w:val="00924E3B"/>
    <w:rsid w:val="009273D1"/>
    <w:rsid w:val="00930308"/>
    <w:rsid w:val="00931E83"/>
    <w:rsid w:val="00934B2E"/>
    <w:rsid w:val="009366FD"/>
    <w:rsid w:val="009376B6"/>
    <w:rsid w:val="00942B51"/>
    <w:rsid w:val="0095102A"/>
    <w:rsid w:val="00951C7B"/>
    <w:rsid w:val="0095336D"/>
    <w:rsid w:val="0095511E"/>
    <w:rsid w:val="00955693"/>
    <w:rsid w:val="00955DC8"/>
    <w:rsid w:val="00956117"/>
    <w:rsid w:val="009575B3"/>
    <w:rsid w:val="00960185"/>
    <w:rsid w:val="00960430"/>
    <w:rsid w:val="00961D8C"/>
    <w:rsid w:val="009653EB"/>
    <w:rsid w:val="0096766D"/>
    <w:rsid w:val="00967754"/>
    <w:rsid w:val="009678C0"/>
    <w:rsid w:val="0097063B"/>
    <w:rsid w:val="0097210F"/>
    <w:rsid w:val="00972DD5"/>
    <w:rsid w:val="00973B8F"/>
    <w:rsid w:val="0097472F"/>
    <w:rsid w:val="009752B5"/>
    <w:rsid w:val="00985020"/>
    <w:rsid w:val="009859BF"/>
    <w:rsid w:val="00986B92"/>
    <w:rsid w:val="00987EB2"/>
    <w:rsid w:val="00990CD0"/>
    <w:rsid w:val="00991198"/>
    <w:rsid w:val="00992C45"/>
    <w:rsid w:val="00993EDD"/>
    <w:rsid w:val="00995C22"/>
    <w:rsid w:val="009960F7"/>
    <w:rsid w:val="00996283"/>
    <w:rsid w:val="009A08F6"/>
    <w:rsid w:val="009A26A1"/>
    <w:rsid w:val="009A4D6E"/>
    <w:rsid w:val="009A5981"/>
    <w:rsid w:val="009B0366"/>
    <w:rsid w:val="009B347D"/>
    <w:rsid w:val="009B4EF4"/>
    <w:rsid w:val="009B5C84"/>
    <w:rsid w:val="009B6512"/>
    <w:rsid w:val="009B7151"/>
    <w:rsid w:val="009B7357"/>
    <w:rsid w:val="009C2B5A"/>
    <w:rsid w:val="009C36FC"/>
    <w:rsid w:val="009C7044"/>
    <w:rsid w:val="009D4FB8"/>
    <w:rsid w:val="009E3486"/>
    <w:rsid w:val="009E5C1B"/>
    <w:rsid w:val="009F3326"/>
    <w:rsid w:val="009F50E8"/>
    <w:rsid w:val="009F6652"/>
    <w:rsid w:val="009F7246"/>
    <w:rsid w:val="009F7505"/>
    <w:rsid w:val="009F7D1D"/>
    <w:rsid w:val="00A0047B"/>
    <w:rsid w:val="00A06331"/>
    <w:rsid w:val="00A06DA1"/>
    <w:rsid w:val="00A14F6A"/>
    <w:rsid w:val="00A15929"/>
    <w:rsid w:val="00A15E96"/>
    <w:rsid w:val="00A21DC0"/>
    <w:rsid w:val="00A25334"/>
    <w:rsid w:val="00A26654"/>
    <w:rsid w:val="00A309E2"/>
    <w:rsid w:val="00A3259E"/>
    <w:rsid w:val="00A33A99"/>
    <w:rsid w:val="00A40ADA"/>
    <w:rsid w:val="00A43ECC"/>
    <w:rsid w:val="00A46651"/>
    <w:rsid w:val="00A467EF"/>
    <w:rsid w:val="00A46D20"/>
    <w:rsid w:val="00A52B9A"/>
    <w:rsid w:val="00A53050"/>
    <w:rsid w:val="00A53E0C"/>
    <w:rsid w:val="00A5446E"/>
    <w:rsid w:val="00A54674"/>
    <w:rsid w:val="00A5507A"/>
    <w:rsid w:val="00A57FB4"/>
    <w:rsid w:val="00A6000E"/>
    <w:rsid w:val="00A60286"/>
    <w:rsid w:val="00A66C66"/>
    <w:rsid w:val="00A673AF"/>
    <w:rsid w:val="00A71079"/>
    <w:rsid w:val="00A7286D"/>
    <w:rsid w:val="00A73DEC"/>
    <w:rsid w:val="00A7746B"/>
    <w:rsid w:val="00A7763C"/>
    <w:rsid w:val="00A8359B"/>
    <w:rsid w:val="00A86EE1"/>
    <w:rsid w:val="00A879C1"/>
    <w:rsid w:val="00A97CB8"/>
    <w:rsid w:val="00A97F30"/>
    <w:rsid w:val="00AA056C"/>
    <w:rsid w:val="00AA1890"/>
    <w:rsid w:val="00AA3165"/>
    <w:rsid w:val="00AA34AB"/>
    <w:rsid w:val="00AA532F"/>
    <w:rsid w:val="00AA64AC"/>
    <w:rsid w:val="00AA6A56"/>
    <w:rsid w:val="00AA6B53"/>
    <w:rsid w:val="00AB018B"/>
    <w:rsid w:val="00AB30DA"/>
    <w:rsid w:val="00AB364D"/>
    <w:rsid w:val="00AC1460"/>
    <w:rsid w:val="00AC5C7C"/>
    <w:rsid w:val="00AC664A"/>
    <w:rsid w:val="00AC678B"/>
    <w:rsid w:val="00AD11BE"/>
    <w:rsid w:val="00AD2316"/>
    <w:rsid w:val="00AD33A9"/>
    <w:rsid w:val="00AD5147"/>
    <w:rsid w:val="00AD5BF8"/>
    <w:rsid w:val="00AF0C8A"/>
    <w:rsid w:val="00AF19FD"/>
    <w:rsid w:val="00AF3E56"/>
    <w:rsid w:val="00B00771"/>
    <w:rsid w:val="00B022B0"/>
    <w:rsid w:val="00B02531"/>
    <w:rsid w:val="00B073F9"/>
    <w:rsid w:val="00B07568"/>
    <w:rsid w:val="00B07701"/>
    <w:rsid w:val="00B106E8"/>
    <w:rsid w:val="00B12719"/>
    <w:rsid w:val="00B155CC"/>
    <w:rsid w:val="00B23E9E"/>
    <w:rsid w:val="00B26543"/>
    <w:rsid w:val="00B30855"/>
    <w:rsid w:val="00B34377"/>
    <w:rsid w:val="00B36B84"/>
    <w:rsid w:val="00B40A0E"/>
    <w:rsid w:val="00B4308C"/>
    <w:rsid w:val="00B471AD"/>
    <w:rsid w:val="00B518D8"/>
    <w:rsid w:val="00B52C19"/>
    <w:rsid w:val="00B53C19"/>
    <w:rsid w:val="00B54900"/>
    <w:rsid w:val="00B67A2C"/>
    <w:rsid w:val="00B7156C"/>
    <w:rsid w:val="00B72322"/>
    <w:rsid w:val="00B73549"/>
    <w:rsid w:val="00B736DB"/>
    <w:rsid w:val="00B74A73"/>
    <w:rsid w:val="00B75DE7"/>
    <w:rsid w:val="00B77C9D"/>
    <w:rsid w:val="00B804D1"/>
    <w:rsid w:val="00B809F6"/>
    <w:rsid w:val="00B82157"/>
    <w:rsid w:val="00B83198"/>
    <w:rsid w:val="00B869C9"/>
    <w:rsid w:val="00B9138C"/>
    <w:rsid w:val="00B94131"/>
    <w:rsid w:val="00BA257B"/>
    <w:rsid w:val="00BA57EF"/>
    <w:rsid w:val="00BA6D9D"/>
    <w:rsid w:val="00BB0848"/>
    <w:rsid w:val="00BB3B46"/>
    <w:rsid w:val="00BC1231"/>
    <w:rsid w:val="00BC2CA8"/>
    <w:rsid w:val="00BC425B"/>
    <w:rsid w:val="00BC4377"/>
    <w:rsid w:val="00BC5E95"/>
    <w:rsid w:val="00BC6AC0"/>
    <w:rsid w:val="00BC7474"/>
    <w:rsid w:val="00BD40F9"/>
    <w:rsid w:val="00BE3097"/>
    <w:rsid w:val="00BE5589"/>
    <w:rsid w:val="00BE5877"/>
    <w:rsid w:val="00BF09AE"/>
    <w:rsid w:val="00BF39F9"/>
    <w:rsid w:val="00BF3ECA"/>
    <w:rsid w:val="00BF58D9"/>
    <w:rsid w:val="00BF688C"/>
    <w:rsid w:val="00BF72ED"/>
    <w:rsid w:val="00BF7555"/>
    <w:rsid w:val="00C00387"/>
    <w:rsid w:val="00C02FC6"/>
    <w:rsid w:val="00C03B35"/>
    <w:rsid w:val="00C03BF4"/>
    <w:rsid w:val="00C041F2"/>
    <w:rsid w:val="00C11889"/>
    <w:rsid w:val="00C13908"/>
    <w:rsid w:val="00C15485"/>
    <w:rsid w:val="00C173DD"/>
    <w:rsid w:val="00C20262"/>
    <w:rsid w:val="00C2627D"/>
    <w:rsid w:val="00C26812"/>
    <w:rsid w:val="00C32C4F"/>
    <w:rsid w:val="00C35BB2"/>
    <w:rsid w:val="00C3796F"/>
    <w:rsid w:val="00C4122B"/>
    <w:rsid w:val="00C42941"/>
    <w:rsid w:val="00C434EE"/>
    <w:rsid w:val="00C4614C"/>
    <w:rsid w:val="00C46947"/>
    <w:rsid w:val="00C511C3"/>
    <w:rsid w:val="00C517B2"/>
    <w:rsid w:val="00C51F7E"/>
    <w:rsid w:val="00C56566"/>
    <w:rsid w:val="00C57E8F"/>
    <w:rsid w:val="00C57E99"/>
    <w:rsid w:val="00C603F6"/>
    <w:rsid w:val="00C60577"/>
    <w:rsid w:val="00C61253"/>
    <w:rsid w:val="00C615A3"/>
    <w:rsid w:val="00C63640"/>
    <w:rsid w:val="00C63738"/>
    <w:rsid w:val="00C6536D"/>
    <w:rsid w:val="00C66AB9"/>
    <w:rsid w:val="00C73E61"/>
    <w:rsid w:val="00C74D98"/>
    <w:rsid w:val="00C75249"/>
    <w:rsid w:val="00C7550D"/>
    <w:rsid w:val="00C764BE"/>
    <w:rsid w:val="00C8134F"/>
    <w:rsid w:val="00C82C50"/>
    <w:rsid w:val="00C86E8F"/>
    <w:rsid w:val="00C87AA6"/>
    <w:rsid w:val="00C911E6"/>
    <w:rsid w:val="00C92544"/>
    <w:rsid w:val="00C92F62"/>
    <w:rsid w:val="00C96911"/>
    <w:rsid w:val="00CA02DA"/>
    <w:rsid w:val="00CA19A6"/>
    <w:rsid w:val="00CA2076"/>
    <w:rsid w:val="00CA35BE"/>
    <w:rsid w:val="00CB783F"/>
    <w:rsid w:val="00CB7F56"/>
    <w:rsid w:val="00CC27D2"/>
    <w:rsid w:val="00CC38B9"/>
    <w:rsid w:val="00CC4037"/>
    <w:rsid w:val="00CC5522"/>
    <w:rsid w:val="00CC65C4"/>
    <w:rsid w:val="00CC6F0B"/>
    <w:rsid w:val="00CD0187"/>
    <w:rsid w:val="00CD36A0"/>
    <w:rsid w:val="00CE1ACF"/>
    <w:rsid w:val="00CE3B51"/>
    <w:rsid w:val="00CE55EC"/>
    <w:rsid w:val="00CF1142"/>
    <w:rsid w:val="00CF14C1"/>
    <w:rsid w:val="00CF26D3"/>
    <w:rsid w:val="00CF4DBB"/>
    <w:rsid w:val="00D017BD"/>
    <w:rsid w:val="00D023DA"/>
    <w:rsid w:val="00D02697"/>
    <w:rsid w:val="00D0444B"/>
    <w:rsid w:val="00D04969"/>
    <w:rsid w:val="00D06490"/>
    <w:rsid w:val="00D064CE"/>
    <w:rsid w:val="00D11153"/>
    <w:rsid w:val="00D1272A"/>
    <w:rsid w:val="00D12E8E"/>
    <w:rsid w:val="00D151C0"/>
    <w:rsid w:val="00D16F51"/>
    <w:rsid w:val="00D17E32"/>
    <w:rsid w:val="00D21A4D"/>
    <w:rsid w:val="00D257BE"/>
    <w:rsid w:val="00D30E7D"/>
    <w:rsid w:val="00D343A0"/>
    <w:rsid w:val="00D34C6B"/>
    <w:rsid w:val="00D34E8E"/>
    <w:rsid w:val="00D354FF"/>
    <w:rsid w:val="00D37796"/>
    <w:rsid w:val="00D37E2D"/>
    <w:rsid w:val="00D40D2C"/>
    <w:rsid w:val="00D40E6A"/>
    <w:rsid w:val="00D41A0B"/>
    <w:rsid w:val="00D4272F"/>
    <w:rsid w:val="00D44ABB"/>
    <w:rsid w:val="00D46057"/>
    <w:rsid w:val="00D5163C"/>
    <w:rsid w:val="00D532D8"/>
    <w:rsid w:val="00D5399A"/>
    <w:rsid w:val="00D570CB"/>
    <w:rsid w:val="00D609A0"/>
    <w:rsid w:val="00D60F47"/>
    <w:rsid w:val="00D650C5"/>
    <w:rsid w:val="00D66FB6"/>
    <w:rsid w:val="00D71B39"/>
    <w:rsid w:val="00D7796E"/>
    <w:rsid w:val="00D825B7"/>
    <w:rsid w:val="00D82F11"/>
    <w:rsid w:val="00D90EFC"/>
    <w:rsid w:val="00D9144C"/>
    <w:rsid w:val="00D921B3"/>
    <w:rsid w:val="00D923D5"/>
    <w:rsid w:val="00D94352"/>
    <w:rsid w:val="00D95FDD"/>
    <w:rsid w:val="00DA01EB"/>
    <w:rsid w:val="00DA02E9"/>
    <w:rsid w:val="00DB1522"/>
    <w:rsid w:val="00DB1586"/>
    <w:rsid w:val="00DB5BBA"/>
    <w:rsid w:val="00DB6A2A"/>
    <w:rsid w:val="00DB6F92"/>
    <w:rsid w:val="00DC0BB1"/>
    <w:rsid w:val="00DC0EE1"/>
    <w:rsid w:val="00DC15D0"/>
    <w:rsid w:val="00DC19F6"/>
    <w:rsid w:val="00DC3266"/>
    <w:rsid w:val="00DC4ABD"/>
    <w:rsid w:val="00DC4AE4"/>
    <w:rsid w:val="00DD492B"/>
    <w:rsid w:val="00DD5688"/>
    <w:rsid w:val="00DD5D06"/>
    <w:rsid w:val="00DE3B72"/>
    <w:rsid w:val="00DE5B4A"/>
    <w:rsid w:val="00DE686A"/>
    <w:rsid w:val="00DF16A6"/>
    <w:rsid w:val="00DF1D7F"/>
    <w:rsid w:val="00DF1E0C"/>
    <w:rsid w:val="00DF4CBE"/>
    <w:rsid w:val="00DF6A36"/>
    <w:rsid w:val="00DF6F4B"/>
    <w:rsid w:val="00E01423"/>
    <w:rsid w:val="00E02E94"/>
    <w:rsid w:val="00E03E19"/>
    <w:rsid w:val="00E04A68"/>
    <w:rsid w:val="00E15B64"/>
    <w:rsid w:val="00E1671E"/>
    <w:rsid w:val="00E21091"/>
    <w:rsid w:val="00E23431"/>
    <w:rsid w:val="00E23AEF"/>
    <w:rsid w:val="00E24FF8"/>
    <w:rsid w:val="00E31D2B"/>
    <w:rsid w:val="00E33217"/>
    <w:rsid w:val="00E4373E"/>
    <w:rsid w:val="00E45EE1"/>
    <w:rsid w:val="00E504DF"/>
    <w:rsid w:val="00E506EB"/>
    <w:rsid w:val="00E506F7"/>
    <w:rsid w:val="00E53849"/>
    <w:rsid w:val="00E549BF"/>
    <w:rsid w:val="00E54C7F"/>
    <w:rsid w:val="00E54E77"/>
    <w:rsid w:val="00E55201"/>
    <w:rsid w:val="00E605AD"/>
    <w:rsid w:val="00E610CD"/>
    <w:rsid w:val="00E6164B"/>
    <w:rsid w:val="00E61E35"/>
    <w:rsid w:val="00E620F0"/>
    <w:rsid w:val="00E6342F"/>
    <w:rsid w:val="00E63D06"/>
    <w:rsid w:val="00E63D0C"/>
    <w:rsid w:val="00E66F2D"/>
    <w:rsid w:val="00E7138B"/>
    <w:rsid w:val="00E72446"/>
    <w:rsid w:val="00E72A6D"/>
    <w:rsid w:val="00E7570C"/>
    <w:rsid w:val="00E83179"/>
    <w:rsid w:val="00E857D6"/>
    <w:rsid w:val="00E86C05"/>
    <w:rsid w:val="00E87949"/>
    <w:rsid w:val="00E902D8"/>
    <w:rsid w:val="00E92655"/>
    <w:rsid w:val="00E93A94"/>
    <w:rsid w:val="00E942B4"/>
    <w:rsid w:val="00E9507B"/>
    <w:rsid w:val="00E952C6"/>
    <w:rsid w:val="00E95564"/>
    <w:rsid w:val="00E96397"/>
    <w:rsid w:val="00EA0DE3"/>
    <w:rsid w:val="00EA19CA"/>
    <w:rsid w:val="00EA4E56"/>
    <w:rsid w:val="00EA59D9"/>
    <w:rsid w:val="00EA72B0"/>
    <w:rsid w:val="00EB1D33"/>
    <w:rsid w:val="00EB27C4"/>
    <w:rsid w:val="00EB4B3E"/>
    <w:rsid w:val="00EB5655"/>
    <w:rsid w:val="00EC11AE"/>
    <w:rsid w:val="00EC2776"/>
    <w:rsid w:val="00EC33BF"/>
    <w:rsid w:val="00ED129B"/>
    <w:rsid w:val="00ED23BE"/>
    <w:rsid w:val="00ED38A6"/>
    <w:rsid w:val="00ED3D6B"/>
    <w:rsid w:val="00EE44E1"/>
    <w:rsid w:val="00EE50E8"/>
    <w:rsid w:val="00EE5912"/>
    <w:rsid w:val="00EE7156"/>
    <w:rsid w:val="00EE7A06"/>
    <w:rsid w:val="00EF222A"/>
    <w:rsid w:val="00EF3DBD"/>
    <w:rsid w:val="00EF6D07"/>
    <w:rsid w:val="00EF7676"/>
    <w:rsid w:val="00F000F7"/>
    <w:rsid w:val="00F00102"/>
    <w:rsid w:val="00F02640"/>
    <w:rsid w:val="00F03672"/>
    <w:rsid w:val="00F0453D"/>
    <w:rsid w:val="00F04D96"/>
    <w:rsid w:val="00F071D0"/>
    <w:rsid w:val="00F101E2"/>
    <w:rsid w:val="00F121A8"/>
    <w:rsid w:val="00F14571"/>
    <w:rsid w:val="00F15CC9"/>
    <w:rsid w:val="00F16BC6"/>
    <w:rsid w:val="00F16C6C"/>
    <w:rsid w:val="00F16E72"/>
    <w:rsid w:val="00F170BD"/>
    <w:rsid w:val="00F1719C"/>
    <w:rsid w:val="00F17476"/>
    <w:rsid w:val="00F177A8"/>
    <w:rsid w:val="00F22005"/>
    <w:rsid w:val="00F2781D"/>
    <w:rsid w:val="00F27845"/>
    <w:rsid w:val="00F27CE8"/>
    <w:rsid w:val="00F30F45"/>
    <w:rsid w:val="00F33C84"/>
    <w:rsid w:val="00F34898"/>
    <w:rsid w:val="00F35ED6"/>
    <w:rsid w:val="00F36831"/>
    <w:rsid w:val="00F406A0"/>
    <w:rsid w:val="00F44D94"/>
    <w:rsid w:val="00F53251"/>
    <w:rsid w:val="00F61527"/>
    <w:rsid w:val="00F66558"/>
    <w:rsid w:val="00F67396"/>
    <w:rsid w:val="00F7085F"/>
    <w:rsid w:val="00F7163D"/>
    <w:rsid w:val="00F73593"/>
    <w:rsid w:val="00F73FE1"/>
    <w:rsid w:val="00F751FC"/>
    <w:rsid w:val="00F7568E"/>
    <w:rsid w:val="00F76E62"/>
    <w:rsid w:val="00F77169"/>
    <w:rsid w:val="00F81750"/>
    <w:rsid w:val="00F85148"/>
    <w:rsid w:val="00F85A6F"/>
    <w:rsid w:val="00F868AF"/>
    <w:rsid w:val="00F9083A"/>
    <w:rsid w:val="00F90C66"/>
    <w:rsid w:val="00F91E06"/>
    <w:rsid w:val="00F93339"/>
    <w:rsid w:val="00F93BD5"/>
    <w:rsid w:val="00F97FCA"/>
    <w:rsid w:val="00FA3443"/>
    <w:rsid w:val="00FA573F"/>
    <w:rsid w:val="00FA58BE"/>
    <w:rsid w:val="00FA6051"/>
    <w:rsid w:val="00FA713D"/>
    <w:rsid w:val="00FB06F8"/>
    <w:rsid w:val="00FB1916"/>
    <w:rsid w:val="00FB3A2B"/>
    <w:rsid w:val="00FB4195"/>
    <w:rsid w:val="00FB5FB0"/>
    <w:rsid w:val="00FB7427"/>
    <w:rsid w:val="00FC00D0"/>
    <w:rsid w:val="00FC6C26"/>
    <w:rsid w:val="00FC7CC4"/>
    <w:rsid w:val="00FD0318"/>
    <w:rsid w:val="00FD23D7"/>
    <w:rsid w:val="00FD2D49"/>
    <w:rsid w:val="00FD5B9A"/>
    <w:rsid w:val="00FD7589"/>
    <w:rsid w:val="00FD7A0B"/>
    <w:rsid w:val="00FE07A3"/>
    <w:rsid w:val="00FE0DA1"/>
    <w:rsid w:val="00FE6B58"/>
    <w:rsid w:val="00FF0F8A"/>
    <w:rsid w:val="00FF28BB"/>
    <w:rsid w:val="00FF2B2A"/>
    <w:rsid w:val="00FF398C"/>
    <w:rsid w:val="00FF5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docId w15:val="{AD792AF0-9782-45A2-9B85-6D39D0D79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E7F5E"/>
    <w:rPr>
      <w:vertAlign w:val="superscript"/>
    </w:rPr>
  </w:style>
  <w:style w:type="paragraph" w:styleId="Prrafodelista">
    <w:name w:val="List Paragraph"/>
    <w:basedOn w:val="Normal"/>
    <w:uiPriority w:val="1"/>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semiHidden/>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37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427D4-542C-4802-96EC-246846E08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1237</Words>
  <Characters>6807</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USUARIO</cp:lastModifiedBy>
  <cp:revision>3</cp:revision>
  <cp:lastPrinted>2018-08-06T22:37:00Z</cp:lastPrinted>
  <dcterms:created xsi:type="dcterms:W3CDTF">2018-11-16T19:14:00Z</dcterms:created>
  <dcterms:modified xsi:type="dcterms:W3CDTF">2018-11-16T19:15:00Z</dcterms:modified>
</cp:coreProperties>
</file>