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452" w:rsidRPr="00BA791B" w:rsidRDefault="009A78E5">
      <w:pPr>
        <w:rPr>
          <w:sz w:val="20"/>
          <w:szCs w:val="24"/>
        </w:rPr>
      </w:pPr>
    </w:p>
    <w:p w:rsidR="00247AFA" w:rsidRPr="00BA791B" w:rsidRDefault="00247AFA">
      <w:pPr>
        <w:rPr>
          <w:sz w:val="20"/>
          <w:szCs w:val="24"/>
        </w:rPr>
      </w:pPr>
    </w:p>
    <w:p w:rsidR="00247AFA" w:rsidRPr="00BA791B" w:rsidRDefault="00247AFA" w:rsidP="00247AFA">
      <w:pPr>
        <w:spacing w:before="240" w:after="240" w:line="360" w:lineRule="auto"/>
        <w:jc w:val="right"/>
        <w:rPr>
          <w:rFonts w:ascii="Palatino Linotype" w:hAnsi="Palatino Linotype"/>
          <w:b/>
          <w:szCs w:val="24"/>
        </w:rPr>
      </w:pPr>
      <w:r w:rsidRPr="00BA791B">
        <w:rPr>
          <w:rFonts w:ascii="Palatino Linotype" w:hAnsi="Palatino Linotype"/>
          <w:b/>
          <w:szCs w:val="24"/>
        </w:rPr>
        <w:t xml:space="preserve">Metepec, México, </w:t>
      </w:r>
      <w:r w:rsidR="00C30FB8" w:rsidRPr="00BA791B">
        <w:rPr>
          <w:rFonts w:ascii="Palatino Linotype" w:hAnsi="Palatino Linotype"/>
          <w:b/>
          <w:szCs w:val="24"/>
        </w:rPr>
        <w:t>Septiembre 3</w:t>
      </w:r>
      <w:r w:rsidR="007D4237" w:rsidRPr="00BA791B">
        <w:rPr>
          <w:rFonts w:ascii="Palatino Linotype" w:hAnsi="Palatino Linotype"/>
          <w:b/>
          <w:szCs w:val="24"/>
        </w:rPr>
        <w:t>, de 2018</w:t>
      </w:r>
    </w:p>
    <w:p w:rsidR="00247AFA" w:rsidRPr="00BA791B" w:rsidRDefault="00247AFA" w:rsidP="00247AFA">
      <w:pPr>
        <w:spacing w:before="240" w:after="240" w:line="360" w:lineRule="auto"/>
        <w:jc w:val="both"/>
        <w:rPr>
          <w:b/>
          <w:noProof/>
          <w:szCs w:val="24"/>
          <w:lang w:eastAsia="es-MX"/>
        </w:rPr>
      </w:pPr>
      <w:r w:rsidRPr="00BA791B">
        <w:rPr>
          <w:b/>
          <w:noProof/>
          <w:szCs w:val="24"/>
          <w:lang w:eastAsia="es-MX"/>
        </w:rPr>
        <mc:AlternateContent>
          <mc:Choice Requires="wps">
            <w:drawing>
              <wp:anchor distT="0" distB="0" distL="114300" distR="114300" simplePos="0" relativeHeight="251659264" behindDoc="1" locked="0" layoutInCell="0" allowOverlap="1" wp14:anchorId="65CB3DAE" wp14:editId="410A239D">
                <wp:simplePos x="0" y="0"/>
                <wp:positionH relativeFrom="margin">
                  <wp:align>center</wp:align>
                </wp:positionH>
                <wp:positionV relativeFrom="margin">
                  <wp:posOffset>3325692</wp:posOffset>
                </wp:positionV>
                <wp:extent cx="7092315" cy="81788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247AFA" w:rsidRDefault="00247AFA" w:rsidP="00247AFA">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5CB3DAE" id="_x0000_t202" coordsize="21600,21600" o:spt="202" path="m,l,21600r21600,l21600,xe">
                <v:stroke joinstyle="miter"/>
                <v:path gradientshapeok="t" o:connecttype="rect"/>
              </v:shapetype>
              <v:shape id="Cuadro de texto 1" o:spid="_x0000_s1026" type="#_x0000_t202" style="position:absolute;left:0;text-align:left;margin-left:0;margin-top:261.85pt;width:558.45pt;height:64.4pt;rotation:-45;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" o:allowincell="f" filled="f" stroked="f">
                <v:stroke joinstyle="round"/>
                <o:lock v:ext="edit" shapetype="t"/>
                <v:textbox style="mso-fit-shape-to-text:t">
                  <w:txbxContent>
                    <w:p w:rsidR="00247AFA" w:rsidRDefault="00247AFA" w:rsidP="00247AFA">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v:textbox>
                <w10:wrap anchorx="margin" anchory="margin"/>
              </v:shape>
            </w:pict>
          </mc:Fallback>
        </mc:AlternateContent>
      </w:r>
      <w:r w:rsidRPr="00BA791B">
        <w:rPr>
          <w:rFonts w:ascii="Palatino Linotype" w:hAnsi="Palatino Linotype"/>
          <w:b/>
          <w:szCs w:val="24"/>
        </w:rPr>
        <w:t xml:space="preserve">VOTO PARTICULAR QUE FORMULA EL COMISIONADO JAVIER MARTÍNEZ CRUZ, EN RELACIÓN CON LA RESOLUCIÓN DICTADA POR EL PLENO DEL INSTITUTO DE TRANSPARENCIA, ACCESO A LA INFORMACIÓN PÚBLICA Y PROTECCIÓN DE DATOS PERSONALES DEL ESTADO DE MÉXICO Y MUNICIPIOS, EN LA </w:t>
      </w:r>
      <w:r w:rsidR="00C30FB8" w:rsidRPr="00BA791B">
        <w:rPr>
          <w:rFonts w:ascii="Palatino Linotype" w:hAnsi="Palatino Linotype"/>
          <w:b/>
          <w:szCs w:val="24"/>
        </w:rPr>
        <w:t>TRI</w:t>
      </w:r>
      <w:r w:rsidR="00676AA1" w:rsidRPr="00BA791B">
        <w:rPr>
          <w:rFonts w:ascii="Palatino Linotype" w:hAnsi="Palatino Linotype"/>
          <w:b/>
          <w:szCs w:val="24"/>
        </w:rPr>
        <w:t>GÉSIMA</w:t>
      </w:r>
      <w:r w:rsidRPr="00BA791B">
        <w:rPr>
          <w:rFonts w:ascii="Palatino Linotype" w:hAnsi="Palatino Linotype"/>
          <w:b/>
          <w:szCs w:val="24"/>
        </w:rPr>
        <w:t xml:space="preserve"> </w:t>
      </w:r>
      <w:r w:rsidR="00C30FB8" w:rsidRPr="00BA791B">
        <w:rPr>
          <w:rFonts w:ascii="Palatino Linotype" w:hAnsi="Palatino Linotype"/>
          <w:b/>
          <w:szCs w:val="24"/>
        </w:rPr>
        <w:t>PRIMERA</w:t>
      </w:r>
      <w:r w:rsidRPr="00BA791B">
        <w:rPr>
          <w:rFonts w:ascii="Palatino Linotype" w:hAnsi="Palatino Linotype"/>
          <w:b/>
          <w:szCs w:val="24"/>
        </w:rPr>
        <w:t xml:space="preserve"> SESIÓN ORDINARIA DEL </w:t>
      </w:r>
      <w:r w:rsidR="00C30FB8" w:rsidRPr="00BA791B">
        <w:rPr>
          <w:rFonts w:ascii="Palatino Linotype" w:hAnsi="Palatino Linotype"/>
          <w:b/>
          <w:szCs w:val="24"/>
        </w:rPr>
        <w:t>VEINTINUEVE</w:t>
      </w:r>
      <w:r w:rsidR="007D4237" w:rsidRPr="00BA791B">
        <w:rPr>
          <w:rFonts w:ascii="Palatino Linotype" w:hAnsi="Palatino Linotype"/>
          <w:b/>
          <w:szCs w:val="24"/>
        </w:rPr>
        <w:t xml:space="preserve"> DE AGOSTO</w:t>
      </w:r>
      <w:r w:rsidR="00365C9A" w:rsidRPr="00BA791B">
        <w:rPr>
          <w:rFonts w:ascii="Palatino Linotype" w:hAnsi="Palatino Linotype"/>
          <w:b/>
          <w:szCs w:val="24"/>
        </w:rPr>
        <w:t xml:space="preserve"> </w:t>
      </w:r>
      <w:r w:rsidR="00676AA1" w:rsidRPr="00BA791B">
        <w:rPr>
          <w:rFonts w:ascii="Palatino Linotype" w:hAnsi="Palatino Linotype"/>
          <w:b/>
          <w:szCs w:val="24"/>
        </w:rPr>
        <w:t>DE DOS MIL DIECIOCHO</w:t>
      </w:r>
      <w:r w:rsidRPr="00BA791B">
        <w:rPr>
          <w:rFonts w:ascii="Palatino Linotype" w:hAnsi="Palatino Linotype"/>
          <w:b/>
          <w:szCs w:val="24"/>
        </w:rPr>
        <w:t xml:space="preserve">, EN EL RECURSO DE REVISIÓN </w:t>
      </w:r>
      <w:r w:rsidR="00C30FB8" w:rsidRPr="00BA791B">
        <w:rPr>
          <w:rFonts w:ascii="Palatino Linotype" w:hAnsi="Palatino Linotype"/>
          <w:b/>
          <w:bCs/>
          <w:szCs w:val="24"/>
        </w:rPr>
        <w:t>02268</w:t>
      </w:r>
      <w:r w:rsidR="00676AA1" w:rsidRPr="00BA791B">
        <w:rPr>
          <w:rFonts w:ascii="Palatino Linotype" w:hAnsi="Palatino Linotype"/>
          <w:b/>
          <w:bCs/>
          <w:szCs w:val="24"/>
        </w:rPr>
        <w:t>/INFOEM/IP/RR/2018</w:t>
      </w:r>
      <w:r w:rsidRPr="00BA791B">
        <w:rPr>
          <w:rFonts w:ascii="Palatino Linotype" w:hAnsi="Palatino Linotype"/>
          <w:b/>
          <w:szCs w:val="24"/>
        </w:rPr>
        <w:t>.</w:t>
      </w:r>
    </w:p>
    <w:p w:rsidR="00365C9A" w:rsidRPr="00BA791B" w:rsidRDefault="00365C9A" w:rsidP="00365C9A">
      <w:pPr>
        <w:spacing w:before="240" w:after="240" w:line="360" w:lineRule="auto"/>
        <w:jc w:val="both"/>
        <w:rPr>
          <w:rFonts w:ascii="Palatino Linotype" w:hAnsi="Palatino Linotype"/>
          <w:szCs w:val="24"/>
        </w:rPr>
      </w:pPr>
      <w:r w:rsidRPr="00BA791B">
        <w:rPr>
          <w:rFonts w:ascii="Palatino Linotype" w:hAnsi="Palatino Linotype"/>
          <w:szCs w:val="24"/>
        </w:rPr>
        <w:t>El Pleno del Instituto de Transparencia, Acceso a la Información Pública y Protección de Datos Personales del Estado de México re</w:t>
      </w:r>
      <w:r w:rsidR="007D4237" w:rsidRPr="00BA791B">
        <w:rPr>
          <w:rFonts w:ascii="Palatino Linotype" w:hAnsi="Palatino Linotype"/>
          <w:szCs w:val="24"/>
        </w:rPr>
        <w:t>solvió por unanimidad de votos,</w:t>
      </w:r>
      <w:r w:rsidRPr="00BA791B">
        <w:rPr>
          <w:rFonts w:ascii="Palatino Linotype" w:hAnsi="Palatino Linotype"/>
          <w:szCs w:val="24"/>
        </w:rPr>
        <w:t xml:space="preserve"> la resolución relativa al recurso de revisión </w:t>
      </w:r>
      <w:r w:rsidR="00C30FB8" w:rsidRPr="00BA791B">
        <w:rPr>
          <w:rFonts w:ascii="Palatino Linotype" w:hAnsi="Palatino Linotype" w:cs="Arial"/>
          <w:b/>
          <w:bCs/>
          <w:szCs w:val="24"/>
          <w:lang w:eastAsia="es-MX"/>
        </w:rPr>
        <w:t>02268</w:t>
      </w:r>
      <w:r w:rsidR="00676AA1" w:rsidRPr="00BA791B">
        <w:rPr>
          <w:rFonts w:ascii="Palatino Linotype" w:hAnsi="Palatino Linotype" w:cs="Arial"/>
          <w:b/>
          <w:bCs/>
          <w:szCs w:val="24"/>
          <w:lang w:eastAsia="es-MX"/>
        </w:rPr>
        <w:t>/INFOEM/IP/RR/2018</w:t>
      </w:r>
      <w:r w:rsidRPr="00BA791B">
        <w:rPr>
          <w:rFonts w:ascii="Palatino Linotype" w:hAnsi="Palatino Linotype" w:cs="Arial"/>
          <w:bCs/>
          <w:szCs w:val="24"/>
          <w:lang w:eastAsia="es-MX"/>
        </w:rPr>
        <w:t xml:space="preserve"> </w:t>
      </w:r>
      <w:r w:rsidR="00C30FB8" w:rsidRPr="00BA791B">
        <w:rPr>
          <w:rFonts w:ascii="Palatino Linotype" w:hAnsi="Palatino Linotype"/>
          <w:szCs w:val="24"/>
        </w:rPr>
        <w:t>presentada por el Comisionado</w:t>
      </w:r>
      <w:r w:rsidR="007D4237" w:rsidRPr="00BA791B">
        <w:rPr>
          <w:rFonts w:ascii="Palatino Linotype" w:hAnsi="Palatino Linotype"/>
          <w:szCs w:val="24"/>
        </w:rPr>
        <w:t xml:space="preserve"> </w:t>
      </w:r>
      <w:r w:rsidR="00C30FB8" w:rsidRPr="00BA791B">
        <w:rPr>
          <w:rFonts w:ascii="Palatino Linotype" w:hAnsi="Palatino Linotype"/>
          <w:szCs w:val="24"/>
        </w:rPr>
        <w:t>José Guadalupe Luna Hernández</w:t>
      </w:r>
      <w:r w:rsidRPr="00BA791B">
        <w:rPr>
          <w:rFonts w:ascii="Palatino Linotype" w:hAnsi="Palatino Linotype"/>
          <w:szCs w:val="24"/>
        </w:rPr>
        <w:t xml:space="preserve">, respecto de la cual, el suscrito, formula </w:t>
      </w:r>
      <w:r w:rsidRPr="00BA791B">
        <w:rPr>
          <w:rFonts w:ascii="Palatino Linotype" w:hAnsi="Palatino Linotype"/>
          <w:b/>
          <w:szCs w:val="24"/>
        </w:rPr>
        <w:t>VOTO PARTICULAR</w:t>
      </w:r>
      <w:r w:rsidRPr="00BA791B">
        <w:rPr>
          <w:rFonts w:ascii="Palatino Linotype" w:hAnsi="Palatino Linotype"/>
          <w:szCs w:val="24"/>
        </w:rPr>
        <w:t>, con fundamento en el artículo 14 fracción XI del Reglamento del Instituto de Transparencia, Acceso a la Información Pública y Protección de Personales Datos del Estado de México.</w:t>
      </w:r>
    </w:p>
    <w:p w:rsidR="007D4237" w:rsidRPr="00BA791B" w:rsidRDefault="00C20EEA" w:rsidP="00696583">
      <w:pPr>
        <w:spacing w:before="240" w:after="240" w:line="360" w:lineRule="auto"/>
        <w:jc w:val="both"/>
        <w:rPr>
          <w:rFonts w:ascii="Palatino Linotype" w:eastAsia="Calibri" w:hAnsi="Palatino Linotype" w:cs="Arial"/>
          <w:i/>
          <w:color w:val="000000" w:themeColor="text1"/>
          <w:szCs w:val="24"/>
        </w:rPr>
      </w:pPr>
      <w:r w:rsidRPr="00BA791B">
        <w:rPr>
          <w:rFonts w:ascii="Palatino Linotype" w:hAnsi="Palatino Linotype"/>
          <w:szCs w:val="24"/>
        </w:rPr>
        <w:t>P</w:t>
      </w:r>
      <w:r w:rsidR="00600BA3" w:rsidRPr="00BA791B">
        <w:rPr>
          <w:rFonts w:ascii="Palatino Linotype" w:hAnsi="Palatino Linotype"/>
          <w:szCs w:val="24"/>
        </w:rPr>
        <w:t>revia emisión del presente voto, cabe precisar que la materia en que radicó el recurso</w:t>
      </w:r>
      <w:r w:rsidR="00320195" w:rsidRPr="00BA791B">
        <w:rPr>
          <w:rFonts w:ascii="Palatino Linotype" w:hAnsi="Palatino Linotype"/>
          <w:szCs w:val="24"/>
        </w:rPr>
        <w:t xml:space="preserve"> de revisión, </w:t>
      </w:r>
      <w:r w:rsidR="00600BA3" w:rsidRPr="00BA791B">
        <w:rPr>
          <w:rFonts w:ascii="Palatino Linotype" w:hAnsi="Palatino Linotype"/>
          <w:szCs w:val="24"/>
        </w:rPr>
        <w:t xml:space="preserve">fue en que se proporcionara por parte </w:t>
      </w:r>
      <w:bookmarkStart w:id="0" w:name="_GoBack"/>
      <w:bookmarkEnd w:id="0"/>
      <w:r w:rsidR="00600BA3" w:rsidRPr="00BA791B">
        <w:rPr>
          <w:rFonts w:ascii="Palatino Linotype" w:hAnsi="Palatino Linotype"/>
          <w:szCs w:val="24"/>
        </w:rPr>
        <w:t xml:space="preserve">del </w:t>
      </w:r>
      <w:r w:rsidR="00C30FB8" w:rsidRPr="00BA791B">
        <w:rPr>
          <w:rFonts w:ascii="Palatino Linotype" w:hAnsi="Palatino Linotype"/>
          <w:szCs w:val="24"/>
        </w:rPr>
        <w:t>Sujeto Obligado</w:t>
      </w:r>
      <w:r w:rsidR="00D6696F" w:rsidRPr="00BA791B">
        <w:rPr>
          <w:rFonts w:ascii="Palatino Linotype" w:hAnsi="Palatino Linotype"/>
          <w:szCs w:val="24"/>
        </w:rPr>
        <w:t xml:space="preserve"> lo siguiente</w:t>
      </w:r>
      <w:r w:rsidR="00600BA3" w:rsidRPr="00BA791B">
        <w:rPr>
          <w:rFonts w:ascii="Palatino Linotype" w:hAnsi="Palatino Linotype"/>
          <w:szCs w:val="24"/>
        </w:rPr>
        <w:t xml:space="preserve"> </w:t>
      </w:r>
      <w:r w:rsidR="00C30FB8" w:rsidRPr="00BA791B">
        <w:rPr>
          <w:rFonts w:ascii="Palatino Linotype" w:hAnsi="Palatino Linotype"/>
          <w:i/>
          <w:szCs w:val="24"/>
          <w:lang w:val="es-ES_tradnl"/>
        </w:rPr>
        <w:t>“Histórico de convenios duales de todo tipo que genera el Departamento de Vinculación</w:t>
      </w:r>
      <w:r w:rsidR="007D4237" w:rsidRPr="00BA791B">
        <w:rPr>
          <w:rFonts w:ascii="Palatino Linotype" w:hAnsi="Palatino Linotype"/>
          <w:i/>
          <w:szCs w:val="24"/>
          <w:lang w:val="es-ES_tradnl"/>
        </w:rPr>
        <w:t>.”</w:t>
      </w:r>
      <w:r w:rsidR="007D4237" w:rsidRPr="00BA791B">
        <w:rPr>
          <w:rFonts w:ascii="Palatino Linotype" w:hAnsi="Palatino Linotype"/>
          <w:i/>
          <w:szCs w:val="24"/>
        </w:rPr>
        <w:t xml:space="preserve"> </w:t>
      </w:r>
      <w:r w:rsidR="00696583" w:rsidRPr="00BA791B">
        <w:rPr>
          <w:rFonts w:ascii="Palatino Linotype" w:hAnsi="Palatino Linotype"/>
          <w:i/>
          <w:szCs w:val="24"/>
        </w:rPr>
        <w:t>(Sic)</w:t>
      </w:r>
      <w:r w:rsidR="007D4237" w:rsidRPr="00BA791B">
        <w:rPr>
          <w:rFonts w:ascii="Palatino Linotype" w:hAnsi="Palatino Linotype"/>
          <w:i/>
          <w:szCs w:val="24"/>
          <w:lang w:val="es-ES_tradnl"/>
        </w:rPr>
        <w:t>.</w:t>
      </w:r>
      <w:r w:rsidR="00600BA3" w:rsidRPr="00BA791B">
        <w:rPr>
          <w:rFonts w:ascii="Palatino Linotype" w:eastAsia="Calibri" w:hAnsi="Palatino Linotype" w:cs="Arial"/>
          <w:color w:val="000000" w:themeColor="text1"/>
          <w:szCs w:val="24"/>
          <w:lang w:val="es-ES"/>
        </w:rPr>
        <w:t xml:space="preserve"> </w:t>
      </w:r>
      <w:r w:rsidR="007D4237" w:rsidRPr="00BA791B">
        <w:rPr>
          <w:rFonts w:ascii="Palatino Linotype" w:eastAsia="Calibri" w:hAnsi="Palatino Linotype" w:cs="Arial"/>
          <w:color w:val="000000" w:themeColor="text1"/>
          <w:szCs w:val="24"/>
          <w:lang w:val="es-ES"/>
        </w:rPr>
        <w:t>Posteriormente</w:t>
      </w:r>
      <w:r w:rsidR="009D3E65" w:rsidRPr="00BA791B">
        <w:rPr>
          <w:rFonts w:ascii="Palatino Linotype" w:eastAsia="Calibri" w:hAnsi="Palatino Linotype" w:cs="Arial"/>
          <w:color w:val="000000" w:themeColor="text1"/>
          <w:szCs w:val="24"/>
          <w:lang w:val="es-ES"/>
        </w:rPr>
        <w:t xml:space="preserve"> el Sujeto Obligado </w:t>
      </w:r>
      <w:r w:rsidR="00BC44E5" w:rsidRPr="00BA791B">
        <w:rPr>
          <w:rFonts w:ascii="Palatino Linotype" w:eastAsia="Calibri" w:hAnsi="Palatino Linotype" w:cs="Arial"/>
          <w:color w:val="000000" w:themeColor="text1"/>
          <w:szCs w:val="24"/>
          <w:lang w:val="es-ES"/>
        </w:rPr>
        <w:t xml:space="preserve">envía como respuesta </w:t>
      </w:r>
      <w:r w:rsidR="00C30FB8" w:rsidRPr="00BA791B">
        <w:rPr>
          <w:rFonts w:ascii="Palatino Linotype" w:eastAsia="Calibri" w:hAnsi="Palatino Linotype" w:cs="Arial"/>
          <w:color w:val="000000" w:themeColor="text1"/>
          <w:szCs w:val="24"/>
          <w:lang w:val="es-ES"/>
        </w:rPr>
        <w:t xml:space="preserve">de manera general </w:t>
      </w:r>
      <w:r w:rsidR="007D4237" w:rsidRPr="00BA791B">
        <w:rPr>
          <w:rFonts w:ascii="Palatino Linotype" w:eastAsia="Calibri" w:hAnsi="Palatino Linotype" w:cs="Arial"/>
          <w:color w:val="000000" w:themeColor="text1"/>
          <w:szCs w:val="24"/>
          <w:lang w:val="es-ES"/>
        </w:rPr>
        <w:t xml:space="preserve">lo que se trascribe a continuación: </w:t>
      </w:r>
      <w:r w:rsidR="007D4237" w:rsidRPr="00BA791B">
        <w:rPr>
          <w:rFonts w:ascii="Palatino Linotype" w:eastAsia="Calibri" w:hAnsi="Palatino Linotype" w:cs="Arial"/>
          <w:i/>
          <w:color w:val="000000" w:themeColor="text1"/>
          <w:szCs w:val="24"/>
        </w:rPr>
        <w:t>“…</w:t>
      </w:r>
      <w:r w:rsidR="00C30FB8" w:rsidRPr="00BA791B">
        <w:rPr>
          <w:rFonts w:ascii="Palatino Linotype" w:eastAsia="Calibri" w:hAnsi="Palatino Linotype" w:cs="Arial"/>
          <w:b/>
          <w:bCs/>
          <w:i/>
          <w:color w:val="000000" w:themeColor="text1"/>
          <w:szCs w:val="24"/>
        </w:rPr>
        <w:t>“</w:t>
      </w:r>
      <w:r w:rsidR="00C30FB8" w:rsidRPr="00BA791B">
        <w:rPr>
          <w:rFonts w:ascii="Palatino Linotype" w:eastAsia="Calibri" w:hAnsi="Palatino Linotype" w:cs="Arial"/>
          <w:bCs/>
          <w:i/>
          <w:color w:val="000000" w:themeColor="text1"/>
          <w:szCs w:val="24"/>
        </w:rPr>
        <w:t xml:space="preserve">en relación al histórico de los Convenios de Colaboración en Materia de Educación Dual que gestiona y formaliza este Departamento a mi digno cargo, correspondientes del </w:t>
      </w:r>
      <w:r w:rsidR="00C30FB8" w:rsidRPr="00BA791B">
        <w:rPr>
          <w:rFonts w:ascii="Palatino Linotype" w:eastAsia="Calibri" w:hAnsi="Palatino Linotype" w:cs="Arial"/>
          <w:bCs/>
          <w:i/>
          <w:color w:val="000000" w:themeColor="text1"/>
          <w:szCs w:val="24"/>
        </w:rPr>
        <w:lastRenderedPageBreak/>
        <w:t xml:space="preserve">periodo del 23 de mayo del 2017 al 23 de mayo del 2018, </w:t>
      </w:r>
      <w:r w:rsidR="00C30FB8" w:rsidRPr="00BA791B">
        <w:rPr>
          <w:rFonts w:ascii="Palatino Linotype" w:eastAsia="Calibri" w:hAnsi="Palatino Linotype" w:cs="Arial"/>
          <w:b/>
          <w:bCs/>
          <w:i/>
          <w:color w:val="000000" w:themeColor="text1"/>
          <w:szCs w:val="24"/>
        </w:rPr>
        <w:t>se han realizado 17 convenios de colaboración”</w:t>
      </w:r>
      <w:r w:rsidR="007D4237" w:rsidRPr="00BA791B">
        <w:rPr>
          <w:rFonts w:ascii="Palatino Linotype" w:eastAsia="Calibri" w:hAnsi="Palatino Linotype" w:cs="Arial"/>
          <w:i/>
          <w:color w:val="000000" w:themeColor="text1"/>
          <w:szCs w:val="24"/>
        </w:rPr>
        <w:t xml:space="preserve">…” </w:t>
      </w:r>
    </w:p>
    <w:p w:rsidR="00DA11BE" w:rsidRPr="00BA791B" w:rsidRDefault="00DA11BE" w:rsidP="00600BA3">
      <w:pPr>
        <w:spacing w:before="240" w:after="240" w:line="360" w:lineRule="auto"/>
        <w:jc w:val="both"/>
        <w:rPr>
          <w:rFonts w:ascii="Palatino Linotype" w:eastAsia="Calibri" w:hAnsi="Palatino Linotype" w:cs="Arial"/>
          <w:color w:val="000000" w:themeColor="text1"/>
          <w:szCs w:val="24"/>
          <w:lang w:val="es-ES"/>
        </w:rPr>
      </w:pPr>
      <w:r w:rsidRPr="00BA791B">
        <w:rPr>
          <w:rFonts w:ascii="Palatino Linotype" w:eastAsia="Calibri" w:hAnsi="Palatino Linotype" w:cs="Arial"/>
          <w:color w:val="000000" w:themeColor="text1"/>
          <w:szCs w:val="24"/>
          <w:lang w:val="es-ES"/>
        </w:rPr>
        <w:t xml:space="preserve">Vista la respuesta, la parte recurrente se adolece </w:t>
      </w:r>
      <w:r w:rsidR="00C30FB8" w:rsidRPr="00BA791B">
        <w:rPr>
          <w:rFonts w:ascii="Palatino Linotype" w:eastAsia="Calibri" w:hAnsi="Palatino Linotype" w:cs="Arial"/>
          <w:color w:val="000000" w:themeColor="text1"/>
          <w:szCs w:val="24"/>
          <w:lang w:val="es-ES"/>
        </w:rPr>
        <w:t>argumentando que la información enviada, está incompleta.</w:t>
      </w:r>
    </w:p>
    <w:p w:rsidR="00515607" w:rsidRPr="00BA791B" w:rsidRDefault="004D1CAC" w:rsidP="00600BA3">
      <w:pPr>
        <w:spacing w:before="240" w:after="240" w:line="360" w:lineRule="auto"/>
        <w:jc w:val="both"/>
        <w:rPr>
          <w:rFonts w:ascii="Palatino Linotype" w:eastAsia="Calibri" w:hAnsi="Palatino Linotype" w:cs="Arial"/>
          <w:color w:val="000000" w:themeColor="text1"/>
          <w:sz w:val="20"/>
          <w:szCs w:val="24"/>
          <w:lang w:val="es-ES"/>
        </w:rPr>
      </w:pPr>
      <w:r w:rsidRPr="00BA791B">
        <w:rPr>
          <w:rFonts w:ascii="Palatino Linotype" w:eastAsia="Calibri" w:hAnsi="Palatino Linotype" w:cs="Arial"/>
          <w:color w:val="000000" w:themeColor="text1"/>
          <w:szCs w:val="24"/>
          <w:lang w:val="es-ES"/>
        </w:rPr>
        <w:t xml:space="preserve">Cabe precisar que el </w:t>
      </w:r>
      <w:r w:rsidR="00642384" w:rsidRPr="00BA791B">
        <w:rPr>
          <w:rFonts w:ascii="Palatino Linotype" w:eastAsia="Calibri" w:hAnsi="Palatino Linotype" w:cs="Arial"/>
          <w:color w:val="000000" w:themeColor="text1"/>
          <w:szCs w:val="24"/>
          <w:lang w:val="es-ES"/>
        </w:rPr>
        <w:t xml:space="preserve">Sujeto Obligado vía informe justificado, </w:t>
      </w:r>
      <w:r w:rsidR="00074BC0" w:rsidRPr="00BA791B">
        <w:rPr>
          <w:rFonts w:ascii="Palatino Linotype" w:eastAsia="Calibri" w:hAnsi="Palatino Linotype" w:cs="Arial"/>
          <w:color w:val="000000" w:themeColor="text1"/>
          <w:szCs w:val="24"/>
          <w:lang w:val="es-ES"/>
        </w:rPr>
        <w:t>ratifica en términos generales su respuesta inicial.</w:t>
      </w:r>
    </w:p>
    <w:p w:rsidR="00515607" w:rsidRPr="00BA791B" w:rsidRDefault="00F4125F" w:rsidP="00600BA3">
      <w:pPr>
        <w:spacing w:before="240" w:after="240" w:line="360" w:lineRule="auto"/>
        <w:jc w:val="both"/>
        <w:rPr>
          <w:rFonts w:ascii="Palatino Linotype" w:eastAsia="Calibri" w:hAnsi="Palatino Linotype" w:cs="Arial"/>
          <w:color w:val="000000" w:themeColor="text1"/>
          <w:szCs w:val="24"/>
          <w:lang w:val="es-ES"/>
        </w:rPr>
      </w:pPr>
      <w:r w:rsidRPr="00BA791B">
        <w:rPr>
          <w:rFonts w:ascii="Palatino Linotype" w:eastAsia="Calibri" w:hAnsi="Palatino Linotype" w:cs="Arial"/>
          <w:color w:val="000000" w:themeColor="text1"/>
          <w:szCs w:val="24"/>
          <w:lang w:val="es-ES"/>
        </w:rPr>
        <w:t xml:space="preserve">Ahora, derivado de lo anterior la Ponencia que resolvió, determinó </w:t>
      </w:r>
      <w:r w:rsidR="00074BC0" w:rsidRPr="00BA791B">
        <w:rPr>
          <w:rFonts w:ascii="Palatino Linotype" w:eastAsia="Calibri" w:hAnsi="Palatino Linotype" w:cs="Arial"/>
          <w:color w:val="000000" w:themeColor="text1"/>
          <w:szCs w:val="24"/>
          <w:lang w:val="es-ES"/>
        </w:rPr>
        <w:t>modificar la respuesta del Sujeto Obligado</w:t>
      </w:r>
      <w:r w:rsidR="00D9057B" w:rsidRPr="00BA791B">
        <w:rPr>
          <w:rFonts w:ascii="Palatino Linotype" w:eastAsia="Calibri" w:hAnsi="Palatino Linotype" w:cs="Arial"/>
          <w:color w:val="000000" w:themeColor="text1"/>
          <w:szCs w:val="24"/>
          <w:lang w:val="es-ES"/>
        </w:rPr>
        <w:t xml:space="preserve"> de la manera</w:t>
      </w:r>
      <w:r w:rsidRPr="00BA791B">
        <w:rPr>
          <w:rFonts w:ascii="Palatino Linotype" w:eastAsia="Calibri" w:hAnsi="Palatino Linotype" w:cs="Arial"/>
          <w:color w:val="000000" w:themeColor="text1"/>
          <w:szCs w:val="24"/>
          <w:lang w:val="es-ES"/>
        </w:rPr>
        <w:t xml:space="preserve"> siguiente:</w:t>
      </w:r>
    </w:p>
    <w:p w:rsidR="00074BC0" w:rsidRPr="00BA791B" w:rsidRDefault="00D9057B" w:rsidP="00074BC0">
      <w:pPr>
        <w:spacing w:before="100" w:beforeAutospacing="1" w:after="100" w:afterAutospacing="1" w:line="240" w:lineRule="auto"/>
        <w:ind w:left="851" w:right="851"/>
        <w:jc w:val="both"/>
        <w:rPr>
          <w:rFonts w:ascii="Palatino Linotype" w:eastAsia="Calibri" w:hAnsi="Palatino Linotype" w:cs="Arial"/>
          <w:b/>
          <w:i/>
          <w:sz w:val="20"/>
          <w:lang w:val="es-ES"/>
        </w:rPr>
      </w:pPr>
      <w:r w:rsidRPr="00BA791B">
        <w:rPr>
          <w:rFonts w:ascii="Palatino Linotype" w:eastAsia="Calibri" w:hAnsi="Palatino Linotype" w:cs="Arial"/>
          <w:b/>
          <w:i/>
          <w:sz w:val="20"/>
        </w:rPr>
        <w:t>“</w:t>
      </w:r>
      <w:r w:rsidR="00074BC0" w:rsidRPr="00BA791B">
        <w:rPr>
          <w:rFonts w:ascii="Palatino Linotype" w:eastAsia="Calibri" w:hAnsi="Palatino Linotype" w:cs="Arial"/>
          <w:b/>
          <w:i/>
          <w:sz w:val="20"/>
          <w:lang w:val="es-ES"/>
        </w:rPr>
        <w:t>SEGUNDO. Se MODIFICA la respuesta emitida por la Universidad Politécnica del Valle de Toluca y se ORDENA entregar vía</w:t>
      </w:r>
      <w:r w:rsidR="00074BC0" w:rsidRPr="00BA791B">
        <w:rPr>
          <w:rFonts w:ascii="Palatino Linotype" w:eastAsia="Calibri" w:hAnsi="Palatino Linotype" w:cs="Arial"/>
          <w:b/>
          <w:i/>
          <w:sz w:val="20"/>
          <w:lang w:val="es-ES_tradnl"/>
        </w:rPr>
        <w:t xml:space="preserve"> Consulta Directa</w:t>
      </w:r>
      <w:r w:rsidR="00074BC0" w:rsidRPr="00BA791B">
        <w:rPr>
          <w:rFonts w:ascii="Palatino Linotype" w:eastAsia="Calibri" w:hAnsi="Palatino Linotype" w:cs="Arial"/>
          <w:b/>
          <w:i/>
          <w:sz w:val="20"/>
          <w:lang w:val="es-ES"/>
        </w:rPr>
        <w:t>, de ser el  caso en versión pública de la siguiente información:</w:t>
      </w:r>
    </w:p>
    <w:p w:rsidR="00D9057B" w:rsidRPr="00BA791B" w:rsidRDefault="00074BC0" w:rsidP="00074BC0">
      <w:pPr>
        <w:numPr>
          <w:ilvl w:val="0"/>
          <w:numId w:val="5"/>
        </w:numPr>
        <w:spacing w:before="100" w:beforeAutospacing="1" w:after="100" w:afterAutospacing="1" w:line="240" w:lineRule="auto"/>
        <w:ind w:right="851"/>
        <w:jc w:val="both"/>
        <w:rPr>
          <w:rFonts w:ascii="Palatino Linotype" w:eastAsia="Calibri" w:hAnsi="Palatino Linotype" w:cs="Arial"/>
          <w:b/>
          <w:i/>
          <w:sz w:val="20"/>
        </w:rPr>
      </w:pPr>
      <w:r w:rsidRPr="00BA791B">
        <w:rPr>
          <w:rFonts w:ascii="Palatino Linotype" w:eastAsia="Calibri" w:hAnsi="Palatino Linotype" w:cs="Arial"/>
          <w:b/>
          <w:i/>
          <w:sz w:val="20"/>
          <w:lang w:val="es-ES_tradnl"/>
        </w:rPr>
        <w:t xml:space="preserve">Los convenios duales generados por el Departamento de Vinculación y Extensión de la Universidad Politécnica del Valle de Toluca </w:t>
      </w:r>
      <w:r w:rsidRPr="00BA791B">
        <w:rPr>
          <w:rFonts w:ascii="Palatino Linotype" w:eastAsia="Calibri" w:hAnsi="Palatino Linotype" w:cs="Arial"/>
          <w:b/>
          <w:i/>
          <w:sz w:val="20"/>
        </w:rPr>
        <w:t>del periodo comprendido del catorce (14) de noviembre de 2006 al veintitrés (23) de mayo de 2018.”</w:t>
      </w:r>
    </w:p>
    <w:p w:rsidR="008D542B" w:rsidRPr="00BA791B" w:rsidRDefault="002E5896" w:rsidP="001047AF">
      <w:pPr>
        <w:spacing w:before="100" w:beforeAutospacing="1" w:after="100" w:afterAutospacing="1" w:line="360" w:lineRule="auto"/>
        <w:jc w:val="both"/>
        <w:rPr>
          <w:rFonts w:ascii="Palatino Linotype" w:eastAsia="Calibri" w:hAnsi="Palatino Linotype" w:cs="Arial"/>
          <w:color w:val="000000" w:themeColor="text1"/>
          <w:szCs w:val="24"/>
          <w:lang w:val="es-ES"/>
        </w:rPr>
      </w:pPr>
      <w:r w:rsidRPr="00BA791B">
        <w:rPr>
          <w:rFonts w:ascii="Palatino Linotype" w:eastAsia="Calibri" w:hAnsi="Palatino Linotype" w:cs="Arial"/>
          <w:color w:val="000000" w:themeColor="text1"/>
          <w:szCs w:val="24"/>
          <w:lang w:val="es-ES"/>
        </w:rPr>
        <w:t>Es im</w:t>
      </w:r>
      <w:r w:rsidR="001A4822" w:rsidRPr="00BA791B">
        <w:rPr>
          <w:rFonts w:ascii="Palatino Linotype" w:eastAsia="Calibri" w:hAnsi="Palatino Linotype" w:cs="Arial"/>
          <w:color w:val="000000" w:themeColor="text1"/>
          <w:szCs w:val="24"/>
          <w:lang w:val="es-ES"/>
        </w:rPr>
        <w:t xml:space="preserve">portante mencionar que los convenios duales, según el Modelo Mexicano de Formación Dual tiene como objetivo; </w:t>
      </w:r>
      <w:r w:rsidR="001A4822" w:rsidRPr="00BA791B">
        <w:rPr>
          <w:rFonts w:ascii="Palatino Linotype" w:eastAsia="Calibri" w:hAnsi="Palatino Linotype" w:cs="Arial"/>
          <w:i/>
          <w:color w:val="000000" w:themeColor="text1"/>
          <w:szCs w:val="24"/>
        </w:rPr>
        <w:t>buscar la vinculación de la teoría y la práctica, integrando al estudiante en la empresa para desarrollar sus competencias profesionales, al tiempo que desarrolla competencias genéricas y disciplinares a fin de lograr una educación integral mediante la concertación de convenios de colaboración y coordinación educativa entre empresa y planteles.</w:t>
      </w:r>
    </w:p>
    <w:p w:rsidR="001A4822" w:rsidRPr="00BA791B" w:rsidRDefault="001A4822" w:rsidP="00227985">
      <w:pPr>
        <w:spacing w:before="240" w:after="0" w:line="360" w:lineRule="auto"/>
        <w:jc w:val="both"/>
        <w:rPr>
          <w:rFonts w:ascii="Palatino Linotype" w:hAnsi="Palatino Linotype" w:cs="Arial"/>
          <w:szCs w:val="24"/>
        </w:rPr>
      </w:pPr>
      <w:r w:rsidRPr="00BA791B">
        <w:rPr>
          <w:rFonts w:ascii="Palatino Linotype" w:hAnsi="Palatino Linotype" w:cs="Arial"/>
          <w:szCs w:val="24"/>
        </w:rPr>
        <w:t>Dicho lo anterior, los convenios duales serán aquellos instrumentos jurídicos por los cuales las instituciones educativas, para el caso concreto la Universidad Politécnica del Valle de Toluca, realicen con empresas del sector público o privado, para que los estudiantes sean vinculados al campo laboral y tengan una formación integral.</w:t>
      </w:r>
    </w:p>
    <w:p w:rsidR="001A4822" w:rsidRPr="00BA791B" w:rsidRDefault="001A4822" w:rsidP="00227985">
      <w:pPr>
        <w:spacing w:before="240" w:after="0" w:line="360" w:lineRule="auto"/>
        <w:jc w:val="both"/>
        <w:rPr>
          <w:rFonts w:ascii="Palatino Linotype" w:hAnsi="Palatino Linotype" w:cs="Arial"/>
          <w:szCs w:val="24"/>
        </w:rPr>
      </w:pPr>
      <w:r w:rsidRPr="00BA791B">
        <w:rPr>
          <w:rFonts w:ascii="Palatino Linotype" w:hAnsi="Palatino Linotype" w:cs="Arial"/>
          <w:szCs w:val="24"/>
        </w:rPr>
        <w:lastRenderedPageBreak/>
        <w:t>Dada la naturaleza de los instrumentos jurídicos</w:t>
      </w:r>
      <w:r w:rsidR="00A74B64" w:rsidRPr="00BA791B">
        <w:rPr>
          <w:rFonts w:ascii="Palatino Linotype" w:hAnsi="Palatino Linotype" w:cs="Arial"/>
          <w:szCs w:val="24"/>
        </w:rPr>
        <w:t>, estos convenios de colaboración o concertación según los Lineamientos técnicos generales para la publicación, homologación y estandarización de la información de las obligaciones comunes de transparencia, deben ser publicados por los Sujetos Obligados</w:t>
      </w:r>
      <w:r w:rsidR="005322BC" w:rsidRPr="00BA791B">
        <w:rPr>
          <w:rFonts w:ascii="Palatino Linotype" w:hAnsi="Palatino Linotype" w:cs="Arial"/>
          <w:szCs w:val="24"/>
        </w:rPr>
        <w:t xml:space="preserve"> de manera trimestral, tanto del ejercicio de la administración actual, como del ejercicio anterior, y aquellos que sean vigentes aun y cuando hayan sido de ejercicios anteriores, como a continuación se puede visualizar:</w:t>
      </w:r>
    </w:p>
    <w:p w:rsidR="005322BC" w:rsidRPr="00BA791B" w:rsidRDefault="005322BC" w:rsidP="00BA791B">
      <w:pPr>
        <w:spacing w:before="100" w:beforeAutospacing="1" w:after="100" w:afterAutospacing="1" w:line="360" w:lineRule="auto"/>
        <w:ind w:left="851" w:right="851"/>
        <w:jc w:val="both"/>
        <w:rPr>
          <w:rFonts w:ascii="Palatino Linotype" w:hAnsi="Palatino Linotype" w:cs="Arial"/>
          <w:i/>
          <w:szCs w:val="24"/>
        </w:rPr>
      </w:pPr>
      <w:r w:rsidRPr="00BA791B">
        <w:rPr>
          <w:rFonts w:ascii="Palatino Linotype" w:hAnsi="Palatino Linotype" w:cs="Arial"/>
          <w:i/>
          <w:szCs w:val="24"/>
        </w:rPr>
        <w:t>“XXXIII. Los convenios de coordinación de concertación con los sectores social y privado Todos los sujetos obligados deberán publicar la información relativa a cualquier convenio de coordinación y/o de concertación celebrado con los sectores social y privado, tanto en el ámbito nacional como internacional. En el caso de este último se deberán contemplar de forma enunciativa más no limitativa los convenios celebrados con organismos y organizaciones internacionales que persigan algún interés social o privado.</w:t>
      </w:r>
    </w:p>
    <w:p w:rsidR="005322BC" w:rsidRPr="00BA791B" w:rsidRDefault="005322BC" w:rsidP="00BA791B">
      <w:pPr>
        <w:spacing w:before="100" w:beforeAutospacing="1" w:after="100" w:afterAutospacing="1" w:line="360" w:lineRule="auto"/>
        <w:ind w:left="851" w:right="851"/>
        <w:jc w:val="both"/>
        <w:rPr>
          <w:rFonts w:ascii="Palatino Linotype" w:hAnsi="Palatino Linotype" w:cs="Arial"/>
          <w:i/>
          <w:szCs w:val="24"/>
        </w:rPr>
      </w:pPr>
      <w:r w:rsidRPr="00BA791B">
        <w:rPr>
          <w:rFonts w:ascii="Palatino Linotype" w:hAnsi="Palatino Linotype" w:cs="Arial"/>
          <w:i/>
          <w:szCs w:val="24"/>
        </w:rPr>
        <w:t xml:space="preserve">Se incluirá un hipervínculo al documento completo del convenio en su versión final. El sujeto obligado cuidará que, en caso de que el cuerpo del instrumento jurídico contenga información reservada y/o datos personales, se elabore una versión pública del mismo para su difusión. La información que se publique en esta fracción deberá guardar correspondencia con lo difundido en cumplimiento de la fracciones XXIII (comunicación social) y XXVII (concesiones, contratos, convenios, permisos, licencias o autorizaciones) del artículo 70 de la Ley General. </w:t>
      </w:r>
    </w:p>
    <w:p w:rsidR="005322BC" w:rsidRPr="00BA791B" w:rsidRDefault="005322BC" w:rsidP="00BA791B">
      <w:pPr>
        <w:spacing w:before="100" w:beforeAutospacing="1" w:after="100" w:afterAutospacing="1" w:line="360" w:lineRule="auto"/>
        <w:ind w:left="851" w:right="851"/>
        <w:jc w:val="both"/>
        <w:rPr>
          <w:rFonts w:ascii="Palatino Linotype" w:hAnsi="Palatino Linotype" w:cs="Arial"/>
          <w:i/>
          <w:szCs w:val="24"/>
        </w:rPr>
      </w:pPr>
      <w:r w:rsidRPr="00BA791B">
        <w:rPr>
          <w:rFonts w:ascii="Palatino Linotype" w:hAnsi="Palatino Linotype" w:cs="Arial"/>
          <w:i/>
          <w:szCs w:val="24"/>
        </w:rPr>
        <w:t xml:space="preserve">En esta fracción no se publicarán los convenios modificatorios relacionados con los procedimientos de adjudicación directa, invitación restringida, ni licitaciones </w:t>
      </w:r>
      <w:r w:rsidRPr="00BA791B">
        <w:rPr>
          <w:rFonts w:ascii="Palatino Linotype" w:hAnsi="Palatino Linotype" w:cs="Arial"/>
          <w:i/>
          <w:szCs w:val="24"/>
        </w:rPr>
        <w:lastRenderedPageBreak/>
        <w:t xml:space="preserve">de cualquier naturaleza, pues éstos corresponden a información solicitada por la fracción XXVIII del mismo artículo 70. </w:t>
      </w:r>
    </w:p>
    <w:p w:rsidR="005322BC" w:rsidRPr="00BA791B" w:rsidRDefault="005322BC" w:rsidP="00BA791B">
      <w:pPr>
        <w:spacing w:before="100" w:beforeAutospacing="1" w:after="100" w:afterAutospacing="1" w:line="360" w:lineRule="auto"/>
        <w:ind w:left="851" w:right="851"/>
        <w:jc w:val="both"/>
        <w:rPr>
          <w:rFonts w:ascii="Palatino Linotype" w:hAnsi="Palatino Linotype" w:cs="Arial"/>
          <w:i/>
          <w:szCs w:val="24"/>
        </w:rPr>
      </w:pPr>
      <w:r w:rsidRPr="00BA791B">
        <w:rPr>
          <w:rFonts w:ascii="Palatino Linotype" w:hAnsi="Palatino Linotype" w:cs="Arial"/>
          <w:i/>
          <w:szCs w:val="24"/>
        </w:rPr>
        <w:t xml:space="preserve">Periodo de actualización: trimestral </w:t>
      </w:r>
    </w:p>
    <w:p w:rsidR="005322BC" w:rsidRPr="00BA791B" w:rsidRDefault="005322BC" w:rsidP="00BA791B">
      <w:pPr>
        <w:spacing w:before="100" w:beforeAutospacing="1" w:after="100" w:afterAutospacing="1" w:line="360" w:lineRule="auto"/>
        <w:ind w:left="851" w:right="851"/>
        <w:jc w:val="both"/>
        <w:rPr>
          <w:rFonts w:ascii="Palatino Linotype" w:hAnsi="Palatino Linotype" w:cs="Arial"/>
          <w:i/>
          <w:szCs w:val="24"/>
        </w:rPr>
      </w:pPr>
      <w:r w:rsidRPr="00BA791B">
        <w:rPr>
          <w:rFonts w:ascii="Palatino Linotype" w:hAnsi="Palatino Linotype" w:cs="Arial"/>
          <w:i/>
          <w:szCs w:val="24"/>
        </w:rPr>
        <w:t xml:space="preserve">Conservar en el sitio de Internet: información del ejercicio en curso, la correspondiente al ejercicio anterior y los instrumentos jurídicos vigentes aun cuando éstos sean de ejercicios anteriores. </w:t>
      </w:r>
    </w:p>
    <w:p w:rsidR="005322BC" w:rsidRPr="00BA791B" w:rsidRDefault="005322BC" w:rsidP="00BA791B">
      <w:pPr>
        <w:spacing w:before="100" w:beforeAutospacing="1" w:after="100" w:afterAutospacing="1" w:line="360" w:lineRule="auto"/>
        <w:ind w:left="851" w:right="851"/>
        <w:jc w:val="both"/>
        <w:rPr>
          <w:rFonts w:ascii="Palatino Linotype" w:hAnsi="Palatino Linotype" w:cs="Arial"/>
          <w:i/>
          <w:szCs w:val="24"/>
        </w:rPr>
      </w:pPr>
      <w:r w:rsidRPr="00BA791B">
        <w:rPr>
          <w:rFonts w:ascii="Palatino Linotype" w:hAnsi="Palatino Linotype" w:cs="Arial"/>
          <w:i/>
          <w:szCs w:val="24"/>
        </w:rPr>
        <w:t xml:space="preserve">Aplica a: todos los sujetos obligados </w:t>
      </w:r>
    </w:p>
    <w:p w:rsidR="00227985" w:rsidRDefault="005322BC" w:rsidP="00BA791B">
      <w:pPr>
        <w:spacing w:before="100" w:beforeAutospacing="1" w:after="100" w:afterAutospacing="1" w:line="360" w:lineRule="auto"/>
        <w:ind w:left="851" w:right="851"/>
        <w:jc w:val="both"/>
        <w:rPr>
          <w:rFonts w:ascii="Palatino Linotype" w:hAnsi="Palatino Linotype" w:cs="Arial"/>
          <w:i/>
          <w:szCs w:val="24"/>
        </w:rPr>
      </w:pPr>
      <w:r w:rsidRPr="00BA791B">
        <w:rPr>
          <w:rFonts w:ascii="Palatino Linotype" w:hAnsi="Palatino Linotype" w:cs="Arial"/>
          <w:i/>
          <w:szCs w:val="24"/>
        </w:rPr>
        <w:t>(…)”</w:t>
      </w:r>
    </w:p>
    <w:p w:rsidR="005322BC" w:rsidRPr="00BA791B" w:rsidRDefault="005322BC" w:rsidP="005322BC">
      <w:pPr>
        <w:spacing w:before="240" w:after="0" w:line="360" w:lineRule="auto"/>
        <w:jc w:val="center"/>
        <w:rPr>
          <w:rFonts w:ascii="Palatino Linotype" w:hAnsi="Palatino Linotype" w:cs="Arial"/>
          <w:szCs w:val="24"/>
        </w:rPr>
      </w:pPr>
      <w:r w:rsidRPr="00BA791B">
        <w:rPr>
          <w:noProof/>
          <w:sz w:val="20"/>
          <w:lang w:eastAsia="es-MX"/>
        </w:rPr>
        <w:drawing>
          <wp:inline distT="0" distB="0" distL="0" distR="0" wp14:anchorId="5C07A2A9" wp14:editId="4075E6BE">
            <wp:extent cx="4389120" cy="3727446"/>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4585" t="34707" r="34820" b="19098"/>
                    <a:stretch/>
                  </pic:blipFill>
                  <pic:spPr bwMode="auto">
                    <a:xfrm>
                      <a:off x="0" y="0"/>
                      <a:ext cx="4406375" cy="3742099"/>
                    </a:xfrm>
                    <a:prstGeom prst="rect">
                      <a:avLst/>
                    </a:prstGeom>
                    <a:ln>
                      <a:noFill/>
                    </a:ln>
                    <a:extLst>
                      <a:ext uri="{53640926-AAD7-44D8-BBD7-CCE9431645EC}">
                        <a14:shadowObscured xmlns:a14="http://schemas.microsoft.com/office/drawing/2010/main"/>
                      </a:ext>
                    </a:extLst>
                  </pic:spPr>
                </pic:pic>
              </a:graphicData>
            </a:graphic>
          </wp:inline>
        </w:drawing>
      </w:r>
    </w:p>
    <w:p w:rsidR="005322BC" w:rsidRPr="00BA791B" w:rsidRDefault="005322BC" w:rsidP="005322BC">
      <w:pPr>
        <w:spacing w:before="240" w:after="0" w:line="360" w:lineRule="auto"/>
        <w:jc w:val="both"/>
        <w:rPr>
          <w:rFonts w:ascii="Palatino Linotype" w:hAnsi="Palatino Linotype" w:cs="Arial"/>
          <w:szCs w:val="24"/>
        </w:rPr>
      </w:pPr>
      <w:r w:rsidRPr="00BA791B">
        <w:rPr>
          <w:rFonts w:ascii="Palatino Linotype" w:hAnsi="Palatino Linotype" w:cs="Arial"/>
          <w:szCs w:val="24"/>
        </w:rPr>
        <w:lastRenderedPageBreak/>
        <w:t xml:space="preserve">En ese mismo sentido la misma Ley de la materia, es clara y específica, cuando menciona que como obligación común de transparencia que deben </w:t>
      </w:r>
      <w:r w:rsidR="00FF099A" w:rsidRPr="00BA791B">
        <w:rPr>
          <w:rFonts w:ascii="Palatino Linotype" w:hAnsi="Palatino Linotype" w:cs="Arial"/>
          <w:szCs w:val="24"/>
        </w:rPr>
        <w:t>mantener</w:t>
      </w:r>
      <w:r w:rsidRPr="00BA791B">
        <w:rPr>
          <w:rFonts w:ascii="Palatino Linotype" w:hAnsi="Palatino Linotype" w:cs="Arial"/>
          <w:szCs w:val="24"/>
        </w:rPr>
        <w:t xml:space="preserve"> los </w:t>
      </w:r>
      <w:r w:rsidR="00FF099A" w:rsidRPr="00BA791B">
        <w:rPr>
          <w:rFonts w:ascii="Palatino Linotype" w:hAnsi="Palatino Linotype" w:cs="Arial"/>
          <w:szCs w:val="24"/>
        </w:rPr>
        <w:t>Sujetos</w:t>
      </w:r>
      <w:r w:rsidRPr="00BA791B">
        <w:rPr>
          <w:rFonts w:ascii="Palatino Linotype" w:hAnsi="Palatino Linotype" w:cs="Arial"/>
          <w:szCs w:val="24"/>
        </w:rPr>
        <w:t xml:space="preserve"> Obligados, actualizada, es </w:t>
      </w:r>
      <w:r w:rsidR="00FF099A" w:rsidRPr="00BA791B">
        <w:rPr>
          <w:rFonts w:ascii="Palatino Linotype" w:hAnsi="Palatino Linotype" w:cs="Arial"/>
          <w:szCs w:val="24"/>
        </w:rPr>
        <w:t>precisamente</w:t>
      </w:r>
      <w:r w:rsidRPr="00BA791B">
        <w:rPr>
          <w:rFonts w:ascii="Palatino Linotype" w:hAnsi="Palatino Linotype" w:cs="Arial"/>
          <w:szCs w:val="24"/>
        </w:rPr>
        <w:t xml:space="preserve"> los </w:t>
      </w:r>
      <w:r w:rsidR="00FF099A" w:rsidRPr="00BA791B">
        <w:rPr>
          <w:rFonts w:ascii="Palatino Linotype" w:hAnsi="Palatino Linotype" w:cs="Arial"/>
          <w:szCs w:val="24"/>
        </w:rPr>
        <w:t>convenios</w:t>
      </w:r>
      <w:r w:rsidRPr="00BA791B">
        <w:rPr>
          <w:rFonts w:ascii="Palatino Linotype" w:hAnsi="Palatino Linotype" w:cs="Arial"/>
          <w:szCs w:val="24"/>
        </w:rPr>
        <w:t xml:space="preserve"> de colaboración y concertación</w:t>
      </w:r>
      <w:r w:rsidR="00FF099A" w:rsidRPr="00BA791B">
        <w:rPr>
          <w:rFonts w:ascii="Palatino Linotype" w:hAnsi="Palatino Linotype" w:cs="Arial"/>
          <w:szCs w:val="24"/>
        </w:rPr>
        <w:t xml:space="preserve"> con los sectores público, social y privado</w:t>
      </w:r>
      <w:r w:rsidRPr="00BA791B">
        <w:rPr>
          <w:rFonts w:ascii="Palatino Linotype" w:hAnsi="Palatino Linotype" w:cs="Arial"/>
          <w:szCs w:val="24"/>
        </w:rPr>
        <w:t xml:space="preserve">, plasmado en la fracción </w:t>
      </w:r>
      <w:r w:rsidR="00FF099A" w:rsidRPr="00BA791B">
        <w:rPr>
          <w:rFonts w:ascii="Palatino Linotype" w:hAnsi="Palatino Linotype" w:cs="Arial"/>
          <w:szCs w:val="24"/>
        </w:rPr>
        <w:t>XXXVII del artículo 92, que se trascribe a continuación:</w:t>
      </w:r>
    </w:p>
    <w:p w:rsidR="00FF099A" w:rsidRPr="00BA791B" w:rsidRDefault="00FF099A" w:rsidP="00803B8F">
      <w:pPr>
        <w:spacing w:before="100" w:beforeAutospacing="1" w:after="100" w:afterAutospacing="1" w:line="240" w:lineRule="auto"/>
        <w:ind w:left="851" w:right="851"/>
        <w:jc w:val="both"/>
        <w:rPr>
          <w:rFonts w:ascii="Palatino Linotype" w:hAnsi="Palatino Linotype" w:cs="Arial"/>
          <w:i/>
          <w:szCs w:val="24"/>
        </w:rPr>
      </w:pPr>
      <w:r w:rsidRPr="00BA791B">
        <w:rPr>
          <w:rFonts w:ascii="Palatino Linotype" w:hAnsi="Palatino Linotype" w:cs="Arial"/>
          <w:i/>
          <w:szCs w:val="24"/>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FF099A" w:rsidRPr="00BA791B" w:rsidRDefault="00FF099A" w:rsidP="00803B8F">
      <w:pPr>
        <w:spacing w:before="100" w:beforeAutospacing="1" w:after="100" w:afterAutospacing="1" w:line="240" w:lineRule="auto"/>
        <w:ind w:left="851" w:right="851"/>
        <w:jc w:val="both"/>
        <w:rPr>
          <w:rFonts w:ascii="Palatino Linotype" w:hAnsi="Palatino Linotype" w:cs="Arial"/>
          <w:i/>
          <w:szCs w:val="24"/>
        </w:rPr>
      </w:pPr>
      <w:r w:rsidRPr="00BA791B">
        <w:rPr>
          <w:rFonts w:ascii="Palatino Linotype" w:hAnsi="Palatino Linotype" w:cs="Arial"/>
          <w:i/>
          <w:szCs w:val="24"/>
        </w:rPr>
        <w:t>(…)</w:t>
      </w:r>
    </w:p>
    <w:p w:rsidR="00FF099A" w:rsidRPr="00BA791B" w:rsidRDefault="00FF099A" w:rsidP="00803B8F">
      <w:pPr>
        <w:spacing w:before="100" w:beforeAutospacing="1" w:after="100" w:afterAutospacing="1" w:line="240" w:lineRule="auto"/>
        <w:ind w:left="851" w:right="851"/>
        <w:jc w:val="both"/>
        <w:rPr>
          <w:rFonts w:ascii="Palatino Linotype" w:hAnsi="Palatino Linotype" w:cs="Arial"/>
          <w:i/>
          <w:szCs w:val="24"/>
        </w:rPr>
      </w:pPr>
      <w:r w:rsidRPr="00BA791B">
        <w:rPr>
          <w:rFonts w:ascii="Palatino Linotype" w:hAnsi="Palatino Linotype" w:cs="Arial"/>
          <w:i/>
          <w:szCs w:val="24"/>
        </w:rPr>
        <w:t>XXXVII. Los convenios de coordinación, de concertación, entre otros, que suscriban con otros entes de los sectores público, social y privado; (…)”</w:t>
      </w:r>
    </w:p>
    <w:p w:rsidR="00803B8F" w:rsidRPr="00BA791B" w:rsidRDefault="00803B8F" w:rsidP="005322BC">
      <w:pPr>
        <w:spacing w:before="240" w:after="0" w:line="360" w:lineRule="auto"/>
        <w:jc w:val="both"/>
        <w:rPr>
          <w:rFonts w:ascii="Palatino Linotype" w:hAnsi="Palatino Linotype" w:cs="Arial"/>
          <w:szCs w:val="24"/>
        </w:rPr>
      </w:pPr>
      <w:r w:rsidRPr="00BA791B">
        <w:rPr>
          <w:rFonts w:ascii="Palatino Linotype" w:hAnsi="Palatino Linotype" w:cs="Arial"/>
          <w:szCs w:val="24"/>
        </w:rPr>
        <w:t>Derivado de lo anterior, la Ponencia que resolvió, si bien ordena al Sujeto Obligado que haga entrega del histórico de los convenios duales que ha signado con las diversas instituciones públicas</w:t>
      </w:r>
      <w:r w:rsidR="00866EF3" w:rsidRPr="00BA791B">
        <w:rPr>
          <w:rFonts w:ascii="Palatino Linotype" w:hAnsi="Palatino Linotype" w:cs="Arial"/>
          <w:szCs w:val="24"/>
        </w:rPr>
        <w:t>,</w:t>
      </w:r>
      <w:r w:rsidRPr="00BA791B">
        <w:rPr>
          <w:rFonts w:ascii="Palatino Linotype" w:hAnsi="Palatino Linotype" w:cs="Arial"/>
          <w:szCs w:val="24"/>
        </w:rPr>
        <w:t xml:space="preserve"> privadas y sociales, con base mayormente en un análisis sobre archivos, debió también puntualizar que es una obligación de transparencia y que debe estar en constante actualización en su portal IPOMEX</w:t>
      </w:r>
      <w:r w:rsidR="00BA791B" w:rsidRPr="00BA791B">
        <w:rPr>
          <w:rFonts w:ascii="Palatino Linotype" w:hAnsi="Palatino Linotype" w:cs="Arial"/>
          <w:szCs w:val="24"/>
        </w:rPr>
        <w:t>; t</w:t>
      </w:r>
      <w:r w:rsidR="00866EF3" w:rsidRPr="00BA791B">
        <w:rPr>
          <w:rFonts w:ascii="Palatino Linotype" w:hAnsi="Palatino Linotype" w:cs="Arial"/>
          <w:szCs w:val="24"/>
        </w:rPr>
        <w:t xml:space="preserve">anto del ejercicio actual como de los anteriores, como ya se ha precisado, y como tal se debió ordenar la entrega de dicha información vía SAIMEX toda vez que esos </w:t>
      </w:r>
      <w:r w:rsidR="00BA791B" w:rsidRPr="00BA791B">
        <w:rPr>
          <w:rFonts w:ascii="Palatino Linotype" w:hAnsi="Palatino Linotype" w:cs="Arial"/>
          <w:szCs w:val="24"/>
        </w:rPr>
        <w:t>documentos</w:t>
      </w:r>
      <w:r w:rsidR="00866EF3" w:rsidRPr="00BA791B">
        <w:rPr>
          <w:rFonts w:ascii="Palatino Linotype" w:hAnsi="Palatino Linotype" w:cs="Arial"/>
          <w:szCs w:val="24"/>
        </w:rPr>
        <w:t xml:space="preserve"> ya deberían estar digitalizados y por lo tanto disponibles al </w:t>
      </w:r>
      <w:r w:rsidR="00BA791B" w:rsidRPr="00BA791B">
        <w:rPr>
          <w:rFonts w:ascii="Palatino Linotype" w:hAnsi="Palatino Linotype" w:cs="Arial"/>
          <w:szCs w:val="24"/>
        </w:rPr>
        <w:t>público</w:t>
      </w:r>
      <w:r w:rsidR="00866EF3" w:rsidRPr="00BA791B">
        <w:rPr>
          <w:rFonts w:ascii="Palatino Linotype" w:hAnsi="Palatino Linotype" w:cs="Arial"/>
          <w:szCs w:val="24"/>
        </w:rPr>
        <w:t xml:space="preserve"> y la restante, es decir, la de años atrás en la modalidad </w:t>
      </w:r>
      <w:r w:rsidR="00866EF3" w:rsidRPr="00BA791B">
        <w:rPr>
          <w:rFonts w:ascii="Palatino Linotype" w:hAnsi="Palatino Linotype" w:cs="Arial"/>
          <w:i/>
          <w:szCs w:val="24"/>
        </w:rPr>
        <w:t>in situ</w:t>
      </w:r>
      <w:r w:rsidR="00866EF3" w:rsidRPr="00BA791B">
        <w:rPr>
          <w:rFonts w:ascii="Palatino Linotype" w:hAnsi="Palatino Linotype" w:cs="Arial"/>
          <w:szCs w:val="24"/>
        </w:rPr>
        <w:t xml:space="preserve">, es entonces que la información </w:t>
      </w:r>
      <w:r w:rsidR="00BA791B" w:rsidRPr="00BA791B">
        <w:rPr>
          <w:rFonts w:ascii="Palatino Linotype" w:hAnsi="Palatino Linotype" w:cs="Arial"/>
          <w:szCs w:val="24"/>
        </w:rPr>
        <w:t xml:space="preserve"> no se debió ordenar en su totalidad bajo la modalidad de consulta directa;</w:t>
      </w:r>
      <w:r w:rsidRPr="00BA791B">
        <w:rPr>
          <w:rFonts w:ascii="Palatino Linotype" w:hAnsi="Palatino Linotype" w:cs="Arial"/>
          <w:szCs w:val="24"/>
        </w:rPr>
        <w:t xml:space="preserve"> para que así los ciudadanos puedan tener la información del quehacer público al alcance y no se violente el derecho de acceso a la información pública.</w:t>
      </w:r>
    </w:p>
    <w:p w:rsidR="005322BC" w:rsidRPr="00BA791B" w:rsidRDefault="005322BC" w:rsidP="005322BC">
      <w:pPr>
        <w:spacing w:before="240" w:after="0" w:line="360" w:lineRule="auto"/>
        <w:jc w:val="both"/>
        <w:rPr>
          <w:rFonts w:ascii="Palatino Linotype" w:hAnsi="Palatino Linotype" w:cs="Arial"/>
          <w:szCs w:val="24"/>
        </w:rPr>
      </w:pPr>
      <w:r w:rsidRPr="00BA791B">
        <w:rPr>
          <w:rFonts w:ascii="Palatino Linotype" w:hAnsi="Palatino Linotype" w:cs="Arial"/>
          <w:szCs w:val="24"/>
        </w:rPr>
        <w:lastRenderedPageBreak/>
        <w:t xml:space="preserve">Por todo lo expuesto es que formulo el presente voto particular, en los términos precisados, teniendo </w:t>
      </w:r>
      <w:r w:rsidR="00354676" w:rsidRPr="00BA791B">
        <w:rPr>
          <w:rFonts w:ascii="Palatino Linotype" w:hAnsi="Palatino Linotype" w:cs="Arial"/>
          <w:szCs w:val="24"/>
        </w:rPr>
        <w:t xml:space="preserve">que </w:t>
      </w:r>
      <w:r w:rsidRPr="00BA791B">
        <w:rPr>
          <w:rFonts w:ascii="Palatino Linotype" w:hAnsi="Palatino Linotype" w:cs="Arial"/>
          <w:szCs w:val="24"/>
        </w:rPr>
        <w:t xml:space="preserve">las consideraciones aquí expuestas hubieran resultado importantes para resolver el recurso de revisión. </w:t>
      </w:r>
    </w:p>
    <w:p w:rsidR="005322BC" w:rsidRPr="00BA791B" w:rsidRDefault="005322BC" w:rsidP="00227985">
      <w:pPr>
        <w:spacing w:before="240" w:after="0" w:line="360" w:lineRule="auto"/>
        <w:jc w:val="both"/>
        <w:rPr>
          <w:rFonts w:ascii="Palatino Linotype" w:hAnsi="Palatino Linotype" w:cs="Arial"/>
          <w:szCs w:val="24"/>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tblGrid>
      <w:tr w:rsidR="00227985" w:rsidRPr="00BA791B" w:rsidTr="00C50BB6">
        <w:trPr>
          <w:trHeight w:val="809"/>
          <w:jc w:val="center"/>
        </w:trPr>
        <w:tc>
          <w:tcPr>
            <w:tcW w:w="4396" w:type="dxa"/>
          </w:tcPr>
          <w:p w:rsidR="00227985" w:rsidRPr="00BA791B" w:rsidRDefault="00227985" w:rsidP="00803B8F">
            <w:pPr>
              <w:rPr>
                <w:rFonts w:ascii="Palatino Linotype" w:hAnsi="Palatino Linotype"/>
                <w:b/>
                <w:sz w:val="24"/>
                <w:szCs w:val="24"/>
              </w:rPr>
            </w:pPr>
          </w:p>
          <w:p w:rsidR="001F0720" w:rsidRPr="00BA791B" w:rsidRDefault="001F0720" w:rsidP="00803B8F">
            <w:pPr>
              <w:rPr>
                <w:rFonts w:ascii="Palatino Linotype" w:hAnsi="Palatino Linotype"/>
                <w:b/>
                <w:sz w:val="24"/>
                <w:szCs w:val="24"/>
              </w:rPr>
            </w:pPr>
          </w:p>
          <w:p w:rsidR="001F0720" w:rsidRPr="00BA791B" w:rsidRDefault="001F0720" w:rsidP="00C50BB6">
            <w:pPr>
              <w:jc w:val="center"/>
              <w:rPr>
                <w:rFonts w:ascii="Palatino Linotype" w:hAnsi="Palatino Linotype"/>
                <w:b/>
                <w:sz w:val="24"/>
                <w:szCs w:val="24"/>
              </w:rPr>
            </w:pPr>
          </w:p>
          <w:p w:rsidR="00227985" w:rsidRPr="00BA791B" w:rsidRDefault="00227985" w:rsidP="00C50BB6">
            <w:pPr>
              <w:jc w:val="center"/>
              <w:rPr>
                <w:rFonts w:ascii="Palatino Linotype" w:hAnsi="Palatino Linotype"/>
                <w:b/>
                <w:sz w:val="24"/>
                <w:szCs w:val="24"/>
              </w:rPr>
            </w:pPr>
            <w:r w:rsidRPr="00BA791B">
              <w:rPr>
                <w:rFonts w:ascii="Palatino Linotype" w:hAnsi="Palatino Linotype"/>
                <w:b/>
                <w:sz w:val="24"/>
                <w:szCs w:val="24"/>
              </w:rPr>
              <w:t>Javier Martínez Cruz</w:t>
            </w:r>
          </w:p>
        </w:tc>
      </w:tr>
      <w:tr w:rsidR="00227985" w:rsidRPr="00BA791B" w:rsidTr="00BA791B">
        <w:trPr>
          <w:trHeight w:val="92"/>
          <w:jc w:val="center"/>
        </w:trPr>
        <w:tc>
          <w:tcPr>
            <w:tcW w:w="4396" w:type="dxa"/>
          </w:tcPr>
          <w:p w:rsidR="00227985" w:rsidRPr="00BA791B" w:rsidRDefault="00227985" w:rsidP="00C50BB6">
            <w:pPr>
              <w:jc w:val="center"/>
              <w:rPr>
                <w:rFonts w:ascii="Palatino Linotype" w:hAnsi="Palatino Linotype"/>
                <w:b/>
                <w:sz w:val="24"/>
                <w:szCs w:val="24"/>
              </w:rPr>
            </w:pPr>
            <w:r w:rsidRPr="00BA791B">
              <w:rPr>
                <w:rFonts w:ascii="Palatino Linotype" w:hAnsi="Palatino Linotype"/>
                <w:b/>
                <w:sz w:val="24"/>
                <w:szCs w:val="24"/>
              </w:rPr>
              <w:t>Comisionado</w:t>
            </w:r>
          </w:p>
          <w:p w:rsidR="00DF658A" w:rsidRPr="00BA791B" w:rsidRDefault="00DF658A" w:rsidP="00C50BB6">
            <w:pPr>
              <w:jc w:val="center"/>
              <w:rPr>
                <w:rFonts w:ascii="Palatino Linotype" w:hAnsi="Palatino Linotype"/>
                <w:b/>
                <w:sz w:val="24"/>
                <w:szCs w:val="24"/>
              </w:rPr>
            </w:pPr>
          </w:p>
          <w:p w:rsidR="00227985" w:rsidRPr="00BA791B" w:rsidRDefault="00227985" w:rsidP="0059780A">
            <w:pPr>
              <w:rPr>
                <w:rFonts w:ascii="Palatino Linotype" w:hAnsi="Palatino Linotype"/>
                <w:sz w:val="24"/>
                <w:szCs w:val="24"/>
              </w:rPr>
            </w:pPr>
          </w:p>
        </w:tc>
      </w:tr>
    </w:tbl>
    <w:p w:rsidR="00247AFA" w:rsidRPr="00BA791B" w:rsidRDefault="00247AFA" w:rsidP="0059780A">
      <w:pPr>
        <w:rPr>
          <w:sz w:val="20"/>
          <w:szCs w:val="24"/>
        </w:rPr>
      </w:pPr>
    </w:p>
    <w:sectPr w:rsidR="00247AFA" w:rsidRPr="00BA791B">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78E5" w:rsidRDefault="009A78E5" w:rsidP="00247AFA">
      <w:pPr>
        <w:spacing w:after="0" w:line="240" w:lineRule="auto"/>
      </w:pPr>
      <w:r>
        <w:separator/>
      </w:r>
    </w:p>
  </w:endnote>
  <w:endnote w:type="continuationSeparator" w:id="0">
    <w:p w:rsidR="009A78E5" w:rsidRDefault="009A78E5" w:rsidP="00247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E65" w:rsidRDefault="009D3E65" w:rsidP="00E555F0">
    <w:pPr>
      <w:tabs>
        <w:tab w:val="center" w:pos="4419"/>
        <w:tab w:val="right" w:pos="8838"/>
      </w:tabs>
      <w:spacing w:after="0" w:line="240" w:lineRule="auto"/>
      <w:jc w:val="right"/>
      <w:rPr>
        <w:rFonts w:ascii="Arial" w:eastAsia="Calibri" w:hAnsi="Arial" w:cs="Arial"/>
        <w:b/>
        <w:bCs/>
        <w:sz w:val="20"/>
        <w:szCs w:val="20"/>
        <w:lang w:val="es-ES" w:eastAsia="es-ES"/>
      </w:rPr>
    </w:pPr>
  </w:p>
  <w:p w:rsidR="009D3E65" w:rsidRDefault="009D3E65" w:rsidP="00E555F0">
    <w:pPr>
      <w:tabs>
        <w:tab w:val="center" w:pos="4419"/>
        <w:tab w:val="right" w:pos="8838"/>
      </w:tabs>
      <w:spacing w:after="0" w:line="240" w:lineRule="auto"/>
      <w:jc w:val="right"/>
      <w:rPr>
        <w:rFonts w:ascii="Arial" w:eastAsia="Calibri" w:hAnsi="Arial" w:cs="Arial"/>
        <w:b/>
        <w:bCs/>
        <w:sz w:val="20"/>
        <w:szCs w:val="20"/>
        <w:lang w:val="es-ES" w:eastAsia="es-ES"/>
      </w:rPr>
    </w:pPr>
  </w:p>
  <w:p w:rsidR="009D3E65" w:rsidRDefault="009D3E65" w:rsidP="00E555F0">
    <w:pPr>
      <w:tabs>
        <w:tab w:val="center" w:pos="4419"/>
        <w:tab w:val="right" w:pos="8838"/>
      </w:tabs>
      <w:spacing w:after="0" w:line="240" w:lineRule="auto"/>
      <w:jc w:val="right"/>
      <w:rPr>
        <w:rFonts w:ascii="Arial" w:eastAsia="Calibri" w:hAnsi="Arial" w:cs="Arial"/>
        <w:b/>
        <w:bCs/>
        <w:sz w:val="20"/>
        <w:szCs w:val="20"/>
        <w:lang w:val="es-ES" w:eastAsia="es-ES"/>
      </w:rPr>
    </w:pPr>
  </w:p>
  <w:p w:rsidR="009D3E65" w:rsidRDefault="009D3E65" w:rsidP="00E555F0">
    <w:pPr>
      <w:tabs>
        <w:tab w:val="center" w:pos="4419"/>
        <w:tab w:val="right" w:pos="8838"/>
      </w:tabs>
      <w:spacing w:after="0" w:line="240" w:lineRule="auto"/>
      <w:jc w:val="right"/>
      <w:rPr>
        <w:rFonts w:ascii="Arial" w:eastAsia="Calibri" w:hAnsi="Arial" w:cs="Arial"/>
        <w:b/>
        <w:bCs/>
        <w:sz w:val="20"/>
        <w:szCs w:val="20"/>
        <w:lang w:val="es-ES" w:eastAsia="es-ES"/>
      </w:rPr>
    </w:pPr>
  </w:p>
  <w:p w:rsidR="009D3E65" w:rsidRDefault="009D3E65" w:rsidP="00E555F0">
    <w:pPr>
      <w:tabs>
        <w:tab w:val="center" w:pos="4419"/>
        <w:tab w:val="right" w:pos="8838"/>
      </w:tabs>
      <w:spacing w:after="0" w:line="240" w:lineRule="auto"/>
      <w:jc w:val="right"/>
      <w:rPr>
        <w:rFonts w:ascii="Arial" w:eastAsia="Calibri" w:hAnsi="Arial" w:cs="Arial"/>
        <w:b/>
        <w:bCs/>
        <w:sz w:val="20"/>
        <w:szCs w:val="20"/>
        <w:lang w:val="es-ES" w:eastAsia="es-ES"/>
      </w:rPr>
    </w:pPr>
  </w:p>
  <w:p w:rsidR="00E555F0" w:rsidRPr="00B7621A" w:rsidRDefault="00E555F0" w:rsidP="00E555F0">
    <w:pPr>
      <w:tabs>
        <w:tab w:val="center" w:pos="4419"/>
        <w:tab w:val="right" w:pos="8838"/>
      </w:tabs>
      <w:spacing w:after="0" w:line="240" w:lineRule="auto"/>
      <w:jc w:val="right"/>
      <w:rPr>
        <w:rFonts w:ascii="Calibri" w:eastAsia="Calibri" w:hAnsi="Calibri" w:cs="Times New Roman"/>
      </w:rPr>
    </w:pPr>
    <w:r w:rsidRPr="00B7621A">
      <w:rPr>
        <w:rFonts w:ascii="Arial" w:eastAsia="Calibri" w:hAnsi="Arial" w:cs="Arial"/>
        <w:b/>
        <w:bCs/>
        <w:sz w:val="20"/>
        <w:szCs w:val="20"/>
        <w:lang w:val="es-ES" w:eastAsia="es-ES"/>
      </w:rPr>
      <w:t xml:space="preserve">Página </w:t>
    </w:r>
    <w:r w:rsidRPr="00B7621A">
      <w:rPr>
        <w:rFonts w:ascii="Arial" w:eastAsia="Calibri" w:hAnsi="Arial" w:cs="Arial"/>
        <w:b/>
        <w:bCs/>
        <w:sz w:val="20"/>
        <w:szCs w:val="20"/>
        <w:lang w:val="es-ES" w:eastAsia="es-ES"/>
      </w:rPr>
      <w:fldChar w:fldCharType="begin"/>
    </w:r>
    <w:r w:rsidRPr="00B7621A">
      <w:rPr>
        <w:rFonts w:ascii="Arial" w:eastAsia="Calibri" w:hAnsi="Arial" w:cs="Arial"/>
        <w:b/>
        <w:bCs/>
        <w:sz w:val="20"/>
        <w:szCs w:val="20"/>
        <w:lang w:val="es-ES" w:eastAsia="es-ES"/>
      </w:rPr>
      <w:instrText>PAGE</w:instrText>
    </w:r>
    <w:r w:rsidRPr="00B7621A">
      <w:rPr>
        <w:rFonts w:ascii="Arial" w:eastAsia="Calibri" w:hAnsi="Arial" w:cs="Arial"/>
        <w:b/>
        <w:bCs/>
        <w:sz w:val="20"/>
        <w:szCs w:val="20"/>
        <w:lang w:val="es-ES" w:eastAsia="es-ES"/>
      </w:rPr>
      <w:fldChar w:fldCharType="separate"/>
    </w:r>
    <w:r w:rsidR="00B648E5">
      <w:rPr>
        <w:rFonts w:ascii="Arial" w:eastAsia="Calibri" w:hAnsi="Arial" w:cs="Arial"/>
        <w:b/>
        <w:bCs/>
        <w:noProof/>
        <w:sz w:val="20"/>
        <w:szCs w:val="20"/>
        <w:lang w:val="es-ES" w:eastAsia="es-ES"/>
      </w:rPr>
      <w:t>6</w:t>
    </w:r>
    <w:r w:rsidRPr="00B7621A">
      <w:rPr>
        <w:rFonts w:ascii="Arial" w:eastAsia="Calibri" w:hAnsi="Arial" w:cs="Arial"/>
        <w:b/>
        <w:bCs/>
        <w:sz w:val="20"/>
        <w:szCs w:val="20"/>
        <w:lang w:val="es-ES" w:eastAsia="es-ES"/>
      </w:rPr>
      <w:fldChar w:fldCharType="end"/>
    </w:r>
    <w:r w:rsidRPr="00B7621A">
      <w:rPr>
        <w:rFonts w:ascii="Arial" w:eastAsia="Calibri" w:hAnsi="Arial" w:cs="Arial"/>
        <w:sz w:val="20"/>
        <w:szCs w:val="20"/>
        <w:lang w:val="es-ES" w:eastAsia="es-ES"/>
      </w:rPr>
      <w:t xml:space="preserve"> de </w:t>
    </w:r>
    <w:r w:rsidRPr="00B7621A">
      <w:rPr>
        <w:rFonts w:ascii="Arial" w:eastAsia="Calibri" w:hAnsi="Arial" w:cs="Arial"/>
        <w:b/>
        <w:bCs/>
        <w:sz w:val="20"/>
        <w:szCs w:val="20"/>
        <w:lang w:val="es-ES" w:eastAsia="es-ES"/>
      </w:rPr>
      <w:fldChar w:fldCharType="begin"/>
    </w:r>
    <w:r w:rsidRPr="00B7621A">
      <w:rPr>
        <w:rFonts w:ascii="Arial" w:eastAsia="Calibri" w:hAnsi="Arial" w:cs="Arial"/>
        <w:b/>
        <w:bCs/>
        <w:sz w:val="20"/>
        <w:szCs w:val="20"/>
        <w:lang w:val="es-ES" w:eastAsia="es-ES"/>
      </w:rPr>
      <w:instrText>NUMPAGES</w:instrText>
    </w:r>
    <w:r w:rsidRPr="00B7621A">
      <w:rPr>
        <w:rFonts w:ascii="Arial" w:eastAsia="Calibri" w:hAnsi="Arial" w:cs="Arial"/>
        <w:b/>
        <w:bCs/>
        <w:sz w:val="20"/>
        <w:szCs w:val="20"/>
        <w:lang w:val="es-ES" w:eastAsia="es-ES"/>
      </w:rPr>
      <w:fldChar w:fldCharType="separate"/>
    </w:r>
    <w:r w:rsidR="00B648E5">
      <w:rPr>
        <w:rFonts w:ascii="Arial" w:eastAsia="Calibri" w:hAnsi="Arial" w:cs="Arial"/>
        <w:b/>
        <w:bCs/>
        <w:noProof/>
        <w:sz w:val="20"/>
        <w:szCs w:val="20"/>
        <w:lang w:val="es-ES" w:eastAsia="es-ES"/>
      </w:rPr>
      <w:t>6</w:t>
    </w:r>
    <w:r w:rsidRPr="00B7621A">
      <w:rPr>
        <w:rFonts w:ascii="Arial" w:eastAsia="Calibri" w:hAnsi="Arial" w:cs="Arial"/>
        <w:b/>
        <w:bCs/>
        <w:sz w:val="20"/>
        <w:szCs w:val="20"/>
        <w:lang w:val="es-ES" w:eastAsia="es-ES"/>
      </w:rPr>
      <w:fldChar w:fldCharType="end"/>
    </w:r>
  </w:p>
  <w:p w:rsidR="00E555F0" w:rsidRDefault="00E555F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78E5" w:rsidRDefault="009A78E5" w:rsidP="00247AFA">
      <w:pPr>
        <w:spacing w:after="0" w:line="240" w:lineRule="auto"/>
      </w:pPr>
      <w:r>
        <w:separator/>
      </w:r>
    </w:p>
  </w:footnote>
  <w:footnote w:type="continuationSeparator" w:id="0">
    <w:p w:rsidR="009A78E5" w:rsidRDefault="009A78E5" w:rsidP="00247A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AFA" w:rsidRPr="00FD1289" w:rsidRDefault="009A78E5" w:rsidP="00247AFA">
    <w:pPr>
      <w:pStyle w:val="Encabezado"/>
      <w:jc w:val="right"/>
      <w:rPr>
        <w:rFonts w:ascii="Palatino Linotype" w:hAnsi="Palatino Linotype"/>
        <w:b/>
        <w:sz w:val="24"/>
        <w:szCs w:val="24"/>
      </w:rPr>
    </w:pPr>
    <w:r>
      <w:rPr>
        <w:rFonts w:ascii="Palatino Linotype" w:hAnsi="Palatino Linotype"/>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1" o:spid="_x0000_s2049" type="#_x0000_t75" style="position:absolute;left:0;text-align:left;margin-left:-83.15pt;margin-top:-118.9pt;width:598.5pt;height:779.25pt;z-index:-251658752;mso-position-horizontal-relative:margin;mso-position-vertical-relative:margin" o:allowincell="f">
          <v:imagedata r:id="rId1" o:title="fondo opinion particular"/>
          <w10:wrap anchorx="margin" anchory="margin"/>
        </v:shape>
      </w:pict>
    </w:r>
    <w:r w:rsidR="00247AFA">
      <w:rPr>
        <w:rFonts w:ascii="Palatino Linotype" w:hAnsi="Palatino Linotype"/>
        <w:b/>
      </w:rPr>
      <w:t>V</w:t>
    </w:r>
    <w:r w:rsidR="00247AFA" w:rsidRPr="00FD1289">
      <w:rPr>
        <w:rFonts w:ascii="Palatino Linotype" w:hAnsi="Palatino Linotype"/>
        <w:b/>
        <w:sz w:val="24"/>
        <w:szCs w:val="24"/>
      </w:rPr>
      <w:t>OTO PARTICULAR</w:t>
    </w:r>
  </w:p>
  <w:p w:rsidR="004D1CAC" w:rsidRPr="009D3E65" w:rsidRDefault="00247AFA" w:rsidP="004D1CAC">
    <w:pPr>
      <w:pStyle w:val="Encabezado"/>
      <w:jc w:val="right"/>
      <w:rPr>
        <w:rFonts w:ascii="Palatino Linotype" w:hAnsi="Palatino Linotype" w:cs="Arial"/>
        <w:b/>
        <w:bCs/>
        <w:sz w:val="24"/>
        <w:szCs w:val="24"/>
        <w:lang w:eastAsia="es-MX"/>
      </w:rPr>
    </w:pPr>
    <w:r w:rsidRPr="00FD1289">
      <w:rPr>
        <w:rFonts w:ascii="Palatino Linotype" w:hAnsi="Palatino Linotype"/>
        <w:b/>
        <w:sz w:val="24"/>
        <w:szCs w:val="24"/>
      </w:rPr>
      <w:t xml:space="preserve">RECURSO DE REVISIÓN </w:t>
    </w:r>
    <w:r w:rsidR="00C30FB8">
      <w:rPr>
        <w:rFonts w:ascii="Palatino Linotype" w:hAnsi="Palatino Linotype" w:cs="Arial"/>
        <w:b/>
        <w:bCs/>
        <w:sz w:val="24"/>
        <w:szCs w:val="24"/>
        <w:lang w:eastAsia="es-MX"/>
      </w:rPr>
      <w:t>02268</w:t>
    </w:r>
    <w:r w:rsidR="00676AA1">
      <w:rPr>
        <w:rFonts w:ascii="Palatino Linotype" w:hAnsi="Palatino Linotype" w:cs="Arial"/>
        <w:b/>
        <w:bCs/>
        <w:sz w:val="24"/>
        <w:szCs w:val="24"/>
        <w:lang w:eastAsia="es-MX"/>
      </w:rPr>
      <w:t>/INFOEM/IP/RR/2018</w:t>
    </w:r>
  </w:p>
  <w:p w:rsidR="00247AFA" w:rsidRDefault="00247AFA">
    <w:pPr>
      <w:pStyle w:val="Encabezado"/>
    </w:pPr>
  </w:p>
  <w:p w:rsidR="004D1CAC" w:rsidRDefault="004D1CAC">
    <w:pPr>
      <w:pStyle w:val="Encabezado"/>
    </w:pPr>
  </w:p>
  <w:p w:rsidR="004D1CAC" w:rsidRDefault="004D1CAC">
    <w:pPr>
      <w:pStyle w:val="Encabezado"/>
    </w:pPr>
  </w:p>
  <w:p w:rsidR="004D1CAC" w:rsidRDefault="004D1CA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014DB2"/>
    <w:multiLevelType w:val="hybridMultilevel"/>
    <w:tmpl w:val="F9664EB0"/>
    <w:lvl w:ilvl="0" w:tplc="080A0019">
      <w:start w:val="1"/>
      <w:numFmt w:val="lowerLetter"/>
      <w:lvlText w:val="%1."/>
      <w:lvlJc w:val="left"/>
      <w:pPr>
        <w:ind w:left="1776" w:hanging="360"/>
      </w:pPr>
      <w:rPr>
        <w:rFonts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1">
    <w:nsid w:val="2B2A3375"/>
    <w:multiLevelType w:val="hybridMultilevel"/>
    <w:tmpl w:val="582AC1FA"/>
    <w:lvl w:ilvl="0" w:tplc="24845AD0">
      <w:start w:val="1"/>
      <w:numFmt w:val="decimal"/>
      <w:lvlText w:val="%1."/>
      <w:lvlJc w:val="left"/>
      <w:pPr>
        <w:ind w:left="644" w:hanging="360"/>
      </w:pPr>
      <w:rPr>
        <w:sz w:val="14"/>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nsid w:val="3C38028E"/>
    <w:multiLevelType w:val="hybridMultilevel"/>
    <w:tmpl w:val="06E04306"/>
    <w:lvl w:ilvl="0" w:tplc="64CA1EF6">
      <w:start w:val="1"/>
      <w:numFmt w:val="lowerLetter"/>
      <w:lvlText w:val="%1)"/>
      <w:lvlJc w:val="left"/>
      <w:pPr>
        <w:ind w:left="720" w:hanging="360"/>
      </w:pPr>
      <w:rPr>
        <w:rFonts w:eastAsiaTheme="minorEastAsia" w:cs="Arial"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67F4243"/>
    <w:multiLevelType w:val="hybridMultilevel"/>
    <w:tmpl w:val="ED5C7756"/>
    <w:lvl w:ilvl="0" w:tplc="080A000F">
      <w:start w:val="1"/>
      <w:numFmt w:val="decimal"/>
      <w:lvlText w:val="%1."/>
      <w:lvlJc w:val="left"/>
      <w:pPr>
        <w:ind w:left="644" w:hanging="360"/>
      </w:pPr>
    </w:lvl>
    <w:lvl w:ilvl="1" w:tplc="9DC4F70E">
      <w:start w:val="1"/>
      <w:numFmt w:val="lowerLetter"/>
      <w:lvlText w:val="%2."/>
      <w:lvlJc w:val="left"/>
      <w:pPr>
        <w:ind w:left="1364" w:hanging="360"/>
      </w:pPr>
      <w:rPr>
        <w:sz w:val="14"/>
      </w:r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
    <w:nsid w:val="758F3DB5"/>
    <w:multiLevelType w:val="hybridMultilevel"/>
    <w:tmpl w:val="303236D2"/>
    <w:lvl w:ilvl="0" w:tplc="E22E8C9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1"/>
  </w:num>
  <w:num w:numId="2">
    <w:abstractNumId w:val="3"/>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AFA"/>
    <w:rsid w:val="00026D5A"/>
    <w:rsid w:val="000405C0"/>
    <w:rsid w:val="00067249"/>
    <w:rsid w:val="00074BC0"/>
    <w:rsid w:val="000953DB"/>
    <w:rsid w:val="000A0233"/>
    <w:rsid w:val="000A6F2D"/>
    <w:rsid w:val="001047AF"/>
    <w:rsid w:val="00135DC4"/>
    <w:rsid w:val="0015436A"/>
    <w:rsid w:val="001A4822"/>
    <w:rsid w:val="001D7F8C"/>
    <w:rsid w:val="001F0720"/>
    <w:rsid w:val="001F445C"/>
    <w:rsid w:val="00227985"/>
    <w:rsid w:val="00247AFA"/>
    <w:rsid w:val="00290B8C"/>
    <w:rsid w:val="002E5896"/>
    <w:rsid w:val="003128DF"/>
    <w:rsid w:val="00320195"/>
    <w:rsid w:val="003263BA"/>
    <w:rsid w:val="00327CA0"/>
    <w:rsid w:val="00330E2B"/>
    <w:rsid w:val="00333FB3"/>
    <w:rsid w:val="00354676"/>
    <w:rsid w:val="00365C9A"/>
    <w:rsid w:val="003F1069"/>
    <w:rsid w:val="00494872"/>
    <w:rsid w:val="004B07A8"/>
    <w:rsid w:val="004D1CAC"/>
    <w:rsid w:val="004E3E94"/>
    <w:rsid w:val="00515607"/>
    <w:rsid w:val="005322BC"/>
    <w:rsid w:val="00563AE5"/>
    <w:rsid w:val="00581A89"/>
    <w:rsid w:val="0059780A"/>
    <w:rsid w:val="005D273A"/>
    <w:rsid w:val="00600BA3"/>
    <w:rsid w:val="0063142F"/>
    <w:rsid w:val="00641437"/>
    <w:rsid w:val="00642384"/>
    <w:rsid w:val="00661191"/>
    <w:rsid w:val="00665FB4"/>
    <w:rsid w:val="00676AA1"/>
    <w:rsid w:val="00696583"/>
    <w:rsid w:val="006E3920"/>
    <w:rsid w:val="007529BE"/>
    <w:rsid w:val="00785058"/>
    <w:rsid w:val="0079291E"/>
    <w:rsid w:val="007D3ACA"/>
    <w:rsid w:val="007D4237"/>
    <w:rsid w:val="008030EC"/>
    <w:rsid w:val="00803B8F"/>
    <w:rsid w:val="008633C2"/>
    <w:rsid w:val="00866EF3"/>
    <w:rsid w:val="0087546B"/>
    <w:rsid w:val="008D542B"/>
    <w:rsid w:val="008E6B30"/>
    <w:rsid w:val="00910D74"/>
    <w:rsid w:val="009472B6"/>
    <w:rsid w:val="009A78E5"/>
    <w:rsid w:val="009D3E65"/>
    <w:rsid w:val="00A003D8"/>
    <w:rsid w:val="00A275AD"/>
    <w:rsid w:val="00A519A0"/>
    <w:rsid w:val="00A645F0"/>
    <w:rsid w:val="00A74B64"/>
    <w:rsid w:val="00B648E5"/>
    <w:rsid w:val="00B65B8E"/>
    <w:rsid w:val="00BA791B"/>
    <w:rsid w:val="00BC44E5"/>
    <w:rsid w:val="00C20EEA"/>
    <w:rsid w:val="00C30FB8"/>
    <w:rsid w:val="00CC313E"/>
    <w:rsid w:val="00CC3F5C"/>
    <w:rsid w:val="00CE3748"/>
    <w:rsid w:val="00D645C9"/>
    <w:rsid w:val="00D6696F"/>
    <w:rsid w:val="00D9057B"/>
    <w:rsid w:val="00DA11BE"/>
    <w:rsid w:val="00DB6D11"/>
    <w:rsid w:val="00DF658A"/>
    <w:rsid w:val="00E17F4F"/>
    <w:rsid w:val="00E23BCA"/>
    <w:rsid w:val="00E35C9D"/>
    <w:rsid w:val="00E555F0"/>
    <w:rsid w:val="00F17720"/>
    <w:rsid w:val="00F370A8"/>
    <w:rsid w:val="00F4125F"/>
    <w:rsid w:val="00F53D42"/>
    <w:rsid w:val="00F70233"/>
    <w:rsid w:val="00F7442A"/>
    <w:rsid w:val="00FD1289"/>
    <w:rsid w:val="00FF09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A453277-0DBF-4EFC-9905-357DE06FE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AF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47AF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7AFA"/>
  </w:style>
  <w:style w:type="paragraph" w:styleId="Piedepgina">
    <w:name w:val="footer"/>
    <w:basedOn w:val="Normal"/>
    <w:link w:val="PiedepginaCar"/>
    <w:uiPriority w:val="99"/>
    <w:unhideWhenUsed/>
    <w:rsid w:val="00247AF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7AFA"/>
  </w:style>
  <w:style w:type="paragraph" w:styleId="NormalWeb">
    <w:name w:val="Normal (Web)"/>
    <w:basedOn w:val="Normal"/>
    <w:uiPriority w:val="99"/>
    <w:semiHidden/>
    <w:unhideWhenUsed/>
    <w:rsid w:val="00247AFA"/>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styleId="Hipervnculo">
    <w:name w:val="Hyperlink"/>
    <w:basedOn w:val="Fuentedeprrafopredeter"/>
    <w:uiPriority w:val="99"/>
    <w:unhideWhenUsed/>
    <w:rsid w:val="00600BA3"/>
    <w:rPr>
      <w:color w:val="0563C1" w:themeColor="hyperlink"/>
      <w:u w:val="single"/>
    </w:rPr>
  </w:style>
  <w:style w:type="paragraph" w:styleId="Textonotapie">
    <w:name w:val="footnote text"/>
    <w:basedOn w:val="Normal"/>
    <w:link w:val="TextonotapieCar"/>
    <w:uiPriority w:val="99"/>
    <w:semiHidden/>
    <w:unhideWhenUsed/>
    <w:rsid w:val="00665FB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65FB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basedOn w:val="Fuentedeprrafopredeter"/>
    <w:uiPriority w:val="99"/>
    <w:semiHidden/>
    <w:unhideWhenUsed/>
    <w:rsid w:val="00665FB4"/>
    <w:rPr>
      <w:vertAlign w:val="superscript"/>
    </w:rPr>
  </w:style>
  <w:style w:type="table" w:styleId="Tablaconcuadrcula">
    <w:name w:val="Table Grid"/>
    <w:basedOn w:val="Tablanormal"/>
    <w:uiPriority w:val="39"/>
    <w:rsid w:val="002279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63AE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3AE5"/>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F4125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F41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011365">
      <w:bodyDiv w:val="1"/>
      <w:marLeft w:val="0"/>
      <w:marRight w:val="0"/>
      <w:marTop w:val="0"/>
      <w:marBottom w:val="0"/>
      <w:divBdr>
        <w:top w:val="none" w:sz="0" w:space="0" w:color="auto"/>
        <w:left w:val="none" w:sz="0" w:space="0" w:color="auto"/>
        <w:bottom w:val="none" w:sz="0" w:space="0" w:color="auto"/>
        <w:right w:val="none" w:sz="0" w:space="0" w:color="auto"/>
      </w:divBdr>
    </w:div>
    <w:div w:id="186799296">
      <w:bodyDiv w:val="1"/>
      <w:marLeft w:val="0"/>
      <w:marRight w:val="0"/>
      <w:marTop w:val="0"/>
      <w:marBottom w:val="0"/>
      <w:divBdr>
        <w:top w:val="none" w:sz="0" w:space="0" w:color="auto"/>
        <w:left w:val="none" w:sz="0" w:space="0" w:color="auto"/>
        <w:bottom w:val="none" w:sz="0" w:space="0" w:color="auto"/>
        <w:right w:val="none" w:sz="0" w:space="0" w:color="auto"/>
      </w:divBdr>
    </w:div>
    <w:div w:id="304895823">
      <w:bodyDiv w:val="1"/>
      <w:marLeft w:val="0"/>
      <w:marRight w:val="0"/>
      <w:marTop w:val="0"/>
      <w:marBottom w:val="0"/>
      <w:divBdr>
        <w:top w:val="none" w:sz="0" w:space="0" w:color="auto"/>
        <w:left w:val="none" w:sz="0" w:space="0" w:color="auto"/>
        <w:bottom w:val="none" w:sz="0" w:space="0" w:color="auto"/>
        <w:right w:val="none" w:sz="0" w:space="0" w:color="auto"/>
      </w:divBdr>
    </w:div>
    <w:div w:id="602500061">
      <w:bodyDiv w:val="1"/>
      <w:marLeft w:val="0"/>
      <w:marRight w:val="0"/>
      <w:marTop w:val="0"/>
      <w:marBottom w:val="0"/>
      <w:divBdr>
        <w:top w:val="none" w:sz="0" w:space="0" w:color="auto"/>
        <w:left w:val="none" w:sz="0" w:space="0" w:color="auto"/>
        <w:bottom w:val="none" w:sz="0" w:space="0" w:color="auto"/>
        <w:right w:val="none" w:sz="0" w:space="0" w:color="auto"/>
      </w:divBdr>
    </w:div>
    <w:div w:id="1043287800">
      <w:bodyDiv w:val="1"/>
      <w:marLeft w:val="0"/>
      <w:marRight w:val="0"/>
      <w:marTop w:val="0"/>
      <w:marBottom w:val="0"/>
      <w:divBdr>
        <w:top w:val="none" w:sz="0" w:space="0" w:color="auto"/>
        <w:left w:val="none" w:sz="0" w:space="0" w:color="auto"/>
        <w:bottom w:val="none" w:sz="0" w:space="0" w:color="auto"/>
        <w:right w:val="none" w:sz="0" w:space="0" w:color="auto"/>
      </w:divBdr>
    </w:div>
    <w:div w:id="1184176219">
      <w:bodyDiv w:val="1"/>
      <w:marLeft w:val="0"/>
      <w:marRight w:val="0"/>
      <w:marTop w:val="0"/>
      <w:marBottom w:val="0"/>
      <w:divBdr>
        <w:top w:val="none" w:sz="0" w:space="0" w:color="auto"/>
        <w:left w:val="none" w:sz="0" w:space="0" w:color="auto"/>
        <w:bottom w:val="none" w:sz="0" w:space="0" w:color="auto"/>
        <w:right w:val="none" w:sz="0" w:space="0" w:color="auto"/>
      </w:divBdr>
    </w:div>
    <w:div w:id="1336030878">
      <w:bodyDiv w:val="1"/>
      <w:marLeft w:val="0"/>
      <w:marRight w:val="0"/>
      <w:marTop w:val="0"/>
      <w:marBottom w:val="0"/>
      <w:divBdr>
        <w:top w:val="none" w:sz="0" w:space="0" w:color="auto"/>
        <w:left w:val="none" w:sz="0" w:space="0" w:color="auto"/>
        <w:bottom w:val="none" w:sz="0" w:space="0" w:color="auto"/>
        <w:right w:val="none" w:sz="0" w:space="0" w:color="auto"/>
      </w:divBdr>
    </w:div>
    <w:div w:id="162820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DF356-A8CE-4189-B6D0-C70D2CC33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1150</Words>
  <Characters>6329</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7465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2</cp:revision>
  <cp:lastPrinted>2018-09-03T18:47:00Z</cp:lastPrinted>
  <dcterms:created xsi:type="dcterms:W3CDTF">2018-10-16T00:59:00Z</dcterms:created>
  <dcterms:modified xsi:type="dcterms:W3CDTF">2018-10-16T00:59:00Z</dcterms:modified>
</cp:coreProperties>
</file>