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EA05B0" w:rsidRDefault="00474477" w:rsidP="00BF2346">
      <w:pPr>
        <w:spacing w:before="240" w:after="240" w:line="360" w:lineRule="auto"/>
        <w:jc w:val="center"/>
        <w:rPr>
          <w:rFonts w:ascii="Palatino Linotype" w:hAnsi="Palatino Linotype"/>
          <w:b/>
        </w:rPr>
      </w:pPr>
      <w:r w:rsidRPr="00EA05B0">
        <w:rPr>
          <w:rFonts w:ascii="Palatino Linotype" w:hAnsi="Palatino Linotype"/>
          <w:b/>
        </w:rPr>
        <w:t>LÍNEAS ARGUMENTATIVAS.</w:t>
      </w:r>
    </w:p>
    <w:p w14:paraId="5A8ADBC1" w14:textId="3B9D8445" w:rsidR="00E44057" w:rsidRPr="00EA05B0" w:rsidRDefault="00E44057" w:rsidP="00E44057">
      <w:pPr>
        <w:spacing w:before="240" w:after="360" w:line="360" w:lineRule="auto"/>
        <w:contextualSpacing/>
        <w:jc w:val="both"/>
        <w:rPr>
          <w:rFonts w:ascii="Palatino Linotype" w:eastAsia="Times New Roman" w:hAnsi="Palatino Linotype"/>
        </w:rPr>
      </w:pPr>
      <w:r w:rsidRPr="00EA05B0">
        <w:rPr>
          <w:rFonts w:ascii="Palatino Linotype" w:eastAsia="Times New Roman" w:hAnsi="Palatino Linotype"/>
          <w:b/>
        </w:rPr>
        <w:t>DEBERES DE LAS AUTORIDADES.</w:t>
      </w:r>
      <w:r w:rsidRPr="00EA05B0">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1971390" w14:textId="77777777" w:rsidR="0094667C" w:rsidRPr="00EA05B0" w:rsidRDefault="0094667C" w:rsidP="00E44057">
      <w:pPr>
        <w:spacing w:before="240" w:after="360" w:line="360" w:lineRule="auto"/>
        <w:contextualSpacing/>
        <w:jc w:val="both"/>
        <w:rPr>
          <w:rFonts w:ascii="Palatino Linotype" w:eastAsia="Times New Roman" w:hAnsi="Palatino Linotype"/>
        </w:rPr>
      </w:pPr>
    </w:p>
    <w:p w14:paraId="3D4A6F5E" w14:textId="527F1D62" w:rsidR="00D64CE8" w:rsidRPr="00EA05B0" w:rsidRDefault="0094667C" w:rsidP="00E44057">
      <w:pPr>
        <w:spacing w:before="240" w:after="360" w:line="360" w:lineRule="auto"/>
        <w:contextualSpacing/>
        <w:jc w:val="both"/>
        <w:rPr>
          <w:rFonts w:ascii="Palatino Linotype" w:eastAsia="Times New Roman" w:hAnsi="Palatino Linotype"/>
        </w:rPr>
      </w:pPr>
      <w:r w:rsidRPr="00EA05B0">
        <w:rPr>
          <w:rFonts w:ascii="Palatino Linotype" w:hAnsi="Palatino Linotype"/>
          <w:b/>
        </w:rPr>
        <w:t xml:space="preserve">RESPUESTAS IMPRECISAS O INCOMPLETAS, DEBER DE REPARACIÓN. </w:t>
      </w:r>
      <w:r w:rsidRPr="00EA05B0">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01AAE5B4" w14:textId="4BA39D25" w:rsidR="0035373B" w:rsidRPr="00EA05B0" w:rsidRDefault="00BF6A45" w:rsidP="00E44057">
      <w:pPr>
        <w:spacing w:before="240" w:after="360" w:line="360" w:lineRule="auto"/>
        <w:contextualSpacing/>
        <w:jc w:val="both"/>
        <w:rPr>
          <w:rFonts w:ascii="Palatino Linotype" w:eastAsia="Times New Roman" w:hAnsi="Palatino Linotype"/>
        </w:rPr>
      </w:pPr>
      <w:r w:rsidRPr="00EA05B0">
        <w:rPr>
          <w:rFonts w:ascii="Palatino Linotype" w:eastAsia="Times New Roman" w:hAnsi="Palatino Linotype"/>
          <w:noProof/>
          <w:lang w:val="es-MX" w:eastAsia="es-MX"/>
        </w:rPr>
        <mc:AlternateContent>
          <mc:Choice Requires="wps">
            <w:drawing>
              <wp:anchor distT="0" distB="0" distL="114300" distR="114300" simplePos="0" relativeHeight="251716608" behindDoc="0" locked="0" layoutInCell="1" allowOverlap="1" wp14:anchorId="5ED070FB" wp14:editId="14BD9ABB">
                <wp:simplePos x="0" y="0"/>
                <wp:positionH relativeFrom="column">
                  <wp:posOffset>15239</wp:posOffset>
                </wp:positionH>
                <wp:positionV relativeFrom="paragraph">
                  <wp:posOffset>146685</wp:posOffset>
                </wp:positionV>
                <wp:extent cx="5572125" cy="260985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5572125" cy="2609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CF770" id="Conector recto 1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pt,11.55pt" to="439.9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" strokecolor="#4579b8 [3044]"/>
            </w:pict>
          </mc:Fallback>
        </mc:AlternateContent>
      </w:r>
    </w:p>
    <w:p w14:paraId="75CFC93A" w14:textId="77777777" w:rsidR="00F811EA" w:rsidRPr="00EA05B0" w:rsidRDefault="00F811EA" w:rsidP="00E44057">
      <w:pPr>
        <w:spacing w:before="240" w:after="360" w:line="360" w:lineRule="auto"/>
        <w:contextualSpacing/>
        <w:jc w:val="both"/>
        <w:rPr>
          <w:rFonts w:ascii="Palatino Linotype" w:eastAsia="Times New Roman" w:hAnsi="Palatino Linotype"/>
        </w:rPr>
      </w:pPr>
    </w:p>
    <w:p w14:paraId="3F67B513" w14:textId="77777777" w:rsidR="00F811EA" w:rsidRPr="00EA05B0" w:rsidRDefault="00F811EA" w:rsidP="00E44057">
      <w:pPr>
        <w:spacing w:before="240" w:after="360" w:line="360" w:lineRule="auto"/>
        <w:contextualSpacing/>
        <w:jc w:val="both"/>
        <w:rPr>
          <w:rFonts w:ascii="Palatino Linotype" w:eastAsia="Times New Roman" w:hAnsi="Palatino Linotype"/>
        </w:rPr>
      </w:pPr>
    </w:p>
    <w:p w14:paraId="089A6F40" w14:textId="77777777" w:rsidR="00F811EA" w:rsidRPr="00EA05B0" w:rsidRDefault="00F811EA" w:rsidP="00E44057">
      <w:pPr>
        <w:spacing w:before="240" w:after="360" w:line="360" w:lineRule="auto"/>
        <w:contextualSpacing/>
        <w:jc w:val="both"/>
        <w:rPr>
          <w:rFonts w:ascii="Palatino Linotype" w:eastAsia="Times New Roman" w:hAnsi="Palatino Linotype"/>
        </w:rPr>
      </w:pPr>
    </w:p>
    <w:p w14:paraId="27AA9975" w14:textId="77777777" w:rsidR="00F811EA" w:rsidRPr="00EA05B0" w:rsidRDefault="00F811EA" w:rsidP="00E44057">
      <w:pPr>
        <w:spacing w:before="240" w:after="360" w:line="360" w:lineRule="auto"/>
        <w:contextualSpacing/>
        <w:jc w:val="both"/>
        <w:rPr>
          <w:rFonts w:ascii="Palatino Linotype" w:eastAsia="Times New Roman" w:hAnsi="Palatino Linotype"/>
        </w:rPr>
      </w:pPr>
    </w:p>
    <w:p w14:paraId="56CDE19D" w14:textId="77777777" w:rsidR="00F811EA" w:rsidRPr="00EA05B0" w:rsidRDefault="00F811EA" w:rsidP="00E44057">
      <w:pPr>
        <w:spacing w:before="240" w:after="360" w:line="360" w:lineRule="auto"/>
        <w:contextualSpacing/>
        <w:jc w:val="both"/>
        <w:rPr>
          <w:rFonts w:ascii="Palatino Linotype" w:eastAsia="Times New Roman" w:hAnsi="Palatino Linotype"/>
        </w:rPr>
      </w:pPr>
    </w:p>
    <w:p w14:paraId="75636423" w14:textId="77777777" w:rsidR="0034737A" w:rsidRPr="00EA05B0" w:rsidRDefault="0034737A" w:rsidP="00E44057">
      <w:pPr>
        <w:spacing w:before="240" w:after="360" w:line="360" w:lineRule="auto"/>
        <w:contextualSpacing/>
        <w:jc w:val="both"/>
        <w:rPr>
          <w:rFonts w:ascii="Palatino Linotype" w:eastAsia="Times New Roman" w:hAnsi="Palatino Linotype"/>
        </w:rPr>
      </w:pPr>
    </w:p>
    <w:p w14:paraId="4E17AF7A" w14:textId="77777777" w:rsidR="0034737A" w:rsidRPr="00EA05B0" w:rsidRDefault="0034737A" w:rsidP="001E74A5">
      <w:pPr>
        <w:spacing w:line="360" w:lineRule="auto"/>
        <w:jc w:val="center"/>
        <w:rPr>
          <w:rFonts w:ascii="Palatino Linotype" w:eastAsia="Times New Roman" w:hAnsi="Palatino Linotype" w:cs="Times New Roman"/>
          <w:b/>
          <w:u w:val="single"/>
        </w:rPr>
      </w:pPr>
    </w:p>
    <w:p w14:paraId="46EDE2DF" w14:textId="77777777" w:rsidR="004D17D6" w:rsidRPr="00EA05B0" w:rsidRDefault="004D17D6" w:rsidP="001E74A5">
      <w:pPr>
        <w:spacing w:line="360" w:lineRule="auto"/>
        <w:jc w:val="center"/>
        <w:rPr>
          <w:rFonts w:ascii="Palatino Linotype" w:eastAsia="Times New Roman" w:hAnsi="Palatino Linotype" w:cs="Times New Roman"/>
          <w:b/>
          <w:u w:val="single"/>
        </w:rPr>
      </w:pPr>
    </w:p>
    <w:p w14:paraId="31137936" w14:textId="302D1D0F" w:rsidR="00BC61B2" w:rsidRPr="00EA05B0" w:rsidRDefault="00A20B1F" w:rsidP="001E74A5">
      <w:pPr>
        <w:spacing w:line="360" w:lineRule="auto"/>
        <w:jc w:val="center"/>
        <w:rPr>
          <w:rFonts w:ascii="Palatino Linotype" w:eastAsia="Times New Roman" w:hAnsi="Palatino Linotype" w:cs="Times New Roman"/>
          <w:b/>
          <w:u w:val="single"/>
        </w:rPr>
      </w:pPr>
      <w:r w:rsidRPr="00EA05B0">
        <w:rPr>
          <w:rFonts w:ascii="Palatino Linotype" w:eastAsia="Times New Roman" w:hAnsi="Palatino Linotype" w:cs="Times New Roman"/>
          <w:b/>
          <w:u w:val="single"/>
        </w:rPr>
        <w:lastRenderedPageBreak/>
        <w:t>ÍNDICE</w:t>
      </w:r>
    </w:p>
    <w:p w14:paraId="78796CD2" w14:textId="77777777" w:rsidR="000A300C" w:rsidRPr="00EA05B0" w:rsidRDefault="000A300C" w:rsidP="001E74A5">
      <w:pPr>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1D1ED85" w:rsidR="00DA7E2F" w:rsidRPr="00EA05B0" w:rsidRDefault="00DA7E2F" w:rsidP="00A67428">
          <w:pPr>
            <w:pStyle w:val="TtulodeTDC"/>
            <w:spacing w:before="0" w:line="480" w:lineRule="auto"/>
            <w:rPr>
              <w:szCs w:val="24"/>
            </w:rPr>
          </w:pPr>
        </w:p>
        <w:p w14:paraId="46ADFDCA" w14:textId="77777777" w:rsidR="00BF6A45" w:rsidRPr="00EA05B0" w:rsidRDefault="00DA7E2F">
          <w:pPr>
            <w:pStyle w:val="TDC1"/>
            <w:rPr>
              <w:rFonts w:ascii="Palatino Linotype" w:hAnsi="Palatino Linotype"/>
              <w:noProof/>
              <w:lang w:val="es-MX" w:eastAsia="es-MX"/>
            </w:rPr>
          </w:pPr>
          <w:r w:rsidRPr="00EA05B0">
            <w:rPr>
              <w:rFonts w:ascii="Palatino Linotype" w:hAnsi="Palatino Linotype"/>
            </w:rPr>
            <w:fldChar w:fldCharType="begin"/>
          </w:r>
          <w:r w:rsidRPr="00EA05B0">
            <w:rPr>
              <w:rFonts w:ascii="Palatino Linotype" w:hAnsi="Palatino Linotype"/>
            </w:rPr>
            <w:instrText xml:space="preserve"> TOC \o "1-3" \h \z \u </w:instrText>
          </w:r>
          <w:r w:rsidRPr="00EA05B0">
            <w:rPr>
              <w:rFonts w:ascii="Palatino Linotype" w:hAnsi="Palatino Linotype"/>
            </w:rPr>
            <w:fldChar w:fldCharType="separate"/>
          </w:r>
          <w:hyperlink w:anchor="_Toc523400450" w:history="1">
            <w:r w:rsidR="00BF6A45" w:rsidRPr="00EA05B0">
              <w:rPr>
                <w:rStyle w:val="Hipervnculo"/>
                <w:rFonts w:ascii="Palatino Linotype" w:hAnsi="Palatino Linotype"/>
                <w:b/>
                <w:noProof/>
              </w:rPr>
              <w:t>ANTECEDENTES</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_Toc523400450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3</w:t>
            </w:r>
            <w:r w:rsidR="00BF6A45" w:rsidRPr="00EA05B0">
              <w:rPr>
                <w:rFonts w:ascii="Palatino Linotype" w:hAnsi="Palatino Linotype"/>
                <w:noProof/>
                <w:webHidden/>
              </w:rPr>
              <w:fldChar w:fldCharType="end"/>
            </w:r>
          </w:hyperlink>
        </w:p>
        <w:p w14:paraId="782D83F9" w14:textId="77777777" w:rsidR="00BF6A45" w:rsidRPr="00EA05B0" w:rsidRDefault="00514D2D">
          <w:pPr>
            <w:pStyle w:val="TDC2"/>
            <w:rPr>
              <w:rFonts w:ascii="Palatino Linotype" w:hAnsi="Palatino Linotype"/>
              <w:noProof/>
              <w:lang w:val="es-MX" w:eastAsia="es-MX"/>
            </w:rPr>
          </w:pPr>
          <w:hyperlink w:anchor="_Toc523400453" w:history="1">
            <w:r w:rsidR="00BF6A45" w:rsidRPr="00EA05B0">
              <w:rPr>
                <w:rStyle w:val="Hipervnculo"/>
                <w:rFonts w:ascii="Palatino Linotype" w:hAnsi="Palatino Linotype"/>
                <w:b/>
                <w:noProof/>
              </w:rPr>
              <w:t>CONSIDERANDO</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_Toc523400453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6</w:t>
            </w:r>
            <w:r w:rsidR="00BF6A45" w:rsidRPr="00EA05B0">
              <w:rPr>
                <w:rFonts w:ascii="Palatino Linotype" w:hAnsi="Palatino Linotype"/>
                <w:noProof/>
                <w:webHidden/>
              </w:rPr>
              <w:fldChar w:fldCharType="end"/>
            </w:r>
          </w:hyperlink>
        </w:p>
        <w:p w14:paraId="052CE7E3" w14:textId="77777777" w:rsidR="00BF6A45" w:rsidRPr="00EA05B0" w:rsidRDefault="00514D2D">
          <w:pPr>
            <w:pStyle w:val="TDC2"/>
            <w:rPr>
              <w:rFonts w:ascii="Palatino Linotype" w:hAnsi="Palatino Linotype"/>
              <w:noProof/>
              <w:lang w:val="es-MX" w:eastAsia="es-MX"/>
            </w:rPr>
          </w:pPr>
          <w:hyperlink w:anchor="_Toc523400454" w:history="1">
            <w:r w:rsidR="00BF6A45" w:rsidRPr="00EA05B0">
              <w:rPr>
                <w:rStyle w:val="Hipervnculo"/>
                <w:rFonts w:ascii="Palatino Linotype" w:hAnsi="Palatino Linotype"/>
                <w:b/>
                <w:noProof/>
              </w:rPr>
              <w:t>PRIMERO. De la competencia</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_Toc523400454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7</w:t>
            </w:r>
            <w:r w:rsidR="00BF6A45" w:rsidRPr="00EA05B0">
              <w:rPr>
                <w:rFonts w:ascii="Palatino Linotype" w:hAnsi="Palatino Linotype"/>
                <w:noProof/>
                <w:webHidden/>
              </w:rPr>
              <w:fldChar w:fldCharType="end"/>
            </w:r>
          </w:hyperlink>
        </w:p>
        <w:p w14:paraId="26C8AFD5" w14:textId="77777777" w:rsidR="00BF6A45" w:rsidRPr="00EA05B0" w:rsidRDefault="00514D2D">
          <w:pPr>
            <w:pStyle w:val="TDC2"/>
            <w:rPr>
              <w:rFonts w:ascii="Palatino Linotype" w:hAnsi="Palatino Linotype"/>
              <w:noProof/>
              <w:lang w:val="es-MX" w:eastAsia="es-MX"/>
            </w:rPr>
          </w:pPr>
          <w:hyperlink w:anchor="_Toc523400455" w:history="1">
            <w:r w:rsidR="00BF6A45" w:rsidRPr="00EA05B0">
              <w:rPr>
                <w:rStyle w:val="Hipervnculo"/>
                <w:rFonts w:ascii="Palatino Linotype" w:hAnsi="Palatino Linotype"/>
                <w:b/>
                <w:noProof/>
              </w:rPr>
              <w:t>SEGUNDO. De la</w:t>
            </w:r>
            <w:r w:rsidR="00BF6A45" w:rsidRPr="00EA05B0">
              <w:rPr>
                <w:rStyle w:val="Hipervnculo"/>
                <w:rFonts w:ascii="Palatino Linotype" w:hAnsi="Palatino Linotype"/>
                <w:noProof/>
              </w:rPr>
              <w:t xml:space="preserve"> </w:t>
            </w:r>
            <w:r w:rsidR="00BF6A45" w:rsidRPr="00EA05B0">
              <w:rPr>
                <w:rStyle w:val="Hipervnculo"/>
                <w:rFonts w:ascii="Palatino Linotype" w:hAnsi="Palatino Linotype"/>
                <w:b/>
                <w:noProof/>
              </w:rPr>
              <w:t>oportunidad y procedencia.</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_Toc523400455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7</w:t>
            </w:r>
            <w:r w:rsidR="00BF6A45" w:rsidRPr="00EA05B0">
              <w:rPr>
                <w:rFonts w:ascii="Palatino Linotype" w:hAnsi="Palatino Linotype"/>
                <w:noProof/>
                <w:webHidden/>
              </w:rPr>
              <w:fldChar w:fldCharType="end"/>
            </w:r>
          </w:hyperlink>
        </w:p>
        <w:p w14:paraId="7C0E32FA" w14:textId="77777777" w:rsidR="00BF6A45" w:rsidRPr="00EA05B0" w:rsidRDefault="00514D2D">
          <w:pPr>
            <w:pStyle w:val="TDC1"/>
            <w:rPr>
              <w:rFonts w:ascii="Palatino Linotype" w:hAnsi="Palatino Linotype"/>
              <w:noProof/>
              <w:lang w:val="es-MX" w:eastAsia="es-MX"/>
            </w:rPr>
          </w:pPr>
          <w:hyperlink w:anchor="_Toc523400456" w:history="1">
            <w:r w:rsidR="00BF6A45" w:rsidRPr="00EA05B0">
              <w:rPr>
                <w:rStyle w:val="Hipervnculo"/>
                <w:rFonts w:ascii="Palatino Linotype" w:hAnsi="Palatino Linotype"/>
                <w:b/>
                <w:noProof/>
              </w:rPr>
              <w:t>TERCERO.</w:t>
            </w:r>
            <w:r w:rsidR="00BF6A45" w:rsidRPr="00EA05B0">
              <w:rPr>
                <w:rStyle w:val="Hipervnculo"/>
                <w:rFonts w:ascii="Palatino Linotype" w:hAnsi="Palatino Linotype"/>
                <w:noProof/>
              </w:rPr>
              <w:t xml:space="preserve"> </w:t>
            </w:r>
            <w:r w:rsidR="00BF6A45" w:rsidRPr="00EA05B0">
              <w:rPr>
                <w:rStyle w:val="Hipervnculo"/>
                <w:rFonts w:ascii="Palatino Linotype" w:hAnsi="Palatino Linotype"/>
                <w:b/>
                <w:noProof/>
              </w:rPr>
              <w:t xml:space="preserve">Del planeamiento de la </w:t>
            </w:r>
            <w:r w:rsidR="00BF6A45" w:rsidRPr="00EA05B0">
              <w:rPr>
                <w:rStyle w:val="Hipervnculo"/>
                <w:rFonts w:ascii="Palatino Linotype" w:hAnsi="Palatino Linotype"/>
                <w:b/>
                <w:i/>
                <w:noProof/>
              </w:rPr>
              <w:t>Litis</w:t>
            </w:r>
            <w:r w:rsidR="00BF6A45" w:rsidRPr="00EA05B0">
              <w:rPr>
                <w:rStyle w:val="Hipervnculo"/>
                <w:rFonts w:ascii="Palatino Linotype" w:hAnsi="Palatino Linotype"/>
                <w:b/>
                <w:noProof/>
              </w:rPr>
              <w:t>.</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_Toc523400456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10</w:t>
            </w:r>
            <w:r w:rsidR="00BF6A45" w:rsidRPr="00EA05B0">
              <w:rPr>
                <w:rFonts w:ascii="Palatino Linotype" w:hAnsi="Palatino Linotype"/>
                <w:noProof/>
                <w:webHidden/>
              </w:rPr>
              <w:fldChar w:fldCharType="end"/>
            </w:r>
          </w:hyperlink>
        </w:p>
        <w:p w14:paraId="47C68E4A" w14:textId="77777777" w:rsidR="00BF6A45" w:rsidRPr="00EA05B0" w:rsidRDefault="00514D2D">
          <w:pPr>
            <w:pStyle w:val="TDC1"/>
            <w:rPr>
              <w:rFonts w:ascii="Palatino Linotype" w:hAnsi="Palatino Linotype"/>
              <w:noProof/>
              <w:lang w:val="es-MX" w:eastAsia="es-MX"/>
            </w:rPr>
          </w:pPr>
          <w:hyperlink w:anchor="_Toc523400457" w:history="1">
            <w:r w:rsidR="00BF6A45" w:rsidRPr="00EA05B0">
              <w:rPr>
                <w:rStyle w:val="Hipervnculo"/>
                <w:rFonts w:ascii="Palatino Linotype" w:hAnsi="Palatino Linotype"/>
                <w:b/>
                <w:noProof/>
              </w:rPr>
              <w:t>CUARTO. Del estudio y resolución del asunto.</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_Toc523400457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11</w:t>
            </w:r>
            <w:r w:rsidR="00BF6A45" w:rsidRPr="00EA05B0">
              <w:rPr>
                <w:rFonts w:ascii="Palatino Linotype" w:hAnsi="Palatino Linotype"/>
                <w:noProof/>
                <w:webHidden/>
              </w:rPr>
              <w:fldChar w:fldCharType="end"/>
            </w:r>
          </w:hyperlink>
        </w:p>
        <w:p w14:paraId="62412C8C" w14:textId="77777777" w:rsidR="00BF6A45" w:rsidRPr="00EA05B0" w:rsidRDefault="00514D2D">
          <w:pPr>
            <w:pStyle w:val="TDC1"/>
            <w:rPr>
              <w:rFonts w:ascii="Palatino Linotype" w:hAnsi="Palatino Linotype"/>
              <w:noProof/>
              <w:lang w:val="es-MX" w:eastAsia="es-MX"/>
            </w:rPr>
          </w:pPr>
          <w:hyperlink w:anchor="_Toc523400461" w:history="1">
            <w:r w:rsidR="00BF6A45" w:rsidRPr="00EA05B0">
              <w:rPr>
                <w:rStyle w:val="Hipervnculo"/>
                <w:rFonts w:ascii="Palatino Linotype" w:hAnsi="Palatino Linotype"/>
                <w:b/>
                <w:noProof/>
              </w:rPr>
              <w:t>R E S O L U T I V O S</w:t>
            </w:r>
            <w:r w:rsidR="00BF6A45" w:rsidRPr="00EA05B0">
              <w:rPr>
                <w:rFonts w:ascii="Palatino Linotype" w:hAnsi="Palatino Linotype"/>
                <w:noProof/>
                <w:webHidden/>
              </w:rPr>
              <w:tab/>
            </w:r>
            <w:r w:rsidR="00BF6A45" w:rsidRPr="00EA05B0">
              <w:rPr>
                <w:rFonts w:ascii="Palatino Linotype" w:hAnsi="Palatino Linotype"/>
                <w:noProof/>
                <w:webHidden/>
              </w:rPr>
              <w:fldChar w:fldCharType="begin"/>
            </w:r>
            <w:r w:rsidR="00BF6A45" w:rsidRPr="00EA05B0">
              <w:rPr>
                <w:rFonts w:ascii="Palatino Linotype" w:hAnsi="Palatino Linotype"/>
                <w:noProof/>
                <w:webHidden/>
              </w:rPr>
              <w:instrText xml:space="preserve"> PAGEREF _Toc523400461 \h </w:instrText>
            </w:r>
            <w:r w:rsidR="00BF6A45" w:rsidRPr="00EA05B0">
              <w:rPr>
                <w:rFonts w:ascii="Palatino Linotype" w:hAnsi="Palatino Linotype"/>
                <w:noProof/>
                <w:webHidden/>
              </w:rPr>
            </w:r>
            <w:r w:rsidR="00BF6A45" w:rsidRPr="00EA05B0">
              <w:rPr>
                <w:rFonts w:ascii="Palatino Linotype" w:hAnsi="Palatino Linotype"/>
                <w:noProof/>
                <w:webHidden/>
              </w:rPr>
              <w:fldChar w:fldCharType="separate"/>
            </w:r>
            <w:r w:rsidR="00BF6A45" w:rsidRPr="00EA05B0">
              <w:rPr>
                <w:rFonts w:ascii="Palatino Linotype" w:hAnsi="Palatino Linotype"/>
                <w:noProof/>
                <w:webHidden/>
              </w:rPr>
              <w:t>41</w:t>
            </w:r>
            <w:r w:rsidR="00BF6A45" w:rsidRPr="00EA05B0">
              <w:rPr>
                <w:rFonts w:ascii="Palatino Linotype" w:hAnsi="Palatino Linotype"/>
                <w:noProof/>
                <w:webHidden/>
              </w:rPr>
              <w:fldChar w:fldCharType="end"/>
            </w:r>
          </w:hyperlink>
        </w:p>
        <w:p w14:paraId="07A9A973" w14:textId="5770DD33" w:rsidR="00DA7E2F" w:rsidRPr="00EA05B0" w:rsidRDefault="00BF6A45" w:rsidP="00440800">
          <w:pPr>
            <w:spacing w:line="480" w:lineRule="auto"/>
            <w:rPr>
              <w:rFonts w:ascii="Palatino Linotype" w:hAnsi="Palatino Linotype"/>
            </w:rPr>
          </w:pPr>
          <w:r w:rsidRPr="00EA05B0">
            <w:rPr>
              <w:rFonts w:ascii="Palatino Linotype" w:hAnsi="Palatino Linotype"/>
              <w:b/>
              <w:noProof/>
              <w:lang w:val="es-MX" w:eastAsia="es-MX"/>
            </w:rPr>
            <mc:AlternateContent>
              <mc:Choice Requires="wps">
                <w:drawing>
                  <wp:anchor distT="0" distB="0" distL="114300" distR="114300" simplePos="0" relativeHeight="251717632" behindDoc="0" locked="0" layoutInCell="1" allowOverlap="1" wp14:anchorId="2E6BEBBA" wp14:editId="77AA5ED2">
                    <wp:simplePos x="0" y="0"/>
                    <wp:positionH relativeFrom="column">
                      <wp:posOffset>320040</wp:posOffset>
                    </wp:positionH>
                    <wp:positionV relativeFrom="paragraph">
                      <wp:posOffset>27940</wp:posOffset>
                    </wp:positionV>
                    <wp:extent cx="5238750" cy="3038475"/>
                    <wp:effectExtent l="38100" t="19050" r="76200" b="85725"/>
                    <wp:wrapNone/>
                    <wp:docPr id="14" name="Conector recto 14"/>
                    <wp:cNvGraphicFramePr/>
                    <a:graphic xmlns:a="http://schemas.openxmlformats.org/drawingml/2006/main">
                      <a:graphicData uri="http://schemas.microsoft.com/office/word/2010/wordprocessingShape">
                        <wps:wsp>
                          <wps:cNvCnPr/>
                          <wps:spPr>
                            <a:xfrm>
                              <a:off x="0" y="0"/>
                              <a:ext cx="5238750" cy="3038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C2E67" id="Conector recto 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2.2pt" to="437.7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" strokecolor="#4f81bd [3204]" strokeweight="2pt">
                    <v:shadow on="t" color="black" opacity="24903f" origin=",.5" offset="0,.55556mm"/>
                  </v:line>
                </w:pict>
              </mc:Fallback>
            </mc:AlternateContent>
          </w:r>
          <w:r w:rsidR="00DA7E2F" w:rsidRPr="00EA05B0">
            <w:rPr>
              <w:rFonts w:ascii="Palatino Linotype" w:hAnsi="Palatino Linotype"/>
              <w:b/>
              <w:bCs/>
              <w:lang w:val="es-ES"/>
            </w:rPr>
            <w:fldChar w:fldCharType="end"/>
          </w:r>
        </w:p>
      </w:sdtContent>
    </w:sdt>
    <w:p w14:paraId="24434580" w14:textId="6A1C36D8" w:rsidR="004D5E57" w:rsidRPr="00EA05B0" w:rsidRDefault="004D5E57" w:rsidP="00602597">
      <w:pPr>
        <w:spacing w:before="240" w:after="240" w:line="360" w:lineRule="auto"/>
        <w:rPr>
          <w:rFonts w:ascii="Palatino Linotype" w:hAnsi="Palatino Linotype"/>
          <w:b/>
        </w:rPr>
      </w:pPr>
    </w:p>
    <w:p w14:paraId="2C013F80" w14:textId="3A46F783" w:rsidR="004D17D6" w:rsidRPr="00EA05B0" w:rsidRDefault="004D17D6" w:rsidP="00067B59">
      <w:pPr>
        <w:spacing w:before="240" w:after="240" w:line="360" w:lineRule="auto"/>
        <w:rPr>
          <w:rFonts w:ascii="Palatino Linotype" w:hAnsi="Palatino Linotype"/>
          <w:b/>
        </w:rPr>
      </w:pPr>
    </w:p>
    <w:p w14:paraId="51EB7F75" w14:textId="10287CA3" w:rsidR="00067B59" w:rsidRPr="00EA05B0" w:rsidRDefault="00067B59" w:rsidP="00067B59">
      <w:pPr>
        <w:spacing w:before="240" w:after="240" w:line="360" w:lineRule="auto"/>
        <w:rPr>
          <w:rFonts w:ascii="Palatino Linotype" w:hAnsi="Palatino Linotype"/>
          <w:b/>
        </w:rPr>
      </w:pPr>
    </w:p>
    <w:p w14:paraId="52858531" w14:textId="62E95F92" w:rsidR="00067B59" w:rsidRPr="00EA05B0" w:rsidRDefault="00067B59" w:rsidP="00067B59">
      <w:pPr>
        <w:spacing w:before="240" w:after="240" w:line="360" w:lineRule="auto"/>
        <w:rPr>
          <w:rFonts w:ascii="Palatino Linotype" w:hAnsi="Palatino Linotype"/>
          <w:b/>
        </w:rPr>
      </w:pPr>
    </w:p>
    <w:p w14:paraId="675392E6" w14:textId="77777777" w:rsidR="00067B59" w:rsidRPr="00EA05B0" w:rsidRDefault="00067B59" w:rsidP="00067B59">
      <w:pPr>
        <w:spacing w:before="240" w:after="240" w:line="360" w:lineRule="auto"/>
        <w:rPr>
          <w:rFonts w:ascii="Palatino Linotype" w:hAnsi="Palatino Linotype"/>
          <w:b/>
        </w:rPr>
      </w:pPr>
    </w:p>
    <w:p w14:paraId="73F7F940" w14:textId="1BCAADCB" w:rsidR="00662C69" w:rsidRPr="00EA05B0" w:rsidRDefault="009B11D6" w:rsidP="00440800">
      <w:pPr>
        <w:tabs>
          <w:tab w:val="left" w:pos="3465"/>
        </w:tabs>
        <w:spacing w:before="240" w:after="360" w:line="360" w:lineRule="auto"/>
        <w:jc w:val="both"/>
        <w:rPr>
          <w:rFonts w:ascii="Palatino Linotype" w:hAnsi="Palatino Linotype"/>
        </w:rPr>
      </w:pPr>
      <w:r w:rsidRPr="00EA05B0">
        <w:rPr>
          <w:rFonts w:ascii="Palatino Linotype" w:hAnsi="Palatino Linotype"/>
        </w:rPr>
        <w:lastRenderedPageBreak/>
        <w:t>R</w:t>
      </w:r>
      <w:r w:rsidR="00662C69" w:rsidRPr="00EA05B0">
        <w:rPr>
          <w:rFonts w:ascii="Palatino Linotype" w:hAnsi="Palatino Linotype"/>
        </w:rPr>
        <w:t>esolución del Pleno del Instituto de Transparencia, Acceso a la Información Pública y Protección de Datos Personales del Estado de México y Mun</w:t>
      </w:r>
      <w:r w:rsidR="000D5A1D" w:rsidRPr="00EA05B0">
        <w:rPr>
          <w:rFonts w:ascii="Palatino Linotype" w:hAnsi="Palatino Linotype"/>
        </w:rPr>
        <w:t>icipios, con</w:t>
      </w:r>
      <w:r w:rsidR="00662C69" w:rsidRPr="00EA05B0">
        <w:rPr>
          <w:rFonts w:ascii="Palatino Linotype" w:hAnsi="Palatino Linotype"/>
        </w:rPr>
        <w:t xml:space="preserve"> </w:t>
      </w:r>
      <w:r w:rsidR="00485DB6" w:rsidRPr="00EA05B0">
        <w:rPr>
          <w:rFonts w:ascii="Palatino Linotype" w:hAnsi="Palatino Linotype"/>
        </w:rPr>
        <w:t xml:space="preserve">domicilio </w:t>
      </w:r>
      <w:r w:rsidR="00662C69" w:rsidRPr="00EA05B0">
        <w:rPr>
          <w:rFonts w:ascii="Palatino Linotype" w:hAnsi="Palatino Linotype"/>
        </w:rPr>
        <w:t xml:space="preserve">en Metepec, Estado de México; de </w:t>
      </w:r>
      <w:r w:rsidR="00BF6A45" w:rsidRPr="00EA05B0">
        <w:rPr>
          <w:rFonts w:ascii="Palatino Linotype" w:hAnsi="Palatino Linotype"/>
        </w:rPr>
        <w:t>fecha veintinueve</w:t>
      </w:r>
      <w:r w:rsidR="00A05A5F" w:rsidRPr="00EA05B0">
        <w:rPr>
          <w:rFonts w:ascii="Palatino Linotype" w:hAnsi="Palatino Linotype"/>
        </w:rPr>
        <w:t xml:space="preserve"> </w:t>
      </w:r>
      <w:r w:rsidR="00352DBD" w:rsidRPr="00EA05B0">
        <w:rPr>
          <w:rFonts w:ascii="Palatino Linotype" w:hAnsi="Palatino Linotype"/>
        </w:rPr>
        <w:t>(</w:t>
      </w:r>
      <w:r w:rsidR="00BF6A45" w:rsidRPr="00EA05B0">
        <w:rPr>
          <w:rFonts w:ascii="Palatino Linotype" w:hAnsi="Palatino Linotype"/>
        </w:rPr>
        <w:t>29</w:t>
      </w:r>
      <w:r w:rsidR="00352DBD" w:rsidRPr="00EA05B0">
        <w:rPr>
          <w:rFonts w:ascii="Palatino Linotype" w:hAnsi="Palatino Linotype"/>
        </w:rPr>
        <w:t xml:space="preserve">) </w:t>
      </w:r>
      <w:r w:rsidR="00662C69" w:rsidRPr="00EA05B0">
        <w:rPr>
          <w:rFonts w:ascii="Palatino Linotype" w:hAnsi="Palatino Linotype"/>
        </w:rPr>
        <w:t xml:space="preserve">de </w:t>
      </w:r>
      <w:r w:rsidR="00B52C71" w:rsidRPr="00EA05B0">
        <w:rPr>
          <w:rFonts w:ascii="Palatino Linotype" w:hAnsi="Palatino Linotype"/>
        </w:rPr>
        <w:t>agosto</w:t>
      </w:r>
      <w:r w:rsidR="001E74A5" w:rsidRPr="00EA05B0">
        <w:rPr>
          <w:rFonts w:ascii="Palatino Linotype" w:hAnsi="Palatino Linotype"/>
        </w:rPr>
        <w:t xml:space="preserve"> </w:t>
      </w:r>
      <w:r w:rsidR="00662C69" w:rsidRPr="00EA05B0">
        <w:rPr>
          <w:rFonts w:ascii="Palatino Linotype" w:hAnsi="Palatino Linotype"/>
        </w:rPr>
        <w:t xml:space="preserve">de dos mil </w:t>
      </w:r>
      <w:r w:rsidR="00B902E7" w:rsidRPr="00EA05B0">
        <w:rPr>
          <w:rFonts w:ascii="Palatino Linotype" w:hAnsi="Palatino Linotype"/>
        </w:rPr>
        <w:t>dieci</w:t>
      </w:r>
      <w:r w:rsidR="00F93DF5" w:rsidRPr="00EA05B0">
        <w:rPr>
          <w:rFonts w:ascii="Palatino Linotype" w:hAnsi="Palatino Linotype"/>
        </w:rPr>
        <w:t>ocho</w:t>
      </w:r>
      <w:r w:rsidR="00662C69" w:rsidRPr="00EA05B0">
        <w:rPr>
          <w:rFonts w:ascii="Palatino Linotype" w:hAnsi="Palatino Linotype"/>
        </w:rPr>
        <w:t>.</w:t>
      </w:r>
    </w:p>
    <w:p w14:paraId="02C1324E" w14:textId="39B8F8C3" w:rsidR="00662C69" w:rsidRPr="00EA05B0" w:rsidRDefault="00662C69" w:rsidP="001E74A5">
      <w:pPr>
        <w:spacing w:before="240" w:after="360" w:line="360" w:lineRule="auto"/>
        <w:jc w:val="both"/>
        <w:rPr>
          <w:rFonts w:ascii="Palatino Linotype" w:hAnsi="Palatino Linotype"/>
          <w:b/>
        </w:rPr>
      </w:pPr>
      <w:r w:rsidRPr="00EA05B0">
        <w:rPr>
          <w:rFonts w:ascii="Palatino Linotype" w:hAnsi="Palatino Linotype"/>
          <w:b/>
        </w:rPr>
        <w:t>VISTO</w:t>
      </w:r>
      <w:r w:rsidRPr="00EA05B0">
        <w:rPr>
          <w:rFonts w:ascii="Palatino Linotype" w:hAnsi="Palatino Linotype"/>
        </w:rPr>
        <w:t xml:space="preserve"> el expediente electrónico for</w:t>
      </w:r>
      <w:r w:rsidR="00D37494" w:rsidRPr="00EA05B0">
        <w:rPr>
          <w:rFonts w:ascii="Palatino Linotype" w:hAnsi="Palatino Linotype"/>
        </w:rPr>
        <w:t>mado con motivo de</w:t>
      </w:r>
      <w:r w:rsidR="00B52C71" w:rsidRPr="00EA05B0">
        <w:rPr>
          <w:rFonts w:ascii="Palatino Linotype" w:hAnsi="Palatino Linotype"/>
        </w:rPr>
        <w:t>l</w:t>
      </w:r>
      <w:r w:rsidRPr="00EA05B0">
        <w:rPr>
          <w:rFonts w:ascii="Palatino Linotype" w:hAnsi="Palatino Linotype"/>
        </w:rPr>
        <w:t xml:space="preserve"> recurso de revisión </w:t>
      </w:r>
      <w:r w:rsidR="00B52C71" w:rsidRPr="00EA05B0">
        <w:rPr>
          <w:rFonts w:ascii="Palatino Linotype" w:hAnsi="Palatino Linotype"/>
          <w:b/>
        </w:rPr>
        <w:t>02293</w:t>
      </w:r>
      <w:r w:rsidR="00592A69" w:rsidRPr="00EA05B0">
        <w:rPr>
          <w:rFonts w:ascii="Palatino Linotype" w:hAnsi="Palatino Linotype"/>
          <w:b/>
        </w:rPr>
        <w:t>/INFOEM/IP/RR/2018</w:t>
      </w:r>
      <w:r w:rsidR="00AF3D59" w:rsidRPr="00EA05B0">
        <w:rPr>
          <w:rFonts w:ascii="Palatino Linotype" w:hAnsi="Palatino Linotype" w:cs="Arial"/>
          <w:b/>
          <w:bCs/>
        </w:rPr>
        <w:t>;</w:t>
      </w:r>
      <w:r w:rsidR="00335BFE" w:rsidRPr="00EA05B0">
        <w:rPr>
          <w:rFonts w:ascii="Palatino Linotype" w:hAnsi="Palatino Linotype" w:cs="Arial"/>
          <w:b/>
          <w:bCs/>
        </w:rPr>
        <w:t xml:space="preserve"> </w:t>
      </w:r>
      <w:r w:rsidRPr="00EA05B0">
        <w:rPr>
          <w:rFonts w:ascii="Palatino Linotype" w:hAnsi="Palatino Linotype"/>
        </w:rPr>
        <w:t xml:space="preserve">promovido por </w:t>
      </w:r>
      <w:r w:rsidR="00514D2D" w:rsidRPr="00514D2D">
        <w:rPr>
          <w:rFonts w:ascii="Palatino Linotype" w:hAnsi="Palatino Linotype"/>
          <w:b/>
          <w:szCs w:val="22"/>
          <w:highlight w:val="black"/>
        </w:rPr>
        <w:t>-----------------------------</w:t>
      </w:r>
      <w:r w:rsidRPr="00EA05B0">
        <w:rPr>
          <w:rFonts w:ascii="Palatino Linotype" w:hAnsi="Palatino Linotype"/>
          <w:b/>
        </w:rPr>
        <w:t xml:space="preserve">, </w:t>
      </w:r>
      <w:r w:rsidRPr="00EA05B0">
        <w:rPr>
          <w:rFonts w:ascii="Palatino Linotype" w:hAnsi="Palatino Linotype" w:cs="Arial"/>
        </w:rPr>
        <w:t xml:space="preserve">en su </w:t>
      </w:r>
      <w:r w:rsidR="00D83C17" w:rsidRPr="00EA05B0">
        <w:rPr>
          <w:rFonts w:ascii="Palatino Linotype" w:hAnsi="Palatino Linotype" w:cs="Arial"/>
        </w:rPr>
        <w:t>calidad</w:t>
      </w:r>
      <w:r w:rsidRPr="00EA05B0">
        <w:rPr>
          <w:rFonts w:ascii="Palatino Linotype" w:hAnsi="Palatino Linotype" w:cs="Arial"/>
        </w:rPr>
        <w:t xml:space="preserve"> de </w:t>
      </w:r>
      <w:r w:rsidRPr="00EA05B0">
        <w:rPr>
          <w:rFonts w:ascii="Palatino Linotype" w:hAnsi="Palatino Linotype" w:cs="Arial"/>
          <w:b/>
        </w:rPr>
        <w:t>RECURRENTE</w:t>
      </w:r>
      <w:r w:rsidRPr="00EA05B0">
        <w:rPr>
          <w:rFonts w:ascii="Palatino Linotype" w:hAnsi="Palatino Linotype" w:cs="Arial"/>
        </w:rPr>
        <w:t xml:space="preserve">, en contra </w:t>
      </w:r>
      <w:r w:rsidR="000D5A1D" w:rsidRPr="00EA05B0">
        <w:rPr>
          <w:rFonts w:ascii="Palatino Linotype" w:hAnsi="Palatino Linotype" w:cs="Arial"/>
        </w:rPr>
        <w:t xml:space="preserve">de </w:t>
      </w:r>
      <w:r w:rsidR="00843908" w:rsidRPr="00EA05B0">
        <w:rPr>
          <w:rFonts w:ascii="Palatino Linotype" w:hAnsi="Palatino Linotype" w:cs="Arial"/>
        </w:rPr>
        <w:t>la respuesta</w:t>
      </w:r>
      <w:r w:rsidR="00860D7D" w:rsidRPr="00EA05B0">
        <w:rPr>
          <w:rFonts w:ascii="Palatino Linotype" w:hAnsi="Palatino Linotype" w:cs="Arial"/>
        </w:rPr>
        <w:t xml:space="preserve"> esgrimida por el</w:t>
      </w:r>
      <w:r w:rsidR="00133CE5" w:rsidRPr="00EA05B0">
        <w:rPr>
          <w:rFonts w:ascii="Palatino Linotype" w:hAnsi="Palatino Linotype"/>
        </w:rPr>
        <w:t xml:space="preserve"> </w:t>
      </w:r>
      <w:r w:rsidR="00860D7D" w:rsidRPr="00EA05B0">
        <w:rPr>
          <w:rFonts w:ascii="Palatino Linotype" w:hAnsi="Palatino Linotype"/>
          <w:b/>
        </w:rPr>
        <w:t xml:space="preserve">Ayuntamiento de </w:t>
      </w:r>
      <w:r w:rsidR="00B52C71" w:rsidRPr="00EA05B0">
        <w:rPr>
          <w:rFonts w:ascii="Palatino Linotype" w:hAnsi="Palatino Linotype"/>
          <w:b/>
        </w:rPr>
        <w:t>Almoloya del Río</w:t>
      </w:r>
      <w:r w:rsidR="0036073F" w:rsidRPr="00EA05B0">
        <w:rPr>
          <w:rFonts w:ascii="Palatino Linotype" w:hAnsi="Palatino Linotype"/>
          <w:b/>
        </w:rPr>
        <w:t xml:space="preserve">, </w:t>
      </w:r>
      <w:r w:rsidRPr="00EA05B0">
        <w:rPr>
          <w:rFonts w:ascii="Palatino Linotype" w:hAnsi="Palatino Linotype"/>
        </w:rPr>
        <w:t>en lo sucesivo el</w:t>
      </w:r>
      <w:r w:rsidRPr="00EA05B0">
        <w:rPr>
          <w:rFonts w:ascii="Palatino Linotype" w:hAnsi="Palatino Linotype"/>
          <w:b/>
        </w:rPr>
        <w:t xml:space="preserve"> SUJETO OBLIGADO, </w:t>
      </w:r>
      <w:r w:rsidRPr="00EA05B0">
        <w:rPr>
          <w:rFonts w:ascii="Palatino Linotype" w:hAnsi="Palatino Linotype"/>
        </w:rPr>
        <w:t>se procede a dictar la presente resolución, con base en los siguientes:</w:t>
      </w:r>
    </w:p>
    <w:p w14:paraId="769E1410" w14:textId="5740327F" w:rsidR="00587366" w:rsidRPr="00EA05B0" w:rsidRDefault="00662C69" w:rsidP="001E74A5">
      <w:pPr>
        <w:pStyle w:val="Ttulo1"/>
        <w:spacing w:line="360" w:lineRule="auto"/>
        <w:jc w:val="center"/>
        <w:rPr>
          <w:b/>
        </w:rPr>
      </w:pPr>
      <w:bookmarkStart w:id="0" w:name="_Toc461555884"/>
      <w:bookmarkStart w:id="1" w:name="_Toc466371847"/>
      <w:bookmarkStart w:id="2" w:name="_Toc523400450"/>
      <w:r w:rsidRPr="00EA05B0">
        <w:rPr>
          <w:b/>
        </w:rPr>
        <w:t>ANTECEDENTES</w:t>
      </w:r>
      <w:bookmarkEnd w:id="0"/>
      <w:bookmarkEnd w:id="1"/>
      <w:bookmarkEnd w:id="2"/>
    </w:p>
    <w:p w14:paraId="402A4C0A" w14:textId="26492465" w:rsidR="00D9392E" w:rsidRPr="00EA05B0" w:rsidRDefault="00BD3CC6" w:rsidP="00860D7D">
      <w:pPr>
        <w:pStyle w:val="Prrafodelista"/>
        <w:numPr>
          <w:ilvl w:val="0"/>
          <w:numId w:val="3"/>
        </w:numPr>
        <w:spacing w:before="240" w:after="240" w:line="360" w:lineRule="auto"/>
        <w:ind w:left="426"/>
        <w:jc w:val="both"/>
        <w:rPr>
          <w:rFonts w:ascii="Palatino Linotype" w:eastAsia="Calibri" w:hAnsi="Palatino Linotype" w:cs="Arial"/>
          <w:lang w:val="es-ES"/>
        </w:rPr>
      </w:pPr>
      <w:r w:rsidRPr="00EA05B0">
        <w:rPr>
          <w:rFonts w:ascii="Palatino Linotype" w:eastAsia="Calibri" w:hAnsi="Palatino Linotype" w:cs="Arial"/>
          <w:lang w:val="es-ES"/>
        </w:rPr>
        <w:t>El</w:t>
      </w:r>
      <w:r w:rsidR="00860D7D" w:rsidRPr="00EA05B0">
        <w:rPr>
          <w:rFonts w:ascii="Palatino Linotype" w:eastAsia="Calibri" w:hAnsi="Palatino Linotype" w:cs="Arial"/>
          <w:lang w:val="es-ES"/>
        </w:rPr>
        <w:t xml:space="preserve"> día</w:t>
      </w:r>
      <w:r w:rsidR="00D9392E" w:rsidRPr="00EA05B0">
        <w:rPr>
          <w:rFonts w:ascii="Palatino Linotype" w:eastAsia="Calibri" w:hAnsi="Palatino Linotype" w:cs="Arial"/>
          <w:lang w:val="es-ES"/>
        </w:rPr>
        <w:t xml:space="preserve"> </w:t>
      </w:r>
      <w:r w:rsidR="00B52C71" w:rsidRPr="00EA05B0">
        <w:rPr>
          <w:rFonts w:ascii="Palatino Linotype" w:eastAsia="Calibri" w:hAnsi="Palatino Linotype" w:cs="Arial"/>
          <w:lang w:val="es-ES"/>
        </w:rPr>
        <w:t>veintiocho</w:t>
      </w:r>
      <w:r w:rsidR="00860D7D" w:rsidRPr="00EA05B0">
        <w:rPr>
          <w:rFonts w:ascii="Palatino Linotype" w:eastAsia="Calibri" w:hAnsi="Palatino Linotype" w:cs="Arial"/>
          <w:lang w:val="es-ES"/>
        </w:rPr>
        <w:t xml:space="preserve"> (</w:t>
      </w:r>
      <w:r w:rsidR="00B52C71" w:rsidRPr="00EA05B0">
        <w:rPr>
          <w:rFonts w:ascii="Palatino Linotype" w:eastAsia="Calibri" w:hAnsi="Palatino Linotype" w:cs="Arial"/>
          <w:lang w:val="es-ES"/>
        </w:rPr>
        <w:t>28</w:t>
      </w:r>
      <w:r w:rsidR="00860D7D" w:rsidRPr="00EA05B0">
        <w:rPr>
          <w:rFonts w:ascii="Palatino Linotype" w:eastAsia="Calibri" w:hAnsi="Palatino Linotype" w:cs="Arial"/>
          <w:lang w:val="es-ES"/>
        </w:rPr>
        <w:t xml:space="preserve">) de </w:t>
      </w:r>
      <w:r w:rsidR="00B52C71" w:rsidRPr="00EA05B0">
        <w:rPr>
          <w:rFonts w:ascii="Palatino Linotype" w:eastAsia="Calibri" w:hAnsi="Palatino Linotype" w:cs="Arial"/>
          <w:lang w:val="es-ES"/>
        </w:rPr>
        <w:t>mayo del dos mil dieciocho</w:t>
      </w:r>
      <w:r w:rsidR="00860D7D" w:rsidRPr="00EA05B0">
        <w:rPr>
          <w:rFonts w:ascii="Palatino Linotype" w:eastAsia="Calibri" w:hAnsi="Palatino Linotype" w:cs="Arial"/>
          <w:lang w:val="es-ES"/>
        </w:rPr>
        <w:t>,</w:t>
      </w:r>
      <w:r w:rsidR="00D9392E" w:rsidRPr="00EA05B0">
        <w:rPr>
          <w:rFonts w:ascii="Palatino Linotype" w:hAnsi="Palatino Linotype"/>
          <w:b/>
        </w:rPr>
        <w:t xml:space="preserve"> </w:t>
      </w:r>
      <w:r w:rsidR="00D9392E" w:rsidRPr="00EA05B0">
        <w:rPr>
          <w:rFonts w:ascii="Palatino Linotype" w:eastAsia="Calibri" w:hAnsi="Palatino Linotype" w:cs="Arial"/>
          <w:lang w:val="es-ES"/>
        </w:rPr>
        <w:t xml:space="preserve">se presentó ante el </w:t>
      </w:r>
      <w:r w:rsidR="00D9392E" w:rsidRPr="00EA05B0">
        <w:rPr>
          <w:rFonts w:ascii="Palatino Linotype" w:eastAsia="Calibri" w:hAnsi="Palatino Linotype" w:cs="Arial"/>
          <w:b/>
          <w:lang w:val="es-ES"/>
        </w:rPr>
        <w:t>SUJETO OBLIGADO</w:t>
      </w:r>
      <w:r w:rsidR="00D9392E" w:rsidRPr="00EA05B0">
        <w:rPr>
          <w:rFonts w:ascii="Palatino Linotype" w:eastAsia="Calibri" w:hAnsi="Palatino Linotype" w:cs="Arial"/>
        </w:rPr>
        <w:t xml:space="preserve"> vía </w:t>
      </w:r>
      <w:r w:rsidR="00D9392E" w:rsidRPr="00EA05B0">
        <w:rPr>
          <w:rFonts w:ascii="Palatino Linotype" w:eastAsia="Calibri" w:hAnsi="Palatino Linotype" w:cs="Arial"/>
          <w:lang w:val="es-ES"/>
        </w:rPr>
        <w:t xml:space="preserve">Sistema de Acceso a la Información Mexiquense </w:t>
      </w:r>
      <w:r w:rsidR="00B52C71" w:rsidRPr="00EA05B0">
        <w:rPr>
          <w:rFonts w:ascii="Palatino Linotype" w:eastAsia="Calibri" w:hAnsi="Palatino Linotype" w:cs="Arial"/>
          <w:lang w:val="es-ES"/>
        </w:rPr>
        <w:t>(</w:t>
      </w:r>
      <w:r w:rsidR="00D9392E" w:rsidRPr="00EA05B0">
        <w:rPr>
          <w:rFonts w:ascii="Palatino Linotype" w:eastAsia="Calibri" w:hAnsi="Palatino Linotype" w:cs="Arial"/>
          <w:b/>
          <w:lang w:val="es-ES"/>
        </w:rPr>
        <w:t>SAIMEX</w:t>
      </w:r>
      <w:r w:rsidR="00B52C71" w:rsidRPr="00EA05B0">
        <w:rPr>
          <w:rFonts w:ascii="Palatino Linotype" w:eastAsia="Calibri" w:hAnsi="Palatino Linotype" w:cs="Arial"/>
          <w:b/>
          <w:lang w:val="es-ES"/>
        </w:rPr>
        <w:t>)</w:t>
      </w:r>
      <w:r w:rsidR="00D9392E" w:rsidRPr="00EA05B0">
        <w:rPr>
          <w:rFonts w:ascii="Palatino Linotype" w:eastAsia="Calibri" w:hAnsi="Palatino Linotype" w:cs="Arial"/>
          <w:lang w:val="es-ES"/>
        </w:rPr>
        <w:t xml:space="preserve">, la solicitud de información pública registrada con </w:t>
      </w:r>
      <w:r w:rsidR="00167196" w:rsidRPr="00EA05B0">
        <w:rPr>
          <w:rFonts w:ascii="Palatino Linotype" w:eastAsia="Calibri" w:hAnsi="Palatino Linotype" w:cs="Arial"/>
          <w:lang w:val="es-ES"/>
        </w:rPr>
        <w:t>e</w:t>
      </w:r>
      <w:r w:rsidR="00D9392E" w:rsidRPr="00EA05B0">
        <w:rPr>
          <w:rFonts w:ascii="Palatino Linotype" w:eastAsia="Calibri" w:hAnsi="Palatino Linotype" w:cs="Arial"/>
          <w:lang w:val="es-ES"/>
        </w:rPr>
        <w:t xml:space="preserve">l número </w:t>
      </w:r>
      <w:r w:rsidR="00B52C71" w:rsidRPr="00EA05B0">
        <w:rPr>
          <w:rFonts w:ascii="Palatino Linotype" w:hAnsi="Palatino Linotype"/>
          <w:b/>
        </w:rPr>
        <w:t>00034</w:t>
      </w:r>
      <w:r w:rsidR="00592A69" w:rsidRPr="00EA05B0">
        <w:rPr>
          <w:rFonts w:ascii="Palatino Linotype" w:hAnsi="Palatino Linotype"/>
          <w:b/>
        </w:rPr>
        <w:t>/</w:t>
      </w:r>
      <w:r w:rsidR="00B52C71" w:rsidRPr="00EA05B0">
        <w:rPr>
          <w:rFonts w:ascii="Palatino Linotype" w:hAnsi="Palatino Linotype"/>
          <w:b/>
        </w:rPr>
        <w:t>ALMORI</w:t>
      </w:r>
      <w:r w:rsidR="00592A69" w:rsidRPr="00EA05B0">
        <w:rPr>
          <w:rFonts w:ascii="Palatino Linotype" w:hAnsi="Palatino Linotype"/>
          <w:b/>
        </w:rPr>
        <w:t>/IP/2018</w:t>
      </w:r>
      <w:r w:rsidR="00D9392E" w:rsidRPr="00EA05B0">
        <w:rPr>
          <w:rFonts w:ascii="Palatino Linotype" w:eastAsia="Calibri" w:hAnsi="Palatino Linotype" w:cs="Arial"/>
          <w:lang w:val="es-ES"/>
        </w:rPr>
        <w:t xml:space="preserve"> mediante la cual solicitó:</w:t>
      </w:r>
    </w:p>
    <w:p w14:paraId="029E6859" w14:textId="77777777" w:rsidR="00795CCA" w:rsidRPr="00EA05B0" w:rsidRDefault="00795CCA" w:rsidP="00D9392E">
      <w:pPr>
        <w:pStyle w:val="Prrafodelista"/>
        <w:spacing w:line="360" w:lineRule="auto"/>
        <w:ind w:left="709" w:right="333"/>
        <w:jc w:val="both"/>
        <w:rPr>
          <w:rFonts w:ascii="Palatino Linotype" w:hAnsi="Palatino Linotype"/>
          <w:i/>
          <w:color w:val="000000"/>
          <w:sz w:val="22"/>
          <w:szCs w:val="22"/>
        </w:rPr>
      </w:pPr>
    </w:p>
    <w:p w14:paraId="45EF49F8" w14:textId="0AE288B2" w:rsidR="001C34D6" w:rsidRPr="00EA05B0" w:rsidRDefault="00167196" w:rsidP="00D9392E">
      <w:pPr>
        <w:pStyle w:val="Prrafodelista"/>
        <w:spacing w:line="360" w:lineRule="auto"/>
        <w:ind w:left="709" w:right="333"/>
        <w:jc w:val="both"/>
        <w:rPr>
          <w:rFonts w:ascii="Palatino Linotype" w:hAnsi="Palatino Linotype"/>
          <w:color w:val="000000"/>
          <w:sz w:val="22"/>
          <w:szCs w:val="22"/>
        </w:rPr>
      </w:pPr>
      <w:r w:rsidRPr="00EA05B0">
        <w:rPr>
          <w:rFonts w:ascii="Palatino Linotype" w:hAnsi="Palatino Linotype"/>
          <w:i/>
          <w:color w:val="000000"/>
          <w:sz w:val="22"/>
          <w:szCs w:val="22"/>
        </w:rPr>
        <w:t xml:space="preserve"> </w:t>
      </w:r>
      <w:r w:rsidR="001C34D6" w:rsidRPr="00EA05B0">
        <w:rPr>
          <w:rFonts w:ascii="Palatino Linotype" w:hAnsi="Palatino Linotype"/>
          <w:i/>
          <w:color w:val="000000"/>
          <w:sz w:val="22"/>
          <w:szCs w:val="22"/>
        </w:rPr>
        <w:t>“</w:t>
      </w:r>
      <w:r w:rsidR="005E0E72" w:rsidRPr="00EA05B0">
        <w:rPr>
          <w:rFonts w:ascii="Palatino Linotype" w:hAnsi="Palatino Linotype"/>
          <w:i/>
          <w:color w:val="000000"/>
          <w:sz w:val="22"/>
          <w:szCs w:val="22"/>
        </w:rPr>
        <w:t>1. solicito copia de las resoluciones de los laudos por demandas laborales de la actual administración.</w:t>
      </w:r>
      <w:r w:rsidR="001C34D6" w:rsidRPr="00EA05B0">
        <w:rPr>
          <w:rFonts w:ascii="Palatino Linotype" w:hAnsi="Palatino Linotype"/>
          <w:i/>
          <w:color w:val="000000"/>
          <w:sz w:val="22"/>
          <w:szCs w:val="22"/>
        </w:rPr>
        <w:t>”</w:t>
      </w:r>
      <w:r w:rsidR="001C34D6" w:rsidRPr="00EA05B0">
        <w:rPr>
          <w:rFonts w:ascii="Palatino Linotype" w:hAnsi="Palatino Linotype"/>
          <w:color w:val="000000"/>
          <w:sz w:val="22"/>
          <w:szCs w:val="22"/>
        </w:rPr>
        <w:t xml:space="preserve"> (Sic)</w:t>
      </w:r>
    </w:p>
    <w:p w14:paraId="44477C47" w14:textId="77777777" w:rsidR="00860D7D" w:rsidRPr="00EA05B0" w:rsidRDefault="00860D7D" w:rsidP="00D9392E">
      <w:pPr>
        <w:pStyle w:val="Prrafodelista"/>
        <w:spacing w:line="360" w:lineRule="auto"/>
        <w:ind w:left="709" w:right="333"/>
        <w:jc w:val="both"/>
        <w:rPr>
          <w:rFonts w:ascii="Palatino Linotype" w:hAnsi="Palatino Linotype"/>
          <w:color w:val="000000"/>
        </w:rPr>
      </w:pPr>
    </w:p>
    <w:p w14:paraId="2C57A722" w14:textId="6D942877" w:rsidR="00750A80" w:rsidRPr="00EA05B0" w:rsidRDefault="005E0E72" w:rsidP="001E74A5">
      <w:pPr>
        <w:pStyle w:val="Prrafodelista"/>
        <w:numPr>
          <w:ilvl w:val="0"/>
          <w:numId w:val="1"/>
        </w:numPr>
        <w:spacing w:line="360" w:lineRule="auto"/>
        <w:jc w:val="both"/>
        <w:rPr>
          <w:rFonts w:ascii="Palatino Linotype" w:eastAsia="Times New Roman" w:hAnsi="Palatino Linotype" w:cs="Arial"/>
          <w:lang w:val="es-ES"/>
        </w:rPr>
      </w:pPr>
      <w:r w:rsidRPr="00EA05B0">
        <w:rPr>
          <w:rFonts w:ascii="Palatino Linotype" w:eastAsia="Times New Roman" w:hAnsi="Palatino Linotype" w:cs="Arial"/>
          <w:lang w:val="es-ES"/>
        </w:rPr>
        <w:t>Asimismo, s</w:t>
      </w:r>
      <w:r w:rsidR="00A8769A" w:rsidRPr="00EA05B0">
        <w:rPr>
          <w:rFonts w:ascii="Palatino Linotype" w:eastAsia="Times New Roman" w:hAnsi="Palatino Linotype" w:cs="Arial"/>
          <w:lang w:val="es-ES"/>
        </w:rPr>
        <w:t xml:space="preserve">eñaló </w:t>
      </w:r>
      <w:r w:rsidR="00750A80" w:rsidRPr="00EA05B0">
        <w:rPr>
          <w:rFonts w:ascii="Palatino Linotype" w:eastAsia="Times New Roman" w:hAnsi="Palatino Linotype" w:cs="Arial"/>
          <w:lang w:val="es-ES"/>
        </w:rPr>
        <w:t>como modalidad de entrega de la información</w:t>
      </w:r>
      <w:r w:rsidR="001E74A5" w:rsidRPr="00EA05B0">
        <w:rPr>
          <w:rFonts w:ascii="Palatino Linotype" w:eastAsia="Times New Roman" w:hAnsi="Palatino Linotype" w:cs="Arial"/>
          <w:lang w:val="es-ES"/>
        </w:rPr>
        <w:t xml:space="preserve"> para </w:t>
      </w:r>
      <w:r w:rsidRPr="00EA05B0">
        <w:rPr>
          <w:rFonts w:ascii="Palatino Linotype" w:eastAsia="Times New Roman" w:hAnsi="Palatino Linotype" w:cs="Arial"/>
          <w:lang w:val="es-ES"/>
        </w:rPr>
        <w:t>su solicitud</w:t>
      </w:r>
      <w:r w:rsidR="00750A80" w:rsidRPr="00EA05B0">
        <w:rPr>
          <w:rFonts w:ascii="Palatino Linotype" w:eastAsia="Times New Roman" w:hAnsi="Palatino Linotype" w:cs="Arial"/>
          <w:b/>
          <w:lang w:val="es-ES"/>
        </w:rPr>
        <w:t>:</w:t>
      </w:r>
      <w:r w:rsidR="00750A80" w:rsidRPr="00EA05B0">
        <w:rPr>
          <w:rFonts w:ascii="Palatino Linotype" w:eastAsia="Times New Roman" w:hAnsi="Palatino Linotype" w:cs="Arial"/>
          <w:lang w:val="es-ES"/>
        </w:rPr>
        <w:t xml:space="preserve"> </w:t>
      </w:r>
      <w:r w:rsidR="007B30F3" w:rsidRPr="00EA05B0">
        <w:rPr>
          <w:rFonts w:ascii="Palatino Linotype" w:hAnsi="Palatino Linotype"/>
          <w:szCs w:val="14"/>
        </w:rPr>
        <w:t xml:space="preserve">A través del </w:t>
      </w:r>
      <w:r w:rsidR="006B7A58" w:rsidRPr="00EA05B0">
        <w:rPr>
          <w:rFonts w:ascii="Palatino Linotype" w:hAnsi="Palatino Linotype"/>
          <w:szCs w:val="14"/>
        </w:rPr>
        <w:t>“</w:t>
      </w:r>
      <w:r w:rsidR="000D5A1D" w:rsidRPr="00EA05B0">
        <w:rPr>
          <w:rFonts w:ascii="Palatino Linotype" w:hAnsi="Palatino Linotype"/>
          <w:b/>
          <w:szCs w:val="14"/>
        </w:rPr>
        <w:t>SAIMEX</w:t>
      </w:r>
      <w:r w:rsidR="006B7A58" w:rsidRPr="00EA05B0">
        <w:rPr>
          <w:rFonts w:ascii="Palatino Linotype" w:hAnsi="Palatino Linotype"/>
          <w:b/>
          <w:szCs w:val="14"/>
        </w:rPr>
        <w:t>”</w:t>
      </w:r>
      <w:r w:rsidR="007B30F3" w:rsidRPr="00EA05B0">
        <w:rPr>
          <w:rFonts w:ascii="Palatino Linotype" w:hAnsi="Palatino Linotype"/>
          <w:szCs w:val="14"/>
        </w:rPr>
        <w:t xml:space="preserve">. </w:t>
      </w:r>
    </w:p>
    <w:p w14:paraId="24BD5ACB" w14:textId="77777777" w:rsidR="00860D7D" w:rsidRPr="00EA05B0" w:rsidRDefault="00860D7D" w:rsidP="00860D7D">
      <w:pPr>
        <w:pStyle w:val="Prrafodelista"/>
        <w:spacing w:line="360" w:lineRule="auto"/>
        <w:jc w:val="both"/>
        <w:rPr>
          <w:rFonts w:ascii="Palatino Linotype" w:eastAsia="Times New Roman" w:hAnsi="Palatino Linotype" w:cs="Arial"/>
          <w:lang w:val="es-ES"/>
        </w:rPr>
      </w:pPr>
    </w:p>
    <w:p w14:paraId="699286E4" w14:textId="1D104C2F" w:rsidR="0054126A" w:rsidRPr="00EA05B0" w:rsidRDefault="004465D3" w:rsidP="0054126A">
      <w:pPr>
        <w:pStyle w:val="Prrafodelista"/>
        <w:numPr>
          <w:ilvl w:val="0"/>
          <w:numId w:val="3"/>
        </w:numPr>
        <w:spacing w:before="240" w:after="240" w:line="360" w:lineRule="auto"/>
        <w:ind w:left="426"/>
        <w:jc w:val="both"/>
        <w:rPr>
          <w:rFonts w:ascii="Palatino Linotype" w:eastAsia="MS Mincho" w:hAnsi="Palatino Linotype" w:cs="Times New Roman"/>
          <w:sz w:val="18"/>
        </w:rPr>
      </w:pPr>
      <w:r w:rsidRPr="00EA05B0">
        <w:rPr>
          <w:rFonts w:ascii="Palatino Linotype" w:eastAsia="Calibri" w:hAnsi="Palatino Linotype" w:cs="Arial"/>
          <w:lang w:val="es-AR"/>
        </w:rPr>
        <w:lastRenderedPageBreak/>
        <w:t xml:space="preserve">En fecha </w:t>
      </w:r>
      <w:r w:rsidR="005E0E72" w:rsidRPr="00EA05B0">
        <w:rPr>
          <w:rFonts w:ascii="Palatino Linotype" w:eastAsia="Calibri" w:hAnsi="Palatino Linotype" w:cs="Arial"/>
          <w:lang w:val="es-AR"/>
        </w:rPr>
        <w:t>dieciocho</w:t>
      </w:r>
      <w:r w:rsidR="00771308" w:rsidRPr="00EA05B0">
        <w:rPr>
          <w:rFonts w:ascii="Palatino Linotype" w:eastAsia="Calibri" w:hAnsi="Palatino Linotype" w:cs="Arial"/>
          <w:lang w:val="es-AR"/>
        </w:rPr>
        <w:t xml:space="preserve"> </w:t>
      </w:r>
      <w:r w:rsidR="005D6FF0" w:rsidRPr="00EA05B0">
        <w:rPr>
          <w:rFonts w:ascii="Palatino Linotype" w:eastAsia="Calibri" w:hAnsi="Palatino Linotype" w:cs="Arial"/>
          <w:lang w:val="es-AR"/>
        </w:rPr>
        <w:t>(</w:t>
      </w:r>
      <w:r w:rsidR="005E0E72" w:rsidRPr="00EA05B0">
        <w:rPr>
          <w:rFonts w:ascii="Palatino Linotype" w:eastAsia="Calibri" w:hAnsi="Palatino Linotype" w:cs="Arial"/>
          <w:lang w:val="es-AR"/>
        </w:rPr>
        <w:t>18</w:t>
      </w:r>
      <w:r w:rsidR="00552213" w:rsidRPr="00EA05B0">
        <w:rPr>
          <w:rFonts w:ascii="Palatino Linotype" w:eastAsia="MS Mincho" w:hAnsi="Palatino Linotype" w:cs="Times New Roman"/>
        </w:rPr>
        <w:t>)</w:t>
      </w:r>
      <w:r w:rsidR="00771308" w:rsidRPr="00EA05B0">
        <w:rPr>
          <w:rFonts w:ascii="Palatino Linotype" w:eastAsia="MS Mincho" w:hAnsi="Palatino Linotype" w:cs="Times New Roman"/>
        </w:rPr>
        <w:t xml:space="preserve"> </w:t>
      </w:r>
      <w:r w:rsidR="00552213" w:rsidRPr="00EA05B0">
        <w:rPr>
          <w:rFonts w:ascii="Palatino Linotype" w:eastAsia="MS Mincho" w:hAnsi="Palatino Linotype" w:cs="Times New Roman"/>
        </w:rPr>
        <w:t xml:space="preserve">de </w:t>
      </w:r>
      <w:r w:rsidR="005E0E72" w:rsidRPr="00EA05B0">
        <w:rPr>
          <w:rFonts w:ascii="Palatino Linotype" w:eastAsia="MS Mincho" w:hAnsi="Palatino Linotype" w:cs="Times New Roman"/>
        </w:rPr>
        <w:t>junio</w:t>
      </w:r>
      <w:r w:rsidR="00552213" w:rsidRPr="00EA05B0">
        <w:rPr>
          <w:rFonts w:ascii="Palatino Linotype" w:eastAsia="MS Mincho" w:hAnsi="Palatino Linotype" w:cs="Times New Roman"/>
        </w:rPr>
        <w:t xml:space="preserve"> de dos mil dieci</w:t>
      </w:r>
      <w:r w:rsidR="00B22039" w:rsidRPr="00EA05B0">
        <w:rPr>
          <w:rFonts w:ascii="Palatino Linotype" w:eastAsia="MS Mincho" w:hAnsi="Palatino Linotype" w:cs="Times New Roman"/>
        </w:rPr>
        <w:t>ocho</w:t>
      </w:r>
      <w:r w:rsidR="00552213" w:rsidRPr="00EA05B0">
        <w:rPr>
          <w:rFonts w:ascii="Palatino Linotype" w:eastAsia="Times New Roman" w:hAnsi="Palatino Linotype" w:cs="Arial"/>
          <w:lang w:val="es-ES"/>
        </w:rPr>
        <w:t xml:space="preserve">, el </w:t>
      </w:r>
      <w:r w:rsidR="00552213" w:rsidRPr="00EA05B0">
        <w:rPr>
          <w:rFonts w:ascii="Palatino Linotype" w:eastAsia="Times New Roman" w:hAnsi="Palatino Linotype" w:cs="Arial"/>
          <w:b/>
          <w:lang w:val="es-ES"/>
        </w:rPr>
        <w:t>SUJETO OBLIGADO</w:t>
      </w:r>
      <w:r w:rsidR="00552213" w:rsidRPr="00EA05B0">
        <w:rPr>
          <w:rFonts w:ascii="Palatino Linotype" w:eastAsia="Times New Roman" w:hAnsi="Palatino Linotype" w:cs="Arial"/>
          <w:lang w:val="es-ES"/>
        </w:rPr>
        <w:t>,</w:t>
      </w:r>
      <w:r w:rsidR="00102D65" w:rsidRPr="00EA05B0">
        <w:rPr>
          <w:rFonts w:ascii="Palatino Linotype" w:eastAsia="Times New Roman" w:hAnsi="Palatino Linotype" w:cs="Arial"/>
          <w:lang w:val="es-ES"/>
        </w:rPr>
        <w:t xml:space="preserve"> dio </w:t>
      </w:r>
      <w:r w:rsidR="005E0E72" w:rsidRPr="00EA05B0">
        <w:rPr>
          <w:rFonts w:ascii="Palatino Linotype" w:eastAsia="Times New Roman" w:hAnsi="Palatino Linotype" w:cs="Arial"/>
          <w:lang w:val="es-ES"/>
        </w:rPr>
        <w:t>respuesta a la solicitud de información presentada, mediante el siguiente escrito:</w:t>
      </w:r>
    </w:p>
    <w:p w14:paraId="5777B65C" w14:textId="2988C4A0" w:rsidR="005E0E72" w:rsidRPr="00EA05B0" w:rsidRDefault="009825CC" w:rsidP="005E0E72">
      <w:pPr>
        <w:pStyle w:val="Sinespaciado"/>
        <w:ind w:left="851" w:right="567"/>
        <w:jc w:val="right"/>
        <w:rPr>
          <w:rFonts w:ascii="Palatino Linotype" w:hAnsi="Palatino Linotype"/>
          <w:i/>
          <w:sz w:val="22"/>
        </w:rPr>
      </w:pPr>
      <w:r w:rsidRPr="00EA05B0">
        <w:rPr>
          <w:rFonts w:ascii="Palatino Linotype" w:hAnsi="Palatino Linotype"/>
          <w:i/>
          <w:sz w:val="22"/>
        </w:rPr>
        <w:t>A</w:t>
      </w:r>
      <w:r w:rsidR="005E0E72" w:rsidRPr="00EA05B0">
        <w:rPr>
          <w:rFonts w:ascii="Palatino Linotype" w:hAnsi="Palatino Linotype"/>
          <w:i/>
          <w:sz w:val="22"/>
        </w:rPr>
        <w:t>lmoloya del Río, México a 18 de Junio de 2018</w:t>
      </w:r>
    </w:p>
    <w:p w14:paraId="269BBFFD" w14:textId="1608BD5E" w:rsidR="005E0E72" w:rsidRPr="00EA05B0" w:rsidRDefault="005E0E72" w:rsidP="005E0E72">
      <w:pPr>
        <w:pStyle w:val="Sinespaciado"/>
        <w:ind w:left="851" w:right="567"/>
        <w:jc w:val="right"/>
        <w:rPr>
          <w:rFonts w:ascii="Palatino Linotype" w:hAnsi="Palatino Linotype"/>
          <w:i/>
          <w:sz w:val="22"/>
        </w:rPr>
      </w:pPr>
      <w:r w:rsidRPr="00EA05B0">
        <w:rPr>
          <w:rFonts w:ascii="Palatino Linotype" w:hAnsi="Palatino Linotype"/>
          <w:i/>
          <w:sz w:val="22"/>
        </w:rPr>
        <w:t xml:space="preserve">Nombre del solicitante: </w:t>
      </w:r>
      <w:r w:rsidR="00514D2D" w:rsidRPr="00514D2D">
        <w:rPr>
          <w:rFonts w:ascii="Palatino Linotype" w:hAnsi="Palatino Linotype"/>
          <w:i/>
          <w:sz w:val="22"/>
          <w:highlight w:val="black"/>
        </w:rPr>
        <w:t>-----------------------------</w:t>
      </w:r>
    </w:p>
    <w:p w14:paraId="40211B36" w14:textId="77777777" w:rsidR="005E0E72" w:rsidRPr="00EA05B0" w:rsidRDefault="005E0E72" w:rsidP="005E0E72">
      <w:pPr>
        <w:pStyle w:val="Sinespaciado"/>
        <w:ind w:left="851" w:right="567"/>
        <w:jc w:val="right"/>
        <w:rPr>
          <w:rFonts w:ascii="Palatino Linotype" w:hAnsi="Palatino Linotype"/>
          <w:i/>
          <w:sz w:val="22"/>
        </w:rPr>
      </w:pPr>
      <w:r w:rsidRPr="00EA05B0">
        <w:rPr>
          <w:rFonts w:ascii="Palatino Linotype" w:hAnsi="Palatino Linotype"/>
          <w:i/>
          <w:sz w:val="22"/>
        </w:rPr>
        <w:t>Folio de la solicitud: 00034/ALMORI/IP/2018</w:t>
      </w:r>
    </w:p>
    <w:p w14:paraId="06F38EA5" w14:textId="77777777" w:rsidR="005E0E72" w:rsidRPr="00EA05B0" w:rsidRDefault="005E0E72" w:rsidP="005E0E72">
      <w:pPr>
        <w:pStyle w:val="Sinespaciado"/>
        <w:ind w:left="851" w:right="567"/>
        <w:jc w:val="both"/>
        <w:rPr>
          <w:rFonts w:ascii="Palatino Linotype" w:hAnsi="Palatino Linotype"/>
          <w:i/>
          <w:sz w:val="22"/>
        </w:rPr>
      </w:pPr>
    </w:p>
    <w:p w14:paraId="511DB956" w14:textId="77777777" w:rsidR="005E0E72" w:rsidRPr="00EA05B0" w:rsidRDefault="005E0E72" w:rsidP="005E0E72">
      <w:pPr>
        <w:pStyle w:val="Sinespaciado"/>
        <w:ind w:left="851" w:right="567"/>
        <w:jc w:val="both"/>
        <w:rPr>
          <w:rFonts w:ascii="Palatino Linotype" w:hAnsi="Palatino Linotype"/>
          <w:i/>
          <w:sz w:val="22"/>
        </w:rPr>
      </w:pPr>
      <w:r w:rsidRPr="00EA05B0">
        <w:rPr>
          <w:rFonts w:ascii="Palatino Linotype" w:hAnsi="Palatino Linotype"/>
          <w:i/>
          <w:sz w:val="22"/>
        </w:rPr>
        <w:t xml:space="preserve">Se hace entrega de formato en </w:t>
      </w:r>
      <w:proofErr w:type="spellStart"/>
      <w:r w:rsidRPr="00EA05B0">
        <w:rPr>
          <w:rFonts w:ascii="Palatino Linotype" w:hAnsi="Palatino Linotype"/>
          <w:i/>
          <w:sz w:val="22"/>
        </w:rPr>
        <w:t>pdf</w:t>
      </w:r>
      <w:proofErr w:type="spellEnd"/>
      <w:r w:rsidRPr="00EA05B0">
        <w:rPr>
          <w:rFonts w:ascii="Palatino Linotype" w:hAnsi="Palatino Linotype"/>
          <w:i/>
          <w:sz w:val="22"/>
        </w:rPr>
        <w:t xml:space="preserve"> el cual contiene </w:t>
      </w:r>
      <w:proofErr w:type="spellStart"/>
      <w:r w:rsidRPr="00EA05B0">
        <w:rPr>
          <w:rFonts w:ascii="Palatino Linotype" w:hAnsi="Palatino Linotype"/>
          <w:i/>
          <w:sz w:val="22"/>
        </w:rPr>
        <w:t>informacion</w:t>
      </w:r>
      <w:proofErr w:type="spellEnd"/>
      <w:r w:rsidRPr="00EA05B0">
        <w:rPr>
          <w:rFonts w:ascii="Palatino Linotype" w:hAnsi="Palatino Linotype"/>
          <w:i/>
          <w:sz w:val="22"/>
        </w:rPr>
        <w:t xml:space="preserve"> con </w:t>
      </w:r>
      <w:proofErr w:type="spellStart"/>
      <w:r w:rsidRPr="00EA05B0">
        <w:rPr>
          <w:rFonts w:ascii="Palatino Linotype" w:hAnsi="Palatino Linotype"/>
          <w:i/>
          <w:sz w:val="22"/>
        </w:rPr>
        <w:t>relacion</w:t>
      </w:r>
      <w:proofErr w:type="spellEnd"/>
      <w:r w:rsidRPr="00EA05B0">
        <w:rPr>
          <w:rFonts w:ascii="Palatino Linotype" w:hAnsi="Palatino Linotype"/>
          <w:i/>
          <w:sz w:val="22"/>
        </w:rPr>
        <w:t xml:space="preserve"> a al folio: 00034/ALMORI/IP/2018</w:t>
      </w:r>
    </w:p>
    <w:p w14:paraId="48B3F46E" w14:textId="77777777" w:rsidR="005E0E72" w:rsidRPr="00EA05B0" w:rsidRDefault="005E0E72" w:rsidP="005E0E72">
      <w:pPr>
        <w:pStyle w:val="Sinespaciado"/>
        <w:ind w:left="851" w:right="567"/>
        <w:jc w:val="both"/>
        <w:rPr>
          <w:rFonts w:ascii="Palatino Linotype" w:hAnsi="Palatino Linotype"/>
          <w:i/>
          <w:sz w:val="22"/>
        </w:rPr>
      </w:pPr>
    </w:p>
    <w:p w14:paraId="7C5C0675" w14:textId="77777777" w:rsidR="005E0E72" w:rsidRPr="00EA05B0" w:rsidRDefault="005E0E72" w:rsidP="005E0E72">
      <w:pPr>
        <w:pStyle w:val="Sinespaciado"/>
        <w:ind w:left="851" w:right="567"/>
        <w:jc w:val="both"/>
        <w:rPr>
          <w:rFonts w:ascii="Palatino Linotype" w:hAnsi="Palatino Linotype"/>
          <w:i/>
          <w:sz w:val="22"/>
        </w:rPr>
      </w:pPr>
      <w:r w:rsidRPr="00EA05B0">
        <w:rPr>
          <w:rFonts w:ascii="Palatino Linotype" w:hAnsi="Palatino Linotype"/>
          <w:i/>
          <w:sz w:val="22"/>
        </w:rPr>
        <w:t>ATENTAMENTE</w:t>
      </w:r>
    </w:p>
    <w:p w14:paraId="3D33AD46" w14:textId="7170BE1F" w:rsidR="0054126A" w:rsidRPr="00EA05B0" w:rsidRDefault="005E0E72" w:rsidP="005E0E72">
      <w:pPr>
        <w:pStyle w:val="Sinespaciado"/>
        <w:ind w:left="851" w:right="567"/>
        <w:jc w:val="both"/>
        <w:rPr>
          <w:rFonts w:ascii="Palatino Linotype" w:hAnsi="Palatino Linotype"/>
          <w:i/>
          <w:sz w:val="22"/>
        </w:rPr>
      </w:pPr>
      <w:r w:rsidRPr="00EA05B0">
        <w:rPr>
          <w:rFonts w:ascii="Palatino Linotype" w:hAnsi="Palatino Linotype"/>
          <w:i/>
          <w:sz w:val="22"/>
        </w:rPr>
        <w:t>C. DIEGO CASTRO ACEVEDO</w:t>
      </w:r>
    </w:p>
    <w:p w14:paraId="7088C0F0" w14:textId="77777777" w:rsidR="005E0E72" w:rsidRPr="00EA05B0" w:rsidRDefault="005E0E72" w:rsidP="0054126A">
      <w:pPr>
        <w:pStyle w:val="Prrafodelista"/>
        <w:spacing w:line="360" w:lineRule="auto"/>
        <w:ind w:left="426"/>
        <w:jc w:val="both"/>
        <w:rPr>
          <w:rFonts w:ascii="Palatino Linotype" w:hAnsi="Palatino Linotype"/>
          <w:b/>
          <w:i/>
          <w:szCs w:val="22"/>
        </w:rPr>
      </w:pPr>
    </w:p>
    <w:p w14:paraId="4E2F4878" w14:textId="0E65D30A" w:rsidR="004D5E57" w:rsidRPr="00EA05B0" w:rsidRDefault="005E0E72" w:rsidP="004D5E57">
      <w:pPr>
        <w:pStyle w:val="Prrafodelista"/>
        <w:numPr>
          <w:ilvl w:val="0"/>
          <w:numId w:val="3"/>
        </w:numPr>
        <w:spacing w:line="360" w:lineRule="auto"/>
        <w:ind w:left="284" w:hanging="284"/>
        <w:jc w:val="both"/>
        <w:rPr>
          <w:rFonts w:ascii="Palatino Linotype" w:hAnsi="Palatino Linotype"/>
          <w:b/>
          <w:i/>
          <w:szCs w:val="22"/>
        </w:rPr>
      </w:pPr>
      <w:r w:rsidRPr="00EA05B0">
        <w:rPr>
          <w:rFonts w:ascii="Palatino Linotype" w:hAnsi="Palatino Linotype"/>
          <w:szCs w:val="22"/>
        </w:rPr>
        <w:t>Al tiempo que adjuntó el archivo electrónico descrito a continuación:</w:t>
      </w:r>
    </w:p>
    <w:p w14:paraId="4D0B4392" w14:textId="041A1F82" w:rsidR="00342605" w:rsidRPr="00EA05B0" w:rsidRDefault="005E0E72" w:rsidP="005E0E72">
      <w:pPr>
        <w:pStyle w:val="Prrafodelista"/>
        <w:numPr>
          <w:ilvl w:val="0"/>
          <w:numId w:val="46"/>
        </w:numPr>
        <w:spacing w:line="360" w:lineRule="auto"/>
        <w:jc w:val="both"/>
        <w:rPr>
          <w:rFonts w:ascii="Palatino Linotype" w:hAnsi="Palatino Linotype"/>
          <w:b/>
          <w:i/>
          <w:szCs w:val="22"/>
        </w:rPr>
      </w:pPr>
      <w:r w:rsidRPr="00EA05B0">
        <w:rPr>
          <w:rFonts w:ascii="Palatino Linotype" w:hAnsi="Palatino Linotype"/>
          <w:b/>
          <w:i/>
          <w:szCs w:val="22"/>
        </w:rPr>
        <w:t>“LAUD.pdf”.-</w:t>
      </w:r>
      <w:r w:rsidRPr="00EA05B0">
        <w:rPr>
          <w:rFonts w:ascii="Palatino Linotype" w:hAnsi="Palatino Linotype"/>
          <w:szCs w:val="22"/>
        </w:rPr>
        <w:t xml:space="preserve"> Archivo en formato PDF constante de una única foja membretada por el H. Ayuntamiento Constitucional de Almoloya del Río, por medio del cual se muestran dos tablas de contenidos con el listado de distintos expedientes.</w:t>
      </w:r>
    </w:p>
    <w:p w14:paraId="735DDC5B" w14:textId="77777777" w:rsidR="005E0E72" w:rsidRPr="00EA05B0" w:rsidRDefault="005E0E72" w:rsidP="005E0E72">
      <w:pPr>
        <w:spacing w:line="360" w:lineRule="auto"/>
        <w:jc w:val="both"/>
        <w:rPr>
          <w:rFonts w:ascii="Palatino Linotype" w:hAnsi="Palatino Linotype"/>
          <w:b/>
          <w:i/>
          <w:szCs w:val="22"/>
        </w:rPr>
      </w:pPr>
    </w:p>
    <w:p w14:paraId="272B63B3" w14:textId="27BA9011" w:rsidR="000D5A1D" w:rsidRPr="00EA05B0" w:rsidRDefault="00DB4BEF" w:rsidP="00822E58">
      <w:pPr>
        <w:pStyle w:val="Prrafodelista"/>
        <w:numPr>
          <w:ilvl w:val="0"/>
          <w:numId w:val="3"/>
        </w:numPr>
        <w:spacing w:line="360" w:lineRule="auto"/>
        <w:ind w:left="284" w:hanging="284"/>
        <w:jc w:val="both"/>
        <w:rPr>
          <w:rFonts w:ascii="Palatino Linotype" w:hAnsi="Palatino Linotype"/>
          <w:b/>
          <w:i/>
          <w:szCs w:val="22"/>
        </w:rPr>
      </w:pPr>
      <w:r w:rsidRPr="00EA05B0">
        <w:rPr>
          <w:rFonts w:ascii="Palatino Linotype" w:eastAsia="Times New Roman" w:hAnsi="Palatino Linotype" w:cs="Arial"/>
          <w:lang w:val="es-ES"/>
        </w:rPr>
        <w:t xml:space="preserve">El </w:t>
      </w:r>
      <w:r w:rsidR="00511F46" w:rsidRPr="00EA05B0">
        <w:rPr>
          <w:rFonts w:ascii="Palatino Linotype" w:eastAsia="Times New Roman" w:hAnsi="Palatino Linotype" w:cs="Arial"/>
          <w:lang w:val="es-ES"/>
        </w:rPr>
        <w:t xml:space="preserve">día </w:t>
      </w:r>
      <w:r w:rsidR="005E0E72" w:rsidRPr="00EA05B0">
        <w:rPr>
          <w:rFonts w:ascii="Palatino Linotype" w:eastAsia="Times New Roman" w:hAnsi="Palatino Linotype" w:cs="Arial"/>
          <w:lang w:val="es-ES"/>
        </w:rPr>
        <w:t>dieciocho</w:t>
      </w:r>
      <w:r w:rsidR="001E3F91" w:rsidRPr="00EA05B0">
        <w:rPr>
          <w:rFonts w:ascii="Palatino Linotype" w:eastAsia="Times New Roman" w:hAnsi="Palatino Linotype" w:cs="Arial"/>
          <w:lang w:val="es-ES"/>
        </w:rPr>
        <w:t xml:space="preserve"> </w:t>
      </w:r>
      <w:r w:rsidR="00D85885" w:rsidRPr="00EA05B0">
        <w:rPr>
          <w:rFonts w:ascii="Palatino Linotype" w:eastAsia="Times New Roman" w:hAnsi="Palatino Linotype" w:cs="Arial"/>
          <w:lang w:val="es-ES"/>
        </w:rPr>
        <w:t>(</w:t>
      </w:r>
      <w:r w:rsidR="0054126A" w:rsidRPr="00EA05B0">
        <w:rPr>
          <w:rFonts w:ascii="Palatino Linotype" w:eastAsia="Times New Roman" w:hAnsi="Palatino Linotype" w:cs="Arial"/>
          <w:lang w:val="es-ES"/>
        </w:rPr>
        <w:t>1</w:t>
      </w:r>
      <w:r w:rsidR="005E0E72" w:rsidRPr="00EA05B0">
        <w:rPr>
          <w:rFonts w:ascii="Palatino Linotype" w:eastAsia="Times New Roman" w:hAnsi="Palatino Linotype" w:cs="Arial"/>
          <w:lang w:val="es-ES"/>
        </w:rPr>
        <w:t>8</w:t>
      </w:r>
      <w:r w:rsidR="00D85885" w:rsidRPr="00EA05B0">
        <w:rPr>
          <w:rFonts w:ascii="Palatino Linotype" w:eastAsia="Times New Roman" w:hAnsi="Palatino Linotype" w:cs="Arial"/>
          <w:lang w:val="es-ES"/>
        </w:rPr>
        <w:t xml:space="preserve">) </w:t>
      </w:r>
      <w:r w:rsidR="00FE49E3" w:rsidRPr="00EA05B0">
        <w:rPr>
          <w:rFonts w:ascii="Palatino Linotype" w:eastAsia="Times New Roman" w:hAnsi="Palatino Linotype" w:cs="Arial"/>
          <w:lang w:val="es-ES"/>
        </w:rPr>
        <w:t xml:space="preserve">de </w:t>
      </w:r>
      <w:r w:rsidR="005E0E72" w:rsidRPr="00EA05B0">
        <w:rPr>
          <w:rFonts w:ascii="Palatino Linotype" w:eastAsia="Times New Roman" w:hAnsi="Palatino Linotype" w:cs="Arial"/>
          <w:lang w:val="es-ES"/>
        </w:rPr>
        <w:t>junio</w:t>
      </w:r>
      <w:r w:rsidR="00464CB6" w:rsidRPr="00EA05B0">
        <w:rPr>
          <w:rFonts w:ascii="Palatino Linotype" w:eastAsia="Times New Roman" w:hAnsi="Palatino Linotype" w:cs="Arial"/>
          <w:lang w:val="es-ES"/>
        </w:rPr>
        <w:t xml:space="preserve"> </w:t>
      </w:r>
      <w:r w:rsidRPr="00EA05B0">
        <w:rPr>
          <w:rFonts w:ascii="Palatino Linotype" w:eastAsia="Times New Roman" w:hAnsi="Palatino Linotype" w:cs="Arial"/>
          <w:lang w:val="es-ES"/>
        </w:rPr>
        <w:t xml:space="preserve">de dos mil </w:t>
      </w:r>
      <w:r w:rsidR="005E0E72" w:rsidRPr="00EA05B0">
        <w:rPr>
          <w:rFonts w:ascii="Palatino Linotype" w:eastAsia="Times New Roman" w:hAnsi="Palatino Linotype" w:cs="Arial"/>
          <w:lang w:val="es-ES"/>
        </w:rPr>
        <w:t>dieciocho</w:t>
      </w:r>
      <w:r w:rsidR="00FE49E3" w:rsidRPr="00EA05B0">
        <w:rPr>
          <w:rFonts w:ascii="Palatino Linotype" w:eastAsia="Times New Roman" w:hAnsi="Palatino Linotype" w:cs="Arial"/>
          <w:lang w:val="es-ES"/>
        </w:rPr>
        <w:t xml:space="preserve">, </w:t>
      </w:r>
      <w:r w:rsidR="009316E9" w:rsidRPr="00EA05B0">
        <w:rPr>
          <w:rFonts w:ascii="Palatino Linotype" w:eastAsia="Times New Roman" w:hAnsi="Palatino Linotype" w:cs="Arial"/>
          <w:lang w:val="es-ES"/>
        </w:rPr>
        <w:t xml:space="preserve">estando en tiempo y </w:t>
      </w:r>
      <w:r w:rsidR="00852B26" w:rsidRPr="00EA05B0">
        <w:rPr>
          <w:rFonts w:ascii="Palatino Linotype" w:eastAsia="Times New Roman" w:hAnsi="Palatino Linotype" w:cs="Arial"/>
          <w:lang w:val="es-ES"/>
        </w:rPr>
        <w:t>forma</w:t>
      </w:r>
      <w:r w:rsidR="00843908" w:rsidRPr="00EA05B0">
        <w:rPr>
          <w:rFonts w:ascii="Palatino Linotype" w:eastAsia="Times New Roman" w:hAnsi="Palatino Linotype" w:cs="Arial"/>
          <w:lang w:val="es-ES"/>
        </w:rPr>
        <w:t xml:space="preserve"> </w:t>
      </w:r>
      <w:r w:rsidR="001B38E3" w:rsidRPr="00EA05B0">
        <w:rPr>
          <w:rFonts w:ascii="Palatino Linotype" w:eastAsia="Times New Roman" w:hAnsi="Palatino Linotype" w:cs="Arial"/>
          <w:lang w:val="es-ES"/>
        </w:rPr>
        <w:t>l</w:t>
      </w:r>
      <w:r w:rsidR="005E0E72" w:rsidRPr="00EA05B0">
        <w:rPr>
          <w:rFonts w:ascii="Palatino Linotype" w:eastAsia="Times New Roman" w:hAnsi="Palatino Linotype" w:cs="Arial"/>
          <w:lang w:val="es-ES"/>
        </w:rPr>
        <w:t>a</w:t>
      </w:r>
      <w:r w:rsidR="00D633AA" w:rsidRPr="00EA05B0">
        <w:rPr>
          <w:rFonts w:ascii="Palatino Linotype" w:eastAsia="Times New Roman" w:hAnsi="Palatino Linotype" w:cs="Arial"/>
          <w:lang w:val="es-ES"/>
        </w:rPr>
        <w:t xml:space="preserve"> particular</w:t>
      </w:r>
      <w:r w:rsidRPr="00EA05B0">
        <w:rPr>
          <w:rFonts w:ascii="Palatino Linotype" w:eastAsia="Times New Roman" w:hAnsi="Palatino Linotype" w:cs="Arial"/>
          <w:lang w:val="es-ES"/>
        </w:rPr>
        <w:t xml:space="preserve"> interpuso</w:t>
      </w:r>
      <w:r w:rsidR="009316E9" w:rsidRPr="00EA05B0">
        <w:rPr>
          <w:rFonts w:ascii="Palatino Linotype" w:eastAsia="Times New Roman" w:hAnsi="Palatino Linotype" w:cs="Arial"/>
          <w:lang w:val="es-ES"/>
        </w:rPr>
        <w:t xml:space="preserve"> </w:t>
      </w:r>
      <w:r w:rsidR="00342605" w:rsidRPr="00EA05B0">
        <w:rPr>
          <w:rFonts w:ascii="Palatino Linotype" w:eastAsia="Times New Roman" w:hAnsi="Palatino Linotype" w:cs="Arial"/>
          <w:lang w:val="es-ES"/>
        </w:rPr>
        <w:t>el</w:t>
      </w:r>
      <w:r w:rsidR="00534E05" w:rsidRPr="00EA05B0">
        <w:rPr>
          <w:rFonts w:ascii="Palatino Linotype" w:eastAsia="Times New Roman" w:hAnsi="Palatino Linotype" w:cs="Arial"/>
          <w:lang w:val="es-ES"/>
        </w:rPr>
        <w:t xml:space="preserve"> recurso de revisión </w:t>
      </w:r>
      <w:r w:rsidR="005E0E72" w:rsidRPr="00EA05B0">
        <w:rPr>
          <w:rFonts w:ascii="Palatino Linotype" w:hAnsi="Palatino Linotype" w:cs="Arial"/>
          <w:b/>
          <w:bCs/>
          <w:lang w:eastAsia="es-MX"/>
        </w:rPr>
        <w:t>02293</w:t>
      </w:r>
      <w:r w:rsidR="0054126A" w:rsidRPr="00EA05B0">
        <w:rPr>
          <w:rFonts w:ascii="Palatino Linotype" w:hAnsi="Palatino Linotype" w:cs="Arial"/>
          <w:b/>
          <w:bCs/>
          <w:lang w:eastAsia="es-MX"/>
        </w:rPr>
        <w:t>/INFOEM/IP/RR/2018</w:t>
      </w:r>
      <w:r w:rsidR="009A0461" w:rsidRPr="00EA05B0">
        <w:rPr>
          <w:rFonts w:ascii="Palatino Linotype" w:eastAsia="Calibri" w:hAnsi="Palatino Linotype" w:cs="Arial"/>
          <w:b/>
          <w:lang w:val="es-ES"/>
        </w:rPr>
        <w:t>;</w:t>
      </w:r>
      <w:r w:rsidR="00102D65" w:rsidRPr="00EA05B0">
        <w:rPr>
          <w:rFonts w:ascii="Palatino Linotype" w:eastAsia="Times New Roman" w:hAnsi="Palatino Linotype" w:cs="Arial"/>
          <w:lang w:val="es-ES"/>
        </w:rPr>
        <w:t xml:space="preserve"> </w:t>
      </w:r>
      <w:r w:rsidR="00342605" w:rsidRPr="00EA05B0">
        <w:rPr>
          <w:rFonts w:ascii="Palatino Linotype" w:eastAsia="Times New Roman" w:hAnsi="Palatino Linotype" w:cs="Arial"/>
          <w:lang w:val="es-ES"/>
        </w:rPr>
        <w:t>impugnación</w:t>
      </w:r>
      <w:r w:rsidR="004D68F8" w:rsidRPr="00EA05B0">
        <w:rPr>
          <w:rFonts w:ascii="Palatino Linotype" w:eastAsia="Times New Roman" w:hAnsi="Palatino Linotype" w:cs="Arial"/>
          <w:lang w:val="es-ES"/>
        </w:rPr>
        <w:t xml:space="preserve"> </w:t>
      </w:r>
      <w:r w:rsidR="00A45546" w:rsidRPr="00EA05B0">
        <w:rPr>
          <w:rFonts w:ascii="Palatino Linotype" w:eastAsia="Times New Roman" w:hAnsi="Palatino Linotype" w:cs="Arial"/>
          <w:lang w:val="es-ES"/>
        </w:rPr>
        <w:t xml:space="preserve">en </w:t>
      </w:r>
      <w:r w:rsidR="00977D37" w:rsidRPr="00EA05B0">
        <w:rPr>
          <w:rFonts w:ascii="Palatino Linotype" w:eastAsia="Times New Roman" w:hAnsi="Palatino Linotype" w:cs="Arial"/>
          <w:lang w:val="es-ES"/>
        </w:rPr>
        <w:t>la</w:t>
      </w:r>
      <w:r w:rsidR="00A45546" w:rsidRPr="00EA05B0">
        <w:rPr>
          <w:rFonts w:ascii="Palatino Linotype" w:eastAsia="Times New Roman" w:hAnsi="Palatino Linotype" w:cs="Arial"/>
          <w:lang w:val="es-ES"/>
        </w:rPr>
        <w:t xml:space="preserve"> que refirió </w:t>
      </w:r>
      <w:r w:rsidR="004D68F8" w:rsidRPr="00EA05B0">
        <w:rPr>
          <w:rFonts w:ascii="Palatino Linotype" w:eastAsia="Times New Roman" w:hAnsi="Palatino Linotype" w:cs="Arial"/>
          <w:lang w:val="es-ES"/>
        </w:rPr>
        <w:t>lo siguiente:</w:t>
      </w:r>
    </w:p>
    <w:p w14:paraId="72214A49" w14:textId="55508BC0" w:rsidR="000D5A1D" w:rsidRPr="00EA05B0" w:rsidRDefault="00A51F40" w:rsidP="005E0E72">
      <w:pPr>
        <w:tabs>
          <w:tab w:val="left" w:pos="567"/>
        </w:tabs>
        <w:spacing w:line="360" w:lineRule="auto"/>
        <w:ind w:left="851" w:hanging="425"/>
        <w:jc w:val="both"/>
        <w:rPr>
          <w:rFonts w:ascii="Palatino Linotype" w:hAnsi="Palatino Linotype"/>
          <w:b/>
          <w:i/>
          <w:sz w:val="22"/>
          <w:szCs w:val="22"/>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503862485"/>
      <w:bookmarkStart w:id="12" w:name="_Toc475619390"/>
      <w:bookmarkStart w:id="13" w:name="_Toc476048182"/>
      <w:bookmarkStart w:id="14" w:name="_Toc476071561"/>
      <w:bookmarkStart w:id="15" w:name="_Toc491370292"/>
      <w:bookmarkStart w:id="16" w:name="_Toc491971186"/>
      <w:bookmarkStart w:id="17" w:name="_Toc495570291"/>
      <w:bookmarkStart w:id="18" w:name="_Toc495570360"/>
      <w:bookmarkStart w:id="19" w:name="_Toc496099779"/>
      <w:bookmarkStart w:id="20" w:name="_Toc496100155"/>
      <w:bookmarkStart w:id="21" w:name="_Toc499756969"/>
      <w:bookmarkStart w:id="22" w:name="_Toc499757012"/>
      <w:bookmarkStart w:id="23" w:name="_Toc500245729"/>
      <w:bookmarkStart w:id="24" w:name="_Toc500353776"/>
      <w:bookmarkStart w:id="25" w:name="_Toc501021583"/>
      <w:bookmarkStart w:id="26" w:name="_Toc507505124"/>
      <w:bookmarkStart w:id="27" w:name="_Toc508611956"/>
      <w:bookmarkStart w:id="28" w:name="_Toc508611982"/>
      <w:bookmarkStart w:id="29" w:name="_Toc508613917"/>
      <w:bookmarkStart w:id="30" w:name="_Toc508613949"/>
      <w:bookmarkStart w:id="31" w:name="_Toc508613982"/>
      <w:bookmarkStart w:id="32" w:name="_Toc508813559"/>
      <w:bookmarkStart w:id="33" w:name="_Toc508885953"/>
      <w:bookmarkStart w:id="34" w:name="_Toc510713922"/>
      <w:bookmarkStart w:id="35" w:name="_Toc510715824"/>
      <w:bookmarkStart w:id="36" w:name="_Toc522217849"/>
      <w:bookmarkStart w:id="37" w:name="_Toc523400451"/>
      <w:r w:rsidRPr="00EA05B0">
        <w:rPr>
          <w:rStyle w:val="Ttulo2Car"/>
          <w:rFonts w:ascii="Palatino Linotype" w:hAnsi="Palatino Linotype"/>
          <w:b/>
          <w:color w:val="auto"/>
          <w:sz w:val="24"/>
          <w:lang w:val="es-ES"/>
        </w:rPr>
        <w:t xml:space="preserve">a) </w:t>
      </w:r>
      <w:r w:rsidR="009E4942" w:rsidRPr="00EA05B0">
        <w:rPr>
          <w:rStyle w:val="Ttulo2Car"/>
          <w:rFonts w:ascii="Palatino Linotype" w:hAnsi="Palatino Linotype"/>
          <w:b/>
          <w:color w:val="auto"/>
          <w:sz w:val="24"/>
          <w:lang w:val="es-ES"/>
        </w:rPr>
        <w:t xml:space="preserve">Acto </w:t>
      </w:r>
      <w:r w:rsidR="009E4942" w:rsidRPr="00EA05B0">
        <w:rPr>
          <w:rStyle w:val="Ttulo2Car"/>
          <w:rFonts w:ascii="Palatino Linotype" w:hAnsi="Palatino Linotype"/>
          <w:b/>
          <w:color w:val="auto"/>
          <w:sz w:val="24"/>
          <w:szCs w:val="24"/>
          <w:lang w:val="es-ES"/>
        </w:rPr>
        <w:t>impugnado:</w:t>
      </w:r>
      <w:bookmarkEnd w:id="3"/>
      <w:bookmarkEnd w:id="4"/>
      <w:bookmarkEnd w:id="5"/>
      <w:bookmarkEnd w:id="6"/>
      <w:bookmarkEnd w:id="7"/>
      <w:bookmarkEnd w:id="8"/>
      <w:bookmarkEnd w:id="9"/>
      <w:bookmarkEnd w:id="10"/>
      <w:bookmarkEnd w:id="11"/>
      <w:r w:rsidR="000D5A1D" w:rsidRPr="00EA05B0">
        <w:rPr>
          <w:rStyle w:val="Ttulo2Car"/>
          <w:rFonts w:ascii="Palatino Linotype" w:hAnsi="Palatino Linotype"/>
          <w:b/>
          <w:color w:val="auto"/>
          <w:sz w:val="24"/>
          <w:szCs w:val="24"/>
          <w:lang w:val="es-ES"/>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1B38E3" w:rsidRPr="00EA05B0">
        <w:rPr>
          <w:rStyle w:val="Ttulo2Car"/>
          <w:rFonts w:ascii="Palatino Linotype" w:hAnsi="Palatino Linotype"/>
          <w:i/>
          <w:color w:val="auto"/>
          <w:sz w:val="24"/>
          <w:szCs w:val="24"/>
          <w:lang w:val="es-ES"/>
        </w:rPr>
        <w:t>“</w:t>
      </w:r>
      <w:bookmarkEnd w:id="26"/>
      <w:bookmarkEnd w:id="27"/>
      <w:bookmarkEnd w:id="28"/>
      <w:bookmarkEnd w:id="29"/>
      <w:bookmarkEnd w:id="30"/>
      <w:bookmarkEnd w:id="31"/>
      <w:bookmarkEnd w:id="32"/>
      <w:bookmarkEnd w:id="33"/>
      <w:bookmarkEnd w:id="34"/>
      <w:bookmarkEnd w:id="35"/>
      <w:r w:rsidR="005E0E72" w:rsidRPr="00EA05B0">
        <w:rPr>
          <w:rStyle w:val="Ttulo2Car"/>
          <w:rFonts w:ascii="Palatino Linotype" w:hAnsi="Palatino Linotype"/>
          <w:i/>
          <w:color w:val="auto"/>
          <w:sz w:val="24"/>
          <w:szCs w:val="24"/>
          <w:lang w:val="es-ES"/>
        </w:rPr>
        <w:t xml:space="preserve">Solicitud de copia de las resoluciones por demandas laborales, concretamente por las que el Ayuntamiento </w:t>
      </w:r>
      <w:proofErr w:type="spellStart"/>
      <w:r w:rsidR="005E0E72" w:rsidRPr="00EA05B0">
        <w:rPr>
          <w:rStyle w:val="Ttulo2Car"/>
          <w:rFonts w:ascii="Palatino Linotype" w:hAnsi="Palatino Linotype"/>
          <w:i/>
          <w:color w:val="auto"/>
          <w:sz w:val="24"/>
          <w:szCs w:val="24"/>
          <w:lang w:val="es-ES"/>
        </w:rPr>
        <w:t>a</w:t>
      </w:r>
      <w:proofErr w:type="spellEnd"/>
      <w:r w:rsidR="005E0E72" w:rsidRPr="00EA05B0">
        <w:rPr>
          <w:rStyle w:val="Ttulo2Car"/>
          <w:rFonts w:ascii="Palatino Linotype" w:hAnsi="Palatino Linotype"/>
          <w:i/>
          <w:color w:val="auto"/>
          <w:sz w:val="24"/>
          <w:szCs w:val="24"/>
          <w:lang w:val="es-ES"/>
        </w:rPr>
        <w:t xml:space="preserve"> sido embargado durante la presente administración.</w:t>
      </w:r>
      <w:bookmarkEnd w:id="36"/>
      <w:bookmarkEnd w:id="37"/>
      <w:r w:rsidR="009E4942" w:rsidRPr="00EA05B0">
        <w:rPr>
          <w:rFonts w:ascii="Palatino Linotype" w:eastAsia="Calibri" w:hAnsi="Palatino Linotype" w:cs="Arial"/>
          <w:i/>
          <w:lang w:val="es-ES"/>
        </w:rPr>
        <w:t>”</w:t>
      </w:r>
      <w:r w:rsidR="003A730E" w:rsidRPr="00EA05B0">
        <w:rPr>
          <w:rFonts w:ascii="Palatino Linotype" w:eastAsia="Calibri" w:hAnsi="Palatino Linotype" w:cs="Arial"/>
          <w:i/>
          <w:lang w:val="es-ES"/>
        </w:rPr>
        <w:t xml:space="preserve"> </w:t>
      </w:r>
      <w:r w:rsidR="009E4942" w:rsidRPr="00EA05B0">
        <w:rPr>
          <w:rFonts w:ascii="Palatino Linotype" w:eastAsia="Calibri" w:hAnsi="Palatino Linotype" w:cs="Arial"/>
          <w:lang w:val="es-ES"/>
        </w:rPr>
        <w:t>(Sic);</w:t>
      </w:r>
      <w:r w:rsidR="009E4942" w:rsidRPr="00EA05B0">
        <w:rPr>
          <w:rFonts w:ascii="Palatino Linotype" w:eastAsia="Calibri" w:hAnsi="Palatino Linotype" w:cs="Arial"/>
          <w:i/>
          <w:sz w:val="22"/>
          <w:szCs w:val="22"/>
          <w:lang w:val="es-ES"/>
        </w:rPr>
        <w:t xml:space="preserve"> </w:t>
      </w:r>
    </w:p>
    <w:p w14:paraId="070C6DE9" w14:textId="77777777" w:rsidR="000D5A1D" w:rsidRPr="00EA05B0" w:rsidRDefault="000D5A1D" w:rsidP="005E0E72">
      <w:pPr>
        <w:pStyle w:val="Prrafodelista"/>
        <w:spacing w:line="360" w:lineRule="auto"/>
        <w:ind w:left="851" w:right="567"/>
        <w:jc w:val="both"/>
        <w:rPr>
          <w:rFonts w:ascii="Palatino Linotype" w:eastAsia="Calibri" w:hAnsi="Palatino Linotype" w:cs="Arial"/>
          <w:szCs w:val="22"/>
          <w:lang w:val="es-ES"/>
        </w:rPr>
      </w:pPr>
    </w:p>
    <w:p w14:paraId="001704CA" w14:textId="164284CF" w:rsidR="00534E05" w:rsidRPr="00EA05B0" w:rsidRDefault="009E4942" w:rsidP="005E0E72">
      <w:pPr>
        <w:pStyle w:val="Prrafodelista"/>
        <w:numPr>
          <w:ilvl w:val="0"/>
          <w:numId w:val="2"/>
        </w:numPr>
        <w:spacing w:line="360" w:lineRule="auto"/>
        <w:jc w:val="both"/>
        <w:rPr>
          <w:rFonts w:ascii="Palatino Linotype" w:hAnsi="Palatino Linotype"/>
          <w:b/>
          <w:i/>
          <w:sz w:val="22"/>
          <w:szCs w:val="22"/>
        </w:rPr>
      </w:pPr>
      <w:bookmarkStart w:id="38" w:name="_Toc461555887"/>
      <w:bookmarkStart w:id="39" w:name="_Toc465264614"/>
      <w:bookmarkStart w:id="40" w:name="_Toc465264859"/>
      <w:bookmarkStart w:id="41" w:name="_Toc465266510"/>
      <w:bookmarkStart w:id="42" w:name="_Toc466302242"/>
      <w:bookmarkStart w:id="43" w:name="_Toc466371850"/>
      <w:bookmarkStart w:id="44" w:name="_Toc466371909"/>
      <w:bookmarkStart w:id="45" w:name="_Toc466377639"/>
      <w:bookmarkStart w:id="46" w:name="_Toc475619391"/>
      <w:bookmarkStart w:id="47" w:name="_Toc476048183"/>
      <w:bookmarkStart w:id="48" w:name="_Toc476071562"/>
      <w:bookmarkStart w:id="49" w:name="_Toc491370293"/>
      <w:bookmarkStart w:id="50" w:name="_Toc491971187"/>
      <w:bookmarkStart w:id="51" w:name="_Toc495570292"/>
      <w:bookmarkStart w:id="52" w:name="_Toc495570361"/>
      <w:bookmarkStart w:id="53" w:name="_Toc496099780"/>
      <w:bookmarkStart w:id="54" w:name="_Toc496100156"/>
      <w:bookmarkStart w:id="55" w:name="_Toc499756970"/>
      <w:bookmarkStart w:id="56" w:name="_Toc499757013"/>
      <w:bookmarkStart w:id="57" w:name="_Toc500245730"/>
      <w:bookmarkStart w:id="58" w:name="_Toc500353777"/>
      <w:bookmarkStart w:id="59" w:name="_Toc501021584"/>
      <w:bookmarkStart w:id="60" w:name="_Toc503862486"/>
      <w:bookmarkStart w:id="61" w:name="_Toc507505125"/>
      <w:bookmarkStart w:id="62" w:name="_Toc508611957"/>
      <w:bookmarkStart w:id="63" w:name="_Toc508611983"/>
      <w:bookmarkStart w:id="64" w:name="_Toc508613918"/>
      <w:bookmarkStart w:id="65" w:name="_Toc508613950"/>
      <w:bookmarkStart w:id="66" w:name="_Toc508613983"/>
      <w:bookmarkStart w:id="67" w:name="_Toc508813560"/>
      <w:bookmarkStart w:id="68" w:name="_Toc508885954"/>
      <w:bookmarkStart w:id="69" w:name="_Toc510713923"/>
      <w:bookmarkStart w:id="70" w:name="_Toc510715825"/>
      <w:bookmarkStart w:id="71" w:name="_Toc522217850"/>
      <w:bookmarkStart w:id="72" w:name="_Toc523400452"/>
      <w:r w:rsidRPr="00EA05B0">
        <w:rPr>
          <w:rStyle w:val="Ttulo2Car"/>
          <w:rFonts w:ascii="Palatino Linotype" w:hAnsi="Palatino Linotype"/>
          <w:b/>
          <w:color w:val="auto"/>
          <w:sz w:val="24"/>
          <w:lang w:val="es-ES"/>
        </w:rPr>
        <w:lastRenderedPageBreak/>
        <w:t xml:space="preserve">Razones o Motivos de </w:t>
      </w:r>
      <w:r w:rsidRPr="00EA05B0">
        <w:rPr>
          <w:rStyle w:val="Ttulo2Car"/>
          <w:rFonts w:ascii="Palatino Linotype" w:hAnsi="Palatino Linotype"/>
          <w:b/>
          <w:color w:val="auto"/>
          <w:sz w:val="24"/>
          <w:szCs w:val="24"/>
          <w:lang w:val="es-ES"/>
        </w:rPr>
        <w:t>inconformidad:</w:t>
      </w:r>
      <w:bookmarkEnd w:id="38"/>
      <w:bookmarkEnd w:id="39"/>
      <w:bookmarkEnd w:id="40"/>
      <w:bookmarkEnd w:id="41"/>
      <w:bookmarkEnd w:id="42"/>
      <w:bookmarkEnd w:id="43"/>
      <w:bookmarkEnd w:id="44"/>
      <w:bookmarkEnd w:id="45"/>
      <w:r w:rsidR="000631D9" w:rsidRPr="00EA05B0">
        <w:rPr>
          <w:rStyle w:val="Ttulo2Car"/>
          <w:rFonts w:ascii="Palatino Linotype" w:hAnsi="Palatino Linotype"/>
          <w:b/>
          <w:color w:val="auto"/>
          <w:sz w:val="24"/>
          <w:szCs w:val="24"/>
          <w:lang w:val="es-ES"/>
        </w:rPr>
        <w:t xml:space="preserve"> </w:t>
      </w:r>
      <w:bookmarkStart w:id="73" w:name="_Toc461555888"/>
      <w:bookmarkStart w:id="74" w:name="_Toc465264615"/>
      <w:bookmarkStart w:id="75" w:name="_Toc465264860"/>
      <w:bookmarkStart w:id="76" w:name="_Toc465266511"/>
      <w:bookmarkStart w:id="77" w:name="_Toc466302243"/>
      <w:bookmarkStart w:id="78" w:name="_Toc466371851"/>
      <w:bookmarkStart w:id="79" w:name="_Toc466371910"/>
      <w:bookmarkStart w:id="80" w:name="_Toc466377640"/>
      <w:r w:rsidR="000631D9" w:rsidRPr="00EA05B0">
        <w:rPr>
          <w:rStyle w:val="Ttulo2Car"/>
          <w:rFonts w:ascii="Palatino Linotype" w:hAnsi="Palatino Linotype"/>
          <w:i/>
          <w:color w:val="auto"/>
          <w:sz w:val="24"/>
          <w:szCs w:val="24"/>
          <w:lang w:val="es-ES"/>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5E0E72" w:rsidRPr="00EA05B0">
        <w:rPr>
          <w:rFonts w:ascii="Palatino Linotype" w:hAnsi="Palatino Linotype"/>
          <w:i/>
          <w:color w:val="000000"/>
        </w:rPr>
        <w:t xml:space="preserve">me dieron una lista y </w:t>
      </w:r>
      <w:proofErr w:type="spellStart"/>
      <w:r w:rsidR="005E0E72" w:rsidRPr="00EA05B0">
        <w:rPr>
          <w:rFonts w:ascii="Palatino Linotype" w:hAnsi="Palatino Linotype"/>
          <w:i/>
          <w:color w:val="000000"/>
        </w:rPr>
        <w:t>relacion</w:t>
      </w:r>
      <w:proofErr w:type="spellEnd"/>
      <w:r w:rsidR="005E0E72" w:rsidRPr="00EA05B0">
        <w:rPr>
          <w:rFonts w:ascii="Palatino Linotype" w:hAnsi="Palatino Linotype"/>
          <w:i/>
          <w:color w:val="000000"/>
        </w:rPr>
        <w:t xml:space="preserve"> de expedientes que no me dicen NADA y que NO solicite, pido mayor seriedad ante las contestaciones.</w:t>
      </w:r>
      <w:r w:rsidR="00FE49E3" w:rsidRPr="00EA05B0">
        <w:rPr>
          <w:rFonts w:ascii="Palatino Linotype" w:hAnsi="Palatino Linotype"/>
          <w:i/>
        </w:rPr>
        <w:t xml:space="preserve">” </w:t>
      </w:r>
      <w:r w:rsidR="00FE49E3" w:rsidRPr="00EA05B0">
        <w:rPr>
          <w:rFonts w:ascii="Palatino Linotype" w:hAnsi="Palatino Linotype"/>
        </w:rPr>
        <w:t>(Sic)</w:t>
      </w:r>
    </w:p>
    <w:p w14:paraId="514177FB" w14:textId="77777777" w:rsidR="00E65486" w:rsidRPr="00EA05B0" w:rsidRDefault="00E65486" w:rsidP="00E65486">
      <w:pPr>
        <w:pStyle w:val="Prrafodelista"/>
        <w:spacing w:line="360" w:lineRule="auto"/>
        <w:jc w:val="both"/>
        <w:rPr>
          <w:rFonts w:ascii="Palatino Linotype" w:hAnsi="Palatino Linotype"/>
          <w:b/>
          <w:i/>
          <w:sz w:val="22"/>
          <w:szCs w:val="22"/>
        </w:rPr>
      </w:pPr>
    </w:p>
    <w:p w14:paraId="3A43A6A5" w14:textId="77777777" w:rsidR="00BF26B5" w:rsidRPr="00EA05B0" w:rsidRDefault="00BF26B5" w:rsidP="00BF26B5">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EA05B0">
        <w:rPr>
          <w:rFonts w:ascii="Palatino Linotype" w:eastAsia="Times New Roman" w:hAnsi="Palatino Linotype" w:cs="Arial"/>
          <w:lang w:val="es-ES"/>
        </w:rPr>
        <w:t xml:space="preserve">Se registró el recurso de revisión bajo el número de expediente </w:t>
      </w:r>
      <w:r w:rsidRPr="00EA05B0">
        <w:rPr>
          <w:rFonts w:ascii="Palatino Linotype" w:hAnsi="Palatino Linotype" w:cs="Arial"/>
          <w:bCs/>
        </w:rPr>
        <w:t xml:space="preserve">al rubro indicado, asimismo con fundamento en lo dispuesto por el </w:t>
      </w:r>
      <w:r w:rsidRPr="00EA05B0">
        <w:rPr>
          <w:rFonts w:ascii="Palatino Linotype" w:eastAsia="Calibri" w:hAnsi="Palatino Linotype" w:cs="Arial"/>
          <w:lang w:val="es-ES"/>
        </w:rPr>
        <w:t xml:space="preserve">artículo 185 fracción I de la </w:t>
      </w:r>
      <w:r w:rsidRPr="00EA05B0">
        <w:rPr>
          <w:rFonts w:ascii="Palatino Linotype" w:eastAsia="Calibri" w:hAnsi="Palatino Linotype" w:cs="Arial"/>
          <w:b/>
          <w:lang w:val="es-ES"/>
        </w:rPr>
        <w:t xml:space="preserve">Ley de Transparencia y Acceso a la Información Pública del Estado de México y Municipios </w:t>
      </w:r>
      <w:r w:rsidRPr="00EA05B0">
        <w:rPr>
          <w:rFonts w:ascii="Palatino Linotype" w:eastAsia="Times New Roman" w:hAnsi="Palatino Linotype" w:cs="Arial"/>
          <w:lang w:val="es-ES"/>
        </w:rPr>
        <w:t xml:space="preserve">se turnó al </w:t>
      </w:r>
      <w:r w:rsidRPr="00EA05B0">
        <w:rPr>
          <w:rFonts w:ascii="Palatino Linotype" w:eastAsia="Times New Roman" w:hAnsi="Palatino Linotype" w:cs="Arial"/>
          <w:b/>
          <w:lang w:val="es-ES"/>
        </w:rPr>
        <w:t xml:space="preserve">Comisionado José Guadalupe Luna Hernández </w:t>
      </w:r>
      <w:r w:rsidRPr="00EA05B0">
        <w:rPr>
          <w:rFonts w:ascii="Palatino Linotype" w:eastAsia="Times New Roman" w:hAnsi="Palatino Linotype" w:cs="Arial"/>
          <w:lang w:val="es-ES"/>
        </w:rPr>
        <w:t xml:space="preserve">con el objeto de </w:t>
      </w:r>
      <w:r w:rsidRPr="00EA05B0">
        <w:rPr>
          <w:rFonts w:ascii="Palatino Linotype" w:eastAsia="Times New Roman" w:hAnsi="Palatino Linotype" w:cs="Arial"/>
          <w:lang w:val="es-MX"/>
        </w:rPr>
        <w:t>su análisis.</w:t>
      </w:r>
    </w:p>
    <w:p w14:paraId="35C06E18" w14:textId="77777777" w:rsidR="00250ABF" w:rsidRPr="00EA05B0" w:rsidRDefault="00250ABF" w:rsidP="00250ABF">
      <w:pPr>
        <w:pStyle w:val="Prrafodelista"/>
        <w:spacing w:before="240" w:after="240" w:line="360" w:lineRule="auto"/>
        <w:ind w:left="426"/>
        <w:jc w:val="both"/>
        <w:rPr>
          <w:rFonts w:ascii="Palatino Linotype" w:eastAsia="Calibri" w:hAnsi="Palatino Linotype" w:cs="Arial"/>
          <w:color w:val="000000" w:themeColor="text1"/>
          <w:lang w:val="es-ES"/>
        </w:rPr>
      </w:pPr>
    </w:p>
    <w:p w14:paraId="3AEBD92D" w14:textId="2C13551E" w:rsidR="001B38E3" w:rsidRPr="00EA05B0" w:rsidRDefault="001B38E3" w:rsidP="00526F7B">
      <w:pPr>
        <w:pStyle w:val="Prrafodelista"/>
        <w:numPr>
          <w:ilvl w:val="0"/>
          <w:numId w:val="3"/>
        </w:numPr>
        <w:spacing w:before="240" w:after="240" w:line="360" w:lineRule="auto"/>
        <w:ind w:left="426"/>
        <w:jc w:val="both"/>
        <w:rPr>
          <w:rFonts w:ascii="Palatino Linotype" w:eastAsia="Calibri" w:hAnsi="Palatino Linotype" w:cs="Arial"/>
          <w:color w:val="000000" w:themeColor="text1"/>
          <w:lang w:val="es-ES"/>
        </w:rPr>
      </w:pPr>
      <w:r w:rsidRPr="00EA05B0">
        <w:rPr>
          <w:rFonts w:ascii="Palatino Linotype" w:eastAsia="Calibri" w:hAnsi="Palatino Linotype" w:cs="Arial"/>
          <w:lang w:val="es-ES"/>
        </w:rPr>
        <w:t xml:space="preserve">El Comisionado Ponente con fundamento en lo dispuesto por el artículo 185 fracción II de la </w:t>
      </w:r>
      <w:r w:rsidR="003B779B" w:rsidRPr="00EA05B0">
        <w:rPr>
          <w:rFonts w:ascii="Palatino Linotype" w:eastAsia="Calibri" w:hAnsi="Palatino Linotype" w:cs="Arial"/>
          <w:lang w:val="es-ES"/>
        </w:rPr>
        <w:t>L</w:t>
      </w:r>
      <w:r w:rsidRPr="00EA05B0">
        <w:rPr>
          <w:rFonts w:ascii="Palatino Linotype" w:eastAsia="Calibri" w:hAnsi="Palatino Linotype" w:cs="Arial"/>
          <w:lang w:val="es-ES"/>
        </w:rPr>
        <w:t xml:space="preserve">ey de la materia, a través del acuerdo de admisión de fecha </w:t>
      </w:r>
      <w:r w:rsidR="003B779B" w:rsidRPr="00EA05B0">
        <w:rPr>
          <w:rFonts w:ascii="Palatino Linotype" w:eastAsia="Calibri" w:hAnsi="Palatino Linotype" w:cs="Arial"/>
          <w:lang w:val="es-ES"/>
        </w:rPr>
        <w:t>veintidós</w:t>
      </w:r>
      <w:r w:rsidRPr="00EA05B0">
        <w:rPr>
          <w:rFonts w:ascii="Palatino Linotype" w:eastAsia="Calibri" w:hAnsi="Palatino Linotype" w:cs="Arial"/>
          <w:lang w:val="es-ES"/>
        </w:rPr>
        <w:t xml:space="preserve"> (</w:t>
      </w:r>
      <w:r w:rsidR="003B779B" w:rsidRPr="00EA05B0">
        <w:rPr>
          <w:rFonts w:ascii="Palatino Linotype" w:eastAsia="Calibri" w:hAnsi="Palatino Linotype" w:cs="Arial"/>
          <w:lang w:val="es-ES"/>
        </w:rPr>
        <w:t>22</w:t>
      </w:r>
      <w:r w:rsidR="00534E05" w:rsidRPr="00EA05B0">
        <w:rPr>
          <w:rFonts w:ascii="Palatino Linotype" w:eastAsia="Calibri" w:hAnsi="Palatino Linotype" w:cs="Arial"/>
          <w:lang w:val="es-ES"/>
        </w:rPr>
        <w:t xml:space="preserve">) de </w:t>
      </w:r>
      <w:r w:rsidR="003B779B" w:rsidRPr="00EA05B0">
        <w:rPr>
          <w:rFonts w:ascii="Palatino Linotype" w:eastAsia="Calibri" w:hAnsi="Palatino Linotype" w:cs="Arial"/>
          <w:lang w:val="es-ES"/>
        </w:rPr>
        <w:t>junio</w:t>
      </w:r>
      <w:r w:rsidRPr="00EA05B0">
        <w:rPr>
          <w:rFonts w:ascii="Palatino Linotype" w:eastAsia="Calibri" w:hAnsi="Palatino Linotype" w:cs="Arial"/>
          <w:lang w:val="es-ES"/>
        </w:rPr>
        <w:t xml:space="preserve"> de dos mil dieciocho, pu</w:t>
      </w:r>
      <w:r w:rsidR="00C76F8A" w:rsidRPr="00EA05B0">
        <w:rPr>
          <w:rFonts w:ascii="Palatino Linotype" w:eastAsia="Calibri" w:hAnsi="Palatino Linotype" w:cs="Arial"/>
          <w:lang w:val="es-ES"/>
        </w:rPr>
        <w:t xml:space="preserve">so a disposición de las partes </w:t>
      </w:r>
      <w:r w:rsidR="00BF26B5" w:rsidRPr="00EA05B0">
        <w:rPr>
          <w:rFonts w:ascii="Palatino Linotype" w:eastAsia="Calibri" w:hAnsi="Palatino Linotype" w:cs="Arial"/>
          <w:lang w:val="es-ES"/>
        </w:rPr>
        <w:t>e</w:t>
      </w:r>
      <w:r w:rsidRPr="00EA05B0">
        <w:rPr>
          <w:rFonts w:ascii="Palatino Linotype" w:eastAsia="Calibri" w:hAnsi="Palatino Linotype" w:cs="Arial"/>
          <w:lang w:val="es-ES"/>
        </w:rPr>
        <w:t xml:space="preserve">l expediente electrónico </w:t>
      </w:r>
      <w:r w:rsidRPr="00EA05B0">
        <w:rPr>
          <w:rFonts w:ascii="Palatino Linotype" w:eastAsia="Calibri" w:hAnsi="Palatino Linotype" w:cs="Arial"/>
        </w:rPr>
        <w:t xml:space="preserve">vía </w:t>
      </w:r>
      <w:r w:rsidRPr="00EA05B0">
        <w:rPr>
          <w:rFonts w:ascii="Palatino Linotype" w:eastAsia="Calibri" w:hAnsi="Palatino Linotype" w:cs="Arial"/>
          <w:lang w:val="es-ES"/>
        </w:rPr>
        <w:t xml:space="preserve">Sistema de Acceso a la Información Mexiquense </w:t>
      </w:r>
      <w:r w:rsidRPr="00EA05B0">
        <w:rPr>
          <w:rFonts w:ascii="Palatino Linotype" w:eastAsia="Calibri" w:hAnsi="Palatino Linotype" w:cs="Arial"/>
          <w:b/>
          <w:lang w:val="es-ES"/>
        </w:rPr>
        <w:t xml:space="preserve">SAIMEX </w:t>
      </w:r>
      <w:r w:rsidRPr="00EA05B0">
        <w:rPr>
          <w:rFonts w:ascii="Palatino Linotype" w:eastAsia="Calibri" w:hAnsi="Palatino Linotype" w:cs="Arial"/>
          <w:lang w:val="es-ES"/>
        </w:rPr>
        <w:t xml:space="preserve">a efecto de que en un plazo máximo de siete días manifestaran lo que a su derecho convinieran, ofrecieran pruebas y alegatos según corresponda </w:t>
      </w:r>
      <w:r w:rsidR="003B779B" w:rsidRPr="00EA05B0">
        <w:rPr>
          <w:rFonts w:ascii="Palatino Linotype" w:eastAsia="Calibri" w:hAnsi="Palatino Linotype" w:cs="Arial"/>
          <w:lang w:val="es-ES"/>
        </w:rPr>
        <w:t>al</w:t>
      </w:r>
      <w:r w:rsidRPr="00EA05B0">
        <w:rPr>
          <w:rFonts w:ascii="Palatino Linotype" w:eastAsia="Calibri" w:hAnsi="Palatino Linotype" w:cs="Arial"/>
          <w:lang w:val="es-ES"/>
        </w:rPr>
        <w:t xml:space="preserve"> caso</w:t>
      </w:r>
      <w:r w:rsidR="003B779B" w:rsidRPr="00EA05B0">
        <w:rPr>
          <w:rFonts w:ascii="Palatino Linotype" w:eastAsia="Calibri" w:hAnsi="Palatino Linotype" w:cs="Arial"/>
          <w:lang w:val="es-ES"/>
        </w:rPr>
        <w:t xml:space="preserve"> concreto</w:t>
      </w:r>
      <w:r w:rsidRPr="00EA05B0">
        <w:rPr>
          <w:rFonts w:ascii="Palatino Linotype" w:eastAsia="Calibri" w:hAnsi="Palatino Linotype" w:cs="Arial"/>
          <w:lang w:val="es-ES"/>
        </w:rPr>
        <w:t xml:space="preserve">, de esta forma para que el </w:t>
      </w:r>
      <w:r w:rsidRPr="00EA05B0">
        <w:rPr>
          <w:rFonts w:ascii="Palatino Linotype" w:eastAsia="Calibri" w:hAnsi="Palatino Linotype" w:cs="Arial"/>
          <w:b/>
          <w:lang w:val="es-ES"/>
        </w:rPr>
        <w:t>SUJETO OBLIGADO</w:t>
      </w:r>
      <w:r w:rsidRPr="00EA05B0">
        <w:rPr>
          <w:rFonts w:ascii="Palatino Linotype" w:eastAsia="Calibri" w:hAnsi="Palatino Linotype" w:cs="Arial"/>
          <w:lang w:val="es-ES"/>
        </w:rPr>
        <w:t xml:space="preserve"> presentar</w:t>
      </w:r>
      <w:r w:rsidR="003B779B" w:rsidRPr="00EA05B0">
        <w:rPr>
          <w:rFonts w:ascii="Palatino Linotype" w:eastAsia="Calibri" w:hAnsi="Palatino Linotype" w:cs="Arial"/>
          <w:lang w:val="es-ES"/>
        </w:rPr>
        <w:t>a</w:t>
      </w:r>
      <w:r w:rsidRPr="00EA05B0">
        <w:rPr>
          <w:rFonts w:ascii="Palatino Linotype" w:eastAsia="Calibri" w:hAnsi="Palatino Linotype" w:cs="Arial"/>
          <w:lang w:val="es-ES"/>
        </w:rPr>
        <w:t xml:space="preserve"> el Informe Justificado procedente.</w:t>
      </w:r>
    </w:p>
    <w:p w14:paraId="2FEF9A29" w14:textId="77777777" w:rsidR="00D633AA" w:rsidRPr="00EA05B0" w:rsidRDefault="00D633AA" w:rsidP="00D633AA">
      <w:pPr>
        <w:pStyle w:val="Prrafodelista"/>
        <w:spacing w:before="240" w:after="240" w:line="360" w:lineRule="auto"/>
        <w:ind w:left="284"/>
        <w:jc w:val="both"/>
        <w:rPr>
          <w:rFonts w:ascii="Palatino Linotype" w:eastAsia="Times New Roman" w:hAnsi="Palatino Linotype" w:cs="Arial"/>
          <w:sz w:val="20"/>
        </w:rPr>
      </w:pPr>
    </w:p>
    <w:p w14:paraId="4AB3EBE5" w14:textId="686AD322" w:rsidR="004B609B" w:rsidRPr="00EA05B0" w:rsidRDefault="003B779B" w:rsidP="004B609B">
      <w:pPr>
        <w:pStyle w:val="Prrafodelista"/>
        <w:numPr>
          <w:ilvl w:val="0"/>
          <w:numId w:val="3"/>
        </w:numPr>
        <w:spacing w:before="240" w:after="240" w:line="360" w:lineRule="auto"/>
        <w:ind w:left="426"/>
        <w:jc w:val="both"/>
        <w:rPr>
          <w:rFonts w:ascii="Palatino Linotype" w:eastAsia="Times New Roman" w:hAnsi="Palatino Linotype" w:cs="Arial"/>
        </w:rPr>
      </w:pPr>
      <w:r w:rsidRPr="00EA05B0">
        <w:rPr>
          <w:rFonts w:ascii="Palatino Linotype" w:eastAsia="Times New Roman" w:hAnsi="Palatino Linotype" w:cs="Arial"/>
        </w:rPr>
        <w:t>De constancias de autos que obran en el expediente, se da cuenta de que las partes no presentaron manifestación alguna, n</w:t>
      </w:r>
      <w:r w:rsidR="004B609B" w:rsidRPr="00EA05B0">
        <w:rPr>
          <w:rFonts w:ascii="Palatino Linotype" w:eastAsia="Times New Roman" w:hAnsi="Palatino Linotype" w:cs="Arial"/>
        </w:rPr>
        <w:t xml:space="preserve">i ofrecieron pruebas o alegatos, ergo el </w:t>
      </w:r>
      <w:r w:rsidR="004B609B" w:rsidRPr="00EA05B0">
        <w:rPr>
          <w:rFonts w:ascii="Palatino Linotype" w:eastAsia="Times New Roman" w:hAnsi="Palatino Linotype" w:cs="Arial"/>
          <w:b/>
        </w:rPr>
        <w:t>SUJETO OBLIGADO</w:t>
      </w:r>
      <w:r w:rsidR="004B609B" w:rsidRPr="00EA05B0">
        <w:rPr>
          <w:rFonts w:ascii="Palatino Linotype" w:eastAsia="Times New Roman" w:hAnsi="Palatino Linotype" w:cs="Arial"/>
        </w:rPr>
        <w:t xml:space="preserve"> no presentó Informe Justificado como se aprecia de la captura siguiente:</w:t>
      </w:r>
    </w:p>
    <w:p w14:paraId="02F45693" w14:textId="77777777" w:rsidR="004B609B" w:rsidRPr="00EA05B0" w:rsidRDefault="004B609B" w:rsidP="004B609B">
      <w:pPr>
        <w:pStyle w:val="Prrafodelista"/>
        <w:spacing w:before="240" w:after="240" w:line="360" w:lineRule="auto"/>
        <w:ind w:left="426"/>
        <w:jc w:val="center"/>
        <w:rPr>
          <w:noProof/>
          <w:lang w:val="es-MX" w:eastAsia="es-MX"/>
        </w:rPr>
      </w:pPr>
    </w:p>
    <w:p w14:paraId="652BE280" w14:textId="19E80FEF" w:rsidR="009B7DAA" w:rsidRPr="00EA05B0" w:rsidRDefault="004B609B" w:rsidP="004B609B">
      <w:pPr>
        <w:pStyle w:val="Prrafodelista"/>
        <w:spacing w:before="240" w:after="240" w:line="360" w:lineRule="auto"/>
        <w:ind w:left="426"/>
        <w:jc w:val="center"/>
        <w:rPr>
          <w:rFonts w:ascii="Palatino Linotype" w:eastAsia="Times New Roman" w:hAnsi="Palatino Linotype" w:cs="Arial"/>
        </w:rPr>
      </w:pPr>
      <w:r w:rsidRPr="00EA05B0">
        <w:rPr>
          <w:noProof/>
          <w:lang w:val="es-MX" w:eastAsia="es-MX"/>
        </w:rPr>
        <w:lastRenderedPageBreak/>
        <w:drawing>
          <wp:inline distT="0" distB="0" distL="0" distR="0" wp14:anchorId="76B81113" wp14:editId="677AA590">
            <wp:extent cx="4676870" cy="1543050"/>
            <wp:effectExtent l="57150" t="57150" r="12382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28" t="23235" r="42973" b="47496"/>
                    <a:stretch/>
                  </pic:blipFill>
                  <pic:spPr bwMode="auto">
                    <a:xfrm>
                      <a:off x="0" y="0"/>
                      <a:ext cx="4691999" cy="154804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4C17EF" w14:textId="77777777" w:rsidR="0047482F" w:rsidRPr="00EA05B0" w:rsidRDefault="0047482F" w:rsidP="0047482F">
      <w:pPr>
        <w:pStyle w:val="Prrafodelista"/>
        <w:spacing w:before="240" w:after="240" w:line="360" w:lineRule="auto"/>
        <w:ind w:left="426"/>
        <w:jc w:val="both"/>
        <w:rPr>
          <w:rFonts w:ascii="Palatino Linotype" w:eastAsia="Times New Roman" w:hAnsi="Palatino Linotype" w:cs="Arial"/>
        </w:rPr>
      </w:pPr>
    </w:p>
    <w:p w14:paraId="5D50BFB0" w14:textId="2486D128" w:rsidR="001B38E3" w:rsidRPr="00EA05B0" w:rsidRDefault="001B38E3" w:rsidP="00526F7B">
      <w:pPr>
        <w:pStyle w:val="Prrafodelista"/>
        <w:numPr>
          <w:ilvl w:val="0"/>
          <w:numId w:val="3"/>
        </w:numPr>
        <w:spacing w:before="240" w:after="240" w:line="360" w:lineRule="auto"/>
        <w:ind w:left="426"/>
        <w:jc w:val="both"/>
        <w:rPr>
          <w:rFonts w:ascii="Palatino Linotype" w:hAnsi="Palatino Linotype"/>
        </w:rPr>
      </w:pPr>
      <w:bookmarkStart w:id="81" w:name="_Toc461555889"/>
      <w:bookmarkStart w:id="82" w:name="_Toc466371858"/>
      <w:r w:rsidRPr="00EA05B0">
        <w:rPr>
          <w:rFonts w:ascii="Palatino Linotype" w:hAnsi="Palatino Linotype"/>
        </w:rPr>
        <w:t>El Comisionado Ponente decretó el cierre de instrucción</w:t>
      </w:r>
      <w:r w:rsidRPr="00EA05B0">
        <w:rPr>
          <w:rFonts w:ascii="Palatino Linotype" w:hAnsi="Palatino Linotype" w:cs="Arial"/>
        </w:rPr>
        <w:t xml:space="preserve"> del recurso de revisión de referencia</w:t>
      </w:r>
      <w:r w:rsidR="00250ABF" w:rsidRPr="00EA05B0">
        <w:rPr>
          <w:rFonts w:ascii="Palatino Linotype" w:hAnsi="Palatino Linotype" w:cs="Arial"/>
        </w:rPr>
        <w:t>,</w:t>
      </w:r>
      <w:r w:rsidRPr="00EA05B0">
        <w:rPr>
          <w:rFonts w:ascii="Palatino Linotype" w:hAnsi="Palatino Linotype" w:cs="Arial"/>
        </w:rPr>
        <w:t xml:space="preserve"> </w:t>
      </w:r>
      <w:r w:rsidRPr="00EA05B0">
        <w:rPr>
          <w:rFonts w:ascii="Palatino Linotype" w:hAnsi="Palatino Linotype"/>
        </w:rPr>
        <w:t xml:space="preserve">mediante acuerdo de fecha </w:t>
      </w:r>
      <w:r w:rsidR="004B609B" w:rsidRPr="00EA05B0">
        <w:rPr>
          <w:rFonts w:ascii="Palatino Linotype" w:hAnsi="Palatino Linotype"/>
        </w:rPr>
        <w:t>trece</w:t>
      </w:r>
      <w:r w:rsidRPr="00EA05B0">
        <w:rPr>
          <w:rFonts w:ascii="Palatino Linotype" w:hAnsi="Palatino Linotype"/>
        </w:rPr>
        <w:t xml:space="preserve"> (</w:t>
      </w:r>
      <w:r w:rsidR="004B609B" w:rsidRPr="00EA05B0">
        <w:rPr>
          <w:rFonts w:ascii="Palatino Linotype" w:hAnsi="Palatino Linotype"/>
        </w:rPr>
        <w:t>13</w:t>
      </w:r>
      <w:r w:rsidRPr="00EA05B0">
        <w:rPr>
          <w:rFonts w:ascii="Palatino Linotype" w:hAnsi="Palatino Linotype"/>
        </w:rPr>
        <w:t xml:space="preserve">) de </w:t>
      </w:r>
      <w:r w:rsidR="004B609B" w:rsidRPr="00EA05B0">
        <w:rPr>
          <w:rFonts w:ascii="Palatino Linotype" w:hAnsi="Palatino Linotype"/>
        </w:rPr>
        <w:t>julio</w:t>
      </w:r>
      <w:r w:rsidR="00317CDC" w:rsidRPr="00EA05B0">
        <w:rPr>
          <w:rFonts w:ascii="Palatino Linotype" w:hAnsi="Palatino Linotype"/>
        </w:rPr>
        <w:t xml:space="preserve"> de dos mil dieciocho. Posteriormente en fecha </w:t>
      </w:r>
      <w:r w:rsidR="0094667C" w:rsidRPr="00EA05B0">
        <w:rPr>
          <w:rFonts w:ascii="Palatino Linotype" w:hAnsi="Palatino Linotype"/>
        </w:rPr>
        <w:t>veintiuno</w:t>
      </w:r>
      <w:r w:rsidR="00317CDC" w:rsidRPr="00EA05B0">
        <w:rPr>
          <w:rFonts w:ascii="Palatino Linotype" w:hAnsi="Palatino Linotype"/>
        </w:rPr>
        <w:t xml:space="preserve"> (</w:t>
      </w:r>
      <w:r w:rsidR="0094667C" w:rsidRPr="00EA05B0">
        <w:rPr>
          <w:rFonts w:ascii="Palatino Linotype" w:hAnsi="Palatino Linotype"/>
        </w:rPr>
        <w:t>21</w:t>
      </w:r>
      <w:r w:rsidR="00317CDC" w:rsidRPr="00EA05B0">
        <w:rPr>
          <w:rFonts w:ascii="Palatino Linotype" w:hAnsi="Palatino Linotype"/>
        </w:rPr>
        <w:t xml:space="preserve">) de </w:t>
      </w:r>
      <w:r w:rsidR="004B609B" w:rsidRPr="00EA05B0">
        <w:rPr>
          <w:rFonts w:ascii="Palatino Linotype" w:hAnsi="Palatino Linotype"/>
        </w:rPr>
        <w:t>agosto</w:t>
      </w:r>
      <w:r w:rsidR="00317CDC" w:rsidRPr="00EA05B0">
        <w:rPr>
          <w:rFonts w:ascii="Palatino Linotype" w:hAnsi="Palatino Linotype"/>
        </w:rPr>
        <w:t xml:space="preserve"> del año en curso, para mejor proveer se amplió el plazo de treinta (30) días para resolver el recurso de revisión</w:t>
      </w:r>
      <w:r w:rsidRPr="00EA05B0">
        <w:rPr>
          <w:rFonts w:ascii="Palatino Linotype" w:hAnsi="Palatino Linotype"/>
        </w:rPr>
        <w:t xml:space="preserve"> </w:t>
      </w:r>
      <w:r w:rsidRPr="00EA05B0">
        <w:rPr>
          <w:rFonts w:ascii="Palatino Linotype" w:hAnsi="Palatino Linotype" w:cs="Arial"/>
        </w:rPr>
        <w:t>por lo que ordenó turnar el expediente a resolución, misma que ahora se pronuncia; y</w:t>
      </w:r>
      <w:r w:rsidR="004B609B" w:rsidRPr="00EA05B0">
        <w:rPr>
          <w:rFonts w:ascii="Palatino Linotype" w:hAnsi="Palatino Linotype" w:cs="Arial"/>
        </w:rPr>
        <w:t>-------------------------------------------------------------------------------------</w:t>
      </w:r>
    </w:p>
    <w:p w14:paraId="5CB47E4D" w14:textId="139F50F8" w:rsidR="00C33279" w:rsidRPr="00EA05B0" w:rsidRDefault="007C0013" w:rsidP="0034737A">
      <w:pPr>
        <w:pStyle w:val="Ttulo2"/>
        <w:jc w:val="center"/>
        <w:rPr>
          <w:rFonts w:ascii="Palatino Linotype" w:hAnsi="Palatino Linotype"/>
          <w:b/>
          <w:color w:val="000000" w:themeColor="text1"/>
        </w:rPr>
      </w:pPr>
      <w:bookmarkStart w:id="83" w:name="_Toc523400453"/>
      <w:r w:rsidRPr="00EA05B0">
        <w:rPr>
          <w:rFonts w:ascii="Palatino Linotype" w:hAnsi="Palatino Linotype"/>
          <w:b/>
          <w:color w:val="000000" w:themeColor="text1"/>
        </w:rPr>
        <w:t>CONSIDERANDO</w:t>
      </w:r>
      <w:bookmarkEnd w:id="81"/>
      <w:bookmarkEnd w:id="82"/>
      <w:bookmarkEnd w:id="83"/>
    </w:p>
    <w:p w14:paraId="435CF9A4" w14:textId="77777777" w:rsidR="00FC1DA7" w:rsidRPr="00EA05B0" w:rsidRDefault="00FC1DA7" w:rsidP="00FC1DA7">
      <w:pPr>
        <w:rPr>
          <w:rFonts w:ascii="Palatino Linotype" w:hAnsi="Palatino Linotype"/>
          <w:lang w:val="es-MX" w:eastAsia="en-US"/>
        </w:rPr>
      </w:pPr>
    </w:p>
    <w:p w14:paraId="629A5BE2" w14:textId="56C3E7D5" w:rsidR="007C0013" w:rsidRPr="00EA05B0" w:rsidRDefault="007C0013" w:rsidP="001E74A5">
      <w:pPr>
        <w:pStyle w:val="Ttulo2"/>
        <w:spacing w:line="360" w:lineRule="auto"/>
        <w:rPr>
          <w:rFonts w:ascii="Palatino Linotype" w:hAnsi="Palatino Linotype"/>
          <w:b/>
          <w:color w:val="auto"/>
          <w:sz w:val="24"/>
        </w:rPr>
      </w:pPr>
      <w:bookmarkStart w:id="84" w:name="_Toc461555890"/>
      <w:bookmarkStart w:id="85" w:name="_Toc466371859"/>
      <w:bookmarkStart w:id="86" w:name="_Toc523400454"/>
      <w:r w:rsidRPr="00EA05B0">
        <w:rPr>
          <w:rFonts w:ascii="Palatino Linotype" w:hAnsi="Palatino Linotype"/>
          <w:b/>
          <w:color w:val="auto"/>
          <w:sz w:val="24"/>
        </w:rPr>
        <w:t>PRIMERO. De la competencia</w:t>
      </w:r>
      <w:bookmarkEnd w:id="84"/>
      <w:bookmarkEnd w:id="85"/>
      <w:bookmarkEnd w:id="86"/>
    </w:p>
    <w:p w14:paraId="60FBD8C7" w14:textId="77777777" w:rsidR="00FC1DA7" w:rsidRPr="00EA05B0" w:rsidRDefault="00FC1DA7" w:rsidP="00FC1DA7">
      <w:pPr>
        <w:rPr>
          <w:rFonts w:ascii="Palatino Linotype" w:hAnsi="Palatino Linotype"/>
          <w:lang w:val="es-MX" w:eastAsia="en-US"/>
        </w:rPr>
      </w:pPr>
    </w:p>
    <w:p w14:paraId="0BF52B18" w14:textId="4B0E77E4" w:rsidR="005A228F" w:rsidRPr="00EA05B0" w:rsidRDefault="00A45546" w:rsidP="00526F7B">
      <w:pPr>
        <w:pStyle w:val="Prrafodelista"/>
        <w:numPr>
          <w:ilvl w:val="0"/>
          <w:numId w:val="3"/>
        </w:numPr>
        <w:spacing w:line="360" w:lineRule="auto"/>
        <w:ind w:left="426"/>
        <w:jc w:val="both"/>
        <w:rPr>
          <w:rFonts w:ascii="Palatino Linotype" w:eastAsia="Calibri" w:hAnsi="Palatino Linotype" w:cs="Times New Roman"/>
          <w:b/>
          <w:lang w:val="es-ES"/>
        </w:rPr>
      </w:pPr>
      <w:r w:rsidRPr="00EA05B0">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w:t>
      </w:r>
      <w:r w:rsidR="004B609B" w:rsidRPr="00EA05B0">
        <w:rPr>
          <w:rFonts w:ascii="Palatino Linotype" w:eastAsia="Calibri" w:hAnsi="Palatino Linotype" w:cs="Times New Roman"/>
          <w:lang w:val="es-ES"/>
        </w:rPr>
        <w:t>te recurso de conformidad con el</w:t>
      </w:r>
      <w:r w:rsidRPr="00EA05B0">
        <w:rPr>
          <w:rFonts w:ascii="Palatino Linotype" w:eastAsia="Calibri" w:hAnsi="Palatino Linotype" w:cs="Times New Roman"/>
          <w:lang w:val="es-ES"/>
        </w:rPr>
        <w:t xml:space="preserve"> artículo 6, apartado A, fracción IV de la </w:t>
      </w:r>
      <w:r w:rsidRPr="00EA05B0">
        <w:rPr>
          <w:rFonts w:ascii="Palatino Linotype" w:eastAsia="Calibri" w:hAnsi="Palatino Linotype" w:cs="Times New Roman"/>
          <w:b/>
          <w:lang w:val="es-ES"/>
        </w:rPr>
        <w:t>Constitución Política de los Estados Unidos Mexicanos</w:t>
      </w:r>
      <w:r w:rsidRPr="00EA05B0">
        <w:rPr>
          <w:rFonts w:ascii="Palatino Linotype" w:eastAsia="Calibri" w:hAnsi="Palatino Linotype" w:cs="Times New Roman"/>
          <w:lang w:val="es-ES"/>
        </w:rPr>
        <w:t xml:space="preserve">; 5, párrafos vigésimo, vigésimo primero y vigésimo segundo fracciones IV y V de la </w:t>
      </w:r>
      <w:r w:rsidRPr="00EA05B0">
        <w:rPr>
          <w:rFonts w:ascii="Palatino Linotype" w:eastAsia="Calibri" w:hAnsi="Palatino Linotype" w:cs="Times New Roman"/>
          <w:b/>
          <w:lang w:val="es-ES"/>
        </w:rPr>
        <w:t>Constitución Política del Estado Libre y Soberano de México</w:t>
      </w:r>
      <w:r w:rsidRPr="00EA05B0">
        <w:rPr>
          <w:rFonts w:ascii="Palatino Linotype" w:eastAsia="Calibri" w:hAnsi="Palatino Linotype" w:cs="Times New Roman"/>
          <w:lang w:val="es-ES"/>
        </w:rPr>
        <w:t xml:space="preserve">; artículos 1, 2 fracción II, 13, 29, 36 fracciones I y II, 176, 178, 179, 181 </w:t>
      </w:r>
      <w:r w:rsidRPr="00EA05B0">
        <w:rPr>
          <w:rFonts w:ascii="Palatino Linotype" w:eastAsia="Calibri" w:hAnsi="Palatino Linotype" w:cs="Times New Roman"/>
          <w:lang w:val="es-ES"/>
        </w:rPr>
        <w:lastRenderedPageBreak/>
        <w:t xml:space="preserve">párrafo tercero y 185 </w:t>
      </w:r>
      <w:r w:rsidRPr="00EA05B0">
        <w:rPr>
          <w:rFonts w:ascii="Palatino Linotype" w:eastAsia="Calibri" w:hAnsi="Palatino Linotype" w:cs="Arial"/>
          <w:lang w:val="es-ES"/>
        </w:rPr>
        <w:t xml:space="preserve">de la </w:t>
      </w:r>
      <w:r w:rsidRPr="00EA05B0">
        <w:rPr>
          <w:rFonts w:ascii="Palatino Linotype" w:eastAsia="Calibri" w:hAnsi="Palatino Linotype" w:cs="Arial"/>
          <w:b/>
          <w:lang w:val="es-ES"/>
        </w:rPr>
        <w:t>Ley de Transparencia y Acceso a la Información Pública del Estado de México y Municipios</w:t>
      </w:r>
      <w:r w:rsidR="004B609B" w:rsidRPr="00EA05B0">
        <w:rPr>
          <w:rFonts w:ascii="Palatino Linotype" w:eastAsia="Calibri" w:hAnsi="Palatino Linotype" w:cs="Arial"/>
          <w:lang w:val="es-ES"/>
        </w:rPr>
        <w:t xml:space="preserve">; </w:t>
      </w:r>
      <w:r w:rsidRPr="00EA05B0">
        <w:rPr>
          <w:rFonts w:ascii="Palatino Linotype" w:eastAsia="Calibri" w:hAnsi="Palatino Linotype" w:cs="Arial"/>
          <w:lang w:val="es-ES"/>
        </w:rPr>
        <w:t xml:space="preserve">y 10, 7, 9 fracciones I y XXIV, y 11 del </w:t>
      </w:r>
      <w:r w:rsidRPr="00EA05B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EA05B0" w:rsidRDefault="00EA0CA1" w:rsidP="00EA0CA1">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EA05B0" w:rsidRDefault="007C0013" w:rsidP="001E74A5">
      <w:pPr>
        <w:pStyle w:val="Ttulo2"/>
        <w:spacing w:line="360" w:lineRule="auto"/>
        <w:rPr>
          <w:rFonts w:ascii="Palatino Linotype" w:hAnsi="Palatino Linotype"/>
          <w:b/>
          <w:color w:val="auto"/>
          <w:sz w:val="24"/>
        </w:rPr>
      </w:pPr>
      <w:bookmarkStart w:id="87" w:name="_Toc461555891"/>
      <w:bookmarkStart w:id="88" w:name="_Toc466371860"/>
      <w:bookmarkStart w:id="89" w:name="_Toc523400455"/>
      <w:r w:rsidRPr="00EA05B0">
        <w:rPr>
          <w:rFonts w:ascii="Palatino Linotype" w:hAnsi="Palatino Linotype"/>
          <w:b/>
          <w:color w:val="auto"/>
          <w:sz w:val="24"/>
        </w:rPr>
        <w:t>SEGUNDO. De la</w:t>
      </w:r>
      <w:r w:rsidRPr="00EA05B0">
        <w:rPr>
          <w:rFonts w:ascii="Palatino Linotype" w:hAnsi="Palatino Linotype"/>
          <w:color w:val="auto"/>
          <w:sz w:val="24"/>
        </w:rPr>
        <w:t xml:space="preserve"> </w:t>
      </w:r>
      <w:r w:rsidRPr="00EA05B0">
        <w:rPr>
          <w:rFonts w:ascii="Palatino Linotype" w:hAnsi="Palatino Linotype"/>
          <w:b/>
          <w:color w:val="auto"/>
          <w:sz w:val="24"/>
        </w:rPr>
        <w:t>oportunidad y proced</w:t>
      </w:r>
      <w:r w:rsidR="00F35C44" w:rsidRPr="00EA05B0">
        <w:rPr>
          <w:rFonts w:ascii="Palatino Linotype" w:hAnsi="Palatino Linotype"/>
          <w:b/>
          <w:color w:val="auto"/>
          <w:sz w:val="24"/>
        </w:rPr>
        <w:t>encia</w:t>
      </w:r>
      <w:r w:rsidRPr="00EA05B0">
        <w:rPr>
          <w:rFonts w:ascii="Palatino Linotype" w:hAnsi="Palatino Linotype"/>
          <w:b/>
          <w:color w:val="auto"/>
          <w:sz w:val="24"/>
        </w:rPr>
        <w:t>.</w:t>
      </w:r>
      <w:bookmarkEnd w:id="87"/>
      <w:bookmarkEnd w:id="88"/>
      <w:bookmarkEnd w:id="89"/>
    </w:p>
    <w:p w14:paraId="6F063EE5" w14:textId="2AE36ABF" w:rsidR="00EE78D0" w:rsidRPr="00EA05B0" w:rsidRDefault="0047482F" w:rsidP="009B7DAA">
      <w:pPr>
        <w:pStyle w:val="Prrafodelista"/>
        <w:numPr>
          <w:ilvl w:val="0"/>
          <w:numId w:val="3"/>
        </w:numPr>
        <w:spacing w:before="240" w:after="240" w:line="360" w:lineRule="auto"/>
        <w:ind w:left="426" w:right="49"/>
        <w:jc w:val="both"/>
        <w:rPr>
          <w:rFonts w:ascii="Palatino Linotype" w:eastAsia="Times New Roman" w:hAnsi="Palatino Linotype" w:cs="Arial"/>
          <w:bCs/>
          <w:color w:val="555555"/>
          <w:lang w:val="es-MX" w:eastAsia="es-MX"/>
        </w:rPr>
      </w:pPr>
      <w:r w:rsidRPr="00EA05B0">
        <w:rPr>
          <w:rFonts w:ascii="Palatino Linotype" w:eastAsia="Calibri" w:hAnsi="Palatino Linotype" w:cs="Arial"/>
        </w:rPr>
        <w:t>El</w:t>
      </w:r>
      <w:r w:rsidR="003E6D0F" w:rsidRPr="00EA05B0">
        <w:rPr>
          <w:rFonts w:ascii="Palatino Linotype" w:eastAsia="Calibri" w:hAnsi="Palatino Linotype" w:cs="Arial"/>
        </w:rPr>
        <w:t xml:space="preserve"> medio de impugnación fue presentado a través del </w:t>
      </w:r>
      <w:r w:rsidR="003E6D0F" w:rsidRPr="00EA05B0">
        <w:rPr>
          <w:rFonts w:ascii="Palatino Linotype" w:eastAsia="Calibri" w:hAnsi="Palatino Linotype" w:cs="Arial"/>
          <w:b/>
        </w:rPr>
        <w:t>SAIMEX,</w:t>
      </w:r>
      <w:r w:rsidR="003E6D0F" w:rsidRPr="00EA05B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3E6D0F" w:rsidRPr="00EA05B0">
        <w:rPr>
          <w:rFonts w:ascii="Palatino Linotype" w:eastAsia="Calibri" w:hAnsi="Palatino Linotype" w:cs="Arial"/>
          <w:b/>
        </w:rPr>
        <w:t>SUJETO OBLIGADO</w:t>
      </w:r>
      <w:r w:rsidR="00EF26CB" w:rsidRPr="00EA05B0">
        <w:rPr>
          <w:rFonts w:ascii="Palatino Linotype" w:eastAsia="Calibri" w:hAnsi="Palatino Linotype" w:cs="Arial"/>
        </w:rPr>
        <w:t xml:space="preserve"> </w:t>
      </w:r>
      <w:r w:rsidR="001D56CF" w:rsidRPr="00EA05B0">
        <w:rPr>
          <w:rFonts w:ascii="Palatino Linotype" w:eastAsia="Calibri" w:hAnsi="Palatino Linotype" w:cs="Arial"/>
        </w:rPr>
        <w:t xml:space="preserve">entregó </w:t>
      </w:r>
      <w:r w:rsidR="00AE0F6A" w:rsidRPr="00EA05B0">
        <w:rPr>
          <w:rFonts w:ascii="Palatino Linotype" w:eastAsia="Calibri" w:hAnsi="Palatino Linotype" w:cs="Arial"/>
        </w:rPr>
        <w:t xml:space="preserve">su </w:t>
      </w:r>
      <w:r w:rsidR="001D56CF" w:rsidRPr="00EA05B0">
        <w:rPr>
          <w:rFonts w:ascii="Palatino Linotype" w:eastAsia="Calibri" w:hAnsi="Palatino Linotype" w:cs="Arial"/>
        </w:rPr>
        <w:t>respuesta</w:t>
      </w:r>
      <w:r w:rsidR="002478DD" w:rsidRPr="00EA05B0">
        <w:rPr>
          <w:rFonts w:ascii="Palatino Linotype" w:eastAsia="Calibri" w:hAnsi="Palatino Linotype" w:cs="Arial"/>
        </w:rPr>
        <w:t xml:space="preserve"> </w:t>
      </w:r>
      <w:r w:rsidRPr="00EA05B0">
        <w:rPr>
          <w:rFonts w:ascii="Palatino Linotype" w:eastAsia="Calibri" w:hAnsi="Palatino Linotype" w:cs="Arial"/>
        </w:rPr>
        <w:t>e</w:t>
      </w:r>
      <w:r w:rsidR="00EE78D0" w:rsidRPr="00EA05B0">
        <w:rPr>
          <w:rFonts w:ascii="Palatino Linotype" w:eastAsia="Calibri" w:hAnsi="Palatino Linotype" w:cs="Arial"/>
        </w:rPr>
        <w:t xml:space="preserve">l </w:t>
      </w:r>
      <w:r w:rsidR="004B609B" w:rsidRPr="00EA05B0">
        <w:rPr>
          <w:rFonts w:ascii="Palatino Linotype" w:eastAsia="Calibri" w:hAnsi="Palatino Linotype" w:cs="Arial"/>
        </w:rPr>
        <w:t>dieciocho</w:t>
      </w:r>
      <w:r w:rsidR="00EE78D0" w:rsidRPr="00EA05B0">
        <w:rPr>
          <w:rFonts w:ascii="Palatino Linotype" w:eastAsia="Calibri" w:hAnsi="Palatino Linotype" w:cs="Arial"/>
        </w:rPr>
        <w:t xml:space="preserve"> (</w:t>
      </w:r>
      <w:r w:rsidR="004B609B" w:rsidRPr="00EA05B0">
        <w:rPr>
          <w:rFonts w:ascii="Palatino Linotype" w:eastAsia="Calibri" w:hAnsi="Palatino Linotype" w:cs="Arial"/>
        </w:rPr>
        <w:t>18</w:t>
      </w:r>
      <w:r w:rsidR="002A6271" w:rsidRPr="00EA05B0">
        <w:rPr>
          <w:rFonts w:ascii="Palatino Linotype" w:eastAsia="Calibri" w:hAnsi="Palatino Linotype" w:cs="Arial"/>
        </w:rPr>
        <w:t xml:space="preserve">) de </w:t>
      </w:r>
      <w:r w:rsidR="004B609B" w:rsidRPr="00EA05B0">
        <w:rPr>
          <w:rFonts w:ascii="Palatino Linotype" w:eastAsia="Calibri" w:hAnsi="Palatino Linotype" w:cs="Arial"/>
        </w:rPr>
        <w:t>junio</w:t>
      </w:r>
      <w:r w:rsidR="00EE78D0" w:rsidRPr="00EA05B0">
        <w:rPr>
          <w:rFonts w:ascii="Palatino Linotype" w:eastAsia="Calibri" w:hAnsi="Palatino Linotype" w:cs="Arial"/>
        </w:rPr>
        <w:t xml:space="preserve"> de dos mil dieci</w:t>
      </w:r>
      <w:r w:rsidR="00C52D23" w:rsidRPr="00EA05B0">
        <w:rPr>
          <w:rFonts w:ascii="Palatino Linotype" w:eastAsia="Calibri" w:hAnsi="Palatino Linotype" w:cs="Arial"/>
        </w:rPr>
        <w:t>ocho</w:t>
      </w:r>
      <w:r w:rsidR="00EE78D0" w:rsidRPr="00EA05B0">
        <w:rPr>
          <w:rFonts w:ascii="Palatino Linotype" w:eastAsia="Calibri" w:hAnsi="Palatino Linotype" w:cs="Arial"/>
        </w:rPr>
        <w:t xml:space="preserve">, </w:t>
      </w:r>
      <w:r w:rsidR="00EE78D0" w:rsidRPr="00EA05B0">
        <w:rPr>
          <w:rFonts w:ascii="Palatino Linotype" w:hAnsi="Palatino Linotype" w:cs="Arial"/>
        </w:rPr>
        <w:t xml:space="preserve">de tal forma que el plazo para interponer el recurso transcurrió del día </w:t>
      </w:r>
      <w:r w:rsidR="004B609B" w:rsidRPr="00EA05B0">
        <w:rPr>
          <w:rFonts w:ascii="Palatino Linotype" w:hAnsi="Palatino Linotype" w:cs="Arial"/>
        </w:rPr>
        <w:t>diecinueve</w:t>
      </w:r>
      <w:r w:rsidR="00EE78D0" w:rsidRPr="00EA05B0">
        <w:rPr>
          <w:rFonts w:ascii="Palatino Linotype" w:hAnsi="Palatino Linotype" w:cs="Arial"/>
        </w:rPr>
        <w:t xml:space="preserve"> (</w:t>
      </w:r>
      <w:r w:rsidR="004B609B" w:rsidRPr="00EA05B0">
        <w:rPr>
          <w:rFonts w:ascii="Palatino Linotype" w:hAnsi="Palatino Linotype" w:cs="Arial"/>
        </w:rPr>
        <w:t>19</w:t>
      </w:r>
      <w:r w:rsidR="00EE78D0" w:rsidRPr="00EA05B0">
        <w:rPr>
          <w:rFonts w:ascii="Palatino Linotype" w:hAnsi="Palatino Linotype" w:cs="Arial"/>
        </w:rPr>
        <w:t xml:space="preserve">) de </w:t>
      </w:r>
      <w:r w:rsidR="004B609B" w:rsidRPr="00EA05B0">
        <w:rPr>
          <w:rFonts w:ascii="Palatino Linotype" w:hAnsi="Palatino Linotype" w:cs="Arial"/>
        </w:rPr>
        <w:t>junio</w:t>
      </w:r>
      <w:r w:rsidR="00EE78D0" w:rsidRPr="00EA05B0">
        <w:rPr>
          <w:rFonts w:ascii="Palatino Linotype" w:hAnsi="Palatino Linotype" w:cs="Arial"/>
        </w:rPr>
        <w:t xml:space="preserve">, al </w:t>
      </w:r>
      <w:r w:rsidR="004B609B" w:rsidRPr="00EA05B0">
        <w:rPr>
          <w:rFonts w:ascii="Palatino Linotype" w:hAnsi="Palatino Linotype" w:cs="Arial"/>
        </w:rPr>
        <w:t>nueve</w:t>
      </w:r>
      <w:r w:rsidR="00EE78D0" w:rsidRPr="00EA05B0">
        <w:rPr>
          <w:rFonts w:ascii="Palatino Linotype" w:hAnsi="Palatino Linotype" w:cs="Arial"/>
        </w:rPr>
        <w:t xml:space="preserve"> (</w:t>
      </w:r>
      <w:r w:rsidR="004B609B" w:rsidRPr="00EA05B0">
        <w:rPr>
          <w:rFonts w:ascii="Palatino Linotype" w:hAnsi="Palatino Linotype" w:cs="Arial"/>
        </w:rPr>
        <w:t>09</w:t>
      </w:r>
      <w:r w:rsidR="00EE78D0" w:rsidRPr="00EA05B0">
        <w:rPr>
          <w:rFonts w:ascii="Palatino Linotype" w:hAnsi="Palatino Linotype" w:cs="Arial"/>
        </w:rPr>
        <w:t xml:space="preserve">) de </w:t>
      </w:r>
      <w:r w:rsidR="004B609B" w:rsidRPr="00EA05B0">
        <w:rPr>
          <w:rFonts w:ascii="Palatino Linotype" w:hAnsi="Palatino Linotype" w:cs="Arial"/>
        </w:rPr>
        <w:t>julio</w:t>
      </w:r>
      <w:r w:rsidR="00EE78D0" w:rsidRPr="00EA05B0">
        <w:rPr>
          <w:rFonts w:ascii="Palatino Linotype" w:hAnsi="Palatino Linotype" w:cs="Arial"/>
        </w:rPr>
        <w:t xml:space="preserve"> de</w:t>
      </w:r>
      <w:r w:rsidR="004B609B" w:rsidRPr="00EA05B0">
        <w:rPr>
          <w:rFonts w:ascii="Palatino Linotype" w:hAnsi="Palatino Linotype" w:cs="Arial"/>
        </w:rPr>
        <w:t xml:space="preserve"> los corrientes</w:t>
      </w:r>
      <w:r w:rsidR="00EE78D0" w:rsidRPr="00EA05B0">
        <w:rPr>
          <w:rFonts w:ascii="Palatino Linotype" w:hAnsi="Palatino Linotype" w:cs="Arial"/>
        </w:rPr>
        <w:t>; en consecuencia</w:t>
      </w:r>
      <w:r w:rsidR="00374D5C" w:rsidRPr="00EA05B0">
        <w:rPr>
          <w:rFonts w:ascii="Palatino Linotype" w:hAnsi="Palatino Linotype" w:cs="Arial"/>
        </w:rPr>
        <w:t xml:space="preserve"> la hoy </w:t>
      </w:r>
      <w:r w:rsidR="00374D5C" w:rsidRPr="00EA05B0">
        <w:rPr>
          <w:rFonts w:ascii="Palatino Linotype" w:hAnsi="Palatino Linotype" w:cs="Arial"/>
          <w:b/>
        </w:rPr>
        <w:t>RECURRENTE</w:t>
      </w:r>
      <w:r w:rsidR="00374D5C" w:rsidRPr="00EA05B0">
        <w:rPr>
          <w:rFonts w:ascii="Palatino Linotype" w:hAnsi="Palatino Linotype" w:cs="Arial"/>
        </w:rPr>
        <w:t xml:space="preserve"> presentó su inconformidad el día dieciocho (18) de junio de la presente anualidad;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5B8D77EE" w14:textId="77777777" w:rsidR="00374D5C" w:rsidRPr="00EA05B0" w:rsidRDefault="00374D5C" w:rsidP="00374D5C">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14:paraId="7182E232" w14:textId="532C46D8" w:rsidR="00374D5C" w:rsidRPr="00EA05B0" w:rsidRDefault="00374D5C" w:rsidP="00374D5C">
      <w:pPr>
        <w:pStyle w:val="Prrafodelista"/>
        <w:numPr>
          <w:ilvl w:val="0"/>
          <w:numId w:val="3"/>
        </w:numPr>
        <w:spacing w:before="240" w:after="240" w:line="360" w:lineRule="auto"/>
        <w:ind w:left="426" w:right="49"/>
        <w:jc w:val="both"/>
        <w:rPr>
          <w:rFonts w:ascii="Palatino Linotype" w:eastAsia="Times New Roman" w:hAnsi="Palatino Linotype" w:cs="Arial"/>
          <w:bCs/>
          <w:color w:val="555555"/>
          <w:lang w:val="es-MX" w:eastAsia="es-MX"/>
        </w:rPr>
      </w:pPr>
      <w:r w:rsidRPr="00EA05B0">
        <w:rPr>
          <w:rFonts w:ascii="Palatino Linotype" w:hAnsi="Palatino Linotype" w:cs="Arial"/>
        </w:rPr>
        <w:t xml:space="preserve">Cuando el medio de impugnación, se haya interpuesto el mismo día en que se notificó la respuesta impugnada, resulta insuficiente para tener por extemporáneo el recurso de revisión de mérito, toda vez que el precepto legal </w:t>
      </w:r>
      <w:r w:rsidRPr="00EA05B0">
        <w:rPr>
          <w:rFonts w:ascii="Palatino Linotype" w:hAnsi="Palatino Linotype" w:cs="Arial"/>
        </w:rPr>
        <w:lastRenderedPageBreak/>
        <w:t>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7CE3BCD" w14:textId="77777777" w:rsidR="00374D5C" w:rsidRPr="00EA05B0" w:rsidRDefault="00374D5C" w:rsidP="00374D5C">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14:paraId="2C083D81" w14:textId="25B6B5D0" w:rsidR="00374D5C" w:rsidRPr="00EA05B0" w:rsidRDefault="00374D5C" w:rsidP="00374D5C">
      <w:pPr>
        <w:pStyle w:val="Prrafodelista"/>
        <w:numPr>
          <w:ilvl w:val="0"/>
          <w:numId w:val="3"/>
        </w:numPr>
        <w:spacing w:before="240" w:after="240" w:line="360" w:lineRule="auto"/>
        <w:ind w:left="426" w:right="49"/>
        <w:jc w:val="both"/>
        <w:rPr>
          <w:rFonts w:ascii="Palatino Linotype" w:eastAsia="Times New Roman" w:hAnsi="Palatino Linotype" w:cs="Arial"/>
          <w:bCs/>
          <w:color w:val="555555"/>
          <w:lang w:val="es-MX" w:eastAsia="es-MX"/>
        </w:rPr>
      </w:pPr>
      <w:r w:rsidRPr="00EA05B0">
        <w:rPr>
          <w:rFonts w:ascii="Palatino Linotype" w:hAnsi="Palatino Linotype" w:cs="Arial"/>
        </w:rPr>
        <w:t xml:space="preserve">Discernimiento </w:t>
      </w:r>
      <w:r w:rsidRPr="00EA05B0">
        <w:rPr>
          <w:rFonts w:ascii="Palatino Linotype" w:hAnsi="Palatino Linotype" w:cs="Arial"/>
          <w:lang w:val="es-MX"/>
        </w:rPr>
        <w:t xml:space="preserve">de éste Órgano Garante </w:t>
      </w:r>
      <w:r w:rsidRPr="00EA05B0">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D69C341" w14:textId="6C9E6B18" w:rsidR="00374D5C" w:rsidRPr="00EA05B0" w:rsidRDefault="00374D5C" w:rsidP="00374D5C">
      <w:pPr>
        <w:pStyle w:val="Sinespaciado"/>
        <w:ind w:left="851" w:right="567"/>
        <w:jc w:val="both"/>
        <w:rPr>
          <w:rFonts w:ascii="Palatino Linotype" w:eastAsia="Times New Roman" w:hAnsi="Palatino Linotype" w:cs="Arial"/>
          <w:bCs/>
          <w:i/>
          <w:color w:val="555555"/>
          <w:sz w:val="22"/>
          <w:lang w:val="es-MX" w:eastAsia="es-MX"/>
        </w:rPr>
      </w:pPr>
      <w:r w:rsidRPr="00EA05B0">
        <w:rPr>
          <w:rFonts w:ascii="Palatino Linotype" w:hAnsi="Palatino Linotype"/>
          <w:b/>
          <w:i/>
          <w:sz w:val="22"/>
        </w:rPr>
        <w:t>RECURSO DE RECLAMACIÓN. SU INTERPOSICIÓN NO ES EXTEMPORÁNEA SI SE REALIZA ANTES DE QUE INICIE EL PLAZO PARA HACERLO.</w:t>
      </w:r>
      <w:r w:rsidRPr="00EA05B0">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62DC4EF" w14:textId="77777777" w:rsidR="00526F7B" w:rsidRPr="00EA05B0" w:rsidRDefault="00526F7B" w:rsidP="00526F7B">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14:paraId="6EB337A0" w14:textId="0A642D3A" w:rsidR="00374D5C" w:rsidRPr="00EA05B0" w:rsidRDefault="00374D5C" w:rsidP="00526F7B">
      <w:pPr>
        <w:pStyle w:val="Prrafodelista"/>
        <w:numPr>
          <w:ilvl w:val="0"/>
          <w:numId w:val="3"/>
        </w:numPr>
        <w:spacing w:before="240" w:after="240" w:line="360" w:lineRule="auto"/>
        <w:ind w:left="426"/>
        <w:jc w:val="both"/>
        <w:rPr>
          <w:rFonts w:ascii="Palatino Linotype" w:hAnsi="Palatino Linotype"/>
        </w:rPr>
      </w:pPr>
      <w:r w:rsidRPr="00EA05B0">
        <w:rPr>
          <w:rFonts w:ascii="Palatino Linotype" w:eastAsia="Calibri" w:hAnsi="Palatino Linotype" w:cs="Arial"/>
        </w:rPr>
        <w:t xml:space="preserve">Esto </w:t>
      </w:r>
      <w:r w:rsidRPr="00EA05B0">
        <w:rPr>
          <w:rFonts w:ascii="Palatino Linotype" w:hAnsi="Palatino Linotype"/>
          <w:lang w:val="es-MX"/>
        </w:rPr>
        <w:t xml:space="preserve">es así porque en primer lugar es necesario que la </w:t>
      </w:r>
      <w:r w:rsidRPr="00EA05B0">
        <w:rPr>
          <w:rFonts w:ascii="Palatino Linotype" w:hAnsi="Palatino Linotype"/>
          <w:b/>
          <w:lang w:val="es-MX"/>
        </w:rPr>
        <w:t>RECURRENTE</w:t>
      </w:r>
      <w:r w:rsidRPr="00EA05B0">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w:t>
      </w:r>
      <w:r w:rsidRPr="00EA05B0">
        <w:rPr>
          <w:rFonts w:ascii="Palatino Linotype" w:hAnsi="Palatino Linotype"/>
          <w:lang w:val="es-MX"/>
        </w:rPr>
        <w:lastRenderedPageBreak/>
        <w:t xml:space="preserve">respuesta, en nada se afecta al proceso que el mismo día de notificada la </w:t>
      </w:r>
      <w:r w:rsidRPr="00EA05B0">
        <w:rPr>
          <w:rFonts w:ascii="Palatino Linotype" w:hAnsi="Palatino Linotype"/>
          <w:b/>
          <w:lang w:val="es-MX"/>
        </w:rPr>
        <w:t>RECURRENTE</w:t>
      </w:r>
      <w:r w:rsidRPr="00EA05B0">
        <w:rPr>
          <w:rFonts w:ascii="Palatino Linotype" w:hAnsi="Palatino Linotype"/>
          <w:lang w:val="es-MX"/>
        </w:rPr>
        <w:t xml:space="preserve"> actúe, ya que al contrario lo que demuestra es el interés del mismo para ejercer su derecho bajo el principio constitucional de justicia expedita.</w:t>
      </w:r>
    </w:p>
    <w:p w14:paraId="17BE7EC7" w14:textId="77777777" w:rsidR="00374D5C" w:rsidRPr="00EA05B0" w:rsidRDefault="00374D5C" w:rsidP="00374D5C">
      <w:pPr>
        <w:pStyle w:val="Prrafodelista"/>
        <w:spacing w:before="240" w:after="240" w:line="360" w:lineRule="auto"/>
        <w:ind w:left="426"/>
        <w:jc w:val="both"/>
        <w:rPr>
          <w:rFonts w:ascii="Palatino Linotype" w:hAnsi="Palatino Linotype"/>
        </w:rPr>
      </w:pPr>
    </w:p>
    <w:p w14:paraId="43438F11" w14:textId="6665DCA0" w:rsidR="00374D5C" w:rsidRPr="00EA05B0" w:rsidRDefault="00374D5C" w:rsidP="00526F7B">
      <w:pPr>
        <w:pStyle w:val="Prrafodelista"/>
        <w:numPr>
          <w:ilvl w:val="0"/>
          <w:numId w:val="3"/>
        </w:numPr>
        <w:spacing w:before="240" w:after="240" w:line="360" w:lineRule="auto"/>
        <w:ind w:left="426"/>
        <w:jc w:val="both"/>
        <w:rPr>
          <w:rFonts w:ascii="Palatino Linotype" w:hAnsi="Palatino Linotype"/>
        </w:rPr>
      </w:pPr>
      <w:r w:rsidRPr="00EA05B0">
        <w:rPr>
          <w:rFonts w:ascii="Palatino Linotype" w:eastAsia="Calibri" w:hAnsi="Palatino Linotype" w:cs="Arial"/>
        </w:rPr>
        <w:t xml:space="preserve">Por </w:t>
      </w:r>
      <w:r w:rsidRPr="00EA05B0">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5C24EFBD" w14:textId="77777777" w:rsidR="00374D5C" w:rsidRPr="00EA05B0" w:rsidRDefault="00374D5C" w:rsidP="00374D5C">
      <w:pPr>
        <w:pStyle w:val="Prrafodelista"/>
        <w:spacing w:before="240" w:after="240" w:line="360" w:lineRule="auto"/>
        <w:ind w:left="426"/>
        <w:jc w:val="both"/>
        <w:rPr>
          <w:rFonts w:ascii="Palatino Linotype" w:hAnsi="Palatino Linotype"/>
        </w:rPr>
      </w:pPr>
    </w:p>
    <w:p w14:paraId="6CCDDC36" w14:textId="6C5C4422" w:rsidR="00374D5C" w:rsidRPr="00EA05B0" w:rsidRDefault="00374D5C" w:rsidP="00526F7B">
      <w:pPr>
        <w:pStyle w:val="Prrafodelista"/>
        <w:numPr>
          <w:ilvl w:val="0"/>
          <w:numId w:val="3"/>
        </w:numPr>
        <w:spacing w:before="240" w:after="240" w:line="360" w:lineRule="auto"/>
        <w:ind w:left="426"/>
        <w:jc w:val="both"/>
        <w:rPr>
          <w:rFonts w:ascii="Palatino Linotype" w:hAnsi="Palatino Linotype"/>
        </w:rPr>
      </w:pPr>
      <w:r w:rsidRPr="00EA05B0">
        <w:rPr>
          <w:rFonts w:ascii="Palatino Linotype" w:hAnsi="Palatino Linotype"/>
          <w:lang w:val="es-MX"/>
        </w:rPr>
        <w:t xml:space="preserve">Así entonces, </w:t>
      </w:r>
      <w:r w:rsidRPr="00EA05B0">
        <w:rPr>
          <w:rFonts w:ascii="Palatino Linotype" w:hAnsi="Palatino Linotype" w:cs="Arial"/>
        </w:rPr>
        <w:t>la interposición del recurso de revisión antes de que inicie el plazo para su presentación no es determinante para declararlo extemporáneo</w:t>
      </w:r>
      <w:r w:rsidRPr="00EA05B0">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EA05B0">
        <w:rPr>
          <w:rFonts w:ascii="Palatino Linotype" w:eastAsia="Times New Roman" w:hAnsi="Palatino Linotype" w:cs="Arial"/>
          <w:b/>
          <w:color w:val="000000" w:themeColor="text1"/>
          <w:lang w:val="es-ES" w:eastAsia="es-MX"/>
        </w:rPr>
        <w:t>SUJETO OBLIGADO</w:t>
      </w:r>
      <w:r w:rsidRPr="00EA05B0">
        <w:rPr>
          <w:rFonts w:ascii="Palatino Linotype" w:eastAsia="Times New Roman" w:hAnsi="Palatino Linotype" w:cs="Arial"/>
          <w:color w:val="000000" w:themeColor="text1"/>
          <w:lang w:val="es-ES" w:eastAsia="es-MX"/>
        </w:rPr>
        <w:t>.</w:t>
      </w:r>
    </w:p>
    <w:p w14:paraId="02125CEE" w14:textId="77777777" w:rsidR="00374D5C" w:rsidRPr="00EA05B0" w:rsidRDefault="00374D5C" w:rsidP="00374D5C">
      <w:pPr>
        <w:pStyle w:val="Prrafodelista"/>
        <w:spacing w:before="240" w:after="240" w:line="360" w:lineRule="auto"/>
        <w:ind w:left="426"/>
        <w:jc w:val="both"/>
        <w:rPr>
          <w:rFonts w:ascii="Palatino Linotype" w:hAnsi="Palatino Linotype"/>
        </w:rPr>
      </w:pPr>
    </w:p>
    <w:p w14:paraId="16978246" w14:textId="546BD36A" w:rsidR="00F35C44" w:rsidRPr="00EA05B0" w:rsidRDefault="00374D5C" w:rsidP="00526F7B">
      <w:pPr>
        <w:pStyle w:val="Prrafodelista"/>
        <w:numPr>
          <w:ilvl w:val="0"/>
          <w:numId w:val="3"/>
        </w:numPr>
        <w:spacing w:before="240" w:after="240" w:line="360" w:lineRule="auto"/>
        <w:ind w:left="426"/>
        <w:jc w:val="both"/>
        <w:rPr>
          <w:rFonts w:ascii="Palatino Linotype" w:hAnsi="Palatino Linotype"/>
        </w:rPr>
      </w:pPr>
      <w:r w:rsidRPr="00EA05B0">
        <w:rPr>
          <w:rFonts w:ascii="Palatino Linotype" w:eastAsia="Calibri" w:hAnsi="Palatino Linotype" w:cs="Arial"/>
        </w:rPr>
        <w:t>P</w:t>
      </w:r>
      <w:r w:rsidR="00F35C44" w:rsidRPr="00EA05B0">
        <w:rPr>
          <w:rFonts w:ascii="Palatino Linotype" w:eastAsia="Calibri" w:hAnsi="Palatino Linotype" w:cs="Arial"/>
        </w:rPr>
        <w:t xml:space="preserve">or otro lado, </w:t>
      </w:r>
      <w:r w:rsidRPr="00EA05B0">
        <w:rPr>
          <w:rFonts w:ascii="Palatino Linotype" w:eastAsia="Calibri" w:hAnsi="Palatino Linotype" w:cs="Arial"/>
        </w:rPr>
        <w:t>el</w:t>
      </w:r>
      <w:r w:rsidR="00F35C44" w:rsidRPr="00EA05B0">
        <w:rPr>
          <w:rFonts w:ascii="Palatino Linotype" w:eastAsia="Calibri" w:hAnsi="Palatino Linotype" w:cs="Arial"/>
        </w:rPr>
        <w:t xml:space="preserve"> escrito contiene</w:t>
      </w:r>
      <w:r w:rsidR="00192187" w:rsidRPr="00EA05B0">
        <w:rPr>
          <w:rFonts w:ascii="Palatino Linotype" w:eastAsia="Calibri" w:hAnsi="Palatino Linotype" w:cs="Arial"/>
        </w:rPr>
        <w:t>n</w:t>
      </w:r>
      <w:r w:rsidR="00F35C44" w:rsidRPr="00EA05B0">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D5C6600" w14:textId="77777777" w:rsidR="004D5E57" w:rsidRPr="00EA05B0" w:rsidRDefault="004D5E57" w:rsidP="004D5E57">
      <w:pPr>
        <w:pStyle w:val="Prrafodelista"/>
        <w:spacing w:before="240" w:after="240" w:line="360" w:lineRule="auto"/>
        <w:ind w:left="426"/>
        <w:jc w:val="both"/>
        <w:rPr>
          <w:rFonts w:ascii="Palatino Linotype" w:hAnsi="Palatino Linotype"/>
        </w:rPr>
      </w:pPr>
    </w:p>
    <w:p w14:paraId="4BEDD17F" w14:textId="7D8AC156" w:rsidR="00C34E18" w:rsidRPr="00EA05B0" w:rsidRDefault="0080668C" w:rsidP="00C34E18">
      <w:pPr>
        <w:pStyle w:val="Ttulo1"/>
        <w:spacing w:line="360" w:lineRule="auto"/>
        <w:rPr>
          <w:b/>
          <w:szCs w:val="24"/>
        </w:rPr>
      </w:pPr>
      <w:bookmarkStart w:id="90" w:name="_Toc510633112"/>
      <w:bookmarkStart w:id="91" w:name="_Toc495427545"/>
      <w:bookmarkStart w:id="92" w:name="_Toc499296549"/>
      <w:bookmarkStart w:id="93" w:name="_Toc523400456"/>
      <w:bookmarkStart w:id="94" w:name="_Toc459174366"/>
      <w:bookmarkStart w:id="95" w:name="_Toc459659884"/>
      <w:bookmarkStart w:id="96" w:name="_Toc461687280"/>
      <w:bookmarkStart w:id="97" w:name="_Toc462771051"/>
      <w:bookmarkStart w:id="98" w:name="_Toc464139201"/>
      <w:r w:rsidRPr="00EA05B0">
        <w:rPr>
          <w:b/>
          <w:szCs w:val="24"/>
        </w:rPr>
        <w:lastRenderedPageBreak/>
        <w:t>TERCERO.</w:t>
      </w:r>
      <w:r w:rsidRPr="00EA05B0">
        <w:rPr>
          <w:szCs w:val="24"/>
        </w:rPr>
        <w:t xml:space="preserve"> </w:t>
      </w:r>
      <w:r w:rsidRPr="00EA05B0">
        <w:rPr>
          <w:b/>
          <w:szCs w:val="24"/>
        </w:rPr>
        <w:t xml:space="preserve">Del </w:t>
      </w:r>
      <w:r w:rsidR="00374D5C" w:rsidRPr="00EA05B0">
        <w:rPr>
          <w:b/>
          <w:szCs w:val="24"/>
        </w:rPr>
        <w:t xml:space="preserve">planeamiento de la </w:t>
      </w:r>
      <w:r w:rsidR="00374D5C" w:rsidRPr="00EA05B0">
        <w:rPr>
          <w:b/>
          <w:i/>
          <w:szCs w:val="24"/>
        </w:rPr>
        <w:t>Litis</w:t>
      </w:r>
      <w:r w:rsidRPr="00EA05B0">
        <w:rPr>
          <w:b/>
          <w:szCs w:val="24"/>
        </w:rPr>
        <w:t>.</w:t>
      </w:r>
      <w:bookmarkEnd w:id="90"/>
      <w:bookmarkEnd w:id="91"/>
      <w:bookmarkEnd w:id="92"/>
      <w:bookmarkEnd w:id="93"/>
    </w:p>
    <w:p w14:paraId="5215A29C" w14:textId="14A1B15F" w:rsidR="00141103" w:rsidRPr="00EA05B0" w:rsidRDefault="00C34E18" w:rsidP="006418E9">
      <w:pPr>
        <w:pStyle w:val="Prrafodelista"/>
        <w:numPr>
          <w:ilvl w:val="0"/>
          <w:numId w:val="3"/>
        </w:numPr>
        <w:spacing w:before="240" w:after="240" w:line="360" w:lineRule="auto"/>
        <w:ind w:left="426" w:right="49"/>
        <w:jc w:val="both"/>
        <w:rPr>
          <w:rFonts w:ascii="Palatino Linotype" w:eastAsia="Times New Roman" w:hAnsi="Palatino Linotype" w:cs="Arial"/>
          <w:color w:val="000000" w:themeColor="text1"/>
        </w:rPr>
      </w:pPr>
      <w:bookmarkStart w:id="99" w:name="_Toc466371862"/>
      <w:bookmarkStart w:id="100" w:name="_Toc466377651"/>
      <w:bookmarkStart w:id="101" w:name="_Toc495427546"/>
      <w:bookmarkStart w:id="102" w:name="_Toc499296550"/>
      <w:bookmarkStart w:id="103" w:name="_Toc455991148"/>
      <w:bookmarkStart w:id="104" w:name="_Toc450120669"/>
      <w:bookmarkStart w:id="105" w:name="_Toc461555896"/>
      <w:bookmarkStart w:id="106" w:name="_Toc462154385"/>
      <w:bookmarkStart w:id="107" w:name="_Toc462660376"/>
      <w:bookmarkStart w:id="108" w:name="_Toc462660687"/>
      <w:bookmarkStart w:id="109" w:name="_Toc462660766"/>
      <w:bookmarkStart w:id="110" w:name="_Toc465264624"/>
      <w:bookmarkStart w:id="111" w:name="_Toc465264870"/>
      <w:bookmarkStart w:id="112" w:name="_Toc465266520"/>
      <w:bookmarkStart w:id="113" w:name="_Toc466302258"/>
      <w:bookmarkStart w:id="114" w:name="_Toc466371866"/>
      <w:bookmarkStart w:id="115" w:name="_Toc466371925"/>
      <w:bookmarkStart w:id="116" w:name="_Toc466377654"/>
      <w:bookmarkStart w:id="117" w:name="_Toc478549736"/>
      <w:bookmarkStart w:id="118" w:name="_Toc478572850"/>
      <w:bookmarkStart w:id="119" w:name="_Toc479238537"/>
      <w:bookmarkEnd w:id="94"/>
      <w:bookmarkEnd w:id="95"/>
      <w:bookmarkEnd w:id="96"/>
      <w:bookmarkEnd w:id="97"/>
      <w:bookmarkEnd w:id="98"/>
      <w:r w:rsidRPr="00EA05B0">
        <w:rPr>
          <w:rFonts w:ascii="Palatino Linotype" w:eastAsia="Calibri" w:hAnsi="Palatino Linotype" w:cs="Arial"/>
          <w:color w:val="000000" w:themeColor="text1"/>
          <w:lang w:val="es-MX" w:eastAsia="en-US"/>
        </w:rPr>
        <w:t>La particular, requirió medularmente del Ayuntamiento de Almoloya del Río, lo siguiente:</w:t>
      </w:r>
    </w:p>
    <w:p w14:paraId="5ACD64D2" w14:textId="7589D06A" w:rsidR="00C34E18" w:rsidRPr="00EA05B0" w:rsidRDefault="00C34E18" w:rsidP="00C34E18">
      <w:pPr>
        <w:pStyle w:val="Prrafodelista"/>
        <w:numPr>
          <w:ilvl w:val="1"/>
          <w:numId w:val="3"/>
        </w:numPr>
        <w:spacing w:before="240" w:after="240" w:line="360" w:lineRule="auto"/>
        <w:ind w:right="49"/>
        <w:jc w:val="both"/>
        <w:rPr>
          <w:rFonts w:ascii="Palatino Linotype" w:eastAsia="Times New Roman" w:hAnsi="Palatino Linotype" w:cs="Arial"/>
          <w:color w:val="000000" w:themeColor="text1"/>
        </w:rPr>
      </w:pPr>
      <w:r w:rsidRPr="00EA05B0">
        <w:rPr>
          <w:rFonts w:ascii="Palatino Linotype" w:eastAsia="Calibri" w:hAnsi="Palatino Linotype" w:cs="Arial"/>
          <w:color w:val="000000" w:themeColor="text1"/>
          <w:lang w:val="es-MX" w:eastAsia="en-US"/>
        </w:rPr>
        <w:t>Copia de los laudos emitidos por demandas laborales de la actual administración.</w:t>
      </w:r>
    </w:p>
    <w:p w14:paraId="02286901" w14:textId="77777777" w:rsidR="00C34E18" w:rsidRPr="00EA05B0" w:rsidRDefault="00C34E18" w:rsidP="00C34E18">
      <w:pPr>
        <w:pStyle w:val="Prrafodelista"/>
        <w:spacing w:before="240" w:after="240" w:line="360" w:lineRule="auto"/>
        <w:ind w:left="1440" w:right="49"/>
        <w:jc w:val="both"/>
        <w:rPr>
          <w:rFonts w:ascii="Palatino Linotype" w:eastAsia="Times New Roman" w:hAnsi="Palatino Linotype" w:cs="Arial"/>
          <w:color w:val="000000" w:themeColor="text1"/>
        </w:rPr>
      </w:pPr>
    </w:p>
    <w:p w14:paraId="430D7914" w14:textId="18D8B669" w:rsidR="00C34E18" w:rsidRPr="00EA05B0" w:rsidRDefault="00C34E18" w:rsidP="00C34E18">
      <w:pPr>
        <w:pStyle w:val="Prrafodelista"/>
        <w:numPr>
          <w:ilvl w:val="0"/>
          <w:numId w:val="3"/>
        </w:numPr>
        <w:spacing w:before="240" w:after="240" w:line="360" w:lineRule="auto"/>
        <w:ind w:right="49"/>
        <w:jc w:val="both"/>
        <w:rPr>
          <w:rFonts w:ascii="Palatino Linotype" w:eastAsia="Times New Roman" w:hAnsi="Palatino Linotype" w:cs="Arial"/>
          <w:color w:val="000000" w:themeColor="text1"/>
        </w:rPr>
      </w:pPr>
      <w:r w:rsidRPr="00EA05B0">
        <w:rPr>
          <w:rFonts w:ascii="Palatino Linotype" w:eastAsia="Calibri" w:hAnsi="Palatino Linotype" w:cs="Arial"/>
          <w:color w:val="000000" w:themeColor="text1"/>
          <w:lang w:val="es-MX" w:eastAsia="en-US"/>
        </w:rPr>
        <w:t xml:space="preserve">En su respuesta, el </w:t>
      </w:r>
      <w:r w:rsidRPr="00EA05B0">
        <w:rPr>
          <w:rFonts w:ascii="Palatino Linotype" w:eastAsia="Calibri" w:hAnsi="Palatino Linotype" w:cs="Arial"/>
          <w:b/>
          <w:color w:val="000000" w:themeColor="text1"/>
          <w:lang w:val="es-MX" w:eastAsia="en-US"/>
        </w:rPr>
        <w:t>SUJETO OBLIGADO</w:t>
      </w:r>
      <w:r w:rsidR="00F218DC" w:rsidRPr="00EA05B0">
        <w:rPr>
          <w:rFonts w:ascii="Palatino Linotype" w:eastAsia="Calibri" w:hAnsi="Palatino Linotype" w:cs="Arial"/>
          <w:color w:val="000000" w:themeColor="text1"/>
          <w:lang w:val="es-MX" w:eastAsia="en-US"/>
        </w:rPr>
        <w:t xml:space="preserve"> mostró mediante archivo adjunto dos tablas de contenidos dentro de las cuales se aprecian diversos números de expedientes en forma de lista.</w:t>
      </w:r>
    </w:p>
    <w:p w14:paraId="34084EAE" w14:textId="77777777" w:rsidR="00F218DC" w:rsidRPr="00EA05B0" w:rsidRDefault="00F218DC" w:rsidP="00F218DC">
      <w:pPr>
        <w:pStyle w:val="Prrafodelista"/>
        <w:spacing w:before="240" w:after="240" w:line="360" w:lineRule="auto"/>
        <w:ind w:right="49"/>
        <w:jc w:val="both"/>
        <w:rPr>
          <w:rFonts w:ascii="Palatino Linotype" w:eastAsia="Times New Roman" w:hAnsi="Palatino Linotype" w:cs="Arial"/>
          <w:color w:val="000000" w:themeColor="text1"/>
        </w:rPr>
      </w:pPr>
    </w:p>
    <w:p w14:paraId="4CDAA9DE" w14:textId="10792F4C" w:rsidR="00F218DC" w:rsidRPr="00EA05B0" w:rsidRDefault="00F218DC" w:rsidP="00C34E18">
      <w:pPr>
        <w:pStyle w:val="Prrafodelista"/>
        <w:numPr>
          <w:ilvl w:val="0"/>
          <w:numId w:val="3"/>
        </w:numPr>
        <w:spacing w:before="240" w:after="240" w:line="360" w:lineRule="auto"/>
        <w:ind w:right="49"/>
        <w:jc w:val="both"/>
        <w:rPr>
          <w:rFonts w:ascii="Palatino Linotype" w:eastAsia="Times New Roman" w:hAnsi="Palatino Linotype" w:cs="Arial"/>
          <w:color w:val="000000" w:themeColor="text1"/>
        </w:rPr>
      </w:pPr>
      <w:r w:rsidRPr="00EA05B0">
        <w:rPr>
          <w:rFonts w:ascii="Palatino Linotype" w:eastAsia="Calibri" w:hAnsi="Palatino Linotype" w:cs="Arial"/>
          <w:color w:val="000000" w:themeColor="text1"/>
          <w:lang w:val="es-MX" w:eastAsia="en-US"/>
        </w:rPr>
        <w:t xml:space="preserve">Por su parte, la </w:t>
      </w:r>
      <w:r w:rsidRPr="00EA05B0">
        <w:rPr>
          <w:rFonts w:ascii="Palatino Linotype" w:eastAsia="Calibri" w:hAnsi="Palatino Linotype" w:cs="Arial"/>
          <w:b/>
          <w:color w:val="000000" w:themeColor="text1"/>
          <w:lang w:val="es-MX" w:eastAsia="en-US"/>
        </w:rPr>
        <w:t>RECURRENTE</w:t>
      </w:r>
      <w:r w:rsidRPr="00EA05B0">
        <w:rPr>
          <w:rFonts w:ascii="Palatino Linotype" w:eastAsia="Calibri" w:hAnsi="Palatino Linotype" w:cs="Arial"/>
          <w:color w:val="000000" w:themeColor="text1"/>
          <w:lang w:val="es-MX" w:eastAsia="en-US"/>
        </w:rPr>
        <w:t xml:space="preserve"> se inconformó esencialmente dentro del recurso de revisión </w:t>
      </w:r>
      <w:r w:rsidRPr="00EA05B0">
        <w:rPr>
          <w:rFonts w:ascii="Palatino Linotype" w:eastAsia="Calibri" w:hAnsi="Palatino Linotype" w:cs="Arial"/>
          <w:b/>
          <w:color w:val="000000" w:themeColor="text1"/>
          <w:lang w:val="es-MX" w:eastAsia="en-US"/>
        </w:rPr>
        <w:t>02293/INFOEM/IP/RR/2018</w:t>
      </w:r>
      <w:r w:rsidRPr="00EA05B0">
        <w:rPr>
          <w:rFonts w:ascii="Palatino Linotype" w:eastAsia="Calibri" w:hAnsi="Palatino Linotype" w:cs="Arial"/>
          <w:color w:val="000000" w:themeColor="text1"/>
          <w:lang w:val="es-MX" w:eastAsia="en-US"/>
        </w:rPr>
        <w:t xml:space="preserve">, señalando que el </w:t>
      </w:r>
      <w:r w:rsidRPr="00EA05B0">
        <w:rPr>
          <w:rFonts w:ascii="Palatino Linotype" w:eastAsia="Calibri" w:hAnsi="Palatino Linotype" w:cs="Arial"/>
          <w:b/>
          <w:color w:val="000000" w:themeColor="text1"/>
          <w:lang w:val="es-MX" w:eastAsia="en-US"/>
        </w:rPr>
        <w:t>SUEJTO OBLIGADO</w:t>
      </w:r>
      <w:r w:rsidRPr="00EA05B0">
        <w:rPr>
          <w:rFonts w:ascii="Palatino Linotype" w:eastAsia="Calibri" w:hAnsi="Palatino Linotype" w:cs="Arial"/>
          <w:color w:val="000000" w:themeColor="text1"/>
          <w:lang w:val="es-MX" w:eastAsia="en-US"/>
        </w:rPr>
        <w:t xml:space="preserve"> le respondió mediante información diversa a la solicitada.</w:t>
      </w:r>
    </w:p>
    <w:p w14:paraId="0BEAFC34" w14:textId="77777777" w:rsidR="00F218DC" w:rsidRPr="00EA05B0" w:rsidRDefault="00F218DC" w:rsidP="00F218DC">
      <w:pPr>
        <w:pStyle w:val="Prrafodelista"/>
        <w:spacing w:before="240" w:after="240" w:line="360" w:lineRule="auto"/>
        <w:ind w:right="49"/>
        <w:jc w:val="both"/>
        <w:rPr>
          <w:rFonts w:ascii="Palatino Linotype" w:eastAsia="Times New Roman" w:hAnsi="Palatino Linotype" w:cs="Arial"/>
          <w:color w:val="000000" w:themeColor="text1"/>
        </w:rPr>
      </w:pPr>
    </w:p>
    <w:p w14:paraId="3DBF4273" w14:textId="1D0E2646" w:rsidR="00F218DC" w:rsidRPr="00EA05B0" w:rsidRDefault="00F218DC" w:rsidP="00C34E18">
      <w:pPr>
        <w:pStyle w:val="Prrafodelista"/>
        <w:numPr>
          <w:ilvl w:val="0"/>
          <w:numId w:val="3"/>
        </w:numPr>
        <w:spacing w:before="240" w:after="240" w:line="360" w:lineRule="auto"/>
        <w:ind w:right="49"/>
        <w:jc w:val="both"/>
        <w:rPr>
          <w:rFonts w:ascii="Palatino Linotype" w:eastAsia="Times New Roman" w:hAnsi="Palatino Linotype" w:cs="Arial"/>
          <w:color w:val="000000" w:themeColor="text1"/>
        </w:rPr>
      </w:pPr>
      <w:r w:rsidRPr="00EA05B0">
        <w:rPr>
          <w:rFonts w:ascii="Palatino Linotype" w:eastAsia="Times New Roman" w:hAnsi="Palatino Linotype" w:cs="Arial"/>
          <w:color w:val="000000" w:themeColor="text1"/>
        </w:rPr>
        <w:t xml:space="preserve">Por lo anterior, la </w:t>
      </w:r>
      <w:r w:rsidRPr="00EA05B0">
        <w:rPr>
          <w:rFonts w:ascii="Palatino Linotype" w:eastAsia="Times New Roman" w:hAnsi="Palatino Linotype" w:cs="Arial"/>
          <w:i/>
          <w:color w:val="000000" w:themeColor="text1"/>
        </w:rPr>
        <w:t>Litis</w:t>
      </w:r>
      <w:r w:rsidRPr="00EA05B0">
        <w:rPr>
          <w:rFonts w:ascii="Palatino Linotype" w:eastAsia="Times New Roman" w:hAnsi="Palatino Linotype" w:cs="Arial"/>
          <w:color w:val="000000" w:themeColor="text1"/>
        </w:rPr>
        <w:t xml:space="preserve"> a resolver en el presente recurso se </w:t>
      </w:r>
      <w:r w:rsidRPr="00EA05B0">
        <w:rPr>
          <w:rFonts w:ascii="Palatino Linotype" w:hAnsi="Palatino Linotype"/>
        </w:rPr>
        <w:t xml:space="preserve">circunscribe en determinar si el </w:t>
      </w:r>
      <w:r w:rsidRPr="00EA05B0">
        <w:rPr>
          <w:rFonts w:ascii="Palatino Linotype" w:hAnsi="Palatino Linotype"/>
          <w:b/>
        </w:rPr>
        <w:t xml:space="preserve">SUJETO OBLIGADO </w:t>
      </w:r>
      <w:r w:rsidRPr="00EA05B0">
        <w:rPr>
          <w:rFonts w:ascii="Palatino Linotype" w:hAnsi="Palatino Linotype"/>
        </w:rPr>
        <w:t>con su respuesta actualiza las causales de procedencia</w:t>
      </w:r>
      <w:r w:rsidRPr="00EA05B0">
        <w:rPr>
          <w:rFonts w:ascii="Palatino Linotype" w:hAnsi="Palatino Linotype" w:cs="Arial"/>
          <w:szCs w:val="23"/>
        </w:rPr>
        <w:t xml:space="preserve"> del recurso de revisión establecidas en el artículo 179 fracciones V y VI de la Ley de Transparencia y Acceso a la Información Pública del Estado de México y Municipios, mismo que se transcribe a continuación:</w:t>
      </w:r>
    </w:p>
    <w:p w14:paraId="50DA063F" w14:textId="3F2246C5" w:rsidR="00F218DC" w:rsidRPr="00EA05B0" w:rsidRDefault="00F218DC" w:rsidP="00F218DC">
      <w:pPr>
        <w:pStyle w:val="Sinespaciado"/>
        <w:ind w:left="851" w:right="567"/>
        <w:jc w:val="both"/>
        <w:rPr>
          <w:rFonts w:ascii="Palatino Linotype" w:hAnsi="Palatino Linotype"/>
          <w:i/>
          <w:sz w:val="22"/>
        </w:rPr>
      </w:pPr>
      <w:r w:rsidRPr="00EA05B0">
        <w:rPr>
          <w:rFonts w:ascii="Palatino Linotype" w:hAnsi="Palatino Linotype"/>
          <w:i/>
          <w:sz w:val="22"/>
        </w:rPr>
        <w:t>“</w:t>
      </w:r>
      <w:r w:rsidRPr="00EA05B0">
        <w:rPr>
          <w:rFonts w:ascii="Palatino Linotype" w:hAnsi="Palatino Linotype"/>
          <w:b/>
          <w:i/>
          <w:sz w:val="22"/>
        </w:rPr>
        <w:t>Artículo 179.</w:t>
      </w:r>
      <w:r w:rsidRPr="00EA05B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341FD58" w14:textId="487912CC" w:rsidR="00F218DC" w:rsidRPr="00EA05B0" w:rsidRDefault="00F218DC" w:rsidP="00F218DC">
      <w:pPr>
        <w:pStyle w:val="Sinespaciado"/>
        <w:ind w:left="851" w:right="567"/>
        <w:jc w:val="both"/>
        <w:rPr>
          <w:rFonts w:ascii="Palatino Linotype" w:hAnsi="Palatino Linotype"/>
          <w:i/>
          <w:sz w:val="22"/>
        </w:rPr>
      </w:pPr>
      <w:r w:rsidRPr="00EA05B0">
        <w:rPr>
          <w:rFonts w:ascii="Palatino Linotype" w:hAnsi="Palatino Linotype"/>
          <w:i/>
          <w:sz w:val="22"/>
        </w:rPr>
        <w:t>(…)</w:t>
      </w:r>
    </w:p>
    <w:p w14:paraId="4E59254C" w14:textId="77777777" w:rsidR="00F218DC" w:rsidRPr="00EA05B0" w:rsidRDefault="00F218DC" w:rsidP="00F218DC">
      <w:pPr>
        <w:pStyle w:val="Sinespaciado"/>
        <w:ind w:left="851" w:right="567"/>
        <w:jc w:val="both"/>
        <w:rPr>
          <w:rFonts w:ascii="Palatino Linotype" w:hAnsi="Palatino Linotype"/>
          <w:i/>
          <w:sz w:val="22"/>
        </w:rPr>
      </w:pPr>
      <w:r w:rsidRPr="00EA05B0">
        <w:rPr>
          <w:rFonts w:ascii="Palatino Linotype" w:hAnsi="Palatino Linotype"/>
          <w:i/>
          <w:sz w:val="22"/>
        </w:rPr>
        <w:lastRenderedPageBreak/>
        <w:t>V. La entrega de información incompleta;</w:t>
      </w:r>
    </w:p>
    <w:p w14:paraId="34414ECE" w14:textId="4CF8A635" w:rsidR="00F218DC" w:rsidRPr="00EA05B0" w:rsidRDefault="00F218DC" w:rsidP="00F218DC">
      <w:pPr>
        <w:pStyle w:val="Sinespaciado"/>
        <w:ind w:left="851" w:right="567"/>
        <w:jc w:val="both"/>
        <w:rPr>
          <w:rFonts w:ascii="Palatino Linotype" w:hAnsi="Palatino Linotype"/>
          <w:i/>
          <w:sz w:val="22"/>
        </w:rPr>
      </w:pPr>
      <w:r w:rsidRPr="00EA05B0">
        <w:rPr>
          <w:rFonts w:ascii="Palatino Linotype" w:hAnsi="Palatino Linotype"/>
          <w:i/>
          <w:sz w:val="22"/>
        </w:rPr>
        <w:t>VI. La entrega de información que no corresponda con lo solicitado;</w:t>
      </w:r>
    </w:p>
    <w:p w14:paraId="7A0D11AC" w14:textId="52936389" w:rsidR="00F218DC" w:rsidRPr="00EA05B0" w:rsidRDefault="00F218DC" w:rsidP="00F218DC">
      <w:pPr>
        <w:pStyle w:val="Sinespaciado"/>
        <w:ind w:left="851" w:right="567"/>
        <w:jc w:val="both"/>
        <w:rPr>
          <w:rFonts w:ascii="Palatino Linotype" w:eastAsia="Times New Roman" w:hAnsi="Palatino Linotype" w:cs="Arial"/>
          <w:i/>
          <w:color w:val="000000" w:themeColor="text1"/>
          <w:sz w:val="22"/>
        </w:rPr>
      </w:pPr>
      <w:r w:rsidRPr="00EA05B0">
        <w:rPr>
          <w:rFonts w:ascii="Palatino Linotype" w:hAnsi="Palatino Linotype"/>
          <w:i/>
          <w:sz w:val="22"/>
        </w:rPr>
        <w:t>(…)”</w:t>
      </w:r>
    </w:p>
    <w:p w14:paraId="732AAA17" w14:textId="77777777" w:rsidR="00F218DC" w:rsidRPr="00EA05B0" w:rsidRDefault="00F218DC" w:rsidP="00F218DC">
      <w:pPr>
        <w:pStyle w:val="Prrafodelista"/>
        <w:spacing w:before="240" w:after="240" w:line="360" w:lineRule="auto"/>
        <w:ind w:right="49"/>
        <w:jc w:val="both"/>
        <w:rPr>
          <w:rFonts w:ascii="Palatino Linotype" w:eastAsia="Times New Roman" w:hAnsi="Palatino Linotype" w:cs="Arial"/>
          <w:color w:val="000000" w:themeColor="text1"/>
        </w:rPr>
      </w:pPr>
    </w:p>
    <w:p w14:paraId="68344297" w14:textId="7C1D87FA" w:rsidR="00A63CC8" w:rsidRPr="00EA05B0" w:rsidRDefault="00DF57B6" w:rsidP="00A63CC8">
      <w:pPr>
        <w:pStyle w:val="Ttulo1"/>
        <w:spacing w:line="360" w:lineRule="auto"/>
        <w:rPr>
          <w:b/>
          <w:color w:val="000000" w:themeColor="text1"/>
          <w:szCs w:val="24"/>
        </w:rPr>
      </w:pPr>
      <w:bookmarkStart w:id="120" w:name="_Toc523400457"/>
      <w:r w:rsidRPr="00EA05B0">
        <w:rPr>
          <w:b/>
          <w:color w:val="000000" w:themeColor="text1"/>
          <w:szCs w:val="24"/>
        </w:rPr>
        <w:t>CUARTO</w:t>
      </w:r>
      <w:r w:rsidR="00F906D0" w:rsidRPr="00EA05B0">
        <w:rPr>
          <w:b/>
          <w:color w:val="000000" w:themeColor="text1"/>
          <w:szCs w:val="24"/>
        </w:rPr>
        <w:t>. Del estudio y resolución del asunto.</w:t>
      </w:r>
      <w:bookmarkEnd w:id="99"/>
      <w:bookmarkEnd w:id="100"/>
      <w:bookmarkEnd w:id="101"/>
      <w:bookmarkEnd w:id="102"/>
      <w:bookmarkEnd w:id="120"/>
    </w:p>
    <w:p w14:paraId="3BD63DA1" w14:textId="5B1B997F" w:rsidR="00A63CC8" w:rsidRPr="00EA05B0" w:rsidRDefault="00A63CC8" w:rsidP="00A63CC8">
      <w:pPr>
        <w:pStyle w:val="Ttulo3"/>
        <w:rPr>
          <w:rFonts w:ascii="Palatino Linotype" w:hAnsi="Palatino Linotype"/>
          <w:b/>
          <w:color w:val="000000"/>
        </w:rPr>
      </w:pPr>
      <w:bookmarkStart w:id="121" w:name="_Toc522217856"/>
      <w:bookmarkStart w:id="122" w:name="_Toc523400458"/>
      <w:bookmarkStart w:id="123" w:name="_Toc466371865"/>
      <w:bookmarkStart w:id="124" w:name="_Toc46637765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EA05B0">
        <w:rPr>
          <w:rFonts w:ascii="Palatino Linotype" w:hAnsi="Palatino Linotype"/>
          <w:b/>
          <w:color w:val="000000"/>
        </w:rPr>
        <w:t>I. De los procesos y procedimientos jurisdiccionales y administrativos.</w:t>
      </w:r>
      <w:bookmarkEnd w:id="121"/>
      <w:bookmarkEnd w:id="122"/>
    </w:p>
    <w:p w14:paraId="4CDC86DC" w14:textId="77777777" w:rsidR="00A63CC8" w:rsidRPr="00EA05B0" w:rsidRDefault="00A63CC8" w:rsidP="00A63CC8"/>
    <w:p w14:paraId="7BE08EC4" w14:textId="57432CEA" w:rsidR="00A63CC8" w:rsidRPr="00EA05B0" w:rsidRDefault="00A63CC8"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Previo </w:t>
      </w:r>
      <w:r w:rsidRPr="00EA05B0">
        <w:rPr>
          <w:rFonts w:ascii="Palatino Linotype" w:eastAsia="Calibri" w:hAnsi="Palatino Linotype" w:cs="Arial"/>
          <w:lang w:val="es-ES"/>
        </w:rPr>
        <w:t xml:space="preserve">al análisis de la respuesta del </w:t>
      </w:r>
      <w:r w:rsidRPr="00EA05B0">
        <w:rPr>
          <w:rFonts w:ascii="Palatino Linotype" w:eastAsia="Calibri" w:hAnsi="Palatino Linotype" w:cs="Arial"/>
          <w:b/>
          <w:lang w:val="es-ES"/>
        </w:rPr>
        <w:t>Ayuntamiento de Almoloya del Río</w:t>
      </w:r>
      <w:r w:rsidRPr="00EA05B0">
        <w:rPr>
          <w:rFonts w:ascii="Palatino Linotype" w:eastAsia="Calibri" w:hAnsi="Palatino Linotype" w:cs="Arial"/>
          <w:lang w:val="es-ES"/>
        </w:rPr>
        <w:t xml:space="preserve"> y del estudio de su fuente obligacional, es necesario aclarar lo que debe entenderse por resoluciones, laudos</w:t>
      </w:r>
      <w:r w:rsidR="006418E9" w:rsidRPr="00EA05B0">
        <w:rPr>
          <w:rFonts w:ascii="Palatino Linotype" w:eastAsia="Calibri" w:hAnsi="Palatino Linotype" w:cs="Arial"/>
          <w:lang w:val="es-ES"/>
        </w:rPr>
        <w:t>,</w:t>
      </w:r>
      <w:r w:rsidRPr="00EA05B0">
        <w:rPr>
          <w:rFonts w:ascii="Palatino Linotype" w:eastAsia="Calibri" w:hAnsi="Palatino Linotype" w:cs="Arial"/>
          <w:lang w:val="es-ES"/>
        </w:rPr>
        <w:t xml:space="preserve"> procesos y procedimientos en el ámbito de competencia de un municipio.</w:t>
      </w:r>
    </w:p>
    <w:p w14:paraId="34069FB8"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4CB666D1" w14:textId="0CA59D46"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La definición de ‘proceso’, formulada por </w:t>
      </w:r>
      <w:r w:rsidRPr="00EA05B0">
        <w:rPr>
          <w:rFonts w:ascii="Palatino Linotype" w:eastAsia="Calibri" w:hAnsi="Palatino Linotype" w:cs="Arial"/>
          <w:lang w:val="es-ES"/>
        </w:rPr>
        <w:t>Rafael de Pina señala que el “</w:t>
      </w:r>
      <w:r w:rsidRPr="00EA05B0">
        <w:rPr>
          <w:rFonts w:ascii="Palatino Linotype" w:eastAsia="Calibri" w:hAnsi="Palatino Linotype" w:cs="Arial"/>
          <w:i/>
          <w:lang w:val="es-ES"/>
        </w:rPr>
        <w:t>Proceso, conjunto de actos regulados por la Ley y realizados con la finalidad de alcanzar la aplicación judicial del derecho objetivo y la satisfacción consiguiente del interés legalmente tutelado en el caso concreto, mediante una decisión del juez competente</w:t>
      </w:r>
      <w:r w:rsidRPr="00EA05B0">
        <w:rPr>
          <w:rFonts w:ascii="Palatino Linotype" w:eastAsia="Calibri" w:hAnsi="Palatino Linotype" w:cs="Arial"/>
          <w:lang w:val="es-ES"/>
        </w:rPr>
        <w:t xml:space="preserve">” y abundando al respecto, nos dice que la palabra proceso </w:t>
      </w:r>
      <w:r w:rsidR="003A103B" w:rsidRPr="00EA05B0">
        <w:rPr>
          <w:rFonts w:ascii="Palatino Linotype" w:eastAsia="Calibri" w:hAnsi="Palatino Linotype" w:cs="Arial"/>
          <w:b/>
          <w:u w:val="single"/>
          <w:lang w:val="es-ES"/>
        </w:rPr>
        <w:t>es sinónima</w:t>
      </w:r>
      <w:r w:rsidRPr="00EA05B0">
        <w:rPr>
          <w:rFonts w:ascii="Palatino Linotype" w:eastAsia="Calibri" w:hAnsi="Palatino Linotype" w:cs="Arial"/>
          <w:b/>
          <w:u w:val="single"/>
          <w:lang w:val="es-ES"/>
        </w:rPr>
        <w:t xml:space="preserve"> a la de juicio</w:t>
      </w:r>
      <w:r w:rsidRPr="00EA05B0">
        <w:rPr>
          <w:rFonts w:ascii="Palatino Linotype" w:eastAsia="Calibri" w:hAnsi="Palatino Linotype" w:cs="Arial"/>
          <w:lang w:val="es-ES"/>
        </w:rPr>
        <w:t>.</w:t>
      </w:r>
      <w:r w:rsidRPr="00EA05B0">
        <w:rPr>
          <w:rStyle w:val="Refdenotaalpie"/>
          <w:rFonts w:ascii="Palatino Linotype" w:eastAsia="Calibri" w:hAnsi="Palatino Linotype" w:cs="Arial"/>
          <w:lang w:val="es-ES"/>
        </w:rPr>
        <w:footnoteReference w:id="1"/>
      </w:r>
    </w:p>
    <w:p w14:paraId="169C9774"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3EEEE8EA" w14:textId="6D9BDEFD"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Ahora </w:t>
      </w:r>
      <w:r w:rsidRPr="00EA05B0">
        <w:rPr>
          <w:rFonts w:ascii="Palatino Linotype" w:eastAsia="Calibri" w:hAnsi="Palatino Linotype" w:cs="Arial"/>
          <w:lang w:val="es-ES"/>
        </w:rPr>
        <w:t>bien, según José Ovalle Favela en su libro Estudios de Derecho Procesal</w:t>
      </w:r>
      <w:r w:rsidRPr="00EA05B0">
        <w:rPr>
          <w:rStyle w:val="Refdenotaalpie"/>
          <w:rFonts w:ascii="Palatino Linotype" w:eastAsia="Calibri" w:hAnsi="Palatino Linotype" w:cs="Arial"/>
          <w:lang w:val="es-ES"/>
        </w:rPr>
        <w:footnoteReference w:id="2"/>
      </w:r>
      <w:r w:rsidRPr="00EA05B0">
        <w:rPr>
          <w:rFonts w:ascii="Palatino Linotype" w:eastAsia="Calibri" w:hAnsi="Palatino Linotype" w:cs="Arial"/>
          <w:lang w:val="es-ES"/>
        </w:rPr>
        <w:t xml:space="preserve"> señala que </w:t>
      </w:r>
      <w:r w:rsidRPr="00EA05B0">
        <w:rPr>
          <w:rFonts w:ascii="Palatino Linotype" w:hAnsi="Palatino Linotype" w:cs="Times New Roman"/>
          <w:lang w:val="es-ES"/>
        </w:rPr>
        <w:t xml:space="preserve">el proceso tiene una estructura esencialmente igual en todas las </w:t>
      </w:r>
      <w:r w:rsidRPr="00EA05B0">
        <w:rPr>
          <w:rFonts w:ascii="Palatino Linotype" w:hAnsi="Palatino Linotype" w:cs="Times New Roman"/>
          <w:lang w:val="es-ES"/>
        </w:rPr>
        <w:lastRenderedPageBreak/>
        <w:t>discipli</w:t>
      </w:r>
      <w:r w:rsidRPr="00EA05B0">
        <w:rPr>
          <w:rFonts w:ascii="Palatino Linotype" w:hAnsi="Palatino Linotype" w:cs="Times New Roman"/>
          <w:bCs/>
          <w:lang w:val="es-ES"/>
        </w:rPr>
        <w:t>nas procesales: "</w:t>
      </w:r>
      <w:r w:rsidRPr="00EA05B0">
        <w:rPr>
          <w:rFonts w:ascii="Palatino Linotype" w:hAnsi="Palatino Linotype" w:cs="Times New Roman"/>
          <w:bCs/>
          <w:i/>
          <w:lang w:val="es-ES"/>
        </w:rPr>
        <w:t>Todo proceso, afirma Alcalá-Zamora, arranca de un presu</w:t>
      </w:r>
      <w:r w:rsidRPr="00EA05B0">
        <w:rPr>
          <w:rFonts w:ascii="Palatino Linotype" w:hAnsi="Palatino Linotype" w:cs="Times New Roman"/>
          <w:i/>
          <w:lang w:val="es-ES"/>
        </w:rPr>
        <w:t>puesto (litigio), se desenvuelve a lo largo de un recorrido (procedimiento) y persigue alcanzar una meta (sentencia), de la que cabe derive un complemento</w:t>
      </w:r>
      <w:r w:rsidRPr="00EA05B0">
        <w:rPr>
          <w:rFonts w:ascii="Palatino Linotype" w:eastAsia="Calibri" w:hAnsi="Palatino Linotype" w:cs="Arial"/>
          <w:i/>
          <w:lang w:val="es-ES"/>
        </w:rPr>
        <w:t xml:space="preserve"> </w:t>
      </w:r>
      <w:r w:rsidRPr="00EA05B0">
        <w:rPr>
          <w:rFonts w:ascii="Palatino Linotype" w:hAnsi="Palatino Linotype" w:cs="Times New Roman"/>
          <w:i/>
          <w:lang w:val="es-ES"/>
        </w:rPr>
        <w:t>(ejecución)”</w:t>
      </w:r>
      <w:r w:rsidRPr="00EA05B0">
        <w:rPr>
          <w:rStyle w:val="Refdenotaalpie"/>
          <w:rFonts w:ascii="Palatino Linotype" w:hAnsi="Palatino Linotype" w:cs="Times New Roman"/>
          <w:i/>
          <w:lang w:val="es-ES"/>
        </w:rPr>
        <w:footnoteReference w:id="3"/>
      </w:r>
    </w:p>
    <w:p w14:paraId="749D2C8A"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7AE8839B" w14:textId="413A2E79"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Una </w:t>
      </w:r>
      <w:r w:rsidRPr="00EA05B0">
        <w:rPr>
          <w:rFonts w:ascii="Palatino Linotype" w:hAnsi="Palatino Linotype" w:cs="Times New Roman"/>
          <w:lang w:val="es-ES"/>
        </w:rPr>
        <w:t>vez señaladas las definiciones que hacen los doctrinarios respecto al proceso, se entiende como tal a un conjunto de procedimientos o actos concatenados cuyo fin es dirimir una controversia mediante una resolución o sentencia que pone fin al juicio.</w:t>
      </w:r>
    </w:p>
    <w:p w14:paraId="4CC28FBC"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3BB2FCCA" w14:textId="3025851E"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Ahora </w:t>
      </w:r>
      <w:r w:rsidRPr="00EA05B0">
        <w:rPr>
          <w:rFonts w:ascii="Palatino Linotype" w:hAnsi="Palatino Linotype" w:cs="Times New Roman"/>
          <w:lang w:val="es-ES"/>
        </w:rPr>
        <w:t>bien, se debe hacer la distinción entre una resolución administrativa y una resolución judicial:</w:t>
      </w:r>
    </w:p>
    <w:p w14:paraId="113121FF" w14:textId="77777777" w:rsidR="006418E9" w:rsidRPr="00EA05B0" w:rsidRDefault="006418E9" w:rsidP="006418E9">
      <w:pPr>
        <w:pStyle w:val="Sinespaciado"/>
        <w:ind w:left="851" w:right="567"/>
        <w:jc w:val="both"/>
        <w:rPr>
          <w:rFonts w:ascii="Palatino Linotype" w:hAnsi="Palatino Linotype"/>
          <w:i/>
          <w:sz w:val="22"/>
          <w:szCs w:val="22"/>
          <w:lang w:val="es-ES"/>
        </w:rPr>
      </w:pPr>
      <w:r w:rsidRPr="00EA05B0">
        <w:rPr>
          <w:rFonts w:ascii="Palatino Linotype" w:hAnsi="Palatino Linotype"/>
          <w:b/>
          <w:i/>
          <w:sz w:val="22"/>
          <w:szCs w:val="22"/>
          <w:lang w:val="es-ES"/>
        </w:rPr>
        <w:t>Resolución administrativa.</w:t>
      </w:r>
      <w:r w:rsidRPr="00EA05B0">
        <w:rPr>
          <w:rFonts w:ascii="Palatino Linotype" w:hAnsi="Palatino Linotype"/>
          <w:i/>
          <w:sz w:val="22"/>
          <w:szCs w:val="22"/>
          <w:lang w:val="es-ES"/>
        </w:rPr>
        <w:t xml:space="preserve"> </w:t>
      </w:r>
      <w:r w:rsidRPr="00EA05B0">
        <w:rPr>
          <w:rFonts w:ascii="Palatino Linotype" w:hAnsi="Palatino Linotype" w:cs="Arial"/>
          <w:i/>
          <w:sz w:val="22"/>
          <w:szCs w:val="22"/>
          <w:lang w:val="es-ES"/>
        </w:rPr>
        <w:t xml:space="preserve">l. </w:t>
      </w:r>
      <w:r w:rsidRPr="00EA05B0">
        <w:rPr>
          <w:rFonts w:ascii="Palatino Linotype" w:hAnsi="Palatino Linotype"/>
          <w:b/>
          <w:i/>
          <w:sz w:val="22"/>
          <w:szCs w:val="22"/>
          <w:u w:val="single"/>
          <w:lang w:val="es-ES"/>
        </w:rPr>
        <w:t>Es el acto de autoridad administrativa</w:t>
      </w:r>
      <w:r w:rsidRPr="00EA05B0">
        <w:rPr>
          <w:rFonts w:ascii="Palatino Linotype" w:hAnsi="Palatino Linotype"/>
          <w:i/>
          <w:sz w:val="22"/>
          <w:szCs w:val="22"/>
          <w:lang w:val="es-ES"/>
        </w:rPr>
        <w:t xml:space="preserve"> que define o </w:t>
      </w:r>
      <w:r w:rsidRPr="00EA05B0">
        <w:rPr>
          <w:rFonts w:ascii="Palatino Linotype" w:hAnsi="Palatino Linotype" w:cs="Arial"/>
          <w:i/>
          <w:sz w:val="22"/>
          <w:szCs w:val="22"/>
          <w:lang w:val="es-ES"/>
        </w:rPr>
        <w:t xml:space="preserve">da </w:t>
      </w:r>
      <w:r w:rsidRPr="00EA05B0">
        <w:rPr>
          <w:rFonts w:ascii="Palatino Linotype" w:hAnsi="Palatino Linotype"/>
          <w:i/>
          <w:sz w:val="22"/>
          <w:szCs w:val="22"/>
          <w:lang w:val="es-ES"/>
        </w:rPr>
        <w:t>certeza a una situación legal o administrativa. Las leyes pueden ser provisionales o definitivas. Las primeras son las que requieren de otra u otras intervenciones administrativas para producir efectos legales y las segundas los producen por sí sin necesidad de otro acto de autoridad.</w:t>
      </w:r>
    </w:p>
    <w:p w14:paraId="17184536" w14:textId="77777777" w:rsidR="006418E9" w:rsidRPr="00EA05B0" w:rsidRDefault="006418E9" w:rsidP="006418E9">
      <w:pPr>
        <w:pStyle w:val="Sinespaciado"/>
        <w:ind w:left="851" w:right="567"/>
        <w:jc w:val="both"/>
        <w:rPr>
          <w:rFonts w:ascii="Palatino Linotype" w:hAnsi="Palatino Linotype"/>
          <w:i/>
          <w:sz w:val="22"/>
          <w:szCs w:val="22"/>
          <w:lang w:val="es-ES"/>
        </w:rPr>
      </w:pPr>
    </w:p>
    <w:p w14:paraId="5F1104D3" w14:textId="24F1F8F3" w:rsidR="00A63CC8" w:rsidRPr="00EA05B0" w:rsidRDefault="006418E9" w:rsidP="006418E9">
      <w:pPr>
        <w:pStyle w:val="Sinespaciado"/>
        <w:ind w:left="851" w:right="567"/>
        <w:jc w:val="both"/>
        <w:rPr>
          <w:rFonts w:ascii="Palatino Linotype" w:hAnsi="Palatino Linotype"/>
          <w:i/>
          <w:color w:val="000000"/>
          <w:sz w:val="22"/>
          <w:szCs w:val="22"/>
        </w:rPr>
      </w:pPr>
      <w:r w:rsidRPr="00EA05B0">
        <w:rPr>
          <w:rFonts w:ascii="Palatino Linotype" w:hAnsi="Palatino Linotype"/>
          <w:b/>
          <w:i/>
          <w:sz w:val="22"/>
          <w:szCs w:val="22"/>
          <w:lang w:val="es-ES"/>
        </w:rPr>
        <w:t>Resoluciones judiciales.</w:t>
      </w:r>
      <w:r w:rsidRPr="00EA05B0">
        <w:rPr>
          <w:rFonts w:ascii="Palatino Linotype" w:hAnsi="Palatino Linotype"/>
          <w:i/>
          <w:sz w:val="22"/>
          <w:szCs w:val="22"/>
          <w:lang w:val="es-ES"/>
        </w:rPr>
        <w:t xml:space="preserve"> l. Son los pronunciamientos de los jueces y tribunales a través de los cuales acuerdan determinaciones de trámite o deciden cuestiones planteadas por las partes, incluyendo la resolución del fondo del conflicto.</w:t>
      </w:r>
      <w:r w:rsidRPr="00EA05B0">
        <w:rPr>
          <w:rStyle w:val="Refdenotaalpie"/>
          <w:rFonts w:ascii="Palatino Linotype" w:hAnsi="Palatino Linotype" w:cs="Times New Roman"/>
          <w:i/>
          <w:sz w:val="22"/>
          <w:szCs w:val="22"/>
          <w:lang w:val="es-ES"/>
        </w:rPr>
        <w:footnoteReference w:id="4"/>
      </w:r>
    </w:p>
    <w:p w14:paraId="2A709702" w14:textId="77777777" w:rsidR="006418E9" w:rsidRPr="00EA05B0" w:rsidRDefault="006418E9" w:rsidP="00A63CC8">
      <w:pPr>
        <w:pStyle w:val="Prrafodelista"/>
        <w:spacing w:before="240" w:after="240" w:line="360" w:lineRule="auto"/>
        <w:ind w:left="426"/>
        <w:jc w:val="both"/>
        <w:rPr>
          <w:rFonts w:ascii="Palatino Linotype" w:hAnsi="Palatino Linotype"/>
          <w:color w:val="000000"/>
        </w:rPr>
      </w:pPr>
    </w:p>
    <w:p w14:paraId="66CB2870" w14:textId="6D9CAF41"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Es </w:t>
      </w:r>
      <w:r w:rsidRPr="00EA05B0">
        <w:rPr>
          <w:rFonts w:ascii="Palatino Linotype" w:eastAsia="Calibri" w:hAnsi="Palatino Linotype" w:cs="Arial"/>
          <w:lang w:val="es-ES"/>
        </w:rPr>
        <w:t xml:space="preserve">así que de acuerdo al </w:t>
      </w:r>
      <w:r w:rsidRPr="00EA05B0">
        <w:rPr>
          <w:rFonts w:ascii="Palatino Linotype" w:hAnsi="Palatino Linotype"/>
          <w:b/>
        </w:rPr>
        <w:t xml:space="preserve">Código de Procedimientos Administrativos del Estado de México </w:t>
      </w:r>
      <w:r w:rsidRPr="00EA05B0">
        <w:rPr>
          <w:rFonts w:ascii="Palatino Linotype" w:hAnsi="Palatino Linotype"/>
        </w:rPr>
        <w:t xml:space="preserve">también existe diferencia entre procedimiento administrativo y proceso administrativo siendo el primero respecto del cual el </w:t>
      </w:r>
      <w:r w:rsidRPr="00EA05B0">
        <w:rPr>
          <w:rFonts w:ascii="Palatino Linotype" w:hAnsi="Palatino Linotype"/>
          <w:b/>
        </w:rPr>
        <w:t>SUJETO OBLIGADO</w:t>
      </w:r>
      <w:r w:rsidRPr="00EA05B0">
        <w:rPr>
          <w:rFonts w:ascii="Palatino Linotype" w:hAnsi="Palatino Linotype"/>
        </w:rPr>
        <w:t xml:space="preserve"> tiene competencia como autoridad y en el segundo como parte, tal como se puede observar en su artículo primero fracciones IX y X  que a continuación se citan:</w:t>
      </w:r>
    </w:p>
    <w:p w14:paraId="1317A14C" w14:textId="29B4325B" w:rsidR="006418E9" w:rsidRPr="00EA05B0" w:rsidRDefault="006418E9" w:rsidP="006418E9">
      <w:pPr>
        <w:pStyle w:val="Sinespaciado"/>
        <w:ind w:left="851" w:right="567"/>
        <w:jc w:val="both"/>
        <w:rPr>
          <w:rFonts w:ascii="Palatino Linotype" w:eastAsia="Calibri" w:hAnsi="Palatino Linotype" w:cs="Arial"/>
          <w:i/>
          <w:sz w:val="22"/>
          <w:lang w:val="es-ES"/>
        </w:rPr>
      </w:pPr>
      <w:r w:rsidRPr="00EA05B0">
        <w:rPr>
          <w:rFonts w:ascii="Palatino Linotype" w:hAnsi="Palatino Linotype"/>
          <w:i/>
          <w:sz w:val="22"/>
        </w:rPr>
        <w:t>“</w:t>
      </w:r>
      <w:r w:rsidRPr="00EA05B0">
        <w:rPr>
          <w:rFonts w:ascii="Palatino Linotype" w:hAnsi="Palatino Linotype"/>
          <w:b/>
          <w:i/>
          <w:sz w:val="22"/>
        </w:rPr>
        <w:t>Artículo 1.</w:t>
      </w:r>
      <w:r w:rsidRPr="00EA05B0">
        <w:rPr>
          <w:rFonts w:ascii="Palatino Linotype" w:hAnsi="Palatino Linotype"/>
          <w:i/>
          <w:sz w:val="22"/>
        </w:rPr>
        <w:t xml:space="preserve">- Las disposiciones de este Código son de orden público e interés general y tienen por objeto regular </w:t>
      </w:r>
      <w:r w:rsidRPr="00EA05B0">
        <w:rPr>
          <w:rFonts w:ascii="Palatino Linotype" w:hAnsi="Palatino Linotype"/>
          <w:b/>
          <w:i/>
          <w:sz w:val="22"/>
          <w:u w:val="single"/>
        </w:rPr>
        <w:t>el acto y el procedimiento administrativo</w:t>
      </w:r>
      <w:r w:rsidRPr="00EA05B0">
        <w:rPr>
          <w:rFonts w:ascii="Palatino Linotype" w:hAnsi="Palatino Linotype"/>
          <w:i/>
          <w:sz w:val="22"/>
        </w:rPr>
        <w:t xml:space="preserve"> ante las autoridades del Poder Ejecutivo del Estado, </w:t>
      </w:r>
      <w:r w:rsidRPr="00EA05B0">
        <w:rPr>
          <w:rFonts w:ascii="Palatino Linotype" w:hAnsi="Palatino Linotype"/>
          <w:b/>
          <w:i/>
          <w:sz w:val="22"/>
        </w:rPr>
        <w:t xml:space="preserve">los municipios </w:t>
      </w:r>
      <w:r w:rsidRPr="00EA05B0">
        <w:rPr>
          <w:rFonts w:ascii="Palatino Linotype" w:hAnsi="Palatino Linotype"/>
          <w:i/>
          <w:sz w:val="22"/>
        </w:rPr>
        <w:t xml:space="preserve">y los organismos descentralizados de carácter estatal y </w:t>
      </w:r>
      <w:r w:rsidRPr="00EA05B0">
        <w:rPr>
          <w:rFonts w:ascii="Palatino Linotype" w:hAnsi="Palatino Linotype"/>
          <w:b/>
          <w:i/>
          <w:sz w:val="22"/>
        </w:rPr>
        <w:t>municipal</w:t>
      </w:r>
      <w:r w:rsidRPr="00EA05B0">
        <w:rPr>
          <w:rFonts w:ascii="Palatino Linotype" w:hAnsi="Palatino Linotype"/>
          <w:i/>
          <w:sz w:val="22"/>
        </w:rPr>
        <w:t xml:space="preserve"> con funciones de autoridad, así como el proceso administrativo ante el Tribunal de lo Contencioso Administrativo del Estado de México. Salvo disposición expresa en contrario, el presente ordenamiento no es aplicable a los integrantes de la Legislatura del Estado de México, a la Universidad Autónoma del Estado de México, a la Comisión de Derechos Humanos del Estado de México, a la Comisión de Arbitraje Médico del Estado de México, a los consejos tutelares de menores, a las materias laboral y electoral, ni a los conflictos suscitados entre los integrantes de los ayuntamientos, y por la elección de las autoridades auxiliares municipales. Para efectos de este Código, se entiende por:</w:t>
      </w:r>
    </w:p>
    <w:p w14:paraId="0C938F25" w14:textId="77777777" w:rsidR="006418E9" w:rsidRPr="00EA05B0" w:rsidRDefault="006418E9" w:rsidP="006418E9">
      <w:pPr>
        <w:pStyle w:val="Sinespaciado"/>
        <w:ind w:left="851" w:right="567"/>
        <w:jc w:val="both"/>
        <w:rPr>
          <w:rFonts w:ascii="Palatino Linotype" w:eastAsia="Calibri" w:hAnsi="Palatino Linotype" w:cs="Arial"/>
          <w:i/>
          <w:sz w:val="22"/>
          <w:lang w:val="es-ES"/>
        </w:rPr>
      </w:pPr>
      <w:r w:rsidRPr="00EA05B0">
        <w:rPr>
          <w:rFonts w:ascii="Palatino Linotype" w:hAnsi="Palatino Linotype"/>
          <w:i/>
          <w:sz w:val="22"/>
        </w:rPr>
        <w:t>(…)</w:t>
      </w:r>
    </w:p>
    <w:p w14:paraId="13E735B4" w14:textId="77777777" w:rsidR="006418E9" w:rsidRPr="00EA05B0" w:rsidRDefault="006418E9" w:rsidP="006418E9">
      <w:pPr>
        <w:pStyle w:val="Sinespaciado"/>
        <w:ind w:left="851" w:right="567"/>
        <w:jc w:val="both"/>
        <w:rPr>
          <w:rFonts w:ascii="Palatino Linotype" w:hAnsi="Palatino Linotype"/>
          <w:i/>
          <w:sz w:val="22"/>
        </w:rPr>
      </w:pPr>
      <w:r w:rsidRPr="00EA05B0">
        <w:rPr>
          <w:rFonts w:ascii="Palatino Linotype" w:hAnsi="Palatino Linotype"/>
          <w:b/>
          <w:i/>
          <w:sz w:val="22"/>
        </w:rPr>
        <w:t>IX. Procedimiento administrativo</w:t>
      </w:r>
      <w:r w:rsidRPr="00EA05B0">
        <w:rPr>
          <w:rFonts w:ascii="Palatino Linotype" w:hAnsi="Palatino Linotype"/>
          <w:i/>
          <w:sz w:val="22"/>
        </w:rPr>
        <w:t xml:space="preserve">: Serie de trámites que realizan las dependencias y organismos descentralizados de la administración pública estatal o municipal, con la finalidad de producir y, en su caso, ejecutar un acto administrativo; </w:t>
      </w:r>
    </w:p>
    <w:p w14:paraId="68517F58" w14:textId="77777777" w:rsidR="006418E9" w:rsidRPr="00EA05B0" w:rsidRDefault="006418E9" w:rsidP="006418E9">
      <w:pPr>
        <w:pStyle w:val="Sinespaciado"/>
        <w:ind w:left="851" w:right="567"/>
        <w:jc w:val="both"/>
        <w:rPr>
          <w:rFonts w:ascii="Palatino Linotype" w:hAnsi="Palatino Linotype"/>
          <w:i/>
          <w:sz w:val="22"/>
        </w:rPr>
      </w:pPr>
      <w:r w:rsidRPr="00EA05B0">
        <w:rPr>
          <w:rFonts w:ascii="Palatino Linotype" w:hAnsi="Palatino Linotype"/>
          <w:b/>
          <w:i/>
          <w:sz w:val="22"/>
        </w:rPr>
        <w:t>X. Proceso administrativo:</w:t>
      </w:r>
      <w:r w:rsidRPr="00EA05B0">
        <w:rPr>
          <w:rFonts w:ascii="Palatino Linotype" w:hAnsi="Palatino Linotype"/>
          <w:i/>
          <w:sz w:val="22"/>
        </w:rPr>
        <w:t xml:space="preserve"> Serie de etapas del juicio contencioso administrativo, la acción popular, el recurso de revisión y el cumplimiento de sentencia;</w:t>
      </w:r>
    </w:p>
    <w:p w14:paraId="2AF2F137" w14:textId="10759BDB" w:rsidR="00A63CC8" w:rsidRPr="00EA05B0" w:rsidRDefault="006418E9" w:rsidP="006418E9">
      <w:pPr>
        <w:pStyle w:val="Sinespaciado"/>
        <w:ind w:left="851" w:right="567"/>
        <w:jc w:val="both"/>
        <w:rPr>
          <w:rFonts w:ascii="Palatino Linotype" w:hAnsi="Palatino Linotype"/>
          <w:i/>
          <w:color w:val="000000"/>
          <w:sz w:val="22"/>
        </w:rPr>
      </w:pPr>
      <w:r w:rsidRPr="00EA05B0">
        <w:rPr>
          <w:rFonts w:ascii="Palatino Linotype" w:hAnsi="Palatino Linotype"/>
          <w:i/>
          <w:sz w:val="22"/>
        </w:rPr>
        <w:t>(…)”</w:t>
      </w:r>
    </w:p>
    <w:p w14:paraId="2EFC4534" w14:textId="77777777" w:rsidR="006418E9" w:rsidRPr="00EA05B0" w:rsidRDefault="006418E9" w:rsidP="00A63CC8">
      <w:pPr>
        <w:pStyle w:val="Prrafodelista"/>
        <w:spacing w:before="240" w:after="240" w:line="360" w:lineRule="auto"/>
        <w:ind w:left="426"/>
        <w:jc w:val="both"/>
        <w:rPr>
          <w:rFonts w:ascii="Palatino Linotype" w:hAnsi="Palatino Linotype"/>
          <w:color w:val="000000"/>
        </w:rPr>
      </w:pPr>
    </w:p>
    <w:p w14:paraId="69CC773B" w14:textId="7A98D92C"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Robustece </w:t>
      </w:r>
      <w:r w:rsidRPr="00EA05B0">
        <w:rPr>
          <w:rFonts w:ascii="Palatino Linotype" w:hAnsi="Palatino Linotype"/>
        </w:rPr>
        <w:t xml:space="preserve">lo anteriormente expuesto la siguiente tesis jurisprudencial número 182261. I.9o.C.27 K, de la Novena Época, publicada en el Semanario Judicial de la Federación y su Gaceta Tomo XIX, Febrero de 2004, Pág. 973, </w:t>
      </w:r>
      <w:r w:rsidRPr="00EA05B0">
        <w:rPr>
          <w:rFonts w:ascii="Palatino Linotype" w:eastAsia="Times New Roman" w:hAnsi="Palatino Linotype" w:cs="Arial"/>
          <w:color w:val="000000" w:themeColor="text1"/>
          <w:lang w:val="es-ES"/>
        </w:rPr>
        <w:t>que lleva por rubro y texto los siguientes:</w:t>
      </w:r>
    </w:p>
    <w:p w14:paraId="22E01C29" w14:textId="77777777" w:rsidR="006418E9" w:rsidRPr="00EA05B0" w:rsidRDefault="006418E9" w:rsidP="006418E9">
      <w:pPr>
        <w:pStyle w:val="Sinespaciado"/>
        <w:ind w:left="851" w:right="567"/>
        <w:jc w:val="both"/>
        <w:rPr>
          <w:rFonts w:ascii="Palatino Linotype" w:hAnsi="Palatino Linotype"/>
          <w:i/>
          <w:sz w:val="22"/>
          <w:szCs w:val="22"/>
        </w:rPr>
      </w:pPr>
      <w:r w:rsidRPr="00EA05B0">
        <w:rPr>
          <w:rFonts w:ascii="Palatino Linotype" w:hAnsi="Palatino Linotype"/>
          <w:b/>
          <w:i/>
          <w:sz w:val="22"/>
          <w:szCs w:val="22"/>
        </w:rPr>
        <w:lastRenderedPageBreak/>
        <w:t>ACTOS ADMINISTRATIVOS Y JURISDICCIONALES. SUS DIFERENCIAS.</w:t>
      </w:r>
      <w:r w:rsidRPr="00EA05B0">
        <w:rPr>
          <w:rFonts w:ascii="Palatino Linotype" w:hAnsi="Palatino Linotype"/>
          <w:i/>
          <w:sz w:val="22"/>
          <w:szCs w:val="22"/>
        </w:rPr>
        <w:t xml:space="preserve"> En materia administrativa los actos son dictados en forma unilateral por la autoridad y no siempre se tramitan mediante un procedimiento; por tanto, no existe una verdadera controversia entre la autoridad y un particular. En algunos casos, la autoridad administrativa da inicio al procedimiento a través de una orden dirigida al particular, quien debe acatarla o combatirla a través del juicio de nulidad o del recurso que prevea la ley que rige a ese acto. En cambio, en el ámbito jurisdiccional la autoridad es sólo mediadora en la controversia suscitada entre los particulares, y el procedimiento se lleva a cabo a través de una serie de actos concatenados que son provocados por las propias partes en el proceso, es decir, un procedimiento jurisdiccional inicia con la presentación de la demanda y culmina con la sentencia definitiva, y se forma con una serie de etapas que prevé la ley adjetiva y que sujeta a los particulares; es decir, la presentación de la demanda trae como consecuencia que se lleve a cabo el emplazamiento de la contraparte; el ofrecimiento de pruebas trae como consecuencia su admisión y desahogo; sin embargo, puede suceder que una vez presentada la demanda no se lleve a cabo el emplazamiento, en virtud de que el actor desista de la acción o de la instancia; asimismo, el ofrecimiento de pruebas no implica necesariamente su admisión y desahogo, porque las partes podrían desistir del ofrecimiento o no realizar los actos necesarios para su desahogo. </w:t>
      </w:r>
    </w:p>
    <w:p w14:paraId="25C25DB9" w14:textId="77777777" w:rsidR="006418E9" w:rsidRPr="00EA05B0" w:rsidRDefault="006418E9" w:rsidP="006418E9">
      <w:pPr>
        <w:pStyle w:val="Sinespaciado"/>
        <w:ind w:left="851" w:right="567"/>
        <w:jc w:val="both"/>
        <w:rPr>
          <w:rFonts w:ascii="Palatino Linotype" w:hAnsi="Palatino Linotype"/>
          <w:i/>
          <w:sz w:val="22"/>
          <w:szCs w:val="22"/>
        </w:rPr>
      </w:pPr>
    </w:p>
    <w:p w14:paraId="451C874C" w14:textId="0AA51874" w:rsidR="00A63CC8" w:rsidRPr="00EA05B0" w:rsidRDefault="006418E9" w:rsidP="006418E9">
      <w:pPr>
        <w:pStyle w:val="Sinespaciado"/>
        <w:ind w:left="851" w:right="567"/>
        <w:jc w:val="both"/>
        <w:rPr>
          <w:rFonts w:ascii="Palatino Linotype" w:hAnsi="Palatino Linotype"/>
          <w:i/>
          <w:color w:val="000000"/>
          <w:sz w:val="22"/>
          <w:szCs w:val="22"/>
        </w:rPr>
      </w:pPr>
      <w:r w:rsidRPr="00EA05B0">
        <w:rPr>
          <w:rFonts w:ascii="Palatino Linotype" w:hAnsi="Palatino Linotype"/>
          <w:i/>
          <w:sz w:val="22"/>
          <w:szCs w:val="22"/>
        </w:rPr>
        <w:t>NOVENO TRIBUNAL COLEGIADO EN MATERIA CIVIL DEL PRIMER CIRCUITO. Amparo en revisión 4079/2003. Lucila Pilar Araiza Rivero. 6 de enero de 2004. Unanimidad de votos. Ponente: Ana María Serrano Oseguera. Secretaria: Margarita Bertha Velasco Rodríguez.</w:t>
      </w:r>
      <w:r w:rsidRPr="00EA05B0">
        <w:rPr>
          <w:rStyle w:val="Refdenotaalpie"/>
          <w:rFonts w:ascii="Palatino Linotype" w:hAnsi="Palatino Linotype"/>
          <w:i/>
          <w:sz w:val="22"/>
          <w:szCs w:val="22"/>
        </w:rPr>
        <w:footnoteReference w:id="5"/>
      </w:r>
    </w:p>
    <w:p w14:paraId="54D07401" w14:textId="77777777" w:rsidR="006418E9" w:rsidRPr="00EA05B0" w:rsidRDefault="006418E9" w:rsidP="00A63CC8">
      <w:pPr>
        <w:pStyle w:val="Prrafodelista"/>
        <w:spacing w:before="240" w:after="240" w:line="360" w:lineRule="auto"/>
        <w:ind w:left="426"/>
        <w:jc w:val="both"/>
        <w:rPr>
          <w:rFonts w:ascii="Palatino Linotype" w:hAnsi="Palatino Linotype"/>
          <w:color w:val="000000"/>
        </w:rPr>
      </w:pPr>
    </w:p>
    <w:p w14:paraId="7DD5EF38" w14:textId="169A0914"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Una vez señalada la diferencia entre los actos administrativos y los jurisdiccionales, es importante establecer ahora la naturaleza jurídica de los lados laborales.</w:t>
      </w:r>
    </w:p>
    <w:p w14:paraId="727F50EA"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2F9D96D9" w14:textId="708D8D28" w:rsidR="00A63CC8" w:rsidRPr="00EA05B0" w:rsidRDefault="006418E9"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Se </w:t>
      </w:r>
      <w:r w:rsidRPr="00EA05B0">
        <w:rPr>
          <w:rFonts w:ascii="Palatino Linotype" w:hAnsi="Palatino Linotype"/>
        </w:rPr>
        <w:t>advierte el contenido previsto en los artículos</w:t>
      </w:r>
      <w:r w:rsidRPr="00EA05B0">
        <w:rPr>
          <w:rFonts w:ascii="Palatino Linotype" w:hAnsi="Palatino Linotype" w:cs="Arial"/>
        </w:rPr>
        <w:t xml:space="preserve"> 123 apartado A fracción XX de la </w:t>
      </w:r>
      <w:r w:rsidRPr="00EA05B0">
        <w:rPr>
          <w:rFonts w:ascii="Palatino Linotype" w:hAnsi="Palatino Linotype" w:cs="Arial"/>
          <w:b/>
        </w:rPr>
        <w:t>Constitución Política de los Estados Unidos Mexicanos</w:t>
      </w:r>
      <w:r w:rsidRPr="00EA05B0">
        <w:rPr>
          <w:rFonts w:ascii="Palatino Linotype" w:hAnsi="Palatino Linotype" w:cs="Arial"/>
        </w:rPr>
        <w:t xml:space="preserve">, 621 de la </w:t>
      </w:r>
      <w:r w:rsidRPr="00EA05B0">
        <w:rPr>
          <w:rFonts w:ascii="Palatino Linotype" w:hAnsi="Palatino Linotype" w:cs="Arial"/>
          <w:b/>
        </w:rPr>
        <w:t>Ley Federal del Trabajo</w:t>
      </w:r>
      <w:r w:rsidRPr="00EA05B0">
        <w:rPr>
          <w:rFonts w:ascii="Palatino Linotype" w:hAnsi="Palatino Linotype" w:cs="Arial"/>
        </w:rPr>
        <w:t xml:space="preserve">, 27, 28 fracciones I y VII, 41, 43 y 44 de la </w:t>
      </w:r>
      <w:r w:rsidRPr="00EA05B0">
        <w:rPr>
          <w:rFonts w:ascii="Palatino Linotype" w:hAnsi="Palatino Linotype" w:cs="Arial"/>
          <w:b/>
        </w:rPr>
        <w:t>Ley Orgánica de la Administración Pública del Estado de México</w:t>
      </w:r>
      <w:r w:rsidRPr="00EA05B0">
        <w:rPr>
          <w:rFonts w:ascii="Palatino Linotype" w:hAnsi="Palatino Linotype" w:cs="Arial"/>
        </w:rPr>
        <w:t xml:space="preserve">, 2 del </w:t>
      </w:r>
      <w:r w:rsidRPr="00EA05B0">
        <w:rPr>
          <w:rFonts w:ascii="Palatino Linotype" w:hAnsi="Palatino Linotype" w:cs="Arial"/>
          <w:b/>
        </w:rPr>
        <w:t xml:space="preserve">Reglamento Interior de la Junta Local de Conciliación y Arbitraje </w:t>
      </w:r>
      <w:r w:rsidRPr="00EA05B0">
        <w:rPr>
          <w:rFonts w:ascii="Palatino Linotype" w:hAnsi="Palatino Linotype"/>
          <w:b/>
        </w:rPr>
        <w:t>del Valle Cuautitlán Texcoco</w:t>
      </w:r>
      <w:r w:rsidRPr="00EA05B0">
        <w:rPr>
          <w:rFonts w:ascii="Palatino Linotype" w:hAnsi="Palatino Linotype" w:cs="Arial"/>
        </w:rPr>
        <w:t xml:space="preserve">, así como los sub apartados de Definiciones del </w:t>
      </w:r>
      <w:r w:rsidRPr="00EA05B0">
        <w:rPr>
          <w:rFonts w:ascii="Palatino Linotype" w:hAnsi="Palatino Linotype" w:cs="Arial"/>
          <w:lang w:val="es-MX" w:eastAsia="es-MX"/>
        </w:rPr>
        <w:t>Apartado IV. Descripción de los Procedimientos del Manual de Procedimientos de la Junta Local de Conciliación y Arbitraje Valle de Toluca, que literalmente señalan:</w:t>
      </w:r>
    </w:p>
    <w:p w14:paraId="21E867E4" w14:textId="77777777" w:rsidR="006418E9" w:rsidRPr="00EA05B0" w:rsidRDefault="006418E9" w:rsidP="006418E9">
      <w:pPr>
        <w:pStyle w:val="Sinespaciado"/>
        <w:ind w:left="851" w:right="567"/>
        <w:jc w:val="center"/>
        <w:rPr>
          <w:rFonts w:ascii="Palatino Linotype" w:hAnsi="Palatino Linotype"/>
          <w:b/>
          <w:i/>
          <w:sz w:val="22"/>
          <w:lang w:eastAsia="es-MX"/>
        </w:rPr>
      </w:pPr>
      <w:r w:rsidRPr="00EA05B0">
        <w:rPr>
          <w:rFonts w:ascii="Palatino Linotype" w:hAnsi="Palatino Linotype"/>
          <w:b/>
          <w:i/>
          <w:sz w:val="22"/>
          <w:lang w:eastAsia="es-MX"/>
        </w:rPr>
        <w:t>Constitución Política de los Estados Unidos Mexicanos</w:t>
      </w:r>
    </w:p>
    <w:p w14:paraId="6BE65A63" w14:textId="77777777" w:rsidR="006418E9" w:rsidRPr="00EA05B0" w:rsidRDefault="006418E9" w:rsidP="006418E9">
      <w:pPr>
        <w:pStyle w:val="Sinespaciado"/>
        <w:ind w:left="851" w:right="567"/>
        <w:jc w:val="both"/>
        <w:rPr>
          <w:rFonts w:ascii="Palatino Linotype" w:hAnsi="Palatino Linotype"/>
          <w:i/>
          <w:sz w:val="16"/>
          <w:lang w:eastAsia="es-MX"/>
        </w:rPr>
      </w:pPr>
    </w:p>
    <w:p w14:paraId="7F266985" w14:textId="7A271368" w:rsidR="006418E9" w:rsidRPr="00EA05B0" w:rsidRDefault="000E387E" w:rsidP="006418E9">
      <w:pPr>
        <w:pStyle w:val="Sinespaciado"/>
        <w:ind w:left="851" w:right="567"/>
        <w:jc w:val="both"/>
        <w:rPr>
          <w:rFonts w:ascii="Palatino Linotype" w:hAnsi="Palatino Linotype"/>
          <w:i/>
          <w:sz w:val="22"/>
          <w:lang w:eastAsia="es-MX"/>
        </w:rPr>
      </w:pPr>
      <w:r w:rsidRPr="00EA05B0">
        <w:rPr>
          <w:rFonts w:ascii="Palatino Linotype" w:hAnsi="Palatino Linotype"/>
          <w:b/>
          <w:i/>
          <w:sz w:val="22"/>
          <w:lang w:eastAsia="es-MX"/>
        </w:rPr>
        <w:t>“</w:t>
      </w:r>
      <w:r w:rsidR="006418E9" w:rsidRPr="00EA05B0">
        <w:rPr>
          <w:rFonts w:ascii="Palatino Linotype" w:hAnsi="Palatino Linotype"/>
          <w:b/>
          <w:i/>
          <w:sz w:val="22"/>
          <w:lang w:eastAsia="es-MX"/>
        </w:rPr>
        <w:t>Artículo 123.</w:t>
      </w:r>
      <w:r w:rsidR="006418E9" w:rsidRPr="00EA05B0">
        <w:rPr>
          <w:rFonts w:ascii="Palatino Linotype" w:hAnsi="Palatino Linotype"/>
          <w:i/>
          <w:sz w:val="22"/>
          <w:lang w:eastAsia="es-MX"/>
        </w:rPr>
        <w:t xml:space="preserve"> Toda persona tiene derecho al trabajo digno y socialmente útil; al efecto, se promoverán la creación de empleos y la organización social de trabajo, conforme a la ley.</w:t>
      </w:r>
    </w:p>
    <w:p w14:paraId="7FAB0055"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El Congreso de la Unión, sin contravenir a las bases siguientes deberá expedir leyes sobre el trabajo, las cuales regirán:</w:t>
      </w:r>
    </w:p>
    <w:p w14:paraId="5E38C82B" w14:textId="09B1AB8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A. Entre los obreros, jornaleros, empleados domésticos, artesanos y de una manera general, todo contrato de trabajo:</w:t>
      </w:r>
    </w:p>
    <w:p w14:paraId="319AE600" w14:textId="7AE2F928" w:rsidR="000E387E" w:rsidRPr="00EA05B0" w:rsidRDefault="000E387E"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w:t>
      </w:r>
    </w:p>
    <w:p w14:paraId="43640D3C" w14:textId="3714BCC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b/>
          <w:i/>
          <w:sz w:val="22"/>
          <w:u w:val="single"/>
          <w:lang w:eastAsia="es-MX"/>
        </w:rPr>
        <w:t xml:space="preserve">XX. </w:t>
      </w:r>
      <w:r w:rsidRPr="00EA05B0">
        <w:rPr>
          <w:rFonts w:ascii="Palatino Linotype" w:hAnsi="Palatino Linotype"/>
          <w:b/>
          <w:i/>
          <w:sz w:val="22"/>
          <w:u w:val="single"/>
          <w:lang w:eastAsia="es-MX"/>
        </w:rPr>
        <w:tab/>
        <w:t>Las diferencias o los conflictos entre el capital y el trabajo, se sujetarán a la decisión de una Junta de Conciliación y Arbitraje</w:t>
      </w:r>
      <w:r w:rsidRPr="00EA05B0">
        <w:rPr>
          <w:rFonts w:ascii="Palatino Linotype" w:hAnsi="Palatino Linotype"/>
          <w:i/>
          <w:sz w:val="22"/>
          <w:lang w:eastAsia="es-MX"/>
        </w:rPr>
        <w:t>, formada por igual número de representantes de los obreros y de los patronos, y uno del Gobierno.</w:t>
      </w:r>
      <w:r w:rsidR="000E387E" w:rsidRPr="00EA05B0">
        <w:rPr>
          <w:rFonts w:ascii="Palatino Linotype" w:hAnsi="Palatino Linotype"/>
          <w:i/>
          <w:sz w:val="22"/>
          <w:lang w:eastAsia="es-MX"/>
        </w:rPr>
        <w:t>”</w:t>
      </w:r>
    </w:p>
    <w:p w14:paraId="705C9B0C" w14:textId="77777777" w:rsidR="006418E9" w:rsidRPr="00EA05B0" w:rsidRDefault="006418E9" w:rsidP="006418E9">
      <w:pPr>
        <w:pStyle w:val="Sinespaciado"/>
        <w:ind w:left="851" w:right="567"/>
        <w:jc w:val="both"/>
        <w:rPr>
          <w:rFonts w:ascii="Palatino Linotype" w:hAnsi="Palatino Linotype"/>
          <w:i/>
          <w:sz w:val="18"/>
        </w:rPr>
      </w:pPr>
    </w:p>
    <w:p w14:paraId="2BB51CE9" w14:textId="77777777" w:rsidR="006418E9" w:rsidRPr="00EA05B0" w:rsidRDefault="006418E9" w:rsidP="006418E9">
      <w:pPr>
        <w:pStyle w:val="Sinespaciado"/>
        <w:ind w:left="851" w:right="567"/>
        <w:jc w:val="center"/>
        <w:rPr>
          <w:rFonts w:ascii="Palatino Linotype" w:hAnsi="Palatino Linotype"/>
          <w:b/>
          <w:i/>
          <w:sz w:val="22"/>
          <w:lang w:eastAsia="es-MX"/>
        </w:rPr>
      </w:pPr>
      <w:r w:rsidRPr="00EA05B0">
        <w:rPr>
          <w:rFonts w:ascii="Palatino Linotype" w:hAnsi="Palatino Linotype"/>
          <w:b/>
          <w:i/>
          <w:sz w:val="22"/>
          <w:lang w:eastAsia="es-MX"/>
        </w:rPr>
        <w:t>Ley Federal del Trabajo</w:t>
      </w:r>
    </w:p>
    <w:p w14:paraId="5E22F2BB" w14:textId="77777777" w:rsidR="006418E9" w:rsidRPr="00EA05B0" w:rsidRDefault="006418E9" w:rsidP="006418E9">
      <w:pPr>
        <w:pStyle w:val="Sinespaciado"/>
        <w:ind w:left="851" w:right="567"/>
        <w:jc w:val="both"/>
        <w:rPr>
          <w:rFonts w:ascii="Palatino Linotype" w:hAnsi="Palatino Linotype"/>
          <w:i/>
          <w:sz w:val="22"/>
          <w:lang w:eastAsia="es-MX"/>
        </w:rPr>
      </w:pPr>
    </w:p>
    <w:p w14:paraId="7DC6D2D6"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w:t>
      </w:r>
      <w:r w:rsidRPr="00EA05B0">
        <w:rPr>
          <w:rFonts w:ascii="Palatino Linotype" w:hAnsi="Palatino Linotype"/>
          <w:b/>
          <w:i/>
          <w:sz w:val="22"/>
          <w:lang w:eastAsia="es-MX"/>
        </w:rPr>
        <w:t>Artículo 621.-</w:t>
      </w:r>
      <w:r w:rsidRPr="00EA05B0">
        <w:rPr>
          <w:rFonts w:ascii="Palatino Linotype" w:hAnsi="Palatino Linotype"/>
          <w:i/>
          <w:sz w:val="22"/>
          <w:lang w:eastAsia="es-MX"/>
        </w:rPr>
        <w:t xml:space="preserve"> </w:t>
      </w:r>
      <w:r w:rsidRPr="00EA05B0">
        <w:rPr>
          <w:rFonts w:ascii="Palatino Linotype" w:hAnsi="Palatino Linotype"/>
          <w:b/>
          <w:i/>
          <w:sz w:val="22"/>
          <w:u w:val="single"/>
          <w:lang w:eastAsia="es-MX"/>
        </w:rPr>
        <w:t>Las Juntas Locales de Conciliación y Arbitraje funcionarán en cada una de las Entidades Federativas</w:t>
      </w:r>
      <w:r w:rsidRPr="00EA05B0">
        <w:rPr>
          <w:rFonts w:ascii="Palatino Linotype" w:hAnsi="Palatino Linotype"/>
          <w:b/>
          <w:i/>
          <w:sz w:val="22"/>
          <w:lang w:eastAsia="es-MX"/>
        </w:rPr>
        <w:t>.</w:t>
      </w:r>
      <w:r w:rsidRPr="00EA05B0">
        <w:rPr>
          <w:rFonts w:ascii="Palatino Linotype" w:hAnsi="Palatino Linotype"/>
          <w:i/>
          <w:sz w:val="22"/>
          <w:lang w:eastAsia="es-MX"/>
        </w:rPr>
        <w:t xml:space="preserve"> Les corresponde el conocimiento y resolución de los conflictos de trabajo que no sean de la competencia de la Junta Federal de Conciliación y Arbitraje.”</w:t>
      </w:r>
    </w:p>
    <w:p w14:paraId="4F9352F4" w14:textId="77777777" w:rsidR="006418E9" w:rsidRPr="00EA05B0" w:rsidRDefault="006418E9" w:rsidP="006418E9">
      <w:pPr>
        <w:pStyle w:val="Sinespaciado"/>
        <w:ind w:left="851" w:right="567"/>
        <w:jc w:val="both"/>
        <w:rPr>
          <w:rFonts w:ascii="Palatino Linotype" w:hAnsi="Palatino Linotype"/>
          <w:i/>
          <w:sz w:val="22"/>
          <w:lang w:eastAsia="es-MX"/>
        </w:rPr>
      </w:pPr>
    </w:p>
    <w:p w14:paraId="61E2342E" w14:textId="77777777" w:rsidR="006418E9" w:rsidRPr="00EA05B0" w:rsidRDefault="006418E9" w:rsidP="006418E9">
      <w:pPr>
        <w:pStyle w:val="Sinespaciado"/>
        <w:ind w:left="851" w:right="567"/>
        <w:jc w:val="center"/>
        <w:rPr>
          <w:rFonts w:ascii="Palatino Linotype" w:hAnsi="Palatino Linotype"/>
          <w:b/>
          <w:i/>
          <w:sz w:val="22"/>
          <w:lang w:eastAsia="es-MX"/>
        </w:rPr>
      </w:pPr>
      <w:r w:rsidRPr="00EA05B0">
        <w:rPr>
          <w:rFonts w:ascii="Palatino Linotype" w:hAnsi="Palatino Linotype"/>
          <w:b/>
          <w:i/>
          <w:sz w:val="22"/>
          <w:lang w:eastAsia="es-MX"/>
        </w:rPr>
        <w:t>Ley Orgánica de la Administración Pública del Estado de México</w:t>
      </w:r>
    </w:p>
    <w:p w14:paraId="3DF8A4E0" w14:textId="77777777" w:rsidR="006418E9" w:rsidRPr="00EA05B0" w:rsidRDefault="006418E9" w:rsidP="006418E9">
      <w:pPr>
        <w:pStyle w:val="Sinespaciado"/>
        <w:ind w:left="851" w:right="567"/>
        <w:jc w:val="both"/>
        <w:rPr>
          <w:rFonts w:ascii="Palatino Linotype" w:hAnsi="Palatino Linotype"/>
          <w:i/>
          <w:sz w:val="22"/>
          <w:lang w:eastAsia="es-MX"/>
        </w:rPr>
      </w:pPr>
    </w:p>
    <w:p w14:paraId="06D9E8E4" w14:textId="4C678EE1" w:rsidR="006418E9" w:rsidRPr="00EA05B0" w:rsidRDefault="000E387E" w:rsidP="006418E9">
      <w:pPr>
        <w:pStyle w:val="Sinespaciado"/>
        <w:ind w:left="851" w:right="567"/>
        <w:jc w:val="both"/>
        <w:rPr>
          <w:rFonts w:ascii="Palatino Linotype" w:hAnsi="Palatino Linotype"/>
          <w:b/>
          <w:i/>
          <w:sz w:val="22"/>
          <w:lang w:eastAsia="es-MX"/>
        </w:rPr>
      </w:pPr>
      <w:r w:rsidRPr="00EA05B0">
        <w:rPr>
          <w:rFonts w:ascii="Palatino Linotype" w:hAnsi="Palatino Linotype"/>
          <w:b/>
          <w:i/>
          <w:sz w:val="22"/>
          <w:lang w:eastAsia="es-MX"/>
        </w:rPr>
        <w:t>“</w:t>
      </w:r>
      <w:r w:rsidR="006418E9" w:rsidRPr="00EA05B0">
        <w:rPr>
          <w:rFonts w:ascii="Palatino Linotype" w:hAnsi="Palatino Linotype"/>
          <w:b/>
          <w:i/>
          <w:sz w:val="22"/>
          <w:lang w:eastAsia="es-MX"/>
        </w:rPr>
        <w:t xml:space="preserve">Artículo 27.- </w:t>
      </w:r>
      <w:r w:rsidR="006418E9" w:rsidRPr="00EA05B0">
        <w:rPr>
          <w:rFonts w:ascii="Palatino Linotype" w:hAnsi="Palatino Linotype"/>
          <w:b/>
          <w:i/>
          <w:sz w:val="22"/>
          <w:u w:val="single"/>
          <w:lang w:eastAsia="es-MX"/>
        </w:rPr>
        <w:t>La Secretaría del Trabajo, es el órgano encargado de ejercer las atribuciones que en materia de trabajo corresponden al Ejecutivo del Estado</w:t>
      </w:r>
      <w:r w:rsidR="006418E9" w:rsidRPr="00EA05B0">
        <w:rPr>
          <w:rFonts w:ascii="Palatino Linotype" w:hAnsi="Palatino Linotype"/>
          <w:b/>
          <w:i/>
          <w:sz w:val="22"/>
          <w:lang w:eastAsia="es-MX"/>
        </w:rPr>
        <w:t>.</w:t>
      </w:r>
    </w:p>
    <w:p w14:paraId="70C81930" w14:textId="77777777" w:rsidR="006418E9" w:rsidRPr="00EA05B0" w:rsidRDefault="006418E9" w:rsidP="006418E9">
      <w:pPr>
        <w:pStyle w:val="Sinespaciado"/>
        <w:ind w:left="851" w:right="567"/>
        <w:jc w:val="both"/>
        <w:rPr>
          <w:rFonts w:ascii="Palatino Linotype" w:hAnsi="Palatino Linotype"/>
          <w:i/>
          <w:sz w:val="22"/>
          <w:lang w:eastAsia="es-MX"/>
        </w:rPr>
      </w:pPr>
    </w:p>
    <w:p w14:paraId="477B46A4" w14:textId="77777777" w:rsidR="006418E9" w:rsidRPr="00EA05B0" w:rsidRDefault="006418E9" w:rsidP="006418E9">
      <w:pPr>
        <w:pStyle w:val="Sinespaciado"/>
        <w:ind w:left="851" w:right="567"/>
        <w:jc w:val="both"/>
        <w:rPr>
          <w:rFonts w:ascii="Palatino Linotype" w:hAnsi="Palatino Linotype"/>
          <w:b/>
          <w:i/>
          <w:sz w:val="22"/>
          <w:lang w:eastAsia="es-MX"/>
        </w:rPr>
      </w:pPr>
      <w:r w:rsidRPr="00EA05B0">
        <w:rPr>
          <w:rFonts w:ascii="Palatino Linotype" w:hAnsi="Palatino Linotype"/>
          <w:b/>
          <w:i/>
          <w:sz w:val="22"/>
          <w:u w:val="single"/>
          <w:lang w:eastAsia="es-MX"/>
        </w:rPr>
        <w:t>Artículo 28.- A la Secretaría del Trabajo, corresponde el despacho de los siguientes asuntos</w:t>
      </w:r>
      <w:r w:rsidRPr="00EA05B0">
        <w:rPr>
          <w:rFonts w:ascii="Palatino Linotype" w:hAnsi="Palatino Linotype"/>
          <w:b/>
          <w:i/>
          <w:sz w:val="22"/>
          <w:lang w:eastAsia="es-MX"/>
        </w:rPr>
        <w:t>:</w:t>
      </w:r>
    </w:p>
    <w:p w14:paraId="5F51D353" w14:textId="77777777" w:rsidR="006418E9" w:rsidRPr="00EA05B0" w:rsidRDefault="006418E9" w:rsidP="006418E9">
      <w:pPr>
        <w:pStyle w:val="Sinespaciado"/>
        <w:ind w:left="851" w:right="567"/>
        <w:jc w:val="both"/>
        <w:rPr>
          <w:rFonts w:ascii="Palatino Linotype" w:hAnsi="Palatino Linotype"/>
          <w:i/>
          <w:sz w:val="22"/>
          <w:lang w:eastAsia="es-MX"/>
        </w:rPr>
      </w:pPr>
    </w:p>
    <w:p w14:paraId="6124F782" w14:textId="77777777" w:rsidR="006418E9" w:rsidRPr="00EA05B0" w:rsidRDefault="006418E9" w:rsidP="006418E9">
      <w:pPr>
        <w:pStyle w:val="Sinespaciado"/>
        <w:ind w:left="851" w:right="567"/>
        <w:jc w:val="both"/>
        <w:rPr>
          <w:rFonts w:ascii="Palatino Linotype" w:hAnsi="Palatino Linotype"/>
          <w:b/>
          <w:i/>
          <w:sz w:val="22"/>
          <w:lang w:eastAsia="es-MX"/>
        </w:rPr>
      </w:pPr>
      <w:r w:rsidRPr="00EA05B0">
        <w:rPr>
          <w:rFonts w:ascii="Palatino Linotype" w:hAnsi="Palatino Linotype"/>
          <w:b/>
          <w:i/>
          <w:sz w:val="22"/>
          <w:u w:val="single"/>
          <w:lang w:eastAsia="es-MX"/>
        </w:rPr>
        <w:t>I. Ejercer las funciones que en materia de trabajo correspondan al Ejecutivo del Estado</w:t>
      </w:r>
      <w:r w:rsidRPr="00EA05B0">
        <w:rPr>
          <w:rFonts w:ascii="Palatino Linotype" w:hAnsi="Palatino Linotype"/>
          <w:b/>
          <w:i/>
          <w:sz w:val="22"/>
          <w:lang w:eastAsia="es-MX"/>
        </w:rPr>
        <w:t>.</w:t>
      </w:r>
    </w:p>
    <w:p w14:paraId="1C29049D" w14:textId="654331A6" w:rsidR="000E387E" w:rsidRPr="00EA05B0" w:rsidRDefault="000E387E"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w:t>
      </w:r>
    </w:p>
    <w:p w14:paraId="623826B1"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b/>
          <w:i/>
          <w:sz w:val="22"/>
          <w:lang w:eastAsia="es-MX"/>
        </w:rPr>
        <w:t>VII.</w:t>
      </w:r>
      <w:r w:rsidRPr="00EA05B0">
        <w:rPr>
          <w:rFonts w:ascii="Palatino Linotype" w:hAnsi="Palatino Linotype"/>
          <w:i/>
          <w:sz w:val="22"/>
          <w:lang w:eastAsia="es-MX"/>
        </w:rPr>
        <w:t xml:space="preserve"> Mediar y conciliar, a petición de parte en los conflictos que surjan de presuntas violaciones a la Ley o a los contratos colectivos de trabajo.</w:t>
      </w:r>
    </w:p>
    <w:p w14:paraId="1F3146CB" w14:textId="77777777" w:rsidR="006418E9" w:rsidRPr="00EA05B0" w:rsidRDefault="006418E9" w:rsidP="006418E9">
      <w:pPr>
        <w:pStyle w:val="Sinespaciado"/>
        <w:ind w:left="851" w:right="567"/>
        <w:jc w:val="both"/>
        <w:rPr>
          <w:rFonts w:ascii="Palatino Linotype" w:hAnsi="Palatino Linotype"/>
          <w:i/>
          <w:sz w:val="18"/>
          <w:lang w:eastAsia="es-MX"/>
        </w:rPr>
      </w:pPr>
    </w:p>
    <w:p w14:paraId="4075A234"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CAPITULO CUARTO</w:t>
      </w:r>
    </w:p>
    <w:p w14:paraId="7BDC712A"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i/>
          <w:sz w:val="22"/>
          <w:lang w:eastAsia="es-MX"/>
        </w:rPr>
        <w:t>De los Tribunales Administrativos</w:t>
      </w:r>
    </w:p>
    <w:p w14:paraId="52EE5503" w14:textId="77777777" w:rsidR="006418E9" w:rsidRPr="00EA05B0" w:rsidRDefault="006418E9" w:rsidP="006418E9">
      <w:pPr>
        <w:pStyle w:val="Sinespaciado"/>
        <w:ind w:left="851" w:right="567"/>
        <w:jc w:val="both"/>
        <w:rPr>
          <w:rFonts w:ascii="Palatino Linotype" w:hAnsi="Palatino Linotype"/>
          <w:i/>
          <w:sz w:val="22"/>
          <w:lang w:eastAsia="es-MX"/>
        </w:rPr>
      </w:pPr>
    </w:p>
    <w:p w14:paraId="1C403E91"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b/>
          <w:i/>
          <w:sz w:val="22"/>
          <w:lang w:eastAsia="es-MX"/>
        </w:rPr>
        <w:t>Artículo 41.-</w:t>
      </w:r>
      <w:r w:rsidRPr="00EA05B0">
        <w:rPr>
          <w:rFonts w:ascii="Palatino Linotype" w:hAnsi="Palatino Linotype"/>
          <w:i/>
          <w:sz w:val="22"/>
          <w:lang w:eastAsia="es-MX"/>
        </w:rPr>
        <w:t xml:space="preserve"> Para resolver los conflictos que se presenten en las relaciones laborales entre el Estado y sus Trabajadores, entre patrones y sus trabajadores, y entre la Administración Pública y los particulares, existirán un Tribunal de Arbitraje</w:t>
      </w:r>
      <w:r w:rsidRPr="00EA05B0">
        <w:rPr>
          <w:rFonts w:ascii="Palatino Linotype" w:hAnsi="Palatino Linotype"/>
          <w:b/>
          <w:i/>
          <w:sz w:val="22"/>
          <w:lang w:eastAsia="es-MX"/>
        </w:rPr>
        <w:t xml:space="preserve">, </w:t>
      </w:r>
      <w:r w:rsidRPr="00EA05B0">
        <w:rPr>
          <w:rFonts w:ascii="Palatino Linotype" w:hAnsi="Palatino Linotype"/>
          <w:b/>
          <w:i/>
          <w:sz w:val="22"/>
          <w:u w:val="single"/>
          <w:lang w:eastAsia="es-MX"/>
        </w:rPr>
        <w:t>una Junta Local de Conciliación y Arbitraje</w:t>
      </w:r>
      <w:r w:rsidRPr="00EA05B0">
        <w:rPr>
          <w:rFonts w:ascii="Palatino Linotype" w:hAnsi="Palatino Linotype"/>
          <w:i/>
          <w:sz w:val="22"/>
          <w:lang w:eastAsia="es-MX"/>
        </w:rPr>
        <w:t xml:space="preserve"> y un Tribunal de lo Contencioso Administrativo, este último autónomo e independiente de cualquier autoridad administrativa.</w:t>
      </w:r>
    </w:p>
    <w:p w14:paraId="67ACF86C" w14:textId="77777777" w:rsidR="006418E9" w:rsidRPr="00EA05B0" w:rsidRDefault="006418E9" w:rsidP="006418E9">
      <w:pPr>
        <w:pStyle w:val="Sinespaciado"/>
        <w:ind w:left="851" w:right="567"/>
        <w:jc w:val="both"/>
        <w:rPr>
          <w:rFonts w:ascii="Palatino Linotype" w:hAnsi="Palatino Linotype"/>
          <w:b/>
          <w:i/>
          <w:sz w:val="22"/>
          <w:lang w:eastAsia="es-MX"/>
        </w:rPr>
      </w:pPr>
      <w:r w:rsidRPr="00EA05B0">
        <w:rPr>
          <w:rFonts w:ascii="Palatino Linotype" w:hAnsi="Palatino Linotype"/>
          <w:b/>
          <w:i/>
          <w:sz w:val="22"/>
          <w:lang w:eastAsia="es-MX"/>
        </w:rPr>
        <w:t>Artículo 43.-</w:t>
      </w:r>
      <w:r w:rsidRPr="00EA05B0">
        <w:rPr>
          <w:rFonts w:ascii="Palatino Linotype" w:hAnsi="Palatino Linotype"/>
          <w:i/>
          <w:sz w:val="22"/>
          <w:lang w:eastAsia="es-MX"/>
        </w:rPr>
        <w:t xml:space="preserve"> Para el ejercicio de sus funciones, </w:t>
      </w:r>
      <w:r w:rsidRPr="00EA05B0">
        <w:rPr>
          <w:rFonts w:ascii="Palatino Linotype" w:hAnsi="Palatino Linotype"/>
          <w:b/>
          <w:i/>
          <w:sz w:val="22"/>
          <w:u w:val="single"/>
          <w:lang w:eastAsia="es-MX"/>
        </w:rPr>
        <w:t>estos Tribunales contarán con el apoyo administrativo del Poder Ejecutivo del Estado</w:t>
      </w:r>
      <w:r w:rsidRPr="00EA05B0">
        <w:rPr>
          <w:rFonts w:ascii="Palatino Linotype" w:hAnsi="Palatino Linotype"/>
          <w:b/>
          <w:i/>
          <w:sz w:val="22"/>
          <w:lang w:eastAsia="es-MX"/>
        </w:rPr>
        <w:t>.</w:t>
      </w:r>
    </w:p>
    <w:p w14:paraId="71C32677" w14:textId="77777777" w:rsidR="006418E9" w:rsidRPr="00EA05B0" w:rsidRDefault="006418E9" w:rsidP="006418E9">
      <w:pPr>
        <w:pStyle w:val="Sinespaciado"/>
        <w:ind w:left="851" w:right="567"/>
        <w:jc w:val="both"/>
        <w:rPr>
          <w:rFonts w:ascii="Palatino Linotype" w:hAnsi="Palatino Linotype"/>
          <w:i/>
          <w:sz w:val="22"/>
          <w:lang w:eastAsia="es-MX"/>
        </w:rPr>
      </w:pPr>
    </w:p>
    <w:p w14:paraId="66A79E43" w14:textId="77777777" w:rsidR="006418E9" w:rsidRPr="00EA05B0" w:rsidRDefault="006418E9" w:rsidP="006418E9">
      <w:pPr>
        <w:pStyle w:val="Sinespaciado"/>
        <w:ind w:left="851" w:right="567"/>
        <w:jc w:val="both"/>
        <w:rPr>
          <w:rFonts w:ascii="Palatino Linotype" w:hAnsi="Palatino Linotype"/>
          <w:i/>
          <w:sz w:val="22"/>
          <w:lang w:eastAsia="es-MX"/>
        </w:rPr>
      </w:pPr>
      <w:r w:rsidRPr="00EA05B0">
        <w:rPr>
          <w:rFonts w:ascii="Palatino Linotype" w:hAnsi="Palatino Linotype"/>
          <w:b/>
          <w:i/>
          <w:sz w:val="22"/>
          <w:lang w:eastAsia="es-MX"/>
        </w:rPr>
        <w:t xml:space="preserve">Artículo 44.- </w:t>
      </w:r>
      <w:r w:rsidRPr="00EA05B0">
        <w:rPr>
          <w:rFonts w:ascii="Palatino Linotype" w:hAnsi="Palatino Linotype"/>
          <w:b/>
          <w:i/>
          <w:sz w:val="22"/>
          <w:u w:val="single"/>
          <w:lang w:eastAsia="es-MX"/>
        </w:rPr>
        <w:t>La organización, integración y atribuciones de los Tribunales Administrativos, se regirá por la Legislación correspondiente</w:t>
      </w:r>
      <w:r w:rsidRPr="00EA05B0">
        <w:rPr>
          <w:rFonts w:ascii="Palatino Linotype" w:hAnsi="Palatino Linotype"/>
          <w:b/>
          <w:i/>
          <w:sz w:val="22"/>
          <w:lang w:eastAsia="es-MX"/>
        </w:rPr>
        <w:t>.</w:t>
      </w:r>
      <w:r w:rsidRPr="00EA05B0">
        <w:rPr>
          <w:rFonts w:ascii="Palatino Linotype" w:hAnsi="Palatino Linotype"/>
          <w:i/>
          <w:sz w:val="22"/>
          <w:lang w:eastAsia="es-MX"/>
        </w:rPr>
        <w:t>”</w:t>
      </w:r>
    </w:p>
    <w:p w14:paraId="476F5412" w14:textId="77777777" w:rsidR="006418E9" w:rsidRPr="00EA05B0" w:rsidRDefault="006418E9" w:rsidP="006418E9">
      <w:pPr>
        <w:pStyle w:val="Sinespaciado"/>
        <w:ind w:left="851" w:right="567"/>
        <w:jc w:val="both"/>
        <w:rPr>
          <w:rFonts w:ascii="Palatino Linotype" w:hAnsi="Palatino Linotype"/>
          <w:i/>
          <w:sz w:val="22"/>
          <w:lang w:eastAsia="es-MX"/>
        </w:rPr>
      </w:pPr>
    </w:p>
    <w:p w14:paraId="7C661C14" w14:textId="77777777" w:rsidR="000E387E" w:rsidRPr="00EA05B0" w:rsidRDefault="000E387E" w:rsidP="000E387E">
      <w:pPr>
        <w:pStyle w:val="Sinespaciado"/>
        <w:ind w:left="851" w:right="567"/>
        <w:jc w:val="center"/>
        <w:rPr>
          <w:rFonts w:ascii="Palatino Linotype" w:hAnsi="Palatino Linotype"/>
          <w:b/>
          <w:i/>
          <w:sz w:val="22"/>
        </w:rPr>
      </w:pPr>
      <w:r w:rsidRPr="00EA05B0">
        <w:rPr>
          <w:rFonts w:ascii="Palatino Linotype" w:hAnsi="Palatino Linotype"/>
          <w:b/>
          <w:i/>
          <w:sz w:val="22"/>
        </w:rPr>
        <w:t>REGLAMENTO INTERIOR DE LA JUNTA LOCAL DE CONCILIACIÓN</w:t>
      </w:r>
    </w:p>
    <w:p w14:paraId="1E70D39D" w14:textId="6972FBE2" w:rsidR="000E387E" w:rsidRPr="00EA05B0" w:rsidRDefault="000E387E" w:rsidP="000E387E">
      <w:pPr>
        <w:pStyle w:val="Sinespaciado"/>
        <w:ind w:left="851" w:right="567"/>
        <w:jc w:val="center"/>
        <w:rPr>
          <w:rFonts w:ascii="Palatino Linotype" w:hAnsi="Palatino Linotype"/>
          <w:b/>
          <w:i/>
          <w:sz w:val="22"/>
        </w:rPr>
      </w:pPr>
      <w:r w:rsidRPr="00EA05B0">
        <w:rPr>
          <w:rFonts w:ascii="Palatino Linotype" w:hAnsi="Palatino Linotype"/>
          <w:b/>
          <w:i/>
          <w:sz w:val="22"/>
        </w:rPr>
        <w:t>Y ARBITRAJE DEL VALLE DE TOLUCA</w:t>
      </w:r>
      <w:r w:rsidRPr="00EA05B0">
        <w:rPr>
          <w:rFonts w:ascii="Palatino Linotype" w:hAnsi="Palatino Linotype"/>
          <w:b/>
          <w:i/>
          <w:sz w:val="22"/>
        </w:rPr>
        <w:cr/>
      </w:r>
    </w:p>
    <w:p w14:paraId="7FEC5B37" w14:textId="65AD837F" w:rsidR="000E387E" w:rsidRPr="00EA05B0" w:rsidRDefault="000E387E" w:rsidP="000E387E">
      <w:pPr>
        <w:pStyle w:val="Sinespaciado"/>
        <w:ind w:left="851" w:right="567"/>
        <w:jc w:val="both"/>
        <w:rPr>
          <w:rFonts w:ascii="Palatino Linotype" w:hAnsi="Palatino Linotype"/>
          <w:i/>
          <w:sz w:val="22"/>
        </w:rPr>
      </w:pPr>
      <w:r w:rsidRPr="00EA05B0">
        <w:rPr>
          <w:rFonts w:ascii="Palatino Linotype" w:hAnsi="Palatino Linotype"/>
          <w:b/>
          <w:i/>
          <w:sz w:val="22"/>
        </w:rPr>
        <w:t>“ARTICULO 2°.-</w:t>
      </w:r>
      <w:r w:rsidRPr="00EA05B0">
        <w:rPr>
          <w:rFonts w:ascii="Palatino Linotype" w:hAnsi="Palatino Linotype"/>
          <w:i/>
          <w:sz w:val="22"/>
        </w:rPr>
        <w:t xml:space="preserve"> La Junta Local de Conciliación y Arbitraje del Valle de Toluca funcionará con plena jurisdicción en los municipios de </w:t>
      </w:r>
      <w:proofErr w:type="spellStart"/>
      <w:r w:rsidRPr="00EA05B0">
        <w:rPr>
          <w:rFonts w:ascii="Palatino Linotype" w:hAnsi="Palatino Linotype"/>
          <w:i/>
          <w:sz w:val="22"/>
        </w:rPr>
        <w:t>Acambay</w:t>
      </w:r>
      <w:proofErr w:type="spellEnd"/>
      <w:r w:rsidRPr="00EA05B0">
        <w:rPr>
          <w:rFonts w:ascii="Palatino Linotype" w:hAnsi="Palatino Linotype"/>
          <w:i/>
          <w:sz w:val="22"/>
        </w:rPr>
        <w:t xml:space="preserve">, Aculco, Almoloya de </w:t>
      </w:r>
      <w:proofErr w:type="spellStart"/>
      <w:r w:rsidRPr="00EA05B0">
        <w:rPr>
          <w:rFonts w:ascii="Palatino Linotype" w:hAnsi="Palatino Linotype"/>
          <w:i/>
          <w:sz w:val="22"/>
        </w:rPr>
        <w:t>Alquisiras</w:t>
      </w:r>
      <w:proofErr w:type="spellEnd"/>
      <w:r w:rsidRPr="00EA05B0">
        <w:rPr>
          <w:rFonts w:ascii="Palatino Linotype" w:hAnsi="Palatino Linotype"/>
          <w:i/>
          <w:sz w:val="22"/>
        </w:rPr>
        <w:t xml:space="preserve">, Almoloya de Juárez, </w:t>
      </w:r>
      <w:r w:rsidRPr="00EA05B0">
        <w:rPr>
          <w:rFonts w:ascii="Palatino Linotype" w:hAnsi="Palatino Linotype"/>
          <w:b/>
          <w:i/>
          <w:sz w:val="22"/>
          <w:u w:val="single"/>
        </w:rPr>
        <w:t>Almoloya del Río</w:t>
      </w:r>
      <w:r w:rsidRPr="00EA05B0">
        <w:rPr>
          <w:rFonts w:ascii="Palatino Linotype" w:hAnsi="Palatino Linotype"/>
          <w:i/>
          <w:sz w:val="22"/>
        </w:rPr>
        <w:t xml:space="preserve">, </w:t>
      </w:r>
      <w:proofErr w:type="spellStart"/>
      <w:r w:rsidRPr="00EA05B0">
        <w:rPr>
          <w:rFonts w:ascii="Palatino Linotype" w:hAnsi="Palatino Linotype"/>
          <w:i/>
          <w:sz w:val="22"/>
        </w:rPr>
        <w:t>Amanalco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Amatepec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Atizapan</w:t>
      </w:r>
      <w:proofErr w:type="spellEnd"/>
      <w:r w:rsidRPr="00EA05B0">
        <w:rPr>
          <w:rFonts w:ascii="Palatino Linotype" w:hAnsi="Palatino Linotype"/>
          <w:i/>
          <w:sz w:val="22"/>
        </w:rPr>
        <w:t xml:space="preserve">, Atlacomulco, </w:t>
      </w:r>
      <w:proofErr w:type="spellStart"/>
      <w:r w:rsidRPr="00EA05B0">
        <w:rPr>
          <w:rFonts w:ascii="Palatino Linotype" w:hAnsi="Palatino Linotype"/>
          <w:i/>
          <w:sz w:val="22"/>
        </w:rPr>
        <w:t>Calimaya</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Capuluac</w:t>
      </w:r>
      <w:proofErr w:type="spellEnd"/>
      <w:r w:rsidRPr="00EA05B0">
        <w:rPr>
          <w:rFonts w:ascii="Palatino Linotype" w:hAnsi="Palatino Linotype"/>
          <w:i/>
          <w:sz w:val="22"/>
        </w:rPr>
        <w:t xml:space="preserve">, Chapa de Mota, Chapultepec, Coatepec de Harinas, Donato Guerra, El Oro, Huixquilucan, Ixtapan de la Sal, Ixtapan del Oro, Ixtlahuaca, </w:t>
      </w:r>
      <w:proofErr w:type="spellStart"/>
      <w:r w:rsidRPr="00EA05B0">
        <w:rPr>
          <w:rFonts w:ascii="Palatino Linotype" w:hAnsi="Palatino Linotype"/>
          <w:i/>
          <w:sz w:val="22"/>
        </w:rPr>
        <w:t>Jilotepec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Jiquipilco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Jocotitlán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Joquicingo</w:t>
      </w:r>
      <w:proofErr w:type="spellEnd"/>
      <w:r w:rsidRPr="00EA05B0">
        <w:rPr>
          <w:rFonts w:ascii="Palatino Linotype" w:hAnsi="Palatino Linotype"/>
          <w:i/>
          <w:sz w:val="22"/>
        </w:rPr>
        <w:t xml:space="preserve">, Lerma, </w:t>
      </w:r>
      <w:proofErr w:type="spellStart"/>
      <w:r w:rsidRPr="00EA05B0">
        <w:rPr>
          <w:rFonts w:ascii="Palatino Linotype" w:hAnsi="Palatino Linotype"/>
          <w:i/>
          <w:sz w:val="22"/>
        </w:rPr>
        <w:t>Malinalco</w:t>
      </w:r>
      <w:proofErr w:type="spellEnd"/>
      <w:r w:rsidRPr="00EA05B0">
        <w:rPr>
          <w:rFonts w:ascii="Palatino Linotype" w:hAnsi="Palatino Linotype"/>
          <w:i/>
          <w:sz w:val="22"/>
        </w:rPr>
        <w:t xml:space="preserve">, Metepec, Morelos, </w:t>
      </w:r>
      <w:proofErr w:type="spellStart"/>
      <w:r w:rsidRPr="00EA05B0">
        <w:rPr>
          <w:rFonts w:ascii="Palatino Linotype" w:hAnsi="Palatino Linotype"/>
          <w:i/>
          <w:sz w:val="22"/>
        </w:rPr>
        <w:t>Ocoyoacac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Ocuilan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Otzoloapan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Otzolotepec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Polotitlán</w:t>
      </w:r>
      <w:proofErr w:type="spellEnd"/>
      <w:r w:rsidRPr="00EA05B0">
        <w:rPr>
          <w:rFonts w:ascii="Palatino Linotype" w:hAnsi="Palatino Linotype"/>
          <w:i/>
          <w:sz w:val="22"/>
        </w:rPr>
        <w:t xml:space="preserve">, San Antonio la Isla, San Felipe del Progreso, San Mateo Atenco, San Simón de Guerrero, Santa María Rayón, Santo Tomás de los Plátanos, </w:t>
      </w:r>
      <w:proofErr w:type="spellStart"/>
      <w:r w:rsidRPr="00EA05B0">
        <w:rPr>
          <w:rFonts w:ascii="Palatino Linotype" w:hAnsi="Palatino Linotype"/>
          <w:i/>
          <w:sz w:val="22"/>
        </w:rPr>
        <w:t>Soyaniquilpan</w:t>
      </w:r>
      <w:proofErr w:type="spellEnd"/>
      <w:r w:rsidRPr="00EA05B0">
        <w:rPr>
          <w:rFonts w:ascii="Palatino Linotype" w:hAnsi="Palatino Linotype"/>
          <w:i/>
          <w:sz w:val="22"/>
        </w:rPr>
        <w:t xml:space="preserve">, Sultepec, </w:t>
      </w:r>
      <w:proofErr w:type="spellStart"/>
      <w:r w:rsidRPr="00EA05B0">
        <w:rPr>
          <w:rFonts w:ascii="Palatino Linotype" w:hAnsi="Palatino Linotype"/>
          <w:i/>
          <w:sz w:val="22"/>
        </w:rPr>
        <w:t>Tejupilco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Temascalcingo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Temascaltepec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Temoaya</w:t>
      </w:r>
      <w:proofErr w:type="spellEnd"/>
      <w:r w:rsidRPr="00EA05B0">
        <w:rPr>
          <w:rFonts w:ascii="Palatino Linotype" w:hAnsi="Palatino Linotype"/>
          <w:i/>
          <w:sz w:val="22"/>
        </w:rPr>
        <w:t xml:space="preserve">, Tenancingo, </w:t>
      </w:r>
      <w:proofErr w:type="spellStart"/>
      <w:r w:rsidRPr="00EA05B0">
        <w:rPr>
          <w:rFonts w:ascii="Palatino Linotype" w:hAnsi="Palatino Linotype"/>
          <w:i/>
          <w:sz w:val="22"/>
        </w:rPr>
        <w:t>Tenango</w:t>
      </w:r>
      <w:proofErr w:type="spellEnd"/>
      <w:r w:rsidRPr="00EA05B0">
        <w:rPr>
          <w:rFonts w:ascii="Palatino Linotype" w:hAnsi="Palatino Linotype"/>
          <w:i/>
          <w:sz w:val="22"/>
        </w:rPr>
        <w:t xml:space="preserve"> del Valle, </w:t>
      </w:r>
      <w:proofErr w:type="spellStart"/>
      <w:r w:rsidRPr="00EA05B0">
        <w:rPr>
          <w:rFonts w:ascii="Palatino Linotype" w:hAnsi="Palatino Linotype"/>
          <w:i/>
          <w:sz w:val="22"/>
        </w:rPr>
        <w:t>Texcalyacac</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Texcaltitlán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Tianquistenco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Timilpan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Tlatlaya</w:t>
      </w:r>
      <w:proofErr w:type="spellEnd"/>
      <w:r w:rsidRPr="00EA05B0">
        <w:rPr>
          <w:rFonts w:ascii="Palatino Linotype" w:hAnsi="Palatino Linotype"/>
          <w:i/>
          <w:sz w:val="22"/>
        </w:rPr>
        <w:t xml:space="preserve">, Toluca, </w:t>
      </w:r>
      <w:proofErr w:type="spellStart"/>
      <w:r w:rsidRPr="00EA05B0">
        <w:rPr>
          <w:rFonts w:ascii="Palatino Linotype" w:hAnsi="Palatino Linotype"/>
          <w:i/>
          <w:sz w:val="22"/>
        </w:rPr>
        <w:t>Tonatico</w:t>
      </w:r>
      <w:proofErr w:type="spellEnd"/>
      <w:r w:rsidRPr="00EA05B0">
        <w:rPr>
          <w:rFonts w:ascii="Palatino Linotype" w:hAnsi="Palatino Linotype"/>
          <w:i/>
          <w:sz w:val="22"/>
        </w:rPr>
        <w:t xml:space="preserve">, </w:t>
      </w:r>
      <w:r w:rsidRPr="00EA05B0">
        <w:rPr>
          <w:rFonts w:ascii="Palatino Linotype" w:hAnsi="Palatino Linotype"/>
          <w:i/>
          <w:sz w:val="22"/>
        </w:rPr>
        <w:lastRenderedPageBreak/>
        <w:t xml:space="preserve">Valle de Bravo, Villa de Allende, Villa Guerrero, Villa Victoria, </w:t>
      </w:r>
      <w:proofErr w:type="spellStart"/>
      <w:r w:rsidRPr="00EA05B0">
        <w:rPr>
          <w:rFonts w:ascii="Palatino Linotype" w:hAnsi="Palatino Linotype"/>
          <w:i/>
          <w:sz w:val="22"/>
        </w:rPr>
        <w:t>Xalatlaco</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Xonacatlán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Zacazonapan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Zacoalpan</w:t>
      </w:r>
      <w:proofErr w:type="spellEnd"/>
      <w:r w:rsidRPr="00EA05B0">
        <w:rPr>
          <w:rFonts w:ascii="Palatino Linotype" w:hAnsi="Palatino Linotype"/>
          <w:i/>
          <w:sz w:val="22"/>
        </w:rPr>
        <w:t xml:space="preserve">, </w:t>
      </w:r>
      <w:proofErr w:type="spellStart"/>
      <w:r w:rsidRPr="00EA05B0">
        <w:rPr>
          <w:rFonts w:ascii="Palatino Linotype" w:hAnsi="Palatino Linotype"/>
          <w:i/>
          <w:sz w:val="22"/>
        </w:rPr>
        <w:t>Zinacantepec</w:t>
      </w:r>
      <w:proofErr w:type="spellEnd"/>
      <w:r w:rsidRPr="00EA05B0">
        <w:rPr>
          <w:rFonts w:ascii="Palatino Linotype" w:hAnsi="Palatino Linotype"/>
          <w:i/>
          <w:sz w:val="22"/>
        </w:rPr>
        <w:t xml:space="preserve"> y </w:t>
      </w:r>
      <w:proofErr w:type="spellStart"/>
      <w:r w:rsidRPr="00EA05B0">
        <w:rPr>
          <w:rFonts w:ascii="Palatino Linotype" w:hAnsi="Palatino Linotype"/>
          <w:i/>
          <w:sz w:val="22"/>
        </w:rPr>
        <w:t>Zumpahuacán</w:t>
      </w:r>
      <w:proofErr w:type="spellEnd"/>
      <w:r w:rsidRPr="00EA05B0">
        <w:rPr>
          <w:rFonts w:ascii="Palatino Linotype" w:hAnsi="Palatino Linotype"/>
          <w:i/>
          <w:sz w:val="22"/>
        </w:rPr>
        <w:t>, del Estado de México, teniendo a su cargo la tramitación y decisión de los conflictos de trabajo, que se susciten entre trabajadores y patrones, sólo entre aquellos o sólo entre éstos, derivados de las relaciones de trabajo o de hechos íntimamente ligados con ellas, y de acuerdo con su competencia establecida en la Constitución Política de los Estados Unidos Mexicanos, en la Ley Federal del Trabajo y en la Constitución Política del Estado Libre y Soberano de México.</w:t>
      </w:r>
    </w:p>
    <w:p w14:paraId="784A413C" w14:textId="77777777" w:rsidR="000E387E" w:rsidRPr="00EA05B0" w:rsidRDefault="000E387E" w:rsidP="000E387E">
      <w:pPr>
        <w:pStyle w:val="Sinespaciado"/>
        <w:ind w:left="851" w:right="567"/>
        <w:jc w:val="both"/>
        <w:rPr>
          <w:rFonts w:ascii="Palatino Linotype" w:hAnsi="Palatino Linotype"/>
          <w:i/>
          <w:sz w:val="22"/>
        </w:rPr>
      </w:pPr>
    </w:p>
    <w:p w14:paraId="50B76CF6" w14:textId="7344E33C" w:rsidR="006418E9" w:rsidRPr="00EA05B0" w:rsidRDefault="000E387E" w:rsidP="000E387E">
      <w:pPr>
        <w:pStyle w:val="Sinespaciado"/>
        <w:ind w:left="851" w:right="567"/>
        <w:jc w:val="both"/>
        <w:rPr>
          <w:rFonts w:ascii="Palatino Linotype" w:hAnsi="Palatino Linotype"/>
          <w:i/>
          <w:sz w:val="22"/>
        </w:rPr>
      </w:pPr>
      <w:r w:rsidRPr="00EA05B0">
        <w:rPr>
          <w:rFonts w:ascii="Palatino Linotype" w:hAnsi="Palatino Linotype"/>
          <w:i/>
          <w:sz w:val="22"/>
        </w:rPr>
        <w:t>La Junta Local de Conciliación y Arbitraje del Valle de Toluca dependerá de la Secretaría del Trabajo y de la Previsión Social, para su control y apoyo administrativo en términos de lo dispuesto por los artículos 28 fracción I, 41 y 43 de la Ley Orgánica de la Administración Pública del Estado de México, sin menoscabo de la autonomía jurisdiccional de que goza en la emisión de sus respectivas resoluciones.”</w:t>
      </w:r>
    </w:p>
    <w:p w14:paraId="27DBE93E" w14:textId="77777777" w:rsidR="006418E9" w:rsidRPr="00EA05B0" w:rsidRDefault="006418E9" w:rsidP="006418E9">
      <w:pPr>
        <w:pStyle w:val="Sinespaciado"/>
        <w:ind w:left="851" w:right="567"/>
        <w:jc w:val="both"/>
        <w:rPr>
          <w:rFonts w:ascii="Palatino Linotype" w:hAnsi="Palatino Linotype"/>
          <w:i/>
          <w:sz w:val="22"/>
          <w:lang w:eastAsia="es-MX"/>
        </w:rPr>
      </w:pPr>
    </w:p>
    <w:p w14:paraId="3A8FBB20" w14:textId="34CE63B1" w:rsidR="006418E9" w:rsidRPr="00EA05B0" w:rsidRDefault="006418E9" w:rsidP="006418E9">
      <w:pPr>
        <w:pStyle w:val="Sinespaciado"/>
        <w:ind w:left="851" w:right="567"/>
        <w:jc w:val="center"/>
        <w:rPr>
          <w:rFonts w:ascii="Palatino Linotype" w:hAnsi="Palatino Linotype"/>
          <w:b/>
          <w:i/>
          <w:sz w:val="22"/>
          <w:lang w:eastAsia="es-MX"/>
        </w:rPr>
      </w:pPr>
      <w:r w:rsidRPr="00EA05B0">
        <w:rPr>
          <w:rFonts w:ascii="Palatino Linotype" w:hAnsi="Palatino Linotype"/>
          <w:b/>
          <w:i/>
          <w:sz w:val="22"/>
          <w:lang w:eastAsia="es-MX"/>
        </w:rPr>
        <w:t>Manual de Procedimientos de la Junta Local de Conciliación y Arbitraje Valle de Toluca”</w:t>
      </w:r>
    </w:p>
    <w:p w14:paraId="370A9F08" w14:textId="77777777" w:rsidR="006418E9" w:rsidRPr="00EA05B0" w:rsidRDefault="006418E9" w:rsidP="006418E9">
      <w:pPr>
        <w:pStyle w:val="Sinespaciado"/>
        <w:ind w:left="851" w:right="567"/>
        <w:jc w:val="both"/>
        <w:rPr>
          <w:rFonts w:ascii="Palatino Linotype" w:hAnsi="Palatino Linotype"/>
          <w:i/>
          <w:sz w:val="16"/>
          <w:lang w:eastAsia="es-MX"/>
        </w:rPr>
      </w:pPr>
    </w:p>
    <w:p w14:paraId="195006D7" w14:textId="031E9D7D" w:rsidR="00A63CC8" w:rsidRPr="00EA05B0" w:rsidRDefault="000E387E" w:rsidP="006418E9">
      <w:pPr>
        <w:pStyle w:val="Sinespaciado"/>
        <w:ind w:left="851" w:right="567"/>
        <w:jc w:val="both"/>
        <w:rPr>
          <w:rFonts w:ascii="Palatino Linotype" w:hAnsi="Palatino Linotype"/>
          <w:i/>
          <w:color w:val="000000"/>
          <w:sz w:val="22"/>
        </w:rPr>
      </w:pPr>
      <w:r w:rsidRPr="00EA05B0">
        <w:rPr>
          <w:rFonts w:ascii="Palatino Linotype" w:hAnsi="Palatino Linotype"/>
          <w:sz w:val="22"/>
          <w:lang w:eastAsia="es-MX"/>
        </w:rPr>
        <w:t>“</w:t>
      </w:r>
      <w:r w:rsidR="006418E9" w:rsidRPr="00EA05B0">
        <w:rPr>
          <w:rFonts w:ascii="Palatino Linotype" w:hAnsi="Palatino Linotype"/>
          <w:b/>
          <w:i/>
          <w:sz w:val="22"/>
          <w:u w:val="single"/>
          <w:lang w:eastAsia="es-MX"/>
        </w:rPr>
        <w:t>Laudo</w:t>
      </w:r>
      <w:r w:rsidR="006418E9" w:rsidRPr="00EA05B0">
        <w:rPr>
          <w:rFonts w:ascii="Palatino Linotype" w:hAnsi="Palatino Linotype"/>
          <w:b/>
          <w:i/>
          <w:sz w:val="22"/>
          <w:lang w:eastAsia="es-MX"/>
        </w:rPr>
        <w:t>.-</w:t>
      </w:r>
      <w:r w:rsidR="006418E9" w:rsidRPr="00EA05B0">
        <w:rPr>
          <w:rFonts w:ascii="Palatino Linotype" w:hAnsi="Palatino Linotype"/>
          <w:i/>
          <w:sz w:val="22"/>
          <w:lang w:eastAsia="es-MX"/>
        </w:rPr>
        <w:t xml:space="preserve"> Resolución tomada por las Juntas de Conciliación y Arbitraje, acerca de los conflictos obrero-patronales, y tiene el valor obligatorio de una sentencia.</w:t>
      </w:r>
      <w:r w:rsidRPr="00EA05B0">
        <w:rPr>
          <w:rFonts w:ascii="Palatino Linotype" w:hAnsi="Palatino Linotype"/>
          <w:i/>
          <w:sz w:val="22"/>
          <w:lang w:eastAsia="es-MX"/>
        </w:rPr>
        <w:t>”</w:t>
      </w:r>
    </w:p>
    <w:p w14:paraId="016D2083" w14:textId="77777777" w:rsidR="006418E9" w:rsidRPr="00EA05B0" w:rsidRDefault="006418E9" w:rsidP="00A63CC8">
      <w:pPr>
        <w:pStyle w:val="Prrafodelista"/>
        <w:spacing w:before="240" w:after="240" w:line="360" w:lineRule="auto"/>
        <w:ind w:left="426"/>
        <w:jc w:val="both"/>
        <w:rPr>
          <w:rFonts w:ascii="Palatino Linotype" w:hAnsi="Palatino Linotype"/>
          <w:color w:val="000000"/>
        </w:rPr>
      </w:pPr>
    </w:p>
    <w:p w14:paraId="5BCF1B7D" w14:textId="5F3F583D" w:rsidR="00A63CC8" w:rsidRPr="00EA05B0" w:rsidRDefault="000E387E"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De </w:t>
      </w:r>
      <w:r w:rsidRPr="00EA05B0">
        <w:rPr>
          <w:rFonts w:ascii="Palatino Linotype" w:hAnsi="Palatino Linotype" w:cs="Arial"/>
          <w:lang w:val="es-MX" w:eastAsia="es-MX"/>
        </w:rPr>
        <w:t xml:space="preserve">la anterior transcripción, se desprende que las Juntas de Conciliación y Arbitraje son aquellas que resuelven las diferencias o los conflictos entre patrones y trabajadores. En ese sentido las entidades federativas instaurarán Juntas Locales para desarrollar dichas funciones. En el Estado de México, entre ellas se encuentran la Junta Local de Conciliación y Arbitraje del Valle de Cuautitlán Texcoco y la del </w:t>
      </w:r>
      <w:r w:rsidRPr="00EA05B0">
        <w:rPr>
          <w:rFonts w:ascii="Palatino Linotype" w:hAnsi="Palatino Linotype" w:cs="Arial"/>
          <w:b/>
          <w:lang w:val="es-MX" w:eastAsia="es-MX"/>
        </w:rPr>
        <w:t>Valle de Toluca</w:t>
      </w:r>
      <w:r w:rsidRPr="00EA05B0">
        <w:rPr>
          <w:rFonts w:ascii="Palatino Linotype" w:hAnsi="Palatino Linotype" w:cs="Arial"/>
          <w:lang w:val="es-MX" w:eastAsia="es-MX"/>
        </w:rPr>
        <w:t>, que tienen a su cargo, entre otras cosas, la conciliación, tramitación y decisión sobre los conflictos de trabajo que se susciten entre trabajadores y patrones, o bien entre éstos o aquellos, con motivo de las relaciones de trabajo o de hechos ligados con ellas. Ambas dependen para su control y apoyo administrativo de la Secretaría del Trabajo.</w:t>
      </w:r>
    </w:p>
    <w:p w14:paraId="2E2313E3"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4BC4E88B" w14:textId="66439960" w:rsidR="00A63CC8" w:rsidRPr="00EA05B0" w:rsidRDefault="000E387E"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Asimismo, </w:t>
      </w:r>
      <w:r w:rsidRPr="00EA05B0">
        <w:rPr>
          <w:rFonts w:ascii="Palatino Linotype" w:hAnsi="Palatino Linotype" w:cs="Arial"/>
          <w:lang w:val="es-MX" w:eastAsia="es-MX"/>
        </w:rPr>
        <w:t xml:space="preserve">por “laudo”, debe entenderse que se trata de las </w:t>
      </w:r>
      <w:r w:rsidRPr="00EA05B0">
        <w:rPr>
          <w:rFonts w:ascii="Palatino Linotype" w:hAnsi="Palatino Linotype" w:cs="Arial"/>
          <w:u w:val="single"/>
          <w:lang w:val="es-MX" w:eastAsia="es-MX"/>
        </w:rPr>
        <w:t>resoluciones tomadas por las Juntas de Conciliación y Arbitraje</w:t>
      </w:r>
      <w:r w:rsidRPr="00EA05B0">
        <w:rPr>
          <w:rFonts w:ascii="Palatino Linotype" w:hAnsi="Palatino Linotype" w:cs="Arial"/>
          <w:lang w:val="es-MX" w:eastAsia="es-MX"/>
        </w:rPr>
        <w:t xml:space="preserve">, acerca de los conflictos obrero-patronales que decide sobre el fondo del conflicto, en sentido condenatorio, absolutorio o mixto, </w:t>
      </w:r>
      <w:r w:rsidRPr="00EA05B0">
        <w:rPr>
          <w:rFonts w:ascii="Palatino Linotype" w:hAnsi="Palatino Linotype" w:cs="Arial"/>
          <w:u w:val="single"/>
          <w:lang w:val="es-MX" w:eastAsia="es-MX"/>
        </w:rPr>
        <w:t>mismos que tienen la fuerza obligatoria de una sentencia</w:t>
      </w:r>
      <w:r w:rsidRPr="00EA05B0">
        <w:rPr>
          <w:rFonts w:ascii="Palatino Linotype" w:hAnsi="Palatino Linotype" w:cs="Arial"/>
          <w:lang w:val="es-MX" w:eastAsia="es-MX"/>
        </w:rPr>
        <w:t>.</w:t>
      </w:r>
    </w:p>
    <w:p w14:paraId="12BEC4A2"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6DD212F8" w14:textId="7F0F3BD6" w:rsidR="00A63CC8" w:rsidRPr="00EA05B0" w:rsidRDefault="000E387E"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Una </w:t>
      </w:r>
      <w:r w:rsidRPr="00EA05B0">
        <w:rPr>
          <w:rFonts w:ascii="Palatino Linotype" w:hAnsi="Palatino Linotype" w:cs="Arial"/>
          <w:lang w:val="es-MX" w:eastAsia="es-MX"/>
        </w:rPr>
        <w:t xml:space="preserve">vez realizadas las precisiones en cuanto a las definiciones y naturaleza jurídica de la información solicitada es necesario destacar la respuesta y la fuente de las atribuciones del </w:t>
      </w:r>
      <w:r w:rsidRPr="00EA05B0">
        <w:rPr>
          <w:rFonts w:ascii="Palatino Linotype" w:hAnsi="Palatino Linotype" w:cs="Arial"/>
          <w:b/>
          <w:lang w:val="es-MX" w:eastAsia="es-MX"/>
        </w:rPr>
        <w:t>SUJETO OBLIGADO</w:t>
      </w:r>
      <w:r w:rsidRPr="00EA05B0">
        <w:rPr>
          <w:rFonts w:ascii="Palatino Linotype" w:hAnsi="Palatino Linotype" w:cs="Arial"/>
          <w:lang w:val="es-MX" w:eastAsia="es-MX"/>
        </w:rPr>
        <w:t>, para generar, poseer o administrar la información solicitada.</w:t>
      </w:r>
    </w:p>
    <w:p w14:paraId="3B8A342C"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33B8C45D" w14:textId="6AE56E22" w:rsidR="00B9609A" w:rsidRPr="00EA05B0" w:rsidRDefault="00B9609A" w:rsidP="00B9609A">
      <w:pPr>
        <w:pStyle w:val="Ttulo3"/>
        <w:rPr>
          <w:rFonts w:ascii="Palatino Linotype" w:hAnsi="Palatino Linotype"/>
          <w:b/>
          <w:color w:val="000000"/>
        </w:rPr>
      </w:pPr>
      <w:bookmarkStart w:id="125" w:name="_Toc522217857"/>
      <w:bookmarkStart w:id="126" w:name="_Toc523400459"/>
      <w:r w:rsidRPr="00EA05B0">
        <w:rPr>
          <w:rFonts w:ascii="Palatino Linotype" w:hAnsi="Palatino Linotype"/>
          <w:b/>
          <w:color w:val="000000"/>
        </w:rPr>
        <w:t>II. De la respuesta del SUJETO OBLIGADO.</w:t>
      </w:r>
      <w:bookmarkEnd w:id="125"/>
      <w:bookmarkEnd w:id="126"/>
    </w:p>
    <w:p w14:paraId="2AA59D5D" w14:textId="1E713CEC" w:rsidR="00A63CC8" w:rsidRPr="00EA05B0" w:rsidRDefault="00552398"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noProof/>
          <w:color w:val="000000"/>
          <w:lang w:val="es-MX" w:eastAsia="es-MX"/>
        </w:rPr>
        <mc:AlternateContent>
          <mc:Choice Requires="wps">
            <w:drawing>
              <wp:anchor distT="0" distB="0" distL="114300" distR="114300" simplePos="0" relativeHeight="251711488" behindDoc="0" locked="0" layoutInCell="1" allowOverlap="1" wp14:anchorId="793ADFC1" wp14:editId="44FEE6EF">
                <wp:simplePos x="0" y="0"/>
                <wp:positionH relativeFrom="margin">
                  <wp:align>right</wp:align>
                </wp:positionH>
                <wp:positionV relativeFrom="paragraph">
                  <wp:posOffset>1501140</wp:posOffset>
                </wp:positionV>
                <wp:extent cx="5510150" cy="1733624"/>
                <wp:effectExtent l="38100" t="38100" r="71755" b="95250"/>
                <wp:wrapNone/>
                <wp:docPr id="8" name="Conector recto 8"/>
                <wp:cNvGraphicFramePr/>
                <a:graphic xmlns:a="http://schemas.openxmlformats.org/drawingml/2006/main">
                  <a:graphicData uri="http://schemas.microsoft.com/office/word/2010/wordprocessingShape">
                    <wps:wsp>
                      <wps:cNvCnPr/>
                      <wps:spPr>
                        <a:xfrm flipV="1">
                          <a:off x="0" y="0"/>
                          <a:ext cx="5510150" cy="173362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28BA2" id="Conector recto 8" o:spid="_x0000_s1026" style="position:absolute;flip:y;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65pt,118.2pt" to="816.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" strokecolor="black [3200]" strokeweight="1pt">
                <v:shadow on="t" color="black" opacity="24903f" origin=",.5" offset="0,.55556mm"/>
                <w10:wrap anchorx="margin"/>
              </v:line>
            </w:pict>
          </mc:Fallback>
        </mc:AlternateContent>
      </w:r>
      <w:r w:rsidR="00AE6A51" w:rsidRPr="00EA05B0">
        <w:rPr>
          <w:rFonts w:ascii="Palatino Linotype" w:hAnsi="Palatino Linotype"/>
          <w:color w:val="000000"/>
        </w:rPr>
        <w:t xml:space="preserve">El </w:t>
      </w:r>
      <w:r w:rsidR="00AE6A51" w:rsidRPr="00EA05B0">
        <w:rPr>
          <w:rFonts w:ascii="Palatino Linotype" w:hAnsi="Palatino Linotype"/>
          <w:b/>
          <w:color w:val="000000"/>
        </w:rPr>
        <w:t>SUJETO OBLIGADO</w:t>
      </w:r>
      <w:r w:rsidR="00AE6A51" w:rsidRPr="00EA05B0">
        <w:rPr>
          <w:rFonts w:ascii="Palatino Linotype" w:hAnsi="Palatino Linotype"/>
          <w:color w:val="000000"/>
        </w:rPr>
        <w:t xml:space="preserve">, pronunció su respuesta a través de un archivo en formato PDF denominado </w:t>
      </w:r>
      <w:r w:rsidR="00AE6A51" w:rsidRPr="00EA05B0">
        <w:rPr>
          <w:rFonts w:ascii="Palatino Linotype" w:hAnsi="Palatino Linotype"/>
          <w:b/>
          <w:i/>
          <w:color w:val="000000"/>
        </w:rPr>
        <w:t>“LAUDO.pdf”</w:t>
      </w:r>
      <w:r w:rsidR="00AE6A51" w:rsidRPr="00EA05B0">
        <w:rPr>
          <w:rFonts w:ascii="Palatino Linotype" w:hAnsi="Palatino Linotype"/>
          <w:color w:val="000000"/>
        </w:rPr>
        <w:t>, el cual muestra un documento consistente en una única foja dentro de la cual se aprecian dos tablas de contenidos, se anexa la imagen del documento a efecto de mera referencia visual:</w:t>
      </w:r>
    </w:p>
    <w:p w14:paraId="4000541A" w14:textId="18699012" w:rsidR="00A63CC8" w:rsidRPr="00EA05B0" w:rsidRDefault="00552398" w:rsidP="00AE6A51">
      <w:pPr>
        <w:pStyle w:val="Prrafodelista"/>
        <w:spacing w:before="240" w:after="240" w:line="360" w:lineRule="auto"/>
        <w:ind w:left="426"/>
        <w:jc w:val="center"/>
        <w:rPr>
          <w:rFonts w:ascii="Palatino Linotype" w:hAnsi="Palatino Linotype"/>
          <w:color w:val="000000"/>
        </w:rPr>
      </w:pPr>
      <w:r w:rsidRPr="00EA05B0">
        <w:rPr>
          <w:noProof/>
          <w:lang w:val="es-MX" w:eastAsia="es-MX"/>
        </w:rPr>
        <w:lastRenderedPageBreak/>
        <w:drawing>
          <wp:inline distT="0" distB="0" distL="0" distR="0" wp14:anchorId="24C8AF6C" wp14:editId="51A4D7D4">
            <wp:extent cx="2921330" cy="3728077"/>
            <wp:effectExtent l="57150" t="57150" r="107950" b="1206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61" t="10429" r="31958" b="4985"/>
                    <a:stretch/>
                  </pic:blipFill>
                  <pic:spPr bwMode="auto">
                    <a:xfrm>
                      <a:off x="0" y="0"/>
                      <a:ext cx="2942651" cy="37552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CF038E" w14:textId="77777777" w:rsidR="00AE6A51" w:rsidRPr="00EA05B0" w:rsidRDefault="00AE6A51" w:rsidP="00A63CC8">
      <w:pPr>
        <w:pStyle w:val="Prrafodelista"/>
        <w:spacing w:before="240" w:after="240" w:line="360" w:lineRule="auto"/>
        <w:ind w:left="426"/>
        <w:jc w:val="both"/>
        <w:rPr>
          <w:rFonts w:ascii="Palatino Linotype" w:hAnsi="Palatino Linotype"/>
          <w:color w:val="000000"/>
        </w:rPr>
      </w:pPr>
    </w:p>
    <w:p w14:paraId="516AB883" w14:textId="562D7B02" w:rsidR="00A63CC8" w:rsidRPr="00EA05B0" w:rsidRDefault="00552398"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Del análisis realizado a la imagen anterior, se deduce que el </w:t>
      </w:r>
      <w:r w:rsidRPr="00EA05B0">
        <w:rPr>
          <w:rFonts w:ascii="Palatino Linotype" w:hAnsi="Palatino Linotype"/>
          <w:b/>
          <w:color w:val="000000"/>
        </w:rPr>
        <w:t>SUJETO OBLIGADO</w:t>
      </w:r>
      <w:r w:rsidRPr="00EA05B0">
        <w:rPr>
          <w:rFonts w:ascii="Palatino Linotype" w:hAnsi="Palatino Linotype"/>
          <w:color w:val="000000"/>
        </w:rPr>
        <w:t xml:space="preserve"> pretendió mostrar por medio de dos listas los procesos en los que el Ayuntamiento de Almoloya del Río funge aparentemente como parte, sin embargo, al no dar más información para la primera tabla que el número de expediente, el término ‘CIVIL’, y la leyenda “Pendiente al nombramiento.”, no se puede llegar a ninguna deducción objetiva.</w:t>
      </w:r>
    </w:p>
    <w:p w14:paraId="67A7344C" w14:textId="77777777" w:rsidR="00A63CC8" w:rsidRPr="00EA05B0" w:rsidRDefault="00A63CC8" w:rsidP="00A63CC8">
      <w:pPr>
        <w:pStyle w:val="Prrafodelista"/>
        <w:spacing w:before="240" w:after="240" w:line="360" w:lineRule="auto"/>
        <w:ind w:left="426"/>
        <w:jc w:val="both"/>
        <w:rPr>
          <w:rFonts w:ascii="Palatino Linotype" w:hAnsi="Palatino Linotype"/>
          <w:color w:val="000000"/>
        </w:rPr>
      </w:pPr>
    </w:p>
    <w:p w14:paraId="4835C478" w14:textId="357251E7" w:rsidR="00A63CC8" w:rsidRPr="00EA05B0" w:rsidRDefault="00552398"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Asimismo, para la segunda tabla cuyo nombre indica los procesos de materia ajena a los procesos civiles de la tabla primera, se </w:t>
      </w:r>
      <w:r w:rsidR="00F95EFD" w:rsidRPr="00EA05B0">
        <w:rPr>
          <w:rFonts w:ascii="Palatino Linotype" w:hAnsi="Palatino Linotype"/>
          <w:color w:val="000000"/>
        </w:rPr>
        <w:t xml:space="preserve">muestran números de expedientes diversos y el estado procesal de cada uno, sin ahondar la materia, </w:t>
      </w:r>
      <w:r w:rsidR="00F95EFD" w:rsidRPr="00EA05B0">
        <w:rPr>
          <w:rFonts w:ascii="Palatino Linotype" w:hAnsi="Palatino Linotype"/>
          <w:color w:val="000000"/>
        </w:rPr>
        <w:lastRenderedPageBreak/>
        <w:t xml:space="preserve">juzgado o si el </w:t>
      </w:r>
      <w:r w:rsidR="00F95EFD" w:rsidRPr="00EA05B0">
        <w:rPr>
          <w:rFonts w:ascii="Palatino Linotype" w:hAnsi="Palatino Linotype"/>
          <w:b/>
          <w:color w:val="000000"/>
        </w:rPr>
        <w:t>SUJETO OBLIGADO</w:t>
      </w:r>
      <w:r w:rsidR="00F95EFD" w:rsidRPr="00EA05B0">
        <w:rPr>
          <w:rFonts w:ascii="Palatino Linotype" w:hAnsi="Palatino Linotype"/>
          <w:color w:val="000000"/>
        </w:rPr>
        <w:t xml:space="preserve"> funge como actor, demandado o tercero interesado.</w:t>
      </w:r>
    </w:p>
    <w:p w14:paraId="1BFD1A6E" w14:textId="77777777" w:rsidR="00B40F82" w:rsidRPr="00EA05B0" w:rsidRDefault="00B40F82" w:rsidP="00B40F82">
      <w:pPr>
        <w:pStyle w:val="Prrafodelista"/>
        <w:spacing w:before="240" w:after="240" w:line="360" w:lineRule="auto"/>
        <w:ind w:left="426"/>
        <w:jc w:val="both"/>
        <w:rPr>
          <w:rFonts w:ascii="Palatino Linotype" w:hAnsi="Palatino Linotype"/>
          <w:color w:val="000000"/>
        </w:rPr>
      </w:pPr>
    </w:p>
    <w:p w14:paraId="39C13EF5" w14:textId="091D044C" w:rsidR="00B40F82" w:rsidRPr="00EA05B0" w:rsidRDefault="00B40F82"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Sin embargo, y en aras de privilegiar el principio de máxima publicidad a favor de la </w:t>
      </w:r>
      <w:r w:rsidRPr="00EA05B0">
        <w:rPr>
          <w:rFonts w:ascii="Palatino Linotype" w:hAnsi="Palatino Linotype"/>
          <w:b/>
          <w:color w:val="000000"/>
        </w:rPr>
        <w:t>RECURRENTE</w:t>
      </w:r>
      <w:r w:rsidRPr="00EA05B0">
        <w:rPr>
          <w:rFonts w:ascii="Palatino Linotype" w:hAnsi="Palatino Linotype"/>
          <w:color w:val="000000"/>
        </w:rPr>
        <w:t xml:space="preserve">, ésta Ponencia </w:t>
      </w:r>
      <w:proofErr w:type="spellStart"/>
      <w:r w:rsidRPr="00EA05B0">
        <w:rPr>
          <w:rFonts w:ascii="Palatino Linotype" w:hAnsi="Palatino Linotype"/>
          <w:color w:val="000000"/>
        </w:rPr>
        <w:t>resolutora</w:t>
      </w:r>
      <w:proofErr w:type="spellEnd"/>
      <w:r w:rsidRPr="00EA05B0">
        <w:rPr>
          <w:rFonts w:ascii="Palatino Linotype" w:hAnsi="Palatino Linotype"/>
          <w:color w:val="000000"/>
        </w:rPr>
        <w:t xml:space="preserve"> advirtió que los expedientes pertenecientes a la segunda lista previamente descrita, mencionan el prefijo “TECA”, antes del número de expediente y el año de sustanciación; lo cual podría suponerse que pertenece a las siglas del Tribunal Estatal de Conciliación y Arbitraje.</w:t>
      </w:r>
    </w:p>
    <w:p w14:paraId="49A9563C" w14:textId="77777777" w:rsidR="00CE25C2" w:rsidRPr="00EA05B0" w:rsidRDefault="00CE25C2" w:rsidP="00CE25C2">
      <w:pPr>
        <w:pStyle w:val="Prrafodelista"/>
        <w:spacing w:before="240" w:after="240" w:line="360" w:lineRule="auto"/>
        <w:ind w:left="426"/>
        <w:jc w:val="both"/>
        <w:rPr>
          <w:rFonts w:ascii="Palatino Linotype" w:hAnsi="Palatino Linotype"/>
          <w:color w:val="000000"/>
        </w:rPr>
      </w:pPr>
    </w:p>
    <w:p w14:paraId="44F62648" w14:textId="47080162" w:rsidR="00CE25C2" w:rsidRPr="00EA05B0" w:rsidRDefault="00CE25C2"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Fruto del supuesto anterior, se </w:t>
      </w:r>
      <w:r w:rsidR="00ED569F" w:rsidRPr="00EA05B0">
        <w:rPr>
          <w:rFonts w:ascii="Palatino Linotype" w:hAnsi="Palatino Linotype"/>
          <w:color w:val="000000"/>
        </w:rPr>
        <w:t>accedió a</w:t>
      </w:r>
      <w:r w:rsidRPr="00EA05B0">
        <w:rPr>
          <w:rFonts w:ascii="Palatino Linotype" w:hAnsi="Palatino Linotype"/>
          <w:color w:val="000000"/>
        </w:rPr>
        <w:t xml:space="preserve"> la página </w:t>
      </w:r>
      <w:r w:rsidR="00ED569F" w:rsidRPr="00EA05B0">
        <w:rPr>
          <w:rFonts w:ascii="Palatino Linotype" w:hAnsi="Palatino Linotype"/>
          <w:color w:val="000000"/>
        </w:rPr>
        <w:t xml:space="preserve">de consulta </w:t>
      </w:r>
      <w:r w:rsidRPr="00EA05B0">
        <w:rPr>
          <w:rFonts w:ascii="Palatino Linotype" w:hAnsi="Palatino Linotype"/>
          <w:color w:val="000000"/>
        </w:rPr>
        <w:t xml:space="preserve">del Tribunal Estatal de Conciliación y Arbitraje a efecto de buscar en el apartado de laudos resoluciones laborales en las que el Ayuntamiento de Almoloya del Río </w:t>
      </w:r>
      <w:r w:rsidR="00ED569F" w:rsidRPr="00EA05B0">
        <w:rPr>
          <w:rFonts w:ascii="Palatino Linotype" w:hAnsi="Palatino Linotype"/>
          <w:color w:val="000000"/>
        </w:rPr>
        <w:t xml:space="preserve">hubiera sido parte del proceso, se anexan las pertinentes capturas de pantalla a modo </w:t>
      </w:r>
      <w:proofErr w:type="spellStart"/>
      <w:r w:rsidR="00ED569F" w:rsidRPr="00EA05B0">
        <w:rPr>
          <w:rFonts w:ascii="Palatino Linotype" w:hAnsi="Palatino Linotype"/>
          <w:color w:val="000000"/>
        </w:rPr>
        <w:t>referenciativo</w:t>
      </w:r>
      <w:proofErr w:type="spellEnd"/>
      <w:r w:rsidR="00ED569F" w:rsidRPr="00EA05B0">
        <w:rPr>
          <w:rFonts w:ascii="Palatino Linotype" w:hAnsi="Palatino Linotype"/>
          <w:color w:val="000000"/>
        </w:rPr>
        <w:t>:</w:t>
      </w:r>
    </w:p>
    <w:p w14:paraId="4ADFD7BA" w14:textId="77777777" w:rsidR="00ED569F" w:rsidRPr="00EA05B0" w:rsidRDefault="00ED569F" w:rsidP="00ED569F">
      <w:pPr>
        <w:pStyle w:val="Prrafodelista"/>
        <w:spacing w:before="240" w:after="240" w:line="360" w:lineRule="auto"/>
        <w:ind w:left="426"/>
        <w:jc w:val="center"/>
        <w:rPr>
          <w:rFonts w:ascii="Palatino Linotype" w:hAnsi="Palatino Linotype"/>
          <w:color w:val="000000"/>
        </w:rPr>
      </w:pPr>
      <w:r w:rsidRPr="00EA05B0">
        <w:rPr>
          <w:rFonts w:ascii="Palatino Linotype" w:hAnsi="Palatino Linotype"/>
          <w:noProof/>
          <w:color w:val="000000"/>
          <w:lang w:val="es-MX" w:eastAsia="es-MX"/>
        </w:rPr>
        <w:drawing>
          <wp:inline distT="0" distB="0" distL="0" distR="0" wp14:anchorId="0F8D8AD7" wp14:editId="4D5F17C5">
            <wp:extent cx="4858230" cy="2520000"/>
            <wp:effectExtent l="76200" t="76200" r="133350" b="128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823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5E1F88" w14:textId="0863C940" w:rsidR="00CE25C2" w:rsidRPr="00EA05B0" w:rsidRDefault="00ED569F" w:rsidP="00ED569F">
      <w:pPr>
        <w:pStyle w:val="Prrafodelista"/>
        <w:spacing w:before="240" w:after="240" w:line="360" w:lineRule="auto"/>
        <w:ind w:left="426"/>
        <w:jc w:val="center"/>
        <w:rPr>
          <w:rFonts w:ascii="Palatino Linotype" w:hAnsi="Palatino Linotype"/>
          <w:color w:val="000000"/>
        </w:rPr>
      </w:pPr>
      <w:r w:rsidRPr="00EA05B0">
        <w:rPr>
          <w:rFonts w:ascii="Palatino Linotype" w:hAnsi="Palatino Linotype"/>
          <w:noProof/>
          <w:color w:val="000000"/>
          <w:lang w:val="es-MX" w:eastAsia="es-MX"/>
        </w:rPr>
        <w:lastRenderedPageBreak/>
        <w:drawing>
          <wp:inline distT="0" distB="0" distL="0" distR="0" wp14:anchorId="1704303F" wp14:editId="514232D8">
            <wp:extent cx="4826580" cy="2520000"/>
            <wp:effectExtent l="76200" t="76200" r="127000" b="128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58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2D7D14" w14:textId="1A44BD8D" w:rsidR="00ED569F" w:rsidRPr="00EA05B0" w:rsidRDefault="00ED569F" w:rsidP="00ED569F">
      <w:pPr>
        <w:pStyle w:val="Prrafodelista"/>
        <w:spacing w:before="240" w:after="240" w:line="360" w:lineRule="auto"/>
        <w:ind w:left="426"/>
        <w:jc w:val="center"/>
        <w:rPr>
          <w:rFonts w:ascii="Palatino Linotype" w:hAnsi="Palatino Linotype"/>
          <w:color w:val="000000"/>
        </w:rPr>
      </w:pPr>
      <w:r w:rsidRPr="00EA05B0">
        <w:rPr>
          <w:rFonts w:ascii="Palatino Linotype" w:hAnsi="Palatino Linotype"/>
          <w:noProof/>
          <w:color w:val="000000"/>
          <w:lang w:val="es-MX" w:eastAsia="es-MX"/>
        </w:rPr>
        <w:drawing>
          <wp:inline distT="0" distB="0" distL="0" distR="0" wp14:anchorId="2873BB00" wp14:editId="5B157E7F">
            <wp:extent cx="4834789" cy="2520000"/>
            <wp:effectExtent l="76200" t="76200" r="137795" b="128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789"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B7CE5F" w14:textId="77777777" w:rsidR="00CE25C2" w:rsidRPr="00EA05B0" w:rsidRDefault="00CE25C2" w:rsidP="00CE25C2">
      <w:pPr>
        <w:pStyle w:val="Prrafodelista"/>
        <w:spacing w:before="240" w:after="240" w:line="360" w:lineRule="auto"/>
        <w:ind w:left="426"/>
        <w:jc w:val="both"/>
        <w:rPr>
          <w:rFonts w:ascii="Palatino Linotype" w:hAnsi="Palatino Linotype"/>
          <w:color w:val="000000"/>
        </w:rPr>
      </w:pPr>
    </w:p>
    <w:p w14:paraId="32276974" w14:textId="0359E63E" w:rsidR="00CE25C2" w:rsidRPr="00EA05B0" w:rsidRDefault="00ED569F"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De la búsqueda avanzada realizada con el rubro principal “</w:t>
      </w:r>
      <w:r w:rsidRPr="00EA05B0">
        <w:rPr>
          <w:rFonts w:ascii="Palatino Linotype" w:hAnsi="Palatino Linotype"/>
          <w:i/>
          <w:color w:val="000000"/>
        </w:rPr>
        <w:t>ALMOLOYA DEL RIO</w:t>
      </w:r>
      <w:r w:rsidRPr="00EA05B0">
        <w:rPr>
          <w:rFonts w:ascii="Palatino Linotype" w:hAnsi="Palatino Linotype"/>
          <w:color w:val="000000"/>
        </w:rPr>
        <w:t xml:space="preserve">”, para el tópico específico de “Resoluciones”, se mostraron </w:t>
      </w:r>
      <w:r w:rsidR="005C0DB5" w:rsidRPr="00EA05B0">
        <w:rPr>
          <w:rFonts w:ascii="Palatino Linotype" w:hAnsi="Palatino Linotype"/>
          <w:color w:val="000000"/>
        </w:rPr>
        <w:t>seis (06) resultados con el listado de resoluciones aprobadas en distintas sesiones del pleno del Tribunal Estatal de Conciliación y Arbitraje</w:t>
      </w:r>
      <w:r w:rsidRPr="00EA05B0">
        <w:rPr>
          <w:rFonts w:ascii="Palatino Linotype" w:hAnsi="Palatino Linotype"/>
          <w:color w:val="000000"/>
        </w:rPr>
        <w:t xml:space="preserve"> dentro de los cuáles se aprecian </w:t>
      </w:r>
      <w:r w:rsidR="005C0DB5" w:rsidRPr="00EA05B0">
        <w:rPr>
          <w:rFonts w:ascii="Palatino Linotype" w:hAnsi="Palatino Linotype"/>
          <w:color w:val="000000"/>
        </w:rPr>
        <w:t xml:space="preserve">algunos </w:t>
      </w:r>
      <w:r w:rsidRPr="00EA05B0">
        <w:rPr>
          <w:rFonts w:ascii="Palatino Linotype" w:hAnsi="Palatino Linotype"/>
          <w:color w:val="000000"/>
        </w:rPr>
        <w:t xml:space="preserve">expedientes mencionados dentro de la lista denominada </w:t>
      </w:r>
      <w:r w:rsidRPr="00EA05B0">
        <w:rPr>
          <w:rFonts w:ascii="Palatino Linotype" w:hAnsi="Palatino Linotype"/>
          <w:color w:val="000000"/>
        </w:rPr>
        <w:lastRenderedPageBreak/>
        <w:t>“LISTA Y RELACIÓN DE EXPEDIENTES DE DIFERENTE MATERIA 2016-2018”,</w:t>
      </w:r>
    </w:p>
    <w:p w14:paraId="35EC4ED1" w14:textId="34426B9A" w:rsidR="00CE25C2" w:rsidRPr="00EA05B0" w:rsidRDefault="005C0DB5" w:rsidP="005C0DB5">
      <w:pPr>
        <w:pStyle w:val="Prrafodelista"/>
        <w:spacing w:before="240" w:after="240" w:line="360" w:lineRule="auto"/>
        <w:ind w:left="426"/>
        <w:jc w:val="center"/>
        <w:rPr>
          <w:rFonts w:ascii="Palatino Linotype" w:hAnsi="Palatino Linotype"/>
          <w:color w:val="000000"/>
        </w:rPr>
      </w:pPr>
      <w:r w:rsidRPr="00EA05B0">
        <w:rPr>
          <w:rFonts w:ascii="Palatino Linotype" w:hAnsi="Palatino Linotype"/>
          <w:noProof/>
          <w:color w:val="000000"/>
          <w:lang w:val="es-MX" w:eastAsia="es-MX"/>
        </w:rPr>
        <w:drawing>
          <wp:inline distT="0" distB="0" distL="0" distR="0" wp14:anchorId="5CAAAD2F" wp14:editId="7799BD84">
            <wp:extent cx="4858230" cy="2520000"/>
            <wp:effectExtent l="76200" t="76200" r="133350" b="128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23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F9CFC" w14:textId="77777777" w:rsidR="005C0DB5" w:rsidRPr="00EA05B0" w:rsidRDefault="005C0DB5" w:rsidP="00CE25C2">
      <w:pPr>
        <w:pStyle w:val="Prrafodelista"/>
        <w:spacing w:before="240" w:after="240" w:line="360" w:lineRule="auto"/>
        <w:ind w:left="426"/>
        <w:jc w:val="both"/>
        <w:rPr>
          <w:rFonts w:ascii="Palatino Linotype" w:hAnsi="Palatino Linotype"/>
          <w:color w:val="000000"/>
        </w:rPr>
      </w:pPr>
    </w:p>
    <w:p w14:paraId="148E330F" w14:textId="67DD0532" w:rsidR="00A63CC8" w:rsidRPr="00EA05B0" w:rsidRDefault="005C0DB5" w:rsidP="008637E4">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Por lo anterior, éste Órgano Garante determina que el </w:t>
      </w:r>
      <w:r w:rsidRPr="00EA05B0">
        <w:rPr>
          <w:rFonts w:ascii="Palatino Linotype" w:hAnsi="Palatino Linotype"/>
          <w:b/>
          <w:color w:val="000000"/>
        </w:rPr>
        <w:t>SUJETO OBLIGADO</w:t>
      </w:r>
      <w:r w:rsidRPr="00EA05B0">
        <w:rPr>
          <w:rFonts w:ascii="Palatino Linotype" w:hAnsi="Palatino Linotype"/>
          <w:color w:val="000000"/>
        </w:rPr>
        <w:t xml:space="preserve"> posee y administra la información solicitada por la </w:t>
      </w:r>
      <w:r w:rsidRPr="00EA05B0">
        <w:rPr>
          <w:rFonts w:ascii="Palatino Linotype" w:hAnsi="Palatino Linotype"/>
          <w:b/>
          <w:color w:val="000000"/>
        </w:rPr>
        <w:t xml:space="preserve">RECURRENTE, </w:t>
      </w:r>
      <w:r w:rsidRPr="00EA05B0">
        <w:rPr>
          <w:rFonts w:ascii="Palatino Linotype" w:hAnsi="Palatino Linotype"/>
          <w:color w:val="000000"/>
        </w:rPr>
        <w:t>la cual consta de los laudos emitidos en la actual administración, y que de constancia de la consulta directa al boletín digital del Tribunal Estatal de Conciliación y Arbitraje, se aprecian varios procesos laborales concluidos dentro del período 2016-2018.</w:t>
      </w:r>
    </w:p>
    <w:p w14:paraId="32890DCA" w14:textId="77777777" w:rsidR="005C0DB5" w:rsidRPr="00EA05B0" w:rsidRDefault="005C0DB5" w:rsidP="005C0DB5">
      <w:pPr>
        <w:pStyle w:val="Prrafodelista"/>
        <w:spacing w:before="240" w:after="240" w:line="360" w:lineRule="auto"/>
        <w:ind w:left="426"/>
        <w:jc w:val="both"/>
        <w:rPr>
          <w:rFonts w:ascii="Palatino Linotype" w:hAnsi="Palatino Linotype"/>
          <w:color w:val="000000"/>
        </w:rPr>
      </w:pPr>
    </w:p>
    <w:p w14:paraId="2652F619" w14:textId="2D70BCC7" w:rsidR="00A63CC8" w:rsidRPr="00EA05B0" w:rsidRDefault="005C0DB5" w:rsidP="00F95EFD">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En consecuencia de lo anterior</w:t>
      </w:r>
      <w:r w:rsidR="00F95EFD" w:rsidRPr="00EA05B0">
        <w:rPr>
          <w:rFonts w:ascii="Palatino Linotype" w:hAnsi="Palatino Linotype"/>
          <w:color w:val="000000"/>
        </w:rPr>
        <w:t xml:space="preserve">, </w:t>
      </w:r>
      <w:r w:rsidR="00F95EFD" w:rsidRPr="00EA05B0">
        <w:rPr>
          <w:rFonts w:ascii="Palatino Linotype" w:hAnsi="Palatino Linotype" w:cs="Arial"/>
        </w:rPr>
        <w:t xml:space="preserve">debe destacarse que el </w:t>
      </w:r>
      <w:r w:rsidR="00F95EFD" w:rsidRPr="00EA05B0">
        <w:rPr>
          <w:rFonts w:ascii="Palatino Linotype" w:hAnsi="Palatino Linotype" w:cs="Arial"/>
          <w:b/>
        </w:rPr>
        <w:t>SUJETO OBLIGADO</w:t>
      </w:r>
      <w:r w:rsidR="00F95EFD" w:rsidRPr="00EA05B0">
        <w:rPr>
          <w:rFonts w:ascii="Palatino Linotype" w:hAnsi="Palatino Linotype" w:cs="Arial"/>
        </w:rPr>
        <w:t xml:space="preserve"> no satisface la solicitud de información, incumpliendo directamente con su obligación de transparencia común contenida en la </w:t>
      </w:r>
      <w:r w:rsidR="00F95EFD" w:rsidRPr="00EA05B0">
        <w:rPr>
          <w:rFonts w:ascii="Palatino Linotype" w:hAnsi="Palatino Linotype" w:cs="Arial"/>
          <w:b/>
        </w:rPr>
        <w:t>Ley de Transparencia y Acceso a la Información Pública del Estado de México y Municipios</w:t>
      </w:r>
      <w:r w:rsidR="00F95EFD" w:rsidRPr="00EA05B0">
        <w:rPr>
          <w:rFonts w:ascii="Palatino Linotype" w:hAnsi="Palatino Linotype" w:cs="Arial"/>
        </w:rPr>
        <w:t xml:space="preserve"> en su </w:t>
      </w:r>
      <w:r w:rsidR="00F95EFD" w:rsidRPr="00EA05B0">
        <w:rPr>
          <w:rFonts w:ascii="Palatino Linotype" w:hAnsi="Palatino Linotype" w:cs="Arial"/>
        </w:rPr>
        <w:lastRenderedPageBreak/>
        <w:t>numeral 92 fracción XL, por lo que a efecto de precisar lo expuesto dicho ordenamiento se transcribe a continuación:</w:t>
      </w:r>
    </w:p>
    <w:p w14:paraId="354774D5" w14:textId="2E23B136" w:rsidR="00F95EFD" w:rsidRPr="00EA05B0" w:rsidRDefault="00F95EFD" w:rsidP="00F95EFD">
      <w:pPr>
        <w:pStyle w:val="Sinespaciado"/>
        <w:ind w:left="851" w:right="567"/>
        <w:jc w:val="both"/>
        <w:rPr>
          <w:rFonts w:ascii="Palatino Linotype" w:hAnsi="Palatino Linotype"/>
          <w:i/>
          <w:sz w:val="22"/>
        </w:rPr>
      </w:pPr>
      <w:r w:rsidRPr="00EA05B0">
        <w:rPr>
          <w:rFonts w:ascii="Palatino Linotype" w:hAnsi="Palatino Linotype"/>
          <w:i/>
          <w:sz w:val="22"/>
        </w:rPr>
        <w:t>“</w:t>
      </w:r>
      <w:r w:rsidRPr="00EA05B0">
        <w:rPr>
          <w:rFonts w:ascii="Palatino Linotype" w:hAnsi="Palatino Linotype"/>
          <w:b/>
          <w:i/>
          <w:sz w:val="22"/>
        </w:rPr>
        <w:t>Artículo 92.</w:t>
      </w:r>
      <w:r w:rsidRPr="00EA05B0">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59EADF" w14:textId="77777777" w:rsidR="00F95EFD" w:rsidRPr="00EA05B0" w:rsidRDefault="00F95EFD" w:rsidP="00F95EFD">
      <w:pPr>
        <w:pStyle w:val="Sinespaciado"/>
        <w:ind w:left="851" w:right="567"/>
        <w:jc w:val="both"/>
        <w:rPr>
          <w:rFonts w:ascii="Palatino Linotype" w:hAnsi="Palatino Linotype"/>
          <w:i/>
          <w:sz w:val="22"/>
        </w:rPr>
      </w:pPr>
      <w:r w:rsidRPr="00EA05B0">
        <w:rPr>
          <w:rFonts w:ascii="Palatino Linotype" w:hAnsi="Palatino Linotype"/>
          <w:i/>
          <w:sz w:val="22"/>
        </w:rPr>
        <w:t>(…)</w:t>
      </w:r>
    </w:p>
    <w:p w14:paraId="571CFA33" w14:textId="002F841F" w:rsidR="00F95EFD" w:rsidRPr="00EA05B0" w:rsidRDefault="00F95EFD" w:rsidP="00F95EFD">
      <w:pPr>
        <w:pStyle w:val="Sinespaciado"/>
        <w:ind w:left="851" w:right="567"/>
        <w:jc w:val="both"/>
        <w:rPr>
          <w:rFonts w:ascii="Palatino Linotype" w:hAnsi="Palatino Linotype"/>
          <w:i/>
          <w:sz w:val="22"/>
          <w:u w:val="single"/>
        </w:rPr>
      </w:pPr>
      <w:r w:rsidRPr="00EA05B0">
        <w:rPr>
          <w:rFonts w:ascii="Palatino Linotype" w:hAnsi="Palatino Linotype"/>
          <w:b/>
          <w:i/>
          <w:sz w:val="22"/>
          <w:u w:val="single"/>
        </w:rPr>
        <w:t>XL. Las resoluciones y laudos que se emitan en procesos o procedimientos seguidos en forma de juicio;</w:t>
      </w:r>
    </w:p>
    <w:p w14:paraId="39EC537B" w14:textId="2D0F1408" w:rsidR="00F95EFD" w:rsidRPr="00EA05B0" w:rsidRDefault="00F95EFD" w:rsidP="00F95EFD">
      <w:pPr>
        <w:pStyle w:val="Sinespaciado"/>
        <w:ind w:left="851" w:right="567"/>
        <w:jc w:val="both"/>
        <w:rPr>
          <w:rFonts w:ascii="Palatino Linotype" w:hAnsi="Palatino Linotype"/>
          <w:i/>
          <w:sz w:val="22"/>
        </w:rPr>
      </w:pPr>
      <w:r w:rsidRPr="00EA05B0">
        <w:rPr>
          <w:rFonts w:ascii="Palatino Linotype" w:hAnsi="Palatino Linotype"/>
          <w:i/>
          <w:sz w:val="22"/>
        </w:rPr>
        <w:t>(…)”</w:t>
      </w:r>
    </w:p>
    <w:p w14:paraId="36803852" w14:textId="6FFD6B37" w:rsidR="00F95EFD" w:rsidRPr="00EA05B0" w:rsidRDefault="00F95EFD" w:rsidP="00F95EFD">
      <w:pPr>
        <w:pStyle w:val="Sinespaciado"/>
        <w:ind w:left="851" w:right="567"/>
        <w:jc w:val="both"/>
        <w:rPr>
          <w:rFonts w:ascii="Palatino Linotype" w:hAnsi="Palatino Linotype"/>
          <w:color w:val="000000"/>
          <w:sz w:val="22"/>
        </w:rPr>
      </w:pPr>
      <w:r w:rsidRPr="00EA05B0">
        <w:rPr>
          <w:rFonts w:ascii="Palatino Linotype" w:hAnsi="Palatino Linotype"/>
          <w:sz w:val="22"/>
        </w:rPr>
        <w:t>Énfasis añadido.</w:t>
      </w:r>
    </w:p>
    <w:p w14:paraId="6A670485"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74E4E972" w14:textId="7AA9B8F2" w:rsidR="00BF2801" w:rsidRPr="00EA05B0" w:rsidRDefault="00BF2801"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Empero, dentro del portal de Información Pública de Oficio Mexiquense (</w:t>
      </w:r>
      <w:r w:rsidRPr="00EA05B0">
        <w:rPr>
          <w:rFonts w:ascii="Palatino Linotype" w:hAnsi="Palatino Linotype"/>
          <w:b/>
          <w:color w:val="000000"/>
        </w:rPr>
        <w:t>IPOMEX</w:t>
      </w:r>
      <w:r w:rsidRPr="00EA05B0">
        <w:rPr>
          <w:rFonts w:ascii="Palatino Linotype" w:hAnsi="Palatino Linotype"/>
          <w:color w:val="000000"/>
        </w:rPr>
        <w:t xml:space="preserve">) del </w:t>
      </w:r>
      <w:r w:rsidRPr="00EA05B0">
        <w:rPr>
          <w:rFonts w:ascii="Palatino Linotype" w:hAnsi="Palatino Linotype"/>
          <w:b/>
          <w:color w:val="000000"/>
        </w:rPr>
        <w:t>SUJETO OBLIGADO</w:t>
      </w:r>
      <w:r w:rsidRPr="00EA05B0">
        <w:rPr>
          <w:rFonts w:ascii="Palatino Linotype" w:hAnsi="Palatino Linotype"/>
          <w:color w:val="000000"/>
        </w:rPr>
        <w:t>, se aprecia que dentro del apartado inherente a la fracción XL, el Ayuntamiento de Almoloya del Río no ha subido la información referida como se muestra a continuación:</w:t>
      </w:r>
    </w:p>
    <w:p w14:paraId="053A0531" w14:textId="29628B93" w:rsidR="00C70DAF" w:rsidRPr="00EA05B0" w:rsidRDefault="00774586" w:rsidP="00774586">
      <w:pPr>
        <w:pStyle w:val="Prrafodelista"/>
        <w:spacing w:before="240" w:after="240" w:line="360" w:lineRule="auto"/>
        <w:ind w:left="426"/>
        <w:jc w:val="center"/>
        <w:rPr>
          <w:rFonts w:ascii="Palatino Linotype" w:hAnsi="Palatino Linotype"/>
          <w:noProof/>
          <w:lang w:val="es-MX" w:eastAsia="es-MX"/>
        </w:rPr>
      </w:pPr>
      <w:r w:rsidRPr="00EA05B0">
        <w:rPr>
          <w:rFonts w:ascii="Palatino Linotype" w:hAnsi="Palatino Linotype"/>
          <w:noProof/>
          <w:lang w:val="es-MX" w:eastAsia="es-MX"/>
        </w:rPr>
        <w:drawing>
          <wp:inline distT="0" distB="0" distL="0" distR="0" wp14:anchorId="772CCC7C" wp14:editId="21023483">
            <wp:extent cx="3354687" cy="2790825"/>
            <wp:effectExtent l="76200" t="76200" r="132080"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188" cy="2797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570F92" w14:textId="5373852D" w:rsidR="00BF2801" w:rsidRPr="00EA05B0" w:rsidRDefault="00C70DAF"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Es </w:t>
      </w:r>
      <w:r w:rsidRPr="00EA05B0">
        <w:rPr>
          <w:rFonts w:ascii="Palatino Linotype" w:hAnsi="Palatino Linotype" w:cs="Arial"/>
        </w:rPr>
        <w:t xml:space="preserve">importante visualizar que el </w:t>
      </w:r>
      <w:r w:rsidRPr="00EA05B0">
        <w:rPr>
          <w:rFonts w:ascii="Palatino Linotype" w:hAnsi="Palatino Linotype" w:cs="Arial"/>
          <w:b/>
        </w:rPr>
        <w:t>SUJETO OBLIGADO</w:t>
      </w:r>
      <w:r w:rsidRPr="00EA05B0">
        <w:rPr>
          <w:rFonts w:ascii="Palatino Linotype" w:hAnsi="Palatino Linotype" w:cs="Arial"/>
        </w:rPr>
        <w:t xml:space="preserve"> ya asumió contar con la información al mostrar dos listas con números de expedientes de materias diversas,</w:t>
      </w:r>
      <w:r w:rsidR="00774586" w:rsidRPr="00EA05B0">
        <w:rPr>
          <w:rFonts w:ascii="Palatino Linotype" w:hAnsi="Palatino Linotype" w:cs="Arial"/>
        </w:rPr>
        <w:t xml:space="preserve"> una dentro de las cuáles se aprecian expedientes laborales que ya culminaron en su sustanciación y han generado una resolución,</w:t>
      </w:r>
      <w:r w:rsidRPr="00EA05B0">
        <w:rPr>
          <w:rFonts w:ascii="Palatino Linotype" w:hAnsi="Palatino Linotype" w:cs="Arial"/>
        </w:rPr>
        <w:t xml:space="preserve"> por ello es fundamental el respetar y cumplir los principios rectores de la materia de acceso a la información y a su vez los principios de éste Instituto de Transparencia, los cuales son </w:t>
      </w:r>
      <w:r w:rsidRPr="00EA05B0">
        <w:rPr>
          <w:rFonts w:ascii="Palatino Linotype" w:hAnsi="Palatino Linotype" w:cs="Arial"/>
          <w:b/>
        </w:rPr>
        <w:t>Certeza, Eficacia, Máxima Publicidad, Objetividad, Transparencia</w:t>
      </w:r>
      <w:r w:rsidRPr="00EA05B0">
        <w:rPr>
          <w:rFonts w:ascii="Palatino Linotype" w:hAnsi="Palatino Linotype" w:cs="Arial"/>
        </w:rPr>
        <w:t xml:space="preserve"> entre otros, debiéndose otorgar seguridad y certidumbre jurídica a los particulares, para que se puedan conocer las acciones apegadas a derecho y que se garantice que los procedimientos sean completamente verificables, fidedignos y confiables.</w:t>
      </w:r>
    </w:p>
    <w:p w14:paraId="3B522A71" w14:textId="77777777" w:rsidR="00BF2801" w:rsidRPr="00EA05B0" w:rsidRDefault="00BF2801" w:rsidP="00BF2801">
      <w:pPr>
        <w:pStyle w:val="Prrafodelista"/>
        <w:spacing w:before="240" w:after="240" w:line="360" w:lineRule="auto"/>
        <w:ind w:left="426"/>
        <w:jc w:val="both"/>
        <w:rPr>
          <w:rFonts w:ascii="Palatino Linotype" w:hAnsi="Palatino Linotype"/>
          <w:color w:val="000000"/>
        </w:rPr>
      </w:pPr>
    </w:p>
    <w:p w14:paraId="15FD1A1A" w14:textId="219B3C34" w:rsidR="00BF2801" w:rsidRPr="00EA05B0" w:rsidRDefault="00C70DAF"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Aunado a ello, no pasa desapercibido </w:t>
      </w:r>
      <w:r w:rsidRPr="00EA05B0">
        <w:rPr>
          <w:rFonts w:ascii="Palatino Linotype" w:eastAsia="Calibri" w:hAnsi="Palatino Linotype" w:cs="Arial"/>
          <w:lang w:val="es-ES"/>
        </w:rPr>
        <w:t xml:space="preserve">que la </w:t>
      </w:r>
      <w:r w:rsidRPr="00EA05B0">
        <w:rPr>
          <w:rFonts w:ascii="Palatino Linotype" w:eastAsia="Calibri" w:hAnsi="Palatino Linotype" w:cs="Arial"/>
          <w:b/>
          <w:lang w:val="es-ES"/>
        </w:rPr>
        <w:t>RECURRENTE</w:t>
      </w:r>
      <w:r w:rsidRPr="00EA05B0">
        <w:rPr>
          <w:rFonts w:ascii="Palatino Linotype" w:eastAsia="Calibri" w:hAnsi="Palatino Linotype" w:cs="Arial"/>
          <w:lang w:val="es-ES"/>
        </w:rPr>
        <w:t xml:space="preserve"> solicitó la información vía Sistema de Acceso a la Información Mexiquense (SAIMEX), y de conformidad con el artículo 92 fracción LX, la información solicitada encuadra como obligación de transparencia de oficio, por lo que la misma ya debería encontrarse en el sistema </w:t>
      </w:r>
      <w:r w:rsidRPr="00EA05B0">
        <w:rPr>
          <w:rFonts w:ascii="Palatino Linotype" w:eastAsia="Calibri" w:hAnsi="Palatino Linotype" w:cs="Arial"/>
          <w:b/>
          <w:lang w:val="es-ES"/>
        </w:rPr>
        <w:t>IPOMEX</w:t>
      </w:r>
      <w:r w:rsidRPr="00EA05B0">
        <w:rPr>
          <w:rFonts w:ascii="Palatino Linotype" w:eastAsia="Calibri" w:hAnsi="Palatino Linotype" w:cs="Arial"/>
          <w:lang w:val="es-ES"/>
        </w:rPr>
        <w:t xml:space="preserve">, o mínimo digitalizada para su pronta actualización al </w:t>
      </w:r>
      <w:r w:rsidR="00774586" w:rsidRPr="00EA05B0">
        <w:rPr>
          <w:rFonts w:ascii="Palatino Linotype" w:eastAsia="Calibri" w:hAnsi="Palatino Linotype" w:cs="Arial"/>
          <w:lang w:val="es-ES"/>
        </w:rPr>
        <w:t>Sistema de C</w:t>
      </w:r>
      <w:r w:rsidRPr="00EA05B0">
        <w:rPr>
          <w:rFonts w:ascii="Palatino Linotype" w:eastAsia="Calibri" w:hAnsi="Palatino Linotype" w:cs="Arial"/>
          <w:lang w:val="es-ES"/>
        </w:rPr>
        <w:t>onsulta.</w:t>
      </w:r>
    </w:p>
    <w:p w14:paraId="5A330C2A" w14:textId="77777777" w:rsidR="00BF2801" w:rsidRPr="00EA05B0" w:rsidRDefault="00BF2801" w:rsidP="00BF2801">
      <w:pPr>
        <w:pStyle w:val="Prrafodelista"/>
        <w:spacing w:before="240" w:after="240" w:line="360" w:lineRule="auto"/>
        <w:ind w:left="426"/>
        <w:jc w:val="both"/>
        <w:rPr>
          <w:rFonts w:ascii="Palatino Linotype" w:hAnsi="Palatino Linotype"/>
          <w:color w:val="000000"/>
        </w:rPr>
      </w:pPr>
    </w:p>
    <w:p w14:paraId="6BBE7C66" w14:textId="29BF1A23" w:rsidR="00BF2801" w:rsidRPr="00EA05B0" w:rsidRDefault="00C70DAF"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Bajo </w:t>
      </w:r>
      <w:r w:rsidRPr="00EA05B0">
        <w:rPr>
          <w:rFonts w:ascii="Palatino Linotype" w:hAnsi="Palatino Linotype" w:cs="Arial"/>
        </w:rPr>
        <w:t xml:space="preserve">la tesitura anterior, </w:t>
      </w:r>
      <w:r w:rsidRPr="00EA05B0">
        <w:rPr>
          <w:rFonts w:ascii="Palatino Linotype" w:eastAsia="Calibri" w:hAnsi="Palatino Linotype" w:cs="Arial"/>
          <w:lang w:val="es-ES"/>
        </w:rPr>
        <w:t>se debe traer a estudio lo dispuesto en los Lineamientos para la Organización y Conservación de los Archivos</w:t>
      </w:r>
      <w:r w:rsidRPr="00EA05B0">
        <w:rPr>
          <w:rStyle w:val="Refdenotaalpie"/>
          <w:rFonts w:ascii="Palatino Linotype" w:eastAsia="Calibri" w:hAnsi="Palatino Linotype" w:cs="Arial"/>
          <w:lang w:val="es-ES"/>
        </w:rPr>
        <w:footnoteReference w:id="6"/>
      </w:r>
      <w:r w:rsidRPr="00EA05B0">
        <w:rPr>
          <w:rFonts w:ascii="Palatino Linotype" w:eastAsia="Calibri" w:hAnsi="Palatino Linotype" w:cs="Arial"/>
          <w:lang w:val="es-ES"/>
        </w:rPr>
        <w:t xml:space="preserve"> emitidos por el Consejo </w:t>
      </w:r>
      <w:r w:rsidRPr="00EA05B0">
        <w:rPr>
          <w:rFonts w:ascii="Palatino Linotype" w:eastAsia="Calibri" w:hAnsi="Palatino Linotype" w:cs="Arial"/>
          <w:lang w:val="es-ES"/>
        </w:rPr>
        <w:lastRenderedPageBreak/>
        <w:t>Nacional del Sistema Nacional de Transparencia, Acceso a la Información Pública y Protección de Datos Personales, mismos que establecen lo siguiente:</w:t>
      </w:r>
    </w:p>
    <w:p w14:paraId="3ED8B4F0"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r w:rsidRPr="00EA05B0">
        <w:rPr>
          <w:rFonts w:ascii="Palatino Linotype" w:hAnsi="Palatino Linotype"/>
          <w:b/>
          <w:i/>
          <w:sz w:val="22"/>
          <w:lang w:eastAsia="es-ES_tradnl"/>
        </w:rPr>
        <w:t>Primero.</w:t>
      </w:r>
      <w:r w:rsidRPr="00EA05B0">
        <w:rPr>
          <w:rFonts w:ascii="Palatino Linotype" w:hAnsi="Palatino Linotype"/>
          <w:i/>
          <w:sz w:val="22"/>
          <w:lang w:eastAsia="es-ES_tradnl"/>
        </w:rPr>
        <w:t xml:space="preserve"> Los presentes lineamientos tienen por objeto </w:t>
      </w:r>
      <w:r w:rsidRPr="00EA05B0">
        <w:rPr>
          <w:rFonts w:ascii="Palatino Linotype" w:hAnsi="Palatino Linotype"/>
          <w:b/>
          <w:i/>
          <w:sz w:val="22"/>
          <w:lang w:eastAsia="es-ES_tradnl"/>
        </w:rPr>
        <w:t>establecer las políticas y criterios para la sistematización y digitalización, así como para la custodia y conservación de los archivos en posesión de los sujetos obligados, con la finalidad de garantizar la disponibilidad</w:t>
      </w:r>
      <w:r w:rsidRPr="00EA05B0">
        <w:rPr>
          <w:rFonts w:ascii="Palatino Linotype" w:hAnsi="Palatino Linotype"/>
          <w:i/>
          <w:sz w:val="22"/>
          <w:lang w:eastAsia="es-ES_tradnl"/>
        </w:rPr>
        <w:t>, la localización eficiente de la información generada, obtenida, adquirida, transformada y contar con sistemas de información, ágiles y eficientes.</w:t>
      </w:r>
    </w:p>
    <w:p w14:paraId="1AA224EB"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p>
    <w:p w14:paraId="596F1B05"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b/>
          <w:i/>
          <w:sz w:val="22"/>
          <w:lang w:eastAsia="es-ES_tradnl"/>
        </w:rPr>
        <w:t>Cuarto.</w:t>
      </w:r>
      <w:r w:rsidRPr="00EA05B0">
        <w:rPr>
          <w:rFonts w:ascii="Palatino Linotype" w:hAnsi="Palatino Linotype"/>
          <w:i/>
          <w:sz w:val="22"/>
          <w:lang w:eastAsia="es-ES_tradnl"/>
        </w:rPr>
        <w:t xml:space="preserve"> Además de las definiciones contenidas en el artículo 3 de la Ley General de Transparencia y Acceso a la Información Pública, para efectos de los presentes lineamientos se entenderá por:</w:t>
      </w:r>
    </w:p>
    <w:p w14:paraId="166C6BE1"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p>
    <w:p w14:paraId="58736124"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b/>
          <w:i/>
          <w:sz w:val="22"/>
          <w:lang w:eastAsia="es-ES_tradnl"/>
        </w:rPr>
        <w:t>XVII. Digitalización.</w:t>
      </w:r>
      <w:r w:rsidRPr="00EA05B0">
        <w:rPr>
          <w:rFonts w:ascii="Palatino Linotype" w:hAnsi="Palatino Linotype"/>
          <w:i/>
          <w:sz w:val="22"/>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5D628A14"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p>
    <w:p w14:paraId="2857FF9A"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b/>
          <w:i/>
          <w:sz w:val="22"/>
          <w:lang w:eastAsia="es-ES_tradnl"/>
        </w:rPr>
        <w:t>XXXVIII. Preservación digital:</w:t>
      </w:r>
      <w:r w:rsidRPr="00EA05B0">
        <w:rPr>
          <w:rFonts w:ascii="Palatino Linotype" w:hAnsi="Palatino Linotype"/>
          <w:i/>
          <w:sz w:val="22"/>
          <w:lang w:eastAsia="es-ES_tradnl"/>
        </w:rPr>
        <w:t xml:space="preserve"> </w:t>
      </w:r>
      <w:r w:rsidRPr="00EA05B0">
        <w:rPr>
          <w:rFonts w:ascii="Palatino Linotype" w:hAnsi="Palatino Linotype"/>
          <w:b/>
          <w:i/>
          <w:sz w:val="22"/>
          <w:lang w:eastAsia="es-ES_tradnl"/>
        </w:rPr>
        <w:t>El proceso específico para mantener los materiales digitales durante las diferentes generaciones de la tecnología, a través del tiempo, con independencia de los soportes en los que se almacenan;</w:t>
      </w:r>
    </w:p>
    <w:p w14:paraId="52F584B8"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p>
    <w:p w14:paraId="2FF17584" w14:textId="77777777" w:rsidR="00C70DAF" w:rsidRPr="00EA05B0" w:rsidRDefault="00C70DAF" w:rsidP="00C70DAF">
      <w:pPr>
        <w:pStyle w:val="Sinespaciado"/>
        <w:ind w:left="851" w:right="567"/>
        <w:jc w:val="both"/>
        <w:rPr>
          <w:rFonts w:ascii="Palatino Linotype" w:hAnsi="Palatino Linotype"/>
          <w:b/>
          <w:i/>
          <w:sz w:val="22"/>
          <w:lang w:eastAsia="es-ES_tradnl"/>
        </w:rPr>
      </w:pPr>
      <w:r w:rsidRPr="00EA05B0">
        <w:rPr>
          <w:rFonts w:ascii="Palatino Linotype" w:hAnsi="Palatino Linotype"/>
          <w:b/>
          <w:i/>
          <w:sz w:val="22"/>
          <w:lang w:eastAsia="es-ES_tradnl"/>
        </w:rPr>
        <w:t>Trigésimo cuarto. Los Sujetos obligados deberán establecer, en el Programa anual de desarrollo archivístico, la estrategia de conservación a largo plazo y las acciones que garanticen los procesos de gestión documental electrónica.</w:t>
      </w:r>
    </w:p>
    <w:p w14:paraId="5D36074B" w14:textId="77777777" w:rsidR="00C70DAF" w:rsidRPr="00EA05B0" w:rsidRDefault="00C70DAF" w:rsidP="00C70DAF">
      <w:pPr>
        <w:pStyle w:val="Sinespaciado"/>
        <w:ind w:left="851" w:right="567"/>
        <w:jc w:val="both"/>
        <w:rPr>
          <w:rFonts w:ascii="Palatino Linotype" w:hAnsi="Palatino Linotype"/>
          <w:i/>
          <w:sz w:val="22"/>
          <w:lang w:eastAsia="es-ES_tradnl"/>
        </w:rPr>
      </w:pPr>
      <w:r w:rsidRPr="00EA05B0">
        <w:rPr>
          <w:rFonts w:ascii="Palatino Linotype" w:hAnsi="Palatino Linotype"/>
          <w:i/>
          <w:sz w:val="22"/>
          <w:lang w:eastAsia="es-ES_tradnl"/>
        </w:rPr>
        <w:t>(…)”</w:t>
      </w:r>
    </w:p>
    <w:p w14:paraId="601582B3" w14:textId="7CC2A6E1" w:rsidR="00C70DAF" w:rsidRPr="00EA05B0" w:rsidRDefault="00C70DAF" w:rsidP="00C70DAF">
      <w:pPr>
        <w:pStyle w:val="Sinespaciado"/>
        <w:ind w:left="851" w:right="567"/>
        <w:jc w:val="both"/>
        <w:rPr>
          <w:rFonts w:ascii="Palatino Linotype" w:hAnsi="Palatino Linotype"/>
          <w:color w:val="000000"/>
          <w:sz w:val="22"/>
        </w:rPr>
      </w:pPr>
      <w:r w:rsidRPr="00EA05B0">
        <w:rPr>
          <w:rFonts w:ascii="Palatino Linotype" w:hAnsi="Palatino Linotype"/>
          <w:sz w:val="22"/>
          <w:lang w:eastAsia="es-ES_tradnl"/>
        </w:rPr>
        <w:t>(Énfasis añadido)</w:t>
      </w:r>
    </w:p>
    <w:p w14:paraId="73667C4C" w14:textId="77777777" w:rsidR="00BF2801" w:rsidRPr="00EA05B0" w:rsidRDefault="00BF2801" w:rsidP="00BF2801">
      <w:pPr>
        <w:pStyle w:val="Prrafodelista"/>
        <w:spacing w:before="240" w:after="240" w:line="360" w:lineRule="auto"/>
        <w:ind w:left="426"/>
        <w:jc w:val="both"/>
        <w:rPr>
          <w:rFonts w:ascii="Palatino Linotype" w:hAnsi="Palatino Linotype"/>
          <w:color w:val="000000"/>
        </w:rPr>
      </w:pPr>
    </w:p>
    <w:p w14:paraId="4F5866C8" w14:textId="2DDAF35B" w:rsidR="00F95EFD" w:rsidRPr="00EA05B0" w:rsidRDefault="00C70DAF" w:rsidP="00636D31">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Es </w:t>
      </w:r>
      <w:r w:rsidRPr="00EA05B0">
        <w:rPr>
          <w:rFonts w:ascii="Palatino Linotype" w:hAnsi="Palatino Linotype" w:cs="Arial"/>
        </w:rPr>
        <w:t xml:space="preserve">así, que los Sujetos Obligados de conformidad con los citados Lineamientos </w:t>
      </w:r>
      <w:r w:rsidRPr="00EA05B0">
        <w:rPr>
          <w:rFonts w:ascii="Palatino Linotype" w:hAnsi="Palatino Linotype" w:cs="Arial"/>
          <w:b/>
          <w:u w:val="single"/>
        </w:rPr>
        <w:t>tienen la obligación de digitalizar la información de los archivos en su posesión</w:t>
      </w:r>
      <w:r w:rsidRPr="00EA05B0">
        <w:rPr>
          <w:rFonts w:ascii="Palatino Linotype" w:hAnsi="Palatino Linotype" w:cs="Arial"/>
        </w:rPr>
        <w:t xml:space="preserve">, con la finalidad de garantizar su disponibilidad para los particulares en general, además, en su transitorio segundo establece que los Sujetos Obligados contarán con un plazo máximo de doce meses posteriores a la </w:t>
      </w:r>
      <w:r w:rsidRPr="00EA05B0">
        <w:rPr>
          <w:rFonts w:ascii="Palatino Linotype" w:hAnsi="Palatino Linotype" w:cs="Arial"/>
        </w:rPr>
        <w:lastRenderedPageBreak/>
        <w:t>publicación de los Lineamientos para la implementación del Sistema Institucional de Archivos y, toda vez que este fue publicado el cuatro (04) de mayo de dos mil dieciséis, el periodo para la implementación feneció el cuatro (04) de mayo de dos mil diecisiete.</w:t>
      </w:r>
    </w:p>
    <w:p w14:paraId="389FA4B6" w14:textId="77777777" w:rsidR="00C70DAF" w:rsidRPr="00EA05B0" w:rsidRDefault="00C70DAF" w:rsidP="00C70DAF">
      <w:pPr>
        <w:pStyle w:val="Prrafodelista"/>
        <w:spacing w:before="240" w:after="240" w:line="360" w:lineRule="auto"/>
        <w:ind w:left="426"/>
        <w:jc w:val="both"/>
        <w:rPr>
          <w:rFonts w:ascii="Palatino Linotype" w:hAnsi="Palatino Linotype"/>
          <w:color w:val="000000"/>
        </w:rPr>
      </w:pPr>
    </w:p>
    <w:p w14:paraId="0D6BD51C" w14:textId="66F6B23B" w:rsidR="00F95EFD" w:rsidRPr="00EA05B0" w:rsidRDefault="00705A11" w:rsidP="00867979">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Por ello</w:t>
      </w:r>
      <w:r w:rsidR="003E74CE" w:rsidRPr="00EA05B0">
        <w:rPr>
          <w:rFonts w:ascii="Palatino Linotype" w:hAnsi="Palatino Linotype"/>
          <w:color w:val="000000"/>
        </w:rPr>
        <w:t>, es importante precisar que el Bando Municipal de Policía y Buen Gobierno 2018 del Ayuntamiento de Almoloya del Río, dicta lo siguiente:</w:t>
      </w:r>
    </w:p>
    <w:p w14:paraId="4A37BC53" w14:textId="5AA2C013" w:rsidR="003E74CE" w:rsidRPr="00EA05B0" w:rsidRDefault="003E74CE" w:rsidP="003E74CE">
      <w:pPr>
        <w:pStyle w:val="Sinespaciado"/>
        <w:jc w:val="center"/>
        <w:rPr>
          <w:rFonts w:ascii="Palatino Linotype" w:hAnsi="Palatino Linotype"/>
          <w:i/>
          <w:sz w:val="22"/>
        </w:rPr>
      </w:pPr>
      <w:r w:rsidRPr="00EA05B0">
        <w:rPr>
          <w:rFonts w:ascii="Palatino Linotype" w:hAnsi="Palatino Linotype"/>
          <w:i/>
          <w:sz w:val="22"/>
        </w:rPr>
        <w:t>“CAPÍTULO V</w:t>
      </w:r>
    </w:p>
    <w:p w14:paraId="37E8FB39" w14:textId="5E97B6AF" w:rsidR="003E74CE" w:rsidRPr="00EA05B0" w:rsidRDefault="003E74CE" w:rsidP="003E74CE">
      <w:pPr>
        <w:pStyle w:val="Sinespaciado"/>
        <w:jc w:val="center"/>
        <w:rPr>
          <w:rFonts w:ascii="Palatino Linotype" w:hAnsi="Palatino Linotype"/>
          <w:i/>
          <w:sz w:val="22"/>
        </w:rPr>
      </w:pPr>
      <w:r w:rsidRPr="00EA05B0">
        <w:rPr>
          <w:rFonts w:ascii="Palatino Linotype" w:hAnsi="Palatino Linotype"/>
          <w:i/>
          <w:sz w:val="22"/>
        </w:rPr>
        <w:t>DE LA DIRECCION JURÍDICA DEL AYUNTAMIENTO</w:t>
      </w:r>
    </w:p>
    <w:p w14:paraId="3DF70F30" w14:textId="4A0E8612" w:rsidR="003E74CE" w:rsidRPr="00EA05B0" w:rsidRDefault="003E74CE" w:rsidP="003E74CE">
      <w:pPr>
        <w:pStyle w:val="Sinespaciado"/>
        <w:jc w:val="both"/>
        <w:rPr>
          <w:rFonts w:ascii="Palatino Linotype" w:hAnsi="Palatino Linotype"/>
          <w:i/>
          <w:sz w:val="22"/>
        </w:rPr>
      </w:pPr>
      <w:r w:rsidRPr="00EA05B0">
        <w:rPr>
          <w:rFonts w:ascii="Palatino Linotype" w:hAnsi="Palatino Linotype"/>
          <w:b/>
          <w:i/>
          <w:sz w:val="22"/>
        </w:rPr>
        <w:t>Artículo 80.-</w:t>
      </w:r>
      <w:r w:rsidRPr="00EA05B0">
        <w:rPr>
          <w:rFonts w:ascii="Palatino Linotype" w:hAnsi="Palatino Linotype"/>
          <w:i/>
          <w:sz w:val="22"/>
        </w:rPr>
        <w:t xml:space="preserve"> La </w:t>
      </w:r>
      <w:r w:rsidRPr="00EA05B0">
        <w:rPr>
          <w:rFonts w:ascii="Palatino Linotype" w:hAnsi="Palatino Linotype"/>
          <w:b/>
          <w:i/>
          <w:sz w:val="22"/>
        </w:rPr>
        <w:t>Dirección Jurídica del Ayuntamiento, es el órgano encargado de la representación legal del Ayuntamiento Municipal</w:t>
      </w:r>
      <w:r w:rsidRPr="00EA05B0">
        <w:rPr>
          <w:rFonts w:ascii="Palatino Linotype" w:hAnsi="Palatino Linotype"/>
          <w:i/>
          <w:sz w:val="22"/>
        </w:rPr>
        <w:t xml:space="preserve"> y sus atribuciones son las siguientes: </w:t>
      </w:r>
    </w:p>
    <w:p w14:paraId="7FA91301" w14:textId="77777777" w:rsidR="003E74CE" w:rsidRPr="00EA05B0" w:rsidRDefault="003E74CE" w:rsidP="003E74CE">
      <w:pPr>
        <w:pStyle w:val="Sinespaciado"/>
        <w:ind w:left="284"/>
        <w:jc w:val="both"/>
        <w:rPr>
          <w:rFonts w:ascii="Palatino Linotype" w:hAnsi="Palatino Linotype"/>
          <w:i/>
          <w:sz w:val="22"/>
        </w:rPr>
      </w:pPr>
      <w:r w:rsidRPr="00EA05B0">
        <w:rPr>
          <w:rFonts w:ascii="Palatino Linotype" w:hAnsi="Palatino Linotype"/>
          <w:b/>
          <w:i/>
          <w:sz w:val="22"/>
        </w:rPr>
        <w:t>A. Representar jurídicamente al Ayuntamiento</w:t>
      </w:r>
      <w:r w:rsidRPr="00EA05B0">
        <w:rPr>
          <w:rFonts w:ascii="Palatino Linotype" w:hAnsi="Palatino Linotype"/>
          <w:i/>
          <w:sz w:val="22"/>
        </w:rPr>
        <w:t xml:space="preserve">, Organismos Descentralizados y Áreas Administrativas en asuntos oficiales, con las facultades para celebrar convenios legales y amistosos en cualquier materia. </w:t>
      </w:r>
    </w:p>
    <w:p w14:paraId="1D1AF399" w14:textId="77777777" w:rsidR="003E74CE" w:rsidRPr="00EA05B0" w:rsidRDefault="003E74CE" w:rsidP="003E74CE">
      <w:pPr>
        <w:pStyle w:val="Sinespaciado"/>
        <w:ind w:left="284"/>
        <w:jc w:val="both"/>
        <w:rPr>
          <w:rFonts w:ascii="Palatino Linotype" w:hAnsi="Palatino Linotype"/>
          <w:i/>
          <w:sz w:val="22"/>
        </w:rPr>
      </w:pPr>
      <w:r w:rsidRPr="00EA05B0">
        <w:rPr>
          <w:rFonts w:ascii="Palatino Linotype" w:hAnsi="Palatino Linotype"/>
          <w:b/>
          <w:i/>
          <w:sz w:val="22"/>
        </w:rPr>
        <w:t>B.</w:t>
      </w:r>
      <w:r w:rsidRPr="00EA05B0">
        <w:rPr>
          <w:rFonts w:ascii="Palatino Linotype" w:hAnsi="Palatino Linotype"/>
          <w:i/>
          <w:sz w:val="22"/>
        </w:rPr>
        <w:t xml:space="preserve"> Defender y promover los derechos e intereses municipales. </w:t>
      </w:r>
    </w:p>
    <w:p w14:paraId="7C0695B7" w14:textId="5D281D3E" w:rsidR="003E74CE" w:rsidRPr="00EA05B0" w:rsidRDefault="003E74CE" w:rsidP="003E74CE">
      <w:pPr>
        <w:pStyle w:val="Sinespaciado"/>
        <w:ind w:left="284"/>
        <w:jc w:val="both"/>
        <w:rPr>
          <w:rFonts w:ascii="Palatino Linotype" w:hAnsi="Palatino Linotype"/>
          <w:i/>
          <w:sz w:val="22"/>
        </w:rPr>
      </w:pPr>
      <w:r w:rsidRPr="00EA05B0">
        <w:rPr>
          <w:rFonts w:ascii="Palatino Linotype" w:hAnsi="Palatino Linotype"/>
          <w:b/>
          <w:i/>
          <w:sz w:val="22"/>
        </w:rPr>
        <w:t>C.</w:t>
      </w:r>
      <w:r w:rsidRPr="00EA05B0">
        <w:rPr>
          <w:rFonts w:ascii="Palatino Linotype" w:hAnsi="Palatino Linotype"/>
          <w:i/>
          <w:sz w:val="22"/>
        </w:rPr>
        <w:t xml:space="preserve"> Asesorar a cada uno de los miembros del Ayuntamiento en asuntos oficiales de carácter jurídico.”</w:t>
      </w:r>
    </w:p>
    <w:p w14:paraId="02475364" w14:textId="77777777" w:rsidR="003E74CE" w:rsidRPr="00EA05B0" w:rsidRDefault="003E74CE" w:rsidP="003E74CE">
      <w:pPr>
        <w:pStyle w:val="Sinespaciado"/>
        <w:jc w:val="both"/>
        <w:rPr>
          <w:rFonts w:ascii="Palatino Linotype" w:hAnsi="Palatino Linotype"/>
          <w:i/>
          <w:color w:val="000000"/>
          <w:sz w:val="22"/>
        </w:rPr>
      </w:pPr>
    </w:p>
    <w:p w14:paraId="3DD27025" w14:textId="6A9A44A9" w:rsidR="00F95EFD" w:rsidRPr="00EA05B0" w:rsidRDefault="003E74CE"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Así así como se demuestra que el </w:t>
      </w:r>
      <w:r w:rsidRPr="00EA05B0">
        <w:rPr>
          <w:rFonts w:ascii="Palatino Linotype" w:hAnsi="Palatino Linotype"/>
          <w:b/>
          <w:color w:val="000000"/>
        </w:rPr>
        <w:t>SUJETO OBLIGADO</w:t>
      </w:r>
      <w:r w:rsidRPr="00EA05B0">
        <w:rPr>
          <w:rFonts w:ascii="Palatino Linotype" w:hAnsi="Palatino Linotype"/>
          <w:color w:val="000000"/>
        </w:rPr>
        <w:t xml:space="preserve">, a través de su Dirección Jurídica, posee </w:t>
      </w:r>
      <w:r w:rsidRPr="00EA05B0">
        <w:rPr>
          <w:rFonts w:ascii="Palatino Linotype" w:hAnsi="Palatino Linotype"/>
        </w:rPr>
        <w:t>información respecto de los registros de las demandas que reciben y turnen para contestación, bajo su supervisión; elaborar y dar seguimiento a los juicios de</w:t>
      </w:r>
      <w:r w:rsidR="00C91EE5" w:rsidRPr="00EA05B0">
        <w:rPr>
          <w:rFonts w:ascii="Palatino Linotype" w:hAnsi="Palatino Linotype"/>
        </w:rPr>
        <w:t xml:space="preserve"> materia civil, mercantil, penal, laboral, entre otras; </w:t>
      </w:r>
      <w:r w:rsidRPr="00EA05B0">
        <w:rPr>
          <w:rFonts w:ascii="Palatino Linotype" w:hAnsi="Palatino Linotype"/>
        </w:rPr>
        <w:t>y por ende contar con los laudos que emitan las autoridades competentes en materia laboral.</w:t>
      </w:r>
    </w:p>
    <w:p w14:paraId="7CDB4D76"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222A02C7" w14:textId="41605DBE" w:rsidR="00F95EFD" w:rsidRPr="00EA05B0" w:rsidRDefault="00C91EE5"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Ahora </w:t>
      </w:r>
      <w:r w:rsidRPr="00EA05B0">
        <w:rPr>
          <w:rFonts w:ascii="Palatino Linotype" w:hAnsi="Palatino Linotype" w:cs="Arial"/>
          <w:lang w:val="es-MX" w:eastAsia="es-MX"/>
        </w:rPr>
        <w:t xml:space="preserve">bien, </w:t>
      </w:r>
      <w:r w:rsidRPr="00EA05B0">
        <w:rPr>
          <w:rFonts w:ascii="Palatino Linotype" w:hAnsi="Palatino Linotype" w:cs="Arial"/>
        </w:rPr>
        <w:t xml:space="preserve">es importante traer a contexto el contenido del segundo párrafo del artículo 4 de la </w:t>
      </w:r>
      <w:r w:rsidRPr="00EA05B0">
        <w:rPr>
          <w:rFonts w:ascii="Palatino Linotype" w:hAnsi="Palatino Linotype" w:cs="Arial"/>
          <w:b/>
        </w:rPr>
        <w:t>Ley de Transparencia y Acceso a la información Pública del Estado de México y Municipios</w:t>
      </w:r>
      <w:r w:rsidRPr="00EA05B0">
        <w:rPr>
          <w:rFonts w:ascii="Palatino Linotype" w:hAnsi="Palatino Linotype" w:cs="Arial"/>
        </w:rPr>
        <w:t>, que dispone:</w:t>
      </w:r>
    </w:p>
    <w:p w14:paraId="5CBB645E" w14:textId="7FA1014C" w:rsidR="00C91EE5" w:rsidRPr="00EA05B0" w:rsidRDefault="00C91EE5" w:rsidP="00C91EE5">
      <w:pPr>
        <w:pStyle w:val="Sinespaciado"/>
        <w:jc w:val="both"/>
        <w:rPr>
          <w:rFonts w:ascii="Palatino Linotype" w:hAnsi="Palatino Linotype"/>
          <w:b/>
          <w:i/>
          <w:sz w:val="22"/>
        </w:rPr>
      </w:pPr>
      <w:r w:rsidRPr="00EA05B0">
        <w:rPr>
          <w:rFonts w:ascii="Palatino Linotype" w:hAnsi="Palatino Linotype"/>
          <w:i/>
          <w:sz w:val="22"/>
        </w:rPr>
        <w:t>“</w:t>
      </w:r>
      <w:r w:rsidRPr="00EA05B0">
        <w:rPr>
          <w:rFonts w:ascii="Palatino Linotype" w:hAnsi="Palatino Linotype"/>
          <w:b/>
          <w:i/>
          <w:sz w:val="22"/>
        </w:rPr>
        <w:t>Artículo 4.</w:t>
      </w:r>
    </w:p>
    <w:p w14:paraId="1C0659F2" w14:textId="64BB4A68" w:rsidR="00C91EE5" w:rsidRPr="00EA05B0" w:rsidRDefault="00C91EE5" w:rsidP="00C91EE5">
      <w:pPr>
        <w:pStyle w:val="Sinespaciado"/>
        <w:jc w:val="both"/>
        <w:rPr>
          <w:rFonts w:ascii="Palatino Linotype" w:hAnsi="Palatino Linotype"/>
          <w:i/>
          <w:sz w:val="22"/>
        </w:rPr>
      </w:pPr>
      <w:r w:rsidRPr="00EA05B0">
        <w:rPr>
          <w:rFonts w:ascii="Palatino Linotype" w:hAnsi="Palatino Linotype"/>
          <w:i/>
          <w:sz w:val="22"/>
        </w:rPr>
        <w:t>(…)</w:t>
      </w:r>
    </w:p>
    <w:p w14:paraId="0437B436" w14:textId="3AB54CB1" w:rsidR="00F95EFD" w:rsidRPr="00EA05B0" w:rsidRDefault="00C91EE5" w:rsidP="00C91EE5">
      <w:pPr>
        <w:pStyle w:val="Sinespaciado"/>
        <w:jc w:val="both"/>
        <w:rPr>
          <w:rFonts w:ascii="Palatino Linotype" w:hAnsi="Palatino Linotype"/>
          <w:i/>
          <w:sz w:val="22"/>
        </w:rPr>
      </w:pPr>
      <w:r w:rsidRPr="00EA05B0">
        <w:rPr>
          <w:rFonts w:ascii="Palatino Linotype" w:hAnsi="Palatino Linotype"/>
          <w:b/>
          <w:i/>
          <w:sz w:val="22"/>
        </w:rPr>
        <w:t>Toda la información generada, obtenida, adquirida, transformada, administrada o en posesión de los sujetos obligados es pública y accesible de manera permanente a cualquier persona</w:t>
      </w:r>
      <w:r w:rsidRPr="00EA05B0">
        <w:rPr>
          <w:rFonts w:ascii="Palatino Linotype" w:hAnsi="Palatino Linotype"/>
          <w:i/>
          <w:sz w:val="22"/>
        </w:rPr>
        <w:t xml:space="preserve">, en los términos y condiciones que se establezcan en los tratados internacionales de los que el Estado mexicano sea parte, en la Ley General, la presente Ley y demás disposiciones de la materia, </w:t>
      </w:r>
      <w:r w:rsidRPr="00EA05B0">
        <w:rPr>
          <w:rFonts w:ascii="Palatino Linotype" w:hAnsi="Palatino Linotype"/>
          <w:b/>
          <w:i/>
          <w:sz w:val="22"/>
        </w:rPr>
        <w:t>privilegiando el principio de máxima publicidad de la información</w:t>
      </w:r>
      <w:r w:rsidRPr="00EA05B0">
        <w:rPr>
          <w:rFonts w:ascii="Palatino Linotype" w:hAnsi="Palatino Linotype"/>
          <w:i/>
          <w:sz w:val="22"/>
        </w:rPr>
        <w:t>. Solo podrá ser clasificada excepcionalmente como reservada temporalmente por razones de interés público, en los términos de las causas legítimas y estrictamente necesarias previstas por esta Ley.</w:t>
      </w:r>
    </w:p>
    <w:p w14:paraId="0022682E" w14:textId="4C01B016" w:rsidR="00C91EE5" w:rsidRPr="00EA05B0" w:rsidRDefault="00C91EE5" w:rsidP="00C91EE5">
      <w:pPr>
        <w:pStyle w:val="Sinespaciado"/>
        <w:jc w:val="both"/>
        <w:rPr>
          <w:rFonts w:ascii="Palatino Linotype" w:hAnsi="Palatino Linotype"/>
          <w:sz w:val="22"/>
        </w:rPr>
      </w:pPr>
      <w:r w:rsidRPr="00EA05B0">
        <w:rPr>
          <w:rFonts w:ascii="Palatino Linotype" w:hAnsi="Palatino Linotype"/>
          <w:i/>
          <w:sz w:val="22"/>
        </w:rPr>
        <w:t>(…)”</w:t>
      </w:r>
    </w:p>
    <w:p w14:paraId="77CD195A" w14:textId="125277FA" w:rsidR="00C91EE5" w:rsidRPr="00EA05B0" w:rsidRDefault="00C91EE5" w:rsidP="00C91EE5">
      <w:pPr>
        <w:pStyle w:val="Sinespaciado"/>
        <w:jc w:val="both"/>
        <w:rPr>
          <w:rFonts w:ascii="Palatino Linotype" w:hAnsi="Palatino Linotype"/>
          <w:color w:val="000000"/>
          <w:sz w:val="22"/>
        </w:rPr>
      </w:pPr>
      <w:r w:rsidRPr="00EA05B0">
        <w:rPr>
          <w:rFonts w:ascii="Palatino Linotype" w:hAnsi="Palatino Linotype"/>
          <w:sz w:val="22"/>
        </w:rPr>
        <w:t>Énfasis añadido.</w:t>
      </w:r>
    </w:p>
    <w:p w14:paraId="28F907C9" w14:textId="77777777" w:rsidR="00C91EE5" w:rsidRPr="00EA05B0" w:rsidRDefault="00C91EE5" w:rsidP="00F95EFD">
      <w:pPr>
        <w:pStyle w:val="Prrafodelista"/>
        <w:spacing w:before="240" w:after="240" w:line="360" w:lineRule="auto"/>
        <w:ind w:left="426"/>
        <w:jc w:val="both"/>
        <w:rPr>
          <w:rFonts w:ascii="Palatino Linotype" w:hAnsi="Palatino Linotype"/>
          <w:color w:val="000000"/>
        </w:rPr>
      </w:pPr>
    </w:p>
    <w:p w14:paraId="23287CAE" w14:textId="356DE4A1" w:rsidR="00F95EFD" w:rsidRPr="00EA05B0" w:rsidRDefault="00C91EE5"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El </w:t>
      </w:r>
      <w:r w:rsidRPr="00EA05B0">
        <w:rPr>
          <w:rFonts w:ascii="Palatino Linotype" w:hAnsi="Palatino Linotype" w:cs="Arial"/>
        </w:rPr>
        <w:t xml:space="preserve">precepto legal transcrito establece la obligación de los Sujetos Obligados a entregar la información pública solicitada y que obre en sus archivos, </w:t>
      </w:r>
      <w:r w:rsidRPr="00EA05B0">
        <w:rPr>
          <w:rFonts w:ascii="Palatino Linotype" w:hAnsi="Palatino Linotype" w:cs="Arial"/>
          <w:b/>
          <w:u w:val="single"/>
        </w:rPr>
        <w:t xml:space="preserve">siendo ésta </w:t>
      </w:r>
      <w:r w:rsidRPr="00EA05B0">
        <w:rPr>
          <w:rFonts w:ascii="Palatino Linotype" w:hAnsi="Palatino Linotype" w:cs="Arial"/>
        </w:rPr>
        <w:t>la generada</w:t>
      </w:r>
      <w:r w:rsidRPr="00EA05B0">
        <w:rPr>
          <w:rFonts w:ascii="Palatino Linotype" w:hAnsi="Palatino Linotype" w:cs="Arial"/>
          <w:b/>
        </w:rPr>
        <w:t xml:space="preserve"> </w:t>
      </w:r>
      <w:r w:rsidRPr="00EA05B0">
        <w:rPr>
          <w:rFonts w:ascii="Palatino Linotype" w:hAnsi="Palatino Linotype" w:cs="Arial"/>
        </w:rPr>
        <w:t xml:space="preserve">o </w:t>
      </w:r>
      <w:r w:rsidRPr="00EA05B0">
        <w:rPr>
          <w:rFonts w:ascii="Palatino Linotype" w:hAnsi="Palatino Linotype" w:cs="Arial"/>
          <w:b/>
          <w:u w:val="single"/>
        </w:rPr>
        <w:t>en su posesión</w:t>
      </w:r>
      <w:r w:rsidRPr="00EA05B0">
        <w:rPr>
          <w:rFonts w:ascii="Palatino Linotype" w:hAnsi="Palatino Linotype" w:cs="Arial"/>
        </w:rPr>
        <w:t>, privilegiando el principio de máxima publicidad</w:t>
      </w:r>
      <w:r w:rsidRPr="00EA05B0">
        <w:rPr>
          <w:rFonts w:ascii="Palatino Linotype" w:hAnsi="Palatino Linotype"/>
        </w:rPr>
        <w:t>, por lo que se encuentran obligados a entregarla cuando se les requiera y obre en sus archivos, ya que debe ser accesible de manera permanente para los particulares que así la soliciten.</w:t>
      </w:r>
    </w:p>
    <w:p w14:paraId="68093755"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40E182F7" w14:textId="718C678D" w:rsidR="00F95EFD" w:rsidRPr="00EA05B0" w:rsidRDefault="006A4748"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En consecuencia y derivado de lo anterior es que resulta dable ordenar al </w:t>
      </w:r>
      <w:r w:rsidRPr="00EA05B0">
        <w:rPr>
          <w:rFonts w:ascii="Palatino Linotype" w:hAnsi="Palatino Linotype"/>
          <w:b/>
          <w:color w:val="000000"/>
        </w:rPr>
        <w:t>SUJETO OBLIGADO</w:t>
      </w:r>
      <w:r w:rsidRPr="00EA05B0">
        <w:rPr>
          <w:rFonts w:ascii="Palatino Linotype" w:hAnsi="Palatino Linotype"/>
          <w:color w:val="000000"/>
        </w:rPr>
        <w:t xml:space="preserve"> entregar </w:t>
      </w:r>
      <w:r w:rsidR="00CF4507" w:rsidRPr="00EA05B0">
        <w:rPr>
          <w:rFonts w:ascii="Palatino Linotype" w:hAnsi="Palatino Linotype"/>
          <w:color w:val="000000"/>
        </w:rPr>
        <w:t xml:space="preserve">copia de </w:t>
      </w:r>
      <w:r w:rsidRPr="00EA05B0">
        <w:rPr>
          <w:rFonts w:ascii="Palatino Linotype" w:hAnsi="Palatino Linotype"/>
          <w:color w:val="000000"/>
        </w:rPr>
        <w:t xml:space="preserve">los laudos emitidos por demandas laborales </w:t>
      </w:r>
      <w:r w:rsidR="00774586" w:rsidRPr="00EA05B0">
        <w:rPr>
          <w:rFonts w:ascii="Palatino Linotype" w:hAnsi="Palatino Linotype"/>
          <w:color w:val="000000"/>
        </w:rPr>
        <w:t>durante el período de la actual administración</w:t>
      </w:r>
      <w:r w:rsidRPr="00EA05B0">
        <w:rPr>
          <w:rFonts w:ascii="Palatino Linotype" w:hAnsi="Palatino Linotype"/>
          <w:color w:val="000000"/>
        </w:rPr>
        <w:t xml:space="preserve"> del Ayuntamiento de Almoloya del Río</w:t>
      </w:r>
      <w:r w:rsidR="00774586" w:rsidRPr="00EA05B0">
        <w:rPr>
          <w:rFonts w:ascii="Palatino Linotype" w:hAnsi="Palatino Linotype"/>
          <w:color w:val="000000"/>
        </w:rPr>
        <w:t>.</w:t>
      </w:r>
    </w:p>
    <w:p w14:paraId="449CAF2A"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27E887B9" w14:textId="2E06CB61" w:rsidR="006A4748" w:rsidRPr="00EA05B0" w:rsidRDefault="00CF4507" w:rsidP="00CF4507">
      <w:pPr>
        <w:pStyle w:val="Ttulo1"/>
        <w:rPr>
          <w:color w:val="000000"/>
        </w:rPr>
      </w:pPr>
      <w:bookmarkStart w:id="127" w:name="_Toc523400460"/>
      <w:r w:rsidRPr="00EA05B0">
        <w:rPr>
          <w:b/>
          <w:color w:val="000000"/>
        </w:rPr>
        <w:lastRenderedPageBreak/>
        <w:t>QUINTO. De la Versión Pública</w:t>
      </w:r>
      <w:r w:rsidRPr="00EA05B0">
        <w:rPr>
          <w:color w:val="000000"/>
        </w:rPr>
        <w:t>.</w:t>
      </w:r>
      <w:bookmarkEnd w:id="127"/>
    </w:p>
    <w:p w14:paraId="5475BAF6" w14:textId="09F706F3" w:rsidR="00F95EFD" w:rsidRPr="00EA05B0" w:rsidRDefault="00CF4507"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Como </w:t>
      </w:r>
      <w:r w:rsidRPr="00EA05B0">
        <w:rPr>
          <w:rFonts w:ascii="Palatino Linotype" w:eastAsia="Calibri" w:hAnsi="Palatino Linotype" w:cs="Arial"/>
          <w:szCs w:val="22"/>
          <w:lang w:val="es-ES" w:eastAsia="es-MX"/>
        </w:rPr>
        <w:t xml:space="preserve">ha sido señalado en el considerando anterior el </w:t>
      </w:r>
      <w:r w:rsidRPr="00EA05B0">
        <w:rPr>
          <w:rFonts w:ascii="Palatino Linotype" w:eastAsia="Calibri" w:hAnsi="Palatino Linotype" w:cs="Arial"/>
          <w:b/>
          <w:szCs w:val="22"/>
          <w:lang w:val="es-ES" w:eastAsia="es-MX"/>
        </w:rPr>
        <w:t>SUJETO OBLIGADO,</w:t>
      </w:r>
      <w:r w:rsidRPr="00EA05B0">
        <w:rPr>
          <w:rFonts w:ascii="Palatino Linotype" w:eastAsia="Calibri" w:hAnsi="Palatino Linotype" w:cs="Arial"/>
          <w:szCs w:val="22"/>
          <w:lang w:val="es-ES" w:eastAsia="es-MX"/>
        </w:rPr>
        <w:t xml:space="preserve"> deberá entregar </w:t>
      </w:r>
      <w:r w:rsidR="00774586" w:rsidRPr="00EA05B0">
        <w:rPr>
          <w:rFonts w:ascii="Palatino Linotype" w:hAnsi="Palatino Linotype"/>
          <w:color w:val="000000"/>
        </w:rPr>
        <w:t>copia de los laudos emitidos por demandas laborales durante el período de la actual administración del Ayuntamiento de Almoloya del Río.</w:t>
      </w:r>
    </w:p>
    <w:p w14:paraId="66B85D5F"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6156A229" w14:textId="35AECBB3" w:rsidR="00F95EFD" w:rsidRPr="00EA05B0" w:rsidRDefault="00CF4507"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Dicho lo anterior, </w:t>
      </w:r>
      <w:r w:rsidRPr="00EA05B0">
        <w:rPr>
          <w:rFonts w:ascii="Palatino Linotype" w:hAnsi="Palatino Linotype" w:cs="Arial"/>
          <w:color w:val="000000" w:themeColor="text1"/>
        </w:rPr>
        <w:t xml:space="preserve">debe destacarse que debido a la naturaleza de </w:t>
      </w:r>
      <w:r w:rsidRPr="00EA05B0">
        <w:rPr>
          <w:rFonts w:ascii="Palatino Linotype" w:hAnsi="Palatino Linotype"/>
          <w:color w:val="000000" w:themeColor="text1"/>
        </w:rPr>
        <w:t xml:space="preserve">la información solicitada, en la misma obran datos personales susceptibles de protegerse, </w:t>
      </w:r>
      <w:r w:rsidRPr="00EA05B0">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o por aquélla información que deba ser clasificada en su totalidad como información reservada, por las consideraciones que se estimen pertinentes.</w:t>
      </w:r>
    </w:p>
    <w:p w14:paraId="49E2F3E1" w14:textId="77777777" w:rsidR="00F95EFD" w:rsidRPr="00EA05B0" w:rsidRDefault="00F95EFD" w:rsidP="00F95EFD">
      <w:pPr>
        <w:pStyle w:val="Prrafodelista"/>
        <w:spacing w:before="240" w:after="240" w:line="360" w:lineRule="auto"/>
        <w:ind w:left="426"/>
        <w:jc w:val="both"/>
        <w:rPr>
          <w:rFonts w:ascii="Palatino Linotype" w:hAnsi="Palatino Linotype"/>
          <w:color w:val="000000"/>
        </w:rPr>
      </w:pPr>
    </w:p>
    <w:p w14:paraId="3DFBF1F9" w14:textId="77777777"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A05B0">
        <w:rPr>
          <w:rFonts w:ascii="Palatino Linotype" w:hAnsi="Palatino Linotype"/>
          <w:color w:val="000000"/>
          <w:vertAlign w:val="superscript"/>
        </w:rPr>
        <w:footnoteReference w:id="7"/>
      </w:r>
      <w:r w:rsidRPr="00EA05B0">
        <w:rPr>
          <w:rFonts w:ascii="Palatino Linotype" w:hAnsi="Palatino Linotype"/>
          <w:color w:val="000000"/>
        </w:rPr>
        <w:t xml:space="preserve"> aunque cualquier límite o </w:t>
      </w:r>
      <w:r w:rsidRPr="00EA05B0">
        <w:rPr>
          <w:rFonts w:ascii="Palatino Linotype" w:hAnsi="Palatino Linotype"/>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A05B0">
        <w:rPr>
          <w:rFonts w:ascii="Palatino Linotype" w:hAnsi="Palatino Linotype"/>
          <w:color w:val="000000"/>
          <w:vertAlign w:val="superscript"/>
        </w:rPr>
        <w:footnoteReference w:id="8"/>
      </w:r>
      <w:r w:rsidRPr="00EA05B0">
        <w:rPr>
          <w:rFonts w:ascii="Palatino Linotype" w:hAnsi="Palatino Linotype"/>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agotan el procedimiento legalmente establecido, es precisamente lo que permite acreditar el cumplimiento de los otros dos requisitos.</w:t>
      </w:r>
    </w:p>
    <w:p w14:paraId="20DE05A9"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66C6CD40" w14:textId="59B15DD5" w:rsidR="00CF4507" w:rsidRPr="00EA05B0" w:rsidRDefault="00CF4507" w:rsidP="00CF4507">
      <w:pPr>
        <w:pStyle w:val="Prrafodelista"/>
        <w:numPr>
          <w:ilvl w:val="0"/>
          <w:numId w:val="3"/>
        </w:numPr>
        <w:spacing w:line="360" w:lineRule="auto"/>
        <w:ind w:left="426"/>
        <w:jc w:val="both"/>
        <w:rPr>
          <w:rFonts w:ascii="Palatino Linotype" w:hAnsi="Palatino Linotype"/>
          <w:color w:val="000000"/>
        </w:rPr>
      </w:pPr>
      <w:r w:rsidRPr="00EA05B0">
        <w:rPr>
          <w:rFonts w:ascii="Palatino Linotype" w:hAnsi="Palatino Linotype"/>
          <w:color w:val="000000"/>
        </w:rPr>
        <w:t>El grave problema que enfrenta la transparencia y el acceso a la información pública en general, es que los acuerdos de clasificación de la información que emiten los Sujetos Obligados, continúan sin observar los requisitos, tanto por la complejidad del procedimiento como por la falta de atención de los operadores jurídicos.</w:t>
      </w:r>
    </w:p>
    <w:p w14:paraId="64D24BD3" w14:textId="0469A6F3" w:rsidR="00774586" w:rsidRPr="00EA05B0" w:rsidRDefault="00774586" w:rsidP="00774586">
      <w:pPr>
        <w:pStyle w:val="Prrafodelista"/>
        <w:spacing w:line="360" w:lineRule="auto"/>
        <w:ind w:left="426"/>
        <w:jc w:val="both"/>
        <w:rPr>
          <w:rFonts w:ascii="Palatino Linotype" w:hAnsi="Palatino Linotype"/>
          <w:color w:val="000000"/>
        </w:rPr>
      </w:pPr>
      <w:r w:rsidRPr="00EA05B0">
        <w:rPr>
          <w:rFonts w:ascii="Palatino Linotype" w:hAnsi="Palatino Linotype"/>
          <w:noProof/>
          <w:color w:val="000000"/>
          <w:lang w:val="es-MX" w:eastAsia="es-MX"/>
        </w:rPr>
        <mc:AlternateContent>
          <mc:Choice Requires="wps">
            <w:drawing>
              <wp:anchor distT="0" distB="0" distL="114300" distR="114300" simplePos="0" relativeHeight="251713536" behindDoc="0" locked="0" layoutInCell="1" allowOverlap="1" wp14:anchorId="18D6CEBA" wp14:editId="68F664B7">
                <wp:simplePos x="0" y="0"/>
                <wp:positionH relativeFrom="margin">
                  <wp:align>right</wp:align>
                </wp:positionH>
                <wp:positionV relativeFrom="paragraph">
                  <wp:posOffset>45084</wp:posOffset>
                </wp:positionV>
                <wp:extent cx="5514975" cy="628650"/>
                <wp:effectExtent l="38100" t="38100" r="66675" b="95250"/>
                <wp:wrapNone/>
                <wp:docPr id="9" name="Conector recto 9"/>
                <wp:cNvGraphicFramePr/>
                <a:graphic xmlns:a="http://schemas.openxmlformats.org/drawingml/2006/main">
                  <a:graphicData uri="http://schemas.microsoft.com/office/word/2010/wordprocessingShape">
                    <wps:wsp>
                      <wps:cNvCnPr/>
                      <wps:spPr>
                        <a:xfrm flipV="1">
                          <a:off x="0" y="0"/>
                          <a:ext cx="5514975" cy="6286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53E40" id="Conector recto 9" o:spid="_x0000_s1026" style="position:absolute;flip:y;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55pt" to="817.3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" strokecolor="black [3200]" strokeweight="1pt">
                <v:shadow on="t" color="black" opacity="24903f" origin=",.5" offset="0,.55556mm"/>
                <w10:wrap anchorx="margin"/>
              </v:line>
            </w:pict>
          </mc:Fallback>
        </mc:AlternateContent>
      </w:r>
    </w:p>
    <w:p w14:paraId="31B802AB" w14:textId="77777777" w:rsidR="00CF4507" w:rsidRPr="00EA05B0" w:rsidRDefault="00CF4507" w:rsidP="00CF4507">
      <w:pPr>
        <w:spacing w:before="240" w:after="240" w:line="360" w:lineRule="auto"/>
        <w:jc w:val="both"/>
        <w:rPr>
          <w:rFonts w:ascii="Palatino Linotype" w:hAnsi="Palatino Linotype"/>
          <w:b/>
          <w:color w:val="000000"/>
        </w:rPr>
      </w:pPr>
      <w:r w:rsidRPr="00EA05B0">
        <w:rPr>
          <w:rFonts w:ascii="Palatino Linotype" w:hAnsi="Palatino Linotype"/>
          <w:b/>
          <w:color w:val="000000"/>
        </w:rPr>
        <w:lastRenderedPageBreak/>
        <w:t>I. Requisitos previos</w:t>
      </w:r>
    </w:p>
    <w:p w14:paraId="06F48CD9" w14:textId="0A74EB53" w:rsidR="00F95EFD"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Los artículos 122 y 100 de la Ley Estatal y de la Ley General, respectivamente, señalan que los sujetos obligados son quienes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recibo, licencia, póliza, entre otros), señalando el supuesto de clasificación (confidencialidad o reserva).</w:t>
      </w:r>
    </w:p>
    <w:p w14:paraId="234A2A3C"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41CC275A" w14:textId="150EF25E"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Además, </w:t>
      </w:r>
      <w:r w:rsidRPr="00EA05B0">
        <w:rPr>
          <w:rFonts w:ascii="Palatino Linotype" w:hAnsi="Palatino Linotype" w:cs="Arial"/>
          <w:color w:val="000000" w:themeColor="text1"/>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F4306C0"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500E7924" w14:textId="4551AE03"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El </w:t>
      </w:r>
      <w:r w:rsidRPr="00EA05B0">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EA05B0">
        <w:rPr>
          <w:rFonts w:ascii="Palatino Linotype" w:hAnsi="Palatino Linotype" w:cs="Arial"/>
          <w:b/>
          <w:color w:val="000000" w:themeColor="text1"/>
          <w:u w:val="single"/>
        </w:rPr>
        <w:t xml:space="preserve">no se puede hacer un acuerdo para clasificar de manera general todos los documentos de un expediente o área, </w:t>
      </w:r>
      <w:r w:rsidRPr="00EA05B0">
        <w:rPr>
          <w:rFonts w:ascii="Palatino Linotype" w:hAnsi="Palatino Linotype" w:cs="Arial"/>
          <w:color w:val="000000" w:themeColor="text1"/>
        </w:rPr>
        <w:t xml:space="preserve">sin individualizar su análisis y tampoco se puede hacer </w:t>
      </w:r>
      <w:r w:rsidRPr="00EA05B0">
        <w:rPr>
          <w:rFonts w:ascii="Palatino Linotype" w:hAnsi="Palatino Linotype" w:cs="Arial"/>
          <w:color w:val="000000" w:themeColor="text1"/>
        </w:rPr>
        <w:lastRenderedPageBreak/>
        <w:t>un acuerdo por cada dato que se vaya a clasificar dentro de un documento con diez datos, por ejemplo, susceptibles de ser clasificados.</w:t>
      </w:r>
    </w:p>
    <w:p w14:paraId="7966F479" w14:textId="2CBF69C4" w:rsidR="00CF4507" w:rsidRPr="00EA05B0" w:rsidRDefault="00CF4507" w:rsidP="00CF4507">
      <w:pPr>
        <w:spacing w:before="240" w:after="240" w:line="360" w:lineRule="auto"/>
        <w:ind w:left="66"/>
        <w:jc w:val="both"/>
        <w:rPr>
          <w:rFonts w:ascii="Palatino Linotype" w:hAnsi="Palatino Linotype"/>
          <w:b/>
          <w:color w:val="000000"/>
        </w:rPr>
      </w:pPr>
      <w:r w:rsidRPr="00EA05B0">
        <w:rPr>
          <w:rFonts w:ascii="Palatino Linotype" w:hAnsi="Palatino Linotype"/>
          <w:b/>
          <w:color w:val="000000"/>
        </w:rPr>
        <w:t>a) Supuestos de clasificación.</w:t>
      </w:r>
    </w:p>
    <w:p w14:paraId="7A4312AF" w14:textId="2F3605A2"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Las </w:t>
      </w:r>
      <w:r w:rsidRPr="00EA05B0">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7DBDC88E"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398BF538" w14:textId="5FC59663"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Los </w:t>
      </w:r>
      <w:r w:rsidRPr="00EA05B0">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25E673AE" w14:textId="77777777" w:rsidR="00CF4507" w:rsidRPr="00EA05B0" w:rsidRDefault="00CF4507" w:rsidP="00CF4507">
      <w:pPr>
        <w:pStyle w:val="Sinespaciado"/>
        <w:ind w:left="851" w:right="567"/>
        <w:jc w:val="both"/>
        <w:rPr>
          <w:rFonts w:ascii="Palatino Linotype" w:hAnsi="Palatino Linotype" w:cs="Times"/>
          <w:i/>
          <w:sz w:val="22"/>
        </w:rPr>
      </w:pPr>
      <w:r w:rsidRPr="00EA05B0">
        <w:rPr>
          <w:rFonts w:ascii="Palatino Linotype" w:hAnsi="Palatino Linotype"/>
          <w:bCs/>
          <w:i/>
          <w:sz w:val="22"/>
        </w:rPr>
        <w:t xml:space="preserve">“I. </w:t>
      </w:r>
      <w:r w:rsidRPr="00EA05B0">
        <w:rPr>
          <w:rFonts w:ascii="Palatino Linotype" w:hAnsi="Palatino Linotype"/>
          <w:i/>
          <w:sz w:val="22"/>
        </w:rPr>
        <w:t xml:space="preserve">Se refiera a la información privada y los datos personales concernientes a una persona física o jurídico colectiva identificada o identificable; </w:t>
      </w:r>
    </w:p>
    <w:p w14:paraId="14F0B3C1" w14:textId="77777777" w:rsidR="00CF4507" w:rsidRPr="00EA05B0" w:rsidRDefault="00CF4507" w:rsidP="00CF4507">
      <w:pPr>
        <w:pStyle w:val="Sinespaciado"/>
        <w:ind w:left="851" w:right="567"/>
        <w:jc w:val="both"/>
        <w:rPr>
          <w:rFonts w:ascii="Palatino Linotype" w:hAnsi="Palatino Linotype" w:cs="Times"/>
          <w:i/>
          <w:sz w:val="22"/>
        </w:rPr>
      </w:pPr>
      <w:r w:rsidRPr="00EA05B0">
        <w:rPr>
          <w:rFonts w:ascii="Palatino Linotype" w:hAnsi="Palatino Linotype"/>
          <w:bCs/>
          <w:i/>
          <w:sz w:val="22"/>
        </w:rPr>
        <w:t xml:space="preserve">II. </w:t>
      </w:r>
      <w:r w:rsidRPr="00EA05B0">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12CA8E9" w14:textId="77777777" w:rsidR="00CF4507" w:rsidRPr="00EA05B0" w:rsidRDefault="00CF4507" w:rsidP="00CF4507">
      <w:pPr>
        <w:pStyle w:val="Sinespaciado"/>
        <w:ind w:left="851" w:right="567"/>
        <w:jc w:val="both"/>
        <w:rPr>
          <w:rFonts w:ascii="Palatino Linotype" w:hAnsi="Palatino Linotype" w:cs="Times"/>
          <w:i/>
          <w:sz w:val="22"/>
        </w:rPr>
      </w:pPr>
      <w:r w:rsidRPr="00EA05B0">
        <w:rPr>
          <w:rFonts w:ascii="Palatino Linotype" w:hAnsi="Palatino Linotype"/>
          <w:bCs/>
          <w:i/>
          <w:sz w:val="22"/>
        </w:rPr>
        <w:t xml:space="preserve">III. </w:t>
      </w:r>
      <w:r w:rsidRPr="00EA05B0">
        <w:rPr>
          <w:rFonts w:ascii="Palatino Linotype" w:hAnsi="Palatino Linotype"/>
          <w:i/>
          <w:sz w:val="22"/>
        </w:rPr>
        <w:t xml:space="preserve">La que presenten los particulares a los sujetos obligados, de conformidad con lo dispuesto por las leyes o los tratados internacionales. </w:t>
      </w:r>
    </w:p>
    <w:p w14:paraId="5958DC84" w14:textId="77777777" w:rsidR="00CF4507" w:rsidRPr="00EA05B0" w:rsidRDefault="00CF4507" w:rsidP="00CF4507">
      <w:pPr>
        <w:pStyle w:val="Sinespaciado"/>
        <w:ind w:left="851" w:right="567"/>
        <w:jc w:val="both"/>
        <w:rPr>
          <w:rFonts w:ascii="Palatino Linotype" w:hAnsi="Palatino Linotype" w:cs="Times"/>
          <w:i/>
          <w:sz w:val="22"/>
        </w:rPr>
      </w:pPr>
      <w:r w:rsidRPr="00EA05B0">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74C3E080" w14:textId="4110A71E" w:rsidR="00CF4507" w:rsidRPr="00EA05B0" w:rsidRDefault="00CF4507" w:rsidP="00CF4507">
      <w:pPr>
        <w:pStyle w:val="Sinespaciado"/>
        <w:ind w:left="851" w:right="567"/>
        <w:jc w:val="both"/>
        <w:rPr>
          <w:rFonts w:ascii="Palatino Linotype" w:hAnsi="Palatino Linotype"/>
          <w:i/>
          <w:sz w:val="22"/>
        </w:rPr>
      </w:pPr>
      <w:r w:rsidRPr="00EA05B0">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3A274901"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6598CD32" w14:textId="5E6CB930"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Mientras </w:t>
      </w:r>
      <w:r w:rsidRPr="00EA05B0">
        <w:rPr>
          <w:rFonts w:ascii="Palatino Linotype" w:hAnsi="Palatino Linotype" w:cs="Arial"/>
          <w:color w:val="000000" w:themeColor="text1"/>
        </w:rPr>
        <w:t xml:space="preserve">que los artículos 130 y 105 de la Ley Estatal y de la Ley General, respectivamente, señalan que la aplicación de estos supuestos debe de realizarse de manera restrictiva y limitada, por lo que debe acreditarse que se cumple con </w:t>
      </w:r>
      <w:r w:rsidRPr="00EA05B0">
        <w:rPr>
          <w:rFonts w:ascii="Palatino Linotype" w:hAnsi="Palatino Linotype" w:cs="Arial"/>
          <w:color w:val="000000" w:themeColor="text1"/>
        </w:rPr>
        <w:lastRenderedPageBreak/>
        <w:t>esta condición y no se pueden ampliar las excepciones o supuestos de clasificación aduciendo analogía o mayoría de razón.</w:t>
      </w:r>
    </w:p>
    <w:p w14:paraId="19888484"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7EBE9A6D" w14:textId="0C6BE345"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Como </w:t>
      </w:r>
      <w:r w:rsidRPr="00EA05B0">
        <w:rPr>
          <w:rFonts w:ascii="Palatino Linotype" w:hAnsi="Palatino Linotype" w:cs="Arial"/>
          <w:color w:val="000000" w:themeColor="text1"/>
        </w:rPr>
        <w:t xml:space="preserve">consecuencia de lo anterior, el </w:t>
      </w:r>
      <w:r w:rsidRPr="00EA05B0">
        <w:rPr>
          <w:rFonts w:ascii="Palatino Linotype" w:hAnsi="Palatino Linotype" w:cs="Arial"/>
          <w:b/>
          <w:color w:val="000000" w:themeColor="text1"/>
        </w:rPr>
        <w:t>SUJETO OBLIGADO</w:t>
      </w:r>
      <w:r w:rsidRPr="00EA05B0">
        <w:rPr>
          <w:rFonts w:ascii="Palatino Linotype" w:hAnsi="Palatino Linotype" w:cs="Arial"/>
          <w:color w:val="000000" w:themeColor="text1"/>
        </w:rPr>
        <w:t xml:space="preserve"> debe identificar claramente el tipo de información y hacer un juicio de subsunción o encaje</w:t>
      </w:r>
      <w:r w:rsidRPr="00EA05B0">
        <w:rPr>
          <w:vertAlign w:val="superscript"/>
        </w:rPr>
        <w:footnoteReference w:id="9"/>
      </w:r>
      <w:r w:rsidRPr="00EA05B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55072BA"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71D2C952" w14:textId="3197DD87"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Una vez </w:t>
      </w:r>
      <w:r w:rsidRPr="00EA05B0">
        <w:rPr>
          <w:rFonts w:ascii="Palatino Linotype" w:hAnsi="Palatino Linotype" w:cs="Arial"/>
          <w:color w:val="000000" w:themeColor="text1"/>
        </w:rPr>
        <w:t>hecho lo anterior, se remite la información al Titular de la Unidad de Transparencia, con el acuerdo de clasificación correspondiente, para que sea sometido al conocimiento del Comité de Transparencia.</w:t>
      </w:r>
    </w:p>
    <w:p w14:paraId="4F82C27B" w14:textId="5DA83BE2" w:rsidR="00774586" w:rsidRPr="00EA05B0" w:rsidRDefault="00774586" w:rsidP="00774586">
      <w:pPr>
        <w:pStyle w:val="Prrafodelista"/>
        <w:spacing w:before="240" w:after="240" w:line="360" w:lineRule="auto"/>
        <w:ind w:left="426"/>
        <w:jc w:val="both"/>
        <w:rPr>
          <w:rFonts w:ascii="Palatino Linotype" w:hAnsi="Palatino Linotype" w:cs="Arial"/>
          <w:color w:val="000000" w:themeColor="text1"/>
        </w:rPr>
      </w:pPr>
      <w:r w:rsidRPr="00EA05B0">
        <w:rPr>
          <w:rFonts w:ascii="Palatino Linotype" w:hAnsi="Palatino Linotype" w:cs="Arial"/>
          <w:noProof/>
          <w:color w:val="000000" w:themeColor="text1"/>
          <w:lang w:val="es-MX" w:eastAsia="es-MX"/>
        </w:rPr>
        <mc:AlternateContent>
          <mc:Choice Requires="wps">
            <w:drawing>
              <wp:anchor distT="0" distB="0" distL="114300" distR="114300" simplePos="0" relativeHeight="251714560" behindDoc="0" locked="0" layoutInCell="1" allowOverlap="1" wp14:anchorId="1A0E376D" wp14:editId="4FB8B2E8">
                <wp:simplePos x="0" y="0"/>
                <wp:positionH relativeFrom="margin">
                  <wp:align>right</wp:align>
                </wp:positionH>
                <wp:positionV relativeFrom="paragraph">
                  <wp:posOffset>49530</wp:posOffset>
                </wp:positionV>
                <wp:extent cx="5505450" cy="90487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5505450" cy="9048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54CCE" id="Conector recto 11" o:spid="_x0000_s1026" style="position:absolute;flip:y;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9pt" to="815.8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" strokecolor="black [3200]" strokeweight="1pt">
                <v:shadow on="t" color="black" opacity="24903f" origin=",.5" offset="0,.55556mm"/>
                <w10:wrap anchorx="margin"/>
              </v:line>
            </w:pict>
          </mc:Fallback>
        </mc:AlternateContent>
      </w:r>
    </w:p>
    <w:p w14:paraId="666BC824" w14:textId="77777777" w:rsidR="00774586" w:rsidRPr="00EA05B0" w:rsidRDefault="00774586" w:rsidP="00774586">
      <w:pPr>
        <w:pStyle w:val="Prrafodelista"/>
        <w:spacing w:before="240" w:after="240" w:line="360" w:lineRule="auto"/>
        <w:ind w:left="426"/>
        <w:jc w:val="both"/>
        <w:rPr>
          <w:rFonts w:ascii="Palatino Linotype" w:hAnsi="Palatino Linotype"/>
          <w:color w:val="000000"/>
        </w:rPr>
      </w:pPr>
    </w:p>
    <w:p w14:paraId="1A4E1AF2" w14:textId="0B677C6D" w:rsidR="00CF4507" w:rsidRPr="00EA05B0" w:rsidRDefault="00CF4507" w:rsidP="00CF4507">
      <w:pPr>
        <w:spacing w:before="240" w:after="240" w:line="360" w:lineRule="auto"/>
        <w:jc w:val="both"/>
        <w:rPr>
          <w:rFonts w:ascii="Palatino Linotype" w:hAnsi="Palatino Linotype"/>
          <w:b/>
          <w:color w:val="000000"/>
        </w:rPr>
      </w:pPr>
      <w:r w:rsidRPr="00EA05B0">
        <w:rPr>
          <w:rFonts w:ascii="Palatino Linotype" w:hAnsi="Palatino Linotype"/>
          <w:b/>
          <w:color w:val="000000"/>
        </w:rPr>
        <w:lastRenderedPageBreak/>
        <w:t>II. La intervención del Comité de Transparencia.</w:t>
      </w:r>
    </w:p>
    <w:p w14:paraId="4A391856" w14:textId="068A6248" w:rsidR="00CF4507" w:rsidRPr="00EA05B0" w:rsidRDefault="00CF4507" w:rsidP="00CF4507">
      <w:pPr>
        <w:spacing w:before="240" w:after="240" w:line="360" w:lineRule="auto"/>
        <w:jc w:val="both"/>
        <w:rPr>
          <w:rFonts w:ascii="Palatino Linotype" w:hAnsi="Palatino Linotype"/>
          <w:b/>
          <w:color w:val="000000"/>
        </w:rPr>
      </w:pPr>
      <w:r w:rsidRPr="00EA05B0">
        <w:rPr>
          <w:rFonts w:ascii="Palatino Linotype" w:hAnsi="Palatino Linotype"/>
          <w:b/>
          <w:color w:val="000000"/>
        </w:rPr>
        <w:tab/>
        <w:t>a) Formalidades para emitir el acuerdo de clasificación.</w:t>
      </w:r>
    </w:p>
    <w:p w14:paraId="2406E719" w14:textId="4755520D"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El </w:t>
      </w:r>
      <w:r w:rsidRPr="00EA05B0">
        <w:rPr>
          <w:rFonts w:ascii="Palatino Linotype" w:hAnsi="Palatino Linotype" w:cs="Arial"/>
          <w:color w:val="000000" w:themeColor="text1"/>
        </w:rPr>
        <w:t xml:space="preserve">Comité de Transparencia, según lo dispuesto en los artículos 128 y 103 de la Ley Estatal y de la Ley General, respectivamente, y </w:t>
      </w:r>
      <w:r w:rsidRPr="00EA05B0">
        <w:rPr>
          <w:rFonts w:ascii="Palatino Linotype" w:hAnsi="Palatino Linotype"/>
        </w:rPr>
        <w:t xml:space="preserve">la fracción III del numeral Segundo de los </w:t>
      </w:r>
      <w:r w:rsidRPr="00EA05B0">
        <w:rPr>
          <w:rFonts w:ascii="Palatino Linotype" w:hAnsi="Palatino Linotype" w:cs="Arial"/>
          <w:color w:val="000000" w:themeColor="text1"/>
        </w:rPr>
        <w:t xml:space="preserve">Lineamientos Generales en Materia de Clasificación y Desclasificación de la Información, así como para la Elaboración de Versiones Públicas, en adelante los </w:t>
      </w:r>
      <w:r w:rsidRPr="00EA05B0">
        <w:rPr>
          <w:rFonts w:ascii="Palatino Linotype" w:hAnsi="Palatino Linotype" w:cs="Arial"/>
          <w:color w:val="000000" w:themeColor="text1"/>
          <w:u w:val="single"/>
        </w:rPr>
        <w:t>Lineamientos Generales,</w:t>
      </w:r>
      <w:r w:rsidRPr="00EA05B0">
        <w:rPr>
          <w:rFonts w:ascii="Palatino Linotype" w:hAnsi="Palatino Linotype"/>
        </w:rPr>
        <w:t xml:space="preserve"> </w:t>
      </w:r>
      <w:r w:rsidRPr="00EA05B0">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16C736E"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1D8D96A6" w14:textId="0F511E8B"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Evidentemente, </w:t>
      </w:r>
      <w:r w:rsidRPr="00EA05B0">
        <w:rPr>
          <w:rFonts w:ascii="Palatino Linotype" w:hAnsi="Palatino Linotype" w:cs="Arial"/>
          <w:color w:val="000000" w:themeColor="text1"/>
        </w:rPr>
        <w:t xml:space="preserve">ésta decisión implica una restricción a un derecho humano, por lo tanto, puede generar un agravio al particular y, en consecuencia, es necesario que </w:t>
      </w:r>
      <w:r w:rsidRPr="00EA05B0">
        <w:rPr>
          <w:rFonts w:ascii="Palatino Linotype" w:hAnsi="Palatino Linotype" w:cs="Arial"/>
          <w:b/>
          <w:color w:val="000000" w:themeColor="text1"/>
          <w:u w:val="single"/>
        </w:rPr>
        <w:t>el acto reúna con los requisitos elementales</w:t>
      </w:r>
      <w:r w:rsidRPr="00EA05B0">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EA05B0">
        <w:rPr>
          <w:rFonts w:ascii="Palatino Linotype" w:hAnsi="Palatino Linotype" w:cs="Arial"/>
          <w:color w:val="000000" w:themeColor="text1"/>
        </w:rPr>
        <w:lastRenderedPageBreak/>
        <w:t>entre sus integrantes. Cualquier otra composición del Comité puede generar vicios de legalidad de origen en el acto que restringe un derecho humano.</w:t>
      </w:r>
    </w:p>
    <w:p w14:paraId="789521AB" w14:textId="77777777" w:rsidR="00CF4507" w:rsidRPr="00EA05B0" w:rsidRDefault="00CF4507" w:rsidP="00CF4507">
      <w:pPr>
        <w:pStyle w:val="Prrafodelista"/>
        <w:spacing w:before="240" w:after="240" w:line="360" w:lineRule="auto"/>
        <w:ind w:left="426"/>
        <w:jc w:val="both"/>
        <w:rPr>
          <w:rFonts w:ascii="Palatino Linotype" w:hAnsi="Palatino Linotype"/>
          <w:color w:val="000000"/>
        </w:rPr>
      </w:pPr>
    </w:p>
    <w:p w14:paraId="31DF5394" w14:textId="31DA320A" w:rsidR="00CF4507" w:rsidRPr="00EA05B0" w:rsidRDefault="00CF4507"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La </w:t>
      </w:r>
      <w:r w:rsidRPr="00EA05B0">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C398DBE" w14:textId="03BF7358" w:rsidR="00CF4507" w:rsidRPr="00EA05B0" w:rsidRDefault="00DF57B6" w:rsidP="00DF57B6">
      <w:pPr>
        <w:spacing w:before="240" w:after="240" w:line="360" w:lineRule="auto"/>
        <w:ind w:left="426"/>
        <w:jc w:val="both"/>
        <w:rPr>
          <w:rFonts w:ascii="Palatino Linotype" w:hAnsi="Palatino Linotype"/>
          <w:b/>
          <w:color w:val="000000"/>
        </w:rPr>
      </w:pPr>
      <w:r w:rsidRPr="00EA05B0">
        <w:rPr>
          <w:rFonts w:ascii="Palatino Linotype" w:hAnsi="Palatino Linotype"/>
          <w:b/>
          <w:color w:val="000000"/>
        </w:rPr>
        <w:t>b) Requisitos de fondo del acuerdo de clasificación.</w:t>
      </w:r>
    </w:p>
    <w:p w14:paraId="1ECBEA64" w14:textId="0936FB06"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Como </w:t>
      </w:r>
      <w:r w:rsidRPr="00EA05B0">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D48DB04"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5FE5DF72" w14:textId="1A954B83"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De </w:t>
      </w:r>
      <w:r w:rsidRPr="00EA05B0">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06F566"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4C01F195" w14:textId="161CE0D9"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Han </w:t>
      </w:r>
      <w:r w:rsidRPr="00EA05B0">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EA05B0">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EA05B0">
        <w:rPr>
          <w:rFonts w:ascii="Palatino Linotype" w:eastAsia="Times New Roman" w:hAnsi="Palatino Linotype" w:cs="Arial"/>
          <w:color w:val="222222"/>
          <w:lang w:eastAsia="es-MX"/>
        </w:rPr>
        <w:t>)”</w:t>
      </w:r>
      <w:r w:rsidRPr="00EA05B0">
        <w:rPr>
          <w:rFonts w:eastAsia="Times New Roman"/>
          <w:vertAlign w:val="superscript"/>
        </w:rPr>
        <w:footnoteReference w:id="10"/>
      </w:r>
    </w:p>
    <w:p w14:paraId="19010331"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1B28ED1F" w14:textId="31AB6A17"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Por </w:t>
      </w:r>
      <w:r w:rsidRPr="00EA05B0">
        <w:rPr>
          <w:rFonts w:ascii="Palatino Linotype" w:eastAsia="Times New Roman" w:hAnsi="Palatino Linotype" w:cs="Arial"/>
          <w:color w:val="222222"/>
          <w:lang w:eastAsia="es-MX"/>
        </w:rPr>
        <w:t>su parte, el intérprete judicial del país ha establecido una jurisprudencia respecto a qué debe entenderse por fundamentación y motivación, en los siguientes términos:</w:t>
      </w:r>
    </w:p>
    <w:p w14:paraId="76997C37"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b/>
          <w:i/>
          <w:sz w:val="22"/>
        </w:rPr>
        <w:t>FUNDAMENTACIÓN Y MOTIVACIÓN.</w:t>
      </w:r>
      <w:r w:rsidRPr="00EA05B0">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0F8E34B" w14:textId="77777777" w:rsidR="00DF57B6" w:rsidRPr="00EA05B0" w:rsidRDefault="00DF57B6" w:rsidP="00DF57B6">
      <w:pPr>
        <w:pStyle w:val="Sinespaciado"/>
        <w:ind w:left="851" w:right="567"/>
        <w:jc w:val="both"/>
        <w:rPr>
          <w:rFonts w:ascii="Palatino Linotype" w:hAnsi="Palatino Linotype"/>
          <w:i/>
          <w:sz w:val="22"/>
        </w:rPr>
      </w:pPr>
    </w:p>
    <w:p w14:paraId="793F3FD7"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SEGUNDO TRIBUNAL COLEGIADO DEL SEXTO CIRCUITO.</w:t>
      </w:r>
    </w:p>
    <w:p w14:paraId="0A8110AC"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146949D0"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EA05B0">
        <w:rPr>
          <w:rFonts w:ascii="Palatino Linotype" w:hAnsi="Palatino Linotype"/>
          <w:i/>
          <w:sz w:val="22"/>
        </w:rPr>
        <w:t>Esponda</w:t>
      </w:r>
      <w:proofErr w:type="spellEnd"/>
      <w:r w:rsidRPr="00EA05B0">
        <w:rPr>
          <w:rFonts w:ascii="Palatino Linotype" w:hAnsi="Palatino Linotype"/>
          <w:i/>
          <w:sz w:val="22"/>
        </w:rPr>
        <w:t xml:space="preserve"> Rincón.</w:t>
      </w:r>
    </w:p>
    <w:p w14:paraId="2641744D"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Amparo en revisión 333/88. </w:t>
      </w:r>
      <w:proofErr w:type="spellStart"/>
      <w:r w:rsidRPr="00EA05B0">
        <w:rPr>
          <w:rFonts w:ascii="Palatino Linotype" w:hAnsi="Palatino Linotype"/>
          <w:i/>
          <w:sz w:val="22"/>
        </w:rPr>
        <w:t>Adilia</w:t>
      </w:r>
      <w:proofErr w:type="spellEnd"/>
      <w:r w:rsidRPr="00EA05B0">
        <w:rPr>
          <w:rFonts w:ascii="Palatino Linotype" w:hAnsi="Palatino Linotype"/>
          <w:i/>
          <w:sz w:val="22"/>
        </w:rPr>
        <w:t xml:space="preserve"> Romero. 26 de octubre de 1988. Unanimidad de votos. Ponente: Arnoldo Nájera Virgen. Secretario: Enrique Crispín Campos Ramírez.</w:t>
      </w:r>
    </w:p>
    <w:p w14:paraId="3817693E"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Amparo en revisión 597/95. Emilio Maurer Bretón. 15 de noviembre de 1995. Unanimidad de votos. Ponente: Clementina Ramírez Moguel </w:t>
      </w:r>
      <w:proofErr w:type="spellStart"/>
      <w:r w:rsidRPr="00EA05B0">
        <w:rPr>
          <w:rFonts w:ascii="Palatino Linotype" w:hAnsi="Palatino Linotype"/>
          <w:i/>
          <w:sz w:val="22"/>
        </w:rPr>
        <w:t>Goyzueta</w:t>
      </w:r>
      <w:proofErr w:type="spellEnd"/>
      <w:r w:rsidRPr="00EA05B0">
        <w:rPr>
          <w:rFonts w:ascii="Palatino Linotype" w:hAnsi="Palatino Linotype"/>
          <w:i/>
          <w:sz w:val="22"/>
        </w:rPr>
        <w:t>. Secretario: Gonzalo Carrera Molina.</w:t>
      </w:r>
    </w:p>
    <w:p w14:paraId="752D3CFF"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EA05B0">
        <w:rPr>
          <w:rFonts w:ascii="Palatino Linotype" w:hAnsi="Palatino Linotype"/>
          <w:i/>
          <w:sz w:val="22"/>
        </w:rPr>
        <w:t>Baigts</w:t>
      </w:r>
      <w:proofErr w:type="spellEnd"/>
      <w:r w:rsidRPr="00EA05B0">
        <w:rPr>
          <w:rFonts w:ascii="Palatino Linotype" w:hAnsi="Palatino Linotype"/>
          <w:i/>
          <w:sz w:val="22"/>
        </w:rPr>
        <w:t xml:space="preserve"> Muñoz.</w:t>
      </w:r>
    </w:p>
    <w:p w14:paraId="56E42250" w14:textId="6389FBCB" w:rsidR="00DF57B6" w:rsidRPr="00EA05B0" w:rsidRDefault="00DF57B6" w:rsidP="00DF57B6">
      <w:pPr>
        <w:pStyle w:val="Sinespaciado"/>
        <w:ind w:left="851" w:right="567"/>
        <w:jc w:val="both"/>
        <w:rPr>
          <w:rFonts w:ascii="Palatino Linotype" w:hAnsi="Palatino Linotype"/>
          <w:sz w:val="22"/>
        </w:rPr>
      </w:pPr>
      <w:r w:rsidRPr="00EA05B0">
        <w:rPr>
          <w:rFonts w:ascii="Palatino Linotype" w:hAnsi="Palatino Linotype"/>
          <w:sz w:val="22"/>
        </w:rPr>
        <w:t>(Énfasis añadido).</w:t>
      </w:r>
    </w:p>
    <w:p w14:paraId="1811CD13"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63393EF5" w14:textId="66E61AC5"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Así, </w:t>
      </w:r>
      <w:r w:rsidRPr="00EA05B0">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9053F67"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4777F94F" w14:textId="60C7D88B"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lastRenderedPageBreak/>
        <w:t xml:space="preserve">En </w:t>
      </w:r>
      <w:r w:rsidRPr="00EA05B0">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5E169B"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162F5A90" w14:textId="527D69F4"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En </w:t>
      </w:r>
      <w:r w:rsidRPr="00EA05B0">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1995F707"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16B9AA2D" w14:textId="7AF11227"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Ahora </w:t>
      </w:r>
      <w:r w:rsidRPr="00EA05B0">
        <w:rPr>
          <w:rFonts w:ascii="Palatino Linotype" w:eastAsia="Times New Roman" w:hAnsi="Palatino Linotype" w:cs="Arial"/>
          <w:color w:val="222222"/>
          <w:lang w:eastAsia="es-MX"/>
        </w:rPr>
        <w:t xml:space="preserve">bien, </w:t>
      </w:r>
      <w:r w:rsidRPr="00EA05B0">
        <w:rPr>
          <w:rFonts w:ascii="Palatino Linotype" w:eastAsia="Times New Roman" w:hAnsi="Palatino Linotype" w:cs="Arial"/>
          <w:b/>
          <w:color w:val="222222"/>
          <w:u w:val="single"/>
          <w:lang w:eastAsia="es-MX"/>
        </w:rPr>
        <w:t>para cada caso además de fundar y motivar</w:t>
      </w:r>
      <w:r w:rsidRPr="00EA05B0">
        <w:rPr>
          <w:rFonts w:ascii="Palatino Linotype" w:eastAsia="Times New Roman" w:hAnsi="Palatino Linotype" w:cs="Arial"/>
          <w:color w:val="222222"/>
          <w:lang w:eastAsia="es-MX"/>
        </w:rPr>
        <w:t>, se debe identificar con claridad qué datos contenidos en las documentales son susceptibles de suprimirse, por ejemplo, si una documental de naturaleza pública como lo es la nómina general, si bien el dato de sus remuneraciones es eminentemente público, no así todos los datos contenidos en dicho documento que son</w:t>
      </w:r>
      <w:r w:rsidRPr="00EA05B0">
        <w:rPr>
          <w:rFonts w:ascii="Palatino Linotype" w:hAnsi="Palatino Linotype"/>
        </w:rPr>
        <w:t xml:space="preserve"> </w:t>
      </w:r>
      <w:r w:rsidRPr="00EA05B0">
        <w:rPr>
          <w:rFonts w:ascii="Palatino Linotype" w:eastAsia="Times New Roman" w:hAnsi="Palatino Linotype" w:cs="Arial"/>
          <w:color w:val="222222"/>
          <w:lang w:eastAsia="es-MX"/>
        </w:rPr>
        <w:t>datos personales</w:t>
      </w:r>
      <w:r w:rsidRPr="00EA05B0">
        <w:rPr>
          <w:rFonts w:eastAsia="Times New Roman"/>
          <w:vertAlign w:val="superscript"/>
        </w:rPr>
        <w:footnoteReference w:id="11"/>
      </w:r>
      <w:r w:rsidRPr="00EA05B0">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EA05B0">
        <w:rPr>
          <w:rFonts w:ascii="Palatino Linotype" w:eastAsia="Calibri" w:hAnsi="Palatino Linotype" w:cs="Arial"/>
          <w:lang w:val="es-ES" w:eastAsia="es-MX"/>
        </w:rPr>
        <w:t xml:space="preserve">Clave Única de Registro de Población (CURP), Registro Federal de Contribuyentes (R.F.C.), clave de ISSEMYM, número de cuenta, número de empleado, deducciones (concepto y monto) de sindicato, mutualidad, ayuda por defunción, fondo de resistencia sindical, caja de ahorro, seguro de vida, ausentismo, Cadenas Originales del </w:t>
      </w:r>
      <w:r w:rsidRPr="00EA05B0">
        <w:rPr>
          <w:rFonts w:ascii="Palatino Linotype" w:eastAsia="Calibri" w:hAnsi="Palatino Linotype" w:cs="Arial"/>
          <w:lang w:val="es-ES" w:eastAsia="es-MX"/>
        </w:rPr>
        <w:lastRenderedPageBreak/>
        <w:t>Sellos Digitales y los Códigos Bidimensionales, también denominados Códigos QR, estos son datos  susceptibles de clasificarse como confidenciales mediante una versión pública que deje a la vista los datos que ofrezcan la información requerida.</w:t>
      </w:r>
    </w:p>
    <w:p w14:paraId="29327C4B"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136501AC" w14:textId="7192DAA9"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Otro </w:t>
      </w:r>
      <w:r w:rsidRPr="00EA05B0">
        <w:rPr>
          <w:rFonts w:ascii="Palatino Linotype" w:hAnsi="Palatino Linotype"/>
          <w:lang w:val="es-ES"/>
        </w:rPr>
        <w:t xml:space="preserve">tipo </w:t>
      </w:r>
      <w:r w:rsidRPr="00EA05B0">
        <w:rPr>
          <w:rFonts w:ascii="Palatino Linotype" w:hAnsi="Palatino Linotype" w:cs="Arial"/>
          <w:color w:val="000000" w:themeColor="text1"/>
          <w:lang w:val="es-ES"/>
        </w:rPr>
        <w:t>de información confidencial constituyen los secretos bancario, fiduciario, industrial, comercial, fiscal, bursátil y postal, cuya titularidad corresponda a particulares</w:t>
      </w:r>
      <w:r w:rsidRPr="00EA05B0">
        <w:rPr>
          <w:rFonts w:ascii="Palatino Linotype" w:hAnsi="Palatino Linotype" w:cs="Arial"/>
          <w:b/>
          <w:color w:val="000000" w:themeColor="text1"/>
          <w:u w:val="single"/>
          <w:lang w:val="es-ES"/>
        </w:rPr>
        <w:t>,</w:t>
      </w:r>
      <w:r w:rsidRPr="00EA05B0">
        <w:rPr>
          <w:rFonts w:ascii="Palatino Linotype" w:hAnsi="Palatino Linotype" w:cs="Arial"/>
          <w:color w:val="000000" w:themeColor="text1"/>
          <w:lang w:val="es-ES"/>
        </w:rPr>
        <w:t xml:space="preserve"> sujetos de derecho internacional o a sujetos obligados cuando no involucren el ejercicio de recursos públicos, así lo define la fracción XXI del artículo 3 de la Ley Estatal.</w:t>
      </w:r>
    </w:p>
    <w:p w14:paraId="704D44CA" w14:textId="7BB441AC" w:rsidR="00067B59" w:rsidRPr="00EA05B0" w:rsidRDefault="00067B59" w:rsidP="00067B59">
      <w:pPr>
        <w:pStyle w:val="Prrafodelista"/>
        <w:spacing w:before="240" w:after="240" w:line="360" w:lineRule="auto"/>
        <w:ind w:left="426"/>
        <w:jc w:val="both"/>
        <w:rPr>
          <w:rFonts w:ascii="Palatino Linotype" w:hAnsi="Palatino Linotype"/>
          <w:color w:val="000000"/>
        </w:rPr>
      </w:pPr>
    </w:p>
    <w:p w14:paraId="29DB6980" w14:textId="7DD9BE39" w:rsidR="00DF57B6" w:rsidRPr="00EA05B0" w:rsidRDefault="00DF57B6" w:rsidP="00DF57B6">
      <w:pPr>
        <w:spacing w:before="240" w:after="240" w:line="360" w:lineRule="auto"/>
        <w:ind w:left="66"/>
        <w:jc w:val="both"/>
        <w:rPr>
          <w:rFonts w:ascii="Palatino Linotype" w:hAnsi="Palatino Linotype"/>
          <w:b/>
          <w:color w:val="000000"/>
        </w:rPr>
      </w:pPr>
      <w:r w:rsidRPr="00EA05B0">
        <w:rPr>
          <w:rFonts w:ascii="Palatino Linotype" w:hAnsi="Palatino Linotype"/>
          <w:b/>
          <w:color w:val="000000"/>
        </w:rPr>
        <w:t>III. Condiciones especiales de la clasificación de la información como confidencial.</w:t>
      </w:r>
    </w:p>
    <w:p w14:paraId="3C8AC63E" w14:textId="0EE0BF4B" w:rsidR="00CF4507" w:rsidRPr="00EA05B0" w:rsidRDefault="00DF57B6" w:rsidP="00CF4507">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Los </w:t>
      </w:r>
      <w:r w:rsidRPr="00EA05B0">
        <w:rPr>
          <w:rFonts w:ascii="Palatino Linotype" w:hAnsi="Palatino Linotype" w:cs="Arial"/>
          <w:color w:val="000000" w:themeColor="text1"/>
          <w:lang w:val="es-ES"/>
        </w:rPr>
        <w:t xml:space="preserve">artículos </w:t>
      </w:r>
      <w:r w:rsidRPr="00EA05B0">
        <w:rPr>
          <w:rFonts w:ascii="Palatino Linotype" w:hAnsi="Palatino Linotype" w:cs="Arial"/>
          <w:color w:val="000000" w:themeColor="text1"/>
        </w:rPr>
        <w:t>148 y 120 de la Ley Estatal y de la Ley General, respectivamente, establecen que aun tratándose de datos personales, se podrán proporcionar, incluso sin solicitar el consentimiento de su titular, cuando dichos datos correspondan a los siguientes supuestos:</w:t>
      </w:r>
    </w:p>
    <w:p w14:paraId="2A21BC46"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“I. La información se encuentre en registros públicos o fuentes de acceso público;</w:t>
      </w:r>
    </w:p>
    <w:p w14:paraId="6B408D3D"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II. Por Ley tenga el carácter de pública;</w:t>
      </w:r>
    </w:p>
    <w:p w14:paraId="267745C3"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III. Exista una orden judicial; </w:t>
      </w:r>
    </w:p>
    <w:p w14:paraId="48BC1332" w14:textId="77777777" w:rsidR="00DF57B6" w:rsidRPr="00EA05B0" w:rsidRDefault="00DF57B6" w:rsidP="00DF57B6">
      <w:pPr>
        <w:pStyle w:val="Sinespaciado"/>
        <w:ind w:left="851" w:right="567"/>
        <w:jc w:val="both"/>
        <w:rPr>
          <w:rFonts w:ascii="Palatino Linotype" w:hAnsi="Palatino Linotype"/>
          <w:i/>
          <w:sz w:val="22"/>
        </w:rPr>
      </w:pPr>
      <w:r w:rsidRPr="00EA05B0">
        <w:rPr>
          <w:rFonts w:ascii="Palatino Linotype" w:hAnsi="Palatino Linotype"/>
          <w:i/>
          <w:sz w:val="22"/>
        </w:rPr>
        <w:t xml:space="preserve">IV. Por razones de seguridad pública, o para proteger los derechos de terceros, se requiera su publicación; o </w:t>
      </w:r>
    </w:p>
    <w:p w14:paraId="72393855" w14:textId="77777777" w:rsidR="00DF57B6" w:rsidRPr="00EA05B0" w:rsidRDefault="00DF57B6" w:rsidP="00DF57B6">
      <w:pPr>
        <w:pStyle w:val="Sinespaciado"/>
        <w:ind w:left="851" w:right="567"/>
        <w:jc w:val="both"/>
      </w:pPr>
      <w:r w:rsidRPr="00EA05B0">
        <w:rPr>
          <w:rFonts w:ascii="Palatino Linotype" w:hAnsi="Palatino Linotype"/>
          <w:i/>
          <w:sz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5F175EA9" w14:textId="77777777" w:rsidR="00DF57B6" w:rsidRPr="00EA05B0" w:rsidRDefault="00DF57B6" w:rsidP="00F95EFD">
      <w:pPr>
        <w:pStyle w:val="Prrafodelista"/>
        <w:spacing w:before="240" w:after="240" w:line="360" w:lineRule="auto"/>
        <w:ind w:left="426"/>
        <w:jc w:val="both"/>
        <w:rPr>
          <w:rFonts w:ascii="Palatino Linotype" w:hAnsi="Palatino Linotype"/>
          <w:color w:val="000000"/>
        </w:rPr>
      </w:pPr>
    </w:p>
    <w:p w14:paraId="2536F7C1" w14:textId="70DB7468" w:rsidR="00F95EFD" w:rsidRPr="00EA05B0" w:rsidRDefault="00DF57B6"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Para </w:t>
      </w:r>
      <w:r w:rsidRPr="00EA05B0">
        <w:rPr>
          <w:rFonts w:ascii="Palatino Linotype" w:hAnsi="Palatino Linotype"/>
          <w:lang w:val="es-ES"/>
        </w:rPr>
        <w:t>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06A7B337" w14:textId="77777777" w:rsidR="00DF57B6" w:rsidRPr="00EA05B0" w:rsidRDefault="00DF57B6" w:rsidP="00DF57B6">
      <w:pPr>
        <w:pStyle w:val="Prrafodelista"/>
        <w:spacing w:before="240" w:after="240" w:line="360" w:lineRule="auto"/>
        <w:ind w:left="426"/>
        <w:jc w:val="both"/>
        <w:rPr>
          <w:rFonts w:ascii="Palatino Linotype" w:hAnsi="Palatino Linotype"/>
          <w:color w:val="000000"/>
        </w:rPr>
      </w:pPr>
    </w:p>
    <w:p w14:paraId="1833068C" w14:textId="3D89515C" w:rsidR="00DF57B6" w:rsidRPr="00EA05B0" w:rsidRDefault="00DF57B6" w:rsidP="00526F7B">
      <w:pPr>
        <w:pStyle w:val="Prrafodelista"/>
        <w:numPr>
          <w:ilvl w:val="0"/>
          <w:numId w:val="3"/>
        </w:numPr>
        <w:spacing w:before="240" w:after="240" w:line="360" w:lineRule="auto"/>
        <w:ind w:left="426"/>
        <w:jc w:val="both"/>
        <w:rPr>
          <w:rFonts w:ascii="Palatino Linotype" w:hAnsi="Palatino Linotype"/>
          <w:color w:val="000000"/>
        </w:rPr>
      </w:pPr>
      <w:r w:rsidRPr="00EA05B0">
        <w:rPr>
          <w:rFonts w:ascii="Palatino Linotype" w:hAnsi="Palatino Linotype"/>
          <w:color w:val="000000"/>
        </w:rPr>
        <w:t xml:space="preserve">Pero </w:t>
      </w:r>
      <w:r w:rsidRPr="00EA05B0">
        <w:rPr>
          <w:rFonts w:ascii="Palatino Linotype" w:hAnsi="Palatino Linotype"/>
          <w:lang w:val="es-ES"/>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50ED40C" w14:textId="77777777" w:rsidR="00067B59" w:rsidRPr="00EA05B0" w:rsidRDefault="00067B59" w:rsidP="00067B59">
      <w:pPr>
        <w:pStyle w:val="Prrafodelista"/>
        <w:spacing w:before="240" w:after="240" w:line="360" w:lineRule="auto"/>
        <w:ind w:left="426"/>
        <w:jc w:val="both"/>
        <w:rPr>
          <w:rFonts w:ascii="Palatino Linotype" w:hAnsi="Palatino Linotype"/>
          <w:color w:val="000000"/>
        </w:rPr>
      </w:pPr>
    </w:p>
    <w:p w14:paraId="59792D33" w14:textId="5A679426" w:rsidR="009959DB" w:rsidRPr="00EA05B0" w:rsidRDefault="005E6927" w:rsidP="00151094">
      <w:pPr>
        <w:pStyle w:val="Prrafodelista"/>
        <w:numPr>
          <w:ilvl w:val="0"/>
          <w:numId w:val="4"/>
        </w:numPr>
        <w:spacing w:line="360" w:lineRule="auto"/>
        <w:ind w:left="426"/>
        <w:jc w:val="both"/>
        <w:rPr>
          <w:rFonts w:ascii="Palatino Linotype" w:hAnsi="Palatino Linotype"/>
          <w:color w:val="000000" w:themeColor="text1"/>
        </w:rPr>
      </w:pPr>
      <w:r w:rsidRPr="00EA05B0">
        <w:rPr>
          <w:rFonts w:ascii="Palatino Linotype" w:hAnsi="Palatino Linotype"/>
          <w:color w:val="000000" w:themeColor="text1"/>
          <w:lang w:val="es-ES" w:eastAsia="es-MX"/>
        </w:rPr>
        <w:t>Por</w:t>
      </w:r>
      <w:r w:rsidR="009959DB" w:rsidRPr="00EA05B0">
        <w:rPr>
          <w:rFonts w:ascii="Palatino Linotype" w:hAnsi="Palatino Linotype"/>
          <w:color w:val="000000" w:themeColor="text1"/>
          <w:lang w:val="es-ES" w:eastAsia="es-MX"/>
        </w:rPr>
        <w:t xml:space="preserve"> lo anteriormente expuesto y</w:t>
      </w:r>
      <w:r w:rsidR="00067B59" w:rsidRPr="00EA05B0">
        <w:rPr>
          <w:rFonts w:ascii="Palatino Linotype" w:hAnsi="Palatino Linotype"/>
          <w:color w:val="000000" w:themeColor="text1"/>
          <w:lang w:val="es-ES" w:eastAsia="es-MX"/>
        </w:rPr>
        <w:t xml:space="preserve"> fundado</w:t>
      </w:r>
      <w:r w:rsidR="009959DB" w:rsidRPr="00EA05B0">
        <w:rPr>
          <w:rFonts w:ascii="Palatino Linotype" w:hAnsi="Palatino Linotype"/>
          <w:color w:val="000000" w:themeColor="text1"/>
          <w:lang w:val="es-ES" w:eastAsia="es-MX"/>
        </w:rPr>
        <w:t xml:space="preserve">, este </w:t>
      </w:r>
      <w:r w:rsidR="009959DB" w:rsidRPr="00EA05B0">
        <w:rPr>
          <w:rFonts w:ascii="Palatino Linotype" w:hAnsi="Palatino Linotype"/>
          <w:b/>
          <w:bCs/>
          <w:color w:val="000000" w:themeColor="text1"/>
          <w:lang w:val="es-ES" w:eastAsia="es-MX"/>
        </w:rPr>
        <w:t>ÓRGANO GARANTE</w:t>
      </w:r>
      <w:r w:rsidR="009959DB" w:rsidRPr="00EA05B0">
        <w:rPr>
          <w:rFonts w:ascii="Palatino Linotype" w:hAnsi="Palatino Linotype"/>
          <w:color w:val="000000" w:themeColor="text1"/>
          <w:lang w:val="es-ES" w:eastAsia="es-MX"/>
        </w:rPr>
        <w:t xml:space="preserve"> emite los siguientes:</w:t>
      </w:r>
      <w:r w:rsidR="00067B59" w:rsidRPr="00EA05B0">
        <w:rPr>
          <w:rFonts w:ascii="Palatino Linotype" w:hAnsi="Palatino Linotype"/>
          <w:color w:val="000000" w:themeColor="text1"/>
          <w:lang w:val="es-ES" w:eastAsia="es-MX"/>
        </w:rPr>
        <w:t>-------------------------------------------------------------------------------------------</w:t>
      </w:r>
    </w:p>
    <w:p w14:paraId="4D486A0E" w14:textId="39A542F8" w:rsidR="00774586" w:rsidRPr="00EA05B0" w:rsidRDefault="00774586" w:rsidP="00774586">
      <w:pPr>
        <w:spacing w:line="360" w:lineRule="auto"/>
        <w:jc w:val="both"/>
        <w:rPr>
          <w:rFonts w:ascii="Palatino Linotype" w:hAnsi="Palatino Linotype"/>
          <w:color w:val="000000" w:themeColor="text1"/>
        </w:rPr>
      </w:pPr>
      <w:r w:rsidRPr="00EA05B0">
        <w:rPr>
          <w:rFonts w:ascii="Palatino Linotype" w:hAnsi="Palatino Linotype"/>
          <w:noProof/>
          <w:color w:val="000000" w:themeColor="text1"/>
          <w:lang w:val="es-MX" w:eastAsia="es-MX"/>
        </w:rPr>
        <mc:AlternateContent>
          <mc:Choice Requires="wps">
            <w:drawing>
              <wp:anchor distT="0" distB="0" distL="114300" distR="114300" simplePos="0" relativeHeight="251715584" behindDoc="0" locked="0" layoutInCell="1" allowOverlap="1" wp14:anchorId="1E9A880E" wp14:editId="13F710DF">
                <wp:simplePos x="0" y="0"/>
                <wp:positionH relativeFrom="margin">
                  <wp:align>right</wp:align>
                </wp:positionH>
                <wp:positionV relativeFrom="paragraph">
                  <wp:posOffset>36830</wp:posOffset>
                </wp:positionV>
                <wp:extent cx="5505450" cy="3248025"/>
                <wp:effectExtent l="38100" t="38100" r="76200" b="85725"/>
                <wp:wrapNone/>
                <wp:docPr id="13" name="Conector recto 13"/>
                <wp:cNvGraphicFramePr/>
                <a:graphic xmlns:a="http://schemas.openxmlformats.org/drawingml/2006/main">
                  <a:graphicData uri="http://schemas.microsoft.com/office/word/2010/wordprocessingShape">
                    <wps:wsp>
                      <wps:cNvCnPr/>
                      <wps:spPr>
                        <a:xfrm flipV="1">
                          <a:off x="0" y="0"/>
                          <a:ext cx="5505450" cy="32480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E551" id="Conector recto 13" o:spid="_x0000_s1026" style="position:absolute;flip:y;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9pt" to="815.8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" strokecolor="black [3200]" strokeweight="1pt">
                <v:shadow on="t" color="black" opacity="24903f" origin=",.5" offset="0,.55556mm"/>
                <w10:wrap anchorx="margin"/>
              </v:line>
            </w:pict>
          </mc:Fallback>
        </mc:AlternateContent>
      </w:r>
    </w:p>
    <w:p w14:paraId="72009315" w14:textId="6F5F64A7" w:rsidR="00774586" w:rsidRPr="00EA05B0" w:rsidRDefault="00774586" w:rsidP="00774586">
      <w:pPr>
        <w:spacing w:line="360" w:lineRule="auto"/>
        <w:jc w:val="both"/>
        <w:rPr>
          <w:rFonts w:ascii="Palatino Linotype" w:hAnsi="Palatino Linotype"/>
          <w:color w:val="000000" w:themeColor="text1"/>
        </w:rPr>
      </w:pPr>
    </w:p>
    <w:p w14:paraId="756C805C" w14:textId="77777777" w:rsidR="00774586" w:rsidRPr="00EA05B0" w:rsidRDefault="00774586" w:rsidP="00774586">
      <w:pPr>
        <w:spacing w:line="360" w:lineRule="auto"/>
        <w:jc w:val="both"/>
        <w:rPr>
          <w:rFonts w:ascii="Palatino Linotype" w:hAnsi="Palatino Linotype"/>
          <w:color w:val="000000" w:themeColor="text1"/>
        </w:rPr>
      </w:pPr>
    </w:p>
    <w:p w14:paraId="5E85517D" w14:textId="77777777" w:rsidR="00774586" w:rsidRPr="00EA05B0" w:rsidRDefault="00774586" w:rsidP="00774586">
      <w:pPr>
        <w:spacing w:line="360" w:lineRule="auto"/>
        <w:jc w:val="both"/>
        <w:rPr>
          <w:rFonts w:ascii="Palatino Linotype" w:hAnsi="Palatino Linotype"/>
          <w:color w:val="000000" w:themeColor="text1"/>
        </w:rPr>
      </w:pPr>
    </w:p>
    <w:p w14:paraId="3B942338" w14:textId="77777777" w:rsidR="00774586" w:rsidRPr="00EA05B0" w:rsidRDefault="00774586" w:rsidP="00774586">
      <w:pPr>
        <w:spacing w:line="360" w:lineRule="auto"/>
        <w:jc w:val="both"/>
        <w:rPr>
          <w:rFonts w:ascii="Palatino Linotype" w:hAnsi="Palatino Linotype"/>
          <w:color w:val="000000" w:themeColor="text1"/>
        </w:rPr>
      </w:pPr>
    </w:p>
    <w:p w14:paraId="27BD2012" w14:textId="77777777" w:rsidR="00774586" w:rsidRPr="00EA05B0" w:rsidRDefault="00774586" w:rsidP="00774586">
      <w:pPr>
        <w:spacing w:line="360" w:lineRule="auto"/>
        <w:jc w:val="both"/>
        <w:rPr>
          <w:rFonts w:ascii="Palatino Linotype" w:hAnsi="Palatino Linotype"/>
          <w:color w:val="000000" w:themeColor="text1"/>
        </w:rPr>
      </w:pPr>
    </w:p>
    <w:p w14:paraId="1D840F4F" w14:textId="77777777" w:rsidR="00774586" w:rsidRPr="00EA05B0" w:rsidRDefault="00774586" w:rsidP="00774586">
      <w:pPr>
        <w:spacing w:line="360" w:lineRule="auto"/>
        <w:jc w:val="both"/>
        <w:rPr>
          <w:rFonts w:ascii="Palatino Linotype" w:hAnsi="Palatino Linotype"/>
          <w:color w:val="000000" w:themeColor="text1"/>
        </w:rPr>
      </w:pPr>
    </w:p>
    <w:p w14:paraId="6E4C0916" w14:textId="77777777" w:rsidR="00774586" w:rsidRPr="00EA05B0" w:rsidRDefault="00774586" w:rsidP="00774586">
      <w:pPr>
        <w:spacing w:line="360" w:lineRule="auto"/>
        <w:jc w:val="both"/>
        <w:rPr>
          <w:rFonts w:ascii="Palatino Linotype" w:hAnsi="Palatino Linotype"/>
          <w:color w:val="000000" w:themeColor="text1"/>
        </w:rPr>
      </w:pPr>
    </w:p>
    <w:p w14:paraId="56570A3A" w14:textId="77777777" w:rsidR="00774586" w:rsidRPr="00EA05B0" w:rsidRDefault="00774586" w:rsidP="00774586">
      <w:pPr>
        <w:spacing w:line="360" w:lineRule="auto"/>
        <w:jc w:val="both"/>
        <w:rPr>
          <w:rFonts w:ascii="Palatino Linotype" w:hAnsi="Palatino Linotype"/>
          <w:color w:val="000000" w:themeColor="text1"/>
        </w:rPr>
      </w:pPr>
    </w:p>
    <w:p w14:paraId="64303DFE" w14:textId="77777777" w:rsidR="00774586" w:rsidRPr="00EA05B0" w:rsidRDefault="00774586" w:rsidP="00774586">
      <w:pPr>
        <w:spacing w:line="360" w:lineRule="auto"/>
        <w:jc w:val="both"/>
        <w:rPr>
          <w:rFonts w:ascii="Palatino Linotype" w:hAnsi="Palatino Linotype"/>
          <w:color w:val="000000" w:themeColor="text1"/>
        </w:rPr>
      </w:pPr>
    </w:p>
    <w:p w14:paraId="29C71AD5" w14:textId="77777777" w:rsidR="00774586" w:rsidRPr="00EA05B0" w:rsidRDefault="00774586" w:rsidP="00774586">
      <w:pPr>
        <w:spacing w:line="360" w:lineRule="auto"/>
        <w:jc w:val="both"/>
        <w:rPr>
          <w:rFonts w:ascii="Palatino Linotype" w:hAnsi="Palatino Linotype"/>
          <w:color w:val="000000" w:themeColor="text1"/>
        </w:rPr>
      </w:pPr>
    </w:p>
    <w:p w14:paraId="18C7D92B" w14:textId="77777777" w:rsidR="009959DB" w:rsidRPr="00EA05B0" w:rsidRDefault="009959DB" w:rsidP="009959DB">
      <w:pPr>
        <w:pStyle w:val="Ttulo1"/>
        <w:spacing w:line="360" w:lineRule="auto"/>
        <w:jc w:val="center"/>
        <w:rPr>
          <w:b/>
          <w:color w:val="000000" w:themeColor="text1"/>
          <w:szCs w:val="24"/>
        </w:rPr>
      </w:pPr>
      <w:bookmarkStart w:id="128" w:name="_Toc495427547"/>
      <w:bookmarkStart w:id="129" w:name="_Toc497905366"/>
      <w:bookmarkStart w:id="130" w:name="_Toc523400461"/>
      <w:r w:rsidRPr="00EA05B0">
        <w:rPr>
          <w:b/>
          <w:color w:val="000000" w:themeColor="text1"/>
          <w:szCs w:val="24"/>
        </w:rPr>
        <w:lastRenderedPageBreak/>
        <w:t>R E S O L U T I V O S</w:t>
      </w:r>
      <w:bookmarkEnd w:id="123"/>
      <w:bookmarkEnd w:id="124"/>
      <w:bookmarkEnd w:id="128"/>
      <w:bookmarkEnd w:id="129"/>
      <w:bookmarkEnd w:id="130"/>
    </w:p>
    <w:p w14:paraId="16AC2337" w14:textId="001B6A95" w:rsidR="002E0B60" w:rsidRPr="00EA05B0" w:rsidRDefault="009959DB" w:rsidP="002E0B60">
      <w:pPr>
        <w:spacing w:before="240" w:after="360" w:line="360" w:lineRule="auto"/>
        <w:jc w:val="both"/>
        <w:rPr>
          <w:rFonts w:ascii="Palatino Linotype" w:eastAsia="Times New Roman" w:hAnsi="Palatino Linotype" w:cs="Times New Roman"/>
          <w:color w:val="000000" w:themeColor="text1"/>
        </w:rPr>
      </w:pPr>
      <w:r w:rsidRPr="00EA05B0">
        <w:rPr>
          <w:rFonts w:ascii="Palatino Linotype" w:eastAsia="MS Mincho" w:hAnsi="Palatino Linotype" w:cs="Times New Roman"/>
          <w:b/>
          <w:color w:val="000000" w:themeColor="text1"/>
        </w:rPr>
        <w:t>PRIMERO.</w:t>
      </w:r>
      <w:r w:rsidRPr="00EA05B0">
        <w:rPr>
          <w:rFonts w:ascii="Palatino Linotype" w:eastAsia="MS Gothic" w:hAnsi="Palatino Linotype" w:cs="Times New Roman"/>
          <w:b/>
          <w:color w:val="000000" w:themeColor="text1"/>
        </w:rPr>
        <w:t xml:space="preserve"> </w:t>
      </w:r>
      <w:r w:rsidR="00522D02" w:rsidRPr="00EA05B0">
        <w:rPr>
          <w:rFonts w:ascii="Palatino Linotype" w:eastAsia="Times New Roman" w:hAnsi="Palatino Linotype" w:cs="Arial"/>
          <w:color w:val="000000" w:themeColor="text1"/>
          <w:lang w:val="es-ES"/>
        </w:rPr>
        <w:t>Resultan</w:t>
      </w:r>
      <w:r w:rsidR="00695D81" w:rsidRPr="00EA05B0">
        <w:rPr>
          <w:rFonts w:ascii="Palatino Linotype" w:eastAsia="Times New Roman" w:hAnsi="Palatino Linotype" w:cs="Arial"/>
          <w:color w:val="000000" w:themeColor="text1"/>
          <w:lang w:val="es-ES"/>
        </w:rPr>
        <w:t xml:space="preserve"> fundadas las razones o motivos de</w:t>
      </w:r>
      <w:r w:rsidR="00F02F5A" w:rsidRPr="00EA05B0">
        <w:rPr>
          <w:rFonts w:ascii="Palatino Linotype" w:eastAsia="Times New Roman" w:hAnsi="Palatino Linotype" w:cs="Arial"/>
          <w:color w:val="000000" w:themeColor="text1"/>
          <w:lang w:val="es-ES"/>
        </w:rPr>
        <w:t xml:space="preserve"> inconformidad hechos valer en </w:t>
      </w:r>
      <w:r w:rsidR="00522D02" w:rsidRPr="00EA05B0">
        <w:rPr>
          <w:rFonts w:ascii="Palatino Linotype" w:eastAsia="Times New Roman" w:hAnsi="Palatino Linotype" w:cs="Arial"/>
          <w:color w:val="000000" w:themeColor="text1"/>
          <w:lang w:val="es-ES"/>
        </w:rPr>
        <w:t>e</w:t>
      </w:r>
      <w:r w:rsidR="00695D81" w:rsidRPr="00EA05B0">
        <w:rPr>
          <w:rFonts w:ascii="Palatino Linotype" w:eastAsia="Times New Roman" w:hAnsi="Palatino Linotype" w:cs="Arial"/>
          <w:color w:val="000000" w:themeColor="text1"/>
          <w:lang w:val="es-ES"/>
        </w:rPr>
        <w:t xml:space="preserve">l recurso de revisión </w:t>
      </w:r>
      <w:r w:rsidR="00067B59" w:rsidRPr="00EA05B0">
        <w:rPr>
          <w:rFonts w:ascii="Palatino Linotype" w:eastAsia="Times New Roman" w:hAnsi="Palatino Linotype" w:cs="Arial"/>
          <w:b/>
          <w:color w:val="000000" w:themeColor="text1"/>
          <w:lang w:val="es-ES"/>
        </w:rPr>
        <w:t>02293</w:t>
      </w:r>
      <w:r w:rsidR="0054126A" w:rsidRPr="00EA05B0">
        <w:rPr>
          <w:rFonts w:ascii="Palatino Linotype" w:eastAsia="Times New Roman" w:hAnsi="Palatino Linotype" w:cs="Arial"/>
          <w:b/>
          <w:color w:val="000000" w:themeColor="text1"/>
          <w:lang w:val="es-ES"/>
        </w:rPr>
        <w:t>/INFOEM/IP/RR/2018</w:t>
      </w:r>
      <w:r w:rsidR="00774586" w:rsidRPr="00EA05B0">
        <w:rPr>
          <w:rFonts w:ascii="Palatino Linotype" w:eastAsia="Times New Roman" w:hAnsi="Palatino Linotype" w:cs="Arial"/>
          <w:color w:val="000000" w:themeColor="text1"/>
          <w:lang w:val="es-ES"/>
        </w:rPr>
        <w:t>, en términos de</w:t>
      </w:r>
      <w:r w:rsidR="002D2F96" w:rsidRPr="00EA05B0">
        <w:rPr>
          <w:rFonts w:ascii="Palatino Linotype" w:eastAsia="Times New Roman" w:hAnsi="Palatino Linotype" w:cs="Arial"/>
          <w:color w:val="000000" w:themeColor="text1"/>
          <w:lang w:val="es-ES"/>
        </w:rPr>
        <w:t>l</w:t>
      </w:r>
      <w:r w:rsidR="00774586" w:rsidRPr="00EA05B0">
        <w:rPr>
          <w:rFonts w:ascii="Palatino Linotype" w:eastAsia="Times New Roman" w:hAnsi="Palatino Linotype" w:cs="Arial"/>
          <w:color w:val="000000" w:themeColor="text1"/>
          <w:lang w:val="es-ES"/>
        </w:rPr>
        <w:t xml:space="preserve"> Considerando</w:t>
      </w:r>
      <w:r w:rsidR="00695D81" w:rsidRPr="00EA05B0">
        <w:rPr>
          <w:rFonts w:ascii="Palatino Linotype" w:eastAsia="Times New Roman" w:hAnsi="Palatino Linotype" w:cs="Arial"/>
          <w:color w:val="000000" w:themeColor="text1"/>
          <w:lang w:val="es-ES"/>
        </w:rPr>
        <w:t xml:space="preserve"> </w:t>
      </w:r>
      <w:r w:rsidR="00067B59" w:rsidRPr="00EA05B0">
        <w:rPr>
          <w:rFonts w:ascii="Palatino Linotype" w:eastAsia="Times New Roman" w:hAnsi="Palatino Linotype" w:cs="Arial"/>
          <w:b/>
          <w:color w:val="000000" w:themeColor="text1"/>
          <w:lang w:val="es-ES"/>
        </w:rPr>
        <w:t xml:space="preserve">CUARTO </w:t>
      </w:r>
      <w:r w:rsidR="00067B59" w:rsidRPr="00EA05B0">
        <w:rPr>
          <w:rFonts w:ascii="Palatino Linotype" w:eastAsia="Times New Roman" w:hAnsi="Palatino Linotype" w:cs="Arial"/>
          <w:color w:val="000000" w:themeColor="text1"/>
          <w:lang w:val="es-ES"/>
        </w:rPr>
        <w:t>y</w:t>
      </w:r>
      <w:r w:rsidR="00067B59" w:rsidRPr="00EA05B0">
        <w:rPr>
          <w:rFonts w:ascii="Palatino Linotype" w:eastAsia="Times New Roman" w:hAnsi="Palatino Linotype" w:cs="Arial"/>
          <w:b/>
          <w:color w:val="000000" w:themeColor="text1"/>
          <w:lang w:val="es-ES"/>
        </w:rPr>
        <w:t xml:space="preserve"> </w:t>
      </w:r>
      <w:r w:rsidR="0034737A" w:rsidRPr="00EA05B0">
        <w:rPr>
          <w:rFonts w:ascii="Palatino Linotype" w:eastAsia="Times New Roman" w:hAnsi="Palatino Linotype" w:cs="Arial"/>
          <w:b/>
          <w:color w:val="000000" w:themeColor="text1"/>
          <w:lang w:val="es-ES"/>
        </w:rPr>
        <w:t>QUINTO</w:t>
      </w:r>
      <w:r w:rsidR="00964072" w:rsidRPr="00EA05B0">
        <w:rPr>
          <w:rFonts w:ascii="Palatino Linotype" w:eastAsia="Times New Roman" w:hAnsi="Palatino Linotype" w:cs="Arial"/>
          <w:b/>
          <w:color w:val="000000" w:themeColor="text1"/>
          <w:lang w:val="es-ES"/>
        </w:rPr>
        <w:t xml:space="preserve"> </w:t>
      </w:r>
      <w:r w:rsidR="00695D81" w:rsidRPr="00EA05B0">
        <w:rPr>
          <w:rFonts w:ascii="Palatino Linotype" w:eastAsia="Times New Roman" w:hAnsi="Palatino Linotype" w:cs="Arial"/>
          <w:color w:val="000000" w:themeColor="text1"/>
          <w:lang w:val="es-ES"/>
        </w:rPr>
        <w:t>de la presente resolución.</w:t>
      </w:r>
    </w:p>
    <w:p w14:paraId="5CF5E8A8" w14:textId="7E88298E" w:rsidR="002E0B60" w:rsidRPr="00EA05B0" w:rsidRDefault="009959DB" w:rsidP="002E0B60">
      <w:pPr>
        <w:spacing w:before="240" w:after="360" w:line="360" w:lineRule="auto"/>
        <w:jc w:val="both"/>
        <w:rPr>
          <w:rFonts w:ascii="Palatino Linotype" w:hAnsi="Palatino Linotype"/>
          <w:lang w:eastAsia="es-MX"/>
        </w:rPr>
      </w:pPr>
      <w:r w:rsidRPr="00EA05B0">
        <w:rPr>
          <w:rFonts w:ascii="Palatino Linotype" w:hAnsi="Palatino Linotype"/>
          <w:b/>
          <w:color w:val="000000" w:themeColor="text1"/>
        </w:rPr>
        <w:t>SEGUNDO.</w:t>
      </w:r>
      <w:r w:rsidRPr="00EA05B0">
        <w:rPr>
          <w:rStyle w:val="Ttulo2Car"/>
          <w:rFonts w:ascii="Palatino Linotype" w:hAnsi="Palatino Linotype"/>
          <w:b/>
          <w:color w:val="000000" w:themeColor="text1"/>
        </w:rPr>
        <w:t xml:space="preserve"> </w:t>
      </w:r>
      <w:r w:rsidR="00695D81" w:rsidRPr="00EA05B0">
        <w:rPr>
          <w:rFonts w:ascii="Palatino Linotype" w:hAnsi="Palatino Linotype"/>
          <w:lang w:eastAsia="es-MX"/>
        </w:rPr>
        <w:t xml:space="preserve">Se </w:t>
      </w:r>
      <w:r w:rsidR="00067B59" w:rsidRPr="00EA05B0">
        <w:rPr>
          <w:rFonts w:ascii="Palatino Linotype" w:hAnsi="Palatino Linotype"/>
          <w:b/>
          <w:lang w:eastAsia="es-MX"/>
        </w:rPr>
        <w:t>REVOCA</w:t>
      </w:r>
      <w:r w:rsidR="00695D81" w:rsidRPr="00EA05B0">
        <w:rPr>
          <w:rFonts w:ascii="Palatino Linotype" w:hAnsi="Palatino Linotype"/>
          <w:lang w:eastAsia="es-MX"/>
        </w:rPr>
        <w:t xml:space="preserve"> la respuesta y se </w:t>
      </w:r>
      <w:r w:rsidR="00695D81" w:rsidRPr="00EA05B0">
        <w:rPr>
          <w:rFonts w:ascii="Palatino Linotype" w:hAnsi="Palatino Linotype"/>
          <w:b/>
          <w:bCs/>
          <w:lang w:eastAsia="es-MX"/>
        </w:rPr>
        <w:t>ORDENA</w:t>
      </w:r>
      <w:r w:rsidR="00695D81" w:rsidRPr="00EA05B0">
        <w:rPr>
          <w:rFonts w:ascii="Palatino Linotype" w:hAnsi="Palatino Linotype"/>
          <w:lang w:eastAsia="es-MX"/>
        </w:rPr>
        <w:t xml:space="preserve"> al </w:t>
      </w:r>
      <w:r w:rsidR="00860D7D" w:rsidRPr="00EA05B0">
        <w:rPr>
          <w:rFonts w:ascii="Palatino Linotype" w:hAnsi="Palatino Linotype"/>
          <w:b/>
          <w:lang w:eastAsia="es-MX"/>
        </w:rPr>
        <w:t xml:space="preserve">Ayuntamiento de </w:t>
      </w:r>
      <w:r w:rsidR="00067B59" w:rsidRPr="00EA05B0">
        <w:rPr>
          <w:rFonts w:ascii="Palatino Linotype" w:hAnsi="Palatino Linotype"/>
          <w:b/>
          <w:lang w:eastAsia="es-MX"/>
        </w:rPr>
        <w:t>Almoloya del Río</w:t>
      </w:r>
      <w:r w:rsidR="00695D81" w:rsidRPr="00EA05B0">
        <w:rPr>
          <w:rFonts w:ascii="Palatino Linotype" w:hAnsi="Palatino Linotype"/>
          <w:lang w:eastAsia="es-MX"/>
        </w:rPr>
        <w:t>, entregar vía</w:t>
      </w:r>
      <w:r w:rsidR="00695D81" w:rsidRPr="00EA05B0">
        <w:rPr>
          <w:rFonts w:ascii="Palatino Linotype" w:eastAsia="Times New Roman" w:hAnsi="Palatino Linotype" w:cs="Arial"/>
          <w:color w:val="222222"/>
          <w:lang w:eastAsia="es-MX"/>
        </w:rPr>
        <w:t xml:space="preserve"> Sistema de Acceso a la Información Mexiquense </w:t>
      </w:r>
      <w:r w:rsidR="00695D81" w:rsidRPr="00EA05B0">
        <w:rPr>
          <w:rFonts w:ascii="Palatino Linotype" w:eastAsia="Times New Roman" w:hAnsi="Palatino Linotype" w:cs="Arial"/>
          <w:b/>
          <w:color w:val="222222"/>
          <w:lang w:eastAsia="es-MX"/>
        </w:rPr>
        <w:t>(SAIMEX)</w:t>
      </w:r>
      <w:r w:rsidR="00695D81" w:rsidRPr="00EA05B0">
        <w:rPr>
          <w:rFonts w:ascii="Palatino Linotype" w:hAnsi="Palatino Linotype"/>
          <w:lang w:eastAsia="es-MX"/>
        </w:rPr>
        <w:t xml:space="preserve">, </w:t>
      </w:r>
      <w:r w:rsidR="00441379" w:rsidRPr="00EA05B0">
        <w:rPr>
          <w:rFonts w:ascii="Palatino Linotype" w:eastAsia="Times New Roman" w:hAnsi="Palatino Linotype" w:cs="Arial"/>
        </w:rPr>
        <w:t>en términos de</w:t>
      </w:r>
      <w:r w:rsidR="00703225" w:rsidRPr="00EA05B0">
        <w:rPr>
          <w:rFonts w:ascii="Palatino Linotype" w:eastAsia="Times New Roman" w:hAnsi="Palatino Linotype" w:cs="Arial"/>
        </w:rPr>
        <w:t>l Considerando</w:t>
      </w:r>
      <w:r w:rsidR="00441379" w:rsidRPr="00EA05B0">
        <w:rPr>
          <w:rFonts w:ascii="Palatino Linotype" w:eastAsia="Times New Roman" w:hAnsi="Palatino Linotype" w:cs="Arial"/>
        </w:rPr>
        <w:t xml:space="preserve"> </w:t>
      </w:r>
      <w:r w:rsidR="00067B59" w:rsidRPr="00EA05B0">
        <w:rPr>
          <w:rFonts w:ascii="Palatino Linotype" w:eastAsia="Times New Roman" w:hAnsi="Palatino Linotype" w:cs="Arial"/>
          <w:b/>
        </w:rPr>
        <w:t xml:space="preserve">CUARTO </w:t>
      </w:r>
      <w:r w:rsidR="00067B59" w:rsidRPr="00EA05B0">
        <w:rPr>
          <w:rFonts w:ascii="Palatino Linotype" w:eastAsia="Times New Roman" w:hAnsi="Palatino Linotype" w:cs="Arial"/>
        </w:rPr>
        <w:t>y</w:t>
      </w:r>
      <w:r w:rsidR="00067B59" w:rsidRPr="00EA05B0">
        <w:rPr>
          <w:rFonts w:ascii="Palatino Linotype" w:eastAsia="Times New Roman" w:hAnsi="Palatino Linotype" w:cs="Arial"/>
          <w:b/>
        </w:rPr>
        <w:t xml:space="preserve"> </w:t>
      </w:r>
      <w:r w:rsidR="00656376" w:rsidRPr="00EA05B0">
        <w:rPr>
          <w:rFonts w:ascii="Palatino Linotype" w:eastAsia="Times New Roman" w:hAnsi="Palatino Linotype" w:cs="Arial"/>
          <w:b/>
        </w:rPr>
        <w:t xml:space="preserve">QUINTO </w:t>
      </w:r>
      <w:r w:rsidR="00441379" w:rsidRPr="00EA05B0">
        <w:rPr>
          <w:rFonts w:ascii="Palatino Linotype" w:eastAsia="Times New Roman" w:hAnsi="Palatino Linotype" w:cs="Arial"/>
        </w:rPr>
        <w:t>de la presente resolución</w:t>
      </w:r>
      <w:r w:rsidR="00067B59" w:rsidRPr="00EA05B0">
        <w:rPr>
          <w:rFonts w:ascii="Palatino Linotype" w:eastAsia="Times New Roman" w:hAnsi="Palatino Linotype" w:cs="Arial"/>
        </w:rPr>
        <w:t>, en versión pública</w:t>
      </w:r>
      <w:r w:rsidR="0027694D" w:rsidRPr="00EA05B0">
        <w:rPr>
          <w:rFonts w:ascii="Palatino Linotype" w:eastAsia="Times New Roman" w:hAnsi="Palatino Linotype" w:cs="Arial"/>
          <w:color w:val="222222"/>
          <w:lang w:eastAsia="es-MX"/>
        </w:rPr>
        <w:t xml:space="preserve"> la </w:t>
      </w:r>
      <w:r w:rsidR="00695D81" w:rsidRPr="00EA05B0">
        <w:rPr>
          <w:rFonts w:ascii="Palatino Linotype" w:eastAsia="Times New Roman" w:hAnsi="Palatino Linotype" w:cs="Arial"/>
          <w:color w:val="222222"/>
          <w:lang w:eastAsia="es-MX"/>
        </w:rPr>
        <w:t>siguiente</w:t>
      </w:r>
      <w:r w:rsidR="0027694D" w:rsidRPr="00EA05B0">
        <w:rPr>
          <w:rFonts w:ascii="Palatino Linotype" w:eastAsia="Times New Roman" w:hAnsi="Palatino Linotype" w:cs="Arial"/>
          <w:color w:val="222222"/>
          <w:lang w:eastAsia="es-MX"/>
        </w:rPr>
        <w:t xml:space="preserve"> información</w:t>
      </w:r>
      <w:r w:rsidR="00695D81" w:rsidRPr="00EA05B0">
        <w:rPr>
          <w:rFonts w:ascii="Palatino Linotype" w:hAnsi="Palatino Linotype"/>
          <w:lang w:eastAsia="es-MX"/>
        </w:rPr>
        <w:t>:</w:t>
      </w:r>
    </w:p>
    <w:p w14:paraId="49A5824F" w14:textId="6D26D774" w:rsidR="00522D02" w:rsidRPr="00EA05B0" w:rsidRDefault="00D604D8" w:rsidP="00067B59">
      <w:pPr>
        <w:pStyle w:val="Prrafodelista"/>
        <w:numPr>
          <w:ilvl w:val="0"/>
          <w:numId w:val="41"/>
        </w:numPr>
        <w:spacing w:before="240" w:after="360" w:line="360" w:lineRule="auto"/>
        <w:ind w:left="567"/>
        <w:jc w:val="both"/>
        <w:rPr>
          <w:rFonts w:ascii="Palatino Linotype" w:hAnsi="Palatino Linotype"/>
          <w:b/>
        </w:rPr>
      </w:pPr>
      <w:r w:rsidRPr="00EA05B0">
        <w:rPr>
          <w:rFonts w:ascii="Palatino Linotype" w:hAnsi="Palatino Linotype"/>
          <w:b/>
          <w:color w:val="000000"/>
        </w:rPr>
        <w:t>Copia de los laudos emitidos por demandas laborales durante el período de la actual administración del Ayuntamiento de Almoloya del Río.</w:t>
      </w:r>
    </w:p>
    <w:p w14:paraId="41E12D48" w14:textId="31186ED4" w:rsidR="00FE461F" w:rsidRPr="00EA05B0" w:rsidRDefault="00FE461F" w:rsidP="009959DB">
      <w:pPr>
        <w:spacing w:before="240" w:after="360" w:line="360" w:lineRule="auto"/>
        <w:jc w:val="both"/>
        <w:rPr>
          <w:rFonts w:ascii="Palatino Linotype" w:hAnsi="Palatino Linotype"/>
        </w:rPr>
      </w:pPr>
      <w:r w:rsidRPr="00EA05B0">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14D2D" w:rsidRPr="00514D2D">
        <w:rPr>
          <w:rFonts w:ascii="Palatino Linotype" w:hAnsi="Palatino Linotype"/>
          <w:b/>
          <w:highlight w:val="black"/>
        </w:rPr>
        <w:t>--------------------------------</w:t>
      </w:r>
      <w:r w:rsidRPr="00EA05B0">
        <w:rPr>
          <w:rFonts w:ascii="Palatino Linotype" w:hAnsi="Palatino Linotype"/>
        </w:rPr>
        <w:t>.</w:t>
      </w:r>
    </w:p>
    <w:p w14:paraId="1A01A4C9" w14:textId="1EA45E35" w:rsidR="009959DB" w:rsidRPr="00EA05B0" w:rsidRDefault="009959DB" w:rsidP="009959DB">
      <w:pPr>
        <w:spacing w:before="240" w:after="360" w:line="360" w:lineRule="auto"/>
        <w:jc w:val="both"/>
        <w:rPr>
          <w:rFonts w:ascii="Palatino Linotype" w:eastAsia="MS Mincho" w:hAnsi="Palatino Linotype" w:cs="Times New Roman"/>
          <w:color w:val="000000" w:themeColor="text1"/>
        </w:rPr>
      </w:pPr>
      <w:r w:rsidRPr="00EA05B0">
        <w:rPr>
          <w:rFonts w:ascii="Palatino Linotype" w:eastAsia="MS Mincho" w:hAnsi="Palatino Linotype" w:cs="Times New Roman"/>
          <w:b/>
          <w:color w:val="000000" w:themeColor="text1"/>
        </w:rPr>
        <w:t>TERCERO</w:t>
      </w:r>
      <w:r w:rsidRPr="00EA05B0">
        <w:rPr>
          <w:rFonts w:ascii="Palatino Linotype" w:eastAsia="MS Mincho" w:hAnsi="Palatino Linotype" w:cs="Times New Roman"/>
          <w:color w:val="000000" w:themeColor="text1"/>
        </w:rPr>
        <w:t xml:space="preserve">. </w:t>
      </w:r>
      <w:r w:rsidR="00695D81" w:rsidRPr="00EA05B0">
        <w:rPr>
          <w:rFonts w:ascii="Palatino Linotype" w:eastAsia="Palatino Linotype" w:hAnsi="Palatino Linotype" w:cs="Palatino Linotype"/>
          <w:b/>
        </w:rPr>
        <w:t xml:space="preserve">Notifíquese </w:t>
      </w:r>
      <w:r w:rsidR="00695D81" w:rsidRPr="00EA05B0">
        <w:rPr>
          <w:rFonts w:ascii="Palatino Linotype" w:eastAsia="Palatino Linotype" w:hAnsi="Palatino Linotype" w:cs="Palatino Linotype"/>
        </w:rPr>
        <w:t xml:space="preserve">al Titular de la Unidad de Transparencia del </w:t>
      </w:r>
      <w:r w:rsidR="00695D81" w:rsidRPr="00EA05B0">
        <w:rPr>
          <w:rFonts w:ascii="Palatino Linotype" w:eastAsia="Palatino Linotype" w:hAnsi="Palatino Linotype" w:cs="Palatino Linotype"/>
          <w:b/>
        </w:rPr>
        <w:t>SUJETO OBLIGADO</w:t>
      </w:r>
      <w:r w:rsidR="00695D81" w:rsidRPr="00EA05B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695D81" w:rsidRPr="00EA05B0">
        <w:rPr>
          <w:rFonts w:ascii="Palatino Linotype" w:hAnsi="Palatino Linotype"/>
          <w:color w:val="222222"/>
          <w:shd w:val="clear" w:color="auto" w:fill="FFFFFF"/>
        </w:rPr>
        <w:t xml:space="preserve">vigente, dé cumplimiento a lo ordenado dentro del </w:t>
      </w:r>
      <w:r w:rsidR="00695D81" w:rsidRPr="00EA05B0">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r w:rsidRPr="00EA05B0">
        <w:rPr>
          <w:rFonts w:ascii="Palatino Linotype" w:eastAsia="MS Mincho" w:hAnsi="Palatino Linotype" w:cs="Times New Roman"/>
          <w:color w:val="000000" w:themeColor="text1"/>
        </w:rPr>
        <w:t>.</w:t>
      </w:r>
    </w:p>
    <w:p w14:paraId="4C1B7422" w14:textId="6431CA69" w:rsidR="009959DB" w:rsidRPr="00EA05B0" w:rsidRDefault="009959DB" w:rsidP="009959DB">
      <w:pPr>
        <w:spacing w:before="240" w:after="360" w:line="360" w:lineRule="auto"/>
        <w:jc w:val="both"/>
        <w:rPr>
          <w:rFonts w:ascii="Palatino Linotype" w:eastAsia="MS Mincho" w:hAnsi="Palatino Linotype" w:cs="Times New Roman"/>
          <w:color w:val="000000" w:themeColor="text1"/>
        </w:rPr>
      </w:pPr>
      <w:r w:rsidRPr="00EA05B0">
        <w:rPr>
          <w:rFonts w:ascii="Palatino Linotype" w:eastAsia="MS Mincho" w:hAnsi="Palatino Linotype" w:cs="Times New Roman"/>
          <w:b/>
          <w:color w:val="000000" w:themeColor="text1"/>
        </w:rPr>
        <w:t xml:space="preserve">CUARTO. </w:t>
      </w:r>
      <w:r w:rsidR="00695D81" w:rsidRPr="00EA05B0">
        <w:rPr>
          <w:rFonts w:ascii="Palatino Linotype" w:eastAsia="Times New Roman" w:hAnsi="Palatino Linotype"/>
          <w:bCs/>
          <w:color w:val="222222"/>
        </w:rPr>
        <w:t>Notifíquese a</w:t>
      </w:r>
      <w:r w:rsidR="00695D81" w:rsidRPr="00EA05B0">
        <w:rPr>
          <w:rFonts w:ascii="Palatino Linotype" w:hAnsi="Palatino Linotype"/>
          <w:b/>
        </w:rPr>
        <w:t xml:space="preserve"> </w:t>
      </w:r>
      <w:r w:rsidR="00514D2D" w:rsidRPr="00514D2D">
        <w:rPr>
          <w:rFonts w:ascii="Palatino Linotype" w:hAnsi="Palatino Linotype"/>
          <w:b/>
          <w:highlight w:val="black"/>
        </w:rPr>
        <w:t>-------------------------------</w:t>
      </w:r>
      <w:r w:rsidR="00695D81" w:rsidRPr="00EA05B0">
        <w:rPr>
          <w:rFonts w:ascii="Palatino Linotype" w:eastAsia="Times New Roman" w:hAnsi="Palatino Linotype" w:cs="Arial"/>
          <w:b/>
          <w:bCs/>
          <w:color w:val="222222"/>
          <w:lang w:eastAsia="es-MX"/>
        </w:rPr>
        <w:t xml:space="preserve"> </w:t>
      </w:r>
      <w:r w:rsidR="00695D81" w:rsidRPr="00EA05B0">
        <w:rPr>
          <w:rFonts w:ascii="Palatino Linotype" w:hAnsi="Palatino Linotype"/>
        </w:rPr>
        <w:t>la presente resolución</w:t>
      </w:r>
      <w:r w:rsidR="00896EE8" w:rsidRPr="00EA05B0">
        <w:rPr>
          <w:rFonts w:ascii="Palatino Linotype" w:eastAsia="MS Mincho" w:hAnsi="Palatino Linotype"/>
        </w:rPr>
        <w:t>.</w:t>
      </w:r>
    </w:p>
    <w:p w14:paraId="7792528D" w14:textId="150829A9" w:rsidR="00602597" w:rsidRPr="00EA05B0" w:rsidRDefault="009959DB" w:rsidP="009959DB">
      <w:pPr>
        <w:spacing w:before="240" w:after="360" w:line="360" w:lineRule="auto"/>
        <w:jc w:val="both"/>
        <w:rPr>
          <w:rFonts w:ascii="Palatino Linotype" w:eastAsia="MS Mincho" w:hAnsi="Palatino Linotype" w:cs="Times New Roman"/>
          <w:color w:val="000000" w:themeColor="text1"/>
        </w:rPr>
      </w:pPr>
      <w:r w:rsidRPr="00EA05B0">
        <w:rPr>
          <w:rFonts w:ascii="Palatino Linotype" w:eastAsia="MS Mincho" w:hAnsi="Palatino Linotype" w:cs="Times New Roman"/>
          <w:b/>
          <w:color w:val="000000" w:themeColor="text1"/>
        </w:rPr>
        <w:t xml:space="preserve">QUINTO. </w:t>
      </w:r>
      <w:r w:rsidR="00695D81" w:rsidRPr="00EA05B0">
        <w:rPr>
          <w:rFonts w:ascii="Palatino Linotype" w:eastAsia="Times New Roman" w:hAnsi="Palatino Linotype" w:cs="Arial"/>
          <w:color w:val="222222"/>
          <w:lang w:eastAsia="es-MX"/>
        </w:rPr>
        <w:t xml:space="preserve">Se hace del conocimiento de </w:t>
      </w:r>
      <w:r w:rsidR="00514D2D" w:rsidRPr="00514D2D">
        <w:rPr>
          <w:rFonts w:ascii="Palatino Linotype" w:hAnsi="Palatino Linotype"/>
          <w:b/>
          <w:highlight w:val="black"/>
        </w:rPr>
        <w:t>--------------------------</w:t>
      </w:r>
      <w:bookmarkStart w:id="131" w:name="_GoBack"/>
      <w:bookmarkEnd w:id="131"/>
      <w:r w:rsidR="00695D81" w:rsidRPr="00EA05B0">
        <w:rPr>
          <w:rFonts w:ascii="Palatino Linotype" w:eastAsia="Times New Roman" w:hAnsi="Palatino Linotype" w:cs="Arial"/>
          <w:b/>
          <w:bCs/>
          <w:color w:val="222222"/>
          <w:lang w:eastAsia="es-MX"/>
        </w:rPr>
        <w:t xml:space="preserve"> </w:t>
      </w:r>
      <w:r w:rsidR="00695D81" w:rsidRPr="00EA05B0">
        <w:rPr>
          <w:rFonts w:ascii="Palatino Linotype" w:eastAsia="Times New Roman" w:hAnsi="Palatino Linotype" w:cs="Arial"/>
          <w:color w:val="222222"/>
          <w:lang w:val="es-MX" w:eastAsia="es-MX"/>
        </w:rPr>
        <w:t xml:space="preserve">que </w:t>
      </w:r>
      <w:r w:rsidR="00695D81" w:rsidRPr="00EA05B0">
        <w:rPr>
          <w:rFonts w:ascii="Palatino Linotype" w:eastAsia="Times New Roman" w:hAnsi="Palatino Linotype" w:cs="Arial"/>
          <w:color w:val="222222"/>
          <w:lang w:eastAsia="es-MX"/>
        </w:rPr>
        <w:t xml:space="preserve">de conformidad con lo establecido en el artículo 196 de la Ley de Transparencia y Acceso a la Información Pública del Estado de México y Municipios, en caso de que considere que la resolución le cause algún </w:t>
      </w:r>
      <w:r w:rsidR="00067B59" w:rsidRPr="00EA05B0">
        <w:rPr>
          <w:rFonts w:ascii="Palatino Linotype" w:eastAsia="Times New Roman" w:hAnsi="Palatino Linotype" w:cs="Arial"/>
          <w:color w:val="222222"/>
          <w:lang w:eastAsia="es-MX"/>
        </w:rPr>
        <w:t>perjuicio podrá impugnarla vía J</w:t>
      </w:r>
      <w:r w:rsidR="00695D81" w:rsidRPr="00EA05B0">
        <w:rPr>
          <w:rFonts w:ascii="Palatino Linotype" w:eastAsia="Times New Roman" w:hAnsi="Palatino Linotype" w:cs="Arial"/>
          <w:color w:val="222222"/>
          <w:lang w:eastAsia="es-MX"/>
        </w:rPr>
        <w:t xml:space="preserve">uicio de </w:t>
      </w:r>
      <w:r w:rsidR="00067B59" w:rsidRPr="00EA05B0">
        <w:rPr>
          <w:rFonts w:ascii="Palatino Linotype" w:eastAsia="Times New Roman" w:hAnsi="Palatino Linotype" w:cs="Arial"/>
          <w:color w:val="222222"/>
          <w:lang w:eastAsia="es-MX"/>
        </w:rPr>
        <w:t>A</w:t>
      </w:r>
      <w:r w:rsidR="00695D81" w:rsidRPr="00EA05B0">
        <w:rPr>
          <w:rFonts w:ascii="Palatino Linotype" w:eastAsia="Times New Roman" w:hAnsi="Palatino Linotype" w:cs="Arial"/>
          <w:color w:val="222222"/>
          <w:lang w:eastAsia="es-MX"/>
        </w:rPr>
        <w:t>mparo en los términos de las leyes aplicables</w:t>
      </w:r>
      <w:r w:rsidRPr="00EA05B0">
        <w:rPr>
          <w:rFonts w:ascii="Palatino Linotype" w:eastAsia="MS Mincho" w:hAnsi="Palatino Linotype" w:cs="Times New Roman"/>
          <w:color w:val="000000" w:themeColor="text1"/>
        </w:rPr>
        <w:t>.</w:t>
      </w:r>
    </w:p>
    <w:p w14:paraId="39548AE8" w14:textId="49E040E9" w:rsidR="00BF6A45" w:rsidRPr="00EA05B0" w:rsidRDefault="00BF6A45" w:rsidP="00BF6A45">
      <w:pPr>
        <w:spacing w:before="240" w:after="240" w:line="360" w:lineRule="auto"/>
        <w:jc w:val="both"/>
        <w:rPr>
          <w:rFonts w:ascii="Palatino Linotype" w:hAnsi="Palatino Linotype" w:cs="Arial"/>
          <w:color w:val="000000" w:themeColor="text1"/>
        </w:rPr>
      </w:pPr>
      <w:r w:rsidRPr="00EA05B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EMITIENDO VOTO PARTICULAR; EVA ABAID YAPUR EMITIENDO VOTO PARTICULAR; JOSÉ GUADALUPE LUNA HERNÁNDEZ Y JAVIER MARTÍNEZ CRUZ EMITIENDO VOTO PARTICULAR; EN LA TRIGÉSIMA PRIMERA SESIÓN ORDINARIA CELEBRADA EL VEINTINUEVE (29) DE AGOSTO DE DOS MIL DIECIOCHO, ANTE EL SECRETARIO TÉCNICO DEL PLENO ALEXIS TAPIA RAMÍREZ.</w:t>
      </w:r>
      <w:r w:rsidRPr="00EA05B0">
        <w:rPr>
          <w:rFonts w:ascii="Palatino Linotype" w:hAnsi="Palatino Linotype" w:cs="Arial"/>
          <w:color w:val="000000" w:themeColor="text1"/>
        </w:rPr>
        <w:t xml:space="preserve"> </w:t>
      </w:r>
    </w:p>
    <w:tbl>
      <w:tblPr>
        <w:tblStyle w:val="Tablaconcuadrcula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BF6A45" w:rsidRPr="00EA05B0" w14:paraId="7BB4209F" w14:textId="77777777" w:rsidTr="00595927">
        <w:trPr>
          <w:trHeight w:val="1807"/>
          <w:jc w:val="center"/>
        </w:trPr>
        <w:tc>
          <w:tcPr>
            <w:tcW w:w="8789" w:type="dxa"/>
            <w:gridSpan w:val="2"/>
            <w:vAlign w:val="center"/>
          </w:tcPr>
          <w:p w14:paraId="6270DFE4"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19219254"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7B61C80F" w14:textId="77777777" w:rsidR="00BF6A45" w:rsidRPr="00EA05B0" w:rsidRDefault="00BF6A45" w:rsidP="00595927">
            <w:pPr>
              <w:spacing w:line="360" w:lineRule="auto"/>
              <w:jc w:val="center"/>
              <w:rPr>
                <w:rFonts w:ascii="Palatino Linotype" w:hAnsi="Palatino Linotype" w:cs="Times New Roman"/>
                <w:b/>
                <w:color w:val="000000" w:themeColor="text1"/>
              </w:rPr>
            </w:pPr>
            <w:r w:rsidRPr="00EA05B0">
              <w:rPr>
                <w:rFonts w:ascii="Palatino Linotype" w:hAnsi="Palatino Linotype" w:cs="Times New Roman"/>
                <w:b/>
                <w:color w:val="000000" w:themeColor="text1"/>
              </w:rPr>
              <w:t>Zulema Martínez Sánchez</w:t>
            </w:r>
          </w:p>
          <w:p w14:paraId="16B19E9C" w14:textId="7777777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Comisionada Presidenta</w:t>
            </w:r>
          </w:p>
          <w:p w14:paraId="7144E939" w14:textId="371E852A"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(Rúbrica)</w:t>
            </w:r>
          </w:p>
        </w:tc>
      </w:tr>
      <w:tr w:rsidR="00BF6A45" w:rsidRPr="00EA05B0" w14:paraId="52FE3944" w14:textId="77777777" w:rsidTr="00595927">
        <w:trPr>
          <w:trHeight w:val="2156"/>
          <w:jc w:val="center"/>
        </w:trPr>
        <w:tc>
          <w:tcPr>
            <w:tcW w:w="4395" w:type="dxa"/>
            <w:vAlign w:val="center"/>
          </w:tcPr>
          <w:p w14:paraId="485469C6"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1F4A129C"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696AAE10" w14:textId="77777777" w:rsidR="00BF6A45" w:rsidRPr="00EA05B0" w:rsidRDefault="00BF6A45" w:rsidP="00595927">
            <w:pPr>
              <w:spacing w:line="360" w:lineRule="auto"/>
              <w:jc w:val="center"/>
              <w:rPr>
                <w:rFonts w:ascii="Palatino Linotype" w:hAnsi="Palatino Linotype" w:cs="Times New Roman"/>
                <w:b/>
                <w:color w:val="000000" w:themeColor="text1"/>
              </w:rPr>
            </w:pPr>
            <w:r w:rsidRPr="00EA05B0">
              <w:rPr>
                <w:rFonts w:ascii="Palatino Linotype" w:hAnsi="Palatino Linotype" w:cs="Times New Roman"/>
                <w:b/>
                <w:color w:val="000000" w:themeColor="text1"/>
              </w:rPr>
              <w:t xml:space="preserve">Eva </w:t>
            </w:r>
            <w:proofErr w:type="spellStart"/>
            <w:r w:rsidRPr="00EA05B0">
              <w:rPr>
                <w:rFonts w:ascii="Palatino Linotype" w:hAnsi="Palatino Linotype" w:cs="Times New Roman"/>
                <w:b/>
                <w:color w:val="000000" w:themeColor="text1"/>
              </w:rPr>
              <w:t>Abaid</w:t>
            </w:r>
            <w:proofErr w:type="spellEnd"/>
            <w:r w:rsidRPr="00EA05B0">
              <w:rPr>
                <w:rFonts w:ascii="Palatino Linotype" w:hAnsi="Palatino Linotype" w:cs="Times New Roman"/>
                <w:b/>
                <w:color w:val="000000" w:themeColor="text1"/>
              </w:rPr>
              <w:t xml:space="preserve"> </w:t>
            </w:r>
            <w:proofErr w:type="spellStart"/>
            <w:r w:rsidRPr="00EA05B0">
              <w:rPr>
                <w:rFonts w:ascii="Palatino Linotype" w:hAnsi="Palatino Linotype" w:cs="Times New Roman"/>
                <w:b/>
                <w:color w:val="000000" w:themeColor="text1"/>
              </w:rPr>
              <w:t>Yapur</w:t>
            </w:r>
            <w:proofErr w:type="spellEnd"/>
          </w:p>
          <w:p w14:paraId="28E76278" w14:textId="7777777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Comisionada</w:t>
            </w:r>
          </w:p>
          <w:p w14:paraId="3CA4938C" w14:textId="4FB950A3"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(Rúbrica)</w:t>
            </w:r>
          </w:p>
        </w:tc>
        <w:tc>
          <w:tcPr>
            <w:tcW w:w="4394" w:type="dxa"/>
            <w:vAlign w:val="center"/>
          </w:tcPr>
          <w:p w14:paraId="10BD45BE"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77B8A9E9"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4829425F" w14:textId="77777777" w:rsidR="00BF6A45" w:rsidRPr="00EA05B0" w:rsidRDefault="00BF6A45" w:rsidP="00595927">
            <w:pPr>
              <w:spacing w:line="360" w:lineRule="auto"/>
              <w:jc w:val="center"/>
              <w:rPr>
                <w:rFonts w:ascii="Palatino Linotype" w:hAnsi="Palatino Linotype" w:cs="Times New Roman"/>
                <w:b/>
                <w:color w:val="000000" w:themeColor="text1"/>
              </w:rPr>
            </w:pPr>
            <w:r w:rsidRPr="00EA05B0">
              <w:rPr>
                <w:rFonts w:ascii="Palatino Linotype" w:hAnsi="Palatino Linotype" w:cs="Times New Roman"/>
                <w:b/>
                <w:color w:val="000000" w:themeColor="text1"/>
              </w:rPr>
              <w:t>José Guadalupe Luna Hernández</w:t>
            </w:r>
          </w:p>
          <w:p w14:paraId="13575C27" w14:textId="7777777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Comisionado</w:t>
            </w:r>
          </w:p>
          <w:p w14:paraId="71E400C3" w14:textId="1976FCF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(Rúbrica)</w:t>
            </w:r>
          </w:p>
        </w:tc>
      </w:tr>
      <w:tr w:rsidR="00BF6A45" w:rsidRPr="00EA05B0" w14:paraId="743533EE" w14:textId="77777777" w:rsidTr="00595927">
        <w:trPr>
          <w:trHeight w:val="1771"/>
          <w:jc w:val="center"/>
        </w:trPr>
        <w:tc>
          <w:tcPr>
            <w:tcW w:w="8789" w:type="dxa"/>
            <w:gridSpan w:val="2"/>
            <w:vAlign w:val="center"/>
          </w:tcPr>
          <w:p w14:paraId="7DE7CC6D"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0C594B8C"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409A72ED" w14:textId="77777777" w:rsidR="00BF6A45" w:rsidRPr="00EA05B0" w:rsidRDefault="00BF6A45" w:rsidP="00595927">
            <w:pPr>
              <w:spacing w:line="360" w:lineRule="auto"/>
              <w:jc w:val="center"/>
              <w:rPr>
                <w:rFonts w:ascii="Palatino Linotype" w:hAnsi="Palatino Linotype" w:cs="Times New Roman"/>
                <w:b/>
                <w:color w:val="000000" w:themeColor="text1"/>
              </w:rPr>
            </w:pPr>
            <w:r w:rsidRPr="00EA05B0">
              <w:rPr>
                <w:rFonts w:ascii="Palatino Linotype" w:hAnsi="Palatino Linotype" w:cs="Times New Roman"/>
                <w:b/>
                <w:color w:val="000000" w:themeColor="text1"/>
              </w:rPr>
              <w:t>Javier Martínez Cruz</w:t>
            </w:r>
          </w:p>
          <w:p w14:paraId="04D35D6F" w14:textId="7777777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Comisionado</w:t>
            </w:r>
          </w:p>
          <w:p w14:paraId="0037B55C" w14:textId="3BB42CAA"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(Rúbrica)</w:t>
            </w:r>
          </w:p>
        </w:tc>
      </w:tr>
      <w:tr w:rsidR="00BF6A45" w:rsidRPr="00EA05B0" w14:paraId="63D6DF82" w14:textId="77777777" w:rsidTr="00595927">
        <w:trPr>
          <w:trHeight w:val="1272"/>
          <w:jc w:val="center"/>
        </w:trPr>
        <w:tc>
          <w:tcPr>
            <w:tcW w:w="8789" w:type="dxa"/>
            <w:gridSpan w:val="2"/>
            <w:vAlign w:val="center"/>
          </w:tcPr>
          <w:p w14:paraId="3816236E"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37F75E7B"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27F076D7" w14:textId="77777777" w:rsidR="00BF6A45" w:rsidRPr="00EA05B0" w:rsidRDefault="00BF6A45" w:rsidP="00595927">
            <w:pPr>
              <w:spacing w:line="360" w:lineRule="auto"/>
              <w:jc w:val="center"/>
              <w:rPr>
                <w:rFonts w:ascii="Palatino Linotype" w:hAnsi="Palatino Linotype" w:cs="Times New Roman"/>
                <w:b/>
                <w:color w:val="000000" w:themeColor="text1"/>
              </w:rPr>
            </w:pPr>
          </w:p>
          <w:p w14:paraId="4BAA3D2A" w14:textId="77777777" w:rsidR="00BF6A45" w:rsidRPr="00EA05B0" w:rsidRDefault="00BF6A45" w:rsidP="00595927">
            <w:pPr>
              <w:spacing w:line="360" w:lineRule="auto"/>
              <w:jc w:val="center"/>
              <w:rPr>
                <w:rFonts w:ascii="Palatino Linotype" w:hAnsi="Palatino Linotype" w:cs="Times New Roman"/>
                <w:b/>
                <w:color w:val="000000" w:themeColor="text1"/>
              </w:rPr>
            </w:pPr>
            <w:r w:rsidRPr="00EA05B0">
              <w:rPr>
                <w:rFonts w:ascii="Palatino Linotype" w:hAnsi="Palatino Linotype" w:cs="Times New Roman"/>
                <w:b/>
                <w:color w:val="000000" w:themeColor="text1"/>
              </w:rPr>
              <w:t>Alexis Tapia Ramírez</w:t>
            </w:r>
          </w:p>
          <w:p w14:paraId="0A223839" w14:textId="77777777"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Secretario Técnico del Pleno</w:t>
            </w:r>
          </w:p>
          <w:p w14:paraId="5CF9524B" w14:textId="5DD39A9A" w:rsidR="00BF6A45" w:rsidRPr="00EA05B0" w:rsidRDefault="00BF6A45" w:rsidP="00595927">
            <w:pPr>
              <w:spacing w:line="360" w:lineRule="auto"/>
              <w:jc w:val="center"/>
              <w:rPr>
                <w:rFonts w:ascii="Palatino Linotype" w:hAnsi="Palatino Linotype" w:cs="Times New Roman"/>
                <w:color w:val="000000" w:themeColor="text1"/>
              </w:rPr>
            </w:pPr>
            <w:r w:rsidRPr="00EA05B0">
              <w:rPr>
                <w:rFonts w:ascii="Palatino Linotype" w:hAnsi="Palatino Linotype" w:cs="Times New Roman"/>
                <w:color w:val="000000" w:themeColor="text1"/>
              </w:rPr>
              <w:t>(Rúbrica)</w:t>
            </w:r>
          </w:p>
        </w:tc>
      </w:tr>
    </w:tbl>
    <w:p w14:paraId="09A27AFA" w14:textId="34F00216" w:rsidR="00BF6A45" w:rsidRPr="00BF6A45" w:rsidRDefault="00BF6A45" w:rsidP="00BF6A45">
      <w:pPr>
        <w:spacing w:before="240" w:after="240" w:line="360" w:lineRule="auto"/>
        <w:jc w:val="both"/>
        <w:rPr>
          <w:rFonts w:ascii="Palatino Linotype" w:eastAsia="Calibri" w:hAnsi="Palatino Linotype" w:cs="Arial"/>
          <w:b/>
          <w:color w:val="000000" w:themeColor="text1"/>
        </w:rPr>
      </w:pPr>
      <w:r w:rsidRPr="00EA05B0">
        <w:rPr>
          <w:rFonts w:ascii="Palatino Linotype" w:eastAsia="Times New Roman" w:hAnsi="Palatino Linotype" w:cs="Arial"/>
          <w:color w:val="000000" w:themeColor="text1"/>
          <w:sz w:val="22"/>
          <w:szCs w:val="22"/>
        </w:rPr>
        <w:t xml:space="preserve">Esta hoja corresponde a la resolución de veintinueve (29) de agosto de dos mil dieciocho, emitida en el recurso de revisión </w:t>
      </w:r>
      <w:r w:rsidR="00EA05B0">
        <w:rPr>
          <w:rFonts w:ascii="Palatino Linotype" w:eastAsia="Times New Roman" w:hAnsi="Palatino Linotype" w:cs="Arial"/>
          <w:b/>
          <w:color w:val="000000" w:themeColor="text1"/>
          <w:sz w:val="22"/>
          <w:szCs w:val="22"/>
        </w:rPr>
        <w:t>02293</w:t>
      </w:r>
      <w:r w:rsidRPr="00EA05B0">
        <w:rPr>
          <w:rFonts w:ascii="Palatino Linotype" w:eastAsia="Times New Roman" w:hAnsi="Palatino Linotype" w:cs="Arial"/>
          <w:b/>
          <w:color w:val="000000" w:themeColor="text1"/>
          <w:sz w:val="22"/>
          <w:szCs w:val="22"/>
        </w:rPr>
        <w:t>/INFOEM/IP/RR/2018.</w:t>
      </w:r>
    </w:p>
    <w:sectPr w:rsidR="00BF6A45" w:rsidRPr="00BF6A45"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5C5C4" w14:textId="77777777" w:rsidR="001B25F4" w:rsidRDefault="001B25F4" w:rsidP="00587366">
      <w:r>
        <w:separator/>
      </w:r>
    </w:p>
  </w:endnote>
  <w:endnote w:type="continuationSeparator" w:id="0">
    <w:p w14:paraId="315C7F6F" w14:textId="77777777" w:rsidR="001B25F4" w:rsidRDefault="001B25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6418E9" w:rsidRPr="00883450" w:rsidRDefault="006418E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14D2D">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14D2D">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77777777" w:rsidR="006418E9" w:rsidRDefault="006418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418E9" w:rsidRPr="00883450" w:rsidRDefault="006418E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14D2D" w:rsidRPr="00514D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14D2D" w:rsidRPr="00514D2D">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6418E9" w:rsidRPr="00883450" w:rsidRDefault="006418E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D6C53" w14:textId="77777777" w:rsidR="001B25F4" w:rsidRDefault="001B25F4" w:rsidP="00587366">
      <w:r>
        <w:separator/>
      </w:r>
    </w:p>
  </w:footnote>
  <w:footnote w:type="continuationSeparator" w:id="0">
    <w:p w14:paraId="33675F7E" w14:textId="77777777" w:rsidR="001B25F4" w:rsidRDefault="001B25F4" w:rsidP="00587366">
      <w:r>
        <w:continuationSeparator/>
      </w:r>
    </w:p>
  </w:footnote>
  <w:footnote w:id="1">
    <w:p w14:paraId="7D55EF5B" w14:textId="77777777" w:rsidR="006418E9" w:rsidRPr="00135469" w:rsidRDefault="006418E9" w:rsidP="006418E9">
      <w:pPr>
        <w:pStyle w:val="Textonotapie"/>
        <w:tabs>
          <w:tab w:val="left" w:pos="0"/>
        </w:tabs>
        <w:jc w:val="both"/>
        <w:rPr>
          <w:lang w:val="es-ES"/>
        </w:rPr>
      </w:pPr>
      <w:r>
        <w:rPr>
          <w:rStyle w:val="Refdenotaalpie"/>
        </w:rPr>
        <w:footnoteRef/>
      </w:r>
      <w:r>
        <w:t xml:space="preserve"> </w:t>
      </w:r>
      <w:r w:rsidRPr="00135469">
        <w:t>DE PINA, Rafael. D</w:t>
      </w:r>
      <w:r>
        <w:t>iccionario de Derecho. Ed. Porrúa .M</w:t>
      </w:r>
      <w:r w:rsidRPr="00135469">
        <w:t>éxico 1984 Pág. 400.</w:t>
      </w:r>
    </w:p>
  </w:footnote>
  <w:footnote w:id="2">
    <w:p w14:paraId="6F769647" w14:textId="77777777" w:rsidR="006418E9" w:rsidRPr="0077684B" w:rsidRDefault="006418E9" w:rsidP="006418E9">
      <w:pPr>
        <w:pStyle w:val="Textonotapie"/>
        <w:jc w:val="both"/>
        <w:rPr>
          <w:lang w:val="es-ES"/>
        </w:rPr>
      </w:pPr>
      <w:r>
        <w:rPr>
          <w:rStyle w:val="Refdenotaalpie"/>
        </w:rPr>
        <w:footnoteRef/>
      </w:r>
      <w:r>
        <w:t xml:space="preserve"> </w:t>
      </w:r>
      <w:r>
        <w:rPr>
          <w:lang w:val="es-ES"/>
        </w:rPr>
        <w:t>OVALLE, Favela José</w:t>
      </w:r>
      <w:proofErr w:type="gramStart"/>
      <w:r>
        <w:rPr>
          <w:lang w:val="es-ES"/>
        </w:rPr>
        <w:t>, ”</w:t>
      </w:r>
      <w:proofErr w:type="gramEnd"/>
      <w:r>
        <w:rPr>
          <w:lang w:val="es-ES"/>
        </w:rPr>
        <w:t xml:space="preserve">Estudios de Derecho Procesal” Universidad Nacional Autónoma de México, México, 1981, Consultable en la página electrónica </w:t>
      </w:r>
      <w:r w:rsidRPr="0077684B">
        <w:rPr>
          <w:lang w:val="es-ES"/>
        </w:rPr>
        <w:t>http://biblio.juridicas.unam.mx/bjv/detalle-libro/3842-estudios-de-derecho-procesal</w:t>
      </w:r>
      <w:r>
        <w:rPr>
          <w:lang w:val="es-ES"/>
        </w:rPr>
        <w:t>.</w:t>
      </w:r>
    </w:p>
  </w:footnote>
  <w:footnote w:id="3">
    <w:p w14:paraId="33701329" w14:textId="77777777" w:rsidR="006418E9" w:rsidRPr="0077684B" w:rsidRDefault="006418E9" w:rsidP="006418E9">
      <w:pPr>
        <w:tabs>
          <w:tab w:val="left" w:pos="0"/>
        </w:tabs>
        <w:autoSpaceDE w:val="0"/>
        <w:autoSpaceDN w:val="0"/>
        <w:adjustRightInd w:val="0"/>
        <w:jc w:val="both"/>
        <w:rPr>
          <w:rFonts w:eastAsiaTheme="minorHAnsi"/>
          <w:sz w:val="20"/>
          <w:szCs w:val="20"/>
          <w:lang w:val="es-MX" w:eastAsia="en-US"/>
        </w:rPr>
      </w:pPr>
      <w:r>
        <w:rPr>
          <w:rStyle w:val="Refdenotaalpie"/>
        </w:rPr>
        <w:footnoteRef/>
      </w:r>
      <w:r>
        <w:t xml:space="preserve"> </w:t>
      </w:r>
      <w:r w:rsidRPr="00451A3A">
        <w:rPr>
          <w:rFonts w:eastAsiaTheme="minorHAnsi"/>
          <w:sz w:val="20"/>
          <w:szCs w:val="20"/>
          <w:lang w:val="es-MX" w:eastAsia="en-US"/>
        </w:rPr>
        <w:t>ALCALÁ-ZAMORA y Castillo, Niceto, "La teoría gen</w:t>
      </w:r>
      <w:r>
        <w:rPr>
          <w:rFonts w:eastAsiaTheme="minorHAnsi"/>
          <w:sz w:val="20"/>
          <w:szCs w:val="20"/>
          <w:lang w:val="es-MX" w:eastAsia="en-US"/>
        </w:rPr>
        <w:t>eral</w:t>
      </w:r>
      <w:r w:rsidRPr="00451A3A">
        <w:rPr>
          <w:rFonts w:eastAsiaTheme="minorHAnsi"/>
          <w:sz w:val="20"/>
          <w:szCs w:val="20"/>
          <w:lang w:val="es-MX" w:eastAsia="en-US"/>
        </w:rPr>
        <w:t xml:space="preserve"> de proceso y la </w:t>
      </w:r>
      <w:r>
        <w:rPr>
          <w:rFonts w:eastAsiaTheme="minorHAnsi"/>
          <w:sz w:val="20"/>
          <w:szCs w:val="20"/>
          <w:lang w:val="es-MX" w:eastAsia="en-US"/>
        </w:rPr>
        <w:t xml:space="preserve">enseñanza del </w:t>
      </w:r>
      <w:r w:rsidRPr="00451A3A">
        <w:rPr>
          <w:rFonts w:eastAsiaTheme="minorHAnsi"/>
          <w:sz w:val="20"/>
          <w:szCs w:val="20"/>
          <w:lang w:val="es-MX" w:eastAsia="en-US"/>
        </w:rPr>
        <w:t xml:space="preserve">derecho procesal" en Revista de Derecho Procesal Iberoamericana, Madrid. núm. 1 </w:t>
      </w:r>
      <w:r>
        <w:rPr>
          <w:rFonts w:eastAsiaTheme="minorHAnsi"/>
          <w:sz w:val="20"/>
          <w:szCs w:val="20"/>
          <w:lang w:val="es-MX" w:eastAsia="en-US"/>
        </w:rPr>
        <w:t xml:space="preserve">de </w:t>
      </w:r>
      <w:r w:rsidRPr="00451A3A">
        <w:rPr>
          <w:sz w:val="20"/>
          <w:szCs w:val="20"/>
          <w:lang w:val="es-MX"/>
        </w:rPr>
        <w:t>1968, p. 30.</w:t>
      </w:r>
    </w:p>
  </w:footnote>
  <w:footnote w:id="4">
    <w:p w14:paraId="71E8366D" w14:textId="77777777" w:rsidR="006418E9" w:rsidRPr="00574B43" w:rsidRDefault="006418E9" w:rsidP="006418E9">
      <w:pPr>
        <w:pStyle w:val="Textonotapie"/>
        <w:rPr>
          <w:lang w:val="es-ES"/>
        </w:rPr>
      </w:pPr>
      <w:r>
        <w:rPr>
          <w:rStyle w:val="Refdenotaalpie"/>
        </w:rPr>
        <w:footnoteRef/>
      </w:r>
      <w:r>
        <w:t xml:space="preserve"> CARPIZO, Jorge et al, Diccionario Jurídico Mexicano, Instituto de Investigaciones Jurídicas, UNAM, México, 1984.</w:t>
      </w:r>
    </w:p>
  </w:footnote>
  <w:footnote w:id="5">
    <w:p w14:paraId="7AA7DF85" w14:textId="77777777" w:rsidR="006418E9" w:rsidRPr="00595213" w:rsidRDefault="006418E9" w:rsidP="006418E9">
      <w:pPr>
        <w:pStyle w:val="Prrafodelista"/>
        <w:autoSpaceDE w:val="0"/>
        <w:autoSpaceDN w:val="0"/>
        <w:adjustRightInd w:val="0"/>
        <w:spacing w:before="240" w:after="240" w:line="360" w:lineRule="auto"/>
        <w:ind w:left="0"/>
        <w:jc w:val="both"/>
        <w:rPr>
          <w:rFonts w:ascii="Palatino Linotype" w:eastAsia="Calibri" w:hAnsi="Palatino Linotype" w:cs="Arial"/>
          <w:b/>
          <w:lang w:val="es-ES"/>
        </w:rPr>
      </w:pPr>
      <w:r>
        <w:rPr>
          <w:rStyle w:val="Refdenotaalpie"/>
        </w:rPr>
        <w:footnoteRef/>
      </w:r>
      <w:r>
        <w:t xml:space="preserve"> </w:t>
      </w:r>
      <w:r w:rsidRPr="00595213">
        <w:rPr>
          <w:rFonts w:eastAsiaTheme="minorHAnsi"/>
          <w:sz w:val="20"/>
          <w:szCs w:val="20"/>
          <w:lang w:val="es-MX" w:eastAsia="en-US"/>
        </w:rPr>
        <w:t>Tribunales Colegiados de Circuito. Novena Época. En el Semanario Judicial de la Federación y su Gaceta. Tomo XIX, Febrero de 2004, Pág. 973.</w:t>
      </w:r>
    </w:p>
    <w:p w14:paraId="1536F92A" w14:textId="77777777" w:rsidR="006418E9" w:rsidRPr="00595213" w:rsidRDefault="006418E9" w:rsidP="006418E9">
      <w:pPr>
        <w:pStyle w:val="Textonotapie"/>
        <w:rPr>
          <w:lang w:val="es-ES"/>
        </w:rPr>
      </w:pPr>
    </w:p>
  </w:footnote>
  <w:footnote w:id="6">
    <w:p w14:paraId="235A73B4" w14:textId="77777777" w:rsidR="00C70DAF" w:rsidRDefault="00C70DAF" w:rsidP="00C70DAF">
      <w:pPr>
        <w:pStyle w:val="Textonotapie"/>
      </w:pPr>
      <w:r>
        <w:rPr>
          <w:rStyle w:val="Refdenotaalpie"/>
        </w:rPr>
        <w:footnoteRef/>
      </w:r>
      <w:r>
        <w:t xml:space="preserve"> Consultable en: </w:t>
      </w:r>
      <w:r w:rsidRPr="00BD3E90">
        <w:t>http://www.dof.gob.mx/nota_detalle.php?codigo=5436056&amp;fecha=04/05/2016</w:t>
      </w:r>
    </w:p>
  </w:footnote>
  <w:footnote w:id="7">
    <w:p w14:paraId="42748C38" w14:textId="77777777" w:rsidR="00CF4507" w:rsidRPr="00034B44" w:rsidRDefault="00CF4507" w:rsidP="00CF450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C341B9C" w14:textId="77777777" w:rsidR="00CF4507" w:rsidRPr="00034B44" w:rsidRDefault="00CF4507" w:rsidP="00CF4507">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4613EC4A" w14:textId="77777777" w:rsidR="00CF4507" w:rsidRPr="00034B44" w:rsidRDefault="00CF4507" w:rsidP="00CF450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330D4547" w14:textId="77777777" w:rsidR="00CF4507" w:rsidRPr="00034B44" w:rsidRDefault="00CF4507" w:rsidP="00CF450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F277A54" w14:textId="77777777" w:rsidR="00CF4507" w:rsidRPr="00034B44" w:rsidRDefault="00CF4507" w:rsidP="00CF450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8CB192" w14:textId="77777777" w:rsidR="00CF4507" w:rsidRPr="00034B44" w:rsidRDefault="00CF4507" w:rsidP="00CF450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6CEAA245" w14:textId="77777777" w:rsidR="00DF57B6" w:rsidRPr="00034B44" w:rsidRDefault="00DF57B6" w:rsidP="00DF57B6">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0D5264D9" w14:textId="77777777" w:rsidR="00DF57B6" w:rsidRPr="00034B44" w:rsidRDefault="00DF57B6" w:rsidP="00DF57B6">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CF383EB" w14:textId="77777777" w:rsidR="00DF57B6" w:rsidRPr="00034B44" w:rsidRDefault="00DF57B6" w:rsidP="00DF57B6">
      <w:pPr>
        <w:pStyle w:val="Textonotapie"/>
        <w:jc w:val="both"/>
        <w:rPr>
          <w:rFonts w:ascii="Palatino Linotype" w:hAnsi="Palatino Linotype"/>
          <w:sz w:val="18"/>
        </w:rPr>
      </w:pPr>
      <w:r w:rsidRPr="00034B44">
        <w:rPr>
          <w:rFonts w:ascii="Palatino Linotype" w:hAnsi="Palatino Linotype"/>
          <w:sz w:val="18"/>
        </w:rPr>
        <w:t xml:space="preserve"> (…)</w:t>
      </w:r>
    </w:p>
    <w:p w14:paraId="151892DC" w14:textId="77777777" w:rsidR="00DF57B6" w:rsidRPr="00034B44" w:rsidRDefault="00DF57B6" w:rsidP="00DF57B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418E9" w:rsidRDefault="006418E9" w:rsidP="001C6012">
    <w:pPr>
      <w:pStyle w:val="Encabezado"/>
      <w:tabs>
        <w:tab w:val="clear" w:pos="4252"/>
        <w:tab w:val="clear" w:pos="8504"/>
        <w:tab w:val="left" w:pos="8460"/>
      </w:tabs>
    </w:pPr>
    <w:r>
      <w:tab/>
    </w:r>
  </w:p>
  <w:p w14:paraId="64F5F23E" w14:textId="390690E5" w:rsidR="006418E9" w:rsidRDefault="006418E9" w:rsidP="00602597">
    <w:pPr>
      <w:pStyle w:val="Encabezado"/>
      <w:jc w:val="right"/>
    </w:pP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6418E9" w:rsidRPr="00674A46" w14:paraId="07F2896E" w14:textId="77777777" w:rsidTr="00602597">
      <w:trPr>
        <w:trHeight w:val="138"/>
        <w:jc w:val="right"/>
      </w:trPr>
      <w:tc>
        <w:tcPr>
          <w:tcW w:w="3544" w:type="dxa"/>
          <w:vAlign w:val="center"/>
        </w:tcPr>
        <w:p w14:paraId="4A5B1974" w14:textId="3B2AB4E0" w:rsidR="006418E9" w:rsidRPr="00674A46" w:rsidRDefault="006418E9" w:rsidP="00602597">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3A05B4B6" w14:textId="1B144941" w:rsidR="006418E9" w:rsidRPr="00674A46" w:rsidRDefault="006418E9" w:rsidP="00602597">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02293/INFOEM/IP/RR/2018 </w:t>
          </w:r>
        </w:p>
      </w:tc>
    </w:tr>
    <w:tr w:rsidR="006418E9" w:rsidRPr="00674A46" w14:paraId="1B5D8690" w14:textId="77777777" w:rsidTr="00602597">
      <w:trPr>
        <w:trHeight w:val="233"/>
        <w:jc w:val="right"/>
      </w:trPr>
      <w:tc>
        <w:tcPr>
          <w:tcW w:w="3544" w:type="dxa"/>
          <w:vAlign w:val="center"/>
        </w:tcPr>
        <w:p w14:paraId="3903F2C6" w14:textId="22D569F8" w:rsidR="006418E9" w:rsidRPr="00674A46" w:rsidRDefault="006418E9" w:rsidP="00602597">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03C799A2" w14:textId="2D094A91" w:rsidR="006418E9" w:rsidRPr="00B75F20" w:rsidRDefault="006418E9" w:rsidP="00B52C71">
          <w:pPr>
            <w:pStyle w:val="Encabezado"/>
            <w:jc w:val="right"/>
            <w:rPr>
              <w:rFonts w:ascii="Palatino Linotype" w:hAnsi="Palatino Linotype"/>
              <w:b/>
              <w:sz w:val="22"/>
              <w:szCs w:val="22"/>
            </w:rPr>
          </w:pPr>
          <w:r>
            <w:rPr>
              <w:rFonts w:ascii="Palatino Linotype" w:hAnsi="Palatino Linotype"/>
              <w:b/>
              <w:bCs/>
              <w:color w:val="000000"/>
              <w:sz w:val="22"/>
              <w:szCs w:val="22"/>
            </w:rPr>
            <w:t xml:space="preserve">Ayuntamiento de </w:t>
          </w:r>
          <w:r>
            <w:rPr>
              <w:rFonts w:ascii="Palatino Linotype" w:hAnsi="Palatino Linotype"/>
              <w:b/>
              <w:sz w:val="22"/>
              <w:szCs w:val="22"/>
            </w:rPr>
            <w:t>Almoloya del Río</w:t>
          </w:r>
        </w:p>
      </w:tc>
    </w:tr>
    <w:tr w:rsidR="006418E9" w:rsidRPr="00674A46" w14:paraId="095EB01B" w14:textId="77777777" w:rsidTr="00602597">
      <w:trPr>
        <w:trHeight w:val="321"/>
        <w:jc w:val="right"/>
      </w:trPr>
      <w:tc>
        <w:tcPr>
          <w:tcW w:w="3544" w:type="dxa"/>
          <w:vAlign w:val="center"/>
        </w:tcPr>
        <w:p w14:paraId="6E000A51" w14:textId="25DCC1C7" w:rsidR="006418E9" w:rsidRPr="00674A46" w:rsidRDefault="006418E9" w:rsidP="00602597">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7560085" w14:textId="05E7D8A2" w:rsidR="006418E9" w:rsidRPr="00674A46" w:rsidRDefault="006418E9" w:rsidP="00602597">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418E9" w:rsidRDefault="006418E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418E9" w:rsidRDefault="006418E9" w:rsidP="00472C41">
    <w:pPr>
      <w:pStyle w:val="Encabezado"/>
      <w:tabs>
        <w:tab w:val="clear" w:pos="4252"/>
        <w:tab w:val="clear" w:pos="8504"/>
        <w:tab w:val="left" w:pos="3103"/>
      </w:tabs>
    </w:pPr>
    <w:r>
      <w:tab/>
    </w:r>
  </w:p>
  <w:tbl>
    <w:tblPr>
      <w:tblStyle w:val="Tablaconcuadrcula"/>
      <w:tblW w:w="7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5"/>
    </w:tblGrid>
    <w:tr w:rsidR="006418E9" w:rsidRPr="00674A46" w14:paraId="0A3256F2" w14:textId="77777777" w:rsidTr="00602597">
      <w:trPr>
        <w:trHeight w:val="138"/>
        <w:jc w:val="right"/>
      </w:trPr>
      <w:tc>
        <w:tcPr>
          <w:tcW w:w="3686" w:type="dxa"/>
          <w:vAlign w:val="center"/>
        </w:tcPr>
        <w:p w14:paraId="3D80769D" w14:textId="316F11F8" w:rsidR="006418E9" w:rsidRPr="00674A46" w:rsidRDefault="006418E9" w:rsidP="00602597">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0453495E" w14:textId="3942D7DB" w:rsidR="006418E9" w:rsidRPr="00674A46" w:rsidRDefault="006418E9" w:rsidP="00602597">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02293/INFOEM/IP/RR/2018 </w:t>
          </w:r>
        </w:p>
      </w:tc>
    </w:tr>
    <w:tr w:rsidR="006418E9" w:rsidRPr="00B75F20" w14:paraId="128C8B3C" w14:textId="77777777" w:rsidTr="00602597">
      <w:trPr>
        <w:trHeight w:val="233"/>
        <w:jc w:val="right"/>
      </w:trPr>
      <w:tc>
        <w:tcPr>
          <w:tcW w:w="3686" w:type="dxa"/>
          <w:vAlign w:val="center"/>
        </w:tcPr>
        <w:p w14:paraId="483E3371" w14:textId="66B1BC74" w:rsidR="006418E9" w:rsidRPr="00674A46" w:rsidRDefault="006418E9" w:rsidP="00602597">
          <w:pPr>
            <w:jc w:val="right"/>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0709C46C" w:rsidR="006418E9" w:rsidRPr="00B75F20" w:rsidRDefault="00514D2D" w:rsidP="00602597">
          <w:pPr>
            <w:pStyle w:val="Encabezado"/>
            <w:jc w:val="right"/>
            <w:rPr>
              <w:rFonts w:ascii="Palatino Linotype" w:hAnsi="Palatino Linotype"/>
              <w:b/>
              <w:sz w:val="22"/>
              <w:szCs w:val="22"/>
            </w:rPr>
          </w:pPr>
          <w:r w:rsidRPr="00514D2D">
            <w:rPr>
              <w:rFonts w:ascii="Palatino Linotype" w:hAnsi="Palatino Linotype"/>
              <w:b/>
              <w:sz w:val="22"/>
              <w:szCs w:val="22"/>
              <w:highlight w:val="black"/>
            </w:rPr>
            <w:t>---</w:t>
          </w:r>
          <w:r>
            <w:rPr>
              <w:rFonts w:ascii="Palatino Linotype" w:hAnsi="Palatino Linotype"/>
              <w:b/>
              <w:sz w:val="22"/>
              <w:szCs w:val="22"/>
              <w:highlight w:val="black"/>
            </w:rPr>
            <w:t>----</w:t>
          </w:r>
          <w:r w:rsidRPr="00514D2D">
            <w:rPr>
              <w:rFonts w:ascii="Palatino Linotype" w:hAnsi="Palatino Linotype"/>
              <w:b/>
              <w:sz w:val="22"/>
              <w:szCs w:val="22"/>
              <w:highlight w:val="black"/>
            </w:rPr>
            <w:t>-----------------------</w:t>
          </w:r>
        </w:p>
      </w:tc>
    </w:tr>
    <w:tr w:rsidR="006418E9" w:rsidRPr="00674A46" w14:paraId="41BE0704" w14:textId="77777777" w:rsidTr="00602597">
      <w:trPr>
        <w:trHeight w:val="321"/>
        <w:jc w:val="right"/>
      </w:trPr>
      <w:tc>
        <w:tcPr>
          <w:tcW w:w="3686" w:type="dxa"/>
          <w:vAlign w:val="center"/>
        </w:tcPr>
        <w:p w14:paraId="34C64148" w14:textId="10C6C8A9" w:rsidR="006418E9" w:rsidRPr="00674A46" w:rsidRDefault="006418E9" w:rsidP="00602597">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5" w:type="dxa"/>
          <w:vAlign w:val="center"/>
        </w:tcPr>
        <w:p w14:paraId="34C341BF" w14:textId="5FB287B3" w:rsidR="006418E9" w:rsidRPr="00674A46" w:rsidRDefault="006418E9" w:rsidP="00B52C71">
          <w:pPr>
            <w:pStyle w:val="Encabezado"/>
            <w:jc w:val="right"/>
            <w:rPr>
              <w:rFonts w:ascii="Palatino Linotype" w:hAnsi="Palatino Linotype"/>
              <w:b/>
              <w:sz w:val="22"/>
              <w:szCs w:val="22"/>
            </w:rPr>
          </w:pPr>
          <w:r w:rsidRPr="00F24AB7">
            <w:rPr>
              <w:rFonts w:ascii="Palatino Linotype" w:hAnsi="Palatino Linotype"/>
              <w:b/>
              <w:bCs/>
              <w:color w:val="000000"/>
              <w:sz w:val="22"/>
              <w:szCs w:val="22"/>
            </w:rPr>
            <w:t xml:space="preserve">Ayuntamiento de </w:t>
          </w:r>
          <w:r>
            <w:rPr>
              <w:rFonts w:ascii="Palatino Linotype" w:hAnsi="Palatino Linotype"/>
              <w:b/>
              <w:sz w:val="22"/>
              <w:szCs w:val="22"/>
            </w:rPr>
            <w:t>Almoloya del Río</w:t>
          </w:r>
        </w:p>
      </w:tc>
    </w:tr>
    <w:tr w:rsidR="006418E9" w:rsidRPr="00674A46" w14:paraId="0C8B6193" w14:textId="77777777" w:rsidTr="00602597">
      <w:trPr>
        <w:trHeight w:val="321"/>
        <w:jc w:val="right"/>
      </w:trPr>
      <w:tc>
        <w:tcPr>
          <w:tcW w:w="3686" w:type="dxa"/>
          <w:vAlign w:val="center"/>
        </w:tcPr>
        <w:p w14:paraId="321FFAFF" w14:textId="40E5A678" w:rsidR="006418E9" w:rsidRPr="00674A46" w:rsidRDefault="006418E9" w:rsidP="00602597">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FECDA9D" w14:textId="77777777" w:rsidR="006418E9" w:rsidRPr="00674A46" w:rsidRDefault="006418E9" w:rsidP="00602597">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418E9" w:rsidRDefault="006418E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7F40"/>
    <w:multiLevelType w:val="hybridMultilevel"/>
    <w:tmpl w:val="0F3E2C98"/>
    <w:lvl w:ilvl="0" w:tplc="76647B6A">
      <w:start w:val="4"/>
      <w:numFmt w:val="bullet"/>
      <w:lvlText w:val="-"/>
      <w:lvlJc w:val="left"/>
      <w:pPr>
        <w:ind w:left="720" w:hanging="360"/>
      </w:pPr>
      <w:rPr>
        <w:rFonts w:ascii="Palatino Linotype" w:eastAsiaTheme="minorEastAsia"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F07531"/>
    <w:multiLevelType w:val="hybridMultilevel"/>
    <w:tmpl w:val="E514F4C2"/>
    <w:lvl w:ilvl="0" w:tplc="A75284B8">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93EEE"/>
    <w:multiLevelType w:val="hybridMultilevel"/>
    <w:tmpl w:val="CD664B22"/>
    <w:lvl w:ilvl="0" w:tplc="665C3C42">
      <w:start w:val="8"/>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7039A2"/>
    <w:multiLevelType w:val="multilevel"/>
    <w:tmpl w:val="C1DEF0F2"/>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9006A9"/>
    <w:multiLevelType w:val="multilevel"/>
    <w:tmpl w:val="0082B788"/>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EC58E1"/>
    <w:multiLevelType w:val="multilevel"/>
    <w:tmpl w:val="5E66E126"/>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5144258"/>
    <w:multiLevelType w:val="hybridMultilevel"/>
    <w:tmpl w:val="C23886D0"/>
    <w:lvl w:ilvl="0" w:tplc="5AF6FB0E">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2E22FF"/>
    <w:multiLevelType w:val="hybridMultilevel"/>
    <w:tmpl w:val="98EC1E60"/>
    <w:lvl w:ilvl="0" w:tplc="AE6ACE9E">
      <w:start w:val="7"/>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0C1309"/>
    <w:multiLevelType w:val="hybridMultilevel"/>
    <w:tmpl w:val="FF96C29E"/>
    <w:lvl w:ilvl="0" w:tplc="C686A63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1BBF25E7"/>
    <w:multiLevelType w:val="hybridMultilevel"/>
    <w:tmpl w:val="959E38D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C397590"/>
    <w:multiLevelType w:val="hybridMultilevel"/>
    <w:tmpl w:val="C5120076"/>
    <w:lvl w:ilvl="0" w:tplc="AEE89C14">
      <w:start w:val="1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E7000B"/>
    <w:multiLevelType w:val="hybridMultilevel"/>
    <w:tmpl w:val="9F6205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5061C25"/>
    <w:multiLevelType w:val="hybridMultilevel"/>
    <w:tmpl w:val="D11A63E2"/>
    <w:lvl w:ilvl="0" w:tplc="080A0009">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295A0BDE"/>
    <w:multiLevelType w:val="multilevel"/>
    <w:tmpl w:val="29AE4544"/>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AC75467"/>
    <w:multiLevelType w:val="multilevel"/>
    <w:tmpl w:val="D1CAB9C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2EB189C"/>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1F926DFC"/>
    <w:lvl w:ilvl="0" w:tplc="843672CA">
      <w:start w:val="1"/>
      <w:numFmt w:val="decimal"/>
      <w:lvlText w:val="%1."/>
      <w:lvlJc w:val="left"/>
      <w:pPr>
        <w:ind w:left="720"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D1CAB9C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4D5077B"/>
    <w:multiLevelType w:val="multilevel"/>
    <w:tmpl w:val="9EA81EF6"/>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68A1ADE"/>
    <w:multiLevelType w:val="hybridMultilevel"/>
    <w:tmpl w:val="B1361466"/>
    <w:lvl w:ilvl="0" w:tplc="7E9CB3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A895429"/>
    <w:multiLevelType w:val="hybridMultilevel"/>
    <w:tmpl w:val="F3ACCBF6"/>
    <w:lvl w:ilvl="0" w:tplc="75084604">
      <w:start w:val="3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CE0929"/>
    <w:multiLevelType w:val="multilevel"/>
    <w:tmpl w:val="3A82214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D6E7852"/>
    <w:multiLevelType w:val="hybridMultilevel"/>
    <w:tmpl w:val="2FCE80B2"/>
    <w:lvl w:ilvl="0" w:tplc="823E254C">
      <w:start w:val="1"/>
      <w:numFmt w:val="decimal"/>
      <w:lvlText w:val="%1."/>
      <w:lvlJc w:val="left"/>
      <w:pPr>
        <w:ind w:left="786" w:hanging="360"/>
      </w:pPr>
      <w:rPr>
        <w:rFonts w:ascii="Palatino Linotype" w:hAnsi="Palatino Linotype"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F23BCB"/>
    <w:multiLevelType w:val="multilevel"/>
    <w:tmpl w:val="EA1CC4F8"/>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647832"/>
    <w:multiLevelType w:val="hybridMultilevel"/>
    <w:tmpl w:val="D82CCB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9671A7"/>
    <w:multiLevelType w:val="hybridMultilevel"/>
    <w:tmpl w:val="DAF6B96C"/>
    <w:lvl w:ilvl="0" w:tplc="9F1A46E0">
      <w:start w:val="64"/>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775643"/>
    <w:multiLevelType w:val="hybridMultilevel"/>
    <w:tmpl w:val="FC063DE4"/>
    <w:lvl w:ilvl="0" w:tplc="7E1EE07C">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BA0D69"/>
    <w:multiLevelType w:val="multilevel"/>
    <w:tmpl w:val="1FC2A7D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5D524F2"/>
    <w:multiLevelType w:val="multilevel"/>
    <w:tmpl w:val="01B6DE0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7CB4C4A"/>
    <w:multiLevelType w:val="hybridMultilevel"/>
    <w:tmpl w:val="06D44BFE"/>
    <w:lvl w:ilvl="0" w:tplc="F0883BC0">
      <w:start w:val="23"/>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6861F4"/>
    <w:multiLevelType w:val="hybridMultilevel"/>
    <w:tmpl w:val="24263716"/>
    <w:lvl w:ilvl="0" w:tplc="60646EBC">
      <w:start w:val="43"/>
      <w:numFmt w:val="decimal"/>
      <w:lvlText w:val="%1."/>
      <w:lvlJc w:val="left"/>
      <w:pPr>
        <w:ind w:left="36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B27C1E"/>
    <w:multiLevelType w:val="hybridMultilevel"/>
    <w:tmpl w:val="A18A9BFC"/>
    <w:lvl w:ilvl="0" w:tplc="B702417C">
      <w:start w:val="6"/>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5B5C13"/>
    <w:multiLevelType w:val="hybridMultilevel"/>
    <w:tmpl w:val="30129D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685F6078"/>
    <w:multiLevelType w:val="multilevel"/>
    <w:tmpl w:val="01B6DE0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EA57AB4"/>
    <w:multiLevelType w:val="hybridMultilevel"/>
    <w:tmpl w:val="542EE2EE"/>
    <w:lvl w:ilvl="0" w:tplc="86363FEE">
      <w:start w:val="1"/>
      <w:numFmt w:val="lowerLetter"/>
      <w:lvlText w:val="%1)"/>
      <w:lvlJc w:val="left"/>
      <w:pPr>
        <w:ind w:left="644"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875C07"/>
    <w:multiLevelType w:val="hybridMultilevel"/>
    <w:tmpl w:val="3E2A3288"/>
    <w:lvl w:ilvl="0" w:tplc="07F485C0">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715E62A7"/>
    <w:multiLevelType w:val="hybridMultilevel"/>
    <w:tmpl w:val="BA32B92A"/>
    <w:lvl w:ilvl="0" w:tplc="E6362200">
      <w:start w:val="35"/>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DA67AF"/>
    <w:multiLevelType w:val="hybridMultilevel"/>
    <w:tmpl w:val="C2DA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DC15B0"/>
    <w:multiLevelType w:val="hybridMultilevel"/>
    <w:tmpl w:val="7E946B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nsid w:val="778F7CC5"/>
    <w:multiLevelType w:val="hybridMultilevel"/>
    <w:tmpl w:val="D6340996"/>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E97845"/>
    <w:multiLevelType w:val="multilevel"/>
    <w:tmpl w:val="E6E8FB80"/>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F90141E"/>
    <w:multiLevelType w:val="multilevel"/>
    <w:tmpl w:val="E932E17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FAD6BAA"/>
    <w:multiLevelType w:val="hybridMultilevel"/>
    <w:tmpl w:val="2B12BEC4"/>
    <w:lvl w:ilvl="0" w:tplc="F12608F6">
      <w:start w:val="24"/>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4"/>
  </w:num>
  <w:num w:numId="3">
    <w:abstractNumId w:val="17"/>
  </w:num>
  <w:num w:numId="4">
    <w:abstractNumId w:val="24"/>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7"/>
  </w:num>
  <w:num w:numId="9">
    <w:abstractNumId w:val="38"/>
  </w:num>
  <w:num w:numId="10">
    <w:abstractNumId w:val="35"/>
  </w:num>
  <w:num w:numId="11">
    <w:abstractNumId w:val="7"/>
  </w:num>
  <w:num w:numId="12">
    <w:abstractNumId w:val="2"/>
  </w:num>
  <w:num w:numId="13">
    <w:abstractNumId w:val="47"/>
  </w:num>
  <w:num w:numId="14">
    <w:abstractNumId w:val="16"/>
  </w:num>
  <w:num w:numId="15">
    <w:abstractNumId w:val="40"/>
  </w:num>
  <w:num w:numId="16">
    <w:abstractNumId w:val="1"/>
  </w:num>
  <w:num w:numId="17">
    <w:abstractNumId w:val="23"/>
  </w:num>
  <w:num w:numId="18">
    <w:abstractNumId w:val="39"/>
  </w:num>
  <w:num w:numId="19">
    <w:abstractNumId w:val="25"/>
  </w:num>
  <w:num w:numId="20">
    <w:abstractNumId w:val="26"/>
  </w:num>
  <w:num w:numId="21">
    <w:abstractNumId w:val="8"/>
  </w:num>
  <w:num w:numId="22">
    <w:abstractNumId w:val="11"/>
  </w:num>
  <w:num w:numId="23">
    <w:abstractNumId w:val="46"/>
  </w:num>
  <w:num w:numId="24">
    <w:abstractNumId w:val="28"/>
  </w:num>
  <w:num w:numId="25">
    <w:abstractNumId w:val="19"/>
  </w:num>
  <w:num w:numId="26">
    <w:abstractNumId w:val="37"/>
  </w:num>
  <w:num w:numId="27">
    <w:abstractNumId w:val="4"/>
  </w:num>
  <w:num w:numId="28">
    <w:abstractNumId w:val="43"/>
  </w:num>
  <w:num w:numId="29">
    <w:abstractNumId w:val="6"/>
  </w:num>
  <w:num w:numId="30">
    <w:abstractNumId w:val="18"/>
  </w:num>
  <w:num w:numId="31">
    <w:abstractNumId w:val="36"/>
  </w:num>
  <w:num w:numId="32">
    <w:abstractNumId w:val="45"/>
  </w:num>
  <w:num w:numId="33">
    <w:abstractNumId w:val="31"/>
  </w:num>
  <w:num w:numId="34">
    <w:abstractNumId w:val="33"/>
  </w:num>
  <w:num w:numId="35">
    <w:abstractNumId w:val="14"/>
  </w:num>
  <w:num w:numId="36">
    <w:abstractNumId w:val="22"/>
  </w:num>
  <w:num w:numId="37">
    <w:abstractNumId w:val="30"/>
  </w:num>
  <w:num w:numId="38">
    <w:abstractNumId w:val="10"/>
  </w:num>
  <w:num w:numId="39">
    <w:abstractNumId w:val="41"/>
  </w:num>
  <w:num w:numId="40">
    <w:abstractNumId w:val="21"/>
  </w:num>
  <w:num w:numId="41">
    <w:abstractNumId w:val="9"/>
  </w:num>
  <w:num w:numId="42">
    <w:abstractNumId w:val="20"/>
  </w:num>
  <w:num w:numId="43">
    <w:abstractNumId w:val="32"/>
  </w:num>
  <w:num w:numId="44">
    <w:abstractNumId w:val="3"/>
  </w:num>
  <w:num w:numId="45">
    <w:abstractNumId w:val="5"/>
  </w:num>
  <w:num w:numId="46">
    <w:abstractNumId w:val="42"/>
  </w:num>
  <w:num w:numId="47">
    <w:abstractNumId w:val="13"/>
  </w:num>
  <w:num w:numId="48">
    <w:abstractNumId w:val="15"/>
  </w:num>
  <w:num w:numId="49">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3DE"/>
    <w:rsid w:val="000058E3"/>
    <w:rsid w:val="000078EC"/>
    <w:rsid w:val="00007E8A"/>
    <w:rsid w:val="0001106B"/>
    <w:rsid w:val="00012472"/>
    <w:rsid w:val="0001398B"/>
    <w:rsid w:val="0001608A"/>
    <w:rsid w:val="000203D3"/>
    <w:rsid w:val="000211F8"/>
    <w:rsid w:val="00024F35"/>
    <w:rsid w:val="000263EC"/>
    <w:rsid w:val="000305CE"/>
    <w:rsid w:val="0003063D"/>
    <w:rsid w:val="00031F10"/>
    <w:rsid w:val="00032493"/>
    <w:rsid w:val="0003384F"/>
    <w:rsid w:val="0003617A"/>
    <w:rsid w:val="0004072A"/>
    <w:rsid w:val="0004193F"/>
    <w:rsid w:val="00042380"/>
    <w:rsid w:val="00045319"/>
    <w:rsid w:val="0004686A"/>
    <w:rsid w:val="000468E2"/>
    <w:rsid w:val="00047AC1"/>
    <w:rsid w:val="00050E14"/>
    <w:rsid w:val="0005237C"/>
    <w:rsid w:val="00052A3C"/>
    <w:rsid w:val="00054A03"/>
    <w:rsid w:val="00056A79"/>
    <w:rsid w:val="00057383"/>
    <w:rsid w:val="00057960"/>
    <w:rsid w:val="00060902"/>
    <w:rsid w:val="00061344"/>
    <w:rsid w:val="00062648"/>
    <w:rsid w:val="000631D9"/>
    <w:rsid w:val="0006407E"/>
    <w:rsid w:val="00064A37"/>
    <w:rsid w:val="00064B95"/>
    <w:rsid w:val="00067B59"/>
    <w:rsid w:val="000800AC"/>
    <w:rsid w:val="0008230A"/>
    <w:rsid w:val="00082D11"/>
    <w:rsid w:val="000834FE"/>
    <w:rsid w:val="0008542A"/>
    <w:rsid w:val="00087E3B"/>
    <w:rsid w:val="00090D6F"/>
    <w:rsid w:val="000933C1"/>
    <w:rsid w:val="000A300C"/>
    <w:rsid w:val="000A3F90"/>
    <w:rsid w:val="000A4E44"/>
    <w:rsid w:val="000A77ED"/>
    <w:rsid w:val="000B0370"/>
    <w:rsid w:val="000B5AB1"/>
    <w:rsid w:val="000B5D79"/>
    <w:rsid w:val="000B6D31"/>
    <w:rsid w:val="000C0061"/>
    <w:rsid w:val="000C0663"/>
    <w:rsid w:val="000C10B9"/>
    <w:rsid w:val="000C1D19"/>
    <w:rsid w:val="000C2E5F"/>
    <w:rsid w:val="000C3423"/>
    <w:rsid w:val="000C3861"/>
    <w:rsid w:val="000C4A8E"/>
    <w:rsid w:val="000C5A04"/>
    <w:rsid w:val="000C5AF7"/>
    <w:rsid w:val="000C77E6"/>
    <w:rsid w:val="000D0855"/>
    <w:rsid w:val="000D1E0F"/>
    <w:rsid w:val="000D20D2"/>
    <w:rsid w:val="000D3275"/>
    <w:rsid w:val="000D3524"/>
    <w:rsid w:val="000D5A1D"/>
    <w:rsid w:val="000D6B62"/>
    <w:rsid w:val="000D7369"/>
    <w:rsid w:val="000E07DC"/>
    <w:rsid w:val="000E2665"/>
    <w:rsid w:val="000E387E"/>
    <w:rsid w:val="000E476A"/>
    <w:rsid w:val="000E77B8"/>
    <w:rsid w:val="000F2EDD"/>
    <w:rsid w:val="000F37A8"/>
    <w:rsid w:val="000F6260"/>
    <w:rsid w:val="000F6D7E"/>
    <w:rsid w:val="00100187"/>
    <w:rsid w:val="00100DDD"/>
    <w:rsid w:val="00102066"/>
    <w:rsid w:val="00102D65"/>
    <w:rsid w:val="00103888"/>
    <w:rsid w:val="00107499"/>
    <w:rsid w:val="00107557"/>
    <w:rsid w:val="0011167C"/>
    <w:rsid w:val="00112B02"/>
    <w:rsid w:val="00114A21"/>
    <w:rsid w:val="00117441"/>
    <w:rsid w:val="001175C2"/>
    <w:rsid w:val="0012006D"/>
    <w:rsid w:val="001250B4"/>
    <w:rsid w:val="001253D1"/>
    <w:rsid w:val="001271AB"/>
    <w:rsid w:val="001318D2"/>
    <w:rsid w:val="00132C06"/>
    <w:rsid w:val="00133B79"/>
    <w:rsid w:val="00133CE5"/>
    <w:rsid w:val="001352E5"/>
    <w:rsid w:val="00135DD5"/>
    <w:rsid w:val="0013673A"/>
    <w:rsid w:val="0014029F"/>
    <w:rsid w:val="00140D44"/>
    <w:rsid w:val="00141103"/>
    <w:rsid w:val="00143219"/>
    <w:rsid w:val="001436BB"/>
    <w:rsid w:val="001459C8"/>
    <w:rsid w:val="00147864"/>
    <w:rsid w:val="00151094"/>
    <w:rsid w:val="00153833"/>
    <w:rsid w:val="00154304"/>
    <w:rsid w:val="0015466E"/>
    <w:rsid w:val="00154765"/>
    <w:rsid w:val="00154EF0"/>
    <w:rsid w:val="00156A23"/>
    <w:rsid w:val="0015712E"/>
    <w:rsid w:val="00163780"/>
    <w:rsid w:val="00163B1F"/>
    <w:rsid w:val="001648EE"/>
    <w:rsid w:val="00164B65"/>
    <w:rsid w:val="001656F2"/>
    <w:rsid w:val="00166794"/>
    <w:rsid w:val="00167196"/>
    <w:rsid w:val="00172509"/>
    <w:rsid w:val="0017653A"/>
    <w:rsid w:val="001775DF"/>
    <w:rsid w:val="00192187"/>
    <w:rsid w:val="00192E4B"/>
    <w:rsid w:val="00194BDF"/>
    <w:rsid w:val="00196D28"/>
    <w:rsid w:val="001972CC"/>
    <w:rsid w:val="001A138D"/>
    <w:rsid w:val="001A2857"/>
    <w:rsid w:val="001A2A89"/>
    <w:rsid w:val="001A3634"/>
    <w:rsid w:val="001A37AE"/>
    <w:rsid w:val="001A4D5D"/>
    <w:rsid w:val="001A61E1"/>
    <w:rsid w:val="001A6C1E"/>
    <w:rsid w:val="001B10BF"/>
    <w:rsid w:val="001B25F4"/>
    <w:rsid w:val="001B30F9"/>
    <w:rsid w:val="001B3659"/>
    <w:rsid w:val="001B38E3"/>
    <w:rsid w:val="001B40F3"/>
    <w:rsid w:val="001B451E"/>
    <w:rsid w:val="001B53A0"/>
    <w:rsid w:val="001B5F70"/>
    <w:rsid w:val="001B6845"/>
    <w:rsid w:val="001B7879"/>
    <w:rsid w:val="001C0AED"/>
    <w:rsid w:val="001C13B1"/>
    <w:rsid w:val="001C1C2A"/>
    <w:rsid w:val="001C1CDE"/>
    <w:rsid w:val="001C2713"/>
    <w:rsid w:val="001C2EF3"/>
    <w:rsid w:val="001C34D6"/>
    <w:rsid w:val="001C54A9"/>
    <w:rsid w:val="001C6012"/>
    <w:rsid w:val="001C67B0"/>
    <w:rsid w:val="001C79FA"/>
    <w:rsid w:val="001D07C9"/>
    <w:rsid w:val="001D0B41"/>
    <w:rsid w:val="001D1952"/>
    <w:rsid w:val="001D3AB5"/>
    <w:rsid w:val="001D56CF"/>
    <w:rsid w:val="001D68AA"/>
    <w:rsid w:val="001D7D8F"/>
    <w:rsid w:val="001D7E82"/>
    <w:rsid w:val="001E0AD2"/>
    <w:rsid w:val="001E1D07"/>
    <w:rsid w:val="001E3F91"/>
    <w:rsid w:val="001E5C94"/>
    <w:rsid w:val="001E6822"/>
    <w:rsid w:val="001E74A5"/>
    <w:rsid w:val="001E7B9E"/>
    <w:rsid w:val="001F025B"/>
    <w:rsid w:val="001F54D4"/>
    <w:rsid w:val="001F783F"/>
    <w:rsid w:val="001F7DE2"/>
    <w:rsid w:val="002031F3"/>
    <w:rsid w:val="00205E01"/>
    <w:rsid w:val="00210851"/>
    <w:rsid w:val="00211229"/>
    <w:rsid w:val="00212C9C"/>
    <w:rsid w:val="00213108"/>
    <w:rsid w:val="0021453E"/>
    <w:rsid w:val="0021475E"/>
    <w:rsid w:val="00216847"/>
    <w:rsid w:val="00217871"/>
    <w:rsid w:val="002179AC"/>
    <w:rsid w:val="00220ADB"/>
    <w:rsid w:val="002217BA"/>
    <w:rsid w:val="00221E74"/>
    <w:rsid w:val="00223507"/>
    <w:rsid w:val="0022448D"/>
    <w:rsid w:val="00224498"/>
    <w:rsid w:val="00227612"/>
    <w:rsid w:val="00230170"/>
    <w:rsid w:val="002305CF"/>
    <w:rsid w:val="00233E08"/>
    <w:rsid w:val="002345FF"/>
    <w:rsid w:val="00237611"/>
    <w:rsid w:val="00240844"/>
    <w:rsid w:val="00244476"/>
    <w:rsid w:val="002478DD"/>
    <w:rsid w:val="00250ABF"/>
    <w:rsid w:val="00252A20"/>
    <w:rsid w:val="00252B41"/>
    <w:rsid w:val="0025524F"/>
    <w:rsid w:val="00256683"/>
    <w:rsid w:val="00256E57"/>
    <w:rsid w:val="00260C1D"/>
    <w:rsid w:val="00261001"/>
    <w:rsid w:val="00261D84"/>
    <w:rsid w:val="00264D02"/>
    <w:rsid w:val="0026500D"/>
    <w:rsid w:val="0026519C"/>
    <w:rsid w:val="00265CD7"/>
    <w:rsid w:val="002662C9"/>
    <w:rsid w:val="002665BD"/>
    <w:rsid w:val="00271B06"/>
    <w:rsid w:val="00273013"/>
    <w:rsid w:val="00273C37"/>
    <w:rsid w:val="00274163"/>
    <w:rsid w:val="0027430D"/>
    <w:rsid w:val="00275446"/>
    <w:rsid w:val="00275480"/>
    <w:rsid w:val="0027694D"/>
    <w:rsid w:val="00277A35"/>
    <w:rsid w:val="00280994"/>
    <w:rsid w:val="002871EB"/>
    <w:rsid w:val="0029406D"/>
    <w:rsid w:val="00296B1A"/>
    <w:rsid w:val="002A05ED"/>
    <w:rsid w:val="002A229B"/>
    <w:rsid w:val="002A35B6"/>
    <w:rsid w:val="002A6271"/>
    <w:rsid w:val="002B085C"/>
    <w:rsid w:val="002B20A1"/>
    <w:rsid w:val="002B284F"/>
    <w:rsid w:val="002B2A2E"/>
    <w:rsid w:val="002B2F59"/>
    <w:rsid w:val="002B4D21"/>
    <w:rsid w:val="002B6C14"/>
    <w:rsid w:val="002C0074"/>
    <w:rsid w:val="002C0804"/>
    <w:rsid w:val="002C2D44"/>
    <w:rsid w:val="002C3AB5"/>
    <w:rsid w:val="002C4715"/>
    <w:rsid w:val="002C4780"/>
    <w:rsid w:val="002C47ED"/>
    <w:rsid w:val="002C484A"/>
    <w:rsid w:val="002C570D"/>
    <w:rsid w:val="002C5C93"/>
    <w:rsid w:val="002C6DB3"/>
    <w:rsid w:val="002D0E3D"/>
    <w:rsid w:val="002D10C8"/>
    <w:rsid w:val="002D1A38"/>
    <w:rsid w:val="002D2E16"/>
    <w:rsid w:val="002D2F96"/>
    <w:rsid w:val="002D373C"/>
    <w:rsid w:val="002D4B0F"/>
    <w:rsid w:val="002E0B60"/>
    <w:rsid w:val="002E1D65"/>
    <w:rsid w:val="002E482C"/>
    <w:rsid w:val="002E5399"/>
    <w:rsid w:val="002E6531"/>
    <w:rsid w:val="002E689B"/>
    <w:rsid w:val="002E6CFE"/>
    <w:rsid w:val="002E74CE"/>
    <w:rsid w:val="002E7AD0"/>
    <w:rsid w:val="002F1871"/>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6D4B"/>
    <w:rsid w:val="00307227"/>
    <w:rsid w:val="003100BD"/>
    <w:rsid w:val="003105D0"/>
    <w:rsid w:val="003105D6"/>
    <w:rsid w:val="00310D66"/>
    <w:rsid w:val="003111C5"/>
    <w:rsid w:val="003116A6"/>
    <w:rsid w:val="00312733"/>
    <w:rsid w:val="00316065"/>
    <w:rsid w:val="00317883"/>
    <w:rsid w:val="00317CDC"/>
    <w:rsid w:val="00317EFF"/>
    <w:rsid w:val="003208E5"/>
    <w:rsid w:val="0032176A"/>
    <w:rsid w:val="00321AA3"/>
    <w:rsid w:val="00321AE9"/>
    <w:rsid w:val="00323895"/>
    <w:rsid w:val="00326ED9"/>
    <w:rsid w:val="00327D79"/>
    <w:rsid w:val="00332E6B"/>
    <w:rsid w:val="00333BE8"/>
    <w:rsid w:val="003344DB"/>
    <w:rsid w:val="00335BFE"/>
    <w:rsid w:val="0033608B"/>
    <w:rsid w:val="00337941"/>
    <w:rsid w:val="003401B4"/>
    <w:rsid w:val="003407D0"/>
    <w:rsid w:val="00342605"/>
    <w:rsid w:val="00345B79"/>
    <w:rsid w:val="00345D0F"/>
    <w:rsid w:val="00346885"/>
    <w:rsid w:val="003472B3"/>
    <w:rsid w:val="0034737A"/>
    <w:rsid w:val="0035104F"/>
    <w:rsid w:val="00351564"/>
    <w:rsid w:val="003518A7"/>
    <w:rsid w:val="00352DBD"/>
    <w:rsid w:val="0035373B"/>
    <w:rsid w:val="00355AEE"/>
    <w:rsid w:val="00355D3B"/>
    <w:rsid w:val="0035606B"/>
    <w:rsid w:val="0036073F"/>
    <w:rsid w:val="00361A09"/>
    <w:rsid w:val="003629EE"/>
    <w:rsid w:val="003643B3"/>
    <w:rsid w:val="00370BB1"/>
    <w:rsid w:val="003721B2"/>
    <w:rsid w:val="00372328"/>
    <w:rsid w:val="0037302D"/>
    <w:rsid w:val="00374CE8"/>
    <w:rsid w:val="00374D5C"/>
    <w:rsid w:val="003762FD"/>
    <w:rsid w:val="00381378"/>
    <w:rsid w:val="00381FDB"/>
    <w:rsid w:val="00383AE8"/>
    <w:rsid w:val="00383E66"/>
    <w:rsid w:val="00384000"/>
    <w:rsid w:val="00387DC9"/>
    <w:rsid w:val="00390C60"/>
    <w:rsid w:val="0039193E"/>
    <w:rsid w:val="00391ADA"/>
    <w:rsid w:val="00392CDB"/>
    <w:rsid w:val="0039380F"/>
    <w:rsid w:val="00393B71"/>
    <w:rsid w:val="00394095"/>
    <w:rsid w:val="003940F6"/>
    <w:rsid w:val="00396545"/>
    <w:rsid w:val="00396F71"/>
    <w:rsid w:val="003A04FF"/>
    <w:rsid w:val="003A0627"/>
    <w:rsid w:val="003A103B"/>
    <w:rsid w:val="003A1B01"/>
    <w:rsid w:val="003A2029"/>
    <w:rsid w:val="003A2D66"/>
    <w:rsid w:val="003A6417"/>
    <w:rsid w:val="003A65FE"/>
    <w:rsid w:val="003A6A5A"/>
    <w:rsid w:val="003A7221"/>
    <w:rsid w:val="003A730E"/>
    <w:rsid w:val="003B095A"/>
    <w:rsid w:val="003B0B40"/>
    <w:rsid w:val="003B1CEE"/>
    <w:rsid w:val="003B2856"/>
    <w:rsid w:val="003B2A0D"/>
    <w:rsid w:val="003B55AD"/>
    <w:rsid w:val="003B7573"/>
    <w:rsid w:val="003B779B"/>
    <w:rsid w:val="003B79A9"/>
    <w:rsid w:val="003B7EC4"/>
    <w:rsid w:val="003C3338"/>
    <w:rsid w:val="003C7282"/>
    <w:rsid w:val="003C73DE"/>
    <w:rsid w:val="003D00D5"/>
    <w:rsid w:val="003D0A29"/>
    <w:rsid w:val="003D181D"/>
    <w:rsid w:val="003D20C4"/>
    <w:rsid w:val="003D227A"/>
    <w:rsid w:val="003D46D0"/>
    <w:rsid w:val="003E6679"/>
    <w:rsid w:val="003E6D0F"/>
    <w:rsid w:val="003E712E"/>
    <w:rsid w:val="003E74CE"/>
    <w:rsid w:val="003F140F"/>
    <w:rsid w:val="003F15DB"/>
    <w:rsid w:val="003F2702"/>
    <w:rsid w:val="003F2778"/>
    <w:rsid w:val="003F36A4"/>
    <w:rsid w:val="003F56AB"/>
    <w:rsid w:val="003F70CA"/>
    <w:rsid w:val="003F7472"/>
    <w:rsid w:val="003F7823"/>
    <w:rsid w:val="0040137F"/>
    <w:rsid w:val="00401A28"/>
    <w:rsid w:val="00402179"/>
    <w:rsid w:val="0040278D"/>
    <w:rsid w:val="00407809"/>
    <w:rsid w:val="00412E24"/>
    <w:rsid w:val="00416727"/>
    <w:rsid w:val="00420641"/>
    <w:rsid w:val="0042068A"/>
    <w:rsid w:val="00421B6C"/>
    <w:rsid w:val="0042437A"/>
    <w:rsid w:val="00424E72"/>
    <w:rsid w:val="00426D7C"/>
    <w:rsid w:val="004300ED"/>
    <w:rsid w:val="00431687"/>
    <w:rsid w:val="00432B72"/>
    <w:rsid w:val="00433016"/>
    <w:rsid w:val="004342F1"/>
    <w:rsid w:val="004349C0"/>
    <w:rsid w:val="00435306"/>
    <w:rsid w:val="00437702"/>
    <w:rsid w:val="004401B5"/>
    <w:rsid w:val="00440800"/>
    <w:rsid w:val="00441379"/>
    <w:rsid w:val="004413DD"/>
    <w:rsid w:val="00442393"/>
    <w:rsid w:val="004436D7"/>
    <w:rsid w:val="00443DCB"/>
    <w:rsid w:val="00443DEB"/>
    <w:rsid w:val="0044535B"/>
    <w:rsid w:val="00445FDA"/>
    <w:rsid w:val="004465D3"/>
    <w:rsid w:val="00446AD0"/>
    <w:rsid w:val="00447F0D"/>
    <w:rsid w:val="00450A5F"/>
    <w:rsid w:val="00451514"/>
    <w:rsid w:val="00453BB4"/>
    <w:rsid w:val="00456317"/>
    <w:rsid w:val="00456348"/>
    <w:rsid w:val="00457117"/>
    <w:rsid w:val="004572A1"/>
    <w:rsid w:val="00457F0F"/>
    <w:rsid w:val="004613B1"/>
    <w:rsid w:val="0046231E"/>
    <w:rsid w:val="004635E2"/>
    <w:rsid w:val="00463AAA"/>
    <w:rsid w:val="00464CB6"/>
    <w:rsid w:val="0046566E"/>
    <w:rsid w:val="0047025A"/>
    <w:rsid w:val="004712A7"/>
    <w:rsid w:val="00472651"/>
    <w:rsid w:val="00472C41"/>
    <w:rsid w:val="00473115"/>
    <w:rsid w:val="004740E3"/>
    <w:rsid w:val="00474477"/>
    <w:rsid w:val="0047482F"/>
    <w:rsid w:val="004764CB"/>
    <w:rsid w:val="00476730"/>
    <w:rsid w:val="004769A5"/>
    <w:rsid w:val="00481A7B"/>
    <w:rsid w:val="0048386B"/>
    <w:rsid w:val="00483C14"/>
    <w:rsid w:val="00485DB6"/>
    <w:rsid w:val="0048658E"/>
    <w:rsid w:val="00491C96"/>
    <w:rsid w:val="004923B6"/>
    <w:rsid w:val="00494294"/>
    <w:rsid w:val="00495611"/>
    <w:rsid w:val="00496359"/>
    <w:rsid w:val="004A14BE"/>
    <w:rsid w:val="004A22B4"/>
    <w:rsid w:val="004A2BF5"/>
    <w:rsid w:val="004A3085"/>
    <w:rsid w:val="004A4BD5"/>
    <w:rsid w:val="004A4CFD"/>
    <w:rsid w:val="004A677C"/>
    <w:rsid w:val="004A7F49"/>
    <w:rsid w:val="004B176B"/>
    <w:rsid w:val="004B17DF"/>
    <w:rsid w:val="004B293C"/>
    <w:rsid w:val="004B3D59"/>
    <w:rsid w:val="004B58EA"/>
    <w:rsid w:val="004B5AE8"/>
    <w:rsid w:val="004B609B"/>
    <w:rsid w:val="004B73EF"/>
    <w:rsid w:val="004C20F2"/>
    <w:rsid w:val="004C251E"/>
    <w:rsid w:val="004C3F25"/>
    <w:rsid w:val="004C525E"/>
    <w:rsid w:val="004C67E2"/>
    <w:rsid w:val="004C68F8"/>
    <w:rsid w:val="004C7A27"/>
    <w:rsid w:val="004D0490"/>
    <w:rsid w:val="004D12F1"/>
    <w:rsid w:val="004D17D6"/>
    <w:rsid w:val="004D1805"/>
    <w:rsid w:val="004D1CB6"/>
    <w:rsid w:val="004D2349"/>
    <w:rsid w:val="004D257A"/>
    <w:rsid w:val="004D3142"/>
    <w:rsid w:val="004D4509"/>
    <w:rsid w:val="004D52DD"/>
    <w:rsid w:val="004D5E57"/>
    <w:rsid w:val="004D68F8"/>
    <w:rsid w:val="004D6D19"/>
    <w:rsid w:val="004E11D8"/>
    <w:rsid w:val="004E6E3A"/>
    <w:rsid w:val="004F0422"/>
    <w:rsid w:val="004F0C96"/>
    <w:rsid w:val="004F28A0"/>
    <w:rsid w:val="004F44C7"/>
    <w:rsid w:val="004F489F"/>
    <w:rsid w:val="004F4958"/>
    <w:rsid w:val="004F766F"/>
    <w:rsid w:val="004F78B7"/>
    <w:rsid w:val="004F7944"/>
    <w:rsid w:val="00500224"/>
    <w:rsid w:val="00501FE2"/>
    <w:rsid w:val="005041C2"/>
    <w:rsid w:val="00505CA0"/>
    <w:rsid w:val="00507C08"/>
    <w:rsid w:val="00507D18"/>
    <w:rsid w:val="0051016E"/>
    <w:rsid w:val="00511A30"/>
    <w:rsid w:val="00511F46"/>
    <w:rsid w:val="00512F22"/>
    <w:rsid w:val="00514D2D"/>
    <w:rsid w:val="00516603"/>
    <w:rsid w:val="005167B1"/>
    <w:rsid w:val="00517A46"/>
    <w:rsid w:val="00517D20"/>
    <w:rsid w:val="005215EE"/>
    <w:rsid w:val="00521F15"/>
    <w:rsid w:val="00522599"/>
    <w:rsid w:val="00522C57"/>
    <w:rsid w:val="00522D02"/>
    <w:rsid w:val="00522F5F"/>
    <w:rsid w:val="005248B9"/>
    <w:rsid w:val="005255D3"/>
    <w:rsid w:val="00526446"/>
    <w:rsid w:val="00526640"/>
    <w:rsid w:val="00526F7B"/>
    <w:rsid w:val="00527495"/>
    <w:rsid w:val="00527731"/>
    <w:rsid w:val="00527E7A"/>
    <w:rsid w:val="00531594"/>
    <w:rsid w:val="00534E05"/>
    <w:rsid w:val="00537E2C"/>
    <w:rsid w:val="0054126A"/>
    <w:rsid w:val="00542797"/>
    <w:rsid w:val="00542B3A"/>
    <w:rsid w:val="00543C29"/>
    <w:rsid w:val="00544B9C"/>
    <w:rsid w:val="00544EC9"/>
    <w:rsid w:val="00546FBD"/>
    <w:rsid w:val="005471CF"/>
    <w:rsid w:val="00551A9B"/>
    <w:rsid w:val="005520BF"/>
    <w:rsid w:val="00552213"/>
    <w:rsid w:val="00552398"/>
    <w:rsid w:val="0055399B"/>
    <w:rsid w:val="005552C2"/>
    <w:rsid w:val="0055544F"/>
    <w:rsid w:val="00556B04"/>
    <w:rsid w:val="00562B0A"/>
    <w:rsid w:val="00562CCE"/>
    <w:rsid w:val="005669D6"/>
    <w:rsid w:val="00567998"/>
    <w:rsid w:val="005759CD"/>
    <w:rsid w:val="00577884"/>
    <w:rsid w:val="00581C0F"/>
    <w:rsid w:val="00582919"/>
    <w:rsid w:val="005849B2"/>
    <w:rsid w:val="00585172"/>
    <w:rsid w:val="00587366"/>
    <w:rsid w:val="0058757A"/>
    <w:rsid w:val="00590037"/>
    <w:rsid w:val="00591534"/>
    <w:rsid w:val="0059249C"/>
    <w:rsid w:val="00592A69"/>
    <w:rsid w:val="00593476"/>
    <w:rsid w:val="00595511"/>
    <w:rsid w:val="005A228F"/>
    <w:rsid w:val="005A2A65"/>
    <w:rsid w:val="005A2F65"/>
    <w:rsid w:val="005A3513"/>
    <w:rsid w:val="005A3BD7"/>
    <w:rsid w:val="005A60E1"/>
    <w:rsid w:val="005A786F"/>
    <w:rsid w:val="005B169C"/>
    <w:rsid w:val="005B2DD1"/>
    <w:rsid w:val="005B3A49"/>
    <w:rsid w:val="005B6ADF"/>
    <w:rsid w:val="005B773D"/>
    <w:rsid w:val="005B7C5D"/>
    <w:rsid w:val="005C0DB5"/>
    <w:rsid w:val="005C1A74"/>
    <w:rsid w:val="005C3294"/>
    <w:rsid w:val="005C347F"/>
    <w:rsid w:val="005C6F55"/>
    <w:rsid w:val="005D27DD"/>
    <w:rsid w:val="005D3493"/>
    <w:rsid w:val="005D622E"/>
    <w:rsid w:val="005D6FF0"/>
    <w:rsid w:val="005E0E72"/>
    <w:rsid w:val="005E11D5"/>
    <w:rsid w:val="005E34D4"/>
    <w:rsid w:val="005E3AE2"/>
    <w:rsid w:val="005E3FDE"/>
    <w:rsid w:val="005E55F2"/>
    <w:rsid w:val="005E60BE"/>
    <w:rsid w:val="005E68FC"/>
    <w:rsid w:val="005E6927"/>
    <w:rsid w:val="005E7271"/>
    <w:rsid w:val="005F3D45"/>
    <w:rsid w:val="005F487C"/>
    <w:rsid w:val="005F53A4"/>
    <w:rsid w:val="005F5FE1"/>
    <w:rsid w:val="005F62B2"/>
    <w:rsid w:val="005F715E"/>
    <w:rsid w:val="00600204"/>
    <w:rsid w:val="006010DA"/>
    <w:rsid w:val="006017AB"/>
    <w:rsid w:val="00602597"/>
    <w:rsid w:val="00604AC3"/>
    <w:rsid w:val="006053E1"/>
    <w:rsid w:val="00605865"/>
    <w:rsid w:val="00610C59"/>
    <w:rsid w:val="00617125"/>
    <w:rsid w:val="00617813"/>
    <w:rsid w:val="006206CC"/>
    <w:rsid w:val="00622B06"/>
    <w:rsid w:val="00622E59"/>
    <w:rsid w:val="00627163"/>
    <w:rsid w:val="0063034E"/>
    <w:rsid w:val="00633B85"/>
    <w:rsid w:val="00634476"/>
    <w:rsid w:val="006418E9"/>
    <w:rsid w:val="0064393B"/>
    <w:rsid w:val="006442CA"/>
    <w:rsid w:val="00644375"/>
    <w:rsid w:val="00644A5C"/>
    <w:rsid w:val="006452D9"/>
    <w:rsid w:val="00646A08"/>
    <w:rsid w:val="00650392"/>
    <w:rsid w:val="0065061D"/>
    <w:rsid w:val="00652E79"/>
    <w:rsid w:val="00655F3C"/>
    <w:rsid w:val="00656376"/>
    <w:rsid w:val="00656BD8"/>
    <w:rsid w:val="0065715E"/>
    <w:rsid w:val="00657670"/>
    <w:rsid w:val="00657DBF"/>
    <w:rsid w:val="00657DE0"/>
    <w:rsid w:val="00662C69"/>
    <w:rsid w:val="00663CC7"/>
    <w:rsid w:val="0066458B"/>
    <w:rsid w:val="00664805"/>
    <w:rsid w:val="006718FB"/>
    <w:rsid w:val="006720F3"/>
    <w:rsid w:val="00673695"/>
    <w:rsid w:val="00674701"/>
    <w:rsid w:val="00674A46"/>
    <w:rsid w:val="006752B0"/>
    <w:rsid w:val="00675F80"/>
    <w:rsid w:val="00676959"/>
    <w:rsid w:val="00676C6B"/>
    <w:rsid w:val="00680F25"/>
    <w:rsid w:val="00681D1B"/>
    <w:rsid w:val="00685689"/>
    <w:rsid w:val="0068594B"/>
    <w:rsid w:val="00686B04"/>
    <w:rsid w:val="006901FA"/>
    <w:rsid w:val="00690ED0"/>
    <w:rsid w:val="00693427"/>
    <w:rsid w:val="00693899"/>
    <w:rsid w:val="00694C00"/>
    <w:rsid w:val="006958A7"/>
    <w:rsid w:val="00695D81"/>
    <w:rsid w:val="00695F94"/>
    <w:rsid w:val="006964F5"/>
    <w:rsid w:val="00696EF8"/>
    <w:rsid w:val="006A1047"/>
    <w:rsid w:val="006A1F18"/>
    <w:rsid w:val="006A2CF3"/>
    <w:rsid w:val="006A2D34"/>
    <w:rsid w:val="006A2EDE"/>
    <w:rsid w:val="006A3D7A"/>
    <w:rsid w:val="006A4748"/>
    <w:rsid w:val="006B004E"/>
    <w:rsid w:val="006B0198"/>
    <w:rsid w:val="006B12E8"/>
    <w:rsid w:val="006B1C19"/>
    <w:rsid w:val="006B65D4"/>
    <w:rsid w:val="006B6C2C"/>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06E"/>
    <w:rsid w:val="006E5950"/>
    <w:rsid w:val="006E6B65"/>
    <w:rsid w:val="006E6C14"/>
    <w:rsid w:val="006E7CC5"/>
    <w:rsid w:val="006F1E31"/>
    <w:rsid w:val="006F2C12"/>
    <w:rsid w:val="006F2F92"/>
    <w:rsid w:val="00700E64"/>
    <w:rsid w:val="00703225"/>
    <w:rsid w:val="00704333"/>
    <w:rsid w:val="007050B1"/>
    <w:rsid w:val="00705527"/>
    <w:rsid w:val="00705A11"/>
    <w:rsid w:val="00707096"/>
    <w:rsid w:val="007136BC"/>
    <w:rsid w:val="00714576"/>
    <w:rsid w:val="00715A04"/>
    <w:rsid w:val="00716BB0"/>
    <w:rsid w:val="00721335"/>
    <w:rsid w:val="00721924"/>
    <w:rsid w:val="00721F66"/>
    <w:rsid w:val="00722B93"/>
    <w:rsid w:val="00726D8C"/>
    <w:rsid w:val="00731F1F"/>
    <w:rsid w:val="007365AD"/>
    <w:rsid w:val="00742486"/>
    <w:rsid w:val="0074433B"/>
    <w:rsid w:val="0074628D"/>
    <w:rsid w:val="007473D2"/>
    <w:rsid w:val="007479C2"/>
    <w:rsid w:val="00750A80"/>
    <w:rsid w:val="0075151E"/>
    <w:rsid w:val="00751BDC"/>
    <w:rsid w:val="0075265E"/>
    <w:rsid w:val="007532C7"/>
    <w:rsid w:val="0075440D"/>
    <w:rsid w:val="00754EF8"/>
    <w:rsid w:val="0075604A"/>
    <w:rsid w:val="0075650E"/>
    <w:rsid w:val="00757995"/>
    <w:rsid w:val="00763343"/>
    <w:rsid w:val="007644E6"/>
    <w:rsid w:val="00764632"/>
    <w:rsid w:val="007652EA"/>
    <w:rsid w:val="00766CDD"/>
    <w:rsid w:val="007674F3"/>
    <w:rsid w:val="00767CD2"/>
    <w:rsid w:val="00770859"/>
    <w:rsid w:val="00771308"/>
    <w:rsid w:val="00774586"/>
    <w:rsid w:val="00774A5F"/>
    <w:rsid w:val="00774DFD"/>
    <w:rsid w:val="007753FA"/>
    <w:rsid w:val="0077544D"/>
    <w:rsid w:val="0078079A"/>
    <w:rsid w:val="007807C6"/>
    <w:rsid w:val="007860B9"/>
    <w:rsid w:val="007914E4"/>
    <w:rsid w:val="00791E58"/>
    <w:rsid w:val="00795CCA"/>
    <w:rsid w:val="007A0692"/>
    <w:rsid w:val="007A082B"/>
    <w:rsid w:val="007A0A1B"/>
    <w:rsid w:val="007A1303"/>
    <w:rsid w:val="007A2C90"/>
    <w:rsid w:val="007A3146"/>
    <w:rsid w:val="007A531F"/>
    <w:rsid w:val="007A53FC"/>
    <w:rsid w:val="007A65E0"/>
    <w:rsid w:val="007A70B9"/>
    <w:rsid w:val="007A7602"/>
    <w:rsid w:val="007B02B9"/>
    <w:rsid w:val="007B0AE2"/>
    <w:rsid w:val="007B1AED"/>
    <w:rsid w:val="007B21F1"/>
    <w:rsid w:val="007B26B2"/>
    <w:rsid w:val="007B30F3"/>
    <w:rsid w:val="007B5AF0"/>
    <w:rsid w:val="007B5CC9"/>
    <w:rsid w:val="007B6317"/>
    <w:rsid w:val="007B694D"/>
    <w:rsid w:val="007C0013"/>
    <w:rsid w:val="007C0CBC"/>
    <w:rsid w:val="007C255D"/>
    <w:rsid w:val="007C37D2"/>
    <w:rsid w:val="007C3985"/>
    <w:rsid w:val="007C557A"/>
    <w:rsid w:val="007C6110"/>
    <w:rsid w:val="007C7154"/>
    <w:rsid w:val="007D0C01"/>
    <w:rsid w:val="007D314E"/>
    <w:rsid w:val="007D3FBD"/>
    <w:rsid w:val="007D49A0"/>
    <w:rsid w:val="007D7EF3"/>
    <w:rsid w:val="007E14FC"/>
    <w:rsid w:val="007E2BBE"/>
    <w:rsid w:val="007E5125"/>
    <w:rsid w:val="007E5DB4"/>
    <w:rsid w:val="007E72DF"/>
    <w:rsid w:val="007F0617"/>
    <w:rsid w:val="007F1BA2"/>
    <w:rsid w:val="007F313E"/>
    <w:rsid w:val="007F4BE4"/>
    <w:rsid w:val="007F729E"/>
    <w:rsid w:val="00800E69"/>
    <w:rsid w:val="00802BFE"/>
    <w:rsid w:val="00803286"/>
    <w:rsid w:val="008039C2"/>
    <w:rsid w:val="008046E4"/>
    <w:rsid w:val="008055FF"/>
    <w:rsid w:val="0080668C"/>
    <w:rsid w:val="00806782"/>
    <w:rsid w:val="00806AA1"/>
    <w:rsid w:val="00810F94"/>
    <w:rsid w:val="00812DB3"/>
    <w:rsid w:val="00814BC5"/>
    <w:rsid w:val="008167F5"/>
    <w:rsid w:val="0081794B"/>
    <w:rsid w:val="00817D8E"/>
    <w:rsid w:val="008200A3"/>
    <w:rsid w:val="00820BF2"/>
    <w:rsid w:val="0082143D"/>
    <w:rsid w:val="00822E58"/>
    <w:rsid w:val="00824C4E"/>
    <w:rsid w:val="00826125"/>
    <w:rsid w:val="00832D83"/>
    <w:rsid w:val="00833A7D"/>
    <w:rsid w:val="00833E4C"/>
    <w:rsid w:val="00836224"/>
    <w:rsid w:val="00837BE4"/>
    <w:rsid w:val="00840559"/>
    <w:rsid w:val="00843153"/>
    <w:rsid w:val="00843908"/>
    <w:rsid w:val="00845D12"/>
    <w:rsid w:val="00846713"/>
    <w:rsid w:val="00846D48"/>
    <w:rsid w:val="008473FA"/>
    <w:rsid w:val="00847830"/>
    <w:rsid w:val="008478F7"/>
    <w:rsid w:val="00851A81"/>
    <w:rsid w:val="00851F4C"/>
    <w:rsid w:val="008523BA"/>
    <w:rsid w:val="00852B26"/>
    <w:rsid w:val="0085480B"/>
    <w:rsid w:val="008560F4"/>
    <w:rsid w:val="008608B2"/>
    <w:rsid w:val="00860A1E"/>
    <w:rsid w:val="00860D7D"/>
    <w:rsid w:val="00861622"/>
    <w:rsid w:val="00864287"/>
    <w:rsid w:val="00866179"/>
    <w:rsid w:val="008662C0"/>
    <w:rsid w:val="0087153F"/>
    <w:rsid w:val="0087459A"/>
    <w:rsid w:val="00875167"/>
    <w:rsid w:val="008759DE"/>
    <w:rsid w:val="00876D0D"/>
    <w:rsid w:val="00880163"/>
    <w:rsid w:val="00881572"/>
    <w:rsid w:val="00882FEA"/>
    <w:rsid w:val="00883450"/>
    <w:rsid w:val="0088398C"/>
    <w:rsid w:val="00885A71"/>
    <w:rsid w:val="00885C6E"/>
    <w:rsid w:val="0088743F"/>
    <w:rsid w:val="0089067B"/>
    <w:rsid w:val="0089412A"/>
    <w:rsid w:val="00895536"/>
    <w:rsid w:val="0089634E"/>
    <w:rsid w:val="00896AD4"/>
    <w:rsid w:val="00896EE8"/>
    <w:rsid w:val="008A52F3"/>
    <w:rsid w:val="008A5456"/>
    <w:rsid w:val="008A7F7D"/>
    <w:rsid w:val="008B1A5A"/>
    <w:rsid w:val="008B382F"/>
    <w:rsid w:val="008B4590"/>
    <w:rsid w:val="008B5AB4"/>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2C4"/>
    <w:rsid w:val="008E1B8F"/>
    <w:rsid w:val="008E41B8"/>
    <w:rsid w:val="008E4533"/>
    <w:rsid w:val="008E580D"/>
    <w:rsid w:val="008F12E6"/>
    <w:rsid w:val="008F1558"/>
    <w:rsid w:val="008F5927"/>
    <w:rsid w:val="0090174A"/>
    <w:rsid w:val="009024F2"/>
    <w:rsid w:val="009036B3"/>
    <w:rsid w:val="009071FE"/>
    <w:rsid w:val="00907761"/>
    <w:rsid w:val="0091242A"/>
    <w:rsid w:val="00913AA4"/>
    <w:rsid w:val="00915778"/>
    <w:rsid w:val="009164DD"/>
    <w:rsid w:val="009210C9"/>
    <w:rsid w:val="00925C68"/>
    <w:rsid w:val="009315B0"/>
    <w:rsid w:val="009316E9"/>
    <w:rsid w:val="0093416D"/>
    <w:rsid w:val="00937309"/>
    <w:rsid w:val="00945A61"/>
    <w:rsid w:val="0094667C"/>
    <w:rsid w:val="00950154"/>
    <w:rsid w:val="00953054"/>
    <w:rsid w:val="009548C1"/>
    <w:rsid w:val="009563A5"/>
    <w:rsid w:val="00956868"/>
    <w:rsid w:val="0095765F"/>
    <w:rsid w:val="009606E6"/>
    <w:rsid w:val="00962F40"/>
    <w:rsid w:val="00963968"/>
    <w:rsid w:val="00964072"/>
    <w:rsid w:val="00970F70"/>
    <w:rsid w:val="00971056"/>
    <w:rsid w:val="0097252B"/>
    <w:rsid w:val="00972668"/>
    <w:rsid w:val="009727B4"/>
    <w:rsid w:val="00972C36"/>
    <w:rsid w:val="009750AA"/>
    <w:rsid w:val="00976173"/>
    <w:rsid w:val="00977D37"/>
    <w:rsid w:val="0098138E"/>
    <w:rsid w:val="009825CC"/>
    <w:rsid w:val="009830D3"/>
    <w:rsid w:val="00983B8F"/>
    <w:rsid w:val="0098595E"/>
    <w:rsid w:val="00986073"/>
    <w:rsid w:val="00987B95"/>
    <w:rsid w:val="00990EE2"/>
    <w:rsid w:val="009916D2"/>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B7DAA"/>
    <w:rsid w:val="009C0940"/>
    <w:rsid w:val="009C1D99"/>
    <w:rsid w:val="009C1F8B"/>
    <w:rsid w:val="009C20A8"/>
    <w:rsid w:val="009C4185"/>
    <w:rsid w:val="009D1764"/>
    <w:rsid w:val="009D1D5B"/>
    <w:rsid w:val="009D2384"/>
    <w:rsid w:val="009D3240"/>
    <w:rsid w:val="009D3A6E"/>
    <w:rsid w:val="009D3D0B"/>
    <w:rsid w:val="009D4517"/>
    <w:rsid w:val="009D61D9"/>
    <w:rsid w:val="009D624D"/>
    <w:rsid w:val="009D6ACB"/>
    <w:rsid w:val="009E0AB4"/>
    <w:rsid w:val="009E1FBB"/>
    <w:rsid w:val="009E4942"/>
    <w:rsid w:val="009E6E48"/>
    <w:rsid w:val="009F0B67"/>
    <w:rsid w:val="009F1E4B"/>
    <w:rsid w:val="009F307E"/>
    <w:rsid w:val="009F50DE"/>
    <w:rsid w:val="009F6D34"/>
    <w:rsid w:val="009F7BB0"/>
    <w:rsid w:val="00A036C5"/>
    <w:rsid w:val="00A03AD2"/>
    <w:rsid w:val="00A05A5F"/>
    <w:rsid w:val="00A06B8E"/>
    <w:rsid w:val="00A06BF2"/>
    <w:rsid w:val="00A07D84"/>
    <w:rsid w:val="00A10336"/>
    <w:rsid w:val="00A10CE2"/>
    <w:rsid w:val="00A13703"/>
    <w:rsid w:val="00A13811"/>
    <w:rsid w:val="00A15745"/>
    <w:rsid w:val="00A16DF1"/>
    <w:rsid w:val="00A17A17"/>
    <w:rsid w:val="00A20B1F"/>
    <w:rsid w:val="00A22F25"/>
    <w:rsid w:val="00A235D0"/>
    <w:rsid w:val="00A27A7F"/>
    <w:rsid w:val="00A31F39"/>
    <w:rsid w:val="00A32050"/>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8A6"/>
    <w:rsid w:val="00A46F7C"/>
    <w:rsid w:val="00A471A7"/>
    <w:rsid w:val="00A500CE"/>
    <w:rsid w:val="00A50B8A"/>
    <w:rsid w:val="00A51F40"/>
    <w:rsid w:val="00A52D5C"/>
    <w:rsid w:val="00A5448E"/>
    <w:rsid w:val="00A572BC"/>
    <w:rsid w:val="00A61A1E"/>
    <w:rsid w:val="00A62FBB"/>
    <w:rsid w:val="00A63CC8"/>
    <w:rsid w:val="00A67428"/>
    <w:rsid w:val="00A70A2C"/>
    <w:rsid w:val="00A70CF3"/>
    <w:rsid w:val="00A7155E"/>
    <w:rsid w:val="00A74EDE"/>
    <w:rsid w:val="00A74F8F"/>
    <w:rsid w:val="00A75592"/>
    <w:rsid w:val="00A763AE"/>
    <w:rsid w:val="00A76B0D"/>
    <w:rsid w:val="00A80223"/>
    <w:rsid w:val="00A81AB5"/>
    <w:rsid w:val="00A82724"/>
    <w:rsid w:val="00A82C5A"/>
    <w:rsid w:val="00A83FF6"/>
    <w:rsid w:val="00A8610C"/>
    <w:rsid w:val="00A8620F"/>
    <w:rsid w:val="00A86AAB"/>
    <w:rsid w:val="00A8769A"/>
    <w:rsid w:val="00A87C89"/>
    <w:rsid w:val="00A92CF4"/>
    <w:rsid w:val="00A92EC0"/>
    <w:rsid w:val="00A92EED"/>
    <w:rsid w:val="00A939A5"/>
    <w:rsid w:val="00A9473F"/>
    <w:rsid w:val="00A9772B"/>
    <w:rsid w:val="00AA0660"/>
    <w:rsid w:val="00AA3875"/>
    <w:rsid w:val="00AA404A"/>
    <w:rsid w:val="00AA40DC"/>
    <w:rsid w:val="00AA6228"/>
    <w:rsid w:val="00AA69A4"/>
    <w:rsid w:val="00AB20B6"/>
    <w:rsid w:val="00AB2744"/>
    <w:rsid w:val="00AB274F"/>
    <w:rsid w:val="00AB2DA8"/>
    <w:rsid w:val="00AB4064"/>
    <w:rsid w:val="00AB5F30"/>
    <w:rsid w:val="00AB6776"/>
    <w:rsid w:val="00AB6BE3"/>
    <w:rsid w:val="00AC37C3"/>
    <w:rsid w:val="00AC535B"/>
    <w:rsid w:val="00AC5F6A"/>
    <w:rsid w:val="00AC6BEE"/>
    <w:rsid w:val="00AD0B3C"/>
    <w:rsid w:val="00AD1CC0"/>
    <w:rsid w:val="00AD20F5"/>
    <w:rsid w:val="00AD22B5"/>
    <w:rsid w:val="00AD33D3"/>
    <w:rsid w:val="00AD3DB4"/>
    <w:rsid w:val="00AD3E41"/>
    <w:rsid w:val="00AD746E"/>
    <w:rsid w:val="00AE0F6A"/>
    <w:rsid w:val="00AE28E5"/>
    <w:rsid w:val="00AE450E"/>
    <w:rsid w:val="00AE6A51"/>
    <w:rsid w:val="00AF1F04"/>
    <w:rsid w:val="00AF3B55"/>
    <w:rsid w:val="00AF3D59"/>
    <w:rsid w:val="00AF6794"/>
    <w:rsid w:val="00AF6EA4"/>
    <w:rsid w:val="00AF6F48"/>
    <w:rsid w:val="00AF717E"/>
    <w:rsid w:val="00B0047F"/>
    <w:rsid w:val="00B016F7"/>
    <w:rsid w:val="00B02BDD"/>
    <w:rsid w:val="00B055B9"/>
    <w:rsid w:val="00B056B3"/>
    <w:rsid w:val="00B06126"/>
    <w:rsid w:val="00B11A1D"/>
    <w:rsid w:val="00B13D85"/>
    <w:rsid w:val="00B15B4D"/>
    <w:rsid w:val="00B16296"/>
    <w:rsid w:val="00B1786A"/>
    <w:rsid w:val="00B206D8"/>
    <w:rsid w:val="00B20F6D"/>
    <w:rsid w:val="00B21299"/>
    <w:rsid w:val="00B22039"/>
    <w:rsid w:val="00B2207D"/>
    <w:rsid w:val="00B312C7"/>
    <w:rsid w:val="00B316B9"/>
    <w:rsid w:val="00B32E58"/>
    <w:rsid w:val="00B335A2"/>
    <w:rsid w:val="00B34371"/>
    <w:rsid w:val="00B357DD"/>
    <w:rsid w:val="00B37104"/>
    <w:rsid w:val="00B406E3"/>
    <w:rsid w:val="00B40F82"/>
    <w:rsid w:val="00B433EB"/>
    <w:rsid w:val="00B447D7"/>
    <w:rsid w:val="00B47064"/>
    <w:rsid w:val="00B47889"/>
    <w:rsid w:val="00B47D0D"/>
    <w:rsid w:val="00B52B7D"/>
    <w:rsid w:val="00B52C71"/>
    <w:rsid w:val="00B531D2"/>
    <w:rsid w:val="00B53CCA"/>
    <w:rsid w:val="00B54441"/>
    <w:rsid w:val="00B54A5F"/>
    <w:rsid w:val="00B560C2"/>
    <w:rsid w:val="00B56409"/>
    <w:rsid w:val="00B56F9B"/>
    <w:rsid w:val="00B64919"/>
    <w:rsid w:val="00B657D8"/>
    <w:rsid w:val="00B667C6"/>
    <w:rsid w:val="00B66BC8"/>
    <w:rsid w:val="00B71F08"/>
    <w:rsid w:val="00B73838"/>
    <w:rsid w:val="00B7421A"/>
    <w:rsid w:val="00B75008"/>
    <w:rsid w:val="00B75D74"/>
    <w:rsid w:val="00B75F20"/>
    <w:rsid w:val="00B762FD"/>
    <w:rsid w:val="00B808A4"/>
    <w:rsid w:val="00B81371"/>
    <w:rsid w:val="00B818B8"/>
    <w:rsid w:val="00B83E2E"/>
    <w:rsid w:val="00B902E7"/>
    <w:rsid w:val="00B9215C"/>
    <w:rsid w:val="00B922D9"/>
    <w:rsid w:val="00B926D6"/>
    <w:rsid w:val="00B95053"/>
    <w:rsid w:val="00B9609A"/>
    <w:rsid w:val="00B966BF"/>
    <w:rsid w:val="00B974B4"/>
    <w:rsid w:val="00BA0012"/>
    <w:rsid w:val="00BA155A"/>
    <w:rsid w:val="00BA4027"/>
    <w:rsid w:val="00BA4F66"/>
    <w:rsid w:val="00BA54A2"/>
    <w:rsid w:val="00BA60CE"/>
    <w:rsid w:val="00BA7987"/>
    <w:rsid w:val="00BA7CFA"/>
    <w:rsid w:val="00BB1309"/>
    <w:rsid w:val="00BB2592"/>
    <w:rsid w:val="00BB3156"/>
    <w:rsid w:val="00BB405E"/>
    <w:rsid w:val="00BB5CA9"/>
    <w:rsid w:val="00BB6662"/>
    <w:rsid w:val="00BB72E6"/>
    <w:rsid w:val="00BC0CE4"/>
    <w:rsid w:val="00BC260A"/>
    <w:rsid w:val="00BC30BF"/>
    <w:rsid w:val="00BC3150"/>
    <w:rsid w:val="00BC61B2"/>
    <w:rsid w:val="00BC78BE"/>
    <w:rsid w:val="00BD025A"/>
    <w:rsid w:val="00BD02D5"/>
    <w:rsid w:val="00BD0DA4"/>
    <w:rsid w:val="00BD1B67"/>
    <w:rsid w:val="00BD335B"/>
    <w:rsid w:val="00BD33B6"/>
    <w:rsid w:val="00BD3CC6"/>
    <w:rsid w:val="00BD3D7F"/>
    <w:rsid w:val="00BD4006"/>
    <w:rsid w:val="00BD4097"/>
    <w:rsid w:val="00BD4864"/>
    <w:rsid w:val="00BD4E41"/>
    <w:rsid w:val="00BD6560"/>
    <w:rsid w:val="00BD67E0"/>
    <w:rsid w:val="00BE00FA"/>
    <w:rsid w:val="00BE0C95"/>
    <w:rsid w:val="00BE545A"/>
    <w:rsid w:val="00BE5E11"/>
    <w:rsid w:val="00BE6C95"/>
    <w:rsid w:val="00BE74FA"/>
    <w:rsid w:val="00BF0A54"/>
    <w:rsid w:val="00BF0F1C"/>
    <w:rsid w:val="00BF1B7F"/>
    <w:rsid w:val="00BF2346"/>
    <w:rsid w:val="00BF26B5"/>
    <w:rsid w:val="00BF2787"/>
    <w:rsid w:val="00BF2801"/>
    <w:rsid w:val="00BF6A45"/>
    <w:rsid w:val="00BF6B5B"/>
    <w:rsid w:val="00BF6D83"/>
    <w:rsid w:val="00BF704D"/>
    <w:rsid w:val="00BF7365"/>
    <w:rsid w:val="00BF7824"/>
    <w:rsid w:val="00C020F8"/>
    <w:rsid w:val="00C02535"/>
    <w:rsid w:val="00C04666"/>
    <w:rsid w:val="00C04D22"/>
    <w:rsid w:val="00C10EB7"/>
    <w:rsid w:val="00C11482"/>
    <w:rsid w:val="00C14CDF"/>
    <w:rsid w:val="00C150E0"/>
    <w:rsid w:val="00C150F6"/>
    <w:rsid w:val="00C16762"/>
    <w:rsid w:val="00C17637"/>
    <w:rsid w:val="00C179FC"/>
    <w:rsid w:val="00C20EB1"/>
    <w:rsid w:val="00C2139F"/>
    <w:rsid w:val="00C279C1"/>
    <w:rsid w:val="00C27ABF"/>
    <w:rsid w:val="00C315FB"/>
    <w:rsid w:val="00C317BD"/>
    <w:rsid w:val="00C32B02"/>
    <w:rsid w:val="00C33279"/>
    <w:rsid w:val="00C34E18"/>
    <w:rsid w:val="00C41015"/>
    <w:rsid w:val="00C41131"/>
    <w:rsid w:val="00C411C1"/>
    <w:rsid w:val="00C4374A"/>
    <w:rsid w:val="00C45750"/>
    <w:rsid w:val="00C45BF0"/>
    <w:rsid w:val="00C47468"/>
    <w:rsid w:val="00C52D23"/>
    <w:rsid w:val="00C55FE8"/>
    <w:rsid w:val="00C6127A"/>
    <w:rsid w:val="00C6220B"/>
    <w:rsid w:val="00C634D6"/>
    <w:rsid w:val="00C63CF2"/>
    <w:rsid w:val="00C648FC"/>
    <w:rsid w:val="00C663BE"/>
    <w:rsid w:val="00C66540"/>
    <w:rsid w:val="00C66927"/>
    <w:rsid w:val="00C70DAF"/>
    <w:rsid w:val="00C71858"/>
    <w:rsid w:val="00C722C5"/>
    <w:rsid w:val="00C73AF7"/>
    <w:rsid w:val="00C744AE"/>
    <w:rsid w:val="00C74781"/>
    <w:rsid w:val="00C76F8A"/>
    <w:rsid w:val="00C80034"/>
    <w:rsid w:val="00C83EA7"/>
    <w:rsid w:val="00C84559"/>
    <w:rsid w:val="00C84CF2"/>
    <w:rsid w:val="00C862C4"/>
    <w:rsid w:val="00C86B34"/>
    <w:rsid w:val="00C91EE5"/>
    <w:rsid w:val="00C93374"/>
    <w:rsid w:val="00C95593"/>
    <w:rsid w:val="00CA109C"/>
    <w:rsid w:val="00CA2022"/>
    <w:rsid w:val="00CA4324"/>
    <w:rsid w:val="00CA7E82"/>
    <w:rsid w:val="00CB3C69"/>
    <w:rsid w:val="00CB4A7B"/>
    <w:rsid w:val="00CB5364"/>
    <w:rsid w:val="00CB57BF"/>
    <w:rsid w:val="00CB6407"/>
    <w:rsid w:val="00CC10A6"/>
    <w:rsid w:val="00CC1F89"/>
    <w:rsid w:val="00CC2DE4"/>
    <w:rsid w:val="00CC360E"/>
    <w:rsid w:val="00CC484F"/>
    <w:rsid w:val="00CC48D6"/>
    <w:rsid w:val="00CC7A70"/>
    <w:rsid w:val="00CD6866"/>
    <w:rsid w:val="00CD76D4"/>
    <w:rsid w:val="00CD7893"/>
    <w:rsid w:val="00CE03CC"/>
    <w:rsid w:val="00CE0D75"/>
    <w:rsid w:val="00CE25C2"/>
    <w:rsid w:val="00CE3092"/>
    <w:rsid w:val="00CE7E6A"/>
    <w:rsid w:val="00CF030B"/>
    <w:rsid w:val="00CF23A2"/>
    <w:rsid w:val="00CF4507"/>
    <w:rsid w:val="00CF5D77"/>
    <w:rsid w:val="00CF6EB2"/>
    <w:rsid w:val="00D10BE0"/>
    <w:rsid w:val="00D12EE7"/>
    <w:rsid w:val="00D1373C"/>
    <w:rsid w:val="00D17702"/>
    <w:rsid w:val="00D17C3D"/>
    <w:rsid w:val="00D225CB"/>
    <w:rsid w:val="00D22D37"/>
    <w:rsid w:val="00D236F1"/>
    <w:rsid w:val="00D25A9F"/>
    <w:rsid w:val="00D2734A"/>
    <w:rsid w:val="00D276CF"/>
    <w:rsid w:val="00D30003"/>
    <w:rsid w:val="00D3025F"/>
    <w:rsid w:val="00D306AB"/>
    <w:rsid w:val="00D31B93"/>
    <w:rsid w:val="00D32293"/>
    <w:rsid w:val="00D33323"/>
    <w:rsid w:val="00D3469A"/>
    <w:rsid w:val="00D3478C"/>
    <w:rsid w:val="00D34A5C"/>
    <w:rsid w:val="00D35986"/>
    <w:rsid w:val="00D37494"/>
    <w:rsid w:val="00D3789A"/>
    <w:rsid w:val="00D407B7"/>
    <w:rsid w:val="00D409B3"/>
    <w:rsid w:val="00D41E2D"/>
    <w:rsid w:val="00D4287D"/>
    <w:rsid w:val="00D42957"/>
    <w:rsid w:val="00D4320B"/>
    <w:rsid w:val="00D44CCA"/>
    <w:rsid w:val="00D47265"/>
    <w:rsid w:val="00D4793C"/>
    <w:rsid w:val="00D604D8"/>
    <w:rsid w:val="00D633AA"/>
    <w:rsid w:val="00D63990"/>
    <w:rsid w:val="00D64CE8"/>
    <w:rsid w:val="00D65068"/>
    <w:rsid w:val="00D65243"/>
    <w:rsid w:val="00D658A1"/>
    <w:rsid w:val="00D67E99"/>
    <w:rsid w:val="00D724A6"/>
    <w:rsid w:val="00D738F0"/>
    <w:rsid w:val="00D81B35"/>
    <w:rsid w:val="00D82CB3"/>
    <w:rsid w:val="00D82FC0"/>
    <w:rsid w:val="00D8322A"/>
    <w:rsid w:val="00D83C17"/>
    <w:rsid w:val="00D85885"/>
    <w:rsid w:val="00D8720F"/>
    <w:rsid w:val="00D87527"/>
    <w:rsid w:val="00D87652"/>
    <w:rsid w:val="00D87EED"/>
    <w:rsid w:val="00D92D08"/>
    <w:rsid w:val="00D9372E"/>
    <w:rsid w:val="00D9392E"/>
    <w:rsid w:val="00D947F0"/>
    <w:rsid w:val="00D963CC"/>
    <w:rsid w:val="00DA146F"/>
    <w:rsid w:val="00DA2630"/>
    <w:rsid w:val="00DA34F0"/>
    <w:rsid w:val="00DA3A4F"/>
    <w:rsid w:val="00DA42C0"/>
    <w:rsid w:val="00DA52A2"/>
    <w:rsid w:val="00DA7E2F"/>
    <w:rsid w:val="00DB067F"/>
    <w:rsid w:val="00DB0C0B"/>
    <w:rsid w:val="00DB31E7"/>
    <w:rsid w:val="00DB3A66"/>
    <w:rsid w:val="00DB4BEF"/>
    <w:rsid w:val="00DB6E2E"/>
    <w:rsid w:val="00DB78B2"/>
    <w:rsid w:val="00DC073A"/>
    <w:rsid w:val="00DC230C"/>
    <w:rsid w:val="00DC2CE7"/>
    <w:rsid w:val="00DC301A"/>
    <w:rsid w:val="00DC3325"/>
    <w:rsid w:val="00DC6AEA"/>
    <w:rsid w:val="00DC7377"/>
    <w:rsid w:val="00DD214F"/>
    <w:rsid w:val="00DD4849"/>
    <w:rsid w:val="00DE0FC0"/>
    <w:rsid w:val="00DE2610"/>
    <w:rsid w:val="00DE3A31"/>
    <w:rsid w:val="00DF13A5"/>
    <w:rsid w:val="00DF1C93"/>
    <w:rsid w:val="00DF1E5D"/>
    <w:rsid w:val="00DF2ABA"/>
    <w:rsid w:val="00DF419C"/>
    <w:rsid w:val="00DF51C5"/>
    <w:rsid w:val="00DF57B6"/>
    <w:rsid w:val="00DF72C7"/>
    <w:rsid w:val="00DF7F03"/>
    <w:rsid w:val="00E028DD"/>
    <w:rsid w:val="00E03246"/>
    <w:rsid w:val="00E03508"/>
    <w:rsid w:val="00E03C0E"/>
    <w:rsid w:val="00E073C2"/>
    <w:rsid w:val="00E10C25"/>
    <w:rsid w:val="00E1123F"/>
    <w:rsid w:val="00E12D1C"/>
    <w:rsid w:val="00E14307"/>
    <w:rsid w:val="00E16412"/>
    <w:rsid w:val="00E165DD"/>
    <w:rsid w:val="00E16A98"/>
    <w:rsid w:val="00E20DE7"/>
    <w:rsid w:val="00E227C3"/>
    <w:rsid w:val="00E22843"/>
    <w:rsid w:val="00E23F81"/>
    <w:rsid w:val="00E24C79"/>
    <w:rsid w:val="00E26881"/>
    <w:rsid w:val="00E26DFE"/>
    <w:rsid w:val="00E2713B"/>
    <w:rsid w:val="00E32DDF"/>
    <w:rsid w:val="00E33108"/>
    <w:rsid w:val="00E342C1"/>
    <w:rsid w:val="00E34706"/>
    <w:rsid w:val="00E40CD0"/>
    <w:rsid w:val="00E43ABE"/>
    <w:rsid w:val="00E44057"/>
    <w:rsid w:val="00E445BD"/>
    <w:rsid w:val="00E47A5F"/>
    <w:rsid w:val="00E507A5"/>
    <w:rsid w:val="00E528D2"/>
    <w:rsid w:val="00E54E89"/>
    <w:rsid w:val="00E55DE0"/>
    <w:rsid w:val="00E56AE0"/>
    <w:rsid w:val="00E601CE"/>
    <w:rsid w:val="00E602CF"/>
    <w:rsid w:val="00E61EE8"/>
    <w:rsid w:val="00E62441"/>
    <w:rsid w:val="00E63879"/>
    <w:rsid w:val="00E64D27"/>
    <w:rsid w:val="00E65486"/>
    <w:rsid w:val="00E66EE6"/>
    <w:rsid w:val="00E71633"/>
    <w:rsid w:val="00E72689"/>
    <w:rsid w:val="00E730AA"/>
    <w:rsid w:val="00E74C7A"/>
    <w:rsid w:val="00E76F52"/>
    <w:rsid w:val="00E80B0C"/>
    <w:rsid w:val="00E82B54"/>
    <w:rsid w:val="00E838B2"/>
    <w:rsid w:val="00E84521"/>
    <w:rsid w:val="00E856B0"/>
    <w:rsid w:val="00E86C2A"/>
    <w:rsid w:val="00E86CA1"/>
    <w:rsid w:val="00E91E35"/>
    <w:rsid w:val="00E937B5"/>
    <w:rsid w:val="00E9442F"/>
    <w:rsid w:val="00E969D2"/>
    <w:rsid w:val="00E979DB"/>
    <w:rsid w:val="00EA05B0"/>
    <w:rsid w:val="00EA0CA1"/>
    <w:rsid w:val="00EA3249"/>
    <w:rsid w:val="00EA3C59"/>
    <w:rsid w:val="00EA4C6F"/>
    <w:rsid w:val="00EA5118"/>
    <w:rsid w:val="00EB02F9"/>
    <w:rsid w:val="00EB0351"/>
    <w:rsid w:val="00EB0DF0"/>
    <w:rsid w:val="00EB1A2C"/>
    <w:rsid w:val="00EB21C8"/>
    <w:rsid w:val="00EB2513"/>
    <w:rsid w:val="00EB35F9"/>
    <w:rsid w:val="00EB3C91"/>
    <w:rsid w:val="00EB40DC"/>
    <w:rsid w:val="00EB743F"/>
    <w:rsid w:val="00EB7457"/>
    <w:rsid w:val="00EC064C"/>
    <w:rsid w:val="00EC0BFA"/>
    <w:rsid w:val="00EC1079"/>
    <w:rsid w:val="00EC115D"/>
    <w:rsid w:val="00EC3328"/>
    <w:rsid w:val="00EC342B"/>
    <w:rsid w:val="00EC34A9"/>
    <w:rsid w:val="00EC3934"/>
    <w:rsid w:val="00EC3DE0"/>
    <w:rsid w:val="00EC6F0E"/>
    <w:rsid w:val="00EC7352"/>
    <w:rsid w:val="00ED2270"/>
    <w:rsid w:val="00ED512E"/>
    <w:rsid w:val="00ED569F"/>
    <w:rsid w:val="00ED657A"/>
    <w:rsid w:val="00EE0293"/>
    <w:rsid w:val="00EE0326"/>
    <w:rsid w:val="00EE048D"/>
    <w:rsid w:val="00EE0ACB"/>
    <w:rsid w:val="00EE107C"/>
    <w:rsid w:val="00EE14EE"/>
    <w:rsid w:val="00EE280E"/>
    <w:rsid w:val="00EE3E9C"/>
    <w:rsid w:val="00EE4D4C"/>
    <w:rsid w:val="00EE4FBE"/>
    <w:rsid w:val="00EE78D0"/>
    <w:rsid w:val="00EF26CB"/>
    <w:rsid w:val="00EF2E2B"/>
    <w:rsid w:val="00EF34D2"/>
    <w:rsid w:val="00EF4C26"/>
    <w:rsid w:val="00EF5CC0"/>
    <w:rsid w:val="00F00649"/>
    <w:rsid w:val="00F02412"/>
    <w:rsid w:val="00F026B4"/>
    <w:rsid w:val="00F02E9D"/>
    <w:rsid w:val="00F02F5A"/>
    <w:rsid w:val="00F04044"/>
    <w:rsid w:val="00F040C6"/>
    <w:rsid w:val="00F046C8"/>
    <w:rsid w:val="00F047AB"/>
    <w:rsid w:val="00F05DE1"/>
    <w:rsid w:val="00F07353"/>
    <w:rsid w:val="00F10D6B"/>
    <w:rsid w:val="00F12CDC"/>
    <w:rsid w:val="00F13E45"/>
    <w:rsid w:val="00F147C6"/>
    <w:rsid w:val="00F1546D"/>
    <w:rsid w:val="00F17089"/>
    <w:rsid w:val="00F21705"/>
    <w:rsid w:val="00F218DC"/>
    <w:rsid w:val="00F231FC"/>
    <w:rsid w:val="00F24AB7"/>
    <w:rsid w:val="00F25131"/>
    <w:rsid w:val="00F25E84"/>
    <w:rsid w:val="00F2706D"/>
    <w:rsid w:val="00F277D3"/>
    <w:rsid w:val="00F27ADB"/>
    <w:rsid w:val="00F31178"/>
    <w:rsid w:val="00F32971"/>
    <w:rsid w:val="00F3400B"/>
    <w:rsid w:val="00F3534A"/>
    <w:rsid w:val="00F35C44"/>
    <w:rsid w:val="00F40C05"/>
    <w:rsid w:val="00F40E86"/>
    <w:rsid w:val="00F42168"/>
    <w:rsid w:val="00F425B3"/>
    <w:rsid w:val="00F44C78"/>
    <w:rsid w:val="00F452C0"/>
    <w:rsid w:val="00F459E6"/>
    <w:rsid w:val="00F53C70"/>
    <w:rsid w:val="00F547C3"/>
    <w:rsid w:val="00F54A4B"/>
    <w:rsid w:val="00F55058"/>
    <w:rsid w:val="00F60C62"/>
    <w:rsid w:val="00F63281"/>
    <w:rsid w:val="00F645AF"/>
    <w:rsid w:val="00F66BC9"/>
    <w:rsid w:val="00F67946"/>
    <w:rsid w:val="00F67EDD"/>
    <w:rsid w:val="00F72B99"/>
    <w:rsid w:val="00F72CCD"/>
    <w:rsid w:val="00F72E9F"/>
    <w:rsid w:val="00F73166"/>
    <w:rsid w:val="00F739E9"/>
    <w:rsid w:val="00F80E2B"/>
    <w:rsid w:val="00F811EA"/>
    <w:rsid w:val="00F81620"/>
    <w:rsid w:val="00F84240"/>
    <w:rsid w:val="00F85237"/>
    <w:rsid w:val="00F8564F"/>
    <w:rsid w:val="00F87DAE"/>
    <w:rsid w:val="00F9000A"/>
    <w:rsid w:val="00F9002A"/>
    <w:rsid w:val="00F906D0"/>
    <w:rsid w:val="00F90CC8"/>
    <w:rsid w:val="00F93B46"/>
    <w:rsid w:val="00F93DF5"/>
    <w:rsid w:val="00F94E43"/>
    <w:rsid w:val="00F95EFD"/>
    <w:rsid w:val="00F97AFE"/>
    <w:rsid w:val="00FA0128"/>
    <w:rsid w:val="00FA1786"/>
    <w:rsid w:val="00FA215F"/>
    <w:rsid w:val="00FA2241"/>
    <w:rsid w:val="00FA299A"/>
    <w:rsid w:val="00FA3191"/>
    <w:rsid w:val="00FA5AE3"/>
    <w:rsid w:val="00FA73DD"/>
    <w:rsid w:val="00FB13C2"/>
    <w:rsid w:val="00FB380D"/>
    <w:rsid w:val="00FB550F"/>
    <w:rsid w:val="00FB76C5"/>
    <w:rsid w:val="00FC0C57"/>
    <w:rsid w:val="00FC1DA7"/>
    <w:rsid w:val="00FC22C5"/>
    <w:rsid w:val="00FC2414"/>
    <w:rsid w:val="00FC2C4D"/>
    <w:rsid w:val="00FC44A1"/>
    <w:rsid w:val="00FC4DEB"/>
    <w:rsid w:val="00FC66FD"/>
    <w:rsid w:val="00FC77FF"/>
    <w:rsid w:val="00FC7E40"/>
    <w:rsid w:val="00FD1351"/>
    <w:rsid w:val="00FD4B65"/>
    <w:rsid w:val="00FD4B81"/>
    <w:rsid w:val="00FD6729"/>
    <w:rsid w:val="00FD7DAA"/>
    <w:rsid w:val="00FD7EFE"/>
    <w:rsid w:val="00FE2025"/>
    <w:rsid w:val="00FE2D9D"/>
    <w:rsid w:val="00FE3280"/>
    <w:rsid w:val="00FE461F"/>
    <w:rsid w:val="00FE4790"/>
    <w:rsid w:val="00FE49E3"/>
    <w:rsid w:val="00FE4E1B"/>
    <w:rsid w:val="00FE7904"/>
    <w:rsid w:val="00FE79C6"/>
    <w:rsid w:val="00FF0AD1"/>
    <w:rsid w:val="00FF2F56"/>
    <w:rsid w:val="00FF3373"/>
    <w:rsid w:val="00FF3B7B"/>
    <w:rsid w:val="00FF5175"/>
    <w:rsid w:val="00FF74D9"/>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A63CC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customStyle="1" w:styleId="Ttulo3Car">
    <w:name w:val="Título 3 Car"/>
    <w:basedOn w:val="Fuentedeprrafopredeter"/>
    <w:link w:val="Ttulo3"/>
    <w:uiPriority w:val="9"/>
    <w:semiHidden/>
    <w:rsid w:val="00A63CC8"/>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067B59"/>
    <w:pPr>
      <w:spacing w:after="100"/>
      <w:ind w:left="480"/>
    </w:pPr>
  </w:style>
  <w:style w:type="table" w:customStyle="1" w:styleId="Tablaconcuadrcula12">
    <w:name w:val="Tabla con cuadrícula12"/>
    <w:basedOn w:val="Tablanormal"/>
    <w:next w:val="Tablaconcuadrcula"/>
    <w:uiPriority w:val="59"/>
    <w:rsid w:val="00BF6A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30786735">
      <w:bodyDiv w:val="1"/>
      <w:marLeft w:val="0"/>
      <w:marRight w:val="0"/>
      <w:marTop w:val="0"/>
      <w:marBottom w:val="0"/>
      <w:divBdr>
        <w:top w:val="none" w:sz="0" w:space="0" w:color="auto"/>
        <w:left w:val="none" w:sz="0" w:space="0" w:color="auto"/>
        <w:bottom w:val="none" w:sz="0" w:space="0" w:color="auto"/>
        <w:right w:val="none" w:sz="0" w:space="0" w:color="auto"/>
      </w:divBdr>
    </w:div>
    <w:div w:id="633947198">
      <w:bodyDiv w:val="1"/>
      <w:marLeft w:val="0"/>
      <w:marRight w:val="0"/>
      <w:marTop w:val="0"/>
      <w:marBottom w:val="0"/>
      <w:divBdr>
        <w:top w:val="none" w:sz="0" w:space="0" w:color="auto"/>
        <w:left w:val="none" w:sz="0" w:space="0" w:color="auto"/>
        <w:bottom w:val="none" w:sz="0" w:space="0" w:color="auto"/>
        <w:right w:val="none" w:sz="0" w:space="0" w:color="auto"/>
      </w:divBdr>
    </w:div>
    <w:div w:id="701903375">
      <w:bodyDiv w:val="1"/>
      <w:marLeft w:val="0"/>
      <w:marRight w:val="0"/>
      <w:marTop w:val="0"/>
      <w:marBottom w:val="0"/>
      <w:divBdr>
        <w:top w:val="none" w:sz="0" w:space="0" w:color="auto"/>
        <w:left w:val="none" w:sz="0" w:space="0" w:color="auto"/>
        <w:bottom w:val="none" w:sz="0" w:space="0" w:color="auto"/>
        <w:right w:val="none" w:sz="0" w:space="0" w:color="auto"/>
      </w:divBdr>
      <w:divsChild>
        <w:div w:id="415058390">
          <w:marLeft w:val="0"/>
          <w:marRight w:val="0"/>
          <w:marTop w:val="30"/>
          <w:marBottom w:val="0"/>
          <w:divBdr>
            <w:top w:val="none" w:sz="0" w:space="0" w:color="auto"/>
            <w:left w:val="none" w:sz="0" w:space="0" w:color="auto"/>
            <w:bottom w:val="none" w:sz="0" w:space="0" w:color="auto"/>
            <w:right w:val="none" w:sz="0" w:space="0" w:color="auto"/>
          </w:divBdr>
          <w:divsChild>
            <w:div w:id="14910995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08164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43238227">
      <w:bodyDiv w:val="1"/>
      <w:marLeft w:val="0"/>
      <w:marRight w:val="0"/>
      <w:marTop w:val="0"/>
      <w:marBottom w:val="0"/>
      <w:divBdr>
        <w:top w:val="none" w:sz="0" w:space="0" w:color="auto"/>
        <w:left w:val="none" w:sz="0" w:space="0" w:color="auto"/>
        <w:bottom w:val="none" w:sz="0" w:space="0" w:color="auto"/>
        <w:right w:val="none" w:sz="0" w:space="0" w:color="auto"/>
      </w:divBdr>
    </w:div>
    <w:div w:id="1144396876">
      <w:bodyDiv w:val="1"/>
      <w:marLeft w:val="0"/>
      <w:marRight w:val="0"/>
      <w:marTop w:val="0"/>
      <w:marBottom w:val="0"/>
      <w:divBdr>
        <w:top w:val="none" w:sz="0" w:space="0" w:color="auto"/>
        <w:left w:val="none" w:sz="0" w:space="0" w:color="auto"/>
        <w:bottom w:val="none" w:sz="0" w:space="0" w:color="auto"/>
        <w:right w:val="none" w:sz="0" w:space="0" w:color="auto"/>
      </w:divBdr>
    </w:div>
    <w:div w:id="1187479457">
      <w:bodyDiv w:val="1"/>
      <w:marLeft w:val="0"/>
      <w:marRight w:val="0"/>
      <w:marTop w:val="0"/>
      <w:marBottom w:val="0"/>
      <w:divBdr>
        <w:top w:val="none" w:sz="0" w:space="0" w:color="auto"/>
        <w:left w:val="none" w:sz="0" w:space="0" w:color="auto"/>
        <w:bottom w:val="none" w:sz="0" w:space="0" w:color="auto"/>
        <w:right w:val="none" w:sz="0" w:space="0" w:color="auto"/>
      </w:divBdr>
    </w:div>
    <w:div w:id="134547652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7143932">
      <w:bodyDiv w:val="1"/>
      <w:marLeft w:val="0"/>
      <w:marRight w:val="0"/>
      <w:marTop w:val="0"/>
      <w:marBottom w:val="0"/>
      <w:divBdr>
        <w:top w:val="none" w:sz="0" w:space="0" w:color="auto"/>
        <w:left w:val="none" w:sz="0" w:space="0" w:color="auto"/>
        <w:bottom w:val="none" w:sz="0" w:space="0" w:color="auto"/>
        <w:right w:val="none" w:sz="0" w:space="0" w:color="auto"/>
      </w:divBdr>
    </w:div>
    <w:div w:id="203280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63881-8EFE-480F-BFB5-CAD98A15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42</Pages>
  <Words>8244</Words>
  <Characters>45343</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2017-10-12T20:00:00Z</cp:lastPrinted>
  <dcterms:created xsi:type="dcterms:W3CDTF">2018-08-22T20:11:00Z</dcterms:created>
  <dcterms:modified xsi:type="dcterms:W3CDTF">2018-09-18T00:17:00Z</dcterms:modified>
</cp:coreProperties>
</file>