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0D101E70"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303BC7">
        <w:rPr>
          <w:rFonts w:ascii="Palatino Linotype" w:hAnsi="Palatino Linotype"/>
          <w:color w:val="C00000"/>
        </w:rPr>
        <w:t>cinco de septiembre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9D502B">
        <w:rPr>
          <w:rFonts w:ascii="Palatino Linotype" w:hAnsi="Palatino Linotype"/>
        </w:rPr>
        <w:t>ocho</w:t>
      </w:r>
      <w:r w:rsidRPr="0040233B">
        <w:rPr>
          <w:rFonts w:ascii="Palatino Linotype" w:hAnsi="Palatino Linotype"/>
        </w:rPr>
        <w:t>.</w:t>
      </w:r>
    </w:p>
    <w:p w14:paraId="7D53FE2D" w14:textId="664D38B9"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D553E6">
        <w:rPr>
          <w:rFonts w:ascii="Palatino Linotype" w:eastAsiaTheme="minorEastAsia" w:hAnsi="Palatino Linotype" w:cs="Arial"/>
          <w:b/>
          <w:bCs/>
          <w:color w:val="C00000"/>
          <w:sz w:val="22"/>
          <w:szCs w:val="22"/>
          <w:lang w:val="es-MX"/>
        </w:rPr>
        <w:t>02356/</w:t>
      </w:r>
      <w:proofErr w:type="spellStart"/>
      <w:r w:rsidR="00D553E6">
        <w:rPr>
          <w:rFonts w:ascii="Palatino Linotype" w:eastAsiaTheme="minorEastAsia" w:hAnsi="Palatino Linotype" w:cs="Arial"/>
          <w:b/>
          <w:bCs/>
          <w:color w:val="C00000"/>
          <w:sz w:val="22"/>
          <w:szCs w:val="22"/>
          <w:lang w:val="es-MX"/>
        </w:rPr>
        <w:t>INFOEM</w:t>
      </w:r>
      <w:proofErr w:type="spellEnd"/>
      <w:r w:rsidR="00437D10">
        <w:rPr>
          <w:rFonts w:ascii="Palatino Linotype" w:eastAsiaTheme="minorEastAsia" w:hAnsi="Palatino Linotype" w:cs="Arial"/>
          <w:b/>
          <w:bCs/>
          <w:color w:val="C00000"/>
          <w:sz w:val="22"/>
          <w:szCs w:val="22"/>
          <w:lang w:val="es-MX"/>
        </w:rPr>
        <w:t>/IP/</w:t>
      </w:r>
      <w:proofErr w:type="spellStart"/>
      <w:r w:rsidR="00437D10">
        <w:rPr>
          <w:rFonts w:ascii="Palatino Linotype" w:eastAsiaTheme="minorEastAsia" w:hAnsi="Palatino Linotype" w:cs="Arial"/>
          <w:b/>
          <w:bCs/>
          <w:color w:val="C00000"/>
          <w:sz w:val="22"/>
          <w:szCs w:val="22"/>
          <w:lang w:val="es-MX"/>
        </w:rPr>
        <w:t>RR</w:t>
      </w:r>
      <w:proofErr w:type="spellEnd"/>
      <w:r w:rsidR="00437D10">
        <w:rPr>
          <w:rFonts w:ascii="Palatino Linotype" w:eastAsiaTheme="minorEastAsia" w:hAnsi="Palatino Linotype" w:cs="Arial"/>
          <w:b/>
          <w:bCs/>
          <w:color w:val="C00000"/>
          <w:sz w:val="22"/>
          <w:szCs w:val="22"/>
          <w:lang w:val="es-MX"/>
        </w:rPr>
        <w:t>/2018</w:t>
      </w:r>
      <w:r w:rsidR="000E1C85">
        <w:rPr>
          <w:rFonts w:ascii="Palatino Linotype" w:hAnsi="Palatino Linotype" w:cs="Arial"/>
        </w:rPr>
        <w:t xml:space="preserve">, interpuesto por </w:t>
      </w:r>
      <w:proofErr w:type="spellStart"/>
      <w:r w:rsidR="00EC1D55">
        <w:rPr>
          <w:rFonts w:ascii="Palatino Linotype" w:hAnsi="Palatino Linotype" w:cs="Arial"/>
        </w:rPr>
        <w:t>Xxxxxxx</w:t>
      </w:r>
      <w:proofErr w:type="spellEnd"/>
      <w:r w:rsidR="00D553E6">
        <w:rPr>
          <w:rFonts w:ascii="Palatino Linotype" w:hAnsi="Palatino Linotype" w:cs="Arial"/>
          <w:b/>
        </w:rPr>
        <w:t xml:space="preserve"> </w:t>
      </w:r>
      <w:proofErr w:type="spellStart"/>
      <w:r w:rsidR="00EC1D55">
        <w:rPr>
          <w:rFonts w:ascii="Palatino Linotype" w:hAnsi="Palatino Linotype" w:cs="Arial"/>
          <w:b/>
        </w:rPr>
        <w:t>Xxxxxxx</w:t>
      </w:r>
      <w:proofErr w:type="spellEnd"/>
      <w:r w:rsidR="00D553E6">
        <w:rPr>
          <w:rFonts w:ascii="Palatino Linotype" w:hAnsi="Palatino Linotype" w:cs="Arial"/>
          <w:b/>
        </w:rPr>
        <w:t xml:space="preserve"> </w:t>
      </w:r>
      <w:proofErr w:type="spellStart"/>
      <w:r w:rsidR="00EC1D55">
        <w:rPr>
          <w:rFonts w:ascii="Palatino Linotype" w:hAnsi="Palatino Linotype" w:cs="Arial"/>
          <w:b/>
        </w:rPr>
        <w:t>Xxxxx</w:t>
      </w:r>
      <w:bookmarkStart w:id="0" w:name="_GoBack"/>
      <w:bookmarkEnd w:id="0"/>
      <w:proofErr w:type="spellEnd"/>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5A1564">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D553E6">
        <w:rPr>
          <w:rFonts w:ascii="Palatino Linotype" w:eastAsiaTheme="minorEastAsia" w:hAnsi="Palatino Linotype" w:cs="Arial"/>
          <w:b/>
          <w:color w:val="C00000"/>
          <w:sz w:val="22"/>
          <w:szCs w:val="22"/>
          <w:lang w:val="es-MX"/>
        </w:rPr>
        <w:t>00065/</w:t>
      </w:r>
      <w:proofErr w:type="spellStart"/>
      <w:r w:rsidR="00D553E6">
        <w:rPr>
          <w:rFonts w:ascii="Palatino Linotype" w:eastAsiaTheme="minorEastAsia" w:hAnsi="Palatino Linotype" w:cs="Arial"/>
          <w:b/>
          <w:color w:val="C00000"/>
          <w:sz w:val="22"/>
          <w:szCs w:val="22"/>
          <w:lang w:val="es-MX"/>
        </w:rPr>
        <w:t>LAPAZ</w:t>
      </w:r>
      <w:proofErr w:type="spellEnd"/>
      <w:r w:rsidR="00126F0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E5452C">
        <w:rPr>
          <w:rFonts w:ascii="Palatino Linotype" w:hAnsi="Palatino Linotype" w:cs="Arial"/>
        </w:rPr>
        <w:t>l</w:t>
      </w:r>
      <w:r w:rsidR="00E94560">
        <w:rPr>
          <w:rFonts w:ascii="Palatino Linotype" w:hAnsi="Palatino Linotype" w:cs="Arial"/>
        </w:rPr>
        <w:t>a</w:t>
      </w:r>
      <w:r w:rsidR="008F355E">
        <w:rPr>
          <w:rFonts w:ascii="Palatino Linotype" w:hAnsi="Palatino Linotype" w:cs="Arial"/>
        </w:rPr>
        <w:t xml:space="preserve"> </w:t>
      </w:r>
      <w:r w:rsidR="00D553E6">
        <w:rPr>
          <w:rFonts w:ascii="Palatino Linotype" w:hAnsi="Palatino Linotype" w:cs="Arial"/>
          <w:b/>
        </w:rPr>
        <w:t>Ayuntamiento de la Paz</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4EAD6182"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D553E6">
        <w:rPr>
          <w:rFonts w:ascii="Palatino Linotype" w:hAnsi="Palatino Linotype" w:cs="Arial"/>
          <w:color w:val="C00000"/>
        </w:rPr>
        <w:t>veintinueve de mayo</w:t>
      </w:r>
      <w:r w:rsidR="009D502B">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D553E6">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proofErr w:type="spellStart"/>
      <w:r w:rsidRPr="0040233B">
        <w:rPr>
          <w:rFonts w:ascii="Palatino Linotype" w:hAnsi="Palatino Linotype" w:cs="Arial"/>
          <w:b/>
        </w:rPr>
        <w:t>SAIMEX</w:t>
      </w:r>
      <w:proofErr w:type="spellEnd"/>
      <w:r w:rsidRPr="0040233B">
        <w:rPr>
          <w:rFonts w:ascii="Palatino Linotype" w:hAnsi="Palatino Linotype" w:cs="Arial"/>
          <w:b/>
        </w:rPr>
        <w:t>,</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4EB1C209" w:rsidR="00293DE5" w:rsidRPr="006D64F9" w:rsidRDefault="00293DE5" w:rsidP="008F355E">
      <w:pPr>
        <w:spacing w:before="240" w:after="240" w:line="360" w:lineRule="auto"/>
        <w:ind w:left="851" w:right="902"/>
        <w:jc w:val="both"/>
        <w:rPr>
          <w:rFonts w:ascii="Palatino Linotype" w:hAnsi="Palatino Linotype" w:cs="Arial"/>
          <w:b/>
          <w:i/>
        </w:rPr>
      </w:pPr>
      <w:r w:rsidRPr="00126F04">
        <w:rPr>
          <w:rFonts w:ascii="Palatino Linotype" w:eastAsiaTheme="minorEastAsia" w:hAnsi="Palatino Linotype" w:cs="Arial"/>
          <w:i/>
          <w:lang w:val="es-MX"/>
        </w:rPr>
        <w:t>“</w:t>
      </w:r>
      <w:r w:rsidR="003E132A" w:rsidRPr="003E132A">
        <w:rPr>
          <w:rFonts w:ascii="Palatino Linotype" w:hAnsi="Palatino Linotype"/>
          <w:i/>
          <w:color w:val="000000"/>
        </w:rPr>
        <w:t xml:space="preserve">Reciba un cordial saludo y </w:t>
      </w:r>
      <w:proofErr w:type="spellStart"/>
      <w:r w:rsidR="003E132A" w:rsidRPr="003E132A">
        <w:rPr>
          <w:rFonts w:ascii="Palatino Linotype" w:hAnsi="Palatino Linotype"/>
          <w:i/>
          <w:color w:val="000000"/>
        </w:rPr>
        <w:t>asu</w:t>
      </w:r>
      <w:proofErr w:type="spellEnd"/>
      <w:r w:rsidR="003E132A" w:rsidRPr="003E132A">
        <w:rPr>
          <w:rFonts w:ascii="Palatino Linotype" w:hAnsi="Palatino Linotype"/>
          <w:i/>
          <w:color w:val="000000"/>
        </w:rPr>
        <w:t xml:space="preserve"> respuesta a la solicitud número 00050/</w:t>
      </w:r>
      <w:proofErr w:type="spellStart"/>
      <w:r w:rsidR="003E132A" w:rsidRPr="003E132A">
        <w:rPr>
          <w:rFonts w:ascii="Palatino Linotype" w:hAnsi="Palatino Linotype"/>
          <w:i/>
          <w:color w:val="000000"/>
        </w:rPr>
        <w:t>LAPAZ</w:t>
      </w:r>
      <w:proofErr w:type="spellEnd"/>
      <w:r w:rsidR="003E132A" w:rsidRPr="003E132A">
        <w:rPr>
          <w:rFonts w:ascii="Palatino Linotype" w:hAnsi="Palatino Linotype"/>
          <w:i/>
          <w:color w:val="000000"/>
        </w:rPr>
        <w:t xml:space="preserve">/IP/2018 y viendo la discrepancia de sueldos de las autoridades investigadoras </w:t>
      </w:r>
      <w:proofErr w:type="spellStart"/>
      <w:r w:rsidR="003E132A" w:rsidRPr="003E132A">
        <w:rPr>
          <w:rFonts w:ascii="Palatino Linotype" w:hAnsi="Palatino Linotype"/>
          <w:i/>
          <w:color w:val="000000"/>
        </w:rPr>
        <w:t>substaciadoras</w:t>
      </w:r>
      <w:proofErr w:type="spellEnd"/>
      <w:r w:rsidR="003E132A" w:rsidRPr="003E132A">
        <w:rPr>
          <w:rFonts w:ascii="Palatino Linotype" w:hAnsi="Palatino Linotype"/>
          <w:i/>
          <w:color w:val="000000"/>
        </w:rPr>
        <w:t xml:space="preserve"> y </w:t>
      </w:r>
      <w:proofErr w:type="spellStart"/>
      <w:r w:rsidR="003E132A" w:rsidRPr="003E132A">
        <w:rPr>
          <w:rFonts w:ascii="Palatino Linotype" w:hAnsi="Palatino Linotype"/>
          <w:i/>
          <w:color w:val="000000"/>
        </w:rPr>
        <w:t>resolutoras</w:t>
      </w:r>
      <w:proofErr w:type="spellEnd"/>
      <w:r w:rsidR="003E132A" w:rsidRPr="003E132A">
        <w:rPr>
          <w:rFonts w:ascii="Palatino Linotype" w:hAnsi="Palatino Linotype"/>
          <w:i/>
          <w:color w:val="000000"/>
        </w:rPr>
        <w:t xml:space="preserve"> solicito me puedan informar porque tanta discrepancia de sueldos entre dichas autoridades.</w:t>
      </w:r>
      <w:r w:rsidR="004F5243" w:rsidRPr="00126F04">
        <w:rPr>
          <w:rFonts w:ascii="Palatino Linotype" w:hAnsi="Palatino Linotype" w:cs="Arial"/>
          <w:i/>
        </w:rPr>
        <w:t>”</w:t>
      </w:r>
      <w:r w:rsidR="00C673D1" w:rsidRPr="00126F04">
        <w:rPr>
          <w:rFonts w:ascii="Palatino Linotype" w:hAnsi="Palatino Linotype" w:cs="Arial"/>
          <w:i/>
          <w:sz w:val="20"/>
          <w:szCs w:val="20"/>
        </w:rPr>
        <w:t>(</w:t>
      </w:r>
      <w:proofErr w:type="gramStart"/>
      <w:r w:rsidR="00C673D1" w:rsidRPr="00126F04">
        <w:rPr>
          <w:rFonts w:ascii="Palatino Linotype" w:hAnsi="Palatino Linotype" w:cs="Arial"/>
          <w:i/>
          <w:sz w:val="20"/>
          <w:szCs w:val="20"/>
        </w:rPr>
        <w:t>sic</w:t>
      </w:r>
      <w:proofErr w:type="gramEnd"/>
      <w:r w:rsidR="00C673D1" w:rsidRPr="00126F04">
        <w:rPr>
          <w:rFonts w:ascii="Palatino Linotype" w:hAnsi="Palatino Linotype" w:cs="Arial"/>
          <w:i/>
          <w:sz w:val="20"/>
          <w:szCs w:val="20"/>
        </w:rPr>
        <w:t>)</w:t>
      </w:r>
    </w:p>
    <w:p w14:paraId="649BFEDD" w14:textId="080877E6" w:rsidR="00293DE5" w:rsidRPr="0040233B" w:rsidRDefault="00E94560"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w:t>
      </w:r>
      <w:proofErr w:type="spellStart"/>
      <w:r w:rsidR="00293DE5" w:rsidRPr="0040233B">
        <w:rPr>
          <w:rFonts w:ascii="Palatino Linotype" w:hAnsi="Palatino Linotype" w:cs="Arial"/>
          <w:b/>
        </w:rPr>
        <w:t>SAIMEX</w:t>
      </w:r>
      <w:proofErr w:type="spellEnd"/>
      <w:r w:rsidR="00451F5B" w:rsidRPr="0040233B">
        <w:rPr>
          <w:rFonts w:ascii="Palatino Linotype" w:hAnsi="Palatino Linotype" w:cs="Arial"/>
          <w:b/>
        </w:rPr>
        <w:t>.</w:t>
      </w:r>
    </w:p>
    <w:p w14:paraId="486A14B9" w14:textId="32027228"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3E132A">
        <w:rPr>
          <w:rFonts w:ascii="Palatino Linotype" w:hAnsi="Palatino Linotype" w:cs="Arial"/>
        </w:rPr>
        <w:t>diecinueve de junio</w:t>
      </w:r>
      <w:r w:rsidR="00E5452C">
        <w:rPr>
          <w:rFonts w:ascii="Palatino Linotype" w:hAnsi="Palatino Linotype" w:cs="Arial"/>
          <w:color w:val="C00000"/>
        </w:rPr>
        <w:t xml:space="preserve"> </w:t>
      </w:r>
      <w:r w:rsidR="00327357">
        <w:rPr>
          <w:rFonts w:ascii="Palatino Linotype" w:hAnsi="Palatino Linotype" w:cs="Arial"/>
        </w:rPr>
        <w:t>del año en curso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proofErr w:type="spellStart"/>
      <w:r w:rsidRPr="0040233B">
        <w:rPr>
          <w:rFonts w:ascii="Palatino Linotype" w:hAnsi="Palatino Linotype" w:cs="Arial"/>
        </w:rPr>
        <w:t>SAIMEX</w:t>
      </w:r>
      <w:proofErr w:type="spellEnd"/>
      <w:r w:rsidRPr="0040233B">
        <w:rPr>
          <w:rFonts w:ascii="Palatino Linotype" w:hAnsi="Palatino Linotype" w:cs="Arial"/>
        </w:rPr>
        <w:t xml:space="preserve">,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w:t>
      </w:r>
      <w:r w:rsidR="00361B13">
        <w:rPr>
          <w:rFonts w:ascii="Palatino Linotype" w:hAnsi="Palatino Linotype" w:cs="Arial"/>
        </w:rPr>
        <w:t xml:space="preserve"> </w:t>
      </w:r>
      <w:r w:rsidR="00E5452C">
        <w:rPr>
          <w:rFonts w:ascii="Palatino Linotype" w:hAnsi="Palatino Linotype" w:cs="Arial"/>
        </w:rPr>
        <w:t>l</w:t>
      </w:r>
      <w:r w:rsidR="00361B13">
        <w:rPr>
          <w:rFonts w:ascii="Palatino Linotype" w:hAnsi="Palatino Linotype" w:cs="Arial"/>
        </w:rPr>
        <w:t>a</w:t>
      </w:r>
      <w:r w:rsidR="00E5452C">
        <w:rPr>
          <w:rFonts w:ascii="Palatino Linotype" w:hAnsi="Palatino Linotype" w:cs="Arial"/>
        </w:rPr>
        <w:t xml:space="preserve"> particular la respuesta siguiente</w:t>
      </w:r>
      <w:r w:rsidR="008F355E">
        <w:rPr>
          <w:rFonts w:ascii="Palatino Linotype" w:hAnsi="Palatino Linotype" w:cs="Arial"/>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E132A" w:rsidRPr="003E132A" w14:paraId="6B78D83F" w14:textId="77777777" w:rsidTr="003E132A">
        <w:trPr>
          <w:trHeight w:val="150"/>
          <w:tblCellSpacing w:w="0" w:type="dxa"/>
          <w:jc w:val="center"/>
        </w:trPr>
        <w:tc>
          <w:tcPr>
            <w:tcW w:w="0" w:type="auto"/>
            <w:vAlign w:val="center"/>
            <w:hideMark/>
          </w:tcPr>
          <w:p w14:paraId="314CD44A" w14:textId="0FBABAAA" w:rsidR="003E132A" w:rsidRPr="003E132A" w:rsidRDefault="003E132A" w:rsidP="003E132A">
            <w:pPr>
              <w:ind w:left="1701"/>
              <w:rPr>
                <w:sz w:val="16"/>
                <w:szCs w:val="16"/>
                <w:lang w:val="es-MX" w:eastAsia="es-MX"/>
              </w:rPr>
            </w:pPr>
            <w:r>
              <w:rPr>
                <w:rFonts w:ascii="Palatino Linotype" w:hAnsi="Palatino Linotype"/>
                <w:i/>
                <w:color w:val="000000"/>
              </w:rPr>
              <w:t>“</w:t>
            </w:r>
            <w:r w:rsidRPr="003E132A">
              <w:rPr>
                <w:rFonts w:ascii="Palatino Linotype" w:hAnsi="Palatino Linotype"/>
                <w:i/>
                <w:lang w:val="es-MX" w:eastAsia="es-MX"/>
              </w:rPr>
              <w:t xml:space="preserve">SE </w:t>
            </w:r>
            <w:proofErr w:type="spellStart"/>
            <w:r w:rsidRPr="003E132A">
              <w:rPr>
                <w:rFonts w:ascii="Palatino Linotype" w:hAnsi="Palatino Linotype"/>
                <w:i/>
                <w:lang w:val="es-MX" w:eastAsia="es-MX"/>
              </w:rPr>
              <w:t>ENVIA</w:t>
            </w:r>
            <w:proofErr w:type="spellEnd"/>
            <w:r w:rsidRPr="003E132A">
              <w:rPr>
                <w:rFonts w:ascii="Palatino Linotype" w:hAnsi="Palatino Linotype"/>
                <w:i/>
                <w:lang w:val="es-MX" w:eastAsia="es-MX"/>
              </w:rPr>
              <w:t xml:space="preserve"> RESPUESTA A SU SOLICITUD EN ARCHIVO PDF.</w:t>
            </w:r>
            <w:r>
              <w:rPr>
                <w:rFonts w:ascii="Palatino Linotype" w:hAnsi="Palatino Linotype"/>
                <w:i/>
                <w:lang w:val="es-MX" w:eastAsia="es-MX"/>
              </w:rPr>
              <w:t xml:space="preserve">” </w:t>
            </w:r>
            <w:r>
              <w:rPr>
                <w:rFonts w:ascii="Palatino Linotype" w:hAnsi="Palatino Linotype"/>
                <w:sz w:val="16"/>
                <w:szCs w:val="16"/>
                <w:lang w:val="es-MX" w:eastAsia="es-MX"/>
              </w:rPr>
              <w:t>(sic)</w:t>
            </w:r>
          </w:p>
        </w:tc>
      </w:tr>
      <w:tr w:rsidR="003E132A" w:rsidRPr="003E132A" w14:paraId="06FB18D4" w14:textId="77777777" w:rsidTr="003E132A">
        <w:trPr>
          <w:tblCellSpacing w:w="0" w:type="dxa"/>
          <w:jc w:val="center"/>
        </w:trPr>
        <w:tc>
          <w:tcPr>
            <w:tcW w:w="0" w:type="auto"/>
            <w:vAlign w:val="center"/>
            <w:hideMark/>
          </w:tcPr>
          <w:p w14:paraId="160CE007" w14:textId="77777777" w:rsidR="003E132A" w:rsidRPr="003E132A" w:rsidRDefault="003E132A" w:rsidP="003E132A">
            <w:pPr>
              <w:rPr>
                <w:lang w:val="es-MX" w:eastAsia="es-MX"/>
              </w:rPr>
            </w:pPr>
          </w:p>
        </w:tc>
      </w:tr>
    </w:tbl>
    <w:p w14:paraId="5C762998" w14:textId="73C6F1EE" w:rsidR="00607550" w:rsidRPr="00607550" w:rsidRDefault="00E94560" w:rsidP="008F4C62">
      <w:pPr>
        <w:spacing w:before="240" w:after="240" w:line="360" w:lineRule="auto"/>
        <w:jc w:val="both"/>
        <w:rPr>
          <w:rFonts w:ascii="Palatino Linotype" w:hAnsi="Palatino Linotype" w:cs="Arial"/>
        </w:rPr>
      </w:pPr>
      <w:r>
        <w:rPr>
          <w:rFonts w:ascii="Palatino Linotype" w:hAnsi="Palatino Linotype" w:cs="Arial"/>
          <w:lang w:eastAsia="es-MX"/>
        </w:rPr>
        <w:t xml:space="preserve">Asimismo, adjuntó </w:t>
      </w:r>
      <w:r w:rsidR="003E132A">
        <w:rPr>
          <w:rFonts w:ascii="Palatino Linotype" w:hAnsi="Palatino Linotype" w:cs="Arial"/>
          <w:lang w:eastAsia="es-MX"/>
        </w:rPr>
        <w:t>el</w:t>
      </w:r>
      <w:r w:rsidR="00607550">
        <w:rPr>
          <w:rFonts w:ascii="Palatino Linotype" w:hAnsi="Palatino Linotype" w:cs="Arial"/>
          <w:lang w:eastAsia="es-MX"/>
        </w:rPr>
        <w:t xml:space="preserve"> archivo denominado </w:t>
      </w:r>
      <w:hyperlink r:id="rId8" w:tgtFrame="_blank" w:history="1">
        <w:r w:rsidR="003E132A" w:rsidRPr="003E132A">
          <w:rPr>
            <w:rStyle w:val="Hipervnculo"/>
            <w:rFonts w:ascii="Palatino Linotype" w:hAnsi="Palatino Linotype" w:cs="Arial"/>
            <w:b/>
            <w:bCs/>
            <w:color w:val="000000" w:themeColor="text1"/>
            <w:u w:val="none"/>
          </w:rPr>
          <w:t>RESPUESTA FIRMADA 065.pdf</w:t>
        </w:r>
      </w:hyperlink>
      <w:r w:rsidR="00607550">
        <w:rPr>
          <w:rFonts w:ascii="Palatino Linotype" w:hAnsi="Palatino Linotype" w:cs="Arial"/>
          <w:b/>
          <w:lang w:eastAsia="es-MX"/>
        </w:rPr>
        <w:t xml:space="preserve">, </w:t>
      </w:r>
      <w:r w:rsidR="00607550">
        <w:rPr>
          <w:rFonts w:ascii="Palatino Linotype" w:hAnsi="Palatino Linotype" w:cs="Arial"/>
          <w:lang w:eastAsia="es-MX"/>
        </w:rPr>
        <w:t>que no se inserta por economía procesal, al ser del conocimiento de las partes, y toda vez que será materia de análisis de</w:t>
      </w:r>
      <w:r>
        <w:rPr>
          <w:rFonts w:ascii="Palatino Linotype" w:hAnsi="Palatino Linotype" w:cs="Arial"/>
          <w:lang w:eastAsia="es-MX"/>
        </w:rPr>
        <w:t xml:space="preserve"> </w:t>
      </w:r>
      <w:r w:rsidR="00607550">
        <w:rPr>
          <w:rFonts w:ascii="Palatino Linotype" w:hAnsi="Palatino Linotype" w:cs="Arial"/>
          <w:lang w:eastAsia="es-MX"/>
        </w:rPr>
        <w:t>l</w:t>
      </w:r>
      <w:r>
        <w:rPr>
          <w:rFonts w:ascii="Palatino Linotype" w:hAnsi="Palatino Linotype" w:cs="Arial"/>
          <w:lang w:eastAsia="es-MX"/>
        </w:rPr>
        <w:t>a</w:t>
      </w:r>
      <w:r w:rsidR="00607550">
        <w:rPr>
          <w:rFonts w:ascii="Palatino Linotype" w:hAnsi="Palatino Linotype" w:cs="Arial"/>
          <w:lang w:eastAsia="es-MX"/>
        </w:rPr>
        <w:t xml:space="preserve"> presente re</w:t>
      </w:r>
      <w:r>
        <w:rPr>
          <w:rFonts w:ascii="Palatino Linotype" w:hAnsi="Palatino Linotype" w:cs="Arial"/>
          <w:lang w:eastAsia="es-MX"/>
        </w:rPr>
        <w:t>solución</w:t>
      </w:r>
      <w:r w:rsidR="00607550">
        <w:rPr>
          <w:rFonts w:ascii="Palatino Linotype" w:hAnsi="Palatino Linotype" w:cs="Arial"/>
          <w:lang w:eastAsia="es-MX"/>
        </w:rPr>
        <w:t>.</w:t>
      </w:r>
    </w:p>
    <w:p w14:paraId="7056C445" w14:textId="2DB73FDE" w:rsidR="008E7698" w:rsidRPr="0040233B" w:rsidRDefault="008F355E"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 xml:space="preserve">El recurso de revisión se interpuso a través del </w:t>
      </w:r>
      <w:proofErr w:type="spellStart"/>
      <w:r w:rsidR="008E7698" w:rsidRPr="0040233B">
        <w:rPr>
          <w:rFonts w:ascii="Palatino Linotype" w:hAnsi="Palatino Linotype" w:cs="Arial"/>
        </w:rPr>
        <w:t>SAIMEX</w:t>
      </w:r>
      <w:proofErr w:type="spellEnd"/>
      <w:r w:rsidR="008E7698" w:rsidRPr="0040233B">
        <w:rPr>
          <w:rFonts w:ascii="Palatino Linotype" w:hAnsi="Palatino Linotype" w:cs="Arial"/>
        </w:rPr>
        <w:t xml:space="preserve"> con fecha</w:t>
      </w:r>
      <w:r w:rsidR="00FC3695" w:rsidRPr="0040233B">
        <w:rPr>
          <w:rFonts w:ascii="Palatino Linotype" w:hAnsi="Palatino Linotype" w:cs="Arial"/>
        </w:rPr>
        <w:t xml:space="preserve"> </w:t>
      </w:r>
      <w:r w:rsidR="003E132A">
        <w:rPr>
          <w:rFonts w:ascii="Palatino Linotype" w:hAnsi="Palatino Linotype" w:cs="Arial"/>
        </w:rPr>
        <w:t>veintiuno de junio</w:t>
      </w:r>
      <w:r w:rsidR="009F704F" w:rsidRPr="00DD4EA2">
        <w:rPr>
          <w:rFonts w:ascii="Palatino Linotype" w:hAnsi="Palatino Linotype" w:cs="Arial"/>
          <w:color w:val="C00000"/>
        </w:rPr>
        <w:t xml:space="preserve"> </w:t>
      </w:r>
      <w:r w:rsidR="00327357">
        <w:rPr>
          <w:rFonts w:ascii="Palatino Linotype" w:hAnsi="Palatino Linotype" w:cs="Arial"/>
        </w:rPr>
        <w:t>de la presente anualidad</w:t>
      </w:r>
      <w:r w:rsidR="00437D10">
        <w:rPr>
          <w:rFonts w:ascii="Palatino Linotype" w:hAnsi="Palatino Linotype" w:cs="Arial"/>
        </w:rPr>
        <w:t xml:space="preserve">, </w:t>
      </w:r>
      <w:r w:rsidR="008E7698" w:rsidRPr="0040233B">
        <w:rPr>
          <w:rFonts w:ascii="Palatino Linotype" w:hAnsi="Palatino Linotype" w:cs="Arial"/>
        </w:rPr>
        <w:t>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342055CB" w:rsidR="00FC3695" w:rsidRPr="0040233B" w:rsidRDefault="009B08DD" w:rsidP="00104E08">
      <w:pPr>
        <w:spacing w:before="240" w:after="240" w:line="360" w:lineRule="auto"/>
        <w:ind w:left="992" w:right="1043"/>
        <w:jc w:val="both"/>
        <w:rPr>
          <w:rFonts w:ascii="Palatino Linotype" w:hAnsi="Palatino Linotype" w:cs="Arial"/>
        </w:rPr>
      </w:pPr>
      <w:r w:rsidRPr="00327357">
        <w:rPr>
          <w:rFonts w:ascii="Palatino Linotype" w:hAnsi="Palatino Linotype"/>
          <w:i/>
          <w:color w:val="000000"/>
        </w:rPr>
        <w:t>“</w:t>
      </w:r>
      <w:r w:rsidR="003E132A" w:rsidRPr="003E132A">
        <w:rPr>
          <w:rFonts w:ascii="Palatino Linotype" w:hAnsi="Palatino Linotype"/>
          <w:i/>
          <w:color w:val="000000"/>
        </w:rPr>
        <w:t>No hubo respuesta</w:t>
      </w:r>
      <w:r w:rsidRPr="00916B08">
        <w:rPr>
          <w:rFonts w:ascii="Palatino Linotype" w:hAnsi="Palatino Linotype"/>
          <w:color w:val="000000"/>
          <w:sz w:val="18"/>
          <w:szCs w:val="18"/>
        </w:rPr>
        <w:t>”</w:t>
      </w:r>
      <w:r w:rsidRPr="00916B08">
        <w:rPr>
          <w:rFonts w:ascii="Palatino Linotype" w:hAnsi="Palatino Linotype" w:cs="Arial"/>
          <w:sz w:val="18"/>
          <w:szCs w:val="18"/>
        </w:rPr>
        <w:t xml:space="preserve"> </w:t>
      </w:r>
      <w:r w:rsidR="009F704F" w:rsidRPr="00916B08">
        <w:rPr>
          <w:rFonts w:ascii="Palatino Linotype" w:hAnsi="Palatino Linotype" w:cs="Arial"/>
          <w:sz w:val="18"/>
          <w:szCs w:val="18"/>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3829E2E8" w:rsidR="00186B63" w:rsidRPr="00C20E42" w:rsidRDefault="009B08DD" w:rsidP="00C20E42">
      <w:pPr>
        <w:spacing w:before="240" w:after="240" w:line="360" w:lineRule="auto"/>
        <w:ind w:left="851" w:right="900"/>
        <w:jc w:val="both"/>
        <w:rPr>
          <w:rFonts w:ascii="Palatino Linotype" w:hAnsi="Palatino Linotype" w:cs="Arial"/>
          <w:i/>
        </w:rPr>
      </w:pPr>
      <w:r w:rsidRPr="00916B08">
        <w:rPr>
          <w:rFonts w:ascii="Palatino Linotype" w:hAnsi="Palatino Linotype"/>
          <w:i/>
          <w:color w:val="000000"/>
        </w:rPr>
        <w:t>“</w:t>
      </w:r>
      <w:r w:rsidR="003E132A" w:rsidRPr="003E132A">
        <w:rPr>
          <w:rFonts w:ascii="Palatino Linotype" w:hAnsi="Palatino Linotype"/>
          <w:i/>
          <w:color w:val="000000"/>
        </w:rPr>
        <w:t xml:space="preserve">Las razones son que al escudarse en un artículo </w:t>
      </w:r>
      <w:proofErr w:type="spellStart"/>
      <w:r w:rsidR="003E132A" w:rsidRPr="003E132A">
        <w:rPr>
          <w:rFonts w:ascii="Palatino Linotype" w:hAnsi="Palatino Linotype"/>
          <w:i/>
          <w:color w:val="000000"/>
        </w:rPr>
        <w:t>legulello</w:t>
      </w:r>
      <w:proofErr w:type="spellEnd"/>
      <w:r w:rsidR="003E132A" w:rsidRPr="003E132A">
        <w:rPr>
          <w:rFonts w:ascii="Palatino Linotype" w:hAnsi="Palatino Linotype"/>
          <w:i/>
          <w:color w:val="000000"/>
        </w:rPr>
        <w:t xml:space="preserve"> no están dando contestación si bien es cierto el fundamentado dice que no es de acuerdo al interés , no es un interés propio si no legítimo además </w:t>
      </w:r>
      <w:proofErr w:type="spellStart"/>
      <w:r w:rsidR="003E132A" w:rsidRPr="003E132A">
        <w:rPr>
          <w:rFonts w:ascii="Palatino Linotype" w:hAnsi="Palatino Linotype"/>
          <w:i/>
          <w:color w:val="000000"/>
        </w:rPr>
        <w:t>qque</w:t>
      </w:r>
      <w:proofErr w:type="spellEnd"/>
      <w:r w:rsidR="003E132A" w:rsidRPr="003E132A">
        <w:rPr>
          <w:rFonts w:ascii="Palatino Linotype" w:hAnsi="Palatino Linotype"/>
          <w:i/>
          <w:color w:val="000000"/>
        </w:rPr>
        <w:t xml:space="preserve"> dicha información o respuesta la deberían de tener toda vez que cada servidor público que tiene un empleo cargo o comisión asignada tiene un perfil y grado de responsabilidad por lo que no se pueden </w:t>
      </w:r>
      <w:proofErr w:type="spellStart"/>
      <w:r w:rsidR="003E132A" w:rsidRPr="003E132A">
        <w:rPr>
          <w:rFonts w:ascii="Palatino Linotype" w:hAnsi="Palatino Linotype"/>
          <w:i/>
          <w:color w:val="000000"/>
        </w:rPr>
        <w:t>escuadar</w:t>
      </w:r>
      <w:proofErr w:type="spellEnd"/>
      <w:r w:rsidR="003E132A" w:rsidRPr="003E132A">
        <w:rPr>
          <w:rFonts w:ascii="Palatino Linotype" w:hAnsi="Palatino Linotype"/>
          <w:i/>
          <w:color w:val="000000"/>
        </w:rPr>
        <w:t xml:space="preserve"> en un artículo o más bien una mala interpretación de ese fundamento jurídico toda vez </w:t>
      </w:r>
      <w:r w:rsidR="003E132A" w:rsidRPr="003E132A">
        <w:rPr>
          <w:rFonts w:ascii="Palatino Linotype" w:hAnsi="Palatino Linotype"/>
          <w:i/>
          <w:color w:val="000000"/>
        </w:rPr>
        <w:lastRenderedPageBreak/>
        <w:t>que esa información debe de ser contestada de acuerdo a los principios de selección de personal grado de responsabilidad y perfil académico .</w:t>
      </w:r>
      <w:r w:rsidRPr="00327357">
        <w:rPr>
          <w:rFonts w:ascii="Palatino Linotype" w:hAnsi="Palatino Linotype"/>
          <w:i/>
          <w:color w:val="000000"/>
        </w:rPr>
        <w:t>”</w:t>
      </w:r>
      <w:r w:rsidR="009F704F" w:rsidRPr="00916B08">
        <w:rPr>
          <w:rFonts w:ascii="Palatino Linotype" w:hAnsi="Palatino Linotype" w:cs="Arial"/>
          <w:sz w:val="16"/>
          <w:szCs w:val="16"/>
        </w:rPr>
        <w:t>(</w:t>
      </w:r>
      <w:proofErr w:type="gramStart"/>
      <w:r w:rsidR="009F704F" w:rsidRPr="00916B08">
        <w:rPr>
          <w:rFonts w:ascii="Palatino Linotype" w:hAnsi="Palatino Linotype" w:cs="Arial"/>
          <w:sz w:val="16"/>
          <w:szCs w:val="16"/>
        </w:rPr>
        <w:t>sic</w:t>
      </w:r>
      <w:proofErr w:type="gramEnd"/>
      <w:r w:rsidR="009F704F" w:rsidRPr="00916B08">
        <w:rPr>
          <w:rFonts w:ascii="Palatino Linotype" w:hAnsi="Palatino Linotype" w:cs="Arial"/>
          <w:sz w:val="16"/>
          <w:szCs w:val="16"/>
        </w:rPr>
        <w:t>)</w:t>
      </w:r>
    </w:p>
    <w:p w14:paraId="1D62F603" w14:textId="31865DCA" w:rsidR="00D41D70" w:rsidRPr="0040233B" w:rsidRDefault="005F4C5D"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555981DA" w:rsidR="00D41D70" w:rsidRPr="0040233B" w:rsidRDefault="005F4C5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sidR="003E132A">
        <w:rPr>
          <w:rFonts w:ascii="Palatino Linotype" w:hAnsi="Palatino Linotype" w:cs="Arial"/>
          <w:color w:val="C00000"/>
        </w:rPr>
        <w:t>veintisiete de junio</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653CD108" w14:textId="77777777" w:rsidR="00027E08" w:rsidRDefault="005F4C5D" w:rsidP="00027E08">
      <w:pPr>
        <w:spacing w:before="240" w:after="240" w:line="360" w:lineRule="auto"/>
        <w:jc w:val="both"/>
        <w:rPr>
          <w:rFonts w:ascii="Palatino Linotype" w:hAnsi="Palatino Linotype" w:cs="Arial"/>
        </w:rPr>
      </w:pPr>
      <w:r w:rsidRPr="00916B08">
        <w:rPr>
          <w:rFonts w:ascii="Palatino Linotype" w:hAnsi="Palatino Linotype" w:cs="Arial"/>
          <w:b/>
        </w:rPr>
        <w:t>6</w:t>
      </w:r>
      <w:r w:rsidR="004E4987" w:rsidRPr="00916B08">
        <w:rPr>
          <w:rFonts w:ascii="Palatino Linotype" w:hAnsi="Palatino Linotype" w:cs="Arial"/>
          <w:b/>
        </w:rPr>
        <w:t xml:space="preserve">. </w:t>
      </w:r>
      <w:r w:rsidR="00E954B7" w:rsidRPr="00916B08">
        <w:rPr>
          <w:rFonts w:ascii="Palatino Linotype" w:hAnsi="Palatino Linotype" w:cs="Arial"/>
          <w:b/>
        </w:rPr>
        <w:t>Manifestaciones.</w:t>
      </w:r>
      <w:r w:rsidR="00E954B7" w:rsidRPr="00916B08">
        <w:rPr>
          <w:rFonts w:ascii="Palatino Linotype" w:hAnsi="Palatino Linotype"/>
        </w:rPr>
        <w:t xml:space="preserve"> </w:t>
      </w:r>
      <w:r w:rsidR="00027E08" w:rsidRPr="00F123D8">
        <w:rPr>
          <w:rFonts w:ascii="Palatino Linotype" w:hAnsi="Palatino Linotype"/>
        </w:rPr>
        <w:t>De las constancias del expediente electrónico del</w:t>
      </w:r>
      <w:r w:rsidR="00027E08" w:rsidRPr="00F123D8">
        <w:rPr>
          <w:rFonts w:ascii="Palatino Linotype" w:hAnsi="Palatino Linotype" w:cs="Arial"/>
          <w:b/>
        </w:rPr>
        <w:t xml:space="preserve"> </w:t>
      </w:r>
      <w:proofErr w:type="spellStart"/>
      <w:r w:rsidR="00027E08" w:rsidRPr="00F123D8">
        <w:rPr>
          <w:rFonts w:ascii="Palatino Linotype" w:hAnsi="Palatino Linotype" w:cs="Arial"/>
          <w:b/>
        </w:rPr>
        <w:t>SAIMEX</w:t>
      </w:r>
      <w:proofErr w:type="spellEnd"/>
      <w:r w:rsidR="00027E08" w:rsidRPr="00F123D8">
        <w:rPr>
          <w:rFonts w:ascii="Palatino Linotype" w:hAnsi="Palatino Linotype"/>
        </w:rPr>
        <w:t xml:space="preserve">, se observa que </w:t>
      </w:r>
      <w:r w:rsidR="00027E08">
        <w:rPr>
          <w:rFonts w:ascii="Palatino Linotype" w:hAnsi="Palatino Linotype"/>
        </w:rPr>
        <w:t xml:space="preserve">el </w:t>
      </w:r>
      <w:r w:rsidR="00027E08">
        <w:rPr>
          <w:rFonts w:ascii="Palatino Linotype" w:hAnsi="Palatino Linotype"/>
          <w:b/>
        </w:rPr>
        <w:t xml:space="preserve">Sujeto Obligado </w:t>
      </w:r>
      <w:r w:rsidR="00027E08">
        <w:rPr>
          <w:rFonts w:ascii="Palatino Linotype" w:hAnsi="Palatino Linotype"/>
        </w:rPr>
        <w:t xml:space="preserve">y el </w:t>
      </w:r>
      <w:r w:rsidR="00027E08">
        <w:rPr>
          <w:rFonts w:ascii="Palatino Linotype" w:hAnsi="Palatino Linotype"/>
          <w:b/>
          <w:i/>
        </w:rPr>
        <w:t xml:space="preserve">Recurrente </w:t>
      </w:r>
      <w:r w:rsidR="00027E08" w:rsidRPr="00F123D8">
        <w:rPr>
          <w:rFonts w:ascii="Palatino Linotype" w:hAnsi="Palatino Linotype" w:cs="Arial"/>
        </w:rPr>
        <w:t>fue</w:t>
      </w:r>
      <w:r w:rsidR="00027E08">
        <w:rPr>
          <w:rFonts w:ascii="Palatino Linotype" w:hAnsi="Palatino Linotype" w:cs="Arial"/>
        </w:rPr>
        <w:t>ron</w:t>
      </w:r>
      <w:r w:rsidR="00027E08" w:rsidRPr="00F123D8">
        <w:rPr>
          <w:rFonts w:ascii="Palatino Linotype" w:hAnsi="Palatino Linotype" w:cs="Arial"/>
        </w:rPr>
        <w:t xml:space="preserve"> omis</w:t>
      </w:r>
      <w:r w:rsidR="00027E08">
        <w:rPr>
          <w:rFonts w:ascii="Palatino Linotype" w:hAnsi="Palatino Linotype" w:cs="Arial"/>
        </w:rPr>
        <w:t>os en realizar manifestación alguna</w:t>
      </w:r>
      <w:r w:rsidR="00027E08" w:rsidRPr="00F123D8">
        <w:rPr>
          <w:rFonts w:ascii="Palatino Linotype" w:hAnsi="Palatino Linotype" w:cs="Arial"/>
        </w:rPr>
        <w:t xml:space="preserve">, como se aprecia en la siguiente imagen: </w:t>
      </w:r>
    </w:p>
    <w:p w14:paraId="692C1AF0" w14:textId="4A94A5FC" w:rsidR="00027E08" w:rsidRDefault="00027E08" w:rsidP="00027E08">
      <w:pPr>
        <w:spacing w:before="240" w:after="240" w:line="360" w:lineRule="auto"/>
        <w:jc w:val="both"/>
        <w:rPr>
          <w:rFonts w:ascii="Palatino Linotype" w:hAnsi="Palatino Linotype" w:cs="Arial"/>
        </w:rPr>
      </w:pPr>
      <w:r w:rsidRPr="00027E08">
        <w:rPr>
          <w:rFonts w:ascii="Palatino Linotype" w:hAnsi="Palatino Linotype" w:cs="Arial"/>
          <w:noProof/>
          <w:lang w:val="es-MX" w:eastAsia="es-MX"/>
        </w:rPr>
        <w:lastRenderedPageBreak/>
        <w:drawing>
          <wp:inline distT="0" distB="0" distL="0" distR="0" wp14:anchorId="43B0858B" wp14:editId="247F1CFC">
            <wp:extent cx="5612130" cy="15265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26540"/>
                    </a:xfrm>
                    <a:prstGeom prst="rect">
                      <a:avLst/>
                    </a:prstGeom>
                  </pic:spPr>
                </pic:pic>
              </a:graphicData>
            </a:graphic>
          </wp:inline>
        </w:drawing>
      </w:r>
    </w:p>
    <w:p w14:paraId="5126E0CC" w14:textId="56A2B39A" w:rsidR="006031FE" w:rsidRDefault="005F4C5D"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sidR="00027E08">
        <w:rPr>
          <w:rFonts w:ascii="Palatino Linotype" w:hAnsi="Palatino Linotype"/>
          <w:color w:val="C00000"/>
        </w:rPr>
        <w:t>nueve de agosto</w:t>
      </w:r>
      <w:r w:rsidR="00873B3E">
        <w:rPr>
          <w:rFonts w:ascii="Palatino Linotype" w:hAnsi="Palatino Linotype"/>
          <w:color w:val="C00000"/>
        </w:rPr>
        <w:t xml:space="preserv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l dos mil dieci</w:t>
      </w:r>
      <w:r w:rsidR="00815752">
        <w:rPr>
          <w:rFonts w:ascii="Palatino Linotype" w:hAnsi="Palatino Linotype"/>
        </w:rPr>
        <w:t>ocho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lastRenderedPageBreak/>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w:t>
      </w:r>
      <w:proofErr w:type="spellStart"/>
      <w:r w:rsidRPr="009A0D0D">
        <w:rPr>
          <w:rFonts w:ascii="Palatino Linotype" w:hAnsi="Palatino Linotype" w:cs="Arial"/>
        </w:rPr>
        <w:t>procedibilidad</w:t>
      </w:r>
      <w:proofErr w:type="spellEnd"/>
      <w:r w:rsidRPr="009A0D0D">
        <w:rPr>
          <w:rFonts w:ascii="Palatino Linotype" w:hAnsi="Palatino Linotype" w:cs="Arial"/>
        </w:rPr>
        <w:t xml:space="preserve">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0088B938"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027E08">
        <w:rPr>
          <w:rFonts w:ascii="Palatino Linotype" w:hAnsi="Palatino Linotype" w:cs="Arial"/>
        </w:rPr>
        <w:t>diecinueve de junio</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l</w:t>
      </w:r>
      <w:r w:rsidR="00641BB7">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027E08">
        <w:rPr>
          <w:rFonts w:ascii="Palatino Linotype" w:hAnsi="Palatino Linotype" w:cs="Arial"/>
        </w:rPr>
        <w:t>veintiuno de junio</w:t>
      </w:r>
      <w:r>
        <w:rPr>
          <w:rFonts w:ascii="Palatino Linotype" w:hAnsi="Palatino Linotype" w:cs="Arial"/>
        </w:rPr>
        <w:t xml:space="preserve"> del mismo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05C3B638" w14:textId="5FD2CCB4"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C120C6">
        <w:rPr>
          <w:rStyle w:val="apple-converted-space"/>
          <w:rFonts w:ascii="Palatino Linotype" w:eastAsiaTheme="minorHAnsi" w:hAnsi="Palatino Linotype" w:cs="Segoe UI"/>
        </w:rPr>
        <w:t>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lastRenderedPageBreak/>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Pr="00CD59DC" w:rsidRDefault="00D65DA3" w:rsidP="00D65DA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5FC276A7" w14:textId="3073BA9F" w:rsidR="00D65DA3" w:rsidRPr="0006113D" w:rsidRDefault="00DC241A" w:rsidP="00DC241A">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La negativa a la información solicitada;</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40581C02" w14:textId="77777777" w:rsidR="00D65DA3" w:rsidRPr="0040233B" w:rsidRDefault="00D65DA3" w:rsidP="00D65DA3">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F37477B" w14:textId="77777777" w:rsidR="00D65DA3" w:rsidRDefault="00D65DA3" w:rsidP="00D65DA3">
      <w:pPr>
        <w:autoSpaceDE w:val="0"/>
        <w:autoSpaceDN w:val="0"/>
        <w:adjustRightInd w:val="0"/>
        <w:spacing w:line="360" w:lineRule="auto"/>
        <w:jc w:val="both"/>
        <w:rPr>
          <w:rFonts w:ascii="Palatino Linotype" w:hAnsi="Palatino Linotype" w:cs="Arial"/>
        </w:rPr>
      </w:pPr>
      <w:r>
        <w:rPr>
          <w:rFonts w:ascii="Palatino Linotype" w:hAnsi="Palatino Linotype"/>
        </w:rPr>
        <w:t xml:space="preserve">Formuladas las precisiones que anteceden, este Órgano Garante procede a analizar el contenido de la respuesta impugnada de conformidad con el agravio formulado por el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56BDE97D" w14:textId="77777777" w:rsidR="00D65DA3" w:rsidRDefault="00D65DA3" w:rsidP="00D65DA3">
      <w:pPr>
        <w:spacing w:before="240" w:after="240" w:line="360" w:lineRule="auto"/>
        <w:jc w:val="both"/>
        <w:rPr>
          <w:rFonts w:ascii="Palatino Linotype" w:hAnsi="Palatino Linotype"/>
          <w:b/>
          <w:sz w:val="28"/>
          <w:szCs w:val="28"/>
        </w:rPr>
      </w:pPr>
    </w:p>
    <w:p w14:paraId="4EB335E7" w14:textId="77777777" w:rsidR="00D65DA3" w:rsidRPr="00D66740" w:rsidRDefault="00D65DA3" w:rsidP="00D65DA3">
      <w:pPr>
        <w:spacing w:before="240" w:after="240" w:line="360" w:lineRule="auto"/>
        <w:jc w:val="both"/>
        <w:rPr>
          <w:rFonts w:ascii="Palatino Linotype" w:hAnsi="Palatino Linotype"/>
          <w:b/>
          <w:sz w:val="28"/>
          <w:szCs w:val="28"/>
        </w:rPr>
      </w:pPr>
      <w:r w:rsidRPr="00C1424D">
        <w:rPr>
          <w:rFonts w:ascii="Palatino Linotype" w:hAnsi="Palatino Linotype"/>
          <w:b/>
          <w:sz w:val="28"/>
          <w:szCs w:val="28"/>
        </w:rPr>
        <w:t>CUARTO. Estudio del asunto.</w:t>
      </w:r>
    </w:p>
    <w:p w14:paraId="01ED0A60" w14:textId="2ADAA6C1" w:rsidR="00027E08" w:rsidRDefault="005954A5" w:rsidP="00C9414E">
      <w:pPr>
        <w:spacing w:before="240" w:after="240" w:line="360" w:lineRule="auto"/>
        <w:jc w:val="both"/>
        <w:rPr>
          <w:rFonts w:ascii="Palatino Linotype" w:hAnsi="Palatino Linotype"/>
          <w:color w:val="000000"/>
        </w:rPr>
      </w:pPr>
      <w:r>
        <w:rPr>
          <w:rFonts w:ascii="Palatino Linotype" w:hAnsi="Palatino Linotype"/>
          <w:color w:val="000000"/>
        </w:rPr>
        <w:t xml:space="preserve">De las constancias de autos se desprende que </w:t>
      </w:r>
      <w:r w:rsidR="00107584">
        <w:rPr>
          <w:rFonts w:ascii="Palatino Linotype" w:hAnsi="Palatino Linotype"/>
          <w:color w:val="000000"/>
        </w:rPr>
        <w:t>el</w:t>
      </w:r>
      <w:r w:rsidR="00C9414E">
        <w:rPr>
          <w:rFonts w:ascii="Palatino Linotype" w:hAnsi="Palatino Linotype"/>
          <w:color w:val="000000"/>
        </w:rPr>
        <w:t xml:space="preserve"> particular hoy </w:t>
      </w:r>
      <w:r w:rsidR="00C9414E">
        <w:rPr>
          <w:rFonts w:ascii="Palatino Linotype" w:hAnsi="Palatino Linotype"/>
          <w:b/>
          <w:i/>
          <w:color w:val="000000"/>
        </w:rPr>
        <w:t xml:space="preserve">Recurrente </w:t>
      </w:r>
      <w:r w:rsidR="00C9414E">
        <w:rPr>
          <w:rFonts w:ascii="Palatino Linotype" w:hAnsi="Palatino Linotype"/>
          <w:color w:val="000000"/>
        </w:rPr>
        <w:t xml:space="preserve">solicitó al </w:t>
      </w:r>
      <w:r w:rsidR="00D553E6">
        <w:rPr>
          <w:rFonts w:ascii="Palatino Linotype" w:hAnsi="Palatino Linotype"/>
          <w:color w:val="000000"/>
        </w:rPr>
        <w:t>Ayuntamiento de la Paz</w:t>
      </w:r>
      <w:r w:rsidR="00C9414E">
        <w:rPr>
          <w:rFonts w:ascii="Palatino Linotype" w:hAnsi="Palatino Linotype"/>
          <w:color w:val="000000"/>
        </w:rPr>
        <w:t xml:space="preserve">, </w:t>
      </w:r>
      <w:r w:rsidR="0061110A">
        <w:rPr>
          <w:rFonts w:ascii="Palatino Linotype" w:hAnsi="Palatino Linotype"/>
          <w:color w:val="000000"/>
        </w:rPr>
        <w:t>le indicar</w:t>
      </w:r>
      <w:r w:rsidR="004F64AD">
        <w:rPr>
          <w:rFonts w:ascii="Palatino Linotype" w:hAnsi="Palatino Linotype"/>
          <w:color w:val="000000"/>
        </w:rPr>
        <w:t>a</w:t>
      </w:r>
      <w:r>
        <w:rPr>
          <w:rFonts w:ascii="Palatino Linotype" w:hAnsi="Palatino Linotype"/>
          <w:color w:val="000000"/>
        </w:rPr>
        <w:t xml:space="preserve"> </w:t>
      </w:r>
      <w:r w:rsidR="00027E08" w:rsidRPr="00027E08">
        <w:rPr>
          <w:rFonts w:ascii="Palatino Linotype" w:hAnsi="Palatino Linotype"/>
          <w:color w:val="000000"/>
        </w:rPr>
        <w:t>porqu</w:t>
      </w:r>
      <w:r w:rsidR="00C76800">
        <w:rPr>
          <w:rFonts w:ascii="Palatino Linotype" w:hAnsi="Palatino Linotype"/>
          <w:color w:val="000000"/>
        </w:rPr>
        <w:t>é</w:t>
      </w:r>
      <w:r w:rsidR="00027E08" w:rsidRPr="00027E08">
        <w:rPr>
          <w:rFonts w:ascii="Palatino Linotype" w:hAnsi="Palatino Linotype"/>
          <w:color w:val="000000"/>
        </w:rPr>
        <w:t xml:space="preserve"> hay discrepancia de sueldos entre las autoridades investigadoras</w:t>
      </w:r>
      <w:r w:rsidR="00027E08">
        <w:rPr>
          <w:rFonts w:ascii="Palatino Linotype" w:hAnsi="Palatino Linotype"/>
          <w:color w:val="000000"/>
        </w:rPr>
        <w:t>,</w:t>
      </w:r>
      <w:r w:rsidR="007020A1">
        <w:rPr>
          <w:rFonts w:ascii="Palatino Linotype" w:hAnsi="Palatino Linotype"/>
          <w:color w:val="000000"/>
        </w:rPr>
        <w:t xml:space="preserve"> </w:t>
      </w:r>
      <w:proofErr w:type="spellStart"/>
      <w:r w:rsidR="007020A1">
        <w:rPr>
          <w:rFonts w:ascii="Palatino Linotype" w:hAnsi="Palatino Linotype"/>
          <w:color w:val="000000"/>
        </w:rPr>
        <w:t>substaciadoras</w:t>
      </w:r>
      <w:proofErr w:type="spellEnd"/>
      <w:r w:rsidR="007020A1">
        <w:rPr>
          <w:rFonts w:ascii="Palatino Linotype" w:hAnsi="Palatino Linotype"/>
          <w:color w:val="000000"/>
        </w:rPr>
        <w:t xml:space="preserve"> y </w:t>
      </w:r>
      <w:proofErr w:type="spellStart"/>
      <w:r w:rsidR="007020A1">
        <w:rPr>
          <w:rFonts w:ascii="Palatino Linotype" w:hAnsi="Palatino Linotype"/>
          <w:color w:val="000000"/>
        </w:rPr>
        <w:t>resolutoras</w:t>
      </w:r>
      <w:proofErr w:type="spellEnd"/>
      <w:r w:rsidR="007020A1">
        <w:rPr>
          <w:rFonts w:ascii="Palatino Linotype" w:hAnsi="Palatino Linotype"/>
          <w:color w:val="000000"/>
        </w:rPr>
        <w:t>.</w:t>
      </w:r>
    </w:p>
    <w:p w14:paraId="04247CBF" w14:textId="312AE425" w:rsidR="005954A5" w:rsidRDefault="00C27C1C" w:rsidP="00C9414E">
      <w:pPr>
        <w:spacing w:before="240" w:after="240" w:line="360" w:lineRule="auto"/>
        <w:jc w:val="both"/>
        <w:rPr>
          <w:rFonts w:ascii="Palatino Linotype" w:hAnsi="Palatino Linotype"/>
          <w:i/>
          <w:color w:val="000000"/>
        </w:rPr>
      </w:pPr>
      <w:r>
        <w:rPr>
          <w:rFonts w:ascii="Palatino Linotype" w:hAnsi="Palatino Linotype"/>
          <w:color w:val="000000"/>
        </w:rPr>
        <w:lastRenderedPageBreak/>
        <w:t>D</w:t>
      </w:r>
      <w:r w:rsidR="005954A5">
        <w:rPr>
          <w:rFonts w:ascii="Palatino Linotype" w:hAnsi="Palatino Linotype"/>
          <w:color w:val="000000"/>
        </w:rPr>
        <w:t xml:space="preserve">erivado de </w:t>
      </w:r>
      <w:r>
        <w:rPr>
          <w:rFonts w:ascii="Palatino Linotype" w:hAnsi="Palatino Linotype"/>
          <w:color w:val="000000"/>
        </w:rPr>
        <w:t xml:space="preserve">los requerimientos de información </w:t>
      </w:r>
      <w:r w:rsidR="005954A5">
        <w:rPr>
          <w:rFonts w:ascii="Palatino Linotype" w:hAnsi="Palatino Linotype"/>
          <w:color w:val="000000"/>
        </w:rPr>
        <w:t>el</w:t>
      </w:r>
      <w:r w:rsidR="006E307D">
        <w:rPr>
          <w:rFonts w:ascii="Palatino Linotype" w:hAnsi="Palatino Linotype"/>
          <w:color w:val="000000"/>
        </w:rPr>
        <w:t xml:space="preserve"> Jefe de la U</w:t>
      </w:r>
      <w:r w:rsidR="00C32280">
        <w:rPr>
          <w:rFonts w:ascii="Palatino Linotype" w:hAnsi="Palatino Linotype"/>
          <w:color w:val="000000"/>
        </w:rPr>
        <w:t xml:space="preserve">nidad de Información y Transparencia se pronunció </w:t>
      </w:r>
      <w:r w:rsidR="00DA6B83">
        <w:rPr>
          <w:rFonts w:ascii="Palatino Linotype" w:hAnsi="Palatino Linotype"/>
          <w:color w:val="000000"/>
        </w:rPr>
        <w:t xml:space="preserve">diciendo que </w:t>
      </w:r>
      <w:r w:rsidR="00C32280">
        <w:rPr>
          <w:rFonts w:ascii="Palatino Linotype" w:hAnsi="Palatino Linotype"/>
          <w:color w:val="000000"/>
        </w:rPr>
        <w:t xml:space="preserve">con fundamento en el artículo 12 de la Ley de Transparencia y Acceso a la Información Pública del Estado de México y Municipios, la obligación de proporcionar información no comprende el procesamiento de la misma, por lo que no estarán obligados a generarla, resumirla, efectuar cálculos o practicar investigaciones, </w:t>
      </w:r>
      <w:r w:rsidR="00C32280" w:rsidRPr="00C32280">
        <w:rPr>
          <w:rFonts w:ascii="Palatino Linotype" w:hAnsi="Palatino Linotype"/>
          <w:i/>
          <w:color w:val="000000"/>
        </w:rPr>
        <w:t>por lo que se ve imposibilitado jurídicamente</w:t>
      </w:r>
      <w:r w:rsidR="00C32280">
        <w:rPr>
          <w:rFonts w:ascii="Palatino Linotype" w:hAnsi="Palatino Linotype"/>
          <w:i/>
          <w:color w:val="000000"/>
        </w:rPr>
        <w:t>,</w:t>
      </w:r>
      <w:r w:rsidR="00C32280" w:rsidRPr="00C32280">
        <w:rPr>
          <w:rFonts w:ascii="Palatino Linotype" w:hAnsi="Palatino Linotype"/>
          <w:i/>
          <w:color w:val="000000"/>
        </w:rPr>
        <w:t xml:space="preserve"> a proporcionar lo</w:t>
      </w:r>
      <w:r w:rsidR="00C32280">
        <w:rPr>
          <w:rFonts w:ascii="Palatino Linotype" w:hAnsi="Palatino Linotype"/>
          <w:i/>
          <w:color w:val="000000"/>
        </w:rPr>
        <w:t xml:space="preserve"> solicitad</w:t>
      </w:r>
      <w:r w:rsidR="00731DAB">
        <w:rPr>
          <w:rFonts w:ascii="Palatino Linotype" w:hAnsi="Palatino Linotype"/>
          <w:i/>
          <w:color w:val="000000"/>
        </w:rPr>
        <w:t>o</w:t>
      </w:r>
      <w:r w:rsidR="00C32280">
        <w:rPr>
          <w:rFonts w:ascii="Palatino Linotype" w:hAnsi="Palatino Linotype"/>
          <w:i/>
          <w:color w:val="000000"/>
        </w:rPr>
        <w:t>, toda vez que como sujeto obligado no está facultado a generar un documento ad hoc, para satisfacer el derecho de acceso a la información.</w:t>
      </w:r>
      <w:r w:rsidR="00C32280" w:rsidRPr="00C32280">
        <w:rPr>
          <w:rFonts w:ascii="Palatino Linotype" w:hAnsi="Palatino Linotype"/>
          <w:i/>
          <w:color w:val="000000"/>
        </w:rPr>
        <w:t xml:space="preserve"> </w:t>
      </w:r>
    </w:p>
    <w:p w14:paraId="6C01ED9D" w14:textId="3C7F0A97" w:rsidR="00C32280" w:rsidRPr="00C32280" w:rsidRDefault="00C32280" w:rsidP="00C9414E">
      <w:pPr>
        <w:spacing w:before="240" w:after="240" w:line="360" w:lineRule="auto"/>
        <w:jc w:val="both"/>
        <w:rPr>
          <w:rFonts w:ascii="Palatino Linotype" w:hAnsi="Palatino Linotype"/>
          <w:color w:val="000000"/>
        </w:rPr>
      </w:pPr>
      <w:r>
        <w:rPr>
          <w:rFonts w:ascii="Palatino Linotype" w:hAnsi="Palatino Linotype"/>
          <w:color w:val="000000"/>
        </w:rPr>
        <w:t>Bajo dichos términos, cabe recordar que el motivo de inconformidad del particular fue la negativa a la información solicitada, toda vez que lo solicitado debió ser contestado de acuerdo a los principios de selección de personal, grado de responsabilidad y perfil académico.</w:t>
      </w:r>
    </w:p>
    <w:p w14:paraId="677D1073" w14:textId="77777777" w:rsidR="008D0725" w:rsidRDefault="0090585F" w:rsidP="008D0725">
      <w:pPr>
        <w:spacing w:before="240" w:after="240" w:line="360" w:lineRule="auto"/>
        <w:jc w:val="both"/>
        <w:rPr>
          <w:rFonts w:ascii="Palatino Linotype" w:hAnsi="Palatino Linotype"/>
        </w:rPr>
      </w:pPr>
      <w:r>
        <w:rPr>
          <w:rFonts w:ascii="Palatino Linotype" w:hAnsi="Palatino Linotype"/>
          <w:color w:val="000000"/>
        </w:rPr>
        <w:t>En tales consideraciones,</w:t>
      </w:r>
      <w:r w:rsidR="008D0725">
        <w:rPr>
          <w:rFonts w:ascii="Palatino Linotype" w:hAnsi="Palatino Linotype"/>
          <w:color w:val="000000"/>
        </w:rPr>
        <w:t xml:space="preserve"> </w:t>
      </w:r>
      <w:r w:rsidR="008D0725">
        <w:rPr>
          <w:rFonts w:ascii="Palatino Linotype" w:eastAsiaTheme="minorEastAsia" w:hAnsi="Palatino Linotype" w:cs="Bookman Old Style"/>
          <w:lang w:val="es-MX"/>
        </w:rPr>
        <w:t xml:space="preserve">este Instituto estima necesario señalar que la naturaleza de la atención a las solicitudes radica en lo estatuido por el </w:t>
      </w:r>
      <w:r w:rsidR="008D0725">
        <w:rPr>
          <w:rFonts w:ascii="Palatino Linotype" w:hAnsi="Palatino Linotype"/>
        </w:rPr>
        <w:t>artículo 6 de la Constitución Política de los Estados Unidos Mexicanos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08ECF860" w14:textId="44182B2D" w:rsidR="008D0725" w:rsidRDefault="008D0725" w:rsidP="008D0725">
      <w:pPr>
        <w:spacing w:before="240" w:after="240" w:line="360" w:lineRule="auto"/>
        <w:jc w:val="both"/>
        <w:rPr>
          <w:rFonts w:ascii="Palatino Linotype" w:hAnsi="Palatino Linotype"/>
          <w:i/>
        </w:rPr>
      </w:pPr>
      <w:r>
        <w:rPr>
          <w:rFonts w:ascii="Palatino Linotype" w:hAnsi="Palatino Linotype"/>
        </w:rPr>
        <w:lastRenderedPageBreak/>
        <w:t xml:space="preserve">Mientras que el diverso 5 párrafo </w:t>
      </w:r>
      <w:r w:rsidR="00FE5747">
        <w:rPr>
          <w:rFonts w:ascii="Palatino Linotype" w:hAnsi="Palatino Linotype"/>
        </w:rPr>
        <w:t>vigésimo primero</w:t>
      </w:r>
      <w:r>
        <w:rPr>
          <w:rFonts w:ascii="Palatino Linotype" w:hAnsi="Palatino Linotype"/>
        </w:rPr>
        <w:t xml:space="preserve">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060138D8" w14:textId="77777777" w:rsidR="008D0725" w:rsidRDefault="008D0725" w:rsidP="008D0725">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t>Obligado</w:t>
      </w:r>
      <w:r>
        <w:rPr>
          <w:rFonts w:ascii="Palatino Linotype" w:hAnsi="Palatino Linotype"/>
        </w:rPr>
        <w:t xml:space="preserve"> debe ceñirse en su actuar a la conservación patrimonial de sus archivos documentales y posteriormente facilitar el acceso de la información pública gubernamental.</w:t>
      </w:r>
    </w:p>
    <w:p w14:paraId="77EE7242" w14:textId="77777777" w:rsidR="008D0725" w:rsidRDefault="008D0725" w:rsidP="008D0725">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su parte el artículo 3 fracción XXII y 4 de la Ley de Transparencia y Acceso a la Información Pública del Estado de México y Municipios, disponen lo siguiente:</w:t>
      </w:r>
    </w:p>
    <w:p w14:paraId="11A24C3C" w14:textId="77777777" w:rsidR="008D0725" w:rsidRPr="00E21C20" w:rsidRDefault="008D0725" w:rsidP="008D0725">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E21C20">
        <w:rPr>
          <w:rFonts w:ascii="Palatino Linotype" w:eastAsiaTheme="minorEastAsia" w:hAnsi="Palatino Linotype" w:cs="Bookman Old Style,Bold"/>
          <w:b/>
          <w:bCs/>
          <w:i/>
          <w:sz w:val="20"/>
          <w:szCs w:val="20"/>
          <w:lang w:val="es-MX"/>
        </w:rPr>
        <w:t xml:space="preserve">Artículo 3. </w:t>
      </w:r>
      <w:r w:rsidRPr="00E21C20">
        <w:rPr>
          <w:rFonts w:ascii="Palatino Linotype" w:eastAsiaTheme="minorEastAsia" w:hAnsi="Palatino Linotype" w:cs="Bookman Old Style"/>
          <w:i/>
          <w:sz w:val="20"/>
          <w:szCs w:val="20"/>
          <w:lang w:val="es-MX"/>
        </w:rPr>
        <w:t>Para los efectos de la presente Ley se entenderá por:</w:t>
      </w:r>
    </w:p>
    <w:p w14:paraId="1A534FD3" w14:textId="77777777" w:rsidR="008D0725" w:rsidRDefault="008D0725" w:rsidP="008D0725">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Pr>
          <w:rFonts w:ascii="Palatino Linotype" w:eastAsiaTheme="minorEastAsia" w:hAnsi="Palatino Linotype" w:cs="Bookman Old Style,Bold"/>
          <w:b/>
          <w:bCs/>
          <w:i/>
          <w:sz w:val="20"/>
          <w:szCs w:val="20"/>
          <w:lang w:val="es-MX"/>
        </w:rPr>
        <w:t>(…)</w:t>
      </w:r>
    </w:p>
    <w:p w14:paraId="092A03B5" w14:textId="77777777" w:rsidR="008D0725" w:rsidRPr="00E21C20" w:rsidRDefault="008D0725" w:rsidP="008D0725">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XXII. Información de interés público: </w:t>
      </w:r>
      <w:r w:rsidRPr="00E21C20">
        <w:rPr>
          <w:rFonts w:ascii="Palatino Linotype" w:eastAsiaTheme="minorEastAsia" w:hAnsi="Palatino Linotype" w:cs="Bookman Old Style"/>
          <w:i/>
          <w:sz w:val="20"/>
          <w:szCs w:val="20"/>
          <w:lang w:val="es-MX"/>
        </w:rPr>
        <w:t>Se refiere a la información que resulta relevante o beneficiosa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la sociedad y no simplemente de interés individual, cuya divulgación resulta útil para que el</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público comprenda las actividades que llevan a cabo los sujetos obligados;</w:t>
      </w:r>
    </w:p>
    <w:p w14:paraId="2BDCF71E" w14:textId="77777777" w:rsidR="008D0725" w:rsidRPr="00E21C20" w:rsidRDefault="008D0725" w:rsidP="008D0725">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Artículo 4. </w:t>
      </w:r>
      <w:r w:rsidRPr="00E21C20">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acreditar personalidad ni interés jurídico.</w:t>
      </w:r>
    </w:p>
    <w:p w14:paraId="570114DC" w14:textId="77777777" w:rsidR="008D0725" w:rsidRPr="00E21C20" w:rsidRDefault="008D0725" w:rsidP="008D0725">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E21C20">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sujetos obligados es pública y accesible de manera permanente a cualquier persona, en los términos y</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condiciones que se establezcan en los tratados internacionales de los que el Estado mexicano sea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 xml:space="preserve">temporalmente </w:t>
      </w:r>
      <w:r w:rsidRPr="00E21C20">
        <w:rPr>
          <w:rFonts w:ascii="Palatino Linotype" w:eastAsiaTheme="minorEastAsia" w:hAnsi="Palatino Linotype" w:cs="Bookman Old Style"/>
          <w:i/>
          <w:sz w:val="20"/>
          <w:szCs w:val="20"/>
          <w:lang w:val="es-MX"/>
        </w:rPr>
        <w:lastRenderedPageBreak/>
        <w:t>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5F8A2964" w14:textId="594DF293" w:rsidR="008D0725" w:rsidRDefault="008D0725" w:rsidP="008D0725">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Sobre la base de lo expuesto, se puede concluir que efectivamente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fue omiso en garantizar el derecho de acceso a la información del particular, por lo que se advierte que los motivos aducidos por el </w:t>
      </w:r>
      <w:r>
        <w:rPr>
          <w:rFonts w:ascii="Palatino Linotype" w:eastAsiaTheme="minorEastAsia" w:hAnsi="Palatino Linotype" w:cs="Bookman Old Style"/>
          <w:b/>
          <w:i/>
          <w:lang w:val="es-MX"/>
        </w:rPr>
        <w:t xml:space="preserve">Recurrente </w:t>
      </w:r>
      <w:r>
        <w:rPr>
          <w:rFonts w:ascii="Palatino Linotype" w:eastAsiaTheme="minorEastAsia" w:hAnsi="Palatino Linotype" w:cs="Bookman Old Style"/>
          <w:lang w:val="es-MX"/>
        </w:rPr>
        <w:t>resultan fundados, toda vez que vulneró en su perjuicio lo estatuido en los artículos 6 de la Constitución Federal y 5 de la Constitución Local, considerando que es información pública toda aquella que sea generada, obtenida, adquirida, transformada, administrada o en posesión de los Sujetos Obligados, privilegiando siempre el principio de máxima publicidad.</w:t>
      </w:r>
    </w:p>
    <w:p w14:paraId="5B8940C1" w14:textId="58E1EFCC" w:rsidR="008D0725" w:rsidRDefault="008D0725" w:rsidP="008D0725">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Atendiendo a dichos preceptos jurídicos, el artículo 12 de la Ley de Transparencia y Acceso a la Información Pública del Estado de México y Municipios, establece que los sujetos obligados deberán satisfacer las solicitudes de acceso a la información que le sean formuladas, entregando la información pública que obre en sus archivos y en el estado en que se encuentre, más si se trata de información de interés público por ser relevante o beneficiosa para sociedad o si esta contiene las actividades que llevan a cabo los sujetos obligados en el ejercicio de sus atribuciones.</w:t>
      </w:r>
    </w:p>
    <w:p w14:paraId="38C9FD6D" w14:textId="5B616902" w:rsidR="000E5560" w:rsidRDefault="000E5560" w:rsidP="000E5560">
      <w:pPr>
        <w:autoSpaceDE w:val="0"/>
        <w:autoSpaceDN w:val="0"/>
        <w:adjustRightInd w:val="0"/>
        <w:spacing w:before="240" w:after="240" w:line="360" w:lineRule="auto"/>
        <w:jc w:val="both"/>
        <w:rPr>
          <w:rFonts w:ascii="Palatino Linotype" w:hAnsi="Palatino Linotype" w:cs="Arial"/>
        </w:rPr>
      </w:pPr>
      <w:r>
        <w:rPr>
          <w:rFonts w:ascii="Palatino Linotype" w:hAnsi="Palatino Linotype"/>
          <w:color w:val="000000"/>
        </w:rPr>
        <w:t xml:space="preserve">En ese contexto, de conformidad con los artículos 160, 162, </w:t>
      </w:r>
      <w:r>
        <w:rPr>
          <w:rFonts w:ascii="Palatino Linotype" w:hAnsi="Palatino Linotype" w:cs="Arial"/>
        </w:rPr>
        <w:t xml:space="preserve">163, 164 y 165 </w:t>
      </w:r>
      <w:r>
        <w:rPr>
          <w:rFonts w:ascii="Palatino Linotype" w:hAnsi="Palatino Linotype"/>
          <w:color w:val="000000"/>
        </w:rPr>
        <w:t>de la Ley de Transparencia y Acceso a la Información Pública del Estado de México y Municipios</w:t>
      </w:r>
      <w:r>
        <w:rPr>
          <w:rFonts w:ascii="Palatino Linotype" w:hAnsi="Palatino Linotype" w:cs="Arial"/>
        </w:rPr>
        <w:t xml:space="preserve">, </w:t>
      </w:r>
      <w:r>
        <w:rPr>
          <w:rFonts w:ascii="Palatino Linotype" w:hAnsi="Palatino Linotype"/>
          <w:color w:val="000000"/>
        </w:rPr>
        <w:t xml:space="preserve">los sujetos obligados deben otorgar acceso a los documentos que se encuentren en sus archivos o que estén obligados a documentar de acuerdo con sus facultades, competencias o funciones en el formato en que el solicitante manifieste, siendo las unidades de transparencia el vínculo entre el sujeto obligado y el solicitante de la información, por ende son responsables de garantizar que las </w:t>
      </w:r>
      <w:r>
        <w:rPr>
          <w:rFonts w:ascii="Palatino Linotype" w:hAnsi="Palatino Linotype"/>
          <w:color w:val="000000"/>
        </w:rPr>
        <w:lastRenderedPageBreak/>
        <w:t>solicitudes de acceso a la información se turnen a todas las áreas competentes que cuenten con la información o que deban tenerla de acuerdo con sus facultades para que realicen una búsqueda exhaustiva y razonable de la información requerida, que permita notificar la respuesta en el menor tiempo posible que no podrá exceder de quince días hábiles contados a partir del día siguiente a la presentación de la solicitud</w:t>
      </w:r>
      <w:r>
        <w:rPr>
          <w:rStyle w:val="Refdenotaalpie"/>
          <w:rFonts w:ascii="Palatino Linotype" w:hAnsi="Palatino Linotype"/>
          <w:color w:val="000000"/>
        </w:rPr>
        <w:footnoteReference w:id="1"/>
      </w:r>
      <w:r>
        <w:rPr>
          <w:rFonts w:ascii="Palatino Linotype" w:hAnsi="Palatino Linotype"/>
          <w:color w:val="000000"/>
        </w:rPr>
        <w:t>.</w:t>
      </w:r>
    </w:p>
    <w:p w14:paraId="5167A83C" w14:textId="77777777" w:rsidR="000E5560" w:rsidRDefault="000E5560" w:rsidP="000E5560">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Es así, que de la respuesta se advierte que la Unidad de Transparencia negó la información ante una supuesta imposibilidad para proporcionar lo solicitado, fundamentado en que no existe precepto legal que lo faculte para generar un documento </w:t>
      </w:r>
      <w:r>
        <w:rPr>
          <w:rFonts w:ascii="Palatino Linotype" w:hAnsi="Palatino Linotype"/>
          <w:i/>
          <w:color w:val="000000"/>
        </w:rPr>
        <w:t xml:space="preserve">ad hoc; </w:t>
      </w:r>
      <w:r>
        <w:rPr>
          <w:rFonts w:ascii="Palatino Linotype" w:hAnsi="Palatino Linotype"/>
          <w:color w:val="000000"/>
        </w:rPr>
        <w:t xml:space="preserve">sin embargo, del expediente electrónico que obra en el </w:t>
      </w:r>
      <w:proofErr w:type="spellStart"/>
      <w:r>
        <w:rPr>
          <w:rFonts w:ascii="Palatino Linotype" w:hAnsi="Palatino Linotype"/>
          <w:color w:val="000000"/>
        </w:rPr>
        <w:t>Saimex</w:t>
      </w:r>
      <w:proofErr w:type="spellEnd"/>
      <w:r>
        <w:rPr>
          <w:rFonts w:ascii="Palatino Linotype" w:hAnsi="Palatino Linotype"/>
          <w:color w:val="000000"/>
        </w:rPr>
        <w:t>, no se advierte que la Unidad de Transparencia haya turnado la solicitud de información a las unidades administrativas correspondientes para que realizaran la búsqueda de lo requerido, máxime que del análisis de la respuesta, este Instituto considera que el pronunciamiento hecho, fue efectuado de manera unilateral por el Jefe de la Unidad de Información y Transparencia.</w:t>
      </w:r>
    </w:p>
    <w:p w14:paraId="00028763" w14:textId="7AF8E20F" w:rsidR="008D0725" w:rsidRDefault="008D0725" w:rsidP="008D0725">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rPr>
        <w:lastRenderedPageBreak/>
        <w:t>En consecuencia</w:t>
      </w:r>
      <w:r w:rsidR="00306589">
        <w:rPr>
          <w:rFonts w:ascii="Palatino Linotype" w:hAnsi="Palatino Linotype"/>
        </w:rPr>
        <w:t>,</w:t>
      </w:r>
      <w:r>
        <w:rPr>
          <w:rFonts w:ascii="Palatino Linotype" w:hAnsi="Palatino Linotype"/>
        </w:rPr>
        <w:t xml:space="preserve"> resulta procedente hacer alusión al marco normativo que rige el actuar del Ayuntamiento de la Paz, partiendo de lo estatuido en la </w:t>
      </w:r>
      <w:r>
        <w:rPr>
          <w:rFonts w:ascii="Palatino Linotype" w:hAnsi="Palatino Linotype"/>
          <w:color w:val="000000"/>
        </w:rPr>
        <w:t>Ley Orgánica Municipal del Estado de México</w:t>
      </w:r>
      <w:r>
        <w:rPr>
          <w:rFonts w:ascii="Palatino Linotype" w:hAnsi="Palatino Linotype"/>
        </w:rPr>
        <w:t xml:space="preserve">, que entre otras cosas señala en su artículo </w:t>
      </w:r>
      <w:r>
        <w:rPr>
          <w:rFonts w:ascii="Palatino Linotype" w:hAnsi="Palatino Linotype"/>
          <w:color w:val="000000"/>
        </w:rPr>
        <w:t>31 fracciones IX, XVIII y XIX</w:t>
      </w:r>
      <w:r w:rsidR="0061110A">
        <w:rPr>
          <w:rFonts w:ascii="Palatino Linotype" w:hAnsi="Palatino Linotype"/>
          <w:color w:val="000000"/>
        </w:rPr>
        <w:t>,</w:t>
      </w:r>
      <w:r>
        <w:rPr>
          <w:rFonts w:ascii="Palatino Linotype" w:hAnsi="Palatino Linotype"/>
          <w:color w:val="000000"/>
        </w:rPr>
        <w:t xml:space="preserve"> lo que reza así:</w:t>
      </w:r>
    </w:p>
    <w:p w14:paraId="1FEE0953" w14:textId="2043DF3C" w:rsidR="008D0725" w:rsidRPr="008D0725" w:rsidRDefault="008D0725" w:rsidP="008D0725">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8D0725">
        <w:rPr>
          <w:rFonts w:ascii="Palatino Linotype" w:hAnsi="Palatino Linotype"/>
          <w:b/>
          <w:i/>
          <w:sz w:val="20"/>
          <w:szCs w:val="20"/>
        </w:rPr>
        <w:t>Artículo 31.-</w:t>
      </w:r>
      <w:r w:rsidRPr="008D0725">
        <w:rPr>
          <w:rFonts w:ascii="Palatino Linotype" w:hAnsi="Palatino Linotype"/>
          <w:i/>
          <w:sz w:val="20"/>
          <w:szCs w:val="20"/>
        </w:rPr>
        <w:t xml:space="preserve"> Son atribuciones de los ayuntamientos:</w:t>
      </w:r>
    </w:p>
    <w:p w14:paraId="3E3EF721" w14:textId="77777777" w:rsidR="008D0725" w:rsidRDefault="008D0725" w:rsidP="008D0725">
      <w:pPr>
        <w:autoSpaceDE w:val="0"/>
        <w:autoSpaceDN w:val="0"/>
        <w:adjustRightInd w:val="0"/>
        <w:spacing w:after="120"/>
        <w:ind w:left="1134" w:right="902"/>
        <w:jc w:val="both"/>
        <w:rPr>
          <w:rFonts w:ascii="Palatino Linotype" w:hAnsi="Palatino Linotype"/>
          <w:i/>
          <w:sz w:val="20"/>
          <w:szCs w:val="20"/>
        </w:rPr>
      </w:pPr>
      <w:r>
        <w:rPr>
          <w:rFonts w:ascii="Palatino Linotype" w:hAnsi="Palatino Linotype"/>
          <w:i/>
          <w:sz w:val="20"/>
          <w:szCs w:val="20"/>
        </w:rPr>
        <w:t>(…)</w:t>
      </w:r>
    </w:p>
    <w:p w14:paraId="3ED4875C" w14:textId="77777777" w:rsidR="008D0725" w:rsidRDefault="008D0725" w:rsidP="008D0725">
      <w:pPr>
        <w:autoSpaceDE w:val="0"/>
        <w:autoSpaceDN w:val="0"/>
        <w:adjustRightInd w:val="0"/>
        <w:spacing w:after="120"/>
        <w:ind w:left="1134" w:right="902"/>
        <w:jc w:val="both"/>
        <w:rPr>
          <w:rFonts w:ascii="Palatino Linotype" w:hAnsi="Palatino Linotype"/>
          <w:i/>
          <w:sz w:val="20"/>
          <w:szCs w:val="20"/>
        </w:rPr>
      </w:pPr>
      <w:r w:rsidRPr="008D0725">
        <w:rPr>
          <w:rFonts w:ascii="Palatino Linotype" w:hAnsi="Palatino Linotype"/>
          <w:i/>
          <w:sz w:val="20"/>
          <w:szCs w:val="20"/>
        </w:rPr>
        <w:t>IX. Crear las unidades administrativas necesarias para el adecuado funcionamiento de la administración pública municipal y para la eficaz prestación de los servicios públicos;</w:t>
      </w:r>
    </w:p>
    <w:p w14:paraId="0AD9DA1C" w14:textId="77777777" w:rsidR="008D0725" w:rsidRDefault="008D0725" w:rsidP="008D0725">
      <w:pPr>
        <w:autoSpaceDE w:val="0"/>
        <w:autoSpaceDN w:val="0"/>
        <w:adjustRightInd w:val="0"/>
        <w:spacing w:after="120"/>
        <w:ind w:left="1134" w:right="902"/>
        <w:jc w:val="both"/>
        <w:rPr>
          <w:rFonts w:ascii="Palatino Linotype" w:hAnsi="Palatino Linotype"/>
          <w:i/>
          <w:sz w:val="20"/>
          <w:szCs w:val="20"/>
        </w:rPr>
      </w:pPr>
      <w:r>
        <w:rPr>
          <w:rFonts w:ascii="Palatino Linotype" w:hAnsi="Palatino Linotype"/>
          <w:i/>
          <w:sz w:val="20"/>
          <w:szCs w:val="20"/>
        </w:rPr>
        <w:t>(…)</w:t>
      </w:r>
    </w:p>
    <w:p w14:paraId="2917DBE3" w14:textId="77777777" w:rsidR="008D0725" w:rsidRDefault="008D0725" w:rsidP="008D0725">
      <w:pPr>
        <w:autoSpaceDE w:val="0"/>
        <w:autoSpaceDN w:val="0"/>
        <w:adjustRightInd w:val="0"/>
        <w:spacing w:after="120"/>
        <w:ind w:left="1134" w:right="902"/>
        <w:jc w:val="both"/>
        <w:rPr>
          <w:rFonts w:ascii="Palatino Linotype" w:hAnsi="Palatino Linotype"/>
          <w:i/>
          <w:sz w:val="20"/>
          <w:szCs w:val="20"/>
        </w:rPr>
      </w:pPr>
      <w:r w:rsidRPr="008D0725">
        <w:rPr>
          <w:rFonts w:ascii="Palatino Linotype" w:hAnsi="Palatino Linotype"/>
          <w:i/>
          <w:sz w:val="20"/>
          <w:szCs w:val="20"/>
        </w:rPr>
        <w:t>XVIII. Administrar su hacienda en términos de ley, y controlar a través del presidente y síndico la aplicación del presupuesto de egresos del municipio;</w:t>
      </w:r>
    </w:p>
    <w:p w14:paraId="7034FE6D" w14:textId="77777777" w:rsidR="008D0725" w:rsidRDefault="008D0725" w:rsidP="008D0725">
      <w:pPr>
        <w:autoSpaceDE w:val="0"/>
        <w:autoSpaceDN w:val="0"/>
        <w:adjustRightInd w:val="0"/>
        <w:spacing w:after="120"/>
        <w:ind w:left="1134" w:right="902"/>
        <w:jc w:val="both"/>
        <w:rPr>
          <w:rFonts w:ascii="Palatino Linotype" w:hAnsi="Palatino Linotype"/>
          <w:i/>
          <w:sz w:val="20"/>
          <w:szCs w:val="20"/>
        </w:rPr>
      </w:pPr>
      <w:r w:rsidRPr="008D0725">
        <w:rPr>
          <w:rFonts w:ascii="Palatino Linotype" w:hAnsi="Palatino Linotype"/>
          <w:i/>
          <w:sz w:val="20"/>
          <w:szCs w:val="20"/>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217E4B57" w14:textId="77777777" w:rsidR="008D0725" w:rsidRDefault="008D0725" w:rsidP="008D0725">
      <w:pPr>
        <w:autoSpaceDE w:val="0"/>
        <w:autoSpaceDN w:val="0"/>
        <w:adjustRightInd w:val="0"/>
        <w:spacing w:after="120"/>
        <w:ind w:left="1134" w:right="902"/>
        <w:jc w:val="both"/>
        <w:rPr>
          <w:rFonts w:ascii="Palatino Linotype" w:hAnsi="Palatino Linotype"/>
          <w:i/>
          <w:sz w:val="20"/>
          <w:szCs w:val="20"/>
        </w:rPr>
      </w:pPr>
      <w:r w:rsidRPr="008D0725">
        <w:rPr>
          <w:rFonts w:ascii="Palatino Linotype" w:hAnsi="Palatino Linotype"/>
          <w:i/>
          <w:sz w:val="20"/>
          <w:szCs w:val="20"/>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0C878CE9" w14:textId="77777777" w:rsidR="008D0725" w:rsidRDefault="008D0725" w:rsidP="008D0725">
      <w:pPr>
        <w:autoSpaceDE w:val="0"/>
        <w:autoSpaceDN w:val="0"/>
        <w:adjustRightInd w:val="0"/>
        <w:spacing w:after="120"/>
        <w:ind w:left="1134" w:right="902"/>
        <w:jc w:val="both"/>
        <w:rPr>
          <w:rFonts w:ascii="Palatino Linotype" w:hAnsi="Palatino Linotype"/>
          <w:i/>
          <w:sz w:val="20"/>
          <w:szCs w:val="20"/>
        </w:rPr>
      </w:pPr>
      <w:r w:rsidRPr="008D0725">
        <w:rPr>
          <w:rFonts w:ascii="Palatino Linotype" w:hAnsi="Palatino Linotype"/>
          <w:i/>
          <w:sz w:val="20"/>
          <w:szCs w:val="20"/>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1FEBDB96" w14:textId="0A2F6590" w:rsidR="008D0725" w:rsidRPr="008D0725" w:rsidRDefault="008D0725" w:rsidP="008D0725">
      <w:pPr>
        <w:autoSpaceDE w:val="0"/>
        <w:autoSpaceDN w:val="0"/>
        <w:adjustRightInd w:val="0"/>
        <w:spacing w:after="120"/>
        <w:ind w:left="1134" w:right="902"/>
        <w:jc w:val="both"/>
        <w:rPr>
          <w:rFonts w:ascii="Palatino Linotype" w:hAnsi="Palatino Linotype"/>
          <w:i/>
          <w:sz w:val="20"/>
          <w:szCs w:val="20"/>
        </w:rPr>
      </w:pPr>
      <w:r w:rsidRPr="008D0725">
        <w:rPr>
          <w:rFonts w:ascii="Palatino Linotype" w:hAnsi="Palatino Linotype"/>
          <w:i/>
          <w:sz w:val="20"/>
          <w:szCs w:val="20"/>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r>
        <w:rPr>
          <w:rFonts w:ascii="Palatino Linotype" w:hAnsi="Palatino Linotype"/>
          <w:i/>
          <w:sz w:val="20"/>
          <w:szCs w:val="20"/>
        </w:rPr>
        <w:t>”</w:t>
      </w:r>
    </w:p>
    <w:p w14:paraId="220435F3" w14:textId="53AC76AC" w:rsidR="00734371" w:rsidRDefault="00734371" w:rsidP="00734371">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Por su parte, los artículo</w:t>
      </w:r>
      <w:r w:rsidR="005B3B62">
        <w:rPr>
          <w:rFonts w:ascii="Palatino Linotype" w:hAnsi="Palatino Linotype"/>
          <w:color w:val="000000"/>
        </w:rPr>
        <w:t>s</w:t>
      </w:r>
      <w:r>
        <w:rPr>
          <w:rFonts w:ascii="Palatino Linotype" w:hAnsi="Palatino Linotype"/>
          <w:color w:val="000000"/>
        </w:rPr>
        <w:t xml:space="preserve"> 20 y 38 del Bando Municipal 2018 de la Paz, disponen que para el </w:t>
      </w:r>
      <w:r w:rsidR="002F54A4">
        <w:rPr>
          <w:rFonts w:ascii="Palatino Linotype" w:hAnsi="Palatino Linotype"/>
          <w:color w:val="000000"/>
        </w:rPr>
        <w:t>ejercicio</w:t>
      </w:r>
      <w:r>
        <w:rPr>
          <w:rFonts w:ascii="Palatino Linotype" w:hAnsi="Palatino Linotype"/>
          <w:color w:val="000000"/>
        </w:rPr>
        <w:t xml:space="preserve"> de sus atribuciones, tanto el Ayuntamiento como el Presidente </w:t>
      </w:r>
      <w:r>
        <w:rPr>
          <w:rFonts w:ascii="Palatino Linotype" w:hAnsi="Palatino Linotype"/>
          <w:color w:val="000000"/>
        </w:rPr>
        <w:lastRenderedPageBreak/>
        <w:t>Municipal, se auxiliara de entre otras, de la Tesorería Municipal y de la Dirección de Administración, que tendrán a su cargo el despacho de los siguientes asuntos:</w:t>
      </w:r>
    </w:p>
    <w:p w14:paraId="16966BA5" w14:textId="77777777" w:rsidR="00734371" w:rsidRPr="006112E3" w:rsidRDefault="00734371" w:rsidP="00734371">
      <w:pPr>
        <w:pStyle w:val="Prrafodelista"/>
        <w:numPr>
          <w:ilvl w:val="0"/>
          <w:numId w:val="5"/>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b/>
          <w:color w:val="000000"/>
        </w:rPr>
        <w:t xml:space="preserve">Tesorería Municipal.- </w:t>
      </w:r>
      <w:r>
        <w:rPr>
          <w:rFonts w:ascii="Palatino Linotype" w:hAnsi="Palatino Linotype"/>
          <w:color w:val="000000"/>
        </w:rPr>
        <w:t>Revisar y validar los anteproyectos del presupuesto por programas basado en resultados de las áreas; consolidar los proyectos de presupuestos de ingresos y egresos de las diferentes áreas y someterlos al ayuntamiento para su aprobación</w:t>
      </w:r>
      <w:r>
        <w:rPr>
          <w:rStyle w:val="Refdenotaalpie"/>
          <w:rFonts w:ascii="Palatino Linotype" w:hAnsi="Palatino Linotype"/>
          <w:color w:val="000000"/>
        </w:rPr>
        <w:footnoteReference w:id="2"/>
      </w:r>
      <w:r>
        <w:rPr>
          <w:rFonts w:ascii="Palatino Linotype" w:hAnsi="Palatino Linotype"/>
          <w:color w:val="000000"/>
        </w:rPr>
        <w:t>.</w:t>
      </w:r>
    </w:p>
    <w:p w14:paraId="23AC648C" w14:textId="77777777" w:rsidR="00734371" w:rsidRDefault="00734371" w:rsidP="00734371">
      <w:pPr>
        <w:pStyle w:val="Prrafodelista"/>
        <w:numPr>
          <w:ilvl w:val="0"/>
          <w:numId w:val="5"/>
        </w:numPr>
        <w:autoSpaceDE w:val="0"/>
        <w:autoSpaceDN w:val="0"/>
        <w:adjustRightInd w:val="0"/>
        <w:spacing w:before="240" w:after="240" w:line="360" w:lineRule="auto"/>
        <w:jc w:val="both"/>
        <w:rPr>
          <w:rFonts w:ascii="Palatino Linotype" w:hAnsi="Palatino Linotype"/>
          <w:color w:val="000000"/>
        </w:rPr>
      </w:pPr>
      <w:r w:rsidRPr="006112E3">
        <w:rPr>
          <w:rFonts w:ascii="Palatino Linotype" w:hAnsi="Palatino Linotype"/>
          <w:b/>
          <w:color w:val="000000"/>
        </w:rPr>
        <w:t xml:space="preserve">Dirección de Administración.- </w:t>
      </w:r>
      <w:r w:rsidRPr="006112E3">
        <w:rPr>
          <w:rFonts w:ascii="Palatino Linotype" w:hAnsi="Palatino Linotype"/>
          <w:color w:val="000000"/>
        </w:rPr>
        <w:t xml:space="preserve">Contar con el registro de servidores públicos elaborado por la Jefatura de Factor Humano; </w:t>
      </w:r>
      <w:r>
        <w:rPr>
          <w:rFonts w:ascii="Palatino Linotype" w:hAnsi="Palatino Linotype"/>
          <w:color w:val="000000"/>
        </w:rPr>
        <w:t>p</w:t>
      </w:r>
      <w:r w:rsidRPr="006112E3">
        <w:rPr>
          <w:rFonts w:ascii="Palatino Linotype" w:hAnsi="Palatino Linotype"/>
          <w:color w:val="000000"/>
        </w:rPr>
        <w:t>roponer normas, políticas y lineamientos para regular y controlar las funciones y movimientos administrativos del personal que labora e</w:t>
      </w:r>
      <w:r>
        <w:rPr>
          <w:rFonts w:ascii="Palatino Linotype" w:hAnsi="Palatino Linotype"/>
          <w:color w:val="000000"/>
        </w:rPr>
        <w:t>n las dependencias municipales</w:t>
      </w:r>
      <w:r>
        <w:rPr>
          <w:rStyle w:val="Refdenotaalpie"/>
          <w:rFonts w:ascii="Palatino Linotype" w:hAnsi="Palatino Linotype"/>
          <w:color w:val="000000"/>
        </w:rPr>
        <w:footnoteReference w:id="3"/>
      </w:r>
      <w:r>
        <w:rPr>
          <w:rFonts w:ascii="Palatino Linotype" w:hAnsi="Palatino Linotype"/>
          <w:color w:val="000000"/>
        </w:rPr>
        <w:t>.</w:t>
      </w:r>
    </w:p>
    <w:p w14:paraId="279A0CE7" w14:textId="77777777" w:rsidR="00734371" w:rsidRPr="006112E3" w:rsidRDefault="00734371" w:rsidP="00734371">
      <w:pPr>
        <w:pStyle w:val="Prrafodelista"/>
        <w:numPr>
          <w:ilvl w:val="0"/>
          <w:numId w:val="6"/>
        </w:numPr>
        <w:autoSpaceDE w:val="0"/>
        <w:autoSpaceDN w:val="0"/>
        <w:adjustRightInd w:val="0"/>
        <w:spacing w:before="240" w:after="240" w:line="360" w:lineRule="auto"/>
        <w:jc w:val="both"/>
        <w:rPr>
          <w:rFonts w:ascii="Palatino Linotype" w:hAnsi="Palatino Linotype"/>
          <w:b/>
          <w:color w:val="000000"/>
        </w:rPr>
      </w:pPr>
      <w:r w:rsidRPr="006112E3">
        <w:rPr>
          <w:rFonts w:ascii="Palatino Linotype" w:hAnsi="Palatino Linotype"/>
          <w:b/>
          <w:color w:val="000000"/>
        </w:rPr>
        <w:t xml:space="preserve">Área de Factor Humano. </w:t>
      </w:r>
      <w:r>
        <w:rPr>
          <w:rFonts w:ascii="Palatino Linotype" w:hAnsi="Palatino Linotype"/>
          <w:color w:val="000000"/>
        </w:rPr>
        <w:t>Llevar la contratación y control del personal con base en el perfil académico y según las necesidades existentes</w:t>
      </w:r>
      <w:r>
        <w:rPr>
          <w:rStyle w:val="Refdenotaalpie"/>
          <w:rFonts w:ascii="Palatino Linotype" w:hAnsi="Palatino Linotype"/>
          <w:color w:val="000000"/>
        </w:rPr>
        <w:footnoteReference w:id="4"/>
      </w:r>
    </w:p>
    <w:p w14:paraId="5BEDBCAD" w14:textId="77777777" w:rsidR="00734371" w:rsidRDefault="00734371" w:rsidP="00734371">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Por lo que se puede concluir que las unidades administrativas señaladas, ejercen actividades relacionadas con el presupuesto de egresos y la contratación y control de personal.</w:t>
      </w:r>
    </w:p>
    <w:p w14:paraId="12228BB8" w14:textId="5C4EBF19" w:rsidR="002F54A4" w:rsidRDefault="002F54A4" w:rsidP="00734371">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Mientras que el Manual de Organización de la Tesorería Municipal, establece que </w:t>
      </w:r>
      <w:r w:rsidR="000155EF">
        <w:rPr>
          <w:rFonts w:ascii="Palatino Linotype" w:hAnsi="Palatino Linotype"/>
          <w:color w:val="000000"/>
        </w:rPr>
        <w:t>el objetivo de é</w:t>
      </w:r>
      <w:r w:rsidR="006578C2">
        <w:rPr>
          <w:rFonts w:ascii="Palatino Linotype" w:hAnsi="Palatino Linotype"/>
          <w:color w:val="000000"/>
        </w:rPr>
        <w:t xml:space="preserve">sta </w:t>
      </w:r>
      <w:r w:rsidR="000155EF">
        <w:rPr>
          <w:rFonts w:ascii="Palatino Linotype" w:hAnsi="Palatino Linotype"/>
          <w:color w:val="000000"/>
        </w:rPr>
        <w:t>es</w:t>
      </w:r>
      <w:r w:rsidR="006578C2">
        <w:rPr>
          <w:rFonts w:ascii="Palatino Linotype" w:hAnsi="Palatino Linotype"/>
          <w:color w:val="000000"/>
        </w:rPr>
        <w:t xml:space="preserve"> el manejo y control financiero de los recursos del municipio en concordancia con lo dispuesto en las leyes aplicables, para estar en posibilidades de satisfacer requerimientos y necesidades del municipio en cada ejercicio fiscal, por lo que deberá entre otras funciones, revisar y validar los anteproyectos de presupuesto </w:t>
      </w:r>
      <w:r w:rsidR="006578C2">
        <w:rPr>
          <w:rFonts w:ascii="Palatino Linotype" w:hAnsi="Palatino Linotype"/>
          <w:color w:val="000000"/>
        </w:rPr>
        <w:lastRenderedPageBreak/>
        <w:t>por programa basado en resultado de las áreas, organismos y entidades municipales.</w:t>
      </w:r>
    </w:p>
    <w:p w14:paraId="4A6C32FB" w14:textId="4CB60A93" w:rsidR="00734371" w:rsidRDefault="002F54A4" w:rsidP="00734371">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Por su parte, el </w:t>
      </w:r>
      <w:r w:rsidR="00734371">
        <w:rPr>
          <w:rFonts w:ascii="Palatino Linotype" w:hAnsi="Palatino Linotype"/>
          <w:color w:val="000000"/>
        </w:rPr>
        <w:t xml:space="preserve">Reglamento Interno de la Dirección de Administración, </w:t>
      </w:r>
      <w:r w:rsidR="006578C2">
        <w:rPr>
          <w:rFonts w:ascii="Palatino Linotype" w:hAnsi="Palatino Linotype"/>
          <w:color w:val="000000"/>
        </w:rPr>
        <w:t>dispone cual es la</w:t>
      </w:r>
      <w:r>
        <w:rPr>
          <w:rFonts w:ascii="Palatino Linotype" w:hAnsi="Palatino Linotype"/>
          <w:color w:val="000000"/>
        </w:rPr>
        <w:t xml:space="preserve"> </w:t>
      </w:r>
      <w:r w:rsidR="00734371">
        <w:rPr>
          <w:rFonts w:ascii="Palatino Linotype" w:hAnsi="Palatino Linotype"/>
          <w:color w:val="000000"/>
        </w:rPr>
        <w:t>competencia</w:t>
      </w:r>
      <w:r>
        <w:rPr>
          <w:rFonts w:ascii="Palatino Linotype" w:hAnsi="Palatino Linotype"/>
          <w:color w:val="000000"/>
        </w:rPr>
        <w:t xml:space="preserve"> ésta</w:t>
      </w:r>
      <w:r w:rsidR="00734371">
        <w:rPr>
          <w:rFonts w:ascii="Palatino Linotype" w:hAnsi="Palatino Linotype"/>
          <w:color w:val="000000"/>
        </w:rPr>
        <w:t>,</w:t>
      </w:r>
      <w:r w:rsidR="006578C2">
        <w:rPr>
          <w:rFonts w:ascii="Palatino Linotype" w:hAnsi="Palatino Linotype"/>
          <w:color w:val="000000"/>
        </w:rPr>
        <w:t xml:space="preserve"> así como las</w:t>
      </w:r>
      <w:r w:rsidR="00734371">
        <w:rPr>
          <w:rFonts w:ascii="Palatino Linotype" w:hAnsi="Palatino Linotype"/>
          <w:color w:val="000000"/>
        </w:rPr>
        <w:t xml:space="preserve"> unidades administrativas </w:t>
      </w:r>
      <w:r w:rsidR="006578C2">
        <w:rPr>
          <w:rFonts w:ascii="Palatino Linotype" w:hAnsi="Palatino Linotype"/>
          <w:color w:val="000000"/>
        </w:rPr>
        <w:t>de las que se conforma</w:t>
      </w:r>
      <w:r w:rsidR="00734371">
        <w:rPr>
          <w:rFonts w:ascii="Palatino Linotype" w:hAnsi="Palatino Linotype"/>
          <w:color w:val="000000"/>
        </w:rPr>
        <w:t xml:space="preserve"> para el eficiente y eficaz cumplimiento de sus atribuciones, entre las que se encuentran las siguientes:</w:t>
      </w:r>
    </w:p>
    <w:p w14:paraId="33ECA3DF" w14:textId="77777777" w:rsidR="00734371" w:rsidRDefault="00734371" w:rsidP="00734371">
      <w:pPr>
        <w:pStyle w:val="Prrafodelista"/>
        <w:numPr>
          <w:ilvl w:val="0"/>
          <w:numId w:val="2"/>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Reclutar, seleccionar, contratar y asignar a las diversas áreas de la Administración Pública Municipal, el personal que requieran para sus funciones;</w:t>
      </w:r>
    </w:p>
    <w:p w14:paraId="18576FF1" w14:textId="77777777" w:rsidR="00734371" w:rsidRPr="0071427E" w:rsidRDefault="00734371" w:rsidP="00734371">
      <w:pPr>
        <w:pStyle w:val="Prrafodelista"/>
        <w:numPr>
          <w:ilvl w:val="0"/>
          <w:numId w:val="2"/>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Poner a consideración del Presidente Municipal los nombramientos, </w:t>
      </w:r>
      <w:r>
        <w:rPr>
          <w:rFonts w:ascii="Palatino Linotype" w:hAnsi="Palatino Linotype"/>
          <w:b/>
          <w:color w:val="000000"/>
        </w:rPr>
        <w:t xml:space="preserve">sueldos, </w:t>
      </w:r>
      <w:r>
        <w:rPr>
          <w:rFonts w:ascii="Palatino Linotype" w:hAnsi="Palatino Linotype"/>
          <w:color w:val="000000"/>
        </w:rPr>
        <w:t>remociones, renuncias, licencias y jubilaciones de los servidores públicos de la Administración Pública, atendiendo las disposiciones de la normatividad aplicable, con excepción de aquellos servidores públicos cuyo nombramiento o remoción sea determinado de manera distintita por la normatividad aplicable.</w:t>
      </w:r>
    </w:p>
    <w:p w14:paraId="6D6E206D" w14:textId="1B7DA054" w:rsidR="00734371" w:rsidRDefault="00734371" w:rsidP="00734371">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Al tiempo que establece</w:t>
      </w:r>
      <w:r w:rsidR="002F54A4">
        <w:rPr>
          <w:rFonts w:ascii="Palatino Linotype" w:hAnsi="Palatino Linotype"/>
          <w:color w:val="000000"/>
        </w:rPr>
        <w:t>,</w:t>
      </w:r>
      <w:r>
        <w:rPr>
          <w:rFonts w:ascii="Palatino Linotype" w:hAnsi="Palatino Linotype"/>
          <w:color w:val="000000"/>
        </w:rPr>
        <w:t xml:space="preserve"> que le corresponde al Titular de la Jefatura de Factor Humano el despacho de los siguientes asuntos:</w:t>
      </w:r>
    </w:p>
    <w:p w14:paraId="34DEF86C" w14:textId="77777777" w:rsidR="00734371" w:rsidRDefault="00734371" w:rsidP="00734371">
      <w:pPr>
        <w:autoSpaceDE w:val="0"/>
        <w:autoSpaceDN w:val="0"/>
        <w:adjustRightInd w:val="0"/>
        <w:spacing w:after="120"/>
        <w:ind w:left="851" w:right="902"/>
        <w:jc w:val="both"/>
        <w:rPr>
          <w:rFonts w:ascii="Palatino Linotype" w:hAnsi="Palatino Linotype"/>
          <w:i/>
          <w:color w:val="000000"/>
          <w:sz w:val="20"/>
          <w:szCs w:val="20"/>
        </w:rPr>
      </w:pPr>
      <w:r>
        <w:rPr>
          <w:rFonts w:ascii="Palatino Linotype" w:hAnsi="Palatino Linotype"/>
          <w:b/>
          <w:i/>
          <w:color w:val="000000"/>
          <w:sz w:val="20"/>
          <w:szCs w:val="20"/>
        </w:rPr>
        <w:t xml:space="preserve">“Artículo 25.- </w:t>
      </w:r>
      <w:r>
        <w:rPr>
          <w:rFonts w:ascii="Palatino Linotype" w:hAnsi="Palatino Linotype"/>
          <w:i/>
          <w:color w:val="000000"/>
          <w:sz w:val="20"/>
          <w:szCs w:val="20"/>
        </w:rPr>
        <w:t>Corresponde al Titular de la Jefatura de Factor Humano el despacho de los siguientes asuntos:</w:t>
      </w:r>
    </w:p>
    <w:p w14:paraId="68ED26C4" w14:textId="77777777" w:rsidR="00734371" w:rsidRDefault="00734371" w:rsidP="00734371">
      <w:pPr>
        <w:autoSpaceDE w:val="0"/>
        <w:autoSpaceDN w:val="0"/>
        <w:adjustRightInd w:val="0"/>
        <w:spacing w:line="360" w:lineRule="auto"/>
        <w:ind w:left="1134" w:right="902"/>
        <w:jc w:val="both"/>
        <w:rPr>
          <w:rFonts w:ascii="Palatino Linotype" w:hAnsi="Palatino Linotype"/>
          <w:i/>
          <w:color w:val="000000"/>
          <w:sz w:val="20"/>
          <w:szCs w:val="20"/>
        </w:rPr>
      </w:pPr>
      <w:r>
        <w:rPr>
          <w:rFonts w:ascii="Palatino Linotype" w:hAnsi="Palatino Linotype"/>
          <w:i/>
          <w:color w:val="000000"/>
          <w:sz w:val="20"/>
          <w:szCs w:val="20"/>
        </w:rPr>
        <w:t>(…)</w:t>
      </w:r>
    </w:p>
    <w:p w14:paraId="6CF51DBE" w14:textId="77777777" w:rsidR="00734371" w:rsidRDefault="00734371" w:rsidP="00734371">
      <w:pPr>
        <w:autoSpaceDE w:val="0"/>
        <w:autoSpaceDN w:val="0"/>
        <w:adjustRightInd w:val="0"/>
        <w:ind w:left="1134" w:right="902"/>
        <w:jc w:val="both"/>
        <w:rPr>
          <w:rFonts w:ascii="Palatino Linotype" w:hAnsi="Palatino Linotype"/>
          <w:i/>
          <w:color w:val="000000"/>
          <w:sz w:val="20"/>
          <w:szCs w:val="20"/>
        </w:rPr>
      </w:pPr>
      <w:r>
        <w:rPr>
          <w:rFonts w:ascii="Palatino Linotype" w:hAnsi="Palatino Linotype"/>
          <w:i/>
          <w:color w:val="000000"/>
          <w:sz w:val="20"/>
          <w:szCs w:val="20"/>
        </w:rPr>
        <w:t>VII. Llevar a cabo los trámites de selección, contratación y capacitación para el personal que requieran las Dependencias, atendiendo las disposiciones de la normatividad aplicable;</w:t>
      </w:r>
    </w:p>
    <w:p w14:paraId="1282FB7C" w14:textId="77777777" w:rsidR="00734371" w:rsidRDefault="00734371" w:rsidP="00734371">
      <w:pPr>
        <w:autoSpaceDE w:val="0"/>
        <w:autoSpaceDN w:val="0"/>
        <w:adjustRightInd w:val="0"/>
        <w:ind w:left="1134" w:right="902"/>
        <w:jc w:val="both"/>
        <w:rPr>
          <w:rFonts w:ascii="Palatino Linotype" w:hAnsi="Palatino Linotype"/>
          <w:i/>
          <w:color w:val="000000"/>
          <w:sz w:val="20"/>
          <w:szCs w:val="20"/>
        </w:rPr>
      </w:pPr>
      <w:r>
        <w:rPr>
          <w:rFonts w:ascii="Palatino Linotype" w:hAnsi="Palatino Linotype"/>
          <w:i/>
          <w:color w:val="000000"/>
          <w:sz w:val="20"/>
          <w:szCs w:val="20"/>
        </w:rPr>
        <w:t>(…)</w:t>
      </w:r>
    </w:p>
    <w:p w14:paraId="45F68875" w14:textId="77777777" w:rsidR="00734371" w:rsidRPr="00074010" w:rsidRDefault="00734371" w:rsidP="00734371">
      <w:pPr>
        <w:autoSpaceDE w:val="0"/>
        <w:autoSpaceDN w:val="0"/>
        <w:adjustRightInd w:val="0"/>
        <w:ind w:left="1134" w:right="902"/>
        <w:jc w:val="both"/>
        <w:rPr>
          <w:rFonts w:ascii="Palatino Linotype" w:hAnsi="Palatino Linotype"/>
          <w:i/>
          <w:color w:val="000000"/>
          <w:sz w:val="20"/>
          <w:szCs w:val="20"/>
        </w:rPr>
      </w:pPr>
      <w:r>
        <w:rPr>
          <w:rFonts w:ascii="Palatino Linotype" w:hAnsi="Palatino Linotype"/>
          <w:i/>
          <w:color w:val="000000"/>
          <w:sz w:val="20"/>
          <w:szCs w:val="20"/>
        </w:rPr>
        <w:lastRenderedPageBreak/>
        <w:t>XIII. Vigilar y supervisar que se elaboren los perfiles y descripciones de puestos que se requieran en las diferentes Dependencias, a efectos de optimizar los recursos humanos;…”</w:t>
      </w:r>
    </w:p>
    <w:p w14:paraId="3C65BD4A" w14:textId="0E6870B9" w:rsidR="006578C2" w:rsidRDefault="00734371" w:rsidP="00734371">
      <w:pPr>
        <w:shd w:val="clear" w:color="auto" w:fill="FFFFFF"/>
        <w:spacing w:before="240" w:after="360" w:line="360" w:lineRule="auto"/>
        <w:jc w:val="both"/>
        <w:rPr>
          <w:rFonts w:ascii="Palatino Linotype" w:hAnsi="Palatino Linotype"/>
        </w:rPr>
      </w:pPr>
      <w:r>
        <w:rPr>
          <w:rFonts w:ascii="Palatino Linotype" w:hAnsi="Palatino Linotype"/>
          <w:color w:val="000000"/>
        </w:rPr>
        <w:t xml:space="preserve">Con base en lo anterior, </w:t>
      </w:r>
      <w:r w:rsidRPr="00A132FB">
        <w:rPr>
          <w:rFonts w:ascii="Palatino Linotype" w:hAnsi="Palatino Linotype"/>
          <w:lang w:eastAsia="es-MX"/>
        </w:rPr>
        <w:t xml:space="preserve">este Instituto </w:t>
      </w:r>
      <w:r>
        <w:rPr>
          <w:rFonts w:ascii="Palatino Linotype" w:hAnsi="Palatino Linotype"/>
          <w:lang w:eastAsia="es-MX"/>
        </w:rPr>
        <w:t>reitera que e</w:t>
      </w:r>
      <w:r w:rsidRPr="00A132FB">
        <w:rPr>
          <w:rFonts w:ascii="Palatino Linotype" w:hAnsi="Palatino Linotype"/>
          <w:lang w:eastAsia="es-MX"/>
        </w:rPr>
        <w:t xml:space="preserve">l </w:t>
      </w:r>
      <w:r w:rsidRPr="002B7C06">
        <w:rPr>
          <w:rFonts w:ascii="Palatino Linotype" w:hAnsi="Palatino Linotype"/>
          <w:b/>
          <w:lang w:eastAsia="es-MX"/>
        </w:rPr>
        <w:t>Sujeto Obligado</w:t>
      </w:r>
      <w:r w:rsidRPr="00A132FB">
        <w:rPr>
          <w:rFonts w:ascii="Palatino Linotype" w:hAnsi="Palatino Linotype"/>
          <w:lang w:eastAsia="es-MX"/>
        </w:rPr>
        <w:t xml:space="preserve"> no </w:t>
      </w:r>
      <w:r>
        <w:rPr>
          <w:rFonts w:ascii="Palatino Linotype" w:hAnsi="Palatino Linotype"/>
          <w:lang w:eastAsia="es-MX"/>
        </w:rPr>
        <w:t xml:space="preserve">turnó la solicitud a los Servidores Públicos Habilitados que de acuerdo a </w:t>
      </w:r>
      <w:r w:rsidR="002C053B">
        <w:rPr>
          <w:rFonts w:ascii="Palatino Linotype" w:hAnsi="Palatino Linotype"/>
          <w:lang w:eastAsia="es-MX"/>
        </w:rPr>
        <w:t>sus facultades</w:t>
      </w:r>
      <w:r>
        <w:rPr>
          <w:rFonts w:ascii="Palatino Linotype" w:hAnsi="Palatino Linotype"/>
          <w:lang w:eastAsia="es-MX"/>
        </w:rPr>
        <w:t xml:space="preserve"> funciones o atribuciones pudieran poseer, generar o administrar lo requerido, </w:t>
      </w:r>
      <w:r w:rsidR="006578C2">
        <w:rPr>
          <w:rFonts w:ascii="Palatino Linotype" w:hAnsi="Palatino Linotype"/>
          <w:lang w:eastAsia="es-MX"/>
        </w:rPr>
        <w:t xml:space="preserve">por ello, </w:t>
      </w:r>
      <w:r>
        <w:rPr>
          <w:rFonts w:ascii="Palatino Linotype" w:hAnsi="Palatino Linotype"/>
          <w:lang w:eastAsia="es-MX"/>
        </w:rPr>
        <w:t xml:space="preserve">deberá </w:t>
      </w:r>
      <w:r w:rsidRPr="00BD5D32">
        <w:rPr>
          <w:rFonts w:ascii="Palatino Linotype" w:hAnsi="Palatino Linotype"/>
        </w:rPr>
        <w:t>agota</w:t>
      </w:r>
      <w:r>
        <w:rPr>
          <w:rFonts w:ascii="Palatino Linotype" w:hAnsi="Palatino Linotype"/>
        </w:rPr>
        <w:t>r</w:t>
      </w:r>
      <w:r w:rsidRPr="00BD5D32">
        <w:rPr>
          <w:rFonts w:ascii="Palatino Linotype" w:hAnsi="Palatino Linotype"/>
        </w:rPr>
        <w:t xml:space="preserve"> las medidas necesarias de búsqueda y localización de la información requerida</w:t>
      </w:r>
      <w:r w:rsidR="006578C2">
        <w:rPr>
          <w:rFonts w:ascii="Palatino Linotype" w:hAnsi="Palatino Linotype"/>
        </w:rPr>
        <w:t>.</w:t>
      </w:r>
    </w:p>
    <w:p w14:paraId="1909474F" w14:textId="56360529" w:rsidR="00C51140" w:rsidRDefault="00FD2092" w:rsidP="008D0725">
      <w:pPr>
        <w:spacing w:before="240" w:after="240" w:line="360" w:lineRule="auto"/>
        <w:jc w:val="both"/>
        <w:rPr>
          <w:rFonts w:ascii="Palatino Linotype" w:hAnsi="Palatino Linotype"/>
        </w:rPr>
      </w:pPr>
      <w:r w:rsidRPr="00C51140">
        <w:rPr>
          <w:rFonts w:ascii="Palatino Linotype" w:hAnsi="Palatino Linotype"/>
        </w:rPr>
        <w:t xml:space="preserve">Ahora bien, </w:t>
      </w:r>
      <w:r w:rsidR="00CE05D4">
        <w:rPr>
          <w:rFonts w:ascii="Palatino Linotype" w:hAnsi="Palatino Linotype"/>
        </w:rPr>
        <w:t xml:space="preserve">retomando el requerimiento de información, tenemos que el particular solicitó que se le informara porque hay tanta discrepancia en los sueldos de las autoridades investigadoras, substanciadoras y </w:t>
      </w:r>
      <w:proofErr w:type="spellStart"/>
      <w:r w:rsidR="00CE05D4">
        <w:rPr>
          <w:rFonts w:ascii="Palatino Linotype" w:hAnsi="Palatino Linotype"/>
        </w:rPr>
        <w:t>resolutoras</w:t>
      </w:r>
      <w:proofErr w:type="spellEnd"/>
      <w:r w:rsidR="00CE05D4">
        <w:rPr>
          <w:rFonts w:ascii="Palatino Linotype" w:hAnsi="Palatino Linotype"/>
        </w:rPr>
        <w:t xml:space="preserve">, por lo que vale la pena hacer alusión a lo previsto en la Ley de la Materia, que entre otras muchas </w:t>
      </w:r>
      <w:r w:rsidR="00DA1851">
        <w:rPr>
          <w:rFonts w:ascii="Palatino Linotype" w:hAnsi="Palatino Linotype"/>
        </w:rPr>
        <w:t xml:space="preserve">cosas </w:t>
      </w:r>
      <w:r w:rsidR="00CE05D4">
        <w:rPr>
          <w:rFonts w:ascii="Palatino Linotype" w:hAnsi="Palatino Linotype"/>
        </w:rPr>
        <w:t>establece, que son objetivos de la misma proveer lo necesario para garantizar que toda persona tenga acceso a la información mediante procedimientos y mecanismos sencillos, expeditos, oportunos y gratuitos que permitan transparentar la gestión pública y mejorar la toma de decisiones mediante la difusión de la información que generan los sujetos obligados en el ejercicio de sus atribuciones</w:t>
      </w:r>
      <w:r w:rsidR="00DA1851">
        <w:rPr>
          <w:rFonts w:ascii="Palatino Linotype" w:hAnsi="Palatino Linotype"/>
        </w:rPr>
        <w:t>, además de ser una obligación de los titulares de las unidades transparencia auxiliar a los particulares en la elaboración de solicitudes de acceso a la información</w:t>
      </w:r>
      <w:r w:rsidR="00DA1851">
        <w:rPr>
          <w:rStyle w:val="Refdenotaalpie"/>
          <w:rFonts w:ascii="Palatino Linotype" w:hAnsi="Palatino Linotype"/>
        </w:rPr>
        <w:footnoteReference w:id="5"/>
      </w:r>
      <w:r w:rsidR="00CE05D4">
        <w:rPr>
          <w:rFonts w:ascii="Palatino Linotype" w:hAnsi="Palatino Linotype"/>
        </w:rPr>
        <w:t>.</w:t>
      </w:r>
    </w:p>
    <w:p w14:paraId="7C253330" w14:textId="329DC121" w:rsidR="00AC5B93" w:rsidRDefault="00DA1851" w:rsidP="008D0725">
      <w:pPr>
        <w:spacing w:before="240" w:after="240" w:line="360" w:lineRule="auto"/>
        <w:jc w:val="both"/>
        <w:rPr>
          <w:rFonts w:ascii="Palatino Linotype" w:hAnsi="Palatino Linotype"/>
        </w:rPr>
      </w:pPr>
      <w:r>
        <w:rPr>
          <w:rFonts w:ascii="Palatino Linotype" w:hAnsi="Palatino Linotype"/>
        </w:rPr>
        <w:t xml:space="preserve">En ese orden de ideas, al advertir el </w:t>
      </w:r>
      <w:r>
        <w:rPr>
          <w:rFonts w:ascii="Palatino Linotype" w:hAnsi="Palatino Linotype"/>
          <w:b/>
        </w:rPr>
        <w:t xml:space="preserve">Sujeto Obligado </w:t>
      </w:r>
      <w:r>
        <w:rPr>
          <w:rFonts w:ascii="Palatino Linotype" w:hAnsi="Palatino Linotype"/>
        </w:rPr>
        <w:t>que el particular presentó una solicitud de información de la cual no se desprende el documento al cual desea tener acceso, debió el titular de la unidad de transparencia garantizar las medidas y condiciones de accesibilidad que permitieran el ejercicio del acceso a la información</w:t>
      </w:r>
      <w:r w:rsidR="00AC5B93">
        <w:rPr>
          <w:rFonts w:ascii="Palatino Linotype" w:hAnsi="Palatino Linotype"/>
        </w:rPr>
        <w:t xml:space="preserve">, </w:t>
      </w:r>
      <w:r w:rsidR="00AC5B93">
        <w:rPr>
          <w:rFonts w:ascii="Palatino Linotype" w:hAnsi="Palatino Linotype"/>
        </w:rPr>
        <w:lastRenderedPageBreak/>
        <w:t xml:space="preserve">lo cual en el presente caso no aconteció, tan es así que se limitó a decir que no está obligado a generar documentos </w:t>
      </w:r>
      <w:r w:rsidR="00AC5B93">
        <w:rPr>
          <w:rFonts w:ascii="Palatino Linotype" w:hAnsi="Palatino Linotype"/>
          <w:i/>
        </w:rPr>
        <w:t xml:space="preserve">ad hoc </w:t>
      </w:r>
      <w:r w:rsidR="00AC5B93" w:rsidRPr="00AC5B93">
        <w:rPr>
          <w:rFonts w:ascii="Palatino Linotype" w:hAnsi="Palatino Linotype"/>
        </w:rPr>
        <w:t>para satisfacer el requerimiento de informaci</w:t>
      </w:r>
      <w:r w:rsidR="00AC5B93">
        <w:rPr>
          <w:rFonts w:ascii="Palatino Linotype" w:hAnsi="Palatino Linotype"/>
        </w:rPr>
        <w:t>ón, por lo que resulta evidente que dicha respuesta no atiende los alcances del derecho fundamental en cuestión, toda vez que si bien no se identifica de forma precisa el documento que pudiera contener dicha información, también lo es, que lo solicitado puede obrar en algún documento que el Ayuntamiento de la Paz genere, posee o administre en el ejercicio de sus funciones, por lo que este Pleno considera que se debió dar una interpretación</w:t>
      </w:r>
      <w:r w:rsidR="000B0BF3">
        <w:rPr>
          <w:rStyle w:val="Refdenotaalpie"/>
          <w:rFonts w:ascii="Palatino Linotype" w:hAnsi="Palatino Linotype" w:cs="Arial"/>
        </w:rPr>
        <w:footnoteReference w:id="6"/>
      </w:r>
      <w:r w:rsidR="00AC5B93">
        <w:rPr>
          <w:rFonts w:ascii="Palatino Linotype" w:hAnsi="Palatino Linotype"/>
        </w:rPr>
        <w:t xml:space="preserve"> al requerimiento de información que permitiera determinar el soporte documental en el cual pudiera obrar lo solicitado. Como apoyo a lo anterior, es aplicable por analogía el Criterio 16/17, emitido por el Pleno del </w:t>
      </w:r>
      <w:proofErr w:type="spellStart"/>
      <w:r w:rsidR="00AC5B93">
        <w:rPr>
          <w:rFonts w:ascii="Palatino Linotype" w:hAnsi="Palatino Linotype"/>
        </w:rPr>
        <w:t>INAI</w:t>
      </w:r>
      <w:proofErr w:type="spellEnd"/>
      <w:r w:rsidR="00AC5B93">
        <w:rPr>
          <w:rFonts w:ascii="Palatino Linotype" w:hAnsi="Palatino Linotype"/>
        </w:rPr>
        <w:t xml:space="preserve">, que reza </w:t>
      </w:r>
      <w:r w:rsidR="00F134AC">
        <w:rPr>
          <w:rFonts w:ascii="Palatino Linotype" w:hAnsi="Palatino Linotype"/>
        </w:rPr>
        <w:t>así</w:t>
      </w:r>
      <w:r w:rsidR="00AC5B93">
        <w:rPr>
          <w:rFonts w:ascii="Palatino Linotype" w:hAnsi="Palatino Linotype"/>
        </w:rPr>
        <w:t>:</w:t>
      </w:r>
    </w:p>
    <w:p w14:paraId="38BCC122" w14:textId="1899A8FE" w:rsidR="00F134AC" w:rsidRPr="00F134AC" w:rsidRDefault="00F134AC" w:rsidP="00F134AC">
      <w:pPr>
        <w:spacing w:after="120"/>
        <w:ind w:left="851" w:right="902"/>
        <w:jc w:val="both"/>
        <w:rPr>
          <w:rFonts w:ascii="Palatino Linotype" w:hAnsi="Palatino Linotype" w:cs="Arial"/>
          <w:i/>
          <w:sz w:val="20"/>
          <w:szCs w:val="20"/>
          <w:lang w:val="es-MX"/>
        </w:rPr>
      </w:pPr>
      <w:r>
        <w:rPr>
          <w:rFonts w:ascii="Palatino Linotype" w:hAnsi="Palatino Linotype" w:cs="Arial"/>
          <w:b/>
          <w:bCs/>
          <w:i/>
          <w:sz w:val="20"/>
          <w:szCs w:val="20"/>
        </w:rPr>
        <w:t>“</w:t>
      </w:r>
      <w:r w:rsidRPr="00F134AC">
        <w:rPr>
          <w:rFonts w:ascii="Palatino Linotype" w:hAnsi="Palatino Linotype" w:cs="Arial"/>
          <w:b/>
          <w:bCs/>
          <w:i/>
          <w:sz w:val="20"/>
          <w:szCs w:val="20"/>
        </w:rPr>
        <w:t xml:space="preserve">Expresión documental. </w:t>
      </w:r>
      <w:r w:rsidRPr="00F134AC">
        <w:rPr>
          <w:rFonts w:ascii="Palatino Linotype" w:hAnsi="Palatino Linotype" w:cs="Arial"/>
          <w:bCs/>
          <w:i/>
          <w:sz w:val="20"/>
          <w:szCs w:val="20"/>
        </w:rPr>
        <w:t>Cuando</w:t>
      </w:r>
      <w:r w:rsidRPr="00F134AC">
        <w:rPr>
          <w:rFonts w:ascii="Palatino Linotype" w:hAnsi="Palatino Linotype" w:cs="Arial"/>
          <w:i/>
          <w:color w:val="000000" w:themeColor="text1"/>
          <w:sz w:val="20"/>
          <w:szCs w:val="20"/>
        </w:rPr>
        <w:t xml:space="preserve"> los particulares presenten solicitudes de acceso a la información sin identificar de forma precisa la documentación que pudiera contener la información de su interés, </w:t>
      </w:r>
      <w:r w:rsidRPr="00F134AC">
        <w:rPr>
          <w:rFonts w:ascii="Palatino Linotype" w:hAnsi="Palatino Linotype" w:cs="Arial"/>
          <w:i/>
          <w:sz w:val="20"/>
          <w:szCs w:val="20"/>
        </w:rPr>
        <w:t>o bien, la solicitud constituya una consulta,</w:t>
      </w:r>
      <w:r w:rsidRPr="00F134AC">
        <w:rPr>
          <w:rFonts w:ascii="Palatino Linotype" w:hAnsi="Palatino Linotype" w:cs="Arial"/>
          <w:i/>
          <w:color w:val="000000" w:themeColor="text1"/>
          <w:sz w:val="20"/>
          <w:szCs w:val="20"/>
        </w:rPr>
        <w:t xml:space="preserve"> pero la respuesta pudiera obrar en algún documento en poder de los sujetos obligados, éstos deben dar a dichas solicitudes una interpretación que les ot</w:t>
      </w:r>
      <w:r>
        <w:rPr>
          <w:rFonts w:ascii="Palatino Linotype" w:hAnsi="Palatino Linotype" w:cs="Arial"/>
          <w:i/>
          <w:color w:val="000000" w:themeColor="text1"/>
          <w:sz w:val="20"/>
          <w:szCs w:val="20"/>
        </w:rPr>
        <w:t>orgue una expresión documental.”</w:t>
      </w:r>
    </w:p>
    <w:p w14:paraId="7D24D020" w14:textId="1D206EF4" w:rsidR="004B1A4B" w:rsidRDefault="00F134AC" w:rsidP="004B1A4B">
      <w:pPr>
        <w:spacing w:before="240" w:after="240" w:line="360" w:lineRule="auto"/>
        <w:ind w:right="49"/>
        <w:jc w:val="both"/>
        <w:rPr>
          <w:rFonts w:ascii="Palatino Linotype" w:hAnsi="Palatino Linotype"/>
        </w:rPr>
      </w:pPr>
      <w:r>
        <w:rPr>
          <w:rFonts w:ascii="Palatino Linotype" w:hAnsi="Palatino Linotype"/>
        </w:rPr>
        <w:lastRenderedPageBreak/>
        <w:t xml:space="preserve">Sobre la base de los argumentos vertidos, es necesario remitirnos al contenido de </w:t>
      </w:r>
      <w:r w:rsidR="004B1A4B">
        <w:rPr>
          <w:rFonts w:ascii="Palatino Linotype" w:hAnsi="Palatino Linotype"/>
        </w:rPr>
        <w:t xml:space="preserve">la </w:t>
      </w:r>
      <w:r w:rsidR="004B1A4B" w:rsidRPr="00606E44">
        <w:rPr>
          <w:rFonts w:ascii="Palatino Linotype" w:hAnsi="Palatino Linotype"/>
        </w:rPr>
        <w:t xml:space="preserve">Ley </w:t>
      </w:r>
      <w:r w:rsidR="004B1A4B">
        <w:rPr>
          <w:rFonts w:ascii="Palatino Linotype" w:hAnsi="Palatino Linotype"/>
        </w:rPr>
        <w:t xml:space="preserve">General </w:t>
      </w:r>
      <w:r w:rsidR="004B1A4B" w:rsidRPr="00606E44">
        <w:rPr>
          <w:rFonts w:ascii="Palatino Linotype" w:hAnsi="Palatino Linotype"/>
        </w:rPr>
        <w:t>de Responsabilidades Administrativas</w:t>
      </w:r>
      <w:r w:rsidR="004B1A4B">
        <w:rPr>
          <w:rFonts w:ascii="Palatino Linotype" w:hAnsi="Palatino Linotype"/>
        </w:rPr>
        <w:t xml:space="preserve">, normatividad que distribuye la competencia entre los órdenes de gobierno, para establecer las responsabilidades administrativas de los servidores públicos, sus obligaciones, sanciones y los procedimientos para su aplicación, al tiempo que fortalece a la Contraloría Interna de los entes gubernamentales con la autoridad </w:t>
      </w:r>
      <w:r w:rsidR="004B1A4B" w:rsidRPr="001123B1">
        <w:rPr>
          <w:rFonts w:ascii="Palatino Linotype" w:hAnsi="Palatino Linotype"/>
          <w:i/>
        </w:rPr>
        <w:t>investigadora</w:t>
      </w:r>
      <w:r w:rsidR="004B1A4B">
        <w:rPr>
          <w:rFonts w:ascii="Palatino Linotype" w:hAnsi="Palatino Linotype"/>
          <w:i/>
        </w:rPr>
        <w:t xml:space="preserve">, substanciadora y </w:t>
      </w:r>
      <w:proofErr w:type="spellStart"/>
      <w:r w:rsidR="004B1A4B">
        <w:rPr>
          <w:rFonts w:ascii="Palatino Linotype" w:hAnsi="Palatino Linotype"/>
          <w:i/>
        </w:rPr>
        <w:t>resolutora</w:t>
      </w:r>
      <w:proofErr w:type="spellEnd"/>
      <w:r w:rsidR="004B1A4B">
        <w:rPr>
          <w:rFonts w:ascii="Palatino Linotype" w:hAnsi="Palatino Linotype"/>
          <w:i/>
        </w:rPr>
        <w:t xml:space="preserve">, </w:t>
      </w:r>
      <w:r w:rsidR="004B1A4B">
        <w:rPr>
          <w:rFonts w:ascii="Palatino Linotype" w:hAnsi="Palatino Linotype"/>
        </w:rPr>
        <w:t>a las cuales la Ley de Responsabilidades Administrativas del Estado de México y Municipios definió en su artículo 3 fracciones I, II, III, de la siguiente manera:</w:t>
      </w:r>
    </w:p>
    <w:p w14:paraId="08515C95" w14:textId="77777777" w:rsidR="004B1A4B" w:rsidRDefault="004B1A4B" w:rsidP="004B1A4B">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5103F5">
        <w:rPr>
          <w:rFonts w:ascii="Palatino Linotype" w:hAnsi="Palatino Linotype"/>
          <w:b/>
          <w:i/>
          <w:sz w:val="20"/>
          <w:szCs w:val="20"/>
        </w:rPr>
        <w:t>Artículo 3.</w:t>
      </w:r>
      <w:r w:rsidRPr="005103F5">
        <w:rPr>
          <w:rFonts w:ascii="Palatino Linotype" w:hAnsi="Palatino Linotype"/>
          <w:i/>
          <w:sz w:val="20"/>
          <w:szCs w:val="20"/>
        </w:rPr>
        <w:t xml:space="preserve"> Para los efectos de la presente Ley, se entenderá por: </w:t>
      </w:r>
    </w:p>
    <w:p w14:paraId="34596478" w14:textId="77777777" w:rsidR="004B1A4B" w:rsidRPr="005103F5" w:rsidRDefault="004B1A4B" w:rsidP="004B1A4B">
      <w:pPr>
        <w:spacing w:after="120"/>
        <w:ind w:left="851" w:right="902"/>
        <w:jc w:val="both"/>
        <w:rPr>
          <w:rFonts w:ascii="Palatino Linotype" w:hAnsi="Palatino Linotype"/>
          <w:i/>
          <w:sz w:val="20"/>
          <w:szCs w:val="20"/>
        </w:rPr>
      </w:pPr>
      <w:r w:rsidRPr="005103F5">
        <w:rPr>
          <w:rFonts w:ascii="Palatino Linotype" w:hAnsi="Palatino Linotype"/>
          <w:i/>
          <w:sz w:val="20"/>
          <w:szCs w:val="20"/>
        </w:rPr>
        <w:t>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14:paraId="64702D1A" w14:textId="77777777" w:rsidR="004B1A4B" w:rsidRDefault="004B1A4B" w:rsidP="004B1A4B">
      <w:pPr>
        <w:spacing w:after="120"/>
        <w:ind w:left="851" w:right="902"/>
        <w:jc w:val="both"/>
        <w:rPr>
          <w:rFonts w:ascii="Palatino Linotype" w:hAnsi="Palatino Linotype"/>
          <w:i/>
          <w:sz w:val="20"/>
          <w:szCs w:val="20"/>
        </w:rPr>
      </w:pPr>
      <w:r w:rsidRPr="005103F5">
        <w:rPr>
          <w:rFonts w:ascii="Palatino Linotype" w:hAnsi="Palatino Linotype"/>
          <w:i/>
          <w:sz w:val="20"/>
          <w:szCs w:val="20"/>
        </w:rPr>
        <w:t>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función de la autoridad</w:t>
      </w:r>
      <w:r>
        <w:rPr>
          <w:rFonts w:ascii="Palatino Linotype" w:hAnsi="Palatino Linotype"/>
          <w:i/>
          <w:sz w:val="20"/>
          <w:szCs w:val="20"/>
        </w:rPr>
        <w:t xml:space="preserve"> </w:t>
      </w:r>
      <w:r w:rsidRPr="005103F5">
        <w:rPr>
          <w:rFonts w:ascii="Palatino Linotype" w:hAnsi="Palatino Linotype"/>
          <w:i/>
          <w:sz w:val="20"/>
          <w:szCs w:val="20"/>
        </w:rPr>
        <w:t xml:space="preserve">substanciadora, en ningún caso podrá ser ejercida por una autoridad investigadora. </w:t>
      </w:r>
    </w:p>
    <w:p w14:paraId="3E7F32A9" w14:textId="77777777" w:rsidR="004B1A4B" w:rsidRPr="005103F5" w:rsidRDefault="004B1A4B" w:rsidP="004B1A4B">
      <w:pPr>
        <w:spacing w:after="120"/>
        <w:ind w:left="851" w:right="902"/>
        <w:jc w:val="both"/>
        <w:rPr>
          <w:rFonts w:ascii="Palatino Linotype" w:hAnsi="Palatino Linotype"/>
          <w:i/>
          <w:sz w:val="20"/>
          <w:szCs w:val="20"/>
        </w:rPr>
      </w:pPr>
      <w:r w:rsidRPr="005103F5">
        <w:rPr>
          <w:rFonts w:ascii="Palatino Linotype" w:hAnsi="Palatino Linotype"/>
          <w:i/>
          <w:sz w:val="20"/>
          <w:szCs w:val="20"/>
        </w:rPr>
        <w:t xml:space="preserve">III. Autoridad </w:t>
      </w:r>
      <w:proofErr w:type="spellStart"/>
      <w:r w:rsidRPr="005103F5">
        <w:rPr>
          <w:rFonts w:ascii="Palatino Linotype" w:hAnsi="Palatino Linotype"/>
          <w:i/>
          <w:sz w:val="20"/>
          <w:szCs w:val="20"/>
        </w:rPr>
        <w:t>resolutora</w:t>
      </w:r>
      <w:proofErr w:type="spellEnd"/>
      <w:r w:rsidRPr="005103F5">
        <w:rPr>
          <w:rFonts w:ascii="Palatino Linotype" w:hAnsi="Palatino Linotype"/>
          <w:i/>
          <w:sz w:val="20"/>
          <w:szCs w:val="20"/>
        </w:rPr>
        <w:t>: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r>
        <w:rPr>
          <w:rFonts w:ascii="Palatino Linotype" w:hAnsi="Palatino Linotype"/>
          <w:i/>
          <w:sz w:val="20"/>
          <w:szCs w:val="20"/>
        </w:rPr>
        <w:t>...”</w:t>
      </w:r>
    </w:p>
    <w:p w14:paraId="30C74CAB" w14:textId="004D5013" w:rsidR="004B1A4B" w:rsidRDefault="004B1A4B" w:rsidP="004B1A4B">
      <w:pPr>
        <w:spacing w:before="240" w:after="240" w:line="360" w:lineRule="auto"/>
        <w:jc w:val="both"/>
        <w:rPr>
          <w:rFonts w:ascii="Palatino Linotype" w:hAnsi="Palatino Linotype" w:cs="Arial"/>
        </w:rPr>
      </w:pPr>
      <w:r>
        <w:rPr>
          <w:rFonts w:ascii="Palatino Linotype" w:hAnsi="Palatino Linotype" w:cs="Arial"/>
        </w:rPr>
        <w:t xml:space="preserve">De conformidad con el marco normativo citado, la autoridad investigadora es responsable de investigar las faltas administrativas, la substanciadora dirige y conduce el procedimiento de responsabilidades administrativas en el ámbito de su competencia para faltas no graves desde la admisión del informe de presunta responsabilidad hasta la conclusión de la audiencia final, mientras que la </w:t>
      </w:r>
      <w:proofErr w:type="spellStart"/>
      <w:r>
        <w:rPr>
          <w:rFonts w:ascii="Palatino Linotype" w:hAnsi="Palatino Linotype" w:cs="Arial"/>
        </w:rPr>
        <w:t>resolutora</w:t>
      </w:r>
      <w:proofErr w:type="spellEnd"/>
      <w:r>
        <w:rPr>
          <w:rFonts w:ascii="Palatino Linotype" w:hAnsi="Palatino Linotype" w:cs="Arial"/>
        </w:rPr>
        <w:t xml:space="preserve">; </w:t>
      </w:r>
      <w:r>
        <w:rPr>
          <w:rFonts w:ascii="Palatino Linotype" w:hAnsi="Palatino Linotype" w:cs="Arial"/>
        </w:rPr>
        <w:lastRenderedPageBreak/>
        <w:t>debe emitir el fallo que pone fin al procedimiento instaurado en contra de un servidor público.</w:t>
      </w:r>
    </w:p>
    <w:p w14:paraId="68D51CB4" w14:textId="77777777" w:rsidR="004B1A4B" w:rsidRDefault="004B1A4B" w:rsidP="004B1A4B">
      <w:pPr>
        <w:spacing w:before="240" w:after="240" w:line="360" w:lineRule="auto"/>
        <w:jc w:val="both"/>
        <w:rPr>
          <w:rFonts w:ascii="Palatino Linotype" w:hAnsi="Palatino Linotype"/>
          <w:color w:val="000000"/>
        </w:rPr>
      </w:pPr>
      <w:r>
        <w:rPr>
          <w:rFonts w:ascii="Palatino Linotype" w:hAnsi="Palatino Linotype" w:cs="Arial"/>
        </w:rPr>
        <w:t xml:space="preserve">Autoridades que dependen administrativamente de la Contraloría Interna al ser el órgano responsable de promover, evaluar y fortalecer  el buen funcionamiento interno del ente público, así como de aplicar las leyes en materia de responsabilidades de los servidores públicos, a través de las autoridades señaladas por el particular en su requerimiento de información, todas ellas reconocidas en el </w:t>
      </w:r>
      <w:r>
        <w:rPr>
          <w:rFonts w:ascii="Palatino Linotype" w:hAnsi="Palatino Linotype"/>
          <w:color w:val="000000"/>
        </w:rPr>
        <w:t>artículo 6 del Reglamento Interno de la Contraloría, para el estudio, planeación y despacho de los asuntos de su competencia, conforme a lo siguiente:</w:t>
      </w:r>
    </w:p>
    <w:p w14:paraId="52BB0466" w14:textId="77777777" w:rsidR="004B1A4B" w:rsidRDefault="004B1A4B" w:rsidP="004B1A4B">
      <w:pPr>
        <w:pStyle w:val="Prrafodelista"/>
        <w:numPr>
          <w:ilvl w:val="0"/>
          <w:numId w:val="3"/>
        </w:numPr>
        <w:spacing w:before="240" w:after="240" w:line="360" w:lineRule="auto"/>
        <w:jc w:val="both"/>
        <w:rPr>
          <w:rFonts w:ascii="Palatino Linotype" w:hAnsi="Palatino Linotype"/>
          <w:color w:val="000000"/>
        </w:rPr>
      </w:pPr>
      <w:r>
        <w:rPr>
          <w:rFonts w:ascii="Palatino Linotype" w:hAnsi="Palatino Linotype"/>
          <w:color w:val="000000"/>
        </w:rPr>
        <w:t xml:space="preserve">El Contralor Interno (Autoridad </w:t>
      </w:r>
      <w:proofErr w:type="spellStart"/>
      <w:r>
        <w:rPr>
          <w:rFonts w:ascii="Palatino Linotype" w:hAnsi="Palatino Linotype"/>
          <w:color w:val="000000"/>
        </w:rPr>
        <w:t>Resolutora</w:t>
      </w:r>
      <w:proofErr w:type="spellEnd"/>
      <w:r>
        <w:rPr>
          <w:rFonts w:ascii="Palatino Linotype" w:hAnsi="Palatino Linotype"/>
          <w:color w:val="000000"/>
        </w:rPr>
        <w:t>)</w:t>
      </w:r>
    </w:p>
    <w:p w14:paraId="6BA4A32E" w14:textId="77777777" w:rsidR="004B1A4B" w:rsidRDefault="004B1A4B" w:rsidP="004B1A4B">
      <w:pPr>
        <w:pStyle w:val="Prrafodelista"/>
        <w:numPr>
          <w:ilvl w:val="0"/>
          <w:numId w:val="3"/>
        </w:numPr>
        <w:spacing w:before="240" w:after="240" w:line="360" w:lineRule="auto"/>
        <w:jc w:val="both"/>
        <w:rPr>
          <w:rFonts w:ascii="Palatino Linotype" w:hAnsi="Palatino Linotype"/>
          <w:color w:val="000000"/>
        </w:rPr>
      </w:pPr>
      <w:r>
        <w:rPr>
          <w:rFonts w:ascii="Palatino Linotype" w:hAnsi="Palatino Linotype"/>
          <w:color w:val="000000"/>
        </w:rPr>
        <w:t>El Departamento de evaluación gestión y control (Autoridad Investigadora)</w:t>
      </w:r>
    </w:p>
    <w:p w14:paraId="26150BA8" w14:textId="77777777" w:rsidR="004B1A4B" w:rsidRPr="008B6E93" w:rsidRDefault="004B1A4B" w:rsidP="004B1A4B">
      <w:pPr>
        <w:pStyle w:val="Prrafodelista"/>
        <w:numPr>
          <w:ilvl w:val="0"/>
          <w:numId w:val="3"/>
        </w:numPr>
        <w:spacing w:before="240" w:after="240" w:line="360" w:lineRule="auto"/>
        <w:jc w:val="both"/>
        <w:rPr>
          <w:rFonts w:ascii="Palatino Linotype" w:hAnsi="Palatino Linotype"/>
          <w:color w:val="000000"/>
        </w:rPr>
      </w:pPr>
      <w:r>
        <w:rPr>
          <w:rFonts w:ascii="Palatino Linotype" w:hAnsi="Palatino Linotype"/>
          <w:color w:val="000000"/>
        </w:rPr>
        <w:t>El Departamento de responsabilidades y situación patrimonial (Autoridad Sustanciadora)</w:t>
      </w:r>
    </w:p>
    <w:p w14:paraId="106CEDE5" w14:textId="36B1B74C" w:rsidR="004B1A4B" w:rsidRDefault="004B1A4B" w:rsidP="004B1A4B">
      <w:pPr>
        <w:spacing w:before="240" w:after="240" w:line="360" w:lineRule="auto"/>
        <w:jc w:val="both"/>
        <w:rPr>
          <w:rFonts w:ascii="Palatino Linotype" w:hAnsi="Palatino Linotype"/>
        </w:rPr>
      </w:pPr>
      <w:r>
        <w:rPr>
          <w:rFonts w:ascii="Palatino Linotype" w:hAnsi="Palatino Linotype"/>
          <w:color w:val="000000"/>
        </w:rPr>
        <w:t xml:space="preserve">De lo que se advierte que el </w:t>
      </w:r>
      <w:r>
        <w:rPr>
          <w:rFonts w:ascii="Palatino Linotype" w:hAnsi="Palatino Linotype"/>
          <w:b/>
          <w:color w:val="000000"/>
        </w:rPr>
        <w:t xml:space="preserve">Sujeto Obligado </w:t>
      </w:r>
      <w:r>
        <w:rPr>
          <w:rFonts w:ascii="Palatino Linotype" w:hAnsi="Palatino Linotype"/>
          <w:color w:val="000000"/>
        </w:rPr>
        <w:t xml:space="preserve">determinó que </w:t>
      </w:r>
      <w:r w:rsidRPr="0074195B">
        <w:rPr>
          <w:rFonts w:ascii="Palatino Linotype" w:hAnsi="Palatino Linotype"/>
          <w:color w:val="000000"/>
        </w:rPr>
        <w:t xml:space="preserve">las autoridades </w:t>
      </w:r>
      <w:r>
        <w:rPr>
          <w:rFonts w:ascii="Palatino Linotype" w:hAnsi="Palatino Linotype"/>
        </w:rPr>
        <w:t xml:space="preserve">señaladas en la Ley de Responsabilidades Administrativas del Estado de México y Municipios, las </w:t>
      </w:r>
      <w:r w:rsidRPr="0074195B">
        <w:rPr>
          <w:rFonts w:ascii="Palatino Linotype" w:hAnsi="Palatino Linotype"/>
          <w:i/>
        </w:rPr>
        <w:t xml:space="preserve">investigadora, substanciadora y </w:t>
      </w:r>
      <w:proofErr w:type="spellStart"/>
      <w:r w:rsidRPr="0074195B">
        <w:rPr>
          <w:rFonts w:ascii="Palatino Linotype" w:hAnsi="Palatino Linotype"/>
          <w:i/>
        </w:rPr>
        <w:t>resolutora</w:t>
      </w:r>
      <w:proofErr w:type="spellEnd"/>
      <w:r>
        <w:rPr>
          <w:rFonts w:ascii="Palatino Linotype" w:hAnsi="Palatino Linotype"/>
        </w:rPr>
        <w:t xml:space="preserve">, se cubrirían a través de </w:t>
      </w:r>
      <w:r w:rsidR="00DF1658">
        <w:rPr>
          <w:rFonts w:ascii="Palatino Linotype" w:hAnsi="Palatino Linotype"/>
        </w:rPr>
        <w:t>las Departamentos ya existentes.</w:t>
      </w:r>
    </w:p>
    <w:p w14:paraId="04234CF4" w14:textId="77777777" w:rsidR="00417006" w:rsidRPr="00417006" w:rsidRDefault="00417006" w:rsidP="004B1A4B">
      <w:pPr>
        <w:spacing w:before="240" w:after="240" w:line="360" w:lineRule="auto"/>
        <w:jc w:val="both"/>
        <w:rPr>
          <w:rFonts w:ascii="Palatino Linotype" w:hAnsi="Palatino Linotype"/>
        </w:rPr>
      </w:pPr>
      <w:r>
        <w:rPr>
          <w:rFonts w:ascii="Palatino Linotype" w:hAnsi="Palatino Linotype"/>
        </w:rPr>
        <w:t xml:space="preserve">Ahora bien, de conformidad con la Ley del Trabajo de los Servidores Públicos del Estado y Municipios, la relación de trabajo entre las instituciones públicas y sus servidores públicos se entiende establecida mediante nombramientos, formato único de movimiento de personal, contrato o cualquier otro acto que tenga como </w:t>
      </w:r>
      <w:r>
        <w:rPr>
          <w:rFonts w:ascii="Palatino Linotype" w:hAnsi="Palatino Linotype"/>
        </w:rPr>
        <w:lastRenderedPageBreak/>
        <w:t xml:space="preserve">consecuencia la prestación personal subordinada del servicio y la </w:t>
      </w:r>
      <w:r w:rsidRPr="00417006">
        <w:rPr>
          <w:rFonts w:ascii="Palatino Linotype" w:hAnsi="Palatino Linotype"/>
        </w:rPr>
        <w:t>percepción de un sueldo.</w:t>
      </w:r>
    </w:p>
    <w:p w14:paraId="6B7B2416" w14:textId="60E6EFEC" w:rsidR="00417006" w:rsidRDefault="00417006" w:rsidP="00417006">
      <w:pPr>
        <w:spacing w:before="240" w:after="240" w:line="360" w:lineRule="auto"/>
        <w:ind w:right="49"/>
        <w:jc w:val="both"/>
        <w:rPr>
          <w:rFonts w:ascii="Palatino Linotype" w:hAnsi="Palatino Linotype" w:cs="Arial"/>
        </w:rPr>
      </w:pPr>
      <w:r>
        <w:rPr>
          <w:rFonts w:ascii="Palatino Linotype" w:hAnsi="Palatino Linotype" w:cs="Arial"/>
        </w:rPr>
        <w:t xml:space="preserve">En relación con las implicaciones anteriores el artículo 3 fracción XXXII del Código Financiero del Estado de México y Municipios, puntualiza lo que se entiende por remuneración, y de manera precisa señala que son </w:t>
      </w:r>
      <w:r w:rsidRPr="00F5530B">
        <w:rPr>
          <w:rFonts w:ascii="Palatino Linotype" w:hAnsi="Palatino Linotype" w:cs="Arial"/>
          <w:i/>
        </w:rPr>
        <w:t>los pagos hechos por concepto de sueldo, compensaciones, gratificaciones, habitaci</w:t>
      </w:r>
      <w:r>
        <w:rPr>
          <w:rFonts w:ascii="Palatino Linotype" w:hAnsi="Palatino Linotype" w:cs="Arial"/>
          <w:i/>
        </w:rPr>
        <w:t>ón</w:t>
      </w:r>
      <w:r w:rsidRPr="00F5530B">
        <w:rPr>
          <w:rFonts w:ascii="Palatino Linotype" w:hAnsi="Palatino Linotype" w:cs="Arial"/>
          <w:i/>
        </w:rPr>
        <w:t>, primas, comisiones, prestaci</w:t>
      </w:r>
      <w:r>
        <w:rPr>
          <w:rFonts w:ascii="Palatino Linotype" w:hAnsi="Palatino Linotype" w:cs="Arial"/>
          <w:i/>
        </w:rPr>
        <w:t xml:space="preserve">ones en especie y cualquier otra percepción o prestación que se entregue al servidor público por su trabajo; </w:t>
      </w:r>
      <w:r>
        <w:rPr>
          <w:rFonts w:ascii="Palatino Linotype" w:hAnsi="Palatino Linotype" w:cs="Arial"/>
        </w:rPr>
        <w:t>de manera, que todos los servidores públicos tienen derecho a recibir remuneraciones irrenunciables por desarrollar actividades laborales; en razón a que dicho derecho se adquiere como consecuencia de desempeñar un empleo, cargo o comisión.</w:t>
      </w:r>
    </w:p>
    <w:p w14:paraId="1E7F1C7E" w14:textId="01706C47" w:rsidR="00417006" w:rsidRDefault="00417006" w:rsidP="00417006">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rPr>
        <w:t xml:space="preserve">Remuneración que </w:t>
      </w:r>
      <w:r w:rsidR="003C5BCA">
        <w:rPr>
          <w:rFonts w:ascii="Palatino Linotype" w:hAnsi="Palatino Linotype"/>
        </w:rPr>
        <w:t xml:space="preserve">en </w:t>
      </w:r>
      <w:r>
        <w:rPr>
          <w:rFonts w:ascii="Palatino Linotype" w:hAnsi="Palatino Linotype"/>
        </w:rPr>
        <w:t>primer lugar</w:t>
      </w:r>
      <w:r w:rsidR="00111A41">
        <w:rPr>
          <w:rFonts w:ascii="Palatino Linotype" w:hAnsi="Palatino Linotype"/>
        </w:rPr>
        <w:t>,</w:t>
      </w:r>
      <w:r>
        <w:rPr>
          <w:rFonts w:ascii="Palatino Linotype" w:hAnsi="Palatino Linotype"/>
        </w:rPr>
        <w:t xml:space="preserve"> debe ser considerada en el </w:t>
      </w:r>
      <w:r>
        <w:rPr>
          <w:rFonts w:ascii="Palatino Linotype" w:hAnsi="Palatino Linotype"/>
          <w:color w:val="000000"/>
        </w:rPr>
        <w:t xml:space="preserve">presupuesto anual de </w:t>
      </w:r>
      <w:r>
        <w:rPr>
          <w:rFonts w:ascii="Palatino Linotype" w:hAnsi="Palatino Linotype"/>
        </w:rPr>
        <w:t xml:space="preserve">conformidad con lo establecido en los </w:t>
      </w:r>
      <w:r w:rsidRPr="00C51140">
        <w:rPr>
          <w:rFonts w:ascii="Palatino Linotype" w:hAnsi="Palatino Linotype"/>
        </w:rPr>
        <w:t>Lineamientos</w:t>
      </w:r>
      <w:r>
        <w:rPr>
          <w:rFonts w:ascii="Palatino Linotype" w:hAnsi="Palatino Linotype"/>
        </w:rPr>
        <w:t xml:space="preserve"> para la entrega del Presupuesto de Egresos Municipal del Ejercicio fiscal 2017 y 2018</w:t>
      </w:r>
      <w:r w:rsidR="00111A41">
        <w:rPr>
          <w:rFonts w:ascii="Palatino Linotype" w:hAnsi="Palatino Linotype"/>
        </w:rPr>
        <w:t xml:space="preserve"> en</w:t>
      </w:r>
      <w:r>
        <w:rPr>
          <w:rFonts w:ascii="Palatino Linotype" w:hAnsi="Palatino Linotype"/>
          <w:color w:val="000000"/>
        </w:rPr>
        <w:t xml:space="preserve"> el tabulador de sueldos</w:t>
      </w:r>
      <w:r w:rsidR="00111A41">
        <w:rPr>
          <w:rFonts w:ascii="Palatino Linotype" w:hAnsi="Palatino Linotype"/>
          <w:color w:val="000000"/>
        </w:rPr>
        <w:t xml:space="preserve"> y en la remuneración considerada para los servidores</w:t>
      </w:r>
      <w:r>
        <w:rPr>
          <w:rFonts w:ascii="Palatino Linotype" w:hAnsi="Palatino Linotype"/>
          <w:color w:val="000000"/>
        </w:rPr>
        <w:t>, que contendrán como mínimo, el puesto funcional, nivel, número de plazas, categoría (confianza, sindicalizado, eventual), dietas, sueldo base, sueldo base para personal eventual, compensación, gratificación, otras percepciones, aguinaldo, aguinaldo de eventuales, prima vacacional y total, l</w:t>
      </w:r>
      <w:r w:rsidR="00726DD1">
        <w:rPr>
          <w:rFonts w:ascii="Palatino Linotype" w:hAnsi="Palatino Linotype"/>
          <w:color w:val="000000"/>
        </w:rPr>
        <w:t>os</w:t>
      </w:r>
      <w:r>
        <w:rPr>
          <w:rFonts w:ascii="Palatino Linotype" w:hAnsi="Palatino Linotype"/>
          <w:color w:val="000000"/>
        </w:rPr>
        <w:t xml:space="preserve"> cual</w:t>
      </w:r>
      <w:r w:rsidR="00726DD1">
        <w:rPr>
          <w:rFonts w:ascii="Palatino Linotype" w:hAnsi="Palatino Linotype"/>
          <w:color w:val="000000"/>
        </w:rPr>
        <w:t>es</w:t>
      </w:r>
      <w:r>
        <w:rPr>
          <w:rFonts w:ascii="Palatino Linotype" w:hAnsi="Palatino Linotype"/>
          <w:color w:val="000000"/>
        </w:rPr>
        <w:t xml:space="preserve"> será</w:t>
      </w:r>
      <w:r w:rsidR="00726DD1">
        <w:rPr>
          <w:rFonts w:ascii="Palatino Linotype" w:hAnsi="Palatino Linotype"/>
          <w:color w:val="000000"/>
        </w:rPr>
        <w:t>n</w:t>
      </w:r>
      <w:r>
        <w:rPr>
          <w:rFonts w:ascii="Palatino Linotype" w:hAnsi="Palatino Linotype"/>
          <w:color w:val="000000"/>
        </w:rPr>
        <w:t xml:space="preserve"> llenado</w:t>
      </w:r>
      <w:r w:rsidR="00726DD1">
        <w:rPr>
          <w:rFonts w:ascii="Palatino Linotype" w:hAnsi="Palatino Linotype"/>
          <w:color w:val="000000"/>
        </w:rPr>
        <w:t>s</w:t>
      </w:r>
      <w:r>
        <w:rPr>
          <w:rFonts w:ascii="Palatino Linotype" w:hAnsi="Palatino Linotype"/>
          <w:color w:val="000000"/>
        </w:rPr>
        <w:t xml:space="preserve"> conforme a</w:t>
      </w:r>
      <w:r w:rsidR="00726DD1">
        <w:rPr>
          <w:rFonts w:ascii="Palatino Linotype" w:hAnsi="Palatino Linotype"/>
          <w:color w:val="000000"/>
        </w:rPr>
        <w:t xml:space="preserve"> </w:t>
      </w:r>
      <w:r>
        <w:rPr>
          <w:rFonts w:ascii="Palatino Linotype" w:hAnsi="Palatino Linotype"/>
          <w:color w:val="000000"/>
        </w:rPr>
        <w:t>l</w:t>
      </w:r>
      <w:r w:rsidR="00726DD1">
        <w:rPr>
          <w:rFonts w:ascii="Palatino Linotype" w:hAnsi="Palatino Linotype"/>
          <w:color w:val="000000"/>
        </w:rPr>
        <w:t>os</w:t>
      </w:r>
      <w:r>
        <w:rPr>
          <w:rFonts w:ascii="Palatino Linotype" w:hAnsi="Palatino Linotype"/>
          <w:color w:val="000000"/>
        </w:rPr>
        <w:t xml:space="preserve"> siguiente</w:t>
      </w:r>
      <w:r w:rsidR="00726DD1">
        <w:rPr>
          <w:rFonts w:ascii="Palatino Linotype" w:hAnsi="Palatino Linotype"/>
          <w:color w:val="000000"/>
        </w:rPr>
        <w:t>s</w:t>
      </w:r>
      <w:r>
        <w:rPr>
          <w:rFonts w:ascii="Palatino Linotype" w:hAnsi="Palatino Linotype"/>
          <w:color w:val="000000"/>
        </w:rPr>
        <w:t xml:space="preserve"> instructivo</w:t>
      </w:r>
      <w:r w:rsidR="00726DD1">
        <w:rPr>
          <w:rFonts w:ascii="Palatino Linotype" w:hAnsi="Palatino Linotype"/>
          <w:color w:val="000000"/>
        </w:rPr>
        <w:t>s</w:t>
      </w:r>
      <w:r>
        <w:rPr>
          <w:rFonts w:ascii="Palatino Linotype" w:hAnsi="Palatino Linotype"/>
          <w:color w:val="000000"/>
        </w:rPr>
        <w:t>:</w:t>
      </w:r>
    </w:p>
    <w:p w14:paraId="0D74D303" w14:textId="77777777" w:rsidR="00417006" w:rsidRDefault="00417006" w:rsidP="00417006">
      <w:pPr>
        <w:autoSpaceDE w:val="0"/>
        <w:autoSpaceDN w:val="0"/>
        <w:adjustRightInd w:val="0"/>
        <w:spacing w:before="240" w:after="240" w:line="360" w:lineRule="auto"/>
        <w:jc w:val="both"/>
        <w:rPr>
          <w:rFonts w:ascii="Palatino Linotype" w:hAnsi="Palatino Linotype"/>
          <w:color w:val="000000"/>
        </w:rPr>
      </w:pPr>
      <w:r w:rsidRPr="0009456A">
        <w:rPr>
          <w:rFonts w:ascii="Palatino Linotype" w:hAnsi="Palatino Linotype"/>
          <w:noProof/>
          <w:color w:val="000000"/>
          <w:lang w:val="es-MX" w:eastAsia="es-MX"/>
        </w:rPr>
        <w:lastRenderedPageBreak/>
        <w:drawing>
          <wp:inline distT="0" distB="0" distL="0" distR="0" wp14:anchorId="1F1C9037" wp14:editId="25D541E8">
            <wp:extent cx="5612130" cy="39839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983990"/>
                    </a:xfrm>
                    <a:prstGeom prst="rect">
                      <a:avLst/>
                    </a:prstGeom>
                  </pic:spPr>
                </pic:pic>
              </a:graphicData>
            </a:graphic>
          </wp:inline>
        </w:drawing>
      </w:r>
    </w:p>
    <w:p w14:paraId="2C2EAA89" w14:textId="1F739586" w:rsidR="006F48B0" w:rsidRDefault="006F48B0" w:rsidP="008D0725">
      <w:pPr>
        <w:spacing w:before="240" w:after="240" w:line="360" w:lineRule="auto"/>
        <w:jc w:val="both"/>
        <w:rPr>
          <w:rFonts w:ascii="Palatino Linotype" w:hAnsi="Palatino Linotype"/>
        </w:rPr>
      </w:pPr>
      <w:r w:rsidRPr="006F48B0">
        <w:rPr>
          <w:rFonts w:ascii="Palatino Linotype" w:hAnsi="Palatino Linotype"/>
          <w:noProof/>
          <w:lang w:val="es-MX" w:eastAsia="es-MX"/>
        </w:rPr>
        <w:drawing>
          <wp:inline distT="0" distB="0" distL="0" distR="0" wp14:anchorId="303BEAA8" wp14:editId="199D93BD">
            <wp:extent cx="5612130" cy="16116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11630"/>
                    </a:xfrm>
                    <a:prstGeom prst="rect">
                      <a:avLst/>
                    </a:prstGeom>
                  </pic:spPr>
                </pic:pic>
              </a:graphicData>
            </a:graphic>
          </wp:inline>
        </w:drawing>
      </w:r>
    </w:p>
    <w:p w14:paraId="2E3643C2" w14:textId="10E088EA" w:rsidR="006F48B0" w:rsidRDefault="006F48B0" w:rsidP="006F48B0">
      <w:pPr>
        <w:spacing w:before="240" w:after="240" w:line="360" w:lineRule="auto"/>
        <w:jc w:val="center"/>
        <w:rPr>
          <w:rFonts w:ascii="Palatino Linotype" w:hAnsi="Palatino Linotype"/>
        </w:rPr>
      </w:pPr>
      <w:r w:rsidRPr="006F48B0">
        <w:rPr>
          <w:rFonts w:ascii="Palatino Linotype" w:hAnsi="Palatino Linotype"/>
          <w:noProof/>
          <w:lang w:val="es-MX" w:eastAsia="es-MX"/>
        </w:rPr>
        <w:lastRenderedPageBreak/>
        <w:drawing>
          <wp:inline distT="0" distB="0" distL="0" distR="0" wp14:anchorId="10F12080" wp14:editId="37829FA6">
            <wp:extent cx="3774158" cy="49194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76916" cy="4923067"/>
                    </a:xfrm>
                    <a:prstGeom prst="rect">
                      <a:avLst/>
                    </a:prstGeom>
                  </pic:spPr>
                </pic:pic>
              </a:graphicData>
            </a:graphic>
          </wp:inline>
        </w:drawing>
      </w:r>
    </w:p>
    <w:p w14:paraId="0D50460D" w14:textId="77777777" w:rsidR="00111A41" w:rsidRDefault="00111A41" w:rsidP="00111A41">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Visto desde el marco normativo planteado, el </w:t>
      </w:r>
      <w:r>
        <w:rPr>
          <w:rFonts w:ascii="Palatino Linotype" w:hAnsi="Palatino Linotype"/>
          <w:b/>
          <w:color w:val="000000"/>
        </w:rPr>
        <w:t xml:space="preserve">Sujeto Obligado </w:t>
      </w:r>
      <w:r>
        <w:rPr>
          <w:rFonts w:ascii="Palatino Linotype" w:hAnsi="Palatino Linotype"/>
          <w:color w:val="000000"/>
        </w:rPr>
        <w:t>debe integrar su presupuesto de egresos anual, tomando en consideración la remuneración total anual a los servidores públicos con base en el tabulador de sueldos respectivo.</w:t>
      </w:r>
    </w:p>
    <w:p w14:paraId="0CDF844A" w14:textId="40A4CCA7" w:rsidR="00111A41" w:rsidRDefault="00111A41" w:rsidP="008B6E93">
      <w:pPr>
        <w:autoSpaceDE w:val="0"/>
        <w:autoSpaceDN w:val="0"/>
        <w:adjustRightInd w:val="0"/>
        <w:spacing w:before="240" w:after="240" w:line="360" w:lineRule="auto"/>
        <w:jc w:val="both"/>
        <w:rPr>
          <w:rFonts w:ascii="Palatino Linotype" w:hAnsi="Palatino Linotype"/>
          <w:i/>
        </w:rPr>
      </w:pPr>
      <w:r>
        <w:rPr>
          <w:rFonts w:ascii="Palatino Linotype" w:hAnsi="Palatino Linotype"/>
          <w:color w:val="000000"/>
        </w:rPr>
        <w:t xml:space="preserve">Bajo dichos argumentos conviene hacer alusión al </w:t>
      </w:r>
      <w:r w:rsidRPr="00911BE1">
        <w:rPr>
          <w:rFonts w:ascii="Palatino Linotype" w:hAnsi="Palatino Linotype"/>
        </w:rPr>
        <w:t xml:space="preserve">Manual para la Planeación, Programación y </w:t>
      </w:r>
      <w:proofErr w:type="spellStart"/>
      <w:r w:rsidRPr="00911BE1">
        <w:rPr>
          <w:rFonts w:ascii="Palatino Linotype" w:hAnsi="Palatino Linotype"/>
        </w:rPr>
        <w:t>Presupuestación</w:t>
      </w:r>
      <w:proofErr w:type="spellEnd"/>
      <w:r w:rsidRPr="00911BE1">
        <w:rPr>
          <w:rFonts w:ascii="Palatino Linotype" w:hAnsi="Palatino Linotype"/>
        </w:rPr>
        <w:t xml:space="preserve"> Municipal para el Ejercicio Fiscal 2017</w:t>
      </w:r>
      <w:r>
        <w:rPr>
          <w:rFonts w:ascii="Palatino Linotype" w:hAnsi="Palatino Linotype"/>
        </w:rPr>
        <w:t xml:space="preserve">, que conceptualiza al presupuesto como </w:t>
      </w:r>
      <w:r w:rsidRPr="00111A41">
        <w:rPr>
          <w:rFonts w:ascii="Palatino Linotype" w:hAnsi="Palatino Linotype"/>
          <w:i/>
        </w:rPr>
        <w:t xml:space="preserve">el instrumento jurídico, de política económica y de política de gasto, que aprueba el Cabildo, conforme a la propuesta que presenta el C. Presidente Municipal, en el cual se establece el ejercicio, control y evaluación del gasto </w:t>
      </w:r>
      <w:r w:rsidRPr="00111A41">
        <w:rPr>
          <w:rFonts w:ascii="Palatino Linotype" w:hAnsi="Palatino Linotype"/>
          <w:i/>
        </w:rPr>
        <w:lastRenderedPageBreak/>
        <w:t>público de las Dependencias y Organismos Municipales, a través de los programas derivados del Plan de Desarrollo Municipal, durante el ejercicio fiscal correspondiente</w:t>
      </w:r>
      <w:r>
        <w:rPr>
          <w:rFonts w:ascii="Palatino Linotype" w:hAnsi="Palatino Linotype"/>
          <w:i/>
        </w:rPr>
        <w:t>.</w:t>
      </w:r>
    </w:p>
    <w:p w14:paraId="492DD0A4" w14:textId="77777777" w:rsidR="00C963A0" w:rsidRDefault="00111A41" w:rsidP="00C963A0">
      <w:pPr>
        <w:pStyle w:val="Default"/>
        <w:spacing w:before="240" w:after="240" w:line="360" w:lineRule="auto"/>
        <w:ind w:right="51"/>
        <w:jc w:val="both"/>
        <w:rPr>
          <w:rFonts w:ascii="Palatino Linotype" w:hAnsi="Palatino Linotype"/>
        </w:rPr>
      </w:pPr>
      <w:r w:rsidRPr="00111A41">
        <w:rPr>
          <w:rFonts w:ascii="Palatino Linotype" w:hAnsi="Palatino Linotype"/>
        </w:rPr>
        <w:t>Instrumento jurídico</w:t>
      </w:r>
      <w:r>
        <w:rPr>
          <w:rFonts w:ascii="Palatino Linotype" w:hAnsi="Palatino Linotype"/>
        </w:rPr>
        <w:t>,</w:t>
      </w:r>
      <w:r w:rsidRPr="00111A41">
        <w:rPr>
          <w:rFonts w:ascii="Palatino Linotype" w:hAnsi="Palatino Linotype"/>
        </w:rPr>
        <w:t xml:space="preserve"> </w:t>
      </w:r>
      <w:r>
        <w:rPr>
          <w:rFonts w:ascii="Palatino Linotype" w:hAnsi="Palatino Linotype"/>
        </w:rPr>
        <w:t>que debe ser aprobado a más tardar el 20 de diciembre de cada año</w:t>
      </w:r>
      <w:r w:rsidR="00C963A0">
        <w:rPr>
          <w:rFonts w:ascii="Palatino Linotype" w:hAnsi="Palatino Linotype"/>
        </w:rPr>
        <w:t>, así como</w:t>
      </w:r>
      <w:r>
        <w:rPr>
          <w:rFonts w:ascii="Palatino Linotype" w:hAnsi="Palatino Linotype"/>
        </w:rPr>
        <w:t xml:space="preserve"> promulgado y publicado a más tardar el día 25 de febrero de cada año, por el Presidente Municipal, </w:t>
      </w:r>
      <w:r w:rsidR="00C963A0">
        <w:rPr>
          <w:rFonts w:ascii="Palatino Linotype" w:hAnsi="Palatino Linotype"/>
        </w:rPr>
        <w:t>al contener las contener las previsiones de gasto público que habrá de realizar el municipio</w:t>
      </w:r>
      <w:r w:rsidR="00C963A0">
        <w:rPr>
          <w:rStyle w:val="Refdenotaalpie"/>
          <w:rFonts w:ascii="Palatino Linotype" w:hAnsi="Palatino Linotype"/>
        </w:rPr>
        <w:footnoteReference w:id="7"/>
      </w:r>
      <w:r w:rsidR="00C963A0">
        <w:rPr>
          <w:rFonts w:ascii="Palatino Linotype" w:hAnsi="Palatino Linotype"/>
        </w:rPr>
        <w:t>, y se integrara de conformidad con lo previsto en el artículo 101 de la Ley en cita, que se inserta enseguida:</w:t>
      </w:r>
    </w:p>
    <w:p w14:paraId="7DA9F3F9" w14:textId="77777777" w:rsidR="00C963A0" w:rsidRPr="005A6C62" w:rsidRDefault="00C963A0" w:rsidP="00C963A0">
      <w:pPr>
        <w:pStyle w:val="Default"/>
        <w:spacing w:after="120"/>
        <w:ind w:left="851" w:right="900"/>
        <w:jc w:val="both"/>
        <w:rPr>
          <w:rFonts w:ascii="Palatino Linotype" w:hAnsi="Palatino Linotype"/>
          <w:i/>
          <w:sz w:val="20"/>
          <w:szCs w:val="20"/>
        </w:rPr>
      </w:pPr>
      <w:r>
        <w:rPr>
          <w:rFonts w:ascii="Palatino Linotype" w:hAnsi="Palatino Linotype"/>
          <w:b/>
          <w:i/>
          <w:sz w:val="20"/>
          <w:szCs w:val="20"/>
        </w:rPr>
        <w:t>“</w:t>
      </w:r>
      <w:r w:rsidRPr="005A6C62">
        <w:rPr>
          <w:rFonts w:ascii="Palatino Linotype" w:hAnsi="Palatino Linotype"/>
          <w:b/>
          <w:i/>
          <w:sz w:val="20"/>
          <w:szCs w:val="20"/>
        </w:rPr>
        <w:t>Artículo 101.</w:t>
      </w:r>
      <w:r w:rsidRPr="005A6C62">
        <w:rPr>
          <w:rFonts w:ascii="Palatino Linotype" w:hAnsi="Palatino Linotype"/>
          <w:i/>
          <w:sz w:val="20"/>
          <w:szCs w:val="20"/>
        </w:rPr>
        <w:t xml:space="preserve">- El proyecto del presupuesto de egresos se integrará básicamente con:  </w:t>
      </w:r>
    </w:p>
    <w:p w14:paraId="7C0193D6" w14:textId="77777777" w:rsidR="00C963A0" w:rsidRPr="005A6C62" w:rsidRDefault="00C963A0" w:rsidP="00C963A0">
      <w:pPr>
        <w:pStyle w:val="Default"/>
        <w:spacing w:after="120"/>
        <w:ind w:left="1134" w:right="900"/>
        <w:jc w:val="both"/>
        <w:rPr>
          <w:rFonts w:ascii="Palatino Linotype" w:hAnsi="Palatino Linotype"/>
          <w:i/>
          <w:sz w:val="20"/>
          <w:szCs w:val="20"/>
        </w:rPr>
      </w:pPr>
      <w:r w:rsidRPr="005A6C62">
        <w:rPr>
          <w:rFonts w:ascii="Palatino Linotype" w:hAnsi="Palatino Linotype"/>
          <w:i/>
          <w:sz w:val="20"/>
          <w:szCs w:val="20"/>
        </w:rPr>
        <w:t xml:space="preserve">I. Los programas en que se señalen objetivos, metas y unidades responsables para su ejecución, así como la valuación estimada del programa;  </w:t>
      </w:r>
    </w:p>
    <w:p w14:paraId="639166A9" w14:textId="77777777" w:rsidR="00C963A0" w:rsidRPr="005A6C62" w:rsidRDefault="00C963A0" w:rsidP="00C963A0">
      <w:pPr>
        <w:pStyle w:val="Default"/>
        <w:spacing w:after="120"/>
        <w:ind w:left="1134" w:right="900"/>
        <w:jc w:val="both"/>
        <w:rPr>
          <w:rFonts w:ascii="Palatino Linotype" w:hAnsi="Palatino Linotype"/>
          <w:i/>
          <w:sz w:val="20"/>
          <w:szCs w:val="20"/>
        </w:rPr>
      </w:pPr>
      <w:r w:rsidRPr="005A6C62">
        <w:rPr>
          <w:rFonts w:ascii="Palatino Linotype" w:hAnsi="Palatino Linotype"/>
          <w:i/>
          <w:sz w:val="20"/>
          <w:szCs w:val="20"/>
        </w:rPr>
        <w:t xml:space="preserve">II. Estimación de los ingresos y gastos del ejercicio fiscal calendarizados;  </w:t>
      </w:r>
    </w:p>
    <w:p w14:paraId="5C1C4D37" w14:textId="77777777" w:rsidR="00C963A0" w:rsidRPr="005A6C62" w:rsidRDefault="00C963A0" w:rsidP="00C963A0">
      <w:pPr>
        <w:pStyle w:val="Default"/>
        <w:spacing w:after="120"/>
        <w:ind w:left="1134" w:right="900"/>
        <w:jc w:val="both"/>
        <w:rPr>
          <w:rFonts w:ascii="Palatino Linotype" w:hAnsi="Palatino Linotype"/>
          <w:i/>
          <w:sz w:val="20"/>
          <w:szCs w:val="20"/>
        </w:rPr>
      </w:pPr>
      <w:r w:rsidRPr="005A6C62">
        <w:rPr>
          <w:rFonts w:ascii="Palatino Linotype" w:hAnsi="Palatino Linotype"/>
          <w:i/>
          <w:sz w:val="20"/>
          <w:szCs w:val="20"/>
        </w:rPr>
        <w:t xml:space="preserve">III. Situación de la deuda pública.  </w:t>
      </w:r>
    </w:p>
    <w:p w14:paraId="44CB1F6E" w14:textId="77777777" w:rsidR="00C963A0" w:rsidRPr="005A6C62" w:rsidRDefault="00C963A0" w:rsidP="00C963A0">
      <w:pPr>
        <w:pStyle w:val="Default"/>
        <w:spacing w:after="120"/>
        <w:ind w:left="851" w:right="900"/>
        <w:jc w:val="both"/>
        <w:rPr>
          <w:rFonts w:ascii="Palatino Linotype" w:hAnsi="Palatino Linotype"/>
          <w:i/>
          <w:sz w:val="20"/>
          <w:szCs w:val="20"/>
        </w:rPr>
      </w:pPr>
      <w:r w:rsidRPr="005A6C62">
        <w:rPr>
          <w:rFonts w:ascii="Palatino Linotype" w:hAnsi="Palatino Linotype"/>
          <w:i/>
          <w:sz w:val="20"/>
          <w:szCs w:val="20"/>
        </w:rPr>
        <w:t>El proyecto de presupuesto de egresos deberá realizarse con base en los criterios de proporcionalidad y equidad, considerando las necesidades básicas de las localidades que integran al municipio.</w:t>
      </w:r>
      <w:r>
        <w:rPr>
          <w:rFonts w:ascii="Palatino Linotype" w:hAnsi="Palatino Linotype"/>
          <w:i/>
          <w:sz w:val="20"/>
          <w:szCs w:val="20"/>
        </w:rPr>
        <w:t>”</w:t>
      </w:r>
    </w:p>
    <w:p w14:paraId="640664D7" w14:textId="44550E05" w:rsidR="00C963A0" w:rsidRDefault="00C963A0" w:rsidP="00C963A0">
      <w:pPr>
        <w:pStyle w:val="Default"/>
        <w:spacing w:before="240" w:after="240" w:line="360" w:lineRule="auto"/>
        <w:ind w:right="51"/>
        <w:jc w:val="both"/>
        <w:rPr>
          <w:rFonts w:ascii="Palatino Linotype" w:hAnsi="Palatino Linotype"/>
        </w:rPr>
      </w:pPr>
      <w:r>
        <w:rPr>
          <w:rFonts w:ascii="Palatino Linotype" w:hAnsi="Palatino Linotype"/>
        </w:rPr>
        <w:t xml:space="preserve">De manera, que el presupuesto de egresos </w:t>
      </w:r>
      <w:r w:rsidR="00A51357">
        <w:rPr>
          <w:rFonts w:ascii="Palatino Linotype" w:hAnsi="Palatino Linotype"/>
        </w:rPr>
        <w:t>es el i</w:t>
      </w:r>
      <w:r>
        <w:rPr>
          <w:rFonts w:ascii="Palatino Linotype" w:hAnsi="Palatino Linotype"/>
        </w:rPr>
        <w:t xml:space="preserve">nstrumento </w:t>
      </w:r>
      <w:r w:rsidR="00293E07">
        <w:rPr>
          <w:rFonts w:ascii="Palatino Linotype" w:hAnsi="Palatino Linotype"/>
        </w:rPr>
        <w:t xml:space="preserve">que </w:t>
      </w:r>
      <w:r>
        <w:rPr>
          <w:rFonts w:ascii="Palatino Linotype" w:hAnsi="Palatino Linotype"/>
        </w:rPr>
        <w:t xml:space="preserve">permite a los ayuntamientos y a las entidades públicas municipales, componer la asignación de los recursos públicos con un enfoque de resultados de conformidad con lo establecido en la Constitución Local, la Ley Orgánica Municipal del Estado de México y el Código Financiero del Estado de México y Municipios, que permita integrar u operar el presupuesto que ejercerán las Dependencias Generales, Auxiliares y los Organismos Municipales en congruencia con lo establecido en el Plan de Desarrollo Municipal, y para ello el presupuesto de egresos se integra con los recursos destinados a los Ayuntamientos y sus Organismos Municipales, </w:t>
      </w:r>
      <w:r>
        <w:rPr>
          <w:rFonts w:ascii="Palatino Linotype" w:hAnsi="Palatino Linotype"/>
        </w:rPr>
        <w:lastRenderedPageBreak/>
        <w:t>conforme al gasto programable y no programable, que comprenden los siguientes capítulos:</w:t>
      </w:r>
    </w:p>
    <w:p w14:paraId="0C4BE3C4" w14:textId="77777777" w:rsidR="00C963A0" w:rsidRDefault="00C963A0" w:rsidP="00C963A0">
      <w:pPr>
        <w:autoSpaceDE w:val="0"/>
        <w:autoSpaceDN w:val="0"/>
        <w:adjustRightInd w:val="0"/>
        <w:spacing w:after="120"/>
        <w:ind w:left="567"/>
        <w:jc w:val="both"/>
        <w:rPr>
          <w:rFonts w:ascii="Palatino Linotype" w:hAnsi="Palatino Linotype"/>
        </w:rPr>
      </w:pPr>
      <w:r w:rsidRPr="00151A27">
        <w:rPr>
          <w:rFonts w:ascii="Palatino Linotype" w:hAnsi="Palatino Linotype"/>
        </w:rPr>
        <w:t xml:space="preserve">I. El gasto programable comprende los siguientes capítulos: </w:t>
      </w:r>
    </w:p>
    <w:p w14:paraId="566D8EA0"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a). 1000 Servicios Personales. </w:t>
      </w:r>
    </w:p>
    <w:p w14:paraId="44056159"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b). 2000 Materiales y Suministros. </w:t>
      </w:r>
    </w:p>
    <w:p w14:paraId="1D746947"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c). 3000 Servicios Generales. </w:t>
      </w:r>
    </w:p>
    <w:p w14:paraId="15F78962"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d).4000 Transferencias, Asignaciones, Subsidios y otras ayudas. </w:t>
      </w:r>
    </w:p>
    <w:p w14:paraId="545E3E1B"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e). 5000 Bienes Muebles, Inmuebles e Intangibles. </w:t>
      </w:r>
    </w:p>
    <w:p w14:paraId="3E8172EB"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f). 6000 Inversión Pública. </w:t>
      </w:r>
    </w:p>
    <w:p w14:paraId="07226470"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g). 7000 Inversiones Financieras y otras provisiones. </w:t>
      </w:r>
    </w:p>
    <w:p w14:paraId="4D73BF9B" w14:textId="77777777" w:rsidR="00C963A0" w:rsidRDefault="00C963A0" w:rsidP="00C963A0">
      <w:pPr>
        <w:autoSpaceDE w:val="0"/>
        <w:autoSpaceDN w:val="0"/>
        <w:adjustRightInd w:val="0"/>
        <w:spacing w:after="120"/>
        <w:ind w:left="567"/>
        <w:jc w:val="both"/>
        <w:rPr>
          <w:rFonts w:ascii="Palatino Linotype" w:hAnsi="Palatino Linotype"/>
        </w:rPr>
      </w:pPr>
      <w:r w:rsidRPr="00151A27">
        <w:rPr>
          <w:rFonts w:ascii="Palatino Linotype" w:hAnsi="Palatino Linotype"/>
        </w:rPr>
        <w:t xml:space="preserve">II. El gasto no programable comprende los siguientes capítulos: </w:t>
      </w:r>
    </w:p>
    <w:p w14:paraId="6C8A6982" w14:textId="77777777" w:rsidR="00C963A0" w:rsidRDefault="00C963A0" w:rsidP="00C963A0">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a). 8000 Participaciones y Aportaciones. </w:t>
      </w:r>
    </w:p>
    <w:p w14:paraId="14FE9604" w14:textId="77777777" w:rsidR="00C963A0" w:rsidRPr="00151A27" w:rsidRDefault="00C963A0" w:rsidP="00C963A0">
      <w:pPr>
        <w:autoSpaceDE w:val="0"/>
        <w:autoSpaceDN w:val="0"/>
        <w:adjustRightInd w:val="0"/>
        <w:spacing w:after="120"/>
        <w:ind w:left="851"/>
        <w:jc w:val="both"/>
        <w:rPr>
          <w:rFonts w:ascii="Palatino Linotype" w:hAnsi="Palatino Linotype" w:cs="Arial"/>
        </w:rPr>
      </w:pPr>
      <w:r w:rsidRPr="00151A27">
        <w:rPr>
          <w:rFonts w:ascii="Palatino Linotype" w:hAnsi="Palatino Linotype"/>
        </w:rPr>
        <w:t>b). 9000 Deuda Pública.</w:t>
      </w:r>
    </w:p>
    <w:p w14:paraId="34FF776C" w14:textId="18750321" w:rsidR="00C963A0" w:rsidRDefault="00C963A0" w:rsidP="00C963A0">
      <w:pPr>
        <w:spacing w:before="240" w:after="360" w:line="360" w:lineRule="auto"/>
        <w:jc w:val="both"/>
        <w:rPr>
          <w:rFonts w:ascii="Palatino Linotype" w:hAnsi="Palatino Linotype"/>
        </w:rPr>
      </w:pPr>
      <w:r>
        <w:rPr>
          <w:rFonts w:ascii="Palatino Linotype" w:hAnsi="Palatino Linotype"/>
        </w:rPr>
        <w:t>Mismo que deberá presentarse al Órgano Superior de Fiscalización del Estado de México (</w:t>
      </w:r>
      <w:proofErr w:type="spellStart"/>
      <w:r>
        <w:rPr>
          <w:rFonts w:ascii="Palatino Linotype" w:hAnsi="Palatino Linotype"/>
        </w:rPr>
        <w:t>OSFEM</w:t>
      </w:r>
      <w:proofErr w:type="spellEnd"/>
      <w:r>
        <w:rPr>
          <w:rFonts w:ascii="Palatino Linotype" w:hAnsi="Palatino Linotype"/>
        </w:rPr>
        <w:t>)</w:t>
      </w:r>
      <w:r>
        <w:rPr>
          <w:rStyle w:val="Refdenotaalpie"/>
          <w:rFonts w:ascii="Palatino Linotype" w:hAnsi="Palatino Linotype"/>
        </w:rPr>
        <w:footnoteReference w:id="8"/>
      </w:r>
      <w:r>
        <w:rPr>
          <w:rFonts w:ascii="Palatino Linotype" w:hAnsi="Palatino Linotype"/>
        </w:rPr>
        <w:t>, se acompaña</w:t>
      </w:r>
      <w:r w:rsidR="00667C8B">
        <w:rPr>
          <w:rFonts w:ascii="Palatino Linotype" w:hAnsi="Palatino Linotype"/>
        </w:rPr>
        <w:t>do</w:t>
      </w:r>
      <w:r>
        <w:rPr>
          <w:rFonts w:ascii="Palatino Linotype" w:hAnsi="Palatino Linotype"/>
        </w:rPr>
        <w:t xml:space="preserve"> por información impresa y archivos electrónicos, con base a lo siguiente, atendiendo siempre los lineamientos y disposiciones que establezca el Órgano:</w:t>
      </w:r>
    </w:p>
    <w:p w14:paraId="47954619" w14:textId="77777777" w:rsidR="00C963A0" w:rsidRDefault="00C963A0" w:rsidP="00C963A0">
      <w:pPr>
        <w:autoSpaceDE w:val="0"/>
        <w:autoSpaceDN w:val="0"/>
        <w:adjustRightInd w:val="0"/>
        <w:spacing w:after="120"/>
        <w:ind w:left="851" w:right="900"/>
        <w:jc w:val="both"/>
        <w:rPr>
          <w:rFonts w:ascii="Palatino Linotype" w:eastAsiaTheme="minorEastAsia" w:hAnsi="Palatino Linotype" w:cs="Arial"/>
          <w:i/>
          <w:sz w:val="20"/>
          <w:szCs w:val="20"/>
          <w:lang w:val="es-MX"/>
        </w:rPr>
      </w:pPr>
      <w:r>
        <w:rPr>
          <w:rFonts w:ascii="Palatino Linotype" w:eastAsiaTheme="minorEastAsia" w:hAnsi="Palatino Linotype" w:cs="Arial"/>
          <w:i/>
          <w:sz w:val="20"/>
          <w:szCs w:val="20"/>
          <w:lang w:val="es-MX"/>
        </w:rPr>
        <w:t>“</w:t>
      </w:r>
      <w:r w:rsidRPr="00883B07">
        <w:rPr>
          <w:rFonts w:ascii="Palatino Linotype" w:eastAsiaTheme="minorEastAsia" w:hAnsi="Palatino Linotype" w:cs="Arial"/>
          <w:i/>
          <w:sz w:val="20"/>
          <w:szCs w:val="20"/>
          <w:lang w:val="es-MX"/>
        </w:rPr>
        <w:t>Para la presentación al Órgano Superior de Fiscalización del Estado de México del Presupuesto de Egresos Municipal</w:t>
      </w:r>
      <w:r>
        <w:rPr>
          <w:rFonts w:ascii="Palatino Linotype" w:eastAsiaTheme="minorEastAsia" w:hAnsi="Palatino Linotype" w:cs="Arial"/>
          <w:i/>
          <w:sz w:val="20"/>
          <w:szCs w:val="20"/>
          <w:lang w:val="es-MX"/>
        </w:rPr>
        <w:t xml:space="preserve"> </w:t>
      </w:r>
      <w:r w:rsidRPr="00883B07">
        <w:rPr>
          <w:rFonts w:ascii="Palatino Linotype" w:eastAsiaTheme="minorEastAsia" w:hAnsi="Palatino Linotype" w:cs="Arial"/>
          <w:i/>
          <w:sz w:val="20"/>
          <w:szCs w:val="20"/>
          <w:lang w:val="es-MX"/>
        </w:rPr>
        <w:t>deberá contener la siguiente información impresa:</w:t>
      </w:r>
    </w:p>
    <w:p w14:paraId="421BD801" w14:textId="7A337D21" w:rsidR="00C963A0" w:rsidRPr="00883B07" w:rsidRDefault="00C963A0" w:rsidP="00C963A0">
      <w:pPr>
        <w:autoSpaceDE w:val="0"/>
        <w:autoSpaceDN w:val="0"/>
        <w:adjustRightInd w:val="0"/>
        <w:ind w:left="1134" w:right="902"/>
        <w:jc w:val="both"/>
        <w:rPr>
          <w:rFonts w:ascii="Palatino Linotype" w:eastAsiaTheme="minorEastAsia" w:hAnsi="Palatino Linotype" w:cs="Arial"/>
          <w:b/>
          <w:bCs/>
          <w:i/>
          <w:sz w:val="20"/>
          <w:szCs w:val="20"/>
          <w:lang w:val="es-MX"/>
        </w:rPr>
      </w:pPr>
      <w:r>
        <w:rPr>
          <w:rFonts w:ascii="Palatino Linotype" w:eastAsiaTheme="minorEastAsia" w:hAnsi="Palatino Linotype" w:cs="Arial"/>
          <w:b/>
          <w:bCs/>
          <w:i/>
          <w:sz w:val="20"/>
          <w:szCs w:val="20"/>
          <w:lang w:val="es-MX"/>
        </w:rPr>
        <w:t>(…)</w:t>
      </w:r>
    </w:p>
    <w:p w14:paraId="413A83D1" w14:textId="58DA6BD8" w:rsidR="00C963A0" w:rsidRPr="00883B07" w:rsidRDefault="00C963A0" w:rsidP="00C963A0">
      <w:pPr>
        <w:autoSpaceDE w:val="0"/>
        <w:autoSpaceDN w:val="0"/>
        <w:adjustRightInd w:val="0"/>
        <w:ind w:left="1134" w:right="902"/>
        <w:jc w:val="both"/>
        <w:rPr>
          <w:rFonts w:ascii="Palatino Linotype" w:eastAsiaTheme="minorEastAsia" w:hAnsi="Palatino Linotype" w:cs="Arial"/>
          <w:b/>
          <w:bCs/>
          <w:i/>
          <w:sz w:val="20"/>
          <w:szCs w:val="20"/>
          <w:lang w:val="es-MX"/>
        </w:rPr>
      </w:pPr>
      <w:r w:rsidRPr="00883B07">
        <w:rPr>
          <w:rFonts w:ascii="Palatino Linotype" w:eastAsiaTheme="minorEastAsia" w:hAnsi="Palatino Linotype" w:cs="Arial"/>
          <w:b/>
          <w:bCs/>
          <w:i/>
          <w:sz w:val="20"/>
          <w:szCs w:val="20"/>
          <w:lang w:val="es-MX"/>
        </w:rPr>
        <w:t>6.-Tabulador de sueldos (</w:t>
      </w:r>
      <w:proofErr w:type="spellStart"/>
      <w:r w:rsidRPr="00883B07">
        <w:rPr>
          <w:rFonts w:ascii="Palatino Linotype" w:eastAsiaTheme="minorEastAsia" w:hAnsi="Palatino Linotype" w:cs="Arial"/>
          <w:b/>
          <w:bCs/>
          <w:i/>
          <w:sz w:val="20"/>
          <w:szCs w:val="20"/>
          <w:lang w:val="es-MX"/>
        </w:rPr>
        <w:t>PbRM</w:t>
      </w:r>
      <w:proofErr w:type="spellEnd"/>
      <w:r w:rsidRPr="00883B07">
        <w:rPr>
          <w:rFonts w:ascii="Palatino Linotype" w:eastAsiaTheme="minorEastAsia" w:hAnsi="Palatino Linotype" w:cs="Arial"/>
          <w:b/>
          <w:bCs/>
          <w:i/>
          <w:sz w:val="20"/>
          <w:szCs w:val="20"/>
          <w:lang w:val="es-MX"/>
        </w:rPr>
        <w:t>-05)</w:t>
      </w:r>
      <w:r>
        <w:rPr>
          <w:rFonts w:ascii="Palatino Linotype" w:eastAsiaTheme="minorEastAsia" w:hAnsi="Palatino Linotype" w:cs="Arial"/>
          <w:b/>
          <w:bCs/>
          <w:i/>
          <w:sz w:val="20"/>
          <w:szCs w:val="20"/>
          <w:lang w:val="es-MX"/>
        </w:rPr>
        <w:t>…”</w:t>
      </w:r>
    </w:p>
    <w:p w14:paraId="57922F9B" w14:textId="77777777" w:rsidR="00C963A0" w:rsidRPr="00883B07" w:rsidRDefault="00C963A0" w:rsidP="00C963A0">
      <w:pPr>
        <w:autoSpaceDE w:val="0"/>
        <w:autoSpaceDN w:val="0"/>
        <w:adjustRightInd w:val="0"/>
        <w:spacing w:after="120"/>
        <w:ind w:left="851" w:right="900"/>
        <w:jc w:val="both"/>
        <w:rPr>
          <w:rFonts w:ascii="Palatino Linotype" w:eastAsiaTheme="minorEastAsia" w:hAnsi="Palatino Linotype" w:cs="Arial"/>
          <w:i/>
          <w:sz w:val="20"/>
          <w:szCs w:val="20"/>
          <w:lang w:val="es-MX"/>
        </w:rPr>
      </w:pPr>
    </w:p>
    <w:p w14:paraId="12FCEE3A" w14:textId="575D7372" w:rsidR="00C963A0" w:rsidRDefault="00C963A0" w:rsidP="00C963A0">
      <w:pPr>
        <w:pStyle w:val="Default"/>
        <w:spacing w:before="240" w:after="240" w:line="360" w:lineRule="auto"/>
        <w:ind w:right="51"/>
        <w:jc w:val="both"/>
        <w:rPr>
          <w:rFonts w:ascii="Palatino Linotype" w:hAnsi="Palatino Linotype"/>
        </w:rPr>
      </w:pPr>
    </w:p>
    <w:p w14:paraId="363240A9" w14:textId="126A8C80" w:rsidR="00734371" w:rsidRDefault="00C963A0" w:rsidP="00C963A0">
      <w:pPr>
        <w:spacing w:before="240" w:after="360" w:line="360" w:lineRule="auto"/>
        <w:jc w:val="both"/>
        <w:rPr>
          <w:rFonts w:ascii="Palatino Linotype" w:hAnsi="Palatino Linotype" w:cs="Arial"/>
          <w:color w:val="222222"/>
          <w:lang w:eastAsia="es-MX"/>
        </w:rPr>
      </w:pPr>
      <w:r>
        <w:rPr>
          <w:rFonts w:ascii="Palatino Linotype" w:hAnsi="Palatino Linotype"/>
        </w:rPr>
        <w:lastRenderedPageBreak/>
        <w:t xml:space="preserve">Con todo lo dicho hasta ahora, resulta claro para este Órgano Garante que el </w:t>
      </w:r>
      <w:r>
        <w:rPr>
          <w:rFonts w:ascii="Palatino Linotype" w:hAnsi="Palatino Linotype"/>
          <w:b/>
        </w:rPr>
        <w:t xml:space="preserve">Sujeto Obligado </w:t>
      </w:r>
      <w:r>
        <w:rPr>
          <w:rFonts w:ascii="Palatino Linotype" w:hAnsi="Palatino Linotype"/>
        </w:rPr>
        <w:t xml:space="preserve">puede generar, poseer o administrar la respectiva expresión documental que permita dar cuenta del requerimiento planteado, por ello, </w:t>
      </w:r>
      <w:r>
        <w:rPr>
          <w:rFonts w:ascii="Palatino Linotype" w:hAnsi="Palatino Linotype" w:cs="Arial"/>
          <w:lang w:eastAsia="es-MX"/>
        </w:rPr>
        <w:t xml:space="preserve">atendiendo al principio de máxima publicidad consagrado en la Ley de la Materia, resulta procedente  revocar la respuesta, ante la premisa de que el </w:t>
      </w:r>
      <w:r w:rsidR="00613D29" w:rsidRPr="00102700">
        <w:rPr>
          <w:rFonts w:ascii="Palatino Linotype" w:hAnsi="Palatino Linotype" w:cs="Arial"/>
          <w:color w:val="222222"/>
          <w:lang w:eastAsia="es-MX"/>
        </w:rPr>
        <w:t xml:space="preserve">derecho de acceso a la información pública se satisface con entregar el soporte documental </w:t>
      </w:r>
      <w:r w:rsidR="00613D29" w:rsidRPr="007D1F27">
        <w:rPr>
          <w:rFonts w:ascii="Palatino Linotype" w:hAnsi="Palatino Linotype" w:cs="Arial"/>
          <w:color w:val="222222"/>
          <w:lang w:eastAsia="es-MX"/>
        </w:rPr>
        <w:t>en el que consta la información pública</w:t>
      </w:r>
      <w:r>
        <w:rPr>
          <w:rFonts w:ascii="Palatino Linotype" w:hAnsi="Palatino Linotype" w:cs="Arial"/>
          <w:color w:val="222222"/>
          <w:lang w:eastAsia="es-MX"/>
        </w:rPr>
        <w:t>, no obstante que para el caso de que no se localice documento alguno que permita dilucidar el reque</w:t>
      </w:r>
      <w:r w:rsidR="00213228">
        <w:rPr>
          <w:rFonts w:ascii="Palatino Linotype" w:hAnsi="Palatino Linotype" w:cs="Arial"/>
          <w:color w:val="222222"/>
          <w:lang w:eastAsia="es-MX"/>
        </w:rPr>
        <w:t>rimiento de información, bastará</w:t>
      </w:r>
      <w:r>
        <w:rPr>
          <w:rFonts w:ascii="Palatino Linotype" w:hAnsi="Palatino Linotype" w:cs="Arial"/>
          <w:color w:val="222222"/>
          <w:lang w:eastAsia="es-MX"/>
        </w:rPr>
        <w:t xml:space="preserve"> con el pronunciamiento del Ayuntamiento de la Paz para tener por colmado el requerimiento de información, toda vez que de conformidad con el </w:t>
      </w:r>
      <w:r w:rsidR="00613D29" w:rsidRPr="00102700">
        <w:rPr>
          <w:rFonts w:ascii="Palatino Linotype" w:hAnsi="Palatino Linotype" w:cs="Arial"/>
          <w:color w:val="222222"/>
          <w:lang w:eastAsia="es-MX"/>
        </w:rPr>
        <w:t xml:space="preserve">artículo 12 de la Ley de Transparencia y Acceso a la Información Pública del Estado de México y Municipios, </w:t>
      </w:r>
      <w:r w:rsidR="00613D29" w:rsidRPr="00102700">
        <w:rPr>
          <w:rFonts w:ascii="Palatino Linotype" w:eastAsiaTheme="minorHAnsi" w:hAnsi="Palatino Linotype" w:cs="Bookman Old Style"/>
          <w:lang w:val="es-MX" w:eastAsia="en-US"/>
        </w:rPr>
        <w:t>los sujetos obligados sólo proporcionarán la información pública que se les requiera y que obre en sus</w:t>
      </w:r>
      <w:r w:rsidR="00613D29">
        <w:rPr>
          <w:rFonts w:ascii="Palatino Linotype" w:eastAsiaTheme="minorHAnsi" w:hAnsi="Palatino Linotype" w:cs="Bookman Old Style"/>
          <w:lang w:val="es-MX" w:eastAsia="en-US"/>
        </w:rPr>
        <w:t xml:space="preserve"> </w:t>
      </w:r>
      <w:r w:rsidR="00613D29" w:rsidRPr="00102700">
        <w:rPr>
          <w:rFonts w:ascii="Palatino Linotype" w:eastAsiaTheme="minorHAnsi" w:hAnsi="Palatino Linotype" w:cs="Bookman Old Style"/>
          <w:lang w:val="es-MX" w:eastAsia="en-US"/>
        </w:rPr>
        <w:t>archivos y en el estado en que ésta se encuentre.</w:t>
      </w:r>
    </w:p>
    <w:p w14:paraId="709A4570" w14:textId="759B6BEA" w:rsidR="00045165" w:rsidRDefault="000E5560" w:rsidP="00613D29">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Por último, </w:t>
      </w:r>
      <w:r w:rsidR="00045165">
        <w:rPr>
          <w:rFonts w:ascii="Palatino Linotype" w:hAnsi="Palatino Linotype"/>
          <w:color w:val="000000"/>
        </w:rPr>
        <w:t>no se ignora que el particular desde su solicitud primigenia y al momento de interponer el presente medio de defensa, hizo valer argumentos que en todo caso hacen referencia a la libertad de expresión y al derecho de petición, definidos de la siguiente forma:</w:t>
      </w:r>
    </w:p>
    <w:p w14:paraId="3AD59312" w14:textId="77777777" w:rsidR="00045165" w:rsidRPr="00045165" w:rsidRDefault="00045165" w:rsidP="005A3328">
      <w:pPr>
        <w:pStyle w:val="Prrafodelista"/>
        <w:numPr>
          <w:ilvl w:val="0"/>
          <w:numId w:val="4"/>
        </w:numPr>
        <w:spacing w:before="240" w:after="240" w:line="360" w:lineRule="auto"/>
        <w:jc w:val="both"/>
        <w:rPr>
          <w:rFonts w:ascii="Palatino Linotype" w:hAnsi="Palatino Linotype" w:cs="Arial"/>
          <w:i/>
        </w:rPr>
      </w:pPr>
      <w:r w:rsidRPr="00045165">
        <w:rPr>
          <w:rFonts w:ascii="Palatino Linotype" w:hAnsi="Palatino Linotype" w:cs="Arial"/>
          <w:b/>
        </w:rPr>
        <w:t>Libertad de expresión.-</w:t>
      </w:r>
      <w:r>
        <w:rPr>
          <w:rFonts w:ascii="Palatino Linotype" w:hAnsi="Palatino Linotype" w:cs="Arial"/>
        </w:rPr>
        <w:t xml:space="preserve"> Es </w:t>
      </w:r>
      <w:r w:rsidRPr="00045165">
        <w:rPr>
          <w:rFonts w:ascii="Palatino Linotype" w:hAnsi="Palatino Linotype" w:cs="Arial"/>
        </w:rPr>
        <w:t xml:space="preserve">un derecho fundamental que otorga a toda persona </w:t>
      </w:r>
      <w:r w:rsidRPr="00045165">
        <w:rPr>
          <w:rFonts w:ascii="Palatino Linotype" w:hAnsi="Palatino Linotype" w:cs="Arial"/>
          <w:i/>
        </w:rPr>
        <w:t>el derecho a la libertad de pensamiento y expresión. Este derecho comprende la libertad de buscar, recibir y difundir información e ideas, ya sea oralmente, por escrito, o a través de las nuevas tecnologías de la información, el cual no puedo estar sujeto a censura previa sino a responsabilidades ulteriores expresamente fijadas por la ley</w:t>
      </w:r>
      <w:r>
        <w:rPr>
          <w:rFonts w:ascii="Palatino Linotype" w:hAnsi="Palatino Linotype" w:cs="Arial"/>
          <w:i/>
        </w:rPr>
        <w:t xml:space="preserve">. </w:t>
      </w:r>
      <w:r w:rsidRPr="00045165">
        <w:rPr>
          <w:rFonts w:ascii="Palatino Linotype" w:hAnsi="Palatino Linotype" w:cs="Arial"/>
        </w:rPr>
        <w:t>Comisión Nacional de los Derechos Humanos</w:t>
      </w:r>
      <w:r>
        <w:rPr>
          <w:rFonts w:ascii="Palatino Linotype" w:hAnsi="Palatino Linotype" w:cs="Arial"/>
        </w:rPr>
        <w:t>.</w:t>
      </w:r>
    </w:p>
    <w:p w14:paraId="71DEB007" w14:textId="21C6EA04" w:rsidR="00045165" w:rsidRPr="00045165" w:rsidRDefault="00045165" w:rsidP="005A3328">
      <w:pPr>
        <w:pStyle w:val="Prrafodelista"/>
        <w:numPr>
          <w:ilvl w:val="0"/>
          <w:numId w:val="4"/>
        </w:numPr>
        <w:spacing w:before="240" w:after="240" w:line="360" w:lineRule="auto"/>
        <w:jc w:val="both"/>
        <w:rPr>
          <w:rFonts w:ascii="Palatino Linotype" w:hAnsi="Palatino Linotype" w:cs="Arial"/>
          <w:i/>
        </w:rPr>
      </w:pPr>
      <w:r w:rsidRPr="00045165">
        <w:rPr>
          <w:rFonts w:ascii="Palatino Linotype" w:hAnsi="Palatino Linotype" w:cs="Arial"/>
          <w:b/>
          <w:lang w:eastAsia="es-MX"/>
        </w:rPr>
        <w:lastRenderedPageBreak/>
        <w:t>Derecho de petición</w:t>
      </w:r>
      <w:r>
        <w:rPr>
          <w:rFonts w:ascii="Palatino Linotype" w:hAnsi="Palatino Linotype" w:cs="Arial"/>
          <w:lang w:eastAsia="es-MX"/>
        </w:rPr>
        <w:t>.- C</w:t>
      </w:r>
      <w:r w:rsidRPr="00045165">
        <w:rPr>
          <w:rFonts w:ascii="Palatino Linotype" w:hAnsi="Palatino Linotype" w:cs="Arial"/>
          <w:lang w:eastAsia="es-MX"/>
        </w:rPr>
        <w:t>onstituye “</w:t>
      </w:r>
      <w:r w:rsidRPr="00045165">
        <w:rPr>
          <w:rFonts w:ascii="Palatino Linotype" w:hAnsi="Palatino Linotype" w:cs="Arial"/>
          <w:i/>
        </w:rPr>
        <w:t>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045165">
        <w:rPr>
          <w:rFonts w:ascii="Palatino Linotype" w:hAnsi="Palatino Linotype" w:cs="Arial"/>
          <w:i/>
        </w:rPr>
        <w:t>.</w:t>
      </w:r>
      <w:r w:rsidRPr="00045165">
        <w:rPr>
          <w:rFonts w:ascii="Palatino Linotype" w:hAnsi="Palatino Linotype"/>
          <w:i/>
        </w:rPr>
        <w:t>“</w:t>
      </w:r>
      <w:proofErr w:type="gramEnd"/>
      <w:r>
        <w:rPr>
          <w:rFonts w:ascii="Palatino Linotype" w:hAnsi="Palatino Linotype"/>
          <w:i/>
        </w:rPr>
        <w:t xml:space="preserve">. </w:t>
      </w:r>
      <w:r>
        <w:rPr>
          <w:rFonts w:ascii="Palatino Linotype" w:hAnsi="Palatino Linotype"/>
        </w:rPr>
        <w:t>D</w:t>
      </w:r>
      <w:r w:rsidRPr="00045165">
        <w:rPr>
          <w:rFonts w:ascii="Palatino Linotype" w:hAnsi="Palatino Linotype" w:cs="Arial"/>
        </w:rPr>
        <w:t>efinición d</w:t>
      </w:r>
      <w:r w:rsidRPr="00045165">
        <w:rPr>
          <w:rFonts w:ascii="Palatino Linotype" w:hAnsi="Palatino Linotype" w:cs="Arial"/>
          <w:lang w:eastAsia="es-MX"/>
        </w:rPr>
        <w:t xml:space="preserve">el </w:t>
      </w:r>
      <w:r w:rsidRPr="00045165">
        <w:rPr>
          <w:rFonts w:ascii="Palatino Linotype" w:hAnsi="Palatino Linotype" w:cs="Arial"/>
        </w:rPr>
        <w:t>Maestro Ignacio Burgoa Orihuela</w:t>
      </w:r>
      <w:r>
        <w:rPr>
          <w:rFonts w:ascii="Palatino Linotype" w:hAnsi="Palatino Linotype" w:cs="Arial"/>
        </w:rPr>
        <w:t>.</w:t>
      </w:r>
    </w:p>
    <w:p w14:paraId="23251555" w14:textId="13F80E84" w:rsidR="00045165" w:rsidRPr="00045165" w:rsidRDefault="00045165" w:rsidP="00045165">
      <w:pPr>
        <w:spacing w:before="240" w:after="360" w:line="360" w:lineRule="auto"/>
        <w:jc w:val="both"/>
        <w:rPr>
          <w:rFonts w:ascii="Palatino Linotype" w:hAnsi="Palatino Linotype" w:cs="Arial"/>
        </w:rPr>
      </w:pPr>
      <w:r>
        <w:rPr>
          <w:rFonts w:ascii="Palatino Linotype" w:hAnsi="Palatino Linotype"/>
        </w:rPr>
        <w:t>D</w:t>
      </w:r>
      <w:r w:rsidRPr="00045165">
        <w:rPr>
          <w:rFonts w:ascii="Palatino Linotype" w:hAnsi="Palatino Linotype"/>
        </w:rPr>
        <w:t>ebido a que el particular</w:t>
      </w:r>
      <w:r w:rsidRPr="00045165">
        <w:rPr>
          <w:rFonts w:ascii="Palatino Linotype" w:hAnsi="Palatino Linotype" w:cs="Arial"/>
          <w:szCs w:val="20"/>
        </w:rPr>
        <w:t xml:space="preserve"> requiere obtener una razón por la cual, </w:t>
      </w:r>
      <w:r>
        <w:rPr>
          <w:rFonts w:ascii="Palatino Linotype" w:hAnsi="Palatino Linotype" w:cs="Arial"/>
          <w:szCs w:val="20"/>
        </w:rPr>
        <w:t xml:space="preserve">hay discrepancia en los sueldos de las autoridades </w:t>
      </w:r>
      <w:r w:rsidRPr="0074195B">
        <w:rPr>
          <w:rFonts w:ascii="Palatino Linotype" w:hAnsi="Palatino Linotype"/>
          <w:i/>
        </w:rPr>
        <w:t xml:space="preserve">investigadora, substanciadora y </w:t>
      </w:r>
      <w:proofErr w:type="spellStart"/>
      <w:r w:rsidRPr="0074195B">
        <w:rPr>
          <w:rFonts w:ascii="Palatino Linotype" w:hAnsi="Palatino Linotype"/>
          <w:i/>
        </w:rPr>
        <w:t>resolutora</w:t>
      </w:r>
      <w:proofErr w:type="spellEnd"/>
      <w:r w:rsidRPr="00045165">
        <w:rPr>
          <w:rFonts w:ascii="Palatino Linotype" w:hAnsi="Palatino Linotype" w:cs="Arial"/>
          <w:szCs w:val="20"/>
        </w:rPr>
        <w:t xml:space="preserve">, </w:t>
      </w:r>
      <w:r w:rsidR="00435FB9">
        <w:rPr>
          <w:rFonts w:ascii="Palatino Linotype" w:hAnsi="Palatino Linotype" w:cs="Arial"/>
          <w:lang w:eastAsia="es-MX"/>
        </w:rPr>
        <w:t xml:space="preserve">que debió ser generada </w:t>
      </w:r>
      <w:r w:rsidR="00435FB9" w:rsidRPr="0031395E">
        <w:rPr>
          <w:rFonts w:ascii="Palatino Linotype" w:hAnsi="Palatino Linotype"/>
          <w:i/>
          <w:color w:val="000000"/>
        </w:rPr>
        <w:t>de acuerdo a los principios de selección de personal grado de responsabilidad y perfil académico</w:t>
      </w:r>
      <w:r w:rsidR="00435FB9">
        <w:rPr>
          <w:rFonts w:ascii="Palatino Linotype" w:hAnsi="Palatino Linotype"/>
          <w:i/>
          <w:color w:val="000000"/>
        </w:rPr>
        <w:t>;</w:t>
      </w:r>
      <w:r w:rsidR="00435FB9">
        <w:rPr>
          <w:rFonts w:ascii="Palatino Linotype" w:hAnsi="Palatino Linotype" w:cs="Arial"/>
        </w:rPr>
        <w:t xml:space="preserve"> </w:t>
      </w:r>
      <w:r>
        <w:rPr>
          <w:rFonts w:ascii="Palatino Linotype" w:hAnsi="Palatino Linotype" w:cs="Arial"/>
        </w:rPr>
        <w:t xml:space="preserve">situación </w:t>
      </w:r>
      <w:r w:rsidRPr="00045165">
        <w:rPr>
          <w:rFonts w:ascii="Palatino Linotype" w:hAnsi="Palatino Linotype" w:cs="Arial"/>
        </w:rPr>
        <w:t>que conlleva a afirmar que se está en presencia del ej</w:t>
      </w:r>
      <w:r>
        <w:rPr>
          <w:rFonts w:ascii="Palatino Linotype" w:hAnsi="Palatino Linotype" w:cs="Arial"/>
        </w:rPr>
        <w:t xml:space="preserve">ercicio del derecho de petición, toda vez que </w:t>
      </w:r>
      <w:r w:rsidRPr="002B15A9">
        <w:rPr>
          <w:rFonts w:ascii="Palatino Linotype" w:hAnsi="Palatino Linotype" w:cs="Arial"/>
          <w:lang w:eastAsia="es-MX"/>
        </w:rPr>
        <w:t>el derecho a la información</w:t>
      </w:r>
      <w:r>
        <w:rPr>
          <w:rFonts w:ascii="Palatino Linotype" w:hAnsi="Palatino Linotype" w:cs="Arial"/>
          <w:lang w:eastAsia="es-MX"/>
        </w:rPr>
        <w:t>,</w:t>
      </w:r>
      <w:r w:rsidRPr="002B15A9">
        <w:rPr>
          <w:rFonts w:ascii="Palatino Linotype" w:hAnsi="Palatino Linotype" w:cs="Arial"/>
          <w:lang w:eastAsia="es-MX"/>
        </w:rPr>
        <w:t xml:space="preserve"> constituye una prerrogativa a acceder a documentación en poder de los Sujetos Obligados, no así a realizar cuestionamientos</w:t>
      </w:r>
      <w:r>
        <w:rPr>
          <w:rFonts w:ascii="Palatino Linotype" w:hAnsi="Palatino Linotype" w:cs="Arial"/>
          <w:lang w:eastAsia="es-MX"/>
        </w:rPr>
        <w:t xml:space="preserve"> o manifestaciones subjetivas, como lo es que el </w:t>
      </w:r>
      <w:r>
        <w:rPr>
          <w:rFonts w:ascii="Palatino Linotype" w:hAnsi="Palatino Linotype" w:cs="Arial"/>
          <w:b/>
          <w:lang w:eastAsia="es-MX"/>
        </w:rPr>
        <w:t xml:space="preserve">Sujeto Obligado </w:t>
      </w:r>
      <w:r w:rsidRPr="00045165">
        <w:rPr>
          <w:rFonts w:ascii="Palatino Linotype" w:hAnsi="Palatino Linotype" w:cs="Arial"/>
          <w:lang w:eastAsia="es-MX"/>
        </w:rPr>
        <w:t xml:space="preserve">se </w:t>
      </w:r>
      <w:r w:rsidRPr="009D7015">
        <w:rPr>
          <w:rFonts w:ascii="Palatino Linotype" w:hAnsi="Palatino Linotype" w:cs="Arial"/>
          <w:i/>
          <w:lang w:eastAsia="es-MX"/>
        </w:rPr>
        <w:t>escuda en un artículo legal para no dar contestación</w:t>
      </w:r>
      <w:r>
        <w:rPr>
          <w:rFonts w:ascii="Palatino Linotype" w:hAnsi="Palatino Linotype" w:cs="Arial"/>
          <w:lang w:eastAsia="es-MX"/>
        </w:rPr>
        <w:t>.</w:t>
      </w:r>
    </w:p>
    <w:p w14:paraId="42900655" w14:textId="2A12D9C9" w:rsidR="00045165" w:rsidRPr="002B15A9" w:rsidRDefault="00045165" w:rsidP="00045165">
      <w:pPr>
        <w:spacing w:before="240" w:after="360" w:line="360" w:lineRule="auto"/>
        <w:jc w:val="both"/>
        <w:rPr>
          <w:rFonts w:ascii="Palatino Linotype" w:hAnsi="Palatino Linotype" w:cs="Arial"/>
        </w:rPr>
      </w:pPr>
      <w:r w:rsidRPr="002B15A9">
        <w:rPr>
          <w:rFonts w:ascii="Palatino Linotype" w:hAnsi="Palatino Linotype" w:cs="Arial"/>
        </w:rPr>
        <w:t xml:space="preserve">Por lo que, la entrega de una razón o un razonamiento por parte del Sujeto Obligado no es algo que la ley establezca como atribución, derecho, o facultad; pues ello implicaría un </w:t>
      </w:r>
      <w:r w:rsidRPr="006A17F9">
        <w:rPr>
          <w:rFonts w:ascii="Palatino Linotype" w:hAnsi="Palatino Linotype" w:cs="Arial"/>
        </w:rPr>
        <w:t>juicio de valor referente</w:t>
      </w:r>
      <w:r w:rsidRPr="002B15A9">
        <w:rPr>
          <w:rFonts w:ascii="Palatino Linotype" w:hAnsi="Palatino Linotype" w:cs="Arial"/>
        </w:rPr>
        <w:t xml:space="preserve"> a un cuestionamiento realizado, los cuales, al constituir interrogantes, inquietudes y manifestaciones</w:t>
      </w:r>
      <w:r w:rsidR="009D7015">
        <w:rPr>
          <w:rFonts w:ascii="Palatino Linotype" w:hAnsi="Palatino Linotype" w:cs="Arial"/>
        </w:rPr>
        <w:t xml:space="preserve"> </w:t>
      </w:r>
      <w:r w:rsidRPr="002B15A9">
        <w:rPr>
          <w:rFonts w:ascii="Palatino Linotype" w:hAnsi="Palatino Linotype" w:cs="Arial"/>
        </w:rPr>
        <w:t xml:space="preserve">se satisfacen vía derecho de petición. </w:t>
      </w:r>
    </w:p>
    <w:p w14:paraId="7D1A75AF" w14:textId="77777777" w:rsidR="00D85008" w:rsidRDefault="00D85008" w:rsidP="007F7203">
      <w:pPr>
        <w:shd w:val="clear" w:color="auto" w:fill="FFFFFF"/>
        <w:spacing w:before="240" w:after="240" w:line="360" w:lineRule="auto"/>
        <w:jc w:val="both"/>
        <w:rPr>
          <w:rFonts w:ascii="Palatino Linotype" w:hAnsi="Palatino Linotype"/>
          <w:b/>
          <w:color w:val="000000"/>
          <w:sz w:val="28"/>
          <w:szCs w:val="28"/>
        </w:rPr>
      </w:pPr>
      <w:r>
        <w:rPr>
          <w:rFonts w:ascii="Palatino Linotype" w:hAnsi="Palatino Linotype"/>
          <w:b/>
          <w:color w:val="000000"/>
          <w:sz w:val="28"/>
          <w:szCs w:val="28"/>
        </w:rPr>
        <w:t>QUINTO. Versión Pública.</w:t>
      </w:r>
    </w:p>
    <w:p w14:paraId="599C83BB" w14:textId="77777777" w:rsidR="00D85008" w:rsidRPr="001E2383" w:rsidRDefault="00D85008" w:rsidP="00D85008">
      <w:pPr>
        <w:spacing w:before="240" w:after="240" w:line="360" w:lineRule="auto"/>
        <w:jc w:val="both"/>
        <w:rPr>
          <w:rFonts w:ascii="Palatino Linotype" w:hAnsi="Palatino Linotype" w:cs="Arial"/>
        </w:rPr>
      </w:pPr>
      <w:r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1E2383">
        <w:rPr>
          <w:rFonts w:ascii="Palatino Linotype" w:hAnsi="Palatino Linotype" w:cs="Arial"/>
        </w:rPr>
        <w:lastRenderedPageBreak/>
        <w:t>fracción</w:t>
      </w:r>
      <w:proofErr w:type="gramEnd"/>
      <w:r w:rsidRPr="001E2383">
        <w:rPr>
          <w:rFonts w:ascii="Palatino Linotype" w:hAnsi="Palatino Linotype" w:cs="Arial"/>
        </w:rPr>
        <w:t xml:space="preserve"> I de la Ley de Transparencia y Acceso a la Información Pública del Estado de México y Municipios que establecen:</w:t>
      </w:r>
    </w:p>
    <w:p w14:paraId="647670C7"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2ED165F3"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3240E515"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7EA12D3E"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0851A2D5"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E069DF"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424A5519"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38AF65B1"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3BDD0753"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296ED4B1"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1BE26677"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5781A6BD"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23E693C1"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5FBF0696"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3E6CA087"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Se refiera a la información privada y los datos personales concernientes a una persona física o </w:t>
      </w:r>
      <w:proofErr w:type="gramStart"/>
      <w:r w:rsidRPr="001E2383">
        <w:rPr>
          <w:rFonts w:ascii="Palatino Linotype" w:hAnsi="Palatino Linotype" w:cs="Arial"/>
          <w:i/>
          <w:sz w:val="20"/>
          <w:szCs w:val="20"/>
        </w:rPr>
        <w:t>jurídico</w:t>
      </w:r>
      <w:proofErr w:type="gramEnd"/>
      <w:r w:rsidRPr="001E2383">
        <w:rPr>
          <w:rFonts w:ascii="Palatino Linotype" w:hAnsi="Palatino Linotype" w:cs="Arial"/>
          <w:i/>
          <w:sz w:val="20"/>
          <w:szCs w:val="20"/>
        </w:rPr>
        <w:t xml:space="preserve"> colectiva identificada o identificable;</w:t>
      </w:r>
    </w:p>
    <w:p w14:paraId="6857346E"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7483548C"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6D4F70F9"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La información confidencial no estará sujeta a temporalidad alguna y sólo podrán tener acceso a ella los titulares de la misma, sus representantes y los servidores públicos facultados para ello.</w:t>
      </w:r>
    </w:p>
    <w:p w14:paraId="1BADF2E0"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7B4B3CEF" w14:textId="77777777" w:rsidR="00D85008" w:rsidRPr="001E2383" w:rsidRDefault="00D85008" w:rsidP="00D85008">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06D9A8F" w14:textId="77777777" w:rsidR="00D85008" w:rsidRPr="001E2383" w:rsidRDefault="00D85008" w:rsidP="00D85008">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57CF0BA2"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CFE1BB8"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7B7A41D3"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1C3C2FA5"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4BFC874F"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31DFCEA5"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 xml:space="preserve">Lo anterior, siempre y cuando no se acredite alguna causal de clasificación, prevista en las leyes o en los tratados internaciones suscritos por el Estado mexicano. </w:t>
      </w:r>
    </w:p>
    <w:p w14:paraId="72076DD3" w14:textId="77777777" w:rsidR="00D85008" w:rsidRPr="001E2383" w:rsidRDefault="00D85008" w:rsidP="00D8500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220D2859" w14:textId="77777777" w:rsidR="00D85008" w:rsidRPr="001E2383" w:rsidRDefault="00D85008" w:rsidP="00D85008">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56EC7F3" w14:textId="61FBB086" w:rsidR="0093143C" w:rsidRPr="0093143C" w:rsidRDefault="0093143C" w:rsidP="007F7203">
      <w:pPr>
        <w:shd w:val="clear" w:color="auto" w:fill="FFFFFF"/>
        <w:spacing w:before="240" w:after="240" w:line="360" w:lineRule="auto"/>
        <w:jc w:val="both"/>
        <w:rPr>
          <w:rFonts w:ascii="Palatino Linotype" w:hAnsi="Palatino Linotype" w:cs="Arial"/>
          <w:lang w:eastAsia="es-MX"/>
        </w:rPr>
      </w:pPr>
      <w:r>
        <w:rPr>
          <w:rFonts w:ascii="Palatino Linotype" w:hAnsi="Palatino Linotype"/>
          <w:color w:val="000000"/>
        </w:rPr>
        <w:t>Por los motivos expuestos de conformidad con el artículo 186 fracción III de la Ley de Transparencia y Acceso a la Información Pública del Estado de México y Municipios, este Órgano Garante considera procedente revocar la respuesta emitida por el Ayuntamiento de la Paz a efectos de que realice una búsqueda exhaustiva y razonable de la información solicitada en todas las unidad administrativas competentes para conocer de lo requerido, sin omitir a la</w:t>
      </w:r>
      <w:r w:rsidR="00434D26">
        <w:rPr>
          <w:rFonts w:ascii="Palatino Linotype" w:hAnsi="Palatino Linotype"/>
          <w:color w:val="000000"/>
        </w:rPr>
        <w:t xml:space="preserve"> Tesorería Municipal y la</w:t>
      </w:r>
      <w:r>
        <w:rPr>
          <w:rFonts w:ascii="Palatino Linotype" w:hAnsi="Palatino Linotype"/>
          <w:color w:val="000000"/>
        </w:rPr>
        <w:t xml:space="preserve"> Dirección de Administración. </w:t>
      </w:r>
    </w:p>
    <w:p w14:paraId="1B9A02FB" w14:textId="77777777" w:rsidR="007F7203" w:rsidRDefault="007F7203" w:rsidP="007F7203">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w:t>
      </w:r>
      <w:r w:rsidRPr="0040233B">
        <w:rPr>
          <w:rFonts w:ascii="Palatino Linotype" w:hAnsi="Palatino Linotype" w:cs="Arial"/>
          <w:lang w:eastAsia="es-MX"/>
        </w:rPr>
        <w:lastRenderedPageBreak/>
        <w:t>Transparencia y Acceso a la Información Pública del Estado de México y Municipios, este Pleno:</w:t>
      </w:r>
    </w:p>
    <w:p w14:paraId="7E711825" w14:textId="77777777" w:rsidR="007F7203" w:rsidRPr="0040233B" w:rsidRDefault="007F7203" w:rsidP="007F720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1315B040" w14:textId="104DB83C" w:rsidR="00D85008" w:rsidRPr="0090362D" w:rsidRDefault="00D85008" w:rsidP="00D85008">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Pr>
          <w:rFonts w:ascii="Palatino Linotype" w:hAnsi="Palatino Linotype" w:cs="Arial"/>
        </w:rPr>
        <w:t xml:space="preserve">Resultan parcialmente fundados los motivos de inconformidad planteados por el </w:t>
      </w:r>
      <w:r>
        <w:rPr>
          <w:rFonts w:ascii="Palatino Linotype" w:hAnsi="Palatino Linotype" w:cs="Arial"/>
          <w:b/>
          <w:i/>
        </w:rPr>
        <w:t xml:space="preserve">Recurrente </w:t>
      </w:r>
      <w:r>
        <w:rPr>
          <w:rFonts w:ascii="Palatino Linotype" w:hAnsi="Palatino Linotype" w:cs="Arial"/>
        </w:rPr>
        <w:t xml:space="preserve">en términos del Considerando CUARTO de la presente resolución, por lo que se determina </w:t>
      </w:r>
      <w:r>
        <w:rPr>
          <w:rFonts w:ascii="Palatino Linotype" w:hAnsi="Palatino Linotype" w:cs="Arial"/>
          <w:b/>
        </w:rPr>
        <w:t>REVOCAR</w:t>
      </w:r>
      <w:r>
        <w:rPr>
          <w:rFonts w:ascii="Palatino Linotype" w:hAnsi="Palatino Linotype" w:cs="Arial"/>
        </w:rPr>
        <w:t xml:space="preserve"> la respuesta emitida por el Ayuntamiento de la Paz.</w:t>
      </w:r>
    </w:p>
    <w:p w14:paraId="42174E6F" w14:textId="151556C3" w:rsidR="00D85008" w:rsidRDefault="00D85008" w:rsidP="00D85008">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 xml:space="preserve">SEGUNDO.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w:t>
      </w:r>
      <w:r>
        <w:rPr>
          <w:rFonts w:ascii="Palatino Linotype" w:hAnsi="Palatino Linotype" w:cs="Arial"/>
          <w:b/>
        </w:rPr>
        <w:t>Ayuntamiento de la Paz</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Pr>
          <w:rFonts w:ascii="Palatino Linotype" w:hAnsi="Palatino Linotype" w:cs="Arial"/>
          <w:b/>
        </w:rPr>
        <w:t>00065/</w:t>
      </w:r>
      <w:proofErr w:type="spellStart"/>
      <w:r>
        <w:rPr>
          <w:rFonts w:ascii="Palatino Linotype" w:hAnsi="Palatino Linotype" w:cs="Arial"/>
          <w:b/>
        </w:rPr>
        <w:t>LAPAZ</w:t>
      </w:r>
      <w:proofErr w:type="spellEnd"/>
      <w:r>
        <w:rPr>
          <w:rFonts w:ascii="Palatino Linotype" w:hAnsi="Palatino Linotype" w:cs="Arial"/>
          <w:b/>
        </w:rPr>
        <w:t>/IP/2018</w:t>
      </w:r>
      <w:r w:rsidRPr="000D40FE">
        <w:rPr>
          <w:rFonts w:ascii="Palatino Linotype" w:hAnsi="Palatino Linotype"/>
          <w:bCs/>
        </w:rPr>
        <w:t xml:space="preserve">, y </w:t>
      </w:r>
      <w:r w:rsidRPr="000D40FE">
        <w:rPr>
          <w:rFonts w:ascii="Palatino Linotype" w:hAnsi="Palatino Linotype" w:cs="Arial"/>
        </w:rPr>
        <w:t>haga entrega</w:t>
      </w:r>
      <w:r>
        <w:rPr>
          <w:rFonts w:ascii="Palatino Linotype" w:hAnsi="Palatino Linotype" w:cs="Arial"/>
        </w:rPr>
        <w:t xml:space="preserve"> </w:t>
      </w:r>
      <w:r w:rsidRPr="000D40FE">
        <w:rPr>
          <w:rFonts w:ascii="Palatino Linotype" w:hAnsi="Palatino Linotype" w:cs="Arial"/>
        </w:rPr>
        <w:t xml:space="preserve">vía </w:t>
      </w:r>
      <w:proofErr w:type="spellStart"/>
      <w:r w:rsidRPr="000D40FE">
        <w:rPr>
          <w:rFonts w:ascii="Palatino Linotype" w:hAnsi="Palatino Linotype" w:cs="Arial"/>
        </w:rPr>
        <w:t>SAIMEX</w:t>
      </w:r>
      <w:proofErr w:type="spellEnd"/>
      <w:r>
        <w:rPr>
          <w:rFonts w:ascii="Palatino Linotype" w:hAnsi="Palatino Linotype" w:cs="Arial"/>
        </w:rPr>
        <w:t xml:space="preserve"> en versión pública del ser el caso</w:t>
      </w:r>
      <w:r w:rsidRPr="000D40FE">
        <w:rPr>
          <w:rFonts w:ascii="Palatino Linotype" w:hAnsi="Palatino Linotype" w:cs="Arial"/>
        </w:rPr>
        <w:t>, en términos de</w:t>
      </w:r>
      <w:r>
        <w:rPr>
          <w:rFonts w:ascii="Palatino Linotype" w:hAnsi="Palatino Linotype" w:cs="Arial"/>
        </w:rPr>
        <w:t xml:space="preserve"> </w:t>
      </w:r>
      <w:r w:rsidRPr="000D40FE">
        <w:rPr>
          <w:rFonts w:ascii="Palatino Linotype" w:hAnsi="Palatino Linotype" w:cs="Arial"/>
        </w:rPr>
        <w:t>l</w:t>
      </w:r>
      <w:r>
        <w:rPr>
          <w:rFonts w:ascii="Palatino Linotype" w:hAnsi="Palatino Linotype" w:cs="Arial"/>
        </w:rPr>
        <w:t>os</w:t>
      </w:r>
      <w:r w:rsidRPr="000D40FE">
        <w:rPr>
          <w:rFonts w:ascii="Palatino Linotype" w:hAnsi="Palatino Linotype" w:cs="Arial"/>
        </w:rPr>
        <w:t xml:space="preserve"> Considerando</w:t>
      </w:r>
      <w:r>
        <w:rPr>
          <w:rFonts w:ascii="Palatino Linotype" w:hAnsi="Palatino Linotype" w:cs="Arial"/>
        </w:rPr>
        <w:t>s</w:t>
      </w:r>
      <w:r w:rsidRPr="000D40FE">
        <w:rPr>
          <w:rFonts w:ascii="Palatino Linotype" w:hAnsi="Palatino Linotype" w:cs="Arial"/>
        </w:rPr>
        <w:t xml:space="preserve"> </w:t>
      </w:r>
      <w:r>
        <w:rPr>
          <w:rFonts w:ascii="Palatino Linotype" w:hAnsi="Palatino Linotype" w:cs="Arial"/>
        </w:rPr>
        <w:t xml:space="preserve">CUARTO y QUINTO </w:t>
      </w:r>
      <w:r w:rsidRPr="000D40FE">
        <w:rPr>
          <w:rFonts w:ascii="Palatino Linotype" w:hAnsi="Palatino Linotype" w:cs="Arial"/>
        </w:rPr>
        <w:t xml:space="preserve">de esta resolución, </w:t>
      </w:r>
      <w:r>
        <w:rPr>
          <w:rFonts w:ascii="Palatino Linotype" w:hAnsi="Palatino Linotype" w:cs="Arial"/>
        </w:rPr>
        <w:t xml:space="preserve">previa búsqueda exhaustiva y razonable, del documento o documentos donde </w:t>
      </w:r>
      <w:r w:rsidR="00434D26">
        <w:rPr>
          <w:rFonts w:ascii="Palatino Linotype" w:hAnsi="Palatino Linotype" w:cs="Arial"/>
        </w:rPr>
        <w:t>conste,</w:t>
      </w:r>
      <w:r>
        <w:rPr>
          <w:rFonts w:ascii="Palatino Linotype" w:hAnsi="Palatino Linotype" w:cs="Arial"/>
        </w:rPr>
        <w:t xml:space="preserve"> lo siguiente</w:t>
      </w:r>
      <w:r w:rsidRPr="000D40FE">
        <w:rPr>
          <w:rFonts w:ascii="Palatino Linotype" w:hAnsi="Palatino Linotype" w:cs="Arial"/>
        </w:rPr>
        <w:t>:</w:t>
      </w:r>
    </w:p>
    <w:p w14:paraId="1328C13C" w14:textId="648FDD56" w:rsidR="00D85008" w:rsidRPr="00D85008" w:rsidRDefault="00D85008" w:rsidP="005A3328">
      <w:pPr>
        <w:pStyle w:val="Prrafodelista"/>
        <w:numPr>
          <w:ilvl w:val="0"/>
          <w:numId w:val="1"/>
        </w:numPr>
        <w:autoSpaceDE w:val="0"/>
        <w:autoSpaceDN w:val="0"/>
        <w:adjustRightInd w:val="0"/>
        <w:spacing w:before="240" w:after="240" w:line="360" w:lineRule="auto"/>
        <w:jc w:val="both"/>
        <w:rPr>
          <w:rFonts w:ascii="Palatino Linotype" w:hAnsi="Palatino Linotype" w:cs="Arial"/>
          <w:b/>
        </w:rPr>
      </w:pPr>
      <w:r w:rsidRPr="00D85008">
        <w:rPr>
          <w:rFonts w:ascii="Palatino Linotype" w:hAnsi="Palatino Linotype"/>
          <w:b/>
        </w:rPr>
        <w:t>La</w:t>
      </w:r>
      <w:r w:rsidR="00434D26">
        <w:rPr>
          <w:rFonts w:ascii="Palatino Linotype" w:hAnsi="Palatino Linotype"/>
          <w:b/>
        </w:rPr>
        <w:t xml:space="preserve">s </w:t>
      </w:r>
      <w:r w:rsidR="00F90DE0">
        <w:rPr>
          <w:rFonts w:ascii="Palatino Linotype" w:hAnsi="Palatino Linotype"/>
          <w:b/>
        </w:rPr>
        <w:t xml:space="preserve">condiciones que </w:t>
      </w:r>
      <w:r w:rsidR="00434D26">
        <w:rPr>
          <w:rFonts w:ascii="Palatino Linotype" w:hAnsi="Palatino Linotype"/>
          <w:b/>
        </w:rPr>
        <w:t>determinar</w:t>
      </w:r>
      <w:r w:rsidR="00F90DE0">
        <w:rPr>
          <w:rFonts w:ascii="Palatino Linotype" w:hAnsi="Palatino Linotype"/>
          <w:b/>
        </w:rPr>
        <w:t>on</w:t>
      </w:r>
      <w:r w:rsidR="00434D26">
        <w:rPr>
          <w:rFonts w:ascii="Palatino Linotype" w:hAnsi="Palatino Linotype"/>
          <w:b/>
        </w:rPr>
        <w:t xml:space="preserve"> la remuneración de las </w:t>
      </w:r>
      <w:r w:rsidRPr="00D85008">
        <w:rPr>
          <w:rFonts w:ascii="Palatino Linotype" w:hAnsi="Palatino Linotype"/>
          <w:b/>
        </w:rPr>
        <w:t xml:space="preserve">Autoridades Investigadora, Substanciadora y </w:t>
      </w:r>
      <w:proofErr w:type="spellStart"/>
      <w:r w:rsidRPr="00D85008">
        <w:rPr>
          <w:rFonts w:ascii="Palatino Linotype" w:hAnsi="Palatino Linotype"/>
          <w:b/>
        </w:rPr>
        <w:t>Resolutora</w:t>
      </w:r>
      <w:proofErr w:type="spellEnd"/>
      <w:r w:rsidRPr="00D85008">
        <w:rPr>
          <w:rFonts w:ascii="Palatino Linotype" w:hAnsi="Palatino Linotype"/>
          <w:b/>
        </w:rPr>
        <w:t xml:space="preserve"> de la Contraloría Interna.</w:t>
      </w:r>
    </w:p>
    <w:p w14:paraId="1D89C429" w14:textId="77777777" w:rsidR="00D85008" w:rsidRDefault="00D85008" w:rsidP="00BD2E7D">
      <w:pPr>
        <w:spacing w:before="240" w:after="240" w:line="360" w:lineRule="auto"/>
        <w:ind w:left="284" w:right="49"/>
        <w:jc w:val="both"/>
        <w:rPr>
          <w:rFonts w:ascii="Palatino Linotype" w:hAnsi="Palatino Linotype" w:cs="Arial"/>
          <w:i/>
          <w:sz w:val="20"/>
          <w:szCs w:val="20"/>
        </w:rPr>
      </w:pPr>
      <w:r w:rsidRPr="0077721B">
        <w:rPr>
          <w:rFonts w:ascii="Palatino Linotype" w:hAnsi="Palatino Linotype" w:cs="Arial"/>
          <w:i/>
          <w:sz w:val="20"/>
          <w:szCs w:val="20"/>
        </w:rPr>
        <w:t>Acuerdo del Comité de Transparencia en términos de la Ley de Transparencia y Acceso a la Información Pública del Estado de México y Municipios, en el que funde y motive las razones sobre los datos que se supriman o eliminen dentro del soporte documental respectivo, objeto de la versión pública que se formule y se ponga a disposición de la recurrente.</w:t>
      </w:r>
    </w:p>
    <w:p w14:paraId="5EC56552" w14:textId="7C640121" w:rsidR="00F03747" w:rsidRPr="00CD59DC" w:rsidRDefault="00F03747" w:rsidP="00F03747">
      <w:pPr>
        <w:spacing w:before="240" w:after="240" w:line="360" w:lineRule="auto"/>
        <w:ind w:left="284"/>
        <w:jc w:val="both"/>
        <w:rPr>
          <w:rFonts w:ascii="Palatino Linotype" w:hAnsi="Palatino Linotype" w:cs="Arial"/>
          <w:b/>
          <w:i/>
          <w:sz w:val="20"/>
          <w:szCs w:val="20"/>
        </w:rPr>
      </w:pPr>
      <w:r w:rsidRPr="00CD59DC">
        <w:rPr>
          <w:rFonts w:ascii="Palatino Linotype" w:hAnsi="Palatino Linotype"/>
          <w:i/>
          <w:sz w:val="20"/>
          <w:szCs w:val="20"/>
        </w:rPr>
        <w:t xml:space="preserve">En el supuesto de que no se localicen los documentos ordenados, bastara con </w:t>
      </w:r>
      <w:r>
        <w:rPr>
          <w:rFonts w:ascii="Palatino Linotype" w:hAnsi="Palatino Linotype"/>
          <w:i/>
          <w:sz w:val="20"/>
          <w:szCs w:val="20"/>
        </w:rPr>
        <w:t>el sólo pronunciamiento del</w:t>
      </w:r>
      <w:r w:rsidRPr="00CD59DC">
        <w:rPr>
          <w:rFonts w:ascii="Palatino Linotype" w:hAnsi="Palatino Linotype"/>
          <w:i/>
          <w:sz w:val="20"/>
          <w:szCs w:val="20"/>
        </w:rPr>
        <w:t xml:space="preserve"> </w:t>
      </w:r>
      <w:r w:rsidRPr="00CD59DC">
        <w:rPr>
          <w:rFonts w:ascii="Palatino Linotype" w:hAnsi="Palatino Linotype"/>
          <w:b/>
          <w:i/>
          <w:sz w:val="20"/>
          <w:szCs w:val="20"/>
        </w:rPr>
        <w:t xml:space="preserve">Sujeto Obligado </w:t>
      </w:r>
      <w:r>
        <w:rPr>
          <w:rFonts w:ascii="Palatino Linotype" w:hAnsi="Palatino Linotype"/>
          <w:i/>
          <w:sz w:val="20"/>
          <w:szCs w:val="20"/>
        </w:rPr>
        <w:t>para tener por colmado el requerimiento de información, mismo que deberá hacer del</w:t>
      </w:r>
      <w:r w:rsidRPr="00CD59DC">
        <w:rPr>
          <w:rFonts w:ascii="Palatino Linotype" w:hAnsi="Palatino Linotype"/>
          <w:i/>
          <w:sz w:val="20"/>
          <w:szCs w:val="20"/>
        </w:rPr>
        <w:t xml:space="preserve"> conocimiento del </w:t>
      </w:r>
      <w:r w:rsidRPr="00CD59DC">
        <w:rPr>
          <w:rFonts w:ascii="Palatino Linotype" w:hAnsi="Palatino Linotype"/>
          <w:b/>
          <w:i/>
          <w:sz w:val="20"/>
          <w:szCs w:val="20"/>
        </w:rPr>
        <w:t>Recurrente.</w:t>
      </w:r>
    </w:p>
    <w:p w14:paraId="6ED0E3F0" w14:textId="77777777" w:rsidR="00F03747" w:rsidRDefault="00F03747" w:rsidP="00BD2E7D">
      <w:pPr>
        <w:spacing w:before="240" w:after="240" w:line="360" w:lineRule="auto"/>
        <w:ind w:left="284" w:right="49"/>
        <w:jc w:val="both"/>
        <w:rPr>
          <w:rFonts w:ascii="Palatino Linotype" w:hAnsi="Palatino Linotype" w:cs="Arial"/>
          <w:i/>
          <w:sz w:val="20"/>
          <w:szCs w:val="20"/>
        </w:rPr>
      </w:pPr>
    </w:p>
    <w:p w14:paraId="4937168F" w14:textId="77777777" w:rsidR="00D85008" w:rsidRPr="00DD0FEA" w:rsidRDefault="00D85008" w:rsidP="00D85008">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lastRenderedPageBreak/>
        <w:t xml:space="preserve">TERCERO.  </w:t>
      </w:r>
      <w:r w:rsidRPr="00DD0FEA">
        <w:rPr>
          <w:rFonts w:ascii="Palatino Linotype" w:hAnsi="Palatino Linotype" w:cs="Arial"/>
          <w:b/>
          <w:lang w:val="es-MX" w:eastAsia="es-MX"/>
        </w:rPr>
        <w:t>Notifíquese,</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695898" w14:textId="77777777" w:rsidR="00D85008" w:rsidRPr="00DD0FEA" w:rsidRDefault="00D85008" w:rsidP="00D85008">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 xml:space="preserve">, </w:t>
      </w:r>
      <w:r>
        <w:rPr>
          <w:rFonts w:ascii="Palatino Linotype" w:hAnsi="Palatino Linotype" w:cs="Arial"/>
          <w:lang w:val="es-MX" w:eastAsia="es-MX"/>
        </w:rPr>
        <w:t xml:space="preserve">así como </w:t>
      </w:r>
      <w:r w:rsidRPr="00DD0FEA">
        <w:rPr>
          <w:rFonts w:ascii="Palatino Linotype" w:hAnsi="Palatino Linotype" w:cs="Arial"/>
          <w:lang w:val="es-MX" w:eastAsia="es-MX"/>
        </w:rPr>
        <w:t xml:space="preserve">que podrá impugnarla vía Juicio de Amparo en los términos de las leyes aplicables, de conformidad con lo establecido en el artículo 196 de la Ley de Transparencia y Acceso a la Información Pública del Estado de México y Municipios. </w:t>
      </w:r>
    </w:p>
    <w:p w14:paraId="73015D1A" w14:textId="3F084B18" w:rsidR="008E7698" w:rsidRPr="00BB78FC" w:rsidRDefault="00026D94" w:rsidP="009D2860">
      <w:pPr>
        <w:autoSpaceDE w:val="0"/>
        <w:autoSpaceDN w:val="0"/>
        <w:adjustRightInd w:val="0"/>
        <w:spacing w:before="240" w:after="240" w:line="360" w:lineRule="auto"/>
        <w:jc w:val="both"/>
        <w:rPr>
          <w:rFonts w:ascii="Palatino Linotype" w:eastAsia="Arial Unicode MS" w:hAnsi="Palatino Linotype" w:cs="Arial"/>
        </w:rPr>
      </w:pPr>
      <w:r w:rsidRPr="0040233B">
        <w:rPr>
          <w:rFonts w:ascii="Palatino Linotype" w:hAnsi="Palatino Linotype" w:cs="Arial"/>
        </w:rPr>
        <w:t>ASÍ LO RESUELVE, POR UNANIMIDAD DE</w:t>
      </w:r>
      <w:r w:rsidR="00D443AF">
        <w:rPr>
          <w:rFonts w:ascii="Palatino Linotype" w:hAnsi="Palatino Linotype" w:cs="Arial"/>
        </w:rPr>
        <w:t xml:space="preserve"> VOTOS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xml:space="preserve">; EVA </w:t>
      </w:r>
      <w:proofErr w:type="spellStart"/>
      <w:r w:rsidR="00EF35FA" w:rsidRPr="0040233B">
        <w:rPr>
          <w:rFonts w:ascii="Palatino Linotype" w:hAnsi="Palatino Linotype" w:cs="Arial"/>
        </w:rPr>
        <w:t>ABAID</w:t>
      </w:r>
      <w:proofErr w:type="spellEnd"/>
      <w:r w:rsidR="00EF35FA" w:rsidRPr="0040233B">
        <w:rPr>
          <w:rFonts w:ascii="Palatino Linotype" w:hAnsi="Palatino Linotype" w:cs="Arial"/>
        </w:rPr>
        <w:t xml:space="preserve"> </w:t>
      </w:r>
      <w:proofErr w:type="spellStart"/>
      <w:r w:rsidR="00EF35FA" w:rsidRPr="0040233B">
        <w:rPr>
          <w:rFonts w:ascii="Palatino Linotype" w:hAnsi="Palatino Linotype" w:cs="Arial"/>
        </w:rPr>
        <w:t>YAPUR</w:t>
      </w:r>
      <w:proofErr w:type="spellEnd"/>
      <w:r w:rsidRPr="0040233B">
        <w:rPr>
          <w:rFonts w:ascii="Palatino Linotype" w:hAnsi="Palatino Linotype" w:cs="Arial"/>
        </w:rPr>
        <w:t>; JOSÉ GUADALUPE LUNA HERNÁNDEZ</w:t>
      </w:r>
      <w:r w:rsidR="00367BBB">
        <w:rPr>
          <w:rFonts w:ascii="Palatino Linotype" w:hAnsi="Palatino Linotype" w:cs="Arial"/>
        </w:rPr>
        <w:t xml:space="preserve"> CON VOTO PARTICULAR</w:t>
      </w:r>
      <w:r w:rsidR="00303BC7">
        <w:rPr>
          <w:rFonts w:ascii="Palatino Linotype" w:hAnsi="Palatino Linotype" w:cs="Arial"/>
        </w:rPr>
        <w:t xml:space="preserve">, </w:t>
      </w:r>
      <w:r w:rsidRPr="0040233B">
        <w:rPr>
          <w:rFonts w:ascii="Palatino Linotype" w:hAnsi="Palatino Linotype" w:cs="Arial"/>
        </w:rPr>
        <w:t>JAVIER MARTÍNEZ CRUZ</w:t>
      </w:r>
      <w:r w:rsidR="00303BC7">
        <w:rPr>
          <w:rFonts w:ascii="Palatino Linotype" w:hAnsi="Palatino Linotype" w:cs="Arial"/>
        </w:rPr>
        <w:t xml:space="preserve"> Y LUIS GUSTAVO PARRA NORIEGA</w:t>
      </w:r>
      <w:r w:rsidRPr="0040233B">
        <w:rPr>
          <w:rFonts w:ascii="Palatino Linotype" w:hAnsi="Palatino Linotype" w:cs="Arial"/>
        </w:rPr>
        <w:t xml:space="preserve">; EN LA </w:t>
      </w:r>
      <w:r w:rsidR="00303BC7">
        <w:rPr>
          <w:rFonts w:ascii="Palatino Linotype" w:hAnsi="Palatino Linotype" w:cs="Arial"/>
        </w:rPr>
        <w:t>TRIGÉSIMA SEGUND</w:t>
      </w:r>
      <w:r w:rsidR="00292786">
        <w:rPr>
          <w:rFonts w:ascii="Palatino Linotype" w:hAnsi="Palatino Linotype" w:cs="Arial"/>
        </w:rPr>
        <w:t>A</w:t>
      </w:r>
      <w:r w:rsidRPr="0040233B">
        <w:rPr>
          <w:rFonts w:ascii="Palatino Linotype" w:hAnsi="Palatino Linotype" w:cs="Arial"/>
        </w:rPr>
        <w:t xml:space="preserve"> SESIÓN ORDINARIA CELEBRADA EL </w:t>
      </w:r>
      <w:r w:rsidR="00303BC7">
        <w:rPr>
          <w:rFonts w:ascii="Palatino Linotype" w:hAnsi="Palatino Linotype" w:cs="Arial"/>
        </w:rPr>
        <w:t>CINCO DE SEPTIEMBRE</w:t>
      </w:r>
      <w:r w:rsidRPr="0040233B">
        <w:rPr>
          <w:rFonts w:ascii="Palatino Linotype" w:hAnsi="Palatino Linotype" w:cs="Arial"/>
        </w:rPr>
        <w:t xml:space="preserve"> DEL DOS MIL DIECI</w:t>
      </w:r>
      <w:r w:rsidR="002441D0">
        <w:rPr>
          <w:rFonts w:ascii="Palatino Linotype" w:hAnsi="Palatino Linotype" w:cs="Arial"/>
        </w:rPr>
        <w:t>OCHO</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303BC7">
        <w:trPr>
          <w:trHeight w:val="793"/>
          <w:jc w:val="center"/>
        </w:trPr>
        <w:tc>
          <w:tcPr>
            <w:tcW w:w="8364" w:type="dxa"/>
            <w:gridSpan w:val="2"/>
            <w:vAlign w:val="center"/>
          </w:tcPr>
          <w:p w14:paraId="5132457C" w14:textId="27A4E8D5" w:rsidR="009E7593" w:rsidRDefault="00516E6A" w:rsidP="00BD6BED">
            <w:pPr>
              <w:jc w:val="center"/>
              <w:rPr>
                <w:rFonts w:ascii="Palatino Linotype" w:hAnsi="Palatino Linotype"/>
                <w:b/>
                <w:sz w:val="28"/>
                <w:szCs w:val="28"/>
              </w:rPr>
            </w:pPr>
            <w:r w:rsidRPr="0040233B">
              <w:rPr>
                <w:rFonts w:ascii="Palatino Linotype" w:hAnsi="Palatino Linotype" w:cs="Arial"/>
              </w:rPr>
              <w:br w:type="page"/>
            </w:r>
          </w:p>
          <w:p w14:paraId="3C605776" w14:textId="77777777" w:rsidR="00106B32" w:rsidRDefault="00106B32" w:rsidP="00BD6BED">
            <w:pPr>
              <w:jc w:val="center"/>
              <w:rPr>
                <w:rFonts w:ascii="Palatino Linotype" w:hAnsi="Palatino Linotype"/>
                <w:b/>
                <w:sz w:val="28"/>
                <w:szCs w:val="28"/>
              </w:rPr>
            </w:pPr>
          </w:p>
          <w:p w14:paraId="5708219B" w14:textId="77777777" w:rsidR="00106B32" w:rsidRDefault="00106B32" w:rsidP="00BD6BED">
            <w:pPr>
              <w:jc w:val="center"/>
              <w:rPr>
                <w:rFonts w:ascii="Palatino Linotype" w:hAnsi="Palatino Linotype"/>
                <w:b/>
                <w:sz w:val="28"/>
                <w:szCs w:val="28"/>
              </w:rPr>
            </w:pPr>
          </w:p>
          <w:p w14:paraId="6DFE2C0B" w14:textId="77777777" w:rsidR="00106B32" w:rsidRDefault="00106B32" w:rsidP="00BD6BED">
            <w:pPr>
              <w:jc w:val="center"/>
              <w:rPr>
                <w:rFonts w:ascii="Palatino Linotype" w:hAnsi="Palatino Linotype"/>
                <w:b/>
                <w:sz w:val="28"/>
                <w:szCs w:val="28"/>
              </w:rPr>
            </w:pPr>
          </w:p>
          <w:p w14:paraId="4AECA20C" w14:textId="77777777" w:rsidR="00106B32" w:rsidRDefault="00106B32" w:rsidP="00BD6BED">
            <w:pPr>
              <w:jc w:val="center"/>
              <w:rPr>
                <w:rFonts w:ascii="Palatino Linotype" w:hAnsi="Palatino Linotype"/>
                <w:b/>
                <w:sz w:val="28"/>
                <w:szCs w:val="28"/>
              </w:rPr>
            </w:pPr>
          </w:p>
          <w:p w14:paraId="73119088" w14:textId="77777777" w:rsidR="00106B32" w:rsidRDefault="00106B32" w:rsidP="00BD6BED">
            <w:pPr>
              <w:jc w:val="center"/>
              <w:rPr>
                <w:rFonts w:ascii="Palatino Linotype" w:hAnsi="Palatino Linotype"/>
                <w:b/>
                <w:sz w:val="28"/>
                <w:szCs w:val="28"/>
              </w:rPr>
            </w:pPr>
          </w:p>
          <w:p w14:paraId="03E29A03" w14:textId="77777777" w:rsidR="00106B32" w:rsidRDefault="00106B32" w:rsidP="00BD6BED">
            <w:pPr>
              <w:jc w:val="center"/>
              <w:rPr>
                <w:rFonts w:ascii="Palatino Linotype" w:hAnsi="Palatino Linotype"/>
                <w:b/>
                <w:sz w:val="28"/>
                <w:szCs w:val="28"/>
              </w:rPr>
            </w:pPr>
          </w:p>
          <w:p w14:paraId="7765A058" w14:textId="77777777" w:rsidR="002441D0" w:rsidRDefault="002441D0" w:rsidP="00BD6BED">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381F46A1" w14:textId="10C555B8"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68FFAC2F" w:rsidR="00516E6A" w:rsidRPr="0040233B" w:rsidRDefault="00DA0B14" w:rsidP="002441D0">
            <w:pPr>
              <w:jc w:val="center"/>
              <w:rPr>
                <w:rFonts w:ascii="Palatino Linotype" w:hAnsi="Palatino Linotype"/>
              </w:rPr>
            </w:pPr>
            <w:r>
              <w:rPr>
                <w:rFonts w:ascii="Palatino Linotype" w:hAnsi="Palatino Linotype" w:cs="Arial"/>
              </w:rPr>
              <w:t>(</w:t>
            </w:r>
            <w:r w:rsidR="002441D0">
              <w:rPr>
                <w:rFonts w:ascii="Palatino Linotype" w:hAnsi="Palatino Linotype" w:cs="Arial"/>
              </w:rPr>
              <w:t>Rúbrica</w:t>
            </w:r>
            <w:r>
              <w:rPr>
                <w:rFonts w:ascii="Palatino Linotype" w:hAnsi="Palatino Linotype" w:cs="Arial"/>
              </w:rPr>
              <w:t>)</w:t>
            </w:r>
          </w:p>
        </w:tc>
      </w:tr>
      <w:tr w:rsidR="0040233B" w:rsidRPr="0040233B" w14:paraId="744B8DB9" w14:textId="77777777" w:rsidTr="00303BC7">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6ECFF93F" w14:textId="77777777" w:rsidR="008A7EBE" w:rsidRDefault="008A7EBE" w:rsidP="00BD6BED">
            <w:pPr>
              <w:jc w:val="center"/>
              <w:rPr>
                <w:rFonts w:ascii="Palatino Linotype" w:hAnsi="Palatino Linotype"/>
                <w:b/>
                <w:sz w:val="28"/>
                <w:szCs w:val="28"/>
              </w:rPr>
            </w:pPr>
          </w:p>
          <w:p w14:paraId="08D6D7E6" w14:textId="77777777" w:rsidR="00303BC7" w:rsidRDefault="00303BC7" w:rsidP="00BD6BED">
            <w:pPr>
              <w:jc w:val="center"/>
              <w:rPr>
                <w:rFonts w:ascii="Palatino Linotype" w:hAnsi="Palatino Linotype"/>
                <w:b/>
                <w:sz w:val="28"/>
                <w:szCs w:val="28"/>
              </w:rPr>
            </w:pPr>
          </w:p>
          <w:p w14:paraId="3B99E0EB" w14:textId="77777777" w:rsidR="008A7EBE" w:rsidRPr="00303BC7" w:rsidRDefault="008A7EBE" w:rsidP="00BD6BED">
            <w:pPr>
              <w:jc w:val="center"/>
              <w:rPr>
                <w:rFonts w:ascii="Palatino Linotype" w:hAnsi="Palatino Linotype"/>
                <w:b/>
                <w:szCs w:val="28"/>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 xml:space="preserve">Eva </w:t>
            </w:r>
            <w:proofErr w:type="spellStart"/>
            <w:r w:rsidRPr="0040233B">
              <w:rPr>
                <w:rFonts w:ascii="Palatino Linotype" w:hAnsi="Palatino Linotype"/>
                <w:b/>
                <w:sz w:val="28"/>
                <w:szCs w:val="28"/>
              </w:rPr>
              <w:t>Abaid</w:t>
            </w:r>
            <w:proofErr w:type="spellEnd"/>
            <w:r w:rsidRPr="0040233B">
              <w:rPr>
                <w:rFonts w:ascii="Palatino Linotype" w:hAnsi="Palatino Linotype"/>
                <w:b/>
                <w:sz w:val="28"/>
                <w:szCs w:val="28"/>
              </w:rPr>
              <w:t xml:space="preserve"> </w:t>
            </w:r>
            <w:proofErr w:type="spellStart"/>
            <w:r w:rsidRPr="0040233B">
              <w:rPr>
                <w:rFonts w:ascii="Palatino Linotype" w:hAnsi="Palatino Linotype"/>
                <w:b/>
                <w:sz w:val="28"/>
                <w:szCs w:val="28"/>
              </w:rPr>
              <w:t>Yapur</w:t>
            </w:r>
            <w:proofErr w:type="spellEnd"/>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3E5D1494" w:rsidR="00516E6A" w:rsidRPr="0040233B" w:rsidRDefault="00030E35" w:rsidP="00BD6BED">
            <w:pPr>
              <w:jc w:val="center"/>
              <w:rPr>
                <w:rFonts w:ascii="Palatino Linotype" w:hAnsi="Palatino Linotype"/>
              </w:rPr>
            </w:pPr>
            <w:r w:rsidRPr="0040233B">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40B159D4" w14:textId="77777777" w:rsidR="008A7EBE" w:rsidRDefault="008A7EBE" w:rsidP="00BD6BED">
            <w:pPr>
              <w:jc w:val="center"/>
              <w:rPr>
                <w:rFonts w:ascii="Palatino Linotype" w:hAnsi="Palatino Linotype"/>
                <w:b/>
                <w:sz w:val="28"/>
                <w:szCs w:val="28"/>
              </w:rPr>
            </w:pPr>
          </w:p>
          <w:p w14:paraId="73AE82A5" w14:textId="77777777" w:rsidR="00303BC7" w:rsidRDefault="00303BC7" w:rsidP="00BD6BED">
            <w:pPr>
              <w:jc w:val="center"/>
              <w:rPr>
                <w:rFonts w:ascii="Palatino Linotype" w:hAnsi="Palatino Linotype"/>
                <w:b/>
                <w:sz w:val="28"/>
                <w:szCs w:val="28"/>
              </w:rPr>
            </w:pPr>
          </w:p>
          <w:p w14:paraId="35255205" w14:textId="77777777" w:rsidR="00303BC7" w:rsidRDefault="00303BC7" w:rsidP="00BD6BED">
            <w:pPr>
              <w:jc w:val="center"/>
              <w:rPr>
                <w:rFonts w:ascii="Palatino Linotype" w:hAnsi="Palatino Linotype"/>
                <w:b/>
                <w:sz w:val="28"/>
                <w:szCs w:val="28"/>
              </w:rPr>
            </w:pPr>
          </w:p>
          <w:p w14:paraId="39150B74"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20F16D5D" w:rsidR="00516E6A" w:rsidRPr="0040233B" w:rsidRDefault="00A900E2" w:rsidP="00BD6BED">
            <w:pPr>
              <w:jc w:val="center"/>
              <w:rPr>
                <w:rFonts w:ascii="Palatino Linotype" w:hAnsi="Palatino Linotype"/>
              </w:rPr>
            </w:pPr>
            <w:r w:rsidRPr="0040233B">
              <w:rPr>
                <w:rFonts w:ascii="Palatino Linotype" w:hAnsi="Palatino Linotype"/>
              </w:rPr>
              <w:t>(</w:t>
            </w:r>
            <w:r w:rsidR="001F41FB">
              <w:rPr>
                <w:rFonts w:ascii="Palatino Linotype" w:hAnsi="Palatino Linotype"/>
              </w:rPr>
              <w:t>Rúbrica</w:t>
            </w:r>
            <w:r w:rsidRPr="0040233B">
              <w:rPr>
                <w:rFonts w:ascii="Palatino Linotype" w:hAnsi="Palatino Linotype"/>
              </w:rPr>
              <w:t>)</w:t>
            </w:r>
          </w:p>
          <w:p w14:paraId="233CF339" w14:textId="77777777" w:rsidR="00516E6A" w:rsidRPr="0040233B" w:rsidRDefault="00516E6A" w:rsidP="00BD6BED">
            <w:pPr>
              <w:jc w:val="center"/>
              <w:rPr>
                <w:rFonts w:ascii="Palatino Linotype" w:hAnsi="Palatino Linotype"/>
              </w:rPr>
            </w:pPr>
          </w:p>
        </w:tc>
      </w:tr>
      <w:tr w:rsidR="00303BC7" w:rsidRPr="0040233B" w14:paraId="1C521667" w14:textId="77777777" w:rsidTr="00303BC7">
        <w:trPr>
          <w:trHeight w:val="2063"/>
          <w:jc w:val="center"/>
        </w:trPr>
        <w:tc>
          <w:tcPr>
            <w:tcW w:w="3874" w:type="dxa"/>
            <w:vAlign w:val="center"/>
          </w:tcPr>
          <w:p w14:paraId="38E019CF" w14:textId="77777777" w:rsidR="00303BC7" w:rsidRDefault="00303BC7" w:rsidP="00303BC7">
            <w:pPr>
              <w:jc w:val="center"/>
              <w:rPr>
                <w:rFonts w:ascii="Palatino Linotype" w:hAnsi="Palatino Linotype"/>
                <w:b/>
                <w:sz w:val="28"/>
                <w:szCs w:val="28"/>
              </w:rPr>
            </w:pPr>
          </w:p>
          <w:p w14:paraId="084AE80E" w14:textId="77777777" w:rsidR="00303BC7" w:rsidRDefault="00303BC7" w:rsidP="00303BC7">
            <w:pPr>
              <w:jc w:val="center"/>
              <w:rPr>
                <w:rFonts w:ascii="Palatino Linotype" w:hAnsi="Palatino Linotype"/>
                <w:b/>
                <w:sz w:val="28"/>
                <w:szCs w:val="28"/>
              </w:rPr>
            </w:pPr>
          </w:p>
          <w:p w14:paraId="73C85DE2" w14:textId="77777777" w:rsidR="00303BC7" w:rsidRDefault="00303BC7" w:rsidP="00303BC7">
            <w:pPr>
              <w:jc w:val="center"/>
              <w:rPr>
                <w:rFonts w:ascii="Palatino Linotype" w:hAnsi="Palatino Linotype"/>
                <w:b/>
                <w:sz w:val="28"/>
                <w:szCs w:val="28"/>
              </w:rPr>
            </w:pPr>
          </w:p>
          <w:p w14:paraId="68C69FA9" w14:textId="77777777" w:rsidR="00303BC7" w:rsidRDefault="00303BC7" w:rsidP="00303BC7">
            <w:pPr>
              <w:jc w:val="center"/>
              <w:rPr>
                <w:rFonts w:ascii="Palatino Linotype" w:hAnsi="Palatino Linotype"/>
                <w:b/>
                <w:sz w:val="28"/>
                <w:szCs w:val="28"/>
              </w:rPr>
            </w:pPr>
          </w:p>
          <w:p w14:paraId="38DD1D34" w14:textId="77777777" w:rsidR="00303BC7" w:rsidRPr="0040233B" w:rsidRDefault="00303BC7" w:rsidP="00303BC7">
            <w:pPr>
              <w:jc w:val="center"/>
              <w:rPr>
                <w:rFonts w:ascii="Palatino Linotype" w:hAnsi="Palatino Linotype"/>
                <w:b/>
                <w:sz w:val="28"/>
                <w:szCs w:val="28"/>
              </w:rPr>
            </w:pPr>
            <w:r w:rsidRPr="0040233B">
              <w:rPr>
                <w:rFonts w:ascii="Palatino Linotype" w:hAnsi="Palatino Linotype"/>
                <w:b/>
                <w:sz w:val="28"/>
                <w:szCs w:val="28"/>
              </w:rPr>
              <w:t>Javier Martínez Cruz</w:t>
            </w:r>
          </w:p>
          <w:p w14:paraId="15B62DA8" w14:textId="77777777" w:rsidR="00303BC7" w:rsidRPr="0040233B" w:rsidRDefault="00303BC7" w:rsidP="00303BC7">
            <w:pPr>
              <w:jc w:val="center"/>
              <w:rPr>
                <w:rFonts w:ascii="Palatino Linotype" w:hAnsi="Palatino Linotype"/>
              </w:rPr>
            </w:pPr>
            <w:r w:rsidRPr="0040233B">
              <w:rPr>
                <w:rFonts w:ascii="Palatino Linotype" w:hAnsi="Palatino Linotype"/>
              </w:rPr>
              <w:t>Comisionado</w:t>
            </w:r>
          </w:p>
          <w:p w14:paraId="090250BD" w14:textId="77777777" w:rsidR="00303BC7" w:rsidRPr="0040233B" w:rsidRDefault="00303BC7" w:rsidP="00303BC7">
            <w:pPr>
              <w:jc w:val="center"/>
              <w:rPr>
                <w:rFonts w:ascii="Palatino Linotype" w:hAnsi="Palatino Linotype"/>
              </w:rPr>
            </w:pPr>
            <w:r w:rsidRPr="0040233B">
              <w:rPr>
                <w:rFonts w:ascii="Palatino Linotype" w:hAnsi="Palatino Linotype"/>
              </w:rPr>
              <w:t>(Rúbrica)</w:t>
            </w:r>
          </w:p>
          <w:p w14:paraId="182A40C3" w14:textId="77777777" w:rsidR="00303BC7" w:rsidRDefault="00303BC7" w:rsidP="00BD6BED">
            <w:pPr>
              <w:jc w:val="center"/>
              <w:rPr>
                <w:rFonts w:ascii="Palatino Linotype" w:hAnsi="Palatino Linotype"/>
                <w:b/>
                <w:sz w:val="28"/>
                <w:szCs w:val="28"/>
              </w:rPr>
            </w:pPr>
          </w:p>
        </w:tc>
        <w:tc>
          <w:tcPr>
            <w:tcW w:w="4490" w:type="dxa"/>
            <w:vAlign w:val="center"/>
          </w:tcPr>
          <w:p w14:paraId="5F6EF5D2" w14:textId="77777777" w:rsidR="00303BC7" w:rsidRDefault="00303BC7" w:rsidP="00303BC7">
            <w:pPr>
              <w:jc w:val="center"/>
              <w:rPr>
                <w:rFonts w:ascii="Palatino Linotype" w:hAnsi="Palatino Linotype"/>
                <w:b/>
                <w:sz w:val="28"/>
                <w:szCs w:val="28"/>
              </w:rPr>
            </w:pPr>
          </w:p>
          <w:p w14:paraId="4B61B28A" w14:textId="77777777" w:rsidR="00303BC7" w:rsidRDefault="00303BC7" w:rsidP="00303BC7">
            <w:pPr>
              <w:jc w:val="center"/>
              <w:rPr>
                <w:rFonts w:ascii="Palatino Linotype" w:hAnsi="Palatino Linotype"/>
                <w:b/>
                <w:sz w:val="28"/>
                <w:szCs w:val="28"/>
              </w:rPr>
            </w:pPr>
          </w:p>
          <w:p w14:paraId="7E0B242E" w14:textId="77777777" w:rsidR="00303BC7" w:rsidRDefault="00303BC7" w:rsidP="00303BC7">
            <w:pPr>
              <w:jc w:val="center"/>
              <w:rPr>
                <w:rFonts w:ascii="Palatino Linotype" w:hAnsi="Palatino Linotype"/>
                <w:b/>
                <w:sz w:val="28"/>
                <w:szCs w:val="28"/>
              </w:rPr>
            </w:pPr>
          </w:p>
          <w:p w14:paraId="0C7806EE" w14:textId="77777777" w:rsidR="00303BC7" w:rsidRDefault="00303BC7" w:rsidP="00303BC7">
            <w:pPr>
              <w:jc w:val="center"/>
              <w:rPr>
                <w:rFonts w:ascii="Palatino Linotype" w:hAnsi="Palatino Linotype"/>
                <w:b/>
                <w:sz w:val="28"/>
                <w:szCs w:val="28"/>
              </w:rPr>
            </w:pPr>
          </w:p>
          <w:p w14:paraId="3CB509FF" w14:textId="6AFB726D" w:rsidR="00303BC7" w:rsidRPr="0040233B" w:rsidRDefault="00303BC7" w:rsidP="00303BC7">
            <w:pPr>
              <w:jc w:val="center"/>
              <w:rPr>
                <w:rFonts w:ascii="Palatino Linotype" w:hAnsi="Palatino Linotype"/>
                <w:b/>
                <w:sz w:val="28"/>
                <w:szCs w:val="28"/>
              </w:rPr>
            </w:pPr>
            <w:r>
              <w:rPr>
                <w:rFonts w:ascii="Palatino Linotype" w:hAnsi="Palatino Linotype"/>
                <w:b/>
                <w:sz w:val="28"/>
                <w:szCs w:val="28"/>
              </w:rPr>
              <w:t>Luis Gustavo Parra Noriega</w:t>
            </w:r>
          </w:p>
          <w:p w14:paraId="084D5C39" w14:textId="77777777" w:rsidR="00303BC7" w:rsidRPr="0040233B" w:rsidRDefault="00303BC7" w:rsidP="00303BC7">
            <w:pPr>
              <w:jc w:val="center"/>
              <w:rPr>
                <w:rFonts w:ascii="Palatino Linotype" w:hAnsi="Palatino Linotype"/>
              </w:rPr>
            </w:pPr>
            <w:r w:rsidRPr="0040233B">
              <w:rPr>
                <w:rFonts w:ascii="Palatino Linotype" w:hAnsi="Palatino Linotype"/>
              </w:rPr>
              <w:t>Comisionado</w:t>
            </w:r>
          </w:p>
          <w:p w14:paraId="1AD7AF5B" w14:textId="77777777" w:rsidR="00303BC7" w:rsidRPr="0040233B" w:rsidRDefault="00303BC7" w:rsidP="00303BC7">
            <w:pPr>
              <w:jc w:val="center"/>
              <w:rPr>
                <w:rFonts w:ascii="Palatino Linotype" w:hAnsi="Palatino Linotype"/>
              </w:rPr>
            </w:pPr>
            <w:r w:rsidRPr="0040233B">
              <w:rPr>
                <w:rFonts w:ascii="Palatino Linotype" w:hAnsi="Palatino Linotype"/>
              </w:rPr>
              <w:t>(Rúbrica)</w:t>
            </w:r>
          </w:p>
          <w:p w14:paraId="2803293F" w14:textId="77777777" w:rsidR="00303BC7" w:rsidRPr="0040233B" w:rsidRDefault="00303BC7" w:rsidP="00BD6BED">
            <w:pPr>
              <w:jc w:val="center"/>
              <w:rPr>
                <w:rFonts w:ascii="Palatino Linotype" w:hAnsi="Palatino Linotype"/>
                <w:b/>
              </w:rPr>
            </w:pPr>
          </w:p>
        </w:tc>
      </w:tr>
      <w:tr w:rsidR="0040233B" w:rsidRPr="0040233B" w14:paraId="08D0C596" w14:textId="77777777" w:rsidTr="00303BC7">
        <w:trPr>
          <w:trHeight w:val="1869"/>
          <w:jc w:val="center"/>
        </w:trPr>
        <w:tc>
          <w:tcPr>
            <w:tcW w:w="8364" w:type="dxa"/>
            <w:gridSpan w:val="2"/>
            <w:vAlign w:val="center"/>
          </w:tcPr>
          <w:p w14:paraId="11F5125B" w14:textId="77777777" w:rsidR="00516E6A" w:rsidRPr="0040233B" w:rsidRDefault="00516E6A" w:rsidP="00BD6BED">
            <w:pPr>
              <w:jc w:val="center"/>
              <w:rPr>
                <w:rFonts w:ascii="Palatino Linotype" w:hAnsi="Palatino Linotype"/>
                <w:b/>
              </w:rPr>
            </w:pPr>
          </w:p>
          <w:p w14:paraId="55AF70F6" w14:textId="77777777" w:rsidR="00516E6A" w:rsidRDefault="00516E6A" w:rsidP="00BD6BED">
            <w:pPr>
              <w:jc w:val="center"/>
              <w:rPr>
                <w:rFonts w:ascii="Palatino Linotype" w:hAnsi="Palatino Linotype"/>
                <w:b/>
                <w:sz w:val="28"/>
                <w:szCs w:val="28"/>
              </w:rPr>
            </w:pPr>
          </w:p>
          <w:p w14:paraId="52CAD17D" w14:textId="77777777" w:rsidR="00A650DC" w:rsidRDefault="00A650DC" w:rsidP="00BD6BED">
            <w:pPr>
              <w:jc w:val="center"/>
              <w:rPr>
                <w:rFonts w:ascii="Palatino Linotype" w:hAnsi="Palatino Linotype"/>
                <w:b/>
                <w:sz w:val="28"/>
                <w:szCs w:val="28"/>
              </w:rPr>
            </w:pPr>
          </w:p>
          <w:p w14:paraId="49D38AB7" w14:textId="77777777" w:rsidR="00A650DC" w:rsidRPr="0040233B" w:rsidRDefault="00A650DC" w:rsidP="00BD6BED">
            <w:pPr>
              <w:jc w:val="center"/>
              <w:rPr>
                <w:rFonts w:ascii="Palatino Linotype" w:hAnsi="Palatino Linotype"/>
                <w:b/>
                <w:sz w:val="28"/>
                <w:szCs w:val="28"/>
              </w:rPr>
            </w:pPr>
          </w:p>
          <w:p w14:paraId="3A798857" w14:textId="2E2D6064" w:rsidR="00516E6A" w:rsidRPr="0040233B" w:rsidRDefault="007D336B" w:rsidP="00BD6BED">
            <w:pPr>
              <w:jc w:val="center"/>
              <w:rPr>
                <w:rFonts w:ascii="Palatino Linotype" w:hAnsi="Palatino Linotype"/>
                <w:b/>
                <w:sz w:val="28"/>
                <w:szCs w:val="28"/>
              </w:rPr>
            </w:pPr>
            <w:r>
              <w:rPr>
                <w:rFonts w:ascii="Palatino Linotype" w:hAnsi="Palatino Linotype"/>
                <w:b/>
                <w:sz w:val="28"/>
                <w:szCs w:val="28"/>
              </w:rPr>
              <w:t>Alexis Tapia Ramírez</w:t>
            </w:r>
          </w:p>
          <w:p w14:paraId="637039FC" w14:textId="10A92AF7" w:rsidR="00516E6A" w:rsidRPr="0040233B" w:rsidRDefault="007D336B" w:rsidP="00BD6BED">
            <w:pPr>
              <w:jc w:val="center"/>
              <w:rPr>
                <w:rFonts w:ascii="Palatino Linotype" w:hAnsi="Palatino Linotype"/>
              </w:rPr>
            </w:pPr>
            <w:r>
              <w:rPr>
                <w:rFonts w:ascii="Palatino Linotype" w:hAnsi="Palatino Linotype"/>
              </w:rPr>
              <w:t>Secretario Técnico</w:t>
            </w:r>
            <w:r w:rsidR="00516E6A" w:rsidRPr="0040233B">
              <w:rPr>
                <w:rFonts w:ascii="Palatino Linotype" w:hAnsi="Palatino Linotype"/>
              </w:rPr>
              <w:t xml:space="preserve"> del Pleno</w:t>
            </w:r>
          </w:p>
          <w:p w14:paraId="636D6438" w14:textId="77777777" w:rsidR="00516E6A" w:rsidRPr="0040233B" w:rsidRDefault="00516E6A" w:rsidP="00BD6BED">
            <w:pPr>
              <w:jc w:val="center"/>
              <w:rPr>
                <w:rFonts w:ascii="Palatino Linotype" w:hAnsi="Palatino Linotype"/>
              </w:rPr>
            </w:pPr>
            <w:r w:rsidRPr="0040233B">
              <w:rPr>
                <w:rFonts w:ascii="Palatino Linotype" w:hAnsi="Palatino Linotype"/>
              </w:rPr>
              <w:t>(Rúbrica)</w:t>
            </w:r>
          </w:p>
          <w:p w14:paraId="763925BD" w14:textId="77777777" w:rsidR="00516E6A" w:rsidRDefault="00516E6A" w:rsidP="00BD6BED">
            <w:pPr>
              <w:jc w:val="center"/>
              <w:rPr>
                <w:rFonts w:ascii="Palatino Linotype" w:hAnsi="Palatino Linotype"/>
              </w:rPr>
            </w:pPr>
          </w:p>
          <w:p w14:paraId="76AA92DB" w14:textId="77777777" w:rsidR="00A014EE" w:rsidRPr="0040233B" w:rsidRDefault="00A014EE" w:rsidP="00BD6BED">
            <w:pPr>
              <w:jc w:val="center"/>
              <w:rPr>
                <w:rFonts w:ascii="Palatino Linotype" w:hAnsi="Palatino Linotype"/>
              </w:rPr>
            </w:pPr>
          </w:p>
        </w:tc>
      </w:tr>
    </w:tbl>
    <w:p w14:paraId="7D2A109B" w14:textId="722FFB68"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303BC7">
        <w:rPr>
          <w:rFonts w:ascii="Palatino Linotype" w:hAnsi="Palatino Linotype" w:cs="Arial"/>
          <w:sz w:val="16"/>
        </w:rPr>
        <w:t>cinco de septiembre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2441D0">
        <w:rPr>
          <w:rFonts w:ascii="Palatino Linotype" w:hAnsi="Palatino Linotype" w:cs="Arial"/>
          <w:sz w:val="16"/>
        </w:rPr>
        <w:t>ocho</w:t>
      </w:r>
      <w:r w:rsidRPr="0040233B">
        <w:rPr>
          <w:rFonts w:ascii="Palatino Linotype" w:hAnsi="Palatino Linotype" w:cs="Arial"/>
          <w:sz w:val="16"/>
        </w:rPr>
        <w:t xml:space="preserve">, emitida en el recurso de revisión </w:t>
      </w:r>
      <w:r w:rsidR="00D553E6">
        <w:rPr>
          <w:rFonts w:ascii="Palatino Linotype" w:hAnsi="Palatino Linotype" w:cs="Arial"/>
          <w:bCs/>
          <w:sz w:val="16"/>
        </w:rPr>
        <w:t>02356/</w:t>
      </w:r>
      <w:proofErr w:type="spellStart"/>
      <w:r w:rsidR="00D553E6">
        <w:rPr>
          <w:rFonts w:ascii="Palatino Linotype" w:hAnsi="Palatino Linotype" w:cs="Arial"/>
          <w:bCs/>
          <w:sz w:val="16"/>
        </w:rPr>
        <w:t>INFOEM</w:t>
      </w:r>
      <w:proofErr w:type="spellEnd"/>
      <w:r w:rsidR="00437D10">
        <w:rPr>
          <w:rFonts w:ascii="Palatino Linotype" w:hAnsi="Palatino Linotype" w:cs="Arial"/>
          <w:bCs/>
          <w:sz w:val="16"/>
        </w:rPr>
        <w:t>/IP/</w:t>
      </w:r>
      <w:proofErr w:type="spellStart"/>
      <w:r w:rsidR="00437D10">
        <w:rPr>
          <w:rFonts w:ascii="Palatino Linotype" w:hAnsi="Palatino Linotype" w:cs="Arial"/>
          <w:bCs/>
          <w:sz w:val="16"/>
        </w:rPr>
        <w:t>RR</w:t>
      </w:r>
      <w:proofErr w:type="spellEnd"/>
      <w:r w:rsidR="00437D10">
        <w:rPr>
          <w:rFonts w:ascii="Palatino Linotype" w:hAnsi="Palatino Linotype" w:cs="Arial"/>
          <w:bCs/>
          <w:sz w:val="16"/>
        </w:rPr>
        <w:t>/2018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FDFCF" w14:textId="77777777" w:rsidR="00FC0B1B" w:rsidRDefault="00FC0B1B" w:rsidP="00C80F8C">
      <w:r>
        <w:separator/>
      </w:r>
    </w:p>
  </w:endnote>
  <w:endnote w:type="continuationSeparator" w:id="0">
    <w:p w14:paraId="18C190BE" w14:textId="77777777" w:rsidR="00FC0B1B" w:rsidRDefault="00FC0B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B33CC" w:rsidRDefault="007B33C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C1D55">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C1D55">
      <w:rPr>
        <w:rFonts w:ascii="Arial" w:hAnsi="Arial" w:cs="Arial"/>
        <w:b/>
        <w:bCs/>
        <w:noProof/>
        <w:sz w:val="20"/>
        <w:szCs w:val="20"/>
      </w:rPr>
      <w:t>30</w:t>
    </w:r>
    <w:r>
      <w:rPr>
        <w:rFonts w:ascii="Arial" w:hAnsi="Arial" w:cs="Arial"/>
        <w:b/>
        <w:bCs/>
        <w:sz w:val="20"/>
        <w:szCs w:val="20"/>
      </w:rPr>
      <w:fldChar w:fldCharType="end"/>
    </w:r>
  </w:p>
  <w:p w14:paraId="1192A578" w14:textId="77777777" w:rsidR="007B33CC" w:rsidRDefault="007B33CC" w:rsidP="00935A0D">
    <w:pPr>
      <w:pStyle w:val="Piedepgina"/>
      <w:rPr>
        <w:rFonts w:ascii="Times New Roman" w:hAnsi="Times New Roman" w:cs="Times New Roman"/>
      </w:rPr>
    </w:pPr>
  </w:p>
  <w:p w14:paraId="14A770F8" w14:textId="77777777" w:rsidR="007B33CC" w:rsidRDefault="007B33C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B33CC" w:rsidRDefault="007B33C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C1D5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C1D55">
      <w:rPr>
        <w:rFonts w:ascii="Arial" w:hAnsi="Arial" w:cs="Arial"/>
        <w:b/>
        <w:bCs/>
        <w:noProof/>
        <w:sz w:val="20"/>
        <w:szCs w:val="20"/>
      </w:rPr>
      <w:t>30</w:t>
    </w:r>
    <w:r>
      <w:rPr>
        <w:rFonts w:ascii="Arial" w:hAnsi="Arial" w:cs="Arial"/>
        <w:b/>
        <w:bCs/>
        <w:sz w:val="20"/>
        <w:szCs w:val="20"/>
      </w:rPr>
      <w:fldChar w:fldCharType="end"/>
    </w:r>
  </w:p>
  <w:p w14:paraId="5D98ABD5" w14:textId="77777777" w:rsidR="007B33CC" w:rsidRDefault="007B33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71D67" w14:textId="77777777" w:rsidR="00FC0B1B" w:rsidRDefault="00FC0B1B" w:rsidP="00C80F8C">
      <w:r>
        <w:separator/>
      </w:r>
    </w:p>
  </w:footnote>
  <w:footnote w:type="continuationSeparator" w:id="0">
    <w:p w14:paraId="406702B2" w14:textId="77777777" w:rsidR="00FC0B1B" w:rsidRDefault="00FC0B1B" w:rsidP="00C80F8C">
      <w:r>
        <w:continuationSeparator/>
      </w:r>
    </w:p>
  </w:footnote>
  <w:footnote w:id="1">
    <w:p w14:paraId="59FC39FD" w14:textId="77777777" w:rsidR="000E5560" w:rsidRPr="000E5560" w:rsidRDefault="000E5560" w:rsidP="000E5560">
      <w:pPr>
        <w:ind w:right="51"/>
        <w:jc w:val="both"/>
        <w:rPr>
          <w:rFonts w:ascii="Palatino Linotype" w:hAnsi="Palatino Linotype"/>
          <w:i/>
          <w:sz w:val="16"/>
          <w:szCs w:val="16"/>
        </w:rPr>
      </w:pPr>
      <w:r w:rsidRPr="000E5560">
        <w:rPr>
          <w:rStyle w:val="Refdenotaalpie"/>
          <w:sz w:val="16"/>
          <w:szCs w:val="16"/>
        </w:rPr>
        <w:footnoteRef/>
      </w:r>
      <w:r w:rsidRPr="000E5560">
        <w:rPr>
          <w:sz w:val="16"/>
          <w:szCs w:val="16"/>
        </w:rPr>
        <w:t xml:space="preserve"> </w:t>
      </w:r>
      <w:r w:rsidRPr="000E5560">
        <w:rPr>
          <w:rFonts w:ascii="Palatino Linotype" w:hAnsi="Palatino Linotype"/>
          <w:b/>
          <w:i/>
          <w:sz w:val="16"/>
          <w:szCs w:val="16"/>
        </w:rPr>
        <w:t>“Artículo 160.</w:t>
      </w:r>
      <w:r w:rsidRPr="000E5560">
        <w:rPr>
          <w:rFonts w:ascii="Palatino Linotype" w:hAnsi="Palatino Linotype"/>
          <w:i/>
          <w:sz w:val="16"/>
          <w:szCs w:val="16"/>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4989C2" w14:textId="77777777" w:rsidR="000E5560" w:rsidRPr="000E5560" w:rsidRDefault="000E5560" w:rsidP="000E5560">
      <w:pPr>
        <w:ind w:right="51"/>
        <w:jc w:val="both"/>
        <w:rPr>
          <w:rFonts w:ascii="Palatino Linotype" w:hAnsi="Palatino Linotype"/>
          <w:i/>
          <w:sz w:val="16"/>
          <w:szCs w:val="16"/>
        </w:rPr>
      </w:pPr>
      <w:r w:rsidRPr="000E5560">
        <w:rPr>
          <w:rFonts w:ascii="Palatino Linotype" w:hAnsi="Palatino Linotype"/>
          <w:b/>
          <w:i/>
          <w:sz w:val="16"/>
          <w:szCs w:val="16"/>
        </w:rPr>
        <w:t>Artículo 162.</w:t>
      </w:r>
      <w:r w:rsidRPr="000E5560">
        <w:rPr>
          <w:rFonts w:ascii="Palatino Linotype" w:hAnsi="Palatino Linotype"/>
          <w:i/>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C36B210" w14:textId="77777777" w:rsidR="000E5560" w:rsidRPr="000E5560" w:rsidRDefault="000E5560" w:rsidP="000E5560">
      <w:pPr>
        <w:ind w:right="51"/>
        <w:jc w:val="both"/>
        <w:rPr>
          <w:rFonts w:ascii="Palatino Linotype" w:hAnsi="Palatino Linotype"/>
          <w:i/>
          <w:sz w:val="16"/>
          <w:szCs w:val="16"/>
        </w:rPr>
      </w:pPr>
      <w:r w:rsidRPr="000E5560">
        <w:rPr>
          <w:rFonts w:ascii="Palatino Linotype" w:hAnsi="Palatino Linotype"/>
          <w:b/>
          <w:i/>
          <w:sz w:val="16"/>
          <w:szCs w:val="16"/>
        </w:rPr>
        <w:t>Artículo 163.</w:t>
      </w:r>
      <w:r w:rsidRPr="000E5560">
        <w:rPr>
          <w:rFonts w:ascii="Palatino Linotype" w:hAnsi="Palatino Linotype"/>
          <w:i/>
          <w:sz w:val="16"/>
          <w:szCs w:val="16"/>
        </w:rPr>
        <w:t xml:space="preserve"> La Unidad de Transparencia deberá notificar la respuesta a la solicitud al interesado en el menor tiempo posible, que no podrá exceder de quince días hábiles, contados a partir del día siguiente a la presentación de aquélla.  </w:t>
      </w:r>
    </w:p>
    <w:p w14:paraId="095A00CF" w14:textId="77777777" w:rsidR="000E5560" w:rsidRPr="000E5560" w:rsidRDefault="000E5560" w:rsidP="000E5560">
      <w:pPr>
        <w:ind w:right="51"/>
        <w:jc w:val="both"/>
        <w:rPr>
          <w:rFonts w:ascii="Palatino Linotype" w:hAnsi="Palatino Linotype"/>
          <w:i/>
          <w:sz w:val="16"/>
          <w:szCs w:val="16"/>
        </w:rPr>
      </w:pPr>
      <w:r w:rsidRPr="000E5560">
        <w:rPr>
          <w:rFonts w:ascii="Palatino Linotype" w:hAnsi="Palatino Linotype"/>
          <w:i/>
          <w:sz w:val="16"/>
          <w:szCs w:val="16"/>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DDB560" w14:textId="77777777" w:rsidR="000E5560" w:rsidRPr="000E5560" w:rsidRDefault="000E5560" w:rsidP="000E5560">
      <w:pPr>
        <w:ind w:right="51"/>
        <w:jc w:val="both"/>
        <w:rPr>
          <w:rFonts w:ascii="Palatino Linotype" w:hAnsi="Palatino Linotype"/>
          <w:i/>
          <w:sz w:val="16"/>
          <w:szCs w:val="16"/>
        </w:rPr>
      </w:pPr>
      <w:r w:rsidRPr="000E5560">
        <w:rPr>
          <w:rFonts w:ascii="Palatino Linotype" w:hAnsi="Palatino Linotype"/>
          <w:b/>
          <w:i/>
          <w:sz w:val="16"/>
          <w:szCs w:val="16"/>
        </w:rPr>
        <w:t>Artículo 164.</w:t>
      </w:r>
      <w:r w:rsidRPr="000E5560">
        <w:rPr>
          <w:rFonts w:ascii="Palatino Linotype" w:hAnsi="Palatino Linotype"/>
          <w:i/>
          <w:sz w:val="16"/>
          <w:szCs w:val="16"/>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0841C36" w14:textId="77777777" w:rsidR="000E5560" w:rsidRPr="000E5560" w:rsidRDefault="000E5560" w:rsidP="000E5560">
      <w:pPr>
        <w:ind w:right="51"/>
        <w:jc w:val="both"/>
        <w:rPr>
          <w:rFonts w:ascii="Palatino Linotype" w:hAnsi="Palatino Linotype"/>
          <w:i/>
          <w:sz w:val="16"/>
          <w:szCs w:val="16"/>
        </w:rPr>
      </w:pPr>
      <w:r w:rsidRPr="000E5560">
        <w:rPr>
          <w:rFonts w:ascii="Palatino Linotype" w:hAnsi="Palatino Linotype"/>
          <w:i/>
          <w:sz w:val="16"/>
          <w:szCs w:val="16"/>
        </w:rPr>
        <w:t xml:space="preserve">En cualquier caso, se deberá fundar y motivar la necesidad de ofrecer otras modalidades.  </w:t>
      </w:r>
    </w:p>
    <w:p w14:paraId="273B1285" w14:textId="77777777" w:rsidR="000E5560" w:rsidRPr="000E5560" w:rsidRDefault="000E5560" w:rsidP="000E5560">
      <w:pPr>
        <w:ind w:right="51"/>
        <w:jc w:val="both"/>
        <w:rPr>
          <w:rFonts w:ascii="Palatino Linotype" w:hAnsi="Palatino Linotype"/>
          <w:i/>
          <w:sz w:val="16"/>
          <w:szCs w:val="16"/>
        </w:rPr>
      </w:pPr>
      <w:r w:rsidRPr="000E5560">
        <w:rPr>
          <w:rFonts w:ascii="Palatino Linotype" w:hAnsi="Palatino Linotype"/>
          <w:b/>
          <w:i/>
          <w:sz w:val="16"/>
          <w:szCs w:val="16"/>
        </w:rPr>
        <w:t>Artículo 165.</w:t>
      </w:r>
      <w:r w:rsidRPr="000E5560">
        <w:rPr>
          <w:rFonts w:ascii="Palatino Linotype" w:hAnsi="Palatino Linotype"/>
          <w:i/>
          <w:sz w:val="16"/>
          <w:szCs w:val="16"/>
        </w:rPr>
        <w:t xml:space="preserve"> Los sujetos obligados establecerán la forma y términos en que darán trámite interno a las solicitudes en materia de acceso a la información…”</w:t>
      </w:r>
    </w:p>
    <w:p w14:paraId="07C4F912" w14:textId="07F4FB38" w:rsidR="000E5560" w:rsidRDefault="000E5560">
      <w:pPr>
        <w:pStyle w:val="Textonotapie"/>
      </w:pPr>
    </w:p>
  </w:footnote>
  <w:footnote w:id="2">
    <w:p w14:paraId="5FB9CE5F" w14:textId="77777777" w:rsidR="00734371" w:rsidRPr="006112E3" w:rsidRDefault="00734371" w:rsidP="00734371">
      <w:pPr>
        <w:pStyle w:val="Textonotapie"/>
        <w:rPr>
          <w:sz w:val="16"/>
          <w:szCs w:val="16"/>
        </w:rPr>
      </w:pPr>
      <w:r>
        <w:rPr>
          <w:rStyle w:val="Refdenotaalpie"/>
        </w:rPr>
        <w:footnoteRef/>
      </w:r>
      <w:r>
        <w:t xml:space="preserve"> </w:t>
      </w:r>
      <w:r w:rsidRPr="006112E3">
        <w:rPr>
          <w:sz w:val="16"/>
          <w:szCs w:val="16"/>
        </w:rPr>
        <w:t xml:space="preserve">Artículo 109 </w:t>
      </w:r>
      <w:r w:rsidRPr="006112E3">
        <w:rPr>
          <w:rFonts w:ascii="Palatino Linotype" w:hAnsi="Palatino Linotype"/>
          <w:color w:val="000000"/>
          <w:sz w:val="16"/>
          <w:szCs w:val="16"/>
        </w:rPr>
        <w:t>Reglamento Orgánico de la Paz.</w:t>
      </w:r>
    </w:p>
  </w:footnote>
  <w:footnote w:id="3">
    <w:p w14:paraId="762F0F0A" w14:textId="77777777" w:rsidR="00734371" w:rsidRDefault="00734371" w:rsidP="00734371">
      <w:pPr>
        <w:pStyle w:val="Textonotapie"/>
      </w:pPr>
      <w:r>
        <w:rPr>
          <w:rStyle w:val="Refdenotaalpie"/>
        </w:rPr>
        <w:footnoteRef/>
      </w:r>
      <w:r>
        <w:t xml:space="preserve"> </w:t>
      </w:r>
      <w:r w:rsidRPr="006112E3">
        <w:rPr>
          <w:rFonts w:ascii="Palatino Linotype" w:hAnsi="Palatino Linotype"/>
          <w:sz w:val="16"/>
          <w:szCs w:val="16"/>
        </w:rPr>
        <w:t>Artículo 40 Ibídem.</w:t>
      </w:r>
    </w:p>
  </w:footnote>
  <w:footnote w:id="4">
    <w:p w14:paraId="0660EE7E" w14:textId="77777777" w:rsidR="00734371" w:rsidRPr="006112E3" w:rsidRDefault="00734371" w:rsidP="00734371">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Artículo 47 Ídem.</w:t>
      </w:r>
    </w:p>
  </w:footnote>
  <w:footnote w:id="5">
    <w:p w14:paraId="5788EA07" w14:textId="4800CFCB" w:rsidR="00DA1851" w:rsidRPr="00DA1851" w:rsidRDefault="00DA1851">
      <w:pPr>
        <w:pStyle w:val="Textonotapie"/>
      </w:pPr>
      <w:r>
        <w:rPr>
          <w:rStyle w:val="Refdenotaalpie"/>
        </w:rPr>
        <w:footnoteRef/>
      </w:r>
      <w:r>
        <w:t xml:space="preserve"> </w:t>
      </w:r>
      <w:r w:rsidRPr="00DA1851">
        <w:rPr>
          <w:rFonts w:ascii="Palatino Linotype" w:hAnsi="Palatino Linotype"/>
          <w:i/>
          <w:sz w:val="16"/>
          <w:szCs w:val="16"/>
        </w:rPr>
        <w:t xml:space="preserve">Cfr. </w:t>
      </w:r>
      <w:r w:rsidRPr="00DA1851">
        <w:rPr>
          <w:rFonts w:ascii="Palatino Linotype" w:hAnsi="Palatino Linotype"/>
          <w:sz w:val="16"/>
          <w:szCs w:val="16"/>
        </w:rPr>
        <w:t xml:space="preserve">Artículos 2 fracciones II, III y 53 </w:t>
      </w:r>
      <w:proofErr w:type="gramStart"/>
      <w:r w:rsidRPr="00DA1851">
        <w:rPr>
          <w:rFonts w:ascii="Palatino Linotype" w:hAnsi="Palatino Linotype"/>
          <w:sz w:val="16"/>
          <w:szCs w:val="16"/>
        </w:rPr>
        <w:t>fracción</w:t>
      </w:r>
      <w:proofErr w:type="gramEnd"/>
      <w:r w:rsidRPr="00DA1851">
        <w:rPr>
          <w:rFonts w:ascii="Palatino Linotype" w:hAnsi="Palatino Linotype"/>
          <w:sz w:val="16"/>
          <w:szCs w:val="16"/>
        </w:rPr>
        <w:t xml:space="preserve"> III de la Ley de Transparencia y Acceso a la Información Pública del Estado de México y Municipios.</w:t>
      </w:r>
    </w:p>
  </w:footnote>
  <w:footnote w:id="6">
    <w:p w14:paraId="6906EDB2" w14:textId="77777777" w:rsidR="000B0BF3" w:rsidRPr="000838C6" w:rsidRDefault="000B0BF3" w:rsidP="000B0BF3">
      <w:pPr>
        <w:pStyle w:val="Textonotapie"/>
        <w:jc w:val="both"/>
        <w:rPr>
          <w:rFonts w:ascii="Palatino Linotype" w:hAnsi="Palatino Linotype"/>
          <w:i/>
          <w:sz w:val="16"/>
          <w:szCs w:val="16"/>
        </w:rPr>
      </w:pPr>
      <w:r>
        <w:rPr>
          <w:rStyle w:val="Refdenotaalpie"/>
        </w:rPr>
        <w:footnoteRef/>
      </w:r>
      <w:r>
        <w:t xml:space="preserve"> </w:t>
      </w:r>
      <w:r>
        <w:rPr>
          <w:rFonts w:ascii="Palatino Linotype" w:hAnsi="Palatino Linotype"/>
          <w:i/>
          <w:sz w:val="16"/>
          <w:szCs w:val="16"/>
        </w:rPr>
        <w:t xml:space="preserve">Cfr. </w:t>
      </w:r>
      <w:r w:rsidRPr="000838C6">
        <w:rPr>
          <w:rFonts w:ascii="Palatino Linotype" w:hAnsi="Palatino Linotype"/>
          <w:sz w:val="16"/>
          <w:szCs w:val="16"/>
        </w:rPr>
        <w:t>Tesis Aislada de la Décima Época P. II/2017 (</w:t>
      </w:r>
      <w:proofErr w:type="spellStart"/>
      <w:r w:rsidRPr="000838C6">
        <w:rPr>
          <w:rFonts w:ascii="Palatino Linotype" w:hAnsi="Palatino Linotype"/>
          <w:sz w:val="16"/>
          <w:szCs w:val="16"/>
        </w:rPr>
        <w:t>10a</w:t>
      </w:r>
      <w:proofErr w:type="spellEnd"/>
      <w:r w:rsidRPr="000838C6">
        <w:rPr>
          <w:rFonts w:ascii="Palatino Linotype" w:hAnsi="Palatino Linotype"/>
          <w:sz w:val="16"/>
          <w:szCs w:val="16"/>
        </w:rPr>
        <w:t xml:space="preserve">.) </w:t>
      </w:r>
      <w:r w:rsidRPr="00845DA4">
        <w:rPr>
          <w:rFonts w:ascii="Palatino Linotype" w:hAnsi="Palatino Linotype"/>
          <w:i/>
          <w:sz w:val="16"/>
          <w:szCs w:val="16"/>
        </w:rPr>
        <w:t>INTERPRETACIÓN CONFORME. SUS ALCANCES EN RELACIÓN CON EL PRINCIPIO DE INTERPRETACIÓN MÁS FAVORABLE A LA PERSONA.</w:t>
      </w:r>
      <w:r>
        <w:rPr>
          <w:rFonts w:ascii="Palatino Linotype" w:hAnsi="Palatino Linotype"/>
          <w:i/>
          <w:sz w:val="16"/>
          <w:szCs w:val="16"/>
        </w:rPr>
        <w:t xml:space="preserve"> </w:t>
      </w:r>
      <w:r w:rsidRPr="00845DA4">
        <w:rPr>
          <w:rFonts w:ascii="Palatino Linotype" w:hAnsi="Palatino Linotype"/>
          <w:i/>
          <w:sz w:val="16"/>
          <w:szCs w:val="16"/>
        </w:rPr>
        <w:t xml:space="preserve">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w:t>
      </w:r>
      <w:proofErr w:type="spellStart"/>
      <w:r w:rsidRPr="00845DA4">
        <w:rPr>
          <w:rFonts w:ascii="Palatino Linotype" w:hAnsi="Palatino Linotype"/>
          <w:i/>
          <w:sz w:val="16"/>
          <w:szCs w:val="16"/>
        </w:rPr>
        <w:t>inconvencional</w:t>
      </w:r>
      <w:proofErr w:type="spellEnd"/>
      <w:r w:rsidRPr="00845DA4">
        <w:rPr>
          <w:rFonts w:ascii="Palatino Linotype" w:hAnsi="Palatino Linotype"/>
          <w:i/>
          <w:sz w:val="16"/>
          <w:szCs w:val="16"/>
        </w:rPr>
        <w:t xml:space="preserve">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w:t>
      </w:r>
      <w:proofErr w:type="spellStart"/>
      <w:r w:rsidRPr="00845DA4">
        <w:rPr>
          <w:rFonts w:ascii="Palatino Linotype" w:hAnsi="Palatino Linotype"/>
          <w:i/>
          <w:sz w:val="16"/>
          <w:szCs w:val="16"/>
        </w:rPr>
        <w:t>inconvencionalidad</w:t>
      </w:r>
      <w:proofErr w:type="spellEnd"/>
      <w:r w:rsidRPr="00845DA4">
        <w:rPr>
          <w:rFonts w:ascii="Palatino Linotype" w:hAnsi="Palatino Linotype"/>
          <w:i/>
          <w:sz w:val="16"/>
          <w:szCs w:val="16"/>
        </w:rPr>
        <w:t>;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w:t>
      </w:r>
      <w:r>
        <w:rPr>
          <w:rFonts w:ascii="Palatino Linotype" w:hAnsi="Palatino Linotype"/>
          <w:i/>
          <w:sz w:val="16"/>
          <w:szCs w:val="16"/>
        </w:rPr>
        <w:t>a y en todo caso a la sociedad.</w:t>
      </w:r>
    </w:p>
  </w:footnote>
  <w:footnote w:id="7">
    <w:p w14:paraId="3F81A0BE" w14:textId="3F224814" w:rsidR="00C963A0" w:rsidRPr="005A6C62" w:rsidRDefault="00C963A0" w:rsidP="00C963A0">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sidR="005C3943">
        <w:rPr>
          <w:rFonts w:ascii="Palatino Linotype" w:hAnsi="Palatino Linotype"/>
          <w:sz w:val="16"/>
          <w:szCs w:val="16"/>
        </w:rPr>
        <w:t>Artículo</w:t>
      </w:r>
      <w:r>
        <w:rPr>
          <w:rFonts w:ascii="Palatino Linotype" w:hAnsi="Palatino Linotype"/>
          <w:sz w:val="16"/>
          <w:szCs w:val="16"/>
        </w:rPr>
        <w:t xml:space="preserve"> 100 Ibídem.</w:t>
      </w:r>
    </w:p>
  </w:footnote>
  <w:footnote w:id="8">
    <w:p w14:paraId="44AEFB15" w14:textId="77777777" w:rsidR="00C963A0" w:rsidRPr="00506365" w:rsidRDefault="00C963A0" w:rsidP="00C963A0">
      <w:pPr>
        <w:pStyle w:val="Textonotapie"/>
        <w:rPr>
          <w:sz w:val="16"/>
          <w:szCs w:val="16"/>
        </w:rPr>
      </w:pPr>
      <w:r>
        <w:rPr>
          <w:rStyle w:val="Refdenotaalpie"/>
        </w:rPr>
        <w:footnoteRef/>
      </w:r>
      <w:r>
        <w:t xml:space="preserve"> </w:t>
      </w:r>
      <w:r w:rsidRPr="00506365">
        <w:rPr>
          <w:rFonts w:ascii="Palatino Linotype" w:hAnsi="Palatino Linotype"/>
          <w:sz w:val="16"/>
          <w:szCs w:val="16"/>
        </w:rPr>
        <w:t>Reconocido en la Ley de Fiscalización Superior del Estado de México y que además contempla como sujetos de fiscalización a los Municipios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7B33CC" w14:paraId="6B4E3B81" w14:textId="77777777" w:rsidTr="009D4854">
      <w:tc>
        <w:tcPr>
          <w:tcW w:w="2553" w:type="dxa"/>
          <w:vAlign w:val="center"/>
          <w:hideMark/>
        </w:tcPr>
        <w:p w14:paraId="0ABBC6C0" w14:textId="77777777" w:rsidR="007B33CC" w:rsidRDefault="007B33C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53FA809E" w:rsidR="007B33CC" w:rsidRDefault="007B33CC" w:rsidP="00D553E6">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02356/</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7B33CC" w14:paraId="31CB780F" w14:textId="77777777" w:rsidTr="009D4854">
      <w:trPr>
        <w:trHeight w:val="228"/>
      </w:trPr>
      <w:tc>
        <w:tcPr>
          <w:tcW w:w="2553" w:type="dxa"/>
          <w:vAlign w:val="center"/>
          <w:hideMark/>
        </w:tcPr>
        <w:p w14:paraId="4F49CB4A" w14:textId="6966D32E" w:rsidR="007B33CC" w:rsidRDefault="007B33C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3FE905ED" w:rsidR="007B33CC" w:rsidRDefault="007B33CC" w:rsidP="000E1C85">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la Paz</w:t>
          </w:r>
        </w:p>
      </w:tc>
    </w:tr>
    <w:tr w:rsidR="007B33CC" w14:paraId="69050F56" w14:textId="77777777" w:rsidTr="009D4854">
      <w:tc>
        <w:tcPr>
          <w:tcW w:w="2553" w:type="dxa"/>
          <w:vAlign w:val="center"/>
          <w:hideMark/>
        </w:tcPr>
        <w:p w14:paraId="65C9B735" w14:textId="1BD9C7F4" w:rsidR="007B33CC" w:rsidRDefault="007B33C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7B33CC" w:rsidRDefault="007B33CC"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7B33CC" w:rsidRDefault="007B33CC" w:rsidP="006F30F8">
    <w:pPr>
      <w:pStyle w:val="Encabezado"/>
      <w:tabs>
        <w:tab w:val="clear" w:pos="4252"/>
        <w:tab w:val="clear" w:pos="8504"/>
        <w:tab w:val="left" w:pos="2326"/>
      </w:tabs>
    </w:pPr>
    <w:r>
      <w:tab/>
    </w:r>
  </w:p>
  <w:p w14:paraId="23403E59" w14:textId="77777777" w:rsidR="007B33CC" w:rsidRDefault="007B33C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7B33CC" w:rsidRDefault="007B33CC"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7B33CC" w14:paraId="477E149B" w14:textId="77777777" w:rsidTr="00C47D1B">
      <w:tc>
        <w:tcPr>
          <w:tcW w:w="2553" w:type="dxa"/>
          <w:vAlign w:val="center"/>
          <w:hideMark/>
        </w:tcPr>
        <w:p w14:paraId="5C0586E4" w14:textId="77777777" w:rsidR="007B33CC" w:rsidRDefault="007B33C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172070F" w:rsidR="007B33CC" w:rsidRPr="004440AC" w:rsidRDefault="007B33CC" w:rsidP="00D553E6">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02356/</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7B33CC" w14:paraId="5B5BE21C" w14:textId="77777777" w:rsidTr="00C47D1B">
      <w:tc>
        <w:tcPr>
          <w:tcW w:w="2553" w:type="dxa"/>
          <w:vAlign w:val="center"/>
          <w:hideMark/>
        </w:tcPr>
        <w:p w14:paraId="4AE96902" w14:textId="4E063913" w:rsidR="007B33CC" w:rsidRDefault="007B33C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4624F61" w:rsidR="007B33CC" w:rsidRPr="004440AC" w:rsidRDefault="00EC1D55" w:rsidP="00C47D1B">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Xxxxxxx</w:t>
          </w:r>
          <w:proofErr w:type="spellEnd"/>
          <w:r w:rsidR="007B33CC">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w:t>
          </w:r>
          <w:proofErr w:type="spellEnd"/>
          <w:r w:rsidR="007B33CC">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p>
      </w:tc>
    </w:tr>
    <w:tr w:rsidR="007B33CC" w14:paraId="22601A11" w14:textId="77777777" w:rsidTr="00C47D1B">
      <w:trPr>
        <w:trHeight w:val="228"/>
      </w:trPr>
      <w:tc>
        <w:tcPr>
          <w:tcW w:w="2553" w:type="dxa"/>
          <w:vAlign w:val="center"/>
          <w:hideMark/>
        </w:tcPr>
        <w:p w14:paraId="6EFE221D" w14:textId="49C5F800" w:rsidR="007B33CC" w:rsidRDefault="007B33C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14AD176" w:rsidR="007B33CC" w:rsidRPr="004440AC" w:rsidRDefault="007B33CC" w:rsidP="00437D10">
          <w:pPr>
            <w:rPr>
              <w:rFonts w:ascii="Palatino Linotype" w:hAnsi="Palatino Linotype"/>
              <w:b/>
              <w:sz w:val="22"/>
              <w:szCs w:val="22"/>
              <w:lang w:val="es-ES_tradnl"/>
            </w:rPr>
          </w:pPr>
          <w:r>
            <w:rPr>
              <w:rFonts w:ascii="Palatino Linotype" w:hAnsi="Palatino Linotype"/>
              <w:b/>
              <w:sz w:val="22"/>
              <w:szCs w:val="22"/>
              <w:lang w:val="es-ES_tradnl"/>
            </w:rPr>
            <w:t>Ayuntamiento de la Paz</w:t>
          </w:r>
        </w:p>
      </w:tc>
    </w:tr>
    <w:tr w:rsidR="007B33CC" w14:paraId="2D6C630E" w14:textId="77777777" w:rsidTr="00C47D1B">
      <w:tc>
        <w:tcPr>
          <w:tcW w:w="2553" w:type="dxa"/>
          <w:vAlign w:val="center"/>
          <w:hideMark/>
        </w:tcPr>
        <w:p w14:paraId="5BD4C6DB" w14:textId="0AEF79C2" w:rsidR="007B33CC" w:rsidRDefault="007B33C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7B33CC" w:rsidRPr="004440AC" w:rsidRDefault="007B33CC"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7B33CC" w:rsidRDefault="007B33C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273E6"/>
    <w:multiLevelType w:val="hybridMultilevel"/>
    <w:tmpl w:val="FF668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832ACA"/>
    <w:multiLevelType w:val="hybridMultilevel"/>
    <w:tmpl w:val="64D48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1E4CE0"/>
    <w:multiLevelType w:val="hybridMultilevel"/>
    <w:tmpl w:val="0476A48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773A8F"/>
    <w:multiLevelType w:val="hybridMultilevel"/>
    <w:tmpl w:val="5C0CD1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923515"/>
    <w:multiLevelType w:val="hybridMultilevel"/>
    <w:tmpl w:val="2D382C58"/>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51E0"/>
    <w:rsid w:val="000155EF"/>
    <w:rsid w:val="000163E2"/>
    <w:rsid w:val="00017BE1"/>
    <w:rsid w:val="00020A18"/>
    <w:rsid w:val="00021E8D"/>
    <w:rsid w:val="000239D7"/>
    <w:rsid w:val="00023C79"/>
    <w:rsid w:val="00024227"/>
    <w:rsid w:val="00024AE6"/>
    <w:rsid w:val="000252E9"/>
    <w:rsid w:val="00025532"/>
    <w:rsid w:val="00026705"/>
    <w:rsid w:val="00026D94"/>
    <w:rsid w:val="00027E08"/>
    <w:rsid w:val="00030E35"/>
    <w:rsid w:val="000314E8"/>
    <w:rsid w:val="0003385D"/>
    <w:rsid w:val="00035413"/>
    <w:rsid w:val="000354B7"/>
    <w:rsid w:val="000359D8"/>
    <w:rsid w:val="00035B1B"/>
    <w:rsid w:val="00035F2E"/>
    <w:rsid w:val="00036575"/>
    <w:rsid w:val="00036B8A"/>
    <w:rsid w:val="00041731"/>
    <w:rsid w:val="00041BCD"/>
    <w:rsid w:val="000423C7"/>
    <w:rsid w:val="0004471E"/>
    <w:rsid w:val="00045165"/>
    <w:rsid w:val="00045FD8"/>
    <w:rsid w:val="00047F41"/>
    <w:rsid w:val="00051773"/>
    <w:rsid w:val="0005205E"/>
    <w:rsid w:val="00053D74"/>
    <w:rsid w:val="00055938"/>
    <w:rsid w:val="00057073"/>
    <w:rsid w:val="00060CD1"/>
    <w:rsid w:val="000646E3"/>
    <w:rsid w:val="000667E0"/>
    <w:rsid w:val="00070A81"/>
    <w:rsid w:val="00071462"/>
    <w:rsid w:val="00071A99"/>
    <w:rsid w:val="00072D06"/>
    <w:rsid w:val="00074010"/>
    <w:rsid w:val="000752EF"/>
    <w:rsid w:val="00075D7A"/>
    <w:rsid w:val="0007730D"/>
    <w:rsid w:val="00077347"/>
    <w:rsid w:val="00077788"/>
    <w:rsid w:val="00077C21"/>
    <w:rsid w:val="00080FA4"/>
    <w:rsid w:val="0008195D"/>
    <w:rsid w:val="00083058"/>
    <w:rsid w:val="0008542A"/>
    <w:rsid w:val="00085C91"/>
    <w:rsid w:val="00087498"/>
    <w:rsid w:val="00087514"/>
    <w:rsid w:val="00090EBA"/>
    <w:rsid w:val="00091682"/>
    <w:rsid w:val="0009456A"/>
    <w:rsid w:val="00094E67"/>
    <w:rsid w:val="00097EF0"/>
    <w:rsid w:val="000A05A2"/>
    <w:rsid w:val="000A0D0B"/>
    <w:rsid w:val="000A1C9A"/>
    <w:rsid w:val="000A1E1F"/>
    <w:rsid w:val="000A351A"/>
    <w:rsid w:val="000A3A51"/>
    <w:rsid w:val="000A4EC4"/>
    <w:rsid w:val="000A515A"/>
    <w:rsid w:val="000A577A"/>
    <w:rsid w:val="000A5B28"/>
    <w:rsid w:val="000A6651"/>
    <w:rsid w:val="000A7C0E"/>
    <w:rsid w:val="000B0BF3"/>
    <w:rsid w:val="000B1437"/>
    <w:rsid w:val="000B2B61"/>
    <w:rsid w:val="000B2CE3"/>
    <w:rsid w:val="000B2FE2"/>
    <w:rsid w:val="000B3FFD"/>
    <w:rsid w:val="000B4E3D"/>
    <w:rsid w:val="000B5351"/>
    <w:rsid w:val="000B57CE"/>
    <w:rsid w:val="000B7B5A"/>
    <w:rsid w:val="000C16AF"/>
    <w:rsid w:val="000C1B34"/>
    <w:rsid w:val="000C3D4F"/>
    <w:rsid w:val="000C4453"/>
    <w:rsid w:val="000C54A3"/>
    <w:rsid w:val="000C72EB"/>
    <w:rsid w:val="000C7714"/>
    <w:rsid w:val="000C77C6"/>
    <w:rsid w:val="000C7C04"/>
    <w:rsid w:val="000D0395"/>
    <w:rsid w:val="000D07EC"/>
    <w:rsid w:val="000D4D96"/>
    <w:rsid w:val="000D6B27"/>
    <w:rsid w:val="000D7676"/>
    <w:rsid w:val="000D7F38"/>
    <w:rsid w:val="000E08B8"/>
    <w:rsid w:val="000E1C85"/>
    <w:rsid w:val="000E462D"/>
    <w:rsid w:val="000E48C2"/>
    <w:rsid w:val="000E5560"/>
    <w:rsid w:val="000E59A1"/>
    <w:rsid w:val="000F1BBF"/>
    <w:rsid w:val="000F219C"/>
    <w:rsid w:val="000F2EB3"/>
    <w:rsid w:val="000F71B5"/>
    <w:rsid w:val="000F7FE2"/>
    <w:rsid w:val="0010152C"/>
    <w:rsid w:val="00101832"/>
    <w:rsid w:val="00104E08"/>
    <w:rsid w:val="00106146"/>
    <w:rsid w:val="00106B32"/>
    <w:rsid w:val="00107249"/>
    <w:rsid w:val="001073CC"/>
    <w:rsid w:val="00107584"/>
    <w:rsid w:val="00107A49"/>
    <w:rsid w:val="00107FC5"/>
    <w:rsid w:val="00110202"/>
    <w:rsid w:val="001110FC"/>
    <w:rsid w:val="00111A41"/>
    <w:rsid w:val="00111D7F"/>
    <w:rsid w:val="00112892"/>
    <w:rsid w:val="00114D4B"/>
    <w:rsid w:val="00114DDF"/>
    <w:rsid w:val="00115AAD"/>
    <w:rsid w:val="0012062D"/>
    <w:rsid w:val="00120D7C"/>
    <w:rsid w:val="001210A4"/>
    <w:rsid w:val="00124762"/>
    <w:rsid w:val="00126994"/>
    <w:rsid w:val="00126F04"/>
    <w:rsid w:val="00127CCA"/>
    <w:rsid w:val="00130642"/>
    <w:rsid w:val="001306E4"/>
    <w:rsid w:val="00130BA7"/>
    <w:rsid w:val="00135D98"/>
    <w:rsid w:val="00136083"/>
    <w:rsid w:val="00141F78"/>
    <w:rsid w:val="00143967"/>
    <w:rsid w:val="001445AB"/>
    <w:rsid w:val="00147E1D"/>
    <w:rsid w:val="00150789"/>
    <w:rsid w:val="00151D19"/>
    <w:rsid w:val="00152866"/>
    <w:rsid w:val="00153F8E"/>
    <w:rsid w:val="001543BC"/>
    <w:rsid w:val="0015502B"/>
    <w:rsid w:val="0015575F"/>
    <w:rsid w:val="00161160"/>
    <w:rsid w:val="00161FC4"/>
    <w:rsid w:val="00162CA1"/>
    <w:rsid w:val="00163B98"/>
    <w:rsid w:val="00166139"/>
    <w:rsid w:val="001667F0"/>
    <w:rsid w:val="00167F89"/>
    <w:rsid w:val="00167F8F"/>
    <w:rsid w:val="001701C4"/>
    <w:rsid w:val="00170D88"/>
    <w:rsid w:val="00170E0A"/>
    <w:rsid w:val="00172089"/>
    <w:rsid w:val="001723BF"/>
    <w:rsid w:val="0017530C"/>
    <w:rsid w:val="0017555E"/>
    <w:rsid w:val="00175974"/>
    <w:rsid w:val="00175A2B"/>
    <w:rsid w:val="00177A27"/>
    <w:rsid w:val="00181594"/>
    <w:rsid w:val="00181791"/>
    <w:rsid w:val="00182E55"/>
    <w:rsid w:val="00183275"/>
    <w:rsid w:val="00184FBA"/>
    <w:rsid w:val="001852E0"/>
    <w:rsid w:val="00186B63"/>
    <w:rsid w:val="001871B2"/>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304B"/>
    <w:rsid w:val="001C51A0"/>
    <w:rsid w:val="001C592C"/>
    <w:rsid w:val="001C5CD3"/>
    <w:rsid w:val="001D0631"/>
    <w:rsid w:val="001D064E"/>
    <w:rsid w:val="001D19AB"/>
    <w:rsid w:val="001D54C7"/>
    <w:rsid w:val="001D63C6"/>
    <w:rsid w:val="001E0ACB"/>
    <w:rsid w:val="001E1C02"/>
    <w:rsid w:val="001E39C4"/>
    <w:rsid w:val="001E3CA0"/>
    <w:rsid w:val="001E5309"/>
    <w:rsid w:val="001E64BE"/>
    <w:rsid w:val="001E766B"/>
    <w:rsid w:val="001F05C9"/>
    <w:rsid w:val="001F1B46"/>
    <w:rsid w:val="001F1F7D"/>
    <w:rsid w:val="001F20AB"/>
    <w:rsid w:val="001F2CA8"/>
    <w:rsid w:val="001F41FB"/>
    <w:rsid w:val="001F4E10"/>
    <w:rsid w:val="001F501F"/>
    <w:rsid w:val="0020054B"/>
    <w:rsid w:val="00201E21"/>
    <w:rsid w:val="00204C2A"/>
    <w:rsid w:val="00205361"/>
    <w:rsid w:val="00212FE4"/>
    <w:rsid w:val="00213228"/>
    <w:rsid w:val="0021442C"/>
    <w:rsid w:val="002155B0"/>
    <w:rsid w:val="00215922"/>
    <w:rsid w:val="00220958"/>
    <w:rsid w:val="00221545"/>
    <w:rsid w:val="00221D2C"/>
    <w:rsid w:val="00222F65"/>
    <w:rsid w:val="00223D0B"/>
    <w:rsid w:val="00225FCB"/>
    <w:rsid w:val="002278E9"/>
    <w:rsid w:val="00231269"/>
    <w:rsid w:val="0023264F"/>
    <w:rsid w:val="00233285"/>
    <w:rsid w:val="00233748"/>
    <w:rsid w:val="0023380E"/>
    <w:rsid w:val="002339A2"/>
    <w:rsid w:val="00233F88"/>
    <w:rsid w:val="00235FB4"/>
    <w:rsid w:val="00236E44"/>
    <w:rsid w:val="00242C4A"/>
    <w:rsid w:val="0024380A"/>
    <w:rsid w:val="0024404E"/>
    <w:rsid w:val="002440EB"/>
    <w:rsid w:val="002441D0"/>
    <w:rsid w:val="00244EEF"/>
    <w:rsid w:val="00251066"/>
    <w:rsid w:val="00251C63"/>
    <w:rsid w:val="002529ED"/>
    <w:rsid w:val="0025386B"/>
    <w:rsid w:val="002556CA"/>
    <w:rsid w:val="00255E4E"/>
    <w:rsid w:val="00256193"/>
    <w:rsid w:val="00257AA8"/>
    <w:rsid w:val="0026164E"/>
    <w:rsid w:val="0026271B"/>
    <w:rsid w:val="002629E7"/>
    <w:rsid w:val="002657BB"/>
    <w:rsid w:val="0026683E"/>
    <w:rsid w:val="00267A6D"/>
    <w:rsid w:val="00276D8F"/>
    <w:rsid w:val="00276F2E"/>
    <w:rsid w:val="0027702B"/>
    <w:rsid w:val="00277F70"/>
    <w:rsid w:val="002817BA"/>
    <w:rsid w:val="00281EF2"/>
    <w:rsid w:val="00282135"/>
    <w:rsid w:val="00283308"/>
    <w:rsid w:val="002856DC"/>
    <w:rsid w:val="0028632C"/>
    <w:rsid w:val="00286DC8"/>
    <w:rsid w:val="00290C42"/>
    <w:rsid w:val="00291A1A"/>
    <w:rsid w:val="00292786"/>
    <w:rsid w:val="002937C6"/>
    <w:rsid w:val="00293DE5"/>
    <w:rsid w:val="00293E07"/>
    <w:rsid w:val="00295078"/>
    <w:rsid w:val="00295C72"/>
    <w:rsid w:val="00295DE7"/>
    <w:rsid w:val="00297AB0"/>
    <w:rsid w:val="002A0448"/>
    <w:rsid w:val="002A28FE"/>
    <w:rsid w:val="002A3A7A"/>
    <w:rsid w:val="002A43B0"/>
    <w:rsid w:val="002A5EA5"/>
    <w:rsid w:val="002A6CC7"/>
    <w:rsid w:val="002B0A1D"/>
    <w:rsid w:val="002B0EF8"/>
    <w:rsid w:val="002B1708"/>
    <w:rsid w:val="002B2467"/>
    <w:rsid w:val="002B393B"/>
    <w:rsid w:val="002B45EF"/>
    <w:rsid w:val="002B4950"/>
    <w:rsid w:val="002B62AF"/>
    <w:rsid w:val="002B7622"/>
    <w:rsid w:val="002B7C06"/>
    <w:rsid w:val="002C053B"/>
    <w:rsid w:val="002C0C63"/>
    <w:rsid w:val="002C0F55"/>
    <w:rsid w:val="002C0F5C"/>
    <w:rsid w:val="002C4011"/>
    <w:rsid w:val="002C4537"/>
    <w:rsid w:val="002C4BC2"/>
    <w:rsid w:val="002C4EBB"/>
    <w:rsid w:val="002C4F45"/>
    <w:rsid w:val="002C6154"/>
    <w:rsid w:val="002C6432"/>
    <w:rsid w:val="002C77E4"/>
    <w:rsid w:val="002C7992"/>
    <w:rsid w:val="002D02DC"/>
    <w:rsid w:val="002D07B6"/>
    <w:rsid w:val="002D2486"/>
    <w:rsid w:val="002D46BF"/>
    <w:rsid w:val="002D508B"/>
    <w:rsid w:val="002D678A"/>
    <w:rsid w:val="002D6AD2"/>
    <w:rsid w:val="002E1D63"/>
    <w:rsid w:val="002E4EC0"/>
    <w:rsid w:val="002E5744"/>
    <w:rsid w:val="002E6172"/>
    <w:rsid w:val="002E6B74"/>
    <w:rsid w:val="002F1C4D"/>
    <w:rsid w:val="002F2653"/>
    <w:rsid w:val="002F2FB4"/>
    <w:rsid w:val="002F3910"/>
    <w:rsid w:val="002F3A84"/>
    <w:rsid w:val="002F411A"/>
    <w:rsid w:val="002F54A4"/>
    <w:rsid w:val="002F5A90"/>
    <w:rsid w:val="002F700E"/>
    <w:rsid w:val="002F78E8"/>
    <w:rsid w:val="003002F7"/>
    <w:rsid w:val="00302787"/>
    <w:rsid w:val="00302C06"/>
    <w:rsid w:val="00302FBC"/>
    <w:rsid w:val="00303BC7"/>
    <w:rsid w:val="00305480"/>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B63"/>
    <w:rsid w:val="00321D72"/>
    <w:rsid w:val="00322AE2"/>
    <w:rsid w:val="00323623"/>
    <w:rsid w:val="00323995"/>
    <w:rsid w:val="00323CFF"/>
    <w:rsid w:val="00326AE6"/>
    <w:rsid w:val="00326DF2"/>
    <w:rsid w:val="00327357"/>
    <w:rsid w:val="0033030C"/>
    <w:rsid w:val="003339C3"/>
    <w:rsid w:val="00333C7C"/>
    <w:rsid w:val="003349F4"/>
    <w:rsid w:val="00335047"/>
    <w:rsid w:val="0033544E"/>
    <w:rsid w:val="003404F0"/>
    <w:rsid w:val="00340B86"/>
    <w:rsid w:val="0034164E"/>
    <w:rsid w:val="00342AE7"/>
    <w:rsid w:val="00345D3E"/>
    <w:rsid w:val="00347274"/>
    <w:rsid w:val="00347F1F"/>
    <w:rsid w:val="00351CB7"/>
    <w:rsid w:val="00352FCD"/>
    <w:rsid w:val="003537DE"/>
    <w:rsid w:val="003541CA"/>
    <w:rsid w:val="003543B2"/>
    <w:rsid w:val="003555AA"/>
    <w:rsid w:val="003557C1"/>
    <w:rsid w:val="00355B75"/>
    <w:rsid w:val="0035716F"/>
    <w:rsid w:val="0036086E"/>
    <w:rsid w:val="00361B13"/>
    <w:rsid w:val="003633DD"/>
    <w:rsid w:val="003655C3"/>
    <w:rsid w:val="00366C6B"/>
    <w:rsid w:val="00367BBB"/>
    <w:rsid w:val="00367CE5"/>
    <w:rsid w:val="0037225D"/>
    <w:rsid w:val="003729E8"/>
    <w:rsid w:val="00374C7D"/>
    <w:rsid w:val="00374F4D"/>
    <w:rsid w:val="003756E8"/>
    <w:rsid w:val="00375BB0"/>
    <w:rsid w:val="00377B34"/>
    <w:rsid w:val="00382014"/>
    <w:rsid w:val="003A0C73"/>
    <w:rsid w:val="003A11DD"/>
    <w:rsid w:val="003A19EE"/>
    <w:rsid w:val="003A2B96"/>
    <w:rsid w:val="003A5891"/>
    <w:rsid w:val="003A5A6E"/>
    <w:rsid w:val="003A6186"/>
    <w:rsid w:val="003A7A6D"/>
    <w:rsid w:val="003A7E31"/>
    <w:rsid w:val="003B62A2"/>
    <w:rsid w:val="003B6A7C"/>
    <w:rsid w:val="003B72E9"/>
    <w:rsid w:val="003C375A"/>
    <w:rsid w:val="003C4A79"/>
    <w:rsid w:val="003C5460"/>
    <w:rsid w:val="003C55F5"/>
    <w:rsid w:val="003C5A54"/>
    <w:rsid w:val="003C5BCA"/>
    <w:rsid w:val="003D1883"/>
    <w:rsid w:val="003D18A4"/>
    <w:rsid w:val="003D1ED1"/>
    <w:rsid w:val="003D25A4"/>
    <w:rsid w:val="003D489B"/>
    <w:rsid w:val="003D48A3"/>
    <w:rsid w:val="003D61B0"/>
    <w:rsid w:val="003E0A67"/>
    <w:rsid w:val="003E0BFB"/>
    <w:rsid w:val="003E132A"/>
    <w:rsid w:val="003E5DB7"/>
    <w:rsid w:val="003E5F18"/>
    <w:rsid w:val="003E6D0E"/>
    <w:rsid w:val="003F09F0"/>
    <w:rsid w:val="003F2BA9"/>
    <w:rsid w:val="003F3041"/>
    <w:rsid w:val="003F3A6C"/>
    <w:rsid w:val="003F52C2"/>
    <w:rsid w:val="003F58C3"/>
    <w:rsid w:val="003F5CBA"/>
    <w:rsid w:val="003F61FF"/>
    <w:rsid w:val="003F733C"/>
    <w:rsid w:val="003F7346"/>
    <w:rsid w:val="0040233B"/>
    <w:rsid w:val="00404666"/>
    <w:rsid w:val="004053FB"/>
    <w:rsid w:val="00405A99"/>
    <w:rsid w:val="00410650"/>
    <w:rsid w:val="004106C1"/>
    <w:rsid w:val="004126F7"/>
    <w:rsid w:val="00413FC2"/>
    <w:rsid w:val="004140B9"/>
    <w:rsid w:val="00414AE6"/>
    <w:rsid w:val="00414EE8"/>
    <w:rsid w:val="00417006"/>
    <w:rsid w:val="0042006D"/>
    <w:rsid w:val="00422DF8"/>
    <w:rsid w:val="0042327C"/>
    <w:rsid w:val="00423786"/>
    <w:rsid w:val="00423D1D"/>
    <w:rsid w:val="00424241"/>
    <w:rsid w:val="00425620"/>
    <w:rsid w:val="004315B7"/>
    <w:rsid w:val="00431E02"/>
    <w:rsid w:val="0043317E"/>
    <w:rsid w:val="00433345"/>
    <w:rsid w:val="00434033"/>
    <w:rsid w:val="00434264"/>
    <w:rsid w:val="0043442A"/>
    <w:rsid w:val="00434D2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50869"/>
    <w:rsid w:val="00450F57"/>
    <w:rsid w:val="00451E4C"/>
    <w:rsid w:val="00451F5B"/>
    <w:rsid w:val="00453028"/>
    <w:rsid w:val="00453918"/>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716B0"/>
    <w:rsid w:val="004716C4"/>
    <w:rsid w:val="00472460"/>
    <w:rsid w:val="004763B5"/>
    <w:rsid w:val="00476A24"/>
    <w:rsid w:val="0047775E"/>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A0812"/>
    <w:rsid w:val="004A0EA8"/>
    <w:rsid w:val="004A14D9"/>
    <w:rsid w:val="004A21F6"/>
    <w:rsid w:val="004A4B61"/>
    <w:rsid w:val="004A6EFE"/>
    <w:rsid w:val="004A70A0"/>
    <w:rsid w:val="004A79C5"/>
    <w:rsid w:val="004B1858"/>
    <w:rsid w:val="004B1A4B"/>
    <w:rsid w:val="004B2540"/>
    <w:rsid w:val="004B3D11"/>
    <w:rsid w:val="004B455B"/>
    <w:rsid w:val="004B4987"/>
    <w:rsid w:val="004B58C3"/>
    <w:rsid w:val="004B675F"/>
    <w:rsid w:val="004B72C5"/>
    <w:rsid w:val="004B7A1B"/>
    <w:rsid w:val="004C08BF"/>
    <w:rsid w:val="004C3804"/>
    <w:rsid w:val="004C3F96"/>
    <w:rsid w:val="004C45A2"/>
    <w:rsid w:val="004C56DE"/>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987"/>
    <w:rsid w:val="004E585B"/>
    <w:rsid w:val="004F227C"/>
    <w:rsid w:val="004F2CC0"/>
    <w:rsid w:val="004F3B64"/>
    <w:rsid w:val="004F5243"/>
    <w:rsid w:val="004F64AD"/>
    <w:rsid w:val="00501721"/>
    <w:rsid w:val="00503053"/>
    <w:rsid w:val="00505B26"/>
    <w:rsid w:val="0050606E"/>
    <w:rsid w:val="00507449"/>
    <w:rsid w:val="00511092"/>
    <w:rsid w:val="00511602"/>
    <w:rsid w:val="005119CD"/>
    <w:rsid w:val="00513EAE"/>
    <w:rsid w:val="005164B6"/>
    <w:rsid w:val="00516E6A"/>
    <w:rsid w:val="005206C8"/>
    <w:rsid w:val="005218EA"/>
    <w:rsid w:val="00521EE1"/>
    <w:rsid w:val="00523390"/>
    <w:rsid w:val="00523435"/>
    <w:rsid w:val="0052414D"/>
    <w:rsid w:val="00525A5B"/>
    <w:rsid w:val="0052638D"/>
    <w:rsid w:val="0053002A"/>
    <w:rsid w:val="00531ABD"/>
    <w:rsid w:val="00535560"/>
    <w:rsid w:val="00541397"/>
    <w:rsid w:val="005413A9"/>
    <w:rsid w:val="00542D8A"/>
    <w:rsid w:val="00544117"/>
    <w:rsid w:val="00544E0A"/>
    <w:rsid w:val="00551BA4"/>
    <w:rsid w:val="00552D59"/>
    <w:rsid w:val="00555595"/>
    <w:rsid w:val="005556E4"/>
    <w:rsid w:val="00557314"/>
    <w:rsid w:val="005624EC"/>
    <w:rsid w:val="0056316F"/>
    <w:rsid w:val="00564711"/>
    <w:rsid w:val="00565483"/>
    <w:rsid w:val="0056588E"/>
    <w:rsid w:val="00571391"/>
    <w:rsid w:val="005726F4"/>
    <w:rsid w:val="00573949"/>
    <w:rsid w:val="00573ECF"/>
    <w:rsid w:val="00577287"/>
    <w:rsid w:val="00577553"/>
    <w:rsid w:val="005777E0"/>
    <w:rsid w:val="0058269D"/>
    <w:rsid w:val="0058439D"/>
    <w:rsid w:val="00585149"/>
    <w:rsid w:val="00585C24"/>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87C"/>
    <w:rsid w:val="005B112F"/>
    <w:rsid w:val="005B1FED"/>
    <w:rsid w:val="005B3B62"/>
    <w:rsid w:val="005B6938"/>
    <w:rsid w:val="005B6F32"/>
    <w:rsid w:val="005B7350"/>
    <w:rsid w:val="005C3943"/>
    <w:rsid w:val="005C5799"/>
    <w:rsid w:val="005C5929"/>
    <w:rsid w:val="005C6B17"/>
    <w:rsid w:val="005D1DF5"/>
    <w:rsid w:val="005D45A0"/>
    <w:rsid w:val="005D6415"/>
    <w:rsid w:val="005D7248"/>
    <w:rsid w:val="005D7B7C"/>
    <w:rsid w:val="005E0300"/>
    <w:rsid w:val="005E15A3"/>
    <w:rsid w:val="005E35A0"/>
    <w:rsid w:val="005E4975"/>
    <w:rsid w:val="005E4A3D"/>
    <w:rsid w:val="005E4F05"/>
    <w:rsid w:val="005E5859"/>
    <w:rsid w:val="005E5DC1"/>
    <w:rsid w:val="005E67EC"/>
    <w:rsid w:val="005F178D"/>
    <w:rsid w:val="005F2060"/>
    <w:rsid w:val="005F4281"/>
    <w:rsid w:val="005F4C5D"/>
    <w:rsid w:val="005F4DCE"/>
    <w:rsid w:val="005F557E"/>
    <w:rsid w:val="005F5725"/>
    <w:rsid w:val="00600733"/>
    <w:rsid w:val="006010BF"/>
    <w:rsid w:val="00601296"/>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663A"/>
    <w:rsid w:val="00621BE7"/>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EAF"/>
    <w:rsid w:val="00636313"/>
    <w:rsid w:val="00637C16"/>
    <w:rsid w:val="00637FDB"/>
    <w:rsid w:val="00641BB7"/>
    <w:rsid w:val="006445D2"/>
    <w:rsid w:val="00645887"/>
    <w:rsid w:val="0064661F"/>
    <w:rsid w:val="00647094"/>
    <w:rsid w:val="006505D9"/>
    <w:rsid w:val="00653030"/>
    <w:rsid w:val="00655B83"/>
    <w:rsid w:val="00655F33"/>
    <w:rsid w:val="00656C59"/>
    <w:rsid w:val="006578C2"/>
    <w:rsid w:val="00661AC2"/>
    <w:rsid w:val="00661B36"/>
    <w:rsid w:val="00666655"/>
    <w:rsid w:val="00666C54"/>
    <w:rsid w:val="00667C8B"/>
    <w:rsid w:val="00667D3E"/>
    <w:rsid w:val="006742F8"/>
    <w:rsid w:val="006747B5"/>
    <w:rsid w:val="00675974"/>
    <w:rsid w:val="006803E8"/>
    <w:rsid w:val="00682656"/>
    <w:rsid w:val="00683EAC"/>
    <w:rsid w:val="00684EF6"/>
    <w:rsid w:val="00686279"/>
    <w:rsid w:val="00686A8A"/>
    <w:rsid w:val="006870C8"/>
    <w:rsid w:val="006878A4"/>
    <w:rsid w:val="00690415"/>
    <w:rsid w:val="0069305F"/>
    <w:rsid w:val="00694CB5"/>
    <w:rsid w:val="006954F2"/>
    <w:rsid w:val="006957B8"/>
    <w:rsid w:val="006A03CD"/>
    <w:rsid w:val="006A06FE"/>
    <w:rsid w:val="006A42D4"/>
    <w:rsid w:val="006A4E98"/>
    <w:rsid w:val="006A737B"/>
    <w:rsid w:val="006A77F3"/>
    <w:rsid w:val="006A7829"/>
    <w:rsid w:val="006B2A9B"/>
    <w:rsid w:val="006B2BA6"/>
    <w:rsid w:val="006B3E26"/>
    <w:rsid w:val="006B432D"/>
    <w:rsid w:val="006B4844"/>
    <w:rsid w:val="006B4A50"/>
    <w:rsid w:val="006B4B65"/>
    <w:rsid w:val="006B537E"/>
    <w:rsid w:val="006C1330"/>
    <w:rsid w:val="006C1711"/>
    <w:rsid w:val="006C24A5"/>
    <w:rsid w:val="006C24CD"/>
    <w:rsid w:val="006C3292"/>
    <w:rsid w:val="006C60B5"/>
    <w:rsid w:val="006C7D68"/>
    <w:rsid w:val="006D07EA"/>
    <w:rsid w:val="006D16CB"/>
    <w:rsid w:val="006D1A5E"/>
    <w:rsid w:val="006D25FC"/>
    <w:rsid w:val="006D3F2C"/>
    <w:rsid w:val="006D64F9"/>
    <w:rsid w:val="006D7A2C"/>
    <w:rsid w:val="006E13E8"/>
    <w:rsid w:val="006E1421"/>
    <w:rsid w:val="006E307D"/>
    <w:rsid w:val="006E34B6"/>
    <w:rsid w:val="006E5FB5"/>
    <w:rsid w:val="006E60D7"/>
    <w:rsid w:val="006E6278"/>
    <w:rsid w:val="006E6389"/>
    <w:rsid w:val="006E65F1"/>
    <w:rsid w:val="006E662E"/>
    <w:rsid w:val="006E69AA"/>
    <w:rsid w:val="006E6EAC"/>
    <w:rsid w:val="006F1C74"/>
    <w:rsid w:val="006F30F8"/>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E97"/>
    <w:rsid w:val="00712516"/>
    <w:rsid w:val="0071427E"/>
    <w:rsid w:val="0071646D"/>
    <w:rsid w:val="00716CE1"/>
    <w:rsid w:val="0072562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50F05"/>
    <w:rsid w:val="00751311"/>
    <w:rsid w:val="00751E19"/>
    <w:rsid w:val="0075239A"/>
    <w:rsid w:val="00755299"/>
    <w:rsid w:val="00755944"/>
    <w:rsid w:val="00757444"/>
    <w:rsid w:val="00757D2A"/>
    <w:rsid w:val="00757F23"/>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DD9"/>
    <w:rsid w:val="007830E3"/>
    <w:rsid w:val="00787DB5"/>
    <w:rsid w:val="0079361A"/>
    <w:rsid w:val="00794305"/>
    <w:rsid w:val="007A02EB"/>
    <w:rsid w:val="007A0327"/>
    <w:rsid w:val="007A11F1"/>
    <w:rsid w:val="007A35F6"/>
    <w:rsid w:val="007A4E83"/>
    <w:rsid w:val="007A5F1A"/>
    <w:rsid w:val="007A7693"/>
    <w:rsid w:val="007B15EA"/>
    <w:rsid w:val="007B33CC"/>
    <w:rsid w:val="007B5B76"/>
    <w:rsid w:val="007B7166"/>
    <w:rsid w:val="007B755C"/>
    <w:rsid w:val="007C025F"/>
    <w:rsid w:val="007C09AA"/>
    <w:rsid w:val="007C0AFD"/>
    <w:rsid w:val="007C20AF"/>
    <w:rsid w:val="007C37F3"/>
    <w:rsid w:val="007C3D29"/>
    <w:rsid w:val="007C3E67"/>
    <w:rsid w:val="007C52B5"/>
    <w:rsid w:val="007C6783"/>
    <w:rsid w:val="007C6937"/>
    <w:rsid w:val="007C7E5A"/>
    <w:rsid w:val="007D0C6E"/>
    <w:rsid w:val="007D112D"/>
    <w:rsid w:val="007D1598"/>
    <w:rsid w:val="007D336B"/>
    <w:rsid w:val="007D5B23"/>
    <w:rsid w:val="007D7334"/>
    <w:rsid w:val="007E07A7"/>
    <w:rsid w:val="007E24F8"/>
    <w:rsid w:val="007E2D8C"/>
    <w:rsid w:val="007E3963"/>
    <w:rsid w:val="007E64E0"/>
    <w:rsid w:val="007E6A21"/>
    <w:rsid w:val="007F18A3"/>
    <w:rsid w:val="007F36DE"/>
    <w:rsid w:val="007F528B"/>
    <w:rsid w:val="007F53E3"/>
    <w:rsid w:val="007F5E7A"/>
    <w:rsid w:val="007F60E9"/>
    <w:rsid w:val="007F61DA"/>
    <w:rsid w:val="007F62D5"/>
    <w:rsid w:val="007F6BF7"/>
    <w:rsid w:val="007F7203"/>
    <w:rsid w:val="00800061"/>
    <w:rsid w:val="00800475"/>
    <w:rsid w:val="00800DDC"/>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54D3"/>
    <w:rsid w:val="00825CA4"/>
    <w:rsid w:val="00826018"/>
    <w:rsid w:val="00832DF8"/>
    <w:rsid w:val="008331EF"/>
    <w:rsid w:val="00833271"/>
    <w:rsid w:val="0083402A"/>
    <w:rsid w:val="00834C20"/>
    <w:rsid w:val="00835546"/>
    <w:rsid w:val="00835741"/>
    <w:rsid w:val="008367D9"/>
    <w:rsid w:val="00836AD8"/>
    <w:rsid w:val="00837520"/>
    <w:rsid w:val="00840982"/>
    <w:rsid w:val="00841B13"/>
    <w:rsid w:val="008422A0"/>
    <w:rsid w:val="0084270E"/>
    <w:rsid w:val="00842C37"/>
    <w:rsid w:val="008437F2"/>
    <w:rsid w:val="00843AB9"/>
    <w:rsid w:val="00843C46"/>
    <w:rsid w:val="008442E6"/>
    <w:rsid w:val="00846E76"/>
    <w:rsid w:val="00850491"/>
    <w:rsid w:val="00851F8C"/>
    <w:rsid w:val="008531B2"/>
    <w:rsid w:val="0085526B"/>
    <w:rsid w:val="00856585"/>
    <w:rsid w:val="00856F7A"/>
    <w:rsid w:val="00857279"/>
    <w:rsid w:val="0085736B"/>
    <w:rsid w:val="00857B52"/>
    <w:rsid w:val="00861B32"/>
    <w:rsid w:val="00861DD8"/>
    <w:rsid w:val="008665F8"/>
    <w:rsid w:val="00867111"/>
    <w:rsid w:val="00867C9A"/>
    <w:rsid w:val="008701A1"/>
    <w:rsid w:val="008712EF"/>
    <w:rsid w:val="008718F3"/>
    <w:rsid w:val="0087246B"/>
    <w:rsid w:val="00872D3B"/>
    <w:rsid w:val="00873B3E"/>
    <w:rsid w:val="00874685"/>
    <w:rsid w:val="00874DC9"/>
    <w:rsid w:val="0087561C"/>
    <w:rsid w:val="00876615"/>
    <w:rsid w:val="0088137B"/>
    <w:rsid w:val="00882131"/>
    <w:rsid w:val="0088217A"/>
    <w:rsid w:val="008846F1"/>
    <w:rsid w:val="0088510A"/>
    <w:rsid w:val="00885CAF"/>
    <w:rsid w:val="00885CB3"/>
    <w:rsid w:val="008860BB"/>
    <w:rsid w:val="00886BFC"/>
    <w:rsid w:val="00887493"/>
    <w:rsid w:val="008900BC"/>
    <w:rsid w:val="0089164B"/>
    <w:rsid w:val="00891989"/>
    <w:rsid w:val="00892AFC"/>
    <w:rsid w:val="00893CC5"/>
    <w:rsid w:val="0089436A"/>
    <w:rsid w:val="00895C62"/>
    <w:rsid w:val="008A0C05"/>
    <w:rsid w:val="008A0CFD"/>
    <w:rsid w:val="008A2018"/>
    <w:rsid w:val="008A42B0"/>
    <w:rsid w:val="008A4982"/>
    <w:rsid w:val="008A6085"/>
    <w:rsid w:val="008A663F"/>
    <w:rsid w:val="008A7EBE"/>
    <w:rsid w:val="008B0803"/>
    <w:rsid w:val="008B1154"/>
    <w:rsid w:val="008B1273"/>
    <w:rsid w:val="008B1D10"/>
    <w:rsid w:val="008B2258"/>
    <w:rsid w:val="008B36C5"/>
    <w:rsid w:val="008B542E"/>
    <w:rsid w:val="008B590E"/>
    <w:rsid w:val="008B5BE2"/>
    <w:rsid w:val="008B6E93"/>
    <w:rsid w:val="008C04B3"/>
    <w:rsid w:val="008C0694"/>
    <w:rsid w:val="008C06D5"/>
    <w:rsid w:val="008C3158"/>
    <w:rsid w:val="008C3963"/>
    <w:rsid w:val="008C4CFE"/>
    <w:rsid w:val="008D033C"/>
    <w:rsid w:val="008D0725"/>
    <w:rsid w:val="008D0B33"/>
    <w:rsid w:val="008D0B48"/>
    <w:rsid w:val="008D0D25"/>
    <w:rsid w:val="008D1526"/>
    <w:rsid w:val="008D2273"/>
    <w:rsid w:val="008D38EE"/>
    <w:rsid w:val="008D4B2A"/>
    <w:rsid w:val="008D75E7"/>
    <w:rsid w:val="008E094D"/>
    <w:rsid w:val="008E176A"/>
    <w:rsid w:val="008E2822"/>
    <w:rsid w:val="008E2982"/>
    <w:rsid w:val="008E4713"/>
    <w:rsid w:val="008E4F15"/>
    <w:rsid w:val="008E5BC1"/>
    <w:rsid w:val="008E7698"/>
    <w:rsid w:val="008E7D11"/>
    <w:rsid w:val="008E7D60"/>
    <w:rsid w:val="008F0F17"/>
    <w:rsid w:val="008F10DA"/>
    <w:rsid w:val="008F148D"/>
    <w:rsid w:val="008F355E"/>
    <w:rsid w:val="008F4C62"/>
    <w:rsid w:val="008F5E3B"/>
    <w:rsid w:val="008F6B38"/>
    <w:rsid w:val="008F7CEB"/>
    <w:rsid w:val="008F7D25"/>
    <w:rsid w:val="00900226"/>
    <w:rsid w:val="00900C8D"/>
    <w:rsid w:val="009012C6"/>
    <w:rsid w:val="00902A1D"/>
    <w:rsid w:val="0090362D"/>
    <w:rsid w:val="00903ED1"/>
    <w:rsid w:val="009052E1"/>
    <w:rsid w:val="0090585F"/>
    <w:rsid w:val="00905A0D"/>
    <w:rsid w:val="0090665D"/>
    <w:rsid w:val="00911559"/>
    <w:rsid w:val="00913103"/>
    <w:rsid w:val="0091329D"/>
    <w:rsid w:val="00914FDF"/>
    <w:rsid w:val="0091599A"/>
    <w:rsid w:val="00916B08"/>
    <w:rsid w:val="00917B8D"/>
    <w:rsid w:val="00917EB1"/>
    <w:rsid w:val="00921109"/>
    <w:rsid w:val="00921436"/>
    <w:rsid w:val="009239BB"/>
    <w:rsid w:val="0092433B"/>
    <w:rsid w:val="00926B57"/>
    <w:rsid w:val="00930F79"/>
    <w:rsid w:val="0093143C"/>
    <w:rsid w:val="00931EF0"/>
    <w:rsid w:val="00932CFF"/>
    <w:rsid w:val="00932F08"/>
    <w:rsid w:val="00932FB2"/>
    <w:rsid w:val="00935A0D"/>
    <w:rsid w:val="00936419"/>
    <w:rsid w:val="00937737"/>
    <w:rsid w:val="00940FFE"/>
    <w:rsid w:val="009411A0"/>
    <w:rsid w:val="00943B74"/>
    <w:rsid w:val="0094486F"/>
    <w:rsid w:val="00944CA2"/>
    <w:rsid w:val="009458C7"/>
    <w:rsid w:val="0094714C"/>
    <w:rsid w:val="009472B3"/>
    <w:rsid w:val="00947905"/>
    <w:rsid w:val="00947F35"/>
    <w:rsid w:val="009500DD"/>
    <w:rsid w:val="00951598"/>
    <w:rsid w:val="00952919"/>
    <w:rsid w:val="009573BD"/>
    <w:rsid w:val="0096079C"/>
    <w:rsid w:val="0096089C"/>
    <w:rsid w:val="0096146C"/>
    <w:rsid w:val="00962E4E"/>
    <w:rsid w:val="00964E79"/>
    <w:rsid w:val="00964F37"/>
    <w:rsid w:val="0096576D"/>
    <w:rsid w:val="00966926"/>
    <w:rsid w:val="00966C2B"/>
    <w:rsid w:val="00967C2E"/>
    <w:rsid w:val="00971134"/>
    <w:rsid w:val="009737A5"/>
    <w:rsid w:val="00974437"/>
    <w:rsid w:val="00974C3A"/>
    <w:rsid w:val="00975A2A"/>
    <w:rsid w:val="00975D23"/>
    <w:rsid w:val="00975EB9"/>
    <w:rsid w:val="009763B8"/>
    <w:rsid w:val="00977454"/>
    <w:rsid w:val="00981F51"/>
    <w:rsid w:val="009837CB"/>
    <w:rsid w:val="009858EF"/>
    <w:rsid w:val="0099075B"/>
    <w:rsid w:val="00990E7A"/>
    <w:rsid w:val="00991EC7"/>
    <w:rsid w:val="00992009"/>
    <w:rsid w:val="009925EC"/>
    <w:rsid w:val="009969DF"/>
    <w:rsid w:val="009A00BC"/>
    <w:rsid w:val="009A07EA"/>
    <w:rsid w:val="009A0F6D"/>
    <w:rsid w:val="009A13F2"/>
    <w:rsid w:val="009A1902"/>
    <w:rsid w:val="009A34EE"/>
    <w:rsid w:val="009A3ADA"/>
    <w:rsid w:val="009A4BD3"/>
    <w:rsid w:val="009A52D1"/>
    <w:rsid w:val="009A78A9"/>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D00FC"/>
    <w:rsid w:val="009D21FF"/>
    <w:rsid w:val="009D2860"/>
    <w:rsid w:val="009D3D61"/>
    <w:rsid w:val="009D4854"/>
    <w:rsid w:val="009D502B"/>
    <w:rsid w:val="009D5847"/>
    <w:rsid w:val="009D605C"/>
    <w:rsid w:val="009D6900"/>
    <w:rsid w:val="009D7015"/>
    <w:rsid w:val="009D7497"/>
    <w:rsid w:val="009E03BE"/>
    <w:rsid w:val="009E0480"/>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4D23"/>
    <w:rsid w:val="009F69BA"/>
    <w:rsid w:val="009F704F"/>
    <w:rsid w:val="00A00110"/>
    <w:rsid w:val="00A00BC6"/>
    <w:rsid w:val="00A014EE"/>
    <w:rsid w:val="00A037CB"/>
    <w:rsid w:val="00A0469A"/>
    <w:rsid w:val="00A05063"/>
    <w:rsid w:val="00A075F7"/>
    <w:rsid w:val="00A11324"/>
    <w:rsid w:val="00A13008"/>
    <w:rsid w:val="00A14237"/>
    <w:rsid w:val="00A14429"/>
    <w:rsid w:val="00A15FFD"/>
    <w:rsid w:val="00A17875"/>
    <w:rsid w:val="00A17D0D"/>
    <w:rsid w:val="00A20F7B"/>
    <w:rsid w:val="00A2300C"/>
    <w:rsid w:val="00A234AD"/>
    <w:rsid w:val="00A25070"/>
    <w:rsid w:val="00A25AF8"/>
    <w:rsid w:val="00A27150"/>
    <w:rsid w:val="00A31F2A"/>
    <w:rsid w:val="00A32A88"/>
    <w:rsid w:val="00A35622"/>
    <w:rsid w:val="00A36ED5"/>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7754"/>
    <w:rsid w:val="00A717E4"/>
    <w:rsid w:val="00A744CF"/>
    <w:rsid w:val="00A757D4"/>
    <w:rsid w:val="00A76FB1"/>
    <w:rsid w:val="00A81140"/>
    <w:rsid w:val="00A8711C"/>
    <w:rsid w:val="00A900E2"/>
    <w:rsid w:val="00A92027"/>
    <w:rsid w:val="00A93B3D"/>
    <w:rsid w:val="00A94713"/>
    <w:rsid w:val="00A949F0"/>
    <w:rsid w:val="00A95947"/>
    <w:rsid w:val="00A96BC3"/>
    <w:rsid w:val="00A96EE6"/>
    <w:rsid w:val="00A96FD2"/>
    <w:rsid w:val="00A97959"/>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5C04"/>
    <w:rsid w:val="00AE013D"/>
    <w:rsid w:val="00AE34E5"/>
    <w:rsid w:val="00AE45EA"/>
    <w:rsid w:val="00AE5719"/>
    <w:rsid w:val="00AE5B7C"/>
    <w:rsid w:val="00AF16F8"/>
    <w:rsid w:val="00AF200E"/>
    <w:rsid w:val="00AF203D"/>
    <w:rsid w:val="00AF299E"/>
    <w:rsid w:val="00AF2AD6"/>
    <w:rsid w:val="00AF3B9F"/>
    <w:rsid w:val="00AF4BD7"/>
    <w:rsid w:val="00AF55A6"/>
    <w:rsid w:val="00AF621D"/>
    <w:rsid w:val="00AF65A0"/>
    <w:rsid w:val="00B0060F"/>
    <w:rsid w:val="00B03CE2"/>
    <w:rsid w:val="00B05E33"/>
    <w:rsid w:val="00B06BA1"/>
    <w:rsid w:val="00B11E6A"/>
    <w:rsid w:val="00B1522A"/>
    <w:rsid w:val="00B169F5"/>
    <w:rsid w:val="00B16FF2"/>
    <w:rsid w:val="00B21982"/>
    <w:rsid w:val="00B25866"/>
    <w:rsid w:val="00B25A6F"/>
    <w:rsid w:val="00B25BC6"/>
    <w:rsid w:val="00B322FC"/>
    <w:rsid w:val="00B33C2F"/>
    <w:rsid w:val="00B35432"/>
    <w:rsid w:val="00B373AD"/>
    <w:rsid w:val="00B41343"/>
    <w:rsid w:val="00B4134E"/>
    <w:rsid w:val="00B42B2D"/>
    <w:rsid w:val="00B441CE"/>
    <w:rsid w:val="00B44DA3"/>
    <w:rsid w:val="00B5061D"/>
    <w:rsid w:val="00B5114C"/>
    <w:rsid w:val="00B518F7"/>
    <w:rsid w:val="00B51A2C"/>
    <w:rsid w:val="00B52026"/>
    <w:rsid w:val="00B5328A"/>
    <w:rsid w:val="00B5510F"/>
    <w:rsid w:val="00B57587"/>
    <w:rsid w:val="00B61DD1"/>
    <w:rsid w:val="00B623CE"/>
    <w:rsid w:val="00B63188"/>
    <w:rsid w:val="00B64BF6"/>
    <w:rsid w:val="00B662AD"/>
    <w:rsid w:val="00B70AD5"/>
    <w:rsid w:val="00B722A7"/>
    <w:rsid w:val="00B72ACE"/>
    <w:rsid w:val="00B7332C"/>
    <w:rsid w:val="00B73BC0"/>
    <w:rsid w:val="00B76233"/>
    <w:rsid w:val="00B76358"/>
    <w:rsid w:val="00B82000"/>
    <w:rsid w:val="00B84265"/>
    <w:rsid w:val="00B85D36"/>
    <w:rsid w:val="00B86A4A"/>
    <w:rsid w:val="00B86E05"/>
    <w:rsid w:val="00B90397"/>
    <w:rsid w:val="00B90CBE"/>
    <w:rsid w:val="00B91560"/>
    <w:rsid w:val="00B91A02"/>
    <w:rsid w:val="00B91C28"/>
    <w:rsid w:val="00B92B46"/>
    <w:rsid w:val="00B92E1C"/>
    <w:rsid w:val="00B96729"/>
    <w:rsid w:val="00BA00A9"/>
    <w:rsid w:val="00BA0426"/>
    <w:rsid w:val="00BA1854"/>
    <w:rsid w:val="00BA1B7A"/>
    <w:rsid w:val="00BA2EE9"/>
    <w:rsid w:val="00BA3674"/>
    <w:rsid w:val="00BA36A5"/>
    <w:rsid w:val="00BA4B2C"/>
    <w:rsid w:val="00BA69F4"/>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732D"/>
    <w:rsid w:val="00BF0540"/>
    <w:rsid w:val="00BF0748"/>
    <w:rsid w:val="00BF330A"/>
    <w:rsid w:val="00BF42CF"/>
    <w:rsid w:val="00BF469C"/>
    <w:rsid w:val="00BF6B39"/>
    <w:rsid w:val="00C0130F"/>
    <w:rsid w:val="00C0590E"/>
    <w:rsid w:val="00C06929"/>
    <w:rsid w:val="00C07FA9"/>
    <w:rsid w:val="00C10AEE"/>
    <w:rsid w:val="00C1122F"/>
    <w:rsid w:val="00C120C6"/>
    <w:rsid w:val="00C12C0F"/>
    <w:rsid w:val="00C134E5"/>
    <w:rsid w:val="00C13832"/>
    <w:rsid w:val="00C1424D"/>
    <w:rsid w:val="00C16490"/>
    <w:rsid w:val="00C17535"/>
    <w:rsid w:val="00C1778D"/>
    <w:rsid w:val="00C20E42"/>
    <w:rsid w:val="00C22635"/>
    <w:rsid w:val="00C22842"/>
    <w:rsid w:val="00C23048"/>
    <w:rsid w:val="00C23621"/>
    <w:rsid w:val="00C23792"/>
    <w:rsid w:val="00C265CC"/>
    <w:rsid w:val="00C273AE"/>
    <w:rsid w:val="00C27C1C"/>
    <w:rsid w:val="00C27C61"/>
    <w:rsid w:val="00C3109F"/>
    <w:rsid w:val="00C32280"/>
    <w:rsid w:val="00C34A6D"/>
    <w:rsid w:val="00C400E5"/>
    <w:rsid w:val="00C4201F"/>
    <w:rsid w:val="00C4317A"/>
    <w:rsid w:val="00C45222"/>
    <w:rsid w:val="00C46981"/>
    <w:rsid w:val="00C472F7"/>
    <w:rsid w:val="00C47D1B"/>
    <w:rsid w:val="00C503FF"/>
    <w:rsid w:val="00C505E8"/>
    <w:rsid w:val="00C51140"/>
    <w:rsid w:val="00C51346"/>
    <w:rsid w:val="00C515D8"/>
    <w:rsid w:val="00C51B23"/>
    <w:rsid w:val="00C53782"/>
    <w:rsid w:val="00C53E72"/>
    <w:rsid w:val="00C546A6"/>
    <w:rsid w:val="00C54BE5"/>
    <w:rsid w:val="00C56625"/>
    <w:rsid w:val="00C56A45"/>
    <w:rsid w:val="00C57553"/>
    <w:rsid w:val="00C6012D"/>
    <w:rsid w:val="00C61018"/>
    <w:rsid w:val="00C61355"/>
    <w:rsid w:val="00C636D0"/>
    <w:rsid w:val="00C66C9E"/>
    <w:rsid w:val="00C66CFB"/>
    <w:rsid w:val="00C673D1"/>
    <w:rsid w:val="00C716E5"/>
    <w:rsid w:val="00C731DC"/>
    <w:rsid w:val="00C73907"/>
    <w:rsid w:val="00C74C5A"/>
    <w:rsid w:val="00C76800"/>
    <w:rsid w:val="00C77CD0"/>
    <w:rsid w:val="00C80153"/>
    <w:rsid w:val="00C8083C"/>
    <w:rsid w:val="00C80F64"/>
    <w:rsid w:val="00C80F8C"/>
    <w:rsid w:val="00C8162E"/>
    <w:rsid w:val="00C81D68"/>
    <w:rsid w:val="00C828BE"/>
    <w:rsid w:val="00C82C57"/>
    <w:rsid w:val="00C8343C"/>
    <w:rsid w:val="00C84585"/>
    <w:rsid w:val="00C8497C"/>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456C"/>
    <w:rsid w:val="00CA460D"/>
    <w:rsid w:val="00CA66DF"/>
    <w:rsid w:val="00CA7476"/>
    <w:rsid w:val="00CA7C1E"/>
    <w:rsid w:val="00CA7FE3"/>
    <w:rsid w:val="00CB2A57"/>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C46"/>
    <w:rsid w:val="00CD7DA9"/>
    <w:rsid w:val="00CD7E25"/>
    <w:rsid w:val="00CE05D4"/>
    <w:rsid w:val="00CE1592"/>
    <w:rsid w:val="00CE4301"/>
    <w:rsid w:val="00CE46FC"/>
    <w:rsid w:val="00CE4AA8"/>
    <w:rsid w:val="00CE657B"/>
    <w:rsid w:val="00CF3A3D"/>
    <w:rsid w:val="00CF67F8"/>
    <w:rsid w:val="00CF6971"/>
    <w:rsid w:val="00CF6B0F"/>
    <w:rsid w:val="00CF78D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43AF"/>
    <w:rsid w:val="00D47351"/>
    <w:rsid w:val="00D473CC"/>
    <w:rsid w:val="00D47A9E"/>
    <w:rsid w:val="00D50580"/>
    <w:rsid w:val="00D50CDF"/>
    <w:rsid w:val="00D518E8"/>
    <w:rsid w:val="00D5257F"/>
    <w:rsid w:val="00D5288E"/>
    <w:rsid w:val="00D53645"/>
    <w:rsid w:val="00D547F7"/>
    <w:rsid w:val="00D553E6"/>
    <w:rsid w:val="00D5723A"/>
    <w:rsid w:val="00D63904"/>
    <w:rsid w:val="00D649B8"/>
    <w:rsid w:val="00D65DA3"/>
    <w:rsid w:val="00D66740"/>
    <w:rsid w:val="00D7015C"/>
    <w:rsid w:val="00D70B6F"/>
    <w:rsid w:val="00D71585"/>
    <w:rsid w:val="00D72B26"/>
    <w:rsid w:val="00D7492A"/>
    <w:rsid w:val="00D75214"/>
    <w:rsid w:val="00D77B71"/>
    <w:rsid w:val="00D83CE5"/>
    <w:rsid w:val="00D85008"/>
    <w:rsid w:val="00D87A49"/>
    <w:rsid w:val="00D90475"/>
    <w:rsid w:val="00D9148A"/>
    <w:rsid w:val="00D91FB9"/>
    <w:rsid w:val="00D950A6"/>
    <w:rsid w:val="00D950EC"/>
    <w:rsid w:val="00D956AA"/>
    <w:rsid w:val="00D95EF8"/>
    <w:rsid w:val="00DA0B14"/>
    <w:rsid w:val="00DA0B77"/>
    <w:rsid w:val="00DA1851"/>
    <w:rsid w:val="00DA299A"/>
    <w:rsid w:val="00DA31C0"/>
    <w:rsid w:val="00DA4C11"/>
    <w:rsid w:val="00DA5781"/>
    <w:rsid w:val="00DA63C9"/>
    <w:rsid w:val="00DA6B83"/>
    <w:rsid w:val="00DA6E68"/>
    <w:rsid w:val="00DB25BC"/>
    <w:rsid w:val="00DB2606"/>
    <w:rsid w:val="00DB5812"/>
    <w:rsid w:val="00DB7C2A"/>
    <w:rsid w:val="00DC0595"/>
    <w:rsid w:val="00DC10E2"/>
    <w:rsid w:val="00DC215D"/>
    <w:rsid w:val="00DC241A"/>
    <w:rsid w:val="00DC2975"/>
    <w:rsid w:val="00DC3E83"/>
    <w:rsid w:val="00DC60C7"/>
    <w:rsid w:val="00DC6415"/>
    <w:rsid w:val="00DC752F"/>
    <w:rsid w:val="00DD0FEA"/>
    <w:rsid w:val="00DD1B85"/>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223"/>
    <w:rsid w:val="00DF134A"/>
    <w:rsid w:val="00DF13C0"/>
    <w:rsid w:val="00DF1658"/>
    <w:rsid w:val="00DF20A4"/>
    <w:rsid w:val="00DF20D1"/>
    <w:rsid w:val="00DF3014"/>
    <w:rsid w:val="00DF3CE0"/>
    <w:rsid w:val="00DF578F"/>
    <w:rsid w:val="00E01862"/>
    <w:rsid w:val="00E0197E"/>
    <w:rsid w:val="00E020A1"/>
    <w:rsid w:val="00E023C9"/>
    <w:rsid w:val="00E02A38"/>
    <w:rsid w:val="00E03758"/>
    <w:rsid w:val="00E05C70"/>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538E"/>
    <w:rsid w:val="00E30119"/>
    <w:rsid w:val="00E33369"/>
    <w:rsid w:val="00E34890"/>
    <w:rsid w:val="00E36E31"/>
    <w:rsid w:val="00E36F5E"/>
    <w:rsid w:val="00E4041D"/>
    <w:rsid w:val="00E41A85"/>
    <w:rsid w:val="00E423B1"/>
    <w:rsid w:val="00E430A9"/>
    <w:rsid w:val="00E43B4A"/>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73D"/>
    <w:rsid w:val="00E74EB3"/>
    <w:rsid w:val="00E805C5"/>
    <w:rsid w:val="00E81221"/>
    <w:rsid w:val="00E8169E"/>
    <w:rsid w:val="00E82030"/>
    <w:rsid w:val="00E82A53"/>
    <w:rsid w:val="00E83AF0"/>
    <w:rsid w:val="00E85228"/>
    <w:rsid w:val="00E85BA8"/>
    <w:rsid w:val="00E86E4F"/>
    <w:rsid w:val="00E87ACA"/>
    <w:rsid w:val="00E906D5"/>
    <w:rsid w:val="00E94560"/>
    <w:rsid w:val="00E94E45"/>
    <w:rsid w:val="00E954B7"/>
    <w:rsid w:val="00E95D22"/>
    <w:rsid w:val="00EA4CD3"/>
    <w:rsid w:val="00EA6925"/>
    <w:rsid w:val="00EA6D71"/>
    <w:rsid w:val="00EB1551"/>
    <w:rsid w:val="00EB1965"/>
    <w:rsid w:val="00EB29D3"/>
    <w:rsid w:val="00EB32A5"/>
    <w:rsid w:val="00EB3E96"/>
    <w:rsid w:val="00EB4AF6"/>
    <w:rsid w:val="00EB57EC"/>
    <w:rsid w:val="00EB5BD5"/>
    <w:rsid w:val="00EB648C"/>
    <w:rsid w:val="00EC0103"/>
    <w:rsid w:val="00EC1D55"/>
    <w:rsid w:val="00EC35B4"/>
    <w:rsid w:val="00EC692E"/>
    <w:rsid w:val="00ED12AE"/>
    <w:rsid w:val="00ED3020"/>
    <w:rsid w:val="00ED4629"/>
    <w:rsid w:val="00ED4E84"/>
    <w:rsid w:val="00ED6A67"/>
    <w:rsid w:val="00ED7CAF"/>
    <w:rsid w:val="00ED7D9E"/>
    <w:rsid w:val="00EE2C63"/>
    <w:rsid w:val="00EE5B01"/>
    <w:rsid w:val="00EF00D9"/>
    <w:rsid w:val="00EF079E"/>
    <w:rsid w:val="00EF07E6"/>
    <w:rsid w:val="00EF0E89"/>
    <w:rsid w:val="00EF35FA"/>
    <w:rsid w:val="00EF3FA7"/>
    <w:rsid w:val="00EF4435"/>
    <w:rsid w:val="00EF507D"/>
    <w:rsid w:val="00EF6D71"/>
    <w:rsid w:val="00F00AB6"/>
    <w:rsid w:val="00F00CD5"/>
    <w:rsid w:val="00F00D29"/>
    <w:rsid w:val="00F01081"/>
    <w:rsid w:val="00F02049"/>
    <w:rsid w:val="00F0338A"/>
    <w:rsid w:val="00F0373D"/>
    <w:rsid w:val="00F03747"/>
    <w:rsid w:val="00F04F66"/>
    <w:rsid w:val="00F06568"/>
    <w:rsid w:val="00F069F1"/>
    <w:rsid w:val="00F11950"/>
    <w:rsid w:val="00F12A0E"/>
    <w:rsid w:val="00F134AC"/>
    <w:rsid w:val="00F16720"/>
    <w:rsid w:val="00F172EE"/>
    <w:rsid w:val="00F179D8"/>
    <w:rsid w:val="00F20045"/>
    <w:rsid w:val="00F20655"/>
    <w:rsid w:val="00F2098F"/>
    <w:rsid w:val="00F23DD7"/>
    <w:rsid w:val="00F2496F"/>
    <w:rsid w:val="00F252AC"/>
    <w:rsid w:val="00F25EC1"/>
    <w:rsid w:val="00F300EF"/>
    <w:rsid w:val="00F301C6"/>
    <w:rsid w:val="00F30F7B"/>
    <w:rsid w:val="00F322EA"/>
    <w:rsid w:val="00F32BCB"/>
    <w:rsid w:val="00F3329C"/>
    <w:rsid w:val="00F37C44"/>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907B2"/>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39"/>
    <w:rsid w:val="00FB3A38"/>
    <w:rsid w:val="00FB48D6"/>
    <w:rsid w:val="00FB52E0"/>
    <w:rsid w:val="00FB59B6"/>
    <w:rsid w:val="00FC0B1B"/>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66EF"/>
    <w:rsid w:val="00FD6EAB"/>
    <w:rsid w:val="00FD7CD2"/>
    <w:rsid w:val="00FE021A"/>
    <w:rsid w:val="00FE1A69"/>
    <w:rsid w:val="00FE1B57"/>
    <w:rsid w:val="00FE1F79"/>
    <w:rsid w:val="00FE43BA"/>
    <w:rsid w:val="00FE5006"/>
    <w:rsid w:val="00FE517E"/>
    <w:rsid w:val="00FE5219"/>
    <w:rsid w:val="00FE5747"/>
    <w:rsid w:val="00FE612F"/>
    <w:rsid w:val="00FE6C02"/>
    <w:rsid w:val="00FE71F9"/>
    <w:rsid w:val="00FF0383"/>
    <w:rsid w:val="00FF0FB1"/>
    <w:rsid w:val="00FF49E6"/>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783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7E19-B95A-42EB-BE94-A0AABD5A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3498</TotalTime>
  <Pages>30</Pages>
  <Words>6902</Words>
  <Characters>37963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79</cp:revision>
  <cp:lastPrinted>2018-08-30T18:40:00Z</cp:lastPrinted>
  <dcterms:created xsi:type="dcterms:W3CDTF">2018-01-17T23:09:00Z</dcterms:created>
  <dcterms:modified xsi:type="dcterms:W3CDTF">2018-10-16T23:02:00Z</dcterms:modified>
</cp:coreProperties>
</file>