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8BC" w:rsidRDefault="000058BC" w:rsidP="000058BC">
      <w:pPr>
        <w:spacing w:before="100" w:beforeAutospacing="1" w:after="100" w:afterAutospacing="1" w:line="360" w:lineRule="auto"/>
        <w:jc w:val="both"/>
        <w:rPr>
          <w:rFonts w:ascii="Palatino Linotype" w:hAnsi="Palatino Linotype" w:cs="Arial"/>
        </w:rPr>
      </w:pPr>
      <w:bookmarkStart w:id="0" w:name="_GoBack"/>
      <w:bookmarkEnd w:id="0"/>
      <w:r>
        <w:rPr>
          <w:rFonts w:ascii="Palatino Linotype" w:hAnsi="Palatino Linotype" w:cs="Arial"/>
        </w:rPr>
        <w:t>Resolución del Pleno del Instituto de Transparencia, Acceso a la Información Pública y Protección de Datos Personales del Estado de México y Municipios, con domicilio en Metepec, Estado de México, del veintinueve de agosto de dos mil dieciocho.</w:t>
      </w:r>
    </w:p>
    <w:p w:rsidR="008144D6" w:rsidRDefault="000058BC" w:rsidP="000058BC">
      <w:pPr>
        <w:spacing w:before="100" w:beforeAutospacing="1" w:after="100" w:afterAutospacing="1"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electrónico formado con motivo del recurso de revisión </w:t>
      </w:r>
      <w:r>
        <w:rPr>
          <w:rFonts w:ascii="Palatino Linotype" w:hAnsi="Palatino Linotype" w:cs="Arial"/>
          <w:b/>
          <w:bCs/>
        </w:rPr>
        <w:t>02359/INFOEM/IP/RR/2018</w:t>
      </w:r>
      <w:r>
        <w:rPr>
          <w:rFonts w:ascii="Palatino Linotype" w:hAnsi="Palatino Linotype" w:cs="Arial"/>
          <w:b/>
          <w:bCs/>
          <w:sz w:val="22"/>
        </w:rPr>
        <w:t xml:space="preserve">, </w:t>
      </w:r>
      <w:r>
        <w:rPr>
          <w:rFonts w:ascii="Palatino Linotype" w:hAnsi="Palatino Linotype" w:cs="Arial"/>
        </w:rPr>
        <w:t xml:space="preserve">interpuesto por el </w:t>
      </w:r>
      <w:r>
        <w:rPr>
          <w:rFonts w:ascii="Palatino Linotype" w:hAnsi="Palatino Linotype" w:cs="Arial"/>
          <w:b/>
        </w:rPr>
        <w:t xml:space="preserve">C. </w:t>
      </w:r>
      <w:r w:rsidR="009F2ED0">
        <w:rPr>
          <w:rFonts w:ascii="Palatino Linotype" w:hAnsi="Palatino Linotype"/>
          <w:b/>
          <w:szCs w:val="22"/>
        </w:rPr>
        <w:t>Xxxxx Xxxxx Xxxxx</w:t>
      </w:r>
      <w:r>
        <w:rPr>
          <w:rFonts w:ascii="Palatino Linotype" w:hAnsi="Palatino Linotype"/>
          <w:b/>
          <w:szCs w:val="22"/>
        </w:rPr>
        <w:t xml:space="preserve">, </w:t>
      </w:r>
      <w:r>
        <w:rPr>
          <w:rFonts w:ascii="Palatino Linotype" w:hAnsi="Palatino Linotype" w:cs="Arial"/>
        </w:rPr>
        <w:t>el</w:t>
      </w:r>
      <w:r>
        <w:rPr>
          <w:rFonts w:ascii="Palatino Linotype" w:hAnsi="Palatino Linotype" w:cs="Arial"/>
          <w:b/>
        </w:rPr>
        <w:t xml:space="preserve"> recurrente</w:t>
      </w:r>
      <w:r>
        <w:rPr>
          <w:rFonts w:ascii="Palatino Linotype" w:hAnsi="Palatino Linotype" w:cs="Arial"/>
        </w:rPr>
        <w:t>, contra el</w:t>
      </w:r>
      <w:r>
        <w:rPr>
          <w:rFonts w:ascii="Palatino Linotype" w:hAnsi="Palatino Linotype" w:cs="Arial"/>
          <w:b/>
        </w:rPr>
        <w:t xml:space="preserve"> Ayuntamiento de Tepotzotlán</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ambos así denominados en lo sucesivo, en contra de la respuesta a la solicitud de información con número de folio </w:t>
      </w:r>
      <w:r>
        <w:rPr>
          <w:rFonts w:ascii="Palatino Linotype" w:hAnsi="Palatino Linotype" w:cs="Arial"/>
          <w:b/>
        </w:rPr>
        <w:t>00142/TEPOTZOT/IP/2018</w:t>
      </w:r>
      <w:r>
        <w:rPr>
          <w:rFonts w:ascii="Palatino Linotype" w:hAnsi="Palatino Linotype" w:cs="Arial"/>
          <w:b/>
          <w:sz w:val="22"/>
        </w:rPr>
        <w:t xml:space="preserve">, </w:t>
      </w:r>
      <w:r>
        <w:rPr>
          <w:rFonts w:ascii="Palatino Linotype" w:hAnsi="Palatino Linotype" w:cs="Arial"/>
        </w:rPr>
        <w:t>se procede a dictar la presente Resolución, con fundamento en lo siguiente:</w:t>
      </w:r>
    </w:p>
    <w:p w:rsidR="000058BC" w:rsidRDefault="000058BC" w:rsidP="000058BC">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t>I.</w:t>
      </w:r>
      <w:r>
        <w:rPr>
          <w:rFonts w:ascii="Palatino Linotype" w:hAnsi="Palatino Linotype" w:cs="Arial"/>
          <w:b/>
          <w:sz w:val="28"/>
        </w:rPr>
        <w:tab/>
        <w:t>A N T E C E D E N T E S:</w:t>
      </w:r>
    </w:p>
    <w:p w:rsidR="000058BC" w:rsidRDefault="000058BC" w:rsidP="000058BC">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w:t>
      </w:r>
      <w:r>
        <w:rPr>
          <w:rFonts w:ascii="Palatino Linotype" w:hAnsi="Palatino Linotype" w:cs="Arial"/>
        </w:rPr>
        <w:t xml:space="preserve"> </w:t>
      </w:r>
      <w:r>
        <w:rPr>
          <w:rFonts w:ascii="Palatino Linotype" w:hAnsi="Palatino Linotype" w:cs="Arial"/>
          <w:b/>
        </w:rPr>
        <w:t>Solicitud de acceso a la información.</w:t>
      </w:r>
      <w:r>
        <w:rPr>
          <w:rFonts w:ascii="Palatino Linotype" w:hAnsi="Palatino Linotype" w:cs="Arial"/>
        </w:rPr>
        <w:t xml:space="preserve"> Con fecha diez de mayo de dos mil dieciocho, el </w:t>
      </w:r>
      <w:r>
        <w:rPr>
          <w:rFonts w:ascii="Palatino Linotype" w:hAnsi="Palatino Linotype" w:cs="Arial"/>
          <w:b/>
        </w:rPr>
        <w:t>recurrente</w:t>
      </w:r>
      <w:r>
        <w:rPr>
          <w:rFonts w:ascii="Palatino Linotype" w:hAnsi="Palatino Linotype" w:cs="Arial"/>
        </w:rPr>
        <w:t xml:space="preserve"> presentó solicitud de acceso a la información pública al </w:t>
      </w:r>
      <w:r>
        <w:rPr>
          <w:rFonts w:ascii="Palatino Linotype" w:hAnsi="Palatino Linotype" w:cs="Arial"/>
          <w:b/>
        </w:rPr>
        <w:t>Sujeto Obligado</w:t>
      </w:r>
      <w:r>
        <w:rPr>
          <w:rFonts w:ascii="Palatino Linotype" w:hAnsi="Palatino Linotype" w:cs="Arial"/>
        </w:rPr>
        <w:t xml:space="preserve"> mediante el Sistema de Información Mexiquense (</w:t>
      </w:r>
      <w:r>
        <w:rPr>
          <w:rFonts w:ascii="Palatino Linotype" w:hAnsi="Palatino Linotype" w:cs="Arial"/>
          <w:b/>
        </w:rPr>
        <w:t>SAIMEX</w:t>
      </w:r>
      <w:r>
        <w:rPr>
          <w:rFonts w:ascii="Palatino Linotype" w:hAnsi="Palatino Linotype" w:cs="Arial"/>
        </w:rPr>
        <w:t>), requiriendo lo siguiente:</w:t>
      </w:r>
    </w:p>
    <w:p w:rsidR="000058BC" w:rsidRDefault="000058BC" w:rsidP="000058BC">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0058BC">
        <w:rPr>
          <w:rFonts w:ascii="Palatino Linotype" w:hAnsi="Palatino Linotype" w:cs="Arial"/>
          <w:i/>
          <w:sz w:val="22"/>
        </w:rPr>
        <w:t>Solicito el perfil del personal, representado y expresado en su currículom vitae, adscrito laboralmente a la tercera regiduría, la secretaría del Regidor (Karen Belli), así como su asesor (Juan Israel Fuentes Sánchez) , y los recibos de nóminas quincenales de cada uno correspondientes a los meses de enero-febrero-marzo y abril del año 2018 de la presente administración (2016-2018).</w:t>
      </w:r>
      <w:r>
        <w:rPr>
          <w:rFonts w:ascii="Palatino Linotype" w:hAnsi="Palatino Linotype" w:cs="Arial"/>
          <w:i/>
          <w:sz w:val="22"/>
        </w:rPr>
        <w:t>” (Sic.)</w:t>
      </w:r>
    </w:p>
    <w:p w:rsidR="000058BC" w:rsidRDefault="000058BC" w:rsidP="000058BC">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rsidR="00B3387B" w:rsidRDefault="00B3387B" w:rsidP="00B3387B">
      <w:pPr>
        <w:spacing w:before="100" w:beforeAutospacing="1" w:after="100" w:afterAutospacing="1" w:line="360" w:lineRule="auto"/>
        <w:jc w:val="both"/>
        <w:rPr>
          <w:rFonts w:ascii="Palatino Linotype" w:hAnsi="Palatino Linotype" w:cs="Arial"/>
        </w:rPr>
      </w:pPr>
      <w:r>
        <w:rPr>
          <w:rFonts w:ascii="Palatino Linotype" w:hAnsi="Palatino Linotype" w:cs="Arial"/>
          <w:b/>
        </w:rPr>
        <w:t>SEGUNDO. Respuesta</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se advierte que el </w:t>
      </w:r>
      <w:r>
        <w:rPr>
          <w:rFonts w:ascii="Palatino Linotype" w:hAnsi="Palatino Linotype" w:cs="Arial"/>
          <w:b/>
        </w:rPr>
        <w:t>Sujeto Obligado</w:t>
      </w:r>
      <w:r>
        <w:rPr>
          <w:rFonts w:ascii="Palatino Linotype" w:hAnsi="Palatino Linotype" w:cs="Arial"/>
        </w:rPr>
        <w:t xml:space="preserve"> respondió a la solicitud de acceso </w:t>
      </w:r>
      <w:r>
        <w:rPr>
          <w:rFonts w:ascii="Palatino Linotype" w:hAnsi="Palatino Linotype" w:cs="Arial"/>
        </w:rPr>
        <w:lastRenderedPageBreak/>
        <w:t xml:space="preserve">a la información que fuera presentada por el recurrente, en fecha treinta y uno de mayo de dos mil dieciocho, en los términos siguientes: </w:t>
      </w:r>
    </w:p>
    <w:p w:rsidR="00B3387B" w:rsidRPr="00B3387B" w:rsidRDefault="00B3387B" w:rsidP="00B3387B">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B3387B">
        <w:rPr>
          <w:rFonts w:ascii="Palatino Linotype" w:hAnsi="Palatino Linotype" w:cs="Arial"/>
          <w:i/>
          <w:sz w:val="22"/>
        </w:rPr>
        <w:t>En atención a su solicitud con folio 00142/TEPOTZOT/IP/2018, le informo lo siguiente: De lo solicitado con relación al nombre de “Karen Belli”, una vez revisada la plantilla de la Administración Pública Municipal, no se encontró a nadie con ese nombre, por lo que no se puede entregar información al respecto. De lo solicitado con relación al servidor público “Juan Israel Fuentes Sánchez”, se hace la aclaración de que su cargo es como “Auxiliar Administrativo”, del cual se entrega la versión pública de los documentos solicitados.</w:t>
      </w:r>
    </w:p>
    <w:p w:rsidR="00B3387B" w:rsidRPr="00B3387B" w:rsidRDefault="00B3387B" w:rsidP="00B3387B">
      <w:pPr>
        <w:spacing w:before="100" w:beforeAutospacing="1" w:after="100" w:afterAutospacing="1"/>
        <w:ind w:left="851" w:right="851"/>
        <w:jc w:val="both"/>
        <w:rPr>
          <w:rFonts w:ascii="Palatino Linotype" w:hAnsi="Palatino Linotype" w:cs="Arial"/>
          <w:i/>
          <w:sz w:val="22"/>
        </w:rPr>
      </w:pPr>
      <w:r w:rsidRPr="00B3387B">
        <w:rPr>
          <w:rFonts w:ascii="Palatino Linotype" w:hAnsi="Palatino Linotype" w:cs="Arial"/>
          <w:i/>
          <w:sz w:val="22"/>
        </w:rPr>
        <w:t>ATENTAMENTE</w:t>
      </w:r>
    </w:p>
    <w:p w:rsidR="00B3387B" w:rsidRDefault="00B3387B" w:rsidP="00B3387B">
      <w:pPr>
        <w:spacing w:before="100" w:beforeAutospacing="1" w:after="100" w:afterAutospacing="1"/>
        <w:ind w:left="851" w:right="851"/>
        <w:jc w:val="both"/>
        <w:rPr>
          <w:rFonts w:ascii="Palatino Linotype" w:hAnsi="Palatino Linotype" w:cs="Arial"/>
          <w:i/>
          <w:sz w:val="22"/>
        </w:rPr>
      </w:pPr>
      <w:r w:rsidRPr="00B3387B">
        <w:rPr>
          <w:rFonts w:ascii="Palatino Linotype" w:hAnsi="Palatino Linotype" w:cs="Arial"/>
          <w:i/>
          <w:sz w:val="22"/>
        </w:rPr>
        <w:t>Ing. Miguel Ángel Bayardo Parra</w:t>
      </w:r>
      <w:r>
        <w:rPr>
          <w:rFonts w:ascii="Palatino Linotype" w:hAnsi="Palatino Linotype" w:cs="Arial"/>
          <w:i/>
          <w:sz w:val="22"/>
        </w:rPr>
        <w:t>” (Sic.)</w:t>
      </w:r>
    </w:p>
    <w:p w:rsidR="00B3387B" w:rsidRPr="00B3387B" w:rsidRDefault="00B3387B" w:rsidP="00B3387B">
      <w:pPr>
        <w:spacing w:before="100" w:beforeAutospacing="1" w:after="100" w:afterAutospacing="1" w:line="360" w:lineRule="auto"/>
        <w:jc w:val="both"/>
        <w:rPr>
          <w:rFonts w:ascii="Palatino Linotype" w:hAnsi="Palatino Linotype" w:cs="Arial"/>
          <w:i/>
        </w:rPr>
      </w:pPr>
      <w:r w:rsidRPr="00C82F73">
        <w:rPr>
          <w:rFonts w:ascii="Palatino Linotype" w:hAnsi="Palatino Linotype" w:cs="Arial"/>
        </w:rPr>
        <w:t xml:space="preserve">Cabe hacer mención que el Sujeto Obligado adjuntó a su respuesta los archivos </w:t>
      </w:r>
      <w:r w:rsidRPr="00C82F73">
        <w:rPr>
          <w:rFonts w:ascii="Palatino Linotype" w:hAnsi="Palatino Linotype" w:cs="Arial"/>
          <w:i/>
        </w:rPr>
        <w:t xml:space="preserve">“Acta “Comité Transparencia 2018-05-24 _ 013°Extraordinaria.pdf”, “Sol.2018-IP142 DAyF respuesta B0.pdf”, “Sol.2018-IP142 JRH-ED respuesta A.pdf “, “Sol.2018-IP142 JRH-ED respuesta B0.pdf” </w:t>
      </w:r>
      <w:r w:rsidRPr="00C82F73">
        <w:rPr>
          <w:rFonts w:ascii="Palatino Linotype" w:hAnsi="Palatino Linotype" w:cs="Arial"/>
        </w:rPr>
        <w:t>y</w:t>
      </w:r>
      <w:r w:rsidRPr="00C82F73">
        <w:rPr>
          <w:rFonts w:ascii="Palatino Linotype" w:hAnsi="Palatino Linotype" w:cs="Arial"/>
          <w:i/>
        </w:rPr>
        <w:t xml:space="preserve"> “Sol.2018-IP142 DAyF respuesta A.pdf”</w:t>
      </w:r>
      <w:r w:rsidRPr="00C82F73">
        <w:rPr>
          <w:rFonts w:ascii="Palatino Linotype" w:hAnsi="Palatino Linotype" w:cs="Arial"/>
        </w:rPr>
        <w:t>, los cuales contienen lo siguiente:</w:t>
      </w:r>
    </w:p>
    <w:p w:rsidR="00B3387B" w:rsidRDefault="00B3387B" w:rsidP="00BD57ED">
      <w:pPr>
        <w:pStyle w:val="Prrafodelista"/>
        <w:numPr>
          <w:ilvl w:val="0"/>
          <w:numId w:val="2"/>
        </w:numPr>
        <w:spacing w:before="100" w:beforeAutospacing="1" w:after="100" w:afterAutospacing="1" w:line="360" w:lineRule="auto"/>
        <w:jc w:val="both"/>
        <w:rPr>
          <w:rFonts w:ascii="Palatino Linotype" w:hAnsi="Palatino Linotype" w:cs="Arial"/>
        </w:rPr>
      </w:pPr>
      <w:r w:rsidRPr="0074667A">
        <w:rPr>
          <w:rFonts w:ascii="Palatino Linotype" w:hAnsi="Palatino Linotype" w:cs="Arial"/>
        </w:rPr>
        <w:t xml:space="preserve">El archivo </w:t>
      </w:r>
      <w:r w:rsidR="00BD57ED" w:rsidRPr="00BD57ED">
        <w:rPr>
          <w:rFonts w:ascii="Palatino Linotype" w:hAnsi="Palatino Linotype" w:cs="Arial"/>
          <w:i/>
        </w:rPr>
        <w:t>“Acta “Comité Transparencia 2018-05-24 _ 013°Extraordinaria.pdf”</w:t>
      </w:r>
      <w:r w:rsidRPr="0074667A">
        <w:rPr>
          <w:rFonts w:ascii="Palatino Linotype" w:hAnsi="Palatino Linotype" w:cs="Arial"/>
          <w:i/>
        </w:rPr>
        <w:t xml:space="preserve">, </w:t>
      </w:r>
      <w:r w:rsidRPr="0074667A">
        <w:rPr>
          <w:rFonts w:ascii="Palatino Linotype" w:hAnsi="Palatino Linotype" w:cs="Arial"/>
        </w:rPr>
        <w:t xml:space="preserve">contiene </w:t>
      </w:r>
      <w:r w:rsidR="00BD57ED">
        <w:rPr>
          <w:rFonts w:ascii="Palatino Linotype" w:hAnsi="Palatino Linotype" w:cs="Arial"/>
        </w:rPr>
        <w:t>el Acta de la Décima Tercera Sesión Extraordinaria del Comité del Sujeto Obligado, donde se somete a consideración a aprobación por unanimidad de votos de la clasificación de la información confidencial y versión publica, de la información remitida.</w:t>
      </w:r>
    </w:p>
    <w:p w:rsidR="00BD57ED" w:rsidRDefault="00BD57ED" w:rsidP="00BD57ED">
      <w:pPr>
        <w:pStyle w:val="Prrafodelista"/>
        <w:numPr>
          <w:ilvl w:val="0"/>
          <w:numId w:val="2"/>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El archivo </w:t>
      </w:r>
      <w:r w:rsidRPr="00BD57ED">
        <w:rPr>
          <w:rFonts w:ascii="Palatino Linotype" w:hAnsi="Palatino Linotype" w:cs="Arial"/>
          <w:i/>
        </w:rPr>
        <w:t>“Sol.2018-IP142 DAyF respuesta B0.pdf”</w:t>
      </w:r>
      <w:r>
        <w:rPr>
          <w:rFonts w:ascii="Palatino Linotype" w:hAnsi="Palatino Linotype" w:cs="Arial"/>
          <w:i/>
        </w:rPr>
        <w:t xml:space="preserve">, </w:t>
      </w:r>
      <w:r>
        <w:rPr>
          <w:rFonts w:ascii="Palatino Linotype" w:hAnsi="Palatino Linotype" w:cs="Arial"/>
        </w:rPr>
        <w:t xml:space="preserve">contiene </w:t>
      </w:r>
      <w:r w:rsidR="001841A7">
        <w:rPr>
          <w:rFonts w:ascii="Palatino Linotype" w:hAnsi="Palatino Linotype" w:cs="Arial"/>
        </w:rPr>
        <w:t>ocho recibos de nómina a nombre de un servidor público, relativos a enero-abril de 2018.</w:t>
      </w:r>
    </w:p>
    <w:p w:rsidR="001841A7" w:rsidRDefault="001841A7" w:rsidP="00BD57ED">
      <w:pPr>
        <w:pStyle w:val="Prrafodelista"/>
        <w:numPr>
          <w:ilvl w:val="0"/>
          <w:numId w:val="2"/>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El archivo </w:t>
      </w:r>
      <w:r w:rsidRPr="001841A7">
        <w:rPr>
          <w:rFonts w:ascii="Palatino Linotype" w:hAnsi="Palatino Linotype" w:cs="Arial"/>
          <w:i/>
        </w:rPr>
        <w:t>“Sol.2018-IP142 JRH-ED respuesta A.pdf “</w:t>
      </w:r>
      <w:r>
        <w:rPr>
          <w:rFonts w:ascii="Palatino Linotype" w:hAnsi="Palatino Linotype" w:cs="Arial"/>
          <w:i/>
        </w:rPr>
        <w:t xml:space="preserve">, </w:t>
      </w:r>
      <w:r>
        <w:rPr>
          <w:rFonts w:ascii="Palatino Linotype" w:hAnsi="Palatino Linotype" w:cs="Arial"/>
        </w:rPr>
        <w:t>contiene el oficio número JRH-ED/074/18</w:t>
      </w:r>
      <w:r w:rsidR="00C82F73">
        <w:rPr>
          <w:rFonts w:ascii="Palatino Linotype" w:hAnsi="Palatino Linotype" w:cs="Arial"/>
        </w:rPr>
        <w:t xml:space="preserve"> de fecha 26 de mayo del año en curso, remitido por la </w:t>
      </w:r>
      <w:r w:rsidR="00C82F73">
        <w:rPr>
          <w:rFonts w:ascii="Palatino Linotype" w:hAnsi="Palatino Linotype" w:cs="Arial"/>
        </w:rPr>
        <w:lastRenderedPageBreak/>
        <w:t>Encargada del Despacho de la Jefatura de Recursos Humanos, en donde menciona que respecto una vez que revisó la plantilla del personal, no encontró a nadie que correspondiera al nombre de “Karen Belli” y que respecto al servidor público mencionado en la solicitud de información anexó una copia de la solicitud de empleo.</w:t>
      </w:r>
    </w:p>
    <w:p w:rsidR="00C82F73" w:rsidRDefault="00C82F73" w:rsidP="00BD57ED">
      <w:pPr>
        <w:pStyle w:val="Prrafodelista"/>
        <w:numPr>
          <w:ilvl w:val="0"/>
          <w:numId w:val="2"/>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El archivo </w:t>
      </w:r>
      <w:r w:rsidRPr="00C82F73">
        <w:rPr>
          <w:rFonts w:ascii="Palatino Linotype" w:hAnsi="Palatino Linotype" w:cs="Arial"/>
          <w:i/>
        </w:rPr>
        <w:t>“Sol.2018-IP142 JRH-ED respuesta B0.pdf”</w:t>
      </w:r>
      <w:r>
        <w:rPr>
          <w:rFonts w:ascii="Palatino Linotype" w:hAnsi="Palatino Linotype" w:cs="Arial"/>
          <w:i/>
        </w:rPr>
        <w:t xml:space="preserve">, </w:t>
      </w:r>
      <w:r>
        <w:rPr>
          <w:rFonts w:ascii="Palatino Linotype" w:hAnsi="Palatino Linotype" w:cs="Arial"/>
        </w:rPr>
        <w:t xml:space="preserve">contiene la </w:t>
      </w:r>
      <w:r w:rsidR="00592593">
        <w:rPr>
          <w:rFonts w:ascii="Palatino Linotype" w:hAnsi="Palatino Linotype" w:cs="Arial"/>
        </w:rPr>
        <w:t>solicitud</w:t>
      </w:r>
      <w:r>
        <w:rPr>
          <w:rFonts w:ascii="Palatino Linotype" w:hAnsi="Palatino Linotype" w:cs="Arial"/>
        </w:rPr>
        <w:t xml:space="preserve"> de empleo </w:t>
      </w:r>
      <w:r w:rsidR="00592593">
        <w:rPr>
          <w:rFonts w:ascii="Palatino Linotype" w:hAnsi="Palatino Linotype" w:cs="Arial"/>
        </w:rPr>
        <w:t>del servidor público referido en la solicitud de información.</w:t>
      </w:r>
    </w:p>
    <w:p w:rsidR="00592593" w:rsidRPr="0074667A" w:rsidRDefault="00592593" w:rsidP="00BD57ED">
      <w:pPr>
        <w:pStyle w:val="Prrafodelista"/>
        <w:numPr>
          <w:ilvl w:val="0"/>
          <w:numId w:val="2"/>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El archivo </w:t>
      </w:r>
      <w:r w:rsidRPr="00C82F73">
        <w:rPr>
          <w:rFonts w:ascii="Palatino Linotype" w:hAnsi="Palatino Linotype" w:cs="Arial"/>
          <w:i/>
        </w:rPr>
        <w:t>“Sol.2018-IP142 DAyF respuesta A.pdf”</w:t>
      </w:r>
      <w:r>
        <w:rPr>
          <w:rFonts w:ascii="Palatino Linotype" w:hAnsi="Palatino Linotype" w:cs="Arial"/>
          <w:i/>
        </w:rPr>
        <w:t xml:space="preserve">, </w:t>
      </w:r>
      <w:r>
        <w:rPr>
          <w:rFonts w:ascii="Palatino Linotype" w:hAnsi="Palatino Linotype" w:cs="Arial"/>
        </w:rPr>
        <w:t xml:space="preserve">contiene el oficio número DayF/193/2018 de fecha 28 de mayo de 2018, que remite el Encargado de Despacho de la </w:t>
      </w:r>
      <w:r w:rsidR="00E25E78">
        <w:rPr>
          <w:rFonts w:ascii="Palatino Linotype" w:hAnsi="Palatino Linotype" w:cs="Arial"/>
        </w:rPr>
        <w:t>Dirección</w:t>
      </w:r>
      <w:r>
        <w:rPr>
          <w:rFonts w:ascii="Palatino Linotype" w:hAnsi="Palatino Linotype" w:cs="Arial"/>
        </w:rPr>
        <w:t xml:space="preserve"> de </w:t>
      </w:r>
      <w:r w:rsidR="00E25E78">
        <w:rPr>
          <w:rFonts w:ascii="Palatino Linotype" w:hAnsi="Palatino Linotype" w:cs="Arial"/>
        </w:rPr>
        <w:t>Administración</w:t>
      </w:r>
      <w:r>
        <w:rPr>
          <w:rFonts w:ascii="Palatino Linotype" w:hAnsi="Palatino Linotype" w:cs="Arial"/>
        </w:rPr>
        <w:t xml:space="preserve"> y Finanzas</w:t>
      </w:r>
      <w:r w:rsidR="00E25E78">
        <w:rPr>
          <w:rFonts w:ascii="Palatino Linotype" w:hAnsi="Palatino Linotype" w:cs="Arial"/>
        </w:rPr>
        <w:t>, en done menciona que una vez que revisó la información en el sistema a nombre de “Karen Belli”, no encontró personal, con dicho nombre y referente al servidor público, se aclaró que la función que desempeña es la de “Auxiliar Admirativo”</w:t>
      </w:r>
    </w:p>
    <w:p w:rsidR="00B3387B" w:rsidRPr="00BE096B" w:rsidRDefault="00B3387B" w:rsidP="00B3387B">
      <w:pPr>
        <w:spacing w:before="100" w:beforeAutospacing="1" w:after="100" w:afterAutospacing="1" w:line="360" w:lineRule="auto"/>
        <w:jc w:val="both"/>
        <w:rPr>
          <w:rFonts w:ascii="Palatino Linotype" w:hAnsi="Palatino Linotype" w:cs="Arial"/>
        </w:rPr>
      </w:pPr>
      <w:r>
        <w:rPr>
          <w:rFonts w:ascii="Palatino Linotype" w:hAnsi="Palatino Linotype" w:cs="Arial"/>
          <w:b/>
        </w:rPr>
        <w:t>TERCERO</w:t>
      </w:r>
      <w:r w:rsidRPr="00BE096B">
        <w:rPr>
          <w:rFonts w:ascii="Palatino Linotype" w:hAnsi="Palatino Linotype" w:cs="Arial"/>
          <w:b/>
        </w:rPr>
        <w:t>.</w:t>
      </w:r>
      <w:r w:rsidRPr="00BE096B">
        <w:rPr>
          <w:rFonts w:ascii="Palatino Linotype" w:hAnsi="Palatino Linotype" w:cs="Arial"/>
        </w:rPr>
        <w:t xml:space="preserve"> </w:t>
      </w:r>
      <w:r w:rsidRPr="00BE096B">
        <w:rPr>
          <w:rFonts w:ascii="Palatino Linotype" w:hAnsi="Palatino Linotype" w:cs="Arial"/>
          <w:b/>
        </w:rPr>
        <w:t>Interposición del recurso de revisión</w:t>
      </w:r>
      <w:r w:rsidRPr="00BE096B">
        <w:rPr>
          <w:rFonts w:ascii="Palatino Linotype" w:hAnsi="Palatino Linotype" w:cs="Arial"/>
        </w:rPr>
        <w:t xml:space="preserve">. Con </w:t>
      </w:r>
      <w:r>
        <w:rPr>
          <w:rFonts w:ascii="Palatino Linotype" w:hAnsi="Palatino Linotype" w:cs="Arial"/>
        </w:rPr>
        <w:t xml:space="preserve">fecha </w:t>
      </w:r>
      <w:r w:rsidR="008716B1">
        <w:rPr>
          <w:rFonts w:ascii="Palatino Linotype" w:hAnsi="Palatino Linotype" w:cs="Arial"/>
        </w:rPr>
        <w:t>veinti</w:t>
      </w:r>
      <w:r>
        <w:rPr>
          <w:rFonts w:ascii="Palatino Linotype" w:hAnsi="Palatino Linotype" w:cs="Arial"/>
        </w:rPr>
        <w:t>uno de junio</w:t>
      </w:r>
      <w:r w:rsidRPr="00BE096B">
        <w:rPr>
          <w:rFonts w:ascii="Palatino Linotype" w:hAnsi="Palatino Linotype" w:cs="Arial"/>
        </w:rPr>
        <w:t xml:space="preserve"> de d</w:t>
      </w:r>
      <w:r w:rsidR="008716B1">
        <w:rPr>
          <w:rFonts w:ascii="Palatino Linotype" w:hAnsi="Palatino Linotype" w:cs="Arial"/>
        </w:rPr>
        <w:t>os mil dieciocho, el</w:t>
      </w:r>
      <w:r w:rsidRPr="00BE096B">
        <w:rPr>
          <w:rFonts w:ascii="Palatino Linotype" w:hAnsi="Palatino Linotype" w:cs="Arial"/>
        </w:rPr>
        <w:t xml:space="preserve"> solicitante ante la respuesta emitida por parte del </w:t>
      </w:r>
      <w:r w:rsidRPr="00BE096B">
        <w:rPr>
          <w:rFonts w:ascii="Palatino Linotype" w:hAnsi="Palatino Linotype" w:cs="Arial"/>
          <w:b/>
        </w:rPr>
        <w:t>Sujeto Obligado</w:t>
      </w:r>
      <w:r w:rsidRPr="00BE096B">
        <w:rPr>
          <w:rFonts w:ascii="Palatino Linotype" w:hAnsi="Palatino Linotype" w:cs="Arial"/>
        </w:rPr>
        <w:t xml:space="preserve">, interpuso el recurso de revisión mediante el </w:t>
      </w:r>
      <w:r w:rsidRPr="00BE096B">
        <w:rPr>
          <w:rFonts w:ascii="Palatino Linotype" w:hAnsi="Palatino Linotype" w:cs="Arial"/>
          <w:b/>
        </w:rPr>
        <w:t>SAIMEX</w:t>
      </w:r>
      <w:r w:rsidRPr="00BE096B">
        <w:rPr>
          <w:rFonts w:ascii="Palatino Linotype" w:hAnsi="Palatino Linotype" w:cs="Arial"/>
        </w:rPr>
        <w:t>, en donde se manifestó de la siguiente manera:</w:t>
      </w:r>
    </w:p>
    <w:p w:rsidR="00B3387B" w:rsidRDefault="00B3387B" w:rsidP="00B3387B">
      <w:pPr>
        <w:spacing w:before="100" w:beforeAutospacing="1" w:after="100" w:afterAutospacing="1" w:line="360" w:lineRule="auto"/>
        <w:jc w:val="both"/>
        <w:rPr>
          <w:rFonts w:ascii="Palatino Linotype" w:hAnsi="Palatino Linotype" w:cs="Arial"/>
          <w:b/>
        </w:rPr>
      </w:pPr>
      <w:r>
        <w:rPr>
          <w:rFonts w:ascii="Palatino Linotype" w:hAnsi="Palatino Linotype" w:cs="Arial"/>
          <w:b/>
        </w:rPr>
        <w:t>a) Acto impugnado</w:t>
      </w:r>
    </w:p>
    <w:p w:rsidR="00B3387B" w:rsidRDefault="00B3387B" w:rsidP="00B3387B">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8716B1" w:rsidRPr="008716B1">
        <w:rPr>
          <w:rFonts w:ascii="Palatino Linotype" w:hAnsi="Palatino Linotype" w:cs="Arial"/>
          <w:i/>
          <w:sz w:val="22"/>
        </w:rPr>
        <w:t>Artículo 179, fracción III. La declaración de inexistencia de la información.</w:t>
      </w:r>
      <w:r>
        <w:rPr>
          <w:rFonts w:ascii="Palatino Linotype" w:hAnsi="Palatino Linotype" w:cs="Arial"/>
          <w:i/>
          <w:sz w:val="22"/>
        </w:rPr>
        <w:t>” (Sic.)</w:t>
      </w:r>
    </w:p>
    <w:p w:rsidR="00B3387B" w:rsidRDefault="00B3387B" w:rsidP="00B3387B">
      <w:pPr>
        <w:spacing w:before="100" w:beforeAutospacing="1" w:after="100" w:afterAutospacing="1" w:line="360" w:lineRule="auto"/>
        <w:jc w:val="both"/>
        <w:rPr>
          <w:rFonts w:ascii="Palatino Linotype" w:hAnsi="Palatino Linotype" w:cs="Arial"/>
          <w:b/>
        </w:rPr>
      </w:pPr>
      <w:r>
        <w:rPr>
          <w:rFonts w:ascii="Palatino Linotype" w:hAnsi="Palatino Linotype" w:cs="Arial"/>
          <w:b/>
        </w:rPr>
        <w:t>b) Razones o motivos de la inconformidad</w:t>
      </w:r>
    </w:p>
    <w:p w:rsidR="00B3387B" w:rsidRDefault="00B3387B" w:rsidP="00B3387B">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lastRenderedPageBreak/>
        <w:t>“</w:t>
      </w:r>
      <w:r w:rsidR="008716B1" w:rsidRPr="008716B1">
        <w:rPr>
          <w:rFonts w:ascii="Palatino Linotype" w:hAnsi="Palatino Linotype" w:cs="Arial"/>
          <w:i/>
          <w:sz w:val="22"/>
        </w:rPr>
        <w:t>En el Oficio No. DAyF/193/2018 se argumenta, "una vez revisada la información en el sistema correspondiente, no se encontró personal con el nombre de "Karen Belli" , motivo por el cual no se puede entregar información al respecto" (sic.). Presento la nómina correspondiente a la segunda quincena de abril del 2018, en donde en la página 15 de 20 en el lugar penúltimo de esa hoja, aparece la C. Belli Pedraza Ana Karen. Si bien en la solicitud yo solo me refería a "Karen Belli" adscrita a la 3ra Regiduría es por que solo se me presento de esa manera y en esa área. No olvidemos que el sujeto obligado tiene la posibilidad de solicitar una aclaración en cuanto a la información, en ningún momento hizo uso de ello, negando de esta manera poder tener acceso a la información requerida por mi parte. Este sentido, vuelvo a solicitar enérgicamente el curriculum vitae de esta persona, C. Ana Karen Belli Pedraza para conocer su perfil y los recibos de nomina expresados con anterioridad.</w:t>
      </w:r>
      <w:r>
        <w:rPr>
          <w:rFonts w:ascii="Palatino Linotype" w:hAnsi="Palatino Linotype" w:cs="Arial"/>
          <w:i/>
          <w:sz w:val="22"/>
        </w:rPr>
        <w:t>” (Sic.)</w:t>
      </w:r>
    </w:p>
    <w:p w:rsidR="00F35897" w:rsidRPr="00F35897" w:rsidRDefault="00F35897" w:rsidP="00B3387B">
      <w:pPr>
        <w:spacing w:before="240" w:after="240" w:line="360" w:lineRule="auto"/>
        <w:jc w:val="both"/>
        <w:rPr>
          <w:rFonts w:ascii="Palatino Linotype" w:eastAsiaTheme="minorHAnsi" w:hAnsi="Palatino Linotype" w:cs="Arial"/>
          <w:szCs w:val="22"/>
          <w:lang w:val="es-MX" w:eastAsia="en-US"/>
        </w:rPr>
      </w:pPr>
      <w:r w:rsidRPr="00F35897">
        <w:rPr>
          <w:rFonts w:ascii="Palatino Linotype" w:eastAsiaTheme="minorHAnsi" w:hAnsi="Palatino Linotype" w:cs="Arial"/>
          <w:szCs w:val="22"/>
          <w:lang w:val="es-MX" w:eastAsia="en-US"/>
        </w:rPr>
        <w:t xml:space="preserve">Al formato de interposición del recurso de revisión el ahora recurrente, adjuntó el archivo </w:t>
      </w:r>
      <w:r w:rsidRPr="00F35897">
        <w:rPr>
          <w:rFonts w:ascii="Palatino Linotype" w:eastAsiaTheme="minorHAnsi" w:hAnsi="Palatino Linotype" w:cs="Arial"/>
          <w:i/>
          <w:szCs w:val="22"/>
          <w:lang w:val="es-MX" w:eastAsia="en-US"/>
        </w:rPr>
        <w:t>“2DA QUINCENA ABRIL2018.pdf”</w:t>
      </w:r>
      <w:r w:rsidRPr="00F35897">
        <w:rPr>
          <w:rFonts w:ascii="Palatino Linotype" w:eastAsiaTheme="minorHAnsi" w:hAnsi="Palatino Linotype" w:cs="Arial"/>
          <w:szCs w:val="22"/>
          <w:lang w:val="es-MX" w:eastAsia="en-US"/>
        </w:rPr>
        <w:t>, el cual contiene el formato que el Sujeto Obligado remite al OSFEM, relativo a la segunda quincena de abril de 2018</w:t>
      </w:r>
      <w:r>
        <w:rPr>
          <w:rFonts w:ascii="Palatino Linotype" w:eastAsiaTheme="minorHAnsi" w:hAnsi="Palatino Linotype" w:cs="Arial"/>
          <w:szCs w:val="22"/>
          <w:lang w:val="es-MX" w:eastAsia="en-US"/>
        </w:rPr>
        <w:t>.</w:t>
      </w:r>
    </w:p>
    <w:p w:rsidR="00B3387B" w:rsidRDefault="00B3387B" w:rsidP="00B3387B">
      <w:pPr>
        <w:spacing w:before="240" w:after="240"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CUARTO.</w:t>
      </w:r>
      <w:r>
        <w:rPr>
          <w:rFonts w:ascii="Palatino Linotype" w:eastAsiaTheme="minorHAnsi" w:hAnsi="Palatino Linotype" w:cs="Arial"/>
          <w:szCs w:val="22"/>
          <w:lang w:val="es-MX" w:eastAsia="en-US"/>
        </w:rPr>
        <w:t xml:space="preserve"> </w:t>
      </w:r>
      <w:r>
        <w:rPr>
          <w:rFonts w:ascii="Palatino Linotype" w:eastAsiaTheme="minorHAnsi" w:hAnsi="Palatino Linotype" w:cs="Arial"/>
          <w:b/>
          <w:szCs w:val="22"/>
          <w:lang w:val="es-MX" w:eastAsia="en-US"/>
        </w:rPr>
        <w:t>Turno</w:t>
      </w:r>
      <w:r>
        <w:rPr>
          <w:rFonts w:ascii="Palatino Linotype" w:eastAsiaTheme="minorHAnsi" w:hAnsi="Palatino Linotype" w:cs="Arial"/>
          <w:szCs w:val="22"/>
          <w:lang w:val="es-MX" w:eastAsia="en-US"/>
        </w:rPr>
        <w:t xml:space="preserve">. Con fundamento en lo dispuesto, en el artículo 185 fracción I, de la Ley de Transparencia y Acceso a la Información Pública del Estado de México y Municipios, el recurso de revisión con número </w:t>
      </w:r>
      <w:r w:rsidR="00F35897">
        <w:rPr>
          <w:rFonts w:ascii="Palatino Linotype" w:eastAsiaTheme="minorHAnsi" w:hAnsi="Palatino Linotype" w:cs="Arial"/>
          <w:b/>
          <w:szCs w:val="22"/>
          <w:lang w:val="es-MX" w:eastAsia="en-US"/>
        </w:rPr>
        <w:t>0235</w:t>
      </w:r>
      <w:r>
        <w:rPr>
          <w:rFonts w:ascii="Palatino Linotype" w:eastAsiaTheme="minorHAnsi" w:hAnsi="Palatino Linotype" w:cs="Arial"/>
          <w:b/>
          <w:szCs w:val="22"/>
          <w:lang w:val="es-MX" w:eastAsia="en-US"/>
        </w:rPr>
        <w:t>9/INFOEM/IP/RR/2018</w:t>
      </w:r>
      <w:r>
        <w:rPr>
          <w:rFonts w:ascii="Palatino Linotype" w:eastAsiaTheme="minorHAnsi" w:hAnsi="Palatino Linotype" w:cs="Arial"/>
          <w:szCs w:val="22"/>
          <w:lang w:val="es-MX" w:eastAsia="en-US"/>
        </w:rPr>
        <w:t>,</w:t>
      </w:r>
      <w:r>
        <w:rPr>
          <w:rFonts w:ascii="Palatino Linotype" w:eastAsiaTheme="minorHAnsi" w:hAnsi="Palatino Linotype" w:cs="Arial"/>
          <w:b/>
          <w:szCs w:val="22"/>
          <w:lang w:val="es-MX" w:eastAsia="en-US"/>
        </w:rPr>
        <w:t xml:space="preserve"> </w:t>
      </w:r>
      <w:r>
        <w:rPr>
          <w:rFonts w:ascii="Palatino Linotype" w:eastAsiaTheme="minorHAnsi" w:hAnsi="Palatino Linotype" w:cs="Arial"/>
          <w:bCs/>
          <w:szCs w:val="22"/>
          <w:lang w:val="es-MX" w:eastAsia="en-US"/>
        </w:rPr>
        <w:t>fue</w:t>
      </w:r>
      <w:r>
        <w:rPr>
          <w:rFonts w:ascii="Palatino Linotype" w:eastAsiaTheme="minorHAnsi" w:hAnsi="Palatino Linotype" w:cs="Arial"/>
          <w:b/>
          <w:bCs/>
          <w:szCs w:val="22"/>
          <w:lang w:val="es-MX" w:eastAsia="en-US"/>
        </w:rPr>
        <w:t xml:space="preserve"> </w:t>
      </w:r>
      <w:r>
        <w:rPr>
          <w:rFonts w:ascii="Palatino Linotype" w:eastAsiaTheme="minorHAnsi" w:hAnsi="Palatino Linotype" w:cs="Arial"/>
          <w:szCs w:val="22"/>
          <w:lang w:val="es-MX" w:eastAsia="en-US"/>
        </w:rPr>
        <w:t>turnado al Comisionado Ponente, para su revisión y análisis sobre la admisión o desechamiento del mismo.</w:t>
      </w:r>
    </w:p>
    <w:p w:rsidR="00B3387B" w:rsidRDefault="00B3387B" w:rsidP="00B3387B">
      <w:p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 xml:space="preserve">QUINTO. Admisión. </w:t>
      </w:r>
      <w:r>
        <w:rPr>
          <w:rFonts w:ascii="Palatino Linotype" w:hAnsi="Palatino Linotype" w:cs="Arial"/>
        </w:rPr>
        <w:t xml:space="preserve">Con fecha </w:t>
      </w:r>
      <w:r w:rsidR="00F35897">
        <w:rPr>
          <w:rFonts w:ascii="Palatino Linotype" w:hAnsi="Palatino Linotype" w:cs="Arial"/>
        </w:rPr>
        <w:t>veinti</w:t>
      </w:r>
      <w:r>
        <w:rPr>
          <w:rFonts w:ascii="Palatino Linotype" w:hAnsi="Palatino Linotype" w:cs="Arial"/>
        </w:rPr>
        <w:t xml:space="preserve">siete de junio de dos mil dieciocho, éste Órgano Garante denominado, Instituto de Transparencia, Acceso a la Información Pública y Protección de Datos Personales del Estado de México y Municipios, tuvo a bien admitir a trámite el recurso de revisión que se resuelve, dando un plazo de siete días hábiles para que las partes manifestaran lo que a su derecho conviniera, ofrecieran pruebas, formularan alegatos y el </w:t>
      </w:r>
      <w:r>
        <w:rPr>
          <w:rFonts w:ascii="Palatino Linotype" w:hAnsi="Palatino Linotype" w:cs="Arial"/>
          <w:b/>
        </w:rPr>
        <w:t xml:space="preserve">Sujeto Obligado </w:t>
      </w:r>
      <w:r>
        <w:rPr>
          <w:rFonts w:ascii="Palatino Linotype" w:hAnsi="Palatino Linotype" w:cs="Arial"/>
        </w:rPr>
        <w:t>presentara su informe justificado.</w:t>
      </w:r>
    </w:p>
    <w:p w:rsidR="00B3387B" w:rsidRDefault="00B3387B" w:rsidP="00B97BCE">
      <w:pPr>
        <w:spacing w:before="100" w:beforeAutospacing="1" w:after="100" w:afterAutospacing="1" w:line="360" w:lineRule="auto"/>
        <w:jc w:val="both"/>
        <w:rPr>
          <w:rFonts w:ascii="Palatino Linotype" w:hAnsi="Palatino Linotype" w:cs="Arial"/>
        </w:rPr>
      </w:pPr>
      <w:r w:rsidRPr="00183BFA">
        <w:rPr>
          <w:rFonts w:ascii="Palatino Linotype" w:hAnsi="Palatino Linotype" w:cs="Arial"/>
          <w:b/>
        </w:rPr>
        <w:lastRenderedPageBreak/>
        <w:t>SEXTO. Manifestaciones.</w:t>
      </w:r>
      <w:r w:rsidRPr="00183BFA">
        <w:rPr>
          <w:rFonts w:ascii="Palatino Linotype" w:hAnsi="Palatino Linotype" w:cs="Arial"/>
        </w:rPr>
        <w:t xml:space="preserve"> Con fecha </w:t>
      </w:r>
      <w:r w:rsidR="00B97BCE">
        <w:rPr>
          <w:rFonts w:ascii="Palatino Linotype" w:hAnsi="Palatino Linotype" w:cs="Arial"/>
        </w:rPr>
        <w:t>veintiocho</w:t>
      </w:r>
      <w:r w:rsidR="00101AE8">
        <w:rPr>
          <w:rFonts w:ascii="Palatino Linotype" w:hAnsi="Palatino Linotype" w:cs="Arial"/>
        </w:rPr>
        <w:t xml:space="preserve"> </w:t>
      </w:r>
      <w:r w:rsidRPr="00183BFA">
        <w:rPr>
          <w:rFonts w:ascii="Palatino Linotype" w:hAnsi="Palatino Linotype" w:cs="Arial"/>
        </w:rPr>
        <w:t>de junio</w:t>
      </w:r>
      <w:r w:rsidR="00101AE8">
        <w:rPr>
          <w:rFonts w:ascii="Palatino Linotype" w:hAnsi="Palatino Linotype" w:cs="Arial"/>
        </w:rPr>
        <w:t xml:space="preserve"> y dos de julio</w:t>
      </w:r>
      <w:r w:rsidRPr="00183BFA">
        <w:rPr>
          <w:rFonts w:ascii="Palatino Linotype" w:hAnsi="Palatino Linotype" w:cs="Arial"/>
        </w:rPr>
        <w:t xml:space="preserve"> de dos mil dieciocho</w:t>
      </w:r>
      <w:r w:rsidR="00101AE8">
        <w:rPr>
          <w:rFonts w:ascii="Palatino Linotype" w:hAnsi="Palatino Linotype" w:cs="Arial"/>
        </w:rPr>
        <w:t>, respectivamente,</w:t>
      </w:r>
      <w:r w:rsidRPr="00183BFA">
        <w:rPr>
          <w:rFonts w:ascii="Palatino Linotype" w:hAnsi="Palatino Linotype" w:cs="Arial"/>
        </w:rPr>
        <w:t xml:space="preserve"> de los documentos que obran en el expediente electrónico, se advierte que el Sujeto Obligado remitió los archivos “</w:t>
      </w:r>
      <w:r w:rsidR="00B97BCE">
        <w:rPr>
          <w:rFonts w:ascii="Palatino Linotype" w:hAnsi="Palatino Linotype" w:cs="Arial"/>
          <w:i/>
        </w:rPr>
        <w:t xml:space="preserve">JRH-ED-134-18.pdf” </w:t>
      </w:r>
      <w:r w:rsidR="00B97BCE" w:rsidRPr="00B97BCE">
        <w:rPr>
          <w:rFonts w:ascii="Palatino Linotype" w:hAnsi="Palatino Linotype" w:cs="Arial"/>
        </w:rPr>
        <w:t>y</w:t>
      </w:r>
      <w:r w:rsidR="00B97BCE">
        <w:rPr>
          <w:rFonts w:ascii="Palatino Linotype" w:hAnsi="Palatino Linotype" w:cs="Arial"/>
          <w:i/>
        </w:rPr>
        <w:t xml:space="preserve"> “</w:t>
      </w:r>
      <w:r w:rsidR="00B97BCE" w:rsidRPr="00B97BCE">
        <w:rPr>
          <w:rFonts w:ascii="Palatino Linotype" w:hAnsi="Palatino Linotype" w:cs="Arial"/>
          <w:i/>
        </w:rPr>
        <w:t>DAyF-236-2018.pdf</w:t>
      </w:r>
      <w:r w:rsidRPr="00183BFA">
        <w:rPr>
          <w:rFonts w:ascii="Palatino Linotype" w:hAnsi="Palatino Linotype" w:cs="Arial"/>
          <w:i/>
        </w:rPr>
        <w:t xml:space="preserve">”, </w:t>
      </w:r>
      <w:r w:rsidRPr="00183BFA">
        <w:rPr>
          <w:rFonts w:ascii="Palatino Linotype" w:hAnsi="Palatino Linotype" w:cs="Arial"/>
        </w:rPr>
        <w:t>los cuales contienen lo siguiente:</w:t>
      </w:r>
    </w:p>
    <w:p w:rsidR="00B3387B" w:rsidRPr="00E70B93" w:rsidRDefault="00B97BCE" w:rsidP="00B3387B">
      <w:pPr>
        <w:pStyle w:val="Prrafodelista"/>
        <w:numPr>
          <w:ilvl w:val="0"/>
          <w:numId w:val="1"/>
        </w:num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El archivo </w:t>
      </w:r>
      <w:r w:rsidRPr="00B97BCE">
        <w:rPr>
          <w:rFonts w:ascii="Palatino Linotype" w:hAnsi="Palatino Linotype" w:cs="Arial"/>
        </w:rPr>
        <w:t>“</w:t>
      </w:r>
      <w:r w:rsidRPr="00B97BCE">
        <w:rPr>
          <w:rFonts w:ascii="Palatino Linotype" w:hAnsi="Palatino Linotype" w:cs="Arial"/>
          <w:i/>
        </w:rPr>
        <w:t>JRH-ED-134-18.pdf”</w:t>
      </w:r>
      <w:r>
        <w:rPr>
          <w:rFonts w:ascii="Palatino Linotype" w:hAnsi="Palatino Linotype" w:cs="Arial"/>
          <w:i/>
        </w:rPr>
        <w:t xml:space="preserve">, </w:t>
      </w:r>
      <w:r>
        <w:rPr>
          <w:rFonts w:ascii="Palatino Linotype" w:hAnsi="Palatino Linotype" w:cs="Arial"/>
        </w:rPr>
        <w:t>contiene el oficio número JRH-ED/134/2018 de fecha 27 de junio de 2018, que remite el Encargado de Despacho de la Jefatura de Recursos Humanos, en donde menciona que respecto al servidor público se encontró información y se envió, argumenta que en lo que respecta a la C. Karen Belli, no encontró servidor público que coincida con ese nombre, ni con el puesto referido.</w:t>
      </w:r>
    </w:p>
    <w:p w:rsidR="000919E2" w:rsidRDefault="00B3387B" w:rsidP="000919E2">
      <w:pPr>
        <w:pStyle w:val="Prrafodelista"/>
        <w:numPr>
          <w:ilvl w:val="0"/>
          <w:numId w:val="1"/>
        </w:numPr>
        <w:spacing w:before="100" w:beforeAutospacing="1" w:after="100" w:afterAutospacing="1" w:line="360" w:lineRule="auto"/>
        <w:jc w:val="both"/>
        <w:rPr>
          <w:rFonts w:ascii="Palatino Linotype" w:hAnsi="Palatino Linotype" w:cs="Arial"/>
        </w:rPr>
      </w:pPr>
      <w:r w:rsidRPr="000919E2">
        <w:rPr>
          <w:rFonts w:ascii="Palatino Linotype" w:hAnsi="Palatino Linotype" w:cs="Arial"/>
        </w:rPr>
        <w:t xml:space="preserve">El archivo </w:t>
      </w:r>
      <w:r w:rsidR="000919E2" w:rsidRPr="000919E2">
        <w:rPr>
          <w:rFonts w:ascii="Palatino Linotype" w:hAnsi="Palatino Linotype" w:cs="Arial"/>
          <w:i/>
        </w:rPr>
        <w:t>“DAyF-236-2018.pdf”</w:t>
      </w:r>
      <w:r w:rsidRPr="000919E2">
        <w:rPr>
          <w:rFonts w:ascii="Palatino Linotype" w:hAnsi="Palatino Linotype" w:cs="Arial"/>
        </w:rPr>
        <w:t xml:space="preserve">contiene </w:t>
      </w:r>
      <w:r w:rsidR="000919E2">
        <w:rPr>
          <w:rFonts w:ascii="Palatino Linotype" w:hAnsi="Palatino Linotype" w:cs="Arial"/>
        </w:rPr>
        <w:t>el oficio número DAyF/236/</w:t>
      </w:r>
      <w:r w:rsidR="000919E2" w:rsidRPr="000919E2">
        <w:rPr>
          <w:rFonts w:ascii="Palatino Linotype" w:hAnsi="Palatino Linotype" w:cs="Arial"/>
        </w:rPr>
        <w:t>2018</w:t>
      </w:r>
      <w:r w:rsidR="000919E2">
        <w:rPr>
          <w:rFonts w:ascii="Palatino Linotype" w:hAnsi="Palatino Linotype" w:cs="Arial"/>
        </w:rPr>
        <w:t xml:space="preserve"> de fecha 27 de junio de 2018 que remite el Encargado de Despacho de la Dirección de Administración y Finanzas en donde argumenta que respecto al servidor público se envió la información que encontró y respecto a la servidora pública no se encontró registro alguna, por tal motivo no informó lo solicitado por el recurrente en ese aspecto.</w:t>
      </w:r>
    </w:p>
    <w:p w:rsidR="00B3387B" w:rsidRPr="000919E2" w:rsidRDefault="00B3387B" w:rsidP="000919E2">
      <w:pPr>
        <w:spacing w:before="100" w:beforeAutospacing="1" w:after="100" w:afterAutospacing="1" w:line="360" w:lineRule="auto"/>
        <w:jc w:val="both"/>
        <w:rPr>
          <w:rFonts w:ascii="Palatino Linotype" w:hAnsi="Palatino Linotype" w:cs="Arial"/>
        </w:rPr>
      </w:pPr>
      <w:r w:rsidRPr="000919E2">
        <w:rPr>
          <w:rFonts w:ascii="Palatino Linotype" w:hAnsi="Palatino Linotype" w:cs="Arial"/>
        </w:rPr>
        <w:t>Dicho informe justificado se puso a la vista del recurrente en fecha trece de julio de dos mil dieciocho, para que la parte recurrente manifestara lo que a su derecho conviniera, no tenido registro de manifestación alguna por parte de éste.</w:t>
      </w:r>
    </w:p>
    <w:p w:rsidR="000919E2" w:rsidRDefault="000919E2" w:rsidP="000919E2">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b/>
          <w:szCs w:val="22"/>
          <w:lang w:val="es-MX" w:eastAsia="en-US"/>
        </w:rPr>
        <w:t>OCTAVO</w:t>
      </w:r>
      <w:r w:rsidRPr="00BB7E15">
        <w:rPr>
          <w:rFonts w:ascii="Palatino Linotype" w:eastAsiaTheme="minorHAnsi" w:hAnsi="Palatino Linotype" w:cs="Arial"/>
          <w:b/>
          <w:szCs w:val="22"/>
          <w:lang w:val="es-MX" w:eastAsia="en-US"/>
        </w:rPr>
        <w:t>. Cierre de instrucción.</w:t>
      </w:r>
      <w:r w:rsidRPr="00BB7E15">
        <w:rPr>
          <w:rFonts w:ascii="Palatino Linotype" w:eastAsiaTheme="minorHAnsi" w:hAnsi="Palatino Linotype" w:cs="Arial"/>
          <w:szCs w:val="22"/>
          <w:lang w:val="es-MX" w:eastAsia="en-US"/>
        </w:rPr>
        <w:t xml:space="preserve"> Con fecha </w:t>
      </w:r>
      <w:r w:rsidR="00101AE8">
        <w:rPr>
          <w:rFonts w:ascii="Palatino Linotype" w:eastAsiaTheme="minorHAnsi" w:hAnsi="Palatino Linotype" w:cs="Arial"/>
          <w:szCs w:val="22"/>
          <w:lang w:val="es-MX" w:eastAsia="en-US"/>
        </w:rPr>
        <w:t>trece</w:t>
      </w:r>
      <w:r>
        <w:rPr>
          <w:rFonts w:ascii="Palatino Linotype" w:eastAsiaTheme="minorHAnsi" w:hAnsi="Palatino Linotype" w:cs="Arial"/>
          <w:szCs w:val="22"/>
          <w:lang w:val="es-MX" w:eastAsia="en-US"/>
        </w:rPr>
        <w:t xml:space="preserve"> de agosto</w:t>
      </w:r>
      <w:r w:rsidRPr="00BB7E15">
        <w:rPr>
          <w:rFonts w:ascii="Palatino Linotype" w:eastAsiaTheme="minorHAnsi" w:hAnsi="Palatino Linotype" w:cs="Arial"/>
          <w:szCs w:val="22"/>
          <w:lang w:val="es-MX" w:eastAsia="en-US"/>
        </w:rPr>
        <w:t xml:space="preserve"> de dos mil dieciocho, el Comisionado ponente determinó el cierre de instrucción en términos de la fracción VI del artículo 185 de la Ley de Transparencia y Acceso a la Información Pública del Estado de México y Municipios.</w:t>
      </w:r>
    </w:p>
    <w:p w:rsidR="00B3387B" w:rsidRPr="003F1FFE" w:rsidRDefault="000919E2" w:rsidP="00B3387B">
      <w:pPr>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eastAsia="Times New Roman" w:hAnsi="Palatino Linotype" w:cs="Arial"/>
          <w:b/>
          <w:color w:val="222222"/>
          <w:lang w:val="es-MX" w:eastAsia="es-MX"/>
        </w:rPr>
        <w:lastRenderedPageBreak/>
        <w:t>NOVENO</w:t>
      </w:r>
      <w:r w:rsidR="00B3387B" w:rsidRPr="00765D7F">
        <w:rPr>
          <w:rFonts w:ascii="Palatino Linotype" w:eastAsia="Times New Roman" w:hAnsi="Palatino Linotype" w:cs="Arial"/>
          <w:b/>
          <w:color w:val="222222"/>
          <w:lang w:val="es-MX" w:eastAsia="es-MX"/>
        </w:rPr>
        <w:t>.</w:t>
      </w:r>
      <w:r w:rsidR="00B3387B" w:rsidRPr="00765D7F">
        <w:rPr>
          <w:rFonts w:ascii="Palatino Linotype" w:eastAsia="Times New Roman" w:hAnsi="Palatino Linotype" w:cs="Arial"/>
          <w:color w:val="222222"/>
          <w:lang w:val="es-MX" w:eastAsia="es-MX"/>
        </w:rPr>
        <w:t xml:space="preserve"> </w:t>
      </w:r>
      <w:r w:rsidR="00B3387B" w:rsidRPr="00765D7F">
        <w:rPr>
          <w:rFonts w:ascii="Palatino Linotype" w:eastAsia="Times New Roman" w:hAnsi="Palatino Linotype" w:cs="Arial"/>
          <w:b/>
          <w:color w:val="222222"/>
          <w:lang w:val="es-MX" w:eastAsia="es-MX"/>
        </w:rPr>
        <w:t>Ampliación de plazo</w:t>
      </w:r>
      <w:r w:rsidR="00B3387B" w:rsidRPr="00765D7F">
        <w:rPr>
          <w:rFonts w:ascii="Palatino Linotype" w:eastAsia="Times New Roman" w:hAnsi="Palatino Linotype" w:cs="Arial"/>
          <w:color w:val="222222"/>
          <w:lang w:val="es-MX" w:eastAsia="es-MX"/>
        </w:rPr>
        <w:t xml:space="preserve">. </w:t>
      </w:r>
      <w:r w:rsidR="00B3387B" w:rsidRPr="00765D7F">
        <w:rPr>
          <w:rFonts w:ascii="Palatino Linotype" w:eastAsiaTheme="minorHAnsi" w:hAnsi="Palatino Linotype" w:cs="Arial"/>
          <w:lang w:val="es-MX" w:eastAsia="en-US"/>
        </w:rPr>
        <w:t xml:space="preserve">En fecha </w:t>
      </w:r>
      <w:r w:rsidR="0090427A">
        <w:rPr>
          <w:rFonts w:ascii="Palatino Linotype" w:eastAsiaTheme="minorHAnsi" w:hAnsi="Palatino Linotype" w:cs="Arial"/>
          <w:szCs w:val="22"/>
          <w:lang w:val="es-MX" w:eastAsia="en-US"/>
        </w:rPr>
        <w:t>veintidós</w:t>
      </w:r>
      <w:r w:rsidR="00B3387B" w:rsidRPr="00765D7F">
        <w:rPr>
          <w:rFonts w:ascii="Palatino Linotype" w:eastAsiaTheme="minorHAnsi" w:hAnsi="Palatino Linotype" w:cs="Arial"/>
          <w:szCs w:val="22"/>
          <w:lang w:val="es-MX" w:eastAsia="en-US"/>
        </w:rPr>
        <w:t xml:space="preserve"> de agosto de dos mil dieciocho</w:t>
      </w:r>
      <w:r w:rsidR="00B3387B" w:rsidRPr="00765D7F">
        <w:rPr>
          <w:rFonts w:ascii="Palatino Linotype" w:eastAsiaTheme="minorHAnsi" w:hAnsi="Palatino Linotype" w:cs="Arial"/>
          <w:lang w:val="es-MX" w:eastAsia="en-US"/>
        </w:rPr>
        <w:t>, se notificó a la parte recurrente que el plazo de treinta días hábiles para emitir la resolución del presente recurso de revisión, se había ampliado por un periodo de quince días hábiles a fin de realizar un mejor estudio del asunto.</w:t>
      </w:r>
    </w:p>
    <w:p w:rsidR="0090427A" w:rsidRDefault="0090427A" w:rsidP="0090427A">
      <w:pPr>
        <w:spacing w:before="100" w:beforeAutospacing="1" w:after="100" w:afterAutospacing="1" w:line="360" w:lineRule="auto"/>
        <w:jc w:val="center"/>
        <w:rPr>
          <w:rFonts w:ascii="Palatino Linotype" w:hAnsi="Palatino Linotype" w:cs="Arial"/>
          <w:b/>
          <w:sz w:val="28"/>
        </w:rPr>
      </w:pPr>
      <w:r>
        <w:rPr>
          <w:rFonts w:ascii="Palatino Linotype" w:hAnsi="Palatino Linotype" w:cs="Arial"/>
          <w:b/>
          <w:sz w:val="28"/>
        </w:rPr>
        <w:t xml:space="preserve">II. </w:t>
      </w:r>
      <w:r>
        <w:rPr>
          <w:rFonts w:ascii="Palatino Linotype" w:hAnsi="Palatino Linotype" w:cs="Arial"/>
          <w:b/>
          <w:sz w:val="28"/>
        </w:rPr>
        <w:tab/>
        <w:t>C O N S I D E R A N D O:</w:t>
      </w:r>
    </w:p>
    <w:p w:rsidR="0090427A" w:rsidRDefault="0090427A" w:rsidP="0090427A">
      <w:pPr>
        <w:spacing w:before="100" w:beforeAutospacing="1" w:after="100" w:afterAutospacing="1" w:line="360" w:lineRule="auto"/>
        <w:jc w:val="both"/>
        <w:rPr>
          <w:rFonts w:ascii="Palatino Linotype" w:hAnsi="Palatino Linotype" w:cs="Arial"/>
        </w:rPr>
      </w:pPr>
      <w:r>
        <w:rPr>
          <w:rFonts w:ascii="Palatino Linotype" w:hAnsi="Palatino Linotype" w:cs="Arial"/>
          <w:b/>
        </w:rPr>
        <w:t>PRIMERO. Competencia.</w:t>
      </w:r>
      <w:r>
        <w:rPr>
          <w:rFonts w:ascii="Palatino Linotype" w:hAnsi="Palatino Linotype" w:cs="Arial"/>
        </w:rPr>
        <w:t xml:space="preserve"> Este Órgano Garante, el Instituto de Transparencia, Acceso a la Información Pública y Protección de Datos Personales del Estado de México y Municipios, es competente para conocer y resolver el presente recurso de revisión interpuesto por el recurrente, conforme a lo establecido en los artículos 6, apartado A de la Constitución Política de los Estados Unidos Mexicanos; 5, párrafos vigésimo, vigésimo primero y vigésimo segundo, fracciones IV, V, VI, VII, VIII y IX,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0427A" w:rsidRDefault="0090427A" w:rsidP="0090427A">
      <w:pPr>
        <w:spacing w:before="100" w:beforeAutospacing="1" w:after="100" w:afterAutospacing="1" w:line="360" w:lineRule="auto"/>
        <w:jc w:val="both"/>
        <w:rPr>
          <w:rFonts w:ascii="Palatino Linotype" w:hAnsi="Palatino Linotype" w:cs="Arial"/>
        </w:rPr>
      </w:pPr>
      <w:r w:rsidRPr="00F21F1B">
        <w:rPr>
          <w:rFonts w:ascii="Palatino Linotype" w:hAnsi="Palatino Linotype" w:cs="Arial"/>
          <w:b/>
        </w:rPr>
        <w:t>SEGUNDO. Oportunidad y Pocedibilidad del Recurso de Revisión.</w:t>
      </w:r>
      <w:r w:rsidRPr="00F21F1B">
        <w:rPr>
          <w:rFonts w:ascii="Palatino Linotype" w:hAnsi="Palatino Linotype" w:cs="Arial"/>
        </w:rPr>
        <w:t xml:space="preserve"> De conformidad con los requisitos y elementos de oportunidad y procedibilidad que deben poseer los recursos de revisión interpuestos, advertidos en los artículos 178 y 180 de la Ley de Transparencia y Acceso a la Información Pública del Estado de México y Municipios; en la sustancia del asunto se tiene que el medio de </w:t>
      </w:r>
      <w:r w:rsidRPr="00F21F1B">
        <w:rPr>
          <w:rFonts w:ascii="Palatino Linotype" w:hAnsi="Palatino Linotype" w:cs="Arial"/>
        </w:rPr>
        <w:lastRenderedPageBreak/>
        <w:t xml:space="preserve">impugnación fue interpuesto dentro del plazo de quince días hábiles, previsto en el artículo 178 párrafo primero, del ordenamiento ya mencionado, toda vez que el </w:t>
      </w:r>
      <w:r w:rsidRPr="00F21F1B">
        <w:rPr>
          <w:rFonts w:ascii="Palatino Linotype" w:hAnsi="Palatino Linotype" w:cs="Arial"/>
          <w:b/>
        </w:rPr>
        <w:t>Sujeto Obligado</w:t>
      </w:r>
      <w:r w:rsidRPr="00F21F1B">
        <w:rPr>
          <w:rFonts w:ascii="Palatino Linotype" w:hAnsi="Palatino Linotype" w:cs="Arial"/>
        </w:rPr>
        <w:t xml:space="preserve"> expresó su respuesta a la solicitud planteada por la parte solicitante, en fecha treinta</w:t>
      </w:r>
      <w:r>
        <w:rPr>
          <w:rFonts w:ascii="Palatino Linotype" w:hAnsi="Palatino Linotype" w:cs="Arial"/>
        </w:rPr>
        <w:t xml:space="preserve"> y uno de mayo</w:t>
      </w:r>
      <w:r w:rsidRPr="00F21F1B">
        <w:rPr>
          <w:rFonts w:ascii="Palatino Linotype" w:hAnsi="Palatino Linotype" w:cs="Arial"/>
        </w:rPr>
        <w:t xml:space="preserve"> de dos mil dieciocho y la parte recurrente presentó recurso de revisión en fecha </w:t>
      </w:r>
      <w:r w:rsidR="0028156A">
        <w:rPr>
          <w:rFonts w:ascii="Palatino Linotype" w:hAnsi="Palatino Linotype" w:cs="Arial"/>
        </w:rPr>
        <w:t>veinti</w:t>
      </w:r>
      <w:r>
        <w:rPr>
          <w:rFonts w:ascii="Palatino Linotype" w:hAnsi="Palatino Linotype" w:cs="Arial"/>
        </w:rPr>
        <w:t>uno de junio</w:t>
      </w:r>
      <w:r w:rsidRPr="00F21F1B">
        <w:rPr>
          <w:rFonts w:ascii="Palatino Linotype" w:hAnsi="Palatino Linotype" w:cs="Arial"/>
        </w:rPr>
        <w:t xml:space="preserve"> </w:t>
      </w:r>
      <w:r w:rsidR="0028156A">
        <w:rPr>
          <w:rFonts w:ascii="Palatino Linotype" w:hAnsi="Palatino Linotype" w:cs="Arial"/>
        </w:rPr>
        <w:t>del presente, siendo éste al décimo quinto</w:t>
      </w:r>
      <w:r w:rsidRPr="00F21F1B">
        <w:rPr>
          <w:rFonts w:ascii="Palatino Linotype" w:hAnsi="Palatino Linotype" w:cs="Arial"/>
        </w:rPr>
        <w:t xml:space="preserve"> hábil siguiente a que tuvo conocimiento de la respuesta.</w:t>
      </w:r>
    </w:p>
    <w:p w:rsidR="0090427A" w:rsidRDefault="0090427A" w:rsidP="0090427A">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Por cuanto hace referencia a la procedibilidad del recurso de revisión, hecho el análisis del formato de interposición del recurso, viendo los requisitos de fondo y forma, se colige la acreditación plena de todos y cada uno de los elementos exigidos por el artículo 180 de la Ley de Transparencia y Acceso a la Información Pública del Estado de México y Municipios, en atención a que fue presentado mediante el formato visible en </w:t>
      </w:r>
      <w:r>
        <w:rPr>
          <w:rFonts w:ascii="Palatino Linotype" w:hAnsi="Palatino Linotype" w:cs="Arial"/>
          <w:bCs/>
          <w:lang w:val="es-MX"/>
        </w:rPr>
        <w:t>el</w:t>
      </w:r>
      <w:r>
        <w:rPr>
          <w:rFonts w:ascii="Palatino Linotype" w:hAnsi="Palatino Linotype" w:cs="Arial"/>
          <w:lang w:val="es-MX"/>
        </w:rPr>
        <w:t> </w:t>
      </w:r>
      <w:r>
        <w:rPr>
          <w:rFonts w:ascii="Palatino Linotype" w:hAnsi="Palatino Linotype" w:cs="Arial"/>
          <w:b/>
          <w:bCs/>
          <w:lang w:val="es-MX"/>
        </w:rPr>
        <w:t>SAIMEX</w:t>
      </w:r>
      <w:r>
        <w:rPr>
          <w:rFonts w:ascii="Palatino Linotype" w:hAnsi="Palatino Linotype" w:cs="Arial"/>
          <w:lang w:val="es-MX"/>
        </w:rPr>
        <w:t>.</w:t>
      </w:r>
    </w:p>
    <w:p w:rsidR="0090427A" w:rsidRDefault="0090427A" w:rsidP="0090427A">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Por tanto, se advierte que resulta procedente la interposición del recurso, según lo aportado por el recurrente en sus motivos de inconformidad, de a</w:t>
      </w:r>
      <w:r w:rsidR="0028156A">
        <w:rPr>
          <w:rFonts w:ascii="Palatino Linotype" w:hAnsi="Palatino Linotype" w:cs="Arial"/>
          <w:lang w:val="es-MX"/>
        </w:rPr>
        <w:t>cuerdo al artículo 179, fracciones I y</w:t>
      </w:r>
      <w:r>
        <w:rPr>
          <w:rFonts w:ascii="Palatino Linotype" w:hAnsi="Palatino Linotype" w:cs="Arial"/>
          <w:lang w:val="es-MX"/>
        </w:rPr>
        <w:t xml:space="preserve"> V del ordenamiento legal citado, que a la letra dice: </w:t>
      </w:r>
    </w:p>
    <w:p w:rsidR="0090427A" w:rsidRDefault="0090427A" w:rsidP="0090427A">
      <w:pPr>
        <w:spacing w:before="100" w:beforeAutospacing="1" w:after="100" w:afterAutospacing="1"/>
        <w:ind w:left="851" w:right="902"/>
        <w:jc w:val="both"/>
        <w:rPr>
          <w:rFonts w:ascii="Palatino Linotype" w:hAnsi="Palatino Linotype" w:cs="Arial"/>
          <w:i/>
          <w:sz w:val="22"/>
          <w:lang w:val="es-MX"/>
        </w:rPr>
      </w:pPr>
      <w:r>
        <w:rPr>
          <w:rFonts w:ascii="Palatino Linotype" w:hAnsi="Palatino Linotype" w:cs="Arial"/>
          <w:bCs/>
          <w:i/>
          <w:iCs/>
          <w:sz w:val="22"/>
          <w:lang w:val="es-MX"/>
        </w:rPr>
        <w:t>“</w:t>
      </w:r>
      <w:r>
        <w:rPr>
          <w:rFonts w:ascii="Palatino Linotype" w:hAnsi="Palatino Linotype" w:cs="Arial"/>
          <w:i/>
          <w:sz w:val="22"/>
          <w:lang w:val="es-MX"/>
        </w:rPr>
        <w:t>Artículo 179. El recurso de revisión es un medio de protección que la Ley otorga a los particulares, para hacer valer su derecho de acceso a la información pública, y procederá en contra de las siguientes causas:</w:t>
      </w:r>
    </w:p>
    <w:p w:rsidR="0028156A" w:rsidRDefault="0028156A" w:rsidP="0090427A">
      <w:pPr>
        <w:spacing w:before="100" w:beforeAutospacing="1" w:after="100" w:afterAutospacing="1"/>
        <w:ind w:left="851" w:right="902"/>
        <w:jc w:val="both"/>
        <w:rPr>
          <w:rFonts w:ascii="Palatino Linotype" w:hAnsi="Palatino Linotype" w:cs="Arial"/>
          <w:bCs/>
          <w:i/>
          <w:iCs/>
          <w:sz w:val="22"/>
          <w:lang w:val="es-MX"/>
        </w:rPr>
      </w:pPr>
      <w:r w:rsidRPr="0028156A">
        <w:rPr>
          <w:rFonts w:ascii="Palatino Linotype" w:hAnsi="Palatino Linotype" w:cs="Arial"/>
          <w:b/>
          <w:bCs/>
          <w:i/>
          <w:iCs/>
          <w:sz w:val="22"/>
          <w:lang w:val="es-MX"/>
        </w:rPr>
        <w:t>I.</w:t>
      </w:r>
      <w:r>
        <w:rPr>
          <w:rFonts w:ascii="Palatino Linotype" w:hAnsi="Palatino Linotype" w:cs="Arial"/>
          <w:bCs/>
          <w:i/>
          <w:iCs/>
          <w:sz w:val="22"/>
          <w:lang w:val="es-MX"/>
        </w:rPr>
        <w:t xml:space="preserve"> La negativa de la información solicitada;</w:t>
      </w:r>
    </w:p>
    <w:p w:rsidR="0090427A" w:rsidRDefault="0090427A" w:rsidP="0090427A">
      <w:pPr>
        <w:spacing w:before="100" w:beforeAutospacing="1" w:after="100" w:afterAutospacing="1"/>
        <w:ind w:left="851" w:right="902"/>
        <w:jc w:val="both"/>
        <w:rPr>
          <w:rFonts w:ascii="Palatino Linotype" w:hAnsi="Palatino Linotype" w:cs="Arial"/>
          <w:bCs/>
          <w:i/>
          <w:iCs/>
          <w:sz w:val="22"/>
          <w:lang w:val="es-MX"/>
        </w:rPr>
      </w:pPr>
      <w:r>
        <w:rPr>
          <w:rFonts w:ascii="Palatino Linotype" w:hAnsi="Palatino Linotype" w:cs="Arial"/>
          <w:bCs/>
          <w:i/>
          <w:iCs/>
          <w:sz w:val="22"/>
          <w:lang w:val="es-MX"/>
        </w:rPr>
        <w:t>(…)</w:t>
      </w:r>
    </w:p>
    <w:p w:rsidR="0090427A" w:rsidRPr="00F21F1B" w:rsidRDefault="0090427A" w:rsidP="0090427A">
      <w:pPr>
        <w:spacing w:before="100" w:beforeAutospacing="1" w:after="100" w:afterAutospacing="1"/>
        <w:ind w:left="851" w:right="902"/>
        <w:jc w:val="both"/>
        <w:rPr>
          <w:rFonts w:ascii="Palatino Linotype" w:hAnsi="Palatino Linotype" w:cs="Arial"/>
          <w:i/>
          <w:sz w:val="22"/>
          <w:lang w:val="es-MX"/>
        </w:rPr>
      </w:pPr>
      <w:r>
        <w:rPr>
          <w:rFonts w:ascii="Palatino Linotype" w:hAnsi="Palatino Linotype" w:cs="Arial"/>
          <w:b/>
          <w:bCs/>
          <w:i/>
          <w:iCs/>
          <w:sz w:val="22"/>
          <w:lang w:val="es-MX"/>
        </w:rPr>
        <w:t>V</w:t>
      </w:r>
      <w:r w:rsidRPr="00F21F1B">
        <w:rPr>
          <w:rFonts w:ascii="Palatino Linotype" w:hAnsi="Palatino Linotype" w:cs="Arial"/>
          <w:b/>
          <w:bCs/>
          <w:i/>
          <w:iCs/>
          <w:sz w:val="22"/>
          <w:lang w:val="es-MX"/>
        </w:rPr>
        <w:t>.</w:t>
      </w:r>
      <w:r>
        <w:rPr>
          <w:rFonts w:ascii="Palatino Linotype" w:hAnsi="Palatino Linotype" w:cs="Arial"/>
          <w:bCs/>
          <w:i/>
          <w:iCs/>
          <w:sz w:val="22"/>
          <w:lang w:val="es-MX"/>
        </w:rPr>
        <w:t xml:space="preserve"> La entrega de información incompleta; (…)”</w:t>
      </w:r>
      <w:r>
        <w:rPr>
          <w:rFonts w:ascii="Palatino Linotype" w:hAnsi="Palatino Linotype" w:cs="Arial"/>
          <w:bCs/>
          <w:i/>
          <w:iCs/>
          <w:sz w:val="22"/>
          <w:vertAlign w:val="superscript"/>
          <w:lang w:val="es-MX"/>
        </w:rPr>
        <w:footnoteReference w:id="1"/>
      </w:r>
      <w:r>
        <w:rPr>
          <w:rFonts w:ascii="Palatino Linotype" w:hAnsi="Palatino Linotype" w:cs="Arial"/>
          <w:i/>
          <w:sz w:val="22"/>
          <w:lang w:val="es-MX"/>
        </w:rPr>
        <w:t> </w:t>
      </w:r>
    </w:p>
    <w:p w:rsidR="0090427A" w:rsidRDefault="0090427A" w:rsidP="0090427A">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Se menciona lo anterior ya que el recurrente en sus motivos de inconformidad menciona que la información </w:t>
      </w:r>
      <w:r w:rsidR="0028156A">
        <w:rPr>
          <w:rFonts w:ascii="Palatino Linotype" w:hAnsi="Palatino Linotype" w:cs="Arial"/>
        </w:rPr>
        <w:t>respecto a la servidora pública referida en la solicitud de información fue negada y por lo tanto está incompleta.</w:t>
      </w:r>
    </w:p>
    <w:p w:rsidR="0090427A" w:rsidRDefault="0090427A" w:rsidP="0090427A">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b/>
          <w:lang w:val="es-MX"/>
        </w:rPr>
        <w:t xml:space="preserve">TERCERO. Materia de la Revisión. </w:t>
      </w:r>
      <w:r>
        <w:rPr>
          <w:rFonts w:ascii="Palatino Linotype" w:hAnsi="Palatino Linotype" w:cs="Arial"/>
          <w:lang w:val="es-MX"/>
        </w:rPr>
        <w:t xml:space="preserve">De la revisión a las constancias y documentos que obran en el expediente electrónico se advierte, que el tema sobre el que este Órgano Garante se pronunciará será: </w:t>
      </w:r>
    </w:p>
    <w:p w:rsidR="0090427A" w:rsidRDefault="0090427A" w:rsidP="0090427A">
      <w:pPr>
        <w:numPr>
          <w:ilvl w:val="0"/>
          <w:numId w:val="3"/>
        </w:num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Determinar si la respuesta emitida por el Sujeto Obligado satisface el requerimiento del particular, de lo contrario ordenar la entrega de la información faltante.</w:t>
      </w:r>
    </w:p>
    <w:p w:rsidR="0090427A" w:rsidRDefault="0090427A" w:rsidP="0090427A">
      <w:pPr>
        <w:spacing w:before="100" w:beforeAutospacing="1" w:after="100" w:afterAutospacing="1" w:line="360" w:lineRule="auto"/>
        <w:jc w:val="both"/>
        <w:rPr>
          <w:rFonts w:ascii="Palatino Linotype" w:hAnsi="Palatino Linotype" w:cs="Segoe UI"/>
        </w:rPr>
      </w:pPr>
      <w:r>
        <w:rPr>
          <w:rFonts w:ascii="Palatino Linotype" w:hAnsi="Palatino Linotype"/>
          <w:b/>
        </w:rPr>
        <w:t>CUARTO. Estudio del asunto</w:t>
      </w:r>
      <w:r>
        <w:rPr>
          <w:rFonts w:ascii="Palatino Linotype" w:hAnsi="Palatino Linotype"/>
        </w:rPr>
        <w:t xml:space="preserve">. </w:t>
      </w:r>
      <w:r>
        <w:rPr>
          <w:rFonts w:ascii="Palatino Linotype" w:hAnsi="Palatino Linotype" w:cs="Segoe UI"/>
        </w:rPr>
        <w:t xml:space="preserve">Se hace referencia que la parte recurrente solicitó que el </w:t>
      </w:r>
      <w:r>
        <w:rPr>
          <w:rFonts w:ascii="Palatino Linotype" w:hAnsi="Palatino Linotype" w:cs="Segoe UI"/>
          <w:b/>
        </w:rPr>
        <w:t>Sujeto Obligado</w:t>
      </w:r>
      <w:r w:rsidR="00EF24B3">
        <w:rPr>
          <w:rFonts w:ascii="Palatino Linotype" w:hAnsi="Palatino Linotype" w:cs="Segoe UI"/>
          <w:b/>
        </w:rPr>
        <w:t>,</w:t>
      </w:r>
      <w:r>
        <w:rPr>
          <w:rFonts w:ascii="Palatino Linotype" w:hAnsi="Palatino Linotype" w:cs="Segoe UI"/>
        </w:rPr>
        <w:t xml:space="preserve"> le hiciera</w:t>
      </w:r>
      <w:r w:rsidR="00EF24B3">
        <w:rPr>
          <w:rFonts w:ascii="Palatino Linotype" w:hAnsi="Palatino Linotype" w:cs="Segoe UI"/>
        </w:rPr>
        <w:t xml:space="preserve"> </w:t>
      </w:r>
      <w:r w:rsidR="00101AE8">
        <w:rPr>
          <w:rFonts w:ascii="Palatino Linotype" w:hAnsi="Palatino Linotype" w:cs="Segoe UI"/>
        </w:rPr>
        <w:t xml:space="preserve">entrega </w:t>
      </w:r>
      <w:r w:rsidR="00EF24B3">
        <w:rPr>
          <w:rFonts w:ascii="Palatino Linotype" w:hAnsi="Palatino Linotype" w:cs="Segoe UI"/>
        </w:rPr>
        <w:t>de l</w:t>
      </w:r>
      <w:r w:rsidR="00EF24B3" w:rsidRPr="00EF24B3">
        <w:rPr>
          <w:rFonts w:ascii="Palatino Linotype" w:hAnsi="Palatino Linotype" w:cs="Segoe UI"/>
        </w:rPr>
        <w:t>os recibos de nómina quincenales correspondientes a los meses de enero a abril de 2018</w:t>
      </w:r>
      <w:r w:rsidR="00EF24B3">
        <w:rPr>
          <w:rFonts w:ascii="Palatino Linotype" w:hAnsi="Palatino Linotype" w:cs="Segoe UI"/>
        </w:rPr>
        <w:t xml:space="preserve"> </w:t>
      </w:r>
      <w:r w:rsidR="00EF24B3" w:rsidRPr="00EF24B3">
        <w:rPr>
          <w:rFonts w:ascii="Palatino Linotype" w:hAnsi="Palatino Linotype" w:cs="Segoe UI"/>
        </w:rPr>
        <w:t xml:space="preserve">y el </w:t>
      </w:r>
      <w:r w:rsidR="00EF24B3">
        <w:rPr>
          <w:rFonts w:ascii="Palatino Linotype" w:hAnsi="Palatino Linotype" w:cs="Segoe UI"/>
        </w:rPr>
        <w:t>currículum vitae</w:t>
      </w:r>
      <w:r w:rsidR="00EF24B3" w:rsidRPr="00EF24B3">
        <w:rPr>
          <w:rFonts w:ascii="Palatino Linotype" w:hAnsi="Palatino Linotype" w:cs="Segoe UI"/>
        </w:rPr>
        <w:t xml:space="preserve"> de</w:t>
      </w:r>
      <w:r w:rsidR="00EF24B3">
        <w:rPr>
          <w:rFonts w:ascii="Palatino Linotype" w:hAnsi="Palatino Linotype" w:cs="Segoe UI"/>
        </w:rPr>
        <w:t xml:space="preserve"> </w:t>
      </w:r>
      <w:r w:rsidR="00EF24B3" w:rsidRPr="00EF24B3">
        <w:rPr>
          <w:rFonts w:ascii="Palatino Linotype" w:hAnsi="Palatino Linotype" w:cs="Segoe UI"/>
        </w:rPr>
        <w:t>l</w:t>
      </w:r>
      <w:r w:rsidR="00EF24B3">
        <w:rPr>
          <w:rFonts w:ascii="Palatino Linotype" w:hAnsi="Palatino Linotype" w:cs="Segoe UI"/>
        </w:rPr>
        <w:t>os</w:t>
      </w:r>
      <w:r w:rsidR="00EF24B3" w:rsidRPr="00EF24B3">
        <w:rPr>
          <w:rFonts w:ascii="Palatino Linotype" w:hAnsi="Palatino Linotype" w:cs="Segoe UI"/>
        </w:rPr>
        <w:t xml:space="preserve"> servidor</w:t>
      </w:r>
      <w:r w:rsidR="00EF24B3">
        <w:rPr>
          <w:rFonts w:ascii="Palatino Linotype" w:hAnsi="Palatino Linotype" w:cs="Segoe UI"/>
        </w:rPr>
        <w:t>es</w:t>
      </w:r>
      <w:r w:rsidR="00EF24B3" w:rsidRPr="00EF24B3">
        <w:rPr>
          <w:rFonts w:ascii="Palatino Linotype" w:hAnsi="Palatino Linotype" w:cs="Segoe UI"/>
        </w:rPr>
        <w:t xml:space="preserve"> público</w:t>
      </w:r>
      <w:r w:rsidR="00EF24B3">
        <w:rPr>
          <w:rFonts w:ascii="Palatino Linotype" w:hAnsi="Palatino Linotype" w:cs="Segoe UI"/>
        </w:rPr>
        <w:t>s</w:t>
      </w:r>
      <w:r>
        <w:rPr>
          <w:rFonts w:ascii="Palatino Linotype" w:hAnsi="Palatino Linotype" w:cs="Segoe UI"/>
        </w:rPr>
        <w:t xml:space="preserve"> siguiente</w:t>
      </w:r>
      <w:r w:rsidR="00EF24B3">
        <w:rPr>
          <w:rFonts w:ascii="Palatino Linotype" w:hAnsi="Palatino Linotype" w:cs="Segoe UI"/>
        </w:rPr>
        <w:t>s</w:t>
      </w:r>
      <w:r>
        <w:rPr>
          <w:rFonts w:ascii="Palatino Linotype" w:hAnsi="Palatino Linotype" w:cs="Segoe UI"/>
        </w:rPr>
        <w:t>:</w:t>
      </w:r>
    </w:p>
    <w:p w:rsidR="0090427A" w:rsidRDefault="0028156A" w:rsidP="0090427A">
      <w:pPr>
        <w:pStyle w:val="Prrafodelista"/>
        <w:numPr>
          <w:ilvl w:val="0"/>
          <w:numId w:val="4"/>
        </w:numPr>
        <w:spacing w:before="100" w:beforeAutospacing="1" w:after="100" w:afterAutospacing="1" w:line="360" w:lineRule="auto"/>
        <w:jc w:val="both"/>
        <w:rPr>
          <w:rFonts w:ascii="Palatino Linotype" w:hAnsi="Palatino Linotype" w:cs="Arial"/>
        </w:rPr>
      </w:pPr>
      <w:r>
        <w:rPr>
          <w:rFonts w:ascii="Palatino Linotype" w:hAnsi="Palatino Linotype" w:cs="Arial"/>
        </w:rPr>
        <w:t>Juan Israel Fuentes Sánchez</w:t>
      </w:r>
    </w:p>
    <w:p w:rsidR="00EF24B3" w:rsidRPr="00EF24B3" w:rsidRDefault="00EF24B3" w:rsidP="00EF24B3">
      <w:pPr>
        <w:pStyle w:val="Prrafodelista"/>
        <w:numPr>
          <w:ilvl w:val="0"/>
          <w:numId w:val="4"/>
        </w:numPr>
        <w:rPr>
          <w:rFonts w:ascii="Palatino Linotype" w:hAnsi="Palatino Linotype" w:cs="Arial"/>
        </w:rPr>
      </w:pPr>
      <w:r w:rsidRPr="00EF24B3">
        <w:rPr>
          <w:rFonts w:ascii="Palatino Linotype" w:hAnsi="Palatino Linotype"/>
        </w:rPr>
        <w:t>Karen Belli</w:t>
      </w:r>
    </w:p>
    <w:p w:rsidR="0090427A" w:rsidRDefault="0090427A" w:rsidP="00EF24B3">
      <w:pPr>
        <w:spacing w:before="100" w:beforeAutospacing="1" w:after="100" w:afterAutospacing="1" w:line="360" w:lineRule="auto"/>
        <w:jc w:val="both"/>
        <w:rPr>
          <w:rFonts w:ascii="Palatino Linotype" w:hAnsi="Palatino Linotype" w:cs="Arial"/>
        </w:rPr>
      </w:pPr>
      <w:r w:rsidRPr="00EF24B3">
        <w:rPr>
          <w:rFonts w:ascii="Palatino Linotype" w:hAnsi="Palatino Linotype" w:cs="Arial"/>
        </w:rPr>
        <w:t xml:space="preserve">Una vez precisado lo anterior es relevante mencionar que derivado del análisis realizado a las constancias que integran el presente recurso de revisión se concluye que las razones o motivos de inconformidad vertidos por el recurrente resultan </w:t>
      </w:r>
      <w:r w:rsidR="00EF24B3">
        <w:rPr>
          <w:rFonts w:ascii="Palatino Linotype" w:hAnsi="Palatino Linotype" w:cs="Arial"/>
        </w:rPr>
        <w:t xml:space="preserve">parcialmente </w:t>
      </w:r>
      <w:r w:rsidRPr="00EF24B3">
        <w:rPr>
          <w:rFonts w:ascii="Palatino Linotype" w:hAnsi="Palatino Linotype" w:cs="Arial"/>
        </w:rPr>
        <w:t>fundados, en atención a lo siguiente:</w:t>
      </w:r>
    </w:p>
    <w:p w:rsidR="00EF24B3" w:rsidRDefault="00EF24B3" w:rsidP="00EF24B3">
      <w:pPr>
        <w:spacing w:before="240" w:after="240" w:line="360" w:lineRule="auto"/>
        <w:jc w:val="both"/>
        <w:rPr>
          <w:rFonts w:ascii="Palatino Linotype" w:hAnsi="Palatino Linotype"/>
        </w:rPr>
      </w:pPr>
      <w:r>
        <w:rPr>
          <w:rFonts w:ascii="Palatino Linotype" w:hAnsi="Palatino Linotype"/>
        </w:rPr>
        <w:t xml:space="preserve">En primer término, se puntualiza que de los motivos de inconformidad expresados por el recurrente, se advierte que únicamente se inconforma respecto a la </w:t>
      </w:r>
      <w:r>
        <w:rPr>
          <w:rFonts w:ascii="Palatino Linotype" w:hAnsi="Palatino Linotype"/>
        </w:rPr>
        <w:lastRenderedPageBreak/>
        <w:t xml:space="preserve">información de la C. Karen Belli, en este sentido, se precisa que </w:t>
      </w:r>
      <w:r>
        <w:rPr>
          <w:rFonts w:ascii="Palatino Linotype" w:hAnsi="Palatino Linotype" w:cs="Arial"/>
        </w:rPr>
        <w:t xml:space="preserve">de lo referido con anterioridad se aprecia que el recurrente no </w:t>
      </w:r>
      <w:r>
        <w:rPr>
          <w:rFonts w:ascii="Palatino Linotype" w:hAnsi="Palatino Linotype"/>
        </w:rPr>
        <w:t>señaló motivo de inconformidad alguno para combatir la información relativa al servidor público</w:t>
      </w:r>
      <w:r w:rsidRPr="00EF24B3">
        <w:t xml:space="preserve"> </w:t>
      </w:r>
      <w:r w:rsidRPr="00EF24B3">
        <w:rPr>
          <w:rFonts w:ascii="Palatino Linotype" w:hAnsi="Palatino Linotype"/>
        </w:rPr>
        <w:t>Juan Israel Fuentes Sánchez</w:t>
      </w:r>
      <w:r>
        <w:rPr>
          <w:rFonts w:ascii="Palatino Linotype" w:hAnsi="Palatino Linotype"/>
        </w:rPr>
        <w:t>.</w:t>
      </w:r>
    </w:p>
    <w:p w:rsidR="00EF24B3" w:rsidRDefault="00EF24B3" w:rsidP="00EF24B3">
      <w:pPr>
        <w:spacing w:before="100" w:beforeAutospacing="1" w:after="100" w:afterAutospacing="1" w:line="360" w:lineRule="auto"/>
        <w:jc w:val="both"/>
        <w:rPr>
          <w:rFonts w:ascii="Palatino Linotype" w:hAnsi="Palatino Linotype" w:cs="Segoe UI"/>
        </w:rPr>
      </w:pPr>
      <w:r>
        <w:rPr>
          <w:rFonts w:ascii="Palatino Linotype" w:hAnsi="Palatino Linotype" w:cs="Segoe UI"/>
        </w:rPr>
        <w:t xml:space="preserve">Por tal motivo el análisis será únicamente sobre el punto controvertido, no así por el restante; lo anterior es así, debido a que cuando la parte recurrente impugna la respuesta del </w:t>
      </w:r>
      <w:r w:rsidRPr="00EF24B3">
        <w:rPr>
          <w:rFonts w:ascii="Palatino Linotype" w:hAnsi="Palatino Linotype" w:cs="Segoe UI"/>
          <w:b/>
        </w:rPr>
        <w:t>Sujeto Obligado</w:t>
      </w:r>
      <w:r>
        <w:rPr>
          <w:rFonts w:ascii="Palatino Linotype" w:hAnsi="Palatino Linotype" w:cs="Segoe UI"/>
        </w:rPr>
        <w:t xml:space="preserve"> y no expresa razón o motivo de inconformidad en contra de todos los rubros de la respuesta que pudieran ser un agravio a su derecho, los mismos deben declararse atendidos. </w:t>
      </w:r>
    </w:p>
    <w:p w:rsidR="00EF24B3" w:rsidRDefault="00EF24B3" w:rsidP="00EF24B3">
      <w:pPr>
        <w:spacing w:before="100" w:beforeAutospacing="1" w:after="100" w:afterAutospacing="1" w:line="360" w:lineRule="auto"/>
        <w:jc w:val="both"/>
        <w:rPr>
          <w:rFonts w:ascii="Palatino Linotype" w:hAnsi="Palatino Linotype" w:cs="Segoe UI"/>
        </w:rPr>
      </w:pPr>
      <w:r>
        <w:rPr>
          <w:rFonts w:ascii="Palatino Linotype" w:hAnsi="Palatino Linotype" w:cs="Segoe UI"/>
        </w:rPr>
        <w:t>Sirve de apoyo a lo anterior, por analogía, la Tesis Jurisprudencial Número 3ª./J.7/91, publicada en el Semanario Judicial de la Federación y su Gaceta bajo el número de registro 174,177, que establece lo siguiente:</w:t>
      </w:r>
    </w:p>
    <w:p w:rsidR="00EF24B3" w:rsidRDefault="00EF24B3" w:rsidP="00EF24B3">
      <w:pPr>
        <w:spacing w:before="100" w:beforeAutospacing="1" w:after="100" w:afterAutospacing="1"/>
        <w:ind w:left="851" w:right="902"/>
        <w:jc w:val="both"/>
        <w:rPr>
          <w:rFonts w:ascii="Palatino Linotype" w:hAnsi="Palatino Linotype" w:cs="Segoe UI"/>
          <w:sz w:val="22"/>
        </w:rPr>
      </w:pPr>
      <w:r>
        <w:rPr>
          <w:rFonts w:ascii="Palatino Linotype" w:hAnsi="Palatino Linotype" w:cs="Segoe UI"/>
          <w:sz w:val="22"/>
        </w:rPr>
        <w:t>“</w:t>
      </w:r>
      <w:r>
        <w:rPr>
          <w:rFonts w:ascii="Palatino Linotype" w:hAnsi="Palatino Linotype" w:cs="Segoe UI"/>
          <w:b/>
          <w:bCs/>
          <w:i/>
          <w:iCs/>
          <w:sz w:val="22"/>
        </w:rPr>
        <w:t>REVISIÓN EN AMPARO. LOS RESOLUTIVOS NO COMBATIDOS DEBEN DECLARARSE FIRMES</w:t>
      </w:r>
      <w:r>
        <w:rPr>
          <w:rFonts w:ascii="Palatino Linotype" w:hAnsi="Palatino Linotype" w:cs="Segoe UI"/>
          <w:i/>
          <w:iCs/>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F24B3" w:rsidRDefault="00EF24B3" w:rsidP="00EF24B3">
      <w:pPr>
        <w:spacing w:before="100" w:beforeAutospacing="1" w:after="100" w:afterAutospacing="1" w:line="360" w:lineRule="auto"/>
        <w:jc w:val="both"/>
        <w:rPr>
          <w:rFonts w:ascii="Palatino Linotype" w:hAnsi="Palatino Linotype" w:cs="Segoe UI"/>
        </w:rPr>
      </w:pPr>
      <w:r>
        <w:rPr>
          <w:rFonts w:ascii="Palatino Linotype" w:hAnsi="Palatino Linotype" w:cs="Segoe UI"/>
        </w:rPr>
        <w:t xml:space="preserve">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w:t>
      </w:r>
      <w:r>
        <w:rPr>
          <w:rFonts w:ascii="Palatino Linotype" w:hAnsi="Palatino Linotype" w:cs="Segoe UI"/>
        </w:rPr>
        <w:lastRenderedPageBreak/>
        <w:t>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EF24B3" w:rsidRDefault="00EF24B3" w:rsidP="00EF24B3">
      <w:pPr>
        <w:spacing w:before="100" w:beforeAutospacing="1" w:after="100" w:afterAutospacing="1"/>
        <w:ind w:left="851" w:right="902"/>
        <w:jc w:val="both"/>
        <w:rPr>
          <w:rFonts w:ascii="Palatino Linotype" w:hAnsi="Palatino Linotype" w:cs="Segoe UI"/>
          <w:sz w:val="22"/>
        </w:rPr>
      </w:pPr>
      <w:r>
        <w:rPr>
          <w:rFonts w:ascii="Palatino Linotype" w:hAnsi="Palatino Linotype" w:cs="Segoe UI"/>
          <w:i/>
          <w:iCs/>
          <w:sz w:val="22"/>
        </w:rPr>
        <w:t>“</w:t>
      </w:r>
      <w:r>
        <w:rPr>
          <w:rFonts w:ascii="Palatino Linotype" w:hAnsi="Palatino Linotype" w:cs="Segoe UI"/>
          <w:b/>
          <w:bCs/>
          <w:i/>
          <w:iCs/>
          <w:sz w:val="22"/>
        </w:rPr>
        <w:t>ACTOS CONSENTIDOS. SON LOS QUE NO SE IMPUGNAN MEDIANTE EL RECURSO IDÓNEO</w:t>
      </w:r>
      <w:r>
        <w:rPr>
          <w:rFonts w:ascii="Palatino Linotype" w:hAnsi="Palatino Linotype" w:cs="Segoe UI"/>
          <w:i/>
          <w:iCs/>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F24B3" w:rsidRDefault="00EF24B3" w:rsidP="00EF24B3">
      <w:pPr>
        <w:spacing w:before="100" w:beforeAutospacing="1" w:after="100" w:afterAutospacing="1" w:line="360" w:lineRule="auto"/>
        <w:jc w:val="both"/>
        <w:rPr>
          <w:rFonts w:ascii="Palatino Linotype" w:hAnsi="Palatino Linotype" w:cs="Arial"/>
        </w:rPr>
      </w:pPr>
      <w:r>
        <w:rPr>
          <w:rFonts w:ascii="Palatino Linotype" w:hAnsi="Palatino Linotype" w:cs="Arial"/>
        </w:rPr>
        <w:t>Precisado lo anterior, e</w:t>
      </w:r>
      <w:r w:rsidR="00965BD6">
        <w:rPr>
          <w:rFonts w:ascii="Palatino Linotype" w:hAnsi="Palatino Linotype" w:cs="Arial"/>
        </w:rPr>
        <w:t>l presente análisis se realizará</w:t>
      </w:r>
      <w:r>
        <w:rPr>
          <w:rFonts w:ascii="Palatino Linotype" w:hAnsi="Palatino Linotype" w:cs="Arial"/>
        </w:rPr>
        <w:t xml:space="preserve"> en relación la información consistente en los recibos de nómina y currículum vitae de la servidora pública Karen Belli.</w:t>
      </w:r>
    </w:p>
    <w:p w:rsidR="00AF744B" w:rsidRDefault="00965BD6" w:rsidP="00EF24B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Derivado de los pronunciamientos </w:t>
      </w:r>
      <w:r w:rsidR="00BA1640">
        <w:rPr>
          <w:rFonts w:ascii="Palatino Linotype" w:hAnsi="Palatino Linotype" w:cs="Arial"/>
        </w:rPr>
        <w:t>de las partes, en donde el Municipio menciona que no encontró registro, con el nombre de la servidora pública referida en la solicitud de información; se tiene en cuenta que el particular en la interposición del recurso de revisión adjuntó la nómina correspondiente a la segunda quincena del mes de abril del presente año, en el formato, por el cual el Sujeto Obligado remite dicha información al OSFEM, y de la cual efectivamente se aprecia el nombre de la servidora pública en mención, como se aprecia a continuación:</w:t>
      </w:r>
    </w:p>
    <w:p w:rsidR="00BA1640" w:rsidRDefault="00BA1640" w:rsidP="00EF24B3">
      <w:pPr>
        <w:spacing w:before="100" w:beforeAutospacing="1" w:after="100" w:afterAutospacing="1" w:line="360" w:lineRule="auto"/>
        <w:jc w:val="both"/>
        <w:rPr>
          <w:rFonts w:ascii="Palatino Linotype" w:hAnsi="Palatino Linotype" w:cs="Arial"/>
        </w:rPr>
      </w:pPr>
      <w:r>
        <w:rPr>
          <w:rFonts w:ascii="Palatino Linotype" w:hAnsi="Palatino Linotype" w:cs="Arial"/>
        </w:rPr>
        <w:t>--------------------------------------------------------------------------------------------------------------------------------------------------------------------------------------------------------------------------------------------------------------------------------------------------------------------------------------------------------------------------------------------------------------------------------------------------------</w:t>
      </w:r>
    </w:p>
    <w:p w:rsidR="00BA1640" w:rsidRDefault="00BA1640" w:rsidP="00CD31EF">
      <w:pPr>
        <w:spacing w:before="100" w:beforeAutospacing="1" w:after="100" w:afterAutospacing="1" w:line="360" w:lineRule="auto"/>
        <w:rPr>
          <w:rFonts w:ascii="Palatino Linotype" w:hAnsi="Palatino Linotype" w:cs="Arial"/>
        </w:rPr>
      </w:pPr>
      <w:r>
        <w:rPr>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73101</wp:posOffset>
                </wp:positionH>
                <wp:positionV relativeFrom="paragraph">
                  <wp:posOffset>4121539</wp:posOffset>
                </wp:positionV>
                <wp:extent cx="6189260" cy="163773"/>
                <wp:effectExtent l="19050" t="19050" r="21590" b="27305"/>
                <wp:wrapNone/>
                <wp:docPr id="2" name="Rectángulo 2"/>
                <wp:cNvGraphicFramePr/>
                <a:graphic xmlns:a="http://schemas.openxmlformats.org/drawingml/2006/main">
                  <a:graphicData uri="http://schemas.microsoft.com/office/word/2010/wordprocessingShape">
                    <wps:wsp>
                      <wps:cNvSpPr/>
                      <wps:spPr>
                        <a:xfrm>
                          <a:off x="0" y="0"/>
                          <a:ext cx="6189260" cy="16377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4FF1E5" id="Rectángulo 2" o:spid="_x0000_s1026" style="position:absolute;margin-left:5.75pt;margin-top:324.55pt;width:487.3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" filled="f" strokecolor="red" strokeweight="2.25pt"/>
            </w:pict>
          </mc:Fallback>
        </mc:AlternateContent>
      </w:r>
      <w:r>
        <w:rPr>
          <w:noProof/>
          <w:lang w:val="es-MX" w:eastAsia="es-MX"/>
        </w:rPr>
        <w:drawing>
          <wp:inline distT="0" distB="0" distL="0" distR="0" wp14:anchorId="4DB8E53E" wp14:editId="72A9CDA4">
            <wp:extent cx="6345612" cy="45808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941" t="10809" r="18402" b="10057"/>
                    <a:stretch/>
                  </pic:blipFill>
                  <pic:spPr bwMode="auto">
                    <a:xfrm>
                      <a:off x="0" y="0"/>
                      <a:ext cx="6360612" cy="4591682"/>
                    </a:xfrm>
                    <a:prstGeom prst="rect">
                      <a:avLst/>
                    </a:prstGeom>
                    <a:ln>
                      <a:noFill/>
                    </a:ln>
                    <a:extLst>
                      <a:ext uri="{53640926-AAD7-44D8-BBD7-CCE9431645EC}">
                        <a14:shadowObscured xmlns:a14="http://schemas.microsoft.com/office/drawing/2010/main"/>
                      </a:ext>
                    </a:extLst>
                  </pic:spPr>
                </pic:pic>
              </a:graphicData>
            </a:graphic>
          </wp:inline>
        </w:drawing>
      </w:r>
    </w:p>
    <w:p w:rsidR="00BA1640" w:rsidRDefault="00BA1640" w:rsidP="00CD31EF">
      <w:pPr>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t xml:space="preserve">Ante </w:t>
      </w:r>
      <w:r w:rsidR="00990AE6">
        <w:rPr>
          <w:rFonts w:ascii="Palatino Linotype" w:hAnsi="Palatino Linotype"/>
          <w:color w:val="000000"/>
        </w:rPr>
        <w:t>tal evidencia aportada por el recurrente, se advierte que la servidora pública de quien se requirió información, se encuentra dentro de la nómina del Municipio y por lo tanto laborando ahí.</w:t>
      </w:r>
    </w:p>
    <w:p w:rsidR="00101AE8" w:rsidRDefault="00990AE6" w:rsidP="00CD31EF">
      <w:pPr>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t xml:space="preserve">Si bien, la parte recurrente en la solicitud de información no refiere el nombre completo de la servidora pública, lo realiza con mayor precisión </w:t>
      </w:r>
      <w:r w:rsidR="00CD31EF">
        <w:rPr>
          <w:rFonts w:ascii="Palatino Linotype" w:hAnsi="Palatino Linotype"/>
          <w:color w:val="000000"/>
        </w:rPr>
        <w:t>en la interposición del recurso de revisión</w:t>
      </w:r>
      <w:r w:rsidR="00101AE8">
        <w:rPr>
          <w:rFonts w:ascii="Palatino Linotype" w:hAnsi="Palatino Linotype"/>
          <w:color w:val="000000"/>
        </w:rPr>
        <w:t>,</w:t>
      </w:r>
      <w:r w:rsidR="00CD31EF">
        <w:rPr>
          <w:rFonts w:ascii="Palatino Linotype" w:hAnsi="Palatino Linotype"/>
          <w:color w:val="000000"/>
        </w:rPr>
        <w:t xml:space="preserve"> en adición a que aporta una prueba que es tomada en cuenta por este Órgano Garante, la cu</w:t>
      </w:r>
      <w:r w:rsidR="00101AE8">
        <w:rPr>
          <w:rFonts w:ascii="Palatino Linotype" w:hAnsi="Palatino Linotype"/>
          <w:color w:val="000000"/>
        </w:rPr>
        <w:t>al fue la nómina del Municipio.</w:t>
      </w:r>
    </w:p>
    <w:p w:rsidR="00990AE6" w:rsidRDefault="00101AE8" w:rsidP="00CD31EF">
      <w:pPr>
        <w:spacing w:before="100" w:beforeAutospacing="1" w:after="100" w:afterAutospacing="1" w:line="360" w:lineRule="auto"/>
        <w:jc w:val="both"/>
        <w:rPr>
          <w:rFonts w:ascii="Palatino Linotype" w:hAnsi="Palatino Linotype"/>
          <w:color w:val="000000"/>
        </w:rPr>
      </w:pPr>
      <w:r>
        <w:rPr>
          <w:rFonts w:ascii="Palatino Linotype" w:hAnsi="Palatino Linotype"/>
          <w:color w:val="000000"/>
        </w:rPr>
        <w:lastRenderedPageBreak/>
        <w:t>Al respecto, es pertinente mencionar que el Sujeto Obligado</w:t>
      </w:r>
      <w:r w:rsidR="00CD31EF">
        <w:rPr>
          <w:rFonts w:ascii="Palatino Linotype" w:hAnsi="Palatino Linotype"/>
          <w:color w:val="000000"/>
        </w:rPr>
        <w:t>, debió de solicitar una aclaración al recurrente para identificarla de manera más precisa, como lo indica el primer párrafo del artículo 159 de la Ley de Transparencia y Acceso a la Información Púbica del Estado de México y Municipios, que establece lo siguiente:</w:t>
      </w:r>
    </w:p>
    <w:p w:rsidR="00CD31EF" w:rsidRPr="00CD31EF" w:rsidRDefault="00CD31EF" w:rsidP="00CD31EF">
      <w:pPr>
        <w:spacing w:before="100" w:beforeAutospacing="1" w:after="100" w:afterAutospacing="1"/>
        <w:ind w:left="851" w:right="851"/>
        <w:jc w:val="both"/>
        <w:rPr>
          <w:rFonts w:ascii="Palatino Linotype" w:hAnsi="Palatino Linotype"/>
          <w:i/>
          <w:color w:val="000000"/>
          <w:sz w:val="22"/>
        </w:rPr>
      </w:pPr>
      <w:r w:rsidRPr="00CD31EF">
        <w:rPr>
          <w:rFonts w:ascii="Palatino Linotype" w:hAnsi="Palatino Linotype"/>
          <w:i/>
          <w:color w:val="000000"/>
          <w:sz w:val="22"/>
        </w:rPr>
        <w:t>“Artículo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CD31EF" w:rsidRDefault="00CD31EF" w:rsidP="00AF744B">
      <w:pPr>
        <w:spacing w:before="100" w:beforeAutospacing="1" w:after="100" w:afterAutospacing="1" w:line="360" w:lineRule="auto"/>
        <w:ind w:right="-425"/>
        <w:jc w:val="both"/>
        <w:rPr>
          <w:rFonts w:ascii="Palatino Linotype" w:hAnsi="Palatino Linotype"/>
          <w:color w:val="000000"/>
        </w:rPr>
      </w:pPr>
      <w:r>
        <w:rPr>
          <w:rFonts w:ascii="Palatino Linotype" w:hAnsi="Palatino Linotype"/>
          <w:color w:val="000000"/>
        </w:rPr>
        <w:t>Invocado el precepto jurídico anterior, se desprende que el Sujeto Obligado debe tomar las medidas necesarias para dar trámite a las solicitudes de información, y así satisfacer de manera plena el derecho de acceso a la información.</w:t>
      </w:r>
    </w:p>
    <w:p w:rsidR="00256215" w:rsidRDefault="00CD31EF" w:rsidP="00256215">
      <w:pPr>
        <w:spacing w:after="240" w:line="360" w:lineRule="auto"/>
        <w:jc w:val="both"/>
        <w:rPr>
          <w:rFonts w:ascii="Palatino Linotype" w:eastAsiaTheme="minorHAnsi" w:hAnsi="Palatino Linotype" w:cs="Bookman Old Style"/>
          <w:lang w:val="es-MX" w:eastAsia="en-US"/>
        </w:rPr>
      </w:pPr>
      <w:r>
        <w:rPr>
          <w:rFonts w:ascii="Palatino Linotype" w:hAnsi="Palatino Linotype"/>
          <w:color w:val="000000"/>
        </w:rPr>
        <w:t xml:space="preserve">Siguiendo con el presente análisis, respecto a los recibos de nómina de la servidora pública en mención, </w:t>
      </w:r>
      <w:r w:rsidR="00256215">
        <w:rPr>
          <w:rFonts w:ascii="Palatino Linotype" w:hAnsi="Palatino Linotype"/>
        </w:rPr>
        <w:t xml:space="preserve">el artículo 92,  fracción VIII de la Ley de la materia, señala que los Sujetos Obligados </w:t>
      </w:r>
      <w:r w:rsidR="00256215">
        <w:rPr>
          <w:rFonts w:ascii="Palatino Linotype" w:eastAsiaTheme="minorHAnsi" w:hAnsi="Palatino Linotype" w:cs="Bookman Old Style"/>
          <w:lang w:val="es-MX" w:eastAsia="en-US"/>
        </w:rPr>
        <w:t xml:space="preserve">deberán poner a disposición del público de manera permanente y actualizada de forma sencilla, precisa y entendible, en los respectivos medios electrónicos, de acuerdo con sus facultades, atribuciones, funciones u objeto social, según corresponda, entre otra información, lo referente a remuneraciones; tal y como a continuación transcribe: </w:t>
      </w:r>
    </w:p>
    <w:p w:rsidR="00256215" w:rsidRDefault="00256215" w:rsidP="00256215">
      <w:pPr>
        <w:tabs>
          <w:tab w:val="left" w:pos="8789"/>
        </w:tabs>
        <w:spacing w:before="100" w:beforeAutospacing="1" w:after="100" w:afterAutospacing="1"/>
        <w:ind w:left="851" w:right="851"/>
        <w:jc w:val="both"/>
        <w:rPr>
          <w:rFonts w:ascii="Palatino Linotype" w:hAnsi="Palatino Linotype"/>
          <w:i/>
          <w:sz w:val="22"/>
          <w:szCs w:val="22"/>
        </w:rPr>
      </w:pPr>
      <w:r>
        <w:rPr>
          <w:rFonts w:ascii="Palatino Linotype" w:hAnsi="Palatino Linotype"/>
          <w:b/>
          <w:i/>
          <w:sz w:val="22"/>
          <w:szCs w:val="22"/>
        </w:rPr>
        <w:t>“Artículo 92.</w:t>
      </w:r>
      <w:r>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56215" w:rsidRDefault="00256215" w:rsidP="00256215">
      <w:pPr>
        <w:tabs>
          <w:tab w:val="left" w:pos="8789"/>
        </w:tabs>
        <w:spacing w:before="100" w:beforeAutospacing="1" w:after="100" w:afterAutospacing="1"/>
        <w:ind w:left="851" w:right="851"/>
        <w:jc w:val="both"/>
        <w:rPr>
          <w:rFonts w:ascii="Palatino Linotype" w:hAnsi="Palatino Linotype"/>
          <w:i/>
          <w:sz w:val="22"/>
          <w:szCs w:val="22"/>
        </w:rPr>
      </w:pPr>
      <w:r>
        <w:rPr>
          <w:rFonts w:ascii="Palatino Linotype" w:hAnsi="Palatino Linotype"/>
          <w:i/>
          <w:sz w:val="22"/>
          <w:szCs w:val="22"/>
        </w:rPr>
        <w:lastRenderedPageBreak/>
        <w:t>(…)</w:t>
      </w:r>
    </w:p>
    <w:p w:rsidR="00256215" w:rsidRDefault="00256215" w:rsidP="00256215">
      <w:pPr>
        <w:tabs>
          <w:tab w:val="left" w:pos="8789"/>
        </w:tabs>
        <w:spacing w:before="100" w:beforeAutospacing="1" w:after="100" w:afterAutospacing="1"/>
        <w:ind w:left="851" w:right="851"/>
        <w:jc w:val="both"/>
        <w:rPr>
          <w:rFonts w:ascii="Palatino Linotype" w:hAnsi="Palatino Linotype"/>
          <w:i/>
          <w:sz w:val="22"/>
          <w:szCs w:val="22"/>
        </w:rPr>
      </w:pPr>
      <w:r>
        <w:rPr>
          <w:rFonts w:ascii="Palatino Linotype" w:hAnsi="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256215" w:rsidRDefault="00256215" w:rsidP="00256215">
      <w:pPr>
        <w:spacing w:after="240" w:line="360" w:lineRule="auto"/>
        <w:jc w:val="both"/>
        <w:rPr>
          <w:rFonts w:ascii="Palatino Linotype" w:hAnsi="Palatino Linotype" w:cs="Arial"/>
          <w:lang w:val="es-MX"/>
        </w:rPr>
      </w:pPr>
      <w:r>
        <w:rPr>
          <w:rFonts w:ascii="Palatino Linotype" w:hAnsi="Palatino Linotype" w:cs="Arial"/>
          <w:lang w:val="es-MX"/>
        </w:rPr>
        <w:t xml:space="preserve">Sirve de sustento, por analogía, para justificar la publicidad sobre los datos relativos a los montos por concepto de pago de las remuneraciones, los criterios 01/2003 y 02/2003 emitidos por el Comité </w:t>
      </w:r>
      <w:r>
        <w:rPr>
          <w:rFonts w:ascii="Palatino Linotype" w:hAnsi="Palatino Linotype" w:cs="Arial"/>
        </w:rPr>
        <w:t>de Acceso a la Información Pública y Protección de Datos Personales de la Suprema Corte de Justicia de la Nación que a continuación se citan</w:t>
      </w:r>
      <w:r>
        <w:rPr>
          <w:rFonts w:ascii="Palatino Linotype" w:hAnsi="Palatino Linotype" w:cs="Arial"/>
          <w:lang w:val="es-MX"/>
        </w:rPr>
        <w:t>:</w:t>
      </w:r>
    </w:p>
    <w:p w:rsidR="00256215" w:rsidRDefault="00256215" w:rsidP="00256215">
      <w:pPr>
        <w:spacing w:before="100" w:beforeAutospacing="1" w:after="100" w:afterAutospacing="1"/>
        <w:ind w:left="851" w:right="851"/>
        <w:jc w:val="both"/>
        <w:rPr>
          <w:rFonts w:ascii="Palatino Linotype" w:hAnsi="Palatino Linotype" w:cs="Arial"/>
          <w:b/>
          <w:i/>
          <w:sz w:val="22"/>
          <w:lang w:val="es-MX"/>
        </w:rPr>
      </w:pPr>
      <w:r>
        <w:rPr>
          <w:rFonts w:ascii="Palatino Linotype" w:hAnsi="Palatino Linotype" w:cs="Arial"/>
          <w:b/>
          <w:i/>
          <w:sz w:val="22"/>
          <w:lang w:val="es-MX"/>
        </w:rPr>
        <w:t>“Criterio 01/2003.</w:t>
      </w:r>
    </w:p>
    <w:p w:rsidR="00256215" w:rsidRDefault="00256215" w:rsidP="00256215">
      <w:pPr>
        <w:spacing w:before="100" w:beforeAutospacing="1" w:after="100" w:afterAutospacing="1"/>
        <w:ind w:left="851" w:right="851"/>
        <w:jc w:val="both"/>
        <w:rPr>
          <w:rFonts w:ascii="Palatino Linotype" w:hAnsi="Palatino Linotype" w:cs="Arial"/>
          <w:i/>
          <w:sz w:val="22"/>
          <w:lang w:val="es-MX"/>
        </w:rPr>
      </w:pPr>
      <w:r>
        <w:rPr>
          <w:rFonts w:ascii="Palatino Linotype" w:hAnsi="Palatino Linotype" w:cs="Arial"/>
          <w:b/>
          <w:i/>
          <w:sz w:val="22"/>
          <w:lang w:val="es-MX"/>
        </w:rPr>
        <w:t>INGRESOS DE LOS SERVIDORES PÚBLICOS. CONSTITUYEN INFORMACIÓN PÚBLICA AÚN Y CUANDO SU DIFUSIÓN PUEDE AFECTAR LA VIDA O LA SEGURIDAD DE AQUELLOS.</w:t>
      </w:r>
      <w:r>
        <w:rPr>
          <w:rFonts w:ascii="Palatino Linotype" w:hAnsi="Palatino Linotype" w:cs="Arial"/>
          <w:i/>
          <w:sz w:val="22"/>
          <w:lang w:val="es-MX"/>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256215" w:rsidRDefault="00256215" w:rsidP="00256215">
      <w:pPr>
        <w:spacing w:before="100" w:beforeAutospacing="1" w:after="100" w:afterAutospacing="1"/>
        <w:ind w:left="851" w:right="851"/>
        <w:jc w:val="both"/>
        <w:rPr>
          <w:rFonts w:ascii="Palatino Linotype" w:hAnsi="Palatino Linotype" w:cs="Arial"/>
          <w:i/>
          <w:sz w:val="22"/>
          <w:lang w:val="es-MX"/>
        </w:rPr>
      </w:pPr>
    </w:p>
    <w:p w:rsidR="00256215" w:rsidRDefault="00256215" w:rsidP="00256215">
      <w:pPr>
        <w:spacing w:before="100" w:beforeAutospacing="1" w:after="100" w:afterAutospacing="1"/>
        <w:ind w:left="851" w:right="851"/>
        <w:jc w:val="both"/>
        <w:rPr>
          <w:rFonts w:ascii="Palatino Linotype" w:hAnsi="Palatino Linotype" w:cs="Arial"/>
          <w:i/>
          <w:sz w:val="22"/>
          <w:lang w:val="es-MX"/>
        </w:rPr>
      </w:pPr>
    </w:p>
    <w:p w:rsidR="00256215" w:rsidRDefault="00256215" w:rsidP="00256215">
      <w:pPr>
        <w:spacing w:before="100" w:beforeAutospacing="1" w:after="100" w:afterAutospacing="1"/>
        <w:ind w:left="851" w:right="851"/>
        <w:jc w:val="both"/>
        <w:rPr>
          <w:rFonts w:ascii="Palatino Linotype" w:hAnsi="Palatino Linotype" w:cs="Arial"/>
          <w:b/>
          <w:i/>
          <w:sz w:val="22"/>
          <w:lang w:val="es-MX"/>
        </w:rPr>
      </w:pPr>
      <w:r>
        <w:rPr>
          <w:rFonts w:ascii="Palatino Linotype" w:hAnsi="Palatino Linotype" w:cs="Arial"/>
          <w:b/>
          <w:i/>
          <w:sz w:val="22"/>
          <w:lang w:val="es-MX"/>
        </w:rPr>
        <w:lastRenderedPageBreak/>
        <w:t>“Criterio 02/2003.</w:t>
      </w:r>
    </w:p>
    <w:p w:rsidR="00256215" w:rsidRDefault="00256215" w:rsidP="00256215">
      <w:pPr>
        <w:spacing w:before="100" w:beforeAutospacing="1" w:after="100" w:afterAutospacing="1"/>
        <w:ind w:left="851" w:right="851"/>
        <w:jc w:val="both"/>
        <w:rPr>
          <w:rFonts w:ascii="Palatino Linotype" w:hAnsi="Palatino Linotype" w:cs="Arial"/>
          <w:i/>
          <w:sz w:val="22"/>
          <w:lang w:val="es-MX"/>
        </w:rPr>
      </w:pPr>
      <w:r>
        <w:rPr>
          <w:rFonts w:ascii="Palatino Linotype" w:hAnsi="Palatino Linotype" w:cs="Arial"/>
          <w:b/>
          <w:i/>
          <w:sz w:val="22"/>
          <w:lang w:val="es-MX"/>
        </w:rPr>
        <w:t>INGRESOS DE LOS SERVIDORES PÚBLICOS, SON INFORMACIÓN PÚBLICA AÚN Y CUANDO CONSTITUYEN DATOS PERSONALES QUE SE REFIEREN AL PATRIMONIO DE AQUÉLLOS.</w:t>
      </w:r>
      <w:r>
        <w:rPr>
          <w:rFonts w:ascii="Palatino Linotype" w:hAnsi="Palatino Linotype" w:cs="Arial"/>
          <w:i/>
          <w:sz w:val="22"/>
          <w:lang w:val="es-MX"/>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256215" w:rsidRDefault="00256215" w:rsidP="00256215">
      <w:pPr>
        <w:autoSpaceDE w:val="0"/>
        <w:autoSpaceDN w:val="0"/>
        <w:adjustRightInd w:val="0"/>
        <w:spacing w:before="240" w:after="240" w:line="360" w:lineRule="auto"/>
        <w:ind w:right="-91"/>
        <w:jc w:val="both"/>
        <w:rPr>
          <w:rFonts w:ascii="Palatino Linotype" w:eastAsiaTheme="minorHAnsi" w:hAnsi="Palatino Linotype" w:cs="Bookman Old Style"/>
          <w:lang w:val="es-MX" w:eastAsia="en-US"/>
        </w:rPr>
      </w:pPr>
      <w:r>
        <w:rPr>
          <w:rFonts w:ascii="Palatino Linotype" w:eastAsiaTheme="minorHAnsi" w:hAnsi="Palatino Linotype" w:cs="Bookman Old Style"/>
          <w:lang w:val="es-MX" w:eastAsia="en-US"/>
        </w:rPr>
        <w:t>Es decir, la información referente a remuneraciones, sueldos, prestaciones, gratificaciones, primas, comisiones, dietas, bonos, estímulos, ingresos y sistemas de compensación, les revisten el carácter de pública y por lo tanto se deben trasparentar.</w:t>
      </w:r>
    </w:p>
    <w:p w:rsidR="00256215" w:rsidRDefault="00256215" w:rsidP="00256215">
      <w:pPr>
        <w:autoSpaceDE w:val="0"/>
        <w:autoSpaceDN w:val="0"/>
        <w:adjustRightInd w:val="0"/>
        <w:spacing w:before="100" w:beforeAutospacing="1" w:after="100" w:afterAutospacing="1" w:line="360" w:lineRule="auto"/>
        <w:jc w:val="both"/>
        <w:rPr>
          <w:rFonts w:ascii="Palatino Linotype" w:eastAsiaTheme="minorHAnsi" w:hAnsi="Palatino Linotype" w:cs="Bookman Old Style"/>
          <w:lang w:val="es-MX" w:eastAsia="en-US"/>
        </w:rPr>
      </w:pPr>
      <w:r>
        <w:rPr>
          <w:rFonts w:ascii="Palatino Linotype" w:eastAsiaTheme="minorHAnsi" w:hAnsi="Palatino Linotype" w:cs="Bookman Old Style"/>
          <w:lang w:val="es-MX" w:eastAsia="en-US"/>
        </w:rPr>
        <w:t>Bajo esa perspectiva, de conformidad con el artículo 220 K de la Ley del Trabajo de los Servidores Públicos del Estado y Municipios, la institución o dependencia pública tiene la obligación de conservar y exhibir en el proceso los documentos entre otros, los siguientes:</w:t>
      </w:r>
    </w:p>
    <w:p w:rsidR="00256215" w:rsidRDefault="00256215" w:rsidP="00256215">
      <w:pPr>
        <w:autoSpaceDE w:val="0"/>
        <w:autoSpaceDN w:val="0"/>
        <w:adjustRightInd w:val="0"/>
        <w:spacing w:before="100" w:beforeAutospacing="1" w:after="100" w:afterAutospacing="1"/>
        <w:ind w:left="851" w:right="851"/>
        <w:jc w:val="both"/>
        <w:rPr>
          <w:rFonts w:ascii="Palatino Linotype" w:eastAsiaTheme="minorHAnsi" w:hAnsi="Palatino Linotype" w:cs="Bookman Old Style"/>
          <w:i/>
          <w:sz w:val="22"/>
          <w:lang w:eastAsia="en-US"/>
        </w:rPr>
      </w:pPr>
      <w:r>
        <w:rPr>
          <w:rFonts w:ascii="Palatino Linotype" w:eastAsiaTheme="minorHAnsi" w:hAnsi="Palatino Linotype" w:cs="Bookman Old Style"/>
          <w:i/>
          <w:sz w:val="22"/>
          <w:lang w:eastAsia="en-US"/>
        </w:rPr>
        <w:t>“ARTÍCULO 220 K.- La institución o dependencia pública tiene la obligación de conservar y exhibir en el proceso los documentos que a continuación se precisan:</w:t>
      </w:r>
    </w:p>
    <w:p w:rsidR="00256215" w:rsidRDefault="00256215" w:rsidP="00256215">
      <w:pPr>
        <w:autoSpaceDE w:val="0"/>
        <w:autoSpaceDN w:val="0"/>
        <w:adjustRightInd w:val="0"/>
        <w:spacing w:before="100" w:beforeAutospacing="1" w:after="100" w:afterAutospacing="1"/>
        <w:ind w:left="851" w:right="851"/>
        <w:jc w:val="both"/>
        <w:rPr>
          <w:rFonts w:ascii="Palatino Linotype" w:eastAsiaTheme="minorHAnsi" w:hAnsi="Palatino Linotype" w:cs="Bookman Old Style"/>
          <w:i/>
          <w:sz w:val="22"/>
          <w:lang w:val="es-MX" w:eastAsia="en-US"/>
        </w:rPr>
      </w:pPr>
      <w:r>
        <w:rPr>
          <w:rFonts w:ascii="Palatino Linotype" w:eastAsiaTheme="minorHAnsi" w:hAnsi="Palatino Linotype" w:cs="Bookman Old Style"/>
          <w:i/>
          <w:sz w:val="22"/>
          <w:lang w:eastAsia="en-US"/>
        </w:rPr>
        <w:t>(…)</w:t>
      </w:r>
    </w:p>
    <w:p w:rsidR="00256215" w:rsidRDefault="00256215" w:rsidP="00256215">
      <w:pPr>
        <w:autoSpaceDE w:val="0"/>
        <w:autoSpaceDN w:val="0"/>
        <w:adjustRightInd w:val="0"/>
        <w:spacing w:before="100" w:beforeAutospacing="1" w:after="100" w:afterAutospacing="1"/>
        <w:ind w:left="851" w:right="851"/>
        <w:jc w:val="both"/>
        <w:rPr>
          <w:rFonts w:ascii="Palatino Linotype" w:eastAsiaTheme="minorHAnsi" w:hAnsi="Palatino Linotype" w:cs="Bookman Old Style"/>
          <w:i/>
          <w:sz w:val="22"/>
          <w:lang w:val="es-MX" w:eastAsia="en-US"/>
        </w:rPr>
      </w:pPr>
      <w:r>
        <w:rPr>
          <w:rFonts w:ascii="Palatino Linotype" w:eastAsiaTheme="minorHAnsi" w:hAnsi="Palatino Linotype" w:cs="Bookman Old Style"/>
          <w:i/>
          <w:sz w:val="22"/>
          <w:lang w:val="es-MX" w:eastAsia="en-US"/>
        </w:rPr>
        <w:t>II. Recibos de pagos de salarios o las constancias documentales del pago de salario cuando sea por depósito o mediante información electrónica;</w:t>
      </w:r>
    </w:p>
    <w:p w:rsidR="00256215" w:rsidRDefault="00256215" w:rsidP="00256215">
      <w:pPr>
        <w:autoSpaceDE w:val="0"/>
        <w:autoSpaceDN w:val="0"/>
        <w:adjustRightInd w:val="0"/>
        <w:spacing w:before="100" w:beforeAutospacing="1" w:after="100" w:afterAutospacing="1"/>
        <w:ind w:left="851" w:right="851"/>
        <w:jc w:val="both"/>
        <w:rPr>
          <w:rFonts w:ascii="Palatino Linotype" w:eastAsiaTheme="minorHAnsi" w:hAnsi="Palatino Linotype" w:cs="Bookman Old Style"/>
          <w:i/>
          <w:sz w:val="22"/>
          <w:lang w:val="es-MX" w:eastAsia="en-US"/>
        </w:rPr>
      </w:pPr>
      <w:r>
        <w:rPr>
          <w:rFonts w:ascii="Palatino Linotype" w:eastAsiaTheme="minorHAnsi" w:hAnsi="Palatino Linotype" w:cs="Bookman Old Style"/>
          <w:i/>
          <w:sz w:val="22"/>
          <w:lang w:val="es-MX" w:eastAsia="en-US"/>
        </w:rPr>
        <w:t>(…)</w:t>
      </w:r>
    </w:p>
    <w:p w:rsidR="00256215" w:rsidRDefault="00256215" w:rsidP="00256215">
      <w:pPr>
        <w:autoSpaceDE w:val="0"/>
        <w:autoSpaceDN w:val="0"/>
        <w:adjustRightInd w:val="0"/>
        <w:spacing w:before="100" w:beforeAutospacing="1" w:after="100" w:afterAutospacing="1"/>
        <w:ind w:left="851" w:right="851"/>
        <w:jc w:val="both"/>
        <w:rPr>
          <w:rFonts w:ascii="Palatino Linotype" w:eastAsiaTheme="minorHAnsi" w:hAnsi="Palatino Linotype" w:cs="Bookman Old Style"/>
          <w:i/>
          <w:sz w:val="22"/>
          <w:lang w:val="es-MX" w:eastAsia="en-US"/>
        </w:rPr>
      </w:pPr>
      <w:r>
        <w:rPr>
          <w:rFonts w:ascii="Palatino Linotype" w:eastAsiaTheme="minorHAnsi" w:hAnsi="Palatino Linotype" w:cs="Bookman Old Style"/>
          <w:i/>
          <w:sz w:val="22"/>
          <w:lang w:val="es-MX" w:eastAsia="en-US"/>
        </w:rPr>
        <w:lastRenderedPageBreak/>
        <w:t>IV. Recibos o las constancias de depósito o del medio de información magnética o electrónica que sean utilizadas para el pago de salarios, prima vacacional, aguinaldo y demás prestaciones establecidas e n la presente ley; y (…)”</w:t>
      </w:r>
    </w:p>
    <w:p w:rsidR="00256215" w:rsidRDefault="00256215" w:rsidP="00256215">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 xml:space="preserve">Derivado del precepto invocado anteriormente, se tiene que la </w:t>
      </w:r>
      <w:r>
        <w:rPr>
          <w:rFonts w:ascii="Palatino Linotype" w:hAnsi="Palatino Linotype" w:cs="Arial"/>
        </w:rPr>
        <w:t xml:space="preserve">Ley del Trabajo en mención, hace referencia </w:t>
      </w:r>
      <w:r>
        <w:rPr>
          <w:rFonts w:ascii="Palatino Linotype" w:eastAsia="Times New Roman" w:hAnsi="Palatino Linotype" w:cs="Arial"/>
          <w:lang w:eastAsia="es-MX"/>
        </w:rPr>
        <w:t xml:space="preserve">a </w:t>
      </w:r>
      <w:r>
        <w:rPr>
          <w:rFonts w:ascii="Palatino Linotype" w:eastAsia="Times New Roman" w:hAnsi="Palatino Linotype" w:cs="Arial"/>
        </w:rPr>
        <w:t xml:space="preserve">los comprobantes que las instituciones públicas realizan para documentar el pago de salarios, prima vacacional, aguinaldo y demás prestaciones otorgadas a un servidor público, denominándolos “recibos o comprobantes de pago”, los cuales constituyen </w:t>
      </w:r>
      <w:r>
        <w:rPr>
          <w:rFonts w:ascii="Palatino Linotype" w:hAnsi="Palatino Linotype" w:cs="Arial"/>
        </w:rPr>
        <w:t xml:space="preserve">un instrumento mediante el cual el Sujeto Obligado acredita las remuneraciones al personal y que </w:t>
      </w:r>
      <w:r>
        <w:rPr>
          <w:rFonts w:ascii="Palatino Linotype" w:eastAsia="Times New Roman" w:hAnsi="Palatino Linotype" w:cs="Arial"/>
        </w:rPr>
        <w:t>de acuerdo al uso de cotidiano se denominan “recibos de nómina”, documento en el cual se observan los montos de las remuneraciones de los servidores públicos.</w:t>
      </w:r>
    </w:p>
    <w:p w:rsidR="00C91289" w:rsidRDefault="00C91289" w:rsidP="00256215">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Correlacionado con lo anterior, se debe entender que el re</w:t>
      </w:r>
      <w:r w:rsidR="00B97969">
        <w:rPr>
          <w:rFonts w:ascii="Palatino Linotype" w:eastAsia="Times New Roman" w:hAnsi="Palatino Linotype" w:cs="Arial"/>
        </w:rPr>
        <w:t>currente no es un profesional ni</w:t>
      </w:r>
      <w:r>
        <w:rPr>
          <w:rFonts w:ascii="Palatino Linotype" w:eastAsia="Times New Roman" w:hAnsi="Palatino Linotype" w:cs="Arial"/>
        </w:rPr>
        <w:t xml:space="preserve"> especialista, es por ello que se precisa que el nombre correcto de los recibos de nómina es </w:t>
      </w:r>
      <w:r w:rsidRPr="00C91289">
        <w:rPr>
          <w:rFonts w:ascii="Palatino Linotype" w:eastAsia="Times New Roman" w:hAnsi="Palatino Linotype" w:cs="Arial"/>
        </w:rPr>
        <w:t>Comprobantes Fiscales Digitales por Internet por concepto de nómina</w:t>
      </w:r>
      <w:r>
        <w:rPr>
          <w:rFonts w:ascii="Palatino Linotype" w:eastAsia="Times New Roman" w:hAnsi="Palatino Linotype" w:cs="Arial"/>
        </w:rPr>
        <w:t>, así lo establecen los Lineamientos para la Elaboración y Presentación del Informe Mensual Municipal 2018, emitidos por el Órgano Superior de Fiscalización del Estado de México, para mayor referencia se plasman a continuación:</w:t>
      </w:r>
    </w:p>
    <w:p w:rsidR="00C91289" w:rsidRDefault="00C91289" w:rsidP="00256215">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w:t>
      </w:r>
    </w:p>
    <w:p w:rsidR="00C91289" w:rsidRDefault="00730A97" w:rsidP="00256215">
      <w:pPr>
        <w:spacing w:before="240" w:after="240" w:line="360" w:lineRule="auto"/>
        <w:jc w:val="both"/>
        <w:rPr>
          <w:rFonts w:ascii="Palatino Linotype" w:eastAsia="Times New Roman" w:hAnsi="Palatino Linotype" w:cs="Arial"/>
        </w:rPr>
      </w:pPr>
      <w:r>
        <w:rPr>
          <w:noProof/>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60604</wp:posOffset>
                </wp:positionH>
                <wp:positionV relativeFrom="paragraph">
                  <wp:posOffset>2054784</wp:posOffset>
                </wp:positionV>
                <wp:extent cx="2340864" cy="555955"/>
                <wp:effectExtent l="19050" t="19050" r="21590" b="15875"/>
                <wp:wrapNone/>
                <wp:docPr id="4" name="Rectángulo 4"/>
                <wp:cNvGraphicFramePr/>
                <a:graphic xmlns:a="http://schemas.openxmlformats.org/drawingml/2006/main">
                  <a:graphicData uri="http://schemas.microsoft.com/office/word/2010/wordprocessingShape">
                    <wps:wsp>
                      <wps:cNvSpPr/>
                      <wps:spPr>
                        <a:xfrm>
                          <a:off x="0" y="0"/>
                          <a:ext cx="2340864" cy="5559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A1D64" id="Rectángulo 4" o:spid="_x0000_s1026" style="position:absolute;margin-left:4.75pt;margin-top:161.8pt;width:184.3pt;height:4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" filled="f" strokecolor="red" strokeweight="2.25pt"/>
            </w:pict>
          </mc:Fallback>
        </mc:AlternateContent>
      </w:r>
      <w:r w:rsidR="00C91289">
        <w:rPr>
          <w:noProof/>
          <w:lang w:val="es-MX" w:eastAsia="es-MX"/>
        </w:rPr>
        <w:drawing>
          <wp:inline distT="0" distB="0" distL="0" distR="0" wp14:anchorId="43FF949A" wp14:editId="5D70AF8C">
            <wp:extent cx="5588812" cy="3013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552" t="17845" r="20475" b="24669"/>
                    <a:stretch/>
                  </pic:blipFill>
                  <pic:spPr bwMode="auto">
                    <a:xfrm>
                      <a:off x="0" y="0"/>
                      <a:ext cx="5609727" cy="3024376"/>
                    </a:xfrm>
                    <a:prstGeom prst="rect">
                      <a:avLst/>
                    </a:prstGeom>
                    <a:ln>
                      <a:noFill/>
                    </a:ln>
                    <a:extLst>
                      <a:ext uri="{53640926-AAD7-44D8-BBD7-CCE9431645EC}">
                        <a14:shadowObscured xmlns:a14="http://schemas.microsoft.com/office/drawing/2010/main"/>
                      </a:ext>
                    </a:extLst>
                  </pic:spPr>
                </pic:pic>
              </a:graphicData>
            </a:graphic>
          </wp:inline>
        </w:drawing>
      </w:r>
    </w:p>
    <w:p w:rsidR="00D53002" w:rsidRDefault="00256215" w:rsidP="00256215">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se advierte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 insiste conforme a la Ley de la materia, son de carácter público, por lo tanto este Instituto estima procedente ordenar </w:t>
      </w:r>
      <w:r w:rsidR="00101AE8">
        <w:rPr>
          <w:rFonts w:ascii="Palatino Linotype" w:hAnsi="Palatino Linotype" w:cs="Arial"/>
        </w:rPr>
        <w:t xml:space="preserve">la entrega de </w:t>
      </w:r>
      <w:r>
        <w:rPr>
          <w:rFonts w:ascii="Palatino Linotype" w:hAnsi="Palatino Linotype" w:cs="Arial"/>
        </w:rPr>
        <w:t xml:space="preserve">los </w:t>
      </w:r>
      <w:r w:rsidR="00C91289" w:rsidRPr="00C91289">
        <w:rPr>
          <w:rFonts w:ascii="Palatino Linotype" w:hAnsi="Palatino Linotype" w:cs="Arial"/>
        </w:rPr>
        <w:t xml:space="preserve">Comprobantes Fiscales Digitales por Internet por concepto de nómina </w:t>
      </w:r>
      <w:r>
        <w:rPr>
          <w:rFonts w:ascii="Palatino Linotype" w:hAnsi="Palatino Linotype" w:cs="Arial"/>
        </w:rPr>
        <w:t xml:space="preserve">de la servidora pública Ana Karen Belli Pedraza referente </w:t>
      </w:r>
      <w:r w:rsidR="00D53002">
        <w:rPr>
          <w:rFonts w:ascii="Palatino Linotype" w:hAnsi="Palatino Linotype" w:cs="Arial"/>
        </w:rPr>
        <w:t>a las quincenas de los meses de enero, febrero, marzo y abril del presente año.</w:t>
      </w:r>
    </w:p>
    <w:p w:rsidR="00D53002" w:rsidRPr="000E7546" w:rsidRDefault="00D53002" w:rsidP="00D5300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Ahora, en lo que respecta al currículum vitae de la servidora pública, se tiene que </w:t>
      </w:r>
      <w:r w:rsidRPr="00B519FB">
        <w:rPr>
          <w:rFonts w:ascii="Palatino Linotype" w:hAnsi="Palatino Linotype" w:cs="Arial"/>
        </w:rPr>
        <w:t xml:space="preserve">la relación laboral entre los servidores públicos y los poderes ejecutivo, legislativo y judicial, </w:t>
      </w:r>
      <w:r>
        <w:rPr>
          <w:rFonts w:ascii="Palatino Linotype" w:hAnsi="Palatino Linotype" w:cs="Arial"/>
        </w:rPr>
        <w:t>y sus dependencias</w:t>
      </w:r>
      <w:r w:rsidRPr="00B519FB">
        <w:rPr>
          <w:rFonts w:ascii="Palatino Linotype" w:hAnsi="Palatino Linotype" w:cs="Arial"/>
        </w:rPr>
        <w:t xml:space="preserve">, se entiende establecida mediante nombramiento, </w:t>
      </w:r>
      <w:r w:rsidRPr="00B519FB">
        <w:rPr>
          <w:rFonts w:ascii="Palatino Linotype" w:hAnsi="Palatino Linotype" w:cs="Arial"/>
        </w:rPr>
        <w:lastRenderedPageBreak/>
        <w:t>formato único de movimiento de personal, contrato o por cualquier otro acto que tenga como consecuencia la prestación personal subordinada del servicio y la percepción de un sue</w:t>
      </w:r>
      <w:r>
        <w:rPr>
          <w:rFonts w:ascii="Palatino Linotype" w:hAnsi="Palatino Linotype" w:cs="Arial"/>
        </w:rPr>
        <w:t>ldo</w:t>
      </w:r>
      <w:r w:rsidRPr="00B519FB">
        <w:rPr>
          <w:rFonts w:ascii="Palatino Linotype" w:hAnsi="Palatino Linotype" w:cs="Arial"/>
        </w:rPr>
        <w:t>, lo anterior encuentra sustento en el artículo 5 de la Ley del Trabajo de los Servidores Públicos del Estado y Municipios, que reza de la siguiente manera:</w:t>
      </w:r>
    </w:p>
    <w:p w:rsidR="00D53002" w:rsidRPr="00B519FB" w:rsidRDefault="00D53002" w:rsidP="00D53002">
      <w:pPr>
        <w:spacing w:before="100" w:beforeAutospacing="1" w:after="100" w:afterAutospacing="1"/>
        <w:ind w:left="851" w:right="851"/>
        <w:jc w:val="both"/>
        <w:rPr>
          <w:rFonts w:ascii="Palatino Linotype" w:hAnsi="Palatino Linotype" w:cs="Arial"/>
          <w:i/>
          <w:sz w:val="22"/>
        </w:rPr>
      </w:pPr>
      <w:r w:rsidRPr="00B519FB">
        <w:rPr>
          <w:rFonts w:ascii="Palatino Linotype" w:hAnsi="Palatino Linotype" w:cs="Arial"/>
          <w:i/>
          <w:sz w:val="22"/>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rsidR="00D53002" w:rsidRPr="004477BD" w:rsidRDefault="00D53002" w:rsidP="00D53002">
      <w:pPr>
        <w:spacing w:before="100" w:beforeAutospacing="1" w:after="100" w:afterAutospacing="1" w:line="360" w:lineRule="auto"/>
        <w:jc w:val="both"/>
        <w:rPr>
          <w:rFonts w:ascii="Palatino Linotype" w:hAnsi="Palatino Linotype" w:cs="Segoe UI"/>
        </w:rPr>
      </w:pPr>
      <w:r>
        <w:rPr>
          <w:rFonts w:ascii="Palatino Linotype" w:hAnsi="Palatino Linotype" w:cs="Arial"/>
        </w:rPr>
        <w:t>Correlacionad</w:t>
      </w:r>
      <w:r w:rsidR="00101AE8">
        <w:rPr>
          <w:rFonts w:ascii="Palatino Linotype" w:hAnsi="Palatino Linotype" w:cs="Arial"/>
        </w:rPr>
        <w:t>o con lo</w:t>
      </w:r>
      <w:r>
        <w:rPr>
          <w:rFonts w:ascii="Palatino Linotype" w:hAnsi="Palatino Linotype" w:cs="Arial"/>
        </w:rPr>
        <w:t xml:space="preserve"> señalado, los servidores públicos que ingresan al servicio público, deben de cumplir ciertos requisitos, de los cuales se desprendería la información solicitada, los requisitos se encuentran establecidos en el artículo 47 </w:t>
      </w:r>
      <w:r w:rsidRPr="00B519FB">
        <w:rPr>
          <w:rFonts w:ascii="Palatino Linotype" w:hAnsi="Palatino Linotype" w:cs="Arial"/>
        </w:rPr>
        <w:t>de la Ley del Trabajo de los Servidores Públicos d</w:t>
      </w:r>
      <w:r>
        <w:rPr>
          <w:rFonts w:ascii="Palatino Linotype" w:hAnsi="Palatino Linotype" w:cs="Arial"/>
        </w:rPr>
        <w:t>el Estado y Municipios, que menciona lo siguiente</w:t>
      </w:r>
      <w:r w:rsidRPr="00B519FB">
        <w:rPr>
          <w:rFonts w:ascii="Palatino Linotype" w:hAnsi="Palatino Linotype" w:cs="Arial"/>
        </w:rPr>
        <w:t>:</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 xml:space="preserve">“ARTÍCULO 47. Para ingresar al servicio público se requiere: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 xml:space="preserve">I. Presentar una solicitud utilizando la forma oficial que se autorice por la institución pública o dependencia correspondiente;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 xml:space="preserve">II. Ser de nacionalidad mexicana, con la excepción prevista en el artículo 17 de la presente ley;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 xml:space="preserve">III. Estar en pleno ejercicio de sus derechos civiles y políticos, en su caso;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 xml:space="preserve">IV. Acreditar, cuando proceda, el cumplimiento de la Ley del Servicio Militar Nacional;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 xml:space="preserve">V. Derogada.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lastRenderedPageBreak/>
        <w:t xml:space="preserve">VI. No haber sido separado anteriormente del servicio por las causas previstas en la fracción V del artículo 89 y en el artículo 93 de la presente ley;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 xml:space="preserve">VII. Tener buena salud, lo que se comprobará con los certificados médicos correspondientes, en la forma en que se establezca en cada institución pública;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 xml:space="preserve">VIII. Cumplir con los requisitos que se establezcan para los diferentes puestos;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 xml:space="preserve">IX. Acreditar por medio de los exámenes correspondientes los conocimientos y aptitudes necesarios para el desempeño del puesto; y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 xml:space="preserve">X. No estar inhabilitado para el ejercicio del servicio público.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 xml:space="preserve">XI. Presentar certificado expedido por la Unidad del Registro de Deudores Alimentarios Morosos en el que conste, si se encuentra inscrito o no en el mismo. </w:t>
      </w:r>
    </w:p>
    <w:p w:rsidR="00D53002" w:rsidRPr="00487F30" w:rsidRDefault="00D53002" w:rsidP="00D53002">
      <w:pPr>
        <w:spacing w:before="100" w:beforeAutospacing="1" w:after="100" w:afterAutospacing="1"/>
        <w:ind w:left="851" w:right="851"/>
        <w:jc w:val="both"/>
        <w:rPr>
          <w:rFonts w:ascii="Palatino Linotype" w:hAnsi="Palatino Linotype" w:cs="Arial"/>
          <w:i/>
          <w:sz w:val="22"/>
        </w:rPr>
      </w:pPr>
      <w:r w:rsidRPr="00487F30">
        <w:rPr>
          <w:rFonts w:ascii="Palatino Linotype" w:hAnsi="Palatino Linotype" w:cs="Arial"/>
          <w:i/>
          <w:sz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D53002" w:rsidRDefault="00D53002" w:rsidP="00D53002">
      <w:pPr>
        <w:spacing w:before="100" w:beforeAutospacing="1" w:after="100" w:afterAutospacing="1" w:line="360" w:lineRule="auto"/>
        <w:jc w:val="both"/>
        <w:rPr>
          <w:rFonts w:ascii="Palatino Linotype" w:hAnsi="Palatino Linotype" w:cs="Arial"/>
        </w:rPr>
      </w:pPr>
      <w:r>
        <w:rPr>
          <w:rFonts w:ascii="Palatino Linotype" w:hAnsi="Palatino Linotype" w:cs="Arial"/>
        </w:rPr>
        <w:t>De los dispositivos arriba señalados se aprecian cuales son elementos que los servidores públicos deben entregar al momento de ingresar al servicio público y los cuales el Sujeto Obligado debe tener.</w:t>
      </w:r>
    </w:p>
    <w:p w:rsidR="00D53002" w:rsidRPr="00A54FC7" w:rsidRDefault="00101AE8" w:rsidP="00D53002">
      <w:pPr>
        <w:spacing w:before="240" w:after="240" w:line="360" w:lineRule="auto"/>
        <w:jc w:val="both"/>
        <w:rPr>
          <w:rFonts w:ascii="Palatino Linotype" w:hAnsi="Palatino Linotype" w:cs="Arial"/>
        </w:rPr>
      </w:pPr>
      <w:r>
        <w:rPr>
          <w:rFonts w:ascii="Palatino Linotype" w:hAnsi="Palatino Linotype" w:cs="Arial"/>
        </w:rPr>
        <w:t xml:space="preserve"> </w:t>
      </w:r>
      <w:r w:rsidR="00D53002" w:rsidRPr="00A54FC7">
        <w:rPr>
          <w:rFonts w:ascii="Palatino Linotype" w:hAnsi="Palatino Linotype" w:cs="Arial"/>
        </w:rPr>
        <w:t>Dichos documentos entre otros aspectos contienen, información relacionada con la formación académica, trayectoria profesional, datos de contacto, datos biográficos, entre otros, los cuales constituyen datos personales, pero también, es una de las formas en que los ciudadanos pueden evaluar sus aptitudes para desempeñar el cargo público que le ha sido encomendado, y es mediante la publicidad de ciertos datos de los ahí contenidos, para el caso concreto la formación académica y profesional de los profesores.</w:t>
      </w:r>
    </w:p>
    <w:p w:rsidR="00D53002" w:rsidRDefault="00D53002" w:rsidP="00D53002">
      <w:pPr>
        <w:spacing w:before="240" w:after="240" w:line="360" w:lineRule="auto"/>
        <w:jc w:val="both"/>
        <w:rPr>
          <w:rFonts w:ascii="Palatino Linotype" w:hAnsi="Palatino Linotype" w:cs="Arial"/>
        </w:rPr>
      </w:pPr>
      <w:r w:rsidRPr="00A54FC7">
        <w:rPr>
          <w:rFonts w:ascii="Palatino Linotype" w:hAnsi="Palatino Linotype" w:cs="Arial"/>
        </w:rPr>
        <w:lastRenderedPageBreak/>
        <w:t>En esa tesitura, entre los datos personales del currículum vitae de un servidor público, se encuentran los relativos a su trayectoria académica, profesional, laboral, así como todos aquellos que acrediten su capacidad, habilidades o pericia para ocupar el cargo público o desempeñar la función que se le encomiende.</w:t>
      </w:r>
    </w:p>
    <w:p w:rsidR="00D53002" w:rsidRPr="00BF6724" w:rsidRDefault="00D53002" w:rsidP="00D53002">
      <w:pPr>
        <w:spacing w:before="240" w:after="240" w:line="360" w:lineRule="auto"/>
        <w:jc w:val="both"/>
        <w:rPr>
          <w:rFonts w:ascii="Palatino Linotype" w:hAnsi="Palatino Linotype" w:cs="Arial"/>
        </w:rPr>
      </w:pPr>
      <w:r w:rsidRPr="00BF6724">
        <w:rPr>
          <w:rFonts w:ascii="Palatino Linotype" w:hAnsi="Palatino Linotype" w:cs="Arial"/>
        </w:rPr>
        <w:t>En este mismo sentido, se pronunció el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rsidR="00D53002" w:rsidRPr="00BF6724" w:rsidRDefault="00D53002" w:rsidP="00D53002">
      <w:pPr>
        <w:spacing w:before="240" w:after="240"/>
        <w:ind w:left="851" w:right="851"/>
        <w:jc w:val="both"/>
        <w:rPr>
          <w:rFonts w:ascii="Palatino Linotype" w:hAnsi="Palatino Linotype" w:cs="Arial"/>
          <w:i/>
          <w:sz w:val="22"/>
        </w:rPr>
      </w:pPr>
      <w:r w:rsidRPr="00BF6724">
        <w:rPr>
          <w:rFonts w:ascii="Palatino Linotype" w:hAnsi="Palatino Linotype" w:cs="Arial"/>
          <w:i/>
          <w:sz w:val="22"/>
        </w:rPr>
        <w:t>“</w:t>
      </w:r>
      <w:r w:rsidRPr="00BF6724">
        <w:rPr>
          <w:rFonts w:ascii="Palatino Linotype" w:hAnsi="Palatino Linotype" w:cs="Arial"/>
          <w:b/>
          <w:i/>
          <w:sz w:val="22"/>
        </w:rPr>
        <w:t xml:space="preserve">Curriculum Vitae de servidores públicos. Es obligación de los sujetos obligados otorgar acceso a versiones públicas de los mismos ante una solicitud de acceso. </w:t>
      </w:r>
      <w:r w:rsidRPr="00BF6724">
        <w:rPr>
          <w:rFonts w:ascii="Palatino Linotype" w:hAnsi="Palatino Linotype" w:cs="Arial"/>
          <w:i/>
          <w:sz w:val="22"/>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w:t>
      </w:r>
      <w:r w:rsidRPr="00BF6724">
        <w:rPr>
          <w:rFonts w:ascii="Palatino Linotype" w:hAnsi="Palatino Linotype" w:cs="Arial"/>
          <w:i/>
          <w:sz w:val="22"/>
        </w:rPr>
        <w:lastRenderedPageBreak/>
        <w:t>todos aquellos que acrediten su capacidad, habilidades o pericia para ocupar el cargo público.”</w:t>
      </w:r>
    </w:p>
    <w:p w:rsidR="00D53002" w:rsidRPr="00BF6724" w:rsidRDefault="00D53002" w:rsidP="00D53002">
      <w:pPr>
        <w:spacing w:before="240" w:after="240" w:line="360" w:lineRule="auto"/>
        <w:jc w:val="both"/>
        <w:rPr>
          <w:rFonts w:ascii="Palatino Linotype" w:hAnsi="Palatino Linotype" w:cs="Arial"/>
        </w:rPr>
      </w:pPr>
      <w:r w:rsidRPr="00BF6724">
        <w:rPr>
          <w:rFonts w:ascii="Palatino Linotype" w:hAnsi="Palatino Linotype" w:cs="Arial"/>
        </w:rPr>
        <w:t>En relación con lo anterior es importante mencionar que es una obligación de transparencia que el Sujeto Obligado ponga a disposición del público en su portal de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que se transcribe a continuación:</w:t>
      </w:r>
    </w:p>
    <w:p w:rsidR="00D53002" w:rsidRPr="00BF6724" w:rsidRDefault="00D53002" w:rsidP="00D53002">
      <w:pPr>
        <w:spacing w:before="100" w:beforeAutospacing="1" w:after="100" w:afterAutospacing="1"/>
        <w:ind w:left="851" w:right="851"/>
        <w:jc w:val="both"/>
        <w:rPr>
          <w:rFonts w:ascii="Palatino Linotype" w:hAnsi="Palatino Linotype" w:cs="Arial"/>
          <w:i/>
          <w:sz w:val="22"/>
          <w:lang w:val="es-MX"/>
        </w:rPr>
      </w:pPr>
      <w:r w:rsidRPr="00BF6724">
        <w:rPr>
          <w:rFonts w:ascii="Palatino Linotype" w:hAnsi="Palatino Linotype" w:cs="Arial"/>
          <w:b/>
          <w:bCs/>
          <w:i/>
          <w:sz w:val="22"/>
          <w:lang w:val="es-MX"/>
        </w:rPr>
        <w:t xml:space="preserve">“Artículo 92. </w:t>
      </w:r>
      <w:r w:rsidRPr="00BF6724">
        <w:rPr>
          <w:rFonts w:ascii="Palatino Linotype" w:hAnsi="Palatino Linotype" w:cs="Arial"/>
          <w:i/>
          <w:sz w:val="22"/>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53002" w:rsidRPr="00BF6724" w:rsidRDefault="00D53002" w:rsidP="00D53002">
      <w:pPr>
        <w:spacing w:before="100" w:beforeAutospacing="1" w:after="100" w:afterAutospacing="1"/>
        <w:ind w:left="851" w:right="851"/>
        <w:jc w:val="both"/>
        <w:rPr>
          <w:rFonts w:ascii="Palatino Linotype" w:hAnsi="Palatino Linotype" w:cs="Arial"/>
          <w:i/>
          <w:sz w:val="22"/>
          <w:lang w:val="es-MX"/>
        </w:rPr>
      </w:pPr>
      <w:r w:rsidRPr="00BF6724">
        <w:rPr>
          <w:rFonts w:ascii="Palatino Linotype" w:hAnsi="Palatino Linotype" w:cs="Arial"/>
          <w:i/>
          <w:sz w:val="22"/>
          <w:lang w:val="es-MX"/>
        </w:rPr>
        <w:t>(…)</w:t>
      </w:r>
    </w:p>
    <w:p w:rsidR="00D53002" w:rsidRPr="00BF6724" w:rsidRDefault="00D53002" w:rsidP="00D53002">
      <w:pPr>
        <w:spacing w:before="100" w:beforeAutospacing="1" w:after="100" w:afterAutospacing="1"/>
        <w:ind w:left="851" w:right="851"/>
        <w:jc w:val="both"/>
        <w:rPr>
          <w:rFonts w:ascii="Palatino Linotype" w:hAnsi="Palatino Linotype" w:cs="Arial"/>
          <w:i/>
          <w:sz w:val="22"/>
          <w:lang w:val="es-MX"/>
        </w:rPr>
      </w:pPr>
      <w:r w:rsidRPr="00BF6724">
        <w:rPr>
          <w:rFonts w:ascii="Palatino Linotype" w:hAnsi="Palatino Linotype" w:cs="Arial"/>
          <w:b/>
          <w:bCs/>
          <w:i/>
          <w:sz w:val="22"/>
          <w:lang w:val="es-MX"/>
        </w:rPr>
        <w:t xml:space="preserve">XXI. </w:t>
      </w:r>
      <w:r w:rsidRPr="00BF6724">
        <w:rPr>
          <w:rFonts w:ascii="Palatino Linotype" w:hAnsi="Palatino Linotype" w:cs="Arial"/>
          <w:i/>
          <w:sz w:val="22"/>
          <w:lang w:val="es-MX"/>
        </w:rPr>
        <w:t>La información curricular, desde el nivel de jefe de departamento o equivalente, hasta el titular del sujeto obligado, así como, en su caso, las sanciones administrativas de que haya sido objeto; (…)”</w:t>
      </w:r>
    </w:p>
    <w:p w:rsidR="008144D6" w:rsidRPr="00370B42" w:rsidRDefault="00D53002" w:rsidP="008144D6">
      <w:pPr>
        <w:spacing w:before="240" w:after="240" w:line="360" w:lineRule="auto"/>
        <w:jc w:val="both"/>
        <w:rPr>
          <w:rFonts w:ascii="Palatino Linotype" w:eastAsia="Times New Roman" w:hAnsi="Palatino Linotype"/>
        </w:rPr>
      </w:pPr>
      <w:r w:rsidRPr="00BF6724">
        <w:rPr>
          <w:rFonts w:ascii="Palatino Linotype" w:hAnsi="Palatino Linotype" w:cs="Arial"/>
        </w:rPr>
        <w:t xml:space="preserve">Como se aprecia en el dispositivo legal antes invocado solamente están constreñidos a tener la información curricular desde el nivel de jefe de departamento o equivalente, </w:t>
      </w:r>
      <w:r w:rsidR="008144D6">
        <w:rPr>
          <w:rFonts w:ascii="Palatino Linotype" w:hAnsi="Palatino Linotype" w:cs="Arial"/>
        </w:rPr>
        <w:t xml:space="preserve">pero también derivado del análisis previo se tiene que los servidores públicos a su ingreso deben cumplir ciertas formalidades y deben acreditar un perfil laboral, para desempeñar sus funciones y es entonces que </w:t>
      </w:r>
      <w:r w:rsidR="008144D6" w:rsidRPr="00370B42">
        <w:rPr>
          <w:rFonts w:ascii="Palatino Linotype" w:eastAsia="Times New Roman" w:hAnsi="Palatino Linotype"/>
        </w:rPr>
        <w:t xml:space="preserve">manera enunciativa mas no limitativa </w:t>
      </w:r>
      <w:r w:rsidR="008144D6">
        <w:rPr>
          <w:rFonts w:ascii="Palatino Linotype" w:eastAsia="Times New Roman" w:hAnsi="Palatino Linotype"/>
        </w:rPr>
        <w:t>el documento que contiene la información, puede ser</w:t>
      </w:r>
      <w:r w:rsidR="008144D6" w:rsidRPr="00370B42">
        <w:rPr>
          <w:rFonts w:ascii="Palatino Linotype" w:eastAsia="Times New Roman" w:hAnsi="Palatino Linotype"/>
        </w:rPr>
        <w:t xml:space="preserve"> la solicitud de empleo, por lo tanto</w:t>
      </w:r>
      <w:r w:rsidR="00101AE8">
        <w:rPr>
          <w:rFonts w:ascii="Palatino Linotype" w:eastAsia="Times New Roman" w:hAnsi="Palatino Linotype"/>
        </w:rPr>
        <w:t>,</w:t>
      </w:r>
      <w:r w:rsidR="008144D6" w:rsidRPr="00370B42">
        <w:rPr>
          <w:rFonts w:ascii="Palatino Linotype" w:eastAsia="Times New Roman" w:hAnsi="Palatino Linotype"/>
        </w:rPr>
        <w:t xml:space="preserve"> el documento deberá ser entregado en versión pública, que más adelante se detalla.</w:t>
      </w:r>
    </w:p>
    <w:p w:rsidR="008144D6" w:rsidRDefault="008144D6" w:rsidP="008144D6">
      <w:pPr>
        <w:spacing w:before="240" w:after="240" w:line="360" w:lineRule="auto"/>
        <w:jc w:val="both"/>
        <w:rPr>
          <w:rFonts w:ascii="Palatino Linotype" w:hAnsi="Palatino Linotype" w:cs="Arial"/>
        </w:rPr>
      </w:pPr>
      <w:r>
        <w:rPr>
          <w:rFonts w:ascii="Palatino Linotype" w:hAnsi="Palatino Linotype" w:cs="Arial"/>
        </w:rPr>
        <w:lastRenderedPageBreak/>
        <w:t>Robustece lo anterior el criterio emitido por el anterior IFAI, ahora INAI que establece lo siguiente:</w:t>
      </w:r>
    </w:p>
    <w:p w:rsidR="008144D6" w:rsidRPr="009A2127" w:rsidRDefault="008144D6" w:rsidP="008144D6">
      <w:pPr>
        <w:spacing w:before="100" w:beforeAutospacing="1" w:after="100" w:afterAutospacing="1"/>
        <w:ind w:left="851" w:right="851"/>
        <w:jc w:val="both"/>
        <w:rPr>
          <w:rFonts w:ascii="Palatino Linotype" w:hAnsi="Palatino Linotype" w:cs="Arial"/>
          <w:i/>
          <w:sz w:val="22"/>
          <w:lang w:val="es-MX"/>
        </w:rPr>
      </w:pPr>
      <w:r w:rsidRPr="009A2127">
        <w:rPr>
          <w:rFonts w:ascii="Palatino Linotype" w:hAnsi="Palatino Linotype" w:cs="Arial"/>
          <w:b/>
          <w:i/>
          <w:sz w:val="22"/>
          <w:lang w:val="es-MX"/>
        </w:rPr>
        <w:t xml:space="preserve">Cuando en una solicitud de información no se identifique un documento en específico, si ésta tiene una expresión documental, el sujeto obligado deberá entregar al particular el documento en específico. </w:t>
      </w:r>
      <w:r w:rsidRPr="009A2127">
        <w:rPr>
          <w:rFonts w:ascii="Palatino Linotype" w:hAnsi="Palatino Linotype" w:cs="Arial"/>
          <w:i/>
          <w:sz w:val="22"/>
          <w:lang w:val="es-MX"/>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8144D6" w:rsidRPr="009A2127" w:rsidRDefault="008144D6" w:rsidP="008144D6">
      <w:pPr>
        <w:spacing w:before="240" w:after="240" w:line="360" w:lineRule="auto"/>
        <w:jc w:val="both"/>
        <w:rPr>
          <w:rFonts w:ascii="Palatino Linotype" w:hAnsi="Palatino Linotype" w:cs="Arial"/>
          <w:lang w:val="es-MX"/>
        </w:rPr>
      </w:pPr>
      <w:r w:rsidRPr="009A2127">
        <w:rPr>
          <w:rFonts w:ascii="Palatino Linotype" w:hAnsi="Palatino Linotype" w:cs="Arial"/>
          <w:lang w:val="es-MX"/>
        </w:rPr>
        <w:t>Ahora bien</w:t>
      </w:r>
      <w:r>
        <w:rPr>
          <w:rFonts w:ascii="Palatino Linotype" w:hAnsi="Palatino Linotype" w:cs="Arial"/>
          <w:lang w:val="es-MX"/>
        </w:rPr>
        <w:t>,</w:t>
      </w:r>
      <w:r w:rsidRPr="009A2127">
        <w:rPr>
          <w:rFonts w:ascii="Palatino Linotype" w:hAnsi="Palatino Linotype" w:cs="Arial"/>
          <w:lang w:val="es-MX"/>
        </w:rPr>
        <w:t xml:space="preserve"> en relación</w:t>
      </w:r>
      <w:r>
        <w:rPr>
          <w:rFonts w:ascii="Palatino Linotype" w:hAnsi="Palatino Linotype" w:cs="Arial"/>
          <w:lang w:val="es-MX"/>
        </w:rPr>
        <w:t xml:space="preserve"> con el criterio anterior, si el Sujeto Obligado no cuenta específicamente con el currículum vitae, si debe contar con la expresión documental, que refleje el perfil profesional y laboral de los servidores públicos, y en términos del artículo 13 y 181 de la Ley de Transparencia y Acceso a la Información Pública del Estado de México y Municipios, aplica la suplencia de la deficiencia de la queja, para subsanar y atender de manera puntual el requerimiento de la parte recurrente y satisfacer plenamente el derecho de acceso a la información pública.</w:t>
      </w:r>
    </w:p>
    <w:p w:rsidR="00CD31EF" w:rsidRDefault="008144D6" w:rsidP="008144D6">
      <w:pPr>
        <w:spacing w:before="240" w:after="240" w:line="360" w:lineRule="auto"/>
        <w:jc w:val="both"/>
        <w:rPr>
          <w:rFonts w:ascii="Palatino Linotype" w:hAnsi="Palatino Linotype" w:cs="Arial"/>
        </w:rPr>
      </w:pPr>
      <w:r w:rsidRPr="00252C54">
        <w:rPr>
          <w:rFonts w:ascii="Palatino Linotype" w:hAnsi="Palatino Linotype" w:cs="Arial"/>
        </w:rPr>
        <w:t xml:space="preserve">Derivado del análisis anterior, es dable ordenar la entrega del documento donde conste </w:t>
      </w:r>
      <w:r w:rsidR="00252C54" w:rsidRPr="00252C54">
        <w:rPr>
          <w:rFonts w:ascii="Palatino Linotype" w:hAnsi="Palatino Linotype" w:cs="Arial"/>
        </w:rPr>
        <w:t>la trayectoria profesional y académica</w:t>
      </w:r>
      <w:r w:rsidRPr="00252C54">
        <w:rPr>
          <w:rFonts w:ascii="Palatino Linotype" w:hAnsi="Palatino Linotype" w:cs="Arial"/>
        </w:rPr>
        <w:t xml:space="preserve"> de la servidora pública Ana Karen Belli Pedraza.</w:t>
      </w:r>
    </w:p>
    <w:p w:rsidR="004E2774" w:rsidRDefault="004E2774" w:rsidP="008144D6">
      <w:pPr>
        <w:spacing w:before="240" w:after="240" w:line="360" w:lineRule="auto"/>
        <w:jc w:val="both"/>
        <w:rPr>
          <w:rFonts w:ascii="Palatino Linotype" w:hAnsi="Palatino Linotype" w:cs="Arial"/>
        </w:rPr>
      </w:pPr>
      <w:r>
        <w:rPr>
          <w:rFonts w:ascii="Palatino Linotype" w:hAnsi="Palatino Linotype" w:cs="Arial"/>
        </w:rPr>
        <w:lastRenderedPageBreak/>
        <w:t xml:space="preserve">Finalmente, respecto al acto impugnado que refiere el recurrente, se hace la aclaración que para el caso concreto no se configura la inexistencia que argumenta, toda vez que dicha figura solo procede cuando el Sujeto Obligado en el ejercicio </w:t>
      </w:r>
      <w:r w:rsidRPr="004E2774">
        <w:rPr>
          <w:rFonts w:ascii="Palatino Linotype" w:hAnsi="Palatino Linotype" w:cs="Arial"/>
        </w:rPr>
        <w:t>de sus atribuciones, debía generar, poseer o administrar la información, pero ésta no se encuentra</w:t>
      </w:r>
      <w:r w:rsidR="00252C54">
        <w:rPr>
          <w:rFonts w:ascii="Palatino Linotype" w:hAnsi="Palatino Linotype" w:cs="Arial"/>
        </w:rPr>
        <w:t>; situación que en ningún momento se presenta, ni argumenta el Municipio, lo anterior encuentra sustento en el artículo 19 de la Ley de la materia que establece lo siguiente:</w:t>
      </w:r>
    </w:p>
    <w:p w:rsidR="00252C54" w:rsidRPr="00127FE8" w:rsidRDefault="00252C54" w:rsidP="00252C54">
      <w:pPr>
        <w:widowControl w:val="0"/>
        <w:autoSpaceDE w:val="0"/>
        <w:autoSpaceDN w:val="0"/>
        <w:adjustRightInd w:val="0"/>
        <w:spacing w:before="100" w:beforeAutospacing="1" w:after="100" w:afterAutospacing="1"/>
        <w:ind w:left="851" w:right="851"/>
        <w:jc w:val="both"/>
        <w:rPr>
          <w:rFonts w:ascii="Palatino Linotype" w:eastAsia="Arial Unicode MS" w:hAnsi="Palatino Linotype" w:cs="Arial"/>
          <w:i/>
          <w:sz w:val="22"/>
        </w:rPr>
      </w:pPr>
      <w:r w:rsidRPr="00127FE8">
        <w:rPr>
          <w:rFonts w:ascii="Palatino Linotype" w:eastAsia="Arial Unicode MS" w:hAnsi="Palatino Linotype" w:cs="Arial"/>
          <w:i/>
          <w:sz w:val="22"/>
        </w:rPr>
        <w:t>“Artículo 19. Se presume que la información debe existir si se refiere a las facultades, competencias y funciones que los ordenamientos jurídicos aplicables otorgan a los sujetos obligados.</w:t>
      </w:r>
    </w:p>
    <w:p w:rsidR="00252C54" w:rsidRPr="00127FE8" w:rsidRDefault="00252C54" w:rsidP="00252C54">
      <w:pPr>
        <w:widowControl w:val="0"/>
        <w:autoSpaceDE w:val="0"/>
        <w:autoSpaceDN w:val="0"/>
        <w:adjustRightInd w:val="0"/>
        <w:spacing w:before="100" w:beforeAutospacing="1" w:after="100" w:afterAutospacing="1"/>
        <w:ind w:left="851" w:right="851"/>
        <w:jc w:val="both"/>
        <w:rPr>
          <w:rFonts w:ascii="Palatino Linotype" w:eastAsia="Arial Unicode MS" w:hAnsi="Palatino Linotype" w:cs="Arial"/>
          <w:i/>
          <w:sz w:val="22"/>
        </w:rPr>
      </w:pPr>
      <w:r w:rsidRPr="00127FE8">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rsidR="00252C54" w:rsidRDefault="00252C54" w:rsidP="00252C54">
      <w:pPr>
        <w:widowControl w:val="0"/>
        <w:autoSpaceDE w:val="0"/>
        <w:autoSpaceDN w:val="0"/>
        <w:adjustRightInd w:val="0"/>
        <w:spacing w:before="100" w:beforeAutospacing="1" w:after="100" w:afterAutospacing="1"/>
        <w:ind w:left="851" w:right="851"/>
        <w:jc w:val="both"/>
        <w:rPr>
          <w:rFonts w:ascii="Palatino Linotype" w:eastAsia="Arial Unicode MS" w:hAnsi="Palatino Linotype" w:cs="Arial"/>
          <w:i/>
          <w:sz w:val="22"/>
        </w:rPr>
      </w:pPr>
      <w:r w:rsidRPr="00252C54">
        <w:rPr>
          <w:rFonts w:ascii="Palatino Linotype" w:eastAsia="Arial Unicode MS" w:hAnsi="Palatino Linotype" w:cs="Arial"/>
          <w:b/>
          <w:i/>
          <w:sz w:val="22"/>
          <w:u w:val="single"/>
        </w:rPr>
        <w:t>Si el sujeto obligado, en el ejercicio de sus atribuciones, debía generar, poseer o administrar la información, pero ésta no se encuentra, el Comité de transparencia deberá emitir un acuerdo de inexistencia</w:t>
      </w:r>
      <w:r w:rsidRPr="00127FE8">
        <w:rPr>
          <w:rFonts w:ascii="Palatino Linotype" w:eastAsia="Arial Unicode MS" w:hAnsi="Palatino Linotype" w:cs="Arial"/>
          <w:i/>
          <w:sz w:val="22"/>
        </w:rPr>
        <w:t>, debidamente fundado y motivado, en el que detalle las razones del por qué no obra en sus archivos.”</w:t>
      </w:r>
    </w:p>
    <w:p w:rsidR="00252C54" w:rsidRPr="00252C54" w:rsidRDefault="00252C54" w:rsidP="00252C54">
      <w:pPr>
        <w:widowControl w:val="0"/>
        <w:autoSpaceDE w:val="0"/>
        <w:autoSpaceDN w:val="0"/>
        <w:adjustRightInd w:val="0"/>
        <w:spacing w:before="100" w:beforeAutospacing="1" w:after="100" w:afterAutospacing="1"/>
        <w:ind w:left="851" w:right="851"/>
        <w:jc w:val="both"/>
        <w:rPr>
          <w:rFonts w:ascii="Palatino Linotype" w:eastAsia="Arial Unicode MS" w:hAnsi="Palatino Linotype" w:cs="Arial"/>
          <w:b/>
          <w:sz w:val="22"/>
        </w:rPr>
      </w:pPr>
      <w:r w:rsidRPr="00252C54">
        <w:rPr>
          <w:rFonts w:ascii="Palatino Linotype" w:eastAsia="Arial Unicode MS" w:hAnsi="Palatino Linotype" w:cs="Arial"/>
          <w:b/>
          <w:sz w:val="22"/>
        </w:rPr>
        <w:t>(Énfasis añadido)</w:t>
      </w:r>
    </w:p>
    <w:p w:rsidR="00AF744B" w:rsidRDefault="00AF744B" w:rsidP="00AF744B">
      <w:pPr>
        <w:spacing w:before="100" w:beforeAutospacing="1" w:after="100" w:afterAutospacing="1" w:line="360" w:lineRule="auto"/>
        <w:ind w:right="-425"/>
        <w:jc w:val="both"/>
        <w:rPr>
          <w:rFonts w:ascii="Palatino Linotype" w:hAnsi="Palatino Linotype"/>
          <w:b/>
          <w:color w:val="000000"/>
        </w:rPr>
      </w:pPr>
      <w:r>
        <w:rPr>
          <w:rFonts w:ascii="Palatino Linotype" w:hAnsi="Palatino Linotype"/>
          <w:b/>
          <w:color w:val="000000"/>
        </w:rPr>
        <w:t>QUINTO. Versión Pública.</w:t>
      </w:r>
      <w:r>
        <w:rPr>
          <w:rFonts w:ascii="Palatino Linotype" w:hAnsi="Palatino Linotype" w:cs="Arial"/>
          <w:bCs/>
        </w:rPr>
        <w:t xml:space="preserve"> Respecto de los documentos que se ordena su entrega, </w:t>
      </w:r>
      <w:r>
        <w:rPr>
          <w:rFonts w:ascii="Palatino Linotype" w:hAnsi="Palatino Linotype" w:cs="Arial"/>
        </w:rPr>
        <w:t xml:space="preserve">resulta oportuno observar lo dispuesto en los artículos 3, fracciones IX, XX, XXI y XLV; 4, 51, 91, 137 y 143, de la Ley de Transparencia y Acceso a la Información Pública del Estado de México y Municipios, de los cuales se desprende que el derecho de acceso a la información pública tiene como limitante el respeto a la intimidad y a la vida privada de las personas, por lo que la entrega de la información, al contener datos personales, </w:t>
      </w:r>
      <w:r>
        <w:rPr>
          <w:rFonts w:ascii="Palatino Linotype" w:hAnsi="Palatino Linotype" w:cs="Arial"/>
        </w:rPr>
        <w:lastRenderedPageBreak/>
        <w:t>deberá realizar una versión pública en la que se suprima aquella información relacionada con la vida privada de los particulares y de los servidores públicos.</w:t>
      </w:r>
    </w:p>
    <w:p w:rsidR="00AF744B" w:rsidRDefault="00AF744B" w:rsidP="00AF744B">
      <w:pPr>
        <w:spacing w:before="100" w:beforeAutospacing="1" w:after="100" w:afterAutospacing="1" w:line="360" w:lineRule="auto"/>
        <w:ind w:right="-425"/>
        <w:jc w:val="both"/>
        <w:rPr>
          <w:rFonts w:ascii="Palatino Linotype" w:hAnsi="Palatino Linotype" w:cs="Arial"/>
        </w:rPr>
      </w:pPr>
      <w:r>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AF744B" w:rsidRDefault="00AF744B" w:rsidP="00AF744B">
      <w:pPr>
        <w:spacing w:before="100" w:beforeAutospacing="1" w:after="100" w:afterAutospacing="1" w:line="360" w:lineRule="auto"/>
        <w:ind w:right="-425"/>
        <w:jc w:val="both"/>
        <w:rPr>
          <w:rFonts w:ascii="Palatino Linotype" w:hAnsi="Palatino Linotype" w:cs="Arial"/>
        </w:rPr>
      </w:pPr>
      <w:r>
        <w:rPr>
          <w:rFonts w:ascii="Palatino Linotype" w:hAnsi="Palatino Linotype" w:cs="Arial"/>
        </w:rPr>
        <w:t>De este modo, en armonía con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F744B" w:rsidRPr="00730A97" w:rsidRDefault="00AF744B" w:rsidP="00730A97">
      <w:pPr>
        <w:spacing w:before="240" w:after="240" w:line="360" w:lineRule="auto"/>
        <w:jc w:val="both"/>
        <w:rPr>
          <w:rFonts w:ascii="Palatino Linotype" w:eastAsia="Times New Roman" w:hAnsi="Palatino Linotype" w:cs="Arial"/>
          <w:lang w:val="es-MX"/>
        </w:rPr>
      </w:pPr>
      <w:r>
        <w:rPr>
          <w:rFonts w:ascii="Palatino Linotype" w:hAnsi="Palatino Linotype" w:cs="Arial"/>
        </w:rPr>
        <w:t xml:space="preserve">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w:t>
      </w:r>
      <w:r w:rsidRPr="00730A97">
        <w:rPr>
          <w:rFonts w:ascii="Palatino Linotype" w:hAnsi="Palatino Linotype" w:cs="Arial"/>
          <w:b/>
        </w:rPr>
        <w:t>Registro Federal de Contribuyentes</w:t>
      </w:r>
      <w:r>
        <w:rPr>
          <w:rFonts w:ascii="Palatino Linotype" w:hAnsi="Palatino Linotype" w:cs="Arial"/>
        </w:rPr>
        <w:t xml:space="preserve"> (RFC), la </w:t>
      </w:r>
      <w:r w:rsidRPr="00730A97">
        <w:rPr>
          <w:rFonts w:ascii="Palatino Linotype" w:hAnsi="Palatino Linotype" w:cs="Arial"/>
          <w:b/>
        </w:rPr>
        <w:t>Clave Única de Registro de Población</w:t>
      </w:r>
      <w:r>
        <w:rPr>
          <w:rFonts w:ascii="Palatino Linotype" w:hAnsi="Palatino Linotype" w:cs="Arial"/>
        </w:rPr>
        <w:t xml:space="preserve"> (CURP), así como números de cuentas bancarias, la </w:t>
      </w:r>
      <w:r w:rsidRPr="00730A97">
        <w:rPr>
          <w:rFonts w:ascii="Palatino Linotype" w:hAnsi="Palatino Linotype" w:cs="Arial"/>
          <w:b/>
        </w:rPr>
        <w:t>Clave</w:t>
      </w:r>
      <w:r>
        <w:rPr>
          <w:rFonts w:ascii="Palatino Linotype" w:hAnsi="Palatino Linotype" w:cs="Arial"/>
        </w:rPr>
        <w:t xml:space="preserve"> de cualquier tipo de </w:t>
      </w:r>
      <w:r w:rsidRPr="00730A97">
        <w:rPr>
          <w:rFonts w:ascii="Palatino Linotype" w:hAnsi="Palatino Linotype" w:cs="Arial"/>
          <w:b/>
        </w:rPr>
        <w:t>seguridad social</w:t>
      </w:r>
      <w:r>
        <w:rPr>
          <w:rFonts w:ascii="Palatino Linotype" w:hAnsi="Palatino Linotype" w:cs="Arial"/>
        </w:rPr>
        <w:t xml:space="preserve"> (ISSEMYM, u otros), clave de servidor público, así como, los préstamos o descuentos que se le hagan a la persona y que no tengan relación con los impuestos o la cuota por seguridad social,</w:t>
      </w:r>
      <w:r w:rsidR="004E2774">
        <w:rPr>
          <w:rFonts w:ascii="Palatino Linotype" w:hAnsi="Palatino Linotype" w:cs="Arial"/>
        </w:rPr>
        <w:t xml:space="preserve"> fotografía</w:t>
      </w:r>
      <w:r w:rsidR="00730A97">
        <w:rPr>
          <w:rFonts w:ascii="Palatino Linotype" w:hAnsi="Palatino Linotype" w:cs="Arial"/>
        </w:rPr>
        <w:t xml:space="preserve">, firma, </w:t>
      </w:r>
      <w:r w:rsidR="00730A97">
        <w:rPr>
          <w:rFonts w:ascii="Palatino Linotype" w:eastAsia="Times New Roman" w:hAnsi="Palatino Linotype" w:cs="Arial"/>
        </w:rPr>
        <w:t xml:space="preserve">así como las </w:t>
      </w:r>
      <w:r w:rsidR="00730A97">
        <w:rPr>
          <w:rFonts w:ascii="Palatino Linotype" w:eastAsia="Times New Roman" w:hAnsi="Palatino Linotype" w:cs="Arial"/>
          <w:b/>
        </w:rPr>
        <w:t>Cadenas Originales de Sellos</w:t>
      </w:r>
      <w:r w:rsidR="00730A97">
        <w:rPr>
          <w:rFonts w:ascii="Palatino Linotype" w:eastAsia="Times New Roman" w:hAnsi="Palatino Linotype" w:cs="Arial"/>
        </w:rPr>
        <w:t xml:space="preserve"> </w:t>
      </w:r>
      <w:r w:rsidR="00730A97">
        <w:rPr>
          <w:rFonts w:ascii="Palatino Linotype" w:eastAsia="Times New Roman" w:hAnsi="Palatino Linotype" w:cs="Arial"/>
          <w:b/>
        </w:rPr>
        <w:lastRenderedPageBreak/>
        <w:t>Digitales</w:t>
      </w:r>
      <w:r w:rsidR="00730A97">
        <w:rPr>
          <w:rFonts w:ascii="Palatino Linotype" w:eastAsia="Times New Roman" w:hAnsi="Palatino Linotype" w:cs="Arial"/>
        </w:rPr>
        <w:t xml:space="preserve">, los </w:t>
      </w:r>
      <w:r w:rsidR="00730A97">
        <w:rPr>
          <w:rFonts w:ascii="Palatino Linotype" w:eastAsia="Times New Roman" w:hAnsi="Palatino Linotype" w:cs="Arial"/>
          <w:b/>
        </w:rPr>
        <w:t>Códigos Bidimensionales</w:t>
      </w:r>
      <w:r w:rsidR="00730A97">
        <w:rPr>
          <w:rFonts w:ascii="Palatino Linotype" w:eastAsia="Times New Roman" w:hAnsi="Palatino Linotype" w:cs="Arial"/>
        </w:rPr>
        <w:t xml:space="preserve">, también denominados </w:t>
      </w:r>
      <w:r w:rsidR="00730A97">
        <w:rPr>
          <w:rFonts w:ascii="Palatino Linotype" w:eastAsia="Times New Roman" w:hAnsi="Palatino Linotype" w:cs="Arial"/>
          <w:b/>
        </w:rPr>
        <w:t xml:space="preserve">Códigos QR </w:t>
      </w:r>
      <w:r w:rsidR="00730A97">
        <w:rPr>
          <w:rFonts w:ascii="Palatino Linotype" w:eastAsia="Times New Roman" w:hAnsi="Palatino Linotype" w:cs="Arial"/>
        </w:rPr>
        <w:t>y números de cuenta.</w:t>
      </w:r>
    </w:p>
    <w:p w:rsidR="00AF744B" w:rsidRDefault="00AF744B" w:rsidP="00AF744B">
      <w:pPr>
        <w:autoSpaceDE w:val="0"/>
        <w:autoSpaceDN w:val="0"/>
        <w:adjustRightInd w:val="0"/>
        <w:spacing w:before="100" w:beforeAutospacing="1" w:after="100" w:afterAutospacing="1" w:line="360" w:lineRule="auto"/>
        <w:ind w:right="-425"/>
        <w:jc w:val="both"/>
        <w:rPr>
          <w:rFonts w:ascii="Palatino Linotype" w:eastAsia="Times New Roman" w:hAnsi="Palatino Linotype" w:cs="Arial"/>
        </w:rPr>
      </w:pPr>
      <w:r>
        <w:rPr>
          <w:rFonts w:ascii="Palatino Linotype" w:eastAsia="Times New Roman" w:hAnsi="Palatino Linotype" w:cs="Arial"/>
          <w:lang w:eastAsia="es-MX"/>
        </w:rPr>
        <w:t>En cuanto al RFC, este constituye un dato personal, ya que para su obtención es necesario acreditar ante la autoridad fiscal previamente la identidad de la persona, su fecha de nacimiento, entre otros aspectos.</w:t>
      </w:r>
    </w:p>
    <w:p w:rsidR="00AF744B" w:rsidRDefault="00AF744B" w:rsidP="00AF744B">
      <w:pPr>
        <w:spacing w:before="100" w:beforeAutospacing="1" w:after="100" w:afterAutospacing="1" w:line="360" w:lineRule="auto"/>
        <w:ind w:right="-425"/>
        <w:jc w:val="both"/>
        <w:rPr>
          <w:rFonts w:ascii="Palatino Linotype" w:eastAsia="Times New Roman" w:hAnsi="Palatino Linotype" w:cs="Arial"/>
          <w:lang w:eastAsia="es-MX"/>
        </w:rPr>
      </w:pPr>
      <w:r>
        <w:rPr>
          <w:rFonts w:ascii="Palatino Linotype" w:eastAsia="Times New Roman"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F744B" w:rsidRPr="00380365" w:rsidRDefault="00AF744B" w:rsidP="00AF744B">
      <w:pPr>
        <w:spacing w:before="100" w:beforeAutospacing="1" w:after="100" w:afterAutospacing="1" w:line="360" w:lineRule="auto"/>
        <w:ind w:right="-425"/>
        <w:jc w:val="both"/>
        <w:rPr>
          <w:rFonts w:ascii="Palatino Linotype" w:eastAsia="Times New Roman" w:hAnsi="Palatino Linotype" w:cs="Arial"/>
          <w:lang w:eastAsia="es-MX"/>
        </w:rPr>
      </w:pPr>
      <w:r w:rsidRPr="00380365">
        <w:rPr>
          <w:rFonts w:ascii="Palatino Linotype" w:eastAsia="Times New Roman" w:hAnsi="Palatino Linotype" w:cs="Arial"/>
          <w:lang w:eastAsia="es-MX"/>
        </w:rPr>
        <w:t xml:space="preserve">Lo anterior es compartido por el </w:t>
      </w:r>
      <w:r w:rsidRPr="00AF744B">
        <w:rPr>
          <w:rFonts w:ascii="Palatino Linotype" w:eastAsia="Times New Roman" w:hAnsi="Palatino Linotype" w:cs="Arial"/>
          <w:lang w:eastAsia="es-MX"/>
        </w:rPr>
        <w:t>Instituto Nacional de Acceso a la Información Pública y Protección de Datos Personales (INAI)</w:t>
      </w:r>
      <w:r>
        <w:rPr>
          <w:rFonts w:ascii="Palatino Linotype" w:eastAsia="Times New Roman" w:hAnsi="Palatino Linotype" w:cs="Arial"/>
          <w:lang w:eastAsia="es-MX"/>
        </w:rPr>
        <w:t xml:space="preserve"> a través del Criterio 19/17</w:t>
      </w:r>
      <w:r w:rsidRPr="00380365">
        <w:rPr>
          <w:rFonts w:ascii="Palatino Linotype" w:eastAsia="Times New Roman" w:hAnsi="Palatino Linotype" w:cs="Arial"/>
          <w:lang w:eastAsia="es-MX"/>
        </w:rPr>
        <w:t>, el cual es del tenor literal siguiente:</w:t>
      </w:r>
    </w:p>
    <w:p w:rsidR="00AF744B" w:rsidRPr="00553932" w:rsidRDefault="00AF744B" w:rsidP="00AF744B">
      <w:pPr>
        <w:autoSpaceDE w:val="0"/>
        <w:autoSpaceDN w:val="0"/>
        <w:adjustRightInd w:val="0"/>
        <w:spacing w:before="100" w:beforeAutospacing="1" w:after="100" w:afterAutospacing="1"/>
        <w:ind w:left="851" w:right="851"/>
        <w:jc w:val="both"/>
        <w:rPr>
          <w:rFonts w:ascii="Palatino Linotype" w:eastAsia="Times New Roman" w:hAnsi="Palatino Linotype" w:cs="Arial"/>
          <w:b/>
          <w:bCs/>
          <w:i/>
          <w:sz w:val="22"/>
          <w:szCs w:val="22"/>
          <w:lang w:val="es-MX"/>
        </w:rPr>
      </w:pPr>
      <w:r w:rsidRPr="00380365">
        <w:rPr>
          <w:rFonts w:ascii="Palatino Linotype" w:eastAsia="Times New Roman" w:hAnsi="Palatino Linotype" w:cs="Arial"/>
          <w:b/>
          <w:bCs/>
          <w:i/>
          <w:sz w:val="22"/>
          <w:szCs w:val="22"/>
        </w:rPr>
        <w:t>“</w:t>
      </w:r>
      <w:r w:rsidRPr="001826C2">
        <w:rPr>
          <w:rFonts w:ascii="Palatino Linotype" w:eastAsia="Times New Roman" w:hAnsi="Palatino Linotype" w:cs="Arial"/>
          <w:b/>
          <w:bCs/>
          <w:i/>
          <w:sz w:val="22"/>
          <w:szCs w:val="22"/>
          <w:lang w:val="es-MX"/>
        </w:rPr>
        <w:t>Registro Federal de Contribuyentes (RFC) de personas físicas.</w:t>
      </w:r>
      <w:r w:rsidRPr="001826C2">
        <w:rPr>
          <w:rFonts w:ascii="Palatino Linotype" w:eastAsia="Times New Roman" w:hAnsi="Palatino Linotype" w:cs="Arial"/>
          <w:bCs/>
          <w:i/>
          <w:sz w:val="22"/>
          <w:szCs w:val="22"/>
          <w:lang w:val="es-MX"/>
        </w:rPr>
        <w:t xml:space="preserve"> El RFC es una clave de carácter fiscal, única e irrepetible, que permite identificar al titular, su edad y fecha de nacimiento, por lo que es un dato personal de carácter confidencial</w:t>
      </w:r>
      <w:r w:rsidRPr="001826C2">
        <w:rPr>
          <w:rFonts w:ascii="Palatino Linotype" w:eastAsia="Times New Roman" w:hAnsi="Palatino Linotype" w:cs="Arial"/>
          <w:b/>
          <w:bCs/>
          <w:i/>
          <w:sz w:val="22"/>
          <w:szCs w:val="22"/>
          <w:lang w:val="es-MX"/>
        </w:rPr>
        <w:t>.</w:t>
      </w:r>
      <w:r>
        <w:rPr>
          <w:rFonts w:ascii="Palatino Linotype" w:eastAsia="Times New Roman" w:hAnsi="Palatino Linotype" w:cs="Arial"/>
          <w:b/>
          <w:bCs/>
          <w:i/>
          <w:sz w:val="22"/>
          <w:szCs w:val="22"/>
          <w:lang w:val="es-MX"/>
        </w:rPr>
        <w:t>”</w:t>
      </w:r>
    </w:p>
    <w:p w:rsidR="00AF744B" w:rsidRDefault="00AF744B" w:rsidP="00AF744B">
      <w:pPr>
        <w:spacing w:before="100" w:beforeAutospacing="1" w:after="100" w:afterAutospacing="1" w:line="360" w:lineRule="auto"/>
        <w:ind w:right="-425"/>
        <w:jc w:val="both"/>
        <w:rPr>
          <w:rFonts w:ascii="Palatino Linotype" w:hAnsi="Palatino Linotype" w:cs="Arial"/>
          <w:lang w:eastAsia="es-MX"/>
        </w:rPr>
      </w:pPr>
      <w:r>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w:t>
      </w:r>
    </w:p>
    <w:p w:rsidR="00AF744B" w:rsidRDefault="00AF744B" w:rsidP="00AF744B">
      <w:pPr>
        <w:pStyle w:val="Sinespaciado"/>
        <w:spacing w:before="100" w:beforeAutospacing="1" w:after="100" w:afterAutospacing="1" w:line="360" w:lineRule="auto"/>
        <w:ind w:right="-425"/>
        <w:jc w:val="both"/>
        <w:rPr>
          <w:rFonts w:ascii="Palatino Linotype" w:hAnsi="Palatino Linotype"/>
          <w:lang w:eastAsia="es-MX"/>
        </w:rPr>
      </w:pPr>
      <w:r>
        <w:rPr>
          <w:rFonts w:ascii="Palatino Linotype" w:hAnsi="Palatino Linotype"/>
          <w:lang w:eastAsia="es-MX"/>
        </w:rPr>
        <w:lastRenderedPageBreak/>
        <w:t>Respecto de los números de cuentas bancarias, claves estandarizadas (interbancarias) (CLABES) y de tarjetas, ha sido criterio de este Pleno que esa información que debe ser pública ya que no hay información en ella que sea susceptible o vulnere derechos personales.</w:t>
      </w:r>
    </w:p>
    <w:p w:rsidR="00AF744B" w:rsidRDefault="00AF744B" w:rsidP="00AF744B">
      <w:pPr>
        <w:pStyle w:val="Sinespaciado"/>
        <w:spacing w:before="100" w:beforeAutospacing="1" w:after="100" w:afterAutospacing="1" w:line="360" w:lineRule="auto"/>
        <w:ind w:right="-425"/>
        <w:jc w:val="both"/>
        <w:rPr>
          <w:rFonts w:ascii="Palatino Linotype" w:eastAsia="Calibri" w:hAnsi="Palatino Linotype" w:cs="Arial"/>
          <w:lang w:eastAsia="es-MX"/>
        </w:rPr>
      </w:pPr>
      <w:r>
        <w:rPr>
          <w:rFonts w:ascii="Palatino Linotype" w:hAnsi="Palatino Linotype" w:cs="Arial"/>
          <w:lang w:eastAsia="es-MX"/>
        </w:rPr>
        <w:t xml:space="preserve">En cuanto al </w:t>
      </w:r>
      <w:r>
        <w:rPr>
          <w:rFonts w:ascii="Palatino Linotype" w:hAnsi="Palatino Linotype" w:cs="Arial"/>
        </w:rPr>
        <w:t xml:space="preserve">CURP, en virtud de que éste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F744B" w:rsidRDefault="00AF744B" w:rsidP="00AF744B">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 xml:space="preserve">Argumento que es compartido por el entonces </w:t>
      </w:r>
      <w:r>
        <w:rPr>
          <w:rFonts w:ascii="Palatino Linotype" w:eastAsia="Times New Roman" w:hAnsi="Palatino Linotype" w:cs="Arial"/>
          <w:lang w:eastAsia="es-MX"/>
        </w:rPr>
        <w:t>Instituto Nacional de Acceso a la Información Pública y Protección de Datos Personales (INAI)</w:t>
      </w:r>
      <w:r>
        <w:rPr>
          <w:rFonts w:ascii="Palatino Linotype" w:eastAsia="Times New Roman" w:hAnsi="Palatino Linotype" w:cs="Arial"/>
          <w:bCs/>
        </w:rPr>
        <w:t xml:space="preserve">, conforme al </w:t>
      </w:r>
      <w:r>
        <w:rPr>
          <w:rFonts w:ascii="Palatino Linotype" w:eastAsia="Times New Roman" w:hAnsi="Palatino Linotype" w:cs="Arial"/>
        </w:rPr>
        <w:t xml:space="preserve">criterio número 18/17, el cual refiere: </w:t>
      </w:r>
    </w:p>
    <w:p w:rsidR="00AF744B" w:rsidRDefault="00AF744B" w:rsidP="00AF744B">
      <w:pPr>
        <w:autoSpaceDE w:val="0"/>
        <w:autoSpaceDN w:val="0"/>
        <w:adjustRightInd w:val="0"/>
        <w:spacing w:before="240" w:after="240"/>
        <w:ind w:left="851" w:right="900"/>
        <w:jc w:val="both"/>
        <w:rPr>
          <w:rFonts w:ascii="Palatino Linotype" w:eastAsia="Times New Roman" w:hAnsi="Palatino Linotype" w:cs="Arial"/>
          <w:i/>
          <w:sz w:val="22"/>
          <w:lang w:eastAsia="es-MX"/>
        </w:rPr>
      </w:pPr>
      <w:r>
        <w:rPr>
          <w:rFonts w:ascii="Palatino Linotype" w:eastAsia="Times New Roman" w:hAnsi="Palatino Linotype" w:cs="Arial"/>
          <w:b/>
          <w:bCs/>
          <w:i/>
          <w:sz w:val="22"/>
          <w:lang w:eastAsia="es-MX"/>
        </w:rPr>
        <w:t>“</w:t>
      </w:r>
      <w:r w:rsidRPr="001826C2">
        <w:rPr>
          <w:rFonts w:ascii="Palatino Linotype" w:eastAsia="Times New Roman" w:hAnsi="Palatino Linotype" w:cs="Arial"/>
          <w:b/>
          <w:bCs/>
          <w:i/>
          <w:sz w:val="22"/>
          <w:lang w:eastAsia="es-MX"/>
        </w:rPr>
        <w:t xml:space="preserve">Clave Única de Registro de Población (CURP). </w:t>
      </w:r>
      <w:r w:rsidRPr="001826C2">
        <w:rPr>
          <w:rFonts w:ascii="Palatino Linotype" w:eastAsia="Times New Roman" w:hAnsi="Palatino Linotype" w:cs="Arial"/>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1826C2">
        <w:rPr>
          <w:rFonts w:ascii="Palatino Linotype" w:eastAsia="Times New Roman" w:hAnsi="Palatino Linotype" w:cs="Arial"/>
          <w:b/>
          <w:bCs/>
          <w:i/>
          <w:sz w:val="22"/>
          <w:lang w:eastAsia="es-MX"/>
        </w:rPr>
        <w:t>.</w:t>
      </w:r>
      <w:r>
        <w:rPr>
          <w:rFonts w:ascii="Palatino Linotype" w:eastAsia="Times New Roman" w:hAnsi="Palatino Linotype" w:cs="Arial"/>
          <w:i/>
          <w:sz w:val="22"/>
          <w:lang w:eastAsia="es-MX"/>
        </w:rPr>
        <w:t>” (Sic)</w:t>
      </w:r>
    </w:p>
    <w:p w:rsidR="00AF744B" w:rsidRDefault="00AF744B" w:rsidP="00AF744B">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AF744B" w:rsidRDefault="00AF744B" w:rsidP="00AF744B">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rPr>
        <w:t xml:space="preserve">Respecto de los préstamos o descuentos de carácter personal, éstos no deben tener relación con la prestación del servicio, es decir, son confidenciales, en virtud de  no </w:t>
      </w:r>
      <w:r>
        <w:rPr>
          <w:rFonts w:ascii="Palatino Linotype" w:hAnsi="Palatino Linotype" w:cs="Arial"/>
          <w:lang w:eastAsia="es-MX"/>
        </w:rPr>
        <w:t xml:space="preserve">favorecer  en la transparencia y rendición de cuentas, sino, por el contrario, con ello </w:t>
      </w:r>
      <w:r>
        <w:rPr>
          <w:rFonts w:ascii="Palatino Linotype" w:hAnsi="Palatino Linotype" w:cs="Arial"/>
          <w:lang w:eastAsia="es-MX"/>
        </w:rPr>
        <w:lastRenderedPageBreak/>
        <w:t>se violentaría la</w:t>
      </w:r>
      <w:r>
        <w:rPr>
          <w:rFonts w:ascii="Palatino Linotype" w:hAnsi="Palatino Linotype"/>
        </w:rPr>
        <w:t xml:space="preserve"> </w:t>
      </w:r>
      <w:r>
        <w:rPr>
          <w:rFonts w:ascii="Palatino Linotype" w:hAnsi="Palatino Linotype" w:cs="Arial"/>
          <w:lang w:eastAsia="es-MX"/>
        </w:rPr>
        <w:t>protección de datos personales, porque incide en la intimidad de las personas.</w:t>
      </w:r>
    </w:p>
    <w:p w:rsidR="004E2774" w:rsidRPr="00323237" w:rsidRDefault="004E2774" w:rsidP="004E2774">
      <w:pPr>
        <w:spacing w:line="360" w:lineRule="auto"/>
        <w:jc w:val="both"/>
        <w:rPr>
          <w:rFonts w:ascii="Palatino Linotype" w:eastAsiaTheme="minorHAnsi" w:hAnsi="Palatino Linotype" w:cs="Bookman Old Style"/>
          <w:lang w:val="es-MX" w:eastAsia="en-US"/>
        </w:rPr>
      </w:pPr>
      <w:r w:rsidRPr="00323237">
        <w:rPr>
          <w:rFonts w:ascii="Palatino Linotype" w:eastAsiaTheme="minorHAnsi" w:hAnsi="Palatino Linotype" w:cs="Bookman Old Style"/>
          <w:lang w:val="es-MX" w:eastAsia="en-US"/>
        </w:rPr>
        <w:t>Respecto a la fotografía constituye un dato personal, lo anterior es evidente en atención a que hace identificable a la persona, por lo que son  susceptibles de ser testados con el objeto de protegerlos, en términos del artículo 4 fracción XI de la Ley de Protección de Datos Personales en Posesión de Sujetos Obligados del Estado de México y Municipios que contiene lo siguiente:</w:t>
      </w:r>
    </w:p>
    <w:p w:rsidR="004E2774" w:rsidRPr="00323237" w:rsidRDefault="004E2774" w:rsidP="004E2774">
      <w:pPr>
        <w:spacing w:line="360" w:lineRule="auto"/>
        <w:jc w:val="both"/>
        <w:rPr>
          <w:rFonts w:ascii="Palatino Linotype" w:eastAsiaTheme="minorHAnsi" w:hAnsi="Palatino Linotype" w:cs="Bookman Old Style"/>
          <w:sz w:val="22"/>
          <w:lang w:val="es-MX" w:eastAsia="en-US"/>
        </w:rPr>
      </w:pPr>
    </w:p>
    <w:p w:rsidR="004E2774" w:rsidRPr="00323237" w:rsidRDefault="004E2774" w:rsidP="004E2774">
      <w:pPr>
        <w:ind w:left="851" w:right="990"/>
        <w:jc w:val="both"/>
        <w:rPr>
          <w:rFonts w:ascii="Palatino Linotype" w:eastAsiaTheme="minorHAnsi" w:hAnsi="Palatino Linotype" w:cs="Bookman Old Style"/>
          <w:i/>
          <w:sz w:val="22"/>
          <w:szCs w:val="22"/>
          <w:lang w:val="es-MX" w:eastAsia="en-US"/>
        </w:rPr>
      </w:pPr>
      <w:r w:rsidRPr="00323237">
        <w:rPr>
          <w:rFonts w:ascii="Palatino Linotype" w:eastAsiaTheme="minorHAnsi" w:hAnsi="Palatino Linotype" w:cs="Bookman Old Style"/>
          <w:b/>
          <w:i/>
          <w:sz w:val="22"/>
          <w:szCs w:val="22"/>
          <w:lang w:val="es-MX" w:eastAsia="en-US"/>
        </w:rPr>
        <w:t>“Artículo 4</w:t>
      </w:r>
      <w:r w:rsidRPr="00323237">
        <w:rPr>
          <w:rFonts w:ascii="Palatino Linotype" w:eastAsiaTheme="minorHAnsi" w:hAnsi="Palatino Linotype" w:cs="Bookman Old Style"/>
          <w:i/>
          <w:sz w:val="22"/>
          <w:szCs w:val="22"/>
          <w:lang w:val="es-MX" w:eastAsia="en-US"/>
        </w:rPr>
        <w:t xml:space="preserve">.- Para los efectos de esta Ley se entiende por: </w:t>
      </w:r>
    </w:p>
    <w:p w:rsidR="004E2774" w:rsidRPr="00323237" w:rsidRDefault="004E2774" w:rsidP="004E2774">
      <w:pPr>
        <w:ind w:left="851" w:right="990"/>
        <w:jc w:val="both"/>
        <w:rPr>
          <w:rFonts w:ascii="Palatino Linotype" w:eastAsiaTheme="minorHAnsi" w:hAnsi="Palatino Linotype" w:cs="Bookman Old Style"/>
          <w:i/>
          <w:sz w:val="22"/>
          <w:szCs w:val="22"/>
          <w:lang w:val="es-MX" w:eastAsia="en-US"/>
        </w:rPr>
      </w:pPr>
      <w:r w:rsidRPr="00323237">
        <w:rPr>
          <w:rFonts w:ascii="Palatino Linotype" w:eastAsiaTheme="minorHAnsi" w:hAnsi="Palatino Linotype" w:cs="Bookman Old Style"/>
          <w:i/>
          <w:sz w:val="22"/>
          <w:szCs w:val="22"/>
          <w:lang w:val="es-MX" w:eastAsia="en-US"/>
        </w:rPr>
        <w:t>(…)</w:t>
      </w:r>
    </w:p>
    <w:p w:rsidR="004E2774" w:rsidRPr="00323237" w:rsidRDefault="004E2774" w:rsidP="004E2774">
      <w:pPr>
        <w:ind w:left="851" w:right="990"/>
        <w:jc w:val="both"/>
        <w:rPr>
          <w:rFonts w:ascii="Palatino Linotype" w:eastAsiaTheme="minorHAnsi" w:hAnsi="Palatino Linotype" w:cs="Bookman Old Style"/>
          <w:b/>
          <w:i/>
          <w:sz w:val="22"/>
          <w:szCs w:val="22"/>
          <w:lang w:val="es-MX" w:eastAsia="en-US"/>
        </w:rPr>
      </w:pPr>
      <w:r w:rsidRPr="00323237">
        <w:rPr>
          <w:rFonts w:ascii="Palatino Linotype" w:eastAsiaTheme="minorHAnsi" w:hAnsi="Palatino Linotype" w:cs="Bookman Old Style"/>
          <w:b/>
          <w:i/>
          <w:sz w:val="22"/>
          <w:szCs w:val="22"/>
          <w:lang w:val="es-MX" w:eastAsia="en-US"/>
        </w:rPr>
        <w:t xml:space="preserve">XI. Datos personales: </w:t>
      </w:r>
      <w:r w:rsidRPr="00323237">
        <w:rPr>
          <w:rFonts w:ascii="Palatino Linotype" w:eastAsiaTheme="minorHAnsi" w:hAnsi="Palatino Linotype" w:cs="Bookman Old Style"/>
          <w:i/>
          <w:sz w:val="22"/>
          <w:szCs w:val="22"/>
          <w:lang w:val="es-MX" w:eastAsia="en-U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Pr="00323237">
        <w:rPr>
          <w:rFonts w:ascii="Palatino Linotype" w:eastAsiaTheme="minorHAnsi" w:hAnsi="Palatino Linotype" w:cs="Bookman Old Style"/>
          <w:b/>
          <w:i/>
          <w:sz w:val="22"/>
          <w:szCs w:val="22"/>
          <w:lang w:val="es-MX" w:eastAsia="en-US"/>
        </w:rPr>
        <w:t xml:space="preserve"> </w:t>
      </w:r>
      <w:r w:rsidRPr="00323237">
        <w:rPr>
          <w:rFonts w:ascii="Palatino Linotype" w:eastAsiaTheme="minorHAnsi" w:hAnsi="Palatino Linotype" w:cs="Bookman Old Style"/>
          <w:i/>
          <w:sz w:val="22"/>
          <w:szCs w:val="22"/>
          <w:lang w:val="es-MX" w:eastAsia="en-US"/>
        </w:rPr>
        <w:t>(…)“</w:t>
      </w:r>
    </w:p>
    <w:p w:rsidR="004E2774" w:rsidRDefault="004E2774" w:rsidP="004E2774">
      <w:pPr>
        <w:spacing w:before="100" w:beforeAutospacing="1" w:after="100" w:afterAutospacing="1" w:line="360" w:lineRule="auto"/>
        <w:ind w:right="-3"/>
        <w:jc w:val="both"/>
        <w:rPr>
          <w:rFonts w:ascii="Palatino Linotype" w:hAnsi="Palatino Linotype" w:cs="Arial"/>
          <w:color w:val="000000" w:themeColor="text1"/>
          <w:lang w:eastAsia="en-US"/>
        </w:rPr>
      </w:pPr>
      <w:r w:rsidRPr="00323237">
        <w:rPr>
          <w:rFonts w:ascii="Palatino Linotype" w:eastAsia="Times New Roman" w:hAnsi="Palatino Linotype" w:cs="Arial"/>
        </w:rPr>
        <w:t>En efecto, la fotografía en los comprobantes de estudio de los servidores públicos es susceptible de ser testada, en atención a que se</w:t>
      </w:r>
      <w:r w:rsidRPr="00323237">
        <w:rPr>
          <w:rFonts w:ascii="Palatino Linotype" w:hAnsi="Palatino Linotype" w:cs="Arial"/>
          <w:color w:val="000000" w:themeColor="text1"/>
          <w:lang w:eastAsia="en-US"/>
        </w:rPr>
        <w:t xml:space="preserve"> estaría violentando entre otros el derecho a la propia imagen que tiene dicha persona, entendiendo éste un derecho subjetivo y personal exigible frente a todos, particulares y poderes públicos, que otorgar a su titular la facultad de decidir todo lo relativo a la captación, reproducción o publicación de su imagen; debido a que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w:t>
      </w:r>
      <w:r w:rsidRPr="00323237">
        <w:rPr>
          <w:rFonts w:ascii="Palatino Linotype" w:hAnsi="Palatino Linotype" w:cs="Arial"/>
          <w:color w:val="000000" w:themeColor="text1"/>
          <w:lang w:eastAsia="en-US"/>
        </w:rPr>
        <w:lastRenderedPageBreak/>
        <w:t>difusión, aunado a que ésta no constituye un elemento que permita reflejar el desempeño, idoneidad para ocupar un cargo, entre otros, que justifique su publicidad</w:t>
      </w:r>
      <w:r>
        <w:rPr>
          <w:rFonts w:ascii="Palatino Linotype" w:hAnsi="Palatino Linotype" w:cs="Arial"/>
          <w:color w:val="000000" w:themeColor="text1"/>
          <w:lang w:eastAsia="en-US"/>
        </w:rPr>
        <w:t>.</w:t>
      </w:r>
    </w:p>
    <w:p w:rsidR="004E2774" w:rsidRPr="00323237" w:rsidRDefault="004E2774" w:rsidP="004E2774">
      <w:pPr>
        <w:spacing w:before="240" w:after="240" w:line="360" w:lineRule="auto"/>
        <w:jc w:val="both"/>
        <w:rPr>
          <w:rFonts w:ascii="Palatino Linotype" w:hAnsi="Palatino Linotype" w:cs="Arial"/>
          <w:color w:val="000000" w:themeColor="text1"/>
          <w:lang w:val="es-MX" w:eastAsia="en-US"/>
        </w:rPr>
      </w:pPr>
      <w:r w:rsidRPr="00323237">
        <w:rPr>
          <w:rFonts w:ascii="Palatino Linotype" w:hAnsi="Palatino Linotype" w:cs="Arial"/>
          <w:color w:val="000000" w:themeColor="text1"/>
          <w:lang w:eastAsia="en-US"/>
        </w:rPr>
        <w:t>Sirve de sustento el criterio 5/9 del entonces Instituto Federal de Acceso a la Información y Protección de Datos (IFAI), ahora INAI, en el sentido de que la fotografía de servidores públicos en un dato personal confidencial:</w:t>
      </w:r>
    </w:p>
    <w:p w:rsidR="004E2774" w:rsidRPr="00323237" w:rsidRDefault="004E2774" w:rsidP="004E2774">
      <w:pPr>
        <w:spacing w:before="240" w:after="240" w:line="276" w:lineRule="auto"/>
        <w:ind w:left="851" w:right="851"/>
        <w:jc w:val="both"/>
        <w:rPr>
          <w:rFonts w:ascii="Palatino Linotype" w:hAnsi="Palatino Linotype" w:cs="Arial"/>
          <w:color w:val="000000" w:themeColor="text1"/>
          <w:sz w:val="22"/>
          <w:lang w:val="es-MX" w:eastAsia="en-US"/>
        </w:rPr>
      </w:pPr>
      <w:r w:rsidRPr="00323237">
        <w:rPr>
          <w:rFonts w:ascii="Palatino Linotype" w:hAnsi="Palatino Linotype" w:cs="Arial"/>
          <w:b/>
          <w:bCs/>
          <w:i/>
          <w:iCs/>
          <w:color w:val="000000" w:themeColor="text1"/>
          <w:sz w:val="22"/>
          <w:lang w:eastAsia="en-US"/>
        </w:rPr>
        <w:t>“FOTOGRAFÍA DE SERVIDORES PÚBLICOS ES UN DATO PERSONAL CONFIDENCIAL. </w:t>
      </w:r>
      <w:r w:rsidRPr="00323237">
        <w:rPr>
          <w:rFonts w:ascii="Palatino Linotype" w:hAnsi="Palatino Linotype" w:cs="Arial"/>
          <w:i/>
          <w:iCs/>
          <w:color w:val="000000" w:themeColor="text1"/>
          <w:sz w:val="22"/>
          <w:lang w:eastAsia="en-US"/>
        </w:rPr>
        <w:t>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p w:rsidR="004E2774" w:rsidRPr="004E2774" w:rsidRDefault="004E2774" w:rsidP="004E2774">
      <w:pPr>
        <w:spacing w:before="240" w:after="240" w:line="360" w:lineRule="auto"/>
        <w:jc w:val="both"/>
        <w:rPr>
          <w:rFonts w:ascii="Palatino Linotype" w:hAnsi="Palatino Linotype" w:cs="Arial"/>
          <w:color w:val="000000" w:themeColor="text1"/>
          <w:lang w:val="es-MX" w:eastAsia="en-US"/>
        </w:rPr>
      </w:pPr>
      <w:r w:rsidRPr="00323237">
        <w:rPr>
          <w:rFonts w:ascii="Palatino Linotype" w:hAnsi="Palatino Linotype" w:cs="Arial"/>
          <w:color w:val="000000" w:themeColor="text1"/>
          <w:lang w:eastAsia="en-US"/>
        </w:rPr>
        <w:t xml:space="preserve">Bajo esta tesitura, se precisa que la fotografía, es un dato personal que debe ser protegido, ya que no contribuye de manera sustancial al derecho de acceso a la información pública, a la trasparencia ni rendición de cuentas, al contrario dicho </w:t>
      </w:r>
      <w:r w:rsidRPr="00323237">
        <w:rPr>
          <w:rFonts w:ascii="Palatino Linotype" w:hAnsi="Palatino Linotype" w:cs="Arial"/>
          <w:color w:val="000000" w:themeColor="text1"/>
          <w:lang w:eastAsia="en-US"/>
        </w:rPr>
        <w:lastRenderedPageBreak/>
        <w:t>derecho, tiene una limitante al invadir la esfera jurídica personal y particular de las personas aun y cuando son servidores públicos.</w:t>
      </w:r>
    </w:p>
    <w:p w:rsidR="004E2774" w:rsidRDefault="00730A97" w:rsidP="004E2774">
      <w:pPr>
        <w:spacing w:before="240" w:after="240" w:line="360" w:lineRule="auto"/>
        <w:ind w:right="142"/>
        <w:jc w:val="both"/>
        <w:rPr>
          <w:rFonts w:ascii="Palatino Linotype" w:hAnsi="Palatino Linotype" w:cs="Arial"/>
        </w:rPr>
      </w:pPr>
      <w:r>
        <w:rPr>
          <w:rFonts w:ascii="Palatino Linotype" w:hAnsi="Palatino Linotype" w:cs="Arial"/>
        </w:rPr>
        <w:t>R</w:t>
      </w:r>
      <w:r w:rsidR="004E2774">
        <w:rPr>
          <w:rFonts w:ascii="Palatino Linotype" w:hAnsi="Palatino Linotype" w:cs="Arial"/>
        </w:rPr>
        <w:t>especto a la firma, se consideran un dato personal sensible, en atención a que revelan aspectos personales ya que es plasmada de propia mano de la persona y revela datos que identifican a la persona de manera específica, esto conlleva una invasión o a su esfera personal, atentando así con los derechos humanos de las personas.</w:t>
      </w:r>
    </w:p>
    <w:p w:rsidR="00730A97" w:rsidRDefault="00730A97" w:rsidP="00730A97">
      <w:pPr>
        <w:spacing w:line="360" w:lineRule="auto"/>
        <w:jc w:val="both"/>
        <w:rPr>
          <w:rFonts w:ascii="Palatino Linotype" w:eastAsia="Times New Roman" w:hAnsi="Palatino Linotype" w:cs="Arial"/>
        </w:rPr>
      </w:pPr>
      <w:r>
        <w:rPr>
          <w:rFonts w:ascii="Palatino Linotype" w:eastAsia="Times New Roman" w:hAnsi="Palatino Linotype" w:cs="Arial"/>
        </w:rPr>
        <w:t xml:space="preserve">Las </w:t>
      </w:r>
      <w:r>
        <w:rPr>
          <w:rFonts w:ascii="Palatino Linotype" w:eastAsia="Times New Roman" w:hAnsi="Palatino Linotype" w:cs="Arial"/>
          <w:b/>
        </w:rPr>
        <w:t>Cadenas Originales del Sellos</w:t>
      </w:r>
      <w:r>
        <w:rPr>
          <w:rFonts w:ascii="Palatino Linotype" w:eastAsia="Times New Roman" w:hAnsi="Palatino Linotype" w:cs="Arial"/>
        </w:rPr>
        <w:t xml:space="preserve"> </w:t>
      </w:r>
      <w:r>
        <w:rPr>
          <w:rFonts w:ascii="Palatino Linotype" w:eastAsia="Times New Roman" w:hAnsi="Palatino Linotype" w:cs="Arial"/>
          <w:b/>
        </w:rPr>
        <w:t>Digitales</w:t>
      </w:r>
      <w:r>
        <w:rPr>
          <w:rFonts w:ascii="Palatino Linotype" w:eastAsia="Times New Roman" w:hAnsi="Palatino Linotype" w:cs="Arial"/>
        </w:rPr>
        <w:t xml:space="preserve">, puesto que forman parte del </w:t>
      </w:r>
      <w:r>
        <w:rPr>
          <w:rFonts w:ascii="Palatino Linotype" w:eastAsia="Times New Roman" w:hAnsi="Palatino Linotype" w:cs="Arial"/>
          <w:lang w:val="es-ES_tradnl"/>
        </w:rPr>
        <w:t xml:space="preserve">certificado de sello digital, los cuales </w:t>
      </w:r>
      <w:r>
        <w:rPr>
          <w:rFonts w:ascii="Palatino Linotype" w:eastAsia="Times New Roman" w:hAnsi="Palatino Linotype" w:cs="Arial"/>
        </w:rPr>
        <w:t>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dichos certificados tienen como finalidad o propósito específico firmar digitalmente las facturas electrónicas para acreditar la autoría de los comprobantes fiscales</w:t>
      </w:r>
      <w:r>
        <w:rPr>
          <w:rFonts w:ascii="Palatino Linotype" w:eastAsia="Times New Roman" w:hAnsi="Palatino Linotype" w:cs="Arial"/>
          <w:vertAlign w:val="superscript"/>
        </w:rPr>
        <w:footnoteReference w:id="2"/>
      </w:r>
      <w:r>
        <w:rPr>
          <w:rFonts w:ascii="Palatino Linotype" w:eastAsia="Times New Roman" w:hAnsi="Palatino Linotype" w:cs="Arial"/>
        </w:rPr>
        <w:t>.</w:t>
      </w:r>
    </w:p>
    <w:p w:rsidR="00730A97" w:rsidRDefault="00730A97" w:rsidP="00730A97">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lastRenderedPageBreak/>
        <w:t xml:space="preserve">Los </w:t>
      </w:r>
      <w:r>
        <w:rPr>
          <w:rFonts w:ascii="Palatino Linotype" w:eastAsia="Times New Roman" w:hAnsi="Palatino Linotype" w:cs="Arial"/>
          <w:b/>
        </w:rPr>
        <w:t>Códigos Bidimensionales</w:t>
      </w:r>
      <w:r>
        <w:rPr>
          <w:rFonts w:ascii="Palatino Linotype" w:eastAsia="Times New Roman" w:hAnsi="Palatino Linotype" w:cs="Arial"/>
        </w:rPr>
        <w:t xml:space="preserve">, también denominados </w:t>
      </w:r>
      <w:r>
        <w:rPr>
          <w:rFonts w:ascii="Palatino Linotype" w:eastAsia="Times New Roman" w:hAnsi="Palatino Linotype" w:cs="Arial"/>
          <w:b/>
        </w:rPr>
        <w:t>Códigos QR</w:t>
      </w:r>
      <w:r>
        <w:rPr>
          <w:rFonts w:ascii="Palatino Linotype" w:eastAsia="Times New Roman" w:hAnsi="Palatino Linotype" w:cs="Arial"/>
        </w:rPr>
        <w:t>,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rsidR="00730A97" w:rsidRDefault="00730A97" w:rsidP="00730A97">
      <w:pPr>
        <w:spacing w:before="240" w:after="240" w:line="360" w:lineRule="auto"/>
        <w:ind w:right="142"/>
        <w:jc w:val="both"/>
        <w:rPr>
          <w:rFonts w:ascii="Palatino Linotype" w:hAnsi="Palatino Linotype" w:cs="Arial"/>
        </w:rPr>
      </w:pPr>
      <w:r>
        <w:rPr>
          <w:rFonts w:ascii="Palatino Linotype" w:hAnsi="Palatino Linotype" w:cs="Arial"/>
        </w:rPr>
        <w:t>Respecto de los números de cuentas bancarias, claves estandarizadas –interbancarias- (CLABES) y de tarjetas, el Pleno de este Instituto ha determinado que esa información debe clasificarse como confidencial en cuanto se refiere a las personas físicas y morales, en cuanto a los Sujetos Obligados estas se entienden publicas pero se deberá elaborar una versión pública en la que se teste los datos personales que pudieran contener, de terceros particulares.</w:t>
      </w:r>
    </w:p>
    <w:p w:rsidR="00730A97" w:rsidRDefault="00730A97" w:rsidP="00730A97">
      <w:pPr>
        <w:spacing w:before="240" w:after="240" w:line="360" w:lineRule="auto"/>
        <w:ind w:right="142"/>
        <w:jc w:val="both"/>
        <w:rPr>
          <w:rFonts w:ascii="Palatino Linotype" w:eastAsia="Times New Roman" w:hAnsi="Palatino Linotype" w:cs="Arial"/>
          <w:lang w:val="es-MX"/>
        </w:rPr>
      </w:pPr>
      <w:r>
        <w:rPr>
          <w:rFonts w:ascii="Palatino Linotype" w:eastAsia="Times New Roman" w:hAnsi="Palatino Linotype" w:cs="Arial"/>
        </w:rPr>
        <w:t>Esto es así, ya que el número de cuenta bancaria, sello y cadena se trata de información que sólo su titular o personas autorizadas poseen, entre otros elementos, para el acceso o consulta de información patrimonial, así como para la realización de operaciones bancarias de diversa índole, por lo que su difusión facilitaría a cualquier persona interesada en afectar el patrimonio del titular de la cuenta, y que además se pudieran realizar conductas tendientes a tal fin y tipificadas como delitos, con lo que se ocasionaría un serio perjuicio a su titular.</w:t>
      </w:r>
    </w:p>
    <w:p w:rsidR="00730A97" w:rsidRDefault="00730A97" w:rsidP="004E2774">
      <w:pPr>
        <w:spacing w:before="240" w:after="240" w:line="360" w:lineRule="auto"/>
        <w:ind w:right="142"/>
        <w:jc w:val="both"/>
        <w:rPr>
          <w:rFonts w:ascii="Palatino Linotype" w:hAnsi="Palatino Linotype" w:cs="Arial"/>
        </w:rPr>
      </w:pPr>
    </w:p>
    <w:p w:rsidR="00EF24B3" w:rsidRPr="00EF24B3" w:rsidRDefault="00AF744B" w:rsidP="00AF744B">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4E2774" w:rsidRPr="00AE3A96" w:rsidRDefault="0090427A" w:rsidP="0090427A">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Por lo anteriormente mencionado, con fundamento en lo prescrito en los artículos 5 párrafos </w:t>
      </w:r>
      <w:r>
        <w:rPr>
          <w:rFonts w:ascii="Palatino Linotype" w:hAnsi="Palatino Linotype" w:cs="Arial"/>
        </w:rPr>
        <w:t>vigésimo, vigésimo primero</w:t>
      </w:r>
      <w:r>
        <w:rPr>
          <w:rFonts w:ascii="Palatino Linotype" w:eastAsia="Times New Roman" w:hAnsi="Palatino Linotype" w:cs="Arial"/>
          <w:szCs w:val="22"/>
          <w:lang w:val="es-MX" w:eastAsia="en-US"/>
        </w:rPr>
        <w:t xml:space="preserve"> y vigésimo segundo de la Constitución Política del Estado Libre y Soberano de México; 2, fracción II; 29, 36 fracciones I y II; 176, 178, 181, 185 de la Ley de Transparencia y Acceso a la Información Pública del Estado de México y Municipios, este Pleno:</w:t>
      </w:r>
    </w:p>
    <w:p w:rsidR="0090427A" w:rsidRDefault="0090427A" w:rsidP="0090427A">
      <w:pPr>
        <w:spacing w:before="240" w:after="240" w:line="360" w:lineRule="auto"/>
        <w:jc w:val="center"/>
        <w:rPr>
          <w:rFonts w:ascii="Palatino Linotype" w:hAnsi="Palatino Linotype" w:cs="Arial"/>
          <w:b/>
          <w:sz w:val="28"/>
        </w:rPr>
      </w:pPr>
      <w:r>
        <w:rPr>
          <w:rFonts w:ascii="Palatino Linotype" w:hAnsi="Palatino Linotype" w:cs="Arial"/>
          <w:b/>
          <w:sz w:val="28"/>
        </w:rPr>
        <w:t xml:space="preserve">III. </w:t>
      </w:r>
      <w:r>
        <w:rPr>
          <w:rFonts w:ascii="Palatino Linotype" w:hAnsi="Palatino Linotype" w:cs="Arial"/>
          <w:b/>
          <w:sz w:val="28"/>
        </w:rPr>
        <w:tab/>
        <w:t>R E S U E L V E:</w:t>
      </w:r>
    </w:p>
    <w:p w:rsidR="0090427A" w:rsidRPr="00DB0552" w:rsidRDefault="0090427A" w:rsidP="0090427A">
      <w:pPr>
        <w:spacing w:before="240" w:after="240" w:line="360" w:lineRule="auto"/>
        <w:jc w:val="both"/>
        <w:rPr>
          <w:rFonts w:ascii="Palatino Linotype" w:eastAsia="Times New Roman" w:hAnsi="Palatino Linotype" w:cs="Arial"/>
        </w:rPr>
      </w:pPr>
      <w:r w:rsidRPr="00DB0552">
        <w:rPr>
          <w:rFonts w:ascii="Palatino Linotype" w:eastAsia="Times New Roman" w:hAnsi="Palatino Linotype" w:cs="Arial"/>
          <w:b/>
          <w:bCs/>
          <w:sz w:val="28"/>
        </w:rPr>
        <w:t>PRIMERO</w:t>
      </w:r>
      <w:r>
        <w:rPr>
          <w:rFonts w:ascii="Palatino Linotype" w:eastAsia="Times New Roman" w:hAnsi="Palatino Linotype" w:cs="Arial"/>
        </w:rPr>
        <w:t xml:space="preserve">. Resultan </w:t>
      </w:r>
      <w:r w:rsidRPr="00DB0552">
        <w:rPr>
          <w:rFonts w:ascii="Palatino Linotype" w:eastAsia="Times New Roman" w:hAnsi="Palatino Linotype" w:cs="Arial"/>
        </w:rPr>
        <w:t>fundadas las razones o motivos de i</w:t>
      </w:r>
      <w:r>
        <w:rPr>
          <w:rFonts w:ascii="Palatino Linotype" w:eastAsia="Times New Roman" w:hAnsi="Palatino Linotype" w:cs="Arial"/>
        </w:rPr>
        <w:t>nconformidad hechos valer por la parte</w:t>
      </w:r>
      <w:r w:rsidRPr="00DB0552">
        <w:rPr>
          <w:rFonts w:ascii="Palatino Linotype" w:eastAsia="Times New Roman" w:hAnsi="Palatino Linotype" w:cs="Arial"/>
        </w:rPr>
        <w:t xml:space="preserve"> recurrente, por lo que en términos del considerando </w:t>
      </w:r>
      <w:r w:rsidRPr="00DB0552">
        <w:rPr>
          <w:rFonts w:ascii="Palatino Linotype" w:eastAsia="Times New Roman" w:hAnsi="Palatino Linotype" w:cs="Arial"/>
          <w:b/>
        </w:rPr>
        <w:t>CUARTO,</w:t>
      </w:r>
      <w:r w:rsidRPr="00DB0552">
        <w:rPr>
          <w:rFonts w:ascii="Palatino Linotype" w:eastAsia="Times New Roman" w:hAnsi="Palatino Linotype" w:cs="Arial"/>
        </w:rPr>
        <w:t xml:space="preserve"> se </w:t>
      </w:r>
      <w:r>
        <w:rPr>
          <w:rFonts w:ascii="Palatino Linotype" w:eastAsia="Times New Roman" w:hAnsi="Palatino Linotype" w:cs="Arial"/>
          <w:b/>
        </w:rPr>
        <w:t>MODIFICA</w:t>
      </w:r>
      <w:r w:rsidRPr="00DB0552">
        <w:rPr>
          <w:rFonts w:ascii="Palatino Linotype" w:eastAsia="Times New Roman" w:hAnsi="Palatino Linotype" w:cs="Arial"/>
        </w:rPr>
        <w:t xml:space="preserve"> la respuesta del Sujeto Obligado.</w:t>
      </w:r>
    </w:p>
    <w:p w:rsidR="0090427A" w:rsidRPr="00553932" w:rsidRDefault="0090427A" w:rsidP="0090427A">
      <w:pPr>
        <w:spacing w:before="240" w:after="240" w:line="360" w:lineRule="auto"/>
        <w:jc w:val="both"/>
        <w:rPr>
          <w:rFonts w:ascii="Palatino Linotype" w:eastAsia="Times New Roman" w:hAnsi="Palatino Linotype" w:cs="Arial"/>
        </w:rPr>
      </w:pPr>
      <w:r w:rsidRPr="00553932">
        <w:rPr>
          <w:rFonts w:ascii="Palatino Linotype" w:eastAsia="Times New Roman" w:hAnsi="Palatino Linotype" w:cs="Arial"/>
          <w:b/>
          <w:bCs/>
          <w:sz w:val="28"/>
        </w:rPr>
        <w:t>SEGUNDO</w:t>
      </w:r>
      <w:r w:rsidRPr="00553932">
        <w:rPr>
          <w:rFonts w:ascii="Palatino Linotype" w:eastAsia="Times New Roman" w:hAnsi="Palatino Linotype" w:cs="Arial"/>
          <w:b/>
          <w:bCs/>
        </w:rPr>
        <w:t xml:space="preserve">. </w:t>
      </w:r>
      <w:r w:rsidRPr="00553932">
        <w:rPr>
          <w:rFonts w:ascii="Palatino Linotype" w:eastAsia="Times New Roman" w:hAnsi="Palatino Linotype" w:cs="Arial"/>
        </w:rPr>
        <w:t xml:space="preserve">Se </w:t>
      </w:r>
      <w:r w:rsidRPr="00553932">
        <w:rPr>
          <w:rFonts w:ascii="Palatino Linotype" w:eastAsia="Times New Roman" w:hAnsi="Palatino Linotype" w:cs="Arial"/>
          <w:b/>
          <w:bCs/>
        </w:rPr>
        <w:t>ORDENA</w:t>
      </w:r>
      <w:r>
        <w:rPr>
          <w:rFonts w:ascii="Palatino Linotype" w:eastAsia="Times New Roman" w:hAnsi="Palatino Linotype" w:cs="Arial"/>
        </w:rPr>
        <w:t xml:space="preserve"> al</w:t>
      </w:r>
      <w:r w:rsidRPr="00553932">
        <w:rPr>
          <w:rFonts w:ascii="Palatino Linotype" w:eastAsia="Times New Roman" w:hAnsi="Palatino Linotype" w:cs="Arial"/>
        </w:rPr>
        <w:t xml:space="preserve"> </w:t>
      </w:r>
      <w:r>
        <w:rPr>
          <w:rFonts w:ascii="Palatino Linotype" w:eastAsia="Times New Roman" w:hAnsi="Palatino Linotype" w:cs="Arial"/>
        </w:rPr>
        <w:t>Ayuntamiento de Tepotzotlán</w:t>
      </w:r>
      <w:r w:rsidRPr="00553932">
        <w:rPr>
          <w:rFonts w:ascii="Palatino Linotype" w:eastAsia="Times New Roman" w:hAnsi="Palatino Linotype" w:cs="Arial"/>
        </w:rPr>
        <w:t xml:space="preserve">, </w:t>
      </w:r>
      <w:r w:rsidRPr="00553932">
        <w:rPr>
          <w:rFonts w:ascii="Palatino Linotype" w:eastAsia="Times New Roman" w:hAnsi="Palatino Linotype" w:cs="Arial"/>
          <w:bCs/>
        </w:rPr>
        <w:t>atienda la solicitud de información</w:t>
      </w:r>
      <w:r w:rsidRPr="00553932">
        <w:rPr>
          <w:rFonts w:ascii="Palatino Linotype" w:eastAsia="Times New Roman" w:hAnsi="Palatino Linotype" w:cs="Arial"/>
        </w:rPr>
        <w:t xml:space="preserve"> </w:t>
      </w:r>
      <w:r>
        <w:rPr>
          <w:rFonts w:ascii="Palatino Linotype" w:hAnsi="Palatino Linotype"/>
          <w:b/>
          <w:bCs/>
        </w:rPr>
        <w:t>00142/TEPOTZOT</w:t>
      </w:r>
      <w:r w:rsidRPr="00553932">
        <w:rPr>
          <w:rFonts w:ascii="Palatino Linotype" w:hAnsi="Palatino Linotype"/>
          <w:b/>
          <w:bCs/>
        </w:rPr>
        <w:t>/IP/2018</w:t>
      </w:r>
      <w:r w:rsidRPr="00553932">
        <w:rPr>
          <w:rFonts w:ascii="Palatino Linotype" w:eastAsia="Times New Roman" w:hAnsi="Palatino Linotype" w:cs="Arial"/>
        </w:rPr>
        <w:t>, mediante la entrega vía SAIMEX</w:t>
      </w:r>
      <w:r w:rsidRPr="00553932">
        <w:rPr>
          <w:rFonts w:ascii="Palatino Linotype" w:eastAsia="Times New Roman" w:hAnsi="Palatino Linotype" w:cs="Arial"/>
          <w:bCs/>
        </w:rPr>
        <w:t xml:space="preserve">, </w:t>
      </w:r>
      <w:r>
        <w:rPr>
          <w:rFonts w:ascii="Palatino Linotype" w:eastAsia="Times New Roman" w:hAnsi="Palatino Linotype" w:cs="Arial"/>
        </w:rPr>
        <w:t xml:space="preserve">en </w:t>
      </w:r>
      <w:r w:rsidR="001B2003">
        <w:rPr>
          <w:rFonts w:ascii="Palatino Linotype" w:eastAsia="Times New Roman" w:hAnsi="Palatino Linotype" w:cs="Arial"/>
        </w:rPr>
        <w:t xml:space="preserve">versión pública, en </w:t>
      </w:r>
      <w:r>
        <w:rPr>
          <w:rFonts w:ascii="Palatino Linotype" w:eastAsia="Times New Roman" w:hAnsi="Palatino Linotype" w:cs="Arial"/>
        </w:rPr>
        <w:t>términos del considerando</w:t>
      </w:r>
      <w:r w:rsidRPr="00553932">
        <w:rPr>
          <w:rFonts w:ascii="Palatino Linotype" w:eastAsia="Times New Roman" w:hAnsi="Palatino Linotype" w:cs="Arial"/>
        </w:rPr>
        <w:t xml:space="preserve"> </w:t>
      </w:r>
      <w:r>
        <w:rPr>
          <w:rFonts w:ascii="Palatino Linotype" w:eastAsia="Times New Roman" w:hAnsi="Palatino Linotype" w:cs="Arial"/>
          <w:b/>
        </w:rPr>
        <w:t xml:space="preserve">CUARTO </w:t>
      </w:r>
      <w:r w:rsidR="008144D6" w:rsidRPr="008144D6">
        <w:rPr>
          <w:rFonts w:ascii="Palatino Linotype" w:eastAsia="Times New Roman" w:hAnsi="Palatino Linotype" w:cs="Arial"/>
        </w:rPr>
        <w:t>y</w:t>
      </w:r>
      <w:r w:rsidR="008144D6">
        <w:rPr>
          <w:rFonts w:ascii="Palatino Linotype" w:eastAsia="Times New Roman" w:hAnsi="Palatino Linotype" w:cs="Arial"/>
          <w:b/>
        </w:rPr>
        <w:t xml:space="preserve"> QUINTO </w:t>
      </w:r>
      <w:r w:rsidRPr="00183BFA">
        <w:rPr>
          <w:rFonts w:ascii="Palatino Linotype" w:eastAsia="Times New Roman" w:hAnsi="Palatino Linotype" w:cs="Arial"/>
        </w:rPr>
        <w:t>de</w:t>
      </w:r>
      <w:r w:rsidRPr="00553932">
        <w:rPr>
          <w:rFonts w:ascii="Palatino Linotype" w:eastAsia="Times New Roman" w:hAnsi="Palatino Linotype" w:cs="Arial"/>
        </w:rPr>
        <w:t xml:space="preserve"> esta resolución, de lo siguiente:</w:t>
      </w:r>
    </w:p>
    <w:p w:rsidR="00F30B1A" w:rsidRDefault="008144D6" w:rsidP="00F30B1A">
      <w:pPr>
        <w:pStyle w:val="Prrafodelista"/>
        <w:numPr>
          <w:ilvl w:val="0"/>
          <w:numId w:val="5"/>
        </w:numPr>
        <w:spacing w:before="100" w:beforeAutospacing="1" w:after="100" w:afterAutospacing="1" w:line="360" w:lineRule="auto"/>
        <w:jc w:val="both"/>
        <w:rPr>
          <w:rFonts w:ascii="Palatino Linotype" w:hAnsi="Palatino Linotype" w:cs="Arial"/>
        </w:rPr>
      </w:pPr>
      <w:r w:rsidRPr="00F30B1A">
        <w:rPr>
          <w:rFonts w:ascii="Palatino Linotype" w:hAnsi="Palatino Linotype" w:cs="Arial"/>
        </w:rPr>
        <w:lastRenderedPageBreak/>
        <w:t xml:space="preserve">Los </w:t>
      </w:r>
      <w:r w:rsidR="00730A97" w:rsidRPr="00C91289">
        <w:rPr>
          <w:rFonts w:ascii="Palatino Linotype" w:hAnsi="Palatino Linotype" w:cs="Arial"/>
        </w:rPr>
        <w:t>Comprobantes Fiscales Digitales por Internet</w:t>
      </w:r>
      <w:r w:rsidR="00730A97">
        <w:rPr>
          <w:rFonts w:ascii="Palatino Linotype" w:hAnsi="Palatino Linotype" w:cs="Arial"/>
        </w:rPr>
        <w:t>,</w:t>
      </w:r>
      <w:r w:rsidRPr="00F30B1A">
        <w:rPr>
          <w:rFonts w:ascii="Palatino Linotype" w:hAnsi="Palatino Linotype" w:cs="Arial"/>
        </w:rPr>
        <w:t xml:space="preserve"> de la servidora pública referida en la presente resolución, relativos a las quincenas de los meses de enero, febrero, marzo y abril del presente año.</w:t>
      </w:r>
    </w:p>
    <w:p w:rsidR="0090427A" w:rsidRPr="00F30B1A" w:rsidRDefault="00F30B1A" w:rsidP="00F30B1A">
      <w:pPr>
        <w:pStyle w:val="Prrafodelista"/>
        <w:numPr>
          <w:ilvl w:val="0"/>
          <w:numId w:val="5"/>
        </w:numPr>
        <w:spacing w:before="100" w:beforeAutospacing="1" w:after="100" w:afterAutospacing="1" w:line="360" w:lineRule="auto"/>
        <w:jc w:val="both"/>
        <w:rPr>
          <w:rFonts w:ascii="Palatino Linotype" w:hAnsi="Palatino Linotype" w:cs="Arial"/>
        </w:rPr>
      </w:pPr>
      <w:r w:rsidRPr="00F30B1A">
        <w:rPr>
          <w:rFonts w:ascii="Palatino Linotype" w:hAnsi="Palatino Linotype" w:cs="Arial"/>
        </w:rPr>
        <w:t xml:space="preserve">El documento donde conste </w:t>
      </w:r>
      <w:r w:rsidR="004E2774">
        <w:rPr>
          <w:rFonts w:ascii="Palatino Linotype" w:hAnsi="Palatino Linotype" w:cs="Arial"/>
        </w:rPr>
        <w:t>la trayectoria profesional y académica</w:t>
      </w:r>
      <w:r w:rsidRPr="00F30B1A">
        <w:rPr>
          <w:rFonts w:ascii="Palatino Linotype" w:hAnsi="Palatino Linotype" w:cs="Arial"/>
        </w:rPr>
        <w:t xml:space="preserve"> de la servidora pública referida en la presente resolución</w:t>
      </w:r>
      <w:r w:rsidR="00E618DC">
        <w:rPr>
          <w:rFonts w:ascii="Palatino Linotype" w:hAnsi="Palatino Linotype" w:cs="Arial"/>
        </w:rPr>
        <w:t>, protegiendo cualquier información que conlleve un riesgo grave.</w:t>
      </w:r>
    </w:p>
    <w:p w:rsidR="00D53002" w:rsidRPr="00D53002" w:rsidRDefault="00D53002" w:rsidP="00D53002">
      <w:pPr>
        <w:spacing w:before="100" w:beforeAutospacing="1" w:after="100" w:afterAutospacing="1" w:line="360" w:lineRule="auto"/>
        <w:jc w:val="both"/>
        <w:rPr>
          <w:rFonts w:ascii="Palatino Linotype" w:hAnsi="Palatino Linotype" w:cs="Segoe UI"/>
          <w:i/>
        </w:rPr>
      </w:pPr>
      <w:r w:rsidRPr="00D53002">
        <w:rPr>
          <w:rFonts w:ascii="Palatino Linotype" w:hAnsi="Palatino Linotype" w:cs="Segoe UI"/>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rsidR="0090427A" w:rsidRPr="00DB0552" w:rsidRDefault="0090427A" w:rsidP="0090427A">
      <w:pPr>
        <w:spacing w:before="240" w:after="240" w:line="360" w:lineRule="auto"/>
        <w:jc w:val="both"/>
        <w:rPr>
          <w:rFonts w:ascii="Palatino Linotype" w:eastAsia="Times New Roman" w:hAnsi="Palatino Linotype" w:cs="Arial"/>
          <w:lang w:val="es-MX" w:eastAsia="en-US"/>
        </w:rPr>
      </w:pPr>
      <w:r w:rsidRPr="00DB0552">
        <w:rPr>
          <w:rFonts w:ascii="Palatino Linotype" w:eastAsia="Times New Roman" w:hAnsi="Palatino Linotype" w:cs="Arial"/>
          <w:b/>
          <w:bCs/>
          <w:sz w:val="28"/>
          <w:lang w:val="es-MX" w:eastAsia="en-US"/>
        </w:rPr>
        <w:t>TERCERO</w:t>
      </w:r>
      <w:r w:rsidRPr="00DB0552">
        <w:rPr>
          <w:rFonts w:ascii="Palatino Linotype" w:eastAsia="Times New Roman" w:hAnsi="Palatino Linotype" w:cs="Arial"/>
          <w:b/>
          <w:bCs/>
          <w:lang w:val="es-MX" w:eastAsia="en-US"/>
        </w:rPr>
        <w:t>. NOTIFÍQUESE</w:t>
      </w:r>
      <w:r w:rsidRPr="00DB0552">
        <w:rPr>
          <w:rFonts w:ascii="Palatino Linotype" w:eastAsia="Times New Roman" w:hAnsi="Palatino Linotype" w:cs="Arial"/>
          <w:lang w:val="es-MX" w:eastAsia="en-US"/>
        </w:rPr>
        <w:t xml:space="preserve"> la presente resolución </w:t>
      </w:r>
      <w:r w:rsidRPr="00DB0552">
        <w:rPr>
          <w:rFonts w:ascii="Palatino Linotype" w:eastAsia="Times New Roman" w:hAnsi="Palatino Linotype" w:cs="Arial"/>
          <w:bCs/>
          <w:lang w:val="es-MX" w:eastAsia="en-US"/>
        </w:rPr>
        <w:t>al Titular de la Unidad de Transparencia del</w:t>
      </w:r>
      <w:r w:rsidRPr="00DB0552">
        <w:rPr>
          <w:rFonts w:ascii="Palatino Linotype" w:eastAsia="Times New Roman" w:hAnsi="Palatino Linotype" w:cs="Arial"/>
          <w:b/>
          <w:bCs/>
          <w:lang w:val="es-MX" w:eastAsia="en-US"/>
        </w:rPr>
        <w:t> </w:t>
      </w:r>
      <w:r w:rsidRPr="00DB0552">
        <w:rPr>
          <w:rFonts w:ascii="Palatino Linotype" w:eastAsia="Times New Roman" w:hAnsi="Palatino Linotype" w:cs="Arial"/>
          <w:bCs/>
          <w:lang w:val="es-MX" w:eastAsia="en-US"/>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de la misma</w:t>
      </w:r>
      <w:r w:rsidRPr="00DB0552">
        <w:rPr>
          <w:rFonts w:ascii="Palatino Linotype" w:eastAsia="Times New Roman" w:hAnsi="Palatino Linotype" w:cs="Arial"/>
          <w:lang w:val="es-MX" w:eastAsia="en-US"/>
        </w:rPr>
        <w:t xml:space="preserve"> tal y como lo disponen los artículos 198 y 199 de la citada ley. </w:t>
      </w:r>
    </w:p>
    <w:p w:rsidR="0090427A" w:rsidRPr="00DB0552" w:rsidRDefault="0090427A" w:rsidP="0090427A">
      <w:pPr>
        <w:spacing w:before="240" w:after="240" w:line="360" w:lineRule="auto"/>
        <w:jc w:val="both"/>
        <w:rPr>
          <w:rFonts w:ascii="Palatino Linotype" w:eastAsiaTheme="minorHAnsi" w:hAnsi="Palatino Linotype" w:cs="Arial"/>
          <w:lang w:val="es-MX" w:eastAsia="en-US"/>
        </w:rPr>
      </w:pPr>
      <w:r w:rsidRPr="00DB0552">
        <w:rPr>
          <w:rFonts w:ascii="Palatino Linotype" w:eastAsia="Times New Roman" w:hAnsi="Palatino Linotype" w:cs="Arial"/>
          <w:b/>
          <w:sz w:val="28"/>
          <w:lang w:val="es-MX" w:eastAsia="en-US"/>
        </w:rPr>
        <w:t>CUARTO.</w:t>
      </w:r>
      <w:r w:rsidRPr="00DB0552">
        <w:rPr>
          <w:rFonts w:ascii="Palatino Linotype" w:eastAsia="Times New Roman" w:hAnsi="Palatino Linotype" w:cs="Arial"/>
          <w:b/>
          <w:lang w:val="es-MX" w:eastAsia="en-US"/>
        </w:rPr>
        <w:t xml:space="preserve"> </w:t>
      </w:r>
      <w:r w:rsidRPr="00DB0552">
        <w:rPr>
          <w:rFonts w:ascii="Palatino Linotype" w:eastAsiaTheme="minorHAnsi" w:hAnsi="Palatino Linotype" w:cs="Arial"/>
          <w:b/>
          <w:lang w:val="es-MX" w:eastAsia="en-US"/>
        </w:rPr>
        <w:t>NOTIFÍQUESE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a</w:t>
      </w:r>
      <w:r>
        <w:rPr>
          <w:rFonts w:ascii="Palatino Linotype" w:eastAsiaTheme="minorHAnsi" w:hAnsi="Palatino Linotype" w:cs="Arial"/>
          <w:bCs/>
          <w:lang w:val="es-MX" w:eastAsia="en-US"/>
        </w:rPr>
        <w:t xml:space="preserve"> </w:t>
      </w:r>
      <w:r w:rsidRPr="00DB0552">
        <w:rPr>
          <w:rFonts w:ascii="Palatino Linotype" w:eastAsiaTheme="minorHAnsi" w:hAnsi="Palatino Linotype" w:cs="Arial"/>
          <w:bCs/>
          <w:lang w:val="es-MX" w:eastAsia="en-US"/>
        </w:rPr>
        <w:t>l</w:t>
      </w:r>
      <w:r>
        <w:rPr>
          <w:rFonts w:ascii="Palatino Linotype" w:eastAsiaTheme="minorHAnsi" w:hAnsi="Palatino Linotype" w:cs="Arial"/>
          <w:bCs/>
          <w:lang w:val="es-MX" w:eastAsia="en-US"/>
        </w:rPr>
        <w:t>a parte</w:t>
      </w:r>
      <w:r w:rsidRPr="00DB0552">
        <w:rPr>
          <w:rFonts w:ascii="Palatino Linotype" w:eastAsiaTheme="minorHAnsi" w:hAnsi="Palatino Linotype" w:cs="Arial"/>
          <w:bCs/>
          <w:lang w:val="es-MX" w:eastAsia="en-US"/>
        </w:rPr>
        <w:t xml:space="preserve"> recurrente</w:t>
      </w:r>
      <w:r w:rsidRPr="00DB0552">
        <w:rPr>
          <w:rFonts w:ascii="Palatino Linotype" w:eastAsiaTheme="minorHAnsi" w:hAnsi="Palatino Linotype" w:cs="Arial"/>
          <w:lang w:val="es-MX" w:eastAsia="en-US"/>
        </w:rPr>
        <w:t xml:space="preserve"> </w:t>
      </w:r>
      <w:r w:rsidRPr="00DB0552">
        <w:rPr>
          <w:rFonts w:ascii="Palatino Linotype" w:eastAsiaTheme="minorHAnsi" w:hAnsi="Palatino Linotype" w:cs="Arial"/>
          <w:bCs/>
          <w:lang w:val="es-MX" w:eastAsia="en-US"/>
        </w:rPr>
        <w:t xml:space="preserve">la presente resolución; así como, que podrá impugnarla vía Juicio de Amparo en los términos de las leyes aplicables, </w:t>
      </w:r>
      <w:r w:rsidRPr="00DB0552">
        <w:rPr>
          <w:rFonts w:ascii="Palatino Linotype" w:eastAsiaTheme="minorHAnsi" w:hAnsi="Palatino Linotype" w:cs="Arial"/>
          <w:bCs/>
          <w:lang w:val="es-MX" w:eastAsia="en-US"/>
        </w:rPr>
        <w:lastRenderedPageBreak/>
        <w:t>de conformidad con lo establecido en el artículo 196 de la Ley de Transparencia y Acceso a la Información Pública del Estado de México y Municipios.</w:t>
      </w:r>
    </w:p>
    <w:p w:rsidR="0090427A" w:rsidRDefault="0090427A" w:rsidP="0090427A">
      <w:pPr>
        <w:spacing w:before="100" w:beforeAutospacing="1" w:after="100" w:afterAutospacing="1" w:line="360" w:lineRule="auto"/>
        <w:jc w:val="both"/>
        <w:rPr>
          <w:rFonts w:ascii="Palatino Linotype" w:hAnsi="Palatino Linotype" w:cs="Arial"/>
          <w:szCs w:val="25"/>
        </w:rPr>
      </w:pPr>
      <w:r>
        <w:rPr>
          <w:rFonts w:ascii="Palatino Linotype" w:hAnsi="Palatino Linotype" w:cs="Arial"/>
          <w:szCs w:val="25"/>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A0386E">
        <w:rPr>
          <w:rFonts w:ascii="Palatino Linotype" w:hAnsi="Palatino Linotype" w:cs="Arial"/>
          <w:szCs w:val="25"/>
        </w:rPr>
        <w:t xml:space="preserve"> EMITIENDO VOTO PARTICULAR</w:t>
      </w:r>
      <w:r>
        <w:rPr>
          <w:rFonts w:ascii="Palatino Linotype" w:hAnsi="Palatino Linotype" w:cs="Arial"/>
          <w:szCs w:val="25"/>
        </w:rPr>
        <w:t xml:space="preserve"> Y JAVIER MARTÍNEZ CRUZ, EN LA </w:t>
      </w:r>
      <w:r w:rsidRPr="00C031EC">
        <w:rPr>
          <w:rFonts w:ascii="Palatino Linotype" w:hAnsi="Palatino Linotype" w:cs="Arial"/>
          <w:szCs w:val="25"/>
        </w:rPr>
        <w:t>TRIGÉSIMA</w:t>
      </w:r>
      <w:r>
        <w:rPr>
          <w:rFonts w:ascii="Palatino Linotype" w:hAnsi="Palatino Linotype" w:cs="Arial"/>
          <w:szCs w:val="25"/>
        </w:rPr>
        <w:t xml:space="preserve"> PRIMERA SESIÓN ORDINARIA CELEBRADA EL DÍA VEINTINUEVE DE AGOSTO DE DOS MIL DIECIOCHO, ANTE EL SECRETARIO TÉCNICO DEL PLENO, ALEXIS TAPIA RAMÍREZ. </w:t>
      </w:r>
    </w:p>
    <w:p w:rsidR="00252C54" w:rsidRDefault="00252C54" w:rsidP="0090427A">
      <w:pPr>
        <w:spacing w:before="240" w:after="240" w:line="360" w:lineRule="auto"/>
        <w:jc w:val="both"/>
        <w:rPr>
          <w:rFonts w:ascii="Palatino Linotype" w:hAnsi="Palatino Linotype" w:cs="Arial"/>
          <w:szCs w:val="25"/>
        </w:rPr>
      </w:pPr>
    </w:p>
    <w:p w:rsidR="00730A97" w:rsidRDefault="00730A97" w:rsidP="0090427A">
      <w:pPr>
        <w:spacing w:before="240" w:after="240" w:line="360" w:lineRule="auto"/>
        <w:jc w:val="both"/>
        <w:rPr>
          <w:rFonts w:ascii="Palatino Linotype" w:hAnsi="Palatino Linotype" w:cs="Arial"/>
          <w:szCs w:val="25"/>
        </w:rPr>
      </w:pPr>
    </w:p>
    <w:tbl>
      <w:tblPr>
        <w:tblW w:w="5000" w:type="pct"/>
        <w:jc w:val="center"/>
        <w:tblLook w:val="04A0" w:firstRow="1" w:lastRow="0" w:firstColumn="1" w:lastColumn="0" w:noHBand="0" w:noVBand="1"/>
      </w:tblPr>
      <w:tblGrid>
        <w:gridCol w:w="4216"/>
        <w:gridCol w:w="4622"/>
      </w:tblGrid>
      <w:tr w:rsidR="0090427A" w:rsidTr="008144D6">
        <w:trPr>
          <w:trHeight w:val="924"/>
          <w:jc w:val="center"/>
        </w:trPr>
        <w:tc>
          <w:tcPr>
            <w:tcW w:w="5000" w:type="pct"/>
            <w:gridSpan w:val="2"/>
          </w:tcPr>
          <w:p w:rsidR="0090427A" w:rsidRDefault="0090427A" w:rsidP="008144D6">
            <w:pPr>
              <w:spacing w:line="252" w:lineRule="auto"/>
              <w:jc w:val="center"/>
              <w:rPr>
                <w:rFonts w:ascii="Palatino Linotype" w:hAnsi="Palatino Linotype" w:cs="Arial"/>
                <w:b/>
              </w:rPr>
            </w:pPr>
            <w:r>
              <w:rPr>
                <w:rFonts w:ascii="Palatino Linotype" w:hAnsi="Palatino Linotype" w:cs="Arial"/>
                <w:b/>
              </w:rPr>
              <w:t>Zulema Martínez Sánchez</w:t>
            </w:r>
          </w:p>
          <w:p w:rsidR="0090427A" w:rsidRDefault="0090427A" w:rsidP="008144D6">
            <w:pPr>
              <w:spacing w:line="252" w:lineRule="auto"/>
              <w:jc w:val="center"/>
              <w:rPr>
                <w:rFonts w:ascii="Palatino Linotype" w:hAnsi="Palatino Linotype" w:cs="Arial"/>
              </w:rPr>
            </w:pPr>
            <w:r>
              <w:rPr>
                <w:rFonts w:ascii="Palatino Linotype" w:hAnsi="Palatino Linotype" w:cs="Arial"/>
              </w:rPr>
              <w:t>Comisionada Presidenta</w:t>
            </w:r>
          </w:p>
          <w:p w:rsidR="0090427A" w:rsidRDefault="0090427A" w:rsidP="008144D6">
            <w:pPr>
              <w:spacing w:line="252" w:lineRule="auto"/>
              <w:jc w:val="center"/>
              <w:rPr>
                <w:rFonts w:ascii="Palatino Linotype" w:hAnsi="Palatino Linotype" w:cs="Arial"/>
              </w:rPr>
            </w:pPr>
            <w:r>
              <w:rPr>
                <w:rFonts w:ascii="Palatino Linotype" w:hAnsi="Palatino Linotype" w:cs="Arial"/>
              </w:rPr>
              <w:t>(Rúbrica)</w:t>
            </w:r>
          </w:p>
          <w:p w:rsidR="0090427A" w:rsidRDefault="0090427A" w:rsidP="008144D6">
            <w:pPr>
              <w:spacing w:line="360" w:lineRule="auto"/>
              <w:rPr>
                <w:rFonts w:ascii="Palatino Linotype" w:hAnsi="Palatino Linotype" w:cs="Arial"/>
              </w:rPr>
            </w:pPr>
          </w:p>
          <w:p w:rsidR="0090427A" w:rsidRDefault="0090427A" w:rsidP="008144D6">
            <w:pPr>
              <w:spacing w:line="360" w:lineRule="auto"/>
              <w:rPr>
                <w:rFonts w:ascii="Palatino Linotype" w:hAnsi="Palatino Linotype" w:cs="Arial"/>
              </w:rPr>
            </w:pPr>
          </w:p>
          <w:p w:rsidR="00730A97" w:rsidRDefault="00730A97" w:rsidP="008144D6">
            <w:pPr>
              <w:spacing w:line="360" w:lineRule="auto"/>
              <w:rPr>
                <w:rFonts w:ascii="Palatino Linotype" w:hAnsi="Palatino Linotype" w:cs="Arial"/>
              </w:rPr>
            </w:pPr>
          </w:p>
          <w:p w:rsidR="0090427A" w:rsidRDefault="0090427A" w:rsidP="008144D6">
            <w:pPr>
              <w:spacing w:line="360" w:lineRule="auto"/>
              <w:rPr>
                <w:rFonts w:ascii="Palatino Linotype" w:hAnsi="Palatino Linotype" w:cs="Arial"/>
              </w:rPr>
            </w:pPr>
          </w:p>
        </w:tc>
      </w:tr>
      <w:tr w:rsidR="0090427A" w:rsidTr="008144D6">
        <w:trPr>
          <w:trHeight w:val="902"/>
          <w:jc w:val="center"/>
        </w:trPr>
        <w:tc>
          <w:tcPr>
            <w:tcW w:w="2385" w:type="pct"/>
            <w:hideMark/>
          </w:tcPr>
          <w:p w:rsidR="0090427A" w:rsidRDefault="0090427A" w:rsidP="008144D6">
            <w:pPr>
              <w:spacing w:line="252" w:lineRule="auto"/>
              <w:jc w:val="center"/>
              <w:rPr>
                <w:rFonts w:ascii="Palatino Linotype" w:hAnsi="Palatino Linotype" w:cs="Arial"/>
                <w:b/>
              </w:rPr>
            </w:pPr>
            <w:r>
              <w:rPr>
                <w:rFonts w:ascii="Palatino Linotype" w:hAnsi="Palatino Linotype" w:cs="Arial"/>
                <w:b/>
              </w:rPr>
              <w:t>Eva Abaid Yapur</w:t>
            </w:r>
          </w:p>
          <w:p w:rsidR="0090427A" w:rsidRDefault="0090427A" w:rsidP="008144D6">
            <w:pPr>
              <w:spacing w:line="252" w:lineRule="auto"/>
              <w:jc w:val="center"/>
              <w:rPr>
                <w:rFonts w:ascii="Palatino Linotype" w:hAnsi="Palatino Linotype" w:cs="Arial"/>
              </w:rPr>
            </w:pPr>
            <w:r>
              <w:rPr>
                <w:rFonts w:ascii="Palatino Linotype" w:hAnsi="Palatino Linotype" w:cs="Arial"/>
              </w:rPr>
              <w:t>Comisionada</w:t>
            </w:r>
          </w:p>
          <w:p w:rsidR="0090427A" w:rsidRDefault="0090427A" w:rsidP="008144D6">
            <w:pPr>
              <w:spacing w:line="252" w:lineRule="auto"/>
              <w:jc w:val="center"/>
              <w:rPr>
                <w:rFonts w:ascii="Palatino Linotype" w:hAnsi="Palatino Linotype" w:cs="Arial"/>
              </w:rPr>
            </w:pPr>
            <w:r>
              <w:rPr>
                <w:rFonts w:ascii="Palatino Linotype" w:hAnsi="Palatino Linotype" w:cs="Arial"/>
              </w:rPr>
              <w:t>(Rúbrica)</w:t>
            </w:r>
          </w:p>
        </w:tc>
        <w:tc>
          <w:tcPr>
            <w:tcW w:w="2615" w:type="pct"/>
          </w:tcPr>
          <w:p w:rsidR="0090427A" w:rsidRDefault="0090427A" w:rsidP="008144D6">
            <w:pPr>
              <w:spacing w:line="252" w:lineRule="auto"/>
              <w:jc w:val="center"/>
              <w:rPr>
                <w:rFonts w:ascii="Palatino Linotype" w:hAnsi="Palatino Linotype" w:cs="Arial"/>
                <w:b/>
              </w:rPr>
            </w:pPr>
            <w:r>
              <w:rPr>
                <w:rFonts w:ascii="Palatino Linotype" w:hAnsi="Palatino Linotype" w:cs="Arial"/>
                <w:b/>
              </w:rPr>
              <w:t>José Guadalupe Luna Hernández</w:t>
            </w:r>
          </w:p>
          <w:p w:rsidR="0090427A" w:rsidRDefault="0090427A" w:rsidP="008144D6">
            <w:pPr>
              <w:spacing w:line="252" w:lineRule="auto"/>
              <w:jc w:val="center"/>
              <w:rPr>
                <w:rFonts w:ascii="Palatino Linotype" w:hAnsi="Palatino Linotype" w:cs="Arial"/>
              </w:rPr>
            </w:pPr>
            <w:r>
              <w:rPr>
                <w:rFonts w:ascii="Palatino Linotype" w:hAnsi="Palatino Linotype" w:cs="Arial"/>
              </w:rPr>
              <w:t>Comisionado</w:t>
            </w:r>
          </w:p>
          <w:p w:rsidR="0090427A" w:rsidRDefault="0090427A" w:rsidP="008144D6">
            <w:pPr>
              <w:spacing w:line="252" w:lineRule="auto"/>
              <w:jc w:val="center"/>
              <w:rPr>
                <w:rFonts w:ascii="Palatino Linotype" w:hAnsi="Palatino Linotype" w:cs="Arial"/>
              </w:rPr>
            </w:pPr>
            <w:r>
              <w:rPr>
                <w:rFonts w:ascii="Palatino Linotype" w:hAnsi="Palatino Linotype" w:cs="Arial"/>
              </w:rPr>
              <w:t>(Rúbrica)</w:t>
            </w:r>
          </w:p>
          <w:p w:rsidR="0090427A" w:rsidRDefault="0090427A" w:rsidP="008144D6">
            <w:pPr>
              <w:spacing w:line="252" w:lineRule="auto"/>
              <w:rPr>
                <w:rFonts w:ascii="Palatino Linotype" w:hAnsi="Palatino Linotype" w:cs="Arial"/>
              </w:rPr>
            </w:pPr>
          </w:p>
          <w:p w:rsidR="0090427A" w:rsidRDefault="0090427A" w:rsidP="008144D6">
            <w:pPr>
              <w:spacing w:line="252" w:lineRule="auto"/>
              <w:rPr>
                <w:rFonts w:ascii="Palatino Linotype" w:hAnsi="Palatino Linotype" w:cs="Arial"/>
              </w:rPr>
            </w:pPr>
          </w:p>
          <w:p w:rsidR="0090427A" w:rsidRDefault="0090427A" w:rsidP="008144D6">
            <w:pPr>
              <w:spacing w:line="252" w:lineRule="auto"/>
              <w:rPr>
                <w:rFonts w:ascii="Palatino Linotype" w:hAnsi="Palatino Linotype" w:cs="Arial"/>
              </w:rPr>
            </w:pPr>
          </w:p>
          <w:p w:rsidR="0090427A" w:rsidRDefault="0090427A" w:rsidP="008144D6">
            <w:pPr>
              <w:spacing w:line="252" w:lineRule="auto"/>
              <w:rPr>
                <w:rFonts w:ascii="Palatino Linotype" w:hAnsi="Palatino Linotype" w:cs="Arial"/>
              </w:rPr>
            </w:pPr>
          </w:p>
          <w:p w:rsidR="00730A97" w:rsidRDefault="00730A97" w:rsidP="008144D6">
            <w:pPr>
              <w:spacing w:line="252" w:lineRule="auto"/>
              <w:rPr>
                <w:rFonts w:ascii="Palatino Linotype" w:hAnsi="Palatino Linotype" w:cs="Arial"/>
              </w:rPr>
            </w:pPr>
          </w:p>
          <w:p w:rsidR="00730A97" w:rsidRDefault="00730A97" w:rsidP="008144D6">
            <w:pPr>
              <w:spacing w:line="252" w:lineRule="auto"/>
              <w:rPr>
                <w:rFonts w:ascii="Palatino Linotype" w:hAnsi="Palatino Linotype" w:cs="Arial"/>
              </w:rPr>
            </w:pPr>
          </w:p>
          <w:p w:rsidR="0090427A" w:rsidRDefault="0090427A" w:rsidP="008144D6">
            <w:pPr>
              <w:spacing w:line="252" w:lineRule="auto"/>
              <w:rPr>
                <w:rFonts w:ascii="Palatino Linotype" w:hAnsi="Palatino Linotype" w:cs="Arial"/>
              </w:rPr>
            </w:pPr>
          </w:p>
        </w:tc>
      </w:tr>
      <w:tr w:rsidR="0090427A" w:rsidTr="008144D6">
        <w:trPr>
          <w:jc w:val="center"/>
        </w:trPr>
        <w:tc>
          <w:tcPr>
            <w:tcW w:w="5000" w:type="pct"/>
            <w:gridSpan w:val="2"/>
          </w:tcPr>
          <w:p w:rsidR="0090427A" w:rsidRDefault="0090427A" w:rsidP="008144D6">
            <w:pPr>
              <w:spacing w:line="252" w:lineRule="auto"/>
              <w:jc w:val="center"/>
              <w:rPr>
                <w:rFonts w:ascii="Palatino Linotype" w:hAnsi="Palatino Linotype" w:cs="Arial"/>
                <w:b/>
              </w:rPr>
            </w:pPr>
            <w:r>
              <w:rPr>
                <w:rFonts w:ascii="Palatino Linotype" w:hAnsi="Palatino Linotype" w:cs="Arial"/>
                <w:b/>
              </w:rPr>
              <w:lastRenderedPageBreak/>
              <w:t xml:space="preserve">Javier Martínez Cruz </w:t>
            </w:r>
          </w:p>
          <w:p w:rsidR="0090427A" w:rsidRDefault="0090427A" w:rsidP="008144D6">
            <w:pPr>
              <w:spacing w:line="252" w:lineRule="auto"/>
              <w:jc w:val="center"/>
              <w:rPr>
                <w:rFonts w:ascii="Palatino Linotype" w:hAnsi="Palatino Linotype" w:cs="Arial"/>
              </w:rPr>
            </w:pPr>
            <w:r>
              <w:rPr>
                <w:rFonts w:ascii="Palatino Linotype" w:hAnsi="Palatino Linotype" w:cs="Arial"/>
              </w:rPr>
              <w:t>Comisionado</w:t>
            </w:r>
          </w:p>
          <w:p w:rsidR="0090427A" w:rsidRDefault="0090427A" w:rsidP="008144D6">
            <w:pPr>
              <w:spacing w:line="252" w:lineRule="auto"/>
              <w:jc w:val="center"/>
              <w:rPr>
                <w:rFonts w:ascii="Palatino Linotype" w:hAnsi="Palatino Linotype" w:cs="Arial"/>
              </w:rPr>
            </w:pPr>
            <w:r>
              <w:rPr>
                <w:rFonts w:ascii="Palatino Linotype" w:hAnsi="Palatino Linotype" w:cs="Arial"/>
              </w:rPr>
              <w:t>(Rúbrica)</w:t>
            </w:r>
          </w:p>
          <w:p w:rsidR="0090427A" w:rsidRDefault="0090427A" w:rsidP="008144D6">
            <w:pPr>
              <w:spacing w:line="252" w:lineRule="auto"/>
              <w:rPr>
                <w:rFonts w:ascii="Palatino Linotype" w:hAnsi="Palatino Linotype" w:cs="Arial"/>
              </w:rPr>
            </w:pPr>
          </w:p>
          <w:p w:rsidR="0090427A" w:rsidRDefault="0090427A" w:rsidP="008144D6">
            <w:pPr>
              <w:spacing w:line="252" w:lineRule="auto"/>
              <w:rPr>
                <w:rFonts w:ascii="Palatino Linotype" w:hAnsi="Palatino Linotype" w:cs="Arial"/>
              </w:rPr>
            </w:pPr>
          </w:p>
          <w:p w:rsidR="00730A97" w:rsidRDefault="00730A97" w:rsidP="008144D6">
            <w:pPr>
              <w:spacing w:line="252" w:lineRule="auto"/>
              <w:rPr>
                <w:rFonts w:ascii="Palatino Linotype" w:hAnsi="Palatino Linotype" w:cs="Arial"/>
              </w:rPr>
            </w:pPr>
          </w:p>
          <w:p w:rsidR="00730A97" w:rsidRDefault="00730A97" w:rsidP="008144D6">
            <w:pPr>
              <w:spacing w:line="252" w:lineRule="auto"/>
              <w:rPr>
                <w:rFonts w:ascii="Palatino Linotype" w:hAnsi="Palatino Linotype" w:cs="Arial"/>
              </w:rPr>
            </w:pPr>
          </w:p>
          <w:p w:rsidR="0090427A" w:rsidRDefault="0090427A" w:rsidP="008144D6">
            <w:pPr>
              <w:spacing w:line="252" w:lineRule="auto"/>
              <w:rPr>
                <w:rFonts w:ascii="Palatino Linotype" w:hAnsi="Palatino Linotype" w:cs="Arial"/>
              </w:rPr>
            </w:pPr>
          </w:p>
          <w:p w:rsidR="00252C54" w:rsidRDefault="00252C54" w:rsidP="008144D6">
            <w:pPr>
              <w:spacing w:line="252" w:lineRule="auto"/>
              <w:rPr>
                <w:rFonts w:ascii="Palatino Linotype" w:hAnsi="Palatino Linotype" w:cs="Arial"/>
              </w:rPr>
            </w:pPr>
          </w:p>
          <w:p w:rsidR="0090427A" w:rsidRDefault="0090427A" w:rsidP="008144D6">
            <w:pPr>
              <w:spacing w:line="252" w:lineRule="auto"/>
              <w:rPr>
                <w:rFonts w:ascii="Palatino Linotype" w:hAnsi="Palatino Linotype" w:cs="Arial"/>
              </w:rPr>
            </w:pPr>
          </w:p>
        </w:tc>
      </w:tr>
      <w:tr w:rsidR="0090427A" w:rsidTr="008144D6">
        <w:trPr>
          <w:jc w:val="center"/>
        </w:trPr>
        <w:tc>
          <w:tcPr>
            <w:tcW w:w="5000" w:type="pct"/>
            <w:gridSpan w:val="2"/>
          </w:tcPr>
          <w:p w:rsidR="0090427A" w:rsidRDefault="0090427A" w:rsidP="008144D6">
            <w:pPr>
              <w:spacing w:line="252" w:lineRule="auto"/>
              <w:jc w:val="center"/>
              <w:rPr>
                <w:rFonts w:ascii="Palatino Linotype" w:hAnsi="Palatino Linotype" w:cs="Arial"/>
                <w:b/>
              </w:rPr>
            </w:pPr>
            <w:r>
              <w:rPr>
                <w:rFonts w:ascii="Palatino Linotype" w:hAnsi="Palatino Linotype" w:cs="Arial"/>
                <w:b/>
              </w:rPr>
              <w:t xml:space="preserve">      Alexis Tapia Ramírez</w:t>
            </w:r>
          </w:p>
          <w:p w:rsidR="0090427A" w:rsidRDefault="0090427A" w:rsidP="008144D6">
            <w:pPr>
              <w:tabs>
                <w:tab w:val="left" w:pos="780"/>
                <w:tab w:val="center" w:pos="4499"/>
              </w:tabs>
              <w:spacing w:line="252" w:lineRule="auto"/>
              <w:rPr>
                <w:rFonts w:ascii="Palatino Linotype" w:hAnsi="Palatino Linotype" w:cs="Arial"/>
              </w:rPr>
            </w:pPr>
            <w:r>
              <w:rPr>
                <w:rFonts w:ascii="Palatino Linotype" w:hAnsi="Palatino Linotype" w:cs="Arial"/>
              </w:rPr>
              <w:tab/>
            </w:r>
            <w:r>
              <w:rPr>
                <w:rFonts w:ascii="Palatino Linotype" w:hAnsi="Palatino Linotype" w:cs="Arial"/>
              </w:rPr>
              <w:tab/>
              <w:t>Secretario Técnico del Pleno</w:t>
            </w:r>
          </w:p>
          <w:p w:rsidR="0090427A" w:rsidRDefault="0090427A" w:rsidP="008144D6">
            <w:pPr>
              <w:spacing w:line="252" w:lineRule="auto"/>
              <w:jc w:val="center"/>
              <w:rPr>
                <w:rFonts w:ascii="Palatino Linotype" w:hAnsi="Palatino Linotype" w:cs="Arial"/>
              </w:rPr>
            </w:pPr>
            <w:r>
              <w:rPr>
                <w:rFonts w:ascii="Palatino Linotype" w:hAnsi="Palatino Linotype" w:cs="Arial"/>
              </w:rPr>
              <w:t xml:space="preserve">    (Rúbrica)</w:t>
            </w:r>
          </w:p>
          <w:p w:rsidR="0090427A" w:rsidRDefault="0090427A" w:rsidP="008144D6">
            <w:pPr>
              <w:spacing w:line="252" w:lineRule="auto"/>
              <w:rPr>
                <w:rFonts w:ascii="Palatino Linotype" w:hAnsi="Palatino Linotype" w:cs="Arial"/>
              </w:rPr>
            </w:pPr>
          </w:p>
        </w:tc>
      </w:tr>
    </w:tbl>
    <w:p w:rsidR="0090427A" w:rsidRPr="00E03E6C" w:rsidRDefault="0090427A" w:rsidP="0090427A">
      <w:pPr>
        <w:spacing w:before="100" w:beforeAutospacing="1" w:after="100" w:afterAutospacing="1" w:line="360" w:lineRule="auto"/>
        <w:jc w:val="both"/>
      </w:pPr>
      <w:r>
        <w:rPr>
          <w:rFonts w:ascii="Palatino Linotype" w:hAnsi="Palatino Linotype" w:cs="Arial"/>
          <w:sz w:val="20"/>
          <w:szCs w:val="20"/>
        </w:rPr>
        <w:t xml:space="preserve">Esta hoja corresponde a la resolución de fecha veintinueve de agosto de dos mil dieciocho, emitida en el recurso de revisión </w:t>
      </w:r>
      <w:r>
        <w:rPr>
          <w:rFonts w:ascii="Palatino Linotype" w:hAnsi="Palatino Linotype" w:cs="Arial"/>
          <w:b/>
          <w:bCs/>
          <w:sz w:val="20"/>
          <w:szCs w:val="20"/>
        </w:rPr>
        <w:t>02359</w:t>
      </w:r>
      <w:r w:rsidRPr="00B378C6">
        <w:rPr>
          <w:rFonts w:ascii="Palatino Linotype" w:hAnsi="Palatino Linotype" w:cs="Arial"/>
          <w:b/>
          <w:bCs/>
          <w:sz w:val="20"/>
          <w:szCs w:val="20"/>
        </w:rPr>
        <w:t>/INFOEM/IP/RR/2018</w:t>
      </w:r>
      <w:r>
        <w:rPr>
          <w:rFonts w:ascii="Palatino Linotype" w:hAnsi="Palatino Linotype" w:cs="Arial"/>
          <w:bCs/>
          <w:sz w:val="20"/>
          <w:szCs w:val="20"/>
        </w:rPr>
        <w:t>.</w:t>
      </w:r>
      <w:r>
        <w:rPr>
          <w:rFonts w:ascii="Palatino Linotype" w:hAnsi="Palatino Linotype" w:cs="Arial"/>
        </w:rPr>
        <w:t xml:space="preserve"> </w:t>
      </w:r>
    </w:p>
    <w:p w:rsidR="000058BC" w:rsidRPr="000058BC" w:rsidRDefault="000058BC" w:rsidP="000058BC">
      <w:pPr>
        <w:spacing w:before="100" w:beforeAutospacing="1" w:after="100" w:afterAutospacing="1" w:line="360" w:lineRule="auto"/>
        <w:jc w:val="both"/>
        <w:rPr>
          <w:rFonts w:ascii="Palatino Linotype" w:hAnsi="Palatino Linotype" w:cs="Arial"/>
        </w:rPr>
      </w:pPr>
    </w:p>
    <w:sectPr w:rsidR="000058BC" w:rsidRPr="000058BC" w:rsidSect="0028156A">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E36" w:rsidRDefault="00825E36" w:rsidP="0090427A">
      <w:r>
        <w:separator/>
      </w:r>
    </w:p>
  </w:endnote>
  <w:endnote w:type="continuationSeparator" w:id="0">
    <w:p w:rsidR="00825E36" w:rsidRDefault="00825E36" w:rsidP="0090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D6" w:rsidRDefault="008144D6" w:rsidP="0028156A">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C038A">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C038A">
      <w:rPr>
        <w:rFonts w:ascii="Arial" w:hAnsi="Arial" w:cs="Arial"/>
        <w:b/>
        <w:bCs/>
        <w:noProof/>
        <w:sz w:val="20"/>
        <w:szCs w:val="20"/>
      </w:rPr>
      <w:t>33</w:t>
    </w:r>
    <w:r>
      <w:rPr>
        <w:rFonts w:ascii="Arial" w:hAnsi="Arial" w:cs="Arial"/>
        <w:b/>
        <w:bCs/>
        <w:sz w:val="20"/>
        <w:szCs w:val="20"/>
      </w:rPr>
      <w:fldChar w:fldCharType="end"/>
    </w:r>
  </w:p>
  <w:p w:rsidR="008144D6" w:rsidRDefault="008144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D6" w:rsidRDefault="008144D6" w:rsidP="0028156A">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C038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C038A">
      <w:rPr>
        <w:rFonts w:ascii="Arial" w:hAnsi="Arial" w:cs="Arial"/>
        <w:b/>
        <w:bCs/>
        <w:noProof/>
        <w:sz w:val="20"/>
        <w:szCs w:val="20"/>
      </w:rPr>
      <w:t>33</w:t>
    </w:r>
    <w:r>
      <w:rPr>
        <w:rFonts w:ascii="Arial" w:hAnsi="Arial" w:cs="Arial"/>
        <w:b/>
        <w:bCs/>
        <w:sz w:val="20"/>
        <w:szCs w:val="20"/>
      </w:rPr>
      <w:fldChar w:fldCharType="end"/>
    </w:r>
  </w:p>
  <w:p w:rsidR="008144D6" w:rsidRDefault="008144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E36" w:rsidRDefault="00825E36" w:rsidP="0090427A">
      <w:r>
        <w:separator/>
      </w:r>
    </w:p>
  </w:footnote>
  <w:footnote w:type="continuationSeparator" w:id="0">
    <w:p w:rsidR="00825E36" w:rsidRDefault="00825E36" w:rsidP="0090427A">
      <w:r>
        <w:continuationSeparator/>
      </w:r>
    </w:p>
  </w:footnote>
  <w:footnote w:id="1">
    <w:p w:rsidR="008144D6" w:rsidRDefault="008144D6" w:rsidP="0090427A">
      <w:pPr>
        <w:pStyle w:val="Textonotapie"/>
        <w:rPr>
          <w:rFonts w:ascii="Palatino Linotype" w:hAnsi="Palatino Linotype"/>
          <w:lang w:val="es-MX"/>
        </w:rPr>
      </w:pPr>
      <w:r>
        <w:rPr>
          <w:rStyle w:val="Refdenotaalpie"/>
        </w:rPr>
        <w:footnoteRef/>
      </w:r>
      <w:r>
        <w:t xml:space="preserve"> </w:t>
      </w:r>
      <w:r>
        <w:rPr>
          <w:rFonts w:ascii="Palatino Linotype" w:hAnsi="Palatino Linotype"/>
          <w:lang w:val="es-MX"/>
        </w:rPr>
        <w:t>Ley de Transparencia y Acceso a la Información Pública del Estado de México y Municipios (2018)</w:t>
      </w:r>
    </w:p>
  </w:footnote>
  <w:footnote w:id="2">
    <w:p w:rsidR="00730A97" w:rsidRDefault="00730A97" w:rsidP="00730A97">
      <w:pPr>
        <w:ind w:right="49"/>
        <w:jc w:val="both"/>
        <w:rPr>
          <w:rFonts w:ascii="Palatino Linotype" w:eastAsiaTheme="minorHAnsi" w:hAnsi="Palatino Linotype" w:cs="Arial"/>
          <w:bCs/>
          <w:noProof/>
          <w:sz w:val="20"/>
          <w:szCs w:val="20"/>
          <w:lang w:eastAsia="en-US"/>
        </w:rPr>
      </w:pPr>
      <w:r>
        <w:rPr>
          <w:rStyle w:val="Refdenotaalpie"/>
        </w:rPr>
        <w:footnoteRef/>
      </w:r>
      <w:r>
        <w:t xml:space="preserve"> </w:t>
      </w:r>
      <w:r>
        <w:rPr>
          <w:rFonts w:ascii="Palatino Linotype" w:hAnsi="Palatino Linotype" w:cs="Arial"/>
          <w:bCs/>
          <w:noProof/>
          <w:sz w:val="20"/>
          <w:szCs w:val="20"/>
        </w:rPr>
        <w:t xml:space="preserve">Artículo 17-G.- Los certificados que emita el Servicio de Administración Tributaria para ser considerados válidos deberán contener los datos siguientes: </w:t>
      </w:r>
    </w:p>
    <w:p w:rsidR="00730A97" w:rsidRDefault="00730A97" w:rsidP="00730A97">
      <w:pPr>
        <w:ind w:right="49"/>
        <w:jc w:val="both"/>
        <w:rPr>
          <w:rFonts w:ascii="Palatino Linotype" w:hAnsi="Palatino Linotype" w:cs="Arial"/>
          <w:bCs/>
          <w:noProof/>
          <w:sz w:val="20"/>
          <w:szCs w:val="20"/>
        </w:rPr>
      </w:pPr>
      <w:r>
        <w:rPr>
          <w:rFonts w:ascii="Palatino Linotype" w:hAnsi="Palatino Linotype" w:cs="Arial"/>
          <w:bCs/>
          <w:noProof/>
          <w:sz w:val="20"/>
          <w:szCs w:val="20"/>
        </w:rPr>
        <w:t>I. La mención de que se expiden como tales. Tratándose de certificados de sellos digitales, se deberán especificar las limitantes que tengan para su uso.</w:t>
      </w:r>
    </w:p>
    <w:p w:rsidR="00730A97" w:rsidRDefault="00730A97" w:rsidP="00730A97">
      <w:pPr>
        <w:ind w:right="49"/>
        <w:jc w:val="both"/>
        <w:rPr>
          <w:rFonts w:ascii="Palatino Linotype" w:hAnsi="Palatino Linotype" w:cs="Arial"/>
          <w:bCs/>
          <w:noProof/>
          <w:sz w:val="20"/>
          <w:szCs w:val="20"/>
        </w:rPr>
      </w:pPr>
      <w:r>
        <w:rPr>
          <w:rFonts w:ascii="Palatino Linotype" w:hAnsi="Palatino Linotype" w:cs="Arial"/>
          <w:bCs/>
          <w:noProof/>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730A97" w:rsidRDefault="00730A97" w:rsidP="00730A97">
      <w:pPr>
        <w:ind w:right="49"/>
        <w:jc w:val="both"/>
        <w:rPr>
          <w:rFonts w:ascii="Palatino Linotype" w:hAnsi="Palatino Linotype" w:cs="Arial"/>
          <w:bCs/>
          <w:noProof/>
          <w:sz w:val="20"/>
          <w:szCs w:val="20"/>
        </w:rPr>
      </w:pPr>
      <w:r>
        <w:rPr>
          <w:rFonts w:ascii="Palatino Linotype" w:hAnsi="Palatino Linotype" w:cs="Arial"/>
          <w:bCs/>
          <w:noProof/>
          <w:sz w:val="20"/>
          <w:szCs w:val="20"/>
        </w:rPr>
        <w:t>Los contribuyentes a que se refiere el párrafo anterior deberán cumplir con las obligaciones siguientes:</w:t>
      </w:r>
    </w:p>
    <w:p w:rsidR="00730A97" w:rsidRDefault="00730A97" w:rsidP="00730A97">
      <w:pPr>
        <w:ind w:right="49"/>
        <w:jc w:val="both"/>
        <w:rPr>
          <w:rFonts w:ascii="Palatino Linotype" w:hAnsi="Palatino Linotype" w:cs="Arial"/>
          <w:bCs/>
          <w:noProof/>
          <w:sz w:val="20"/>
          <w:szCs w:val="20"/>
        </w:rPr>
      </w:pPr>
      <w:r>
        <w:rPr>
          <w:rFonts w:ascii="Palatino Linotype" w:hAnsi="Palatino Linotype" w:cs="Arial"/>
          <w:bCs/>
          <w:noProof/>
          <w:sz w:val="20"/>
          <w:szCs w:val="20"/>
        </w:rPr>
        <w:t xml:space="preserve">I. </w:t>
      </w:r>
      <w:r>
        <w:rPr>
          <w:rFonts w:ascii="Palatino Linotype" w:hAnsi="Palatino Linotype" w:cs="Arial"/>
          <w:bCs/>
          <w:noProof/>
          <w:sz w:val="20"/>
          <w:szCs w:val="20"/>
        </w:rPr>
        <w:tab/>
        <w:t>…</w:t>
      </w:r>
    </w:p>
    <w:p w:rsidR="00730A97" w:rsidRDefault="00730A97" w:rsidP="00730A97">
      <w:pPr>
        <w:ind w:right="49"/>
        <w:jc w:val="both"/>
        <w:rPr>
          <w:rFonts w:ascii="Palatino Linotype" w:hAnsi="Palatino Linotype" w:cs="Arial"/>
          <w:bCs/>
          <w:noProof/>
          <w:sz w:val="20"/>
          <w:szCs w:val="20"/>
        </w:rPr>
      </w:pPr>
      <w:r>
        <w:rPr>
          <w:rFonts w:ascii="Palatino Linotype" w:hAnsi="Palatino Linotype" w:cs="Arial"/>
          <w:bCs/>
          <w:noProof/>
          <w:sz w:val="20"/>
          <w:szCs w:val="20"/>
        </w:rPr>
        <w:t xml:space="preserve">II. </w:t>
      </w:r>
      <w:r>
        <w:rPr>
          <w:rFonts w:ascii="Palatino Linotype" w:hAnsi="Palatino Linotype" w:cs="Arial"/>
          <w:bCs/>
          <w:noProof/>
          <w:sz w:val="20"/>
          <w:szCs w:val="20"/>
        </w:rPr>
        <w:tab/>
        <w:t>Tramitar ante el Servicio de Administración Tributaria el certificado para el uso de los sellos digitales.</w:t>
      </w:r>
    </w:p>
    <w:p w:rsidR="00730A97" w:rsidRDefault="00730A97" w:rsidP="00730A97">
      <w:pPr>
        <w:pStyle w:val="Textonotapie"/>
        <w:ind w:right="49"/>
        <w:jc w:val="both"/>
      </w:pPr>
      <w:r>
        <w:rPr>
          <w:rFonts w:ascii="Palatino Linotype" w:hAnsi="Palatino Linotype" w:cs="Arial"/>
          <w:bCs/>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90"/>
      <w:gridCol w:w="3650"/>
    </w:tblGrid>
    <w:tr w:rsidR="008144D6" w:rsidTr="008144D6">
      <w:trPr>
        <w:trHeight w:val="137"/>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90427A">
          <w:pPr>
            <w:rPr>
              <w:rFonts w:ascii="Palatino Linotype" w:hAnsi="Palatino Linotype"/>
              <w:b/>
            </w:rPr>
          </w:pPr>
          <w:r>
            <w:rPr>
              <w:rFonts w:ascii="Palatino Linotype" w:hAnsi="Palatino Linotype"/>
              <w:b/>
            </w:rPr>
            <w:t>Recurso de Revisión:</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90427A">
          <w:pPr>
            <w:tabs>
              <w:tab w:val="center" w:pos="4252"/>
              <w:tab w:val="right" w:pos="8504"/>
            </w:tabs>
            <w:jc w:val="both"/>
            <w:rPr>
              <w:rFonts w:ascii="Palatino Linotype" w:hAnsi="Palatino Linotype"/>
              <w:b/>
            </w:rPr>
          </w:pPr>
          <w:r>
            <w:rPr>
              <w:rFonts w:ascii="Palatino Linotype" w:hAnsi="Palatino Linotype" w:cs="Arial"/>
              <w:b/>
              <w:bCs/>
              <w:lang w:eastAsia="es-MX"/>
            </w:rPr>
            <w:t xml:space="preserve">02359/INFOEM/IP/RR/2018 </w:t>
          </w:r>
        </w:p>
      </w:tc>
    </w:tr>
    <w:tr w:rsidR="008144D6" w:rsidTr="008144D6">
      <w:trPr>
        <w:trHeight w:val="230"/>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90427A">
          <w:pPr>
            <w:rPr>
              <w:rFonts w:ascii="Palatino Linotype" w:hAnsi="Palatino Linotype"/>
              <w:b/>
            </w:rPr>
          </w:pPr>
          <w:r>
            <w:rPr>
              <w:rFonts w:ascii="Palatino Linotype" w:hAnsi="Palatino Linotype"/>
              <w:b/>
            </w:rPr>
            <w:t>Sujeto Obligado:</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90427A">
          <w:pPr>
            <w:tabs>
              <w:tab w:val="center" w:pos="4252"/>
              <w:tab w:val="right" w:pos="8504"/>
            </w:tabs>
            <w:jc w:val="both"/>
            <w:rPr>
              <w:rFonts w:ascii="Palatino Linotype" w:hAnsi="Palatino Linotype"/>
              <w:b/>
            </w:rPr>
          </w:pPr>
          <w:r>
            <w:rPr>
              <w:rFonts w:ascii="Palatino Linotype" w:hAnsi="Palatino Linotype" w:cs="Arial"/>
              <w:b/>
            </w:rPr>
            <w:t>Ayuntamiento de Tepotzotlán</w:t>
          </w:r>
        </w:p>
      </w:tc>
    </w:tr>
    <w:tr w:rsidR="008144D6" w:rsidTr="008144D6">
      <w:trPr>
        <w:trHeight w:val="318"/>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90427A">
          <w:pPr>
            <w:rPr>
              <w:rFonts w:ascii="Palatino Linotype" w:hAnsi="Palatino Linotype"/>
              <w:b/>
              <w:highlight w:val="yellow"/>
            </w:rPr>
          </w:pPr>
          <w:r>
            <w:rPr>
              <w:rFonts w:ascii="Palatino Linotype" w:hAnsi="Palatino Linotype"/>
              <w:b/>
            </w:rPr>
            <w:t>Comisionado Ponente:</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90427A">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8144D6" w:rsidRDefault="008144D6">
    <w:pPr>
      <w:pStyle w:val="Encabezado"/>
    </w:pPr>
  </w:p>
  <w:p w:rsidR="008144D6" w:rsidRDefault="008144D6">
    <w:pPr>
      <w:pStyle w:val="Encabezado"/>
    </w:pPr>
  </w:p>
  <w:p w:rsidR="008144D6" w:rsidRDefault="008144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88"/>
      <w:gridCol w:w="3648"/>
    </w:tblGrid>
    <w:tr w:rsidR="008144D6" w:rsidTr="008144D6">
      <w:trPr>
        <w:trHeight w:val="137"/>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28156A">
          <w:pPr>
            <w:rPr>
              <w:rFonts w:ascii="Palatino Linotype" w:hAnsi="Palatino Linotype"/>
              <w:b/>
            </w:rPr>
          </w:pPr>
          <w:r>
            <w:rPr>
              <w:rFonts w:ascii="Palatino Linotype" w:hAnsi="Palatino Linotype"/>
              <w:b/>
            </w:rPr>
            <w:t>Recurso de Revisión:</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28156A">
          <w:pPr>
            <w:tabs>
              <w:tab w:val="center" w:pos="4252"/>
              <w:tab w:val="right" w:pos="8504"/>
            </w:tabs>
            <w:jc w:val="both"/>
            <w:rPr>
              <w:rFonts w:ascii="Palatino Linotype" w:hAnsi="Palatino Linotype" w:cs="Arial"/>
              <w:b/>
              <w:bCs/>
              <w:lang w:eastAsia="es-MX"/>
            </w:rPr>
          </w:pPr>
          <w:r>
            <w:rPr>
              <w:rFonts w:ascii="Palatino Linotype" w:hAnsi="Palatino Linotype" w:cs="Arial"/>
              <w:b/>
              <w:bCs/>
              <w:lang w:eastAsia="es-MX"/>
            </w:rPr>
            <w:t>0</w:t>
          </w:r>
          <w:r w:rsidR="004937FB">
            <w:rPr>
              <w:rFonts w:ascii="Palatino Linotype" w:hAnsi="Palatino Linotype" w:cs="Arial"/>
              <w:b/>
              <w:bCs/>
              <w:lang w:eastAsia="es-MX"/>
            </w:rPr>
            <w:t>235</w:t>
          </w:r>
          <w:r>
            <w:rPr>
              <w:rFonts w:ascii="Palatino Linotype" w:hAnsi="Palatino Linotype" w:cs="Arial"/>
              <w:b/>
              <w:bCs/>
              <w:lang w:eastAsia="es-MX"/>
            </w:rPr>
            <w:t xml:space="preserve">9/INFOEM/IP/RR/2018 </w:t>
          </w:r>
        </w:p>
      </w:tc>
    </w:tr>
    <w:tr w:rsidR="008144D6" w:rsidTr="008144D6">
      <w:trPr>
        <w:trHeight w:val="225"/>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28156A">
          <w:pPr>
            <w:rPr>
              <w:rFonts w:ascii="Palatino Linotype" w:hAnsi="Palatino Linotype"/>
              <w:b/>
            </w:rPr>
          </w:pPr>
          <w:r>
            <w:rPr>
              <w:rFonts w:ascii="Palatino Linotype" w:hAnsi="Palatino Linotype"/>
              <w:b/>
            </w:rPr>
            <w:t>Recurrente: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9F2ED0" w:rsidP="0028156A">
          <w:pPr>
            <w:tabs>
              <w:tab w:val="center" w:pos="4252"/>
              <w:tab w:val="right" w:pos="8504"/>
            </w:tabs>
            <w:jc w:val="both"/>
            <w:rPr>
              <w:rFonts w:ascii="Palatino Linotype" w:hAnsi="Palatino Linotype"/>
              <w:b/>
            </w:rPr>
          </w:pPr>
          <w:r>
            <w:rPr>
              <w:rFonts w:ascii="Palatino Linotype" w:hAnsi="Palatino Linotype"/>
              <w:b/>
              <w:szCs w:val="22"/>
            </w:rPr>
            <w:t>Xxxxx Xxxxx Xxxxx</w:t>
          </w:r>
          <w:r w:rsidR="008144D6">
            <w:rPr>
              <w:rFonts w:ascii="Palatino Linotype" w:hAnsi="Palatino Linotype"/>
              <w:b/>
              <w:szCs w:val="22"/>
            </w:rPr>
            <w:t xml:space="preserve"> </w:t>
          </w:r>
        </w:p>
      </w:tc>
    </w:tr>
    <w:tr w:rsidR="008144D6" w:rsidTr="008144D6">
      <w:trPr>
        <w:trHeight w:val="230"/>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28156A">
          <w:pPr>
            <w:rPr>
              <w:rFonts w:ascii="Palatino Linotype" w:hAnsi="Palatino Linotype"/>
              <w:b/>
            </w:rPr>
          </w:pPr>
          <w:r>
            <w:rPr>
              <w:rFonts w:ascii="Palatino Linotype" w:hAnsi="Palatino Linotype"/>
              <w:b/>
            </w:rPr>
            <w:t>Sujeto Obligado:</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28156A">
          <w:pPr>
            <w:tabs>
              <w:tab w:val="center" w:pos="4252"/>
              <w:tab w:val="right" w:pos="8504"/>
            </w:tabs>
            <w:jc w:val="both"/>
            <w:rPr>
              <w:rFonts w:ascii="Palatino Linotype" w:hAnsi="Palatino Linotype"/>
              <w:b/>
            </w:rPr>
          </w:pPr>
          <w:r w:rsidRPr="0028156A">
            <w:rPr>
              <w:rFonts w:ascii="Palatino Linotype" w:hAnsi="Palatino Linotype" w:cs="Arial"/>
              <w:b/>
            </w:rPr>
            <w:t>Ayuntamiento de Tepotzotlán</w:t>
          </w:r>
        </w:p>
      </w:tc>
    </w:tr>
    <w:tr w:rsidR="008144D6" w:rsidTr="008144D6">
      <w:trPr>
        <w:trHeight w:val="318"/>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28156A">
          <w:pPr>
            <w:rPr>
              <w:rFonts w:ascii="Palatino Linotype" w:hAnsi="Palatino Linotype"/>
              <w:b/>
              <w:highlight w:val="yellow"/>
            </w:rPr>
          </w:pPr>
          <w:r>
            <w:rPr>
              <w:rFonts w:ascii="Palatino Linotype" w:hAnsi="Palatino Linotype"/>
              <w:b/>
            </w:rPr>
            <w:t>Comisionado Ponente: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8144D6" w:rsidRDefault="008144D6" w:rsidP="0028156A">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8144D6" w:rsidRDefault="008144D6" w:rsidP="0028156A">
    <w:pPr>
      <w:pStyle w:val="Encabezado"/>
    </w:pPr>
  </w:p>
  <w:p w:rsidR="008144D6" w:rsidRDefault="008144D6" w:rsidP="0028156A">
    <w:pPr>
      <w:pStyle w:val="Encabezado"/>
    </w:pPr>
  </w:p>
  <w:p w:rsidR="008144D6" w:rsidRDefault="008144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321E2"/>
    <w:multiLevelType w:val="hybridMultilevel"/>
    <w:tmpl w:val="05EECC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EAC7C0F"/>
    <w:multiLevelType w:val="hybridMultilevel"/>
    <w:tmpl w:val="213A05FC"/>
    <w:lvl w:ilvl="0" w:tplc="080A0015">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44437F40"/>
    <w:multiLevelType w:val="hybridMultilevel"/>
    <w:tmpl w:val="3676B2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2565AAD"/>
    <w:multiLevelType w:val="hybridMultilevel"/>
    <w:tmpl w:val="34760E94"/>
    <w:lvl w:ilvl="0" w:tplc="833650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6D7A3673"/>
    <w:multiLevelType w:val="hybridMultilevel"/>
    <w:tmpl w:val="FADA256C"/>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BC"/>
    <w:rsid w:val="000058BC"/>
    <w:rsid w:val="000919E2"/>
    <w:rsid w:val="00101AE8"/>
    <w:rsid w:val="00124831"/>
    <w:rsid w:val="00135DC4"/>
    <w:rsid w:val="001403C6"/>
    <w:rsid w:val="001841A7"/>
    <w:rsid w:val="001B2003"/>
    <w:rsid w:val="00252C54"/>
    <w:rsid w:val="00256215"/>
    <w:rsid w:val="0028156A"/>
    <w:rsid w:val="004937FB"/>
    <w:rsid w:val="004E2774"/>
    <w:rsid w:val="0057717C"/>
    <w:rsid w:val="00592593"/>
    <w:rsid w:val="005C038A"/>
    <w:rsid w:val="00730A97"/>
    <w:rsid w:val="008144D6"/>
    <w:rsid w:val="00825E36"/>
    <w:rsid w:val="008716B1"/>
    <w:rsid w:val="0090427A"/>
    <w:rsid w:val="00934B70"/>
    <w:rsid w:val="00965BD6"/>
    <w:rsid w:val="00990AE6"/>
    <w:rsid w:val="009F2ED0"/>
    <w:rsid w:val="00A0386E"/>
    <w:rsid w:val="00AB5D7C"/>
    <w:rsid w:val="00AF744B"/>
    <w:rsid w:val="00B3387B"/>
    <w:rsid w:val="00B97969"/>
    <w:rsid w:val="00B97BCE"/>
    <w:rsid w:val="00BA1640"/>
    <w:rsid w:val="00BD57ED"/>
    <w:rsid w:val="00C173F3"/>
    <w:rsid w:val="00C82F73"/>
    <w:rsid w:val="00C91289"/>
    <w:rsid w:val="00C93456"/>
    <w:rsid w:val="00CD31EF"/>
    <w:rsid w:val="00D501EB"/>
    <w:rsid w:val="00D53002"/>
    <w:rsid w:val="00E25E78"/>
    <w:rsid w:val="00E618DC"/>
    <w:rsid w:val="00E97DD5"/>
    <w:rsid w:val="00EF24B3"/>
    <w:rsid w:val="00F30B1A"/>
    <w:rsid w:val="00F35897"/>
    <w:rsid w:val="00F53D42"/>
    <w:rsid w:val="00FD00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2EBC6-58BC-4ECE-AE69-7A442D00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4D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3387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3387B"/>
    <w:rPr>
      <w:rFonts w:ascii="Times New Roman" w:eastAsia="Calibri" w:hAnsi="Times New Roman" w:cs="Times New Roman"/>
      <w:sz w:val="24"/>
      <w:szCs w:val="24"/>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90427A"/>
    <w:rPr>
      <w:rFonts w:ascii="Times New Roman" w:eastAsia="Calibri"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0427A"/>
    <w:rPr>
      <w:sz w:val="20"/>
      <w:szCs w:val="20"/>
    </w:rPr>
  </w:style>
  <w:style w:type="character" w:customStyle="1" w:styleId="TextonotapieCar1">
    <w:name w:val="Texto nota pie Car1"/>
    <w:basedOn w:val="Fuentedeprrafopredeter"/>
    <w:uiPriority w:val="99"/>
    <w:semiHidden/>
    <w:rsid w:val="0090427A"/>
    <w:rPr>
      <w:rFonts w:ascii="Times New Roman" w:eastAsia="Calibri"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0427A"/>
    <w:rPr>
      <w:vertAlign w:val="superscript"/>
    </w:rPr>
  </w:style>
  <w:style w:type="paragraph" w:styleId="Encabezado">
    <w:name w:val="header"/>
    <w:basedOn w:val="Normal"/>
    <w:link w:val="EncabezadoCar"/>
    <w:uiPriority w:val="99"/>
    <w:unhideWhenUsed/>
    <w:rsid w:val="0090427A"/>
    <w:pPr>
      <w:tabs>
        <w:tab w:val="center" w:pos="4419"/>
        <w:tab w:val="right" w:pos="8838"/>
      </w:tabs>
    </w:pPr>
  </w:style>
  <w:style w:type="character" w:customStyle="1" w:styleId="EncabezadoCar">
    <w:name w:val="Encabezado Car"/>
    <w:basedOn w:val="Fuentedeprrafopredeter"/>
    <w:link w:val="Encabezado"/>
    <w:uiPriority w:val="99"/>
    <w:rsid w:val="0090427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0427A"/>
    <w:pPr>
      <w:tabs>
        <w:tab w:val="center" w:pos="4419"/>
        <w:tab w:val="right" w:pos="8838"/>
      </w:tabs>
    </w:pPr>
  </w:style>
  <w:style w:type="character" w:customStyle="1" w:styleId="PiedepginaCar">
    <w:name w:val="Pie de página Car"/>
    <w:basedOn w:val="Fuentedeprrafopredeter"/>
    <w:link w:val="Piedepgina"/>
    <w:uiPriority w:val="99"/>
    <w:rsid w:val="0090427A"/>
    <w:rPr>
      <w:rFonts w:ascii="Times New Roman" w:eastAsia="Calibri" w:hAnsi="Times New Roman" w:cs="Times New Roman"/>
      <w:sz w:val="24"/>
      <w:szCs w:val="24"/>
      <w:lang w:val="es-ES" w:eastAsia="es-ES"/>
    </w:rPr>
  </w:style>
  <w:style w:type="table" w:styleId="Tablaconcuadrcula">
    <w:name w:val="Table Grid"/>
    <w:basedOn w:val="Tablanormal"/>
    <w:uiPriority w:val="59"/>
    <w:rsid w:val="0090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AF744B"/>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AF744B"/>
    <w:pPr>
      <w:spacing w:after="0"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744B"/>
    <w:rPr>
      <w:b/>
      <w:bCs/>
    </w:rPr>
  </w:style>
  <w:style w:type="paragraph" w:styleId="Textodeglobo">
    <w:name w:val="Balloon Text"/>
    <w:basedOn w:val="Normal"/>
    <w:link w:val="TextodegloboCar"/>
    <w:uiPriority w:val="99"/>
    <w:semiHidden/>
    <w:unhideWhenUsed/>
    <w:rsid w:val="004937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37F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8081</Words>
  <Characters>44451</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2018-08-30T14:14:00Z</cp:lastPrinted>
  <dcterms:created xsi:type="dcterms:W3CDTF">2018-10-02T00:59:00Z</dcterms:created>
  <dcterms:modified xsi:type="dcterms:W3CDTF">2018-10-02T00:59:00Z</dcterms:modified>
</cp:coreProperties>
</file>