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525F0646" w:rsidR="00373004" w:rsidRPr="00623957" w:rsidRDefault="00373004" w:rsidP="00373004">
      <w:pPr>
        <w:spacing w:before="240" w:after="240" w:line="360" w:lineRule="auto"/>
        <w:jc w:val="both"/>
        <w:rPr>
          <w:rFonts w:ascii="Palatino Linotype" w:hAnsi="Palatino Linotype" w:cs="Arial"/>
        </w:rPr>
      </w:pPr>
      <w:bookmarkStart w:id="0" w:name="_GoBack"/>
      <w:bookmarkEnd w:id="0"/>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7F46B8">
        <w:rPr>
          <w:rStyle w:val="normaltextrun"/>
          <w:rFonts w:ascii="Palatino Linotype" w:hAnsi="Palatino Linotype" w:cs="Arial"/>
        </w:rPr>
        <w:t>veintidós</w:t>
      </w:r>
      <w:r w:rsidR="00A64FD5">
        <w:rPr>
          <w:rStyle w:val="normaltextrun"/>
          <w:rFonts w:ascii="Palatino Linotype" w:hAnsi="Palatino Linotype" w:cs="Arial"/>
        </w:rPr>
        <w:t xml:space="preserve"> </w:t>
      </w:r>
      <w:r w:rsidRPr="00623957">
        <w:rPr>
          <w:rStyle w:val="normaltextrun"/>
          <w:rFonts w:ascii="Palatino Linotype" w:hAnsi="Palatino Linotype" w:cs="Arial"/>
        </w:rPr>
        <w:t>de</w:t>
      </w:r>
      <w:r w:rsidR="006F1D2A">
        <w:rPr>
          <w:rStyle w:val="apple-converted-space"/>
          <w:rFonts w:ascii="Palatino Linotype" w:hAnsi="Palatino Linotype" w:cs="Arial"/>
        </w:rPr>
        <w:t xml:space="preserve"> </w:t>
      </w:r>
      <w:r w:rsidR="008943DA">
        <w:rPr>
          <w:rStyle w:val="normaltextrun"/>
          <w:rFonts w:ascii="Palatino Linotype" w:hAnsi="Palatino Linotype" w:cs="Arial"/>
        </w:rPr>
        <w:t>agosto</w:t>
      </w:r>
      <w:r w:rsidRPr="00623957">
        <w:rPr>
          <w:rStyle w:val="normaltextrun"/>
          <w:rFonts w:ascii="Palatino Linotype" w:hAnsi="Palatino Linotype" w:cs="Arial"/>
        </w:rPr>
        <w:t xml:space="preserve"> de dos mil </w:t>
      </w:r>
      <w:r w:rsidR="00251B17">
        <w:rPr>
          <w:rStyle w:val="normaltextrun"/>
          <w:rFonts w:ascii="Palatino Linotype" w:hAnsi="Palatino Linotype" w:cs="Arial"/>
        </w:rPr>
        <w:t>dieciocho</w:t>
      </w:r>
      <w:r w:rsidRPr="00623957">
        <w:rPr>
          <w:rStyle w:val="normaltextrun"/>
          <w:rFonts w:ascii="Palatino Linotype" w:hAnsi="Palatino Linotype" w:cs="Arial"/>
        </w:rPr>
        <w:t>.</w:t>
      </w:r>
    </w:p>
    <w:p w14:paraId="6F849665" w14:textId="2FD5387E"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cs="Arial"/>
          <w:b/>
        </w:rPr>
        <w:t>Visto</w:t>
      </w:r>
      <w:r w:rsidR="0043050B">
        <w:rPr>
          <w:rFonts w:ascii="Palatino Linotype" w:hAnsi="Palatino Linotype" w:cs="Arial"/>
        </w:rPr>
        <w:t xml:space="preserve"> el</w:t>
      </w:r>
      <w:r w:rsidRPr="00623957">
        <w:rPr>
          <w:rFonts w:ascii="Palatino Linotype" w:hAnsi="Palatino Linotype" w:cs="Arial"/>
        </w:rPr>
        <w:t xml:space="preserve"> expediente relativo a</w:t>
      </w:r>
      <w:r w:rsidR="00B05B80">
        <w:rPr>
          <w:rFonts w:ascii="Palatino Linotype" w:hAnsi="Palatino Linotype" w:cs="Arial"/>
        </w:rPr>
        <w:t>l</w:t>
      </w:r>
      <w:r w:rsidRPr="00623957">
        <w:rPr>
          <w:rFonts w:ascii="Palatino Linotype" w:hAnsi="Palatino Linotype" w:cs="Arial"/>
        </w:rPr>
        <w:t xml:space="preserve"> recurso de revisión </w:t>
      </w:r>
      <w:r w:rsidR="007F46B8">
        <w:rPr>
          <w:rFonts w:ascii="Palatino Linotype" w:hAnsi="Palatino Linotype" w:cs="Arial"/>
          <w:b/>
          <w:bCs/>
          <w:sz w:val="23"/>
          <w:szCs w:val="23"/>
        </w:rPr>
        <w:t>02476</w:t>
      </w:r>
      <w:r w:rsidR="006275DD" w:rsidRPr="00DA2E8A">
        <w:rPr>
          <w:rFonts w:ascii="Palatino Linotype" w:hAnsi="Palatino Linotype" w:cs="Arial"/>
          <w:b/>
          <w:bCs/>
          <w:sz w:val="23"/>
          <w:szCs w:val="23"/>
        </w:rPr>
        <w:t>/INFOEM/IP/RR/201</w:t>
      </w:r>
      <w:r w:rsidR="0043050B">
        <w:rPr>
          <w:rFonts w:ascii="Palatino Linotype" w:hAnsi="Palatino Linotype" w:cs="Arial"/>
          <w:b/>
          <w:bCs/>
          <w:sz w:val="23"/>
          <w:szCs w:val="23"/>
        </w:rPr>
        <w:t>8,</w:t>
      </w:r>
      <w:r w:rsidRPr="00623957">
        <w:rPr>
          <w:rFonts w:ascii="Palatino Linotype" w:hAnsi="Palatino Linotype" w:cs="Arial"/>
        </w:rPr>
        <w:t xml:space="preserve"> interpuesto por </w:t>
      </w:r>
      <w:r w:rsidR="00024F77">
        <w:rPr>
          <w:rFonts w:ascii="Palatino Linotype" w:hAnsi="Palatino Linotype" w:cs="Arial"/>
          <w:b/>
        </w:rPr>
        <w:t>Xxxxx Xxxxxxxx Xxxxx</w:t>
      </w:r>
      <w:r w:rsidRPr="00623957">
        <w:rPr>
          <w:rFonts w:ascii="Palatino Linotype" w:hAnsi="Palatino Linotype" w:cs="Arial"/>
        </w:rPr>
        <w:t xml:space="preserve">, en lo sucesivo </w:t>
      </w:r>
      <w:r w:rsidR="00DF7803">
        <w:rPr>
          <w:rFonts w:ascii="Palatino Linotype" w:hAnsi="Palatino Linotype" w:cs="Arial"/>
        </w:rPr>
        <w:t>el</w:t>
      </w:r>
      <w:r w:rsidRPr="00623957">
        <w:rPr>
          <w:rFonts w:ascii="Palatino Linotype" w:hAnsi="Palatino Linotype" w:cs="Arial"/>
        </w:rPr>
        <w:t xml:space="preserve"> </w:t>
      </w:r>
      <w:r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 xml:space="preserve">contra de la respuesta a su solicitud de información con </w:t>
      </w:r>
      <w:r w:rsidRPr="00623957">
        <w:rPr>
          <w:rFonts w:ascii="Palatino Linotype" w:hAnsi="Palatino Linotype" w:cs="Arial"/>
        </w:rPr>
        <w:t>número de folio</w:t>
      </w:r>
      <w:r w:rsidR="006F1D2A">
        <w:rPr>
          <w:rFonts w:ascii="Palatino Linotype" w:hAnsi="Palatino Linotype" w:cs="Arial"/>
        </w:rPr>
        <w:t xml:space="preserve"> </w:t>
      </w:r>
      <w:r w:rsidR="007F46B8">
        <w:rPr>
          <w:rFonts w:ascii="Palatino Linotype" w:hAnsi="Palatino Linotype"/>
          <w:b/>
          <w:lang w:val="es-ES_tradnl"/>
        </w:rPr>
        <w:t>00476</w:t>
      </w:r>
      <w:r w:rsidR="006F1D2A">
        <w:rPr>
          <w:rFonts w:ascii="Palatino Linotype" w:hAnsi="Palatino Linotype"/>
          <w:b/>
          <w:lang w:val="es-ES_tradnl"/>
        </w:rPr>
        <w:t>/</w:t>
      </w:r>
      <w:r w:rsidR="00DA2E8A">
        <w:rPr>
          <w:rFonts w:ascii="Palatino Linotype" w:hAnsi="Palatino Linotype"/>
          <w:b/>
          <w:lang w:val="es-ES_tradnl"/>
        </w:rPr>
        <w:t>UPVT</w:t>
      </w:r>
      <w:r w:rsidR="006F1D2A" w:rsidRPr="00F91D9E">
        <w:rPr>
          <w:rFonts w:ascii="Palatino Linotype" w:hAnsi="Palatino Linotype"/>
          <w:b/>
          <w:lang w:val="es-ES_tradnl"/>
        </w:rPr>
        <w:t>/IP/2018</w:t>
      </w:r>
      <w:r w:rsidRPr="00623957">
        <w:rPr>
          <w:rFonts w:ascii="Palatino Linotype" w:hAnsi="Palatino Linotype" w:cs="Arial"/>
        </w:rPr>
        <w:t>, por parte de</w:t>
      </w:r>
      <w:r w:rsidR="00DA2E8A">
        <w:rPr>
          <w:rFonts w:ascii="Palatino Linotype" w:hAnsi="Palatino Linotype" w:cs="Arial"/>
        </w:rPr>
        <w:t xml:space="preserve"> </w:t>
      </w:r>
      <w:r w:rsidRPr="00623957">
        <w:rPr>
          <w:rFonts w:ascii="Palatino Linotype" w:hAnsi="Palatino Linotype" w:cs="Arial"/>
        </w:rPr>
        <w:t>l</w:t>
      </w:r>
      <w:r w:rsidR="00DA2E8A">
        <w:rPr>
          <w:rFonts w:ascii="Palatino Linotype" w:hAnsi="Palatino Linotype" w:cs="Arial"/>
        </w:rPr>
        <w:t>a</w:t>
      </w:r>
      <w:r w:rsidRPr="00623957">
        <w:rPr>
          <w:rFonts w:ascii="Palatino Linotype" w:hAnsi="Palatino Linotype" w:cs="Arial"/>
        </w:rPr>
        <w:t xml:space="preserve"> </w:t>
      </w:r>
      <w:r w:rsidR="00DA2E8A">
        <w:rPr>
          <w:rFonts w:ascii="Palatino Linotype" w:hAnsi="Palatino Linotype" w:cs="Arial"/>
          <w:b/>
        </w:rPr>
        <w:t>Universidad Politécnica del Valle de Toluca</w:t>
      </w:r>
      <w:r w:rsidRPr="00623957">
        <w:rPr>
          <w:rFonts w:ascii="Palatino Linotype" w:hAnsi="Palatino Linotype" w:cs="Arial"/>
        </w:rPr>
        <w:t xml:space="preserve">, en lo sucesivo el </w:t>
      </w:r>
      <w:r w:rsidRPr="00623957">
        <w:rPr>
          <w:rFonts w:ascii="Palatino Linotype" w:hAnsi="Palatino Linotype" w:cs="Arial"/>
          <w:b/>
        </w:rPr>
        <w:t xml:space="preserve">Sujeto Obligado; </w:t>
      </w:r>
      <w:r w:rsidRPr="00623957">
        <w:rPr>
          <w:rFonts w:ascii="Palatino Linotype" w:hAnsi="Palatino Linotype" w:cs="Arial"/>
        </w:rPr>
        <w:t>se procede a dictar la presente resolución, con base en lo siguiente:</w:t>
      </w:r>
    </w:p>
    <w:p w14:paraId="4C8A8399" w14:textId="77777777" w:rsidR="00373004" w:rsidRPr="00623957" w:rsidRDefault="00373004" w:rsidP="00373004">
      <w:pPr>
        <w:pStyle w:val="Prrafodelista"/>
        <w:numPr>
          <w:ilvl w:val="0"/>
          <w:numId w:val="3"/>
        </w:numPr>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78E7556D" w14:textId="2E1865F9"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1. Solicitud de acceso a </w:t>
      </w:r>
      <w:r w:rsidR="00D303BD" w:rsidRPr="00623957">
        <w:rPr>
          <w:rFonts w:ascii="Palatino Linotype" w:hAnsi="Palatino Linotype" w:cs="Arial"/>
          <w:b/>
        </w:rPr>
        <w:t>la información pública</w:t>
      </w:r>
      <w:r w:rsidRPr="00623957">
        <w:rPr>
          <w:rFonts w:ascii="Palatino Linotype" w:hAnsi="Palatino Linotype" w:cs="Arial"/>
          <w:b/>
        </w:rPr>
        <w:t xml:space="preserve">. </w:t>
      </w:r>
      <w:r w:rsidRPr="00623957">
        <w:rPr>
          <w:rFonts w:ascii="Palatino Linotype" w:hAnsi="Palatino Linotype" w:cs="Arial"/>
        </w:rPr>
        <w:t xml:space="preserve">Con fecha </w:t>
      </w:r>
      <w:r w:rsidR="007F46B8">
        <w:rPr>
          <w:rFonts w:ascii="Palatino Linotype" w:hAnsi="Palatino Linotype" w:cs="Arial"/>
        </w:rPr>
        <w:t>ocho</w:t>
      </w:r>
      <w:r w:rsidR="008943DA">
        <w:rPr>
          <w:rFonts w:ascii="Palatino Linotype" w:hAnsi="Palatino Linotype" w:cs="Arial"/>
        </w:rPr>
        <w:t xml:space="preserve"> </w:t>
      </w:r>
      <w:r w:rsidR="006F1D2A">
        <w:rPr>
          <w:rFonts w:ascii="Palatino Linotype" w:hAnsi="Palatino Linotype" w:cs="Arial"/>
        </w:rPr>
        <w:t xml:space="preserve">de </w:t>
      </w:r>
      <w:r w:rsidR="008943DA">
        <w:rPr>
          <w:rFonts w:ascii="Palatino Linotype" w:hAnsi="Palatino Linotype" w:cs="Arial"/>
        </w:rPr>
        <w:t>junio</w:t>
      </w:r>
      <w:r w:rsidR="00385D0E">
        <w:rPr>
          <w:rFonts w:ascii="Palatino Linotype" w:hAnsi="Palatino Linotype" w:cs="Arial"/>
        </w:rPr>
        <w:t xml:space="preserve"> </w:t>
      </w:r>
      <w:r w:rsidR="00231A75">
        <w:rPr>
          <w:rFonts w:ascii="Palatino Linotype" w:hAnsi="Palatino Linotype" w:cs="Arial"/>
        </w:rPr>
        <w:t xml:space="preserve">del año </w:t>
      </w:r>
      <w:r w:rsidRPr="00623957">
        <w:rPr>
          <w:rFonts w:ascii="Palatino Linotype" w:hAnsi="Palatino Linotype" w:cs="Arial"/>
        </w:rPr>
        <w:t xml:space="preserve">dos mil </w:t>
      </w:r>
      <w:r w:rsidR="004C33BE">
        <w:rPr>
          <w:rFonts w:ascii="Palatino Linotype" w:hAnsi="Palatino Linotype" w:cs="Arial"/>
        </w:rPr>
        <w:t>dieciocho</w:t>
      </w:r>
      <w:r w:rsidR="00DF7803">
        <w:rPr>
          <w:rFonts w:ascii="Palatino Linotype" w:hAnsi="Palatino Linotype" w:cs="Arial"/>
        </w:rPr>
        <w:t>, el</w:t>
      </w:r>
      <w:r w:rsidRPr="00623957">
        <w:rPr>
          <w:rFonts w:ascii="Palatino Linotype" w:hAnsi="Palatino Linotype" w:cs="Arial"/>
        </w:rPr>
        <w:t xml:space="preserve"> ahora </w:t>
      </w:r>
      <w:r w:rsidRPr="00623957">
        <w:rPr>
          <w:rFonts w:ascii="Palatino Linotype" w:hAnsi="Palatino Linotype" w:cs="Arial"/>
          <w:b/>
        </w:rPr>
        <w:t>recurrente</w:t>
      </w:r>
      <w:r w:rsidRPr="00623957">
        <w:rPr>
          <w:rFonts w:ascii="Palatino Linotype" w:hAnsi="Palatino Linotype" w:cs="Arial"/>
        </w:rPr>
        <w:t xml:space="preserve"> formuló solicitud de acceso a </w:t>
      </w:r>
      <w:r w:rsidR="00D303BD" w:rsidRPr="00623957">
        <w:rPr>
          <w:rFonts w:ascii="Palatino Linotype" w:hAnsi="Palatino Linotype" w:cs="Arial"/>
        </w:rPr>
        <w:t>la información pública</w:t>
      </w:r>
      <w:r w:rsidRPr="00623957">
        <w:rPr>
          <w:rFonts w:ascii="Palatino Linotype" w:hAnsi="Palatino Linotype" w:cs="Arial"/>
        </w:rPr>
        <w:t xml:space="preserve"> al </w:t>
      </w:r>
      <w:r w:rsidRPr="00623957">
        <w:rPr>
          <w:rFonts w:ascii="Palatino Linotype" w:hAnsi="Palatino Linotype" w:cs="Arial"/>
          <w:b/>
        </w:rPr>
        <w:t>Sujeto Obligado</w:t>
      </w:r>
      <w:r w:rsidRPr="00623957">
        <w:rPr>
          <w:rFonts w:ascii="Palatino Linotype" w:hAnsi="Palatino Linotype" w:cs="Arial"/>
        </w:rPr>
        <w:t xml:space="preserve"> a través del Sistema de Acceso a la Información Mexiquense, en adelante </w:t>
      </w:r>
      <w:r w:rsidRPr="00623957">
        <w:rPr>
          <w:rFonts w:ascii="Palatino Linotype" w:hAnsi="Palatino Linotype" w:cs="Arial"/>
          <w:b/>
        </w:rPr>
        <w:t>SAIMEX,</w:t>
      </w:r>
      <w:r w:rsidR="006F1D2A">
        <w:rPr>
          <w:rFonts w:ascii="Palatino Linotype" w:hAnsi="Palatino Linotype" w:cs="Arial"/>
        </w:rPr>
        <w:t xml:space="preserve"> </w:t>
      </w:r>
      <w:r w:rsidRPr="00623957">
        <w:rPr>
          <w:rFonts w:ascii="Palatino Linotype" w:hAnsi="Palatino Linotype" w:cs="Arial"/>
        </w:rPr>
        <w:t>requiriéndole lo siguiente:</w:t>
      </w:r>
    </w:p>
    <w:p w14:paraId="76FCF9A4" w14:textId="632F49E7" w:rsidR="006F1D2A" w:rsidRPr="00BE343A" w:rsidRDefault="00EA404C" w:rsidP="00BE343A">
      <w:pPr>
        <w:spacing w:after="240"/>
        <w:ind w:left="851" w:right="758"/>
        <w:jc w:val="both"/>
        <w:rPr>
          <w:rFonts w:ascii="Palatino Linotype" w:hAnsi="Palatino Linotype" w:cs="Arial"/>
          <w:i/>
          <w:sz w:val="22"/>
          <w:szCs w:val="22"/>
        </w:rPr>
      </w:pPr>
      <w:r w:rsidRPr="00BE343A">
        <w:rPr>
          <w:rFonts w:ascii="Palatino Linotype" w:hAnsi="Palatino Linotype" w:cs="Arial"/>
          <w:i/>
          <w:sz w:val="22"/>
          <w:szCs w:val="22"/>
        </w:rPr>
        <w:t xml:space="preserve"> </w:t>
      </w:r>
      <w:r w:rsidR="006F1D2A" w:rsidRPr="00BE343A">
        <w:rPr>
          <w:rFonts w:ascii="Palatino Linotype" w:hAnsi="Palatino Linotype" w:cs="Arial"/>
          <w:i/>
          <w:sz w:val="22"/>
          <w:szCs w:val="22"/>
        </w:rPr>
        <w:t>“</w:t>
      </w:r>
      <w:r w:rsidR="00BE343A" w:rsidRPr="00BE343A">
        <w:rPr>
          <w:rFonts w:ascii="Palatino Linotype" w:hAnsi="Palatino Linotype"/>
          <w:i/>
          <w:color w:val="000000"/>
          <w:sz w:val="22"/>
          <w:szCs w:val="22"/>
        </w:rPr>
        <w:t>Muy buena tarde, que su día sea excelente, tengo una consulta que realizar al Departamento de Recursos Humanos. En lo que va de la administración de nuestra distinguida Dra. Silvia Cristina Manzur Quiroga, mencionar las personas que han renunciado, que han sido despedidas o las que como yo fuimos despedidas haciendonos firmar renuncia, colocando por favor el monto de cada finiquito o liquidación otorgada. Gracias por la atención</w:t>
      </w:r>
      <w:r w:rsidR="006F1D2A" w:rsidRPr="00BE343A">
        <w:rPr>
          <w:rFonts w:ascii="Palatino Linotype" w:hAnsi="Palatino Linotype" w:cs="Arial"/>
          <w:i/>
          <w:sz w:val="22"/>
          <w:szCs w:val="22"/>
        </w:rPr>
        <w:t>.”(Sic)</w:t>
      </w:r>
    </w:p>
    <w:p w14:paraId="684ACC69" w14:textId="3548BAB0" w:rsidR="000D79C6" w:rsidRPr="00623957"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 xml:space="preserve">Modalidad elegida para la entrega de la información: </w:t>
      </w:r>
      <w:r w:rsidR="00567F67">
        <w:rPr>
          <w:rFonts w:ascii="Palatino Linotype" w:hAnsi="Palatino Linotype" w:cs="Arial"/>
        </w:rPr>
        <w:t>el</w:t>
      </w:r>
      <w:r w:rsidRPr="00623957">
        <w:rPr>
          <w:rFonts w:ascii="Palatino Linotype" w:hAnsi="Palatino Linotype" w:cs="Arial"/>
        </w:rPr>
        <w:t xml:space="preserve"> SAIMEX.</w:t>
      </w:r>
    </w:p>
    <w:p w14:paraId="71C5C8F0" w14:textId="486866F4" w:rsidR="00373004" w:rsidRDefault="00992EE9" w:rsidP="00373004">
      <w:pPr>
        <w:spacing w:before="240" w:after="240" w:line="360" w:lineRule="auto"/>
        <w:jc w:val="both"/>
        <w:rPr>
          <w:rFonts w:ascii="Palatino Linotype" w:hAnsi="Palatino Linotype" w:cs="Arial"/>
        </w:rPr>
      </w:pPr>
      <w:r>
        <w:rPr>
          <w:rFonts w:ascii="Palatino Linotype" w:hAnsi="Palatino Linotype" w:cs="Arial"/>
          <w:b/>
        </w:rPr>
        <w:lastRenderedPageBreak/>
        <w:t xml:space="preserve">2. </w:t>
      </w:r>
      <w:r w:rsidR="00707C30">
        <w:rPr>
          <w:rFonts w:ascii="Palatino Linotype" w:hAnsi="Palatino Linotype" w:cs="Arial"/>
          <w:b/>
        </w:rPr>
        <w:t>Respuesta</w:t>
      </w:r>
      <w:r w:rsidR="00373004" w:rsidRPr="00623957">
        <w:rPr>
          <w:rFonts w:ascii="Palatino Linotype" w:hAnsi="Palatino Linotype" w:cs="Arial"/>
          <w:b/>
        </w:rPr>
        <w:t xml:space="preserve">. </w:t>
      </w:r>
      <w:r w:rsidR="00373004" w:rsidRPr="00623957">
        <w:rPr>
          <w:rFonts w:ascii="Palatino Linotype" w:hAnsi="Palatino Linotype" w:cs="Arial"/>
        </w:rPr>
        <w:t>Con fecha</w:t>
      </w:r>
      <w:r>
        <w:rPr>
          <w:rFonts w:ascii="Palatino Linotype" w:hAnsi="Palatino Linotype" w:cs="Arial"/>
        </w:rPr>
        <w:t xml:space="preserve"> </w:t>
      </w:r>
      <w:r w:rsidR="00BE343A">
        <w:rPr>
          <w:rFonts w:ascii="Palatino Linotype" w:hAnsi="Palatino Linotype" w:cs="Arial"/>
        </w:rPr>
        <w:t>veintinueve</w:t>
      </w:r>
      <w:r w:rsidR="00707C30">
        <w:rPr>
          <w:rFonts w:ascii="Palatino Linotype" w:hAnsi="Palatino Linotype" w:cs="Arial"/>
        </w:rPr>
        <w:t xml:space="preserve"> </w:t>
      </w:r>
      <w:r w:rsidR="00023AD2" w:rsidRPr="00623957">
        <w:rPr>
          <w:rFonts w:ascii="Palatino Linotype" w:hAnsi="Palatino Linotype" w:cs="Arial"/>
        </w:rPr>
        <w:t xml:space="preserve">de </w:t>
      </w:r>
      <w:r w:rsidR="008943DA">
        <w:rPr>
          <w:rFonts w:ascii="Palatino Linotype" w:hAnsi="Palatino Linotype" w:cs="Arial"/>
        </w:rPr>
        <w:t>junio</w:t>
      </w:r>
      <w:r w:rsidR="00DA2E8A">
        <w:rPr>
          <w:rFonts w:ascii="Palatino Linotype" w:hAnsi="Palatino Linotype" w:cs="Arial"/>
        </w:rPr>
        <w:t xml:space="preserve"> </w:t>
      </w:r>
      <w:r>
        <w:rPr>
          <w:rFonts w:ascii="Palatino Linotype" w:hAnsi="Palatino Linotype" w:cs="Arial"/>
        </w:rPr>
        <w:t xml:space="preserve">del </w:t>
      </w:r>
      <w:r w:rsidR="00231A75">
        <w:rPr>
          <w:rFonts w:ascii="Palatino Linotype" w:hAnsi="Palatino Linotype" w:cs="Arial"/>
        </w:rPr>
        <w:t xml:space="preserve">año </w:t>
      </w:r>
      <w:r w:rsidR="00373004" w:rsidRPr="00623957">
        <w:rPr>
          <w:rFonts w:ascii="Palatino Linotype" w:hAnsi="Palatino Linotype" w:cs="Arial"/>
        </w:rPr>
        <w:t xml:space="preserve">dos mil </w:t>
      </w:r>
      <w:r w:rsidR="00F42F0F">
        <w:rPr>
          <w:rFonts w:ascii="Palatino Linotype" w:hAnsi="Palatino Linotype" w:cs="Arial"/>
        </w:rPr>
        <w:t>dieciocho</w:t>
      </w:r>
      <w:r w:rsidR="00373004" w:rsidRPr="00623957">
        <w:rPr>
          <w:rFonts w:ascii="Palatino Linotype" w:hAnsi="Palatino Linotype" w:cs="Arial"/>
        </w:rPr>
        <w:t xml:space="preserve"> el </w:t>
      </w:r>
      <w:r w:rsidR="00373004"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 xml:space="preserve">emitió respuesta a la solicitud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w:t>
      </w:r>
      <w:r w:rsidR="00707C30">
        <w:rPr>
          <w:rFonts w:ascii="Palatino Linotype" w:hAnsi="Palatino Linotype" w:cs="Arial"/>
        </w:rPr>
        <w:t>términos</w:t>
      </w:r>
      <w:r w:rsidR="00567F67">
        <w:rPr>
          <w:rFonts w:ascii="Palatino Linotype" w:hAnsi="Palatino Linotype" w:cs="Arial"/>
        </w:rPr>
        <w:t xml:space="preserve"> siguientes</w:t>
      </w:r>
      <w:r w:rsidR="00023AD2" w:rsidRPr="00623957">
        <w:rPr>
          <w:rFonts w:ascii="Palatino Linotype" w:hAnsi="Palatino Linotype" w:cs="Arial"/>
        </w:rPr>
        <w:t>:</w:t>
      </w:r>
    </w:p>
    <w:p w14:paraId="4C0F8889" w14:textId="2BA0E033" w:rsidR="00A85D0C" w:rsidRPr="00BE343A" w:rsidRDefault="00A85D0C" w:rsidP="00A85D0C">
      <w:pPr>
        <w:spacing w:before="240" w:after="240"/>
        <w:ind w:left="426" w:right="616"/>
        <w:contextualSpacing/>
        <w:jc w:val="both"/>
        <w:rPr>
          <w:rFonts w:ascii="Palatino Linotype" w:hAnsi="Palatino Linotype" w:cs="Arial"/>
          <w:i/>
          <w:sz w:val="22"/>
          <w:szCs w:val="22"/>
        </w:rPr>
      </w:pPr>
      <w:r w:rsidRPr="00BE343A">
        <w:rPr>
          <w:rFonts w:ascii="Palatino Linotype" w:hAnsi="Palatino Linotype" w:cs="Arial"/>
          <w:i/>
          <w:sz w:val="22"/>
          <w:szCs w:val="22"/>
        </w:rPr>
        <w:t>“</w:t>
      </w:r>
      <w:r w:rsidR="00EA404C" w:rsidRPr="00BE343A">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F5C0C5" w14:textId="77777777" w:rsidR="00A85D0C" w:rsidRPr="00BE343A" w:rsidRDefault="00A85D0C" w:rsidP="00A85D0C">
      <w:pPr>
        <w:spacing w:before="240" w:after="240"/>
        <w:ind w:left="426" w:right="616"/>
        <w:contextualSpacing/>
        <w:jc w:val="both"/>
        <w:rPr>
          <w:rFonts w:ascii="Palatino Linotype" w:hAnsi="Palatino Linotype" w:cs="Arial"/>
          <w:i/>
          <w:sz w:val="22"/>
          <w:szCs w:val="22"/>
        </w:rPr>
      </w:pPr>
    </w:p>
    <w:p w14:paraId="10F1069B" w14:textId="3A1F0CED" w:rsidR="00A85D0C" w:rsidRPr="008943DA" w:rsidRDefault="00BE343A" w:rsidP="00567F67">
      <w:pPr>
        <w:spacing w:before="240" w:after="240"/>
        <w:ind w:left="425" w:right="618"/>
        <w:jc w:val="both"/>
        <w:rPr>
          <w:rFonts w:ascii="Palatino Linotype" w:hAnsi="Palatino Linotype" w:cs="Arial"/>
          <w:i/>
          <w:sz w:val="22"/>
          <w:szCs w:val="22"/>
        </w:rPr>
      </w:pPr>
      <w:r w:rsidRPr="00BE343A">
        <w:rPr>
          <w:rFonts w:ascii="Palatino Linotype" w:hAnsi="Palatino Linotype"/>
          <w:i/>
          <w:color w:val="000000"/>
          <w:sz w:val="22"/>
          <w:szCs w:val="22"/>
        </w:rPr>
        <w:t>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00476/UPVT/IP/201800 que realizó el 8 de junio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334C6F" w:rsidRPr="00BE343A">
        <w:rPr>
          <w:rFonts w:ascii="Palatino Linotype" w:hAnsi="Palatino Linotype"/>
          <w:i/>
          <w:color w:val="000000"/>
          <w:sz w:val="22"/>
          <w:szCs w:val="22"/>
        </w:rPr>
        <w:t>.</w:t>
      </w:r>
      <w:r w:rsidR="006D011C" w:rsidRPr="00BE343A">
        <w:rPr>
          <w:rFonts w:ascii="Palatino Linotype" w:hAnsi="Palatino Linotype" w:cs="Arial"/>
          <w:i/>
          <w:sz w:val="22"/>
          <w:szCs w:val="22"/>
        </w:rPr>
        <w:t>”</w:t>
      </w:r>
      <w:r w:rsidR="00A85D0C" w:rsidRPr="00BE343A">
        <w:rPr>
          <w:rFonts w:ascii="Palatino Linotype" w:hAnsi="Palatino Linotype" w:cs="Arial"/>
          <w:i/>
          <w:sz w:val="22"/>
          <w:szCs w:val="22"/>
        </w:rPr>
        <w:t xml:space="preserve"> (Sic)</w:t>
      </w:r>
    </w:p>
    <w:p w14:paraId="5982032A" w14:textId="0CF8E0EE" w:rsidR="00BF461A" w:rsidRDefault="00BF461A" w:rsidP="00373004">
      <w:pPr>
        <w:spacing w:before="240" w:after="240" w:line="360" w:lineRule="auto"/>
        <w:jc w:val="both"/>
        <w:rPr>
          <w:rFonts w:ascii="Palatino Linotype" w:hAnsi="Palatino Linotype" w:cs="Arial"/>
        </w:rPr>
      </w:pPr>
      <w:r>
        <w:rPr>
          <w:rFonts w:ascii="Palatino Linotype" w:hAnsi="Palatino Linotype" w:cs="Arial"/>
          <w:b/>
        </w:rPr>
        <w:t xml:space="preserve">Anexos. </w:t>
      </w:r>
      <w:r w:rsidR="006D011C">
        <w:rPr>
          <w:rFonts w:ascii="Palatino Linotype" w:hAnsi="Palatino Linotype" w:cs="Arial"/>
        </w:rPr>
        <w:t>El Sujeto Obligado agregó a su respuesta</w:t>
      </w:r>
      <w:r>
        <w:rPr>
          <w:rFonts w:ascii="Palatino Linotype" w:hAnsi="Palatino Linotype" w:cs="Arial"/>
        </w:rPr>
        <w:t xml:space="preserve"> </w:t>
      </w:r>
      <w:r w:rsidR="00334C6F">
        <w:rPr>
          <w:rFonts w:ascii="Palatino Linotype" w:hAnsi="Palatino Linotype" w:cs="Arial"/>
        </w:rPr>
        <w:t>los archivos:</w:t>
      </w:r>
    </w:p>
    <w:p w14:paraId="0626428D" w14:textId="5816ADBC" w:rsidR="00334C6F" w:rsidRDefault="00334C6F" w:rsidP="00373004">
      <w:pPr>
        <w:spacing w:before="240" w:after="240" w:line="360" w:lineRule="auto"/>
        <w:jc w:val="both"/>
        <w:rPr>
          <w:rFonts w:ascii="Palatino Linotype" w:hAnsi="Palatino Linotype"/>
        </w:rPr>
      </w:pPr>
      <w:r>
        <w:rPr>
          <w:rFonts w:ascii="Palatino Linotype" w:hAnsi="Palatino Linotype" w:cs="Arial"/>
        </w:rPr>
        <w:t xml:space="preserve">- </w:t>
      </w:r>
      <w:r w:rsidRPr="00BE343A">
        <w:rPr>
          <w:rFonts w:ascii="Palatino Linotype" w:hAnsi="Palatino Linotype" w:cs="Arial"/>
          <w:i/>
          <w:szCs w:val="22"/>
        </w:rPr>
        <w:t>“</w:t>
      </w:r>
      <w:hyperlink r:id="rId8" w:tgtFrame="_blank" w:history="1">
        <w:r w:rsidR="00BE343A" w:rsidRPr="00BE343A">
          <w:rPr>
            <w:rStyle w:val="Hipervnculo"/>
            <w:rFonts w:ascii="Palatino Linotype" w:hAnsi="Palatino Linotype" w:cs="Arial"/>
            <w:bCs/>
            <w:i/>
            <w:color w:val="auto"/>
            <w:szCs w:val="22"/>
            <w:u w:val="none"/>
          </w:rPr>
          <w:t>SOL00476.pdf</w:t>
        </w:r>
      </w:hyperlink>
      <w:r w:rsidRPr="00BE343A">
        <w:rPr>
          <w:rFonts w:ascii="Palatino Linotype" w:hAnsi="Palatino Linotype"/>
          <w:i/>
          <w:szCs w:val="22"/>
        </w:rPr>
        <w:t>”</w:t>
      </w:r>
      <w:r w:rsidRPr="008943DA">
        <w:rPr>
          <w:rFonts w:ascii="Palatino Linotype" w:hAnsi="Palatino Linotype"/>
          <w:i/>
        </w:rPr>
        <w:t>:</w:t>
      </w:r>
      <w:r w:rsidR="006D011C">
        <w:rPr>
          <w:rFonts w:ascii="Palatino Linotype" w:hAnsi="Palatino Linotype"/>
        </w:rPr>
        <w:t xml:space="preserve"> Consist</w:t>
      </w:r>
      <w:r w:rsidR="008943DA">
        <w:rPr>
          <w:rFonts w:ascii="Palatino Linotype" w:hAnsi="Palatino Linotype"/>
        </w:rPr>
        <w:t>e</w:t>
      </w:r>
      <w:r w:rsidR="00BE343A">
        <w:rPr>
          <w:rFonts w:ascii="Palatino Linotype" w:hAnsi="Palatino Linotype"/>
        </w:rPr>
        <w:t>nte en el oficio 205BL16001/1353</w:t>
      </w:r>
      <w:r>
        <w:rPr>
          <w:rFonts w:ascii="Palatino Linotype" w:hAnsi="Palatino Linotype"/>
        </w:rPr>
        <w:t xml:space="preserve">/2018, </w:t>
      </w:r>
      <w:r w:rsidR="006D011C">
        <w:rPr>
          <w:rFonts w:ascii="Palatino Linotype" w:hAnsi="Palatino Linotype"/>
        </w:rPr>
        <w:t>emitido</w:t>
      </w:r>
      <w:r w:rsidR="00BE343A">
        <w:rPr>
          <w:rFonts w:ascii="Palatino Linotype" w:hAnsi="Palatino Linotype"/>
        </w:rPr>
        <w:t xml:space="preserve"> por la</w:t>
      </w:r>
      <w:r>
        <w:rPr>
          <w:rFonts w:ascii="Palatino Linotype" w:hAnsi="Palatino Linotype"/>
        </w:rPr>
        <w:t xml:space="preserve"> Titular de la</w:t>
      </w:r>
      <w:r w:rsidR="006D011C">
        <w:rPr>
          <w:rFonts w:ascii="Palatino Linotype" w:hAnsi="Palatino Linotype"/>
        </w:rPr>
        <w:t xml:space="preserve"> Unidad de Transparencia, en el</w:t>
      </w:r>
      <w:r>
        <w:rPr>
          <w:rFonts w:ascii="Palatino Linotype" w:hAnsi="Palatino Linotype"/>
        </w:rPr>
        <w:t xml:space="preserve"> que refiere adjuntar </w:t>
      </w:r>
      <w:r w:rsidR="0067208A">
        <w:rPr>
          <w:rFonts w:ascii="Palatino Linotype" w:hAnsi="Palatino Linotype"/>
        </w:rPr>
        <w:t xml:space="preserve">el oficio emitido por </w:t>
      </w:r>
      <w:r w:rsidR="008943DA">
        <w:rPr>
          <w:rFonts w:ascii="Palatino Linotype" w:hAnsi="Palatino Linotype"/>
        </w:rPr>
        <w:t xml:space="preserve">el servidor público habilitado del Departamento de </w:t>
      </w:r>
      <w:r w:rsidR="00BE343A">
        <w:rPr>
          <w:rFonts w:ascii="Palatino Linotype" w:hAnsi="Palatino Linotype"/>
        </w:rPr>
        <w:t>Recursos Humanos y Materiales</w:t>
      </w:r>
      <w:r w:rsidR="00DF7803">
        <w:rPr>
          <w:rFonts w:ascii="Palatino Linotype" w:hAnsi="Palatino Linotype"/>
        </w:rPr>
        <w:t xml:space="preserve"> </w:t>
      </w:r>
      <w:r w:rsidR="008943DA">
        <w:rPr>
          <w:rFonts w:ascii="Palatino Linotype" w:hAnsi="Palatino Linotype"/>
        </w:rPr>
        <w:t>en el que se detalla lo referente a la solicitud de información</w:t>
      </w:r>
      <w:r w:rsidR="0067208A">
        <w:rPr>
          <w:rFonts w:ascii="Palatino Linotype" w:hAnsi="Palatino Linotype"/>
        </w:rPr>
        <w:t>.</w:t>
      </w:r>
    </w:p>
    <w:p w14:paraId="44EAEC1C" w14:textId="4B57A3C6" w:rsidR="00437884" w:rsidRDefault="0067208A" w:rsidP="00F26A1D">
      <w:pPr>
        <w:spacing w:before="240" w:after="240" w:line="360" w:lineRule="auto"/>
        <w:jc w:val="both"/>
        <w:rPr>
          <w:rFonts w:ascii="Palatino Linotype" w:hAnsi="Palatino Linotype"/>
        </w:rPr>
      </w:pPr>
      <w:r w:rsidRPr="006D011C">
        <w:rPr>
          <w:rFonts w:ascii="Palatino Linotype" w:hAnsi="Palatino Linotype"/>
        </w:rPr>
        <w:t xml:space="preserve">- </w:t>
      </w:r>
      <w:r w:rsidRPr="00BE343A">
        <w:rPr>
          <w:rFonts w:ascii="Palatino Linotype" w:hAnsi="Palatino Linotype"/>
          <w:i/>
          <w:szCs w:val="22"/>
        </w:rPr>
        <w:t>“</w:t>
      </w:r>
      <w:hyperlink r:id="rId9" w:tgtFrame="_blank" w:history="1">
        <w:r w:rsidR="00BE343A" w:rsidRPr="00BE343A">
          <w:rPr>
            <w:rStyle w:val="Hipervnculo"/>
            <w:rFonts w:ascii="Palatino Linotype" w:hAnsi="Palatino Linotype" w:cs="Arial"/>
            <w:bCs/>
            <w:i/>
            <w:color w:val="auto"/>
            <w:szCs w:val="22"/>
            <w:u w:val="none"/>
          </w:rPr>
          <w:t>00476UPVTIP2018.pdf</w:t>
        </w:r>
      </w:hyperlink>
      <w:r w:rsidRPr="00BE343A">
        <w:rPr>
          <w:rFonts w:ascii="Palatino Linotype" w:hAnsi="Palatino Linotype"/>
          <w:i/>
          <w:szCs w:val="22"/>
        </w:rPr>
        <w:t>”</w:t>
      </w:r>
      <w:r w:rsidR="00F26A1D" w:rsidRPr="005574D5">
        <w:rPr>
          <w:rFonts w:ascii="Palatino Linotype" w:hAnsi="Palatino Linotype"/>
          <w:i/>
          <w:szCs w:val="22"/>
        </w:rPr>
        <w:t>:</w:t>
      </w:r>
      <w:r w:rsidR="00F26A1D">
        <w:rPr>
          <w:rFonts w:ascii="Palatino Linotype" w:hAnsi="Palatino Linotype"/>
        </w:rPr>
        <w:t xml:space="preserve"> </w:t>
      </w:r>
      <w:r w:rsidR="00C569E6">
        <w:rPr>
          <w:rFonts w:ascii="Palatino Linotype" w:hAnsi="Palatino Linotype"/>
        </w:rPr>
        <w:t xml:space="preserve">Correspondiente </w:t>
      </w:r>
      <w:r w:rsidR="00BE343A">
        <w:rPr>
          <w:rFonts w:ascii="Palatino Linotype" w:hAnsi="Palatino Linotype"/>
        </w:rPr>
        <w:t>al oficio 205BL14002/0459/2018 firmado por la Jefa</w:t>
      </w:r>
      <w:r w:rsidR="005574D5">
        <w:rPr>
          <w:rFonts w:ascii="Palatino Linotype" w:hAnsi="Palatino Linotype"/>
        </w:rPr>
        <w:t xml:space="preserve"> del Departamento de </w:t>
      </w:r>
      <w:r w:rsidR="00BE343A">
        <w:rPr>
          <w:rFonts w:ascii="Palatino Linotype" w:hAnsi="Palatino Linotype"/>
        </w:rPr>
        <w:t>Recursos Humanos y Materiales</w:t>
      </w:r>
      <w:r w:rsidR="005574D5">
        <w:rPr>
          <w:rFonts w:ascii="Palatino Linotype" w:hAnsi="Palatino Linotype"/>
        </w:rPr>
        <w:t xml:space="preserve"> en el que </w:t>
      </w:r>
      <w:r w:rsidR="00BE343A">
        <w:rPr>
          <w:rFonts w:ascii="Palatino Linotype" w:hAnsi="Palatino Linotype"/>
        </w:rPr>
        <w:t>enlista los nombres de las personas que recibieron recurso</w:t>
      </w:r>
      <w:r w:rsidR="00304D7E">
        <w:rPr>
          <w:rFonts w:ascii="Palatino Linotype" w:hAnsi="Palatino Linotype"/>
        </w:rPr>
        <w:t>s</w:t>
      </w:r>
      <w:r w:rsidR="00BE343A">
        <w:rPr>
          <w:rFonts w:ascii="Palatino Linotype" w:hAnsi="Palatino Linotype"/>
        </w:rPr>
        <w:t xml:space="preserve"> públicos de la Universidad por concepto de finiquito del periodo en el que la rectora inició gestiones, o sea del 16 de octubre de 2017 hasta el momento en se ingresó la solicitud de información</w:t>
      </w:r>
      <w:r w:rsidR="00F26A1D">
        <w:rPr>
          <w:rFonts w:ascii="Palatino Linotype" w:hAnsi="Palatino Linotype"/>
        </w:rPr>
        <w:t>.</w:t>
      </w:r>
    </w:p>
    <w:p w14:paraId="4D5370C7" w14:textId="3335003A" w:rsidR="00373004" w:rsidRDefault="00057A30" w:rsidP="00373004">
      <w:pPr>
        <w:spacing w:before="240" w:after="240" w:line="360" w:lineRule="auto"/>
        <w:jc w:val="both"/>
        <w:rPr>
          <w:rFonts w:ascii="Palatino Linotype" w:hAnsi="Palatino Linotype" w:cs="Arial"/>
        </w:rPr>
      </w:pPr>
      <w:r>
        <w:rPr>
          <w:rFonts w:ascii="Palatino Linotype" w:hAnsi="Palatino Linotype" w:cs="Arial"/>
          <w:b/>
        </w:rPr>
        <w:lastRenderedPageBreak/>
        <w:t>3</w:t>
      </w:r>
      <w:r w:rsidR="000553C0" w:rsidRPr="00623957">
        <w:rPr>
          <w:rFonts w:ascii="Palatino Linotype" w:hAnsi="Palatino Linotype" w:cs="Arial"/>
          <w:b/>
        </w:rPr>
        <w:t xml:space="preserve">. </w:t>
      </w:r>
      <w:r w:rsidR="00F26A1D">
        <w:rPr>
          <w:rFonts w:ascii="Palatino Linotype" w:hAnsi="Palatino Linotype" w:cs="Arial"/>
          <w:b/>
        </w:rPr>
        <w:t>Interposición del</w:t>
      </w:r>
      <w:r w:rsidR="00373004" w:rsidRPr="00623957">
        <w:rPr>
          <w:rFonts w:ascii="Palatino Linotype" w:hAnsi="Palatino Linotype" w:cs="Arial"/>
          <w:b/>
        </w:rPr>
        <w:t xml:space="preserve"> recurso de revisión. </w:t>
      </w:r>
      <w:r w:rsidR="00C569E6">
        <w:rPr>
          <w:rFonts w:ascii="Palatino Linotype" w:hAnsi="Palatino Linotype" w:cs="Arial"/>
        </w:rPr>
        <w:t>Inconforme el</w:t>
      </w:r>
      <w:r w:rsidR="00303AA4">
        <w:rPr>
          <w:rFonts w:ascii="Palatino Linotype" w:hAnsi="Palatino Linotype" w:cs="Arial"/>
        </w:rPr>
        <w:t xml:space="preserve"> solicitante con la</w:t>
      </w:r>
      <w:r w:rsidR="00373004" w:rsidRPr="00623957">
        <w:rPr>
          <w:rFonts w:ascii="Palatino Linotype" w:hAnsi="Palatino Linotype" w:cs="Arial"/>
        </w:rPr>
        <w:t xml:space="preserve"> </w:t>
      </w:r>
      <w:r w:rsidR="00F26A1D">
        <w:rPr>
          <w:rFonts w:ascii="Palatino Linotype" w:hAnsi="Palatino Linotype" w:cs="Arial"/>
        </w:rPr>
        <w:t>respuesta</w:t>
      </w:r>
      <w:r w:rsidR="00FF1088">
        <w:rPr>
          <w:rFonts w:ascii="Palatino Linotype" w:hAnsi="Palatino Linotype" w:cs="Arial"/>
        </w:rPr>
        <w:t xml:space="preserve"> </w:t>
      </w:r>
      <w:r w:rsidR="00303AA4">
        <w:rPr>
          <w:rFonts w:ascii="Palatino Linotype" w:hAnsi="Palatino Linotype" w:cs="Arial"/>
        </w:rPr>
        <w:t xml:space="preserve">otorgada </w:t>
      </w:r>
      <w:r w:rsidR="00816040" w:rsidRPr="00623957">
        <w:rPr>
          <w:rFonts w:ascii="Palatino Linotype" w:hAnsi="Palatino Linotype" w:cs="Arial"/>
        </w:rPr>
        <w:t>por el</w:t>
      </w:r>
      <w:r w:rsidR="00373004" w:rsidRPr="00623957">
        <w:rPr>
          <w:rFonts w:ascii="Palatino Linotype" w:hAnsi="Palatino Linotype" w:cs="Arial"/>
        </w:rPr>
        <w:t xml:space="preserve"> </w:t>
      </w:r>
      <w:r w:rsidR="00373004" w:rsidRPr="00623957">
        <w:rPr>
          <w:rFonts w:ascii="Palatino Linotype" w:hAnsi="Palatino Linotype" w:cs="Arial"/>
          <w:b/>
        </w:rPr>
        <w:t>Sujeto Obligado</w:t>
      </w:r>
      <w:r w:rsidR="00373004" w:rsidRPr="00623957">
        <w:rPr>
          <w:rFonts w:ascii="Palatino Linotype" w:hAnsi="Palatino Linotype" w:cs="Arial"/>
        </w:rPr>
        <w:t xml:space="preserve"> interpuso recurso de revisi</w:t>
      </w:r>
      <w:r w:rsidR="00707C30">
        <w:rPr>
          <w:rFonts w:ascii="Palatino Linotype" w:hAnsi="Palatino Linotype" w:cs="Arial"/>
        </w:rPr>
        <w:t>ón a través del SAIMEX en fecha</w:t>
      </w:r>
      <w:r w:rsidR="00373004" w:rsidRPr="00623957">
        <w:rPr>
          <w:rFonts w:ascii="Palatino Linotype" w:hAnsi="Palatino Linotype" w:cs="Arial"/>
        </w:rPr>
        <w:t xml:space="preserve"> </w:t>
      </w:r>
      <w:r w:rsidR="003E43E2">
        <w:rPr>
          <w:rFonts w:ascii="Palatino Linotype" w:hAnsi="Palatino Linotype" w:cs="Arial"/>
        </w:rPr>
        <w:t>dos</w:t>
      </w:r>
      <w:r w:rsidR="00437884">
        <w:rPr>
          <w:rFonts w:ascii="Palatino Linotype" w:hAnsi="Palatino Linotype" w:cs="Arial"/>
        </w:rPr>
        <w:t xml:space="preserve"> </w:t>
      </w:r>
      <w:r w:rsidR="00373004" w:rsidRPr="00623957">
        <w:rPr>
          <w:rFonts w:ascii="Palatino Linotype" w:hAnsi="Palatino Linotype" w:cs="Arial"/>
        </w:rPr>
        <w:t xml:space="preserve">de </w:t>
      </w:r>
      <w:r w:rsidR="003E43E2">
        <w:rPr>
          <w:rFonts w:ascii="Palatino Linotype" w:hAnsi="Palatino Linotype" w:cs="Arial"/>
        </w:rPr>
        <w:t>jul</w:t>
      </w:r>
      <w:r w:rsidR="005574D5">
        <w:rPr>
          <w:rFonts w:ascii="Palatino Linotype" w:hAnsi="Palatino Linotype" w:cs="Arial"/>
        </w:rPr>
        <w:t>io</w:t>
      </w:r>
      <w:r w:rsidR="00373004" w:rsidRPr="00623957">
        <w:rPr>
          <w:rFonts w:ascii="Palatino Linotype" w:hAnsi="Palatino Linotype" w:cs="Arial"/>
        </w:rPr>
        <w:t xml:space="preserve"> </w:t>
      </w:r>
      <w:r w:rsidR="00567F67">
        <w:rPr>
          <w:rFonts w:ascii="Palatino Linotype" w:hAnsi="Palatino Linotype" w:cs="Arial"/>
        </w:rPr>
        <w:t>de</w:t>
      </w:r>
      <w:r w:rsidR="00231A75">
        <w:rPr>
          <w:rFonts w:ascii="Palatino Linotype" w:hAnsi="Palatino Linotype" w:cs="Arial"/>
        </w:rPr>
        <w:t xml:space="preserve"> </w:t>
      </w:r>
      <w:r w:rsidR="00373004" w:rsidRPr="00623957">
        <w:rPr>
          <w:rFonts w:ascii="Palatino Linotype" w:hAnsi="Palatino Linotype" w:cs="Arial"/>
        </w:rPr>
        <w:t xml:space="preserve">dos mil </w:t>
      </w:r>
      <w:r w:rsidR="00BF461A">
        <w:rPr>
          <w:rFonts w:ascii="Palatino Linotype" w:hAnsi="Palatino Linotype" w:cs="Arial"/>
        </w:rPr>
        <w:t xml:space="preserve">dieciocho, </w:t>
      </w:r>
      <w:r w:rsidR="00484DE9">
        <w:rPr>
          <w:rFonts w:ascii="Palatino Linotype" w:hAnsi="Palatino Linotype" w:cs="Arial"/>
        </w:rPr>
        <w:t xml:space="preserve">expresando </w:t>
      </w:r>
      <w:r w:rsidR="00373004" w:rsidRPr="00623957">
        <w:rPr>
          <w:rFonts w:ascii="Palatino Linotype" w:hAnsi="Palatino Linotype" w:cs="Arial"/>
        </w:rPr>
        <w:t>lo siguiente:</w:t>
      </w:r>
    </w:p>
    <w:p w14:paraId="2A445AA7" w14:textId="77777777"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 Acto impugnado.</w:t>
      </w:r>
    </w:p>
    <w:p w14:paraId="1B568ADE" w14:textId="1256337F" w:rsidR="00AF1084" w:rsidRPr="003E43E2" w:rsidRDefault="00AF1084" w:rsidP="00437884">
      <w:pPr>
        <w:spacing w:before="240" w:after="240" w:line="360" w:lineRule="auto"/>
        <w:ind w:left="851"/>
        <w:jc w:val="both"/>
        <w:rPr>
          <w:rFonts w:ascii="Palatino Linotype" w:hAnsi="Palatino Linotype" w:cs="Arial"/>
          <w:i/>
          <w:sz w:val="22"/>
          <w:szCs w:val="22"/>
        </w:rPr>
      </w:pPr>
      <w:r w:rsidRPr="003E43E2">
        <w:rPr>
          <w:rFonts w:ascii="Palatino Linotype" w:hAnsi="Palatino Linotype" w:cs="Arial"/>
          <w:i/>
          <w:sz w:val="22"/>
          <w:szCs w:val="22"/>
        </w:rPr>
        <w:t>“</w:t>
      </w:r>
      <w:r w:rsidR="003E43E2" w:rsidRPr="003E43E2">
        <w:rPr>
          <w:rFonts w:ascii="Palatino Linotype" w:hAnsi="Palatino Linotype"/>
          <w:i/>
          <w:color w:val="000000"/>
          <w:sz w:val="22"/>
          <w:szCs w:val="22"/>
        </w:rPr>
        <w:t>La información es incompleta</w:t>
      </w:r>
      <w:r w:rsidRPr="003E43E2">
        <w:rPr>
          <w:rFonts w:ascii="Palatino Linotype" w:hAnsi="Palatino Linotype" w:cs="Arial"/>
          <w:i/>
          <w:sz w:val="22"/>
          <w:szCs w:val="22"/>
        </w:rPr>
        <w:t>.” (Sic)</w:t>
      </w:r>
    </w:p>
    <w:p w14:paraId="621A2416" w14:textId="77777777" w:rsidR="00AF1084" w:rsidRPr="00A22E55" w:rsidRDefault="00AF1084" w:rsidP="00AF1084">
      <w:pPr>
        <w:spacing w:line="360" w:lineRule="auto"/>
        <w:jc w:val="both"/>
        <w:rPr>
          <w:rFonts w:ascii="Palatino Linotype" w:hAnsi="Palatino Linotype" w:cs="Arial"/>
          <w:b/>
        </w:rPr>
      </w:pPr>
      <w:r w:rsidRPr="00A22E55">
        <w:rPr>
          <w:rFonts w:ascii="Palatino Linotype" w:hAnsi="Palatino Linotype" w:cs="Arial"/>
          <w:b/>
        </w:rPr>
        <w:t xml:space="preserve">b) </w:t>
      </w:r>
      <w:r>
        <w:rPr>
          <w:rFonts w:ascii="Palatino Linotype" w:hAnsi="Palatino Linotype" w:cs="Arial"/>
          <w:b/>
        </w:rPr>
        <w:t xml:space="preserve">Razones o </w:t>
      </w:r>
      <w:r w:rsidRPr="00A22E55">
        <w:rPr>
          <w:rFonts w:ascii="Palatino Linotype" w:hAnsi="Palatino Linotype" w:cs="Arial"/>
          <w:b/>
        </w:rPr>
        <w:t>Motivos de inconformidad.</w:t>
      </w:r>
    </w:p>
    <w:p w14:paraId="1FE75E19" w14:textId="37F2B288" w:rsidR="00AF1084" w:rsidRPr="003E43E2" w:rsidRDefault="00AF1084" w:rsidP="00AF1084">
      <w:pPr>
        <w:ind w:left="851" w:right="900"/>
        <w:jc w:val="both"/>
        <w:rPr>
          <w:rFonts w:ascii="Palatino Linotype" w:hAnsi="Palatino Linotype" w:cs="Arial"/>
          <w:i/>
          <w:sz w:val="22"/>
          <w:szCs w:val="22"/>
        </w:rPr>
      </w:pPr>
      <w:r w:rsidRPr="003E43E2">
        <w:rPr>
          <w:rFonts w:ascii="Palatino Linotype" w:hAnsi="Palatino Linotype" w:cs="Arial"/>
          <w:i/>
          <w:sz w:val="22"/>
          <w:szCs w:val="22"/>
        </w:rPr>
        <w:t>“</w:t>
      </w:r>
      <w:r w:rsidR="003E43E2" w:rsidRPr="003E43E2">
        <w:rPr>
          <w:rFonts w:ascii="Palatino Linotype" w:hAnsi="Palatino Linotype"/>
          <w:i/>
          <w:color w:val="000000"/>
          <w:sz w:val="22"/>
          <w:szCs w:val="22"/>
        </w:rPr>
        <w:t>Si bien es cierto, se proporciona finiquitos faltando liquidaciones. Gracias</w:t>
      </w:r>
      <w:r w:rsidRPr="003E43E2">
        <w:rPr>
          <w:rFonts w:ascii="Palatino Linotype" w:hAnsi="Palatino Linotype" w:cs="Arial"/>
          <w:i/>
          <w:sz w:val="22"/>
          <w:szCs w:val="22"/>
        </w:rPr>
        <w:t>.” (Sic)</w:t>
      </w:r>
    </w:p>
    <w:p w14:paraId="0A5A3371" w14:textId="69A085C1" w:rsidR="00E235A5" w:rsidRDefault="00057A30" w:rsidP="006429C9">
      <w:pPr>
        <w:spacing w:before="240" w:after="240" w:line="360" w:lineRule="auto"/>
        <w:jc w:val="both"/>
        <w:rPr>
          <w:rFonts w:ascii="Palatino Linotype" w:hAnsi="Palatino Linotype"/>
        </w:rPr>
      </w:pPr>
      <w:r>
        <w:rPr>
          <w:rFonts w:ascii="Palatino Linotype" w:hAnsi="Palatino Linotype"/>
          <w:b/>
        </w:rPr>
        <w:t>4</w:t>
      </w:r>
      <w:r w:rsidR="00E235A5">
        <w:rPr>
          <w:rFonts w:ascii="Palatino Linotype" w:hAnsi="Palatino Linotype"/>
          <w:b/>
        </w:rPr>
        <w:t xml:space="preserve">. Turno. </w:t>
      </w:r>
      <w:r w:rsidR="00E235A5" w:rsidRPr="006275FB">
        <w:rPr>
          <w:rFonts w:ascii="Palatino Linotype" w:hAnsi="Palatino Linotype"/>
        </w:rPr>
        <w:t xml:space="preserve">De conformidad con el artículo </w:t>
      </w:r>
      <w:r w:rsidR="00E235A5">
        <w:rPr>
          <w:rFonts w:ascii="Palatino Linotype" w:hAnsi="Palatino Linotype"/>
        </w:rPr>
        <w:t>185, fracción I</w:t>
      </w:r>
      <w:r w:rsidR="00E235A5" w:rsidRPr="006275FB">
        <w:rPr>
          <w:rFonts w:ascii="Palatino Linotype" w:hAnsi="Palatino Linotype"/>
        </w:rPr>
        <w:t xml:space="preserve"> de la </w:t>
      </w:r>
      <w:r w:rsidR="00E235A5" w:rsidRPr="006275FB">
        <w:rPr>
          <w:rFonts w:ascii="Palatino Linotype" w:hAnsi="Palatino Linotype" w:cs="Arial"/>
        </w:rPr>
        <w:t>Ley de Transparencia y Acceso a la Información Pública del E</w:t>
      </w:r>
      <w:r w:rsidR="00E235A5">
        <w:rPr>
          <w:rFonts w:ascii="Palatino Linotype" w:hAnsi="Palatino Linotype" w:cs="Arial"/>
        </w:rPr>
        <w:t>stado de México y Municipios,</w:t>
      </w:r>
      <w:r w:rsidR="00AF1084">
        <w:rPr>
          <w:rFonts w:ascii="Palatino Linotype" w:hAnsi="Palatino Linotype" w:cs="Arial"/>
        </w:rPr>
        <w:t xml:space="preserve"> </w:t>
      </w:r>
      <w:r w:rsidR="00234A9A">
        <w:rPr>
          <w:rFonts w:ascii="Palatino Linotype" w:hAnsi="Palatino Linotype" w:cs="Arial"/>
        </w:rPr>
        <w:t>el</w:t>
      </w:r>
      <w:r w:rsidR="00AF1084" w:rsidRPr="005A3029">
        <w:rPr>
          <w:rFonts w:ascii="Palatino Linotype" w:hAnsi="Palatino Linotype" w:cs="Arial"/>
        </w:rPr>
        <w:t xml:space="preserve"> recurso de revisión número </w:t>
      </w:r>
      <w:r w:rsidR="003E43E2">
        <w:rPr>
          <w:rFonts w:ascii="Palatino Linotype" w:hAnsi="Palatino Linotype"/>
          <w:b/>
          <w:lang w:val="es-ES_tradnl"/>
        </w:rPr>
        <w:t>02476</w:t>
      </w:r>
      <w:r w:rsidR="00AF1084" w:rsidRPr="00F91D9E">
        <w:rPr>
          <w:rFonts w:ascii="Palatino Linotype" w:hAnsi="Palatino Linotype"/>
          <w:b/>
          <w:lang w:val="es-ES_tradnl"/>
        </w:rPr>
        <w:t>/INFOEM/IP/RR/2018</w:t>
      </w:r>
      <w:r w:rsidR="00567F67">
        <w:rPr>
          <w:rFonts w:ascii="Palatino Linotype" w:hAnsi="Palatino Linotype"/>
          <w:b/>
          <w:lang w:val="es-ES_tradnl"/>
        </w:rPr>
        <w:t xml:space="preserve"> </w:t>
      </w:r>
      <w:r w:rsidR="00231A75">
        <w:rPr>
          <w:rFonts w:ascii="Palatino Linotype" w:hAnsi="Palatino Linotype"/>
          <w:lang w:val="es-ES_tradnl"/>
        </w:rPr>
        <w:t xml:space="preserve">fue turnado </w:t>
      </w:r>
      <w:r w:rsidR="00AF1084" w:rsidRPr="009F7D9F">
        <w:rPr>
          <w:rFonts w:ascii="Palatino Linotype" w:hAnsi="Palatino Linotype" w:cs="Arial"/>
        </w:rPr>
        <w:t>al</w:t>
      </w:r>
      <w:r w:rsidR="00AF1084" w:rsidRPr="009F7D9F">
        <w:rPr>
          <w:rFonts w:ascii="Palatino Linotype" w:eastAsia="Calibri" w:hAnsi="Palatino Linotype" w:cs="Arial"/>
        </w:rPr>
        <w:t xml:space="preserve"> Comisionado </w:t>
      </w:r>
      <w:r w:rsidR="00AF1084" w:rsidRPr="009F7D9F">
        <w:rPr>
          <w:rFonts w:ascii="Palatino Linotype" w:eastAsia="Calibri" w:hAnsi="Palatino Linotype" w:cs="Arial"/>
          <w:b/>
        </w:rPr>
        <w:t>Javier Martínez Cruz</w:t>
      </w:r>
      <w:r w:rsidR="00F26A1D">
        <w:rPr>
          <w:rFonts w:ascii="Palatino Linotype" w:hAnsi="Palatino Linotype" w:cs="Arial"/>
        </w:rPr>
        <w:t>,</w:t>
      </w:r>
      <w:r w:rsidR="00E235A5" w:rsidRPr="006275FB">
        <w:rPr>
          <w:rFonts w:ascii="Palatino Linotype" w:hAnsi="Palatino Linotype"/>
        </w:rPr>
        <w:t xml:space="preserve"> a efecto de </w:t>
      </w:r>
      <w:r w:rsidR="00367C07">
        <w:rPr>
          <w:rFonts w:ascii="Palatino Linotype" w:hAnsi="Palatino Linotype"/>
        </w:rPr>
        <w:t>que analizara sobre su admisión o su desechamiento</w:t>
      </w:r>
      <w:r w:rsidR="00E235A5" w:rsidRPr="006275FB">
        <w:rPr>
          <w:rFonts w:ascii="Palatino Linotype" w:hAnsi="Palatino Linotype"/>
        </w:rPr>
        <w:t>.</w:t>
      </w:r>
    </w:p>
    <w:p w14:paraId="76CC8E4A" w14:textId="3DE20893" w:rsidR="006429C9" w:rsidRPr="00B05B80" w:rsidRDefault="00057A30" w:rsidP="006429C9">
      <w:pPr>
        <w:spacing w:before="240" w:after="240" w:line="360" w:lineRule="auto"/>
        <w:jc w:val="both"/>
        <w:rPr>
          <w:rFonts w:ascii="Palatino Linotype" w:hAnsi="Palatino Linotype" w:cs="Arial"/>
        </w:rPr>
      </w:pPr>
      <w:r>
        <w:rPr>
          <w:rFonts w:ascii="Palatino Linotype" w:hAnsi="Palatino Linotype" w:cs="Arial"/>
          <w:b/>
        </w:rPr>
        <w:t>5</w:t>
      </w:r>
      <w:r w:rsidR="006429C9" w:rsidRPr="00A22E55">
        <w:rPr>
          <w:rFonts w:ascii="Palatino Linotype" w:hAnsi="Palatino Linotype" w:cs="Arial"/>
          <w:b/>
        </w:rPr>
        <w:t xml:space="preserve">. </w:t>
      </w:r>
      <w:r w:rsidR="006429C9">
        <w:rPr>
          <w:rFonts w:ascii="Palatino Linotype" w:hAnsi="Palatino Linotype" w:cs="Arial"/>
          <w:b/>
        </w:rPr>
        <w:t xml:space="preserve">Admisión del recurso de revisión: </w:t>
      </w:r>
      <w:r w:rsidR="00F26A1D">
        <w:rPr>
          <w:rFonts w:ascii="Palatino Linotype" w:hAnsi="Palatino Linotype" w:cs="Arial"/>
        </w:rPr>
        <w:t>En fecha</w:t>
      </w:r>
      <w:r w:rsidR="00234A9A">
        <w:rPr>
          <w:rFonts w:ascii="Palatino Linotype" w:hAnsi="Palatino Linotype" w:cs="Arial"/>
        </w:rPr>
        <w:t xml:space="preserve"> </w:t>
      </w:r>
      <w:r w:rsidR="0074697E">
        <w:rPr>
          <w:rFonts w:ascii="Palatino Linotype" w:hAnsi="Palatino Linotype" w:cs="Arial"/>
        </w:rPr>
        <w:t>seis</w:t>
      </w:r>
      <w:r w:rsidR="00234A9A">
        <w:rPr>
          <w:rFonts w:ascii="Palatino Linotype" w:hAnsi="Palatino Linotype" w:cs="Arial"/>
        </w:rPr>
        <w:t xml:space="preserve"> </w:t>
      </w:r>
      <w:r w:rsidR="0032063B">
        <w:rPr>
          <w:rFonts w:ascii="Palatino Linotype" w:hAnsi="Palatino Linotype" w:cs="Arial"/>
        </w:rPr>
        <w:t xml:space="preserve">de </w:t>
      </w:r>
      <w:r w:rsidR="005574D5">
        <w:rPr>
          <w:rFonts w:ascii="Palatino Linotype" w:hAnsi="Palatino Linotype" w:cs="Arial"/>
        </w:rPr>
        <w:t>jul</w:t>
      </w:r>
      <w:r w:rsidR="00C569E6">
        <w:rPr>
          <w:rFonts w:ascii="Palatino Linotype" w:hAnsi="Palatino Linotype" w:cs="Arial"/>
        </w:rPr>
        <w:t>io</w:t>
      </w:r>
      <w:r w:rsidR="001D3DA7">
        <w:rPr>
          <w:rFonts w:ascii="Palatino Linotype" w:hAnsi="Palatino Linotype" w:cs="Arial"/>
        </w:rPr>
        <w:t xml:space="preserve"> </w:t>
      </w:r>
      <w:r w:rsidR="0032063B">
        <w:rPr>
          <w:rFonts w:ascii="Palatino Linotype" w:hAnsi="Palatino Linotype" w:cs="Arial"/>
        </w:rPr>
        <w:t>del</w:t>
      </w:r>
      <w:r w:rsidR="001D3DA7">
        <w:rPr>
          <w:rFonts w:ascii="Palatino Linotype" w:hAnsi="Palatino Linotype" w:cs="Arial"/>
        </w:rPr>
        <w:t xml:space="preserve"> </w:t>
      </w:r>
      <w:r w:rsidR="00231A75">
        <w:rPr>
          <w:rFonts w:ascii="Palatino Linotype" w:hAnsi="Palatino Linotype" w:cs="Arial"/>
        </w:rPr>
        <w:t xml:space="preserve">año </w:t>
      </w:r>
      <w:r w:rsidR="001D3DA7">
        <w:rPr>
          <w:rFonts w:ascii="Palatino Linotype" w:hAnsi="Palatino Linotype" w:cs="Arial"/>
        </w:rPr>
        <w:t>dos mil dieciocho</w:t>
      </w:r>
      <w:r w:rsidR="0032063B">
        <w:rPr>
          <w:rFonts w:ascii="Palatino Linotype" w:hAnsi="Palatino Linotype" w:cs="Arial"/>
        </w:rPr>
        <w:t>,</w:t>
      </w:r>
      <w:r w:rsidR="006429C9">
        <w:rPr>
          <w:rFonts w:ascii="Palatino Linotype" w:hAnsi="Palatino Linotype" w:cs="Arial"/>
        </w:rPr>
        <w:t xml:space="preserve"> </w:t>
      </w:r>
      <w:r w:rsidR="00F26A1D">
        <w:rPr>
          <w:rFonts w:ascii="Palatino Linotype" w:hAnsi="Palatino Linotype" w:cs="Arial"/>
        </w:rPr>
        <w:t>se admitió a trámite el</w:t>
      </w:r>
      <w:r w:rsidR="001D3DA7" w:rsidRPr="005A3029">
        <w:rPr>
          <w:rFonts w:ascii="Palatino Linotype" w:hAnsi="Palatino Linotype" w:cs="Arial"/>
        </w:rPr>
        <w:t xml:space="preserve"> recurso de revisión</w:t>
      </w:r>
      <w:r w:rsidR="006429C9">
        <w:rPr>
          <w:rFonts w:ascii="Palatino Linotype" w:hAnsi="Palatino Linotype" w:cs="Arial"/>
        </w:rPr>
        <w:t xml:space="preserve"> que ahora se resuelve, dando un plazo máximo de siete días hábiles para que las partes manifestaran lo que a su derecho resultara conveniente, ofrecieran pruebas, manifestaran alegatos y el Sujeto </w:t>
      </w:r>
      <w:r w:rsidR="006429C9" w:rsidRPr="00B05B80">
        <w:rPr>
          <w:rFonts w:ascii="Palatino Linotype" w:hAnsi="Palatino Linotype" w:cs="Arial"/>
        </w:rPr>
        <w:t>Obligado presentara su informe justificado.</w:t>
      </w:r>
    </w:p>
    <w:p w14:paraId="76D68C89" w14:textId="313E84A1" w:rsidR="00087F53" w:rsidRPr="00B54BFF" w:rsidRDefault="00B54BFF" w:rsidP="00087F53">
      <w:pPr>
        <w:spacing w:after="240" w:line="360" w:lineRule="auto"/>
        <w:jc w:val="both"/>
        <w:rPr>
          <w:rFonts w:ascii="Palatino Linotype" w:hAnsi="Palatino Linotype" w:cs="Arial"/>
          <w:b/>
          <w:i/>
          <w:color w:val="C00000"/>
          <w:szCs w:val="22"/>
        </w:rPr>
      </w:pPr>
      <w:r w:rsidRPr="00B05B80">
        <w:rPr>
          <w:rFonts w:ascii="Palatino Linotype" w:hAnsi="Palatino Linotype" w:cs="Arial"/>
          <w:b/>
          <w:szCs w:val="22"/>
        </w:rPr>
        <w:t>6</w:t>
      </w:r>
      <w:r w:rsidR="006429C9" w:rsidRPr="00B05B80">
        <w:rPr>
          <w:rFonts w:ascii="Palatino Linotype" w:hAnsi="Palatino Linotype" w:cs="Arial"/>
          <w:b/>
          <w:szCs w:val="22"/>
        </w:rPr>
        <w:t xml:space="preserve">. Manifestaciones: </w:t>
      </w:r>
      <w:r w:rsidR="006429C9" w:rsidRPr="00B05B80">
        <w:rPr>
          <w:rFonts w:ascii="Palatino Linotype" w:hAnsi="Palatino Linotype" w:cs="Arial"/>
          <w:szCs w:val="22"/>
        </w:rPr>
        <w:t>De</w:t>
      </w:r>
      <w:r w:rsidR="0032063B" w:rsidRPr="00B05B80">
        <w:rPr>
          <w:rFonts w:ascii="Palatino Linotype" w:hAnsi="Palatino Linotype" w:cs="Arial"/>
          <w:szCs w:val="22"/>
        </w:rPr>
        <w:t xml:space="preserve"> </w:t>
      </w:r>
      <w:r w:rsidRPr="00B05B80">
        <w:rPr>
          <w:rFonts w:ascii="Palatino Linotype" w:hAnsi="Palatino Linotype" w:cs="Arial"/>
          <w:szCs w:val="22"/>
        </w:rPr>
        <w:t>las constancias que integran el</w:t>
      </w:r>
      <w:r w:rsidR="006429C9" w:rsidRPr="00B05B80">
        <w:rPr>
          <w:rFonts w:ascii="Palatino Linotype" w:hAnsi="Palatino Linotype" w:cs="Arial"/>
          <w:szCs w:val="22"/>
        </w:rPr>
        <w:t xml:space="preserve"> expediente en que se actúa se advierte que</w:t>
      </w:r>
      <w:r w:rsidR="00840825" w:rsidRPr="00B05B80">
        <w:rPr>
          <w:rFonts w:ascii="Palatino Linotype" w:hAnsi="Palatino Linotype" w:cs="Arial"/>
          <w:szCs w:val="22"/>
        </w:rPr>
        <w:t xml:space="preserve"> el Sujeto Obligado</w:t>
      </w:r>
      <w:r w:rsidR="00C569E6" w:rsidRPr="00B05B80">
        <w:rPr>
          <w:rFonts w:ascii="Palatino Linotype" w:hAnsi="Palatino Linotype" w:cs="Arial"/>
          <w:szCs w:val="22"/>
        </w:rPr>
        <w:t xml:space="preserve"> en fecha </w:t>
      </w:r>
      <w:r w:rsidR="0074697E">
        <w:rPr>
          <w:rFonts w:ascii="Palatino Linotype" w:hAnsi="Palatino Linotype" w:cs="Arial"/>
          <w:szCs w:val="22"/>
        </w:rPr>
        <w:t>treinta y uno</w:t>
      </w:r>
      <w:r w:rsidR="005574D5">
        <w:rPr>
          <w:rFonts w:ascii="Palatino Linotype" w:hAnsi="Palatino Linotype" w:cs="Arial"/>
          <w:szCs w:val="22"/>
        </w:rPr>
        <w:t xml:space="preserve"> de jul</w:t>
      </w:r>
      <w:r w:rsidR="00C569E6" w:rsidRPr="00B05B80">
        <w:rPr>
          <w:rFonts w:ascii="Palatino Linotype" w:hAnsi="Palatino Linotype" w:cs="Arial"/>
          <w:szCs w:val="22"/>
        </w:rPr>
        <w:t>io de dos mil dieciocho</w:t>
      </w:r>
      <w:r w:rsidRPr="00B05B80">
        <w:rPr>
          <w:rFonts w:ascii="Palatino Linotype" w:hAnsi="Palatino Linotype" w:cs="Arial"/>
          <w:szCs w:val="22"/>
        </w:rPr>
        <w:t xml:space="preserve"> envió a través del Saimex, el archivo</w:t>
      </w:r>
      <w:r w:rsidR="00087F53" w:rsidRPr="00B05B80">
        <w:rPr>
          <w:rFonts w:ascii="Palatino Linotype" w:hAnsi="Palatino Linotype" w:cs="Arial"/>
          <w:szCs w:val="22"/>
        </w:rPr>
        <w:t xml:space="preserve"> </w:t>
      </w:r>
      <w:r w:rsidR="00087F53" w:rsidRPr="00B05B80">
        <w:rPr>
          <w:rFonts w:ascii="Palatino Linotype" w:hAnsi="Palatino Linotype" w:cs="Arial"/>
          <w:i/>
          <w:szCs w:val="22"/>
        </w:rPr>
        <w:t>“</w:t>
      </w:r>
      <w:r w:rsidR="0074697E">
        <w:rPr>
          <w:rFonts w:ascii="Palatino Linotype" w:hAnsi="Palatino Linotype" w:cs="Arial"/>
          <w:i/>
          <w:szCs w:val="22"/>
        </w:rPr>
        <w:t>U</w:t>
      </w:r>
      <w:r w:rsidR="00C569E6" w:rsidRPr="00B05B80">
        <w:rPr>
          <w:rFonts w:ascii="Palatino Linotype" w:hAnsi="Palatino Linotype" w:cs="Arial"/>
          <w:i/>
          <w:szCs w:val="22"/>
        </w:rPr>
        <w:t xml:space="preserve">NFORME JUSTIFICADO </w:t>
      </w:r>
      <w:r w:rsidR="0074697E">
        <w:rPr>
          <w:rFonts w:ascii="Palatino Linotype" w:hAnsi="Palatino Linotype" w:cs="Arial"/>
          <w:i/>
          <w:szCs w:val="22"/>
        </w:rPr>
        <w:t>RR 02476 SOLICITUD 476</w:t>
      </w:r>
      <w:r w:rsidRPr="00B05B80">
        <w:rPr>
          <w:rFonts w:ascii="Palatino Linotype" w:hAnsi="Palatino Linotype" w:cs="Arial"/>
          <w:i/>
          <w:szCs w:val="22"/>
        </w:rPr>
        <w:t>.pdf”</w:t>
      </w:r>
      <w:r w:rsidRPr="00B05B80">
        <w:rPr>
          <w:rFonts w:ascii="Palatino Linotype" w:hAnsi="Palatino Linotype" w:cs="Arial"/>
          <w:b/>
          <w:i/>
          <w:szCs w:val="22"/>
        </w:rPr>
        <w:t xml:space="preserve">, </w:t>
      </w:r>
      <w:r>
        <w:rPr>
          <w:rFonts w:ascii="Palatino Linotype" w:hAnsi="Palatino Linotype" w:cs="Arial"/>
          <w:szCs w:val="22"/>
        </w:rPr>
        <w:t>consistente</w:t>
      </w:r>
      <w:r w:rsidR="00087F53">
        <w:rPr>
          <w:rFonts w:ascii="Palatino Linotype" w:hAnsi="Palatino Linotype" w:cs="Arial"/>
          <w:szCs w:val="22"/>
        </w:rPr>
        <w:t xml:space="preserve"> </w:t>
      </w:r>
      <w:r>
        <w:rPr>
          <w:rFonts w:ascii="Palatino Linotype" w:hAnsi="Palatino Linotype" w:cs="Arial"/>
          <w:szCs w:val="22"/>
        </w:rPr>
        <w:t>en su informe justificado en el</w:t>
      </w:r>
      <w:r w:rsidR="00087F53">
        <w:rPr>
          <w:rFonts w:ascii="Palatino Linotype" w:hAnsi="Palatino Linotype" w:cs="Arial"/>
          <w:szCs w:val="22"/>
        </w:rPr>
        <w:t xml:space="preserve"> que</w:t>
      </w:r>
      <w:r w:rsidR="00C569E6">
        <w:rPr>
          <w:rFonts w:ascii="Palatino Linotype" w:hAnsi="Palatino Linotype" w:cs="Arial"/>
          <w:szCs w:val="22"/>
        </w:rPr>
        <w:t xml:space="preserve"> se</w:t>
      </w:r>
      <w:r w:rsidR="00087F53">
        <w:rPr>
          <w:rFonts w:ascii="Palatino Linotype" w:hAnsi="Palatino Linotype" w:cs="Arial"/>
          <w:szCs w:val="22"/>
        </w:rPr>
        <w:t xml:space="preserve"> ratifica </w:t>
      </w:r>
      <w:r>
        <w:rPr>
          <w:rFonts w:ascii="Palatino Linotype" w:hAnsi="Palatino Linotype" w:cs="Arial"/>
          <w:szCs w:val="22"/>
        </w:rPr>
        <w:t>la respuesta</w:t>
      </w:r>
      <w:r w:rsidR="00087F53">
        <w:rPr>
          <w:rFonts w:ascii="Palatino Linotype" w:hAnsi="Palatino Linotype" w:cs="Arial"/>
          <w:szCs w:val="22"/>
        </w:rPr>
        <w:t xml:space="preserve"> por </w:t>
      </w:r>
      <w:r>
        <w:rPr>
          <w:rFonts w:ascii="Palatino Linotype" w:hAnsi="Palatino Linotype" w:cs="Arial"/>
          <w:szCs w:val="22"/>
        </w:rPr>
        <w:t>lo que no fue necesario ponerlo</w:t>
      </w:r>
      <w:r w:rsidR="00087F53">
        <w:rPr>
          <w:rFonts w:ascii="Palatino Linotype" w:hAnsi="Palatino Linotype" w:cs="Arial"/>
          <w:szCs w:val="22"/>
        </w:rPr>
        <w:t xml:space="preserve"> a la vist</w:t>
      </w:r>
      <w:r w:rsidR="00C569E6">
        <w:rPr>
          <w:rFonts w:ascii="Palatino Linotype" w:hAnsi="Palatino Linotype" w:cs="Arial"/>
          <w:szCs w:val="22"/>
        </w:rPr>
        <w:t>a del</w:t>
      </w:r>
      <w:r w:rsidR="00087F53">
        <w:rPr>
          <w:rFonts w:ascii="Palatino Linotype" w:hAnsi="Palatino Linotype" w:cs="Arial"/>
          <w:szCs w:val="22"/>
        </w:rPr>
        <w:t xml:space="preserve"> recurrente por no </w:t>
      </w:r>
      <w:r w:rsidR="00087F53">
        <w:rPr>
          <w:rFonts w:ascii="Palatino Linotype" w:hAnsi="Palatino Linotype" w:cs="Arial"/>
          <w:szCs w:val="22"/>
        </w:rPr>
        <w:lastRenderedPageBreak/>
        <w:t>actualizarse</w:t>
      </w:r>
      <w:r w:rsidR="00FA4741">
        <w:rPr>
          <w:rFonts w:ascii="Palatino Linotype" w:hAnsi="Palatino Linotype" w:cs="Arial"/>
        </w:rPr>
        <w:t xml:space="preserve"> lo establecido en el artículo 185, fracción III de la Ley de Transparencia y Acceso a la Información Pública del Estado de México y Municipios</w:t>
      </w:r>
      <w:r w:rsidR="00087F53">
        <w:rPr>
          <w:rFonts w:ascii="Palatino Linotype" w:hAnsi="Palatino Linotype" w:cs="Arial"/>
        </w:rPr>
        <w:t>.</w:t>
      </w:r>
    </w:p>
    <w:p w14:paraId="243F337A" w14:textId="6341FF85" w:rsidR="005D7A24" w:rsidRPr="00087F53" w:rsidRDefault="00C569E6" w:rsidP="00087F53">
      <w:pPr>
        <w:spacing w:line="360" w:lineRule="auto"/>
        <w:jc w:val="both"/>
        <w:rPr>
          <w:rFonts w:ascii="Palatino Linotype" w:hAnsi="Palatino Linotype" w:cs="Arial"/>
          <w:szCs w:val="22"/>
        </w:rPr>
      </w:pPr>
      <w:r>
        <w:rPr>
          <w:rFonts w:ascii="Palatino Linotype" w:hAnsi="Palatino Linotype" w:cs="Arial"/>
        </w:rPr>
        <w:t>Por su parte, el recurrente fue omiso</w:t>
      </w:r>
      <w:r w:rsidR="00087F53">
        <w:rPr>
          <w:rFonts w:ascii="Palatino Linotype" w:hAnsi="Palatino Linotype" w:cs="Arial"/>
        </w:rPr>
        <w:t xml:space="preserve"> en expresar alegato alguno u ofrecer pruebas en el plazo establecido para tal efecto.</w:t>
      </w:r>
    </w:p>
    <w:p w14:paraId="3038316A" w14:textId="631737D3" w:rsidR="006429C9" w:rsidRDefault="00FA4741" w:rsidP="006429C9">
      <w:pPr>
        <w:spacing w:before="240" w:after="240" w:line="360" w:lineRule="auto"/>
        <w:jc w:val="both"/>
        <w:rPr>
          <w:rFonts w:ascii="Palatino Linotype" w:hAnsi="Palatino Linotype" w:cs="Arial"/>
          <w:b/>
        </w:rPr>
      </w:pPr>
      <w:r>
        <w:rPr>
          <w:rFonts w:ascii="Palatino Linotype" w:hAnsi="Palatino Linotype"/>
          <w:b/>
        </w:rPr>
        <w:t>8</w:t>
      </w:r>
      <w:r w:rsidR="006429C9">
        <w:rPr>
          <w:rFonts w:ascii="Palatino Linotype" w:hAnsi="Palatino Linotype"/>
          <w:b/>
        </w:rPr>
        <w:t xml:space="preserve">. Cierre de instrucción. </w:t>
      </w:r>
      <w:r w:rsidR="006429C9">
        <w:rPr>
          <w:rFonts w:ascii="Palatino Linotype" w:hAnsi="Palatino Linotype"/>
        </w:rPr>
        <w:t>En fecha</w:t>
      </w:r>
      <w:r w:rsidR="00C45B85">
        <w:rPr>
          <w:rFonts w:ascii="Palatino Linotype" w:hAnsi="Palatino Linotype"/>
        </w:rPr>
        <w:t xml:space="preserve"> </w:t>
      </w:r>
      <w:r w:rsidR="0074697E">
        <w:rPr>
          <w:rFonts w:ascii="Palatino Linotype" w:hAnsi="Palatino Linotype"/>
        </w:rPr>
        <w:t>quince</w:t>
      </w:r>
      <w:r w:rsidR="006429C9" w:rsidRPr="00AF0503">
        <w:rPr>
          <w:rFonts w:ascii="Palatino Linotype" w:hAnsi="Palatino Linotype"/>
        </w:rPr>
        <w:t xml:space="preserve"> de </w:t>
      </w:r>
      <w:r w:rsidR="008A1F01">
        <w:rPr>
          <w:rFonts w:ascii="Palatino Linotype" w:hAnsi="Palatino Linotype"/>
        </w:rPr>
        <w:t>agosto</w:t>
      </w:r>
      <w:r>
        <w:rPr>
          <w:rFonts w:ascii="Palatino Linotype" w:hAnsi="Palatino Linotype"/>
        </w:rPr>
        <w:t xml:space="preserve"> </w:t>
      </w:r>
      <w:r w:rsidR="004A32A1">
        <w:rPr>
          <w:rFonts w:ascii="Palatino Linotype" w:hAnsi="Palatino Linotype"/>
        </w:rPr>
        <w:t>de</w:t>
      </w:r>
      <w:r w:rsidR="00231A75">
        <w:rPr>
          <w:rFonts w:ascii="Palatino Linotype" w:hAnsi="Palatino Linotype"/>
        </w:rPr>
        <w:t xml:space="preserve"> </w:t>
      </w:r>
      <w:r>
        <w:rPr>
          <w:rFonts w:ascii="Palatino Linotype" w:hAnsi="Palatino Linotype"/>
        </w:rPr>
        <w:t>dos mil dieciocho</w:t>
      </w:r>
      <w:r w:rsidR="00EB0549">
        <w:rPr>
          <w:rFonts w:ascii="Palatino Linotype" w:hAnsi="Palatino Linotype"/>
        </w:rPr>
        <w:t xml:space="preserve"> el Comisionado ponente </w:t>
      </w:r>
      <w:r w:rsidR="006429C9">
        <w:rPr>
          <w:rFonts w:ascii="Palatino Linotype" w:hAnsi="Palatino Linotype"/>
        </w:rPr>
        <w:t>determinó el cierre de instrucción</w:t>
      </w:r>
      <w:r w:rsidR="00B05B80">
        <w:rPr>
          <w:rFonts w:ascii="Palatino Linotype" w:hAnsi="Palatino Linotype"/>
        </w:rPr>
        <w:t xml:space="preserve"> en el</w:t>
      </w:r>
      <w:r w:rsidR="000A297C">
        <w:rPr>
          <w:rFonts w:ascii="Palatino Linotype" w:hAnsi="Palatino Linotype"/>
        </w:rPr>
        <w:t xml:space="preserve"> recurso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3E235E74" w14:textId="77777777" w:rsidR="00373004" w:rsidRPr="00623957" w:rsidRDefault="00373004" w:rsidP="00373004">
      <w:pPr>
        <w:pStyle w:val="Prrafodelista"/>
        <w:numPr>
          <w:ilvl w:val="0"/>
          <w:numId w:val="3"/>
        </w:numPr>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Primero. Competencia.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del Reglamento Interior del Instituto de Transparencia, Acceso a la Información Pública y Protección de Datos Personales del Estado de México y Municipios.</w:t>
      </w:r>
    </w:p>
    <w:p w14:paraId="45CC3412" w14:textId="07763B18"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AF0503">
        <w:rPr>
          <w:rFonts w:ascii="Palatino Linotype" w:hAnsi="Palatino Linotype" w:cs="Arial"/>
          <w:b/>
        </w:rPr>
        <w:lastRenderedPageBreak/>
        <w:t xml:space="preserve">Segundo. Oportunidad y Procedibilidad del Recurso de Revisión. </w:t>
      </w:r>
      <w:r w:rsidRPr="00AF0503">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e</w:t>
      </w:r>
      <w:r w:rsidR="00B54BFF">
        <w:rPr>
          <w:rFonts w:ascii="Palatino Linotype" w:hAnsi="Palatino Linotype" w:cs="Arial"/>
          <w:lang w:eastAsia="es-MX"/>
        </w:rPr>
        <w:t>n la especie se advierte que el</w:t>
      </w:r>
      <w:r w:rsidRPr="00AF0503">
        <w:rPr>
          <w:rFonts w:ascii="Palatino Linotype" w:hAnsi="Palatino Linotype" w:cs="Arial"/>
          <w:lang w:eastAsia="es-MX"/>
        </w:rPr>
        <w:t xml:space="preserve"> presente medio de 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 interpuesto dentro del plazo de quince días previsto en el primero de los dispositivos referidos, toda vez que el Sujeto Obligado emitió su respuesta a la solicitud plant</w:t>
      </w:r>
      <w:r w:rsidR="00A52459">
        <w:rPr>
          <w:rFonts w:ascii="Palatino Linotype" w:hAnsi="Palatino Linotype" w:cs="Arial"/>
          <w:lang w:eastAsia="es-MX"/>
        </w:rPr>
        <w:t>eada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 </w:t>
      </w:r>
      <w:r w:rsidR="0074697E">
        <w:rPr>
          <w:rFonts w:ascii="Palatino Linotype" w:hAnsi="Palatino Linotype" w:cs="Arial"/>
          <w:lang w:eastAsia="es-MX"/>
        </w:rPr>
        <w:t>veintinueve</w:t>
      </w:r>
      <w:r w:rsidR="00B54BFF">
        <w:rPr>
          <w:rFonts w:ascii="Palatino Linotype" w:hAnsi="Palatino Linotype" w:cs="Arial"/>
          <w:lang w:eastAsia="es-MX"/>
        </w:rPr>
        <w:t xml:space="preserve"> </w:t>
      </w:r>
      <w:r>
        <w:rPr>
          <w:rFonts w:ascii="Palatino Linotype" w:hAnsi="Palatino Linotype" w:cs="Arial"/>
          <w:lang w:eastAsia="es-MX"/>
        </w:rPr>
        <w:t xml:space="preserve">de </w:t>
      </w:r>
      <w:r w:rsidR="008A1F01">
        <w:rPr>
          <w:rFonts w:ascii="Palatino Linotype" w:hAnsi="Palatino Linotype" w:cs="Arial"/>
          <w:lang w:eastAsia="es-MX"/>
        </w:rPr>
        <w:t>junio</w:t>
      </w:r>
      <w:r w:rsidR="00C45B85">
        <w:rPr>
          <w:rFonts w:ascii="Palatino Linotype" w:hAnsi="Palatino Linotype" w:cs="Arial"/>
          <w:lang w:eastAsia="es-MX"/>
        </w:rPr>
        <w:t xml:space="preserve"> del </w:t>
      </w:r>
      <w:r w:rsidR="007360D1">
        <w:rPr>
          <w:rFonts w:ascii="Palatino Linotype" w:hAnsi="Palatino Linotype" w:cs="Arial"/>
          <w:lang w:eastAsia="es-MX"/>
        </w:rPr>
        <w:t>año dos mil dieciocho</w:t>
      </w:r>
      <w:r w:rsidR="00BC57BD">
        <w:rPr>
          <w:rFonts w:ascii="Palatino Linotype" w:hAnsi="Palatino Linotype" w:cs="Arial"/>
          <w:lang w:eastAsia="es-MX"/>
        </w:rPr>
        <w:t xml:space="preserve"> 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solicitante presentó</w:t>
      </w:r>
      <w:r w:rsidR="00C45B85">
        <w:rPr>
          <w:rFonts w:ascii="Palatino Linotype" w:hAnsi="Palatino Linotype" w:cs="Arial"/>
          <w:lang w:eastAsia="es-MX"/>
        </w:rPr>
        <w:t>,</w:t>
      </w:r>
      <w:r>
        <w:rPr>
          <w:rFonts w:ascii="Palatino Linotype" w:hAnsi="Palatino Linotype" w:cs="Arial"/>
          <w:lang w:eastAsia="es-MX"/>
        </w:rPr>
        <w:t xml:space="preserve"> </w:t>
      </w:r>
      <w:r w:rsidR="00B54BFF">
        <w:rPr>
          <w:rFonts w:ascii="Palatino Linotype" w:hAnsi="Palatino Linotype" w:cs="Arial"/>
          <w:lang w:eastAsia="es-MX"/>
        </w:rPr>
        <w:t>su</w:t>
      </w:r>
      <w:r w:rsidR="00C45B85">
        <w:rPr>
          <w:rFonts w:ascii="Palatino Linotype" w:hAnsi="Palatino Linotype" w:cs="Arial"/>
          <w:lang w:eastAsia="es-MX"/>
        </w:rPr>
        <w:t xml:space="preserve"> </w:t>
      </w:r>
      <w:r>
        <w:rPr>
          <w:rFonts w:ascii="Palatino Linotype" w:hAnsi="Palatino Linotype" w:cs="Arial"/>
          <w:lang w:eastAsia="es-MX"/>
        </w:rPr>
        <w:t>recurso 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74697E">
        <w:rPr>
          <w:rFonts w:ascii="Palatino Linotype" w:hAnsi="Palatino Linotype" w:cs="Arial"/>
          <w:lang w:eastAsia="es-MX"/>
        </w:rPr>
        <w:t xml:space="preserve">dos </w:t>
      </w:r>
      <w:r w:rsidR="00B54BFF">
        <w:rPr>
          <w:rFonts w:ascii="Palatino Linotype" w:hAnsi="Palatino Linotype" w:cs="Arial"/>
          <w:lang w:eastAsia="es-MX"/>
        </w:rPr>
        <w:t>de</w:t>
      </w:r>
      <w:r w:rsidR="0074697E">
        <w:rPr>
          <w:rFonts w:ascii="Palatino Linotype" w:hAnsi="Palatino Linotype" w:cs="Arial"/>
          <w:lang w:eastAsia="es-MX"/>
        </w:rPr>
        <w:t xml:space="preserve"> julio del mismo </w:t>
      </w:r>
      <w:r w:rsidR="00B54BFF">
        <w:rPr>
          <w:rFonts w:ascii="Palatino Linotype" w:hAnsi="Palatino Linotype" w:cs="Arial"/>
          <w:lang w:eastAsia="es-MX"/>
        </w:rPr>
        <w:t>año</w:t>
      </w:r>
      <w:r w:rsidR="00C45B85">
        <w:rPr>
          <w:rFonts w:ascii="Palatino Linotype" w:hAnsi="Palatino Linotype" w:cs="Arial"/>
          <w:lang w:eastAsia="es-MX"/>
        </w:rPr>
        <w:t>;</w:t>
      </w:r>
      <w:r w:rsidR="007360D1">
        <w:rPr>
          <w:rFonts w:ascii="Palatino Linotype" w:hAnsi="Palatino Linotype" w:cs="Arial"/>
          <w:lang w:eastAsia="es-MX"/>
        </w:rPr>
        <w:t xml:space="preserve"> 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74697E">
        <w:rPr>
          <w:rFonts w:ascii="Palatino Linotype" w:hAnsi="Palatino Linotype" w:cs="Arial"/>
          <w:lang w:eastAsia="es-MX"/>
        </w:rPr>
        <w:t>primer</w:t>
      </w:r>
      <w:r w:rsidR="002433D3">
        <w:rPr>
          <w:rFonts w:ascii="Palatino Linotype" w:hAnsi="Palatino Linotype" w:cs="Arial"/>
          <w:lang w:eastAsia="es-MX"/>
        </w:rPr>
        <w:t xml:space="preserve"> </w:t>
      </w:r>
      <w:r w:rsidR="007360D1">
        <w:rPr>
          <w:rFonts w:ascii="Palatino Linotype" w:hAnsi="Palatino Linotype" w:cs="Arial"/>
          <w:lang w:eastAsia="es-MX"/>
        </w:rPr>
        <w:t>día hábil siguiente de aquel</w:t>
      </w:r>
      <w:r w:rsidR="00B54BFF">
        <w:rPr>
          <w:rFonts w:ascii="Palatino Linotype" w:hAnsi="Palatino Linotype" w:cs="Arial"/>
          <w:lang w:eastAsia="es-MX"/>
        </w:rPr>
        <w:t xml:space="preserve"> en que tuvo conocimiento de la respuesta impugnada</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w:t>
      </w:r>
      <w:r w:rsidR="00B54BFF">
        <w:rPr>
          <w:rFonts w:ascii="Palatino Linotype" w:hAnsi="Palatino Linotype" w:cs="Arial"/>
          <w:lang w:eastAsia="es-MX"/>
        </w:rPr>
        <w:t>dose que la interposición del</w:t>
      </w:r>
      <w:r>
        <w:rPr>
          <w:rFonts w:ascii="Palatino Linotype" w:hAnsi="Palatino Linotype" w:cs="Arial"/>
          <w:lang w:eastAsia="es-MX"/>
        </w:rPr>
        <w:t xml:space="preserve"> recurso se</w:t>
      </w:r>
      <w:r>
        <w:rPr>
          <w:rFonts w:ascii="Palatino Linotype" w:hAnsi="Palatino Linotype" w:cs="Arial"/>
        </w:rPr>
        <w:t xml:space="preserve"> encuentra dentro de los márgenes temporales previstos en el citado precepto legal.</w:t>
      </w:r>
    </w:p>
    <w:p w14:paraId="4E6AC2D2" w14:textId="4DEF9850" w:rsidR="004A32A1" w:rsidRDefault="00561DB1" w:rsidP="004A32A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sidR="007360D1">
        <w:rPr>
          <w:rFonts w:ascii="Palatino Linotype" w:hAnsi="Palatino Linotype" w:cs="Arial"/>
        </w:rPr>
        <w:t xml:space="preserve"> </w:t>
      </w:r>
      <w:r w:rsidRPr="00CE38B5">
        <w:rPr>
          <w:rFonts w:ascii="Palatino Linotype" w:hAnsi="Palatino Linotype" w:cs="Arial"/>
        </w:rPr>
        <w:t>l</w:t>
      </w:r>
      <w:r w:rsidR="007360D1">
        <w:rPr>
          <w:rFonts w:ascii="Palatino Linotype" w:hAnsi="Palatino Linotype" w:cs="Arial"/>
        </w:rPr>
        <w:t>os</w:t>
      </w:r>
      <w:r w:rsidRPr="00CE38B5">
        <w:rPr>
          <w:rFonts w:ascii="Palatino Linotype" w:hAnsi="Palatino Linotype" w:cs="Arial"/>
        </w:rPr>
        <w:t xml:space="preserve"> recurso</w:t>
      </w:r>
      <w:r w:rsidR="007360D1">
        <w:rPr>
          <w:rFonts w:ascii="Palatino Linotype" w:hAnsi="Palatino Linotype" w:cs="Arial"/>
        </w:rPr>
        <w:t>s</w:t>
      </w:r>
      <w:r w:rsidRPr="00CE38B5">
        <w:rPr>
          <w:rFonts w:ascii="Palatino Linotype" w:hAnsi="Palatino Linotype" w:cs="Arial"/>
        </w:rPr>
        <w:t xml:space="preserve"> de revisión </w:t>
      </w:r>
      <w:r w:rsidR="001B2B30">
        <w:rPr>
          <w:rFonts w:ascii="Palatino Linotype" w:hAnsi="Palatino Linotype" w:cs="Arial"/>
        </w:rPr>
        <w:t>una vez realizado el análisis</w:t>
      </w:r>
      <w:r>
        <w:rPr>
          <w:rFonts w:ascii="Palatino Linotype" w:hAnsi="Palatino Linotype" w:cs="Arial"/>
        </w:rPr>
        <w:t xml:space="preserve"> de</w:t>
      </w:r>
      <w:r w:rsidR="00B05B80">
        <w:rPr>
          <w:rFonts w:ascii="Palatino Linotype" w:hAnsi="Palatino Linotype" w:cs="Arial"/>
        </w:rPr>
        <w:t>l</w:t>
      </w:r>
      <w:r>
        <w:rPr>
          <w:rFonts w:ascii="Palatino Linotype" w:hAnsi="Palatino Linotype" w:cs="Arial"/>
        </w:rPr>
        <w:t xml:space="preserve"> formato de interposición</w:t>
      </w:r>
      <w:r w:rsidR="00B05B80">
        <w:rPr>
          <w:rStyle w:val="normaltextrun"/>
          <w:rFonts w:ascii="Palatino Linotype" w:hAnsi="Palatino Linotype" w:cs="Segoe UI"/>
        </w:rPr>
        <w:t xml:space="preserve"> del</w:t>
      </w:r>
      <w:r w:rsidRPr="00CE38B5">
        <w:rPr>
          <w:rStyle w:val="normaltextrun"/>
          <w:rFonts w:ascii="Palatino Linotype" w:hAnsi="Palatino Linotype" w:cs="Segoe UI"/>
        </w:rPr>
        <w:t xml:space="preserve"> 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00C45B85">
        <w:rPr>
          <w:rStyle w:val="apple-converted-space"/>
          <w:rFonts w:ascii="Palatino Linotype" w:hAnsi="Palatino Linotype" w:cs="Segoe UI"/>
        </w:rPr>
        <w:t xml:space="preserve">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w:t>
      </w:r>
      <w:r w:rsidR="008C4988">
        <w:rPr>
          <w:rStyle w:val="normaltextrun"/>
          <w:rFonts w:ascii="Palatino Linotype" w:hAnsi="Palatino Linotype" w:cs="Segoe UI"/>
        </w:rPr>
        <w:t>ron</w:t>
      </w:r>
      <w:r w:rsidRPr="00CE38B5">
        <w:rPr>
          <w:rStyle w:val="normaltextrun"/>
          <w:rFonts w:ascii="Palatino Linotype" w:hAnsi="Palatino Linotype" w:cs="Segoe UI"/>
        </w:rPr>
        <w:t xml:space="preserve"> presentado</w:t>
      </w:r>
      <w:r w:rsidR="008C4988">
        <w:rPr>
          <w:rStyle w:val="normaltextrun"/>
          <w:rFonts w:ascii="Palatino Linotype" w:hAnsi="Palatino Linotype" w:cs="Segoe UI"/>
        </w:rPr>
        <w:t>s</w:t>
      </w:r>
      <w:r w:rsidRPr="00CE38B5">
        <w:rPr>
          <w:rStyle w:val="normaltextrun"/>
          <w:rFonts w:ascii="Palatino Linotype" w:hAnsi="Palatino Linotype" w:cs="Segoe UI"/>
        </w:rPr>
        <w:t xml:space="preserve"> mediante el formato visible en</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EL</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SAIMEX</w:t>
      </w:r>
      <w:r w:rsidR="004A32A1">
        <w:rPr>
          <w:rStyle w:val="normaltextrun"/>
          <w:rFonts w:ascii="Palatino Linotype" w:hAnsi="Palatino Linotype" w:cs="Segoe UI"/>
        </w:rPr>
        <w:t>.</w:t>
      </w:r>
    </w:p>
    <w:p w14:paraId="45F66AFC" w14:textId="77CD62EC" w:rsidR="00561DB1" w:rsidRPr="00CE38B5" w:rsidRDefault="004A32A1" w:rsidP="00561DB1">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A</w:t>
      </w:r>
      <w:r w:rsidR="00561DB1" w:rsidRPr="00CE38B5">
        <w:rPr>
          <w:rStyle w:val="normaltextrun"/>
          <w:rFonts w:ascii="Palatino Linotype" w:hAnsi="Palatino Linotype" w:cs="Segoe UI"/>
        </w:rPr>
        <w:t>simismo, se advierte que resulta procedente</w:t>
      </w:r>
      <w:r w:rsidR="00B54BFF">
        <w:rPr>
          <w:rStyle w:val="normaltextrun"/>
          <w:rFonts w:ascii="Palatino Linotype" w:hAnsi="Palatino Linotype" w:cs="Segoe UI"/>
        </w:rPr>
        <w:t xml:space="preserve"> la interposición del</w:t>
      </w:r>
      <w:r w:rsidR="007360D1">
        <w:rPr>
          <w:rStyle w:val="normaltextrun"/>
          <w:rFonts w:ascii="Palatino Linotype" w:hAnsi="Palatino Linotype" w:cs="Segoe UI"/>
        </w:rPr>
        <w:t xml:space="preserve"> </w:t>
      </w:r>
      <w:r w:rsidR="00561DB1" w:rsidRPr="00CE38B5">
        <w:rPr>
          <w:rStyle w:val="normaltextrun"/>
          <w:rFonts w:ascii="Palatino Linotype" w:hAnsi="Palatino Linotype" w:cs="Segoe UI"/>
        </w:rPr>
        <w:t>recurso</w:t>
      </w:r>
      <w:r w:rsidR="00B54BFF">
        <w:rPr>
          <w:rStyle w:val="normaltextrun"/>
          <w:rFonts w:ascii="Palatino Linotype" w:hAnsi="Palatino Linotype" w:cs="Segoe UI"/>
        </w:rPr>
        <w:t>, según lo aducido por la</w:t>
      </w:r>
      <w:r w:rsidR="00561DB1">
        <w:rPr>
          <w:rStyle w:val="normaltextrun"/>
          <w:rFonts w:ascii="Palatino Linotype" w:hAnsi="Palatino Linotype" w:cs="Segoe UI"/>
        </w:rPr>
        <w:t xml:space="preserve"> recurrente, </w:t>
      </w:r>
      <w:r w:rsidR="00561DB1" w:rsidRPr="00CE38B5">
        <w:rPr>
          <w:rStyle w:val="normaltextrun"/>
          <w:rFonts w:ascii="Palatino Linotype" w:hAnsi="Palatino Linotype" w:cs="Segoe UI"/>
        </w:rPr>
        <w:t>en términos del artículo</w:t>
      </w:r>
      <w:r w:rsidR="008C4988">
        <w:rPr>
          <w:rStyle w:val="apple-converted-space"/>
          <w:rFonts w:ascii="Palatino Linotype" w:hAnsi="Palatino Linotype" w:cs="Segoe UI"/>
        </w:rPr>
        <w:t xml:space="preserve"> </w:t>
      </w:r>
      <w:r w:rsidR="00561DB1">
        <w:rPr>
          <w:rStyle w:val="normaltextrun"/>
          <w:rFonts w:ascii="Palatino Linotype" w:hAnsi="Palatino Linotype" w:cs="Segoe UI"/>
        </w:rPr>
        <w:t>179</w:t>
      </w:r>
      <w:r w:rsidR="00FE754C">
        <w:rPr>
          <w:rStyle w:val="normaltextrun"/>
          <w:rFonts w:ascii="Palatino Linotype" w:hAnsi="Palatino Linotype" w:cs="Segoe UI"/>
        </w:rPr>
        <w:t>,</w:t>
      </w:r>
      <w:r w:rsidR="009C7BB8">
        <w:rPr>
          <w:rStyle w:val="normaltextrun"/>
          <w:rFonts w:ascii="Palatino Linotype" w:hAnsi="Palatino Linotype" w:cs="Segoe UI"/>
        </w:rPr>
        <w:t xml:space="preserve"> fr</w:t>
      </w:r>
      <w:r w:rsidR="00FE754C">
        <w:rPr>
          <w:rStyle w:val="normaltextrun"/>
          <w:rFonts w:ascii="Palatino Linotype" w:hAnsi="Palatino Linotype" w:cs="Segoe UI"/>
        </w:rPr>
        <w:t>acción</w:t>
      </w:r>
      <w:r w:rsidR="00890647">
        <w:rPr>
          <w:rStyle w:val="normaltextrun"/>
          <w:rFonts w:ascii="Palatino Linotype" w:hAnsi="Palatino Linotype" w:cs="Segoe UI"/>
        </w:rPr>
        <w:t xml:space="preserve"> V</w:t>
      </w:r>
      <w:r w:rsidR="009C7BB8">
        <w:rPr>
          <w:rStyle w:val="normaltextrun"/>
          <w:rFonts w:ascii="Palatino Linotype" w:hAnsi="Palatino Linotype" w:cs="Segoe UI"/>
        </w:rPr>
        <w:t xml:space="preserve"> </w:t>
      </w:r>
      <w:r w:rsidR="00561DB1" w:rsidRPr="00CE38B5">
        <w:rPr>
          <w:rStyle w:val="normaltextrun"/>
          <w:rFonts w:ascii="Palatino Linotype" w:hAnsi="Palatino Linotype" w:cs="Segoe UI"/>
        </w:rPr>
        <w:t>del ordenamiento legal citado, que a la letra dice:</w:t>
      </w:r>
      <w:r w:rsidR="00561DB1" w:rsidRPr="00CE38B5">
        <w:rPr>
          <w:rStyle w:val="eop"/>
          <w:rFonts w:ascii="Palatino Linotype" w:hAnsi="Palatino Linotype" w:cs="Segoe UI"/>
        </w:rPr>
        <w:t> </w:t>
      </w:r>
    </w:p>
    <w:p w14:paraId="6EDB9DE7" w14:textId="4352041C" w:rsidR="00561DB1"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lastRenderedPageBreak/>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1EF73D02" w14:textId="63FC830D" w:rsidR="001E1037" w:rsidRDefault="001E1037" w:rsidP="00561DB1">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604C81">
        <w:rPr>
          <w:rStyle w:val="eop"/>
          <w:rFonts w:ascii="Palatino Linotype" w:hAnsi="Palatino Linotype" w:cs="Segoe UI"/>
          <w:i/>
          <w:sz w:val="22"/>
          <w:szCs w:val="22"/>
        </w:rPr>
        <w:t>(…)</w:t>
      </w:r>
    </w:p>
    <w:p w14:paraId="4334699E" w14:textId="4F987D0F" w:rsidR="00561DB1" w:rsidRPr="008C26B9" w:rsidRDefault="00890647"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eop"/>
          <w:rFonts w:ascii="Palatino Linotype" w:hAnsi="Palatino Linotype" w:cs="Segoe UI"/>
          <w:b/>
          <w:i/>
          <w:sz w:val="22"/>
          <w:szCs w:val="22"/>
        </w:rPr>
        <w:t>V</w:t>
      </w:r>
      <w:r w:rsidR="001E1037">
        <w:rPr>
          <w:rStyle w:val="eop"/>
          <w:rFonts w:ascii="Palatino Linotype" w:hAnsi="Palatino Linotype" w:cs="Segoe UI"/>
          <w:b/>
          <w:i/>
          <w:sz w:val="22"/>
          <w:szCs w:val="22"/>
        </w:rPr>
        <w:t xml:space="preserve">. </w:t>
      </w:r>
      <w:r w:rsidR="001E1037">
        <w:rPr>
          <w:rStyle w:val="eop"/>
          <w:rFonts w:ascii="Palatino Linotype" w:hAnsi="Palatino Linotype" w:cs="Segoe UI"/>
          <w:i/>
          <w:sz w:val="22"/>
          <w:szCs w:val="22"/>
        </w:rPr>
        <w:t xml:space="preserve">La </w:t>
      </w:r>
      <w:r>
        <w:rPr>
          <w:rStyle w:val="eop"/>
          <w:rFonts w:ascii="Palatino Linotype" w:hAnsi="Palatino Linotype" w:cs="Segoe UI"/>
          <w:i/>
          <w:sz w:val="22"/>
          <w:szCs w:val="22"/>
        </w:rPr>
        <w:t>entrega de información incompleta</w:t>
      </w:r>
      <w:r w:rsidR="009455DD">
        <w:rPr>
          <w:rStyle w:val="eop"/>
          <w:rFonts w:ascii="Palatino Linotype" w:hAnsi="Palatino Linotype" w:cs="Segoe UI"/>
          <w:i/>
          <w:sz w:val="22"/>
          <w:szCs w:val="22"/>
        </w:rPr>
        <w:t>;</w:t>
      </w:r>
      <w:r w:rsidR="000A297C">
        <w:rPr>
          <w:rStyle w:val="eop"/>
          <w:rFonts w:ascii="Palatino Linotype" w:hAnsi="Palatino Linotype" w:cs="Segoe UI"/>
          <w:i/>
          <w:sz w:val="22"/>
          <w:szCs w:val="22"/>
        </w:rPr>
        <w:t>…</w:t>
      </w:r>
      <w:r w:rsidR="00561DB1" w:rsidRPr="00604C81">
        <w:rPr>
          <w:rStyle w:val="normaltextrun"/>
          <w:rFonts w:ascii="Palatino Linotype" w:hAnsi="Palatino Linotype" w:cs="Segoe UI"/>
          <w:b/>
          <w:bCs/>
          <w:i/>
          <w:iCs/>
          <w:sz w:val="22"/>
          <w:szCs w:val="22"/>
        </w:rPr>
        <w:t>”</w:t>
      </w:r>
      <w:r w:rsidR="00561DB1" w:rsidRPr="00604C81">
        <w:rPr>
          <w:rStyle w:val="eop"/>
          <w:rFonts w:ascii="Palatino Linotype" w:hAnsi="Palatino Linotype" w:cs="Segoe UI"/>
          <w:i/>
          <w:sz w:val="22"/>
          <w:szCs w:val="22"/>
        </w:rPr>
        <w:t> </w:t>
      </w:r>
    </w:p>
    <w:p w14:paraId="2410067E" w14:textId="48FB6C81" w:rsidR="000E0A35" w:rsidRPr="002433D3" w:rsidRDefault="00561DB1" w:rsidP="00BC3FF4">
      <w:pPr>
        <w:pStyle w:val="paragraph"/>
        <w:spacing w:before="0" w:beforeAutospacing="0" w:after="240" w:afterAutospacing="0" w:line="360" w:lineRule="auto"/>
        <w:jc w:val="both"/>
        <w:textAlignment w:val="baseline"/>
        <w:rPr>
          <w:rFonts w:ascii="Palatino Linotype" w:hAnsi="Palatino Linotype" w:cs="Segoe UI"/>
        </w:rPr>
      </w:pPr>
      <w:r w:rsidRPr="007C3859">
        <w:rPr>
          <w:rStyle w:val="normaltextrun"/>
          <w:rFonts w:ascii="Palatino Linotype" w:hAnsi="Palatino Linotype" w:cs="Segoe UI"/>
          <w:color w:val="000000" w:themeColor="text1"/>
        </w:rPr>
        <w:t>Lo anterior se afirma así ya que</w:t>
      </w:r>
      <w:r w:rsidR="002433D3">
        <w:rPr>
          <w:rStyle w:val="normaltextrun"/>
          <w:rFonts w:ascii="Palatino Linotype" w:hAnsi="Palatino Linotype" w:cs="Segoe UI"/>
          <w:color w:val="000000" w:themeColor="text1"/>
        </w:rPr>
        <w:t xml:space="preserve"> la</w:t>
      </w:r>
      <w:r w:rsidR="00EE727F">
        <w:rPr>
          <w:rStyle w:val="normaltextrun"/>
          <w:rFonts w:ascii="Palatino Linotype" w:hAnsi="Palatino Linotype" w:cs="Segoe UI"/>
          <w:color w:val="000000" w:themeColor="text1"/>
        </w:rPr>
        <w:t xml:space="preserve"> recurrente se duele </w:t>
      </w:r>
      <w:r w:rsidR="009455DD">
        <w:rPr>
          <w:rStyle w:val="normaltextrun"/>
          <w:rFonts w:ascii="Palatino Linotype" w:hAnsi="Palatino Linotype" w:cs="Segoe UI"/>
          <w:color w:val="000000" w:themeColor="text1"/>
        </w:rPr>
        <w:t xml:space="preserve">debido a que el Sujeto Obligado </w:t>
      </w:r>
      <w:r w:rsidR="00890647">
        <w:rPr>
          <w:rStyle w:val="normaltextrun"/>
          <w:rFonts w:ascii="Palatino Linotype" w:hAnsi="Palatino Linotype" w:cs="Segoe UI"/>
          <w:color w:val="000000" w:themeColor="text1"/>
        </w:rPr>
        <w:t xml:space="preserve">le entregó información </w:t>
      </w:r>
      <w:r w:rsidR="0074697E">
        <w:rPr>
          <w:rStyle w:val="normaltextrun"/>
          <w:rFonts w:ascii="Palatino Linotype" w:hAnsi="Palatino Linotype" w:cs="Segoe UI"/>
          <w:color w:val="000000" w:themeColor="text1"/>
        </w:rPr>
        <w:t>únicamente respecto de los finiquitos, haciendo falta lo relativo a las liquidaciones</w:t>
      </w:r>
      <w:r w:rsidR="002433D3">
        <w:rPr>
          <w:rStyle w:val="normaltextrun"/>
          <w:rFonts w:ascii="Palatino Linotype" w:hAnsi="Palatino Linotype" w:cs="Segoe UI"/>
          <w:color w:val="000000" w:themeColor="text1"/>
        </w:rPr>
        <w:t>.</w:t>
      </w:r>
    </w:p>
    <w:p w14:paraId="0774031E" w14:textId="11BFD749" w:rsidR="00373004" w:rsidRPr="00623957" w:rsidRDefault="00980B9F" w:rsidP="00373004">
      <w:pPr>
        <w:pStyle w:val="paragraph"/>
        <w:spacing w:before="0" w:beforeAutospacing="0" w:after="240" w:afterAutospacing="0" w:line="360" w:lineRule="auto"/>
        <w:jc w:val="both"/>
        <w:textAlignment w:val="baseline"/>
        <w:rPr>
          <w:rFonts w:ascii="Segoe UI" w:hAnsi="Segoe UI" w:cs="Segoe UI"/>
          <w:sz w:val="12"/>
          <w:szCs w:val="12"/>
        </w:rPr>
      </w:pPr>
      <w:r w:rsidRPr="00980B9F">
        <w:rPr>
          <w:rFonts w:ascii="Palatino Linotype" w:hAnsi="Palatino Linotype" w:cs="Arial"/>
          <w:b/>
          <w:color w:val="000000" w:themeColor="text1"/>
        </w:rPr>
        <w:t>Tercero.</w:t>
      </w:r>
      <w:r w:rsidR="00373004" w:rsidRPr="00623957">
        <w:rPr>
          <w:rFonts w:ascii="Palatino Linotype" w:hAnsi="Palatino Linotype" w:cs="Arial"/>
          <w:b/>
        </w:rPr>
        <w:t xml:space="preserve"> Materia de la revisión. </w:t>
      </w:r>
      <w:r w:rsidR="00373004" w:rsidRPr="00623957">
        <w:rPr>
          <w:rFonts w:ascii="Palatino Linotype" w:hAnsi="Palatino Linotype" w:cs="Arial"/>
        </w:rPr>
        <w:t xml:space="preserve">De la revisión a las constancias que obran en el expediente electrónico se advierte que el tema sobre el que este Instituto se pronunciará será: </w:t>
      </w:r>
      <w:r w:rsidR="007C3859">
        <w:rPr>
          <w:rFonts w:ascii="Palatino Linotype" w:hAnsi="Palatino Linotype" w:cs="Arial"/>
          <w:b/>
        </w:rPr>
        <w:t xml:space="preserve">verificar si </w:t>
      </w:r>
      <w:r w:rsidR="00E40E2E">
        <w:rPr>
          <w:rFonts w:ascii="Palatino Linotype" w:hAnsi="Palatino Linotype" w:cs="Arial"/>
          <w:b/>
        </w:rPr>
        <w:t>la respuesta</w:t>
      </w:r>
      <w:r w:rsidR="007C3859">
        <w:rPr>
          <w:rFonts w:ascii="Palatino Linotype" w:hAnsi="Palatino Linotype" w:cs="Arial"/>
          <w:b/>
        </w:rPr>
        <w:t xml:space="preserve"> del Sujeto Obligado</w:t>
      </w:r>
      <w:r w:rsidR="00B54BFF">
        <w:rPr>
          <w:rFonts w:ascii="Palatino Linotype" w:hAnsi="Palatino Linotype" w:cs="Arial"/>
          <w:b/>
        </w:rPr>
        <w:t xml:space="preserve"> es</w:t>
      </w:r>
      <w:r w:rsidR="00E40E2E">
        <w:rPr>
          <w:rFonts w:ascii="Palatino Linotype" w:hAnsi="Palatino Linotype" w:cs="Arial"/>
          <w:b/>
        </w:rPr>
        <w:t xml:space="preserve"> correcta</w:t>
      </w:r>
      <w:r w:rsidR="00EE727F">
        <w:rPr>
          <w:rFonts w:ascii="Palatino Linotype" w:hAnsi="Palatino Linotype" w:cs="Arial"/>
          <w:b/>
        </w:rPr>
        <w:t xml:space="preserve"> y suficiente</w:t>
      </w:r>
      <w:r w:rsidR="00E40E2E">
        <w:rPr>
          <w:rFonts w:ascii="Palatino Linotype" w:hAnsi="Palatino Linotype" w:cs="Arial"/>
          <w:b/>
        </w:rPr>
        <w:t xml:space="preserve"> para</w:t>
      </w:r>
      <w:r w:rsidR="007C3859">
        <w:rPr>
          <w:rFonts w:ascii="Palatino Linotype" w:hAnsi="Palatino Linotype" w:cs="Arial"/>
          <w:b/>
        </w:rPr>
        <w:t xml:space="preserve"> satisface</w:t>
      </w:r>
      <w:r w:rsidR="00E40E2E">
        <w:rPr>
          <w:rFonts w:ascii="Palatino Linotype" w:hAnsi="Palatino Linotype" w:cs="Arial"/>
          <w:b/>
        </w:rPr>
        <w:t>r</w:t>
      </w:r>
      <w:r w:rsidR="007C3859">
        <w:rPr>
          <w:rFonts w:ascii="Palatino Linotype" w:hAnsi="Palatino Linotype" w:cs="Arial"/>
          <w:b/>
        </w:rPr>
        <w:t xml:space="preserve"> </w:t>
      </w:r>
      <w:r w:rsidR="008C4988">
        <w:rPr>
          <w:rFonts w:ascii="Palatino Linotype" w:hAnsi="Palatino Linotype" w:cs="Arial"/>
          <w:b/>
        </w:rPr>
        <w:t>la</w:t>
      </w:r>
      <w:r w:rsidR="00B54BFF">
        <w:rPr>
          <w:rFonts w:ascii="Palatino Linotype" w:hAnsi="Palatino Linotype" w:cs="Arial"/>
          <w:b/>
        </w:rPr>
        <w:t xml:space="preserve"> solicitud de acceso formulada</w:t>
      </w:r>
      <w:r w:rsidR="00890647">
        <w:rPr>
          <w:rFonts w:ascii="Palatino Linotype" w:hAnsi="Palatino Linotype" w:cs="Arial"/>
          <w:b/>
        </w:rPr>
        <w:t xml:space="preserve"> por el</w:t>
      </w:r>
      <w:r w:rsidR="007C3859">
        <w:rPr>
          <w:rFonts w:ascii="Palatino Linotype" w:hAnsi="Palatino Linotype" w:cs="Arial"/>
          <w:b/>
        </w:rPr>
        <w:t xml:space="preserve"> recurrente</w:t>
      </w:r>
      <w:r w:rsidR="00373004" w:rsidRPr="00623957">
        <w:rPr>
          <w:rFonts w:ascii="Palatino Linotype" w:hAnsi="Palatino Linotype" w:cs="Arial"/>
          <w:b/>
        </w:rPr>
        <w:t>.</w:t>
      </w:r>
    </w:p>
    <w:p w14:paraId="38C8CD95" w14:textId="7C32D172" w:rsidR="009455DD" w:rsidRDefault="00980B9F" w:rsidP="001775A1">
      <w:pPr>
        <w:spacing w:before="240" w:after="240" w:line="360" w:lineRule="auto"/>
        <w:jc w:val="both"/>
        <w:rPr>
          <w:rFonts w:ascii="Palatino Linotype" w:hAnsi="Palatino Linotype" w:cs="Arial"/>
          <w:color w:val="000000" w:themeColor="text1"/>
        </w:rPr>
      </w:pPr>
      <w:r w:rsidRPr="00B81188">
        <w:rPr>
          <w:rFonts w:ascii="Palatino Linotype" w:hAnsi="Palatino Linotype" w:cs="Arial"/>
          <w:b/>
        </w:rPr>
        <w:t>Cuarto</w:t>
      </w:r>
      <w:r w:rsidR="00373004" w:rsidRPr="00B81188">
        <w:rPr>
          <w:rFonts w:ascii="Palatino Linotype" w:hAnsi="Palatino Linotype" w:cs="Arial"/>
          <w:b/>
        </w:rPr>
        <w:t xml:space="preserve">. Estudio del asunto.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1775A1">
        <w:rPr>
          <w:rFonts w:ascii="Palatino Linotype" w:hAnsi="Palatino Linotype" w:cs="Arial"/>
          <w:color w:val="000000" w:themeColor="text1"/>
        </w:rPr>
        <w:t xml:space="preserve">resolución, </w:t>
      </w:r>
      <w:r w:rsidR="009455DD">
        <w:rPr>
          <w:rFonts w:ascii="Palatino Linotype" w:hAnsi="Palatino Linotype" w:cs="Arial"/>
          <w:color w:val="000000" w:themeColor="text1"/>
        </w:rPr>
        <w:t xml:space="preserve">se advierte que </w:t>
      </w:r>
      <w:r w:rsidR="00226461">
        <w:rPr>
          <w:rFonts w:ascii="Palatino Linotype" w:hAnsi="Palatino Linotype" w:cs="Arial"/>
          <w:color w:val="000000" w:themeColor="text1"/>
        </w:rPr>
        <w:t>el</w:t>
      </w:r>
      <w:r w:rsidR="00373004" w:rsidRPr="00E40E2E">
        <w:rPr>
          <w:rFonts w:ascii="Palatino Linotype" w:hAnsi="Palatino Linotype" w:cs="Arial"/>
          <w:color w:val="000000" w:themeColor="text1"/>
        </w:rPr>
        <w:t xml:space="preserve"> recurrente</w:t>
      </w:r>
      <w:r w:rsidR="003034D0">
        <w:rPr>
          <w:rFonts w:ascii="Palatino Linotype" w:hAnsi="Palatino Linotype" w:cs="Arial"/>
          <w:color w:val="000000" w:themeColor="text1"/>
        </w:rPr>
        <w:t>,</w:t>
      </w:r>
      <w:r w:rsidR="009455DD">
        <w:rPr>
          <w:rFonts w:ascii="Palatino Linotype" w:hAnsi="Palatino Linotype" w:cs="Arial"/>
          <w:color w:val="000000" w:themeColor="text1"/>
        </w:rPr>
        <w:t xml:space="preserve"> </w:t>
      </w:r>
      <w:r w:rsidR="001775A1">
        <w:rPr>
          <w:rFonts w:ascii="Palatino Linotype" w:hAnsi="Palatino Linotype" w:cs="Arial"/>
          <w:color w:val="000000" w:themeColor="text1"/>
        </w:rPr>
        <w:t>solicitó</w:t>
      </w:r>
      <w:r w:rsidR="00373004" w:rsidRPr="00E40E2E">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a</w:t>
      </w:r>
      <w:r w:rsidR="009455DD">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l</w:t>
      </w:r>
      <w:r w:rsidR="009455DD">
        <w:rPr>
          <w:rFonts w:ascii="Palatino Linotype" w:hAnsi="Palatino Linotype" w:cs="Arial"/>
          <w:color w:val="000000" w:themeColor="text1"/>
        </w:rPr>
        <w:t>a Universidad Politécnica del Valle de Toluca</w:t>
      </w:r>
      <w:r w:rsidR="00226461">
        <w:rPr>
          <w:rFonts w:ascii="Palatino Linotype" w:hAnsi="Palatino Linotype" w:cs="Arial"/>
          <w:color w:val="000000" w:themeColor="text1"/>
        </w:rPr>
        <w:t xml:space="preserve"> y en concreto a su Departamento de Recurso</w:t>
      </w:r>
      <w:r w:rsidR="00304D7E">
        <w:rPr>
          <w:rFonts w:ascii="Palatino Linotype" w:hAnsi="Palatino Linotype" w:cs="Arial"/>
          <w:color w:val="000000" w:themeColor="text1"/>
        </w:rPr>
        <w:t>s</w:t>
      </w:r>
      <w:r w:rsidR="00226461">
        <w:rPr>
          <w:rFonts w:ascii="Palatino Linotype" w:hAnsi="Palatino Linotype" w:cs="Arial"/>
          <w:color w:val="000000" w:themeColor="text1"/>
        </w:rPr>
        <w:t xml:space="preserve"> Humanos, le informara las personas que han renunciado y que han sido despedidas en lo que va de la administración de la Dra. Silvia Cristina Manzur Quiroga, así como el monto de cada finiquito o liquidación</w:t>
      </w:r>
      <w:r w:rsidR="001775A1">
        <w:rPr>
          <w:rFonts w:ascii="Palatino Linotype" w:hAnsi="Palatino Linotype" w:cs="Arial"/>
          <w:color w:val="000000" w:themeColor="text1"/>
        </w:rPr>
        <w:t>.</w:t>
      </w:r>
    </w:p>
    <w:p w14:paraId="56FD090E" w14:textId="4499FF8B" w:rsidR="00226461" w:rsidRPr="00226461" w:rsidRDefault="009455DD" w:rsidP="002969D8">
      <w:p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E67D31">
        <w:rPr>
          <w:rFonts w:ascii="Palatino Linotype" w:hAnsi="Palatino Linotype" w:cs="Arial"/>
          <w:color w:val="000000" w:themeColor="text1"/>
        </w:rPr>
        <w:t xml:space="preserve">nte lo cual el Sujeto Obligado </w:t>
      </w:r>
      <w:r w:rsidR="00226461">
        <w:rPr>
          <w:rFonts w:ascii="Palatino Linotype" w:hAnsi="Palatino Linotype" w:cs="Arial"/>
          <w:color w:val="000000" w:themeColor="text1"/>
        </w:rPr>
        <w:t>a través de la</w:t>
      </w:r>
      <w:r w:rsidR="001775A1">
        <w:rPr>
          <w:rFonts w:ascii="Palatino Linotype" w:hAnsi="Palatino Linotype" w:cs="Arial"/>
          <w:color w:val="000000" w:themeColor="text1"/>
        </w:rPr>
        <w:t xml:space="preserve"> </w:t>
      </w:r>
      <w:r w:rsidR="00226461">
        <w:rPr>
          <w:rFonts w:ascii="Palatino Linotype" w:hAnsi="Palatino Linotype" w:cs="Arial"/>
          <w:color w:val="000000" w:themeColor="text1"/>
        </w:rPr>
        <w:t>Jefa</w:t>
      </w:r>
      <w:r w:rsidR="00890647">
        <w:rPr>
          <w:rFonts w:ascii="Palatino Linotype" w:hAnsi="Palatino Linotype" w:cs="Arial"/>
          <w:color w:val="000000" w:themeColor="text1"/>
        </w:rPr>
        <w:t xml:space="preserve"> del Departamento de </w:t>
      </w:r>
      <w:r w:rsidR="00226461">
        <w:rPr>
          <w:rFonts w:ascii="Palatino Linotype" w:hAnsi="Palatino Linotype" w:cs="Arial"/>
          <w:color w:val="000000" w:themeColor="text1"/>
        </w:rPr>
        <w:t>Recursos Humanos y Materiales hizo de conocimiento del ahora recurrente un listado de nombres de las personas que ha recibido recurso</w:t>
      </w:r>
      <w:r w:rsidR="00304D7E">
        <w:rPr>
          <w:rFonts w:ascii="Palatino Linotype" w:hAnsi="Palatino Linotype" w:cs="Arial"/>
          <w:color w:val="000000" w:themeColor="text1"/>
        </w:rPr>
        <w:t>s</w:t>
      </w:r>
      <w:r w:rsidR="00226461">
        <w:rPr>
          <w:rFonts w:ascii="Palatino Linotype" w:hAnsi="Palatino Linotype" w:cs="Arial"/>
          <w:color w:val="000000" w:themeColor="text1"/>
        </w:rPr>
        <w:t xml:space="preserve"> públicos por concepto de </w:t>
      </w:r>
      <w:r w:rsidR="00226461">
        <w:rPr>
          <w:rFonts w:ascii="Palatino Linotype" w:hAnsi="Palatino Linotype" w:cs="Arial"/>
          <w:i/>
          <w:color w:val="000000" w:themeColor="text1"/>
        </w:rPr>
        <w:t>finiquito</w:t>
      </w:r>
      <w:r w:rsidR="00226461">
        <w:rPr>
          <w:rFonts w:ascii="Palatino Linotype" w:hAnsi="Palatino Linotype" w:cs="Arial"/>
          <w:color w:val="000000" w:themeColor="text1"/>
        </w:rPr>
        <w:t xml:space="preserve"> en el periodo comprendido del inicio de gestiones de la actual Rectora a la fecha de la solicitud de información; esto es, del 16 de octubre </w:t>
      </w:r>
      <w:r w:rsidR="00F60686">
        <w:rPr>
          <w:rFonts w:ascii="Palatino Linotype" w:hAnsi="Palatino Linotype" w:cs="Arial"/>
          <w:color w:val="000000" w:themeColor="text1"/>
        </w:rPr>
        <w:t>de 2017 al 8 de junio de 2018.</w:t>
      </w:r>
    </w:p>
    <w:p w14:paraId="6D16EF03" w14:textId="64C8B427" w:rsidR="00C76B62" w:rsidRPr="008C4988" w:rsidRDefault="00774D03" w:rsidP="002969D8">
      <w:pPr>
        <w:spacing w:before="240" w:after="240" w:line="360" w:lineRule="auto"/>
        <w:jc w:val="both"/>
        <w:rPr>
          <w:rFonts w:ascii="Palatino Linotype" w:hAnsi="Palatino Linotype" w:cs="Arial"/>
        </w:rPr>
      </w:pPr>
      <w:r w:rsidRPr="00DA3C6B">
        <w:rPr>
          <w:rFonts w:ascii="Palatino Linotype" w:hAnsi="Palatino Linotype" w:cs="Arial"/>
        </w:rPr>
        <w:lastRenderedPageBreak/>
        <w:t xml:space="preserve">Así al momento de inconformarse </w:t>
      </w:r>
      <w:r w:rsidR="00F60686">
        <w:rPr>
          <w:rFonts w:ascii="Palatino Linotype" w:hAnsi="Palatino Linotype" w:cs="Arial"/>
        </w:rPr>
        <w:t>el</w:t>
      </w:r>
      <w:r w:rsidR="00A24684">
        <w:rPr>
          <w:rFonts w:ascii="Palatino Linotype" w:hAnsi="Palatino Linotype" w:cs="Arial"/>
        </w:rPr>
        <w:t xml:space="preserve"> </w:t>
      </w:r>
      <w:r w:rsidRPr="00DA3C6B">
        <w:rPr>
          <w:rFonts w:ascii="Palatino Linotype" w:hAnsi="Palatino Linotype" w:cs="Arial"/>
        </w:rPr>
        <w:t>recurrente refirió que</w:t>
      </w:r>
      <w:r w:rsidR="00890647">
        <w:rPr>
          <w:rFonts w:ascii="Palatino Linotype" w:hAnsi="Palatino Linotype" w:cs="Arial"/>
        </w:rPr>
        <w:t xml:space="preserve"> </w:t>
      </w:r>
      <w:r w:rsidR="00F60686">
        <w:rPr>
          <w:rFonts w:ascii="Palatino Linotype" w:hAnsi="Palatino Linotype" w:cs="Arial"/>
        </w:rPr>
        <w:t xml:space="preserve">la respuesta que le fue proporcionada por el Sujeto Obligado se encuentra incompleta en razón de </w:t>
      </w:r>
      <w:r w:rsidR="00304D7E">
        <w:rPr>
          <w:rFonts w:ascii="Palatino Linotype" w:hAnsi="Palatino Linotype" w:cs="Arial"/>
        </w:rPr>
        <w:t xml:space="preserve">que </w:t>
      </w:r>
      <w:r w:rsidR="00F60686">
        <w:rPr>
          <w:rFonts w:ascii="Palatino Linotype" w:hAnsi="Palatino Linotype" w:cs="Arial"/>
        </w:rPr>
        <w:t>solamente se le informó sobre los finiquitos, y por tanto hace falta qu</w:t>
      </w:r>
      <w:r w:rsidR="00304D7E">
        <w:rPr>
          <w:rFonts w:ascii="Palatino Linotype" w:hAnsi="Palatino Linotype" w:cs="Arial"/>
        </w:rPr>
        <w:t>e se le entregue la información</w:t>
      </w:r>
      <w:r w:rsidR="00F60686">
        <w:rPr>
          <w:rFonts w:ascii="Palatino Linotype" w:hAnsi="Palatino Linotype" w:cs="Arial"/>
        </w:rPr>
        <w:t xml:space="preserve"> respecto de las liquidaciones otorgadas</w:t>
      </w:r>
      <w:r w:rsidR="009158C1">
        <w:rPr>
          <w:rFonts w:ascii="Palatino Linotype" w:hAnsi="Palatino Linotype" w:cs="Arial"/>
        </w:rPr>
        <w:t>.</w:t>
      </w:r>
    </w:p>
    <w:p w14:paraId="37B1BA9B" w14:textId="47ED3F7C" w:rsidR="00AE2930" w:rsidRDefault="00AE2930" w:rsidP="002969D8">
      <w:pPr>
        <w:spacing w:before="240" w:after="240" w:line="360" w:lineRule="auto"/>
        <w:jc w:val="both"/>
        <w:rPr>
          <w:rFonts w:ascii="Palatino Linotype" w:hAnsi="Palatino Linotype" w:cs="Arial"/>
          <w:color w:val="C00000"/>
        </w:rPr>
      </w:pPr>
      <w:r w:rsidRPr="00B45AA9">
        <w:rPr>
          <w:rFonts w:ascii="Palatino Linotype" w:hAnsi="Palatino Linotype" w:cs="Arial"/>
        </w:rPr>
        <w:t>En tal contexto, una vez analizada la materia sobre la que versa el presente asunto, se estima que los motivos de inconformidad devienen</w:t>
      </w:r>
      <w:r w:rsidR="00B127F8" w:rsidRPr="00B45AA9">
        <w:rPr>
          <w:rFonts w:ascii="Palatino Linotype" w:hAnsi="Palatino Linotype" w:cs="Arial"/>
        </w:rPr>
        <w:t xml:space="preserve"> </w:t>
      </w:r>
      <w:r w:rsidRPr="00B45AA9">
        <w:rPr>
          <w:rFonts w:ascii="Palatino Linotype" w:hAnsi="Palatino Linotype" w:cs="Arial"/>
        </w:rPr>
        <w:t>fundados, por las consideraciones de derecho que se exponen enseguida</w:t>
      </w:r>
      <w:r w:rsidRPr="00A51E8B">
        <w:rPr>
          <w:rFonts w:ascii="Palatino Linotype" w:hAnsi="Palatino Linotype" w:cs="Arial"/>
          <w:color w:val="C00000"/>
        </w:rPr>
        <w:t>.</w:t>
      </w:r>
    </w:p>
    <w:p w14:paraId="42086001" w14:textId="0F080BD6" w:rsidR="00F60686" w:rsidRDefault="00F60686" w:rsidP="00F60686">
      <w:pPr>
        <w:spacing w:before="240" w:after="240" w:line="360" w:lineRule="auto"/>
        <w:jc w:val="both"/>
        <w:rPr>
          <w:rFonts w:ascii="Palatino Linotype" w:hAnsi="Palatino Linotype" w:cs="Arial"/>
        </w:rPr>
      </w:pPr>
      <w:r>
        <w:rPr>
          <w:rFonts w:ascii="Palatino Linotype" w:hAnsi="Palatino Linotype" w:cs="Arial"/>
        </w:rPr>
        <w:t>Primeramente</w:t>
      </w:r>
      <w:r w:rsidR="00A26390">
        <w:rPr>
          <w:rFonts w:ascii="Palatino Linotype" w:hAnsi="Palatino Linotype" w:cs="Arial"/>
        </w:rPr>
        <w:t xml:space="preserve"> es necesario </w:t>
      </w:r>
      <w:r>
        <w:rPr>
          <w:rFonts w:ascii="Palatino Linotype" w:hAnsi="Palatino Linotype" w:cs="Arial"/>
        </w:rPr>
        <w:t xml:space="preserve">referir que la parte de  la solicitud referente a </w:t>
      </w:r>
      <w:r>
        <w:rPr>
          <w:rFonts w:ascii="Palatino Linotype" w:hAnsi="Palatino Linotype" w:cs="Arial"/>
          <w:i/>
        </w:rPr>
        <w:t xml:space="preserve">“mencionar las personas… que como yo fuimos despedidas haciéndonos firmar renuncia…” </w:t>
      </w:r>
      <w:r>
        <w:rPr>
          <w:rFonts w:ascii="Palatino Linotype" w:hAnsi="Palatino Linotype" w:cs="Arial"/>
        </w:rPr>
        <w:t>no se considera susceptible de ser atendida vía acceso a la información pública, debido a que se traduce en una afirmación de parte del particular sobre un hecho que a su decir ocurrió u ocurre en la gestoría de la actual Rectora del Sujeto Obligado,</w:t>
      </w:r>
      <w:r w:rsidR="00304D7E">
        <w:rPr>
          <w:rFonts w:ascii="Palatino Linotype" w:hAnsi="Palatino Linotype" w:cs="Arial"/>
        </w:rPr>
        <w:t xml:space="preserve"> misma</w:t>
      </w:r>
      <w:r>
        <w:rPr>
          <w:rFonts w:ascii="Palatino Linotype" w:hAnsi="Palatino Linotype" w:cs="Arial"/>
        </w:rPr>
        <w:t xml:space="preserve"> que no fue demostrado, por lo que</w:t>
      </w:r>
      <w:r w:rsidR="00304D7E">
        <w:rPr>
          <w:rFonts w:ascii="Palatino Linotype" w:hAnsi="Palatino Linotype" w:cs="Arial"/>
        </w:rPr>
        <w:t xml:space="preserve"> no</w:t>
      </w:r>
      <w:r>
        <w:rPr>
          <w:rFonts w:ascii="Palatino Linotype" w:hAnsi="Palatino Linotype" w:cs="Arial"/>
        </w:rPr>
        <w:t xml:space="preserve"> se le puede requerir al Sujeto Obligado la entrega de documento alguno pues sería tanto como afirmar que lo manifestado por el recurrente es efectuado en su actual administración, lo cual, se insiste no fue acreditado, esclarecimiento que en todo caso corresponde efectuarse mediante otra vía como puede ser la laboral y no mediante el acceso a la información pública; dado que no se cuenta con elementos normativos </w:t>
      </w:r>
      <w:r w:rsidR="00240822">
        <w:rPr>
          <w:rFonts w:ascii="Palatino Linotype" w:hAnsi="Palatino Linotype" w:cs="Arial"/>
        </w:rPr>
        <w:t>para determinar que es posible que obre</w:t>
      </w:r>
      <w:r w:rsidR="00304D7E">
        <w:rPr>
          <w:rFonts w:ascii="Palatino Linotype" w:hAnsi="Palatino Linotype" w:cs="Arial"/>
        </w:rPr>
        <w:t>n</w:t>
      </w:r>
      <w:r w:rsidR="00240822">
        <w:rPr>
          <w:rFonts w:ascii="Palatino Linotype" w:hAnsi="Palatino Linotype" w:cs="Arial"/>
        </w:rPr>
        <w:t xml:space="preserve"> en los archivos del Sujeto Obligado documentos en los que conste información de personas que fueron despedidas haciéndoles firmar renuncia, por no localizarse facultad en tal sentido.</w:t>
      </w:r>
    </w:p>
    <w:p w14:paraId="6A7981E8" w14:textId="286524E9" w:rsidR="00240822" w:rsidRPr="006478C9" w:rsidRDefault="00240822" w:rsidP="0024082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segundo término, </w:t>
      </w:r>
      <w:r w:rsidRPr="006478C9">
        <w:rPr>
          <w:rFonts w:ascii="Palatino Linotype" w:hAnsi="Palatino Linotype" w:cs="Arial"/>
        </w:rPr>
        <w:t>es de precisar que el recurrente al momento de expresar sus motivos de inconformidad en su recurso de revisión, se queja únicamente de la</w:t>
      </w:r>
      <w:r>
        <w:rPr>
          <w:rFonts w:ascii="Palatino Linotype" w:hAnsi="Palatino Linotype" w:cs="Arial"/>
        </w:rPr>
        <w:t xml:space="preserve"> falta </w:t>
      </w:r>
      <w:r>
        <w:rPr>
          <w:rFonts w:ascii="Palatino Linotype" w:hAnsi="Palatino Linotype" w:cs="Arial"/>
        </w:rPr>
        <w:lastRenderedPageBreak/>
        <w:t xml:space="preserve">de entrega de la información relativa a  las </w:t>
      </w:r>
      <w:r>
        <w:rPr>
          <w:rFonts w:ascii="Palatino Linotype" w:hAnsi="Palatino Linotype" w:cs="Arial"/>
          <w:i/>
        </w:rPr>
        <w:t>liquidaciones</w:t>
      </w:r>
      <w:r w:rsidRPr="006478C9">
        <w:rPr>
          <w:rFonts w:ascii="Palatino Linotype" w:hAnsi="Palatino Linotype" w:cs="Arial"/>
        </w:rPr>
        <w:t xml:space="preserve">; en ese sentido </w:t>
      </w:r>
      <w:r w:rsidRPr="006478C9">
        <w:rPr>
          <w:rFonts w:ascii="Palatino Linotype" w:hAnsi="Palatino Linotype"/>
        </w:rPr>
        <w:t xml:space="preserve">debe señalarse que el análisis del presente recurso versará únicamente sobre </w:t>
      </w:r>
      <w:r>
        <w:rPr>
          <w:rFonts w:ascii="Palatino Linotype" w:hAnsi="Palatino Linotype"/>
        </w:rPr>
        <w:t>dicho punto que sí fue controvertido, no así por el resto de la solicitud, respecto del cual</w:t>
      </w:r>
      <w:r w:rsidRPr="006478C9">
        <w:rPr>
          <w:rFonts w:ascii="Palatino Linotype" w:hAnsi="Palatino Linotype"/>
        </w:rPr>
        <w:t xml:space="preserve">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2798157" w14:textId="77777777" w:rsidR="00240822" w:rsidRPr="006478C9" w:rsidRDefault="00240822" w:rsidP="00240822">
      <w:pPr>
        <w:spacing w:before="100" w:beforeAutospacing="1" w:after="100" w:afterAutospacing="1"/>
        <w:ind w:left="851" w:right="900"/>
        <w:jc w:val="both"/>
        <w:rPr>
          <w:rFonts w:ascii="Palatino Linotype" w:hAnsi="Palatino Linotype"/>
          <w:sz w:val="22"/>
          <w:szCs w:val="22"/>
        </w:rPr>
      </w:pPr>
      <w:r w:rsidRPr="006478C9">
        <w:rPr>
          <w:rFonts w:ascii="Palatino Linotype" w:hAnsi="Palatino Linotype"/>
          <w:sz w:val="22"/>
          <w:szCs w:val="22"/>
        </w:rPr>
        <w:t>“</w:t>
      </w:r>
      <w:r w:rsidRPr="006478C9">
        <w:rPr>
          <w:rFonts w:ascii="Palatino Linotype" w:hAnsi="Palatino Linotype"/>
          <w:b/>
          <w:i/>
          <w:sz w:val="22"/>
          <w:szCs w:val="22"/>
        </w:rPr>
        <w:t>REVISIÓN EN AMPARO. LOS RESOLUTIVOS NO COMBATIDOS DEBEN DECLARARSE FIRMES</w:t>
      </w:r>
      <w:r w:rsidRPr="006478C9">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A63BB34" w14:textId="77777777" w:rsidR="00240822" w:rsidRPr="006478C9" w:rsidRDefault="00240822" w:rsidP="00240822">
      <w:pPr>
        <w:spacing w:before="100" w:beforeAutospacing="1" w:after="100" w:afterAutospacing="1" w:line="360" w:lineRule="auto"/>
        <w:jc w:val="both"/>
        <w:rPr>
          <w:rFonts w:ascii="Palatino Linotype" w:hAnsi="Palatino Linotype"/>
        </w:rPr>
      </w:pPr>
      <w:r w:rsidRPr="006478C9">
        <w:rPr>
          <w:rFonts w:ascii="Palatino Linotype" w:hAnsi="Palatino Linotype"/>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7F117023" w14:textId="77777777" w:rsidR="00240822" w:rsidRPr="00F829DD" w:rsidRDefault="00240822" w:rsidP="00240822">
      <w:pPr>
        <w:spacing w:after="160"/>
        <w:ind w:left="851" w:right="900"/>
        <w:jc w:val="both"/>
        <w:rPr>
          <w:rFonts w:ascii="Palatino Linotype" w:hAnsi="Palatino Linotype"/>
        </w:rPr>
      </w:pPr>
      <w:r w:rsidRPr="006478C9">
        <w:rPr>
          <w:rFonts w:ascii="Palatino Linotype" w:hAnsi="Palatino Linotype"/>
          <w:i/>
          <w:sz w:val="22"/>
          <w:szCs w:val="22"/>
        </w:rPr>
        <w:lastRenderedPageBreak/>
        <w:t>“</w:t>
      </w:r>
      <w:r w:rsidRPr="006478C9">
        <w:rPr>
          <w:rFonts w:ascii="Palatino Linotype" w:hAnsi="Palatino Linotype"/>
          <w:b/>
          <w:i/>
          <w:sz w:val="22"/>
          <w:szCs w:val="22"/>
        </w:rPr>
        <w:t>ACTOS CONSENTIDOS. SON LOS QUE NO SE IMPUGNAN MEDIANTE EL RECURSO IDÓNEO</w:t>
      </w:r>
      <w:r w:rsidRPr="006478C9">
        <w:rPr>
          <w:rFonts w:ascii="Palatino Linotype" w:hAnsi="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07DC09" w14:textId="1401BBEF" w:rsidR="00240822" w:rsidRPr="00F829DD" w:rsidRDefault="00240822" w:rsidP="00240822">
      <w:pPr>
        <w:spacing w:before="240" w:after="160" w:line="360" w:lineRule="auto"/>
        <w:jc w:val="both"/>
        <w:rPr>
          <w:rFonts w:ascii="Palatino Linotype" w:hAnsi="Palatino Linotype"/>
        </w:rPr>
      </w:pPr>
      <w:r w:rsidRPr="00F829DD">
        <w:rPr>
          <w:rFonts w:ascii="Palatino Linotype" w:hAnsi="Palatino Linotype"/>
        </w:rPr>
        <w:t xml:space="preserve">Además de que debe decirse que </w:t>
      </w:r>
      <w:r>
        <w:rPr>
          <w:rFonts w:ascii="Palatino Linotype" w:hAnsi="Palatino Linotype"/>
        </w:rPr>
        <w:t>la parte no combatida por el recurrente, fue respondida</w:t>
      </w:r>
      <w:r w:rsidRPr="00F829DD">
        <w:rPr>
          <w:rFonts w:ascii="Palatino Linotype" w:hAnsi="Palatino Linotype"/>
        </w:rPr>
        <w:t xml:space="preserve"> por el Sujeto Obligado, de tal manera que sobre la </w:t>
      </w:r>
      <w:r>
        <w:rPr>
          <w:rFonts w:ascii="Palatino Linotype" w:hAnsi="Palatino Linotype" w:cs="Arial"/>
        </w:rPr>
        <w:t xml:space="preserve">información entregada, </w:t>
      </w:r>
      <w:r w:rsidRPr="00F829DD">
        <w:rPr>
          <w:rFonts w:ascii="Palatino Linotype" w:hAnsi="Palatino Linotype" w:cs="Arial"/>
        </w:rPr>
        <w:t xml:space="preserve">este Órgano Garante no se encuentra en posibilidades de </w:t>
      </w:r>
      <w:r w:rsidRPr="00F829DD">
        <w:rPr>
          <w:rFonts w:ascii="Palatino Linotype" w:hAnsi="Palatino Linotype"/>
        </w:rPr>
        <w:t>dudar de su veracidad, toda vez que no existe precepto normativo en las leyes de la materia por el que se le permita ello; es decir, poner en tela de juicio de lo manifestado o entregado por los Sujetos Obligados.</w:t>
      </w:r>
    </w:p>
    <w:p w14:paraId="57911FB5" w14:textId="77777777" w:rsidR="00240822" w:rsidRPr="00F829DD" w:rsidRDefault="00240822" w:rsidP="00240822">
      <w:pPr>
        <w:spacing w:before="240" w:after="240" w:line="360" w:lineRule="auto"/>
        <w:jc w:val="both"/>
        <w:rPr>
          <w:rFonts w:ascii="Palatino Linotype" w:hAnsi="Palatino Linotype"/>
        </w:rPr>
      </w:pPr>
      <w:r w:rsidRPr="00F829DD">
        <w:rPr>
          <w:rFonts w:ascii="Palatino Linotype" w:hAnsi="Palatino Linotype"/>
        </w:rPr>
        <w:t xml:space="preserve">Tiene aplicación por analogía lo plasmando en el criterio 31-10 emitido por el entonces Instituto Federal de Acceso a la Información y Protección de Datos que lleva por rubro y texto los siguientes: </w:t>
      </w:r>
    </w:p>
    <w:p w14:paraId="6ECC1354" w14:textId="757A45CE" w:rsidR="00240822" w:rsidRPr="00F60686" w:rsidRDefault="00240822" w:rsidP="00240822">
      <w:pPr>
        <w:spacing w:before="240" w:after="240"/>
        <w:ind w:left="851" w:right="900"/>
        <w:jc w:val="both"/>
        <w:rPr>
          <w:rFonts w:ascii="Palatino Linotype" w:hAnsi="Palatino Linotype" w:cs="Arial"/>
        </w:rPr>
      </w:pPr>
      <w:r w:rsidRPr="00F829DD">
        <w:rPr>
          <w:rFonts w:ascii="Palatino Linotype" w:hAnsi="Palatino Linotype"/>
          <w:i/>
          <w:sz w:val="22"/>
          <w:szCs w:val="22"/>
        </w:rPr>
        <w:t>“</w:t>
      </w:r>
      <w:r w:rsidRPr="00F829D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829D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BC29A8" w14:textId="5D7F9BD1" w:rsidR="005D7AF1" w:rsidRDefault="005D7AF1" w:rsidP="006A559E">
      <w:pPr>
        <w:spacing w:before="240" w:after="240" w:line="360" w:lineRule="auto"/>
        <w:jc w:val="both"/>
        <w:rPr>
          <w:rFonts w:ascii="Palatino Linotype" w:hAnsi="Palatino Linotype" w:cs="Arial"/>
        </w:rPr>
      </w:pPr>
      <w:r>
        <w:rPr>
          <w:rFonts w:ascii="Palatino Linotype" w:hAnsi="Palatino Linotype" w:cs="Arial"/>
        </w:rPr>
        <w:lastRenderedPageBreak/>
        <w:t>Ahora bien para analizar la parte controvertida de</w:t>
      </w:r>
      <w:r w:rsidR="00304D7E">
        <w:rPr>
          <w:rFonts w:ascii="Palatino Linotype" w:hAnsi="Palatino Linotype" w:cs="Arial"/>
        </w:rPr>
        <w:t xml:space="preserve"> la solicitud de información, es</w:t>
      </w:r>
      <w:r>
        <w:rPr>
          <w:rFonts w:ascii="Palatino Linotype" w:hAnsi="Palatino Linotype" w:cs="Arial"/>
        </w:rPr>
        <w:t xml:space="preserve"> necesario poner en contexto lo que se entiende por </w:t>
      </w:r>
      <w:r>
        <w:rPr>
          <w:rFonts w:ascii="Palatino Linotype" w:hAnsi="Palatino Linotype" w:cs="Arial"/>
          <w:i/>
        </w:rPr>
        <w:t>liquidación</w:t>
      </w:r>
      <w:r>
        <w:rPr>
          <w:rFonts w:ascii="Palatino Linotype" w:hAnsi="Palatino Linotype" w:cs="Arial"/>
        </w:rPr>
        <w:t xml:space="preserve"> en el </w:t>
      </w:r>
      <w:r w:rsidR="00304D7E">
        <w:rPr>
          <w:rFonts w:ascii="Palatino Linotype" w:hAnsi="Palatino Linotype" w:cs="Arial"/>
        </w:rPr>
        <w:t>ámbito</w:t>
      </w:r>
      <w:r>
        <w:rPr>
          <w:rFonts w:ascii="Palatino Linotype" w:hAnsi="Palatino Linotype" w:cs="Arial"/>
        </w:rPr>
        <w:t xml:space="preserve"> de una renuncia o despido de una relación laboral; </w:t>
      </w:r>
      <w:r w:rsidR="00F91199">
        <w:rPr>
          <w:rFonts w:ascii="Palatino Linotype" w:hAnsi="Palatino Linotype" w:cs="Arial"/>
        </w:rPr>
        <w:t>al respecto es necesario destacar que en las leyes que rigen la materia laboral no se define</w:t>
      </w:r>
      <w:r w:rsidR="00304D7E">
        <w:rPr>
          <w:rFonts w:ascii="Palatino Linotype" w:hAnsi="Palatino Linotype" w:cs="Arial"/>
        </w:rPr>
        <w:t>,</w:t>
      </w:r>
      <w:r w:rsidR="00F91199">
        <w:rPr>
          <w:rFonts w:ascii="Palatino Linotype" w:hAnsi="Palatino Linotype" w:cs="Arial"/>
        </w:rPr>
        <w:t xml:space="preserve"> ni se habla de una liquidación por terminación de la relaci</w:t>
      </w:r>
      <w:r w:rsidR="003E4E4F">
        <w:rPr>
          <w:rFonts w:ascii="Palatino Linotype" w:hAnsi="Palatino Linotype" w:cs="Arial"/>
        </w:rPr>
        <w:t>ón laboral.</w:t>
      </w:r>
    </w:p>
    <w:p w14:paraId="6730A850" w14:textId="4CB31D50" w:rsidR="003E4E4F" w:rsidRDefault="003E4E4F" w:rsidP="006A559E">
      <w:pPr>
        <w:spacing w:before="240" w:after="240" w:line="360" w:lineRule="auto"/>
        <w:jc w:val="both"/>
        <w:rPr>
          <w:rFonts w:ascii="Palatino Linotype" w:hAnsi="Palatino Linotype" w:cs="Arial"/>
        </w:rPr>
      </w:pPr>
      <w:r>
        <w:rPr>
          <w:rFonts w:ascii="Palatino Linotype" w:hAnsi="Palatino Linotype" w:cs="Arial"/>
        </w:rPr>
        <w:t xml:space="preserve">Por ello es que nos remitimos en primer instancia al Diccionario de la Lengua Española, donde al buscar la palabra </w:t>
      </w:r>
      <w:r>
        <w:rPr>
          <w:rFonts w:ascii="Palatino Linotype" w:hAnsi="Palatino Linotype" w:cs="Arial"/>
          <w:i/>
        </w:rPr>
        <w:t>liquidación</w:t>
      </w:r>
      <w:r>
        <w:rPr>
          <w:rFonts w:ascii="Palatino Linotype" w:hAnsi="Palatino Linotype" w:cs="Arial"/>
        </w:rPr>
        <w:t xml:space="preserve"> no</w:t>
      </w:r>
      <w:r w:rsidR="00304D7E">
        <w:rPr>
          <w:rFonts w:ascii="Palatino Linotype" w:hAnsi="Palatino Linotype" w:cs="Arial"/>
        </w:rPr>
        <w:t>s</w:t>
      </w:r>
      <w:r>
        <w:rPr>
          <w:rFonts w:ascii="Palatino Linotype" w:hAnsi="Palatino Linotype" w:cs="Arial"/>
        </w:rPr>
        <w:t xml:space="preserve"> dice que es la acción y efecto de liquidar, luego en la búsqueda del significado de </w:t>
      </w:r>
      <w:r w:rsidRPr="00304D7E">
        <w:rPr>
          <w:rFonts w:ascii="Palatino Linotype" w:hAnsi="Palatino Linotype" w:cs="Arial"/>
          <w:i/>
        </w:rPr>
        <w:t>liquidar</w:t>
      </w:r>
      <w:r>
        <w:rPr>
          <w:rFonts w:ascii="Palatino Linotype" w:hAnsi="Palatino Linotype" w:cs="Arial"/>
        </w:rPr>
        <w:t xml:space="preserve">, tenemos que se refiere a hacer el </w:t>
      </w:r>
      <w:r w:rsidR="00304D7E">
        <w:rPr>
          <w:rFonts w:ascii="Palatino Linotype" w:hAnsi="Palatino Linotype" w:cs="Arial"/>
        </w:rPr>
        <w:t>a</w:t>
      </w:r>
      <w:r>
        <w:rPr>
          <w:rFonts w:ascii="Palatino Linotype" w:hAnsi="Palatino Linotype" w:cs="Arial"/>
        </w:rPr>
        <w:t>juste formal de una cuenta, a saldar o pagar enteramente una cuenta y a determinar el importe de una deuda.</w:t>
      </w:r>
    </w:p>
    <w:p w14:paraId="5E0405A2" w14:textId="782FC96E" w:rsidR="003E4E4F" w:rsidRDefault="003E4E4F" w:rsidP="006A559E">
      <w:pPr>
        <w:spacing w:before="240" w:after="240" w:line="360" w:lineRule="auto"/>
        <w:jc w:val="both"/>
        <w:rPr>
          <w:rFonts w:ascii="Palatino Linotype" w:hAnsi="Palatino Linotype" w:cs="Arial"/>
        </w:rPr>
      </w:pPr>
      <w:r>
        <w:rPr>
          <w:rFonts w:ascii="Palatino Linotype" w:hAnsi="Palatino Linotype" w:cs="Arial"/>
        </w:rPr>
        <w:t xml:space="preserve">Con lo anterior pudiera interpretarse que la </w:t>
      </w:r>
      <w:r>
        <w:rPr>
          <w:rFonts w:ascii="Palatino Linotype" w:hAnsi="Palatino Linotype" w:cs="Arial"/>
          <w:i/>
        </w:rPr>
        <w:t xml:space="preserve">liquidación </w:t>
      </w:r>
      <w:r>
        <w:rPr>
          <w:rFonts w:ascii="Palatino Linotype" w:hAnsi="Palatino Linotype" w:cs="Arial"/>
        </w:rPr>
        <w:t xml:space="preserve">en materia laboral se refiere al pago por parte del patrón al trabajador de </w:t>
      </w:r>
      <w:r w:rsidR="00304D7E">
        <w:rPr>
          <w:rFonts w:ascii="Palatino Linotype" w:hAnsi="Palatino Linotype" w:cs="Arial"/>
        </w:rPr>
        <w:t>todo lo adeudado por su trabaj</w:t>
      </w:r>
      <w:r>
        <w:rPr>
          <w:rFonts w:ascii="Palatino Linotype" w:hAnsi="Palatino Linotype" w:cs="Arial"/>
        </w:rPr>
        <w:t>o</w:t>
      </w:r>
      <w:r w:rsidR="0016338E">
        <w:rPr>
          <w:rFonts w:ascii="Palatino Linotype" w:hAnsi="Palatino Linotype" w:cs="Arial"/>
        </w:rPr>
        <w:t xml:space="preserve"> prestado</w:t>
      </w:r>
      <w:r w:rsidR="00304D7E">
        <w:rPr>
          <w:rFonts w:ascii="Palatino Linotype" w:hAnsi="Palatino Linotype" w:cs="Arial"/>
        </w:rPr>
        <w:t>,</w:t>
      </w:r>
      <w:r w:rsidR="0016338E">
        <w:rPr>
          <w:rFonts w:ascii="Palatino Linotype" w:hAnsi="Palatino Linotype" w:cs="Arial"/>
        </w:rPr>
        <w:t xml:space="preserve"> incluyendo el pago de las prestaciones correspondientes de ley o previamente acordadas.</w:t>
      </w:r>
    </w:p>
    <w:p w14:paraId="2232063E" w14:textId="0C7AFEFA" w:rsidR="0016338E" w:rsidRDefault="0016338E" w:rsidP="006A559E">
      <w:pPr>
        <w:spacing w:before="240" w:after="240" w:line="360" w:lineRule="auto"/>
        <w:jc w:val="both"/>
        <w:rPr>
          <w:rFonts w:ascii="Palatino Linotype" w:hAnsi="Palatino Linotype" w:cs="Arial"/>
        </w:rPr>
      </w:pPr>
      <w:r>
        <w:rPr>
          <w:rFonts w:ascii="Palatino Linotype" w:hAnsi="Palatino Linotype" w:cs="Arial"/>
        </w:rPr>
        <w:t>Sin embargo</w:t>
      </w:r>
      <w:r w:rsidR="00304D7E">
        <w:rPr>
          <w:rFonts w:ascii="Palatino Linotype" w:hAnsi="Palatino Linotype" w:cs="Arial"/>
        </w:rPr>
        <w:t>, así definido dicho concepto</w:t>
      </w:r>
      <w:r>
        <w:rPr>
          <w:rFonts w:ascii="Palatino Linotype" w:hAnsi="Palatino Linotype" w:cs="Arial"/>
        </w:rPr>
        <w:t xml:space="preserve">, nos llevaría a equipararlo con el </w:t>
      </w:r>
      <w:r>
        <w:rPr>
          <w:rFonts w:ascii="Palatino Linotype" w:hAnsi="Palatino Linotype" w:cs="Arial"/>
          <w:i/>
        </w:rPr>
        <w:t xml:space="preserve">finiquito, </w:t>
      </w:r>
      <w:r>
        <w:rPr>
          <w:rFonts w:ascii="Palatino Linotype" w:hAnsi="Palatino Linotype" w:cs="Arial"/>
        </w:rPr>
        <w:t xml:space="preserve">lo cual del acuerdo al mismo Diccionario citado, se entiende como el remate de las cuentas o certificación que se da por la constancia de que están ajustadas y satisfecho el alcance que resulta de ellas; a su vez al acto de </w:t>
      </w:r>
      <w:r>
        <w:rPr>
          <w:rFonts w:ascii="Palatino Linotype" w:hAnsi="Palatino Linotype" w:cs="Arial"/>
          <w:i/>
        </w:rPr>
        <w:t>finiquitar,</w:t>
      </w:r>
      <w:r>
        <w:rPr>
          <w:rFonts w:ascii="Palatino Linotype" w:hAnsi="Palatino Linotype" w:cs="Arial"/>
        </w:rPr>
        <w:t xml:space="preserve"> se traduce como el terminar o saldar una cuenta.</w:t>
      </w:r>
    </w:p>
    <w:p w14:paraId="406AD028" w14:textId="08D61A1B" w:rsidR="0016338E" w:rsidRDefault="0016338E" w:rsidP="006A559E">
      <w:pPr>
        <w:spacing w:before="240" w:after="240" w:line="360" w:lineRule="auto"/>
        <w:jc w:val="both"/>
        <w:rPr>
          <w:rFonts w:ascii="Palatino Linotype" w:hAnsi="Palatino Linotype" w:cs="Arial"/>
        </w:rPr>
      </w:pPr>
      <w:r>
        <w:rPr>
          <w:rFonts w:ascii="Palatino Linotype" w:hAnsi="Palatino Linotype" w:cs="Arial"/>
        </w:rPr>
        <w:t>Empero estimar ambos conceptos como lo mismo conllevaría a tener que con la respuesta dada por el Sujeto Obligado se dio respuesta a la totalidad de la solicitud, sin embargo</w:t>
      </w:r>
      <w:r w:rsidR="00304D7E">
        <w:rPr>
          <w:rFonts w:ascii="Palatino Linotype" w:hAnsi="Palatino Linotype" w:cs="Arial"/>
        </w:rPr>
        <w:t>,</w:t>
      </w:r>
      <w:r>
        <w:rPr>
          <w:rFonts w:ascii="Palatino Linotype" w:hAnsi="Palatino Linotype" w:cs="Arial"/>
        </w:rPr>
        <w:t xml:space="preserve"> ante la inconformidad del particular y ante la falta de referencia de </w:t>
      </w:r>
      <w:r>
        <w:rPr>
          <w:rFonts w:ascii="Palatino Linotype" w:hAnsi="Palatino Linotype" w:cs="Arial"/>
        </w:rPr>
        <w:lastRenderedPageBreak/>
        <w:t xml:space="preserve">tales términos en las leyes que regulan el derecho del trabajo; es que en un análisis más minucioso de la distinción que existe entre ambos actos, nos resulta alusivo traer a colación las </w:t>
      </w:r>
      <w:r w:rsidR="007E50D3">
        <w:rPr>
          <w:rFonts w:ascii="Palatino Linotype" w:hAnsi="Palatino Linotype" w:cs="Arial"/>
        </w:rPr>
        <w:t>tesis emitidas por la Suprema Corte de Justicia de la Nación y publicadas en el Semanario Judicial de la Federación y su Gaceta con números de identificación XIX.2</w:t>
      </w:r>
      <w:r w:rsidR="001217FE">
        <w:rPr>
          <w:rFonts w:ascii="Palatino Linotype" w:hAnsi="Palatino Linotype" w:cs="Arial"/>
        </w:rPr>
        <w:t>o</w:t>
      </w:r>
      <w:r w:rsidR="007E50D3">
        <w:rPr>
          <w:rFonts w:ascii="Palatino Linotype" w:hAnsi="Palatino Linotype" w:cs="Arial"/>
        </w:rPr>
        <w:t>.20 L, I.2</w:t>
      </w:r>
      <w:r w:rsidR="001217FE">
        <w:rPr>
          <w:rFonts w:ascii="Palatino Linotype" w:hAnsi="Palatino Linotype" w:cs="Arial"/>
        </w:rPr>
        <w:t>o</w:t>
      </w:r>
      <w:r w:rsidR="007E50D3">
        <w:rPr>
          <w:rFonts w:ascii="Palatino Linotype" w:hAnsi="Palatino Linotype" w:cs="Arial"/>
        </w:rPr>
        <w:t>.T. J/3</w:t>
      </w:r>
      <w:r w:rsidR="003F0578">
        <w:rPr>
          <w:rFonts w:ascii="Palatino Linotype" w:hAnsi="Palatino Linotype" w:cs="Arial"/>
        </w:rPr>
        <w:t xml:space="preserve"> </w:t>
      </w:r>
      <w:r w:rsidR="001217FE">
        <w:rPr>
          <w:rFonts w:ascii="Palatino Linotype" w:hAnsi="Palatino Linotype" w:cs="Arial"/>
        </w:rPr>
        <w:t>y VIII.2o. J/42</w:t>
      </w:r>
      <w:r w:rsidR="007E50D3">
        <w:rPr>
          <w:rFonts w:ascii="Palatino Linotype" w:hAnsi="Palatino Linotype" w:cs="Arial"/>
        </w:rPr>
        <w:t xml:space="preserve"> que llevan por rubros y textos, respectivamente, los siguientes:</w:t>
      </w:r>
    </w:p>
    <w:p w14:paraId="40FFC625" w14:textId="2B1B90F3" w:rsidR="007E50D3" w:rsidRPr="001217FE" w:rsidRDefault="007E50D3" w:rsidP="001217FE">
      <w:pPr>
        <w:ind w:left="851" w:right="900"/>
        <w:jc w:val="both"/>
        <w:rPr>
          <w:rFonts w:ascii="Palatino Linotype" w:hAnsi="Palatino Linotype" w:cs="Calibri"/>
          <w:b/>
          <w:bCs/>
          <w:i/>
          <w:color w:val="000000"/>
          <w:sz w:val="22"/>
          <w:szCs w:val="22"/>
          <w:lang w:val="es-MX"/>
        </w:rPr>
      </w:pPr>
      <w:r w:rsidRPr="001217FE">
        <w:rPr>
          <w:rFonts w:ascii="Palatino Linotype" w:hAnsi="Palatino Linotype" w:cs="Arial"/>
          <w:i/>
          <w:sz w:val="22"/>
          <w:szCs w:val="22"/>
        </w:rPr>
        <w:t>“I</w:t>
      </w:r>
      <w:r w:rsidRPr="001217FE">
        <w:rPr>
          <w:rFonts w:ascii="Palatino Linotype" w:hAnsi="Palatino Linotype" w:cs="Calibri"/>
          <w:b/>
          <w:bCs/>
          <w:i/>
          <w:color w:val="000000"/>
          <w:sz w:val="22"/>
          <w:szCs w:val="22"/>
        </w:rPr>
        <w:t>NCIDENTE DE LIQUIDACION, OBJETO DEL.</w:t>
      </w:r>
    </w:p>
    <w:p w14:paraId="2F6146FE" w14:textId="1FA73399" w:rsidR="007E50D3" w:rsidRPr="001217FE" w:rsidRDefault="007E50D3" w:rsidP="001217FE">
      <w:pPr>
        <w:ind w:left="851" w:right="900"/>
        <w:jc w:val="both"/>
        <w:rPr>
          <w:rFonts w:ascii="Palatino Linotype" w:hAnsi="Palatino Linotype"/>
          <w:i/>
          <w:sz w:val="22"/>
          <w:szCs w:val="22"/>
        </w:rPr>
      </w:pPr>
    </w:p>
    <w:p w14:paraId="05414BF8" w14:textId="77777777" w:rsidR="007E50D3" w:rsidRPr="001217FE" w:rsidRDefault="007E50D3" w:rsidP="001217FE">
      <w:pPr>
        <w:ind w:left="851" w:right="900"/>
        <w:jc w:val="both"/>
        <w:rPr>
          <w:rFonts w:ascii="Palatino Linotype" w:hAnsi="Palatino Linotype" w:cs="Calibri"/>
          <w:i/>
          <w:sz w:val="22"/>
          <w:szCs w:val="22"/>
        </w:rPr>
      </w:pPr>
      <w:r w:rsidRPr="003F0578">
        <w:rPr>
          <w:rFonts w:ascii="Palatino Linotype" w:hAnsi="Palatino Linotype" w:cs="Calibri"/>
          <w:b/>
          <w:i/>
          <w:color w:val="000000"/>
          <w:sz w:val="22"/>
          <w:szCs w:val="22"/>
        </w:rPr>
        <w:t xml:space="preserve">El objeto del incidente de </w:t>
      </w:r>
      <w:r w:rsidRPr="003F0578">
        <w:rPr>
          <w:rFonts w:ascii="Palatino Linotype" w:hAnsi="Palatino Linotype" w:cs="Calibri"/>
          <w:b/>
          <w:i/>
          <w:color w:val="000000"/>
          <w:sz w:val="22"/>
          <w:szCs w:val="22"/>
          <w:u w:val="single"/>
        </w:rPr>
        <w:t>liquidación</w:t>
      </w:r>
      <w:r w:rsidRPr="003F0578">
        <w:rPr>
          <w:rFonts w:ascii="Palatino Linotype" w:hAnsi="Palatino Linotype" w:cs="Calibri"/>
          <w:b/>
          <w:i/>
          <w:color w:val="000000"/>
          <w:sz w:val="22"/>
          <w:szCs w:val="22"/>
        </w:rPr>
        <w:t xml:space="preserve"> es cuantificar la condena </w:t>
      </w:r>
      <w:r w:rsidRPr="003F0578">
        <w:rPr>
          <w:rFonts w:ascii="Palatino Linotype" w:hAnsi="Palatino Linotype" w:cs="Calibri"/>
          <w:b/>
          <w:i/>
          <w:color w:val="000000"/>
          <w:sz w:val="22"/>
          <w:szCs w:val="22"/>
          <w:u w:val="single"/>
        </w:rPr>
        <w:t>impuesta por la Junta laboral</w:t>
      </w:r>
      <w:r w:rsidRPr="001217FE">
        <w:rPr>
          <w:rFonts w:ascii="Palatino Linotype" w:hAnsi="Palatino Linotype" w:cs="Calibri"/>
          <w:i/>
          <w:color w:val="000000"/>
          <w:sz w:val="22"/>
          <w:szCs w:val="22"/>
        </w:rPr>
        <w:t xml:space="preserve"> </w:t>
      </w:r>
      <w:r w:rsidRPr="003F0578">
        <w:rPr>
          <w:rFonts w:ascii="Palatino Linotype" w:hAnsi="Palatino Linotype" w:cs="Calibri"/>
          <w:b/>
          <w:i/>
          <w:color w:val="000000"/>
          <w:sz w:val="22"/>
          <w:szCs w:val="22"/>
          <w:u w:val="single"/>
        </w:rPr>
        <w:t>en el laudo dictado</w:t>
      </w:r>
      <w:r w:rsidRPr="001217FE">
        <w:rPr>
          <w:rFonts w:ascii="Palatino Linotype" w:hAnsi="Palatino Linotype" w:cs="Calibri"/>
          <w:i/>
          <w:color w:val="000000"/>
          <w:sz w:val="22"/>
          <w:szCs w:val="22"/>
        </w:rPr>
        <w:t>, por lo que si en éste se fijó el salario base de la misma y se dan las restantes condiciones para determinar una condena líquida, resulta innecesario que se ordene abrir a trámite dicho incidente, pues esto sólo retardaría en forma injustificada la ejecución del laudo; lo anterior con apoyo en el artículo </w:t>
      </w:r>
      <w:hyperlink r:id="rId10" w:history="1">
        <w:r w:rsidRPr="001217FE">
          <w:rPr>
            <w:rStyle w:val="Hipervnculo"/>
            <w:rFonts w:ascii="Palatino Linotype" w:hAnsi="Palatino Linotype" w:cs="Calibri"/>
            <w:i/>
            <w:color w:val="auto"/>
            <w:sz w:val="22"/>
            <w:szCs w:val="22"/>
            <w:u w:val="none"/>
          </w:rPr>
          <w:t>844 de la Ley Federal del Trabajo</w:t>
        </w:r>
      </w:hyperlink>
      <w:r w:rsidRPr="001217FE">
        <w:rPr>
          <w:rFonts w:ascii="Palatino Linotype" w:hAnsi="Palatino Linotype" w:cs="Calibri"/>
          <w:i/>
          <w:sz w:val="22"/>
          <w:szCs w:val="22"/>
        </w:rPr>
        <w:t>.</w:t>
      </w:r>
    </w:p>
    <w:p w14:paraId="41ED580A" w14:textId="335FC0DE" w:rsidR="007E50D3" w:rsidRPr="001217FE" w:rsidRDefault="007E50D3" w:rsidP="001217FE">
      <w:pPr>
        <w:ind w:left="851" w:right="900"/>
        <w:jc w:val="both"/>
        <w:rPr>
          <w:rFonts w:ascii="Palatino Linotype" w:hAnsi="Palatino Linotype" w:cs="Calibri"/>
          <w:i/>
          <w:color w:val="000000"/>
          <w:sz w:val="22"/>
          <w:szCs w:val="22"/>
        </w:rPr>
      </w:pPr>
      <w:r w:rsidRPr="001217FE">
        <w:rPr>
          <w:rFonts w:ascii="Palatino Linotype" w:hAnsi="Palatino Linotype" w:cs="Calibri"/>
          <w:i/>
          <w:color w:val="000000"/>
          <w:sz w:val="22"/>
          <w:szCs w:val="22"/>
        </w:rPr>
        <w:t>SEGUNDO TRIBUNAL COLEGIADO DEL DECIMO NOVENO CIRCUITO.”</w:t>
      </w:r>
    </w:p>
    <w:p w14:paraId="6C732B0D" w14:textId="77777777" w:rsidR="007E50D3" w:rsidRPr="001217FE" w:rsidRDefault="007E50D3" w:rsidP="001217FE">
      <w:pPr>
        <w:ind w:left="851" w:right="900"/>
        <w:jc w:val="both"/>
        <w:rPr>
          <w:rFonts w:ascii="Palatino Linotype" w:hAnsi="Palatino Linotype" w:cs="Calibri"/>
          <w:i/>
          <w:color w:val="000000"/>
          <w:sz w:val="22"/>
          <w:szCs w:val="22"/>
        </w:rPr>
      </w:pPr>
      <w:r w:rsidRPr="001217FE">
        <w:rPr>
          <w:rFonts w:ascii="Palatino Linotype" w:hAnsi="Palatino Linotype" w:cs="Calibri"/>
          <w:i/>
          <w:color w:val="000000"/>
          <w:sz w:val="22"/>
          <w:szCs w:val="22"/>
        </w:rPr>
        <w:t xml:space="preserve"> </w:t>
      </w:r>
    </w:p>
    <w:p w14:paraId="7CCC8D06" w14:textId="194793F3" w:rsidR="007E50D3" w:rsidRPr="001217FE" w:rsidRDefault="007E50D3" w:rsidP="001217FE">
      <w:pPr>
        <w:ind w:left="851" w:right="900"/>
        <w:jc w:val="both"/>
        <w:rPr>
          <w:rFonts w:ascii="Palatino Linotype" w:hAnsi="Palatino Linotype" w:cs="Calibri"/>
          <w:b/>
          <w:bCs/>
          <w:i/>
          <w:color w:val="000000"/>
          <w:sz w:val="22"/>
          <w:szCs w:val="22"/>
          <w:lang w:val="es-MX" w:eastAsia="es-MX"/>
        </w:rPr>
      </w:pPr>
      <w:r w:rsidRPr="001217FE">
        <w:rPr>
          <w:rFonts w:ascii="Palatino Linotype" w:hAnsi="Palatino Linotype" w:cs="Calibri"/>
          <w:i/>
          <w:color w:val="000000"/>
          <w:sz w:val="22"/>
          <w:szCs w:val="22"/>
        </w:rPr>
        <w:t>“</w:t>
      </w:r>
      <w:r w:rsidRPr="001217FE">
        <w:rPr>
          <w:rFonts w:ascii="Palatino Linotype" w:hAnsi="Palatino Linotype" w:cs="Calibri"/>
          <w:b/>
          <w:bCs/>
          <w:i/>
          <w:color w:val="000000"/>
          <w:sz w:val="22"/>
          <w:szCs w:val="22"/>
          <w:lang w:val="es-MX" w:eastAsia="es-MX"/>
        </w:rPr>
        <w:t>INCIDENTE DE LIQUIDACIÓN, SALARIO QUE DEBE CONSIDERARSE EN EL.</w:t>
      </w:r>
    </w:p>
    <w:p w14:paraId="4E4B095A" w14:textId="7113CCDD" w:rsidR="007E50D3" w:rsidRPr="007E50D3" w:rsidRDefault="007E50D3" w:rsidP="001217FE">
      <w:pPr>
        <w:ind w:left="851" w:right="900"/>
        <w:jc w:val="both"/>
        <w:rPr>
          <w:rFonts w:ascii="Palatino Linotype" w:hAnsi="Palatino Linotype"/>
          <w:i/>
          <w:sz w:val="22"/>
          <w:szCs w:val="22"/>
          <w:lang w:val="es-MX" w:eastAsia="es-MX"/>
        </w:rPr>
      </w:pPr>
    </w:p>
    <w:p w14:paraId="222F3727" w14:textId="77777777" w:rsidR="007E50D3" w:rsidRPr="001217FE" w:rsidRDefault="007E50D3" w:rsidP="001217FE">
      <w:pPr>
        <w:ind w:left="851" w:right="900"/>
        <w:jc w:val="both"/>
        <w:rPr>
          <w:rFonts w:ascii="Palatino Linotype" w:hAnsi="Palatino Linotype" w:cs="Calibri"/>
          <w:i/>
          <w:color w:val="000000"/>
          <w:sz w:val="22"/>
          <w:szCs w:val="22"/>
          <w:lang w:val="es-MX" w:eastAsia="es-MX"/>
        </w:rPr>
      </w:pPr>
      <w:r w:rsidRPr="007E50D3">
        <w:rPr>
          <w:rFonts w:ascii="Palatino Linotype" w:hAnsi="Palatino Linotype" w:cs="Calibri"/>
          <w:b/>
          <w:i/>
          <w:color w:val="000000"/>
          <w:sz w:val="22"/>
          <w:szCs w:val="22"/>
          <w:u w:val="single"/>
          <w:lang w:val="es-MX" w:eastAsia="es-MX"/>
        </w:rPr>
        <w:t>El objeto de este incidente es tan sólo cuantificar la condena impuesta en el laudo dictado en el juicio laboral</w:t>
      </w:r>
      <w:r w:rsidRPr="007E50D3">
        <w:rPr>
          <w:rFonts w:ascii="Palatino Linotype" w:hAnsi="Palatino Linotype" w:cs="Calibri"/>
          <w:i/>
          <w:color w:val="000000"/>
          <w:sz w:val="22"/>
          <w:szCs w:val="22"/>
          <w:lang w:val="es-MX" w:eastAsia="es-MX"/>
        </w:rPr>
        <w:t>, por lo que si en éste se fijó el salario base de la misma, no es procedente que en la resolución incidental se tome en cuenta un salario diferente, aunque el que se precisó en dicho laudo no haya sido el correcto, si no se promovió amparo directo en contra del propio laudo.</w:t>
      </w:r>
    </w:p>
    <w:p w14:paraId="2FB2AA5F" w14:textId="0863A093" w:rsidR="007E50D3" w:rsidRPr="001217FE" w:rsidRDefault="007E50D3" w:rsidP="001217FE">
      <w:pPr>
        <w:ind w:left="851" w:right="900"/>
        <w:jc w:val="both"/>
        <w:rPr>
          <w:rFonts w:ascii="Palatino Linotype" w:hAnsi="Palatino Linotype" w:cs="Calibri"/>
          <w:i/>
          <w:color w:val="000000"/>
          <w:sz w:val="22"/>
          <w:szCs w:val="22"/>
          <w:lang w:val="es-MX" w:eastAsia="es-MX"/>
        </w:rPr>
      </w:pPr>
      <w:r w:rsidRPr="007E50D3">
        <w:rPr>
          <w:rFonts w:ascii="Palatino Linotype" w:hAnsi="Palatino Linotype" w:cs="Calibri"/>
          <w:i/>
          <w:color w:val="000000"/>
          <w:sz w:val="22"/>
          <w:szCs w:val="22"/>
          <w:lang w:val="es-MX" w:eastAsia="es-MX"/>
        </w:rPr>
        <w:t>SEGUNDO TRIBUNAL COLEGIADO EN MATERIA DE TRABAJO DEL PRIMER CIRCUITO.</w:t>
      </w:r>
      <w:r w:rsidRPr="001217FE">
        <w:rPr>
          <w:rFonts w:ascii="Palatino Linotype" w:hAnsi="Palatino Linotype" w:cs="Calibri"/>
          <w:i/>
          <w:color w:val="000000"/>
          <w:sz w:val="22"/>
          <w:szCs w:val="22"/>
          <w:lang w:val="es-MX" w:eastAsia="es-MX"/>
        </w:rPr>
        <w:t>”</w:t>
      </w:r>
    </w:p>
    <w:p w14:paraId="27CD7DEB" w14:textId="77777777" w:rsidR="001217FE" w:rsidRDefault="001217FE" w:rsidP="001217FE">
      <w:pPr>
        <w:ind w:left="851" w:right="900"/>
        <w:jc w:val="both"/>
        <w:rPr>
          <w:rFonts w:ascii="Palatino Linotype" w:hAnsi="Palatino Linotype" w:cs="Calibri"/>
          <w:i/>
          <w:color w:val="000000"/>
          <w:sz w:val="22"/>
          <w:szCs w:val="22"/>
          <w:lang w:val="es-MX" w:eastAsia="es-MX"/>
        </w:rPr>
      </w:pPr>
    </w:p>
    <w:p w14:paraId="61F71A0C" w14:textId="50109914" w:rsidR="001217FE" w:rsidRPr="001217FE" w:rsidRDefault="001217FE" w:rsidP="001217FE">
      <w:pPr>
        <w:ind w:left="851" w:right="900"/>
        <w:jc w:val="both"/>
        <w:rPr>
          <w:rFonts w:ascii="Palatino Linotype" w:hAnsi="Palatino Linotype" w:cs="Calibri"/>
          <w:b/>
          <w:bCs/>
          <w:i/>
          <w:color w:val="000000"/>
          <w:sz w:val="22"/>
          <w:szCs w:val="22"/>
          <w:lang w:val="es-MX" w:eastAsia="es-MX"/>
        </w:rPr>
      </w:pPr>
      <w:r w:rsidRPr="001217FE">
        <w:rPr>
          <w:rFonts w:ascii="Palatino Linotype" w:hAnsi="Palatino Linotype" w:cs="Calibri"/>
          <w:b/>
          <w:bCs/>
          <w:i/>
          <w:color w:val="000000"/>
          <w:sz w:val="22"/>
          <w:szCs w:val="22"/>
          <w:lang w:val="es-MX" w:eastAsia="es-MX"/>
        </w:rPr>
        <w:t>“</w:t>
      </w:r>
      <w:r w:rsidRPr="003F0578">
        <w:rPr>
          <w:rFonts w:ascii="Palatino Linotype" w:hAnsi="Palatino Linotype" w:cs="Calibri"/>
          <w:b/>
          <w:bCs/>
          <w:i/>
          <w:color w:val="000000"/>
          <w:sz w:val="22"/>
          <w:szCs w:val="22"/>
          <w:u w:val="single"/>
          <w:lang w:val="es-MX" w:eastAsia="es-MX"/>
        </w:rPr>
        <w:t>RECIBO FINIQUITO</w:t>
      </w:r>
      <w:r w:rsidRPr="001217FE">
        <w:rPr>
          <w:rFonts w:ascii="Palatino Linotype" w:hAnsi="Palatino Linotype" w:cs="Calibri"/>
          <w:b/>
          <w:bCs/>
          <w:i/>
          <w:color w:val="000000"/>
          <w:sz w:val="22"/>
          <w:szCs w:val="22"/>
          <w:lang w:val="es-MX" w:eastAsia="es-MX"/>
        </w:rPr>
        <w:t xml:space="preserve">. </w:t>
      </w:r>
      <w:r w:rsidRPr="003F0578">
        <w:rPr>
          <w:rFonts w:ascii="Palatino Linotype" w:hAnsi="Palatino Linotype" w:cs="Calibri"/>
          <w:b/>
          <w:bCs/>
          <w:i/>
          <w:color w:val="000000"/>
          <w:sz w:val="22"/>
          <w:szCs w:val="22"/>
          <w:u w:val="single"/>
          <w:lang w:val="es-MX" w:eastAsia="es-MX"/>
        </w:rPr>
        <w:t>DICHO DOCUMENTO PRUEBA QUE LA RELACIÓN DE TRABAJO TERMINÓ EN FORMA VOLUNTARIA</w:t>
      </w:r>
      <w:r w:rsidRPr="001217FE">
        <w:rPr>
          <w:rFonts w:ascii="Palatino Linotype" w:hAnsi="Palatino Linotype" w:cs="Calibri"/>
          <w:b/>
          <w:bCs/>
          <w:i/>
          <w:color w:val="000000"/>
          <w:sz w:val="22"/>
          <w:szCs w:val="22"/>
          <w:lang w:val="es-MX" w:eastAsia="es-MX"/>
        </w:rPr>
        <w:t>, A PESAR DE LA AFIRMACIÓN EN CONTRARIO QUE PUDIERA ARGUMENTAR EL TRABAJADOR.</w:t>
      </w:r>
    </w:p>
    <w:p w14:paraId="5FAF32B9" w14:textId="11645832" w:rsidR="001217FE" w:rsidRPr="001217FE" w:rsidRDefault="001217FE" w:rsidP="001217FE">
      <w:pPr>
        <w:ind w:left="851" w:right="900"/>
        <w:jc w:val="both"/>
        <w:rPr>
          <w:rFonts w:ascii="Palatino Linotype" w:hAnsi="Palatino Linotype"/>
          <w:i/>
          <w:sz w:val="22"/>
          <w:szCs w:val="22"/>
          <w:lang w:val="es-MX" w:eastAsia="es-MX"/>
        </w:rPr>
      </w:pPr>
    </w:p>
    <w:p w14:paraId="434D65F6" w14:textId="77777777" w:rsidR="001217FE" w:rsidRPr="001217FE" w:rsidRDefault="001217FE" w:rsidP="001217FE">
      <w:pPr>
        <w:ind w:left="851" w:right="900"/>
        <w:jc w:val="both"/>
        <w:rPr>
          <w:rFonts w:ascii="Palatino Linotype" w:hAnsi="Palatino Linotype" w:cs="Calibri"/>
          <w:i/>
          <w:color w:val="000000"/>
          <w:sz w:val="22"/>
          <w:szCs w:val="22"/>
          <w:lang w:val="es-MX" w:eastAsia="es-MX"/>
        </w:rPr>
      </w:pPr>
      <w:r w:rsidRPr="001217FE">
        <w:rPr>
          <w:rFonts w:ascii="Palatino Linotype" w:hAnsi="Palatino Linotype" w:cs="Calibri"/>
          <w:i/>
          <w:color w:val="000000"/>
          <w:sz w:val="22"/>
          <w:szCs w:val="22"/>
          <w:u w:val="single"/>
          <w:lang w:val="es-MX" w:eastAsia="es-MX"/>
        </w:rPr>
        <w:lastRenderedPageBreak/>
        <w:t>Si el trabajador firma un recibo finiquito, dicho documento prueba que la relación de trabajo terminó en forma voluntaria</w:t>
      </w:r>
      <w:r w:rsidRPr="001217FE">
        <w:rPr>
          <w:rFonts w:ascii="Palatino Linotype" w:hAnsi="Palatino Linotype" w:cs="Calibri"/>
          <w:i/>
          <w:color w:val="000000"/>
          <w:sz w:val="22"/>
          <w:szCs w:val="22"/>
          <w:lang w:val="es-MX" w:eastAsia="es-MX"/>
        </w:rPr>
        <w:t xml:space="preserve">, a pesar de la afirmación en contrario que pudiera argumentar el trabajador. </w:t>
      </w:r>
    </w:p>
    <w:p w14:paraId="5F39C06B" w14:textId="1EC4C8EF" w:rsidR="001217FE" w:rsidRPr="001217FE" w:rsidRDefault="001217FE" w:rsidP="001217FE">
      <w:pPr>
        <w:ind w:left="851" w:right="900"/>
        <w:jc w:val="both"/>
        <w:rPr>
          <w:rFonts w:ascii="Palatino Linotype" w:hAnsi="Palatino Linotype" w:cs="Calibri"/>
          <w:i/>
          <w:color w:val="000000"/>
          <w:sz w:val="22"/>
          <w:szCs w:val="22"/>
          <w:lang w:val="es-MX" w:eastAsia="es-MX"/>
        </w:rPr>
      </w:pPr>
      <w:r w:rsidRPr="001217FE">
        <w:rPr>
          <w:rFonts w:ascii="Palatino Linotype" w:hAnsi="Palatino Linotype" w:cs="Calibri"/>
          <w:i/>
          <w:color w:val="000000"/>
          <w:sz w:val="22"/>
          <w:szCs w:val="22"/>
          <w:lang w:val="es-MX" w:eastAsia="es-MX"/>
        </w:rPr>
        <w:t>SEGUNDO TRIBUNAL COLEGIADO DEL OCTAVO CIRCUITO.”</w:t>
      </w:r>
    </w:p>
    <w:p w14:paraId="58CCC04F" w14:textId="7A8E41F0" w:rsidR="001217FE" w:rsidRPr="001217FE" w:rsidRDefault="001217FE" w:rsidP="001217FE">
      <w:pPr>
        <w:jc w:val="both"/>
        <w:rPr>
          <w:rFonts w:ascii="Calibri" w:hAnsi="Calibri" w:cs="Calibri"/>
          <w:color w:val="000000"/>
          <w:sz w:val="26"/>
          <w:szCs w:val="26"/>
          <w:lang w:val="es-MX" w:eastAsia="es-MX"/>
        </w:rPr>
      </w:pPr>
    </w:p>
    <w:p w14:paraId="5079EA22" w14:textId="18B43C27" w:rsidR="007E50D3" w:rsidRDefault="001217FE" w:rsidP="006A559E">
      <w:pPr>
        <w:spacing w:before="240" w:after="240" w:line="360" w:lineRule="auto"/>
        <w:jc w:val="both"/>
        <w:rPr>
          <w:rFonts w:ascii="Palatino Linotype" w:hAnsi="Palatino Linotype" w:cs="Arial"/>
        </w:rPr>
      </w:pPr>
      <w:r>
        <w:rPr>
          <w:rFonts w:ascii="Palatino Linotype" w:hAnsi="Palatino Linotype" w:cs="Arial"/>
        </w:rPr>
        <w:t>Así de la interpretación armónica y sistemática de las tesis citadas</w:t>
      </w:r>
      <w:r w:rsidR="003F0578">
        <w:rPr>
          <w:rFonts w:ascii="Palatino Linotype" w:hAnsi="Palatino Linotype" w:cs="Arial"/>
        </w:rPr>
        <w:t xml:space="preserve"> se puede desprender que si bien ambos conceptos: </w:t>
      </w:r>
      <w:r w:rsidR="003F0578">
        <w:rPr>
          <w:rFonts w:ascii="Palatino Linotype" w:hAnsi="Palatino Linotype" w:cs="Arial"/>
          <w:i/>
        </w:rPr>
        <w:t>finiquito</w:t>
      </w:r>
      <w:r w:rsidR="003F0578">
        <w:rPr>
          <w:rFonts w:ascii="Palatino Linotype" w:hAnsi="Palatino Linotype" w:cs="Arial"/>
        </w:rPr>
        <w:t xml:space="preserve"> y </w:t>
      </w:r>
      <w:r w:rsidR="003F0578">
        <w:rPr>
          <w:rFonts w:ascii="Palatino Linotype" w:hAnsi="Palatino Linotype" w:cs="Arial"/>
          <w:i/>
        </w:rPr>
        <w:t>liquidación</w:t>
      </w:r>
      <w:r w:rsidR="003F0578">
        <w:rPr>
          <w:rFonts w:ascii="Palatino Linotype" w:hAnsi="Palatino Linotype" w:cs="Arial"/>
        </w:rPr>
        <w:t xml:space="preserve"> en materia laboral implican el cálculo de una cantidad a pagar al trabajador en razón de la terminación de la relación laboral, se puede colegir que el finiquito corresponde cuando la relación laboral termina de manera voluntaria por parte del trabajador, es decir cuando este renuncia; en cambio se habla de liquidación cuando es ordenado algún pago por parte de la autoridad laboral mediante un laudo, lo que necesariamente implica que hubo una demanda laboral ya sea iniciada por el patrón o por el trabajador</w:t>
      </w:r>
      <w:r w:rsidR="00304D7E">
        <w:rPr>
          <w:rFonts w:ascii="Palatino Linotype" w:hAnsi="Palatino Linotype" w:cs="Arial"/>
        </w:rPr>
        <w:t>,</w:t>
      </w:r>
      <w:r w:rsidR="003F0578">
        <w:rPr>
          <w:rFonts w:ascii="Palatino Linotype" w:hAnsi="Palatino Linotype" w:cs="Arial"/>
        </w:rPr>
        <w:t xml:space="preserve"> en el primer caso para rescindir la relación por causas imputables al trabajador y en el segundo caso para reclamar un despido al parecer injustificado.</w:t>
      </w:r>
    </w:p>
    <w:p w14:paraId="4642EC66" w14:textId="0197A76E" w:rsidR="003F0578" w:rsidRDefault="003F0578" w:rsidP="006A559E">
      <w:pPr>
        <w:spacing w:before="240" w:after="240" w:line="360" w:lineRule="auto"/>
        <w:jc w:val="both"/>
        <w:rPr>
          <w:rFonts w:ascii="Palatino Linotype" w:hAnsi="Palatino Linotype" w:cs="Arial"/>
        </w:rPr>
      </w:pPr>
      <w:r>
        <w:rPr>
          <w:rFonts w:ascii="Palatino Linotype" w:hAnsi="Palatino Linotype" w:cs="Arial"/>
        </w:rPr>
        <w:t xml:space="preserve">En ese sentido es que se presume que en la respuesta otorgada por el particular únicamente se informó el nombre de las personas que renunciaron a su empleo en el periodo de la administración de la actual Rectora y que por ende les correspondió un pago por concepto de </w:t>
      </w:r>
      <w:r w:rsidRPr="003F0578">
        <w:rPr>
          <w:rFonts w:ascii="Palatino Linotype" w:hAnsi="Palatino Linotype" w:cs="Arial"/>
          <w:i/>
        </w:rPr>
        <w:t>finiquito</w:t>
      </w:r>
      <w:r w:rsidR="00304D7E">
        <w:rPr>
          <w:rFonts w:ascii="Palatino Linotype" w:hAnsi="Palatino Linotype" w:cs="Arial"/>
        </w:rPr>
        <w:t>;</w:t>
      </w:r>
      <w:r w:rsidR="0052722C">
        <w:rPr>
          <w:rFonts w:ascii="Palatino Linotype" w:hAnsi="Palatino Linotype" w:cs="Arial"/>
        </w:rPr>
        <w:t xml:space="preserve"> no obstante como lo refiere el recurrente en su motivos de inconformidad</w:t>
      </w:r>
      <w:r w:rsidR="00304D7E">
        <w:rPr>
          <w:rFonts w:ascii="Palatino Linotype" w:hAnsi="Palatino Linotype" w:cs="Arial"/>
        </w:rPr>
        <w:t>,</w:t>
      </w:r>
      <w:r w:rsidR="0052722C">
        <w:rPr>
          <w:rFonts w:ascii="Palatino Linotype" w:hAnsi="Palatino Linotype" w:cs="Arial"/>
        </w:rPr>
        <w:t xml:space="preserve"> en la respuesta se omitió pronunciamiento alguno respecto el pago de liquidaciones, es decir el pago de recursos públicos a ex servidores públicos derivado de la terminación de la relación laboral que haya sido así ordenado por la autoridad laboral en un laudo condenatorio.</w:t>
      </w:r>
    </w:p>
    <w:p w14:paraId="223A6185" w14:textId="31FEE6E0" w:rsidR="0052722C" w:rsidRDefault="0052722C" w:rsidP="006A559E">
      <w:pPr>
        <w:spacing w:before="240" w:after="240" w:line="360" w:lineRule="auto"/>
        <w:jc w:val="both"/>
        <w:rPr>
          <w:rFonts w:ascii="Palatino Linotype" w:hAnsi="Palatino Linotype" w:cs="Arial"/>
        </w:rPr>
      </w:pPr>
      <w:r>
        <w:rPr>
          <w:rFonts w:ascii="Palatino Linotype" w:hAnsi="Palatino Linotype" w:cs="Arial"/>
        </w:rPr>
        <w:t xml:space="preserve">En ese sentido, resulta alusivo referir que de acuerdo a la Ley del Trabajo del Estado y Municipios, en específico con su artículo 92, tanto el servidor público como la </w:t>
      </w:r>
      <w:r>
        <w:rPr>
          <w:rFonts w:ascii="Palatino Linotype" w:hAnsi="Palatino Linotype" w:cs="Arial"/>
        </w:rPr>
        <w:lastRenderedPageBreak/>
        <w:t>institución pública, podrán rescindir en cualquier tiempo, por causa justificada la relación laboral; teniendo ambos</w:t>
      </w:r>
      <w:r w:rsidR="00304D7E">
        <w:rPr>
          <w:rFonts w:ascii="Palatino Linotype" w:hAnsi="Palatino Linotype" w:cs="Arial"/>
        </w:rPr>
        <w:t>,</w:t>
      </w:r>
      <w:r>
        <w:rPr>
          <w:rFonts w:ascii="Palatino Linotype" w:hAnsi="Palatino Linotype" w:cs="Arial"/>
        </w:rPr>
        <w:t xml:space="preserve"> distintos supuestos por los cuales podrán requerir la recisión sin responsabilidad para quien lo solicite, las cuales vienen detalladas en los artículos 93 y 95.</w:t>
      </w:r>
    </w:p>
    <w:p w14:paraId="2483C291" w14:textId="6CB4DD37" w:rsidR="0052722C" w:rsidRDefault="0052722C" w:rsidP="006A559E">
      <w:pPr>
        <w:spacing w:before="240" w:after="240" w:line="360" w:lineRule="auto"/>
        <w:jc w:val="both"/>
        <w:rPr>
          <w:rFonts w:ascii="Palatino Linotype" w:hAnsi="Palatino Linotype" w:cs="Arial"/>
        </w:rPr>
      </w:pPr>
      <w:r>
        <w:rPr>
          <w:rFonts w:ascii="Palatino Linotype" w:hAnsi="Palatino Linotype" w:cs="Arial"/>
        </w:rPr>
        <w:t>Ahora bien, en el artículo 96</w:t>
      </w:r>
      <w:r w:rsidR="00121F71">
        <w:rPr>
          <w:rFonts w:ascii="Palatino Linotype" w:hAnsi="Palatino Linotype" w:cs="Arial"/>
        </w:rPr>
        <w:t xml:space="preserve"> de la citada Ley del Trabajo,</w:t>
      </w:r>
      <w:r>
        <w:rPr>
          <w:rFonts w:ascii="Palatino Linotype" w:hAnsi="Palatino Linotype" w:cs="Arial"/>
        </w:rPr>
        <w:t xml:space="preserve"> se habla de que el servidor público </w:t>
      </w:r>
      <w:r w:rsidR="00B859B2">
        <w:rPr>
          <w:rFonts w:ascii="Palatino Linotype" w:hAnsi="Palatino Linotype" w:cs="Arial"/>
        </w:rPr>
        <w:t xml:space="preserve">puede solicitar ante el </w:t>
      </w:r>
      <w:r w:rsidR="00304D7E">
        <w:rPr>
          <w:rFonts w:ascii="Palatino Linotype" w:hAnsi="Palatino Linotype" w:cs="Arial"/>
        </w:rPr>
        <w:t>Tribunal que se le indemnice cuand</w:t>
      </w:r>
      <w:r w:rsidR="00B859B2">
        <w:rPr>
          <w:rFonts w:ascii="Palatino Linotype" w:hAnsi="Palatino Linotype" w:cs="Arial"/>
        </w:rPr>
        <w:t>o considere que la causa de recisión ha sido injustificada, lo cual sería</w:t>
      </w:r>
      <w:r w:rsidR="00304D7E">
        <w:rPr>
          <w:rFonts w:ascii="Palatino Linotype" w:hAnsi="Palatino Linotype" w:cs="Arial"/>
        </w:rPr>
        <w:t xml:space="preserve"> equivalente a tres meses de su</w:t>
      </w:r>
      <w:r w:rsidR="00B859B2">
        <w:rPr>
          <w:rFonts w:ascii="Palatino Linotype" w:hAnsi="Palatino Linotype" w:cs="Arial"/>
        </w:rPr>
        <w:t xml:space="preserve"> salario base, así como al pago de salarios vencidos desde la fecha del despido hasta por un periodo máximo de doce meses; por lo que se entiende que el pago por dichos conceptos serían los que diferencian al pago de un </w:t>
      </w:r>
      <w:r w:rsidR="00B859B2">
        <w:rPr>
          <w:rFonts w:ascii="Palatino Linotype" w:hAnsi="Palatino Linotype" w:cs="Arial"/>
          <w:i/>
        </w:rPr>
        <w:t>finiquito</w:t>
      </w:r>
      <w:r w:rsidR="00B859B2">
        <w:rPr>
          <w:rFonts w:ascii="Palatino Linotype" w:hAnsi="Palatino Linotype" w:cs="Arial"/>
        </w:rPr>
        <w:t>, pues los mismos devendrían de demostrarse un despido injustificado en un juicio laboral concluido con un laudo; al contrario de lo que correspondería como pago en el caso de una terminación laboral por renuncia, donde únicamente estaría contemplado el pago de las prestaciones proporcionales que correspondan, sin pagos extras con el objeto de indemnizar al trabajador por un despido injustificado.</w:t>
      </w:r>
    </w:p>
    <w:p w14:paraId="04BF9EF4" w14:textId="672CDED9" w:rsidR="00B859B2" w:rsidRDefault="00B859B2" w:rsidP="006A559E">
      <w:pPr>
        <w:spacing w:before="240" w:after="240" w:line="360" w:lineRule="auto"/>
        <w:jc w:val="both"/>
        <w:rPr>
          <w:rFonts w:ascii="Palatino Linotype" w:hAnsi="Palatino Linotype" w:cs="Arial"/>
        </w:rPr>
      </w:pPr>
      <w:r>
        <w:rPr>
          <w:rFonts w:ascii="Palatino Linotype" w:hAnsi="Palatino Linotype" w:cs="Arial"/>
        </w:rPr>
        <w:t>As</w:t>
      </w:r>
      <w:r w:rsidR="004222E2">
        <w:rPr>
          <w:rFonts w:ascii="Palatino Linotype" w:hAnsi="Palatino Linotype" w:cs="Arial"/>
        </w:rPr>
        <w:t xml:space="preserve">í las cosas, ante la falta de respuesta por parte del Sujeto Obligado por cuanto hace al pago de </w:t>
      </w:r>
      <w:r w:rsidR="004222E2">
        <w:rPr>
          <w:rFonts w:ascii="Palatino Linotype" w:hAnsi="Palatino Linotype" w:cs="Arial"/>
          <w:i/>
        </w:rPr>
        <w:t>liquidaciones</w:t>
      </w:r>
      <w:r w:rsidR="004222E2">
        <w:rPr>
          <w:rFonts w:ascii="Palatino Linotype" w:hAnsi="Palatino Linotype" w:cs="Arial"/>
        </w:rPr>
        <w:t xml:space="preserve"> a ex servidores públicos, resulta necesario ordenarle la entrega de los documentos de que se pueda desprender el nombre de las personas </w:t>
      </w:r>
      <w:r w:rsidR="00304D7E">
        <w:rPr>
          <w:rFonts w:ascii="Palatino Linotype" w:hAnsi="Palatino Linotype" w:cs="Arial"/>
        </w:rPr>
        <w:t xml:space="preserve">y monto </w:t>
      </w:r>
      <w:r w:rsidR="004222E2">
        <w:rPr>
          <w:rFonts w:ascii="Palatino Linotype" w:hAnsi="Palatino Linotype" w:cs="Arial"/>
        </w:rPr>
        <w:t>que han recibido</w:t>
      </w:r>
      <w:r w:rsidR="00304D7E">
        <w:rPr>
          <w:rFonts w:ascii="Palatino Linotype" w:hAnsi="Palatino Linotype" w:cs="Arial"/>
        </w:rPr>
        <w:t xml:space="preserve"> pago</w:t>
      </w:r>
      <w:r w:rsidR="004222E2">
        <w:rPr>
          <w:rFonts w:ascii="Palatino Linotype" w:hAnsi="Palatino Linotype" w:cs="Arial"/>
        </w:rPr>
        <w:t xml:space="preserve"> por concepto de liquidación desde el inicio de funciones de la actual Rectora a la fecha de la solicitud; esto es del 16 de octubre de 2017 al 8 de junio de 2018, </w:t>
      </w:r>
      <w:r w:rsidR="00304D7E">
        <w:rPr>
          <w:rFonts w:ascii="Palatino Linotype" w:hAnsi="Palatino Linotype" w:cs="Arial"/>
        </w:rPr>
        <w:t>pudiendo</w:t>
      </w:r>
      <w:r w:rsidR="004222E2">
        <w:rPr>
          <w:rFonts w:ascii="Palatino Linotype" w:hAnsi="Palatino Linotype" w:cs="Arial"/>
        </w:rPr>
        <w:t xml:space="preserve"> ser tales documentos de manera enunciativa mas no limitativa los laudos condenatorios en tal sentido o los cheques o pólizas por tal concepto.</w:t>
      </w:r>
    </w:p>
    <w:p w14:paraId="58677BAA" w14:textId="5390648E" w:rsidR="00ED1E66" w:rsidRDefault="00ED1E66" w:rsidP="006A559E">
      <w:pPr>
        <w:spacing w:before="240" w:after="240" w:line="360" w:lineRule="auto"/>
        <w:jc w:val="both"/>
        <w:rPr>
          <w:rFonts w:ascii="Palatino Linotype" w:hAnsi="Palatino Linotype" w:cs="Arial"/>
        </w:rPr>
      </w:pPr>
      <w:r>
        <w:rPr>
          <w:rFonts w:ascii="Palatino Linotype" w:hAnsi="Palatino Linotype" w:cs="Arial"/>
        </w:rPr>
        <w:lastRenderedPageBreak/>
        <w:t>No obstante lo anterior, también es posible que el Sujeto Obligado no cuente con información relativa a la pago de liquidaciones, por no existir ningún laudo condenatorio en el periodo de gestión de la actual Rectora, por el que se le haya obligado a ello; de tal manera de no localizar la información que se ordena por no haberse generado, será suficiente con que para dar atención a la presente resolución se manifieste en tal sentido.</w:t>
      </w:r>
    </w:p>
    <w:p w14:paraId="1EA349EE" w14:textId="06A2D10D" w:rsidR="00AB7BB4" w:rsidRDefault="00AB7BB4" w:rsidP="00AB7BB4">
      <w:pPr>
        <w:pStyle w:val="NormalWeb"/>
        <w:spacing w:line="360" w:lineRule="auto"/>
        <w:jc w:val="both"/>
        <w:rPr>
          <w:rFonts w:ascii="Palatino Linotype" w:hAnsi="Palatino Linotype"/>
          <w:color w:val="000000"/>
        </w:rPr>
      </w:pPr>
      <w:r>
        <w:rPr>
          <w:rFonts w:ascii="Palatino Linotype" w:hAnsi="Palatino Linotype" w:cs="Arial"/>
        </w:rPr>
        <w:t>Lo anterior se estima así ya que es de subrayar que</w:t>
      </w:r>
      <w:r>
        <w:rPr>
          <w:rFonts w:ascii="Palatino Linotype" w:hAnsi="Palatino Linotype"/>
          <w:color w:val="000000"/>
        </w:rPr>
        <w:t xml:space="preserve"> de acuerdo a la Ley de Transparencia de la Entidad,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7957F391" w14:textId="77777777" w:rsidR="00AB7BB4" w:rsidRPr="009D55F7" w:rsidRDefault="00AB7BB4" w:rsidP="00AB7BB4">
      <w:pPr>
        <w:pStyle w:val="NormalWeb"/>
        <w:ind w:left="993" w:right="1041"/>
        <w:jc w:val="both"/>
        <w:rPr>
          <w:rFonts w:ascii="Palatino Linotype" w:hAnsi="Palatino Linotype"/>
          <w:i/>
          <w:sz w:val="22"/>
          <w:szCs w:val="22"/>
        </w:rPr>
      </w:pPr>
      <w:r w:rsidRPr="009D55F7">
        <w:rPr>
          <w:rFonts w:ascii="Palatino Linotype" w:hAnsi="Palatino Linotype" w:cs="Arial"/>
          <w:i/>
          <w:sz w:val="22"/>
          <w:szCs w:val="22"/>
        </w:rPr>
        <w:t xml:space="preserve"> “</w:t>
      </w:r>
      <w:r w:rsidRPr="009D55F7">
        <w:rPr>
          <w:rFonts w:ascii="Palatino Linotype" w:hAnsi="Palatino Linotype"/>
          <w:b/>
          <w:i/>
          <w:sz w:val="22"/>
          <w:szCs w:val="22"/>
        </w:rPr>
        <w:t>Artículo 4.</w:t>
      </w:r>
      <w:r w:rsidRPr="009D55F7">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E280626" w14:textId="77777777" w:rsidR="00AB7BB4" w:rsidRDefault="00AB7BB4" w:rsidP="00AB7BB4">
      <w:pPr>
        <w:pStyle w:val="NormalWeb"/>
        <w:ind w:left="993" w:right="1041"/>
        <w:jc w:val="both"/>
        <w:rPr>
          <w:rFonts w:ascii="Palatino Linotype" w:hAnsi="Palatino Linotype" w:cs="Arial"/>
        </w:rPr>
      </w:pPr>
      <w:r w:rsidRPr="009D55F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9D55F7">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80BF0A" w14:textId="208CB004" w:rsidR="00AB7BB4" w:rsidRDefault="00AB7BB4" w:rsidP="00AB7BB4">
      <w:pPr>
        <w:pStyle w:val="NormalWeb"/>
        <w:spacing w:line="360" w:lineRule="auto"/>
        <w:jc w:val="both"/>
        <w:rPr>
          <w:rFonts w:ascii="Palatino Linotype" w:hAnsi="Palatino Linotype" w:cs="Arial"/>
        </w:rPr>
      </w:pPr>
      <w:r>
        <w:rPr>
          <w:rFonts w:ascii="Palatino Linotype" w:hAnsi="Palatino Linotype" w:cs="Arial"/>
        </w:rPr>
        <w:t xml:space="preserve">Por  tanto el Sujeto Obligado cuenta con el deber en el ánimo de satisfacer las solicitudes de acceso a la información que le sean formuladas, de entregar la </w:t>
      </w:r>
      <w:r>
        <w:rPr>
          <w:rFonts w:ascii="Palatino Linotype" w:hAnsi="Palatino Linotype" w:cs="Arial"/>
        </w:rPr>
        <w:lastRenderedPageBreak/>
        <w:t>información pública que obre en sus archivos como lo indica el artículo 12, segundo párrafo de la Ley en análisis; dispositivo que se transcribe enseguida para una mejor referencia:</w:t>
      </w:r>
    </w:p>
    <w:p w14:paraId="062DB74E" w14:textId="77777777" w:rsidR="00AB7BB4" w:rsidRPr="005A74B9" w:rsidRDefault="00AB7BB4" w:rsidP="00AB7BB4">
      <w:pPr>
        <w:pStyle w:val="Textonotapie"/>
        <w:spacing w:after="240"/>
        <w:ind w:left="851" w:right="900"/>
        <w:jc w:val="both"/>
        <w:rPr>
          <w:rFonts w:ascii="Palatino Linotype" w:hAnsi="Palatino Linotype"/>
          <w:i/>
          <w:sz w:val="22"/>
          <w:szCs w:val="22"/>
        </w:rPr>
      </w:pPr>
      <w:r w:rsidRPr="005A74B9">
        <w:rPr>
          <w:rFonts w:ascii="Palatino Linotype" w:hAnsi="Palatino Linotype"/>
          <w:i/>
          <w:sz w:val="22"/>
          <w:szCs w:val="22"/>
        </w:rPr>
        <w:t>“</w:t>
      </w:r>
      <w:r w:rsidRPr="005A74B9">
        <w:rPr>
          <w:rFonts w:ascii="Palatino Linotype" w:hAnsi="Palatino Linotype"/>
          <w:b/>
          <w:i/>
          <w:sz w:val="22"/>
          <w:szCs w:val="22"/>
        </w:rPr>
        <w:t>Artículo 12</w:t>
      </w:r>
      <w:r w:rsidRPr="005A74B9">
        <w:rPr>
          <w:rFonts w:ascii="Palatino Linotype" w:hAnsi="Palatino Linotype"/>
          <w:i/>
          <w:sz w:val="22"/>
          <w:szCs w:val="22"/>
        </w:rPr>
        <w:t>. (…)</w:t>
      </w:r>
    </w:p>
    <w:p w14:paraId="22DDE88E" w14:textId="77777777" w:rsidR="00AB7BB4" w:rsidRPr="005A74B9" w:rsidRDefault="00AB7BB4" w:rsidP="00AB7BB4">
      <w:pPr>
        <w:pStyle w:val="Textonotapie"/>
        <w:spacing w:after="240"/>
        <w:ind w:left="851" w:right="900"/>
        <w:jc w:val="both"/>
        <w:rPr>
          <w:i/>
          <w:sz w:val="22"/>
          <w:szCs w:val="22"/>
        </w:rPr>
      </w:pPr>
      <w:r w:rsidRPr="005A74B9">
        <w:rPr>
          <w:rFonts w:ascii="Palatino Linotype" w:hAnsi="Palatino Linotype"/>
          <w:b/>
          <w:i/>
          <w:sz w:val="22"/>
          <w:szCs w:val="22"/>
        </w:rPr>
        <w:t>Los sujetos obligados sólo proporcionarán la información pública que se les requiera y que obre en sus archivos y en el estado en que ésta se encuentre</w:t>
      </w:r>
      <w:r w:rsidRPr="005A74B9">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390DDC8C" w14:textId="3749F30D" w:rsidR="00AB7BB4" w:rsidRDefault="00AB7BB4" w:rsidP="00AB7BB4">
      <w:pPr>
        <w:spacing w:before="240" w:after="240" w:line="360" w:lineRule="auto"/>
        <w:jc w:val="both"/>
        <w:rPr>
          <w:rFonts w:ascii="Palatino Linotype" w:hAnsi="Palatino Linotype"/>
        </w:rPr>
      </w:pPr>
      <w:r>
        <w:rPr>
          <w:rFonts w:ascii="Palatino Linotype" w:hAnsi="Palatino Linotype"/>
          <w:b/>
        </w:rPr>
        <w:t xml:space="preserve">Quinto. Versión Pública. </w:t>
      </w:r>
      <w:r>
        <w:rPr>
          <w:rFonts w:ascii="Palatino Linotype" w:hAnsi="Palatino Linotype"/>
        </w:rPr>
        <w:t xml:space="preserve">Finalmente 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3D2B23C" w14:textId="77777777" w:rsidR="00AB7BB4" w:rsidRDefault="00AB7BB4" w:rsidP="00AB7BB4">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w:t>
      </w:r>
      <w:r w:rsidRPr="001363CF">
        <w:rPr>
          <w:rFonts w:ascii="Palatino Linotype" w:hAnsi="Palatino Linotype" w:cs="Arial"/>
        </w:rPr>
        <w:t xml:space="preserve"> </w:t>
      </w:r>
      <w:r w:rsidRPr="00991802">
        <w:rPr>
          <w:rFonts w:ascii="Palatino Linotype" w:hAnsi="Palatino Linotype" w:cs="Arial"/>
        </w:rPr>
        <w:t xml:space="preserve">de la Ley de Transparencia y Acceso a la Información Pública del Estado de México y Municipios </w:t>
      </w:r>
      <w:r>
        <w:rPr>
          <w:rFonts w:ascii="Palatino Linotype" w:hAnsi="Palatino Linotype" w:cs="Arial"/>
        </w:rPr>
        <w:t>vigente, que se leen como sigue</w:t>
      </w:r>
      <w:r w:rsidRPr="00991802">
        <w:rPr>
          <w:rFonts w:ascii="Palatino Linotype" w:hAnsi="Palatino Linotype" w:cs="Arial"/>
        </w:rPr>
        <w:t>:</w:t>
      </w:r>
    </w:p>
    <w:p w14:paraId="250C9DA9" w14:textId="77777777" w:rsidR="00AB7BB4" w:rsidRPr="00582A37" w:rsidRDefault="00AB7BB4" w:rsidP="00AB7BB4">
      <w:pPr>
        <w:autoSpaceDE w:val="0"/>
        <w:autoSpaceDN w:val="0"/>
        <w:adjustRightInd w:val="0"/>
        <w:ind w:left="993" w:right="1041"/>
        <w:jc w:val="both"/>
        <w:rPr>
          <w:rFonts w:ascii="Palatino Linotype" w:hAnsi="Palatino Linotype" w:cs="Arial"/>
          <w:b/>
          <w:i/>
          <w:sz w:val="22"/>
          <w:szCs w:val="22"/>
        </w:rPr>
      </w:pPr>
      <w:r w:rsidRPr="00582A37">
        <w:rPr>
          <w:rFonts w:ascii="Palatino Linotype" w:hAnsi="Palatino Linotype" w:cs="Arial"/>
          <w:b/>
          <w:i/>
          <w:sz w:val="22"/>
          <w:szCs w:val="22"/>
        </w:rPr>
        <w:t xml:space="preserve"> “Artículo 3. Para los efectos de la presente Ley se entenderá por:</w:t>
      </w:r>
    </w:p>
    <w:p w14:paraId="70092B84" w14:textId="77777777" w:rsidR="00AB7BB4" w:rsidRPr="00582A37" w:rsidRDefault="00AB7BB4" w:rsidP="00AB7BB4">
      <w:pPr>
        <w:autoSpaceDE w:val="0"/>
        <w:autoSpaceDN w:val="0"/>
        <w:adjustRightInd w:val="0"/>
        <w:ind w:left="993" w:right="1041"/>
        <w:jc w:val="both"/>
        <w:rPr>
          <w:rFonts w:ascii="Palatino Linotype" w:hAnsi="Palatino Linotype" w:cs="Arial"/>
          <w:i/>
          <w:sz w:val="22"/>
          <w:szCs w:val="22"/>
        </w:rPr>
      </w:pPr>
      <w:r w:rsidRPr="00582A37">
        <w:rPr>
          <w:rFonts w:ascii="Palatino Linotype" w:hAnsi="Palatino Linotype" w:cs="Arial"/>
          <w:b/>
          <w:i/>
          <w:sz w:val="22"/>
          <w:szCs w:val="22"/>
        </w:rPr>
        <w:lastRenderedPageBreak/>
        <w:t>IX. Datos personales:</w:t>
      </w:r>
      <w:r w:rsidRPr="00582A37">
        <w:rPr>
          <w:rFonts w:ascii="Palatino Linotype" w:hAnsi="Palatino Linotype" w:cs="Arial"/>
          <w:i/>
          <w:sz w:val="22"/>
          <w:szCs w:val="22"/>
        </w:rPr>
        <w:t xml:space="preserve"> </w:t>
      </w:r>
      <w:r w:rsidRPr="001363CF">
        <w:rPr>
          <w:rFonts w:ascii="Palatino Linotype" w:hAnsi="Palatino Linotype" w:cs="Arial"/>
          <w:b/>
          <w:i/>
          <w:sz w:val="22"/>
          <w:szCs w:val="22"/>
        </w:rPr>
        <w:t>La información concerniente a una persona, identificada o identificable</w:t>
      </w:r>
      <w:r w:rsidRPr="00582A37">
        <w:rPr>
          <w:rFonts w:ascii="Palatino Linotype" w:hAnsi="Palatino Linotype" w:cs="Arial"/>
          <w:i/>
          <w:sz w:val="22"/>
          <w:szCs w:val="22"/>
        </w:rPr>
        <w:t xml:space="preserve"> según lo dispuesto por la Ley de Protección de Datos Personales del Estado de México;</w:t>
      </w:r>
    </w:p>
    <w:p w14:paraId="2AD75FF7" w14:textId="77777777" w:rsidR="00AB7BB4" w:rsidRPr="00582A37" w:rsidRDefault="00AB7BB4" w:rsidP="00AB7BB4">
      <w:pPr>
        <w:autoSpaceDE w:val="0"/>
        <w:autoSpaceDN w:val="0"/>
        <w:adjustRightInd w:val="0"/>
        <w:ind w:left="993" w:right="1041"/>
        <w:jc w:val="both"/>
        <w:rPr>
          <w:rFonts w:ascii="Palatino Linotype" w:hAnsi="Palatino Linotype" w:cs="Arial"/>
          <w:i/>
          <w:sz w:val="22"/>
          <w:szCs w:val="22"/>
        </w:rPr>
      </w:pPr>
      <w:r w:rsidRPr="00582A37">
        <w:rPr>
          <w:rFonts w:ascii="Palatino Linotype" w:hAnsi="Palatino Linotype" w:cs="Arial"/>
          <w:b/>
          <w:i/>
          <w:sz w:val="22"/>
          <w:szCs w:val="22"/>
        </w:rPr>
        <w:t>XX. Información clasificada:</w:t>
      </w:r>
      <w:r w:rsidRPr="00582A37">
        <w:rPr>
          <w:rFonts w:ascii="Palatino Linotype" w:hAnsi="Palatino Linotype" w:cs="Arial"/>
          <w:i/>
          <w:sz w:val="22"/>
          <w:szCs w:val="22"/>
        </w:rPr>
        <w:t xml:space="preserve"> Aquella considerada por la presente Ley como reservada o confidencial;</w:t>
      </w:r>
    </w:p>
    <w:p w14:paraId="238947B2" w14:textId="77777777" w:rsidR="00AB7BB4" w:rsidRPr="00582A37" w:rsidRDefault="00AB7BB4" w:rsidP="00AB7BB4">
      <w:pPr>
        <w:autoSpaceDE w:val="0"/>
        <w:autoSpaceDN w:val="0"/>
        <w:adjustRightInd w:val="0"/>
        <w:ind w:left="993" w:right="1041"/>
        <w:jc w:val="both"/>
        <w:rPr>
          <w:rFonts w:ascii="Palatino Linotype" w:hAnsi="Palatino Linotype"/>
          <w:i/>
          <w:sz w:val="22"/>
          <w:szCs w:val="22"/>
        </w:rPr>
      </w:pPr>
      <w:r w:rsidRPr="00582A37">
        <w:rPr>
          <w:rFonts w:ascii="Palatino Linotype" w:hAnsi="Palatino Linotype"/>
          <w:b/>
          <w:i/>
          <w:sz w:val="22"/>
          <w:szCs w:val="22"/>
        </w:rPr>
        <w:t>XXXII. Protección de Datos Personales:</w:t>
      </w:r>
      <w:r w:rsidRPr="00582A37">
        <w:rPr>
          <w:rFonts w:ascii="Palatino Linotype" w:hAnsi="Palatino Linotype"/>
          <w:i/>
          <w:sz w:val="22"/>
          <w:szCs w:val="22"/>
        </w:rPr>
        <w:t xml:space="preserve"> Derecho humano que tutela la privacidad de datos personales en poder de los sujetos obligados y sujetos particulares;</w:t>
      </w:r>
    </w:p>
    <w:p w14:paraId="64903DA5" w14:textId="77777777" w:rsidR="00AB7BB4" w:rsidRDefault="00AB7BB4" w:rsidP="00AB7BB4">
      <w:pPr>
        <w:autoSpaceDE w:val="0"/>
        <w:autoSpaceDN w:val="0"/>
        <w:adjustRightInd w:val="0"/>
        <w:ind w:left="993" w:right="1041"/>
        <w:jc w:val="both"/>
        <w:rPr>
          <w:rFonts w:ascii="Palatino Linotype" w:hAnsi="Palatino Linotype" w:cs="Arial"/>
          <w:i/>
          <w:sz w:val="22"/>
          <w:szCs w:val="22"/>
        </w:rPr>
      </w:pPr>
      <w:r w:rsidRPr="00582A37">
        <w:rPr>
          <w:rFonts w:ascii="Palatino Linotype" w:hAnsi="Palatino Linotype" w:cs="Arial"/>
          <w:b/>
          <w:i/>
          <w:sz w:val="22"/>
          <w:szCs w:val="22"/>
        </w:rPr>
        <w:t>XLV. Versión pública</w:t>
      </w:r>
      <w:r w:rsidRPr="00582A37">
        <w:rPr>
          <w:rFonts w:ascii="Palatino Linotype" w:hAnsi="Palatino Linotype" w:cs="Arial"/>
          <w:i/>
          <w:sz w:val="22"/>
          <w:szCs w:val="22"/>
        </w:rPr>
        <w:t>: Documento en el que se elimine, suprime o borra la información clasificada como reservada o confidencial para permitir su acceso.”</w:t>
      </w:r>
    </w:p>
    <w:p w14:paraId="0C99D5CF" w14:textId="77777777" w:rsidR="00AB7BB4" w:rsidRPr="00582A37" w:rsidRDefault="00AB7BB4" w:rsidP="00AB7BB4">
      <w:pPr>
        <w:autoSpaceDE w:val="0"/>
        <w:autoSpaceDN w:val="0"/>
        <w:adjustRightInd w:val="0"/>
        <w:ind w:left="993" w:right="1041"/>
        <w:jc w:val="both"/>
        <w:rPr>
          <w:rFonts w:ascii="Palatino Linotype" w:hAnsi="Palatino Linotype" w:cs="Arial"/>
          <w:i/>
          <w:sz w:val="22"/>
          <w:szCs w:val="22"/>
        </w:rPr>
      </w:pPr>
    </w:p>
    <w:p w14:paraId="04AC2B23" w14:textId="77777777" w:rsidR="00AB7BB4" w:rsidRPr="00582A37" w:rsidRDefault="00AB7BB4" w:rsidP="00AB7BB4">
      <w:pPr>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6.</w:t>
      </w:r>
      <w:r w:rsidRPr="00582A3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BFF9563" w14:textId="77777777" w:rsidR="00AB7BB4" w:rsidRPr="00582A37" w:rsidRDefault="00AB7BB4" w:rsidP="00AB7BB4">
      <w:pPr>
        <w:ind w:left="993" w:right="1041"/>
        <w:contextualSpacing/>
        <w:jc w:val="both"/>
        <w:rPr>
          <w:rFonts w:ascii="Palatino Linotype" w:hAnsi="Palatino Linotype" w:cs="Arial"/>
          <w:bCs/>
          <w:i/>
          <w:noProof/>
          <w:sz w:val="22"/>
          <w:szCs w:val="22"/>
        </w:rPr>
      </w:pPr>
    </w:p>
    <w:p w14:paraId="7712CF3A" w14:textId="77777777" w:rsidR="00AB7BB4" w:rsidRPr="00582A37" w:rsidRDefault="00AB7BB4" w:rsidP="00AB7BB4">
      <w:pPr>
        <w:spacing w:before="240"/>
        <w:ind w:left="993" w:right="1041"/>
        <w:contextualSpacing/>
        <w:jc w:val="both"/>
        <w:rPr>
          <w:rFonts w:ascii="Palatino Linotype" w:hAnsi="Palatino Linotype" w:cs="Arial"/>
          <w:b/>
          <w:bCs/>
          <w:i/>
          <w:noProof/>
          <w:color w:val="FF0000"/>
          <w:sz w:val="22"/>
          <w:szCs w:val="22"/>
        </w:rPr>
      </w:pPr>
      <w:r w:rsidRPr="00582A37">
        <w:rPr>
          <w:rFonts w:ascii="Palatino Linotype" w:hAnsi="Palatino Linotype"/>
          <w:b/>
          <w:i/>
          <w:sz w:val="22"/>
          <w:szCs w:val="22"/>
        </w:rPr>
        <w:t>“Artículo 137.</w:t>
      </w:r>
      <w:r w:rsidRPr="00582A37">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A4E33A" w14:textId="77777777" w:rsidR="00AB7BB4" w:rsidRPr="00582A37" w:rsidRDefault="00AB7BB4" w:rsidP="00AB7BB4">
      <w:pPr>
        <w:spacing w:before="240"/>
        <w:ind w:left="993" w:right="1041"/>
        <w:contextualSpacing/>
        <w:jc w:val="both"/>
        <w:rPr>
          <w:rFonts w:ascii="Palatino Linotype" w:hAnsi="Palatino Linotype" w:cs="Arial"/>
          <w:b/>
          <w:bCs/>
          <w:i/>
          <w:noProof/>
          <w:color w:val="FF0000"/>
          <w:sz w:val="22"/>
          <w:szCs w:val="22"/>
        </w:rPr>
      </w:pPr>
    </w:p>
    <w:p w14:paraId="7BADE4FC" w14:textId="77777777" w:rsidR="00AB7BB4" w:rsidRPr="00582A37"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143</w:t>
      </w:r>
      <w:r w:rsidRPr="00582A37">
        <w:rPr>
          <w:rFonts w:ascii="Palatino Linotype" w:hAnsi="Palatino Linotype"/>
          <w:i/>
          <w:sz w:val="22"/>
          <w:szCs w:val="22"/>
        </w:rPr>
        <w:t>. Para los efectos de esta Ley se considera información confidencial, la clasificada como tal, de manera permanente, por su naturaleza, cuando:</w:t>
      </w:r>
    </w:p>
    <w:p w14:paraId="59368B3C" w14:textId="77777777" w:rsidR="00AB7BB4" w:rsidRPr="0029226A" w:rsidRDefault="00AB7BB4" w:rsidP="00AB7BB4">
      <w:pPr>
        <w:spacing w:before="240"/>
        <w:ind w:left="993" w:right="1041"/>
        <w:contextualSpacing/>
        <w:jc w:val="both"/>
        <w:rPr>
          <w:rFonts w:ascii="Palatino Linotype" w:hAnsi="Palatino Linotype"/>
          <w:i/>
        </w:rPr>
      </w:pPr>
      <w:r w:rsidRPr="00582A37">
        <w:rPr>
          <w:rFonts w:ascii="Palatino Linotype" w:hAnsi="Palatino Linotype"/>
          <w:b/>
          <w:i/>
          <w:sz w:val="22"/>
          <w:szCs w:val="22"/>
        </w:rPr>
        <w:t>I.</w:t>
      </w:r>
      <w:r w:rsidRPr="00582A37">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1C886806" w14:textId="0F9918E9" w:rsidR="00AB7BB4" w:rsidRDefault="00AB7BB4" w:rsidP="00AB7BB4">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Pr>
          <w:rFonts w:ascii="Palatino Linotype" w:hAnsi="Palatino Linotype" w:cs="Arial"/>
        </w:rPr>
        <w:lastRenderedPageBreak/>
        <w:t>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380B5EE2" w14:textId="77777777" w:rsidR="00AB7BB4" w:rsidRDefault="00AB7BB4" w:rsidP="00AB7BB4">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743E07D" w14:textId="77777777" w:rsidR="00AB7BB4" w:rsidRDefault="00AB7BB4" w:rsidP="00AB7BB4">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207F3D3" w14:textId="77777777" w:rsidR="00AB7BB4" w:rsidRPr="00582A37"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49.</w:t>
      </w:r>
      <w:r w:rsidRPr="00582A37">
        <w:rPr>
          <w:rFonts w:ascii="Palatino Linotype" w:hAnsi="Palatino Linotype"/>
          <w:i/>
          <w:sz w:val="22"/>
          <w:szCs w:val="22"/>
        </w:rPr>
        <w:t xml:space="preserve"> </w:t>
      </w:r>
      <w:r w:rsidRPr="00582A37">
        <w:rPr>
          <w:rFonts w:ascii="Palatino Linotype" w:hAnsi="Palatino Linotype"/>
          <w:b/>
          <w:i/>
          <w:sz w:val="22"/>
          <w:szCs w:val="22"/>
        </w:rPr>
        <w:t>Los Comités de Transparencia</w:t>
      </w:r>
      <w:r w:rsidRPr="00582A37">
        <w:rPr>
          <w:rFonts w:ascii="Palatino Linotype" w:hAnsi="Palatino Linotype"/>
          <w:i/>
          <w:sz w:val="22"/>
          <w:szCs w:val="22"/>
        </w:rPr>
        <w:t xml:space="preserve"> tendrán las siguientes atribuciones:</w:t>
      </w:r>
    </w:p>
    <w:p w14:paraId="3621CC61" w14:textId="77777777" w:rsidR="00AB7BB4" w:rsidRPr="00582A37"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VIII. Aprobar, modificar o revocar la clasificación de la información</w:t>
      </w:r>
      <w:r w:rsidRPr="00582A37">
        <w:rPr>
          <w:rFonts w:ascii="Palatino Linotype" w:hAnsi="Palatino Linotype"/>
          <w:i/>
          <w:sz w:val="22"/>
          <w:szCs w:val="22"/>
        </w:rPr>
        <w:t>…”</w:t>
      </w:r>
    </w:p>
    <w:p w14:paraId="49AA8047" w14:textId="77777777" w:rsidR="00AB7BB4" w:rsidRPr="00582A37" w:rsidRDefault="00AB7BB4" w:rsidP="00AB7BB4">
      <w:pPr>
        <w:spacing w:before="240"/>
        <w:ind w:left="993" w:right="1041"/>
        <w:contextualSpacing/>
        <w:jc w:val="both"/>
        <w:rPr>
          <w:rFonts w:ascii="Palatino Linotype" w:hAnsi="Palatino Linotype"/>
          <w:b/>
          <w:i/>
          <w:sz w:val="22"/>
          <w:szCs w:val="22"/>
        </w:rPr>
      </w:pPr>
    </w:p>
    <w:p w14:paraId="2D07F1DF" w14:textId="77777777" w:rsidR="00AB7BB4" w:rsidRPr="00582A37"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i/>
          <w:sz w:val="22"/>
          <w:szCs w:val="22"/>
        </w:rPr>
        <w:lastRenderedPageBreak/>
        <w:t>“</w:t>
      </w:r>
      <w:r w:rsidRPr="00582A37">
        <w:rPr>
          <w:rFonts w:ascii="Palatino Linotype" w:hAnsi="Palatino Linotype"/>
          <w:b/>
          <w:i/>
          <w:sz w:val="22"/>
          <w:szCs w:val="22"/>
        </w:rPr>
        <w:t>Artículo 53.</w:t>
      </w:r>
      <w:r w:rsidRPr="00582A37">
        <w:rPr>
          <w:rFonts w:ascii="Palatino Linotype" w:hAnsi="Palatino Linotype"/>
          <w:i/>
          <w:sz w:val="22"/>
          <w:szCs w:val="22"/>
        </w:rPr>
        <w:t xml:space="preserve"> Las </w:t>
      </w:r>
      <w:r w:rsidRPr="00582A37">
        <w:rPr>
          <w:rFonts w:ascii="Palatino Linotype" w:hAnsi="Palatino Linotype"/>
          <w:b/>
          <w:i/>
          <w:sz w:val="22"/>
          <w:szCs w:val="22"/>
        </w:rPr>
        <w:t>Unidades de Transparencia</w:t>
      </w:r>
      <w:r w:rsidRPr="00582A37">
        <w:rPr>
          <w:rFonts w:ascii="Palatino Linotype" w:hAnsi="Palatino Linotype"/>
          <w:i/>
          <w:sz w:val="22"/>
          <w:szCs w:val="22"/>
        </w:rPr>
        <w:t xml:space="preserve"> tendrán las siguientes </w:t>
      </w:r>
      <w:r w:rsidRPr="00582A37">
        <w:rPr>
          <w:rFonts w:ascii="Palatino Linotype" w:hAnsi="Palatino Linotype"/>
          <w:b/>
          <w:i/>
          <w:sz w:val="22"/>
          <w:szCs w:val="22"/>
        </w:rPr>
        <w:t>funciones</w:t>
      </w:r>
      <w:r w:rsidRPr="00582A37">
        <w:rPr>
          <w:rFonts w:ascii="Palatino Linotype" w:hAnsi="Palatino Linotype"/>
          <w:i/>
          <w:sz w:val="22"/>
          <w:szCs w:val="22"/>
        </w:rPr>
        <w:t>:</w:t>
      </w:r>
    </w:p>
    <w:p w14:paraId="24D6B5D4" w14:textId="77777777" w:rsidR="00AB7BB4"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X. Presentar ante el Comité, el proyecto de clasificación de información</w:t>
      </w:r>
      <w:r w:rsidRPr="00582A37">
        <w:rPr>
          <w:rFonts w:ascii="Palatino Linotype" w:hAnsi="Palatino Linotype"/>
          <w:i/>
          <w:sz w:val="22"/>
          <w:szCs w:val="22"/>
        </w:rPr>
        <w:t xml:space="preserve">…” </w:t>
      </w:r>
    </w:p>
    <w:p w14:paraId="5C0A5A3C" w14:textId="77777777" w:rsidR="00AB7BB4" w:rsidRPr="00582A37" w:rsidRDefault="00AB7BB4" w:rsidP="00AB7BB4">
      <w:pPr>
        <w:spacing w:before="240"/>
        <w:ind w:left="993" w:right="1041"/>
        <w:contextualSpacing/>
        <w:jc w:val="both"/>
        <w:rPr>
          <w:rFonts w:ascii="Palatino Linotype" w:hAnsi="Palatino Linotype"/>
          <w:i/>
          <w:sz w:val="22"/>
          <w:szCs w:val="22"/>
        </w:rPr>
      </w:pPr>
    </w:p>
    <w:p w14:paraId="14348FEF" w14:textId="77777777" w:rsidR="00AB7BB4" w:rsidRPr="00582A37"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“Artículo 59.</w:t>
      </w:r>
      <w:r w:rsidRPr="00582A37">
        <w:rPr>
          <w:rFonts w:ascii="Palatino Linotype" w:hAnsi="Palatino Linotype"/>
          <w:i/>
          <w:sz w:val="22"/>
          <w:szCs w:val="22"/>
        </w:rPr>
        <w:t xml:space="preserve"> Los </w:t>
      </w:r>
      <w:r w:rsidRPr="00582A37">
        <w:rPr>
          <w:rFonts w:ascii="Palatino Linotype" w:hAnsi="Palatino Linotype"/>
          <w:b/>
          <w:i/>
          <w:sz w:val="22"/>
          <w:szCs w:val="22"/>
        </w:rPr>
        <w:t>servidores públicos habilitados</w:t>
      </w:r>
      <w:r w:rsidRPr="00582A37">
        <w:rPr>
          <w:rFonts w:ascii="Palatino Linotype" w:hAnsi="Palatino Linotype"/>
          <w:i/>
          <w:sz w:val="22"/>
          <w:szCs w:val="22"/>
        </w:rPr>
        <w:t xml:space="preserve"> tendrán las </w:t>
      </w:r>
      <w:r w:rsidRPr="00582A37">
        <w:rPr>
          <w:rFonts w:ascii="Palatino Linotype" w:hAnsi="Palatino Linotype"/>
          <w:b/>
          <w:i/>
          <w:sz w:val="22"/>
          <w:szCs w:val="22"/>
        </w:rPr>
        <w:t>funciones</w:t>
      </w:r>
      <w:r w:rsidRPr="00582A37">
        <w:rPr>
          <w:rFonts w:ascii="Palatino Linotype" w:hAnsi="Palatino Linotype"/>
          <w:i/>
          <w:sz w:val="22"/>
          <w:szCs w:val="22"/>
        </w:rPr>
        <w:t xml:space="preserve"> siguientes:</w:t>
      </w:r>
    </w:p>
    <w:p w14:paraId="3F827906" w14:textId="77777777" w:rsidR="00AB7BB4" w:rsidRPr="00582A37" w:rsidRDefault="00AB7BB4" w:rsidP="00AB7BB4">
      <w:pPr>
        <w:spacing w:before="240"/>
        <w:ind w:left="993" w:right="1041"/>
        <w:contextualSpacing/>
        <w:jc w:val="both"/>
        <w:rPr>
          <w:rFonts w:ascii="Palatino Linotype" w:hAnsi="Palatino Linotype"/>
          <w:i/>
          <w:sz w:val="22"/>
          <w:szCs w:val="22"/>
        </w:rPr>
      </w:pPr>
      <w:r w:rsidRPr="00582A37">
        <w:rPr>
          <w:rFonts w:ascii="Palatino Linotype" w:hAnsi="Palatino Linotype"/>
          <w:b/>
          <w:i/>
          <w:sz w:val="22"/>
          <w:szCs w:val="22"/>
        </w:rPr>
        <w:t>V. Integrar y presentar al responsable de la Unidad de Transparencia la propuesta de clasificación de información</w:t>
      </w:r>
      <w:r w:rsidRPr="00582A37">
        <w:rPr>
          <w:rFonts w:ascii="Palatino Linotype" w:hAnsi="Palatino Linotype"/>
          <w:i/>
          <w:sz w:val="22"/>
          <w:szCs w:val="22"/>
        </w:rPr>
        <w:t>, la cual tendrá los fundamentos y argumentos en que se basa dicha propuesta…”</w:t>
      </w:r>
    </w:p>
    <w:p w14:paraId="0B69B3AC" w14:textId="77777777" w:rsidR="00AB7BB4" w:rsidRDefault="00AB7BB4" w:rsidP="00AB7BB4">
      <w:pPr>
        <w:spacing w:before="240" w:after="240" w:line="360" w:lineRule="auto"/>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1E94D0" w14:textId="77777777" w:rsidR="00AB7BB4" w:rsidRDefault="00AB7BB4" w:rsidP="00AB7BB4">
      <w:pPr>
        <w:spacing w:before="240" w:after="240" w:line="360" w:lineRule="auto"/>
        <w:jc w:val="both"/>
        <w:rPr>
          <w:rFonts w:ascii="Palatino Linotype" w:hAnsi="Palatino Linotype"/>
          <w:color w:val="000000"/>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D3FECC5" w14:textId="77777777" w:rsidR="00AB7BB4" w:rsidRPr="00735678" w:rsidRDefault="00AB7BB4" w:rsidP="00AB7BB4">
      <w:pPr>
        <w:spacing w:before="240" w:after="240"/>
        <w:ind w:left="993" w:right="1041"/>
        <w:jc w:val="both"/>
        <w:rPr>
          <w:rFonts w:ascii="Palatino Linotype" w:hAnsi="Palatino Linotype" w:cs="Arial"/>
          <w:i/>
          <w:sz w:val="22"/>
          <w:szCs w:val="22"/>
        </w:rPr>
      </w:pPr>
      <w:r w:rsidRPr="00735678">
        <w:rPr>
          <w:rFonts w:ascii="Palatino Linotype" w:hAnsi="Palatino Linotype"/>
          <w:i/>
          <w:color w:val="000000"/>
          <w:sz w:val="22"/>
          <w:szCs w:val="22"/>
        </w:rPr>
        <w:t>“</w:t>
      </w:r>
      <w:r w:rsidRPr="00735678">
        <w:rPr>
          <w:rFonts w:ascii="Palatino Linotype" w:hAnsi="Palatino Linotype"/>
          <w:b/>
          <w:i/>
          <w:sz w:val="22"/>
          <w:szCs w:val="22"/>
        </w:rPr>
        <w:t>Artículo 149.</w:t>
      </w:r>
      <w:r w:rsidRPr="00735678">
        <w:rPr>
          <w:rFonts w:ascii="Palatino Linotype" w:hAnsi="Palatino Linotype"/>
          <w:i/>
          <w:sz w:val="22"/>
          <w:szCs w:val="22"/>
        </w:rPr>
        <w:t xml:space="preserve"> El </w:t>
      </w:r>
      <w:r w:rsidRPr="007F35EE">
        <w:rPr>
          <w:rFonts w:ascii="Palatino Linotype" w:hAnsi="Palatino Linotype"/>
          <w:b/>
          <w:i/>
          <w:sz w:val="22"/>
          <w:szCs w:val="22"/>
        </w:rPr>
        <w:t>acuerdo que clasifique la información como confidencial</w:t>
      </w:r>
      <w:r w:rsidRPr="0073567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86B091F" w14:textId="77777777" w:rsidR="00AB7BB4" w:rsidRDefault="00AB7BB4" w:rsidP="00AB7BB4">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w:t>
      </w:r>
      <w:r>
        <w:rPr>
          <w:rFonts w:ascii="Palatino Linotype" w:hAnsi="Palatino Linotype" w:cs="Arial"/>
          <w:lang w:eastAsia="es-CO"/>
        </w:rPr>
        <w:lastRenderedPageBreak/>
        <w:t>en alguna de las hipótesis que contempla la Ley de la Materia en su artículo 143; ya que</w:t>
      </w:r>
      <w:r w:rsidRPr="00A22E55">
        <w:rPr>
          <w:rFonts w:ascii="Palatino Linotype" w:hAnsi="Palatino Linotype" w:cs="Arial"/>
          <w:lang w:eastAsia="es-CO"/>
        </w:rPr>
        <w:t xml:space="preserve"> de lo contrario</w:t>
      </w:r>
      <w:r>
        <w:rPr>
          <w:rFonts w:ascii="Palatino Linotype" w:hAnsi="Palatino Linotype" w:cs="Arial"/>
          <w:lang w:eastAsia="es-CO"/>
        </w:rPr>
        <w:t>,</w:t>
      </w:r>
      <w:r w:rsidRPr="00A22E55">
        <w:rPr>
          <w:rFonts w:ascii="Palatino Linotype" w:hAnsi="Palatino Linotype" w:cs="Arial"/>
          <w:lang w:eastAsia="es-CO"/>
        </w:rPr>
        <w:t xml:space="preserve"> se crearía la incertidumbre jurídica en relación a si lo entregado es formalmente una versión pública, o un documento ilegible, incompleto o tachado; </w:t>
      </w:r>
      <w:r>
        <w:rPr>
          <w:rFonts w:ascii="Palatino Linotype" w:hAnsi="Palatino Linotype" w:cs="Arial"/>
          <w:lang w:eastAsia="es-CO"/>
        </w:rPr>
        <w:t>en otras palabras si no se exponen</w:t>
      </w:r>
      <w:r w:rsidRPr="00A22E55">
        <w:rPr>
          <w:rFonts w:ascii="Palatino Linotype" w:hAnsi="Palatino Linotype" w:cs="Arial"/>
          <w:lang w:eastAsia="es-CO"/>
        </w:rPr>
        <w:t xml:space="preserve"> de manera puntual las razones de la versión pública de la documentación entregada se estaría violentando el derecho de acceso a la información de</w:t>
      </w:r>
      <w:r>
        <w:rPr>
          <w:rFonts w:ascii="Palatino Linotype" w:hAnsi="Palatino Linotype" w:cs="Arial"/>
          <w:lang w:eastAsia="es-CO"/>
        </w:rPr>
        <w:t xml:space="preserve"> </w:t>
      </w:r>
      <w:r w:rsidRPr="00A22E55">
        <w:rPr>
          <w:rFonts w:ascii="Palatino Linotype" w:hAnsi="Palatino Linotype" w:cs="Arial"/>
          <w:lang w:eastAsia="es-CO"/>
        </w:rPr>
        <w:t>l</w:t>
      </w:r>
      <w:r>
        <w:rPr>
          <w:rFonts w:ascii="Palatino Linotype" w:hAnsi="Palatino Linotype" w:cs="Arial"/>
          <w:lang w:eastAsia="es-CO"/>
        </w:rPr>
        <w:t>a</w:t>
      </w:r>
      <w:r w:rsidRPr="00A22E55">
        <w:rPr>
          <w:rFonts w:ascii="Palatino Linotype" w:hAnsi="Palatino Linotype" w:cs="Arial"/>
          <w:lang w:eastAsia="es-CO"/>
        </w:rPr>
        <w:t xml:space="preserve"> solicitante.</w:t>
      </w:r>
    </w:p>
    <w:p w14:paraId="1D49D603" w14:textId="77777777" w:rsidR="00AB7BB4" w:rsidRPr="0024736B" w:rsidRDefault="00AB7BB4" w:rsidP="00AB7BB4">
      <w:pPr>
        <w:spacing w:before="240" w:after="240" w:line="360" w:lineRule="auto"/>
        <w:jc w:val="both"/>
        <w:rPr>
          <w:rFonts w:ascii="Palatino Linotype" w:hAnsi="Palatino Linotype" w:cs="Arial"/>
          <w:lang w:val="es-MX"/>
        </w:rPr>
      </w:pPr>
      <w:r w:rsidRPr="008F2BA9">
        <w:rPr>
          <w:rFonts w:ascii="Palatino Linotype" w:hAnsi="Palatino Linotype" w:cs="Arial"/>
          <w:lang w:val="es-MX"/>
        </w:rPr>
        <w:t xml:space="preserve">En el caso específico, </w:t>
      </w:r>
      <w:r>
        <w:rPr>
          <w:rFonts w:ascii="Palatino Linotype" w:hAnsi="Palatino Linotype" w:cs="Arial"/>
          <w:lang w:val="es-MX"/>
        </w:rPr>
        <w:t>es alusivo referir que</w:t>
      </w:r>
      <w:r w:rsidRPr="008F2BA9">
        <w:rPr>
          <w:rFonts w:ascii="Palatino Linotype" w:hAnsi="Palatino Linotype" w:cs="Arial"/>
          <w:lang w:val="es-MX"/>
        </w:rPr>
        <w:t xml:space="preserv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F2BA9">
        <w:rPr>
          <w:rFonts w:ascii="Palatino Linotype" w:hAnsi="Palatino Linotype" w:cs="Arial"/>
          <w:b/>
          <w:lang w:val="es-MX"/>
        </w:rPr>
        <w:t>Registro Federal de Contribuyentes</w:t>
      </w:r>
      <w:r w:rsidRPr="008F2BA9">
        <w:rPr>
          <w:rFonts w:ascii="Palatino Linotype" w:hAnsi="Palatino Linotype" w:cs="Arial"/>
          <w:lang w:val="es-MX"/>
        </w:rPr>
        <w:t xml:space="preserve"> (RFC), la </w:t>
      </w:r>
      <w:r w:rsidRPr="008F2BA9">
        <w:rPr>
          <w:rFonts w:ascii="Palatino Linotype" w:hAnsi="Palatino Linotype" w:cs="Arial"/>
          <w:b/>
          <w:lang w:val="es-MX"/>
        </w:rPr>
        <w:t>Clave Única de Registro de Población</w:t>
      </w:r>
      <w:r w:rsidRPr="008F2BA9">
        <w:rPr>
          <w:rFonts w:ascii="Palatino Linotype" w:hAnsi="Palatino Linotype" w:cs="Arial"/>
          <w:lang w:val="es-MX"/>
        </w:rPr>
        <w:t xml:space="preserve"> (CURP), la </w:t>
      </w:r>
      <w:r w:rsidRPr="008F2BA9">
        <w:rPr>
          <w:rFonts w:ascii="Palatino Linotype" w:hAnsi="Palatino Linotype" w:cs="Arial"/>
          <w:b/>
          <w:lang w:val="es-MX"/>
        </w:rPr>
        <w:t>Clave de cualquier tipo de seguridad social</w:t>
      </w:r>
      <w:r>
        <w:rPr>
          <w:rFonts w:ascii="Palatino Linotype" w:hAnsi="Palatino Linotype" w:cs="Arial"/>
          <w:lang w:val="es-MX"/>
        </w:rPr>
        <w:t xml:space="preserve"> (ISSEMYM, u otros)</w:t>
      </w:r>
      <w:r w:rsidRPr="008F2BA9">
        <w:rPr>
          <w:rFonts w:ascii="Palatino Linotype" w:hAnsi="Palatino Linotype" w:cs="Arial"/>
          <w:lang w:val="es-MX"/>
        </w:rPr>
        <w:t xml:space="preserve">, los </w:t>
      </w:r>
      <w:r w:rsidRPr="008F2BA9">
        <w:rPr>
          <w:rFonts w:ascii="Palatino Linotype" w:hAnsi="Palatino Linotype" w:cs="Arial"/>
          <w:b/>
          <w:lang w:val="es-MX"/>
        </w:rPr>
        <w:t>préstamos o descuentos</w:t>
      </w:r>
      <w:r w:rsidRPr="008F2BA9">
        <w:rPr>
          <w:rFonts w:ascii="Palatino Linotype" w:hAnsi="Palatino Linotype" w:cs="Arial"/>
          <w:lang w:val="es-MX"/>
        </w:rPr>
        <w:t xml:space="preserve"> que se le hagan a la persona y que no tengan relación con los impuestos </w:t>
      </w:r>
      <w:r>
        <w:rPr>
          <w:rFonts w:ascii="Palatino Linotype" w:hAnsi="Palatino Linotype" w:cs="Arial"/>
          <w:lang w:val="es-MX"/>
        </w:rPr>
        <w:t>o la cuota por seguridad social; así como</w:t>
      </w:r>
      <w:r>
        <w:rPr>
          <w:rFonts w:ascii="Palatino Linotype" w:hAnsi="Palatino Linotype" w:cs="Arial"/>
        </w:rPr>
        <w:t xml:space="preserve"> las </w:t>
      </w:r>
      <w:r>
        <w:rPr>
          <w:rFonts w:ascii="Palatino Linotype" w:hAnsi="Palatino Linotype" w:cs="Arial"/>
          <w:b/>
        </w:rPr>
        <w:t>Cadenas Originales del Sellos</w:t>
      </w:r>
      <w:r>
        <w:rPr>
          <w:rFonts w:ascii="Palatino Linotype" w:hAnsi="Palatino Linotype" w:cs="Arial"/>
        </w:rPr>
        <w:t xml:space="preserve"> </w:t>
      </w:r>
      <w:r>
        <w:rPr>
          <w:rFonts w:ascii="Palatino Linotype" w:hAnsi="Palatino Linotype" w:cs="Arial"/>
          <w:b/>
        </w:rPr>
        <w:t>Digitales</w:t>
      </w:r>
      <w:r>
        <w:rPr>
          <w:rFonts w:ascii="Palatino Linotype" w:hAnsi="Palatino Linotype" w:cs="Arial"/>
        </w:rPr>
        <w:t xml:space="preserve"> y los </w:t>
      </w:r>
      <w:r>
        <w:rPr>
          <w:rFonts w:ascii="Palatino Linotype" w:hAnsi="Palatino Linotype" w:cs="Arial"/>
          <w:b/>
        </w:rPr>
        <w:t>Códigos Bidimensionales</w:t>
      </w:r>
      <w:r>
        <w:rPr>
          <w:rFonts w:ascii="Palatino Linotype" w:hAnsi="Palatino Linotype" w:cs="Arial"/>
        </w:rPr>
        <w:t xml:space="preserve">, también denominados </w:t>
      </w:r>
      <w:r>
        <w:rPr>
          <w:rFonts w:ascii="Palatino Linotype" w:hAnsi="Palatino Linotype" w:cs="Arial"/>
          <w:b/>
        </w:rPr>
        <w:t>Códigos QR</w:t>
      </w:r>
      <w:r>
        <w:rPr>
          <w:rFonts w:ascii="Palatino Linotype" w:hAnsi="Palatino Linotype" w:cs="Arial"/>
        </w:rPr>
        <w:t>.</w:t>
      </w:r>
    </w:p>
    <w:p w14:paraId="34A3EC36" w14:textId="77777777" w:rsidR="00AB7BB4" w:rsidRPr="008F2BA9" w:rsidRDefault="00AB7BB4" w:rsidP="00AB7BB4">
      <w:pPr>
        <w:autoSpaceDE w:val="0"/>
        <w:autoSpaceDN w:val="0"/>
        <w:adjustRightInd w:val="0"/>
        <w:spacing w:before="240" w:after="240" w:line="360" w:lineRule="auto"/>
        <w:jc w:val="both"/>
        <w:rPr>
          <w:rFonts w:ascii="Palatino Linotype" w:hAnsi="Palatino Linotype" w:cs="Arial"/>
        </w:rPr>
      </w:pPr>
      <w:r w:rsidRPr="008F2BA9">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0FA99329" w14:textId="77777777" w:rsidR="00AB7BB4" w:rsidRPr="008F2BA9" w:rsidRDefault="00AB7BB4" w:rsidP="00AB7BB4">
      <w:pPr>
        <w:spacing w:before="240" w:after="240" w:line="360" w:lineRule="auto"/>
        <w:jc w:val="both"/>
        <w:rPr>
          <w:rFonts w:ascii="Palatino Linotype" w:hAnsi="Palatino Linotype" w:cs="Arial"/>
          <w:lang w:eastAsia="es-MX"/>
        </w:rPr>
      </w:pPr>
      <w:r w:rsidRPr="008F2BA9">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4DF68B8" w14:textId="77777777" w:rsidR="00AB7BB4" w:rsidRPr="00B15B49" w:rsidRDefault="00AB7BB4" w:rsidP="00AB7BB4">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lastRenderedPageBreak/>
        <w:t>Lo anterior es compartido por el entonces Instituto Nacional de Transparencia, Acceso a la Información y Protección de Datos Personales (INAI) a través del Criterio 19/17, el cual es del tenor literal siguiente:</w:t>
      </w:r>
    </w:p>
    <w:p w14:paraId="67DCEF1D" w14:textId="29C11823" w:rsidR="00AB7BB4" w:rsidRPr="008F2BA9" w:rsidRDefault="00AB7BB4" w:rsidP="00AB7BB4">
      <w:pPr>
        <w:autoSpaceDE w:val="0"/>
        <w:autoSpaceDN w:val="0"/>
        <w:adjustRightInd w:val="0"/>
        <w:spacing w:before="240" w:after="240"/>
        <w:ind w:left="851" w:right="900"/>
        <w:jc w:val="both"/>
        <w:rPr>
          <w:rFonts w:ascii="Palatino Linotype" w:hAnsi="Palatino Linotype" w:cs="Arial"/>
          <w:i/>
          <w:sz w:val="22"/>
        </w:rPr>
      </w:pPr>
      <w:r w:rsidRPr="00B15B49">
        <w:rPr>
          <w:rFonts w:ascii="Palatino Linotype" w:hAnsi="Palatino Linotype" w:cs="Arial"/>
          <w:b/>
          <w:bCs/>
          <w:i/>
          <w:sz w:val="22"/>
          <w:szCs w:val="22"/>
        </w:rPr>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21CE0FDE" w14:textId="651EBC15" w:rsidR="00AB7BB4" w:rsidRPr="008F2BA9" w:rsidRDefault="00AB7BB4" w:rsidP="00AB7BB4">
      <w:pPr>
        <w:spacing w:before="240" w:after="240" w:line="360" w:lineRule="auto"/>
        <w:jc w:val="both"/>
        <w:rPr>
          <w:rFonts w:ascii="Palatino Linotype" w:hAnsi="Palatino Linotype" w:cs="Arial"/>
          <w:lang w:val="es-MX" w:eastAsia="es-MX"/>
        </w:rPr>
      </w:pPr>
      <w:r w:rsidRPr="008F2BA9">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w:t>
      </w:r>
      <w:r>
        <w:rPr>
          <w:rFonts w:ascii="Palatino Linotype" w:hAnsi="Palatino Linotype" w:cs="Arial"/>
          <w:lang w:val="es-MX" w:eastAsia="es-MX"/>
        </w:rPr>
        <w:t>xico y Municipios y 4 fracción X</w:t>
      </w:r>
      <w:r w:rsidRPr="008F2BA9">
        <w:rPr>
          <w:rFonts w:ascii="Palatino Linotype" w:hAnsi="Palatino Linotype" w:cs="Arial"/>
          <w:lang w:val="es-MX" w:eastAsia="es-MX"/>
        </w:rPr>
        <w:t>I de la Ley de Protección de Datos Personales</w:t>
      </w:r>
      <w:r>
        <w:rPr>
          <w:rFonts w:ascii="Palatino Linotype" w:hAnsi="Palatino Linotype" w:cs="Arial"/>
          <w:lang w:val="es-MX" w:eastAsia="es-MX"/>
        </w:rPr>
        <w:t xml:space="preserve"> en Posesión de Sujetos Obligados</w:t>
      </w:r>
      <w:r w:rsidRPr="008F2BA9">
        <w:rPr>
          <w:rFonts w:ascii="Palatino Linotype" w:hAnsi="Palatino Linotype" w:cs="Arial"/>
          <w:lang w:val="es-MX" w:eastAsia="es-MX"/>
        </w:rPr>
        <w:t xml:space="preserve"> del Estado de México.</w:t>
      </w:r>
    </w:p>
    <w:p w14:paraId="79437370" w14:textId="77777777" w:rsidR="00AB7BB4" w:rsidRPr="008F2BA9" w:rsidRDefault="00AB7BB4" w:rsidP="00AB7BB4">
      <w:pPr>
        <w:spacing w:before="240" w:after="240" w:line="360" w:lineRule="auto"/>
        <w:jc w:val="both"/>
        <w:rPr>
          <w:rFonts w:ascii="Palatino Linotype" w:hAnsi="Palatino Linotype" w:cs="Arial"/>
          <w:lang w:val="es-MX" w:eastAsia="es-MX"/>
        </w:rPr>
      </w:pPr>
      <w:r w:rsidRPr="008F2BA9">
        <w:rPr>
          <w:rFonts w:ascii="Palatino Linotype" w:hAnsi="Palatino Linotype" w:cs="Arial"/>
          <w:lang w:val="es-MX" w:eastAsia="es-MX"/>
        </w:rPr>
        <w:t xml:space="preserve">En cuanto a la </w:t>
      </w:r>
      <w:r w:rsidRPr="008F2BA9">
        <w:rPr>
          <w:rFonts w:ascii="Palatino Linotype" w:hAnsi="Palatino Linotype" w:cs="Arial"/>
          <w:lang w:val="es-MX"/>
        </w:rPr>
        <w:t xml:space="preserve">CURP en virtud de que éste se </w:t>
      </w:r>
      <w:r w:rsidRPr="008F2BA9">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8C0F84" w14:textId="77777777" w:rsidR="00AB7BB4" w:rsidRPr="00B15B49" w:rsidRDefault="00AB7BB4" w:rsidP="00AB7BB4">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2F4232F0" w14:textId="563C2CFE" w:rsidR="00AB7BB4" w:rsidRPr="008F2BA9" w:rsidRDefault="00AB7BB4" w:rsidP="00AB7BB4">
      <w:pPr>
        <w:autoSpaceDE w:val="0"/>
        <w:autoSpaceDN w:val="0"/>
        <w:adjustRightInd w:val="0"/>
        <w:spacing w:before="240" w:after="240"/>
        <w:ind w:left="851" w:right="900"/>
        <w:jc w:val="both"/>
        <w:rPr>
          <w:rFonts w:ascii="Palatino Linotype" w:hAnsi="Palatino Linotype" w:cs="Arial"/>
          <w:i/>
          <w:sz w:val="22"/>
          <w:lang w:eastAsia="es-MX"/>
        </w:rPr>
      </w:pPr>
      <w:r w:rsidRPr="00B15B49">
        <w:rPr>
          <w:rFonts w:ascii="Palatino Linotype" w:hAnsi="Palatino Linotype"/>
          <w:b/>
          <w:bCs/>
          <w:i/>
          <w:sz w:val="22"/>
          <w:szCs w:val="22"/>
          <w:lang w:eastAsia="es-MX"/>
        </w:rPr>
        <w:t>“</w:t>
      </w:r>
      <w:r w:rsidRPr="00B15B49">
        <w:rPr>
          <w:rFonts w:ascii="Palatino Linotype" w:hAnsi="Palatino Linotype"/>
          <w:b/>
          <w:bCs/>
          <w:i/>
          <w:sz w:val="22"/>
          <w:szCs w:val="22"/>
        </w:rPr>
        <w:t xml:space="preserve">Clave Única de Registro de Población (CURP). </w:t>
      </w:r>
      <w:r w:rsidRPr="00B15B49">
        <w:rPr>
          <w:rFonts w:ascii="Palatino Linotype" w:hAnsi="Palatino Linotype"/>
          <w:bCs/>
          <w:i/>
          <w:sz w:val="22"/>
          <w:szCs w:val="22"/>
        </w:rPr>
        <w:t xml:space="preserve">La </w:t>
      </w:r>
      <w:r w:rsidRPr="00B15B49">
        <w:rPr>
          <w:rFonts w:ascii="Palatino Linotype" w:hAnsi="Palatino Linotype"/>
          <w:i/>
          <w:sz w:val="22"/>
          <w:szCs w:val="22"/>
        </w:rPr>
        <w:t xml:space="preserve">Clave Única de Registro de Población se integra por datos personales que sólo conciernen al particular </w:t>
      </w:r>
      <w:r w:rsidRPr="00B15B49">
        <w:rPr>
          <w:rFonts w:ascii="Palatino Linotype" w:hAnsi="Palatino Linotype"/>
          <w:i/>
          <w:sz w:val="22"/>
          <w:szCs w:val="22"/>
        </w:rPr>
        <w:lastRenderedPageBreak/>
        <w:t>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15B49">
        <w:rPr>
          <w:rFonts w:ascii="Palatino Linotype" w:hAnsi="Palatino Linotype"/>
          <w:i/>
          <w:sz w:val="22"/>
          <w:szCs w:val="22"/>
          <w:lang w:eastAsia="es-MX"/>
        </w:rPr>
        <w:t>” (Sic)</w:t>
      </w:r>
    </w:p>
    <w:p w14:paraId="19A8F99B" w14:textId="77777777" w:rsidR="00AB7BB4" w:rsidRPr="008F2BA9" w:rsidRDefault="00AB7BB4" w:rsidP="00AB7BB4">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8F2BA9">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27C6FAD" w14:textId="77777777" w:rsidR="00AB7BB4" w:rsidRPr="008F2BA9" w:rsidRDefault="00AB7BB4" w:rsidP="00AB7BB4">
      <w:pPr>
        <w:autoSpaceDE w:val="0"/>
        <w:autoSpaceDN w:val="0"/>
        <w:adjustRightInd w:val="0"/>
        <w:spacing w:before="240" w:after="240" w:line="360" w:lineRule="auto"/>
        <w:jc w:val="both"/>
        <w:rPr>
          <w:rFonts w:ascii="Palatino Linotype" w:hAnsi="Palatino Linotype" w:cs="Arial"/>
          <w:lang w:val="es-MX"/>
        </w:rPr>
      </w:pPr>
      <w:r w:rsidRPr="008F2BA9">
        <w:rPr>
          <w:rFonts w:ascii="Palatino Linotype" w:hAnsi="Palatino Linotype" w:cs="Arial"/>
          <w:lang w:val="es-MX"/>
        </w:rPr>
        <w:t>Respecto de los préstamos o descuentos de carácter personal, en virtud de no tener relación con la prestación del servicio y al no involucrar instituciones públicas, se consideran datos confidenciales.</w:t>
      </w:r>
    </w:p>
    <w:p w14:paraId="7AD4F472" w14:textId="77777777" w:rsidR="00AB7BB4" w:rsidRPr="008F2BA9" w:rsidRDefault="00AB7BB4" w:rsidP="00AB7BB4">
      <w:pPr>
        <w:spacing w:before="240" w:after="240" w:line="360" w:lineRule="auto"/>
        <w:jc w:val="both"/>
        <w:rPr>
          <w:rFonts w:ascii="Palatino Linotype" w:hAnsi="Palatino Linotype" w:cs="Arial"/>
          <w:lang w:val="es-MX"/>
        </w:rPr>
      </w:pPr>
      <w:r w:rsidRPr="008F2BA9">
        <w:rPr>
          <w:rFonts w:ascii="Palatino Linotype" w:hAnsi="Palatino Linotype" w:cs="Arial"/>
          <w:lang w:val="es-MX"/>
        </w:rPr>
        <w:t>Para entender los límites y alcances de esta restricción, es oportuno recurrir al artículo 84 de la Ley del Trabajo de los Servidores Públicos del Estado y Municipios:</w:t>
      </w:r>
    </w:p>
    <w:p w14:paraId="56B2A6E3" w14:textId="77777777" w:rsidR="00AB7BB4" w:rsidRPr="008F2BA9" w:rsidRDefault="00AB7BB4" w:rsidP="00AB7BB4">
      <w:pPr>
        <w:spacing w:before="240" w:after="240"/>
        <w:ind w:left="851" w:right="900"/>
        <w:jc w:val="both"/>
        <w:rPr>
          <w:rFonts w:ascii="Palatino Linotype" w:hAnsi="Palatino Linotype" w:cs="Arial"/>
          <w:b/>
          <w:bCs/>
          <w:i/>
          <w:noProof/>
          <w:sz w:val="22"/>
        </w:rPr>
      </w:pPr>
      <w:r w:rsidRPr="008F2BA9">
        <w:rPr>
          <w:rFonts w:ascii="Palatino Linotype" w:hAnsi="Palatino Linotype" w:cs="Arial"/>
          <w:b/>
          <w:bCs/>
          <w:i/>
          <w:noProof/>
          <w:sz w:val="22"/>
        </w:rPr>
        <w:t xml:space="preserve">“ARTÍCULO 84. </w:t>
      </w:r>
      <w:r w:rsidRPr="008F2BA9">
        <w:rPr>
          <w:rFonts w:ascii="Palatino Linotype" w:hAnsi="Palatino Linotype" w:cs="Arial"/>
          <w:bCs/>
          <w:i/>
          <w:noProof/>
          <w:sz w:val="22"/>
        </w:rPr>
        <w:t>Sólo podrán hacerse retenciones, descuentos o deducciones al sueldo de los servidores públicos por concepto de:</w:t>
      </w:r>
    </w:p>
    <w:p w14:paraId="1EB92B68"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 Gravámenes fiscales relacionados con el sueldo;</w:t>
      </w:r>
    </w:p>
    <w:p w14:paraId="40C2FF8F"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13D2F56E"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III. Cuotas sindicales;</w:t>
      </w:r>
    </w:p>
    <w:p w14:paraId="1F1E46B1"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678AC3F3"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518C1E56"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lastRenderedPageBreak/>
        <w:t>VI. Obligaciones a cargo del servidor público con las que haya consentido, derivadas de la adquisición o del uso de habitaciones consideradas como de interés social;</w:t>
      </w:r>
    </w:p>
    <w:p w14:paraId="0774BA03"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VII. Faltas de puntualidad o de asistencia injustificadas;</w:t>
      </w:r>
    </w:p>
    <w:p w14:paraId="2410C6BB"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
          <w:bCs/>
          <w:i/>
          <w:noProof/>
          <w:sz w:val="22"/>
        </w:rPr>
        <w:t>VIII. Pensiones alimenticias ordenadas por la autoridad judicial;</w:t>
      </w:r>
      <w:r w:rsidRPr="008F2BA9">
        <w:rPr>
          <w:rFonts w:ascii="Palatino Linotype" w:hAnsi="Palatino Linotype" w:cs="Arial"/>
          <w:bCs/>
          <w:i/>
          <w:noProof/>
          <w:sz w:val="22"/>
        </w:rPr>
        <w:t xml:space="preserve"> o</w:t>
      </w:r>
    </w:p>
    <w:p w14:paraId="32A4ABE8" w14:textId="77777777" w:rsidR="00AB7BB4" w:rsidRPr="008F2BA9" w:rsidRDefault="00AB7BB4" w:rsidP="00AB7BB4">
      <w:pPr>
        <w:spacing w:before="240" w:after="240"/>
        <w:ind w:left="851" w:right="900"/>
        <w:jc w:val="both"/>
        <w:rPr>
          <w:rFonts w:ascii="Palatino Linotype" w:hAnsi="Palatino Linotype" w:cs="Arial"/>
          <w:b/>
          <w:bCs/>
          <w:i/>
          <w:noProof/>
          <w:sz w:val="22"/>
        </w:rPr>
      </w:pPr>
      <w:r w:rsidRPr="008F2BA9">
        <w:rPr>
          <w:rFonts w:ascii="Palatino Linotype" w:hAnsi="Palatino Linotype" w:cs="Arial"/>
          <w:b/>
          <w:bCs/>
          <w:i/>
          <w:noProof/>
          <w:sz w:val="22"/>
        </w:rPr>
        <w:t>IX. Cualquier otro convenido con instituciones de servicios y aceptado por el servidor público.</w:t>
      </w:r>
    </w:p>
    <w:p w14:paraId="7263B10E" w14:textId="77777777" w:rsidR="00AB7BB4" w:rsidRPr="008F2BA9" w:rsidRDefault="00AB7BB4" w:rsidP="00AB7BB4">
      <w:pPr>
        <w:spacing w:before="240" w:after="240"/>
        <w:ind w:left="851" w:right="900"/>
        <w:jc w:val="both"/>
        <w:rPr>
          <w:rFonts w:ascii="Palatino Linotype" w:hAnsi="Palatino Linotype" w:cs="Arial"/>
          <w:bCs/>
          <w:i/>
          <w:noProof/>
          <w:sz w:val="22"/>
        </w:rPr>
      </w:pPr>
      <w:r w:rsidRPr="008F2BA9">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58C54C1" w14:textId="77777777" w:rsidR="00AB7BB4" w:rsidRDefault="00AB7BB4" w:rsidP="00AB7BB4">
      <w:pPr>
        <w:spacing w:before="240" w:after="240" w:line="360" w:lineRule="auto"/>
        <w:jc w:val="both"/>
        <w:rPr>
          <w:rFonts w:ascii="Palatino Linotype" w:hAnsi="Palatino Linotype" w:cs="Arial"/>
          <w:lang w:val="es-MX"/>
        </w:rPr>
      </w:pPr>
      <w:r w:rsidRPr="008F2BA9">
        <w:rPr>
          <w:rFonts w:ascii="Palatino Linotype" w:hAnsi="Palatino Linotype" w:cs="Arial"/>
          <w:lang w:val="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39C54E5" w14:textId="77777777" w:rsidR="00AB7BB4" w:rsidRDefault="00AB7BB4" w:rsidP="00AB7BB4">
      <w:pPr>
        <w:spacing w:line="360" w:lineRule="auto"/>
        <w:jc w:val="both"/>
        <w:rPr>
          <w:rFonts w:ascii="Palatino Linotype" w:hAnsi="Palatino Linotype" w:cs="Arial"/>
        </w:rPr>
      </w:pPr>
      <w:r>
        <w:rPr>
          <w:rFonts w:ascii="Palatino Linotype" w:hAnsi="Palatino Linotype" w:cs="Arial"/>
        </w:rPr>
        <w:t xml:space="preserve">Las </w:t>
      </w:r>
      <w:r>
        <w:rPr>
          <w:rFonts w:ascii="Palatino Linotype" w:hAnsi="Palatino Linotype" w:cs="Arial"/>
          <w:b/>
        </w:rPr>
        <w:t>Cadenas Originales del Sellos</w:t>
      </w:r>
      <w:r>
        <w:rPr>
          <w:rFonts w:ascii="Palatino Linotype" w:hAnsi="Palatino Linotype" w:cs="Arial"/>
        </w:rPr>
        <w:t xml:space="preserve"> </w:t>
      </w:r>
      <w:r>
        <w:rPr>
          <w:rFonts w:ascii="Palatino Linotype" w:hAnsi="Palatino Linotype" w:cs="Arial"/>
          <w:b/>
        </w:rPr>
        <w:t>Digitales</w:t>
      </w:r>
      <w:r>
        <w:rPr>
          <w:rFonts w:ascii="Palatino Linotype" w:hAnsi="Palatino Linotype" w:cs="Arial"/>
        </w:rPr>
        <w:t xml:space="preserve">, puesto que forman parte del </w:t>
      </w:r>
      <w:r>
        <w:rPr>
          <w:rFonts w:ascii="Palatino Linotype" w:hAnsi="Palatino Linotype" w:cs="Arial"/>
          <w:lang w:val="es-ES_tradnl"/>
        </w:rPr>
        <w:t xml:space="preserve">certificado de sello digital, los cuales </w:t>
      </w:r>
      <w:r>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9513F6">
        <w:rPr>
          <w:rFonts w:ascii="Palatino Linotype" w:hAnsi="Palatino Linotype" w:cs="Arial"/>
        </w:rPr>
        <w:t>vinculación entre la identidad de un sujeto o entidad</w:t>
      </w:r>
      <w:r>
        <w:rPr>
          <w:rFonts w:ascii="Palatino Linotype" w:hAnsi="Palatino Linotype" w:cs="Arial"/>
        </w:rPr>
        <w:t xml:space="preserve"> con su clave pública, lo hace identificable a una persona o entidad, además de que dichos certificados tienen como finalidad o propósito </w:t>
      </w:r>
      <w:r>
        <w:rPr>
          <w:rFonts w:ascii="Palatino Linotype" w:hAnsi="Palatino Linotype" w:cs="Arial"/>
        </w:rPr>
        <w:lastRenderedPageBreak/>
        <w:t>específico firmar digitalmente las facturas electrónicas para acreditar la autoría de los comprobantes fiscales</w:t>
      </w:r>
      <w:r>
        <w:rPr>
          <w:rStyle w:val="Refdenotaalpie"/>
          <w:rFonts w:ascii="Palatino Linotype" w:hAnsi="Palatino Linotype" w:cs="Arial"/>
        </w:rPr>
        <w:footnoteReference w:id="1"/>
      </w:r>
      <w:r>
        <w:rPr>
          <w:rFonts w:ascii="Palatino Linotype" w:hAnsi="Palatino Linotype" w:cs="Arial"/>
        </w:rPr>
        <w:t>.</w:t>
      </w:r>
    </w:p>
    <w:p w14:paraId="3F719482" w14:textId="77777777" w:rsidR="00AB7BB4" w:rsidRDefault="00AB7BB4" w:rsidP="00AB7BB4">
      <w:pPr>
        <w:ind w:left="851" w:right="900"/>
        <w:jc w:val="both"/>
        <w:rPr>
          <w:rFonts w:ascii="Palatino Linotype" w:hAnsi="Palatino Linotype" w:cs="Arial"/>
          <w:bCs/>
          <w:i/>
          <w:noProof/>
          <w:sz w:val="22"/>
        </w:rPr>
      </w:pPr>
    </w:p>
    <w:p w14:paraId="035B055D" w14:textId="77777777" w:rsidR="00AB7BB4" w:rsidRDefault="00AB7BB4" w:rsidP="00AB7BB4">
      <w:pPr>
        <w:spacing w:before="240" w:after="240" w:line="360" w:lineRule="auto"/>
        <w:jc w:val="both"/>
        <w:rPr>
          <w:rFonts w:ascii="Palatino Linotype" w:hAnsi="Palatino Linotype" w:cs="Arial"/>
        </w:rPr>
      </w:pPr>
      <w:r>
        <w:rPr>
          <w:rFonts w:ascii="Palatino Linotype" w:hAnsi="Palatino Linotype" w:cs="Arial"/>
        </w:rPr>
        <w:t xml:space="preserve">Finalmente los </w:t>
      </w:r>
      <w:r>
        <w:rPr>
          <w:rFonts w:ascii="Palatino Linotype" w:hAnsi="Palatino Linotype" w:cs="Arial"/>
          <w:b/>
        </w:rPr>
        <w:t>Códigos Bidimensionales</w:t>
      </w:r>
      <w:r>
        <w:rPr>
          <w:rFonts w:ascii="Palatino Linotype" w:hAnsi="Palatino Linotype" w:cs="Arial"/>
        </w:rPr>
        <w:t xml:space="preserve">, también denominados </w:t>
      </w:r>
      <w:r>
        <w:rPr>
          <w:rFonts w:ascii="Palatino Linotype" w:hAnsi="Palatino Linotype" w:cs="Arial"/>
          <w:b/>
        </w:rPr>
        <w:t>Códigos QR</w:t>
      </w:r>
      <w:r>
        <w:rPr>
          <w:rFonts w:ascii="Palatino Linotype" w:hAnsi="Palatino Linotype" w:cs="Arial"/>
        </w:rPr>
        <w:t>,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14:paraId="7212C103" w14:textId="55E974DC" w:rsidR="0016338E" w:rsidRPr="0016338E" w:rsidRDefault="00AB7BB4" w:rsidP="00AB7BB4">
      <w:pPr>
        <w:spacing w:before="240" w:after="240" w:line="360" w:lineRule="auto"/>
        <w:jc w:val="both"/>
        <w:rPr>
          <w:rFonts w:ascii="Palatino Linotype" w:hAnsi="Palatino Linotype" w:cs="Arial"/>
        </w:rPr>
      </w:pPr>
      <w:r>
        <w:rPr>
          <w:rFonts w:ascii="Palatino Linotype" w:hAnsi="Palatino Linotype" w:cs="Arial"/>
        </w:rPr>
        <w:t>En conclusión</w:t>
      </w:r>
      <w:r w:rsidRPr="008F2BA9">
        <w:rPr>
          <w:rFonts w:ascii="Palatino Linotype" w:hAnsi="Palatino Linotype" w:cs="Arial"/>
        </w:rPr>
        <w:t>, en la versión pública de</w:t>
      </w:r>
      <w:r>
        <w:rPr>
          <w:rFonts w:ascii="Palatino Linotype" w:hAnsi="Palatino Linotype" w:cs="Arial"/>
        </w:rPr>
        <w:t xml:space="preserve"> los documentos a entregar</w:t>
      </w:r>
      <w:r w:rsidRPr="008F2BA9">
        <w:rPr>
          <w:rFonts w:ascii="Palatino Linotype" w:hAnsi="Palatino Linotype" w:cs="Arial"/>
        </w:rPr>
        <w:t xml:space="preserve"> se deben testar aquellos elementos señalados en la presente resolución, en el entendido de que debe </w:t>
      </w:r>
      <w:r w:rsidRPr="008F2BA9">
        <w:rPr>
          <w:rFonts w:ascii="Palatino Linotype" w:hAnsi="Palatino Linotype" w:cs="Arial"/>
        </w:rPr>
        <w:lastRenderedPageBreak/>
        <w:t>ser pública toda la demás información relacionada que no encuadre en los conceptos anteriores.</w:t>
      </w:r>
    </w:p>
    <w:p w14:paraId="5439A464" w14:textId="4F47BAE5"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D87E63">
        <w:rPr>
          <w:rFonts w:ascii="Palatino Linotype" w:hAnsi="Palatino Linotype" w:cs="Arial"/>
        </w:rPr>
        <w:t xml:space="preserve"> 181 y</w:t>
      </w:r>
      <w:r w:rsidR="006A559E" w:rsidRPr="007E27E3">
        <w:rPr>
          <w:rFonts w:ascii="Palatino Linotype" w:hAnsi="Palatino Linotype" w:cs="Arial"/>
        </w:rPr>
        <w:t xml:space="preserve"> 185 de la Ley de Transparencia y Acceso a la Información Pública del Estado de México y Municipios, este Pleno:</w:t>
      </w:r>
    </w:p>
    <w:p w14:paraId="42647389" w14:textId="77777777" w:rsidR="006A559E" w:rsidRPr="00A22E55" w:rsidRDefault="006A559E" w:rsidP="006A559E">
      <w:pPr>
        <w:pStyle w:val="Prrafodelista"/>
        <w:numPr>
          <w:ilvl w:val="0"/>
          <w:numId w:val="12"/>
        </w:numPr>
        <w:spacing w:before="240" w:after="240" w:line="360" w:lineRule="auto"/>
        <w:contextualSpacing/>
        <w:jc w:val="center"/>
        <w:rPr>
          <w:rFonts w:ascii="Palatino Linotype" w:hAnsi="Palatino Linotype" w:cs="Arial"/>
          <w:b/>
        </w:rPr>
      </w:pPr>
      <w:r w:rsidRPr="00A22E55">
        <w:rPr>
          <w:rFonts w:ascii="Palatino Linotype" w:hAnsi="Palatino Linotype" w:cs="Arial"/>
          <w:b/>
        </w:rPr>
        <w:t>R E S U E L V E:</w:t>
      </w:r>
    </w:p>
    <w:p w14:paraId="63E7744D" w14:textId="46326D0F" w:rsidR="00424B71" w:rsidRPr="00623957" w:rsidRDefault="00424B71" w:rsidP="00424B71">
      <w:pPr>
        <w:spacing w:before="240" w:after="240" w:line="360" w:lineRule="auto"/>
        <w:jc w:val="both"/>
        <w:rPr>
          <w:rFonts w:ascii="Palatino Linotype" w:hAnsi="Palatino Linotype" w:cs="Arial"/>
        </w:rPr>
      </w:pPr>
      <w:r w:rsidRPr="00623957">
        <w:rPr>
          <w:rFonts w:ascii="Palatino Linotype" w:hAnsi="Palatino Linotype" w:cs="Arial"/>
          <w:b/>
        </w:rPr>
        <w:t xml:space="preserve">Primero. </w:t>
      </w:r>
      <w:r>
        <w:rPr>
          <w:rFonts w:ascii="Palatino Linotype" w:hAnsi="Palatino Linotype" w:cs="Arial"/>
        </w:rPr>
        <w:t xml:space="preserve">Son </w:t>
      </w:r>
      <w:r w:rsidRPr="00623957">
        <w:rPr>
          <w:rFonts w:ascii="Palatino Linotype" w:hAnsi="Palatino Linotype" w:cs="Arial"/>
        </w:rPr>
        <w:t xml:space="preserve">fundados los motivos de inconformidad expuestos por </w:t>
      </w:r>
      <w:r w:rsidR="00AB7BB4">
        <w:rPr>
          <w:rFonts w:ascii="Palatino Linotype" w:hAnsi="Palatino Linotype" w:cs="Arial"/>
          <w:b/>
        </w:rPr>
        <w:t>el</w:t>
      </w:r>
      <w:r w:rsidRPr="00623957">
        <w:rPr>
          <w:rFonts w:ascii="Palatino Linotype" w:hAnsi="Palatino Linotype" w:cs="Arial"/>
          <w:b/>
        </w:rPr>
        <w:t xml:space="preserve"> recurrente</w:t>
      </w:r>
      <w:r w:rsidRPr="00623957">
        <w:rPr>
          <w:rFonts w:ascii="Palatino Linotype" w:hAnsi="Palatino Linotype" w:cs="Arial"/>
        </w:rPr>
        <w:t xml:space="preserve">, en términos de los argumentos de derecho señalados en el considerando </w:t>
      </w:r>
      <w:r>
        <w:rPr>
          <w:rFonts w:ascii="Palatino Linotype" w:hAnsi="Palatino Linotype" w:cs="Arial"/>
        </w:rPr>
        <w:t>Cuarto</w:t>
      </w:r>
      <w:r w:rsidRPr="00623957">
        <w:rPr>
          <w:rFonts w:ascii="Palatino Linotype" w:hAnsi="Palatino Linotype" w:cs="Arial"/>
        </w:rPr>
        <w:t xml:space="preserve">, por ende se </w:t>
      </w:r>
      <w:r>
        <w:rPr>
          <w:rFonts w:ascii="Palatino Linotype" w:hAnsi="Palatino Linotype" w:cs="Arial"/>
          <w:b/>
        </w:rPr>
        <w:t>MODIFICA</w:t>
      </w:r>
      <w:r>
        <w:rPr>
          <w:rFonts w:ascii="Palatino Linotype" w:hAnsi="Palatino Linotype" w:cs="Arial"/>
        </w:rPr>
        <w:t xml:space="preserve"> la</w:t>
      </w:r>
      <w:r w:rsidRPr="00623957">
        <w:rPr>
          <w:rFonts w:ascii="Palatino Linotype" w:hAnsi="Palatino Linotype" w:cs="Arial"/>
        </w:rPr>
        <w:t xml:space="preserve"> respuesta del Sujeto Obligado.</w:t>
      </w:r>
    </w:p>
    <w:p w14:paraId="4165AC01" w14:textId="3F6E208B" w:rsidR="00424B71" w:rsidRPr="00623957" w:rsidRDefault="00424B71" w:rsidP="00424B71">
      <w:pPr>
        <w:spacing w:before="240" w:after="240" w:line="360" w:lineRule="auto"/>
        <w:jc w:val="both"/>
        <w:rPr>
          <w:rFonts w:ascii="Palatino Linotype" w:hAnsi="Palatino Linotype"/>
        </w:rPr>
      </w:pPr>
      <w:r w:rsidRPr="00623957">
        <w:rPr>
          <w:rFonts w:ascii="Palatino Linotype" w:hAnsi="Palatino Linotype" w:cs="Arial"/>
          <w:b/>
        </w:rPr>
        <w:t xml:space="preserve">Segundo. </w:t>
      </w:r>
      <w:r w:rsidRPr="00623957">
        <w:rPr>
          <w:rFonts w:ascii="Palatino Linotype" w:hAnsi="Palatino Linotype"/>
        </w:rPr>
        <w:t xml:space="preserve">Se </w:t>
      </w:r>
      <w:r w:rsidRPr="00623957">
        <w:rPr>
          <w:rFonts w:ascii="Palatino Linotype" w:hAnsi="Palatino Linotype"/>
          <w:b/>
        </w:rPr>
        <w:t>ORDENA</w:t>
      </w:r>
      <w:r w:rsidRPr="00623957">
        <w:rPr>
          <w:rFonts w:ascii="Palatino Linotype" w:hAnsi="Palatino Linotype"/>
        </w:rPr>
        <w:t xml:space="preserve"> al Sujeto Obligado, a que en términos de</w:t>
      </w:r>
      <w:r w:rsidR="00AB7BB4">
        <w:rPr>
          <w:rFonts w:ascii="Palatino Linotype" w:hAnsi="Palatino Linotype"/>
        </w:rPr>
        <w:t xml:space="preserve"> los</w:t>
      </w:r>
      <w:r w:rsidRPr="00623957">
        <w:rPr>
          <w:rFonts w:ascii="Palatino Linotype" w:hAnsi="Palatino Linotype"/>
        </w:rPr>
        <w:t xml:space="preserve"> considerando</w:t>
      </w:r>
      <w:r w:rsidR="00AB7BB4">
        <w:rPr>
          <w:rFonts w:ascii="Palatino Linotype" w:hAnsi="Palatino Linotype"/>
        </w:rPr>
        <w:t>s</w:t>
      </w:r>
      <w:r w:rsidRPr="00623957">
        <w:rPr>
          <w:rFonts w:ascii="Palatino Linotype" w:hAnsi="Palatino Linotype"/>
        </w:rPr>
        <w:t xml:space="preserve"> </w:t>
      </w:r>
      <w:r>
        <w:rPr>
          <w:rFonts w:ascii="Palatino Linotype" w:hAnsi="Palatino Linotype"/>
        </w:rPr>
        <w:t>Cuarto</w:t>
      </w:r>
      <w:r w:rsidR="00AB7BB4">
        <w:rPr>
          <w:rFonts w:ascii="Palatino Linotype" w:hAnsi="Palatino Linotype"/>
        </w:rPr>
        <w:t xml:space="preserve"> y Quinto</w:t>
      </w:r>
      <w:r>
        <w:rPr>
          <w:rFonts w:ascii="Palatino Linotype" w:hAnsi="Palatino Linotype"/>
        </w:rPr>
        <w:t xml:space="preserve"> </w:t>
      </w:r>
      <w:r w:rsidRPr="00623957">
        <w:rPr>
          <w:rFonts w:ascii="Palatino Linotype" w:hAnsi="Palatino Linotype"/>
        </w:rPr>
        <w:t xml:space="preserve">de esta resolución, haga entrega </w:t>
      </w:r>
      <w:r w:rsidRPr="00AB7BB4">
        <w:rPr>
          <w:rFonts w:ascii="Palatino Linotype" w:hAnsi="Palatino Linotype"/>
        </w:rPr>
        <w:t>vía SAIMEX</w:t>
      </w:r>
      <w:r w:rsidR="00AB7BB4">
        <w:rPr>
          <w:rFonts w:ascii="Palatino Linotype" w:hAnsi="Palatino Linotype"/>
          <w:szCs w:val="20"/>
        </w:rPr>
        <w:t xml:space="preserve"> y en versión pública</w:t>
      </w:r>
      <w:r>
        <w:rPr>
          <w:rFonts w:ascii="Palatino Linotype" w:hAnsi="Palatino Linotype"/>
        </w:rPr>
        <w:t xml:space="preserve"> de los documentos en donde conste lo siguiente</w:t>
      </w:r>
      <w:r w:rsidRPr="00623957">
        <w:rPr>
          <w:rFonts w:ascii="Palatino Linotype" w:hAnsi="Palatino Linotype"/>
        </w:rPr>
        <w:t>:</w:t>
      </w:r>
    </w:p>
    <w:p w14:paraId="116D5B1A" w14:textId="520FC1D1" w:rsidR="00670468" w:rsidRPr="00AB7BB4" w:rsidRDefault="00AB7BB4" w:rsidP="00AB7BB4">
      <w:pPr>
        <w:pStyle w:val="Prrafodelista"/>
        <w:numPr>
          <w:ilvl w:val="0"/>
          <w:numId w:val="24"/>
        </w:numPr>
        <w:spacing w:after="240" w:line="360" w:lineRule="auto"/>
        <w:jc w:val="both"/>
        <w:rPr>
          <w:rFonts w:ascii="Palatino Linotype" w:hAnsi="Palatino Linotype" w:cs="Arial"/>
        </w:rPr>
      </w:pPr>
      <w:r w:rsidRPr="00AB7BB4">
        <w:rPr>
          <w:rFonts w:ascii="Palatino Linotype" w:hAnsi="Palatino Linotype"/>
        </w:rPr>
        <w:t xml:space="preserve">Los nombres de las personas que recibieron un pago por concepto de </w:t>
      </w:r>
      <w:r w:rsidRPr="00AB7BB4">
        <w:rPr>
          <w:rFonts w:ascii="Palatino Linotype" w:hAnsi="Palatino Linotype"/>
          <w:i/>
        </w:rPr>
        <w:t>liquidación</w:t>
      </w:r>
      <w:r>
        <w:rPr>
          <w:rFonts w:ascii="Palatino Linotype" w:hAnsi="Palatino Linotype"/>
          <w:i/>
        </w:rPr>
        <w:t xml:space="preserve"> </w:t>
      </w:r>
      <w:r>
        <w:rPr>
          <w:rFonts w:ascii="Palatino Linotype" w:hAnsi="Palatino Linotype"/>
        </w:rPr>
        <w:t>en el periodo comprendido del 16 de octubre de 2017 al 8 de junio de 2018; así como el monto recibido</w:t>
      </w:r>
      <w:r w:rsidR="00670468" w:rsidRPr="00AB7BB4">
        <w:rPr>
          <w:rFonts w:ascii="Palatino Linotype" w:hAnsi="Palatino Linotype"/>
        </w:rPr>
        <w:t>.</w:t>
      </w:r>
    </w:p>
    <w:p w14:paraId="4CAD4837" w14:textId="5BE5EAC6" w:rsidR="00AB7BB4" w:rsidRDefault="00AB7BB4" w:rsidP="00AB7BB4">
      <w:pPr>
        <w:spacing w:after="240" w:line="360" w:lineRule="auto"/>
        <w:jc w:val="both"/>
        <w:rPr>
          <w:rFonts w:ascii="Palatino Linotype" w:hAnsi="Palatino Linotype"/>
        </w:rPr>
      </w:pPr>
      <w:r>
        <w:rPr>
          <w:rFonts w:ascii="Palatino Linotype" w:hAnsi="Palatino Linotype"/>
        </w:rPr>
        <w:t>Para la entrega en versión pública, se</w:t>
      </w:r>
      <w:r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w:t>
      </w:r>
      <w:r w:rsidRPr="00911351">
        <w:rPr>
          <w:rFonts w:ascii="Palatino Linotype" w:hAnsi="Palatino Linotype"/>
        </w:rPr>
        <w:lastRenderedPageBreak/>
        <w:t>las versiones públicas que se formulen</w:t>
      </w:r>
      <w:r>
        <w:rPr>
          <w:rFonts w:ascii="Palatino Linotype" w:hAnsi="Palatino Linotype"/>
        </w:rPr>
        <w:t xml:space="preserve"> y se pongan a disposición del</w:t>
      </w:r>
      <w:r w:rsidRPr="00911351">
        <w:rPr>
          <w:rFonts w:ascii="Palatino Linotype" w:hAnsi="Palatino Linotype"/>
        </w:rPr>
        <w:t xml:space="preserve"> recurrente, mismo que igualmente hará de</w:t>
      </w:r>
      <w:r>
        <w:rPr>
          <w:rFonts w:ascii="Palatino Linotype" w:hAnsi="Palatino Linotype"/>
        </w:rPr>
        <w:t xml:space="preserve"> su conocimiento</w:t>
      </w:r>
      <w:r w:rsidRPr="00911351">
        <w:rPr>
          <w:rFonts w:ascii="Palatino Linotype" w:hAnsi="Palatino Linotype"/>
        </w:rPr>
        <w:t>.</w:t>
      </w:r>
    </w:p>
    <w:p w14:paraId="1AD69316" w14:textId="1B96D717" w:rsidR="00E43CB8" w:rsidRPr="00AB7BB4" w:rsidRDefault="00E43CB8" w:rsidP="00AB7BB4">
      <w:pPr>
        <w:spacing w:after="240" w:line="360" w:lineRule="auto"/>
        <w:jc w:val="both"/>
        <w:rPr>
          <w:rFonts w:ascii="Palatino Linotype" w:hAnsi="Palatino Linotype" w:cs="Arial"/>
        </w:rPr>
      </w:pPr>
      <w:r>
        <w:rPr>
          <w:rFonts w:ascii="Palatino Linotype" w:hAnsi="Palatino Linotype"/>
        </w:rPr>
        <w:t>En el supuesto de que no se cuente con la información que se ordena, bastará con que el Sujeto Obligado se manifieste en tal sentido.</w:t>
      </w:r>
    </w:p>
    <w:p w14:paraId="62C0C353" w14:textId="77777777" w:rsidR="00424B71" w:rsidRPr="00AB35A5" w:rsidRDefault="00424B71" w:rsidP="00424B71">
      <w:pPr>
        <w:spacing w:before="240" w:line="360" w:lineRule="auto"/>
        <w:contextualSpacing/>
        <w:jc w:val="both"/>
        <w:rPr>
          <w:rFonts w:ascii="Palatino Linotype" w:hAnsi="Palatino Linotype" w:cs="Arial"/>
        </w:rPr>
      </w:pPr>
      <w:r w:rsidRPr="007E27E3">
        <w:rPr>
          <w:rFonts w:ascii="Palatino Linotype" w:hAnsi="Palatino Linotype" w:cs="Arial"/>
          <w:b/>
          <w:bCs/>
          <w:shd w:val="clear" w:color="auto" w:fill="FFFFFF"/>
        </w:rPr>
        <w:t>Tercero. Remítase</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F7EEDD" w14:textId="77777777" w:rsidR="00424B71" w:rsidRDefault="00424B71" w:rsidP="00424B71">
      <w:pPr>
        <w:spacing w:before="240" w:line="360" w:lineRule="auto"/>
        <w:jc w:val="both"/>
        <w:rPr>
          <w:rFonts w:ascii="Palatino Linotype" w:hAnsi="Palatino Linotype" w:cs="Arial"/>
        </w:rPr>
      </w:pPr>
      <w:r w:rsidRPr="00A22E55">
        <w:rPr>
          <w:rFonts w:ascii="Palatino Linotype" w:hAnsi="Palatino Linotype" w:cs="Arial"/>
          <w:b/>
        </w:rPr>
        <w:t xml:space="preserve">Cuarto.  </w:t>
      </w:r>
      <w:r w:rsidRPr="00B92B46">
        <w:rPr>
          <w:rFonts w:ascii="Palatino Linotype" w:hAnsi="Palatino Linotype" w:cs="Arial"/>
          <w:b/>
        </w:rPr>
        <w:t>Hágase del conocimiento</w:t>
      </w:r>
      <w:r>
        <w:rPr>
          <w:rFonts w:ascii="Palatino Linotype" w:hAnsi="Palatino Linotype" w:cs="Arial"/>
        </w:rPr>
        <w:t xml:space="preserve"> de la parte recurrente, la presente resolución, así como,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5A57075B" w14:textId="32B5FF35" w:rsidR="00875490" w:rsidRPr="00DA3C6B" w:rsidRDefault="00A83958" w:rsidP="00424B71">
      <w:pPr>
        <w:spacing w:before="240" w:line="360" w:lineRule="auto"/>
        <w:jc w:val="both"/>
        <w:rPr>
          <w:rFonts w:ascii="Palatino Linotype" w:hAnsi="Palatino Linotype"/>
          <w:color w:val="000000"/>
        </w:rPr>
      </w:pPr>
      <w:r w:rsidRPr="00AC4122">
        <w:rPr>
          <w:rFonts w:ascii="Palatino Linotype" w:hAnsi="Palatino Linotype"/>
          <w:color w:val="000000"/>
        </w:rPr>
        <w:t xml:space="preserve">ASÍ LO RESUELVE, </w:t>
      </w:r>
      <w:r w:rsidRPr="00336887">
        <w:rPr>
          <w:rFonts w:ascii="Palatino Linotype" w:hAnsi="Palatino Linotype"/>
          <w:color w:val="000000"/>
        </w:rPr>
        <w:t>POR UNANIMIDAD DE VOTOS,</w:t>
      </w:r>
      <w:r w:rsidRPr="00AC4122">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w:t>
      </w:r>
      <w:r w:rsidR="00DA3C6B" w:rsidRPr="00AC4122">
        <w:rPr>
          <w:rFonts w:ascii="Palatino Linotype" w:hAnsi="Palatino Linotype"/>
          <w:color w:val="000000"/>
        </w:rPr>
        <w:t>ZULEMA MARTÍNEZ SÁNCHEZ</w:t>
      </w:r>
      <w:r w:rsidRPr="00AC4122">
        <w:rPr>
          <w:rFonts w:ascii="Palatino Linotype" w:hAnsi="Palatino Linotype"/>
          <w:color w:val="000000"/>
        </w:rPr>
        <w:t>; EVA ABAID YAPUR</w:t>
      </w:r>
      <w:r w:rsidR="00AB7E65">
        <w:rPr>
          <w:rFonts w:ascii="Palatino Linotype" w:hAnsi="Palatino Linotype"/>
          <w:color w:val="000000"/>
        </w:rPr>
        <w:t>; JOSÉ GUADALUPE LUNA HERNÁNDEZ</w:t>
      </w:r>
      <w:r w:rsidR="00336887">
        <w:rPr>
          <w:rFonts w:ascii="Palatino Linotype" w:hAnsi="Palatino Linotype"/>
          <w:color w:val="000000"/>
        </w:rPr>
        <w:t>, EMITIENDO VOTO PARTICULAR</w:t>
      </w:r>
      <w:r w:rsidR="00994D47">
        <w:rPr>
          <w:rFonts w:ascii="Palatino Linotype" w:hAnsi="Palatino Linotype"/>
          <w:color w:val="000000"/>
        </w:rPr>
        <w:t xml:space="preserve"> </w:t>
      </w:r>
      <w:r w:rsidR="00AB7E65">
        <w:rPr>
          <w:rFonts w:ascii="Palatino Linotype" w:hAnsi="Palatino Linotype"/>
          <w:color w:val="000000"/>
        </w:rPr>
        <w:t>Y</w:t>
      </w:r>
      <w:r w:rsidRPr="00AC4122">
        <w:rPr>
          <w:rFonts w:ascii="Palatino Linotype" w:hAnsi="Palatino Linotype"/>
          <w:color w:val="000000"/>
        </w:rPr>
        <w:t xml:space="preserve"> JAVIER MARTÍNEZ CRUZ; EN LA </w:t>
      </w:r>
      <w:r w:rsidR="00670468">
        <w:rPr>
          <w:rFonts w:ascii="Palatino Linotype" w:hAnsi="Palatino Linotype"/>
          <w:color w:val="000000"/>
        </w:rPr>
        <w:t>TRIGÉSIMA</w:t>
      </w:r>
      <w:r>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670468">
        <w:rPr>
          <w:rFonts w:ascii="Palatino Linotype" w:hAnsi="Palatino Linotype"/>
          <w:color w:val="000000"/>
        </w:rPr>
        <w:t>VEINTIDÓS</w:t>
      </w:r>
      <w:r>
        <w:rPr>
          <w:rFonts w:ascii="Palatino Linotype" w:hAnsi="Palatino Linotype"/>
          <w:color w:val="000000"/>
        </w:rPr>
        <w:t xml:space="preserve"> </w:t>
      </w:r>
      <w:r w:rsidRPr="00AC4122">
        <w:rPr>
          <w:rFonts w:ascii="Palatino Linotype" w:hAnsi="Palatino Linotype"/>
          <w:color w:val="000000"/>
        </w:rPr>
        <w:t xml:space="preserve">DE </w:t>
      </w:r>
      <w:r w:rsidR="00670468">
        <w:rPr>
          <w:rFonts w:ascii="Palatino Linotype" w:hAnsi="Palatino Linotype"/>
          <w:color w:val="000000"/>
        </w:rPr>
        <w:lastRenderedPageBreak/>
        <w:t>AGOSTO</w:t>
      </w:r>
      <w:r w:rsidR="00DA3C6B">
        <w:rPr>
          <w:rFonts w:ascii="Palatino Linotype" w:hAnsi="Palatino Linotype"/>
          <w:color w:val="000000"/>
        </w:rPr>
        <w:t xml:space="preserve"> DE DOS MIL DIECIOCHO</w:t>
      </w:r>
      <w:r w:rsidR="00AB7E65">
        <w:rPr>
          <w:rFonts w:ascii="Palatino Linotype" w:hAnsi="Palatino Linotype"/>
          <w:color w:val="000000"/>
        </w:rPr>
        <w:t>, ANTE EL SECRETARIO TÉCNICO</w:t>
      </w:r>
      <w:r w:rsidRPr="00AC4122">
        <w:rPr>
          <w:rFonts w:ascii="Palatino Linotype" w:hAnsi="Palatino Linotype"/>
          <w:color w:val="000000"/>
        </w:rPr>
        <w:t xml:space="preserve"> DEL PLENO </w:t>
      </w:r>
      <w:r w:rsidR="00AB7E65">
        <w:rPr>
          <w:rFonts w:ascii="Palatino Linotype" w:hAnsi="Palatino Linotype"/>
          <w:color w:val="000000"/>
        </w:rPr>
        <w:t>ALEXIS TAPIA RAMÍREZ</w:t>
      </w:r>
      <w:r w:rsidRPr="00AC4122">
        <w:rPr>
          <w:rFonts w:ascii="Palatino Linotype" w:hAnsi="Palatino Linotype"/>
          <w:color w:val="000000"/>
        </w:rPr>
        <w:t>.</w:t>
      </w:r>
      <w:r w:rsidR="00373004" w:rsidRPr="00623957">
        <w:rPr>
          <w:rFonts w:ascii="Palatino Linotype" w:hAnsi="Palatino Linotype" w:cs="Arial"/>
        </w:rPr>
        <w:t xml:space="preserve"> </w:t>
      </w:r>
    </w:p>
    <w:p w14:paraId="3F0399E9" w14:textId="1C0689BA" w:rsidR="00875490" w:rsidRDefault="00875490" w:rsidP="00875490">
      <w:pPr>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23957" w:rsidRPr="00623957" w14:paraId="0CD390CC" w14:textId="77777777" w:rsidTr="0093429E">
        <w:trPr>
          <w:trHeight w:val="1807"/>
        </w:trPr>
        <w:tc>
          <w:tcPr>
            <w:tcW w:w="8838" w:type="dxa"/>
            <w:gridSpan w:val="2"/>
            <w:vAlign w:val="center"/>
          </w:tcPr>
          <w:p w14:paraId="4838692C" w14:textId="77777777" w:rsidR="002D09B9" w:rsidRDefault="002D09B9" w:rsidP="0093429E">
            <w:pPr>
              <w:jc w:val="center"/>
              <w:rPr>
                <w:rFonts w:ascii="Palatino Linotype" w:hAnsi="Palatino Linotype"/>
                <w:b/>
              </w:rPr>
            </w:pPr>
          </w:p>
          <w:p w14:paraId="05FCE0E1" w14:textId="77777777" w:rsidR="002D09B9" w:rsidRDefault="002D09B9" w:rsidP="0093429E">
            <w:pPr>
              <w:jc w:val="center"/>
              <w:rPr>
                <w:rFonts w:ascii="Palatino Linotype" w:hAnsi="Palatino Linotype"/>
                <w:b/>
              </w:rPr>
            </w:pPr>
          </w:p>
          <w:p w14:paraId="0B0C6914" w14:textId="77777777" w:rsidR="00336887" w:rsidRDefault="00336887" w:rsidP="0093429E">
            <w:pPr>
              <w:jc w:val="center"/>
              <w:rPr>
                <w:rFonts w:ascii="Palatino Linotype" w:hAnsi="Palatino Linotype"/>
                <w:b/>
              </w:rPr>
            </w:pPr>
          </w:p>
          <w:p w14:paraId="0B66B96B" w14:textId="3FB95EAA" w:rsidR="00373004" w:rsidRPr="00DA3C6B" w:rsidRDefault="00DA3C6B" w:rsidP="00DA3C6B">
            <w:pPr>
              <w:jc w:val="center"/>
              <w:rPr>
                <w:rFonts w:ascii="Palatino Linotype" w:hAnsi="Palatino Linotype" w:cs="Arial"/>
                <w:b/>
              </w:rPr>
            </w:pPr>
            <w:r w:rsidRPr="00623957">
              <w:rPr>
                <w:rFonts w:ascii="Palatino Linotype" w:hAnsi="Palatino Linotype" w:cs="Arial"/>
                <w:b/>
              </w:rPr>
              <w:t>Zulema Martínez Sánchez</w:t>
            </w:r>
          </w:p>
          <w:p w14:paraId="6310AE25" w14:textId="77777777" w:rsidR="00373004" w:rsidRDefault="00373004" w:rsidP="0093429E">
            <w:pPr>
              <w:jc w:val="center"/>
              <w:rPr>
                <w:rFonts w:ascii="Palatino Linotype" w:hAnsi="Palatino Linotype"/>
              </w:rPr>
            </w:pPr>
            <w:r w:rsidRPr="00623957">
              <w:rPr>
                <w:rFonts w:ascii="Palatino Linotype" w:hAnsi="Palatino Linotype"/>
              </w:rPr>
              <w:t>Comisionada Presidenta</w:t>
            </w:r>
          </w:p>
          <w:p w14:paraId="3D469867" w14:textId="3EFFF303" w:rsidR="00670468" w:rsidRDefault="002A4074" w:rsidP="0093429E">
            <w:pPr>
              <w:jc w:val="center"/>
              <w:rPr>
                <w:rFonts w:ascii="Palatino Linotype" w:hAnsi="Palatino Linotype"/>
              </w:rPr>
            </w:pPr>
            <w:r>
              <w:rPr>
                <w:rFonts w:ascii="Palatino Linotype" w:hAnsi="Palatino Linotype"/>
              </w:rPr>
              <w:t>(Rúbrica)</w:t>
            </w:r>
          </w:p>
          <w:p w14:paraId="1DAE17A5" w14:textId="774BF4F3" w:rsidR="00994D47" w:rsidRDefault="00994D47" w:rsidP="0093429E">
            <w:pPr>
              <w:jc w:val="center"/>
              <w:rPr>
                <w:rFonts w:ascii="Palatino Linotype" w:hAnsi="Palatino Linotype"/>
              </w:rPr>
            </w:pPr>
          </w:p>
          <w:p w14:paraId="6A641BA5" w14:textId="507E945D" w:rsidR="00AB7E65" w:rsidRDefault="00AB7E65" w:rsidP="0093429E">
            <w:pPr>
              <w:jc w:val="center"/>
              <w:rPr>
                <w:rFonts w:ascii="Palatino Linotype" w:hAnsi="Palatino Linotype"/>
              </w:rPr>
            </w:pPr>
          </w:p>
          <w:p w14:paraId="45717F71" w14:textId="10B3FE83" w:rsidR="00DA3C6B" w:rsidRDefault="00DA3C6B" w:rsidP="0093429E">
            <w:pPr>
              <w:jc w:val="center"/>
              <w:rPr>
                <w:rFonts w:ascii="Palatino Linotype" w:hAnsi="Palatino Linotype"/>
              </w:rPr>
            </w:pPr>
          </w:p>
          <w:p w14:paraId="76175352" w14:textId="77777777" w:rsidR="0084631A" w:rsidRDefault="0084631A" w:rsidP="007261D7">
            <w:pPr>
              <w:jc w:val="center"/>
              <w:rPr>
                <w:rFonts w:ascii="Palatino Linotype" w:hAnsi="Palatino Linotype"/>
              </w:rPr>
            </w:pPr>
          </w:p>
          <w:p w14:paraId="7EE40653" w14:textId="600F97E6" w:rsidR="0084631A" w:rsidRPr="00623957" w:rsidRDefault="0084631A" w:rsidP="007261D7">
            <w:pPr>
              <w:jc w:val="center"/>
              <w:rPr>
                <w:rFonts w:ascii="Palatino Linotype" w:hAnsi="Palatino Linotype"/>
              </w:rPr>
            </w:pPr>
          </w:p>
        </w:tc>
      </w:tr>
      <w:tr w:rsidR="00623957" w:rsidRPr="00623957" w14:paraId="59BE7D19" w14:textId="77777777" w:rsidTr="0093429E">
        <w:trPr>
          <w:trHeight w:val="2156"/>
        </w:trPr>
        <w:tc>
          <w:tcPr>
            <w:tcW w:w="4419" w:type="dxa"/>
            <w:vAlign w:val="center"/>
          </w:tcPr>
          <w:p w14:paraId="1906F2DB" w14:textId="77777777" w:rsidR="00373004" w:rsidRPr="00623957" w:rsidRDefault="00373004" w:rsidP="0093429E">
            <w:pPr>
              <w:jc w:val="center"/>
              <w:rPr>
                <w:rFonts w:ascii="Palatino Linotype" w:hAnsi="Palatino Linotype"/>
                <w:b/>
              </w:rPr>
            </w:pPr>
            <w:r w:rsidRPr="00623957">
              <w:rPr>
                <w:rFonts w:ascii="Palatino Linotype" w:hAnsi="Palatino Linotype"/>
                <w:b/>
              </w:rPr>
              <w:t>Eva Abaid Yapur</w:t>
            </w:r>
          </w:p>
          <w:p w14:paraId="576EB360" w14:textId="77777777" w:rsidR="00373004" w:rsidRDefault="00373004" w:rsidP="0093429E">
            <w:pPr>
              <w:jc w:val="center"/>
              <w:rPr>
                <w:rFonts w:ascii="Palatino Linotype" w:hAnsi="Palatino Linotype"/>
              </w:rPr>
            </w:pPr>
            <w:r w:rsidRPr="00623957">
              <w:rPr>
                <w:rFonts w:ascii="Palatino Linotype" w:hAnsi="Palatino Linotype"/>
              </w:rPr>
              <w:t>Comisionada</w:t>
            </w:r>
          </w:p>
          <w:p w14:paraId="0F2FB818" w14:textId="7C1A9FFD" w:rsidR="00670468" w:rsidRDefault="002A4074" w:rsidP="0093429E">
            <w:pPr>
              <w:jc w:val="center"/>
              <w:rPr>
                <w:rFonts w:ascii="Palatino Linotype" w:hAnsi="Palatino Linotype"/>
              </w:rPr>
            </w:pPr>
            <w:r>
              <w:rPr>
                <w:rFonts w:ascii="Palatino Linotype" w:hAnsi="Palatino Linotype"/>
              </w:rPr>
              <w:t>(Rúbrica)</w:t>
            </w:r>
          </w:p>
          <w:p w14:paraId="5337BD13" w14:textId="38010D35" w:rsidR="00994D47" w:rsidRDefault="00994D47" w:rsidP="0093429E">
            <w:pPr>
              <w:jc w:val="center"/>
              <w:rPr>
                <w:rFonts w:ascii="Palatino Linotype" w:hAnsi="Palatino Linotype"/>
              </w:rPr>
            </w:pPr>
          </w:p>
          <w:p w14:paraId="3B0E8880" w14:textId="6437ADCC" w:rsidR="00DA3C6B" w:rsidRDefault="00DA3C6B" w:rsidP="0093429E">
            <w:pPr>
              <w:jc w:val="center"/>
              <w:rPr>
                <w:rFonts w:ascii="Palatino Linotype" w:hAnsi="Palatino Linotype"/>
              </w:rPr>
            </w:pPr>
          </w:p>
          <w:p w14:paraId="3A9F8A75" w14:textId="514345CB" w:rsidR="00833A00" w:rsidRPr="00623957" w:rsidRDefault="00833A00" w:rsidP="00D90153">
            <w:pPr>
              <w:jc w:val="center"/>
              <w:rPr>
                <w:rFonts w:ascii="Palatino Linotype" w:hAnsi="Palatino Linotype"/>
              </w:rPr>
            </w:pPr>
          </w:p>
        </w:tc>
        <w:tc>
          <w:tcPr>
            <w:tcW w:w="4419" w:type="dxa"/>
            <w:vAlign w:val="center"/>
          </w:tcPr>
          <w:p w14:paraId="3F5EC3EC" w14:textId="77777777" w:rsidR="00373004" w:rsidRPr="00623957" w:rsidRDefault="00373004" w:rsidP="0093429E">
            <w:pPr>
              <w:jc w:val="center"/>
              <w:rPr>
                <w:rFonts w:ascii="Palatino Linotype" w:hAnsi="Palatino Linotype"/>
                <w:b/>
              </w:rPr>
            </w:pPr>
            <w:r w:rsidRPr="00623957">
              <w:rPr>
                <w:rFonts w:ascii="Palatino Linotype" w:hAnsi="Palatino Linotype" w:cs="Arial"/>
                <w:b/>
              </w:rPr>
              <w:t xml:space="preserve"> José Guadalupe Luna Hernández</w:t>
            </w:r>
          </w:p>
          <w:p w14:paraId="6CB30D64" w14:textId="77777777" w:rsidR="00373004" w:rsidRDefault="00373004" w:rsidP="0093429E">
            <w:pPr>
              <w:jc w:val="center"/>
              <w:rPr>
                <w:rFonts w:ascii="Palatino Linotype" w:hAnsi="Palatino Linotype"/>
              </w:rPr>
            </w:pPr>
            <w:r w:rsidRPr="00623957">
              <w:rPr>
                <w:rFonts w:ascii="Palatino Linotype" w:hAnsi="Palatino Linotype"/>
              </w:rPr>
              <w:t xml:space="preserve">      Comisionado</w:t>
            </w:r>
          </w:p>
          <w:p w14:paraId="4D12A741" w14:textId="2478AE50" w:rsidR="00670468" w:rsidRDefault="002A4074" w:rsidP="0093429E">
            <w:pPr>
              <w:jc w:val="center"/>
              <w:rPr>
                <w:rFonts w:ascii="Palatino Linotype" w:hAnsi="Palatino Linotype"/>
              </w:rPr>
            </w:pPr>
            <w:r>
              <w:rPr>
                <w:rFonts w:ascii="Palatino Linotype" w:hAnsi="Palatino Linotype"/>
              </w:rPr>
              <w:t>(Rúbrica)</w:t>
            </w:r>
          </w:p>
          <w:p w14:paraId="470AE8D6" w14:textId="1B6478B5" w:rsidR="00994D47" w:rsidRDefault="00994D47" w:rsidP="0093429E">
            <w:pPr>
              <w:jc w:val="center"/>
              <w:rPr>
                <w:rFonts w:ascii="Palatino Linotype" w:hAnsi="Palatino Linotype"/>
              </w:rPr>
            </w:pPr>
          </w:p>
          <w:p w14:paraId="47D48A3E" w14:textId="47134C84" w:rsidR="00DA3C6B" w:rsidRDefault="00DA3C6B" w:rsidP="0093429E">
            <w:pPr>
              <w:jc w:val="center"/>
              <w:rPr>
                <w:rFonts w:ascii="Palatino Linotype" w:hAnsi="Palatino Linotype"/>
              </w:rPr>
            </w:pPr>
          </w:p>
          <w:p w14:paraId="318F18FD" w14:textId="1CD96486" w:rsidR="00D87E63" w:rsidRPr="00623957" w:rsidRDefault="00D87E63" w:rsidP="00A4356F">
            <w:pPr>
              <w:jc w:val="center"/>
              <w:rPr>
                <w:rFonts w:ascii="Palatino Linotype" w:hAnsi="Palatino Linotype"/>
              </w:rPr>
            </w:pPr>
            <w:r>
              <w:rPr>
                <w:rFonts w:ascii="Palatino Linotype" w:hAnsi="Palatino Linotype"/>
              </w:rPr>
              <w:t xml:space="preserve">       </w:t>
            </w:r>
          </w:p>
        </w:tc>
      </w:tr>
      <w:tr w:rsidR="00623957" w:rsidRPr="00623957" w14:paraId="378CA3F6" w14:textId="77777777" w:rsidTr="0093429E">
        <w:trPr>
          <w:trHeight w:val="1953"/>
        </w:trPr>
        <w:tc>
          <w:tcPr>
            <w:tcW w:w="8838" w:type="dxa"/>
            <w:gridSpan w:val="2"/>
            <w:vAlign w:val="center"/>
          </w:tcPr>
          <w:p w14:paraId="0AC151FC" w14:textId="77777777" w:rsidR="0084631A" w:rsidRDefault="0084631A" w:rsidP="0093429E">
            <w:pPr>
              <w:jc w:val="center"/>
              <w:rPr>
                <w:rFonts w:ascii="Palatino Linotype" w:hAnsi="Palatino Linotype" w:cs="Arial"/>
                <w:b/>
              </w:rPr>
            </w:pPr>
          </w:p>
          <w:p w14:paraId="22314A14" w14:textId="0FB81BC9" w:rsidR="00373004" w:rsidRPr="00623957" w:rsidRDefault="00373004" w:rsidP="0093429E">
            <w:pPr>
              <w:jc w:val="center"/>
              <w:rPr>
                <w:rFonts w:ascii="Palatino Linotype" w:hAnsi="Palatino Linotype" w:cs="Arial"/>
                <w:b/>
              </w:rPr>
            </w:pPr>
            <w:r w:rsidRPr="00623957">
              <w:rPr>
                <w:rFonts w:ascii="Palatino Linotype" w:hAnsi="Palatino Linotype" w:cs="Arial"/>
                <w:b/>
              </w:rPr>
              <w:t xml:space="preserve"> Javier Martínez Cruz           </w:t>
            </w:r>
            <w:r w:rsidR="00DA57EB">
              <w:rPr>
                <w:rFonts w:ascii="Palatino Linotype" w:hAnsi="Palatino Linotype" w:cs="Arial"/>
                <w:b/>
              </w:rPr>
              <w:t xml:space="preserve">                     </w:t>
            </w:r>
            <w:r w:rsidRPr="00623957">
              <w:rPr>
                <w:rFonts w:ascii="Palatino Linotype" w:hAnsi="Palatino Linotype" w:cs="Arial"/>
                <w:b/>
              </w:rPr>
              <w:t xml:space="preserve">           </w:t>
            </w:r>
          </w:p>
          <w:p w14:paraId="40F06027" w14:textId="77777777" w:rsidR="001665F3" w:rsidRDefault="00373004" w:rsidP="00AB7E65">
            <w:pPr>
              <w:jc w:val="center"/>
              <w:rPr>
                <w:rFonts w:ascii="Palatino Linotype" w:hAnsi="Palatino Linotype" w:cs="Arial"/>
              </w:rPr>
            </w:pPr>
            <w:r w:rsidRPr="00623957">
              <w:rPr>
                <w:rFonts w:ascii="Palatino Linotype" w:hAnsi="Palatino Linotype" w:cs="Arial"/>
              </w:rPr>
              <w:t>Comisionado</w:t>
            </w:r>
          </w:p>
          <w:p w14:paraId="301A3D64" w14:textId="44C40136" w:rsidR="00670468" w:rsidRDefault="002A4074" w:rsidP="00AB7E65">
            <w:pPr>
              <w:jc w:val="center"/>
              <w:rPr>
                <w:rFonts w:ascii="Palatino Linotype" w:hAnsi="Palatino Linotype" w:cs="Arial"/>
              </w:rPr>
            </w:pPr>
            <w:r>
              <w:rPr>
                <w:rFonts w:ascii="Palatino Linotype" w:hAnsi="Palatino Linotype"/>
              </w:rPr>
              <w:t>(Rúbrica)</w:t>
            </w:r>
          </w:p>
          <w:p w14:paraId="13A45BFE" w14:textId="7877720C" w:rsidR="00994D47" w:rsidRDefault="00994D47" w:rsidP="00AB7E65">
            <w:pPr>
              <w:jc w:val="center"/>
              <w:rPr>
                <w:rFonts w:ascii="Palatino Linotype" w:hAnsi="Palatino Linotype" w:cs="Arial"/>
              </w:rPr>
            </w:pPr>
          </w:p>
          <w:p w14:paraId="57F39AF6" w14:textId="230E8FB9" w:rsidR="00AB7E65" w:rsidRPr="00623957" w:rsidRDefault="00AB7E65" w:rsidP="00AB7E65">
            <w:pPr>
              <w:jc w:val="center"/>
              <w:rPr>
                <w:rFonts w:ascii="Palatino Linotype" w:hAnsi="Palatino Linotype" w:cs="Arial"/>
              </w:rPr>
            </w:pPr>
          </w:p>
        </w:tc>
      </w:tr>
      <w:tr w:rsidR="00623957" w:rsidRPr="00623957" w14:paraId="41ECFB5D" w14:textId="77777777" w:rsidTr="0093429E">
        <w:trPr>
          <w:trHeight w:val="1544"/>
        </w:trPr>
        <w:tc>
          <w:tcPr>
            <w:tcW w:w="8838" w:type="dxa"/>
            <w:gridSpan w:val="2"/>
            <w:vAlign w:val="center"/>
          </w:tcPr>
          <w:p w14:paraId="6664D8FF" w14:textId="77777777" w:rsidR="00994D47" w:rsidRDefault="00994D47" w:rsidP="0093429E">
            <w:pPr>
              <w:jc w:val="center"/>
              <w:rPr>
                <w:rFonts w:ascii="Palatino Linotype" w:hAnsi="Palatino Linotype" w:cs="Arial"/>
                <w:b/>
              </w:rPr>
            </w:pPr>
          </w:p>
          <w:p w14:paraId="45E5A6BF" w14:textId="77777777" w:rsidR="00994D47" w:rsidRDefault="00994D47" w:rsidP="0093429E">
            <w:pPr>
              <w:jc w:val="center"/>
              <w:rPr>
                <w:rFonts w:ascii="Palatino Linotype" w:hAnsi="Palatino Linotype" w:cs="Arial"/>
                <w:b/>
              </w:rPr>
            </w:pPr>
          </w:p>
          <w:p w14:paraId="13E85F8B" w14:textId="77777777" w:rsidR="0084631A" w:rsidRDefault="0084631A" w:rsidP="0093429E">
            <w:pPr>
              <w:jc w:val="center"/>
              <w:rPr>
                <w:rFonts w:ascii="Palatino Linotype" w:hAnsi="Palatino Linotype" w:cs="Arial"/>
                <w:b/>
              </w:rPr>
            </w:pPr>
          </w:p>
          <w:p w14:paraId="5BEF0371" w14:textId="7F7AAEA6" w:rsidR="00373004" w:rsidRPr="00623957" w:rsidRDefault="00AB7E65" w:rsidP="0093429E">
            <w:pPr>
              <w:jc w:val="center"/>
              <w:rPr>
                <w:rFonts w:ascii="Palatino Linotype" w:hAnsi="Palatino Linotype"/>
                <w:b/>
              </w:rPr>
            </w:pPr>
            <w:r>
              <w:rPr>
                <w:rFonts w:ascii="Palatino Linotype" w:hAnsi="Palatino Linotype" w:cs="Arial"/>
                <w:b/>
              </w:rPr>
              <w:t>Alexis Tapia Ramírez</w:t>
            </w:r>
          </w:p>
          <w:p w14:paraId="56930203" w14:textId="570D00B8" w:rsidR="00373004" w:rsidRDefault="00AB7E65" w:rsidP="0093429E">
            <w:pPr>
              <w:jc w:val="center"/>
              <w:rPr>
                <w:rFonts w:ascii="Palatino Linotype" w:hAnsi="Palatino Linotype"/>
              </w:rPr>
            </w:pPr>
            <w:r>
              <w:rPr>
                <w:rFonts w:ascii="Palatino Linotype" w:hAnsi="Palatino Linotype"/>
              </w:rPr>
              <w:t>Secretario Técnico</w:t>
            </w:r>
            <w:r w:rsidR="00373004" w:rsidRPr="00623957">
              <w:rPr>
                <w:rFonts w:ascii="Palatino Linotype" w:hAnsi="Palatino Linotype"/>
              </w:rPr>
              <w:t xml:space="preserve"> del Pleno</w:t>
            </w:r>
          </w:p>
          <w:p w14:paraId="38D3F19E" w14:textId="2E6F5FC4" w:rsidR="00670468" w:rsidRDefault="002A4074" w:rsidP="0093429E">
            <w:pPr>
              <w:jc w:val="center"/>
              <w:rPr>
                <w:rFonts w:ascii="Palatino Linotype" w:hAnsi="Palatino Linotype"/>
              </w:rPr>
            </w:pPr>
            <w:r>
              <w:rPr>
                <w:rFonts w:ascii="Palatino Linotype" w:hAnsi="Palatino Linotype"/>
              </w:rPr>
              <w:t>(Rúbrica)</w:t>
            </w:r>
          </w:p>
          <w:p w14:paraId="7B63E249" w14:textId="195F1C57" w:rsidR="00F7750F" w:rsidRPr="00623957" w:rsidRDefault="00F7750F" w:rsidP="00994D47">
            <w:pPr>
              <w:jc w:val="center"/>
              <w:rPr>
                <w:rFonts w:ascii="Palatino Linotype" w:hAnsi="Palatino Linotype"/>
              </w:rPr>
            </w:pPr>
          </w:p>
        </w:tc>
      </w:tr>
    </w:tbl>
    <w:p w14:paraId="3B73E78B" w14:textId="479DFFD6" w:rsidR="00373004" w:rsidRPr="00623957" w:rsidRDefault="00373004" w:rsidP="00373004">
      <w:pPr>
        <w:jc w:val="both"/>
        <w:rPr>
          <w:rFonts w:ascii="Palatino Linotype" w:hAnsi="Palatino Linotype" w:cs="Arial"/>
        </w:rPr>
      </w:pPr>
      <w:r w:rsidRPr="00994D47">
        <w:rPr>
          <w:rFonts w:ascii="Palatino Linotype" w:hAnsi="Palatino Linotype" w:cs="Arial"/>
          <w:sz w:val="20"/>
        </w:rPr>
        <w:t xml:space="preserve">Esta hoja corresponde a la resolución de </w:t>
      </w:r>
      <w:r w:rsidR="00670468">
        <w:rPr>
          <w:rFonts w:ascii="Palatino Linotype" w:hAnsi="Palatino Linotype" w:cs="Arial"/>
          <w:sz w:val="20"/>
        </w:rPr>
        <w:t>veintidós</w:t>
      </w:r>
      <w:r w:rsidRPr="00994D47">
        <w:rPr>
          <w:rFonts w:ascii="Palatino Linotype" w:hAnsi="Palatino Linotype" w:cs="Arial"/>
          <w:sz w:val="20"/>
        </w:rPr>
        <w:t xml:space="preserve"> de </w:t>
      </w:r>
      <w:r w:rsidR="00670468">
        <w:rPr>
          <w:rFonts w:ascii="Palatino Linotype" w:hAnsi="Palatino Linotype" w:cs="Arial"/>
          <w:sz w:val="20"/>
        </w:rPr>
        <w:t>agosto</w:t>
      </w:r>
      <w:r w:rsidRPr="00994D47">
        <w:rPr>
          <w:rFonts w:ascii="Palatino Linotype" w:hAnsi="Palatino Linotype" w:cs="Arial"/>
          <w:sz w:val="20"/>
        </w:rPr>
        <w:t xml:space="preserve"> de dos mil </w:t>
      </w:r>
      <w:r w:rsidR="00833A00" w:rsidRPr="00994D47">
        <w:rPr>
          <w:rFonts w:ascii="Palatino Linotype" w:hAnsi="Palatino Linotype" w:cs="Arial"/>
          <w:sz w:val="20"/>
        </w:rPr>
        <w:t>dieciocho</w:t>
      </w:r>
      <w:r w:rsidR="00994D47">
        <w:rPr>
          <w:rFonts w:ascii="Palatino Linotype" w:hAnsi="Palatino Linotype" w:cs="Arial"/>
          <w:sz w:val="20"/>
        </w:rPr>
        <w:t>, emitida en el</w:t>
      </w:r>
      <w:r w:rsidRPr="00994D47">
        <w:rPr>
          <w:rFonts w:ascii="Palatino Linotype" w:hAnsi="Palatino Linotype" w:cs="Arial"/>
          <w:sz w:val="20"/>
        </w:rPr>
        <w:t xml:space="preserve"> recurso de revisión </w:t>
      </w:r>
      <w:r w:rsidR="00AB7BB4">
        <w:rPr>
          <w:rFonts w:ascii="Palatino Linotype" w:hAnsi="Palatino Linotype" w:cs="Arial"/>
          <w:b/>
          <w:bCs/>
          <w:sz w:val="20"/>
        </w:rPr>
        <w:t>02476</w:t>
      </w:r>
      <w:r w:rsidR="00BF7463" w:rsidRPr="00994D47">
        <w:rPr>
          <w:rFonts w:ascii="Palatino Linotype" w:hAnsi="Palatino Linotype" w:cs="Arial"/>
          <w:b/>
          <w:bCs/>
          <w:sz w:val="20"/>
        </w:rPr>
        <w:t>/INFOEM/IP</w:t>
      </w:r>
      <w:r w:rsidRPr="00994D47">
        <w:rPr>
          <w:rFonts w:ascii="Palatino Linotype" w:hAnsi="Palatino Linotype" w:cs="Arial"/>
          <w:b/>
          <w:bCs/>
          <w:sz w:val="20"/>
        </w:rPr>
        <w:t>/RR/201</w:t>
      </w:r>
      <w:r w:rsidR="0094784F" w:rsidRPr="00994D47">
        <w:rPr>
          <w:rFonts w:ascii="Palatino Linotype" w:hAnsi="Palatino Linotype" w:cs="Arial"/>
          <w:b/>
          <w:bCs/>
          <w:sz w:val="20"/>
        </w:rPr>
        <w:t>8</w:t>
      </w:r>
      <w:r w:rsidRPr="00623957">
        <w:rPr>
          <w:rFonts w:ascii="Palatino Linotype" w:hAnsi="Palatino Linotype" w:cs="Arial"/>
        </w:rPr>
        <w:t>.</w:t>
      </w:r>
    </w:p>
    <w:sectPr w:rsidR="00373004" w:rsidRPr="00623957" w:rsidSect="00C60714">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F94D6" w14:textId="77777777" w:rsidR="006C4E03" w:rsidRDefault="006C4E03" w:rsidP="00C80F8C">
      <w:r>
        <w:separator/>
      </w:r>
    </w:p>
  </w:endnote>
  <w:endnote w:type="continuationSeparator" w:id="0">
    <w:p w14:paraId="11E443AB" w14:textId="77777777" w:rsidR="006C4E03" w:rsidRDefault="006C4E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295699" w:rsidRDefault="002956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5553">
      <w:rPr>
        <w:rFonts w:ascii="Arial" w:hAnsi="Arial" w:cs="Arial"/>
        <w:b/>
        <w:bCs/>
        <w:noProof/>
        <w:sz w:val="20"/>
        <w:szCs w:val="20"/>
      </w:rPr>
      <w:t>11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5553">
      <w:rPr>
        <w:rFonts w:ascii="Arial" w:hAnsi="Arial" w:cs="Arial"/>
        <w:b/>
        <w:bCs/>
        <w:noProof/>
        <w:sz w:val="20"/>
        <w:szCs w:val="20"/>
      </w:rPr>
      <w:t>26</w:t>
    </w:r>
    <w:r>
      <w:rPr>
        <w:rFonts w:ascii="Arial" w:hAnsi="Arial" w:cs="Arial"/>
        <w:b/>
        <w:bCs/>
        <w:sz w:val="20"/>
        <w:szCs w:val="20"/>
      </w:rPr>
      <w:fldChar w:fldCharType="end"/>
    </w:r>
  </w:p>
  <w:p w14:paraId="1192A578" w14:textId="77777777" w:rsidR="00295699" w:rsidRDefault="00295699" w:rsidP="00935A0D">
    <w:pPr>
      <w:pStyle w:val="Piedepgina"/>
      <w:rPr>
        <w:rFonts w:ascii="Times New Roman" w:hAnsi="Times New Roman" w:cs="Times New Roman"/>
      </w:rPr>
    </w:pPr>
  </w:p>
  <w:p w14:paraId="14A770F8" w14:textId="77777777" w:rsidR="00295699" w:rsidRDefault="0029569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295699" w:rsidRDefault="002956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555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5553">
      <w:rPr>
        <w:rFonts w:ascii="Arial" w:hAnsi="Arial" w:cs="Arial"/>
        <w:b/>
        <w:bCs/>
        <w:noProof/>
        <w:sz w:val="20"/>
        <w:szCs w:val="20"/>
      </w:rPr>
      <w:t>26</w:t>
    </w:r>
    <w:r>
      <w:rPr>
        <w:rFonts w:ascii="Arial" w:hAnsi="Arial" w:cs="Arial"/>
        <w:b/>
        <w:bCs/>
        <w:sz w:val="20"/>
        <w:szCs w:val="20"/>
      </w:rPr>
      <w:fldChar w:fldCharType="end"/>
    </w:r>
  </w:p>
  <w:p w14:paraId="5D98ABD5" w14:textId="77777777" w:rsidR="00295699" w:rsidRDefault="002956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61B8E" w14:textId="77777777" w:rsidR="006C4E03" w:rsidRDefault="006C4E03" w:rsidP="00C80F8C">
      <w:r>
        <w:separator/>
      </w:r>
    </w:p>
  </w:footnote>
  <w:footnote w:type="continuationSeparator" w:id="0">
    <w:p w14:paraId="12D5C711" w14:textId="77777777" w:rsidR="006C4E03" w:rsidRDefault="006C4E03" w:rsidP="00C80F8C">
      <w:r>
        <w:continuationSeparator/>
      </w:r>
    </w:p>
  </w:footnote>
  <w:footnote w:id="1">
    <w:p w14:paraId="7834FEF9" w14:textId="77777777" w:rsidR="00AB7BB4" w:rsidRPr="009752C3" w:rsidRDefault="00AB7BB4" w:rsidP="00AB7BB4">
      <w:pPr>
        <w:ind w:right="49"/>
        <w:jc w:val="both"/>
        <w:rPr>
          <w:rFonts w:ascii="Palatino Linotype" w:hAnsi="Palatino Linotype" w:cs="Arial"/>
          <w:bCs/>
          <w:noProof/>
          <w:sz w:val="20"/>
          <w:szCs w:val="20"/>
        </w:rPr>
      </w:pPr>
      <w:r>
        <w:rPr>
          <w:rStyle w:val="Refdenotaalpie"/>
        </w:rPr>
        <w:footnoteRef/>
      </w:r>
      <w:r>
        <w:t xml:space="preserve"> </w:t>
      </w:r>
      <w:r w:rsidRPr="009752C3">
        <w:rPr>
          <w:rFonts w:ascii="Palatino Linotype" w:hAnsi="Palatino Linotype" w:cs="Arial"/>
          <w:bCs/>
          <w:noProof/>
          <w:sz w:val="20"/>
          <w:szCs w:val="20"/>
        </w:rPr>
        <w:t xml:space="preserve">Artículo 17-G.- Los certificados que emita el Servicio de Administración Tributaria para ser considerados válidos deberán contener los datos siguientes: </w:t>
      </w:r>
    </w:p>
    <w:p w14:paraId="24269B9B" w14:textId="77777777" w:rsidR="00AB7BB4" w:rsidRPr="009752C3" w:rsidRDefault="00AB7BB4" w:rsidP="00AB7BB4">
      <w:pPr>
        <w:ind w:right="49"/>
        <w:jc w:val="both"/>
        <w:rPr>
          <w:rFonts w:ascii="Palatino Linotype" w:hAnsi="Palatino Linotype" w:cs="Arial"/>
          <w:bCs/>
          <w:noProof/>
          <w:sz w:val="20"/>
          <w:szCs w:val="20"/>
        </w:rPr>
      </w:pPr>
      <w:r>
        <w:rPr>
          <w:rFonts w:ascii="Palatino Linotype" w:hAnsi="Palatino Linotype" w:cs="Arial"/>
          <w:bCs/>
          <w:noProof/>
          <w:sz w:val="20"/>
          <w:szCs w:val="20"/>
        </w:rPr>
        <w:t xml:space="preserve">I. </w:t>
      </w:r>
      <w:r w:rsidRPr="009752C3">
        <w:rPr>
          <w:rFonts w:ascii="Palatino Linotype" w:hAnsi="Palatino Linotype" w:cs="Arial"/>
          <w:bCs/>
          <w:noProof/>
          <w:sz w:val="20"/>
          <w:szCs w:val="20"/>
        </w:rPr>
        <w:t>La mención de que se expiden como tales. Tratándose de certificados de sellos digitales, se deberán especificar las limitantes que tengan para su uso.</w:t>
      </w:r>
    </w:p>
    <w:p w14:paraId="782C5A9A" w14:textId="77777777" w:rsidR="00AB7BB4" w:rsidRPr="009752C3" w:rsidRDefault="00AB7BB4" w:rsidP="00AB7BB4">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89CC938" w14:textId="77777777" w:rsidR="00AB7BB4" w:rsidRPr="009752C3" w:rsidRDefault="00AB7BB4" w:rsidP="00AB7BB4">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Los contribuyentes a que se refiere el párrafo anterior deberán cumplir con las obligaciones siguientes:</w:t>
      </w:r>
    </w:p>
    <w:p w14:paraId="11E04C2D" w14:textId="77777777" w:rsidR="00AB7BB4" w:rsidRPr="009752C3" w:rsidRDefault="00AB7BB4" w:rsidP="00AB7BB4">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 xml:space="preserve">I. </w:t>
      </w:r>
      <w:r w:rsidRPr="009752C3">
        <w:rPr>
          <w:rFonts w:ascii="Palatino Linotype" w:hAnsi="Palatino Linotype" w:cs="Arial"/>
          <w:bCs/>
          <w:noProof/>
          <w:sz w:val="20"/>
          <w:szCs w:val="20"/>
        </w:rPr>
        <w:tab/>
        <w:t>…</w:t>
      </w:r>
    </w:p>
    <w:p w14:paraId="64D7243A" w14:textId="77777777" w:rsidR="00AB7BB4" w:rsidRPr="009752C3" w:rsidRDefault="00AB7BB4" w:rsidP="00AB7BB4">
      <w:pPr>
        <w:ind w:right="49"/>
        <w:jc w:val="both"/>
        <w:rPr>
          <w:rFonts w:ascii="Palatino Linotype" w:hAnsi="Palatino Linotype" w:cs="Arial"/>
          <w:bCs/>
          <w:noProof/>
          <w:sz w:val="20"/>
          <w:szCs w:val="20"/>
        </w:rPr>
      </w:pPr>
      <w:r w:rsidRPr="009752C3">
        <w:rPr>
          <w:rFonts w:ascii="Palatino Linotype" w:hAnsi="Palatino Linotype" w:cs="Arial"/>
          <w:bCs/>
          <w:noProof/>
          <w:sz w:val="20"/>
          <w:szCs w:val="20"/>
        </w:rPr>
        <w:t xml:space="preserve">II. </w:t>
      </w:r>
      <w:r w:rsidRPr="009752C3">
        <w:rPr>
          <w:rFonts w:ascii="Palatino Linotype" w:hAnsi="Palatino Linotype" w:cs="Arial"/>
          <w:bCs/>
          <w:noProof/>
          <w:sz w:val="20"/>
          <w:szCs w:val="20"/>
        </w:rPr>
        <w:tab/>
        <w:t>Tramitar ante el Servicio de Administración Tributaria el certificado para el uso de los sellos digitales.</w:t>
      </w:r>
    </w:p>
    <w:p w14:paraId="2C95A2A8" w14:textId="77777777" w:rsidR="00AB7BB4" w:rsidRDefault="00AB7BB4" w:rsidP="00AB7BB4">
      <w:pPr>
        <w:pStyle w:val="Textonotapie"/>
        <w:ind w:right="49"/>
        <w:jc w:val="both"/>
      </w:pPr>
      <w:r w:rsidRPr="009752C3">
        <w:rPr>
          <w:rFonts w:ascii="Palatino Linotype" w:hAnsi="Palatino Linotype" w:cs="Arial"/>
          <w:bCs/>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295699" w14:paraId="6B4E3B81" w14:textId="77777777" w:rsidTr="00251B17">
      <w:tc>
        <w:tcPr>
          <w:tcW w:w="2694" w:type="dxa"/>
          <w:vAlign w:val="center"/>
          <w:hideMark/>
        </w:tcPr>
        <w:p w14:paraId="0ABBC6C0" w14:textId="77777777" w:rsidR="00295699" w:rsidRDefault="00295699"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2F2DEA50" w:rsidR="00295699" w:rsidRDefault="007F46B8" w:rsidP="0043050B">
          <w:pPr>
            <w:jc w:val="both"/>
            <w:rPr>
              <w:rFonts w:ascii="Palatino Linotype" w:hAnsi="Palatino Linotype"/>
              <w:b/>
              <w:sz w:val="22"/>
              <w:szCs w:val="22"/>
              <w:lang w:val="es-ES_tradnl"/>
            </w:rPr>
          </w:pPr>
          <w:r>
            <w:rPr>
              <w:rFonts w:ascii="Palatino Linotype" w:hAnsi="Palatino Linotype"/>
              <w:b/>
              <w:sz w:val="22"/>
              <w:szCs w:val="22"/>
              <w:lang w:val="es-ES_tradnl"/>
            </w:rPr>
            <w:t>02476</w:t>
          </w:r>
          <w:r w:rsidR="00295699">
            <w:rPr>
              <w:rFonts w:ascii="Palatino Linotype" w:hAnsi="Palatino Linotype"/>
              <w:b/>
              <w:sz w:val="22"/>
              <w:szCs w:val="22"/>
              <w:lang w:val="es-ES_tradnl"/>
            </w:rPr>
            <w:t xml:space="preserve">/INFOEM/IP/RR/2018 </w:t>
          </w:r>
        </w:p>
      </w:tc>
    </w:tr>
    <w:tr w:rsidR="00295699" w14:paraId="31CB780F" w14:textId="77777777" w:rsidTr="00251B17">
      <w:trPr>
        <w:trHeight w:val="228"/>
      </w:trPr>
      <w:tc>
        <w:tcPr>
          <w:tcW w:w="2694" w:type="dxa"/>
          <w:vAlign w:val="center"/>
          <w:hideMark/>
        </w:tcPr>
        <w:p w14:paraId="4F49CB4A" w14:textId="77777777" w:rsidR="00295699" w:rsidRDefault="00295699"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68677F4D" w:rsidR="00295699" w:rsidRDefault="00295699"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295699" w14:paraId="69050F56" w14:textId="77777777" w:rsidTr="00251B17">
      <w:tc>
        <w:tcPr>
          <w:tcW w:w="2694" w:type="dxa"/>
          <w:vAlign w:val="center"/>
          <w:hideMark/>
        </w:tcPr>
        <w:p w14:paraId="65C9B735" w14:textId="3CB772C2" w:rsidR="00295699" w:rsidRDefault="0029569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21CAEFF5" w:rsidR="00295699" w:rsidRDefault="0029569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599BC21" w:rsidR="00295699" w:rsidRDefault="00295699"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295699" w:rsidRDefault="00295699"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295699" w14:paraId="477E149B" w14:textId="77777777" w:rsidTr="004C33BE">
      <w:tc>
        <w:tcPr>
          <w:tcW w:w="2694" w:type="dxa"/>
          <w:vAlign w:val="center"/>
          <w:hideMark/>
        </w:tcPr>
        <w:p w14:paraId="5C0586E4" w14:textId="77777777" w:rsidR="00295699" w:rsidRDefault="0029569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5563E464" w:rsidR="00295699" w:rsidRDefault="007F46B8" w:rsidP="0043050B">
          <w:pPr>
            <w:jc w:val="both"/>
            <w:rPr>
              <w:rFonts w:ascii="Palatino Linotype" w:hAnsi="Palatino Linotype"/>
              <w:b/>
              <w:sz w:val="22"/>
              <w:szCs w:val="22"/>
              <w:lang w:val="es-ES_tradnl"/>
            </w:rPr>
          </w:pPr>
          <w:r>
            <w:rPr>
              <w:rFonts w:ascii="Palatino Linotype" w:hAnsi="Palatino Linotype"/>
              <w:b/>
              <w:sz w:val="22"/>
              <w:szCs w:val="22"/>
              <w:lang w:val="es-ES_tradnl"/>
            </w:rPr>
            <w:t>02476</w:t>
          </w:r>
          <w:r w:rsidR="00295699">
            <w:rPr>
              <w:rFonts w:ascii="Palatino Linotype" w:hAnsi="Palatino Linotype"/>
              <w:b/>
              <w:sz w:val="22"/>
              <w:szCs w:val="22"/>
              <w:lang w:val="es-ES_tradnl"/>
            </w:rPr>
            <w:t xml:space="preserve">/INFOEM/IP/RR/2018 </w:t>
          </w:r>
        </w:p>
      </w:tc>
    </w:tr>
    <w:tr w:rsidR="00295699" w14:paraId="5B5BE21C" w14:textId="77777777" w:rsidTr="004C33BE">
      <w:tc>
        <w:tcPr>
          <w:tcW w:w="2694" w:type="dxa"/>
          <w:vAlign w:val="center"/>
          <w:hideMark/>
        </w:tcPr>
        <w:p w14:paraId="4AE96902" w14:textId="77777777" w:rsidR="00295699" w:rsidRDefault="00295699"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61D86CB1" w:rsidR="00295699" w:rsidRDefault="00024F77" w:rsidP="00024F77">
          <w:pPr>
            <w:jc w:val="both"/>
            <w:rPr>
              <w:rFonts w:ascii="Palatino Linotype" w:hAnsi="Palatino Linotype"/>
              <w:b/>
              <w:sz w:val="22"/>
              <w:szCs w:val="22"/>
              <w:lang w:val="es-ES_tradnl"/>
            </w:rPr>
          </w:pPr>
          <w:r>
            <w:rPr>
              <w:rFonts w:ascii="Palatino Linotype" w:hAnsi="Palatino Linotype"/>
              <w:b/>
              <w:sz w:val="22"/>
              <w:szCs w:val="22"/>
              <w:lang w:val="es-ES_tradnl"/>
            </w:rPr>
            <w:t>Xxxxx Xxxxxxxx Xxxxx</w:t>
          </w:r>
        </w:p>
      </w:tc>
    </w:tr>
    <w:tr w:rsidR="00295699" w14:paraId="22601A11" w14:textId="77777777" w:rsidTr="004C33BE">
      <w:trPr>
        <w:trHeight w:val="228"/>
      </w:trPr>
      <w:tc>
        <w:tcPr>
          <w:tcW w:w="2694" w:type="dxa"/>
          <w:vAlign w:val="center"/>
          <w:hideMark/>
        </w:tcPr>
        <w:p w14:paraId="6EFE221D" w14:textId="77777777" w:rsidR="00295699" w:rsidRDefault="0029569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38503B84" w:rsidR="00295699" w:rsidRDefault="00295699"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295699" w14:paraId="2D6C630E" w14:textId="77777777" w:rsidTr="004C33BE">
      <w:tc>
        <w:tcPr>
          <w:tcW w:w="2694" w:type="dxa"/>
          <w:vAlign w:val="center"/>
          <w:hideMark/>
        </w:tcPr>
        <w:p w14:paraId="5BD4C6DB" w14:textId="656677ED" w:rsidR="00295699" w:rsidRDefault="0029569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7378CBC0" w:rsidR="00295699" w:rsidRDefault="00295699"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295699" w:rsidRDefault="0029569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B061BF9"/>
    <w:multiLevelType w:val="hybridMultilevel"/>
    <w:tmpl w:val="952A01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E582A18"/>
    <w:multiLevelType w:val="hybridMultilevel"/>
    <w:tmpl w:val="1EE4930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DF50F0"/>
    <w:multiLevelType w:val="hybridMultilevel"/>
    <w:tmpl w:val="A1F85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20"/>
  </w:num>
  <w:num w:numId="5">
    <w:abstractNumId w:val="4"/>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3"/>
  </w:num>
  <w:num w:numId="11">
    <w:abstractNumId w:val="0"/>
  </w:num>
  <w:num w:numId="12">
    <w:abstractNumId w:val="9"/>
  </w:num>
  <w:num w:numId="13">
    <w:abstractNumId w:val="2"/>
  </w:num>
  <w:num w:numId="14">
    <w:abstractNumId w:val="11"/>
  </w:num>
  <w:num w:numId="15">
    <w:abstractNumId w:val="7"/>
  </w:num>
  <w:num w:numId="16">
    <w:abstractNumId w:val="16"/>
  </w:num>
  <w:num w:numId="17">
    <w:abstractNumId w:val="22"/>
  </w:num>
  <w:num w:numId="18">
    <w:abstractNumId w:val="17"/>
  </w:num>
  <w:num w:numId="19">
    <w:abstractNumId w:val="21"/>
  </w:num>
  <w:num w:numId="20">
    <w:abstractNumId w:val="14"/>
  </w:num>
  <w:num w:numId="21">
    <w:abstractNumId w:val="1"/>
  </w:num>
  <w:num w:numId="22">
    <w:abstractNumId w:val="13"/>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3C"/>
    <w:rsid w:val="00011AF0"/>
    <w:rsid w:val="00011E5E"/>
    <w:rsid w:val="00012C3B"/>
    <w:rsid w:val="000163E2"/>
    <w:rsid w:val="00017949"/>
    <w:rsid w:val="00017DF0"/>
    <w:rsid w:val="00023495"/>
    <w:rsid w:val="00023AD2"/>
    <w:rsid w:val="00024F77"/>
    <w:rsid w:val="00025F2D"/>
    <w:rsid w:val="00033751"/>
    <w:rsid w:val="000354B7"/>
    <w:rsid w:val="000510A8"/>
    <w:rsid w:val="00052D38"/>
    <w:rsid w:val="000534A1"/>
    <w:rsid w:val="000553C0"/>
    <w:rsid w:val="000554AE"/>
    <w:rsid w:val="000576B5"/>
    <w:rsid w:val="00057A30"/>
    <w:rsid w:val="00057DB2"/>
    <w:rsid w:val="00060443"/>
    <w:rsid w:val="00065D53"/>
    <w:rsid w:val="00072745"/>
    <w:rsid w:val="00074B1D"/>
    <w:rsid w:val="00077373"/>
    <w:rsid w:val="0008369C"/>
    <w:rsid w:val="00083DBF"/>
    <w:rsid w:val="0008542A"/>
    <w:rsid w:val="00087A2F"/>
    <w:rsid w:val="00087F53"/>
    <w:rsid w:val="00091B28"/>
    <w:rsid w:val="000A08C8"/>
    <w:rsid w:val="000A2839"/>
    <w:rsid w:val="000A297C"/>
    <w:rsid w:val="000A39EE"/>
    <w:rsid w:val="000A6E93"/>
    <w:rsid w:val="000B0C88"/>
    <w:rsid w:val="000B30DE"/>
    <w:rsid w:val="000B3FFD"/>
    <w:rsid w:val="000B5BBF"/>
    <w:rsid w:val="000C4453"/>
    <w:rsid w:val="000C5510"/>
    <w:rsid w:val="000D79C6"/>
    <w:rsid w:val="000E0A35"/>
    <w:rsid w:val="000E538E"/>
    <w:rsid w:val="000F4B2A"/>
    <w:rsid w:val="001026D9"/>
    <w:rsid w:val="001135A2"/>
    <w:rsid w:val="00113E57"/>
    <w:rsid w:val="001207A1"/>
    <w:rsid w:val="001217FE"/>
    <w:rsid w:val="00121F71"/>
    <w:rsid w:val="0012737D"/>
    <w:rsid w:val="001338B7"/>
    <w:rsid w:val="001363CF"/>
    <w:rsid w:val="00141692"/>
    <w:rsid w:val="001442D0"/>
    <w:rsid w:val="001451D4"/>
    <w:rsid w:val="00146DE9"/>
    <w:rsid w:val="0014798B"/>
    <w:rsid w:val="00150AF4"/>
    <w:rsid w:val="00150C1E"/>
    <w:rsid w:val="00151D15"/>
    <w:rsid w:val="0016086B"/>
    <w:rsid w:val="001622B3"/>
    <w:rsid w:val="0016338E"/>
    <w:rsid w:val="001665F3"/>
    <w:rsid w:val="00170A94"/>
    <w:rsid w:val="001775A1"/>
    <w:rsid w:val="00177C54"/>
    <w:rsid w:val="00180FAC"/>
    <w:rsid w:val="0018116D"/>
    <w:rsid w:val="00183418"/>
    <w:rsid w:val="00185C15"/>
    <w:rsid w:val="001903DF"/>
    <w:rsid w:val="00195AA6"/>
    <w:rsid w:val="001A48DA"/>
    <w:rsid w:val="001A7365"/>
    <w:rsid w:val="001B2B30"/>
    <w:rsid w:val="001B3B81"/>
    <w:rsid w:val="001B4A74"/>
    <w:rsid w:val="001B7ED4"/>
    <w:rsid w:val="001C69EF"/>
    <w:rsid w:val="001D3DA7"/>
    <w:rsid w:val="001E1037"/>
    <w:rsid w:val="001F1730"/>
    <w:rsid w:val="002035A8"/>
    <w:rsid w:val="00205E97"/>
    <w:rsid w:val="002105D7"/>
    <w:rsid w:val="00212091"/>
    <w:rsid w:val="00214089"/>
    <w:rsid w:val="002164C1"/>
    <w:rsid w:val="00216812"/>
    <w:rsid w:val="00217331"/>
    <w:rsid w:val="002173C8"/>
    <w:rsid w:val="00220958"/>
    <w:rsid w:val="002257C9"/>
    <w:rsid w:val="00226461"/>
    <w:rsid w:val="00231A75"/>
    <w:rsid w:val="0023264F"/>
    <w:rsid w:val="00234A9A"/>
    <w:rsid w:val="00240822"/>
    <w:rsid w:val="00241AF5"/>
    <w:rsid w:val="002433D3"/>
    <w:rsid w:val="00251B17"/>
    <w:rsid w:val="0026202F"/>
    <w:rsid w:val="0026408D"/>
    <w:rsid w:val="002657F7"/>
    <w:rsid w:val="00266E56"/>
    <w:rsid w:val="00271499"/>
    <w:rsid w:val="00274C14"/>
    <w:rsid w:val="00277E49"/>
    <w:rsid w:val="00295699"/>
    <w:rsid w:val="00295FE3"/>
    <w:rsid w:val="002969D8"/>
    <w:rsid w:val="002A4074"/>
    <w:rsid w:val="002B1842"/>
    <w:rsid w:val="002B58AE"/>
    <w:rsid w:val="002C00C9"/>
    <w:rsid w:val="002C2FF0"/>
    <w:rsid w:val="002C6154"/>
    <w:rsid w:val="002C6664"/>
    <w:rsid w:val="002D09B9"/>
    <w:rsid w:val="002D1AF4"/>
    <w:rsid w:val="002E0FE3"/>
    <w:rsid w:val="002F12C7"/>
    <w:rsid w:val="002F596F"/>
    <w:rsid w:val="002F7109"/>
    <w:rsid w:val="003034D0"/>
    <w:rsid w:val="00303AA4"/>
    <w:rsid w:val="003041F3"/>
    <w:rsid w:val="00304D7E"/>
    <w:rsid w:val="00307F9F"/>
    <w:rsid w:val="003112E7"/>
    <w:rsid w:val="00312EFC"/>
    <w:rsid w:val="003147B0"/>
    <w:rsid w:val="00314C57"/>
    <w:rsid w:val="0031526D"/>
    <w:rsid w:val="0032063B"/>
    <w:rsid w:val="00321C33"/>
    <w:rsid w:val="00325AB5"/>
    <w:rsid w:val="00334C6F"/>
    <w:rsid w:val="00336887"/>
    <w:rsid w:val="00342042"/>
    <w:rsid w:val="00346FC4"/>
    <w:rsid w:val="00353A17"/>
    <w:rsid w:val="0035790D"/>
    <w:rsid w:val="00362819"/>
    <w:rsid w:val="00367C07"/>
    <w:rsid w:val="00373004"/>
    <w:rsid w:val="00376D74"/>
    <w:rsid w:val="003806E0"/>
    <w:rsid w:val="00385D0E"/>
    <w:rsid w:val="00387CDA"/>
    <w:rsid w:val="00397DD5"/>
    <w:rsid w:val="003A5BBD"/>
    <w:rsid w:val="003A5CCD"/>
    <w:rsid w:val="003B2085"/>
    <w:rsid w:val="003B47EC"/>
    <w:rsid w:val="003D38B9"/>
    <w:rsid w:val="003E34EE"/>
    <w:rsid w:val="003E4072"/>
    <w:rsid w:val="003E43E2"/>
    <w:rsid w:val="003E4E4F"/>
    <w:rsid w:val="003E63C1"/>
    <w:rsid w:val="003E6686"/>
    <w:rsid w:val="003E6D4E"/>
    <w:rsid w:val="003F0578"/>
    <w:rsid w:val="003F07A9"/>
    <w:rsid w:val="003F27B0"/>
    <w:rsid w:val="0040397E"/>
    <w:rsid w:val="0040647B"/>
    <w:rsid w:val="004072E6"/>
    <w:rsid w:val="00412023"/>
    <w:rsid w:val="004157C3"/>
    <w:rsid w:val="0041699D"/>
    <w:rsid w:val="00420778"/>
    <w:rsid w:val="004210D8"/>
    <w:rsid w:val="004222E2"/>
    <w:rsid w:val="00424B71"/>
    <w:rsid w:val="0042623E"/>
    <w:rsid w:val="004263EA"/>
    <w:rsid w:val="004274E7"/>
    <w:rsid w:val="0043050B"/>
    <w:rsid w:val="00437163"/>
    <w:rsid w:val="00437884"/>
    <w:rsid w:val="004429D9"/>
    <w:rsid w:val="0044547C"/>
    <w:rsid w:val="004509FD"/>
    <w:rsid w:val="004515B0"/>
    <w:rsid w:val="004522FD"/>
    <w:rsid w:val="0045451A"/>
    <w:rsid w:val="004575F7"/>
    <w:rsid w:val="00472B24"/>
    <w:rsid w:val="00474B7C"/>
    <w:rsid w:val="00476AE6"/>
    <w:rsid w:val="004773D4"/>
    <w:rsid w:val="00477D9A"/>
    <w:rsid w:val="004806BA"/>
    <w:rsid w:val="004835E2"/>
    <w:rsid w:val="004848E1"/>
    <w:rsid w:val="00484DE9"/>
    <w:rsid w:val="00487F15"/>
    <w:rsid w:val="004952DF"/>
    <w:rsid w:val="004959AA"/>
    <w:rsid w:val="004A03D9"/>
    <w:rsid w:val="004A16A1"/>
    <w:rsid w:val="004A32A1"/>
    <w:rsid w:val="004A4D7F"/>
    <w:rsid w:val="004B601A"/>
    <w:rsid w:val="004C109A"/>
    <w:rsid w:val="004C2F69"/>
    <w:rsid w:val="004C33BE"/>
    <w:rsid w:val="004C52C0"/>
    <w:rsid w:val="004C6702"/>
    <w:rsid w:val="004D0A26"/>
    <w:rsid w:val="004D44CD"/>
    <w:rsid w:val="004D5241"/>
    <w:rsid w:val="004E3DA2"/>
    <w:rsid w:val="004E4985"/>
    <w:rsid w:val="004E7EEB"/>
    <w:rsid w:val="004F015B"/>
    <w:rsid w:val="004F3876"/>
    <w:rsid w:val="004F712A"/>
    <w:rsid w:val="005033A4"/>
    <w:rsid w:val="00504D33"/>
    <w:rsid w:val="005106D8"/>
    <w:rsid w:val="005217C9"/>
    <w:rsid w:val="00525553"/>
    <w:rsid w:val="0052722C"/>
    <w:rsid w:val="0053491B"/>
    <w:rsid w:val="0054006F"/>
    <w:rsid w:val="0054132E"/>
    <w:rsid w:val="00541B44"/>
    <w:rsid w:val="00541DB4"/>
    <w:rsid w:val="00545A4E"/>
    <w:rsid w:val="00550CE9"/>
    <w:rsid w:val="005574D5"/>
    <w:rsid w:val="00561DB1"/>
    <w:rsid w:val="00567F67"/>
    <w:rsid w:val="00573670"/>
    <w:rsid w:val="0057532C"/>
    <w:rsid w:val="005755F5"/>
    <w:rsid w:val="00576797"/>
    <w:rsid w:val="00580DAF"/>
    <w:rsid w:val="00581CD6"/>
    <w:rsid w:val="0058763A"/>
    <w:rsid w:val="005913AE"/>
    <w:rsid w:val="005915A4"/>
    <w:rsid w:val="005937AE"/>
    <w:rsid w:val="00593ED7"/>
    <w:rsid w:val="00596B79"/>
    <w:rsid w:val="00596E80"/>
    <w:rsid w:val="005A2277"/>
    <w:rsid w:val="005A654A"/>
    <w:rsid w:val="005B48E5"/>
    <w:rsid w:val="005C3478"/>
    <w:rsid w:val="005C3AC2"/>
    <w:rsid w:val="005C5BDA"/>
    <w:rsid w:val="005D119F"/>
    <w:rsid w:val="005D1992"/>
    <w:rsid w:val="005D243F"/>
    <w:rsid w:val="005D4933"/>
    <w:rsid w:val="005D7A24"/>
    <w:rsid w:val="005D7AF1"/>
    <w:rsid w:val="005E1C0F"/>
    <w:rsid w:val="005E292A"/>
    <w:rsid w:val="005E3430"/>
    <w:rsid w:val="005F218B"/>
    <w:rsid w:val="005F2795"/>
    <w:rsid w:val="005F386C"/>
    <w:rsid w:val="005F48BE"/>
    <w:rsid w:val="00600018"/>
    <w:rsid w:val="00603C31"/>
    <w:rsid w:val="00603F6D"/>
    <w:rsid w:val="00604BDB"/>
    <w:rsid w:val="0060734B"/>
    <w:rsid w:val="00607619"/>
    <w:rsid w:val="006104FA"/>
    <w:rsid w:val="00610DBC"/>
    <w:rsid w:val="00615135"/>
    <w:rsid w:val="00620675"/>
    <w:rsid w:val="00623957"/>
    <w:rsid w:val="00624C3D"/>
    <w:rsid w:val="00625209"/>
    <w:rsid w:val="006275DD"/>
    <w:rsid w:val="00634485"/>
    <w:rsid w:val="006366CA"/>
    <w:rsid w:val="006429C9"/>
    <w:rsid w:val="006457A6"/>
    <w:rsid w:val="00650B6E"/>
    <w:rsid w:val="00650D44"/>
    <w:rsid w:val="00651855"/>
    <w:rsid w:val="00656767"/>
    <w:rsid w:val="00663281"/>
    <w:rsid w:val="00667FEF"/>
    <w:rsid w:val="00670468"/>
    <w:rsid w:val="0067208A"/>
    <w:rsid w:val="006727CB"/>
    <w:rsid w:val="00682EFD"/>
    <w:rsid w:val="00683AEA"/>
    <w:rsid w:val="00686A8A"/>
    <w:rsid w:val="00691FB8"/>
    <w:rsid w:val="00692DE5"/>
    <w:rsid w:val="00694BD6"/>
    <w:rsid w:val="00697B69"/>
    <w:rsid w:val="006A005B"/>
    <w:rsid w:val="006A3CAD"/>
    <w:rsid w:val="006A559E"/>
    <w:rsid w:val="006A64B7"/>
    <w:rsid w:val="006A76CA"/>
    <w:rsid w:val="006B36F2"/>
    <w:rsid w:val="006B386F"/>
    <w:rsid w:val="006C0805"/>
    <w:rsid w:val="006C4E03"/>
    <w:rsid w:val="006D011C"/>
    <w:rsid w:val="006D01E9"/>
    <w:rsid w:val="006D11B2"/>
    <w:rsid w:val="006D41F1"/>
    <w:rsid w:val="006E1358"/>
    <w:rsid w:val="006E14A0"/>
    <w:rsid w:val="006E5550"/>
    <w:rsid w:val="006E6389"/>
    <w:rsid w:val="006F1D2A"/>
    <w:rsid w:val="006F30F8"/>
    <w:rsid w:val="0070126D"/>
    <w:rsid w:val="00703529"/>
    <w:rsid w:val="007066D9"/>
    <w:rsid w:val="00707C30"/>
    <w:rsid w:val="00707C7E"/>
    <w:rsid w:val="00713789"/>
    <w:rsid w:val="00715912"/>
    <w:rsid w:val="00716230"/>
    <w:rsid w:val="0071712D"/>
    <w:rsid w:val="00717814"/>
    <w:rsid w:val="00721CFB"/>
    <w:rsid w:val="007222E4"/>
    <w:rsid w:val="00723CBA"/>
    <w:rsid w:val="00724184"/>
    <w:rsid w:val="007261D7"/>
    <w:rsid w:val="00735701"/>
    <w:rsid w:val="00735E7C"/>
    <w:rsid w:val="007360D1"/>
    <w:rsid w:val="00736C06"/>
    <w:rsid w:val="007414E9"/>
    <w:rsid w:val="0074203F"/>
    <w:rsid w:val="0074367D"/>
    <w:rsid w:val="00744B8F"/>
    <w:rsid w:val="0074697E"/>
    <w:rsid w:val="007614BA"/>
    <w:rsid w:val="007629C3"/>
    <w:rsid w:val="00764096"/>
    <w:rsid w:val="0077203A"/>
    <w:rsid w:val="00774D03"/>
    <w:rsid w:val="007757FD"/>
    <w:rsid w:val="00783347"/>
    <w:rsid w:val="007853B8"/>
    <w:rsid w:val="00793EA5"/>
    <w:rsid w:val="00796313"/>
    <w:rsid w:val="007A00E0"/>
    <w:rsid w:val="007A22F5"/>
    <w:rsid w:val="007A291E"/>
    <w:rsid w:val="007A5F4D"/>
    <w:rsid w:val="007C1C4D"/>
    <w:rsid w:val="007C2F0A"/>
    <w:rsid w:val="007C2FBC"/>
    <w:rsid w:val="007C3859"/>
    <w:rsid w:val="007D469C"/>
    <w:rsid w:val="007D4DF2"/>
    <w:rsid w:val="007E50D3"/>
    <w:rsid w:val="007F10CD"/>
    <w:rsid w:val="007F1DF6"/>
    <w:rsid w:val="007F3931"/>
    <w:rsid w:val="007F46B8"/>
    <w:rsid w:val="007F528B"/>
    <w:rsid w:val="00800C80"/>
    <w:rsid w:val="00801A74"/>
    <w:rsid w:val="008037D7"/>
    <w:rsid w:val="008044F4"/>
    <w:rsid w:val="00816040"/>
    <w:rsid w:val="00821B2C"/>
    <w:rsid w:val="0082702D"/>
    <w:rsid w:val="008331EF"/>
    <w:rsid w:val="00833A00"/>
    <w:rsid w:val="00840825"/>
    <w:rsid w:val="0084631A"/>
    <w:rsid w:val="00846766"/>
    <w:rsid w:val="008472F4"/>
    <w:rsid w:val="00860CDB"/>
    <w:rsid w:val="00860F7D"/>
    <w:rsid w:val="008718F3"/>
    <w:rsid w:val="00872469"/>
    <w:rsid w:val="00875490"/>
    <w:rsid w:val="00875CB9"/>
    <w:rsid w:val="008900BC"/>
    <w:rsid w:val="00890647"/>
    <w:rsid w:val="00892AFC"/>
    <w:rsid w:val="00892FA2"/>
    <w:rsid w:val="008943DA"/>
    <w:rsid w:val="008A1111"/>
    <w:rsid w:val="008A1F01"/>
    <w:rsid w:val="008A5B69"/>
    <w:rsid w:val="008B40A0"/>
    <w:rsid w:val="008B7597"/>
    <w:rsid w:val="008C26B9"/>
    <w:rsid w:val="008C4988"/>
    <w:rsid w:val="008D1526"/>
    <w:rsid w:val="008D50F6"/>
    <w:rsid w:val="008F0E11"/>
    <w:rsid w:val="008F2180"/>
    <w:rsid w:val="008F22B8"/>
    <w:rsid w:val="009003EF"/>
    <w:rsid w:val="009031DC"/>
    <w:rsid w:val="009034AE"/>
    <w:rsid w:val="009039DA"/>
    <w:rsid w:val="00904450"/>
    <w:rsid w:val="00905338"/>
    <w:rsid w:val="009158C1"/>
    <w:rsid w:val="00920219"/>
    <w:rsid w:val="009268DE"/>
    <w:rsid w:val="009274BB"/>
    <w:rsid w:val="00933EC0"/>
    <w:rsid w:val="0093429E"/>
    <w:rsid w:val="00935A0D"/>
    <w:rsid w:val="00935C5E"/>
    <w:rsid w:val="009408EA"/>
    <w:rsid w:val="00943162"/>
    <w:rsid w:val="00944CA2"/>
    <w:rsid w:val="009455DD"/>
    <w:rsid w:val="00945905"/>
    <w:rsid w:val="009477CE"/>
    <w:rsid w:val="0094784F"/>
    <w:rsid w:val="009513F6"/>
    <w:rsid w:val="00962213"/>
    <w:rsid w:val="0096226F"/>
    <w:rsid w:val="00964386"/>
    <w:rsid w:val="00965291"/>
    <w:rsid w:val="00966D38"/>
    <w:rsid w:val="00967B74"/>
    <w:rsid w:val="00971E94"/>
    <w:rsid w:val="009752C3"/>
    <w:rsid w:val="00975EB9"/>
    <w:rsid w:val="00980B9F"/>
    <w:rsid w:val="00990C48"/>
    <w:rsid w:val="00992EE9"/>
    <w:rsid w:val="00994D47"/>
    <w:rsid w:val="009B26BE"/>
    <w:rsid w:val="009B3C2E"/>
    <w:rsid w:val="009B5A16"/>
    <w:rsid w:val="009C7BB8"/>
    <w:rsid w:val="009C7E07"/>
    <w:rsid w:val="009D20D6"/>
    <w:rsid w:val="009D4854"/>
    <w:rsid w:val="009D4E33"/>
    <w:rsid w:val="009D5B53"/>
    <w:rsid w:val="009E4703"/>
    <w:rsid w:val="009E5176"/>
    <w:rsid w:val="009E6252"/>
    <w:rsid w:val="009E73AC"/>
    <w:rsid w:val="009F1BDC"/>
    <w:rsid w:val="009F4348"/>
    <w:rsid w:val="009F4525"/>
    <w:rsid w:val="009F7402"/>
    <w:rsid w:val="00A00122"/>
    <w:rsid w:val="00A003CA"/>
    <w:rsid w:val="00A17355"/>
    <w:rsid w:val="00A24684"/>
    <w:rsid w:val="00A26390"/>
    <w:rsid w:val="00A34CB7"/>
    <w:rsid w:val="00A3567B"/>
    <w:rsid w:val="00A36408"/>
    <w:rsid w:val="00A37080"/>
    <w:rsid w:val="00A4356F"/>
    <w:rsid w:val="00A44486"/>
    <w:rsid w:val="00A44F15"/>
    <w:rsid w:val="00A456DC"/>
    <w:rsid w:val="00A51E8B"/>
    <w:rsid w:val="00A52459"/>
    <w:rsid w:val="00A64FD5"/>
    <w:rsid w:val="00A744F3"/>
    <w:rsid w:val="00A74DF6"/>
    <w:rsid w:val="00A7765D"/>
    <w:rsid w:val="00A81140"/>
    <w:rsid w:val="00A8207F"/>
    <w:rsid w:val="00A83958"/>
    <w:rsid w:val="00A84E25"/>
    <w:rsid w:val="00A85D0C"/>
    <w:rsid w:val="00A86739"/>
    <w:rsid w:val="00A97DE7"/>
    <w:rsid w:val="00AA13D2"/>
    <w:rsid w:val="00AA5382"/>
    <w:rsid w:val="00AA62C4"/>
    <w:rsid w:val="00AB757B"/>
    <w:rsid w:val="00AB7BB4"/>
    <w:rsid w:val="00AB7E65"/>
    <w:rsid w:val="00AC1DF7"/>
    <w:rsid w:val="00AC5B31"/>
    <w:rsid w:val="00AC6069"/>
    <w:rsid w:val="00AD07BA"/>
    <w:rsid w:val="00AD2F37"/>
    <w:rsid w:val="00AD6FF1"/>
    <w:rsid w:val="00AE0B24"/>
    <w:rsid w:val="00AE2930"/>
    <w:rsid w:val="00AF0503"/>
    <w:rsid w:val="00AF1084"/>
    <w:rsid w:val="00AF1113"/>
    <w:rsid w:val="00B032E6"/>
    <w:rsid w:val="00B05B80"/>
    <w:rsid w:val="00B10F8D"/>
    <w:rsid w:val="00B127F8"/>
    <w:rsid w:val="00B16451"/>
    <w:rsid w:val="00B21DDD"/>
    <w:rsid w:val="00B22C70"/>
    <w:rsid w:val="00B313F3"/>
    <w:rsid w:val="00B3446C"/>
    <w:rsid w:val="00B3587A"/>
    <w:rsid w:val="00B35E85"/>
    <w:rsid w:val="00B41360"/>
    <w:rsid w:val="00B45AA9"/>
    <w:rsid w:val="00B52A01"/>
    <w:rsid w:val="00B54BFF"/>
    <w:rsid w:val="00B55C51"/>
    <w:rsid w:val="00B60EC8"/>
    <w:rsid w:val="00B61D04"/>
    <w:rsid w:val="00B62FE5"/>
    <w:rsid w:val="00B8099A"/>
    <w:rsid w:val="00B81188"/>
    <w:rsid w:val="00B859B2"/>
    <w:rsid w:val="00B878A0"/>
    <w:rsid w:val="00B931C7"/>
    <w:rsid w:val="00B95C73"/>
    <w:rsid w:val="00BA5C86"/>
    <w:rsid w:val="00BA5D77"/>
    <w:rsid w:val="00BC309B"/>
    <w:rsid w:val="00BC3FF4"/>
    <w:rsid w:val="00BC57BD"/>
    <w:rsid w:val="00BC6B3D"/>
    <w:rsid w:val="00BC6B6B"/>
    <w:rsid w:val="00BD49BC"/>
    <w:rsid w:val="00BD7483"/>
    <w:rsid w:val="00BD7BEC"/>
    <w:rsid w:val="00BE0A35"/>
    <w:rsid w:val="00BE16A5"/>
    <w:rsid w:val="00BE1F19"/>
    <w:rsid w:val="00BE343A"/>
    <w:rsid w:val="00BE7B85"/>
    <w:rsid w:val="00BF461A"/>
    <w:rsid w:val="00BF5810"/>
    <w:rsid w:val="00BF7463"/>
    <w:rsid w:val="00C04E6A"/>
    <w:rsid w:val="00C05015"/>
    <w:rsid w:val="00C054F8"/>
    <w:rsid w:val="00C105D7"/>
    <w:rsid w:val="00C12614"/>
    <w:rsid w:val="00C137C5"/>
    <w:rsid w:val="00C1582F"/>
    <w:rsid w:val="00C21F37"/>
    <w:rsid w:val="00C23E01"/>
    <w:rsid w:val="00C240DC"/>
    <w:rsid w:val="00C2750E"/>
    <w:rsid w:val="00C304E6"/>
    <w:rsid w:val="00C325CB"/>
    <w:rsid w:val="00C37C07"/>
    <w:rsid w:val="00C37CF4"/>
    <w:rsid w:val="00C45B85"/>
    <w:rsid w:val="00C47D1B"/>
    <w:rsid w:val="00C503FF"/>
    <w:rsid w:val="00C51AAA"/>
    <w:rsid w:val="00C51EB3"/>
    <w:rsid w:val="00C52589"/>
    <w:rsid w:val="00C54432"/>
    <w:rsid w:val="00C569E6"/>
    <w:rsid w:val="00C60714"/>
    <w:rsid w:val="00C630E9"/>
    <w:rsid w:val="00C642C6"/>
    <w:rsid w:val="00C657AA"/>
    <w:rsid w:val="00C65AE1"/>
    <w:rsid w:val="00C72646"/>
    <w:rsid w:val="00C73050"/>
    <w:rsid w:val="00C732A3"/>
    <w:rsid w:val="00C76B62"/>
    <w:rsid w:val="00C80F8C"/>
    <w:rsid w:val="00C8116D"/>
    <w:rsid w:val="00C827F0"/>
    <w:rsid w:val="00C90E6C"/>
    <w:rsid w:val="00C93B72"/>
    <w:rsid w:val="00C93D44"/>
    <w:rsid w:val="00C93DE8"/>
    <w:rsid w:val="00C94353"/>
    <w:rsid w:val="00C94EA7"/>
    <w:rsid w:val="00C96A95"/>
    <w:rsid w:val="00CA3FF0"/>
    <w:rsid w:val="00CB5D9F"/>
    <w:rsid w:val="00CB6538"/>
    <w:rsid w:val="00CB7A37"/>
    <w:rsid w:val="00CE092E"/>
    <w:rsid w:val="00CE0AAC"/>
    <w:rsid w:val="00CE5A02"/>
    <w:rsid w:val="00CE70EC"/>
    <w:rsid w:val="00D02553"/>
    <w:rsid w:val="00D06C4C"/>
    <w:rsid w:val="00D07E57"/>
    <w:rsid w:val="00D10C74"/>
    <w:rsid w:val="00D14736"/>
    <w:rsid w:val="00D1729F"/>
    <w:rsid w:val="00D266AF"/>
    <w:rsid w:val="00D303BD"/>
    <w:rsid w:val="00D40348"/>
    <w:rsid w:val="00D44D22"/>
    <w:rsid w:val="00D51EA4"/>
    <w:rsid w:val="00D55A49"/>
    <w:rsid w:val="00D55A77"/>
    <w:rsid w:val="00D56842"/>
    <w:rsid w:val="00D649BF"/>
    <w:rsid w:val="00D73F0C"/>
    <w:rsid w:val="00D74A00"/>
    <w:rsid w:val="00D830F7"/>
    <w:rsid w:val="00D87E63"/>
    <w:rsid w:val="00D90153"/>
    <w:rsid w:val="00DA2E8A"/>
    <w:rsid w:val="00DA3C6B"/>
    <w:rsid w:val="00DA57EB"/>
    <w:rsid w:val="00DB2831"/>
    <w:rsid w:val="00DC2145"/>
    <w:rsid w:val="00DD43B7"/>
    <w:rsid w:val="00DD716D"/>
    <w:rsid w:val="00DE0BC1"/>
    <w:rsid w:val="00DE0EAA"/>
    <w:rsid w:val="00DE4EE6"/>
    <w:rsid w:val="00DF77A5"/>
    <w:rsid w:val="00DF7803"/>
    <w:rsid w:val="00E0735B"/>
    <w:rsid w:val="00E13A75"/>
    <w:rsid w:val="00E176E6"/>
    <w:rsid w:val="00E23591"/>
    <w:rsid w:val="00E235A5"/>
    <w:rsid w:val="00E24F8A"/>
    <w:rsid w:val="00E371A1"/>
    <w:rsid w:val="00E40E2E"/>
    <w:rsid w:val="00E43CB8"/>
    <w:rsid w:val="00E4563E"/>
    <w:rsid w:val="00E460CE"/>
    <w:rsid w:val="00E476A8"/>
    <w:rsid w:val="00E64CD9"/>
    <w:rsid w:val="00E67D31"/>
    <w:rsid w:val="00E721DB"/>
    <w:rsid w:val="00E730F1"/>
    <w:rsid w:val="00E73BE5"/>
    <w:rsid w:val="00E75FFE"/>
    <w:rsid w:val="00E76860"/>
    <w:rsid w:val="00E8008E"/>
    <w:rsid w:val="00E81F5B"/>
    <w:rsid w:val="00E86E4F"/>
    <w:rsid w:val="00E9060B"/>
    <w:rsid w:val="00E92CD3"/>
    <w:rsid w:val="00E95E38"/>
    <w:rsid w:val="00EA0CC0"/>
    <w:rsid w:val="00EA404C"/>
    <w:rsid w:val="00EA432A"/>
    <w:rsid w:val="00EA4DEA"/>
    <w:rsid w:val="00EA73B3"/>
    <w:rsid w:val="00EB0549"/>
    <w:rsid w:val="00EB4969"/>
    <w:rsid w:val="00EC18A9"/>
    <w:rsid w:val="00EC1B58"/>
    <w:rsid w:val="00EC2D24"/>
    <w:rsid w:val="00EC320F"/>
    <w:rsid w:val="00EC5BE6"/>
    <w:rsid w:val="00ED1E66"/>
    <w:rsid w:val="00EE061E"/>
    <w:rsid w:val="00EE0D54"/>
    <w:rsid w:val="00EE31D4"/>
    <w:rsid w:val="00EE727F"/>
    <w:rsid w:val="00EF4435"/>
    <w:rsid w:val="00F170D7"/>
    <w:rsid w:val="00F17900"/>
    <w:rsid w:val="00F23774"/>
    <w:rsid w:val="00F23FC5"/>
    <w:rsid w:val="00F26A1D"/>
    <w:rsid w:val="00F30ED0"/>
    <w:rsid w:val="00F31A21"/>
    <w:rsid w:val="00F37C9D"/>
    <w:rsid w:val="00F40570"/>
    <w:rsid w:val="00F42F0F"/>
    <w:rsid w:val="00F52EE7"/>
    <w:rsid w:val="00F60686"/>
    <w:rsid w:val="00F6199A"/>
    <w:rsid w:val="00F63A05"/>
    <w:rsid w:val="00F71A15"/>
    <w:rsid w:val="00F7513C"/>
    <w:rsid w:val="00F758F1"/>
    <w:rsid w:val="00F7640E"/>
    <w:rsid w:val="00F7750F"/>
    <w:rsid w:val="00F83889"/>
    <w:rsid w:val="00F83F4E"/>
    <w:rsid w:val="00F86DC5"/>
    <w:rsid w:val="00F87384"/>
    <w:rsid w:val="00F91199"/>
    <w:rsid w:val="00F93634"/>
    <w:rsid w:val="00FA2EE6"/>
    <w:rsid w:val="00FA3C22"/>
    <w:rsid w:val="00FA4741"/>
    <w:rsid w:val="00FA62D8"/>
    <w:rsid w:val="00FB48D6"/>
    <w:rsid w:val="00FB5BDB"/>
    <w:rsid w:val="00FC137D"/>
    <w:rsid w:val="00FC497B"/>
    <w:rsid w:val="00FC6671"/>
    <w:rsid w:val="00FE1154"/>
    <w:rsid w:val="00FE647F"/>
    <w:rsid w:val="00FE754C"/>
    <w:rsid w:val="00FF1088"/>
    <w:rsid w:val="00FF5C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55290493">
      <w:bodyDiv w:val="1"/>
      <w:marLeft w:val="0"/>
      <w:marRight w:val="0"/>
      <w:marTop w:val="0"/>
      <w:marBottom w:val="0"/>
      <w:divBdr>
        <w:top w:val="none" w:sz="0" w:space="0" w:color="auto"/>
        <w:left w:val="none" w:sz="0" w:space="0" w:color="auto"/>
        <w:bottom w:val="none" w:sz="0" w:space="0" w:color="auto"/>
        <w:right w:val="none" w:sz="0" w:space="0" w:color="auto"/>
      </w:divBdr>
      <w:divsChild>
        <w:div w:id="439378174">
          <w:marLeft w:val="0"/>
          <w:marRight w:val="0"/>
          <w:marTop w:val="0"/>
          <w:marBottom w:val="0"/>
          <w:divBdr>
            <w:top w:val="none" w:sz="0" w:space="0" w:color="auto"/>
            <w:left w:val="none" w:sz="0" w:space="0" w:color="auto"/>
            <w:bottom w:val="none" w:sz="0" w:space="0" w:color="auto"/>
            <w:right w:val="none" w:sz="0" w:space="0" w:color="auto"/>
          </w:divBdr>
        </w:div>
      </w:divsChild>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58391166">
      <w:bodyDiv w:val="1"/>
      <w:marLeft w:val="0"/>
      <w:marRight w:val="0"/>
      <w:marTop w:val="0"/>
      <w:marBottom w:val="0"/>
      <w:divBdr>
        <w:top w:val="none" w:sz="0" w:space="0" w:color="auto"/>
        <w:left w:val="none" w:sz="0" w:space="0" w:color="auto"/>
        <w:bottom w:val="none" w:sz="0" w:space="0" w:color="auto"/>
        <w:right w:val="none" w:sz="0" w:space="0" w:color="auto"/>
      </w:divBdr>
      <w:divsChild>
        <w:div w:id="226844616">
          <w:marLeft w:val="0"/>
          <w:marRight w:val="0"/>
          <w:marTop w:val="0"/>
          <w:marBottom w:val="0"/>
          <w:divBdr>
            <w:top w:val="none" w:sz="0" w:space="0" w:color="auto"/>
            <w:left w:val="none" w:sz="0" w:space="0" w:color="auto"/>
            <w:bottom w:val="none" w:sz="0" w:space="0" w:color="auto"/>
            <w:right w:val="none" w:sz="0" w:space="0" w:color="auto"/>
          </w:divBdr>
        </w:div>
      </w:divsChild>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3030713">
      <w:bodyDiv w:val="1"/>
      <w:marLeft w:val="0"/>
      <w:marRight w:val="0"/>
      <w:marTop w:val="0"/>
      <w:marBottom w:val="0"/>
      <w:divBdr>
        <w:top w:val="none" w:sz="0" w:space="0" w:color="auto"/>
        <w:left w:val="none" w:sz="0" w:space="0" w:color="auto"/>
        <w:bottom w:val="none" w:sz="0" w:space="0" w:color="auto"/>
        <w:right w:val="none" w:sz="0" w:space="0" w:color="auto"/>
      </w:divBdr>
      <w:divsChild>
        <w:div w:id="763840261">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15600386">
      <w:bodyDiv w:val="1"/>
      <w:marLeft w:val="0"/>
      <w:marRight w:val="0"/>
      <w:marTop w:val="0"/>
      <w:marBottom w:val="0"/>
      <w:divBdr>
        <w:top w:val="none" w:sz="0" w:space="0" w:color="auto"/>
        <w:left w:val="none" w:sz="0" w:space="0" w:color="auto"/>
        <w:bottom w:val="none" w:sz="0" w:space="0" w:color="auto"/>
        <w:right w:val="none" w:sz="0" w:space="0" w:color="auto"/>
      </w:divBdr>
      <w:divsChild>
        <w:div w:id="693723879">
          <w:marLeft w:val="0"/>
          <w:marRight w:val="0"/>
          <w:marTop w:val="0"/>
          <w:marBottom w:val="0"/>
          <w:divBdr>
            <w:top w:val="none" w:sz="0" w:space="0" w:color="auto"/>
            <w:left w:val="none" w:sz="0" w:space="0" w:color="auto"/>
            <w:bottom w:val="none" w:sz="0" w:space="0" w:color="auto"/>
            <w:right w:val="none" w:sz="0" w:space="0" w:color="auto"/>
          </w:divBdr>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286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yperlink" Target="https://www.saimex.org.mx/saimex/solicitud/downloadAttach/552856.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3058-475A-4169-ADC8-2C0E5A65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6633</Words>
  <Characters>36483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2018-08-27T23:40:00Z</cp:lastPrinted>
  <dcterms:created xsi:type="dcterms:W3CDTF">2018-10-02T00:44:00Z</dcterms:created>
  <dcterms:modified xsi:type="dcterms:W3CDTF">2018-10-02T00:44:00Z</dcterms:modified>
</cp:coreProperties>
</file>