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223" w:rsidRDefault="00572223" w:rsidP="00572223">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del </w:t>
      </w:r>
      <w:r w:rsidR="00996488">
        <w:rPr>
          <w:rFonts w:ascii="Palatino Linotype" w:hAnsi="Palatino Linotype" w:cs="Arial"/>
        </w:rPr>
        <w:t>cinco de septiembre</w:t>
      </w:r>
      <w:r>
        <w:rPr>
          <w:rFonts w:ascii="Palatino Linotype" w:hAnsi="Palatino Linotype" w:cs="Arial"/>
        </w:rPr>
        <w:t xml:space="preserve"> de dos mil dieciocho.</w:t>
      </w:r>
    </w:p>
    <w:p w:rsidR="00572223" w:rsidRDefault="00572223" w:rsidP="00572223">
      <w:pPr>
        <w:spacing w:before="100" w:beforeAutospacing="1" w:after="100" w:afterAutospacing="1" w:line="360" w:lineRule="auto"/>
        <w:jc w:val="both"/>
        <w:rPr>
          <w:rFonts w:ascii="Palatino Linotype" w:hAnsi="Palatino Linotype" w:cs="Arial"/>
        </w:rPr>
      </w:pPr>
      <w:r>
        <w:rPr>
          <w:rFonts w:ascii="Palatino Linotype" w:hAnsi="Palatino Linotype" w:cs="Arial"/>
          <w:b/>
        </w:rPr>
        <w:t>VISTO</w:t>
      </w:r>
      <w:r>
        <w:rPr>
          <w:rFonts w:ascii="Palatino Linotype" w:hAnsi="Palatino Linotype" w:cs="Arial"/>
        </w:rPr>
        <w:t xml:space="preserve"> el expediente electrónico formado con motivo del recurso de revisión </w:t>
      </w:r>
      <w:r w:rsidR="006572E0">
        <w:rPr>
          <w:rFonts w:ascii="Palatino Linotype" w:hAnsi="Palatino Linotype" w:cs="Arial"/>
          <w:b/>
          <w:bCs/>
        </w:rPr>
        <w:t>02544</w:t>
      </w:r>
      <w:r>
        <w:rPr>
          <w:rFonts w:ascii="Palatino Linotype" w:hAnsi="Palatino Linotype" w:cs="Arial"/>
          <w:b/>
          <w:bCs/>
        </w:rPr>
        <w:t>/INFOEM/IP/RR/2018</w:t>
      </w:r>
      <w:r>
        <w:rPr>
          <w:rFonts w:ascii="Palatino Linotype" w:hAnsi="Palatino Linotype" w:cs="Arial"/>
          <w:b/>
          <w:bCs/>
          <w:sz w:val="22"/>
        </w:rPr>
        <w:t xml:space="preserve">, </w:t>
      </w:r>
      <w:r>
        <w:rPr>
          <w:rFonts w:ascii="Palatino Linotype" w:hAnsi="Palatino Linotype" w:cs="Arial"/>
        </w:rPr>
        <w:t xml:space="preserve">interpuesto por la </w:t>
      </w:r>
      <w:r>
        <w:rPr>
          <w:rFonts w:ascii="Palatino Linotype" w:hAnsi="Palatino Linotype" w:cs="Arial"/>
          <w:b/>
        </w:rPr>
        <w:t xml:space="preserve">C. </w:t>
      </w:r>
      <w:r w:rsidR="007275EE" w:rsidRPr="007275EE">
        <w:rPr>
          <w:rFonts w:ascii="Palatino Linotype" w:hAnsi="Palatino Linotype"/>
          <w:b/>
          <w:szCs w:val="22"/>
        </w:rPr>
        <w:t>xxxxxxxxxxxxxx xxxxxxxxxxxx xxxxxxxxxxxx</w:t>
      </w:r>
      <w:r>
        <w:rPr>
          <w:rFonts w:ascii="Palatino Linotype" w:hAnsi="Palatino Linotype"/>
          <w:b/>
          <w:szCs w:val="22"/>
        </w:rPr>
        <w:t xml:space="preserve">, </w:t>
      </w:r>
      <w:r>
        <w:rPr>
          <w:rFonts w:ascii="Palatino Linotype" w:hAnsi="Palatino Linotype" w:cs="Arial"/>
        </w:rPr>
        <w:t>el</w:t>
      </w:r>
      <w:r>
        <w:rPr>
          <w:rFonts w:ascii="Palatino Linotype" w:hAnsi="Palatino Linotype" w:cs="Arial"/>
          <w:b/>
        </w:rPr>
        <w:t xml:space="preserve"> recurrente</w:t>
      </w:r>
      <w:r>
        <w:rPr>
          <w:rFonts w:ascii="Palatino Linotype" w:hAnsi="Palatino Linotype" w:cs="Arial"/>
        </w:rPr>
        <w:t xml:space="preserve">, </w:t>
      </w:r>
      <w:r w:rsidR="005533E5">
        <w:rPr>
          <w:rFonts w:ascii="Palatino Linotype" w:hAnsi="Palatino Linotype" w:cs="Arial"/>
        </w:rPr>
        <w:t>ante</w:t>
      </w:r>
      <w:r>
        <w:rPr>
          <w:rFonts w:ascii="Palatino Linotype" w:hAnsi="Palatino Linotype" w:cs="Arial"/>
        </w:rPr>
        <w:t xml:space="preserve"> el</w:t>
      </w:r>
      <w:r>
        <w:rPr>
          <w:rFonts w:ascii="Palatino Linotype" w:hAnsi="Palatino Linotype" w:cs="Arial"/>
          <w:b/>
        </w:rPr>
        <w:t xml:space="preserve"> </w:t>
      </w:r>
      <w:r w:rsidRPr="00572223">
        <w:rPr>
          <w:rFonts w:ascii="Palatino Linotype" w:hAnsi="Palatino Linotype" w:cs="Arial"/>
          <w:b/>
          <w:bCs/>
        </w:rPr>
        <w:t>Centro Regional de Formación Docente E Investigación Educativa</w:t>
      </w:r>
      <w:r>
        <w:rPr>
          <w:rFonts w:ascii="Palatino Linotype" w:hAnsi="Palatino Linotype" w:cs="Arial"/>
        </w:rPr>
        <w:t xml:space="preserve">, el </w:t>
      </w:r>
      <w:r>
        <w:rPr>
          <w:rFonts w:ascii="Palatino Linotype" w:hAnsi="Palatino Linotype" w:cs="Arial"/>
          <w:b/>
        </w:rPr>
        <w:t>Sujeto Obligado</w:t>
      </w:r>
      <w:r>
        <w:rPr>
          <w:rFonts w:ascii="Palatino Linotype" w:hAnsi="Palatino Linotype" w:cs="Arial"/>
        </w:rPr>
        <w:t>, ambos as</w:t>
      </w:r>
      <w:bookmarkStart w:id="0" w:name="_GoBack"/>
      <w:bookmarkEnd w:id="0"/>
      <w:r>
        <w:rPr>
          <w:rFonts w:ascii="Palatino Linotype" w:hAnsi="Palatino Linotype" w:cs="Arial"/>
        </w:rPr>
        <w:t xml:space="preserve">í denominados en lo sucesivo, en contra de la falta de respuesta a la solicitud de información con número de folio </w:t>
      </w:r>
      <w:r>
        <w:rPr>
          <w:rFonts w:ascii="Palatino Linotype" w:hAnsi="Palatino Linotype" w:cs="Arial"/>
          <w:b/>
        </w:rPr>
        <w:t>00011/CRFDIE/IP/2017</w:t>
      </w:r>
      <w:r>
        <w:rPr>
          <w:rFonts w:ascii="Palatino Linotype" w:hAnsi="Palatino Linotype" w:cs="Arial"/>
          <w:b/>
          <w:sz w:val="22"/>
        </w:rPr>
        <w:t xml:space="preserve">, </w:t>
      </w:r>
      <w:r>
        <w:rPr>
          <w:rFonts w:ascii="Palatino Linotype" w:hAnsi="Palatino Linotype" w:cs="Arial"/>
        </w:rPr>
        <w:t>se procede a dictar la presente Resolución, con fundamento en lo siguiente:</w:t>
      </w:r>
    </w:p>
    <w:p w:rsidR="00572223" w:rsidRPr="00493EDA" w:rsidRDefault="00572223" w:rsidP="00572223">
      <w:pPr>
        <w:spacing w:before="100" w:beforeAutospacing="1" w:after="100" w:afterAutospacing="1" w:line="360" w:lineRule="auto"/>
        <w:jc w:val="center"/>
        <w:rPr>
          <w:rFonts w:ascii="Palatino Linotype" w:hAnsi="Palatino Linotype" w:cs="Arial"/>
          <w:b/>
          <w:sz w:val="28"/>
        </w:rPr>
      </w:pPr>
      <w:r w:rsidRPr="00493EDA">
        <w:rPr>
          <w:rFonts w:ascii="Palatino Linotype" w:hAnsi="Palatino Linotype" w:cs="Arial"/>
          <w:b/>
          <w:sz w:val="28"/>
        </w:rPr>
        <w:t>I.</w:t>
      </w:r>
      <w:r w:rsidRPr="00493EDA">
        <w:rPr>
          <w:rFonts w:ascii="Palatino Linotype" w:hAnsi="Palatino Linotype" w:cs="Arial"/>
          <w:b/>
          <w:sz w:val="28"/>
        </w:rPr>
        <w:tab/>
        <w:t>A N T E C E D E N T E S:</w:t>
      </w:r>
    </w:p>
    <w:p w:rsidR="00572223" w:rsidRPr="00493EDA" w:rsidRDefault="00572223" w:rsidP="00572223">
      <w:pPr>
        <w:spacing w:before="100" w:beforeAutospacing="1" w:after="100" w:afterAutospacing="1" w:line="360" w:lineRule="auto"/>
        <w:jc w:val="both"/>
        <w:rPr>
          <w:rFonts w:ascii="Palatino Linotype" w:hAnsi="Palatino Linotype" w:cs="Arial"/>
        </w:rPr>
      </w:pPr>
      <w:r w:rsidRPr="00493EDA">
        <w:rPr>
          <w:rFonts w:ascii="Palatino Linotype" w:hAnsi="Palatino Linotype" w:cs="Arial"/>
          <w:b/>
        </w:rPr>
        <w:t>PRIMERO.</w:t>
      </w:r>
      <w:r w:rsidRPr="00493EDA">
        <w:rPr>
          <w:rFonts w:ascii="Palatino Linotype" w:hAnsi="Palatino Linotype" w:cs="Arial"/>
        </w:rPr>
        <w:t xml:space="preserve"> </w:t>
      </w:r>
      <w:r w:rsidRPr="00493EDA">
        <w:rPr>
          <w:rFonts w:ascii="Palatino Linotype" w:hAnsi="Palatino Linotype" w:cs="Arial"/>
          <w:b/>
        </w:rPr>
        <w:t>Solicitud de acceso a la información.</w:t>
      </w:r>
      <w:r w:rsidRPr="00493EDA">
        <w:rPr>
          <w:rFonts w:ascii="Palatino Linotype" w:hAnsi="Palatino Linotype" w:cs="Arial"/>
        </w:rPr>
        <w:t xml:space="preserve"> Con fecha </w:t>
      </w:r>
      <w:r>
        <w:rPr>
          <w:rFonts w:ascii="Palatino Linotype" w:hAnsi="Palatino Linotype" w:cs="Arial"/>
        </w:rPr>
        <w:t>treinta de mayo de dos mil dieciocho, el</w:t>
      </w:r>
      <w:r w:rsidRPr="00493EDA">
        <w:rPr>
          <w:rFonts w:ascii="Palatino Linotype" w:hAnsi="Palatino Linotype" w:cs="Arial"/>
        </w:rPr>
        <w:t xml:space="preserve"> </w:t>
      </w:r>
      <w:r w:rsidRPr="00493EDA">
        <w:rPr>
          <w:rFonts w:ascii="Palatino Linotype" w:hAnsi="Palatino Linotype" w:cs="Arial"/>
          <w:b/>
        </w:rPr>
        <w:t>recurrente</w:t>
      </w:r>
      <w:r w:rsidRPr="00493EDA">
        <w:rPr>
          <w:rFonts w:ascii="Palatino Linotype" w:hAnsi="Palatino Linotype" w:cs="Arial"/>
        </w:rPr>
        <w:t xml:space="preserve"> presentó solicitud de acceso a la información pública al </w:t>
      </w:r>
      <w:r w:rsidRPr="00493EDA">
        <w:rPr>
          <w:rFonts w:ascii="Palatino Linotype" w:hAnsi="Palatino Linotype" w:cs="Arial"/>
          <w:b/>
        </w:rPr>
        <w:t>Sujeto Obligado</w:t>
      </w:r>
      <w:r w:rsidRPr="00493EDA">
        <w:rPr>
          <w:rFonts w:ascii="Palatino Linotype" w:hAnsi="Palatino Linotype" w:cs="Arial"/>
        </w:rPr>
        <w:t xml:space="preserve"> mediante el Sistema de Información Mexiquense (</w:t>
      </w:r>
      <w:r w:rsidRPr="00493EDA">
        <w:rPr>
          <w:rFonts w:ascii="Palatino Linotype" w:hAnsi="Palatino Linotype" w:cs="Arial"/>
          <w:b/>
        </w:rPr>
        <w:t>SAIMEX</w:t>
      </w:r>
      <w:r w:rsidRPr="00493EDA">
        <w:rPr>
          <w:rFonts w:ascii="Palatino Linotype" w:hAnsi="Palatino Linotype" w:cs="Arial"/>
        </w:rPr>
        <w:t>), requiriendo lo siguiente:</w:t>
      </w:r>
    </w:p>
    <w:p w:rsidR="00572223" w:rsidRPr="00493EDA" w:rsidRDefault="00572223" w:rsidP="00572223">
      <w:pPr>
        <w:spacing w:before="100" w:beforeAutospacing="1" w:after="100" w:afterAutospacing="1"/>
        <w:ind w:left="851" w:right="851"/>
        <w:jc w:val="both"/>
        <w:rPr>
          <w:rFonts w:ascii="Palatino Linotype" w:hAnsi="Palatino Linotype" w:cs="Arial"/>
          <w:i/>
          <w:sz w:val="22"/>
        </w:rPr>
      </w:pPr>
      <w:r w:rsidRPr="00493EDA">
        <w:rPr>
          <w:rFonts w:ascii="Palatino Linotype" w:hAnsi="Palatino Linotype" w:cs="Arial"/>
          <w:i/>
          <w:sz w:val="22"/>
        </w:rPr>
        <w:t>“</w:t>
      </w:r>
      <w:r w:rsidRPr="00572223">
        <w:rPr>
          <w:rFonts w:ascii="Palatino Linotype" w:hAnsi="Palatino Linotype" w:cs="Arial"/>
          <w:i/>
          <w:sz w:val="22"/>
        </w:rPr>
        <w:t>Solicito información de contratos, órdenes de compra o pedidos, incluyendo convenios modificatorios o ampliaciones, sobre pagos realizados en los años 2010 al 2016, a las siguientes empresas. Se adjunta el listado de las empresas y los datos requeridos. Solicito la información sea remitida al correo electrónico que se describe en la solicitud que se adjunta. E igualmente se requiere la respuesta por este medio. Gracias.</w:t>
      </w:r>
      <w:r w:rsidRPr="00493EDA">
        <w:rPr>
          <w:rFonts w:ascii="Palatino Linotype" w:hAnsi="Palatino Linotype" w:cs="Arial"/>
          <w:i/>
          <w:sz w:val="22"/>
        </w:rPr>
        <w:t>” (Sic.)</w:t>
      </w:r>
    </w:p>
    <w:p w:rsidR="00E3634E" w:rsidRPr="00E3634E" w:rsidRDefault="00E3634E" w:rsidP="00572223">
      <w:pPr>
        <w:spacing w:before="240" w:after="240" w:line="360" w:lineRule="auto"/>
        <w:jc w:val="both"/>
        <w:rPr>
          <w:rFonts w:ascii="Palatino Linotype" w:hAnsi="Palatino Linotype" w:cs="Arial"/>
        </w:rPr>
      </w:pPr>
      <w:r>
        <w:rPr>
          <w:rFonts w:ascii="Palatino Linotype" w:hAnsi="Palatino Linotype" w:cs="Arial"/>
        </w:rPr>
        <w:lastRenderedPageBreak/>
        <w:t xml:space="preserve">Anexando a su solicitud de información el archivo </w:t>
      </w:r>
      <w:r w:rsidRPr="00CC4810">
        <w:rPr>
          <w:rFonts w:ascii="Palatino Linotype" w:hAnsi="Palatino Linotype" w:cs="Arial"/>
          <w:i/>
        </w:rPr>
        <w:t>“</w:t>
      </w:r>
      <w:r w:rsidRPr="00E3634E">
        <w:rPr>
          <w:rFonts w:ascii="Palatino Linotype" w:hAnsi="Palatino Linotype" w:cs="Arial"/>
          <w:i/>
        </w:rPr>
        <w:t>EMPRESAS_.pdf</w:t>
      </w:r>
      <w:r w:rsidRPr="00CC4810">
        <w:rPr>
          <w:rFonts w:ascii="Palatino Linotype" w:hAnsi="Palatino Linotype" w:cs="Arial"/>
          <w:i/>
        </w:rPr>
        <w:t>”</w:t>
      </w:r>
      <w:r>
        <w:rPr>
          <w:rFonts w:ascii="Palatino Linotype" w:hAnsi="Palatino Linotype" w:cs="Arial"/>
        </w:rPr>
        <w:t>, el cual contiene la solicitud de información precisada en el formato, un correo en donde menciona que se remita la información y un listado de empresas con el RFC de cada una de ellas.</w:t>
      </w:r>
    </w:p>
    <w:p w:rsidR="00E47452" w:rsidRDefault="00572223" w:rsidP="00572223">
      <w:pPr>
        <w:spacing w:before="240" w:after="240" w:line="360" w:lineRule="auto"/>
        <w:jc w:val="both"/>
        <w:rPr>
          <w:rFonts w:ascii="Palatino Linotype" w:hAnsi="Palatino Linotype" w:cs="Arial"/>
        </w:rPr>
      </w:pPr>
      <w:r w:rsidRPr="00493EDA">
        <w:rPr>
          <w:rFonts w:ascii="Palatino Linotype" w:hAnsi="Palatino Linotype" w:cs="Arial"/>
          <w:b/>
        </w:rPr>
        <w:t xml:space="preserve">Modalidad elegida para la entrega de la información: </w:t>
      </w:r>
      <w:r w:rsidR="00E3634E">
        <w:rPr>
          <w:rFonts w:ascii="Palatino Linotype" w:hAnsi="Palatino Linotype" w:cs="Arial"/>
        </w:rPr>
        <w:t>A través del SAIMEX y correo electrónico.</w:t>
      </w:r>
    </w:p>
    <w:p w:rsidR="00E3634E" w:rsidRPr="00493EDA" w:rsidRDefault="00E3634E" w:rsidP="00E3634E">
      <w:pPr>
        <w:spacing w:after="160" w:line="360" w:lineRule="auto"/>
        <w:jc w:val="both"/>
        <w:rPr>
          <w:rFonts w:ascii="Palatino Linotype" w:hAnsi="Palatino Linotype" w:cs="Arial"/>
        </w:rPr>
      </w:pPr>
      <w:r>
        <w:rPr>
          <w:rFonts w:ascii="Palatino Linotype" w:hAnsi="Palatino Linotype" w:cs="Arial"/>
          <w:b/>
        </w:rPr>
        <w:t>SEGUNDO</w:t>
      </w:r>
      <w:r w:rsidRPr="00493EDA">
        <w:rPr>
          <w:rFonts w:ascii="Palatino Linotype" w:hAnsi="Palatino Linotype" w:cs="Arial"/>
          <w:b/>
        </w:rPr>
        <w:t>. Respuesta</w:t>
      </w:r>
      <w:r w:rsidRPr="00493EDA">
        <w:rPr>
          <w:rFonts w:ascii="Palatino Linotype" w:hAnsi="Palatino Linotype" w:cs="Arial"/>
        </w:rPr>
        <w:t xml:space="preserve">. De las constancias que obran en el expediente electrónico del </w:t>
      </w:r>
      <w:r w:rsidRPr="00493EDA">
        <w:rPr>
          <w:rFonts w:ascii="Palatino Linotype" w:hAnsi="Palatino Linotype" w:cs="Arial"/>
          <w:b/>
        </w:rPr>
        <w:t>SAIMEX</w:t>
      </w:r>
      <w:r w:rsidRPr="00493EDA">
        <w:rPr>
          <w:rFonts w:ascii="Palatino Linotype" w:hAnsi="Palatino Linotype" w:cs="Arial"/>
        </w:rPr>
        <w:t xml:space="preserve"> se advierte que el </w:t>
      </w:r>
      <w:r w:rsidRPr="00493EDA">
        <w:rPr>
          <w:rFonts w:ascii="Palatino Linotype" w:hAnsi="Palatino Linotype" w:cs="Arial"/>
          <w:b/>
        </w:rPr>
        <w:t>Sujeto Obligado</w:t>
      </w:r>
      <w:r w:rsidRPr="00493EDA">
        <w:rPr>
          <w:rFonts w:ascii="Palatino Linotype" w:hAnsi="Palatino Linotype" w:cs="Arial"/>
        </w:rPr>
        <w:t xml:space="preserve"> no dio respuesta a la solicitud de acceso a la informa</w:t>
      </w:r>
      <w:r>
        <w:rPr>
          <w:rFonts w:ascii="Palatino Linotype" w:hAnsi="Palatino Linotype" w:cs="Arial"/>
        </w:rPr>
        <w:t>ción que fuera presentada por el</w:t>
      </w:r>
      <w:r w:rsidRPr="00493EDA">
        <w:rPr>
          <w:rFonts w:ascii="Palatino Linotype" w:hAnsi="Palatino Linotype" w:cs="Arial"/>
        </w:rPr>
        <w:t xml:space="preserve"> recurrente.</w:t>
      </w:r>
    </w:p>
    <w:p w:rsidR="00E3634E" w:rsidRPr="00493EDA" w:rsidRDefault="00E3634E" w:rsidP="00E3634E">
      <w:pPr>
        <w:spacing w:before="100" w:beforeAutospacing="1" w:after="100" w:afterAutospacing="1" w:line="360" w:lineRule="auto"/>
        <w:jc w:val="both"/>
        <w:rPr>
          <w:rFonts w:ascii="Palatino Linotype" w:hAnsi="Palatino Linotype" w:cs="Arial"/>
        </w:rPr>
      </w:pPr>
      <w:r>
        <w:rPr>
          <w:rFonts w:ascii="Palatino Linotype" w:hAnsi="Palatino Linotype" w:cs="Arial"/>
          <w:b/>
        </w:rPr>
        <w:t>TERCERO</w:t>
      </w:r>
      <w:r w:rsidRPr="00493EDA">
        <w:rPr>
          <w:rFonts w:ascii="Palatino Linotype" w:hAnsi="Palatino Linotype" w:cs="Arial"/>
          <w:b/>
        </w:rPr>
        <w:t>.</w:t>
      </w:r>
      <w:r w:rsidRPr="00493EDA">
        <w:rPr>
          <w:rFonts w:ascii="Palatino Linotype" w:hAnsi="Palatino Linotype" w:cs="Arial"/>
        </w:rPr>
        <w:t xml:space="preserve"> </w:t>
      </w:r>
      <w:r w:rsidRPr="00493EDA">
        <w:rPr>
          <w:rFonts w:ascii="Palatino Linotype" w:hAnsi="Palatino Linotype" w:cs="Arial"/>
          <w:b/>
        </w:rPr>
        <w:t>Interposición del recurso de revisión</w:t>
      </w:r>
      <w:r w:rsidRPr="00493EDA">
        <w:rPr>
          <w:rFonts w:ascii="Palatino Linotype" w:hAnsi="Palatino Linotype" w:cs="Arial"/>
        </w:rPr>
        <w:t xml:space="preserve">. Con fecha </w:t>
      </w:r>
      <w:r>
        <w:rPr>
          <w:rFonts w:ascii="Palatino Linotype" w:hAnsi="Palatino Linotype" w:cs="Arial"/>
        </w:rPr>
        <w:t>tres de julio de dos mil dieciocho, el</w:t>
      </w:r>
      <w:r w:rsidRPr="00493EDA">
        <w:rPr>
          <w:rFonts w:ascii="Palatino Linotype" w:hAnsi="Palatino Linotype" w:cs="Arial"/>
        </w:rPr>
        <w:t xml:space="preserve"> solicitante ante la </w:t>
      </w:r>
      <w:r>
        <w:rPr>
          <w:rFonts w:ascii="Palatino Linotype" w:hAnsi="Palatino Linotype" w:cs="Arial"/>
        </w:rPr>
        <w:t xml:space="preserve">falta de </w:t>
      </w:r>
      <w:r w:rsidRPr="00493EDA">
        <w:rPr>
          <w:rFonts w:ascii="Palatino Linotype" w:hAnsi="Palatino Linotype" w:cs="Arial"/>
        </w:rPr>
        <w:t xml:space="preserve">respuesta por parte del </w:t>
      </w:r>
      <w:r w:rsidRPr="00493EDA">
        <w:rPr>
          <w:rFonts w:ascii="Palatino Linotype" w:hAnsi="Palatino Linotype" w:cs="Arial"/>
          <w:b/>
        </w:rPr>
        <w:t>Sujeto Obligado</w:t>
      </w:r>
      <w:r w:rsidRPr="00493EDA">
        <w:rPr>
          <w:rFonts w:ascii="Palatino Linotype" w:hAnsi="Palatino Linotype" w:cs="Arial"/>
        </w:rPr>
        <w:t xml:space="preserve">, interpuso el recurso de revisión mediante el </w:t>
      </w:r>
      <w:r w:rsidRPr="00493EDA">
        <w:rPr>
          <w:rFonts w:ascii="Palatino Linotype" w:hAnsi="Palatino Linotype" w:cs="Arial"/>
          <w:b/>
        </w:rPr>
        <w:t>SAIMEX</w:t>
      </w:r>
      <w:r w:rsidRPr="00493EDA">
        <w:rPr>
          <w:rFonts w:ascii="Palatino Linotype" w:hAnsi="Palatino Linotype" w:cs="Arial"/>
        </w:rPr>
        <w:t>, en donde se manifestó de la siguiente manera:</w:t>
      </w:r>
    </w:p>
    <w:p w:rsidR="00E3634E" w:rsidRPr="00493EDA" w:rsidRDefault="00E3634E" w:rsidP="00E3634E">
      <w:pPr>
        <w:spacing w:before="100" w:beforeAutospacing="1" w:after="100" w:afterAutospacing="1" w:line="360" w:lineRule="auto"/>
        <w:jc w:val="both"/>
        <w:rPr>
          <w:rFonts w:ascii="Palatino Linotype" w:hAnsi="Palatino Linotype" w:cs="Arial"/>
          <w:b/>
        </w:rPr>
      </w:pPr>
      <w:r w:rsidRPr="00493EDA">
        <w:rPr>
          <w:rFonts w:ascii="Palatino Linotype" w:hAnsi="Palatino Linotype" w:cs="Arial"/>
          <w:b/>
        </w:rPr>
        <w:t>a) Acto impugnado</w:t>
      </w:r>
    </w:p>
    <w:p w:rsidR="00E3634E" w:rsidRPr="00493EDA" w:rsidRDefault="00E3634E" w:rsidP="00E3634E">
      <w:pPr>
        <w:spacing w:before="100" w:beforeAutospacing="1" w:after="100" w:afterAutospacing="1"/>
        <w:ind w:left="851" w:right="851"/>
        <w:jc w:val="both"/>
        <w:rPr>
          <w:rFonts w:ascii="Palatino Linotype" w:hAnsi="Palatino Linotype" w:cs="Arial"/>
          <w:i/>
          <w:sz w:val="22"/>
        </w:rPr>
      </w:pPr>
      <w:r w:rsidRPr="00493EDA">
        <w:rPr>
          <w:rFonts w:ascii="Palatino Linotype" w:hAnsi="Palatino Linotype" w:cs="Arial"/>
          <w:i/>
          <w:sz w:val="22"/>
        </w:rPr>
        <w:t>“</w:t>
      </w:r>
      <w:r w:rsidRPr="00E3634E">
        <w:rPr>
          <w:rFonts w:ascii="Palatino Linotype" w:hAnsi="Palatino Linotype" w:cs="Arial"/>
          <w:i/>
          <w:sz w:val="22"/>
        </w:rPr>
        <w:t>No respondió respuesta a solicitud de acceso a la información.</w:t>
      </w:r>
      <w:r w:rsidRPr="00493EDA">
        <w:rPr>
          <w:rFonts w:ascii="Palatino Linotype" w:hAnsi="Palatino Linotype" w:cs="Arial"/>
          <w:i/>
          <w:sz w:val="22"/>
        </w:rPr>
        <w:t>” (Sic.)</w:t>
      </w:r>
    </w:p>
    <w:p w:rsidR="00E3634E" w:rsidRPr="00493EDA" w:rsidRDefault="00E3634E" w:rsidP="00E3634E">
      <w:pPr>
        <w:spacing w:before="100" w:beforeAutospacing="1" w:after="100" w:afterAutospacing="1" w:line="360" w:lineRule="auto"/>
        <w:jc w:val="both"/>
        <w:rPr>
          <w:rFonts w:ascii="Palatino Linotype" w:hAnsi="Palatino Linotype" w:cs="Arial"/>
          <w:b/>
        </w:rPr>
      </w:pPr>
      <w:r w:rsidRPr="00493EDA">
        <w:rPr>
          <w:rFonts w:ascii="Palatino Linotype" w:hAnsi="Palatino Linotype" w:cs="Arial"/>
          <w:b/>
        </w:rPr>
        <w:t>b) Razones o motivos de la inconformidad</w:t>
      </w:r>
    </w:p>
    <w:p w:rsidR="00E3634E" w:rsidRPr="00493EDA" w:rsidRDefault="00E3634E" w:rsidP="00E3634E">
      <w:pPr>
        <w:spacing w:before="100" w:beforeAutospacing="1" w:after="100" w:afterAutospacing="1"/>
        <w:ind w:left="851" w:right="851"/>
        <w:jc w:val="both"/>
        <w:rPr>
          <w:rFonts w:ascii="Palatino Linotype" w:hAnsi="Palatino Linotype" w:cs="Arial"/>
          <w:i/>
          <w:sz w:val="22"/>
        </w:rPr>
      </w:pPr>
      <w:r w:rsidRPr="00493EDA">
        <w:rPr>
          <w:rFonts w:ascii="Palatino Linotype" w:hAnsi="Palatino Linotype" w:cs="Arial"/>
          <w:i/>
          <w:sz w:val="22"/>
        </w:rPr>
        <w:t>“</w:t>
      </w:r>
      <w:r w:rsidRPr="00E3634E">
        <w:rPr>
          <w:rFonts w:ascii="Palatino Linotype" w:hAnsi="Palatino Linotype" w:cs="Arial"/>
          <w:i/>
          <w:sz w:val="22"/>
        </w:rPr>
        <w:t>Sin respuesta a solicitud de información en tiempo y forma.</w:t>
      </w:r>
      <w:r w:rsidRPr="00493EDA">
        <w:rPr>
          <w:rFonts w:ascii="Palatino Linotype" w:hAnsi="Palatino Linotype" w:cs="Arial"/>
          <w:i/>
          <w:sz w:val="22"/>
        </w:rPr>
        <w:t>” (Sic.)</w:t>
      </w:r>
    </w:p>
    <w:p w:rsidR="00E3634E" w:rsidRPr="00493EDA" w:rsidRDefault="00E3634E" w:rsidP="00E3634E">
      <w:pPr>
        <w:spacing w:before="240" w:after="240"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b/>
          <w:szCs w:val="22"/>
          <w:lang w:val="es-MX" w:eastAsia="en-US"/>
        </w:rPr>
        <w:t>CUARTO</w:t>
      </w:r>
      <w:r w:rsidRPr="00493EDA">
        <w:rPr>
          <w:rFonts w:ascii="Palatino Linotype" w:eastAsiaTheme="minorHAnsi" w:hAnsi="Palatino Linotype" w:cs="Arial"/>
          <w:b/>
          <w:szCs w:val="22"/>
          <w:lang w:val="es-MX" w:eastAsia="en-US"/>
        </w:rPr>
        <w:t>.</w:t>
      </w:r>
      <w:r w:rsidRPr="00493EDA">
        <w:rPr>
          <w:rFonts w:ascii="Palatino Linotype" w:eastAsiaTheme="minorHAnsi" w:hAnsi="Palatino Linotype" w:cs="Arial"/>
          <w:szCs w:val="22"/>
          <w:lang w:val="es-MX" w:eastAsia="en-US"/>
        </w:rPr>
        <w:t xml:space="preserve"> </w:t>
      </w:r>
      <w:r w:rsidRPr="00493EDA">
        <w:rPr>
          <w:rFonts w:ascii="Palatino Linotype" w:eastAsiaTheme="minorHAnsi" w:hAnsi="Palatino Linotype" w:cs="Arial"/>
          <w:b/>
          <w:szCs w:val="22"/>
          <w:lang w:val="es-MX" w:eastAsia="en-US"/>
        </w:rPr>
        <w:t>Turno</w:t>
      </w:r>
      <w:r w:rsidRPr="00493EDA">
        <w:rPr>
          <w:rFonts w:ascii="Palatino Linotype" w:eastAsiaTheme="minorHAnsi" w:hAnsi="Palatino Linotype" w:cs="Arial"/>
          <w:szCs w:val="22"/>
          <w:lang w:val="es-MX" w:eastAsia="en-US"/>
        </w:rPr>
        <w:t xml:space="preserve">. Con fundamento en lo dispuesto, en el artículo 185 fracción I, de la Ley de Transparencia y Acceso a la Información Pública del Estado de México y </w:t>
      </w:r>
      <w:r w:rsidRPr="00493EDA">
        <w:rPr>
          <w:rFonts w:ascii="Palatino Linotype" w:eastAsiaTheme="minorHAnsi" w:hAnsi="Palatino Linotype" w:cs="Arial"/>
          <w:szCs w:val="22"/>
          <w:lang w:val="es-MX" w:eastAsia="en-US"/>
        </w:rPr>
        <w:lastRenderedPageBreak/>
        <w:t xml:space="preserve">Municipios, el recurso de revisión con número </w:t>
      </w:r>
      <w:r>
        <w:rPr>
          <w:rFonts w:ascii="Palatino Linotype" w:eastAsiaTheme="minorHAnsi" w:hAnsi="Palatino Linotype" w:cs="Arial"/>
          <w:b/>
          <w:szCs w:val="22"/>
          <w:lang w:val="es-MX" w:eastAsia="en-US"/>
        </w:rPr>
        <w:t>02544/INFOEM/IP/RR/2018</w:t>
      </w:r>
      <w:r w:rsidRPr="00493EDA">
        <w:rPr>
          <w:rFonts w:ascii="Palatino Linotype" w:eastAsiaTheme="minorHAnsi" w:hAnsi="Palatino Linotype" w:cs="Arial"/>
          <w:szCs w:val="22"/>
          <w:lang w:val="es-MX" w:eastAsia="en-US"/>
        </w:rPr>
        <w:t>,</w:t>
      </w:r>
      <w:r w:rsidRPr="00493EDA">
        <w:rPr>
          <w:rFonts w:ascii="Palatino Linotype" w:eastAsiaTheme="minorHAnsi" w:hAnsi="Palatino Linotype" w:cs="Arial"/>
          <w:b/>
          <w:szCs w:val="22"/>
          <w:lang w:val="es-MX" w:eastAsia="en-US"/>
        </w:rPr>
        <w:t xml:space="preserve"> </w:t>
      </w:r>
      <w:r w:rsidRPr="00493EDA">
        <w:rPr>
          <w:rFonts w:ascii="Palatino Linotype" w:eastAsiaTheme="minorHAnsi" w:hAnsi="Palatino Linotype" w:cs="Arial"/>
          <w:bCs/>
          <w:szCs w:val="22"/>
          <w:lang w:val="es-MX" w:eastAsia="en-US"/>
        </w:rPr>
        <w:t>fue</w:t>
      </w:r>
      <w:r w:rsidRPr="00493EDA">
        <w:rPr>
          <w:rFonts w:ascii="Palatino Linotype" w:eastAsiaTheme="minorHAnsi" w:hAnsi="Palatino Linotype" w:cs="Arial"/>
          <w:b/>
          <w:bCs/>
          <w:szCs w:val="22"/>
          <w:lang w:val="es-MX" w:eastAsia="en-US"/>
        </w:rPr>
        <w:t xml:space="preserve"> </w:t>
      </w:r>
      <w:r w:rsidRPr="00493EDA">
        <w:rPr>
          <w:rFonts w:ascii="Palatino Linotype" w:eastAsiaTheme="minorHAnsi" w:hAnsi="Palatino Linotype" w:cs="Arial"/>
          <w:szCs w:val="22"/>
          <w:lang w:val="es-MX" w:eastAsia="en-US"/>
        </w:rPr>
        <w:t xml:space="preserve">turnado </w:t>
      </w:r>
      <w:r>
        <w:rPr>
          <w:rFonts w:ascii="Palatino Linotype" w:eastAsiaTheme="minorHAnsi" w:hAnsi="Palatino Linotype" w:cs="Arial"/>
          <w:szCs w:val="22"/>
          <w:lang w:val="es-MX" w:eastAsia="en-US"/>
        </w:rPr>
        <w:t>al Comisionado Ponente</w:t>
      </w:r>
      <w:r w:rsidRPr="00493EDA">
        <w:rPr>
          <w:rFonts w:ascii="Palatino Linotype" w:eastAsiaTheme="minorHAnsi" w:hAnsi="Palatino Linotype" w:cs="Arial"/>
          <w:szCs w:val="22"/>
          <w:lang w:val="es-MX" w:eastAsia="en-US"/>
        </w:rPr>
        <w:t>, para su revisión y análisis sobre la admisión o desechamiento del mismo.</w:t>
      </w:r>
    </w:p>
    <w:p w:rsidR="00E3634E" w:rsidRPr="00493EDA" w:rsidRDefault="00E3634E" w:rsidP="00E3634E">
      <w:pPr>
        <w:spacing w:before="100" w:beforeAutospacing="1" w:after="100" w:afterAutospacing="1" w:line="360" w:lineRule="auto"/>
        <w:jc w:val="both"/>
        <w:rPr>
          <w:rFonts w:ascii="Palatino Linotype" w:hAnsi="Palatino Linotype" w:cs="Arial"/>
        </w:rPr>
      </w:pPr>
      <w:r>
        <w:rPr>
          <w:rFonts w:ascii="Palatino Linotype" w:hAnsi="Palatino Linotype" w:cs="Arial"/>
          <w:b/>
          <w:lang w:val="es-MX"/>
        </w:rPr>
        <w:t>QUINTO</w:t>
      </w:r>
      <w:r w:rsidRPr="00493EDA">
        <w:rPr>
          <w:rFonts w:ascii="Palatino Linotype" w:hAnsi="Palatino Linotype" w:cs="Arial"/>
          <w:b/>
          <w:lang w:val="es-MX"/>
        </w:rPr>
        <w:t xml:space="preserve">. Admisión. </w:t>
      </w:r>
      <w:r w:rsidRPr="00493EDA">
        <w:rPr>
          <w:rFonts w:ascii="Palatino Linotype" w:hAnsi="Palatino Linotype" w:cs="Arial"/>
        </w:rPr>
        <w:t xml:space="preserve">Con fecha </w:t>
      </w:r>
      <w:r>
        <w:rPr>
          <w:rFonts w:ascii="Palatino Linotype" w:hAnsi="Palatino Linotype" w:cs="Arial"/>
        </w:rPr>
        <w:t>nueve de julio de dos mil dieciocho</w:t>
      </w:r>
      <w:r w:rsidRPr="00493EDA">
        <w:rPr>
          <w:rFonts w:ascii="Palatino Linotype" w:hAnsi="Palatino Linotype" w:cs="Arial"/>
        </w:rPr>
        <w:t xml:space="preserve">, éste Órgano Garante denominado, Instituto de Transparencia, Acceso a la Información Pública y Protección de Datos Personales del Estado de México y Municipios, tuvo a bien admitir a trámite el recurso de revisión que se resuelve, dando un plazo de siete días hábiles para que las partes manifestaran lo que a su derecho conviniera, ofrecieran pruebas, formularan alegatos y el </w:t>
      </w:r>
      <w:r w:rsidRPr="00493EDA">
        <w:rPr>
          <w:rFonts w:ascii="Palatino Linotype" w:hAnsi="Palatino Linotype" w:cs="Arial"/>
          <w:b/>
        </w:rPr>
        <w:t xml:space="preserve">Sujeto Obligado </w:t>
      </w:r>
      <w:r w:rsidRPr="00493EDA">
        <w:rPr>
          <w:rFonts w:ascii="Palatino Linotype" w:hAnsi="Palatino Linotype" w:cs="Arial"/>
        </w:rPr>
        <w:t>presentara su informe justificado.</w:t>
      </w:r>
    </w:p>
    <w:p w:rsidR="00E3634E" w:rsidRPr="00257DCB" w:rsidRDefault="00E3634E" w:rsidP="00E3634E">
      <w:pPr>
        <w:spacing w:before="100" w:beforeAutospacing="1" w:after="100" w:afterAutospacing="1" w:line="360" w:lineRule="auto"/>
        <w:jc w:val="both"/>
        <w:rPr>
          <w:rFonts w:ascii="Palatino Linotype" w:hAnsi="Palatino Linotype" w:cs="Arial"/>
        </w:rPr>
      </w:pPr>
      <w:r>
        <w:rPr>
          <w:rFonts w:ascii="Palatino Linotype" w:hAnsi="Palatino Linotype" w:cs="Arial"/>
          <w:b/>
        </w:rPr>
        <w:t>SEXTO</w:t>
      </w:r>
      <w:r w:rsidRPr="00493EDA">
        <w:rPr>
          <w:rFonts w:ascii="Palatino Linotype" w:hAnsi="Palatino Linotype" w:cs="Arial"/>
          <w:b/>
        </w:rPr>
        <w:t>. Manifestaciones.</w:t>
      </w:r>
      <w:r w:rsidRPr="00493EDA">
        <w:rPr>
          <w:rFonts w:ascii="Palatino Linotype" w:hAnsi="Palatino Linotype" w:cs="Arial"/>
        </w:rPr>
        <w:t xml:space="preserve"> De la revisión a</w:t>
      </w:r>
      <w:r>
        <w:rPr>
          <w:rFonts w:ascii="Palatino Linotype" w:hAnsi="Palatino Linotype" w:cs="Arial"/>
        </w:rPr>
        <w:t xml:space="preserve"> las constancias que integran el expediente electrónico</w:t>
      </w:r>
      <w:r w:rsidRPr="00493EDA">
        <w:rPr>
          <w:rFonts w:ascii="Palatino Linotype" w:hAnsi="Palatino Linotype" w:cs="Arial"/>
        </w:rPr>
        <w:t xml:space="preserve"> al rubro indicado, no se advierte manifestación alguna por ninguna de las partes.</w:t>
      </w:r>
    </w:p>
    <w:p w:rsidR="00E3634E" w:rsidRDefault="00E3634E" w:rsidP="00E3634E">
      <w:pPr>
        <w:spacing w:before="100" w:beforeAutospacing="1" w:after="100" w:afterAutospacing="1" w:line="360" w:lineRule="auto"/>
        <w:jc w:val="both"/>
        <w:rPr>
          <w:rFonts w:ascii="Palatino Linotype" w:hAnsi="Palatino Linotype" w:cs="Arial"/>
        </w:rPr>
      </w:pPr>
      <w:r>
        <w:rPr>
          <w:rFonts w:ascii="Palatino Linotype" w:hAnsi="Palatino Linotype" w:cs="Arial"/>
          <w:b/>
        </w:rPr>
        <w:t>SÉPTIMO</w:t>
      </w:r>
      <w:r w:rsidRPr="003E1C58">
        <w:rPr>
          <w:rFonts w:ascii="Palatino Linotype" w:hAnsi="Palatino Linotype" w:cs="Arial"/>
          <w:b/>
        </w:rPr>
        <w:t>. Cierre de instrucción.</w:t>
      </w:r>
      <w:r w:rsidRPr="003E1C58">
        <w:rPr>
          <w:rFonts w:ascii="Palatino Linotype" w:hAnsi="Palatino Linotype" w:cs="Arial"/>
        </w:rPr>
        <w:t xml:space="preserve"> Con fecha </w:t>
      </w:r>
      <w:r w:rsidR="006572E0">
        <w:rPr>
          <w:rFonts w:ascii="Palatino Linotype" w:hAnsi="Palatino Linotype" w:cs="Arial"/>
        </w:rPr>
        <w:t>veintisiete</w:t>
      </w:r>
      <w:r>
        <w:rPr>
          <w:rFonts w:ascii="Palatino Linotype" w:hAnsi="Palatino Linotype" w:cs="Arial"/>
        </w:rPr>
        <w:t xml:space="preserve"> de agosto</w:t>
      </w:r>
      <w:r w:rsidRPr="003E1C58">
        <w:rPr>
          <w:rFonts w:ascii="Palatino Linotype" w:hAnsi="Palatino Linotype" w:cs="Arial"/>
        </w:rPr>
        <w:t xml:space="preserve"> de dos mil</w:t>
      </w:r>
      <w:r>
        <w:rPr>
          <w:rFonts w:ascii="Palatino Linotype" w:hAnsi="Palatino Linotype" w:cs="Arial"/>
        </w:rPr>
        <w:t xml:space="preserve"> dieciocho, el Comisionado ponente determinó el cierre de instrucción en los recursos de revisión, en términos de la fracción VI del artículo 185 de la Ley de Transparencia y Acceso a la Información Pública del Estado de México y Municipios.</w:t>
      </w:r>
    </w:p>
    <w:p w:rsidR="006572E0" w:rsidRPr="00C25CDC" w:rsidRDefault="006572E0" w:rsidP="00E3634E">
      <w:pPr>
        <w:spacing w:before="100" w:beforeAutospacing="1" w:after="100" w:afterAutospacing="1" w:line="360" w:lineRule="auto"/>
        <w:jc w:val="both"/>
        <w:rPr>
          <w:rFonts w:ascii="Palatino Linotype" w:eastAsiaTheme="minorHAnsi" w:hAnsi="Palatino Linotype" w:cs="Arial"/>
          <w:lang w:val="es-MX" w:eastAsia="en-US"/>
        </w:rPr>
      </w:pPr>
      <w:r>
        <w:rPr>
          <w:rFonts w:ascii="Palatino Linotype" w:eastAsia="Times New Roman" w:hAnsi="Palatino Linotype" w:cs="Arial"/>
          <w:b/>
          <w:color w:val="222222"/>
          <w:lang w:val="es-MX" w:eastAsia="es-MX"/>
        </w:rPr>
        <w:t>NOVENO.</w:t>
      </w:r>
      <w:r>
        <w:rPr>
          <w:rFonts w:ascii="Palatino Linotype" w:eastAsia="Times New Roman" w:hAnsi="Palatino Linotype" w:cs="Arial"/>
          <w:color w:val="222222"/>
          <w:lang w:val="es-MX" w:eastAsia="es-MX"/>
        </w:rPr>
        <w:t xml:space="preserve"> </w:t>
      </w:r>
      <w:r>
        <w:rPr>
          <w:rFonts w:ascii="Palatino Linotype" w:eastAsia="Times New Roman" w:hAnsi="Palatino Linotype" w:cs="Arial"/>
          <w:b/>
          <w:color w:val="222222"/>
          <w:lang w:val="es-MX" w:eastAsia="es-MX"/>
        </w:rPr>
        <w:t>Ampliación de plazo</w:t>
      </w:r>
      <w:r>
        <w:rPr>
          <w:rFonts w:ascii="Palatino Linotype" w:eastAsia="Times New Roman" w:hAnsi="Palatino Linotype" w:cs="Arial"/>
          <w:color w:val="222222"/>
          <w:lang w:val="es-MX" w:eastAsia="es-MX"/>
        </w:rPr>
        <w:t xml:space="preserve">. </w:t>
      </w:r>
      <w:r>
        <w:rPr>
          <w:rFonts w:ascii="Palatino Linotype" w:eastAsiaTheme="minorHAnsi" w:hAnsi="Palatino Linotype" w:cs="Arial"/>
          <w:lang w:val="es-MX" w:eastAsia="en-US"/>
        </w:rPr>
        <w:t xml:space="preserve">En fecha </w:t>
      </w:r>
      <w:r w:rsidR="00872A02">
        <w:rPr>
          <w:rFonts w:ascii="Palatino Linotype" w:eastAsiaTheme="minorHAnsi" w:hAnsi="Palatino Linotype" w:cs="Arial"/>
          <w:szCs w:val="22"/>
          <w:lang w:val="es-MX" w:eastAsia="en-US"/>
        </w:rPr>
        <w:t>tres de septiembre</w:t>
      </w:r>
      <w:r>
        <w:rPr>
          <w:rFonts w:ascii="Palatino Linotype" w:eastAsiaTheme="minorHAnsi" w:hAnsi="Palatino Linotype" w:cs="Arial"/>
          <w:szCs w:val="22"/>
          <w:lang w:val="es-MX" w:eastAsia="en-US"/>
        </w:rPr>
        <w:t xml:space="preserve"> de dos mil dieciocho</w:t>
      </w:r>
      <w:r>
        <w:rPr>
          <w:rFonts w:ascii="Palatino Linotype" w:eastAsiaTheme="minorHAnsi" w:hAnsi="Palatino Linotype" w:cs="Arial"/>
          <w:lang w:val="es-MX" w:eastAsia="en-US"/>
        </w:rPr>
        <w:t>, se notificó a la parte recurrente que el plazo de treinta días hábiles para emitir la resolución del presente recurso de revisión, se había ampliado por un periodo de quince días hábiles a fin de realizar un mejor estudio del asunto.</w:t>
      </w:r>
    </w:p>
    <w:p w:rsidR="00E3634E" w:rsidRPr="000B3870" w:rsidRDefault="00E3634E" w:rsidP="00E3634E">
      <w:pPr>
        <w:spacing w:before="100" w:beforeAutospacing="1" w:after="100" w:afterAutospacing="1" w:line="360" w:lineRule="auto"/>
        <w:jc w:val="center"/>
        <w:rPr>
          <w:rFonts w:ascii="Palatino Linotype" w:hAnsi="Palatino Linotype" w:cs="Arial"/>
          <w:b/>
          <w:sz w:val="28"/>
        </w:rPr>
      </w:pPr>
      <w:r w:rsidRPr="000B3870">
        <w:rPr>
          <w:rFonts w:ascii="Palatino Linotype" w:hAnsi="Palatino Linotype" w:cs="Arial"/>
          <w:b/>
          <w:sz w:val="28"/>
        </w:rPr>
        <w:lastRenderedPageBreak/>
        <w:t xml:space="preserve">II. </w:t>
      </w:r>
      <w:r w:rsidRPr="000B3870">
        <w:rPr>
          <w:rFonts w:ascii="Palatino Linotype" w:hAnsi="Palatino Linotype" w:cs="Arial"/>
          <w:b/>
          <w:sz w:val="28"/>
        </w:rPr>
        <w:tab/>
        <w:t>C O N S I D E R A N D O:</w:t>
      </w:r>
    </w:p>
    <w:p w:rsidR="00E3634E" w:rsidRPr="000B3870" w:rsidRDefault="00E3634E" w:rsidP="00E3634E">
      <w:pPr>
        <w:spacing w:before="100" w:beforeAutospacing="1" w:after="100" w:afterAutospacing="1" w:line="360" w:lineRule="auto"/>
        <w:jc w:val="both"/>
        <w:rPr>
          <w:rFonts w:ascii="Palatino Linotype" w:hAnsi="Palatino Linotype" w:cs="Arial"/>
        </w:rPr>
      </w:pPr>
      <w:r w:rsidRPr="000B3870">
        <w:rPr>
          <w:rFonts w:ascii="Palatino Linotype" w:hAnsi="Palatino Linotype" w:cs="Arial"/>
          <w:b/>
        </w:rPr>
        <w:t>PRIMERO. Competencia.</w:t>
      </w:r>
      <w:r w:rsidRPr="000B3870">
        <w:rPr>
          <w:rFonts w:ascii="Palatino Linotype" w:hAnsi="Palatino Linotype" w:cs="Arial"/>
        </w:rPr>
        <w:t xml:space="preserve"> Este Órgano Garante, el Instituto de Transparencia, Acceso a la Información Pública y Protección de Datos Personales del Estado de México y Municipios, es competente para conocer y resolver el presente recurso de revisión interpuesto por el recurrente, conforme a lo establecido en los artículos 6, apartado A de la Constitución Política de los Estados Unidos Mexicanos; 5, párrafos vigésimo, vigésimo primero y vigésimo segundo, fracciones IV, V, VI, VII, VIII y IX,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3634E" w:rsidRPr="000B3870" w:rsidRDefault="00E3634E" w:rsidP="00E3634E">
      <w:pPr>
        <w:spacing w:before="100" w:beforeAutospacing="1" w:after="100" w:afterAutospacing="1" w:line="360" w:lineRule="auto"/>
        <w:jc w:val="both"/>
        <w:rPr>
          <w:rFonts w:ascii="Palatino Linotype" w:hAnsi="Palatino Linotype" w:cs="Arial"/>
        </w:rPr>
      </w:pPr>
      <w:r w:rsidRPr="000B3870">
        <w:rPr>
          <w:rFonts w:ascii="Palatino Linotype" w:hAnsi="Palatino Linotype" w:cs="Arial"/>
          <w:b/>
        </w:rPr>
        <w:t xml:space="preserve">SEGUNDO. Oportunidad y Pocedibilidad. </w:t>
      </w:r>
      <w:r w:rsidRPr="000B3870">
        <w:rPr>
          <w:rFonts w:ascii="Palatino Linotype" w:hAnsi="Palatino Linotype" w:cs="Arial"/>
        </w:rPr>
        <w:t>Para el análisis de la oportunidad del recurso de revisión, en la especie resulta alusivo referir que de acuerdo a lo que establece el artículo 163 de la Ley de Transparencia vigente en la entidad, las Unidades de Transparencia deberán notificar la respuesta a las  solicitudes de los interesados en el menor tiempo posible que no podrá exceder de quince días hábiles contados a partir del día siguiente a la presentación de la solicitud, plazo que podrá ampliarse excepcionalmente hasta por siete días cuando existan razones fundadas y motivadas para ello.</w:t>
      </w:r>
    </w:p>
    <w:p w:rsidR="00E3634E" w:rsidRPr="000B3870" w:rsidRDefault="00E3634E" w:rsidP="00E3634E">
      <w:pPr>
        <w:spacing w:before="100" w:beforeAutospacing="1" w:after="100" w:afterAutospacing="1" w:line="360" w:lineRule="auto"/>
        <w:jc w:val="both"/>
        <w:rPr>
          <w:rFonts w:ascii="Palatino Linotype" w:hAnsi="Palatino Linotype" w:cs="Arial"/>
        </w:rPr>
      </w:pPr>
      <w:r w:rsidRPr="000B3870">
        <w:rPr>
          <w:rFonts w:ascii="Palatino Linotype" w:hAnsi="Palatino Linotype" w:cs="Arial"/>
        </w:rPr>
        <w:lastRenderedPageBreak/>
        <w:t xml:space="preserve">Por otra parte el artículo 166 de la Ley en consulta en su tercer párrafo indica que para el caso de que el </w:t>
      </w:r>
      <w:r w:rsidRPr="000B3870">
        <w:rPr>
          <w:rFonts w:ascii="Palatino Linotype" w:hAnsi="Palatino Linotype" w:cs="Arial"/>
          <w:b/>
        </w:rPr>
        <w:t>Sujeto Obligado</w:t>
      </w:r>
      <w:r w:rsidRPr="000B3870">
        <w:rPr>
          <w:rFonts w:ascii="Palatino Linotype" w:hAnsi="Palatino Linotype" w:cs="Arial"/>
        </w:rPr>
        <w:t xml:space="preserve"> no entregue la respuesta dentro del plazo anteriormente señalado, la solicitud se entenderá como negada, quedando a salvo el derecho del particular de interponer el recurso de revisión.</w:t>
      </w:r>
    </w:p>
    <w:p w:rsidR="00E3634E" w:rsidRPr="000B3870" w:rsidRDefault="00E3634E" w:rsidP="00E3634E">
      <w:pPr>
        <w:spacing w:before="100" w:beforeAutospacing="1" w:after="100" w:afterAutospacing="1" w:line="360" w:lineRule="auto"/>
        <w:jc w:val="both"/>
        <w:rPr>
          <w:rFonts w:ascii="Palatino Linotype" w:hAnsi="Palatino Linotype" w:cs="Arial"/>
        </w:rPr>
      </w:pPr>
      <w:r w:rsidRPr="000B3870">
        <w:rPr>
          <w:rFonts w:ascii="Palatino Linotype" w:hAnsi="Palatino Linotype" w:cs="Arial"/>
        </w:rPr>
        <w:t xml:space="preserve">En otras palabras, el </w:t>
      </w:r>
      <w:r w:rsidRPr="000B3870">
        <w:rPr>
          <w:rFonts w:ascii="Palatino Linotype" w:hAnsi="Palatino Linotype" w:cs="Arial"/>
          <w:b/>
        </w:rPr>
        <w:t>Sujeto Obligado</w:t>
      </w:r>
      <w:r w:rsidRPr="000B3870">
        <w:rPr>
          <w:rFonts w:ascii="Palatino Linotype" w:hAnsi="Palatino Linotype" w:cs="Arial"/>
        </w:rPr>
        <w:t xml:space="preserve"> a quien se le formule una solicitud cuenta con el plazo de quince días para emitir una respuesta, por lo que una vez transcurrido dicho plazo sin que se entregue una respuesta, la solicitud se entenderá negada generando como consecuencia el derecho del solicitante de presentar el recurso de revisión.</w:t>
      </w:r>
    </w:p>
    <w:p w:rsidR="00E3634E" w:rsidRPr="000B3870" w:rsidRDefault="00E3634E" w:rsidP="00E3634E">
      <w:pPr>
        <w:spacing w:before="100" w:beforeAutospacing="1" w:after="100" w:afterAutospacing="1" w:line="360" w:lineRule="auto"/>
        <w:jc w:val="both"/>
        <w:rPr>
          <w:rFonts w:ascii="Palatino Linotype" w:hAnsi="Palatino Linotype" w:cs="Arial"/>
        </w:rPr>
      </w:pPr>
      <w:r w:rsidRPr="000B3870">
        <w:rPr>
          <w:rFonts w:ascii="Palatino Linotype" w:hAnsi="Palatino Linotype" w:cs="Arial"/>
        </w:rPr>
        <w:t>De tal manera que, ante la omisión de respuesta por parte del Sujeto Obligado, se constituye lo que se conoce como </w:t>
      </w:r>
      <w:r w:rsidRPr="000B3870">
        <w:rPr>
          <w:rFonts w:ascii="Palatino Linotype" w:hAnsi="Palatino Linotype" w:cs="Arial"/>
          <w:i/>
          <w:iCs/>
        </w:rPr>
        <w:t>negativa ficta</w:t>
      </w:r>
      <w:r w:rsidRPr="000B3870">
        <w:rPr>
          <w:rFonts w:ascii="Palatino Linotype" w:hAnsi="Palatino Linotype" w:cs="Arial"/>
        </w:rPr>
        <w:t>, figura jurídica consistente en otorgar un efecto negativo al silencio de la autoridad administrativa en relación a las solicitudes que le formulen los particulares, lo que genera la posibilidad de defensa ante tal omisión y la acción de impugnación contra la incertidumbre jurídica en la que se deja al gobernado, actualizándose el supuesto de procedencia que contempla la fracción VII del artículo 179 de la Ley de Transparencia y Acceso a la Información Pública del Estado de México y Municipios.</w:t>
      </w:r>
    </w:p>
    <w:p w:rsidR="00E3634E" w:rsidRDefault="00E3634E" w:rsidP="00E3634E">
      <w:pPr>
        <w:spacing w:before="100" w:beforeAutospacing="1" w:after="100" w:afterAutospacing="1" w:line="360" w:lineRule="auto"/>
        <w:jc w:val="both"/>
        <w:rPr>
          <w:rFonts w:ascii="Palatino Linotype" w:hAnsi="Palatino Linotype" w:cs="Arial"/>
        </w:rPr>
      </w:pPr>
      <w:r w:rsidRPr="000B3870">
        <w:rPr>
          <w:rFonts w:ascii="Palatino Linotype" w:hAnsi="Palatino Linotype" w:cs="Arial"/>
        </w:rPr>
        <w:t xml:space="preserve">Sin necesidad de determinar una debida oportunidad respecto del momento de presentación del medio de impugnación, pues al no existir una determinación por parte del </w:t>
      </w:r>
      <w:r w:rsidRPr="000B3870">
        <w:rPr>
          <w:rFonts w:ascii="Palatino Linotype" w:hAnsi="Palatino Linotype" w:cs="Arial"/>
          <w:b/>
        </w:rPr>
        <w:t>Sujeto Obligado</w:t>
      </w:r>
      <w:r w:rsidRPr="000B3870">
        <w:rPr>
          <w:rFonts w:ascii="Palatino Linotype" w:hAnsi="Palatino Linotype" w:cs="Arial"/>
        </w:rPr>
        <w:t xml:space="preserve"> en respuesta a la solicitud de acceso a la información pública del particular, no existe una fecha de notificación del acto reclamado a partir </w:t>
      </w:r>
      <w:r w:rsidRPr="000B3870">
        <w:rPr>
          <w:rFonts w:ascii="Palatino Linotype" w:hAnsi="Palatino Linotype" w:cs="Arial"/>
        </w:rPr>
        <w:lastRenderedPageBreak/>
        <w:t>de la cual se pueda computar el plazo dispuesto en el artículo 178 de la Ley de la Materia, para la presentación del recurso de revisión.</w:t>
      </w:r>
    </w:p>
    <w:p w:rsidR="00E3634E" w:rsidRPr="000B3870" w:rsidRDefault="00E3634E" w:rsidP="00E3634E">
      <w:pPr>
        <w:spacing w:before="100" w:beforeAutospacing="1" w:after="100" w:afterAutospacing="1" w:line="360" w:lineRule="auto"/>
        <w:jc w:val="both"/>
        <w:rPr>
          <w:rFonts w:ascii="Palatino Linotype" w:hAnsi="Palatino Linotype" w:cs="Arial"/>
        </w:rPr>
      </w:pPr>
      <w:r w:rsidRPr="000B3870">
        <w:rPr>
          <w:rFonts w:ascii="Palatino Linotype" w:hAnsi="Palatino Linotype" w:cs="Arial"/>
        </w:rPr>
        <w:t>De ahí que el citado artículo 178 sea expreso en determinar que ante la falta de respuesta del Sujeto Obligado a una solicitud de acceso a la información pública dentro del plazo previsto para ello, la presentación del recurso de revisión se podrá hacer en cualquier momento, como se lee de su transcripción que enseguida se hace:</w:t>
      </w:r>
    </w:p>
    <w:p w:rsidR="00E3634E" w:rsidRPr="000B3870" w:rsidRDefault="00E3634E" w:rsidP="00E3634E">
      <w:pPr>
        <w:spacing w:before="100" w:beforeAutospacing="1" w:after="100" w:afterAutospacing="1"/>
        <w:ind w:left="851" w:right="902"/>
        <w:jc w:val="both"/>
        <w:rPr>
          <w:rFonts w:ascii="Palatino Linotype" w:hAnsi="Palatino Linotype" w:cs="Arial"/>
          <w:sz w:val="22"/>
        </w:rPr>
      </w:pPr>
      <w:r w:rsidRPr="000B3870">
        <w:rPr>
          <w:rFonts w:ascii="Palatino Linotype" w:hAnsi="Palatino Linotype" w:cs="Arial"/>
          <w:i/>
          <w:iCs/>
          <w:sz w:val="22"/>
        </w:rPr>
        <w:t>“</w:t>
      </w:r>
      <w:r w:rsidRPr="000B3870">
        <w:rPr>
          <w:rFonts w:ascii="Palatino Linotype" w:hAnsi="Palatino Linotype" w:cs="Arial"/>
          <w:b/>
          <w:bCs/>
          <w:i/>
          <w:iCs/>
          <w:sz w:val="22"/>
        </w:rPr>
        <w:t>Artículo 178</w:t>
      </w:r>
      <w:r w:rsidRPr="000B3870">
        <w:rPr>
          <w:rFonts w:ascii="Palatino Linotype" w:hAnsi="Palatino Linotype" w:cs="Arial"/>
          <w:i/>
          <w:iCs/>
          <w:sz w:val="22"/>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3634E" w:rsidRPr="000B3870" w:rsidRDefault="00E3634E" w:rsidP="00E3634E">
      <w:pPr>
        <w:spacing w:before="100" w:beforeAutospacing="1" w:after="100" w:afterAutospacing="1"/>
        <w:ind w:left="851" w:right="902"/>
        <w:jc w:val="both"/>
        <w:rPr>
          <w:rFonts w:ascii="Palatino Linotype" w:hAnsi="Palatino Linotype" w:cs="Arial"/>
          <w:sz w:val="22"/>
        </w:rPr>
      </w:pPr>
      <w:r w:rsidRPr="000B3870">
        <w:rPr>
          <w:rFonts w:ascii="Palatino Linotype" w:hAnsi="Palatino Linotype" w:cs="Arial"/>
          <w:b/>
          <w:bCs/>
          <w:i/>
          <w:iCs/>
          <w:sz w:val="22"/>
        </w:rPr>
        <w:t>A falta de respuesta del sujeto obligado, dentro de los plazos establecidos en esta Ley, a una solicitud de acceso a la información pública, el recurso podrá ser interpuesto en cualquier momento,</w:t>
      </w:r>
      <w:r w:rsidRPr="000B3870">
        <w:rPr>
          <w:rFonts w:ascii="Palatino Linotype" w:hAnsi="Palatino Linotype" w:cs="Arial"/>
          <w:i/>
          <w:iCs/>
          <w:sz w:val="22"/>
        </w:rPr>
        <w:t> acompañado con el documento que pruebe la fecha en que presentó la solicitud…”</w:t>
      </w:r>
    </w:p>
    <w:p w:rsidR="00E3634E" w:rsidRPr="000B3870" w:rsidRDefault="00E3634E" w:rsidP="00E3634E">
      <w:pPr>
        <w:spacing w:before="100" w:beforeAutospacing="1" w:after="100" w:afterAutospacing="1" w:line="360" w:lineRule="auto"/>
        <w:jc w:val="both"/>
        <w:rPr>
          <w:rFonts w:ascii="Palatino Linotype" w:hAnsi="Palatino Linotype" w:cs="Arial"/>
        </w:rPr>
      </w:pPr>
      <w:r w:rsidRPr="000B3870">
        <w:rPr>
          <w:rFonts w:ascii="Palatino Linotype" w:hAnsi="Palatino Linotype" w:cs="Arial"/>
        </w:rPr>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E3634E" w:rsidRPr="000B3870" w:rsidRDefault="00E3634E" w:rsidP="00E3634E">
      <w:pPr>
        <w:spacing w:before="100" w:beforeAutospacing="1" w:after="100" w:afterAutospacing="1"/>
        <w:ind w:left="851" w:right="902"/>
        <w:jc w:val="both"/>
        <w:rPr>
          <w:rFonts w:ascii="Palatino Linotype" w:hAnsi="Palatino Linotype" w:cs="Arial"/>
        </w:rPr>
      </w:pPr>
      <w:r w:rsidRPr="000B3870">
        <w:rPr>
          <w:rFonts w:ascii="Palatino Linotype" w:hAnsi="Palatino Linotype" w:cs="Arial"/>
          <w:b/>
          <w:bCs/>
          <w:i/>
          <w:iCs/>
          <w:sz w:val="22"/>
        </w:rPr>
        <w:t>“CRITERIO 0001-15 NEGATIVA FICTA. PLAZO PARA INTERPONER EL RECURSO DE REVISIÓN TRATÁNDOSE DE</w:t>
      </w:r>
      <w:r w:rsidRPr="000B3870">
        <w:rPr>
          <w:rFonts w:ascii="Palatino Linotype" w:hAnsi="Palatino Linotype" w:cs="Arial"/>
          <w:i/>
          <w:iCs/>
          <w:sz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w:t>
      </w:r>
      <w:r w:rsidRPr="000B3870">
        <w:rPr>
          <w:rFonts w:ascii="Palatino Linotype" w:hAnsi="Palatino Linotype" w:cs="Arial"/>
          <w:i/>
          <w:iCs/>
          <w:sz w:val="22"/>
        </w:rPr>
        <w:lastRenderedPageBreak/>
        <w:t>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0B3870">
        <w:rPr>
          <w:rFonts w:ascii="Palatino Linotype" w:hAnsi="Palatino Linotype" w:cs="Arial"/>
          <w:sz w:val="22"/>
        </w:rPr>
        <w:br/>
      </w:r>
    </w:p>
    <w:p w:rsidR="00E3634E" w:rsidRPr="000B3870" w:rsidRDefault="00E3634E" w:rsidP="00E3634E">
      <w:pPr>
        <w:spacing w:before="240" w:after="240" w:line="360" w:lineRule="auto"/>
        <w:jc w:val="both"/>
        <w:rPr>
          <w:rFonts w:ascii="Palatino Linotype" w:hAnsi="Palatino Linotype" w:cs="Arial"/>
        </w:rPr>
      </w:pPr>
      <w:r w:rsidRPr="000B3870">
        <w:rPr>
          <w:rFonts w:ascii="Palatino Linotype" w:hAnsi="Palatino Linotype" w:cs="Segoe UI"/>
        </w:rPr>
        <w:t xml:space="preserve">Cabe señalar que la parte </w:t>
      </w:r>
      <w:r w:rsidRPr="000B3870">
        <w:rPr>
          <w:rFonts w:ascii="Palatino Linotype" w:hAnsi="Palatino Linotype" w:cs="Segoe UI"/>
          <w:b/>
        </w:rPr>
        <w:t>recurrente</w:t>
      </w:r>
      <w:r w:rsidRPr="000B3870">
        <w:rPr>
          <w:rFonts w:ascii="Palatino Linotype" w:hAnsi="Palatino Linotype" w:cs="Segoe UI"/>
        </w:rPr>
        <w:t xml:space="preserve"> se identifica como </w:t>
      </w:r>
      <w:r w:rsidRPr="000B3870">
        <w:rPr>
          <w:rFonts w:ascii="Palatino Linotype" w:eastAsiaTheme="minorEastAsia" w:hAnsi="Palatino Linotype" w:cs="Arial"/>
          <w:b/>
        </w:rPr>
        <w:t>“</w:t>
      </w:r>
      <w:r w:rsidR="00C25CDC" w:rsidRPr="00C25CDC">
        <w:rPr>
          <w:rFonts w:ascii="Palatino Linotype" w:hAnsi="Palatino Linotype"/>
          <w:b/>
          <w:szCs w:val="22"/>
        </w:rPr>
        <w:t>inforsolicitud7 informacion informacion</w:t>
      </w:r>
      <w:r w:rsidRPr="000B3870">
        <w:rPr>
          <w:rFonts w:ascii="Palatino Linotype" w:hAnsi="Palatino Linotype" w:cs="Arial"/>
          <w:b/>
        </w:rPr>
        <w:t>”</w:t>
      </w:r>
      <w:r w:rsidRPr="000B3870">
        <w:rPr>
          <w:rFonts w:ascii="Palatino Linotype" w:eastAsiaTheme="minorEastAsia" w:hAnsi="Palatino Linotype" w:cs="Arial"/>
          <w:b/>
        </w:rPr>
        <w:t xml:space="preserve">. </w:t>
      </w:r>
      <w:r w:rsidRPr="000B3870">
        <w:rPr>
          <w:rFonts w:ascii="Palatino Linotype" w:hAnsi="Palatino Linotype"/>
        </w:rPr>
        <w:t xml:space="preserve">No obstante lo anterior, proporcionar el nombre incompleto no es motivo para desechar las </w:t>
      </w:r>
      <w:r w:rsidRPr="000B3870">
        <w:rPr>
          <w:rFonts w:ascii="Palatino Linotype"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cs="Arial"/>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E3634E" w:rsidRPr="000B3870" w:rsidRDefault="00E3634E" w:rsidP="00E3634E">
      <w:pPr>
        <w:spacing w:before="240" w:after="240" w:line="360" w:lineRule="auto"/>
        <w:jc w:val="both"/>
        <w:rPr>
          <w:rFonts w:ascii="Palatino Linotype" w:hAnsi="Palatino Linotype"/>
        </w:rPr>
      </w:pPr>
      <w:r w:rsidRPr="000B3870">
        <w:rPr>
          <w:rFonts w:ascii="Palatino Linotype" w:hAnsi="Palatino Linotype"/>
        </w:rPr>
        <w:t xml:space="preserve">Robusteciendo lo anterior se encuentra lo dispuesto en los artículos 6, Apartado A, fracciones III y IV de la Constitución Política de los Estados Unidos Mexicanos y 5 párrafos </w:t>
      </w:r>
      <w:r w:rsidRPr="000B3870">
        <w:rPr>
          <w:rFonts w:ascii="Palatino Linotype" w:hAnsi="Palatino Linotype" w:cs="Arial"/>
        </w:rPr>
        <w:t>vigésimo, vigésimo primero</w:t>
      </w:r>
      <w:r w:rsidRPr="000B3870">
        <w:rPr>
          <w:rFonts w:ascii="Palatino Linotype" w:eastAsia="Times New Roman" w:hAnsi="Palatino Linotype" w:cs="Arial"/>
          <w:szCs w:val="22"/>
          <w:lang w:val="es-MX" w:eastAsia="en-US"/>
        </w:rPr>
        <w:t xml:space="preserve"> y vigésimo segundo</w:t>
      </w:r>
      <w:r w:rsidRPr="000B3870">
        <w:rPr>
          <w:rFonts w:ascii="Palatino Linotype" w:hAnsi="Palatino Linotype"/>
        </w:rPr>
        <w:t>, de la Constitución Política del Estado Libre y Soberano de México, se establece lo siguiente:</w:t>
      </w:r>
    </w:p>
    <w:p w:rsidR="00E3634E" w:rsidRPr="000B3870" w:rsidRDefault="00E3634E" w:rsidP="00E3634E">
      <w:pPr>
        <w:spacing w:before="240" w:after="240"/>
        <w:ind w:left="851" w:right="900"/>
        <w:jc w:val="both"/>
        <w:rPr>
          <w:rFonts w:ascii="Palatino Linotype" w:hAnsi="Palatino Linotype"/>
          <w:b/>
          <w:i/>
          <w:sz w:val="22"/>
          <w:szCs w:val="22"/>
        </w:rPr>
      </w:pPr>
      <w:r w:rsidRPr="000B3870">
        <w:rPr>
          <w:rFonts w:ascii="Palatino Linotype" w:hAnsi="Palatino Linotype"/>
          <w:b/>
          <w:i/>
          <w:sz w:val="22"/>
          <w:szCs w:val="22"/>
        </w:rPr>
        <w:t>Constitución Política de los Estados Unidos Mexicanos</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lastRenderedPageBreak/>
        <w:t>“</w:t>
      </w:r>
      <w:r w:rsidRPr="000B3870">
        <w:rPr>
          <w:rFonts w:ascii="Palatino Linotype" w:hAnsi="Palatino Linotype"/>
          <w:b/>
          <w:i/>
          <w:sz w:val="22"/>
          <w:szCs w:val="22"/>
        </w:rPr>
        <w:t>Artículo 6</w:t>
      </w:r>
      <w:r w:rsidRPr="000B3870">
        <w:rPr>
          <w:rFonts w:ascii="Palatino Linotype" w:hAnsi="Palatino Linotype"/>
          <w:i/>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 xml:space="preserve">Para efectos de lo dispuesto en el presente artículo se observará lo siguiente: </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 xml:space="preserve">III. Toda persona, sin necesidad de acreditar interés alguno o justificar su utilización, tendrá acceso gratuito a la información pública, a sus datos personales o a la rectificación de éstos. </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 xml:space="preserve">IV. Se establecerán mecanismos de acceso a la información y procedimientos de revisión expeditos que se sustanciarán ante los organismos autónomos especializados e imparciales que establece esta Constitución.” </w:t>
      </w:r>
    </w:p>
    <w:p w:rsidR="00E3634E" w:rsidRPr="000B3870" w:rsidRDefault="00E3634E" w:rsidP="00E3634E">
      <w:pPr>
        <w:spacing w:before="240" w:after="240"/>
        <w:ind w:left="851" w:right="900"/>
        <w:jc w:val="both"/>
        <w:rPr>
          <w:rFonts w:ascii="Palatino Linotype" w:hAnsi="Palatino Linotype"/>
          <w:i/>
          <w:sz w:val="22"/>
          <w:szCs w:val="22"/>
        </w:rPr>
      </w:pPr>
    </w:p>
    <w:p w:rsidR="00E3634E" w:rsidRPr="000B3870" w:rsidRDefault="00E3634E" w:rsidP="00E3634E">
      <w:pPr>
        <w:spacing w:before="240" w:after="240"/>
        <w:ind w:left="851" w:right="900"/>
        <w:jc w:val="both"/>
        <w:rPr>
          <w:rFonts w:ascii="Palatino Linotype" w:hAnsi="Palatino Linotype"/>
          <w:b/>
          <w:i/>
          <w:sz w:val="22"/>
          <w:szCs w:val="22"/>
        </w:rPr>
      </w:pPr>
      <w:r w:rsidRPr="000B3870">
        <w:rPr>
          <w:rFonts w:ascii="Palatino Linotype" w:hAnsi="Palatino Linotype"/>
          <w:b/>
          <w:i/>
          <w:sz w:val="22"/>
          <w:szCs w:val="22"/>
        </w:rPr>
        <w:t>Constitución Política del Estado Libre y Soberano de México</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w:t>
      </w:r>
      <w:r w:rsidRPr="000B3870">
        <w:rPr>
          <w:rFonts w:ascii="Palatino Linotype" w:hAnsi="Palatino Linotype"/>
          <w:b/>
          <w:i/>
          <w:sz w:val="22"/>
          <w:szCs w:val="22"/>
        </w:rPr>
        <w:t>Artículo 5</w:t>
      </w:r>
      <w:r w:rsidRPr="000B3870">
        <w:rPr>
          <w:rFonts w:ascii="Palatino Linotype" w:hAnsi="Palatino Linotype"/>
          <w:i/>
          <w:sz w:val="22"/>
          <w:szCs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lastRenderedPageBreak/>
        <w:t>Toda persona en el Estado de México, tiene derecho al libre acceso a la información plural y oportuna, así como a buscar recibir y difundir información e ideas de toda índole por cualquier medio de expresión.</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 xml:space="preserve"> (…)</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E3634E" w:rsidRPr="000B3870" w:rsidRDefault="00E3634E" w:rsidP="00E3634E">
      <w:pPr>
        <w:spacing w:before="240" w:after="240" w:line="360" w:lineRule="auto"/>
        <w:jc w:val="both"/>
        <w:rPr>
          <w:rFonts w:ascii="Palatino Linotype" w:hAnsi="Palatino Linotype"/>
        </w:rPr>
      </w:pPr>
      <w:r w:rsidRPr="000B3870">
        <w:rPr>
          <w:rFonts w:ascii="Palatino Linotype" w:hAnsi="Palatino Linotype"/>
        </w:rPr>
        <w:t>Por otra parte, del contenido del artículo 1 de la Constitución Política de los Estados Unidos Mexicanos, se destaca lo siguiente:</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lastRenderedPageBreak/>
        <w:t>“</w:t>
      </w:r>
      <w:r w:rsidRPr="000B3870">
        <w:rPr>
          <w:rFonts w:ascii="Palatino Linotype" w:hAnsi="Palatino Linotype"/>
          <w:b/>
          <w:i/>
          <w:sz w:val="22"/>
          <w:szCs w:val="22"/>
        </w:rPr>
        <w:t>Artículo 1o</w:t>
      </w:r>
      <w:r w:rsidRPr="000B3870">
        <w:rPr>
          <w:rFonts w:ascii="Palatino Linotype" w:hAnsi="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rsidR="00E3634E" w:rsidRPr="000B3870" w:rsidRDefault="00E3634E" w:rsidP="00E3634E">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3634E" w:rsidRPr="000B3870" w:rsidRDefault="00E3634E" w:rsidP="00E3634E">
      <w:pPr>
        <w:spacing w:before="240" w:after="240" w:line="360" w:lineRule="auto"/>
        <w:jc w:val="both"/>
        <w:rPr>
          <w:rFonts w:ascii="Palatino Linotype" w:hAnsi="Palatino Linotype"/>
        </w:rPr>
      </w:pPr>
      <w:r w:rsidRPr="000B3870">
        <w:rPr>
          <w:rFonts w:ascii="Palatino Linotype" w:hAnsi="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E3634E" w:rsidRPr="000B3870" w:rsidRDefault="00E3634E" w:rsidP="00E3634E">
      <w:pPr>
        <w:spacing w:before="240" w:after="240" w:line="360" w:lineRule="auto"/>
        <w:jc w:val="both"/>
        <w:rPr>
          <w:rFonts w:ascii="Palatino Linotype" w:hAnsi="Palatino Linotype" w:cs="Arial"/>
        </w:rPr>
      </w:pPr>
      <w:r w:rsidRPr="000B3870">
        <w:rPr>
          <w:rFonts w:ascii="Palatino Linotype" w:hAnsi="Palatino Linotype" w:cs="Arial"/>
        </w:rPr>
        <w:t>En conclusión, se cubrieron los requisitos de procedencia y procedibilidad y conforme a las constancias que obran en el expediente.</w:t>
      </w:r>
    </w:p>
    <w:p w:rsidR="00E3634E" w:rsidRPr="000B3870" w:rsidRDefault="00E3634E" w:rsidP="00E3634E">
      <w:pPr>
        <w:spacing w:before="100" w:beforeAutospacing="1" w:after="100" w:afterAutospacing="1" w:line="360" w:lineRule="auto"/>
        <w:jc w:val="both"/>
        <w:rPr>
          <w:rFonts w:ascii="Palatino Linotype" w:hAnsi="Palatino Linotype" w:cs="Arial"/>
        </w:rPr>
      </w:pPr>
      <w:r w:rsidRPr="000B3870">
        <w:rPr>
          <w:rFonts w:ascii="Palatino Linotype" w:hAnsi="Palatino Linotype" w:cs="Arial"/>
        </w:rPr>
        <w:lastRenderedPageBreak/>
        <w:t>Por tanto, se advierte que resulta procedente la interposición del recurso, según lo aportado por el recurrente en sus motivos de inconformidad, de acuerdo al artículo 179, fracción VII del ordenamiento legal citado, que a la letra dice: </w:t>
      </w:r>
    </w:p>
    <w:p w:rsidR="00E3634E" w:rsidRPr="000B3870" w:rsidRDefault="00E3634E" w:rsidP="00E3634E">
      <w:pPr>
        <w:spacing w:before="100" w:beforeAutospacing="1" w:after="100" w:afterAutospacing="1"/>
        <w:ind w:left="851" w:right="902"/>
        <w:jc w:val="both"/>
        <w:rPr>
          <w:rFonts w:ascii="Palatino Linotype" w:hAnsi="Palatino Linotype" w:cs="Arial"/>
          <w:i/>
          <w:sz w:val="22"/>
        </w:rPr>
      </w:pPr>
      <w:r w:rsidRPr="000B3870">
        <w:rPr>
          <w:rFonts w:ascii="Palatino Linotype" w:hAnsi="Palatino Linotype" w:cs="Arial"/>
          <w:bCs/>
          <w:i/>
          <w:iCs/>
          <w:sz w:val="22"/>
        </w:rPr>
        <w:t>“</w:t>
      </w:r>
      <w:r w:rsidRPr="000B3870">
        <w:rPr>
          <w:rFonts w:ascii="Palatino Linotype" w:hAnsi="Palatino Linotype" w:cs="Arial"/>
          <w:i/>
          <w:sz w:val="22"/>
        </w:rPr>
        <w:t>Artículo 179. El recurso de revisión es un medio de protección que la Ley otorga a los particulares, para hacer valer su derecho de acceso a la información pública, y procederá en contra de las siguientes causas:</w:t>
      </w:r>
    </w:p>
    <w:p w:rsidR="00E3634E" w:rsidRPr="000B3870" w:rsidRDefault="00E3634E" w:rsidP="00E3634E">
      <w:pPr>
        <w:spacing w:before="100" w:beforeAutospacing="1" w:after="100" w:afterAutospacing="1"/>
        <w:ind w:left="851" w:right="902"/>
        <w:jc w:val="both"/>
        <w:rPr>
          <w:rFonts w:ascii="Palatino Linotype" w:hAnsi="Palatino Linotype" w:cs="Arial"/>
          <w:bCs/>
          <w:i/>
          <w:iCs/>
          <w:sz w:val="22"/>
        </w:rPr>
      </w:pPr>
      <w:r w:rsidRPr="000B3870">
        <w:rPr>
          <w:rFonts w:ascii="Palatino Linotype" w:hAnsi="Palatino Linotype" w:cs="Arial"/>
          <w:bCs/>
          <w:i/>
          <w:iCs/>
          <w:sz w:val="22"/>
        </w:rPr>
        <w:t>(…)</w:t>
      </w:r>
    </w:p>
    <w:p w:rsidR="00E3634E" w:rsidRPr="000B3870" w:rsidRDefault="00E3634E" w:rsidP="00E3634E">
      <w:pPr>
        <w:spacing w:before="100" w:beforeAutospacing="1" w:after="100" w:afterAutospacing="1"/>
        <w:ind w:left="851" w:right="902"/>
        <w:jc w:val="both"/>
        <w:rPr>
          <w:rFonts w:ascii="Palatino Linotype" w:hAnsi="Palatino Linotype" w:cs="Arial"/>
          <w:b/>
          <w:bCs/>
          <w:i/>
          <w:iCs/>
          <w:sz w:val="22"/>
        </w:rPr>
      </w:pPr>
      <w:r w:rsidRPr="000B3870">
        <w:rPr>
          <w:rFonts w:ascii="Palatino Linotype" w:hAnsi="Palatino Linotype" w:cs="Arial"/>
          <w:b/>
          <w:bCs/>
          <w:i/>
          <w:iCs/>
          <w:sz w:val="22"/>
        </w:rPr>
        <w:t xml:space="preserve">VII. </w:t>
      </w:r>
      <w:r w:rsidRPr="000B3870">
        <w:rPr>
          <w:rFonts w:ascii="Palatino Linotype" w:hAnsi="Palatino Linotype" w:cs="Arial"/>
          <w:bCs/>
          <w:i/>
          <w:iCs/>
          <w:sz w:val="22"/>
        </w:rPr>
        <w:t xml:space="preserve">La falta de respuesta a una solicitud de acceso a la información; </w:t>
      </w:r>
    </w:p>
    <w:p w:rsidR="00E3634E" w:rsidRPr="000B3870" w:rsidRDefault="00E3634E" w:rsidP="00E3634E">
      <w:pPr>
        <w:spacing w:before="100" w:beforeAutospacing="1" w:after="100" w:afterAutospacing="1"/>
        <w:ind w:left="851" w:right="902"/>
        <w:jc w:val="both"/>
        <w:rPr>
          <w:rFonts w:ascii="Palatino Linotype" w:hAnsi="Palatino Linotype" w:cs="Arial"/>
          <w:bCs/>
          <w:i/>
          <w:iCs/>
          <w:sz w:val="22"/>
        </w:rPr>
      </w:pPr>
      <w:r w:rsidRPr="000B3870">
        <w:rPr>
          <w:rFonts w:ascii="Palatino Linotype" w:hAnsi="Palatino Linotype" w:cs="Arial"/>
          <w:bCs/>
          <w:i/>
          <w:iCs/>
          <w:sz w:val="22"/>
        </w:rPr>
        <w:t>(…)</w:t>
      </w:r>
      <w:r w:rsidRPr="000B3870">
        <w:rPr>
          <w:rFonts w:ascii="Palatino Linotype" w:hAnsi="Palatino Linotype" w:cs="Arial"/>
          <w:bCs/>
          <w:i/>
          <w:iCs/>
          <w:sz w:val="22"/>
          <w:vertAlign w:val="superscript"/>
        </w:rPr>
        <w:footnoteReference w:id="1"/>
      </w:r>
      <w:r w:rsidRPr="000B3870">
        <w:rPr>
          <w:rFonts w:ascii="Palatino Linotype" w:hAnsi="Palatino Linotype" w:cs="Arial"/>
          <w:i/>
          <w:sz w:val="22"/>
        </w:rPr>
        <w:t> </w:t>
      </w:r>
    </w:p>
    <w:p w:rsidR="00E3634E" w:rsidRPr="000B3870" w:rsidRDefault="00E3634E" w:rsidP="00E3634E">
      <w:pPr>
        <w:spacing w:before="100" w:beforeAutospacing="1" w:after="100" w:afterAutospacing="1" w:line="360" w:lineRule="auto"/>
        <w:jc w:val="both"/>
        <w:rPr>
          <w:rFonts w:ascii="Palatino Linotype" w:hAnsi="Palatino Linotype" w:cs="Arial"/>
        </w:rPr>
      </w:pPr>
      <w:r w:rsidRPr="000B3870">
        <w:rPr>
          <w:rFonts w:ascii="Palatino Linotype" w:hAnsi="Palatino Linotype" w:cs="Arial"/>
        </w:rPr>
        <w:t xml:space="preserve">Lo anterior se menciona dado que el recurrente se inconforma ya que el </w:t>
      </w:r>
      <w:r w:rsidRPr="000B3870">
        <w:rPr>
          <w:rFonts w:ascii="Palatino Linotype" w:hAnsi="Palatino Linotype" w:cs="Arial"/>
          <w:b/>
        </w:rPr>
        <w:t>Sujeto Obligado</w:t>
      </w:r>
      <w:r w:rsidRPr="000B3870">
        <w:rPr>
          <w:rFonts w:ascii="Palatino Linotype" w:hAnsi="Palatino Linotype" w:cs="Arial"/>
        </w:rPr>
        <w:t xml:space="preserve"> no dio respuesta a la solicitud de información.</w:t>
      </w:r>
    </w:p>
    <w:p w:rsidR="00E3634E" w:rsidRPr="000B3870" w:rsidRDefault="00E3634E" w:rsidP="00E3634E">
      <w:pPr>
        <w:spacing w:before="100" w:beforeAutospacing="1" w:after="100" w:afterAutospacing="1" w:line="360" w:lineRule="auto"/>
        <w:jc w:val="both"/>
        <w:rPr>
          <w:rFonts w:ascii="Palatino Linotype" w:hAnsi="Palatino Linotype" w:cs="Arial"/>
        </w:rPr>
      </w:pPr>
      <w:r w:rsidRPr="000B3870">
        <w:rPr>
          <w:rFonts w:ascii="Palatino Linotype" w:hAnsi="Palatino Linotype" w:cs="Arial"/>
          <w:b/>
        </w:rPr>
        <w:t xml:space="preserve">TERCERO. Materia de la Revisión. </w:t>
      </w:r>
      <w:r w:rsidRPr="000B3870">
        <w:rPr>
          <w:rFonts w:ascii="Palatino Linotype" w:hAnsi="Palatino Linotype" w:cs="Arial"/>
        </w:rPr>
        <w:t>De la revisión a las constancias y documentos que obran en el expediente electrónico se advierte, que el tema sobre el que este Órgano Garante de Transparencia y Acceso a la Información se pronunciará será:</w:t>
      </w:r>
    </w:p>
    <w:p w:rsidR="00E3634E" w:rsidRPr="00C57CBA" w:rsidRDefault="00E3634E" w:rsidP="00C57CBA">
      <w:pPr>
        <w:numPr>
          <w:ilvl w:val="0"/>
          <w:numId w:val="1"/>
        </w:numPr>
        <w:spacing w:before="100" w:beforeAutospacing="1" w:after="100" w:afterAutospacing="1" w:line="360" w:lineRule="auto"/>
        <w:jc w:val="both"/>
        <w:rPr>
          <w:rFonts w:ascii="Palatino Linotype" w:hAnsi="Palatino Linotype" w:cs="Arial"/>
          <w:b/>
        </w:rPr>
      </w:pPr>
      <w:r w:rsidRPr="000B3870">
        <w:rPr>
          <w:rFonts w:ascii="Palatino Linotype" w:hAnsi="Palatino Linotype" w:cs="Arial"/>
          <w:b/>
        </w:rPr>
        <w:t>Determinar si el Sujeto Obligado posee la información y de ser el caso ordenar la entrega de la misma.</w:t>
      </w:r>
    </w:p>
    <w:p w:rsidR="00E3634E" w:rsidRPr="000B3870" w:rsidRDefault="00E3634E" w:rsidP="00E3634E">
      <w:pPr>
        <w:spacing w:before="100" w:beforeAutospacing="1" w:after="100" w:afterAutospacing="1" w:line="360" w:lineRule="auto"/>
        <w:jc w:val="both"/>
        <w:rPr>
          <w:rFonts w:ascii="Palatino Linotype" w:hAnsi="Palatino Linotype" w:cs="Segoe UI"/>
        </w:rPr>
      </w:pPr>
      <w:r w:rsidRPr="000B3870">
        <w:rPr>
          <w:rFonts w:ascii="Palatino Linotype" w:hAnsi="Palatino Linotype"/>
          <w:b/>
        </w:rPr>
        <w:t>CUARTO. Estudio del asunto</w:t>
      </w:r>
      <w:r w:rsidRPr="000B3870">
        <w:rPr>
          <w:rFonts w:ascii="Palatino Linotype" w:hAnsi="Palatino Linotype"/>
        </w:rPr>
        <w:t xml:space="preserve">. </w:t>
      </w:r>
      <w:r w:rsidRPr="000B3870">
        <w:rPr>
          <w:rFonts w:ascii="Palatino Linotype" w:hAnsi="Palatino Linotype" w:cs="Segoe UI"/>
        </w:rPr>
        <w:t xml:space="preserve">Se hace referencia que la parte recurrente solicitó que el </w:t>
      </w:r>
      <w:r w:rsidRPr="000B3870">
        <w:rPr>
          <w:rFonts w:ascii="Palatino Linotype" w:hAnsi="Palatino Linotype" w:cs="Segoe UI"/>
          <w:b/>
        </w:rPr>
        <w:t>Sujeto Obligado</w:t>
      </w:r>
      <w:r w:rsidRPr="000B3870">
        <w:rPr>
          <w:rFonts w:ascii="Palatino Linotype" w:hAnsi="Palatino Linotype" w:cs="Segoe UI"/>
        </w:rPr>
        <w:t>, le hiciera entrega de lo siguiente:</w:t>
      </w:r>
    </w:p>
    <w:p w:rsidR="00B908EB" w:rsidRPr="00B908EB" w:rsidRDefault="00922000" w:rsidP="00E6261D">
      <w:pPr>
        <w:pStyle w:val="Prrafodelista"/>
        <w:numPr>
          <w:ilvl w:val="0"/>
          <w:numId w:val="2"/>
        </w:numPr>
        <w:spacing w:before="100" w:beforeAutospacing="1" w:after="100" w:afterAutospacing="1" w:line="360" w:lineRule="auto"/>
        <w:jc w:val="both"/>
        <w:rPr>
          <w:rFonts w:ascii="Palatino Linotype" w:hAnsi="Palatino Linotype" w:cs="Segoe UI"/>
          <w:i/>
        </w:rPr>
      </w:pPr>
      <w:r w:rsidRPr="00C57CBA">
        <w:rPr>
          <w:rFonts w:ascii="Palatino Linotype" w:hAnsi="Palatino Linotype" w:cs="Segoe UI"/>
        </w:rPr>
        <w:lastRenderedPageBreak/>
        <w:t>Co</w:t>
      </w:r>
      <w:r w:rsidR="00C57CBA" w:rsidRPr="00C57CBA">
        <w:rPr>
          <w:rFonts w:ascii="Palatino Linotype" w:hAnsi="Palatino Linotype" w:cs="Segoe UI"/>
        </w:rPr>
        <w:t>ntratos, órdenes de compra</w:t>
      </w:r>
      <w:r w:rsidR="00C57CBA">
        <w:rPr>
          <w:rFonts w:ascii="Palatino Linotype" w:hAnsi="Palatino Linotype" w:cs="Segoe UI"/>
        </w:rPr>
        <w:t xml:space="preserve"> o pedidos, c</w:t>
      </w:r>
      <w:r w:rsidR="00C57CBA" w:rsidRPr="00C57CBA">
        <w:rPr>
          <w:rFonts w:ascii="Palatino Linotype" w:hAnsi="Palatino Linotype" w:cs="Segoe UI"/>
        </w:rPr>
        <w:t>onvenios modificatorios o ampliaciones</w:t>
      </w:r>
      <w:r w:rsidR="00C57CBA">
        <w:rPr>
          <w:rFonts w:ascii="Palatino Linotype" w:hAnsi="Palatino Linotype" w:cs="Segoe UI"/>
        </w:rPr>
        <w:t>, sobre pagos realizados en los años 2010 al 2016 con diversas empresas.</w:t>
      </w:r>
    </w:p>
    <w:p w:rsidR="00752B88" w:rsidRDefault="00922000" w:rsidP="00E6261D">
      <w:pPr>
        <w:spacing w:before="100" w:beforeAutospacing="1" w:after="100" w:afterAutospacing="1" w:line="360" w:lineRule="auto"/>
        <w:jc w:val="both"/>
        <w:rPr>
          <w:rFonts w:ascii="Palatino Linotype" w:hAnsi="Palatino Linotype" w:cs="Segoe UI"/>
        </w:rPr>
      </w:pPr>
      <w:r w:rsidRPr="00C57CBA">
        <w:rPr>
          <w:rFonts w:ascii="Palatino Linotype" w:hAnsi="Palatino Linotype" w:cs="Segoe UI"/>
        </w:rPr>
        <w:t xml:space="preserve">Es importante mencionar que la parte recurrente se inconformó ante la falta de respuesta del </w:t>
      </w:r>
      <w:r w:rsidRPr="00C57CBA">
        <w:rPr>
          <w:rFonts w:ascii="Palatino Linotype" w:hAnsi="Palatino Linotype" w:cs="Segoe UI"/>
          <w:b/>
        </w:rPr>
        <w:t>Sujeto Obligado</w:t>
      </w:r>
      <w:r w:rsidRPr="00C57CBA">
        <w:rPr>
          <w:rFonts w:ascii="Palatino Linotype" w:hAnsi="Palatino Linotype" w:cs="Segoe UI"/>
        </w:rPr>
        <w:t>, mani</w:t>
      </w:r>
      <w:r w:rsidR="003726C0" w:rsidRPr="00C57CBA">
        <w:rPr>
          <w:rFonts w:ascii="Palatino Linotype" w:hAnsi="Palatino Linotype" w:cs="Segoe UI"/>
        </w:rPr>
        <w:t>festando como acto impugnado</w:t>
      </w:r>
      <w:r w:rsidRPr="00C57CBA">
        <w:rPr>
          <w:rFonts w:ascii="Palatino Linotype" w:hAnsi="Palatino Linotype" w:cs="Segoe UI"/>
        </w:rPr>
        <w:t xml:space="preserve"> la falta de respuesta a la solicitud de información y como motivos de inconformidad </w:t>
      </w:r>
      <w:r w:rsidR="003726C0" w:rsidRPr="00C57CBA">
        <w:rPr>
          <w:rFonts w:ascii="Palatino Linotype" w:hAnsi="Palatino Linotype" w:cs="Segoe UI"/>
        </w:rPr>
        <w:t>lo mismo.</w:t>
      </w:r>
    </w:p>
    <w:p w:rsidR="00B908EB" w:rsidRDefault="00B908EB" w:rsidP="00E6261D">
      <w:pPr>
        <w:spacing w:before="100" w:beforeAutospacing="1" w:after="100" w:afterAutospacing="1" w:line="360" w:lineRule="auto"/>
        <w:jc w:val="both"/>
        <w:rPr>
          <w:rFonts w:ascii="Palatino Linotype" w:hAnsi="Palatino Linotype" w:cs="Segoe UI"/>
        </w:rPr>
      </w:pPr>
      <w:r>
        <w:rPr>
          <w:rFonts w:ascii="Palatino Linotype" w:hAnsi="Palatino Linotype" w:cs="Segoe UI"/>
        </w:rPr>
        <w:t>Una vez precisado lo anterior, es relevante mencionar que derivado del análisis realizado a las constancias que integran el presente recurso de revisión se concluye que las razones o motivos de inconformidad vertidos por la recurrente resultan fundados, en atención a lo siguiente:</w:t>
      </w:r>
    </w:p>
    <w:p w:rsidR="00523FDF" w:rsidRDefault="00E6261D" w:rsidP="00E6261D">
      <w:pPr>
        <w:spacing w:before="100" w:beforeAutospacing="1" w:after="100" w:afterAutospacing="1" w:line="360" w:lineRule="auto"/>
        <w:jc w:val="both"/>
        <w:rPr>
          <w:rFonts w:ascii="Palatino Linotype" w:hAnsi="Palatino Linotype" w:cs="Segoe UI"/>
        </w:rPr>
      </w:pPr>
      <w:r>
        <w:rPr>
          <w:rFonts w:ascii="Palatino Linotype" w:hAnsi="Palatino Linotype" w:cs="Segoe UI"/>
        </w:rPr>
        <w:t>Para iniciar el análisis del presente asunto es oportuno precisar la</w:t>
      </w:r>
      <w:r w:rsidR="00523FDF">
        <w:rPr>
          <w:rFonts w:ascii="Palatino Linotype" w:hAnsi="Palatino Linotype" w:cs="Segoe UI"/>
        </w:rPr>
        <w:t xml:space="preserve"> naturaleza del Sujeto Obligado, y es el artículo 1 del Decreto del Ejecuti</w:t>
      </w:r>
      <w:r w:rsidR="005533E5">
        <w:rPr>
          <w:rFonts w:ascii="Palatino Linotype" w:hAnsi="Palatino Linotype" w:cs="Segoe UI"/>
        </w:rPr>
        <w:t>vo del Estado por el que se creó</w:t>
      </w:r>
      <w:r w:rsidR="00523FDF">
        <w:rPr>
          <w:rFonts w:ascii="Palatino Linotype" w:hAnsi="Palatino Linotype" w:cs="Segoe UI"/>
        </w:rPr>
        <w:t xml:space="preserve"> el Centro</w:t>
      </w:r>
      <w:r w:rsidR="00B25D38">
        <w:rPr>
          <w:rFonts w:ascii="Palatino Linotype" w:hAnsi="Palatino Linotype" w:cs="Segoe UI"/>
        </w:rPr>
        <w:t xml:space="preserve"> Regional de Formación Docente e</w:t>
      </w:r>
      <w:r w:rsidR="00523FDF">
        <w:rPr>
          <w:rFonts w:ascii="Palatino Linotype" w:hAnsi="Palatino Linotype" w:cs="Segoe UI"/>
        </w:rPr>
        <w:t xml:space="preserve"> Investigación Educativa de fecha 24 de octubre de 2012, que establece lo siguiente:</w:t>
      </w:r>
    </w:p>
    <w:p w:rsidR="00523FDF" w:rsidRPr="00523FDF" w:rsidRDefault="00523FDF" w:rsidP="00523FDF">
      <w:pPr>
        <w:spacing w:before="100" w:beforeAutospacing="1" w:after="100" w:afterAutospacing="1"/>
        <w:ind w:left="851" w:right="851"/>
        <w:jc w:val="both"/>
        <w:rPr>
          <w:rFonts w:ascii="Palatino Linotype" w:hAnsi="Palatino Linotype" w:cs="Segoe UI"/>
          <w:i/>
          <w:sz w:val="22"/>
        </w:rPr>
      </w:pPr>
      <w:r w:rsidRPr="00523FDF">
        <w:rPr>
          <w:rFonts w:ascii="Palatino Linotype" w:hAnsi="Palatino Linotype" w:cs="Segoe UI"/>
          <w:i/>
          <w:sz w:val="22"/>
        </w:rPr>
        <w:t>“ARTÍCULO 1.- Se crea el Centro Regional de Formación Docente e Investigación Educativa, como un organismo público descentralizado del Gobierno del Estado de México, con personalidad jurídica, patrimonio propio y autonomía técnica y académica, sectorizado a la Secretaría de Educación.”</w:t>
      </w:r>
    </w:p>
    <w:p w:rsidR="00523FDF" w:rsidRDefault="00523FDF" w:rsidP="00E6261D">
      <w:pPr>
        <w:spacing w:before="100" w:beforeAutospacing="1" w:after="100" w:afterAutospacing="1" w:line="360" w:lineRule="auto"/>
        <w:jc w:val="both"/>
        <w:rPr>
          <w:rFonts w:ascii="Palatino Linotype" w:hAnsi="Palatino Linotype" w:cs="Segoe UI"/>
        </w:rPr>
      </w:pPr>
      <w:r>
        <w:rPr>
          <w:rFonts w:ascii="Palatino Linotype" w:hAnsi="Palatino Linotype" w:cs="Segoe UI"/>
        </w:rPr>
        <w:t>Relacionado con el precepto anterior, el relativo 45 de la Ley Orgánica de la Administración Pública del Estado de México, define de manera puntual, que los organismos públicos descentralizados son considerados organismos auxiliares, se trascribe dicho precepto en seguida:</w:t>
      </w:r>
    </w:p>
    <w:p w:rsidR="00523FDF" w:rsidRPr="00B908EB" w:rsidRDefault="00523FDF" w:rsidP="00B908EB">
      <w:pPr>
        <w:spacing w:before="100" w:beforeAutospacing="1" w:after="100" w:afterAutospacing="1"/>
        <w:ind w:left="851" w:right="851"/>
        <w:jc w:val="both"/>
        <w:rPr>
          <w:rFonts w:ascii="Palatino Linotype" w:hAnsi="Palatino Linotype" w:cs="Segoe UI"/>
          <w:i/>
          <w:sz w:val="22"/>
        </w:rPr>
      </w:pPr>
      <w:r>
        <w:rPr>
          <w:rFonts w:ascii="Palatino Linotype" w:hAnsi="Palatino Linotype" w:cs="Segoe UI"/>
          <w:i/>
          <w:sz w:val="22"/>
        </w:rPr>
        <w:lastRenderedPageBreak/>
        <w:t>“</w:t>
      </w:r>
      <w:r w:rsidRPr="00523FDF">
        <w:rPr>
          <w:rFonts w:ascii="Palatino Linotype" w:hAnsi="Palatino Linotype" w:cs="Segoe UI"/>
          <w:i/>
          <w:sz w:val="22"/>
        </w:rPr>
        <w:t>Artículo 45.- Los organismos descentralizados, las empresas de participación estatal y los fideicomisos públicos serán considerados como organismos auxiliares del Poder Ejecutivo y forman parte de la Administración Pública del Estado.</w:t>
      </w:r>
      <w:r>
        <w:rPr>
          <w:rFonts w:ascii="Palatino Linotype" w:hAnsi="Palatino Linotype" w:cs="Segoe UI"/>
          <w:i/>
          <w:sz w:val="22"/>
        </w:rPr>
        <w:t>”</w:t>
      </w:r>
    </w:p>
    <w:p w:rsidR="00523FDF" w:rsidRDefault="00170E3A" w:rsidP="00E6261D">
      <w:pPr>
        <w:spacing w:before="100" w:beforeAutospacing="1" w:after="100" w:afterAutospacing="1" w:line="360" w:lineRule="auto"/>
        <w:jc w:val="both"/>
        <w:rPr>
          <w:rFonts w:ascii="Palatino Linotype" w:hAnsi="Palatino Linotype" w:cs="Segoe UI"/>
        </w:rPr>
      </w:pPr>
      <w:r>
        <w:rPr>
          <w:rFonts w:ascii="Palatino Linotype" w:hAnsi="Palatino Linotype" w:cs="Segoe UI"/>
        </w:rPr>
        <w:t xml:space="preserve">Ahora, la Ley de Contratación Pública del Estado de México y Municipios, establece en </w:t>
      </w:r>
      <w:r w:rsidR="00FB68A2">
        <w:rPr>
          <w:rFonts w:ascii="Palatino Linotype" w:hAnsi="Palatino Linotype" w:cs="Segoe UI"/>
        </w:rPr>
        <w:t>su artículo 1 que el objeto de é</w:t>
      </w:r>
      <w:r>
        <w:rPr>
          <w:rFonts w:ascii="Palatino Linotype" w:hAnsi="Palatino Linotype" w:cs="Segoe UI"/>
        </w:rPr>
        <w:t>sta será regular la planeación, programación, presupuestación, ejecución y control de la adquisición, enajenación y arrendamiento de bienes y contratación de servicios de cualquier naturaleza</w:t>
      </w:r>
      <w:r w:rsidR="001147D2">
        <w:rPr>
          <w:rFonts w:ascii="Palatino Linotype" w:hAnsi="Palatino Linotype" w:cs="Segoe UI"/>
        </w:rPr>
        <w:t xml:space="preserve"> de entre las dependencias, también de los organismos auxiliares, se trascribe a continuación:</w:t>
      </w:r>
    </w:p>
    <w:p w:rsidR="001147D2" w:rsidRPr="001147D2" w:rsidRDefault="001147D2" w:rsidP="001147D2">
      <w:pPr>
        <w:spacing w:before="100" w:beforeAutospacing="1" w:after="100" w:afterAutospacing="1"/>
        <w:ind w:left="851" w:right="851"/>
        <w:jc w:val="both"/>
        <w:rPr>
          <w:rFonts w:ascii="Palatino Linotype" w:hAnsi="Palatino Linotype" w:cs="Segoe UI"/>
          <w:i/>
          <w:sz w:val="22"/>
        </w:rPr>
      </w:pPr>
      <w:r>
        <w:rPr>
          <w:rFonts w:ascii="Palatino Linotype" w:hAnsi="Palatino Linotype" w:cs="Segoe UI"/>
          <w:i/>
          <w:sz w:val="22"/>
        </w:rPr>
        <w:t>“</w:t>
      </w:r>
      <w:r w:rsidRPr="001147D2">
        <w:rPr>
          <w:rFonts w:ascii="Palatino Linotype" w:hAnsi="Palatino Linotype" w:cs="Segoe UI"/>
          <w:i/>
          <w:sz w:val="22"/>
        </w:rPr>
        <w:t xml:space="preserve">Artículo 1.- Esta Ley tiene por objeto regular los actos relativos a la planeación, programación, presupuestación, ejecución y control de la adquisición, enajenación y arrendamiento de bienes, y la contratación de servicios de cualquier naturaleza, que realicen: </w:t>
      </w:r>
    </w:p>
    <w:p w:rsidR="001147D2" w:rsidRPr="001147D2" w:rsidRDefault="001147D2" w:rsidP="001147D2">
      <w:pPr>
        <w:spacing w:before="100" w:beforeAutospacing="1" w:after="100" w:afterAutospacing="1"/>
        <w:ind w:left="851" w:right="851"/>
        <w:jc w:val="both"/>
        <w:rPr>
          <w:rFonts w:ascii="Palatino Linotype" w:hAnsi="Palatino Linotype" w:cs="Segoe UI"/>
          <w:i/>
          <w:sz w:val="22"/>
        </w:rPr>
      </w:pPr>
      <w:r w:rsidRPr="001147D2">
        <w:rPr>
          <w:rFonts w:ascii="Palatino Linotype" w:hAnsi="Palatino Linotype" w:cs="Segoe UI"/>
          <w:i/>
          <w:sz w:val="22"/>
        </w:rPr>
        <w:t xml:space="preserve">I. Las secretarías y las unidades administrativas del Poder Ejecutivo del Estado. </w:t>
      </w:r>
    </w:p>
    <w:p w:rsidR="001147D2" w:rsidRPr="001147D2" w:rsidRDefault="001147D2" w:rsidP="001147D2">
      <w:pPr>
        <w:spacing w:before="100" w:beforeAutospacing="1" w:after="100" w:afterAutospacing="1"/>
        <w:ind w:left="851" w:right="851"/>
        <w:jc w:val="both"/>
        <w:rPr>
          <w:rFonts w:ascii="Palatino Linotype" w:hAnsi="Palatino Linotype" w:cs="Segoe UI"/>
          <w:i/>
          <w:sz w:val="22"/>
        </w:rPr>
      </w:pPr>
      <w:r w:rsidRPr="001147D2">
        <w:rPr>
          <w:rFonts w:ascii="Palatino Linotype" w:hAnsi="Palatino Linotype" w:cs="Segoe UI"/>
          <w:i/>
          <w:sz w:val="22"/>
        </w:rPr>
        <w:t xml:space="preserve">II. La Procuraduría General de Justicia. </w:t>
      </w:r>
    </w:p>
    <w:p w:rsidR="001147D2" w:rsidRPr="001147D2" w:rsidRDefault="001147D2" w:rsidP="001147D2">
      <w:pPr>
        <w:spacing w:before="100" w:beforeAutospacing="1" w:after="100" w:afterAutospacing="1"/>
        <w:ind w:left="851" w:right="851"/>
        <w:jc w:val="both"/>
        <w:rPr>
          <w:rFonts w:ascii="Palatino Linotype" w:hAnsi="Palatino Linotype" w:cs="Segoe UI"/>
          <w:i/>
          <w:sz w:val="22"/>
        </w:rPr>
      </w:pPr>
      <w:r w:rsidRPr="001147D2">
        <w:rPr>
          <w:rFonts w:ascii="Palatino Linotype" w:hAnsi="Palatino Linotype" w:cs="Segoe UI"/>
          <w:i/>
          <w:sz w:val="22"/>
        </w:rPr>
        <w:t xml:space="preserve">III. Los ayuntamientos de los municipios del Estado. </w:t>
      </w:r>
    </w:p>
    <w:p w:rsidR="001147D2" w:rsidRPr="001147D2" w:rsidRDefault="001147D2" w:rsidP="001147D2">
      <w:pPr>
        <w:spacing w:before="100" w:beforeAutospacing="1" w:after="100" w:afterAutospacing="1"/>
        <w:ind w:left="851" w:right="851"/>
        <w:jc w:val="both"/>
        <w:rPr>
          <w:rFonts w:ascii="Palatino Linotype" w:hAnsi="Palatino Linotype" w:cs="Segoe UI"/>
          <w:i/>
          <w:sz w:val="22"/>
        </w:rPr>
      </w:pPr>
      <w:r w:rsidRPr="001147D2">
        <w:rPr>
          <w:rFonts w:ascii="Palatino Linotype" w:hAnsi="Palatino Linotype" w:cs="Segoe UI"/>
          <w:i/>
          <w:sz w:val="22"/>
        </w:rPr>
        <w:t xml:space="preserve">IV. Los organismos auxiliares y fideicomisos públicos, de carácter estatal o municipal. </w:t>
      </w:r>
    </w:p>
    <w:p w:rsidR="001147D2" w:rsidRPr="001147D2" w:rsidRDefault="001147D2" w:rsidP="001147D2">
      <w:pPr>
        <w:spacing w:before="100" w:beforeAutospacing="1" w:after="100" w:afterAutospacing="1"/>
        <w:ind w:left="851" w:right="851"/>
        <w:jc w:val="both"/>
        <w:rPr>
          <w:rFonts w:ascii="Palatino Linotype" w:hAnsi="Palatino Linotype" w:cs="Segoe UI"/>
          <w:i/>
          <w:sz w:val="22"/>
        </w:rPr>
      </w:pPr>
      <w:r w:rsidRPr="001147D2">
        <w:rPr>
          <w:rFonts w:ascii="Palatino Linotype" w:hAnsi="Palatino Linotype" w:cs="Segoe UI"/>
          <w:i/>
          <w:sz w:val="22"/>
        </w:rPr>
        <w:t>V. Los tribunales administrativos.</w:t>
      </w:r>
      <w:r>
        <w:rPr>
          <w:rFonts w:ascii="Palatino Linotype" w:hAnsi="Palatino Linotype" w:cs="Segoe UI"/>
          <w:i/>
          <w:sz w:val="22"/>
        </w:rPr>
        <w:t xml:space="preserve"> (…)”</w:t>
      </w:r>
    </w:p>
    <w:p w:rsidR="00523FDF" w:rsidRDefault="001147D2" w:rsidP="00E6261D">
      <w:pPr>
        <w:spacing w:before="100" w:beforeAutospacing="1" w:after="100" w:afterAutospacing="1" w:line="360" w:lineRule="auto"/>
        <w:jc w:val="both"/>
        <w:rPr>
          <w:rFonts w:ascii="Palatino Linotype" w:hAnsi="Palatino Linotype" w:cs="Segoe UI"/>
        </w:rPr>
      </w:pPr>
      <w:r>
        <w:rPr>
          <w:rFonts w:ascii="Palatino Linotype" w:hAnsi="Palatino Linotype" w:cs="Segoe UI"/>
        </w:rPr>
        <w:t xml:space="preserve">Correlacionado con lo anterior, dentro de la terminología utilizada en la Ley de Contratación mencionada, a los organismos auxiliares también se les denomina </w:t>
      </w:r>
      <w:r w:rsidR="007E0F14" w:rsidRPr="007E0F14">
        <w:rPr>
          <w:rFonts w:ascii="Palatino Linotype" w:hAnsi="Palatino Linotype" w:cs="Segoe UI"/>
          <w:i/>
        </w:rPr>
        <w:t>“</w:t>
      </w:r>
      <w:r w:rsidRPr="007E0F14">
        <w:rPr>
          <w:rFonts w:ascii="Palatino Linotype" w:hAnsi="Palatino Linotype" w:cs="Segoe UI"/>
          <w:i/>
        </w:rPr>
        <w:t>entidades</w:t>
      </w:r>
      <w:r w:rsidR="007E0F14" w:rsidRPr="007E0F14">
        <w:rPr>
          <w:rFonts w:ascii="Palatino Linotype" w:hAnsi="Palatino Linotype" w:cs="Segoe UI"/>
          <w:i/>
        </w:rPr>
        <w:t>”</w:t>
      </w:r>
      <w:r>
        <w:rPr>
          <w:rFonts w:ascii="Palatino Linotype" w:hAnsi="Palatino Linotype" w:cs="Segoe UI"/>
        </w:rPr>
        <w:t>, lo anterior está contenido en la fracción III del artículo 3 de la Ley de Contratación Pública del Estado de México y Municipios que se trascribe a continuación:</w:t>
      </w:r>
    </w:p>
    <w:p w:rsidR="001147D2" w:rsidRPr="007E0F14" w:rsidRDefault="007E0F14" w:rsidP="007E0F14">
      <w:pPr>
        <w:spacing w:before="100" w:beforeAutospacing="1" w:after="100" w:afterAutospacing="1"/>
        <w:ind w:left="851" w:right="851"/>
        <w:jc w:val="both"/>
        <w:rPr>
          <w:rFonts w:ascii="Palatino Linotype" w:hAnsi="Palatino Linotype" w:cs="Segoe UI"/>
          <w:i/>
          <w:sz w:val="22"/>
        </w:rPr>
      </w:pPr>
      <w:r w:rsidRPr="007E0F14">
        <w:rPr>
          <w:rFonts w:ascii="Palatino Linotype" w:hAnsi="Palatino Linotype" w:cs="Segoe UI"/>
          <w:i/>
          <w:sz w:val="22"/>
        </w:rPr>
        <w:lastRenderedPageBreak/>
        <w:t>“Artículo 3.- Para los efectos de la presente Ley se entenderá por:</w:t>
      </w:r>
    </w:p>
    <w:p w:rsidR="007E0F14" w:rsidRPr="007E0F14" w:rsidRDefault="007E0F14" w:rsidP="007E0F14">
      <w:pPr>
        <w:spacing w:before="100" w:beforeAutospacing="1" w:after="100" w:afterAutospacing="1"/>
        <w:ind w:left="851" w:right="851"/>
        <w:jc w:val="both"/>
        <w:rPr>
          <w:rFonts w:ascii="Palatino Linotype" w:hAnsi="Palatino Linotype" w:cs="Segoe UI"/>
          <w:i/>
          <w:sz w:val="22"/>
        </w:rPr>
      </w:pPr>
      <w:r w:rsidRPr="007E0F14">
        <w:rPr>
          <w:rFonts w:ascii="Palatino Linotype" w:hAnsi="Palatino Linotype" w:cs="Segoe UI"/>
          <w:i/>
          <w:sz w:val="22"/>
        </w:rPr>
        <w:t>(…)</w:t>
      </w:r>
    </w:p>
    <w:p w:rsidR="007E0F14" w:rsidRPr="007E0F14" w:rsidRDefault="007E0F14" w:rsidP="007E0F14">
      <w:pPr>
        <w:spacing w:before="100" w:beforeAutospacing="1" w:after="100" w:afterAutospacing="1"/>
        <w:ind w:left="851" w:right="851"/>
        <w:jc w:val="both"/>
        <w:rPr>
          <w:rFonts w:ascii="Palatino Linotype" w:hAnsi="Palatino Linotype" w:cs="Segoe UI"/>
          <w:i/>
          <w:sz w:val="22"/>
        </w:rPr>
      </w:pPr>
      <w:r w:rsidRPr="007E0F14">
        <w:rPr>
          <w:rFonts w:ascii="Palatino Linotype" w:hAnsi="Palatino Linotype" w:cs="Segoe UI"/>
          <w:i/>
          <w:sz w:val="22"/>
        </w:rPr>
        <w:t>III. Entidades: A los organismos auxiliares y a los fideicomisos públicos, de carácter estatal o municipal. (…)”</w:t>
      </w:r>
    </w:p>
    <w:p w:rsidR="007E0F14" w:rsidRDefault="007E0F14" w:rsidP="00E6261D">
      <w:pPr>
        <w:spacing w:before="100" w:beforeAutospacing="1" w:after="100" w:afterAutospacing="1" w:line="360" w:lineRule="auto"/>
        <w:jc w:val="both"/>
        <w:rPr>
          <w:rFonts w:ascii="Palatino Linotype" w:hAnsi="Palatino Linotype" w:cs="Segoe UI"/>
        </w:rPr>
      </w:pPr>
      <w:r>
        <w:rPr>
          <w:rFonts w:ascii="Palatino Linotype" w:hAnsi="Palatino Linotype" w:cs="Segoe UI"/>
        </w:rPr>
        <w:t>Razones por las cuales se infiere que:</w:t>
      </w:r>
    </w:p>
    <w:p w:rsidR="007E0F14" w:rsidRPr="00266978" w:rsidRDefault="007E0F14" w:rsidP="00266978">
      <w:pPr>
        <w:pStyle w:val="Prrafodelista"/>
        <w:numPr>
          <w:ilvl w:val="0"/>
          <w:numId w:val="4"/>
        </w:numPr>
        <w:spacing w:before="100" w:beforeAutospacing="1" w:after="100" w:afterAutospacing="1" w:line="360" w:lineRule="auto"/>
        <w:jc w:val="both"/>
        <w:rPr>
          <w:rFonts w:ascii="Palatino Linotype" w:hAnsi="Palatino Linotype" w:cs="Segoe UI"/>
        </w:rPr>
      </w:pPr>
      <w:r w:rsidRPr="00266978">
        <w:rPr>
          <w:rFonts w:ascii="Palatino Linotype" w:hAnsi="Palatino Linotype" w:cs="Segoe UI"/>
        </w:rPr>
        <w:t xml:space="preserve">Derivado de la naturaleza del </w:t>
      </w:r>
      <w:r w:rsidRPr="00266978">
        <w:rPr>
          <w:rFonts w:ascii="Palatino Linotype" w:hAnsi="Palatino Linotype" w:cs="Segoe UI"/>
          <w:b/>
        </w:rPr>
        <w:t>Sujeto Obligado</w:t>
      </w:r>
      <w:r w:rsidRPr="00266978">
        <w:rPr>
          <w:rFonts w:ascii="Palatino Linotype" w:hAnsi="Palatino Linotype" w:cs="Segoe UI"/>
        </w:rPr>
        <w:t>, se entiende que es un organismo público descentralizado.</w:t>
      </w:r>
    </w:p>
    <w:p w:rsidR="007E0F14" w:rsidRPr="00266978" w:rsidRDefault="007E0F14" w:rsidP="00266978">
      <w:pPr>
        <w:pStyle w:val="Prrafodelista"/>
        <w:numPr>
          <w:ilvl w:val="0"/>
          <w:numId w:val="4"/>
        </w:numPr>
        <w:spacing w:before="100" w:beforeAutospacing="1" w:after="100" w:afterAutospacing="1" w:line="360" w:lineRule="auto"/>
        <w:jc w:val="both"/>
        <w:rPr>
          <w:rFonts w:ascii="Palatino Linotype" w:hAnsi="Palatino Linotype" w:cs="Segoe UI"/>
        </w:rPr>
      </w:pPr>
      <w:r w:rsidRPr="00266978">
        <w:rPr>
          <w:rFonts w:ascii="Palatino Linotype" w:hAnsi="Palatino Linotype" w:cs="Segoe UI"/>
        </w:rPr>
        <w:t>Por su naturaleza y denominaciones, el Centro Regional, es sujeto de la normatividad aplicable en materia de contratación.</w:t>
      </w:r>
    </w:p>
    <w:p w:rsidR="007E0F14" w:rsidRDefault="007E0F14" w:rsidP="00266978">
      <w:pPr>
        <w:pStyle w:val="Prrafodelista"/>
        <w:numPr>
          <w:ilvl w:val="0"/>
          <w:numId w:val="4"/>
        </w:numPr>
        <w:spacing w:before="100" w:beforeAutospacing="1" w:after="100" w:afterAutospacing="1" w:line="360" w:lineRule="auto"/>
        <w:jc w:val="both"/>
        <w:rPr>
          <w:rFonts w:ascii="Palatino Linotype" w:hAnsi="Palatino Linotype" w:cs="Segoe UI"/>
        </w:rPr>
      </w:pPr>
      <w:r w:rsidRPr="00266978">
        <w:rPr>
          <w:rFonts w:ascii="Palatino Linotype" w:hAnsi="Palatino Linotype" w:cs="Segoe UI"/>
        </w:rPr>
        <w:t>De las deno</w:t>
      </w:r>
      <w:r w:rsidR="00266978" w:rsidRPr="00266978">
        <w:rPr>
          <w:rFonts w:ascii="Palatino Linotype" w:hAnsi="Palatino Linotype" w:cs="Segoe UI"/>
        </w:rPr>
        <w:t xml:space="preserve">minaciones por las cuales se le precisa en la normatividad aplicable, </w:t>
      </w:r>
      <w:r w:rsidR="00266978">
        <w:rPr>
          <w:rFonts w:ascii="Palatino Linotype" w:hAnsi="Palatino Linotype" w:cs="Segoe UI"/>
        </w:rPr>
        <w:t>tiene la atribución de realizar actos jurídicos de los cuales deriven obligaciones en materia administrativa, y que se tienen que documentar.</w:t>
      </w:r>
    </w:p>
    <w:p w:rsidR="00266978" w:rsidRDefault="003672B6" w:rsidP="00266978">
      <w:pPr>
        <w:spacing w:before="100" w:beforeAutospacing="1" w:after="100" w:afterAutospacing="1" w:line="360" w:lineRule="auto"/>
        <w:jc w:val="both"/>
        <w:rPr>
          <w:rFonts w:ascii="Palatino Linotype" w:hAnsi="Palatino Linotype" w:cs="Segoe UI"/>
        </w:rPr>
      </w:pPr>
      <w:r>
        <w:rPr>
          <w:rFonts w:ascii="Palatino Linotype" w:hAnsi="Palatino Linotype" w:cs="Segoe UI"/>
        </w:rPr>
        <w:t>Siguiendo con el análisis del presente asunto</w:t>
      </w:r>
      <w:r w:rsidR="00FB68A2">
        <w:rPr>
          <w:rFonts w:ascii="Palatino Linotype" w:hAnsi="Palatino Linotype" w:cs="Segoe UI"/>
        </w:rPr>
        <w:t>,</w:t>
      </w:r>
      <w:r>
        <w:rPr>
          <w:rFonts w:ascii="Palatino Linotype" w:hAnsi="Palatino Linotype" w:cs="Segoe UI"/>
        </w:rPr>
        <w:t xml:space="preserve"> la citada Ley de Contratación, </w:t>
      </w:r>
      <w:r w:rsidR="00FB68A2">
        <w:rPr>
          <w:rFonts w:ascii="Palatino Linotype" w:hAnsi="Palatino Linotype" w:cs="Segoe UI"/>
        </w:rPr>
        <w:t>en las</w:t>
      </w:r>
      <w:r w:rsidR="00B04969">
        <w:rPr>
          <w:rFonts w:ascii="Palatino Linotype" w:hAnsi="Palatino Linotype" w:cs="Segoe UI"/>
        </w:rPr>
        <w:t xml:space="preserve"> diversas fracciones del artículo 4 precisa qué comprenden las adquisiciones, enajenaciones, arrendamientos y servicios, como a continuación se plasma:</w:t>
      </w:r>
    </w:p>
    <w:p w:rsidR="00B04969" w:rsidRPr="00B25D38" w:rsidRDefault="00B04969" w:rsidP="00B04969">
      <w:pPr>
        <w:spacing w:before="100" w:beforeAutospacing="1" w:after="100" w:afterAutospacing="1"/>
        <w:ind w:left="851" w:right="851"/>
        <w:jc w:val="both"/>
        <w:rPr>
          <w:rFonts w:ascii="Palatino Linotype" w:hAnsi="Palatino Linotype" w:cs="Segoe UI"/>
          <w:i/>
          <w:sz w:val="22"/>
        </w:rPr>
      </w:pPr>
      <w:r w:rsidRPr="00B25D38">
        <w:rPr>
          <w:rFonts w:ascii="Palatino Linotype" w:hAnsi="Palatino Linotype" w:cs="Segoe UI"/>
          <w:i/>
          <w:sz w:val="22"/>
        </w:rPr>
        <w:t xml:space="preserve">“Artículo 4.- Para los efectos de esta Ley, en las adquisiciones, enajenaciones, arrendamientos y servicios, quedan comprendidos: </w:t>
      </w:r>
    </w:p>
    <w:p w:rsidR="00B04969" w:rsidRPr="00B25D38" w:rsidRDefault="00B04969" w:rsidP="00B04969">
      <w:pPr>
        <w:spacing w:before="100" w:beforeAutospacing="1" w:after="100" w:afterAutospacing="1"/>
        <w:ind w:left="851" w:right="851"/>
        <w:jc w:val="both"/>
        <w:rPr>
          <w:rFonts w:ascii="Palatino Linotype" w:hAnsi="Palatino Linotype" w:cs="Segoe UI"/>
          <w:i/>
          <w:sz w:val="22"/>
        </w:rPr>
      </w:pPr>
      <w:r w:rsidRPr="00B25D38">
        <w:rPr>
          <w:rFonts w:ascii="Palatino Linotype" w:hAnsi="Palatino Linotype" w:cs="Segoe UI"/>
          <w:i/>
          <w:sz w:val="22"/>
        </w:rPr>
        <w:t xml:space="preserve">I. La adquisición de bienes muebles. </w:t>
      </w:r>
    </w:p>
    <w:p w:rsidR="00B04969" w:rsidRPr="00B25D38" w:rsidRDefault="00B04969" w:rsidP="00B04969">
      <w:pPr>
        <w:spacing w:before="100" w:beforeAutospacing="1" w:after="100" w:afterAutospacing="1"/>
        <w:ind w:left="851" w:right="851"/>
        <w:jc w:val="both"/>
        <w:rPr>
          <w:rFonts w:ascii="Palatino Linotype" w:hAnsi="Palatino Linotype" w:cs="Segoe UI"/>
          <w:i/>
          <w:sz w:val="22"/>
        </w:rPr>
      </w:pPr>
      <w:r w:rsidRPr="00B25D38">
        <w:rPr>
          <w:rFonts w:ascii="Palatino Linotype" w:hAnsi="Palatino Linotype" w:cs="Segoe UI"/>
          <w:i/>
          <w:sz w:val="22"/>
        </w:rPr>
        <w:t xml:space="preserve">II. La adquisición de bienes inmuebles, a través de compraventa. </w:t>
      </w:r>
    </w:p>
    <w:p w:rsidR="00B04969" w:rsidRPr="00B25D38" w:rsidRDefault="00B04969" w:rsidP="00B04969">
      <w:pPr>
        <w:spacing w:before="100" w:beforeAutospacing="1" w:after="100" w:afterAutospacing="1"/>
        <w:ind w:left="851" w:right="851"/>
        <w:jc w:val="both"/>
        <w:rPr>
          <w:rFonts w:ascii="Palatino Linotype" w:hAnsi="Palatino Linotype" w:cs="Segoe UI"/>
          <w:i/>
          <w:sz w:val="22"/>
        </w:rPr>
      </w:pPr>
      <w:r w:rsidRPr="00B25D38">
        <w:rPr>
          <w:rFonts w:ascii="Palatino Linotype" w:hAnsi="Palatino Linotype" w:cs="Segoe UI"/>
          <w:i/>
          <w:sz w:val="22"/>
        </w:rPr>
        <w:t>III. La enajenación de bienes muebles e inmuebles.</w:t>
      </w:r>
    </w:p>
    <w:p w:rsidR="00B04969" w:rsidRPr="00B25D38" w:rsidRDefault="00B04969" w:rsidP="00B04969">
      <w:pPr>
        <w:spacing w:before="100" w:beforeAutospacing="1" w:after="100" w:afterAutospacing="1"/>
        <w:ind w:left="851" w:right="851"/>
        <w:jc w:val="both"/>
        <w:rPr>
          <w:rFonts w:ascii="Palatino Linotype" w:hAnsi="Palatino Linotype" w:cs="Segoe UI"/>
          <w:i/>
          <w:sz w:val="22"/>
        </w:rPr>
      </w:pPr>
      <w:r w:rsidRPr="00B25D38">
        <w:rPr>
          <w:rFonts w:ascii="Palatino Linotype" w:hAnsi="Palatino Linotype" w:cs="Segoe UI"/>
          <w:i/>
          <w:sz w:val="22"/>
        </w:rPr>
        <w:t xml:space="preserve">IV. El arrendamiento de bienes muebles e inmuebles. </w:t>
      </w:r>
    </w:p>
    <w:p w:rsidR="00B04969" w:rsidRPr="00B25D38" w:rsidRDefault="00B04969" w:rsidP="00B04969">
      <w:pPr>
        <w:spacing w:before="100" w:beforeAutospacing="1" w:after="100" w:afterAutospacing="1"/>
        <w:ind w:left="851" w:right="851"/>
        <w:jc w:val="both"/>
        <w:rPr>
          <w:rFonts w:ascii="Palatino Linotype" w:hAnsi="Palatino Linotype" w:cs="Segoe UI"/>
          <w:i/>
          <w:sz w:val="22"/>
        </w:rPr>
      </w:pPr>
      <w:r w:rsidRPr="00B25D38">
        <w:rPr>
          <w:rFonts w:ascii="Palatino Linotype" w:hAnsi="Palatino Linotype" w:cs="Segoe UI"/>
          <w:i/>
          <w:sz w:val="22"/>
        </w:rPr>
        <w:lastRenderedPageBreak/>
        <w:t xml:space="preserve">V. La contratación de los servicios, relacionados con bienes muebles que se encuentran incorporados o adheridos a bienes inmuebles, cuya instalación o mantenimiento no implique modificación al bien inmueble. </w:t>
      </w:r>
    </w:p>
    <w:p w:rsidR="00B04969" w:rsidRPr="00B25D38" w:rsidRDefault="00B04969" w:rsidP="00B04969">
      <w:pPr>
        <w:spacing w:before="100" w:beforeAutospacing="1" w:after="100" w:afterAutospacing="1"/>
        <w:ind w:left="851" w:right="851"/>
        <w:jc w:val="both"/>
        <w:rPr>
          <w:rFonts w:ascii="Palatino Linotype" w:hAnsi="Palatino Linotype" w:cs="Segoe UI"/>
          <w:i/>
          <w:sz w:val="22"/>
        </w:rPr>
      </w:pPr>
      <w:r w:rsidRPr="00B25D38">
        <w:rPr>
          <w:rFonts w:ascii="Palatino Linotype" w:hAnsi="Palatino Linotype" w:cs="Segoe UI"/>
          <w:i/>
          <w:sz w:val="22"/>
        </w:rPr>
        <w:t xml:space="preserve">VI. La contratación de los servicios de reconstrucción y mantenimiento de bienes muebles. </w:t>
      </w:r>
    </w:p>
    <w:p w:rsidR="00B04969" w:rsidRPr="00B25D38" w:rsidRDefault="00B04969" w:rsidP="00B04969">
      <w:pPr>
        <w:spacing w:before="100" w:beforeAutospacing="1" w:after="100" w:afterAutospacing="1"/>
        <w:ind w:left="851" w:right="851"/>
        <w:jc w:val="both"/>
        <w:rPr>
          <w:rFonts w:ascii="Palatino Linotype" w:hAnsi="Palatino Linotype" w:cs="Segoe UI"/>
          <w:i/>
          <w:sz w:val="22"/>
        </w:rPr>
      </w:pPr>
      <w:r w:rsidRPr="00B25D38">
        <w:rPr>
          <w:rFonts w:ascii="Palatino Linotype" w:hAnsi="Palatino Linotype" w:cs="Segoe UI"/>
          <w:i/>
          <w:sz w:val="22"/>
        </w:rPr>
        <w:t xml:space="preserve">VII. La contratación de los servicios de maquila, seguros y transportación, así como de los de limpieza y vigilancia de bienes inmuebles. </w:t>
      </w:r>
    </w:p>
    <w:p w:rsidR="00B04969" w:rsidRPr="00B25D38" w:rsidRDefault="00B04969" w:rsidP="00B04969">
      <w:pPr>
        <w:spacing w:before="100" w:beforeAutospacing="1" w:after="100" w:afterAutospacing="1"/>
        <w:ind w:left="851" w:right="851"/>
        <w:jc w:val="both"/>
        <w:rPr>
          <w:rFonts w:ascii="Palatino Linotype" w:hAnsi="Palatino Linotype" w:cs="Segoe UI"/>
          <w:i/>
          <w:sz w:val="22"/>
        </w:rPr>
      </w:pPr>
      <w:r w:rsidRPr="00B25D38">
        <w:rPr>
          <w:rFonts w:ascii="Palatino Linotype" w:hAnsi="Palatino Linotype" w:cs="Segoe UI"/>
          <w:i/>
          <w:sz w:val="22"/>
        </w:rPr>
        <w:t xml:space="preserve">VIII. La prestación de servicios profesionales, la contratación de consultorías, asesorías y estudios e investigaciones, excepto la contratación de servicios personales de personas físicas bajo el régimen de honorarios. </w:t>
      </w:r>
    </w:p>
    <w:p w:rsidR="00B04969" w:rsidRPr="00B25D38" w:rsidRDefault="00B04969" w:rsidP="00B04969">
      <w:pPr>
        <w:spacing w:before="100" w:beforeAutospacing="1" w:after="100" w:afterAutospacing="1"/>
        <w:ind w:left="851" w:right="851"/>
        <w:jc w:val="both"/>
        <w:rPr>
          <w:rFonts w:ascii="Palatino Linotype" w:hAnsi="Palatino Linotype" w:cs="Segoe UI"/>
          <w:i/>
          <w:sz w:val="22"/>
        </w:rPr>
      </w:pPr>
      <w:r w:rsidRPr="00B25D38">
        <w:rPr>
          <w:rFonts w:ascii="Palatino Linotype" w:hAnsi="Palatino Linotype" w:cs="Segoe UI"/>
          <w:i/>
          <w:sz w:val="22"/>
        </w:rPr>
        <w:t>En general, otros actos que impliquen la contratación de servicios de cualquier naturaleza. (…)”</w:t>
      </w:r>
    </w:p>
    <w:p w:rsidR="007E0F14" w:rsidRDefault="00B04969" w:rsidP="00E6261D">
      <w:pPr>
        <w:spacing w:before="100" w:beforeAutospacing="1" w:after="100" w:afterAutospacing="1" w:line="360" w:lineRule="auto"/>
        <w:jc w:val="both"/>
        <w:rPr>
          <w:rFonts w:ascii="Palatino Linotype" w:hAnsi="Palatino Linotype" w:cs="Segoe UI"/>
        </w:rPr>
      </w:pPr>
      <w:r>
        <w:rPr>
          <w:rFonts w:ascii="Palatino Linotype" w:hAnsi="Palatino Linotype" w:cs="Segoe UI"/>
        </w:rPr>
        <w:t>En el mismo sentido</w:t>
      </w:r>
      <w:r w:rsidR="000D2D35">
        <w:rPr>
          <w:rFonts w:ascii="Palatino Linotype" w:hAnsi="Palatino Linotype" w:cs="Segoe UI"/>
        </w:rPr>
        <w:t>,</w:t>
      </w:r>
      <w:r>
        <w:rPr>
          <w:rFonts w:ascii="Palatino Linotype" w:hAnsi="Palatino Linotype" w:cs="Segoe UI"/>
        </w:rPr>
        <w:t xml:space="preserve"> el Sujeto Obligado como entidad </w:t>
      </w:r>
      <w:r w:rsidR="000D2D35">
        <w:rPr>
          <w:rFonts w:ascii="Palatino Linotype" w:hAnsi="Palatino Linotype" w:cs="Segoe UI"/>
        </w:rPr>
        <w:t>pública</w:t>
      </w:r>
      <w:r>
        <w:rPr>
          <w:rFonts w:ascii="Palatino Linotype" w:hAnsi="Palatino Linotype" w:cs="Segoe UI"/>
        </w:rPr>
        <w:t xml:space="preserve">, </w:t>
      </w:r>
      <w:r w:rsidR="000D2D35">
        <w:rPr>
          <w:rFonts w:ascii="Palatino Linotype" w:hAnsi="Palatino Linotype" w:cs="Segoe UI"/>
        </w:rPr>
        <w:t>tiene la facultad de dar trámite a los procedimientos de adquisición de bienes, contratación de servicios, arrendamientos y enajenaciones de bienes muebles e inmuebles, lo anterior está contenido en el párrafo segundo del artículo 5 de la Ley de Contratación Pública del Estado de México y Municipios, que reza de la siguiente manera:</w:t>
      </w:r>
    </w:p>
    <w:p w:rsidR="000D2D35" w:rsidRPr="000D2D35" w:rsidRDefault="000D2D35" w:rsidP="000D2D35">
      <w:pPr>
        <w:spacing w:before="100" w:beforeAutospacing="1" w:after="100" w:afterAutospacing="1"/>
        <w:ind w:left="851" w:right="851"/>
        <w:jc w:val="both"/>
        <w:rPr>
          <w:rFonts w:ascii="Palatino Linotype" w:hAnsi="Palatino Linotype" w:cs="Segoe UI"/>
          <w:i/>
          <w:sz w:val="22"/>
        </w:rPr>
      </w:pPr>
      <w:r w:rsidRPr="000D2D35">
        <w:rPr>
          <w:rFonts w:ascii="Palatino Linotype" w:hAnsi="Palatino Linotype" w:cs="Segoe UI"/>
          <w:i/>
          <w:sz w:val="22"/>
        </w:rPr>
        <w:t xml:space="preserve">“Artículo 5.- La Secretaría llevará a cabo los procedimientos de adquisición de bienes o servicios que requieran las dependencias, conforme a sus respectivos programas de adquisiciones. </w:t>
      </w:r>
    </w:p>
    <w:p w:rsidR="000D2D35" w:rsidRPr="000D2D35" w:rsidRDefault="000D2D35" w:rsidP="000D2D35">
      <w:pPr>
        <w:spacing w:before="100" w:beforeAutospacing="1" w:after="100" w:afterAutospacing="1"/>
        <w:ind w:left="851" w:right="851"/>
        <w:jc w:val="both"/>
        <w:rPr>
          <w:rFonts w:ascii="Palatino Linotype" w:hAnsi="Palatino Linotype" w:cs="Segoe UI"/>
          <w:b/>
          <w:i/>
          <w:sz w:val="22"/>
          <w:u w:val="single"/>
        </w:rPr>
      </w:pPr>
      <w:r w:rsidRPr="000D2D35">
        <w:rPr>
          <w:rFonts w:ascii="Palatino Linotype" w:hAnsi="Palatino Linotype" w:cs="Segoe UI"/>
          <w:b/>
          <w:i/>
          <w:sz w:val="22"/>
          <w:u w:val="single"/>
        </w:rPr>
        <w:t xml:space="preserve">Las entidades, tribunales administrativos y ayuntamientos, en el ámbito de su respectiva competencia, tendrán a su cargo el trámite de los procedimientos de adquisición de bienes, contratación de servicios, arrendamientos y enajenaciones de bienes muebles e inmuebles. </w:t>
      </w:r>
    </w:p>
    <w:p w:rsidR="000D2D35" w:rsidRDefault="000D2D35" w:rsidP="000D2D35">
      <w:pPr>
        <w:spacing w:before="100" w:beforeAutospacing="1" w:after="100" w:afterAutospacing="1"/>
        <w:ind w:left="851" w:right="851"/>
        <w:jc w:val="both"/>
        <w:rPr>
          <w:rFonts w:ascii="Palatino Linotype" w:hAnsi="Palatino Linotype" w:cs="Segoe UI"/>
          <w:i/>
          <w:sz w:val="22"/>
        </w:rPr>
      </w:pPr>
      <w:r w:rsidRPr="000D2D35">
        <w:rPr>
          <w:rFonts w:ascii="Palatino Linotype" w:hAnsi="Palatino Linotype" w:cs="Segoe UI"/>
          <w:i/>
          <w:sz w:val="22"/>
        </w:rPr>
        <w:t xml:space="preserve">En el ámbito de la administración pública estatal central, corresponde a la Secretaría el trámite de los procedimientos de contratos, relativos a arrendamientos, adquisiciones de inmuebles y enajenaciones de bienes muebles e </w:t>
      </w:r>
      <w:r w:rsidRPr="000D2D35">
        <w:rPr>
          <w:rFonts w:ascii="Palatino Linotype" w:hAnsi="Palatino Linotype" w:cs="Segoe UI"/>
          <w:i/>
          <w:sz w:val="22"/>
        </w:rPr>
        <w:lastRenderedPageBreak/>
        <w:t>inmuebles, observando al respecto las medidas de austeridad señaladas en el Presupuesto de Egresos.”</w:t>
      </w:r>
    </w:p>
    <w:p w:rsidR="000D2D35" w:rsidRPr="000D2D35" w:rsidRDefault="000D2D35" w:rsidP="000D2D35">
      <w:pPr>
        <w:spacing w:before="100" w:beforeAutospacing="1" w:after="100" w:afterAutospacing="1"/>
        <w:ind w:left="851" w:right="851"/>
        <w:jc w:val="both"/>
        <w:rPr>
          <w:rFonts w:ascii="Palatino Linotype" w:hAnsi="Palatino Linotype" w:cs="Segoe UI"/>
          <w:b/>
          <w:sz w:val="22"/>
        </w:rPr>
      </w:pPr>
      <w:r w:rsidRPr="000D2D35">
        <w:rPr>
          <w:rFonts w:ascii="Palatino Linotype" w:hAnsi="Palatino Linotype" w:cs="Segoe UI"/>
          <w:b/>
          <w:sz w:val="22"/>
        </w:rPr>
        <w:t>(Énfasis añadido)</w:t>
      </w:r>
    </w:p>
    <w:p w:rsidR="00B25D38" w:rsidRDefault="00B25D38" w:rsidP="00E6261D">
      <w:pPr>
        <w:spacing w:before="100" w:beforeAutospacing="1" w:after="100" w:afterAutospacing="1" w:line="360" w:lineRule="auto"/>
        <w:jc w:val="both"/>
        <w:rPr>
          <w:rFonts w:ascii="Palatino Linotype" w:hAnsi="Palatino Linotype" w:cs="Segoe UI"/>
        </w:rPr>
      </w:pPr>
      <w:r>
        <w:rPr>
          <w:rFonts w:ascii="Palatino Linotype" w:hAnsi="Palatino Linotype" w:cs="Segoe UI"/>
        </w:rPr>
        <w:t>En adición a lo anterior, dentro de las Unidades Administrativas que pertenecen al Sujeto Obligado, se encuentra la Secretaria Administrativa, la cual se encarga de entre varias atribuciones, de autorizar y supervisar las adquisiciones de bienes muebles y la contratación de servicios, participar en el Comité de Adquisiciones, coordinar la adquisición de bienes y contratación de obras y servicios, evaluar y autorizar los pedidos y contratos entre otras, así está establecido en las fracciones IV, V, VI y VII, del artículo 15, del Reglamento Interior del Centro Regional d</w:t>
      </w:r>
      <w:r w:rsidRPr="00B25D38">
        <w:rPr>
          <w:rFonts w:ascii="Palatino Linotype" w:hAnsi="Palatino Linotype" w:cs="Segoe UI"/>
        </w:rPr>
        <w:t>e Formación Docen</w:t>
      </w:r>
      <w:r>
        <w:rPr>
          <w:rFonts w:ascii="Palatino Linotype" w:hAnsi="Palatino Linotype" w:cs="Segoe UI"/>
        </w:rPr>
        <w:t>te e</w:t>
      </w:r>
      <w:r w:rsidRPr="00B25D38">
        <w:rPr>
          <w:rFonts w:ascii="Palatino Linotype" w:hAnsi="Palatino Linotype" w:cs="Segoe UI"/>
        </w:rPr>
        <w:t xml:space="preserve"> Investigación Educativa</w:t>
      </w:r>
      <w:r>
        <w:rPr>
          <w:rFonts w:ascii="Palatino Linotype" w:hAnsi="Palatino Linotype" w:cs="Segoe UI"/>
        </w:rPr>
        <w:t>, que se plasman a continuación:</w:t>
      </w:r>
    </w:p>
    <w:p w:rsidR="00B25D38" w:rsidRPr="00752B88" w:rsidRDefault="00752B88" w:rsidP="00752B88">
      <w:pPr>
        <w:spacing w:before="100" w:beforeAutospacing="1" w:after="100" w:afterAutospacing="1"/>
        <w:ind w:left="851" w:right="851"/>
        <w:jc w:val="both"/>
        <w:rPr>
          <w:rFonts w:ascii="Palatino Linotype" w:hAnsi="Palatino Linotype" w:cs="Segoe UI"/>
          <w:i/>
          <w:sz w:val="22"/>
        </w:rPr>
      </w:pPr>
      <w:r>
        <w:rPr>
          <w:rFonts w:ascii="Palatino Linotype" w:hAnsi="Palatino Linotype" w:cs="Segoe UI"/>
          <w:i/>
          <w:sz w:val="22"/>
        </w:rPr>
        <w:t>“</w:t>
      </w:r>
      <w:r w:rsidR="00B25D38" w:rsidRPr="00752B88">
        <w:rPr>
          <w:rFonts w:ascii="Palatino Linotype" w:hAnsi="Palatino Linotype" w:cs="Segoe UI"/>
          <w:i/>
          <w:sz w:val="22"/>
        </w:rPr>
        <w:t>Artículo 15.- Corresponde a la Secretaría Administrativa, el ejercicio de las atribuciones siguientes:</w:t>
      </w:r>
    </w:p>
    <w:p w:rsidR="00B25D38" w:rsidRPr="00752B88" w:rsidRDefault="00B25D38" w:rsidP="00752B88">
      <w:pPr>
        <w:spacing w:before="100" w:beforeAutospacing="1" w:after="100" w:afterAutospacing="1"/>
        <w:ind w:left="851" w:right="851"/>
        <w:jc w:val="both"/>
        <w:rPr>
          <w:rFonts w:ascii="Palatino Linotype" w:hAnsi="Palatino Linotype" w:cs="Segoe UI"/>
          <w:i/>
          <w:sz w:val="22"/>
        </w:rPr>
      </w:pPr>
      <w:r w:rsidRPr="00752B88">
        <w:rPr>
          <w:rFonts w:ascii="Palatino Linotype" w:hAnsi="Palatino Linotype" w:cs="Segoe UI"/>
          <w:i/>
          <w:sz w:val="22"/>
        </w:rPr>
        <w:t>(…)</w:t>
      </w:r>
    </w:p>
    <w:p w:rsidR="00752B88" w:rsidRPr="00752B88" w:rsidRDefault="00752B88" w:rsidP="00752B88">
      <w:pPr>
        <w:spacing w:before="100" w:beforeAutospacing="1" w:after="100" w:afterAutospacing="1"/>
        <w:ind w:left="851" w:right="851"/>
        <w:jc w:val="both"/>
        <w:rPr>
          <w:rFonts w:ascii="Palatino Linotype" w:hAnsi="Palatino Linotype" w:cs="Segoe UI"/>
          <w:i/>
          <w:sz w:val="22"/>
        </w:rPr>
      </w:pPr>
      <w:r w:rsidRPr="00752B88">
        <w:rPr>
          <w:rFonts w:ascii="Palatino Linotype" w:hAnsi="Palatino Linotype" w:cs="Segoe UI"/>
          <w:i/>
          <w:sz w:val="22"/>
        </w:rPr>
        <w:t xml:space="preserve">V. Participar en los Comités de Adquisiciones y de Servicios; Arrendamientos, Adquisiciones de Inmuebles y Enajenaciones; y de Obra Pública del Centro Regional, de conformidad con la normatividad aplicable; </w:t>
      </w:r>
    </w:p>
    <w:p w:rsidR="00752B88" w:rsidRPr="00752B88" w:rsidRDefault="00752B88" w:rsidP="00752B88">
      <w:pPr>
        <w:spacing w:before="100" w:beforeAutospacing="1" w:after="100" w:afterAutospacing="1"/>
        <w:ind w:left="851" w:right="851"/>
        <w:jc w:val="both"/>
        <w:rPr>
          <w:rFonts w:ascii="Palatino Linotype" w:hAnsi="Palatino Linotype" w:cs="Segoe UI"/>
          <w:i/>
          <w:sz w:val="22"/>
        </w:rPr>
      </w:pPr>
      <w:r w:rsidRPr="00752B88">
        <w:rPr>
          <w:rFonts w:ascii="Palatino Linotype" w:hAnsi="Palatino Linotype" w:cs="Segoe UI"/>
          <w:i/>
          <w:sz w:val="22"/>
        </w:rPr>
        <w:t xml:space="preserve">VI. Coordinar la adquisición de bienes y contratación de obras o servicios, en atención a la normatividad, cuando ésta se efectúa con cargo a fondos provenientes de acuerdos o convenios; </w:t>
      </w:r>
    </w:p>
    <w:p w:rsidR="00B25D38" w:rsidRPr="00752B88" w:rsidRDefault="00752B88" w:rsidP="00752B88">
      <w:pPr>
        <w:spacing w:before="100" w:beforeAutospacing="1" w:after="100" w:afterAutospacing="1"/>
        <w:ind w:left="851" w:right="851"/>
        <w:jc w:val="both"/>
        <w:rPr>
          <w:rFonts w:ascii="Palatino Linotype" w:hAnsi="Palatino Linotype" w:cs="Segoe UI"/>
          <w:i/>
          <w:sz w:val="22"/>
        </w:rPr>
      </w:pPr>
      <w:r w:rsidRPr="00752B88">
        <w:rPr>
          <w:rFonts w:ascii="Palatino Linotype" w:hAnsi="Palatino Linotype" w:cs="Segoe UI"/>
          <w:i/>
          <w:sz w:val="22"/>
        </w:rPr>
        <w:t>VII. Evaluar y autorizar la suscripción de los pedidos o contratos establecidos con las y los proveedores o contratistas, así como verificar la entrega de los bienes, servicios y obras en las condiciones pactadas; (…)”</w:t>
      </w:r>
    </w:p>
    <w:p w:rsidR="007E0F14" w:rsidRDefault="000D2D35" w:rsidP="00E6261D">
      <w:pPr>
        <w:spacing w:before="100" w:beforeAutospacing="1" w:after="100" w:afterAutospacing="1" w:line="360" w:lineRule="auto"/>
        <w:jc w:val="both"/>
        <w:rPr>
          <w:rFonts w:ascii="Palatino Linotype" w:hAnsi="Palatino Linotype" w:cs="Segoe UI"/>
        </w:rPr>
      </w:pPr>
      <w:r>
        <w:rPr>
          <w:rFonts w:ascii="Palatino Linotype" w:hAnsi="Palatino Linotype" w:cs="Segoe UI"/>
        </w:rPr>
        <w:lastRenderedPageBreak/>
        <w:t xml:space="preserve">Por otro lado, se tiene que las adquisiciones, arrendamientos y servicios se adjudicaran a través las modalidades de </w:t>
      </w:r>
      <w:r w:rsidR="00FB68A2">
        <w:rPr>
          <w:rFonts w:ascii="Palatino Linotype" w:hAnsi="Palatino Linotype" w:cs="Segoe UI"/>
        </w:rPr>
        <w:t xml:space="preserve">licitación pública, </w:t>
      </w:r>
      <w:r>
        <w:rPr>
          <w:rFonts w:ascii="Palatino Linotype" w:hAnsi="Palatino Linotype" w:cs="Segoe UI"/>
        </w:rPr>
        <w:t>invitación restringida o adjudicación directa</w:t>
      </w:r>
      <w:r w:rsidR="00BA5E4E">
        <w:rPr>
          <w:rFonts w:ascii="Palatino Linotype" w:hAnsi="Palatino Linotype" w:cs="Segoe UI"/>
        </w:rPr>
        <w:t xml:space="preserve"> y cada uno de estos procedimientos tiene formalidades y procedimientos específicos que el Sujeto Obligado debe documentar y tiene la obligación de transparentar, lo dicho queda establecido en los artículos 26 y 27 de la multicitada Ley de Contratación que se transcribe a continuación:</w:t>
      </w:r>
    </w:p>
    <w:p w:rsidR="00BA5E4E" w:rsidRPr="00BA5E4E" w:rsidRDefault="00BA5E4E" w:rsidP="00BA5E4E">
      <w:pPr>
        <w:spacing w:before="100" w:beforeAutospacing="1" w:after="100" w:afterAutospacing="1"/>
        <w:ind w:left="851" w:right="851"/>
        <w:jc w:val="both"/>
        <w:rPr>
          <w:rFonts w:ascii="Palatino Linotype" w:hAnsi="Palatino Linotype" w:cs="Segoe UI"/>
          <w:i/>
          <w:sz w:val="22"/>
        </w:rPr>
      </w:pPr>
      <w:r>
        <w:rPr>
          <w:rFonts w:ascii="Palatino Linotype" w:hAnsi="Palatino Linotype" w:cs="Segoe UI"/>
          <w:i/>
          <w:sz w:val="22"/>
        </w:rPr>
        <w:t>“</w:t>
      </w:r>
      <w:r w:rsidRPr="00BA5E4E">
        <w:rPr>
          <w:rFonts w:ascii="Palatino Linotype" w:hAnsi="Palatino Linotype" w:cs="Segoe UI"/>
          <w:i/>
          <w:sz w:val="22"/>
        </w:rPr>
        <w:t>Artículo 26.- Las adquisiciones, arrendamientos y servicios se adjudicarán a través de licitaciones públicas,</w:t>
      </w:r>
      <w:r>
        <w:rPr>
          <w:rFonts w:ascii="Palatino Linotype" w:hAnsi="Palatino Linotype" w:cs="Segoe UI"/>
          <w:i/>
          <w:sz w:val="22"/>
        </w:rPr>
        <w:t xml:space="preserve"> mediante convocatoria pública.”</w:t>
      </w:r>
    </w:p>
    <w:p w:rsidR="00BA5E4E" w:rsidRPr="00BA5E4E" w:rsidRDefault="00BA5E4E" w:rsidP="00BA5E4E">
      <w:pPr>
        <w:spacing w:before="100" w:beforeAutospacing="1" w:after="100" w:afterAutospacing="1"/>
        <w:ind w:left="851" w:right="851"/>
        <w:jc w:val="both"/>
        <w:rPr>
          <w:rFonts w:ascii="Palatino Linotype" w:hAnsi="Palatino Linotype" w:cs="Segoe UI"/>
          <w:i/>
          <w:sz w:val="22"/>
        </w:rPr>
      </w:pPr>
      <w:r>
        <w:rPr>
          <w:rFonts w:ascii="Palatino Linotype" w:hAnsi="Palatino Linotype" w:cs="Segoe UI"/>
          <w:i/>
          <w:sz w:val="22"/>
        </w:rPr>
        <w:t>“</w:t>
      </w:r>
      <w:r w:rsidRPr="00BA5E4E">
        <w:rPr>
          <w:rFonts w:ascii="Palatino Linotype" w:hAnsi="Palatino Linotype" w:cs="Segoe UI"/>
          <w:i/>
          <w:sz w:val="22"/>
        </w:rPr>
        <w:t xml:space="preserve">Artículo 27.- La Secretaría, las entidades, los tribunales administrativos y los ayuntamientos podrán adjudicar adquisiciones, arrendamientos y servicios, mediante las excepciones al procedimiento de licitación que a continuación se señalan: </w:t>
      </w:r>
    </w:p>
    <w:p w:rsidR="00BA5E4E" w:rsidRPr="00BA5E4E" w:rsidRDefault="00BA5E4E" w:rsidP="00BA5E4E">
      <w:pPr>
        <w:spacing w:before="100" w:beforeAutospacing="1" w:after="100" w:afterAutospacing="1"/>
        <w:ind w:left="851" w:right="851"/>
        <w:jc w:val="both"/>
        <w:rPr>
          <w:rFonts w:ascii="Palatino Linotype" w:hAnsi="Palatino Linotype" w:cs="Segoe UI"/>
          <w:i/>
          <w:sz w:val="22"/>
        </w:rPr>
      </w:pPr>
      <w:r w:rsidRPr="00BA5E4E">
        <w:rPr>
          <w:rFonts w:ascii="Palatino Linotype" w:hAnsi="Palatino Linotype" w:cs="Segoe UI"/>
          <w:i/>
          <w:sz w:val="22"/>
        </w:rPr>
        <w:t xml:space="preserve">I. Invitación restringida. </w:t>
      </w:r>
    </w:p>
    <w:p w:rsidR="00BA5E4E" w:rsidRPr="00BA5E4E" w:rsidRDefault="00BA5E4E" w:rsidP="00BA5E4E">
      <w:pPr>
        <w:spacing w:before="100" w:beforeAutospacing="1" w:after="100" w:afterAutospacing="1"/>
        <w:ind w:left="851" w:right="851"/>
        <w:jc w:val="both"/>
        <w:rPr>
          <w:rFonts w:ascii="Palatino Linotype" w:hAnsi="Palatino Linotype" w:cs="Segoe UI"/>
          <w:i/>
          <w:sz w:val="22"/>
        </w:rPr>
      </w:pPr>
      <w:r w:rsidRPr="00BA5E4E">
        <w:rPr>
          <w:rFonts w:ascii="Palatino Linotype" w:hAnsi="Palatino Linotype" w:cs="Segoe UI"/>
          <w:i/>
          <w:sz w:val="22"/>
        </w:rPr>
        <w:t>II. Adjudicación directa</w:t>
      </w:r>
      <w:r>
        <w:rPr>
          <w:rFonts w:ascii="Palatino Linotype" w:hAnsi="Palatino Linotype" w:cs="Segoe UI"/>
          <w:i/>
          <w:sz w:val="22"/>
        </w:rPr>
        <w:t>”</w:t>
      </w:r>
    </w:p>
    <w:p w:rsidR="00FB68A2" w:rsidRDefault="00FB68A2" w:rsidP="00901206">
      <w:pPr>
        <w:spacing w:before="100" w:beforeAutospacing="1" w:after="100" w:afterAutospacing="1" w:line="360" w:lineRule="auto"/>
        <w:jc w:val="both"/>
        <w:rPr>
          <w:rFonts w:ascii="Palatino Linotype" w:eastAsia="Times New Roman" w:hAnsi="Palatino Linotype" w:cs="Arial"/>
          <w:szCs w:val="22"/>
          <w:lang w:val="es-MX" w:eastAsia="en-US"/>
        </w:rPr>
      </w:pPr>
      <w:r>
        <w:rPr>
          <w:rFonts w:ascii="Palatino Linotype" w:eastAsia="Times New Roman" w:hAnsi="Palatino Linotype" w:cs="Arial"/>
          <w:szCs w:val="22"/>
          <w:lang w:val="es-MX" w:eastAsia="en-US"/>
        </w:rPr>
        <w:t xml:space="preserve">Ahora, para el caso de que el contrato haya derivado de una licitación pública, </w:t>
      </w:r>
      <w:r w:rsidR="00AF3282">
        <w:rPr>
          <w:rFonts w:ascii="Palatino Linotype" w:eastAsia="Times New Roman" w:hAnsi="Palatino Linotype" w:cs="Arial"/>
          <w:szCs w:val="22"/>
          <w:lang w:val="es-MX" w:eastAsia="en-US"/>
        </w:rPr>
        <w:t>se deberá precisar el procedimiento que a su vez es una obligación de trasparencia que regula la Ley de la materia, así también como los convenios modificatorios si éstos fueron realizados, es importante traer a colación los artículos 29, 30 y 32 de la Ley de Contratación Pública del Estado de México y Municipios y el numeral 11) del inciso a), de la fracción XXIX del artículo 92 de la Ley de la materia y a continuación se plasman:</w:t>
      </w:r>
    </w:p>
    <w:p w:rsidR="00AF3282" w:rsidRPr="00AF3282" w:rsidRDefault="00AF3282" w:rsidP="00AF3282">
      <w:pPr>
        <w:spacing w:before="100" w:beforeAutospacing="1" w:after="100" w:afterAutospacing="1"/>
        <w:ind w:left="851" w:right="851"/>
        <w:jc w:val="both"/>
        <w:rPr>
          <w:rFonts w:ascii="Palatino Linotype" w:eastAsia="Times New Roman" w:hAnsi="Palatino Linotype" w:cs="Arial"/>
          <w:i/>
          <w:sz w:val="22"/>
          <w:szCs w:val="22"/>
          <w:lang w:eastAsia="en-US"/>
        </w:rPr>
      </w:pPr>
      <w:r>
        <w:rPr>
          <w:rFonts w:ascii="Palatino Linotype" w:eastAsia="Times New Roman" w:hAnsi="Palatino Linotype" w:cs="Arial"/>
          <w:i/>
          <w:sz w:val="22"/>
          <w:szCs w:val="22"/>
          <w:lang w:eastAsia="en-US"/>
        </w:rPr>
        <w:t>“</w:t>
      </w:r>
      <w:r w:rsidRPr="00AF3282">
        <w:rPr>
          <w:rFonts w:ascii="Palatino Linotype" w:eastAsia="Times New Roman" w:hAnsi="Palatino Linotype" w:cs="Arial"/>
          <w:i/>
          <w:sz w:val="22"/>
          <w:szCs w:val="22"/>
          <w:lang w:eastAsia="en-US"/>
        </w:rPr>
        <w:t xml:space="preserve">Artículo 29.- En el procedimiento de licitación pública deberán establecerse los mismos requisitos y condiciones para todos los licitantes. </w:t>
      </w:r>
    </w:p>
    <w:p w:rsidR="00AF3282" w:rsidRPr="00AF3282" w:rsidRDefault="00AF3282" w:rsidP="00AF3282">
      <w:pPr>
        <w:spacing w:before="100" w:beforeAutospacing="1" w:after="100" w:afterAutospacing="1"/>
        <w:ind w:left="851" w:right="851"/>
        <w:jc w:val="both"/>
        <w:rPr>
          <w:rFonts w:ascii="Palatino Linotype" w:eastAsia="Times New Roman" w:hAnsi="Palatino Linotype" w:cs="Arial"/>
          <w:i/>
          <w:sz w:val="22"/>
          <w:szCs w:val="22"/>
          <w:lang w:eastAsia="en-US"/>
        </w:rPr>
      </w:pPr>
      <w:r w:rsidRPr="00AF3282">
        <w:rPr>
          <w:rFonts w:ascii="Palatino Linotype" w:eastAsia="Times New Roman" w:hAnsi="Palatino Linotype" w:cs="Arial"/>
          <w:i/>
          <w:sz w:val="22"/>
          <w:szCs w:val="22"/>
          <w:lang w:eastAsia="en-US"/>
        </w:rPr>
        <w:lastRenderedPageBreak/>
        <w:t xml:space="preserve">Todo licitante que satisfaga los requisitos de la convocatoria y de las bases de la licitación tendrá derecho a presentar su propuesta. Las entidades, los tribunales administrativos y los ayuntamientos proporcionarán a los interesados igual acceso a la información relacionada con la licitación, a fin de evitar </w:t>
      </w:r>
      <w:r>
        <w:rPr>
          <w:rFonts w:ascii="Palatino Linotype" w:eastAsia="Times New Roman" w:hAnsi="Palatino Linotype" w:cs="Arial"/>
          <w:i/>
          <w:sz w:val="22"/>
          <w:szCs w:val="22"/>
          <w:lang w:eastAsia="en-US"/>
        </w:rPr>
        <w:t>favorecer a algún participante.”</w:t>
      </w:r>
    </w:p>
    <w:p w:rsidR="00AF3282" w:rsidRPr="00AF3282" w:rsidRDefault="00AF3282" w:rsidP="00AF3282">
      <w:pPr>
        <w:spacing w:before="100" w:beforeAutospacing="1" w:after="100" w:afterAutospacing="1"/>
        <w:ind w:left="851" w:right="851"/>
        <w:jc w:val="both"/>
        <w:rPr>
          <w:rFonts w:ascii="Palatino Linotype" w:eastAsia="Times New Roman" w:hAnsi="Palatino Linotype" w:cs="Arial"/>
          <w:i/>
          <w:sz w:val="22"/>
          <w:szCs w:val="22"/>
          <w:lang w:eastAsia="en-US"/>
        </w:rPr>
      </w:pPr>
      <w:r>
        <w:rPr>
          <w:rFonts w:ascii="Palatino Linotype" w:eastAsia="Times New Roman" w:hAnsi="Palatino Linotype" w:cs="Arial"/>
          <w:i/>
          <w:sz w:val="22"/>
          <w:szCs w:val="22"/>
          <w:lang w:eastAsia="en-US"/>
        </w:rPr>
        <w:t>“</w:t>
      </w:r>
      <w:r w:rsidRPr="00AF3282">
        <w:rPr>
          <w:rFonts w:ascii="Palatino Linotype" w:eastAsia="Times New Roman" w:hAnsi="Palatino Linotype" w:cs="Arial"/>
          <w:i/>
          <w:sz w:val="22"/>
          <w:szCs w:val="22"/>
          <w:lang w:eastAsia="en-US"/>
        </w:rPr>
        <w:t xml:space="preserve">Artículo 30.- Las licitaciones públicas podrán ser: </w:t>
      </w:r>
    </w:p>
    <w:p w:rsidR="00AF3282" w:rsidRPr="00AF3282" w:rsidRDefault="00AF3282" w:rsidP="00AF3282">
      <w:pPr>
        <w:spacing w:before="100" w:beforeAutospacing="1" w:after="100" w:afterAutospacing="1"/>
        <w:ind w:left="851" w:right="851"/>
        <w:jc w:val="both"/>
        <w:rPr>
          <w:rFonts w:ascii="Palatino Linotype" w:eastAsia="Times New Roman" w:hAnsi="Palatino Linotype" w:cs="Arial"/>
          <w:i/>
          <w:sz w:val="22"/>
          <w:szCs w:val="22"/>
          <w:lang w:eastAsia="en-US"/>
        </w:rPr>
      </w:pPr>
      <w:r w:rsidRPr="00AF3282">
        <w:rPr>
          <w:rFonts w:ascii="Palatino Linotype" w:eastAsia="Times New Roman" w:hAnsi="Palatino Linotype" w:cs="Arial"/>
          <w:i/>
          <w:sz w:val="22"/>
          <w:szCs w:val="22"/>
          <w:lang w:eastAsia="en-US"/>
        </w:rPr>
        <w:t xml:space="preserve">I. Nacionales, cuando únicamente puedan participar personas de nacionalidad mexicana. </w:t>
      </w:r>
    </w:p>
    <w:p w:rsidR="00AF3282" w:rsidRPr="00AF3282" w:rsidRDefault="00AF3282" w:rsidP="00AF3282">
      <w:pPr>
        <w:spacing w:before="100" w:beforeAutospacing="1" w:after="100" w:afterAutospacing="1"/>
        <w:ind w:left="851" w:right="851"/>
        <w:jc w:val="both"/>
        <w:rPr>
          <w:rFonts w:ascii="Palatino Linotype" w:eastAsia="Times New Roman" w:hAnsi="Palatino Linotype" w:cs="Arial"/>
          <w:i/>
          <w:sz w:val="22"/>
          <w:szCs w:val="22"/>
          <w:lang w:eastAsia="en-US"/>
        </w:rPr>
      </w:pPr>
      <w:r w:rsidRPr="00AF3282">
        <w:rPr>
          <w:rFonts w:ascii="Palatino Linotype" w:eastAsia="Times New Roman" w:hAnsi="Palatino Linotype" w:cs="Arial"/>
          <w:i/>
          <w:sz w:val="22"/>
          <w:szCs w:val="22"/>
          <w:lang w:eastAsia="en-US"/>
        </w:rPr>
        <w:t xml:space="preserve">II. Internacionales, cuando puedan participar tanto personas de nacionalidad mexicana como extranjera. </w:t>
      </w:r>
      <w:r>
        <w:rPr>
          <w:rFonts w:ascii="Palatino Linotype" w:eastAsia="Times New Roman" w:hAnsi="Palatino Linotype" w:cs="Arial"/>
          <w:i/>
          <w:sz w:val="22"/>
          <w:szCs w:val="22"/>
          <w:lang w:eastAsia="en-US"/>
        </w:rPr>
        <w:t>“</w:t>
      </w:r>
    </w:p>
    <w:p w:rsidR="00AF3282" w:rsidRDefault="00AF3282" w:rsidP="00AF3282">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eastAsia="en-US"/>
        </w:rPr>
        <w:t>“</w:t>
      </w:r>
      <w:r w:rsidRPr="00AF3282">
        <w:rPr>
          <w:rFonts w:ascii="Palatino Linotype" w:eastAsia="Times New Roman" w:hAnsi="Palatino Linotype" w:cs="Arial"/>
          <w:i/>
          <w:sz w:val="22"/>
          <w:szCs w:val="22"/>
          <w:lang w:eastAsia="en-US"/>
        </w:rPr>
        <w:t>Artículo 32.- La Secretaría, las entidades, los tribunales administrativos y los ayuntamientos, en términos de esta Ley, serán los responsables de llevar a cabo el procedimiento de licitación pública.</w:t>
      </w:r>
      <w:r>
        <w:rPr>
          <w:rFonts w:ascii="Palatino Linotype" w:eastAsia="Times New Roman" w:hAnsi="Palatino Linotype" w:cs="Arial"/>
          <w:i/>
          <w:sz w:val="22"/>
          <w:szCs w:val="22"/>
          <w:lang w:eastAsia="en-US"/>
        </w:rPr>
        <w:t>”</w:t>
      </w:r>
    </w:p>
    <w:p w:rsidR="00AF3282" w:rsidRDefault="00AF3282" w:rsidP="00AF3282">
      <w:pPr>
        <w:spacing w:before="100" w:beforeAutospacing="1" w:after="100" w:afterAutospacing="1"/>
        <w:ind w:left="851" w:right="851"/>
        <w:jc w:val="both"/>
        <w:rPr>
          <w:rFonts w:ascii="Palatino Linotype" w:eastAsia="Times New Roman" w:hAnsi="Palatino Linotype" w:cs="Arial"/>
          <w:i/>
          <w:sz w:val="22"/>
          <w:szCs w:val="22"/>
          <w:lang w:eastAsia="en-US"/>
        </w:rPr>
      </w:pPr>
      <w:r>
        <w:rPr>
          <w:rFonts w:ascii="Palatino Linotype" w:eastAsia="Times New Roman" w:hAnsi="Palatino Linotype" w:cs="Arial"/>
          <w:i/>
          <w:sz w:val="22"/>
          <w:szCs w:val="22"/>
          <w:lang w:eastAsia="en-US"/>
        </w:rPr>
        <w:t>“</w:t>
      </w:r>
      <w:r w:rsidRPr="00AF3282">
        <w:rPr>
          <w:rFonts w:ascii="Palatino Linotype" w:eastAsia="Times New Roman" w:hAnsi="Palatino Linotype" w:cs="Arial"/>
          <w:i/>
          <w:sz w:val="22"/>
          <w:szCs w:val="22"/>
          <w:lang w:eastAsia="en-U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F3282" w:rsidRDefault="00AF3282" w:rsidP="00AF3282">
      <w:pPr>
        <w:spacing w:before="100" w:beforeAutospacing="1" w:after="100" w:afterAutospacing="1"/>
        <w:ind w:left="851" w:right="851"/>
        <w:jc w:val="both"/>
        <w:rPr>
          <w:rFonts w:ascii="Palatino Linotype" w:eastAsia="Times New Roman" w:hAnsi="Palatino Linotype" w:cs="Arial"/>
          <w:i/>
          <w:sz w:val="22"/>
          <w:szCs w:val="22"/>
          <w:lang w:eastAsia="en-US"/>
        </w:rPr>
      </w:pPr>
      <w:r>
        <w:rPr>
          <w:rFonts w:ascii="Palatino Linotype" w:eastAsia="Times New Roman" w:hAnsi="Palatino Linotype" w:cs="Arial"/>
          <w:i/>
          <w:sz w:val="22"/>
          <w:szCs w:val="22"/>
          <w:lang w:eastAsia="en-US"/>
        </w:rPr>
        <w:t>(…)</w:t>
      </w:r>
    </w:p>
    <w:p w:rsidR="00AF3282" w:rsidRDefault="00AF3282" w:rsidP="00AF3282">
      <w:pPr>
        <w:spacing w:before="100" w:beforeAutospacing="1" w:after="100" w:afterAutospacing="1"/>
        <w:ind w:left="851" w:right="851"/>
        <w:jc w:val="both"/>
        <w:rPr>
          <w:rFonts w:ascii="Palatino Linotype" w:eastAsia="Times New Roman" w:hAnsi="Palatino Linotype" w:cs="Arial"/>
          <w:i/>
          <w:sz w:val="22"/>
          <w:szCs w:val="22"/>
          <w:lang w:eastAsia="en-US"/>
        </w:rPr>
      </w:pPr>
      <w:r w:rsidRPr="00AF3282">
        <w:rPr>
          <w:rFonts w:ascii="Palatino Linotype" w:eastAsia="Times New Roman" w:hAnsi="Palatino Linotype" w:cs="Arial"/>
          <w:b/>
          <w:i/>
          <w:sz w:val="22"/>
          <w:szCs w:val="22"/>
          <w:lang w:eastAsia="en-US"/>
        </w:rPr>
        <w:t>XXIX.</w:t>
      </w:r>
      <w:r w:rsidRPr="00AF3282">
        <w:rPr>
          <w:rFonts w:ascii="Palatino Linotype" w:eastAsia="Times New Roman" w:hAnsi="Palatino Linotype" w:cs="Arial"/>
          <w:i/>
          <w:sz w:val="22"/>
          <w:szCs w:val="22"/>
          <w:lang w:eastAsia="en-US"/>
        </w:rPr>
        <w:t xml:space="preserve"> La información sobre los procesos y resultados sobre procedimientos de adjudicación directa, invitación restringida y licitación de cualquier naturaleza,</w:t>
      </w:r>
      <w:r>
        <w:rPr>
          <w:rFonts w:ascii="Palatino Linotype" w:eastAsia="Times New Roman" w:hAnsi="Palatino Linotype" w:cs="Arial"/>
          <w:i/>
          <w:sz w:val="22"/>
          <w:szCs w:val="22"/>
          <w:lang w:eastAsia="en-US"/>
        </w:rPr>
        <w:t xml:space="preserve"> </w:t>
      </w:r>
      <w:r w:rsidRPr="00AF3282">
        <w:rPr>
          <w:rFonts w:ascii="Palatino Linotype" w:eastAsia="Times New Roman" w:hAnsi="Palatino Linotype" w:cs="Arial"/>
          <w:i/>
          <w:sz w:val="22"/>
          <w:szCs w:val="22"/>
          <w:lang w:eastAsia="en-US"/>
        </w:rPr>
        <w:t>incluyendo la versión pública del expediente respectivo y de los contratos celebrados, que deberán contener, por los menos, lo siguiente:</w:t>
      </w:r>
    </w:p>
    <w:p w:rsidR="00AF3282" w:rsidRDefault="00AF3282" w:rsidP="00AF3282">
      <w:pPr>
        <w:spacing w:before="100" w:beforeAutospacing="1" w:after="100" w:afterAutospacing="1"/>
        <w:ind w:left="851" w:right="851"/>
        <w:jc w:val="both"/>
        <w:rPr>
          <w:rFonts w:ascii="Palatino Linotype" w:eastAsia="Times New Roman" w:hAnsi="Palatino Linotype" w:cs="Arial"/>
          <w:i/>
          <w:sz w:val="22"/>
          <w:szCs w:val="22"/>
          <w:lang w:eastAsia="en-US"/>
        </w:rPr>
      </w:pPr>
      <w:r w:rsidRPr="00AF3282">
        <w:rPr>
          <w:rFonts w:ascii="Palatino Linotype" w:eastAsia="Times New Roman" w:hAnsi="Palatino Linotype" w:cs="Arial"/>
          <w:i/>
          <w:sz w:val="22"/>
          <w:szCs w:val="22"/>
          <w:lang w:eastAsia="en-US"/>
        </w:rPr>
        <w:t>a) De licitaciones públicas o procedimientos de invitación restringida:</w:t>
      </w:r>
    </w:p>
    <w:p w:rsidR="00AF3282" w:rsidRDefault="00AF3282" w:rsidP="00AF3282">
      <w:pPr>
        <w:spacing w:before="100" w:beforeAutospacing="1" w:after="100" w:afterAutospacing="1"/>
        <w:ind w:left="851" w:right="851"/>
        <w:jc w:val="both"/>
        <w:rPr>
          <w:rFonts w:ascii="Palatino Linotype" w:eastAsia="Times New Roman" w:hAnsi="Palatino Linotype" w:cs="Arial"/>
          <w:i/>
          <w:sz w:val="22"/>
          <w:szCs w:val="22"/>
          <w:lang w:eastAsia="en-US"/>
        </w:rPr>
      </w:pPr>
      <w:r>
        <w:rPr>
          <w:rFonts w:ascii="Palatino Linotype" w:eastAsia="Times New Roman" w:hAnsi="Palatino Linotype" w:cs="Arial"/>
          <w:i/>
          <w:sz w:val="22"/>
          <w:szCs w:val="22"/>
          <w:lang w:eastAsia="en-US"/>
        </w:rPr>
        <w:t>(…)</w:t>
      </w:r>
    </w:p>
    <w:p w:rsidR="00AF3282" w:rsidRPr="00AF3282" w:rsidRDefault="00AF3282" w:rsidP="00AF3282">
      <w:pPr>
        <w:spacing w:before="100" w:beforeAutospacing="1" w:after="100" w:afterAutospacing="1"/>
        <w:ind w:left="851" w:right="851"/>
        <w:jc w:val="both"/>
        <w:rPr>
          <w:rFonts w:ascii="Palatino Linotype" w:eastAsia="Times New Roman" w:hAnsi="Palatino Linotype" w:cs="Arial"/>
          <w:i/>
          <w:sz w:val="22"/>
          <w:szCs w:val="22"/>
          <w:lang w:eastAsia="en-US"/>
        </w:rPr>
      </w:pPr>
      <w:r w:rsidRPr="00AF3282">
        <w:rPr>
          <w:rFonts w:ascii="Palatino Linotype" w:eastAsia="Times New Roman" w:hAnsi="Palatino Linotype" w:cs="Arial"/>
          <w:i/>
          <w:sz w:val="22"/>
          <w:szCs w:val="22"/>
          <w:lang w:eastAsia="en-US"/>
        </w:rPr>
        <w:t>11) Los convenios modificatorios que, en su caso, sean firmados, precisando el objeto y la fecha de celebración;</w:t>
      </w:r>
      <w:r>
        <w:rPr>
          <w:rFonts w:ascii="Palatino Linotype" w:eastAsia="Times New Roman" w:hAnsi="Palatino Linotype" w:cs="Arial"/>
          <w:i/>
          <w:sz w:val="22"/>
          <w:szCs w:val="22"/>
          <w:lang w:eastAsia="en-US"/>
        </w:rPr>
        <w:t xml:space="preserve"> (…)”</w:t>
      </w:r>
    </w:p>
    <w:p w:rsidR="00AF3282" w:rsidRDefault="00AF3282" w:rsidP="00901206">
      <w:pPr>
        <w:spacing w:before="100" w:beforeAutospacing="1" w:after="100" w:afterAutospacing="1" w:line="360" w:lineRule="auto"/>
        <w:jc w:val="both"/>
        <w:rPr>
          <w:rFonts w:ascii="Palatino Linotype" w:eastAsia="Times New Roman" w:hAnsi="Palatino Linotype" w:cs="Arial"/>
          <w:szCs w:val="22"/>
          <w:lang w:val="es-MX" w:eastAsia="en-US"/>
        </w:rPr>
      </w:pPr>
      <w:r>
        <w:rPr>
          <w:rFonts w:ascii="Palatino Linotype" w:eastAsia="Times New Roman" w:hAnsi="Palatino Linotype" w:cs="Arial"/>
          <w:szCs w:val="22"/>
          <w:lang w:val="es-MX" w:eastAsia="en-US"/>
        </w:rPr>
        <w:lastRenderedPageBreak/>
        <w:t>De los dispositivos legales</w:t>
      </w:r>
      <w:r w:rsidR="0047095B">
        <w:rPr>
          <w:rFonts w:ascii="Palatino Linotype" w:eastAsia="Times New Roman" w:hAnsi="Palatino Linotype" w:cs="Arial"/>
          <w:szCs w:val="22"/>
          <w:lang w:val="es-MX" w:eastAsia="en-US"/>
        </w:rPr>
        <w:t xml:space="preserve"> citados, se deriva lo siguiente:</w:t>
      </w:r>
    </w:p>
    <w:p w:rsidR="0047095B" w:rsidRPr="0047095B" w:rsidRDefault="0047095B" w:rsidP="0047095B">
      <w:pPr>
        <w:pStyle w:val="Prrafodelista"/>
        <w:numPr>
          <w:ilvl w:val="0"/>
          <w:numId w:val="5"/>
        </w:numPr>
        <w:spacing w:before="100" w:beforeAutospacing="1" w:after="100" w:afterAutospacing="1" w:line="360" w:lineRule="auto"/>
        <w:jc w:val="both"/>
        <w:rPr>
          <w:rFonts w:ascii="Palatino Linotype" w:eastAsia="Times New Roman" w:hAnsi="Palatino Linotype" w:cs="Arial"/>
          <w:szCs w:val="22"/>
          <w:lang w:val="es-MX" w:eastAsia="en-US"/>
        </w:rPr>
      </w:pPr>
      <w:r w:rsidRPr="0047095B">
        <w:rPr>
          <w:rFonts w:ascii="Palatino Linotype" w:eastAsia="Times New Roman" w:hAnsi="Palatino Linotype" w:cs="Arial"/>
          <w:szCs w:val="22"/>
          <w:lang w:val="es-MX" w:eastAsia="en-US"/>
        </w:rPr>
        <w:t>Ante la incertidumbre por la falta de respuesta del Sujeto Obligado, se advierte que pudo realizar los actos jurídicos en diversas modalidades, por tal razón se enuncian.</w:t>
      </w:r>
    </w:p>
    <w:p w:rsidR="0047095B" w:rsidRPr="0047095B" w:rsidRDefault="0047095B" w:rsidP="0047095B">
      <w:pPr>
        <w:pStyle w:val="Prrafodelista"/>
        <w:numPr>
          <w:ilvl w:val="0"/>
          <w:numId w:val="5"/>
        </w:numPr>
        <w:spacing w:before="100" w:beforeAutospacing="1" w:after="100" w:afterAutospacing="1" w:line="360" w:lineRule="auto"/>
        <w:jc w:val="both"/>
        <w:rPr>
          <w:rFonts w:ascii="Palatino Linotype" w:eastAsia="Times New Roman" w:hAnsi="Palatino Linotype" w:cs="Arial"/>
          <w:szCs w:val="22"/>
          <w:lang w:val="es-MX" w:eastAsia="en-US"/>
        </w:rPr>
      </w:pPr>
      <w:r w:rsidRPr="0047095B">
        <w:rPr>
          <w:rFonts w:ascii="Palatino Linotype" w:eastAsia="Times New Roman" w:hAnsi="Palatino Linotype" w:cs="Arial"/>
          <w:szCs w:val="22"/>
          <w:lang w:val="es-MX" w:eastAsia="en-US"/>
        </w:rPr>
        <w:t>Que no solamente se pudieron realizar los actos jurídicos que menciona el recurrente en una modalidad, sino también en licitación pública.</w:t>
      </w:r>
    </w:p>
    <w:p w:rsidR="0047095B" w:rsidRDefault="0047095B" w:rsidP="0047095B">
      <w:pPr>
        <w:pStyle w:val="Prrafodelista"/>
        <w:numPr>
          <w:ilvl w:val="0"/>
          <w:numId w:val="5"/>
        </w:numPr>
        <w:spacing w:before="100" w:beforeAutospacing="1" w:after="100" w:afterAutospacing="1" w:line="360" w:lineRule="auto"/>
        <w:jc w:val="both"/>
        <w:rPr>
          <w:rFonts w:ascii="Palatino Linotype" w:eastAsia="Times New Roman" w:hAnsi="Palatino Linotype" w:cs="Arial"/>
          <w:szCs w:val="22"/>
          <w:lang w:val="es-MX" w:eastAsia="en-US"/>
        </w:rPr>
      </w:pPr>
      <w:r w:rsidRPr="0047095B">
        <w:rPr>
          <w:rFonts w:ascii="Palatino Linotype" w:eastAsia="Times New Roman" w:hAnsi="Palatino Linotype" w:cs="Arial"/>
          <w:szCs w:val="22"/>
          <w:lang w:val="es-MX" w:eastAsia="en-US"/>
        </w:rPr>
        <w:t xml:space="preserve">Que dentro de las obligaciones comunes de transparencia, se encuentra la de trasparentar los procedimientos de </w:t>
      </w:r>
      <w:r w:rsidRPr="0047095B">
        <w:rPr>
          <w:rFonts w:ascii="Palatino Linotype" w:eastAsia="Times New Roman" w:hAnsi="Palatino Linotype" w:cs="Arial"/>
          <w:szCs w:val="22"/>
          <w:lang w:eastAsia="en-US"/>
        </w:rPr>
        <w:t xml:space="preserve">adjudicación directa, invitación restringida y </w:t>
      </w:r>
      <w:r w:rsidRPr="0047095B">
        <w:rPr>
          <w:rFonts w:ascii="Palatino Linotype" w:eastAsia="Times New Roman" w:hAnsi="Palatino Linotype" w:cs="Arial"/>
          <w:szCs w:val="22"/>
          <w:lang w:val="es-MX" w:eastAsia="en-US"/>
        </w:rPr>
        <w:t>licitación pública, que a su vez pueden contener los convenios modificatorios de haberse realizado.</w:t>
      </w:r>
    </w:p>
    <w:p w:rsidR="00752B88" w:rsidRPr="0047095B" w:rsidRDefault="00752B88" w:rsidP="0047095B">
      <w:pPr>
        <w:pStyle w:val="Prrafodelista"/>
        <w:numPr>
          <w:ilvl w:val="0"/>
          <w:numId w:val="5"/>
        </w:numPr>
        <w:spacing w:before="100" w:beforeAutospacing="1" w:after="100" w:afterAutospacing="1" w:line="360" w:lineRule="auto"/>
        <w:jc w:val="both"/>
        <w:rPr>
          <w:rFonts w:ascii="Palatino Linotype" w:eastAsia="Times New Roman" w:hAnsi="Palatino Linotype" w:cs="Arial"/>
          <w:szCs w:val="22"/>
          <w:lang w:val="es-MX" w:eastAsia="en-US"/>
        </w:rPr>
      </w:pPr>
      <w:r>
        <w:rPr>
          <w:rFonts w:ascii="Palatino Linotype" w:eastAsia="Times New Roman" w:hAnsi="Palatino Linotype" w:cs="Arial"/>
          <w:szCs w:val="22"/>
          <w:lang w:val="es-MX" w:eastAsia="en-US"/>
        </w:rPr>
        <w:t>Que el Sujeto Obligado tiene las atribuciones mediante su dependencia administrativa, de realizar los actos jurídicos, materia de la solicitud de información.</w:t>
      </w:r>
    </w:p>
    <w:p w:rsidR="00901206" w:rsidRDefault="00901206" w:rsidP="00901206">
      <w:pPr>
        <w:spacing w:before="100" w:beforeAutospacing="1" w:after="100" w:afterAutospacing="1" w:line="360" w:lineRule="auto"/>
        <w:jc w:val="both"/>
        <w:rPr>
          <w:rFonts w:ascii="Palatino Linotype" w:hAnsi="Palatino Linotype" w:cs="Segoe UI"/>
        </w:rPr>
      </w:pPr>
      <w:r>
        <w:rPr>
          <w:rFonts w:ascii="Palatino Linotype" w:eastAsia="Times New Roman" w:hAnsi="Palatino Linotype" w:cs="Arial"/>
          <w:szCs w:val="22"/>
          <w:lang w:val="es-MX" w:eastAsia="en-US"/>
        </w:rPr>
        <w:t xml:space="preserve">Es preciso traer a colación lo que estipula el Reglamento de la </w:t>
      </w:r>
      <w:r>
        <w:rPr>
          <w:rFonts w:ascii="Palatino Linotype" w:hAnsi="Palatino Linotype" w:cs="Segoe UI"/>
        </w:rPr>
        <w:t>Ley de Contratación Pública del Estado de México</w:t>
      </w:r>
      <w:r w:rsidR="00FB68A2">
        <w:rPr>
          <w:rFonts w:ascii="Palatino Linotype" w:hAnsi="Palatino Linotype" w:cs="Segoe UI"/>
        </w:rPr>
        <w:t xml:space="preserve"> y Municipios en su artículo 120</w:t>
      </w:r>
      <w:r>
        <w:rPr>
          <w:rFonts w:ascii="Palatino Linotype" w:hAnsi="Palatino Linotype" w:cs="Segoe UI"/>
        </w:rPr>
        <w:t xml:space="preserve"> que reza de la siguiente manera:</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“Artículo 120.- Los contratos relacionados con las materias reguladas por la Ley referirán, como mínimo, lo siguiente:</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I. Objeto;</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II. Fecha de suministro de los bienes o período de prestación del servicio;</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III. Datos del procedimiento que dio origen al contrato;</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lastRenderedPageBreak/>
        <w:t>IV. Importe total;</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V. Porcentajes, número y fechas de las exhibiciones y amortización de los anticipos que se otorguen;</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VI. Formalidades para el otorgamiento y cobro de garantías;</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VII.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VIII. Términos en que el proveedor o prestador del servicio, en su caso, reintegrará las cantidades que, en cualquier forma, hubiere recibido en exceso por la contratación;</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IX. Causales por las que la Secretaría, organismos auxiliares, tribunales administrativos o municipios podrán dar por rescindido el contrato y sus efectos;</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X. Las consecuencias de la cancelación o terminación anticipada por causas imputables al proveedor o prestador del servicio;</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XI. Señalamiento del domicilio de las partes, ubicado en el territorio del Estado, o bien, domicilio para oír y recibir notificaciones; y</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XII. Renuncia expresa al fuero que les pudiera corresponder en función de su domicilio o vecindad presente o futuro.”</w:t>
      </w:r>
    </w:p>
    <w:p w:rsidR="00901206" w:rsidRDefault="00901206" w:rsidP="00901206">
      <w:pPr>
        <w:spacing w:before="100" w:beforeAutospacing="1" w:after="100" w:afterAutospacing="1" w:line="360" w:lineRule="auto"/>
        <w:jc w:val="both"/>
        <w:rPr>
          <w:rFonts w:ascii="Palatino Linotype" w:eastAsia="Times New Roman" w:hAnsi="Palatino Linotype" w:cs="Arial"/>
          <w:szCs w:val="22"/>
          <w:lang w:val="es-MX" w:eastAsia="en-US"/>
        </w:rPr>
      </w:pPr>
      <w:r>
        <w:rPr>
          <w:rFonts w:ascii="Palatino Linotype" w:eastAsia="Times New Roman" w:hAnsi="Palatino Linotype" w:cs="Arial"/>
          <w:szCs w:val="22"/>
          <w:lang w:val="es-MX" w:eastAsia="en-US"/>
        </w:rPr>
        <w:t>Del precepto jurídico antes invocado, se desprenden los requisitos mínimos que deben contener los contratos, lo anterior con la finalidad de que para el caso de que el S</w:t>
      </w:r>
      <w:r w:rsidR="00FB68A2">
        <w:rPr>
          <w:rFonts w:ascii="Palatino Linotype" w:eastAsia="Times New Roman" w:hAnsi="Palatino Linotype" w:cs="Arial"/>
          <w:szCs w:val="22"/>
          <w:lang w:val="es-MX" w:eastAsia="en-US"/>
        </w:rPr>
        <w:t>ujeto Obligado haya celebrado los</w:t>
      </w:r>
      <w:r>
        <w:rPr>
          <w:rFonts w:ascii="Palatino Linotype" w:eastAsia="Times New Roman" w:hAnsi="Palatino Linotype" w:cs="Arial"/>
          <w:szCs w:val="22"/>
          <w:lang w:val="es-MX" w:eastAsia="en-US"/>
        </w:rPr>
        <w:t xml:space="preserve"> contrato</w:t>
      </w:r>
      <w:r w:rsidR="00FB68A2">
        <w:rPr>
          <w:rFonts w:ascii="Palatino Linotype" w:eastAsia="Times New Roman" w:hAnsi="Palatino Linotype" w:cs="Arial"/>
          <w:szCs w:val="22"/>
          <w:lang w:val="es-MX" w:eastAsia="en-US"/>
        </w:rPr>
        <w:t>s,</w:t>
      </w:r>
      <w:r>
        <w:rPr>
          <w:rFonts w:ascii="Palatino Linotype" w:eastAsia="Times New Roman" w:hAnsi="Palatino Linotype" w:cs="Arial"/>
          <w:szCs w:val="22"/>
          <w:lang w:val="es-MX" w:eastAsia="en-US"/>
        </w:rPr>
        <w:t xml:space="preserve"> observe y tenga en cuenta lo que aquí se señala.</w:t>
      </w:r>
    </w:p>
    <w:p w:rsidR="00901206" w:rsidRDefault="00901206" w:rsidP="00901206">
      <w:pPr>
        <w:spacing w:before="100" w:beforeAutospacing="1" w:after="100" w:afterAutospacing="1" w:line="360" w:lineRule="auto"/>
        <w:jc w:val="both"/>
        <w:rPr>
          <w:rFonts w:ascii="Palatino Linotype" w:eastAsia="Times New Roman" w:hAnsi="Palatino Linotype" w:cs="Arial"/>
          <w:szCs w:val="22"/>
          <w:lang w:val="es-MX" w:eastAsia="en-US"/>
        </w:rPr>
      </w:pPr>
      <w:r>
        <w:rPr>
          <w:rFonts w:ascii="Palatino Linotype" w:eastAsia="Times New Roman" w:hAnsi="Palatino Linotype" w:cs="Arial"/>
          <w:szCs w:val="22"/>
          <w:lang w:val="es-MX" w:eastAsia="en-US"/>
        </w:rPr>
        <w:lastRenderedPageBreak/>
        <w:t xml:space="preserve">Ahora bien, ante la incertidumbre y la falta de pronunciamiento del Sujeto Obligado de no </w:t>
      </w:r>
      <w:r w:rsidR="00FB68A2">
        <w:rPr>
          <w:rFonts w:ascii="Palatino Linotype" w:eastAsia="Times New Roman" w:hAnsi="Palatino Linotype" w:cs="Arial"/>
          <w:szCs w:val="22"/>
          <w:lang w:val="es-MX" w:eastAsia="en-US"/>
        </w:rPr>
        <w:t>saber de manera específica a qué</w:t>
      </w:r>
      <w:r>
        <w:rPr>
          <w:rFonts w:ascii="Palatino Linotype" w:eastAsia="Times New Roman" w:hAnsi="Palatino Linotype" w:cs="Arial"/>
          <w:szCs w:val="22"/>
          <w:lang w:val="es-MX" w:eastAsia="en-US"/>
        </w:rPr>
        <w:t xml:space="preserve"> se refiere el contrato, es pertinente hacer mención que se pudo realizar un contrato de obra pública, como lo refiere el Código Administrativo del Estado de México y que faculta a</w:t>
      </w:r>
      <w:r w:rsidR="00752B88">
        <w:rPr>
          <w:rFonts w:ascii="Palatino Linotype" w:eastAsia="Times New Roman" w:hAnsi="Palatino Linotype" w:cs="Arial"/>
          <w:szCs w:val="22"/>
          <w:lang w:val="es-MX" w:eastAsia="en-US"/>
        </w:rPr>
        <w:t>l</w:t>
      </w:r>
      <w:r>
        <w:rPr>
          <w:rFonts w:ascii="Palatino Linotype" w:eastAsia="Times New Roman" w:hAnsi="Palatino Linotype" w:cs="Arial"/>
          <w:szCs w:val="22"/>
          <w:lang w:val="es-MX" w:eastAsia="en-US"/>
        </w:rPr>
        <w:t xml:space="preserve"> </w:t>
      </w:r>
      <w:r w:rsidR="00752B88" w:rsidRPr="00752B88">
        <w:rPr>
          <w:rFonts w:ascii="Palatino Linotype" w:eastAsia="Times New Roman" w:hAnsi="Palatino Linotype" w:cs="Arial"/>
          <w:szCs w:val="22"/>
          <w:lang w:val="es-MX" w:eastAsia="en-US"/>
        </w:rPr>
        <w:t>Centro</w:t>
      </w:r>
      <w:r w:rsidR="00752B88">
        <w:rPr>
          <w:rFonts w:ascii="Palatino Linotype" w:eastAsia="Times New Roman" w:hAnsi="Palatino Linotype" w:cs="Arial"/>
          <w:szCs w:val="22"/>
          <w:lang w:val="es-MX" w:eastAsia="en-US"/>
        </w:rPr>
        <w:t xml:space="preserve"> Regional de Formación Docente e</w:t>
      </w:r>
      <w:r w:rsidR="00752B88" w:rsidRPr="00752B88">
        <w:rPr>
          <w:rFonts w:ascii="Palatino Linotype" w:eastAsia="Times New Roman" w:hAnsi="Palatino Linotype" w:cs="Arial"/>
          <w:szCs w:val="22"/>
          <w:lang w:val="es-MX" w:eastAsia="en-US"/>
        </w:rPr>
        <w:t xml:space="preserve"> Investigación Educativa</w:t>
      </w:r>
      <w:r>
        <w:rPr>
          <w:rFonts w:ascii="Palatino Linotype" w:eastAsia="Times New Roman" w:hAnsi="Palatino Linotype" w:cs="Arial"/>
          <w:szCs w:val="22"/>
          <w:lang w:val="es-MX" w:eastAsia="en-US"/>
        </w:rPr>
        <w:t xml:space="preserve"> en este aspecto, como se puede visualizar en el artículo 12.1 de dicho ordenamiento que se trascribe a continuación:</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“Artículo 12.1.- Este Libro tiene por objeto regular los actos relativos a la planeación, programación, presupuestación, adjudicación, contratación, ejecución y control de la obra pública, así como los servicios relacionados con la misma que, por sí o por conducto de terceros, realicen:</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I. Las secretarías y unidades administrativas del Poder Ejecutivo del Estado;</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II. La Fiscalía General de Justicia;</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III. Los ayuntamientos de los municipios del Estado;</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IV. Los organismos auxiliares y fideicomisos públicos del Estado y municipios;</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V. Los tribunales administrativos.</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Serán aplicables las disposiciones conducentes de este Libro, a los particulares que tengan el carácter de licitantes o contratistas.</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Los poderes Legislativo y Judicial, así como los organismos autónomos, aplicarán los procedimientos previstos en este Libro en todo lo que no se oponga a los ordenamientos legales que los regulan.</w:t>
      </w:r>
    </w:p>
    <w:p w:rsidR="00901206" w:rsidRDefault="00901206" w:rsidP="00901206">
      <w:pPr>
        <w:spacing w:before="100" w:beforeAutospacing="1" w:after="100" w:afterAutospacing="1"/>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i/>
          <w:sz w:val="22"/>
          <w:szCs w:val="22"/>
          <w:lang w:val="es-MX" w:eastAsia="en-US"/>
        </w:rPr>
        <w:t>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w:t>
      </w:r>
    </w:p>
    <w:p w:rsidR="00901206" w:rsidRDefault="00901206" w:rsidP="00901206">
      <w:pPr>
        <w:spacing w:before="100" w:beforeAutospacing="1" w:after="100" w:afterAutospacing="1" w:line="360" w:lineRule="auto"/>
        <w:jc w:val="both"/>
        <w:rPr>
          <w:rFonts w:ascii="Palatino Linotype" w:eastAsia="Times New Roman" w:hAnsi="Palatino Linotype" w:cs="Arial"/>
          <w:szCs w:val="22"/>
          <w:lang w:val="es-MX" w:eastAsia="en-US"/>
        </w:rPr>
      </w:pPr>
      <w:r>
        <w:rPr>
          <w:rFonts w:ascii="Palatino Linotype" w:eastAsia="Times New Roman" w:hAnsi="Palatino Linotype" w:cs="Arial"/>
          <w:szCs w:val="22"/>
          <w:lang w:val="es-MX" w:eastAsia="en-US"/>
        </w:rPr>
        <w:lastRenderedPageBreak/>
        <w:t xml:space="preserve">Del precepto anterior se desprende que el Sujeto Obligado también está facultado para celebrar contratos de obra pública, mismos que regula el ordenamiento jurídico antes citado y que enmarca como facultad de </w:t>
      </w:r>
      <w:r w:rsidR="00752B88">
        <w:rPr>
          <w:rFonts w:ascii="Palatino Linotype" w:eastAsia="Times New Roman" w:hAnsi="Palatino Linotype" w:cs="Arial"/>
          <w:szCs w:val="22"/>
          <w:lang w:val="es-MX" w:eastAsia="en-US"/>
        </w:rPr>
        <w:t>del Sujeto Obligado</w:t>
      </w:r>
      <w:r>
        <w:rPr>
          <w:rFonts w:ascii="Palatino Linotype" w:eastAsia="Times New Roman" w:hAnsi="Palatino Linotype" w:cs="Arial"/>
          <w:szCs w:val="22"/>
          <w:lang w:val="es-MX" w:eastAsia="en-US"/>
        </w:rPr>
        <w:t>, que en</w:t>
      </w:r>
      <w:r w:rsidR="00752B88">
        <w:rPr>
          <w:rFonts w:ascii="Palatino Linotype" w:eastAsia="Times New Roman" w:hAnsi="Palatino Linotype" w:cs="Arial"/>
          <w:szCs w:val="22"/>
          <w:lang w:val="es-MX" w:eastAsia="en-US"/>
        </w:rPr>
        <w:t xml:space="preserve"> todo caso pudo haber realizado.</w:t>
      </w:r>
    </w:p>
    <w:p w:rsidR="00752B88" w:rsidRDefault="00752B88" w:rsidP="00901206">
      <w:pPr>
        <w:spacing w:before="100" w:beforeAutospacing="1" w:after="100" w:afterAutospacing="1" w:line="360" w:lineRule="auto"/>
        <w:jc w:val="both"/>
        <w:rPr>
          <w:rFonts w:ascii="Palatino Linotype" w:eastAsia="Times New Roman" w:hAnsi="Palatino Linotype" w:cs="Arial"/>
          <w:szCs w:val="22"/>
          <w:lang w:val="es-MX" w:eastAsia="en-US"/>
        </w:rPr>
      </w:pPr>
      <w:r>
        <w:rPr>
          <w:rFonts w:ascii="Palatino Linotype" w:eastAsia="Times New Roman" w:hAnsi="Palatino Linotype" w:cs="Arial"/>
          <w:szCs w:val="22"/>
          <w:lang w:val="es-MX" w:eastAsia="en-US"/>
        </w:rPr>
        <w:t>Abona a lo anterior, las empresas de las cuales hizo referencia la parte recurrente en su solicitud de información, que se enlistan a continuación:</w:t>
      </w:r>
    </w:p>
    <w:p w:rsidR="00752B88" w:rsidRDefault="00752B88" w:rsidP="00752B88">
      <w:pPr>
        <w:spacing w:before="100" w:beforeAutospacing="1" w:after="100" w:afterAutospacing="1" w:line="360" w:lineRule="auto"/>
        <w:jc w:val="center"/>
        <w:rPr>
          <w:rFonts w:ascii="Palatino Linotype" w:eastAsia="Times New Roman" w:hAnsi="Palatino Linotype" w:cs="Arial"/>
          <w:szCs w:val="22"/>
          <w:lang w:val="es-MX" w:eastAsia="en-US"/>
        </w:rPr>
      </w:pPr>
      <w:r>
        <w:rPr>
          <w:noProof/>
          <w:lang w:val="es-MX" w:eastAsia="es-MX"/>
        </w:rPr>
        <w:drawing>
          <wp:inline distT="0" distB="0" distL="0" distR="0" wp14:anchorId="4D7A83D0" wp14:editId="04836AA6">
            <wp:extent cx="3363402" cy="4859894"/>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295" t="7557" r="34541" b="9816"/>
                    <a:stretch/>
                  </pic:blipFill>
                  <pic:spPr bwMode="auto">
                    <a:xfrm>
                      <a:off x="0" y="0"/>
                      <a:ext cx="3371336" cy="4871358"/>
                    </a:xfrm>
                    <a:prstGeom prst="rect">
                      <a:avLst/>
                    </a:prstGeom>
                    <a:ln>
                      <a:noFill/>
                    </a:ln>
                    <a:extLst>
                      <a:ext uri="{53640926-AAD7-44D8-BBD7-CCE9431645EC}">
                        <a14:shadowObscured xmlns:a14="http://schemas.microsoft.com/office/drawing/2010/main"/>
                      </a:ext>
                    </a:extLst>
                  </pic:spPr>
                </pic:pic>
              </a:graphicData>
            </a:graphic>
          </wp:inline>
        </w:drawing>
      </w:r>
    </w:p>
    <w:p w:rsidR="00752B88" w:rsidRDefault="00752B88" w:rsidP="00752B88">
      <w:pPr>
        <w:spacing w:before="100" w:beforeAutospacing="1" w:after="100" w:afterAutospacing="1" w:line="360" w:lineRule="auto"/>
        <w:jc w:val="center"/>
        <w:rPr>
          <w:rFonts w:ascii="Palatino Linotype" w:eastAsia="Times New Roman" w:hAnsi="Palatino Linotype" w:cs="Arial"/>
          <w:szCs w:val="22"/>
          <w:lang w:val="es-MX" w:eastAsia="en-US"/>
        </w:rPr>
      </w:pPr>
      <w:r>
        <w:rPr>
          <w:noProof/>
          <w:lang w:val="es-MX" w:eastAsia="es-MX"/>
        </w:rPr>
        <w:lastRenderedPageBreak/>
        <w:drawing>
          <wp:inline distT="0" distB="0" distL="0" distR="0" wp14:anchorId="3A3CA948" wp14:editId="0347A8A8">
            <wp:extent cx="3824578" cy="1162537"/>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436" t="21915" r="34397" b="60701"/>
                    <a:stretch/>
                  </pic:blipFill>
                  <pic:spPr bwMode="auto">
                    <a:xfrm>
                      <a:off x="0" y="0"/>
                      <a:ext cx="3880726" cy="1179604"/>
                    </a:xfrm>
                    <a:prstGeom prst="rect">
                      <a:avLst/>
                    </a:prstGeom>
                    <a:ln>
                      <a:noFill/>
                    </a:ln>
                    <a:extLst>
                      <a:ext uri="{53640926-AAD7-44D8-BBD7-CCE9431645EC}">
                        <a14:shadowObscured xmlns:a14="http://schemas.microsoft.com/office/drawing/2010/main"/>
                      </a:ext>
                    </a:extLst>
                  </pic:spPr>
                </pic:pic>
              </a:graphicData>
            </a:graphic>
          </wp:inline>
        </w:drawing>
      </w:r>
    </w:p>
    <w:p w:rsidR="00901206" w:rsidRDefault="00901206" w:rsidP="00901206">
      <w:pPr>
        <w:spacing w:before="100" w:beforeAutospacing="1" w:after="100" w:afterAutospacing="1" w:line="360" w:lineRule="auto"/>
        <w:jc w:val="both"/>
        <w:rPr>
          <w:rFonts w:ascii="Palatino Linotype" w:eastAsia="Times New Roman" w:hAnsi="Palatino Linotype" w:cs="Arial"/>
          <w:szCs w:val="22"/>
          <w:lang w:val="es-MX" w:eastAsia="en-US"/>
        </w:rPr>
      </w:pPr>
      <w:r>
        <w:rPr>
          <w:rFonts w:ascii="Palatino Linotype" w:eastAsia="Times New Roman" w:hAnsi="Palatino Linotype" w:cs="Arial"/>
          <w:szCs w:val="22"/>
          <w:lang w:val="es-MX" w:eastAsia="en-US"/>
        </w:rPr>
        <w:t>En relación con lo anterior, una de las obligaciones comunes de transparencia, es decir, un elemento que deben de trasparentar los Sujeto Obligados son las concesiones, contratos, convenios, permisos, licencias o autorizaciones con los elementos necesarios para transparentar sus acciones, lo anterior encuentra sustento en la fracción XXXII del artículo 92 de la Ley de la Materia que a la letra dice:</w:t>
      </w:r>
    </w:p>
    <w:p w:rsidR="00901206" w:rsidRDefault="00901206" w:rsidP="00901206">
      <w:pPr>
        <w:spacing w:before="100" w:beforeAutospacing="1" w:after="100" w:afterAutospacing="1"/>
        <w:ind w:left="851" w:right="851"/>
        <w:jc w:val="both"/>
        <w:rPr>
          <w:rFonts w:ascii="Palatino Linotype" w:hAnsi="Palatino Linotype" w:cs="Segoe UI"/>
          <w:i/>
          <w:sz w:val="22"/>
          <w:lang w:val="es-MX"/>
        </w:rPr>
      </w:pPr>
      <w:r>
        <w:rPr>
          <w:rFonts w:ascii="Palatino Linotype" w:hAnsi="Palatino Linotype" w:cs="Segoe UI"/>
          <w:b/>
          <w:bCs/>
          <w:i/>
          <w:sz w:val="22"/>
          <w:lang w:val="es-MX"/>
        </w:rPr>
        <w:t xml:space="preserve">“Artículo 92. </w:t>
      </w:r>
      <w:r>
        <w:rPr>
          <w:rFonts w:ascii="Palatino Linotype" w:hAnsi="Palatino Linotype" w:cs="Segoe UI"/>
          <w:i/>
          <w:sz w:val="22"/>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01206" w:rsidRDefault="00901206" w:rsidP="00901206">
      <w:pPr>
        <w:spacing w:before="100" w:beforeAutospacing="1" w:after="100" w:afterAutospacing="1"/>
        <w:ind w:left="851" w:right="851"/>
        <w:jc w:val="both"/>
        <w:rPr>
          <w:rFonts w:ascii="Palatino Linotype" w:hAnsi="Palatino Linotype" w:cs="Segoe UI"/>
          <w:i/>
          <w:sz w:val="22"/>
          <w:lang w:val="es-MX"/>
        </w:rPr>
      </w:pPr>
      <w:r>
        <w:rPr>
          <w:rFonts w:ascii="Palatino Linotype" w:hAnsi="Palatino Linotype" w:cs="Segoe UI"/>
          <w:i/>
          <w:sz w:val="22"/>
          <w:lang w:val="es-MX"/>
        </w:rPr>
        <w:t>(…)</w:t>
      </w:r>
    </w:p>
    <w:p w:rsidR="00901206" w:rsidRDefault="00901206" w:rsidP="00901206">
      <w:pPr>
        <w:spacing w:before="100" w:beforeAutospacing="1" w:after="100" w:afterAutospacing="1"/>
        <w:ind w:left="851" w:right="851"/>
        <w:jc w:val="both"/>
        <w:rPr>
          <w:rFonts w:ascii="Palatino Linotype" w:hAnsi="Palatino Linotype" w:cs="Segoe UI"/>
          <w:i/>
          <w:sz w:val="22"/>
          <w:lang w:val="es-MX"/>
        </w:rPr>
      </w:pPr>
      <w:r>
        <w:rPr>
          <w:rFonts w:ascii="Palatino Linotype" w:hAnsi="Palatino Linotype" w:cs="Segoe UI"/>
          <w:i/>
          <w:sz w:val="22"/>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r>
        <w:rPr>
          <w:rFonts w:ascii="Palatino Linotype" w:hAnsi="Palatino Linotype" w:cs="Segoe UI"/>
          <w:i/>
          <w:sz w:val="22"/>
          <w:lang w:val="es-MX"/>
        </w:rPr>
        <w:t>; (…)”</w:t>
      </w:r>
    </w:p>
    <w:p w:rsidR="00901206" w:rsidRDefault="00901206" w:rsidP="00901206">
      <w:pPr>
        <w:spacing w:before="100" w:beforeAutospacing="1" w:after="100" w:afterAutospacing="1" w:line="360" w:lineRule="auto"/>
        <w:jc w:val="both"/>
        <w:rPr>
          <w:rFonts w:ascii="Palatino Linotype" w:eastAsia="Times New Roman" w:hAnsi="Palatino Linotype" w:cs="Arial"/>
          <w:szCs w:val="22"/>
          <w:lang w:val="es-MX" w:eastAsia="en-US"/>
        </w:rPr>
      </w:pPr>
      <w:r>
        <w:rPr>
          <w:rFonts w:ascii="Palatino Linotype" w:eastAsia="Times New Roman" w:hAnsi="Palatino Linotype" w:cs="Arial"/>
          <w:szCs w:val="22"/>
          <w:lang w:val="es-MX" w:eastAsia="en-US"/>
        </w:rPr>
        <w:t>Del artículo de la Ley de la materia antes mencionado, se desprende que es una obligación común de transparencia que el Sujeto obligado debe atender en transparentar como lo son los contratos o convenios celebrados entre el Municipio y las instituciones públicas, privadas o personas físicas o jurídico colectivas.</w:t>
      </w:r>
    </w:p>
    <w:p w:rsidR="00901206" w:rsidRDefault="00901206" w:rsidP="00901206">
      <w:pPr>
        <w:spacing w:before="240" w:after="240" w:line="360" w:lineRule="auto"/>
        <w:jc w:val="both"/>
        <w:rPr>
          <w:rFonts w:ascii="Palatino Linotype" w:eastAsia="Times New Roman" w:hAnsi="Palatino Linotype" w:cs="Arial"/>
          <w:szCs w:val="22"/>
          <w:lang w:val="es-MX" w:eastAsia="en-US"/>
        </w:rPr>
      </w:pPr>
      <w:r>
        <w:rPr>
          <w:rFonts w:ascii="Palatino Linotype" w:eastAsia="Times New Roman" w:hAnsi="Palatino Linotype" w:cs="Arial"/>
          <w:szCs w:val="22"/>
          <w:lang w:val="es-MX" w:eastAsia="en-US"/>
        </w:rPr>
        <w:lastRenderedPageBreak/>
        <w:t>Es importante que el Sujeto Obligado mediante la Unidad de Transparencia turne la solicitud de información a todas las áreas competentes que puedan tener la información, con la finalidad de satisfacer de manera plena el derecho de acceso a la información pública que accionó la ahora recurrente, como se establece en el artículo 162 de la Ley de la materia, que reza de la siguiente manera:</w:t>
      </w:r>
    </w:p>
    <w:p w:rsidR="00901206" w:rsidRDefault="00901206" w:rsidP="00901206">
      <w:pPr>
        <w:spacing w:before="240" w:after="240"/>
        <w:ind w:left="851" w:right="851"/>
        <w:jc w:val="both"/>
        <w:rPr>
          <w:rFonts w:ascii="Palatino Linotype" w:eastAsia="Times New Roman" w:hAnsi="Palatino Linotype" w:cs="Arial"/>
          <w:i/>
          <w:sz w:val="22"/>
          <w:szCs w:val="22"/>
          <w:lang w:val="es-MX" w:eastAsia="en-US"/>
        </w:rPr>
      </w:pPr>
      <w:r>
        <w:rPr>
          <w:rFonts w:ascii="Palatino Linotype" w:eastAsia="Times New Roman" w:hAnsi="Palatino Linotype" w:cs="Arial"/>
          <w:b/>
          <w:bCs/>
          <w:i/>
          <w:sz w:val="22"/>
          <w:szCs w:val="22"/>
          <w:lang w:val="es-MX" w:eastAsia="en-US"/>
        </w:rPr>
        <w:t xml:space="preserve">“Artículo 162. </w:t>
      </w:r>
      <w:r>
        <w:rPr>
          <w:rFonts w:ascii="Palatino Linotype" w:eastAsia="Times New Roman" w:hAnsi="Palatino Linotype" w:cs="Arial"/>
          <w:i/>
          <w:sz w:val="22"/>
          <w:szCs w:val="22"/>
          <w:lang w:val="es-MX" w:eastAsia="en-U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7E0F14" w:rsidRDefault="00901206" w:rsidP="00E6261D">
      <w:pPr>
        <w:spacing w:before="100" w:beforeAutospacing="1" w:after="100" w:afterAutospacing="1" w:line="360" w:lineRule="auto"/>
        <w:jc w:val="both"/>
        <w:rPr>
          <w:rFonts w:ascii="Palatino Linotype" w:hAnsi="Palatino Linotype" w:cs="Segoe UI"/>
        </w:rPr>
      </w:pPr>
      <w:r>
        <w:rPr>
          <w:rFonts w:ascii="Palatino Linotype" w:hAnsi="Palatino Linotype" w:cs="Segoe UI"/>
        </w:rPr>
        <w:t xml:space="preserve">En relación con la parte de la solicitud  en donde la parte recurrente menciona que la información la requiere de una manera determinada, se le hace del conocimiento que los Sujetos Obligados sólo están constreñidos a </w:t>
      </w:r>
      <w:r w:rsidR="00B908EB">
        <w:rPr>
          <w:rFonts w:ascii="Palatino Linotype" w:hAnsi="Palatino Linotype" w:cs="Segoe UI"/>
        </w:rPr>
        <w:t>proporcionar la información que se les requiera y que obre en sus archivos, no comprendiendo el procesamiento de la misma, ni presentarla conforme al interés del solicitante, lo anterior queda estipulado en el artículo 12 de la Ley de la materia, que invoca a continuación, para mayor referencia:</w:t>
      </w:r>
    </w:p>
    <w:p w:rsidR="00B908EB" w:rsidRPr="00752B88" w:rsidRDefault="00B908EB" w:rsidP="00B908EB">
      <w:pPr>
        <w:spacing w:before="100" w:beforeAutospacing="1" w:after="100" w:afterAutospacing="1"/>
        <w:ind w:left="851" w:right="851"/>
        <w:jc w:val="both"/>
        <w:rPr>
          <w:rFonts w:ascii="Palatino Linotype" w:hAnsi="Palatino Linotype" w:cs="Segoe UI"/>
          <w:i/>
          <w:sz w:val="22"/>
        </w:rPr>
      </w:pPr>
      <w:r w:rsidRPr="00752B88">
        <w:rPr>
          <w:rFonts w:ascii="Palatino Linotype" w:hAnsi="Palatino Linotype" w:cs="Segoe UI"/>
          <w:i/>
          <w:sz w:val="22"/>
        </w:rPr>
        <w:t xml:space="preserve">“Artículo 12. Quienes generen, recopilen, administren, manejen, procesen, archiven o conserven información pública serán responsables de la misma en los términos de las disposiciones jurídicas aplicables. </w:t>
      </w:r>
    </w:p>
    <w:p w:rsidR="00B908EB" w:rsidRPr="00752B88" w:rsidRDefault="00B908EB" w:rsidP="00B908EB">
      <w:pPr>
        <w:spacing w:before="100" w:beforeAutospacing="1" w:after="100" w:afterAutospacing="1"/>
        <w:ind w:left="851" w:right="851"/>
        <w:jc w:val="both"/>
        <w:rPr>
          <w:rFonts w:ascii="Palatino Linotype" w:hAnsi="Palatino Linotype" w:cs="Segoe UI"/>
          <w:i/>
          <w:sz w:val="22"/>
        </w:rPr>
      </w:pPr>
      <w:r w:rsidRPr="00752B88">
        <w:rPr>
          <w:rFonts w:ascii="Palatino Linotype" w:hAnsi="Palatino Linotype" w:cs="Segoe UI"/>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A5E4E" w:rsidRDefault="00B908EB" w:rsidP="00E6261D">
      <w:pPr>
        <w:spacing w:before="100" w:beforeAutospacing="1" w:after="100" w:afterAutospacing="1" w:line="360" w:lineRule="auto"/>
        <w:jc w:val="both"/>
        <w:rPr>
          <w:rFonts w:ascii="Palatino Linotype" w:hAnsi="Palatino Linotype" w:cs="Segoe UI"/>
        </w:rPr>
      </w:pPr>
      <w:r>
        <w:rPr>
          <w:rFonts w:ascii="Palatino Linotype" w:hAnsi="Palatino Linotype" w:cs="Segoe UI"/>
        </w:rPr>
        <w:lastRenderedPageBreak/>
        <w:t>Del precepto jurídico anterior, se desprende que si bien la parte solicitante pidió la información de una manera determinada, el Sujeto Obligado, si la generó la proporcionará en el estado en el que se encuentre.</w:t>
      </w:r>
    </w:p>
    <w:p w:rsidR="0047095B" w:rsidRDefault="0047095B" w:rsidP="00E6261D">
      <w:pPr>
        <w:spacing w:before="100" w:beforeAutospacing="1" w:after="100" w:afterAutospacing="1" w:line="360" w:lineRule="auto"/>
        <w:jc w:val="both"/>
        <w:rPr>
          <w:rFonts w:ascii="Palatino Linotype" w:hAnsi="Palatino Linotype" w:cs="Segoe UI"/>
          <w:bCs/>
        </w:rPr>
      </w:pPr>
      <w:r>
        <w:rPr>
          <w:rFonts w:ascii="Palatino Linotype" w:hAnsi="Palatino Linotype" w:cs="Segoe UI"/>
        </w:rPr>
        <w:t xml:space="preserve">No pasa desapercibido para este Órgano Garante, que la información es solicitada de los años 2010 al 2016, pero cabe hacer mención que la creación del </w:t>
      </w:r>
      <w:r w:rsidRPr="0047095B">
        <w:rPr>
          <w:rFonts w:ascii="Palatino Linotype" w:hAnsi="Palatino Linotype" w:cs="Segoe UI"/>
          <w:bCs/>
        </w:rPr>
        <w:t>Centro Regional de Formación Docente E Investigación Educativa</w:t>
      </w:r>
      <w:r w:rsidR="00373ECA">
        <w:rPr>
          <w:rFonts w:ascii="Palatino Linotype" w:hAnsi="Palatino Linotype" w:cs="Segoe UI"/>
          <w:bCs/>
        </w:rPr>
        <w:t>, fue mediante d</w:t>
      </w:r>
      <w:r w:rsidR="00752B88">
        <w:rPr>
          <w:rFonts w:ascii="Palatino Linotype" w:hAnsi="Palatino Linotype" w:cs="Segoe UI"/>
          <w:bCs/>
        </w:rPr>
        <w:t>ecreto del 24 de octubre de 2012</w:t>
      </w:r>
      <w:r w:rsidR="00373ECA">
        <w:rPr>
          <w:rFonts w:ascii="Palatino Linotype" w:hAnsi="Palatino Linotype" w:cs="Segoe UI"/>
          <w:bCs/>
        </w:rPr>
        <w:t>, entrando en vigor al día siguiente de su publicación, como se verá en seguida en el segundo artículo transitorio del Decreto del cual ya se hizo referencia en líneas anteriores:</w:t>
      </w:r>
    </w:p>
    <w:p w:rsidR="00752B88" w:rsidRDefault="00752B88" w:rsidP="00752B88">
      <w:pPr>
        <w:spacing w:before="100" w:beforeAutospacing="1" w:after="100" w:afterAutospacing="1" w:line="360" w:lineRule="auto"/>
        <w:jc w:val="center"/>
        <w:rPr>
          <w:rFonts w:ascii="Palatino Linotype" w:hAnsi="Palatino Linotype" w:cs="Segoe UI"/>
        </w:rPr>
      </w:pPr>
      <w:r>
        <w:rPr>
          <w:noProof/>
          <w:lang w:val="es-MX" w:eastAsia="es-MX"/>
        </w:rPr>
        <w:drawing>
          <wp:inline distT="0" distB="0" distL="0" distR="0" wp14:anchorId="1B8B13FB" wp14:editId="74190A9A">
            <wp:extent cx="5318759" cy="8666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610" t="19396" r="4774" b="56669"/>
                    <a:stretch/>
                  </pic:blipFill>
                  <pic:spPr bwMode="auto">
                    <a:xfrm>
                      <a:off x="0" y="0"/>
                      <a:ext cx="5341461" cy="870391"/>
                    </a:xfrm>
                    <a:prstGeom prst="rect">
                      <a:avLst/>
                    </a:prstGeom>
                    <a:ln>
                      <a:noFill/>
                    </a:ln>
                    <a:extLst>
                      <a:ext uri="{53640926-AAD7-44D8-BBD7-CCE9431645EC}">
                        <a14:shadowObscured xmlns:a14="http://schemas.microsoft.com/office/drawing/2010/main"/>
                      </a:ext>
                    </a:extLst>
                  </pic:spPr>
                </pic:pic>
              </a:graphicData>
            </a:graphic>
          </wp:inline>
        </w:drawing>
      </w:r>
    </w:p>
    <w:p w:rsidR="00373ECA" w:rsidRDefault="00373ECA" w:rsidP="00E6261D">
      <w:pPr>
        <w:spacing w:before="100" w:beforeAutospacing="1" w:after="100" w:afterAutospacing="1" w:line="360" w:lineRule="auto"/>
        <w:jc w:val="both"/>
        <w:rPr>
          <w:rFonts w:ascii="Palatino Linotype" w:hAnsi="Palatino Linotype" w:cs="Segoe UI"/>
        </w:rPr>
      </w:pPr>
      <w:r>
        <w:rPr>
          <w:rFonts w:ascii="Palatino Linotype" w:hAnsi="Palatino Linotype" w:cs="Segoe UI"/>
        </w:rPr>
        <w:t>Por tal motivo, es imposible ordenar la información respectiva a los años 2010 y 2011 y solo será dable ordenar la información a partir del 25 de octubre de 2012.</w:t>
      </w:r>
    </w:p>
    <w:p w:rsidR="00B908EB" w:rsidRDefault="00B908EB" w:rsidP="00E6261D">
      <w:pPr>
        <w:spacing w:before="100" w:beforeAutospacing="1" w:after="100" w:afterAutospacing="1" w:line="360" w:lineRule="auto"/>
        <w:jc w:val="both"/>
        <w:rPr>
          <w:rFonts w:ascii="Palatino Linotype" w:hAnsi="Palatino Linotype" w:cs="Segoe UI"/>
        </w:rPr>
      </w:pPr>
      <w:r>
        <w:rPr>
          <w:rFonts w:ascii="Palatino Linotype" w:hAnsi="Palatino Linotype" w:cs="Segoe UI"/>
        </w:rPr>
        <w:t xml:space="preserve">De modo que, de la totalidad del análisis, es dable ordenar la información solicitada por la parte recurrente </w:t>
      </w:r>
      <w:r>
        <w:rPr>
          <w:rFonts w:ascii="Palatino Linotype" w:eastAsia="Times New Roman" w:hAnsi="Palatino Linotype" w:cs="Arial"/>
          <w:szCs w:val="22"/>
          <w:lang w:val="es-MX" w:eastAsia="en-US"/>
        </w:rPr>
        <w:t xml:space="preserve">en razón de que una vez vistas sus atribuciones y ante la incertidumbre </w:t>
      </w:r>
      <w:r w:rsidR="0043288F">
        <w:rPr>
          <w:rFonts w:ascii="Palatino Linotype" w:eastAsia="Times New Roman" w:hAnsi="Palatino Linotype" w:cs="Arial"/>
          <w:szCs w:val="22"/>
          <w:lang w:val="es-MX" w:eastAsia="en-US"/>
        </w:rPr>
        <w:t xml:space="preserve">por la falta de pronunciamiento del Sujeto Obligado, de que </w:t>
      </w:r>
      <w:r>
        <w:rPr>
          <w:rFonts w:ascii="Palatino Linotype" w:eastAsia="Times New Roman" w:hAnsi="Palatino Linotype" w:cs="Arial"/>
          <w:szCs w:val="22"/>
          <w:lang w:val="es-MX" w:eastAsia="en-US"/>
        </w:rPr>
        <w:t>pudo realizar contratos en diversas materias y para diversos actos</w:t>
      </w:r>
      <w:r w:rsidR="0043288F">
        <w:rPr>
          <w:rFonts w:ascii="Palatino Linotype" w:eastAsia="Times New Roman" w:hAnsi="Palatino Linotype" w:cs="Arial"/>
          <w:szCs w:val="22"/>
          <w:lang w:val="es-MX" w:eastAsia="en-US"/>
        </w:rPr>
        <w:t xml:space="preserve"> con las empresas que refirió el recurrente</w:t>
      </w:r>
      <w:r>
        <w:rPr>
          <w:rFonts w:ascii="Palatino Linotype" w:eastAsia="Times New Roman" w:hAnsi="Palatino Linotype" w:cs="Arial"/>
          <w:szCs w:val="22"/>
          <w:lang w:val="es-MX" w:eastAsia="en-US"/>
        </w:rPr>
        <w:t>, pero para el caso de que el Sujeto Obligado no tenga la información, bastará con q</w:t>
      </w:r>
      <w:r w:rsidR="0043288F">
        <w:rPr>
          <w:rFonts w:ascii="Palatino Linotype" w:eastAsia="Times New Roman" w:hAnsi="Palatino Linotype" w:cs="Arial"/>
          <w:szCs w:val="22"/>
          <w:lang w:val="es-MX" w:eastAsia="en-US"/>
        </w:rPr>
        <w:t>ue se pronuncie en tal sentido.</w:t>
      </w:r>
    </w:p>
    <w:p w:rsidR="003726C0" w:rsidRDefault="003726C0" w:rsidP="00922000">
      <w:pPr>
        <w:spacing w:before="100" w:beforeAutospacing="1" w:after="100" w:afterAutospacing="1" w:line="360" w:lineRule="auto"/>
        <w:jc w:val="both"/>
        <w:rPr>
          <w:rFonts w:ascii="Palatino Linotype" w:hAnsi="Palatino Linotype" w:cs="Arial"/>
          <w:bCs/>
        </w:rPr>
      </w:pPr>
      <w:r>
        <w:rPr>
          <w:rFonts w:ascii="Palatino Linotype" w:hAnsi="Palatino Linotype" w:cs="Arial"/>
          <w:bCs/>
        </w:rPr>
        <w:lastRenderedPageBreak/>
        <w:t>Finalmente, toda vez que el presente recurso de revisión tuvo como origen la falta de respuesta por parte del Sujeto Obligado en el plazo que tienen los Sujetos Obligados para atender las solicitudes de información que les son formuladas, de conformidad, según lo que establece el artículo 163 de la Ley de Transparencia y Acceso a la Información Pública del Estado de México y Municipios; en observancia de los que señala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funciones determine lo conducente.</w:t>
      </w:r>
    </w:p>
    <w:p w:rsidR="00C57CBA" w:rsidRDefault="00C57CBA" w:rsidP="00C57CBA">
      <w:pPr>
        <w:spacing w:before="100" w:beforeAutospacing="1" w:after="100" w:afterAutospacing="1" w:line="360" w:lineRule="auto"/>
        <w:ind w:right="-425"/>
        <w:jc w:val="both"/>
        <w:rPr>
          <w:rFonts w:ascii="Palatino Linotype" w:hAnsi="Palatino Linotype"/>
          <w:b/>
          <w:color w:val="000000"/>
        </w:rPr>
      </w:pPr>
      <w:r>
        <w:rPr>
          <w:rFonts w:ascii="Palatino Linotype" w:hAnsi="Palatino Linotype"/>
          <w:b/>
          <w:color w:val="000000"/>
        </w:rPr>
        <w:t>QUINTO. Versión Pública.</w:t>
      </w:r>
      <w:r>
        <w:rPr>
          <w:rFonts w:ascii="Palatino Linotype" w:hAnsi="Palatino Linotype" w:cs="Arial"/>
          <w:bCs/>
        </w:rPr>
        <w:t xml:space="preserve"> Respecto de los documentos que se ordena su entrega, </w:t>
      </w:r>
      <w:r>
        <w:rPr>
          <w:rFonts w:ascii="Palatino Linotype" w:hAnsi="Palatino Linotype" w:cs="Arial"/>
        </w:rPr>
        <w:t>resulta oportuno observar lo dispuesto en los artículos 3, fracciones IX, XX, XXI y XLV; 4, 51, 91, 137 y 143,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al contener datos personales, deberá realizar una versión pública en la que se suprima aquella información relacionada con la vida privada de los particulares y de los servidores públicos.</w:t>
      </w:r>
    </w:p>
    <w:p w:rsidR="00C57CBA" w:rsidRDefault="00C57CBA" w:rsidP="00C57CBA">
      <w:pPr>
        <w:spacing w:before="100" w:beforeAutospacing="1" w:after="100" w:afterAutospacing="1" w:line="360" w:lineRule="auto"/>
        <w:ind w:right="-425"/>
        <w:jc w:val="both"/>
        <w:rPr>
          <w:rFonts w:ascii="Palatino Linotype" w:hAnsi="Palatino Linotype" w:cs="Arial"/>
        </w:rPr>
      </w:pPr>
      <w:r>
        <w:rPr>
          <w:rFonts w:ascii="Palatino Linotype" w:hAnsi="Palatino Linotype" w:cs="Arial"/>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w:t>
      </w:r>
      <w:r>
        <w:rPr>
          <w:rFonts w:ascii="Palatino Linotype" w:hAnsi="Palatino Linotype" w:cs="Arial"/>
        </w:rPr>
        <w:lastRenderedPageBreak/>
        <w:t>tal como lo disponen los artículos 22, 38 y 43 de la Ley de Protección de Datos Personales en Posesión de Sujetos Obligados del Estado de México y Municipios.</w:t>
      </w:r>
    </w:p>
    <w:p w:rsidR="00C57CBA" w:rsidRDefault="00C57CBA" w:rsidP="00C57CBA">
      <w:pPr>
        <w:spacing w:before="100" w:beforeAutospacing="1" w:after="100" w:afterAutospacing="1" w:line="360" w:lineRule="auto"/>
        <w:ind w:right="-425"/>
        <w:jc w:val="both"/>
        <w:rPr>
          <w:rFonts w:ascii="Palatino Linotype" w:hAnsi="Palatino Linotype" w:cs="Arial"/>
        </w:rPr>
      </w:pPr>
      <w:r>
        <w:rPr>
          <w:rFonts w:ascii="Palatino Linotype" w:hAnsi="Palatino Linotype" w:cs="Arial"/>
        </w:rPr>
        <w:t>De este modo, en armonía con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C57CBA" w:rsidRDefault="00C57CBA" w:rsidP="00C57CBA">
      <w:pPr>
        <w:spacing w:before="240" w:after="240" w:line="360" w:lineRule="auto"/>
        <w:jc w:val="both"/>
        <w:rPr>
          <w:rFonts w:ascii="Palatino Linotype" w:eastAsia="Times New Roman" w:hAnsi="Palatino Linotype" w:cs="Arial"/>
          <w:lang w:val="es-MX"/>
        </w:rPr>
      </w:pPr>
      <w:r>
        <w:rPr>
          <w:rFonts w:ascii="Palatino Linotype" w:hAnsi="Palatino Linotype" w:cs="Arial"/>
        </w:rPr>
        <w:t xml:space="preserve">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w:t>
      </w:r>
      <w:r>
        <w:rPr>
          <w:rFonts w:ascii="Palatino Linotype" w:hAnsi="Palatino Linotype" w:cs="Arial"/>
          <w:b/>
        </w:rPr>
        <w:t>Registro Federal de Contribuyentes</w:t>
      </w:r>
      <w:r>
        <w:rPr>
          <w:rFonts w:ascii="Palatino Linotype" w:hAnsi="Palatino Linotype" w:cs="Arial"/>
        </w:rPr>
        <w:t xml:space="preserve"> (RFC), la </w:t>
      </w:r>
      <w:r>
        <w:rPr>
          <w:rFonts w:ascii="Palatino Linotype" w:hAnsi="Palatino Linotype" w:cs="Arial"/>
          <w:b/>
        </w:rPr>
        <w:t>Clave Única de Registro de Población</w:t>
      </w:r>
      <w:r>
        <w:rPr>
          <w:rFonts w:ascii="Palatino Linotype" w:hAnsi="Palatino Linotype" w:cs="Arial"/>
        </w:rPr>
        <w:t xml:space="preserve"> (CURP), así como números de cuentas bancarias, </w:t>
      </w:r>
      <w:r>
        <w:rPr>
          <w:rFonts w:ascii="Palatino Linotype" w:eastAsia="Times New Roman" w:hAnsi="Palatino Linotype" w:cs="Arial"/>
        </w:rPr>
        <w:t xml:space="preserve">las </w:t>
      </w:r>
      <w:r>
        <w:rPr>
          <w:rFonts w:ascii="Palatino Linotype" w:eastAsia="Times New Roman" w:hAnsi="Palatino Linotype" w:cs="Arial"/>
          <w:b/>
        </w:rPr>
        <w:t>Cadenas Originales de Sellos</w:t>
      </w:r>
      <w:r>
        <w:rPr>
          <w:rFonts w:ascii="Palatino Linotype" w:eastAsia="Times New Roman" w:hAnsi="Palatino Linotype" w:cs="Arial"/>
        </w:rPr>
        <w:t xml:space="preserve"> </w:t>
      </w:r>
      <w:r>
        <w:rPr>
          <w:rFonts w:ascii="Palatino Linotype" w:eastAsia="Times New Roman" w:hAnsi="Palatino Linotype" w:cs="Arial"/>
          <w:b/>
        </w:rPr>
        <w:t>Digitales</w:t>
      </w:r>
      <w:r>
        <w:rPr>
          <w:rFonts w:ascii="Palatino Linotype" w:eastAsia="Times New Roman" w:hAnsi="Palatino Linotype" w:cs="Arial"/>
        </w:rPr>
        <w:t xml:space="preserve">, los </w:t>
      </w:r>
      <w:r>
        <w:rPr>
          <w:rFonts w:ascii="Palatino Linotype" w:eastAsia="Times New Roman" w:hAnsi="Palatino Linotype" w:cs="Arial"/>
          <w:b/>
        </w:rPr>
        <w:t>Códigos Bidimensionales</w:t>
      </w:r>
      <w:r>
        <w:rPr>
          <w:rFonts w:ascii="Palatino Linotype" w:eastAsia="Times New Roman" w:hAnsi="Palatino Linotype" w:cs="Arial"/>
        </w:rPr>
        <w:t xml:space="preserve">, también denominados </w:t>
      </w:r>
      <w:r>
        <w:rPr>
          <w:rFonts w:ascii="Palatino Linotype" w:eastAsia="Times New Roman" w:hAnsi="Palatino Linotype" w:cs="Arial"/>
          <w:b/>
        </w:rPr>
        <w:t xml:space="preserve">Códigos QR </w:t>
      </w:r>
      <w:r>
        <w:rPr>
          <w:rFonts w:ascii="Palatino Linotype" w:eastAsia="Times New Roman" w:hAnsi="Palatino Linotype" w:cs="Arial"/>
        </w:rPr>
        <w:t>y números de cuenta.</w:t>
      </w:r>
    </w:p>
    <w:p w:rsidR="00C57CBA" w:rsidRDefault="00C57CBA" w:rsidP="00C57CBA">
      <w:pPr>
        <w:autoSpaceDE w:val="0"/>
        <w:autoSpaceDN w:val="0"/>
        <w:adjustRightInd w:val="0"/>
        <w:spacing w:before="100" w:beforeAutospacing="1" w:after="100" w:afterAutospacing="1" w:line="360" w:lineRule="auto"/>
        <w:ind w:right="-425"/>
        <w:jc w:val="both"/>
        <w:rPr>
          <w:rFonts w:ascii="Palatino Linotype" w:eastAsia="Times New Roman" w:hAnsi="Palatino Linotype" w:cs="Arial"/>
        </w:rPr>
      </w:pPr>
      <w:r>
        <w:rPr>
          <w:rFonts w:ascii="Palatino Linotype" w:eastAsia="Times New Roman" w:hAnsi="Palatino Linotype" w:cs="Arial"/>
          <w:lang w:eastAsia="es-MX"/>
        </w:rPr>
        <w:t>En cuanto al RFC, este constituye un dato personal, ya que para su obtención es necesario acreditar ante la autoridad fiscal previamente la identidad de la persona, su fecha de nacimiento, entre otros aspectos.</w:t>
      </w:r>
    </w:p>
    <w:p w:rsidR="00C57CBA" w:rsidRDefault="00C57CBA" w:rsidP="00C57CBA">
      <w:pPr>
        <w:spacing w:before="100" w:beforeAutospacing="1" w:after="100" w:afterAutospacing="1" w:line="360" w:lineRule="auto"/>
        <w:ind w:right="-425"/>
        <w:jc w:val="both"/>
        <w:rPr>
          <w:rFonts w:ascii="Palatino Linotype" w:eastAsia="Times New Roman" w:hAnsi="Palatino Linotype" w:cs="Arial"/>
          <w:lang w:eastAsia="es-MX"/>
        </w:rPr>
      </w:pPr>
      <w:r>
        <w:rPr>
          <w:rFonts w:ascii="Palatino Linotype" w:eastAsia="Times New Roman"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C57CBA" w:rsidRDefault="00C57CBA" w:rsidP="00C57CBA">
      <w:pPr>
        <w:spacing w:before="100" w:beforeAutospacing="1" w:after="100" w:afterAutospacing="1" w:line="360" w:lineRule="auto"/>
        <w:ind w:right="-425"/>
        <w:jc w:val="both"/>
        <w:rPr>
          <w:rFonts w:ascii="Palatino Linotype" w:eastAsia="Times New Roman" w:hAnsi="Palatino Linotype" w:cs="Arial"/>
          <w:lang w:eastAsia="es-MX"/>
        </w:rPr>
      </w:pPr>
      <w:r>
        <w:rPr>
          <w:rFonts w:ascii="Palatino Linotype" w:eastAsia="Times New Roman" w:hAnsi="Palatino Linotype" w:cs="Arial"/>
          <w:lang w:eastAsia="es-MX"/>
        </w:rPr>
        <w:lastRenderedPageBreak/>
        <w:t>Lo anterior es compartido por el Instituto Nacional de Acceso a la Información Pública y Protección de Datos Personales (INAI) a través del Criterio 19/17, el cual es del tenor literal siguiente:</w:t>
      </w:r>
    </w:p>
    <w:p w:rsidR="00C57CBA" w:rsidRDefault="00C57CBA" w:rsidP="00C57CBA">
      <w:pPr>
        <w:autoSpaceDE w:val="0"/>
        <w:autoSpaceDN w:val="0"/>
        <w:adjustRightInd w:val="0"/>
        <w:spacing w:before="100" w:beforeAutospacing="1" w:after="100" w:afterAutospacing="1"/>
        <w:ind w:left="851" w:right="851"/>
        <w:jc w:val="both"/>
        <w:rPr>
          <w:rFonts w:ascii="Palatino Linotype" w:eastAsia="Times New Roman" w:hAnsi="Palatino Linotype" w:cs="Arial"/>
          <w:b/>
          <w:bCs/>
          <w:i/>
          <w:sz w:val="22"/>
          <w:szCs w:val="22"/>
          <w:lang w:val="es-MX"/>
        </w:rPr>
      </w:pPr>
      <w:r>
        <w:rPr>
          <w:rFonts w:ascii="Palatino Linotype" w:eastAsia="Times New Roman" w:hAnsi="Palatino Linotype" w:cs="Arial"/>
          <w:b/>
          <w:bCs/>
          <w:i/>
          <w:sz w:val="22"/>
          <w:szCs w:val="22"/>
        </w:rPr>
        <w:t>“</w:t>
      </w:r>
      <w:r>
        <w:rPr>
          <w:rFonts w:ascii="Palatino Linotype" w:eastAsia="Times New Roman" w:hAnsi="Palatino Linotype" w:cs="Arial"/>
          <w:b/>
          <w:bCs/>
          <w:i/>
          <w:sz w:val="22"/>
          <w:szCs w:val="22"/>
          <w:lang w:val="es-MX"/>
        </w:rPr>
        <w:t>Registro Federal de Contribuyentes (RFC) de personas físicas.</w:t>
      </w:r>
      <w:r>
        <w:rPr>
          <w:rFonts w:ascii="Palatino Linotype" w:eastAsia="Times New Roman" w:hAnsi="Palatino Linotype" w:cs="Arial"/>
          <w:bCs/>
          <w:i/>
          <w:sz w:val="22"/>
          <w:szCs w:val="22"/>
          <w:lang w:val="es-MX"/>
        </w:rPr>
        <w:t xml:space="preserve"> El RFC es una clave de carácter fiscal, única e irrepetible, que permite identificar al titular, su edad y fecha de nacimiento, por lo que es un dato personal de carácter confidencial</w:t>
      </w:r>
      <w:r>
        <w:rPr>
          <w:rFonts w:ascii="Palatino Linotype" w:eastAsia="Times New Roman" w:hAnsi="Palatino Linotype" w:cs="Arial"/>
          <w:b/>
          <w:bCs/>
          <w:i/>
          <w:sz w:val="22"/>
          <w:szCs w:val="22"/>
          <w:lang w:val="es-MX"/>
        </w:rPr>
        <w:t>.”</w:t>
      </w:r>
    </w:p>
    <w:p w:rsidR="00C57CBA" w:rsidRDefault="00C57CBA" w:rsidP="00C57CBA">
      <w:pPr>
        <w:spacing w:before="100" w:beforeAutospacing="1" w:after="100" w:afterAutospacing="1" w:line="360" w:lineRule="auto"/>
        <w:ind w:right="-425"/>
        <w:jc w:val="both"/>
        <w:rPr>
          <w:rFonts w:ascii="Palatino Linotype" w:hAnsi="Palatino Linotype" w:cs="Arial"/>
          <w:lang w:eastAsia="es-MX"/>
        </w:rPr>
      </w:pPr>
      <w:r>
        <w:rPr>
          <w:rFonts w:ascii="Palatino Linotype" w:hAnsi="Palatino Linotype" w:cs="Arial"/>
          <w:lang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w:t>
      </w:r>
    </w:p>
    <w:p w:rsidR="00C57CBA" w:rsidRDefault="00C57CBA" w:rsidP="00C57CBA">
      <w:pPr>
        <w:pStyle w:val="Sinespaciado"/>
        <w:spacing w:before="100" w:beforeAutospacing="1" w:after="100" w:afterAutospacing="1" w:line="360" w:lineRule="auto"/>
        <w:ind w:right="-425"/>
        <w:jc w:val="both"/>
        <w:rPr>
          <w:rFonts w:ascii="Palatino Linotype" w:eastAsia="Calibri" w:hAnsi="Palatino Linotype" w:cs="Arial"/>
          <w:lang w:eastAsia="es-MX"/>
        </w:rPr>
      </w:pPr>
      <w:r>
        <w:rPr>
          <w:rFonts w:ascii="Palatino Linotype" w:hAnsi="Palatino Linotype" w:cs="Arial"/>
          <w:lang w:eastAsia="es-MX"/>
        </w:rPr>
        <w:t xml:space="preserve">En cuanto al </w:t>
      </w:r>
      <w:r>
        <w:rPr>
          <w:rFonts w:ascii="Palatino Linotype" w:hAnsi="Palatino Linotype" w:cs="Arial"/>
        </w:rPr>
        <w:t xml:space="preserve">CURP, en virtud de que éste se </w:t>
      </w:r>
      <w:r>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C57CBA" w:rsidRDefault="00C57CBA" w:rsidP="00C57CBA">
      <w:pPr>
        <w:spacing w:before="240" w:after="240" w:line="360" w:lineRule="auto"/>
        <w:jc w:val="both"/>
        <w:rPr>
          <w:rFonts w:ascii="Palatino Linotype" w:eastAsia="Times New Roman" w:hAnsi="Palatino Linotype" w:cs="Arial"/>
        </w:rPr>
      </w:pPr>
      <w:r>
        <w:rPr>
          <w:rFonts w:ascii="Palatino Linotype" w:eastAsia="Times New Roman" w:hAnsi="Palatino Linotype" w:cs="Arial"/>
        </w:rPr>
        <w:t xml:space="preserve">Argumento que es compartido por el entonces </w:t>
      </w:r>
      <w:r>
        <w:rPr>
          <w:rFonts w:ascii="Palatino Linotype" w:eastAsia="Times New Roman" w:hAnsi="Palatino Linotype" w:cs="Arial"/>
          <w:lang w:eastAsia="es-MX"/>
        </w:rPr>
        <w:t>Instituto Nacional de Acceso a la Información Pública y Protección de Datos Personales (INAI)</w:t>
      </w:r>
      <w:r>
        <w:rPr>
          <w:rFonts w:ascii="Palatino Linotype" w:eastAsia="Times New Roman" w:hAnsi="Palatino Linotype" w:cs="Arial"/>
          <w:bCs/>
        </w:rPr>
        <w:t xml:space="preserve">, conforme al </w:t>
      </w:r>
      <w:r>
        <w:rPr>
          <w:rFonts w:ascii="Palatino Linotype" w:eastAsia="Times New Roman" w:hAnsi="Palatino Linotype" w:cs="Arial"/>
        </w:rPr>
        <w:t xml:space="preserve">criterio número 18/17, el cual refiere: </w:t>
      </w:r>
    </w:p>
    <w:p w:rsidR="00C57CBA" w:rsidRDefault="00C57CBA" w:rsidP="00C57CBA">
      <w:pPr>
        <w:autoSpaceDE w:val="0"/>
        <w:autoSpaceDN w:val="0"/>
        <w:adjustRightInd w:val="0"/>
        <w:spacing w:before="240" w:after="240"/>
        <w:ind w:left="851" w:right="900"/>
        <w:jc w:val="both"/>
        <w:rPr>
          <w:rFonts w:ascii="Palatino Linotype" w:eastAsia="Times New Roman" w:hAnsi="Palatino Linotype" w:cs="Arial"/>
          <w:i/>
          <w:sz w:val="22"/>
          <w:lang w:eastAsia="es-MX"/>
        </w:rPr>
      </w:pPr>
      <w:r>
        <w:rPr>
          <w:rFonts w:ascii="Palatino Linotype" w:eastAsia="Times New Roman" w:hAnsi="Palatino Linotype" w:cs="Arial"/>
          <w:b/>
          <w:bCs/>
          <w:i/>
          <w:sz w:val="22"/>
          <w:lang w:eastAsia="es-MX"/>
        </w:rPr>
        <w:t xml:space="preserve">“Clave Única de Registro de Población (CURP). </w:t>
      </w:r>
      <w:r>
        <w:rPr>
          <w:rFonts w:ascii="Palatino Linotype" w:eastAsia="Times New Roman" w:hAnsi="Palatino Linotype" w:cs="Arial"/>
          <w:bCs/>
          <w:i/>
          <w:sz w:val="22"/>
          <w:lang w:eastAsia="es-MX"/>
        </w:rPr>
        <w:t xml:space="preserve">La Clave Única de Registro de Población se integra por datos personales que sólo conciernen al particular titular de la misma, como lo son su nombre, apellidos, fecha de nacimiento, lugar </w:t>
      </w:r>
      <w:r>
        <w:rPr>
          <w:rFonts w:ascii="Palatino Linotype" w:eastAsia="Times New Roman" w:hAnsi="Palatino Linotype" w:cs="Arial"/>
          <w:bCs/>
          <w:i/>
          <w:sz w:val="22"/>
          <w:lang w:eastAsia="es-MX"/>
        </w:rPr>
        <w:lastRenderedPageBreak/>
        <w:t>de nacimiento y sexo. Dichos datos, constituyen información que distingue plenamente a una persona física del resto de los habitantes del país, por lo que la CURP está considerada como información confidencial</w:t>
      </w:r>
      <w:r>
        <w:rPr>
          <w:rFonts w:ascii="Palatino Linotype" w:eastAsia="Times New Roman" w:hAnsi="Palatino Linotype" w:cs="Arial"/>
          <w:b/>
          <w:bCs/>
          <w:i/>
          <w:sz w:val="22"/>
          <w:lang w:eastAsia="es-MX"/>
        </w:rPr>
        <w:t>.</w:t>
      </w:r>
      <w:r>
        <w:rPr>
          <w:rFonts w:ascii="Palatino Linotype" w:eastAsia="Times New Roman" w:hAnsi="Palatino Linotype" w:cs="Arial"/>
          <w:i/>
          <w:sz w:val="22"/>
          <w:lang w:eastAsia="es-MX"/>
        </w:rPr>
        <w:t>” (Sic)</w:t>
      </w:r>
    </w:p>
    <w:p w:rsidR="00C57CBA" w:rsidRDefault="00C57CBA" w:rsidP="00C57CBA">
      <w:pPr>
        <w:spacing w:line="360" w:lineRule="auto"/>
        <w:jc w:val="both"/>
        <w:rPr>
          <w:rFonts w:ascii="Palatino Linotype" w:eastAsia="Times New Roman" w:hAnsi="Palatino Linotype" w:cs="Arial"/>
        </w:rPr>
      </w:pPr>
      <w:r>
        <w:rPr>
          <w:rFonts w:ascii="Palatino Linotype" w:eastAsia="Times New Roman" w:hAnsi="Palatino Linotype" w:cs="Arial"/>
        </w:rPr>
        <w:t xml:space="preserve">Las </w:t>
      </w:r>
      <w:r>
        <w:rPr>
          <w:rFonts w:ascii="Palatino Linotype" w:eastAsia="Times New Roman" w:hAnsi="Palatino Linotype" w:cs="Arial"/>
          <w:b/>
        </w:rPr>
        <w:t>Cadenas Originales del Sellos</w:t>
      </w:r>
      <w:r>
        <w:rPr>
          <w:rFonts w:ascii="Palatino Linotype" w:eastAsia="Times New Roman" w:hAnsi="Palatino Linotype" w:cs="Arial"/>
        </w:rPr>
        <w:t xml:space="preserve"> </w:t>
      </w:r>
      <w:r>
        <w:rPr>
          <w:rFonts w:ascii="Palatino Linotype" w:eastAsia="Times New Roman" w:hAnsi="Palatino Linotype" w:cs="Arial"/>
          <w:b/>
        </w:rPr>
        <w:t>Digitales</w:t>
      </w:r>
      <w:r>
        <w:rPr>
          <w:rFonts w:ascii="Palatino Linotype" w:eastAsia="Times New Roman" w:hAnsi="Palatino Linotype" w:cs="Arial"/>
        </w:rPr>
        <w:t xml:space="preserve">, puesto que forman parte del </w:t>
      </w:r>
      <w:r>
        <w:rPr>
          <w:rFonts w:ascii="Palatino Linotype" w:eastAsia="Times New Roman" w:hAnsi="Palatino Linotype" w:cs="Arial"/>
          <w:lang w:val="es-ES_tradnl"/>
        </w:rPr>
        <w:t xml:space="preserve">certificado de sello digital, los cuales </w:t>
      </w:r>
      <w:r>
        <w:rPr>
          <w:rFonts w:ascii="Palatino Linotype" w:eastAsia="Times New Roman" w:hAnsi="Palatino Linotype" w:cs="Arial"/>
        </w:rPr>
        <w:t>son documentos electrónicos, mismos que de conformidad con el artículo 17-G y 29 del Código Fiscal de la Federación le permiten a la autoridad hacendaria federal garantizar una vinculación entre la identidad de un sujeto o entidad con su clave pública, lo hace identificable a una persona o entidad, además de que dichos certificados tienen como finalidad o propósito específico firmar digitalmente las facturas electrónicas para acreditar la autoría de los comprobantes fiscales</w:t>
      </w:r>
      <w:r>
        <w:rPr>
          <w:rFonts w:ascii="Palatino Linotype" w:eastAsia="Times New Roman" w:hAnsi="Palatino Linotype" w:cs="Arial"/>
          <w:vertAlign w:val="superscript"/>
        </w:rPr>
        <w:footnoteReference w:id="2"/>
      </w:r>
      <w:r>
        <w:rPr>
          <w:rFonts w:ascii="Palatino Linotype" w:eastAsia="Times New Roman" w:hAnsi="Palatino Linotype" w:cs="Arial"/>
        </w:rPr>
        <w:t>.</w:t>
      </w:r>
    </w:p>
    <w:p w:rsidR="00C57CBA" w:rsidRDefault="00C57CBA" w:rsidP="00C57CBA">
      <w:pPr>
        <w:spacing w:before="240" w:after="240" w:line="360" w:lineRule="auto"/>
        <w:jc w:val="both"/>
        <w:rPr>
          <w:rFonts w:ascii="Palatino Linotype" w:eastAsia="Times New Roman" w:hAnsi="Palatino Linotype" w:cs="Arial"/>
        </w:rPr>
      </w:pPr>
      <w:r>
        <w:rPr>
          <w:rFonts w:ascii="Palatino Linotype" w:eastAsia="Times New Roman" w:hAnsi="Palatino Linotype" w:cs="Arial"/>
        </w:rPr>
        <w:lastRenderedPageBreak/>
        <w:t xml:space="preserve">Los </w:t>
      </w:r>
      <w:r>
        <w:rPr>
          <w:rFonts w:ascii="Palatino Linotype" w:eastAsia="Times New Roman" w:hAnsi="Palatino Linotype" w:cs="Arial"/>
          <w:b/>
        </w:rPr>
        <w:t>Códigos Bidimensionales</w:t>
      </w:r>
      <w:r>
        <w:rPr>
          <w:rFonts w:ascii="Palatino Linotype" w:eastAsia="Times New Roman" w:hAnsi="Palatino Linotype" w:cs="Arial"/>
        </w:rPr>
        <w:t xml:space="preserve">, también denominados </w:t>
      </w:r>
      <w:r>
        <w:rPr>
          <w:rFonts w:ascii="Palatino Linotype" w:eastAsia="Times New Roman" w:hAnsi="Palatino Linotype" w:cs="Arial"/>
          <w:b/>
        </w:rPr>
        <w:t>Códigos QR</w:t>
      </w:r>
      <w:r>
        <w:rPr>
          <w:rFonts w:ascii="Palatino Linotype" w:eastAsia="Times New Roman" w:hAnsi="Palatino Linotype" w:cs="Arial"/>
        </w:rPr>
        <w:t>, al corresponder a barras en dos dimensiones que al igual a los códigos de barras o códigos unidimensionales, son utilizados para almacenar diversos tipos datos de manera codificada; los cuales a través de lectores que pueden ser obtenidos por cualquier persona, pueden obtener datos personales, no susceptibles de conocimiento público.</w:t>
      </w:r>
    </w:p>
    <w:p w:rsidR="00C57CBA" w:rsidRDefault="00C57CBA" w:rsidP="00C57CBA">
      <w:pPr>
        <w:spacing w:before="240" w:after="240" w:line="360" w:lineRule="auto"/>
        <w:ind w:right="142"/>
        <w:jc w:val="both"/>
        <w:rPr>
          <w:rFonts w:ascii="Palatino Linotype" w:hAnsi="Palatino Linotype" w:cs="Arial"/>
        </w:rPr>
      </w:pPr>
      <w:r>
        <w:rPr>
          <w:rFonts w:ascii="Palatino Linotype" w:hAnsi="Palatino Linotype" w:cs="Arial"/>
        </w:rPr>
        <w:t>Respecto de los números de cuentas bancarias, claves estandarizadas –interbancarias- (CLABES) y de tarjetas, el Pleno de este Instituto ha determinado que esa información debe clasificarse como confidencial en cuanto se refiere a las personas físicas y morales, en cuanto a los Sujetos Obligados estas se entienden publicas pero se deberá elaborar una versión pública en la que se teste los datos personales que pudieran contener, de terceros particulares.</w:t>
      </w:r>
    </w:p>
    <w:p w:rsidR="00E42440" w:rsidRPr="00E42440" w:rsidRDefault="00E42440" w:rsidP="00C57CBA">
      <w:pPr>
        <w:spacing w:before="240" w:after="240" w:line="360" w:lineRule="auto"/>
        <w:ind w:right="142"/>
        <w:jc w:val="both"/>
        <w:rPr>
          <w:rFonts w:ascii="Palatino Linotype" w:eastAsia="Times New Roman" w:hAnsi="Palatino Linotype" w:cs="Arial"/>
          <w:lang w:val="es-MX"/>
        </w:rPr>
      </w:pPr>
      <w:r>
        <w:rPr>
          <w:rFonts w:ascii="Palatino Linotype" w:eastAsia="Times New Roman" w:hAnsi="Palatino Linotype" w:cs="Arial"/>
        </w:rPr>
        <w:t>Esto es así, ya que el número de cuenta bancaria, sello y cadena se trata de información que sólo su titular o personas autorizadas poseen, entre otros elementos, para el acceso o consulta de información patrimonial, así como para la realización de operaciones bancarias de diversa índole, por lo que su difusión facilitaría a cualquier persona interesada en afectar el patrimonio del titular de la cuenta, y que además se pudieran realizar conductas tendientes a tal fin y tipificadas como delitos, con lo que se ocasionaría un serio perjuicio a su titular.</w:t>
      </w:r>
    </w:p>
    <w:p w:rsidR="00373ECA" w:rsidRDefault="00373ECA" w:rsidP="00C57CBA">
      <w:pPr>
        <w:spacing w:before="240" w:after="240" w:line="360" w:lineRule="auto"/>
        <w:ind w:right="142"/>
        <w:jc w:val="both"/>
        <w:rPr>
          <w:rFonts w:ascii="Palatino Linotype" w:hAnsi="Palatino Linotype" w:cs="Arial"/>
        </w:rPr>
      </w:pPr>
      <w:r>
        <w:rPr>
          <w:rFonts w:ascii="Palatino Linotype" w:hAnsi="Palatino Linotype" w:cs="Arial"/>
        </w:rPr>
        <w:t>En cuanto al RFC y domicilio fiscal de las empresas, este dato es público, en virtud de que se manipulan recursos públicos y se debe transparentar el destino de estos.</w:t>
      </w:r>
    </w:p>
    <w:p w:rsidR="00C57CBA" w:rsidRPr="00C57CBA" w:rsidRDefault="00C57CBA" w:rsidP="00C57CBA">
      <w:pPr>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3726C0" w:rsidRDefault="003726C0" w:rsidP="003726C0">
      <w:pPr>
        <w:spacing w:before="240" w:after="240" w:line="360" w:lineRule="auto"/>
        <w:jc w:val="both"/>
        <w:rPr>
          <w:rFonts w:ascii="Palatino Linotype" w:eastAsia="Times New Roman" w:hAnsi="Palatino Linotype" w:cs="Arial"/>
          <w:szCs w:val="22"/>
          <w:lang w:val="es-MX" w:eastAsia="en-US"/>
        </w:rPr>
      </w:pPr>
      <w:r>
        <w:rPr>
          <w:rFonts w:ascii="Palatino Linotype" w:eastAsia="Times New Roman" w:hAnsi="Palatino Linotype" w:cs="Arial"/>
          <w:szCs w:val="22"/>
          <w:lang w:val="es-MX" w:eastAsia="en-US"/>
        </w:rPr>
        <w:t xml:space="preserve">Por lo anteriormente mencionado, con fundamento en lo prescrito en los artículos 5 párrafos </w:t>
      </w:r>
      <w:r>
        <w:rPr>
          <w:rFonts w:ascii="Palatino Linotype" w:hAnsi="Palatino Linotype" w:cs="Arial"/>
        </w:rPr>
        <w:t>vigésimo, vigésimo primero</w:t>
      </w:r>
      <w:r>
        <w:rPr>
          <w:rFonts w:ascii="Palatino Linotype" w:eastAsia="Times New Roman" w:hAnsi="Palatino Linotype" w:cs="Arial"/>
          <w:szCs w:val="22"/>
          <w:lang w:val="es-MX" w:eastAsia="en-US"/>
        </w:rPr>
        <w:t xml:space="preserve"> y vigésimo segundo de la Constitución Política del Estado Libre y Soberano de México; 2, fracción II; 29, 36 fracciones I y II; 176, 178, 181, 185 de la Ley de Transparencia y Acceso a la Información Pública del Estado de México y Municipios, este Pleno:</w:t>
      </w:r>
    </w:p>
    <w:p w:rsidR="003726C0" w:rsidRDefault="003726C0" w:rsidP="003726C0">
      <w:pPr>
        <w:spacing w:before="240" w:after="360" w:line="360" w:lineRule="auto"/>
        <w:jc w:val="center"/>
        <w:rPr>
          <w:rFonts w:ascii="Palatino Linotype" w:eastAsia="Times New Roman" w:hAnsi="Palatino Linotype" w:cs="Arial"/>
          <w:b/>
          <w:sz w:val="28"/>
          <w:lang w:eastAsia="es-MX"/>
        </w:rPr>
      </w:pPr>
      <w:r>
        <w:rPr>
          <w:rFonts w:ascii="Palatino Linotype" w:eastAsia="Times New Roman" w:hAnsi="Palatino Linotype" w:cs="Arial"/>
          <w:b/>
          <w:sz w:val="28"/>
          <w:lang w:eastAsia="es-MX"/>
        </w:rPr>
        <w:t>III.</w:t>
      </w:r>
      <w:r>
        <w:rPr>
          <w:rFonts w:ascii="Palatino Linotype" w:eastAsia="Times New Roman" w:hAnsi="Palatino Linotype" w:cs="Arial"/>
          <w:b/>
          <w:sz w:val="28"/>
          <w:lang w:eastAsia="es-MX"/>
        </w:rPr>
        <w:tab/>
        <w:t>R E</w:t>
      </w:r>
      <w:r>
        <w:rPr>
          <w:rFonts w:ascii="Palatino Linotype" w:eastAsia="Times New Roman" w:hAnsi="Palatino Linotype" w:cs="Arial"/>
          <w:sz w:val="28"/>
          <w:lang w:eastAsia="es-MX"/>
        </w:rPr>
        <w:t xml:space="preserve"> </w:t>
      </w:r>
      <w:r>
        <w:rPr>
          <w:rFonts w:ascii="Palatino Linotype" w:eastAsia="Times New Roman" w:hAnsi="Palatino Linotype" w:cs="Arial"/>
          <w:b/>
          <w:sz w:val="28"/>
          <w:lang w:eastAsia="es-MX"/>
        </w:rPr>
        <w:t>S U E L V E:</w:t>
      </w:r>
    </w:p>
    <w:p w:rsidR="003726C0" w:rsidRDefault="003726C0" w:rsidP="003726C0">
      <w:pPr>
        <w:spacing w:before="240" w:after="240" w:line="360" w:lineRule="auto"/>
        <w:jc w:val="both"/>
        <w:rPr>
          <w:rFonts w:ascii="Palatino Linotype" w:eastAsia="Times New Roman" w:hAnsi="Palatino Linotype" w:cs="Arial"/>
        </w:rPr>
      </w:pPr>
      <w:r>
        <w:rPr>
          <w:rFonts w:ascii="Palatino Linotype" w:eastAsia="Times New Roman" w:hAnsi="Palatino Linotype" w:cs="Arial"/>
          <w:b/>
          <w:bCs/>
          <w:sz w:val="28"/>
        </w:rPr>
        <w:t>PRIMERO</w:t>
      </w:r>
      <w:r>
        <w:rPr>
          <w:rFonts w:ascii="Palatino Linotype" w:eastAsia="Times New Roman" w:hAnsi="Palatino Linotype" w:cs="Arial"/>
          <w:b/>
          <w:bCs/>
        </w:rPr>
        <w:t xml:space="preserve">. </w:t>
      </w:r>
      <w:r>
        <w:rPr>
          <w:rFonts w:ascii="Palatino Linotype" w:eastAsia="Times New Roman" w:hAnsi="Palatino Linotype" w:cs="Arial"/>
          <w:lang w:val="es-MX" w:eastAsia="en-US"/>
        </w:rPr>
        <w:t xml:space="preserve">Resultan fundadas las razones o motivos de inconformidad hechos valer por la parte recurrente, por lo que en términos del considerando </w:t>
      </w:r>
      <w:r>
        <w:rPr>
          <w:rFonts w:ascii="Palatino Linotype" w:eastAsia="Times New Roman" w:hAnsi="Palatino Linotype" w:cs="Arial"/>
          <w:b/>
          <w:lang w:val="es-MX" w:eastAsia="en-US"/>
        </w:rPr>
        <w:t xml:space="preserve">CUARTO </w:t>
      </w:r>
      <w:r>
        <w:rPr>
          <w:rFonts w:ascii="Palatino Linotype" w:eastAsia="Times New Roman" w:hAnsi="Palatino Linotype" w:cs="Arial"/>
          <w:lang w:val="es-MX" w:eastAsia="en-US"/>
        </w:rPr>
        <w:t>y</w:t>
      </w:r>
      <w:r>
        <w:rPr>
          <w:rFonts w:ascii="Palatino Linotype" w:eastAsia="Times New Roman" w:hAnsi="Palatino Linotype" w:cs="Arial"/>
          <w:b/>
          <w:lang w:val="es-MX" w:eastAsia="en-US"/>
        </w:rPr>
        <w:t xml:space="preserve"> QUINTO </w:t>
      </w:r>
      <w:r>
        <w:rPr>
          <w:rFonts w:ascii="Palatino Linotype" w:eastAsia="Times New Roman" w:hAnsi="Palatino Linotype" w:cs="Arial"/>
          <w:lang w:val="es-MX" w:eastAsia="en-US"/>
        </w:rPr>
        <w:t>de esta resolución</w:t>
      </w:r>
      <w:r>
        <w:rPr>
          <w:rFonts w:ascii="Palatino Linotype" w:eastAsia="Times New Roman" w:hAnsi="Palatino Linotype" w:cs="Arial"/>
        </w:rPr>
        <w:t xml:space="preserve"> se </w:t>
      </w:r>
      <w:r>
        <w:rPr>
          <w:rFonts w:ascii="Palatino Linotype" w:eastAsia="Times New Roman" w:hAnsi="Palatino Linotype" w:cs="Arial"/>
          <w:b/>
          <w:bCs/>
        </w:rPr>
        <w:t>ORDENA</w:t>
      </w:r>
      <w:r>
        <w:rPr>
          <w:rFonts w:ascii="Palatino Linotype" w:eastAsia="Times New Roman" w:hAnsi="Palatino Linotype" w:cs="Arial"/>
        </w:rPr>
        <w:t xml:space="preserve"> al </w:t>
      </w:r>
      <w:r w:rsidRPr="003726C0">
        <w:rPr>
          <w:rFonts w:ascii="Palatino Linotype" w:eastAsia="Times New Roman" w:hAnsi="Palatino Linotype" w:cs="Arial"/>
          <w:bCs/>
        </w:rPr>
        <w:t>Centro Regional de Formación Docente E Investigación Educativa</w:t>
      </w:r>
      <w:r>
        <w:rPr>
          <w:rFonts w:ascii="Palatino Linotype" w:eastAsia="Times New Roman" w:hAnsi="Palatino Linotype" w:cs="Arial"/>
        </w:rPr>
        <w:t xml:space="preserve">, </w:t>
      </w:r>
      <w:r>
        <w:rPr>
          <w:rFonts w:ascii="Palatino Linotype" w:eastAsia="Times New Roman" w:hAnsi="Palatino Linotype" w:cs="Arial"/>
          <w:bCs/>
        </w:rPr>
        <w:t>atienda la solicitud</w:t>
      </w:r>
      <w:r w:rsidR="00B90100">
        <w:rPr>
          <w:rFonts w:ascii="Palatino Linotype" w:eastAsia="Times New Roman" w:hAnsi="Palatino Linotype" w:cs="Arial"/>
          <w:bCs/>
        </w:rPr>
        <w:t xml:space="preserve"> </w:t>
      </w:r>
      <w:r>
        <w:rPr>
          <w:rFonts w:ascii="Palatino Linotype" w:eastAsia="Times New Roman" w:hAnsi="Palatino Linotype" w:cs="Arial"/>
          <w:bCs/>
        </w:rPr>
        <w:t>de información</w:t>
      </w:r>
      <w:r>
        <w:rPr>
          <w:rFonts w:ascii="Palatino Linotype" w:eastAsia="Times New Roman" w:hAnsi="Palatino Linotype" w:cs="Arial"/>
        </w:rPr>
        <w:t xml:space="preserve"> </w:t>
      </w:r>
      <w:r>
        <w:rPr>
          <w:rFonts w:ascii="Palatino Linotype" w:hAnsi="Palatino Linotype"/>
          <w:b/>
          <w:bCs/>
        </w:rPr>
        <w:t>00011/CRFDI</w:t>
      </w:r>
      <w:r w:rsidR="00B90100">
        <w:rPr>
          <w:rFonts w:ascii="Palatino Linotype" w:hAnsi="Palatino Linotype"/>
          <w:b/>
          <w:bCs/>
        </w:rPr>
        <w:t>E</w:t>
      </w:r>
      <w:r>
        <w:rPr>
          <w:rFonts w:ascii="Palatino Linotype" w:hAnsi="Palatino Linotype"/>
          <w:b/>
          <w:bCs/>
        </w:rPr>
        <w:t xml:space="preserve">/IP/2018 </w:t>
      </w:r>
      <w:r>
        <w:rPr>
          <w:rFonts w:ascii="Palatino Linotype" w:eastAsia="Times New Roman" w:hAnsi="Palatino Linotype" w:cs="Arial"/>
        </w:rPr>
        <w:t>mediante la entrega vía SAIMEX</w:t>
      </w:r>
      <w:r w:rsidR="00E6261D">
        <w:rPr>
          <w:rFonts w:ascii="Palatino Linotype" w:eastAsia="Times New Roman" w:hAnsi="Palatino Linotype" w:cs="Arial"/>
        </w:rPr>
        <w:t xml:space="preserve"> y correo electrónico, en versión pública</w:t>
      </w:r>
      <w:r>
        <w:rPr>
          <w:rFonts w:ascii="Palatino Linotype" w:eastAsia="Times New Roman" w:hAnsi="Palatino Linotype" w:cs="Arial"/>
        </w:rPr>
        <w:t xml:space="preserve">, </w:t>
      </w:r>
      <w:r w:rsidR="00E6261D">
        <w:rPr>
          <w:rFonts w:ascii="Palatino Linotype" w:eastAsia="Times New Roman" w:hAnsi="Palatino Linotype" w:cs="Arial"/>
        </w:rPr>
        <w:t>de</w:t>
      </w:r>
      <w:r>
        <w:rPr>
          <w:rFonts w:ascii="Palatino Linotype" w:eastAsia="Times New Roman" w:hAnsi="Palatino Linotype" w:cs="Arial"/>
        </w:rPr>
        <w:t xml:space="preserve"> lo siguiente:</w:t>
      </w:r>
    </w:p>
    <w:p w:rsidR="00901206" w:rsidRPr="0043288F" w:rsidRDefault="00901206" w:rsidP="00901206">
      <w:pPr>
        <w:pStyle w:val="Prrafodelista"/>
        <w:numPr>
          <w:ilvl w:val="0"/>
          <w:numId w:val="3"/>
        </w:numPr>
        <w:spacing w:before="100" w:beforeAutospacing="1" w:after="100" w:afterAutospacing="1" w:line="360" w:lineRule="auto"/>
        <w:jc w:val="both"/>
        <w:rPr>
          <w:rFonts w:ascii="Palatino Linotype" w:hAnsi="Palatino Linotype" w:cs="Arial"/>
          <w:i/>
          <w:color w:val="000000" w:themeColor="text1"/>
        </w:rPr>
      </w:pPr>
      <w:r w:rsidRPr="0043288F">
        <w:rPr>
          <w:rFonts w:ascii="Palatino Linotype" w:hAnsi="Palatino Linotype" w:cs="Arial"/>
          <w:color w:val="000000" w:themeColor="text1"/>
        </w:rPr>
        <w:t>Los contratos, órdenes de compra</w:t>
      </w:r>
      <w:r w:rsidR="006C2EF5">
        <w:rPr>
          <w:rFonts w:ascii="Palatino Linotype" w:hAnsi="Palatino Linotype" w:cs="Arial"/>
          <w:color w:val="000000" w:themeColor="text1"/>
        </w:rPr>
        <w:t xml:space="preserve"> o</w:t>
      </w:r>
      <w:r w:rsidRPr="0043288F">
        <w:rPr>
          <w:rFonts w:ascii="Palatino Linotype" w:hAnsi="Palatino Linotype" w:cs="Arial"/>
          <w:color w:val="000000" w:themeColor="text1"/>
        </w:rPr>
        <w:t xml:space="preserve"> pedidos, c</w:t>
      </w:r>
      <w:r w:rsidR="00C57CBA" w:rsidRPr="0043288F">
        <w:rPr>
          <w:rFonts w:ascii="Palatino Linotype" w:hAnsi="Palatino Linotype" w:cs="Arial"/>
          <w:color w:val="000000" w:themeColor="text1"/>
        </w:rPr>
        <w:t>onvenios modificatorios</w:t>
      </w:r>
      <w:r w:rsidR="005156BF">
        <w:rPr>
          <w:rFonts w:ascii="Palatino Linotype" w:hAnsi="Palatino Linotype" w:cs="Arial"/>
          <w:color w:val="000000" w:themeColor="text1"/>
        </w:rPr>
        <w:t xml:space="preserve"> y</w:t>
      </w:r>
      <w:r w:rsidR="00C57CBA" w:rsidRPr="0043288F">
        <w:rPr>
          <w:rFonts w:ascii="Palatino Linotype" w:hAnsi="Palatino Linotype" w:cs="Arial"/>
          <w:color w:val="000000" w:themeColor="text1"/>
        </w:rPr>
        <w:t xml:space="preserve"> ampliaciones</w:t>
      </w:r>
      <w:r w:rsidRPr="0043288F">
        <w:rPr>
          <w:rFonts w:ascii="Palatino Linotype" w:hAnsi="Palatino Linotype" w:cs="Arial"/>
          <w:color w:val="000000" w:themeColor="text1"/>
        </w:rPr>
        <w:t xml:space="preserve">, sobre pagos realizados </w:t>
      </w:r>
      <w:r w:rsidR="00373ECA">
        <w:rPr>
          <w:rFonts w:ascii="Palatino Linotype" w:hAnsi="Palatino Linotype" w:cs="Arial"/>
          <w:color w:val="000000" w:themeColor="text1"/>
        </w:rPr>
        <w:t xml:space="preserve">del periodo comprendido del 25 de </w:t>
      </w:r>
      <w:r w:rsidR="00373ECA">
        <w:rPr>
          <w:rFonts w:ascii="Palatino Linotype" w:hAnsi="Palatino Linotype" w:cs="Arial"/>
          <w:color w:val="000000" w:themeColor="text1"/>
        </w:rPr>
        <w:lastRenderedPageBreak/>
        <w:t>octubre de 2012 al 31 de diciembre de 2016,</w:t>
      </w:r>
      <w:r w:rsidRPr="0043288F">
        <w:rPr>
          <w:rFonts w:ascii="Palatino Linotype" w:hAnsi="Palatino Linotype" w:cs="Arial"/>
          <w:color w:val="000000" w:themeColor="text1"/>
        </w:rPr>
        <w:t xml:space="preserve"> referente a las empre</w:t>
      </w:r>
      <w:r w:rsidR="006C2EF5">
        <w:rPr>
          <w:rFonts w:ascii="Palatino Linotype" w:hAnsi="Palatino Linotype" w:cs="Arial"/>
          <w:color w:val="000000" w:themeColor="text1"/>
        </w:rPr>
        <w:t>sas mencionadas en la solicitud, al mayor grado de detalle posible.</w:t>
      </w:r>
    </w:p>
    <w:p w:rsidR="003726C0" w:rsidRDefault="003726C0" w:rsidP="00901206">
      <w:pPr>
        <w:spacing w:before="100" w:beforeAutospacing="1" w:after="100" w:afterAutospacing="1" w:line="360" w:lineRule="auto"/>
        <w:jc w:val="both"/>
        <w:rPr>
          <w:rFonts w:ascii="Palatino Linotype" w:hAnsi="Palatino Linotype" w:cs="Segoe UI"/>
          <w:i/>
        </w:rPr>
      </w:pPr>
      <w:r w:rsidRPr="00901206">
        <w:rPr>
          <w:rFonts w:ascii="Palatino Linotype" w:hAnsi="Palatino Linotype" w:cs="Segoe UI"/>
          <w:i/>
        </w:rPr>
        <w:t>Para la entrega en versión pública de ser el caso,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B908EB" w:rsidRPr="00B908EB" w:rsidRDefault="00B908EB" w:rsidP="00901206">
      <w:pPr>
        <w:spacing w:before="100" w:beforeAutospacing="1" w:after="100" w:afterAutospacing="1" w:line="360" w:lineRule="auto"/>
        <w:jc w:val="both"/>
        <w:rPr>
          <w:rFonts w:ascii="Palatino Linotype" w:eastAsia="Times New Roman" w:hAnsi="Palatino Linotype" w:cs="Arial"/>
          <w:bCs/>
          <w:lang w:val="es-MX" w:eastAsia="en-US"/>
        </w:rPr>
      </w:pPr>
      <w:r>
        <w:rPr>
          <w:rFonts w:ascii="Palatino Linotype" w:hAnsi="Palatino Linotype" w:cs="Segoe UI"/>
          <w:i/>
        </w:rPr>
        <w:t>Para el caso de que el Sujeto Obligado n</w:t>
      </w:r>
      <w:r w:rsidR="00E42440">
        <w:rPr>
          <w:rFonts w:ascii="Palatino Linotype" w:hAnsi="Palatino Linotype" w:cs="Segoe UI"/>
          <w:i/>
        </w:rPr>
        <w:t>o haya generado documento en alguno de los años solicitados</w:t>
      </w:r>
      <w:r>
        <w:rPr>
          <w:rFonts w:ascii="Palatino Linotype" w:hAnsi="Palatino Linotype" w:cs="Segoe UI"/>
          <w:i/>
        </w:rPr>
        <w:t>, bastará con que se pronuncie en tal sentido.</w:t>
      </w:r>
    </w:p>
    <w:p w:rsidR="003726C0" w:rsidRDefault="003726C0" w:rsidP="003726C0">
      <w:pPr>
        <w:spacing w:before="100" w:beforeAutospacing="1" w:after="100" w:afterAutospacing="1" w:line="360" w:lineRule="auto"/>
        <w:jc w:val="both"/>
        <w:rPr>
          <w:rFonts w:ascii="Palatino Linotype" w:eastAsia="Times New Roman" w:hAnsi="Palatino Linotype" w:cs="Arial"/>
          <w:lang w:val="es-MX" w:eastAsia="en-US"/>
        </w:rPr>
      </w:pPr>
      <w:r>
        <w:rPr>
          <w:rFonts w:ascii="Palatino Linotype" w:eastAsia="Times New Roman" w:hAnsi="Palatino Linotype" w:cs="Arial"/>
          <w:b/>
          <w:bCs/>
          <w:sz w:val="28"/>
          <w:lang w:val="es-MX" w:eastAsia="en-US"/>
        </w:rPr>
        <w:t>SEGUNDO</w:t>
      </w:r>
      <w:r>
        <w:rPr>
          <w:rFonts w:ascii="Palatino Linotype" w:eastAsia="Times New Roman" w:hAnsi="Palatino Linotype" w:cs="Arial"/>
          <w:b/>
          <w:bCs/>
          <w:lang w:val="es-MX" w:eastAsia="en-US"/>
        </w:rPr>
        <w:t>. NOTIFÍQUESE</w:t>
      </w:r>
      <w:r>
        <w:rPr>
          <w:rFonts w:ascii="Palatino Linotype" w:eastAsia="Times New Roman" w:hAnsi="Palatino Linotype" w:cs="Arial"/>
          <w:lang w:val="es-MX" w:eastAsia="en-US"/>
        </w:rPr>
        <w:t xml:space="preserve"> la presente resolución </w:t>
      </w:r>
      <w:r>
        <w:rPr>
          <w:rFonts w:ascii="Palatino Linotype" w:eastAsia="Times New Roman" w:hAnsi="Palatino Linotype" w:cs="Arial"/>
          <w:bCs/>
          <w:lang w:val="es-MX" w:eastAsia="en-US"/>
        </w:rPr>
        <w:t>al Titular de la Unidad de Transparencia del</w:t>
      </w:r>
      <w:r>
        <w:rPr>
          <w:rFonts w:ascii="Palatino Linotype" w:eastAsia="Times New Roman" w:hAnsi="Palatino Linotype" w:cs="Arial"/>
          <w:b/>
          <w:bCs/>
          <w:lang w:val="es-MX" w:eastAsia="en-US"/>
        </w:rPr>
        <w:t> </w:t>
      </w:r>
      <w:r>
        <w:rPr>
          <w:rFonts w:ascii="Palatino Linotype" w:eastAsia="Times New Roman" w:hAnsi="Palatino Linotype" w:cs="Arial"/>
          <w:bCs/>
          <w:lang w:val="es-MX" w:eastAsia="en-US"/>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de la misma</w:t>
      </w:r>
      <w:r>
        <w:rPr>
          <w:rFonts w:ascii="Palatino Linotype" w:eastAsia="Times New Roman" w:hAnsi="Palatino Linotype" w:cs="Arial"/>
          <w:lang w:val="es-MX" w:eastAsia="en-US"/>
        </w:rPr>
        <w:t xml:space="preserve"> tal y como lo disponen los artículos 198 y 199 de la citada ley. </w:t>
      </w:r>
    </w:p>
    <w:p w:rsidR="003726C0" w:rsidRDefault="003726C0" w:rsidP="003726C0">
      <w:pPr>
        <w:spacing w:before="240" w:after="240" w:line="360" w:lineRule="auto"/>
        <w:jc w:val="both"/>
        <w:rPr>
          <w:rFonts w:ascii="Palatino Linotype" w:eastAsiaTheme="minorHAnsi" w:hAnsi="Palatino Linotype" w:cs="Arial"/>
          <w:bCs/>
          <w:lang w:val="es-MX" w:eastAsia="en-US"/>
        </w:rPr>
      </w:pPr>
      <w:r>
        <w:rPr>
          <w:rFonts w:ascii="Palatino Linotype" w:eastAsia="Times New Roman" w:hAnsi="Palatino Linotype" w:cs="Arial"/>
          <w:b/>
          <w:sz w:val="28"/>
          <w:lang w:val="es-MX" w:eastAsia="en-US"/>
        </w:rPr>
        <w:t>TERCERO.</w:t>
      </w:r>
      <w:r>
        <w:rPr>
          <w:rFonts w:ascii="Palatino Linotype" w:eastAsia="Times New Roman" w:hAnsi="Palatino Linotype" w:cs="Arial"/>
          <w:b/>
          <w:lang w:val="es-MX" w:eastAsia="en-US"/>
        </w:rPr>
        <w:t xml:space="preserve"> </w:t>
      </w:r>
      <w:r>
        <w:rPr>
          <w:rFonts w:ascii="Palatino Linotype" w:eastAsiaTheme="minorHAnsi" w:hAnsi="Palatino Linotype" w:cs="Arial"/>
          <w:b/>
          <w:lang w:val="es-MX" w:eastAsia="en-US"/>
        </w:rPr>
        <w:t>NOTIFÍQUESE</w:t>
      </w:r>
      <w:r>
        <w:rPr>
          <w:rFonts w:ascii="Palatino Linotype" w:eastAsiaTheme="minorHAnsi" w:hAnsi="Palatino Linotype" w:cs="Arial"/>
          <w:lang w:val="es-MX" w:eastAsia="en-US"/>
        </w:rPr>
        <w:t xml:space="preserve"> </w:t>
      </w:r>
      <w:r>
        <w:rPr>
          <w:rFonts w:ascii="Palatino Linotype" w:eastAsiaTheme="minorHAnsi" w:hAnsi="Palatino Linotype" w:cs="Arial"/>
          <w:bCs/>
          <w:lang w:val="es-MX" w:eastAsia="en-US"/>
        </w:rPr>
        <w:t>a la parte recurrente</w:t>
      </w:r>
      <w:r>
        <w:rPr>
          <w:rFonts w:ascii="Palatino Linotype" w:eastAsiaTheme="minorHAnsi" w:hAnsi="Palatino Linotype" w:cs="Arial"/>
          <w:lang w:val="es-MX" w:eastAsia="en-US"/>
        </w:rPr>
        <w:t xml:space="preserve"> </w:t>
      </w:r>
      <w:r>
        <w:rPr>
          <w:rFonts w:ascii="Palatino Linotype" w:eastAsiaTheme="minorHAnsi" w:hAnsi="Palatino Linotype" w:cs="Arial"/>
          <w:bCs/>
          <w:lang w:val="es-MX" w:eastAsia="en-US"/>
        </w:rPr>
        <w:t xml:space="preserve">la presente resolución; así como, que podrá impugnarla vía Juicio de Amparo en los términos de las leyes aplicables, </w:t>
      </w:r>
      <w:r>
        <w:rPr>
          <w:rFonts w:ascii="Palatino Linotype" w:eastAsiaTheme="minorHAnsi" w:hAnsi="Palatino Linotype" w:cs="Arial"/>
          <w:bCs/>
          <w:lang w:val="es-MX" w:eastAsia="en-US"/>
        </w:rPr>
        <w:lastRenderedPageBreak/>
        <w:t>de conformidad con lo establecido en el artículo 196 de la Ley de Transparencia y Acceso a la Información Pública del Estado de México y Municipios.</w:t>
      </w:r>
    </w:p>
    <w:p w:rsidR="003726C0" w:rsidRDefault="003726C0" w:rsidP="003726C0">
      <w:pPr>
        <w:spacing w:before="240" w:after="240" w:line="360" w:lineRule="auto"/>
        <w:jc w:val="both"/>
        <w:rPr>
          <w:rFonts w:ascii="Palatino Linotype" w:hAnsi="Palatino Linotype" w:cs="Arial"/>
        </w:rPr>
      </w:pPr>
      <w:r>
        <w:rPr>
          <w:rFonts w:ascii="Palatino Linotype" w:hAnsi="Palatino Linotype" w:cs="Arial"/>
          <w:b/>
          <w:bCs/>
          <w:sz w:val="28"/>
        </w:rPr>
        <w:t>CUARTO.</w:t>
      </w:r>
      <w:r>
        <w:rPr>
          <w:rFonts w:ascii="Palatino Linotype" w:hAnsi="Palatino Linotype" w:cs="Arial"/>
          <w:b/>
          <w:bCs/>
        </w:rPr>
        <w:t xml:space="preserve"> GÍRESE</w:t>
      </w:r>
      <w:r>
        <w:rPr>
          <w:rFonts w:ascii="Palatino Linotype" w:hAnsi="Palatino Linotype" w:cs="Arial"/>
        </w:rPr>
        <w:t xml:space="preserve"> oficio al Contralor Interno de este Instituto para que actúe en razón de su competencia, en términos del considerando </w:t>
      </w:r>
      <w:r>
        <w:rPr>
          <w:rFonts w:ascii="Palatino Linotype" w:hAnsi="Palatino Linotype" w:cs="Arial"/>
          <w:b/>
        </w:rPr>
        <w:t>CUARTO</w:t>
      </w:r>
      <w:r>
        <w:rPr>
          <w:rFonts w:ascii="Palatino Linotype" w:hAnsi="Palatino Linotype" w:cs="Arial"/>
        </w:rPr>
        <w:t xml:space="preserve"> de la presente resolución.</w:t>
      </w:r>
    </w:p>
    <w:p w:rsidR="003726C0" w:rsidRDefault="003726C0" w:rsidP="003726C0">
      <w:pPr>
        <w:spacing w:before="240" w:after="240" w:line="360" w:lineRule="auto"/>
        <w:jc w:val="both"/>
        <w:rPr>
          <w:rFonts w:ascii="Palatino Linotype" w:hAnsi="Palatino Linotype" w:cs="Arial"/>
          <w:szCs w:val="25"/>
        </w:rPr>
      </w:pPr>
      <w:r>
        <w:rPr>
          <w:rFonts w:ascii="Palatino Linotype" w:hAnsi="Palatino Linotype" w:cs="Arial"/>
          <w:szCs w:val="25"/>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575185">
        <w:rPr>
          <w:rFonts w:ascii="Palatino Linotype" w:hAnsi="Palatino Linotype" w:cs="Arial"/>
          <w:szCs w:val="25"/>
        </w:rPr>
        <w:t xml:space="preserve"> JOSÉ GUADALUPE LUNA HERNÁNDEZ</w:t>
      </w:r>
      <w:r w:rsidR="00AA49A3">
        <w:rPr>
          <w:rFonts w:ascii="Palatino Linotype" w:hAnsi="Palatino Linotype" w:cs="Arial"/>
          <w:szCs w:val="25"/>
        </w:rPr>
        <w:t xml:space="preserve"> EMITIENDO VOTO PARTICULAR</w:t>
      </w:r>
      <w:r w:rsidR="00575185">
        <w:rPr>
          <w:rFonts w:ascii="Palatino Linotype" w:hAnsi="Palatino Linotype" w:cs="Arial"/>
          <w:szCs w:val="25"/>
        </w:rPr>
        <w:t>,</w:t>
      </w:r>
      <w:r>
        <w:rPr>
          <w:rFonts w:ascii="Palatino Linotype" w:hAnsi="Palatino Linotype" w:cs="Arial"/>
          <w:szCs w:val="25"/>
        </w:rPr>
        <w:t xml:space="preserve"> JAVIER MARTÍNEZ CRUZ</w:t>
      </w:r>
      <w:r w:rsidR="00575185">
        <w:rPr>
          <w:rFonts w:ascii="Palatino Linotype" w:hAnsi="Palatino Linotype" w:cs="Arial"/>
          <w:szCs w:val="25"/>
        </w:rPr>
        <w:t xml:space="preserve"> Y LUIS GUSTAVO PARRA NORIEGA</w:t>
      </w:r>
      <w:r>
        <w:rPr>
          <w:rFonts w:ascii="Palatino Linotype" w:hAnsi="Palatino Linotype" w:cs="Arial"/>
          <w:szCs w:val="25"/>
        </w:rPr>
        <w:t xml:space="preserve">, EN LA TRIGÉSIMA </w:t>
      </w:r>
      <w:r w:rsidR="0043288F">
        <w:rPr>
          <w:rFonts w:ascii="Palatino Linotype" w:hAnsi="Palatino Linotype" w:cs="Arial"/>
          <w:szCs w:val="25"/>
        </w:rPr>
        <w:t xml:space="preserve">SEGUNDA </w:t>
      </w:r>
      <w:r>
        <w:rPr>
          <w:rFonts w:ascii="Palatino Linotype" w:hAnsi="Palatino Linotype" w:cs="Arial"/>
          <w:szCs w:val="25"/>
        </w:rPr>
        <w:t>SESIÓN ORDI</w:t>
      </w:r>
      <w:r w:rsidR="0043288F">
        <w:rPr>
          <w:rFonts w:ascii="Palatino Linotype" w:hAnsi="Palatino Linotype" w:cs="Arial"/>
          <w:szCs w:val="25"/>
        </w:rPr>
        <w:t xml:space="preserve">NARIA CELEBRADA EL DÍA CINCO DE SEPTIEMBRE </w:t>
      </w:r>
      <w:r>
        <w:rPr>
          <w:rFonts w:ascii="Palatino Linotype" w:hAnsi="Palatino Linotype" w:cs="Arial"/>
          <w:szCs w:val="25"/>
        </w:rPr>
        <w:t xml:space="preserve">DE DOS MIL DIECIOCHO, ANTE EL SECRETARIO TÉCNICO DEL PLENO, ALEXIS TAPIA RAMÍREZ. </w:t>
      </w:r>
    </w:p>
    <w:p w:rsidR="003726C0" w:rsidRDefault="003726C0" w:rsidP="003726C0">
      <w:pPr>
        <w:spacing w:before="240" w:after="240" w:line="360" w:lineRule="auto"/>
        <w:jc w:val="both"/>
        <w:rPr>
          <w:rFonts w:ascii="Palatino Linotype" w:hAnsi="Palatino Linotype" w:cs="Arial"/>
          <w:szCs w:val="25"/>
        </w:rPr>
      </w:pPr>
    </w:p>
    <w:p w:rsidR="003726C0" w:rsidRDefault="003726C0" w:rsidP="003726C0">
      <w:pPr>
        <w:spacing w:before="240" w:after="240" w:line="360" w:lineRule="auto"/>
        <w:jc w:val="both"/>
        <w:rPr>
          <w:rFonts w:ascii="Palatino Linotype" w:hAnsi="Palatino Linotype" w:cs="Arial"/>
          <w:szCs w:val="25"/>
        </w:rPr>
      </w:pPr>
    </w:p>
    <w:tbl>
      <w:tblPr>
        <w:tblW w:w="5000" w:type="pct"/>
        <w:jc w:val="center"/>
        <w:tblLook w:val="04A0" w:firstRow="1" w:lastRow="0" w:firstColumn="1" w:lastColumn="0" w:noHBand="0" w:noVBand="1"/>
      </w:tblPr>
      <w:tblGrid>
        <w:gridCol w:w="4216"/>
        <w:gridCol w:w="4622"/>
      </w:tblGrid>
      <w:tr w:rsidR="003726C0" w:rsidTr="00575185">
        <w:trPr>
          <w:trHeight w:val="924"/>
          <w:jc w:val="center"/>
        </w:trPr>
        <w:tc>
          <w:tcPr>
            <w:tcW w:w="5000" w:type="pct"/>
            <w:gridSpan w:val="2"/>
          </w:tcPr>
          <w:p w:rsidR="003726C0" w:rsidRDefault="003726C0">
            <w:pPr>
              <w:spacing w:line="252" w:lineRule="auto"/>
              <w:jc w:val="center"/>
              <w:rPr>
                <w:rFonts w:ascii="Palatino Linotype" w:hAnsi="Palatino Linotype" w:cs="Arial"/>
                <w:b/>
              </w:rPr>
            </w:pPr>
            <w:r>
              <w:rPr>
                <w:rFonts w:ascii="Palatino Linotype" w:hAnsi="Palatino Linotype" w:cs="Arial"/>
                <w:b/>
              </w:rPr>
              <w:t>Zulema Martínez Sánchez</w:t>
            </w:r>
          </w:p>
          <w:p w:rsidR="003726C0" w:rsidRDefault="003726C0">
            <w:pPr>
              <w:spacing w:line="252" w:lineRule="auto"/>
              <w:jc w:val="center"/>
              <w:rPr>
                <w:rFonts w:ascii="Palatino Linotype" w:hAnsi="Palatino Linotype" w:cs="Arial"/>
              </w:rPr>
            </w:pPr>
            <w:r>
              <w:rPr>
                <w:rFonts w:ascii="Palatino Linotype" w:hAnsi="Palatino Linotype" w:cs="Arial"/>
              </w:rPr>
              <w:t>Comisionada Presidenta</w:t>
            </w:r>
          </w:p>
          <w:p w:rsidR="003726C0" w:rsidRDefault="003726C0">
            <w:pPr>
              <w:spacing w:line="252" w:lineRule="auto"/>
              <w:jc w:val="center"/>
              <w:rPr>
                <w:rFonts w:ascii="Palatino Linotype" w:hAnsi="Palatino Linotype" w:cs="Arial"/>
              </w:rPr>
            </w:pPr>
            <w:r>
              <w:rPr>
                <w:rFonts w:ascii="Palatino Linotype" w:hAnsi="Palatino Linotype" w:cs="Arial"/>
              </w:rPr>
              <w:t>(Rúbrica)</w:t>
            </w:r>
          </w:p>
          <w:p w:rsidR="003726C0" w:rsidRDefault="003726C0">
            <w:pPr>
              <w:spacing w:line="360" w:lineRule="auto"/>
              <w:rPr>
                <w:rFonts w:ascii="Palatino Linotype" w:hAnsi="Palatino Linotype" w:cs="Arial"/>
              </w:rPr>
            </w:pPr>
          </w:p>
          <w:p w:rsidR="003726C0" w:rsidRDefault="003726C0">
            <w:pPr>
              <w:spacing w:line="360" w:lineRule="auto"/>
              <w:rPr>
                <w:rFonts w:ascii="Palatino Linotype" w:hAnsi="Palatino Linotype" w:cs="Arial"/>
              </w:rPr>
            </w:pPr>
          </w:p>
          <w:p w:rsidR="006C2EF5" w:rsidRDefault="006C2EF5">
            <w:pPr>
              <w:spacing w:line="360" w:lineRule="auto"/>
              <w:rPr>
                <w:rFonts w:ascii="Palatino Linotype" w:hAnsi="Palatino Linotype" w:cs="Arial"/>
              </w:rPr>
            </w:pPr>
          </w:p>
          <w:p w:rsidR="006C2EF5" w:rsidRDefault="006C2EF5">
            <w:pPr>
              <w:spacing w:line="360" w:lineRule="auto"/>
              <w:rPr>
                <w:rFonts w:ascii="Palatino Linotype" w:hAnsi="Palatino Linotype" w:cs="Arial"/>
              </w:rPr>
            </w:pPr>
          </w:p>
          <w:p w:rsidR="006C2EF5" w:rsidRDefault="006C2EF5">
            <w:pPr>
              <w:spacing w:line="360" w:lineRule="auto"/>
              <w:rPr>
                <w:rFonts w:ascii="Palatino Linotype" w:hAnsi="Palatino Linotype" w:cs="Arial"/>
              </w:rPr>
            </w:pPr>
          </w:p>
          <w:p w:rsidR="006C2EF5" w:rsidRDefault="006C2EF5">
            <w:pPr>
              <w:spacing w:line="360" w:lineRule="auto"/>
              <w:rPr>
                <w:rFonts w:ascii="Palatino Linotype" w:hAnsi="Palatino Linotype" w:cs="Arial"/>
              </w:rPr>
            </w:pPr>
          </w:p>
          <w:p w:rsidR="003726C0" w:rsidRDefault="003726C0">
            <w:pPr>
              <w:spacing w:line="360" w:lineRule="auto"/>
              <w:rPr>
                <w:rFonts w:ascii="Palatino Linotype" w:hAnsi="Palatino Linotype" w:cs="Arial"/>
              </w:rPr>
            </w:pPr>
          </w:p>
        </w:tc>
      </w:tr>
      <w:tr w:rsidR="003726C0" w:rsidTr="00575185">
        <w:trPr>
          <w:trHeight w:val="902"/>
          <w:jc w:val="center"/>
        </w:trPr>
        <w:tc>
          <w:tcPr>
            <w:tcW w:w="2385" w:type="pct"/>
            <w:hideMark/>
          </w:tcPr>
          <w:p w:rsidR="003726C0" w:rsidRDefault="003726C0">
            <w:pPr>
              <w:spacing w:line="252" w:lineRule="auto"/>
              <w:jc w:val="center"/>
              <w:rPr>
                <w:rFonts w:ascii="Palatino Linotype" w:hAnsi="Palatino Linotype" w:cs="Arial"/>
                <w:b/>
              </w:rPr>
            </w:pPr>
            <w:r>
              <w:rPr>
                <w:rFonts w:ascii="Palatino Linotype" w:hAnsi="Palatino Linotype" w:cs="Arial"/>
                <w:b/>
              </w:rPr>
              <w:lastRenderedPageBreak/>
              <w:t>Eva Abaid Yapur</w:t>
            </w:r>
          </w:p>
          <w:p w:rsidR="003726C0" w:rsidRDefault="003726C0">
            <w:pPr>
              <w:spacing w:line="252" w:lineRule="auto"/>
              <w:jc w:val="center"/>
              <w:rPr>
                <w:rFonts w:ascii="Palatino Linotype" w:hAnsi="Palatino Linotype" w:cs="Arial"/>
              </w:rPr>
            </w:pPr>
            <w:r>
              <w:rPr>
                <w:rFonts w:ascii="Palatino Linotype" w:hAnsi="Palatino Linotype" w:cs="Arial"/>
              </w:rPr>
              <w:t>Comisionada</w:t>
            </w:r>
          </w:p>
          <w:p w:rsidR="003726C0" w:rsidRDefault="003726C0">
            <w:pPr>
              <w:spacing w:line="252" w:lineRule="auto"/>
              <w:jc w:val="center"/>
              <w:rPr>
                <w:rFonts w:ascii="Palatino Linotype" w:hAnsi="Palatino Linotype" w:cs="Arial"/>
              </w:rPr>
            </w:pPr>
            <w:r>
              <w:rPr>
                <w:rFonts w:ascii="Palatino Linotype" w:hAnsi="Palatino Linotype" w:cs="Arial"/>
              </w:rPr>
              <w:t>(Rúbrica)</w:t>
            </w:r>
          </w:p>
        </w:tc>
        <w:tc>
          <w:tcPr>
            <w:tcW w:w="2615" w:type="pct"/>
          </w:tcPr>
          <w:p w:rsidR="003726C0" w:rsidRDefault="003726C0">
            <w:pPr>
              <w:spacing w:line="252" w:lineRule="auto"/>
              <w:jc w:val="center"/>
              <w:rPr>
                <w:rFonts w:ascii="Palatino Linotype" w:hAnsi="Palatino Linotype" w:cs="Arial"/>
                <w:b/>
              </w:rPr>
            </w:pPr>
            <w:r>
              <w:rPr>
                <w:rFonts w:ascii="Palatino Linotype" w:hAnsi="Palatino Linotype" w:cs="Arial"/>
                <w:b/>
              </w:rPr>
              <w:t>José Guadalupe Luna Hernández</w:t>
            </w:r>
          </w:p>
          <w:p w:rsidR="003726C0" w:rsidRDefault="003726C0">
            <w:pPr>
              <w:spacing w:line="252" w:lineRule="auto"/>
              <w:jc w:val="center"/>
              <w:rPr>
                <w:rFonts w:ascii="Palatino Linotype" w:hAnsi="Palatino Linotype" w:cs="Arial"/>
              </w:rPr>
            </w:pPr>
            <w:r>
              <w:rPr>
                <w:rFonts w:ascii="Palatino Linotype" w:hAnsi="Palatino Linotype" w:cs="Arial"/>
              </w:rPr>
              <w:t>Comisionado</w:t>
            </w:r>
          </w:p>
          <w:p w:rsidR="003726C0" w:rsidRDefault="003726C0">
            <w:pPr>
              <w:spacing w:line="252" w:lineRule="auto"/>
              <w:jc w:val="center"/>
              <w:rPr>
                <w:rFonts w:ascii="Palatino Linotype" w:hAnsi="Palatino Linotype" w:cs="Arial"/>
              </w:rPr>
            </w:pPr>
            <w:r>
              <w:rPr>
                <w:rFonts w:ascii="Palatino Linotype" w:hAnsi="Palatino Linotype" w:cs="Arial"/>
              </w:rPr>
              <w:t>(Rúbrica)</w:t>
            </w:r>
          </w:p>
          <w:p w:rsidR="003726C0" w:rsidRDefault="003726C0">
            <w:pPr>
              <w:spacing w:line="252" w:lineRule="auto"/>
              <w:rPr>
                <w:rFonts w:ascii="Palatino Linotype" w:hAnsi="Palatino Linotype" w:cs="Arial"/>
              </w:rPr>
            </w:pPr>
          </w:p>
          <w:p w:rsidR="003726C0" w:rsidRDefault="003726C0">
            <w:pPr>
              <w:spacing w:line="252" w:lineRule="auto"/>
              <w:rPr>
                <w:rFonts w:ascii="Palatino Linotype" w:hAnsi="Palatino Linotype" w:cs="Arial"/>
              </w:rPr>
            </w:pPr>
          </w:p>
          <w:p w:rsidR="006C2EF5" w:rsidRDefault="006C2EF5">
            <w:pPr>
              <w:spacing w:line="252" w:lineRule="auto"/>
              <w:rPr>
                <w:rFonts w:ascii="Palatino Linotype" w:hAnsi="Palatino Linotype" w:cs="Arial"/>
              </w:rPr>
            </w:pPr>
          </w:p>
          <w:p w:rsidR="006C2EF5" w:rsidRDefault="006C2EF5">
            <w:pPr>
              <w:spacing w:line="252" w:lineRule="auto"/>
              <w:rPr>
                <w:rFonts w:ascii="Palatino Linotype" w:hAnsi="Palatino Linotype" w:cs="Arial"/>
              </w:rPr>
            </w:pPr>
          </w:p>
          <w:p w:rsidR="003726C0" w:rsidRDefault="003726C0">
            <w:pPr>
              <w:spacing w:line="252" w:lineRule="auto"/>
              <w:rPr>
                <w:rFonts w:ascii="Palatino Linotype" w:hAnsi="Palatino Linotype" w:cs="Arial"/>
              </w:rPr>
            </w:pPr>
          </w:p>
          <w:p w:rsidR="003726C0" w:rsidRDefault="003726C0">
            <w:pPr>
              <w:spacing w:line="252" w:lineRule="auto"/>
              <w:rPr>
                <w:rFonts w:ascii="Palatino Linotype" w:hAnsi="Palatino Linotype" w:cs="Arial"/>
              </w:rPr>
            </w:pPr>
          </w:p>
        </w:tc>
      </w:tr>
      <w:tr w:rsidR="00575185" w:rsidTr="00575185">
        <w:trPr>
          <w:trHeight w:val="902"/>
          <w:jc w:val="center"/>
        </w:trPr>
        <w:tc>
          <w:tcPr>
            <w:tcW w:w="2385" w:type="pct"/>
            <w:hideMark/>
          </w:tcPr>
          <w:p w:rsidR="00575185" w:rsidRDefault="00575185" w:rsidP="0005262D">
            <w:pPr>
              <w:spacing w:line="252" w:lineRule="auto"/>
              <w:jc w:val="center"/>
              <w:rPr>
                <w:rFonts w:ascii="Palatino Linotype" w:hAnsi="Palatino Linotype" w:cs="Arial"/>
                <w:b/>
              </w:rPr>
            </w:pPr>
            <w:r>
              <w:rPr>
                <w:rFonts w:ascii="Palatino Linotype" w:hAnsi="Palatino Linotype" w:cs="Arial"/>
                <w:b/>
              </w:rPr>
              <w:t>Javier Martínez Cruz</w:t>
            </w:r>
          </w:p>
          <w:p w:rsidR="00575185" w:rsidRDefault="00575185" w:rsidP="0005262D">
            <w:pPr>
              <w:spacing w:line="252" w:lineRule="auto"/>
              <w:jc w:val="center"/>
              <w:rPr>
                <w:rFonts w:ascii="Palatino Linotype" w:hAnsi="Palatino Linotype" w:cs="Arial"/>
              </w:rPr>
            </w:pPr>
            <w:r>
              <w:rPr>
                <w:rFonts w:ascii="Palatino Linotype" w:hAnsi="Palatino Linotype" w:cs="Arial"/>
              </w:rPr>
              <w:t>Comisionado</w:t>
            </w:r>
          </w:p>
          <w:p w:rsidR="00575185" w:rsidRDefault="00575185" w:rsidP="0005262D">
            <w:pPr>
              <w:spacing w:line="252" w:lineRule="auto"/>
              <w:jc w:val="center"/>
              <w:rPr>
                <w:rFonts w:ascii="Palatino Linotype" w:hAnsi="Palatino Linotype" w:cs="Arial"/>
              </w:rPr>
            </w:pPr>
            <w:r>
              <w:rPr>
                <w:rFonts w:ascii="Palatino Linotype" w:hAnsi="Palatino Linotype" w:cs="Arial"/>
              </w:rPr>
              <w:t>(Rúbrica)</w:t>
            </w:r>
          </w:p>
        </w:tc>
        <w:tc>
          <w:tcPr>
            <w:tcW w:w="2615" w:type="pct"/>
          </w:tcPr>
          <w:p w:rsidR="00575185" w:rsidRDefault="00575185" w:rsidP="0005262D">
            <w:pPr>
              <w:spacing w:line="252" w:lineRule="auto"/>
              <w:jc w:val="center"/>
              <w:rPr>
                <w:rFonts w:ascii="Palatino Linotype" w:hAnsi="Palatino Linotype" w:cs="Arial"/>
                <w:b/>
              </w:rPr>
            </w:pPr>
            <w:r>
              <w:rPr>
                <w:rFonts w:ascii="Palatino Linotype" w:hAnsi="Palatino Linotype" w:cs="Arial"/>
                <w:b/>
              </w:rPr>
              <w:t>Luis Gustavo Parra Noriega</w:t>
            </w:r>
          </w:p>
          <w:p w:rsidR="00575185" w:rsidRDefault="00575185" w:rsidP="0005262D">
            <w:pPr>
              <w:spacing w:line="252" w:lineRule="auto"/>
              <w:jc w:val="center"/>
              <w:rPr>
                <w:rFonts w:ascii="Palatino Linotype" w:hAnsi="Palatino Linotype" w:cs="Arial"/>
              </w:rPr>
            </w:pPr>
            <w:r>
              <w:rPr>
                <w:rFonts w:ascii="Palatino Linotype" w:hAnsi="Palatino Linotype" w:cs="Arial"/>
              </w:rPr>
              <w:t>Comisionado</w:t>
            </w:r>
          </w:p>
          <w:p w:rsidR="00575185" w:rsidRDefault="00575185" w:rsidP="0005262D">
            <w:pPr>
              <w:spacing w:line="252" w:lineRule="auto"/>
              <w:jc w:val="center"/>
              <w:rPr>
                <w:rFonts w:ascii="Palatino Linotype" w:hAnsi="Palatino Linotype" w:cs="Arial"/>
              </w:rPr>
            </w:pPr>
            <w:r>
              <w:rPr>
                <w:rFonts w:ascii="Palatino Linotype" w:hAnsi="Palatino Linotype" w:cs="Arial"/>
              </w:rPr>
              <w:t>(Rúbrica)</w:t>
            </w:r>
          </w:p>
          <w:p w:rsidR="00575185" w:rsidRDefault="00575185" w:rsidP="0005262D">
            <w:pPr>
              <w:spacing w:line="252" w:lineRule="auto"/>
              <w:rPr>
                <w:rFonts w:ascii="Palatino Linotype" w:hAnsi="Palatino Linotype" w:cs="Arial"/>
              </w:rPr>
            </w:pPr>
          </w:p>
          <w:p w:rsidR="00575185" w:rsidRDefault="00575185" w:rsidP="0005262D">
            <w:pPr>
              <w:spacing w:line="252" w:lineRule="auto"/>
              <w:rPr>
                <w:rFonts w:ascii="Palatino Linotype" w:hAnsi="Palatino Linotype" w:cs="Arial"/>
              </w:rPr>
            </w:pPr>
          </w:p>
          <w:p w:rsidR="00575185" w:rsidRDefault="00575185" w:rsidP="0005262D">
            <w:pPr>
              <w:spacing w:line="252" w:lineRule="auto"/>
              <w:rPr>
                <w:rFonts w:ascii="Palatino Linotype" w:hAnsi="Palatino Linotype" w:cs="Arial"/>
              </w:rPr>
            </w:pPr>
          </w:p>
          <w:p w:rsidR="00575185" w:rsidRDefault="00575185" w:rsidP="0005262D">
            <w:pPr>
              <w:spacing w:line="252" w:lineRule="auto"/>
              <w:rPr>
                <w:rFonts w:ascii="Palatino Linotype" w:hAnsi="Palatino Linotype" w:cs="Arial"/>
              </w:rPr>
            </w:pPr>
          </w:p>
          <w:p w:rsidR="00575185" w:rsidRDefault="00575185" w:rsidP="0005262D">
            <w:pPr>
              <w:spacing w:line="252" w:lineRule="auto"/>
              <w:rPr>
                <w:rFonts w:ascii="Palatino Linotype" w:hAnsi="Palatino Linotype" w:cs="Arial"/>
              </w:rPr>
            </w:pPr>
          </w:p>
          <w:p w:rsidR="00575185" w:rsidRDefault="00575185" w:rsidP="0005262D">
            <w:pPr>
              <w:spacing w:line="252" w:lineRule="auto"/>
              <w:rPr>
                <w:rFonts w:ascii="Palatino Linotype" w:hAnsi="Palatino Linotype" w:cs="Arial"/>
              </w:rPr>
            </w:pPr>
          </w:p>
        </w:tc>
      </w:tr>
      <w:tr w:rsidR="003726C0" w:rsidTr="00575185">
        <w:trPr>
          <w:jc w:val="center"/>
        </w:trPr>
        <w:tc>
          <w:tcPr>
            <w:tcW w:w="5000" w:type="pct"/>
            <w:gridSpan w:val="2"/>
            <w:hideMark/>
          </w:tcPr>
          <w:p w:rsidR="003726C0" w:rsidRDefault="00575185">
            <w:pPr>
              <w:spacing w:line="252" w:lineRule="auto"/>
              <w:jc w:val="center"/>
              <w:rPr>
                <w:rFonts w:ascii="Palatino Linotype" w:hAnsi="Palatino Linotype" w:cs="Arial"/>
                <w:b/>
              </w:rPr>
            </w:pPr>
            <w:r>
              <w:rPr>
                <w:rFonts w:ascii="Palatino Linotype" w:hAnsi="Palatino Linotype" w:cs="Arial"/>
                <w:b/>
              </w:rPr>
              <w:t xml:space="preserve">      </w:t>
            </w:r>
            <w:r w:rsidR="003726C0">
              <w:rPr>
                <w:rFonts w:ascii="Palatino Linotype" w:hAnsi="Palatino Linotype" w:cs="Arial"/>
                <w:b/>
              </w:rPr>
              <w:t>Alexis Tapia Ramírez</w:t>
            </w:r>
          </w:p>
          <w:p w:rsidR="003726C0" w:rsidRDefault="003726C0">
            <w:pPr>
              <w:tabs>
                <w:tab w:val="left" w:pos="780"/>
                <w:tab w:val="center" w:pos="4499"/>
              </w:tabs>
              <w:spacing w:line="252" w:lineRule="auto"/>
              <w:rPr>
                <w:rFonts w:ascii="Palatino Linotype" w:hAnsi="Palatino Linotype" w:cs="Arial"/>
              </w:rPr>
            </w:pPr>
            <w:r>
              <w:rPr>
                <w:rFonts w:ascii="Palatino Linotype" w:hAnsi="Palatino Linotype" w:cs="Arial"/>
              </w:rPr>
              <w:tab/>
            </w:r>
            <w:r>
              <w:rPr>
                <w:rFonts w:ascii="Palatino Linotype" w:hAnsi="Palatino Linotype" w:cs="Arial"/>
              </w:rPr>
              <w:tab/>
              <w:t>Secretario Técnico del Pleno</w:t>
            </w:r>
          </w:p>
          <w:p w:rsidR="003726C0" w:rsidRDefault="003726C0">
            <w:pPr>
              <w:spacing w:line="252" w:lineRule="auto"/>
              <w:jc w:val="center"/>
              <w:rPr>
                <w:rFonts w:ascii="Palatino Linotype" w:hAnsi="Palatino Linotype" w:cs="Arial"/>
              </w:rPr>
            </w:pPr>
            <w:r>
              <w:rPr>
                <w:rFonts w:ascii="Palatino Linotype" w:hAnsi="Palatino Linotype" w:cs="Arial"/>
              </w:rPr>
              <w:t>(Rúbrica)</w:t>
            </w:r>
          </w:p>
        </w:tc>
      </w:tr>
    </w:tbl>
    <w:p w:rsidR="003726C0" w:rsidRPr="00E42440" w:rsidRDefault="003726C0" w:rsidP="00922000">
      <w:pPr>
        <w:spacing w:before="100" w:beforeAutospacing="1" w:after="100" w:afterAutospacing="1" w:line="360" w:lineRule="auto"/>
        <w:jc w:val="both"/>
      </w:pPr>
      <w:r>
        <w:rPr>
          <w:rFonts w:ascii="Palatino Linotype" w:hAnsi="Palatino Linotype" w:cs="Arial"/>
          <w:sz w:val="20"/>
          <w:szCs w:val="20"/>
        </w:rPr>
        <w:t xml:space="preserve">Esta hoja corresponde a la resolución de fecha </w:t>
      </w:r>
      <w:r w:rsidR="0043288F">
        <w:rPr>
          <w:rFonts w:ascii="Palatino Linotype" w:hAnsi="Palatino Linotype" w:cs="Arial"/>
          <w:sz w:val="20"/>
          <w:szCs w:val="20"/>
        </w:rPr>
        <w:t>cinco de septiembre</w:t>
      </w:r>
      <w:r>
        <w:rPr>
          <w:rFonts w:ascii="Palatino Linotype" w:hAnsi="Palatino Linotype" w:cs="Arial"/>
          <w:sz w:val="20"/>
          <w:szCs w:val="20"/>
        </w:rPr>
        <w:t xml:space="preserve"> de dos mil dieciocho, emitida en el recurso de revisión </w:t>
      </w:r>
      <w:r w:rsidR="0043288F">
        <w:rPr>
          <w:rFonts w:ascii="Palatino Linotype" w:hAnsi="Palatino Linotype" w:cs="Arial"/>
          <w:b/>
          <w:bCs/>
          <w:sz w:val="20"/>
          <w:szCs w:val="20"/>
        </w:rPr>
        <w:t>0254</w:t>
      </w:r>
      <w:r>
        <w:rPr>
          <w:rFonts w:ascii="Palatino Linotype" w:hAnsi="Palatino Linotype" w:cs="Arial"/>
          <w:b/>
          <w:bCs/>
          <w:sz w:val="20"/>
          <w:szCs w:val="20"/>
        </w:rPr>
        <w:t>4/INFOEM/IP/RR/2018</w:t>
      </w:r>
      <w:r w:rsidR="0043288F">
        <w:rPr>
          <w:rFonts w:ascii="Palatino Linotype" w:hAnsi="Palatino Linotype" w:cs="Arial"/>
          <w:bCs/>
          <w:sz w:val="20"/>
          <w:szCs w:val="20"/>
        </w:rPr>
        <w:t>.</w:t>
      </w:r>
    </w:p>
    <w:sectPr w:rsidR="003726C0" w:rsidRPr="00E42440" w:rsidSect="006572E0">
      <w:headerReference w:type="default" r:id="rId10"/>
      <w:footerReference w:type="default" r:id="rId11"/>
      <w:headerReference w:type="first" r:id="rId12"/>
      <w:footerReference w:type="firs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498" w:rsidRDefault="00162498" w:rsidP="00E3634E">
      <w:r>
        <w:separator/>
      </w:r>
    </w:p>
  </w:endnote>
  <w:endnote w:type="continuationSeparator" w:id="0">
    <w:p w:rsidR="00162498" w:rsidRDefault="00162498" w:rsidP="00E36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2E0" w:rsidRDefault="006572E0" w:rsidP="006572E0">
    <w:pPr>
      <w:tabs>
        <w:tab w:val="center" w:pos="4419"/>
        <w:tab w:val="right" w:pos="8838"/>
      </w:tabs>
      <w:jc w:val="right"/>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275EE">
      <w:rPr>
        <w:rFonts w:ascii="Arial" w:hAnsi="Arial" w:cs="Arial"/>
        <w:b/>
        <w:bCs/>
        <w:noProof/>
        <w:sz w:val="20"/>
        <w:szCs w:val="20"/>
      </w:rPr>
      <w:t>34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275EE">
      <w:rPr>
        <w:rFonts w:ascii="Arial" w:hAnsi="Arial" w:cs="Arial"/>
        <w:b/>
        <w:bCs/>
        <w:noProof/>
        <w:sz w:val="20"/>
        <w:szCs w:val="20"/>
      </w:rPr>
      <w:t>34</w:t>
    </w:r>
    <w:r>
      <w:rPr>
        <w:rFonts w:ascii="Arial" w:hAnsi="Arial" w:cs="Arial"/>
        <w:b/>
        <w:bCs/>
        <w:sz w:val="20"/>
        <w:szCs w:val="20"/>
      </w:rPr>
      <w:fldChar w:fldCharType="end"/>
    </w:r>
  </w:p>
  <w:p w:rsidR="006572E0" w:rsidRDefault="006572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2E0" w:rsidRDefault="006572E0" w:rsidP="006572E0">
    <w:pPr>
      <w:tabs>
        <w:tab w:val="center" w:pos="4419"/>
        <w:tab w:val="right" w:pos="8838"/>
      </w:tabs>
      <w:jc w:val="right"/>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275E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275EE">
      <w:rPr>
        <w:rFonts w:ascii="Arial" w:hAnsi="Arial" w:cs="Arial"/>
        <w:b/>
        <w:bCs/>
        <w:noProof/>
        <w:sz w:val="20"/>
        <w:szCs w:val="20"/>
      </w:rPr>
      <w:t>34</w:t>
    </w:r>
    <w:r>
      <w:rPr>
        <w:rFonts w:ascii="Arial" w:hAnsi="Arial" w:cs="Arial"/>
        <w:b/>
        <w:bCs/>
        <w:sz w:val="20"/>
        <w:szCs w:val="20"/>
      </w:rPr>
      <w:fldChar w:fldCharType="end"/>
    </w:r>
  </w:p>
  <w:p w:rsidR="006572E0" w:rsidRDefault="006572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498" w:rsidRDefault="00162498" w:rsidP="00E3634E">
      <w:r>
        <w:separator/>
      </w:r>
    </w:p>
  </w:footnote>
  <w:footnote w:type="continuationSeparator" w:id="0">
    <w:p w:rsidR="00162498" w:rsidRDefault="00162498" w:rsidP="00E3634E">
      <w:r>
        <w:continuationSeparator/>
      </w:r>
    </w:p>
  </w:footnote>
  <w:footnote w:id="1">
    <w:p w:rsidR="00E3634E" w:rsidRPr="00694175" w:rsidRDefault="00E3634E" w:rsidP="00E3634E">
      <w:pPr>
        <w:pStyle w:val="Textonotapie"/>
        <w:rPr>
          <w:rFonts w:ascii="Palatino Linotype" w:hAnsi="Palatino Linotype"/>
          <w:lang w:val="es-MX"/>
        </w:rPr>
      </w:pPr>
      <w:r>
        <w:rPr>
          <w:rStyle w:val="Refdenotaalpie"/>
        </w:rPr>
        <w:footnoteRef/>
      </w:r>
      <w:r>
        <w:t xml:space="preserve"> </w:t>
      </w:r>
      <w:r w:rsidRPr="00694175">
        <w:rPr>
          <w:rFonts w:ascii="Palatino Linotype" w:hAnsi="Palatino Linotype"/>
          <w:lang w:val="es-MX"/>
        </w:rPr>
        <w:t>Ley de Transparencia y Acceso a la Información Pública del Est</w:t>
      </w:r>
      <w:r>
        <w:rPr>
          <w:rFonts w:ascii="Palatino Linotype" w:hAnsi="Palatino Linotype"/>
          <w:lang w:val="es-MX"/>
        </w:rPr>
        <w:t>ado de México y Municipios (2018</w:t>
      </w:r>
      <w:r w:rsidRPr="00694175">
        <w:rPr>
          <w:rFonts w:ascii="Palatino Linotype" w:hAnsi="Palatino Linotype"/>
          <w:lang w:val="es-MX"/>
        </w:rPr>
        <w:t>)</w:t>
      </w:r>
    </w:p>
  </w:footnote>
  <w:footnote w:id="2">
    <w:p w:rsidR="00C57CBA" w:rsidRDefault="00C57CBA" w:rsidP="00C57CBA">
      <w:pPr>
        <w:ind w:right="49"/>
        <w:jc w:val="both"/>
        <w:rPr>
          <w:rFonts w:ascii="Palatino Linotype" w:eastAsiaTheme="minorHAnsi" w:hAnsi="Palatino Linotype" w:cs="Arial"/>
          <w:bCs/>
          <w:noProof/>
          <w:sz w:val="20"/>
          <w:szCs w:val="20"/>
          <w:lang w:eastAsia="en-US"/>
        </w:rPr>
      </w:pPr>
      <w:r>
        <w:rPr>
          <w:rStyle w:val="Refdenotaalpie"/>
        </w:rPr>
        <w:footnoteRef/>
      </w:r>
      <w:r>
        <w:t xml:space="preserve"> </w:t>
      </w:r>
      <w:r>
        <w:rPr>
          <w:rFonts w:ascii="Palatino Linotype" w:hAnsi="Palatino Linotype" w:cs="Arial"/>
          <w:bCs/>
          <w:noProof/>
          <w:sz w:val="20"/>
          <w:szCs w:val="20"/>
        </w:rPr>
        <w:t xml:space="preserve">Artículo 17-G.- Los certificados que emita el Servicio de Administración Tributaria para ser considerados válidos deberán contener los datos siguientes: </w:t>
      </w:r>
    </w:p>
    <w:p w:rsidR="00C57CBA" w:rsidRDefault="00C57CBA" w:rsidP="00C57CBA">
      <w:pPr>
        <w:ind w:right="49"/>
        <w:jc w:val="both"/>
        <w:rPr>
          <w:rFonts w:ascii="Palatino Linotype" w:hAnsi="Palatino Linotype" w:cs="Arial"/>
          <w:bCs/>
          <w:noProof/>
          <w:sz w:val="20"/>
          <w:szCs w:val="20"/>
        </w:rPr>
      </w:pPr>
      <w:r>
        <w:rPr>
          <w:rFonts w:ascii="Palatino Linotype" w:hAnsi="Palatino Linotype" w:cs="Arial"/>
          <w:bCs/>
          <w:noProof/>
          <w:sz w:val="20"/>
          <w:szCs w:val="20"/>
        </w:rPr>
        <w:t>I. La mención de que se expiden como tales. Tratándose de certificados de sellos digitales, se deberán especificar las limitantes que tengan para su uso.</w:t>
      </w:r>
    </w:p>
    <w:p w:rsidR="00C57CBA" w:rsidRDefault="00C57CBA" w:rsidP="00C57CBA">
      <w:pPr>
        <w:ind w:right="49"/>
        <w:jc w:val="both"/>
        <w:rPr>
          <w:rFonts w:ascii="Palatino Linotype" w:hAnsi="Palatino Linotype" w:cs="Arial"/>
          <w:bCs/>
          <w:noProof/>
          <w:sz w:val="20"/>
          <w:szCs w:val="20"/>
        </w:rPr>
      </w:pPr>
      <w:r>
        <w:rPr>
          <w:rFonts w:ascii="Palatino Linotype" w:hAnsi="Palatino Linotype" w:cs="Arial"/>
          <w:bCs/>
          <w:noProof/>
          <w:sz w:val="20"/>
          <w:szCs w:val="20"/>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C57CBA" w:rsidRDefault="00C57CBA" w:rsidP="00C57CBA">
      <w:pPr>
        <w:ind w:right="49"/>
        <w:jc w:val="both"/>
        <w:rPr>
          <w:rFonts w:ascii="Palatino Linotype" w:hAnsi="Palatino Linotype" w:cs="Arial"/>
          <w:bCs/>
          <w:noProof/>
          <w:sz w:val="20"/>
          <w:szCs w:val="20"/>
        </w:rPr>
      </w:pPr>
      <w:r>
        <w:rPr>
          <w:rFonts w:ascii="Palatino Linotype" w:hAnsi="Palatino Linotype" w:cs="Arial"/>
          <w:bCs/>
          <w:noProof/>
          <w:sz w:val="20"/>
          <w:szCs w:val="20"/>
        </w:rPr>
        <w:t>Los contribuyentes a que se refiere el párrafo anterior deberán cumplir con las obligaciones siguientes:</w:t>
      </w:r>
    </w:p>
    <w:p w:rsidR="00C57CBA" w:rsidRDefault="00C57CBA" w:rsidP="00C57CBA">
      <w:pPr>
        <w:ind w:right="49"/>
        <w:jc w:val="both"/>
        <w:rPr>
          <w:rFonts w:ascii="Palatino Linotype" w:hAnsi="Palatino Linotype" w:cs="Arial"/>
          <w:bCs/>
          <w:noProof/>
          <w:sz w:val="20"/>
          <w:szCs w:val="20"/>
        </w:rPr>
      </w:pPr>
      <w:r>
        <w:rPr>
          <w:rFonts w:ascii="Palatino Linotype" w:hAnsi="Palatino Linotype" w:cs="Arial"/>
          <w:bCs/>
          <w:noProof/>
          <w:sz w:val="20"/>
          <w:szCs w:val="20"/>
        </w:rPr>
        <w:t xml:space="preserve">I. </w:t>
      </w:r>
      <w:r>
        <w:rPr>
          <w:rFonts w:ascii="Palatino Linotype" w:hAnsi="Palatino Linotype" w:cs="Arial"/>
          <w:bCs/>
          <w:noProof/>
          <w:sz w:val="20"/>
          <w:szCs w:val="20"/>
        </w:rPr>
        <w:tab/>
        <w:t>…</w:t>
      </w:r>
    </w:p>
    <w:p w:rsidR="00C57CBA" w:rsidRDefault="00C57CBA" w:rsidP="00C57CBA">
      <w:pPr>
        <w:ind w:right="49"/>
        <w:jc w:val="both"/>
        <w:rPr>
          <w:rFonts w:ascii="Palatino Linotype" w:hAnsi="Palatino Linotype" w:cs="Arial"/>
          <w:bCs/>
          <w:noProof/>
          <w:sz w:val="20"/>
          <w:szCs w:val="20"/>
        </w:rPr>
      </w:pPr>
      <w:r>
        <w:rPr>
          <w:rFonts w:ascii="Palatino Linotype" w:hAnsi="Palatino Linotype" w:cs="Arial"/>
          <w:bCs/>
          <w:noProof/>
          <w:sz w:val="20"/>
          <w:szCs w:val="20"/>
        </w:rPr>
        <w:t xml:space="preserve">II. </w:t>
      </w:r>
      <w:r>
        <w:rPr>
          <w:rFonts w:ascii="Palatino Linotype" w:hAnsi="Palatino Linotype" w:cs="Arial"/>
          <w:bCs/>
          <w:noProof/>
          <w:sz w:val="20"/>
          <w:szCs w:val="20"/>
        </w:rPr>
        <w:tab/>
        <w:t>Tramitar ante el Servicio de Administración Tributaria el certificado para el uso de los sellos digitales.</w:t>
      </w:r>
    </w:p>
    <w:p w:rsidR="00C57CBA" w:rsidRDefault="00C57CBA" w:rsidP="00C57CBA">
      <w:pPr>
        <w:pStyle w:val="Textonotapie"/>
        <w:ind w:right="49"/>
        <w:jc w:val="both"/>
      </w:pPr>
      <w:r>
        <w:rPr>
          <w:rFonts w:ascii="Palatino Linotype" w:hAnsi="Palatino Linotype" w:cs="Arial"/>
          <w:bCs/>
          <w:noProof/>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dxa"/>
      <w:tblInd w:w="31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90"/>
      <w:gridCol w:w="3650"/>
    </w:tblGrid>
    <w:tr w:rsidR="006572E0" w:rsidTr="006572E0">
      <w:trPr>
        <w:trHeight w:val="137"/>
      </w:trPr>
      <w:tc>
        <w:tcPr>
          <w:tcW w:w="2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572E0" w:rsidRDefault="006572E0" w:rsidP="006572E0">
          <w:pPr>
            <w:rPr>
              <w:rFonts w:ascii="Palatino Linotype" w:hAnsi="Palatino Linotype"/>
              <w:b/>
            </w:rPr>
          </w:pPr>
          <w:r>
            <w:rPr>
              <w:rFonts w:ascii="Palatino Linotype" w:hAnsi="Palatino Linotype"/>
              <w:b/>
            </w:rPr>
            <w:t>Recurso de Revisión:</w:t>
          </w:r>
        </w:p>
      </w:tc>
      <w:tc>
        <w:tcPr>
          <w:tcW w:w="3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572E0" w:rsidRDefault="006572E0" w:rsidP="006572E0">
          <w:pPr>
            <w:tabs>
              <w:tab w:val="center" w:pos="4252"/>
              <w:tab w:val="right" w:pos="8504"/>
            </w:tabs>
            <w:jc w:val="both"/>
            <w:rPr>
              <w:rFonts w:ascii="Palatino Linotype" w:hAnsi="Palatino Linotype"/>
              <w:b/>
            </w:rPr>
          </w:pPr>
          <w:r>
            <w:rPr>
              <w:rFonts w:ascii="Palatino Linotype" w:hAnsi="Palatino Linotype" w:cs="Arial"/>
              <w:b/>
              <w:bCs/>
              <w:lang w:eastAsia="es-MX"/>
            </w:rPr>
            <w:t>02544/INFOEM/IP/RR/2018</w:t>
          </w:r>
        </w:p>
      </w:tc>
    </w:tr>
    <w:tr w:rsidR="006572E0" w:rsidTr="006572E0">
      <w:trPr>
        <w:trHeight w:val="230"/>
      </w:trPr>
      <w:tc>
        <w:tcPr>
          <w:tcW w:w="2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572E0" w:rsidRDefault="006572E0" w:rsidP="006572E0">
          <w:pPr>
            <w:rPr>
              <w:rFonts w:ascii="Palatino Linotype" w:hAnsi="Palatino Linotype"/>
              <w:b/>
            </w:rPr>
          </w:pPr>
          <w:r>
            <w:rPr>
              <w:rFonts w:ascii="Palatino Linotype" w:hAnsi="Palatino Linotype"/>
              <w:b/>
            </w:rPr>
            <w:t>Sujeto Obligado:</w:t>
          </w:r>
        </w:p>
      </w:tc>
      <w:tc>
        <w:tcPr>
          <w:tcW w:w="3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572E0" w:rsidRDefault="006572E0" w:rsidP="006572E0">
          <w:pPr>
            <w:tabs>
              <w:tab w:val="center" w:pos="4252"/>
              <w:tab w:val="right" w:pos="8504"/>
            </w:tabs>
            <w:jc w:val="both"/>
            <w:rPr>
              <w:rFonts w:ascii="Palatino Linotype" w:hAnsi="Palatino Linotype"/>
              <w:b/>
            </w:rPr>
          </w:pPr>
          <w:r w:rsidRPr="00572223">
            <w:rPr>
              <w:rFonts w:ascii="Palatino Linotype" w:hAnsi="Palatino Linotype" w:cs="Arial"/>
              <w:b/>
              <w:bCs/>
            </w:rPr>
            <w:t>Centro Regional de Formación Docente E Investigación Educativa</w:t>
          </w:r>
        </w:p>
      </w:tc>
    </w:tr>
    <w:tr w:rsidR="006572E0" w:rsidTr="006572E0">
      <w:trPr>
        <w:trHeight w:val="318"/>
      </w:trPr>
      <w:tc>
        <w:tcPr>
          <w:tcW w:w="2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572E0" w:rsidRDefault="006572E0" w:rsidP="006572E0">
          <w:pPr>
            <w:rPr>
              <w:rFonts w:ascii="Palatino Linotype" w:hAnsi="Palatino Linotype"/>
              <w:b/>
              <w:highlight w:val="yellow"/>
            </w:rPr>
          </w:pPr>
          <w:r>
            <w:rPr>
              <w:rFonts w:ascii="Palatino Linotype" w:hAnsi="Palatino Linotype"/>
              <w:b/>
            </w:rPr>
            <w:t>Comisionado Ponente:</w:t>
          </w:r>
        </w:p>
      </w:tc>
      <w:tc>
        <w:tcPr>
          <w:tcW w:w="3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572E0" w:rsidRDefault="006572E0" w:rsidP="006572E0">
          <w:pPr>
            <w:tabs>
              <w:tab w:val="center" w:pos="4252"/>
              <w:tab w:val="right" w:pos="8504"/>
            </w:tabs>
            <w:jc w:val="both"/>
            <w:rPr>
              <w:rFonts w:ascii="Palatino Linotype" w:hAnsi="Palatino Linotype"/>
              <w:b/>
            </w:rPr>
          </w:pPr>
          <w:r>
            <w:rPr>
              <w:rFonts w:ascii="Palatino Linotype" w:hAnsi="Palatino Linotype"/>
              <w:b/>
            </w:rPr>
            <w:t>Javier Martínez Cruz</w:t>
          </w:r>
        </w:p>
      </w:tc>
    </w:tr>
  </w:tbl>
  <w:p w:rsidR="006572E0" w:rsidRDefault="006572E0" w:rsidP="006572E0">
    <w:pPr>
      <w:tabs>
        <w:tab w:val="center" w:pos="4419"/>
        <w:tab w:val="right" w:pos="8838"/>
      </w:tabs>
    </w:pPr>
  </w:p>
  <w:p w:rsidR="006572E0" w:rsidRDefault="006572E0" w:rsidP="006572E0">
    <w:pPr>
      <w:tabs>
        <w:tab w:val="center" w:pos="4419"/>
        <w:tab w:val="right" w:pos="8838"/>
      </w:tabs>
    </w:pPr>
  </w:p>
  <w:p w:rsidR="006572E0" w:rsidRDefault="006572E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dxa"/>
      <w:tblInd w:w="31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88"/>
      <w:gridCol w:w="3648"/>
    </w:tblGrid>
    <w:tr w:rsidR="006572E0" w:rsidTr="006572E0">
      <w:trPr>
        <w:trHeight w:val="137"/>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572E0" w:rsidRDefault="006572E0" w:rsidP="006572E0">
          <w:pPr>
            <w:rPr>
              <w:rFonts w:ascii="Palatino Linotype" w:hAnsi="Palatino Linotype"/>
              <w:b/>
            </w:rPr>
          </w:pPr>
          <w:r>
            <w:rPr>
              <w:rFonts w:ascii="Palatino Linotype" w:hAnsi="Palatino Linotype"/>
              <w:b/>
            </w:rPr>
            <w:t>Recurso de Revisión:</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572E0" w:rsidRDefault="006572E0" w:rsidP="006572E0">
          <w:pPr>
            <w:tabs>
              <w:tab w:val="center" w:pos="4252"/>
              <w:tab w:val="right" w:pos="8504"/>
            </w:tabs>
            <w:jc w:val="both"/>
            <w:rPr>
              <w:rFonts w:ascii="Palatino Linotype" w:hAnsi="Palatino Linotype" w:cs="Arial"/>
              <w:b/>
              <w:bCs/>
              <w:lang w:eastAsia="es-MX"/>
            </w:rPr>
          </w:pPr>
          <w:r>
            <w:rPr>
              <w:rFonts w:ascii="Palatino Linotype" w:hAnsi="Palatino Linotype" w:cs="Arial"/>
              <w:b/>
              <w:bCs/>
              <w:lang w:eastAsia="es-MX"/>
            </w:rPr>
            <w:t xml:space="preserve">02544/INFOEM/IP/RR/2018 </w:t>
          </w:r>
        </w:p>
      </w:tc>
    </w:tr>
    <w:tr w:rsidR="006572E0" w:rsidTr="006572E0">
      <w:trPr>
        <w:trHeight w:val="225"/>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572E0" w:rsidRDefault="006572E0" w:rsidP="006572E0">
          <w:pPr>
            <w:rPr>
              <w:rFonts w:ascii="Palatino Linotype" w:hAnsi="Palatino Linotype"/>
              <w:b/>
            </w:rPr>
          </w:pPr>
          <w:r>
            <w:rPr>
              <w:rFonts w:ascii="Palatino Linotype" w:hAnsi="Palatino Linotype"/>
              <w:b/>
            </w:rPr>
            <w:t>Recurrente:</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572E0" w:rsidRDefault="007275EE" w:rsidP="006572E0">
          <w:pPr>
            <w:tabs>
              <w:tab w:val="center" w:pos="4252"/>
              <w:tab w:val="right" w:pos="8504"/>
            </w:tabs>
            <w:jc w:val="both"/>
            <w:rPr>
              <w:rFonts w:ascii="Palatino Linotype" w:hAnsi="Palatino Linotype"/>
              <w:b/>
            </w:rPr>
          </w:pPr>
          <w:r>
            <w:rPr>
              <w:rFonts w:ascii="Palatino Linotype" w:hAnsi="Palatino Linotype"/>
              <w:b/>
              <w:szCs w:val="22"/>
            </w:rPr>
            <w:t>xxxxxxxxxxxxxx xxxxxxxxxxxx xxxxxxxxxxxx</w:t>
          </w:r>
        </w:p>
      </w:tc>
    </w:tr>
    <w:tr w:rsidR="006572E0" w:rsidTr="006572E0">
      <w:trPr>
        <w:trHeight w:val="230"/>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572E0" w:rsidRDefault="006572E0" w:rsidP="006572E0">
          <w:pPr>
            <w:rPr>
              <w:rFonts w:ascii="Palatino Linotype" w:hAnsi="Palatino Linotype"/>
              <w:b/>
            </w:rPr>
          </w:pPr>
          <w:r>
            <w:rPr>
              <w:rFonts w:ascii="Palatino Linotype" w:hAnsi="Palatino Linotype"/>
              <w:b/>
            </w:rPr>
            <w:t>Sujeto Obligado:</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572E0" w:rsidRDefault="006572E0" w:rsidP="006572E0">
          <w:pPr>
            <w:tabs>
              <w:tab w:val="center" w:pos="4252"/>
              <w:tab w:val="right" w:pos="8504"/>
            </w:tabs>
            <w:jc w:val="both"/>
            <w:rPr>
              <w:rFonts w:ascii="Palatino Linotype" w:hAnsi="Palatino Linotype"/>
              <w:b/>
            </w:rPr>
          </w:pPr>
          <w:r w:rsidRPr="00572223">
            <w:rPr>
              <w:rFonts w:ascii="Palatino Linotype" w:hAnsi="Palatino Linotype" w:cs="Arial"/>
              <w:b/>
              <w:bCs/>
            </w:rPr>
            <w:t>Centro Regional de Formación Docente E Investigación Educativa</w:t>
          </w:r>
        </w:p>
      </w:tc>
    </w:tr>
    <w:tr w:rsidR="006572E0" w:rsidTr="006572E0">
      <w:trPr>
        <w:trHeight w:val="318"/>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572E0" w:rsidRDefault="006572E0" w:rsidP="006572E0">
          <w:pPr>
            <w:rPr>
              <w:rFonts w:ascii="Palatino Linotype" w:hAnsi="Palatino Linotype"/>
              <w:b/>
              <w:highlight w:val="yellow"/>
            </w:rPr>
          </w:pPr>
          <w:r>
            <w:rPr>
              <w:rFonts w:ascii="Palatino Linotype" w:hAnsi="Palatino Linotype"/>
              <w:b/>
            </w:rPr>
            <w:t>Comisionado Ponente:</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572E0" w:rsidRDefault="006572E0" w:rsidP="006572E0">
          <w:pPr>
            <w:tabs>
              <w:tab w:val="center" w:pos="4252"/>
              <w:tab w:val="right" w:pos="8504"/>
            </w:tabs>
            <w:jc w:val="both"/>
            <w:rPr>
              <w:rFonts w:ascii="Palatino Linotype" w:hAnsi="Palatino Linotype"/>
              <w:b/>
            </w:rPr>
          </w:pPr>
          <w:r>
            <w:rPr>
              <w:rFonts w:ascii="Palatino Linotype" w:hAnsi="Palatino Linotype"/>
              <w:b/>
            </w:rPr>
            <w:t>Javier Martínez Cruz</w:t>
          </w:r>
        </w:p>
      </w:tc>
    </w:tr>
  </w:tbl>
  <w:p w:rsidR="006572E0" w:rsidRDefault="006572E0" w:rsidP="006572E0">
    <w:pPr>
      <w:tabs>
        <w:tab w:val="center" w:pos="4419"/>
        <w:tab w:val="right" w:pos="8838"/>
      </w:tabs>
    </w:pPr>
  </w:p>
  <w:p w:rsidR="006572E0" w:rsidRDefault="006572E0" w:rsidP="006572E0">
    <w:pPr>
      <w:pStyle w:val="Encabezado"/>
    </w:pPr>
  </w:p>
  <w:p w:rsidR="006572E0" w:rsidRDefault="006572E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F1F19"/>
    <w:multiLevelType w:val="hybridMultilevel"/>
    <w:tmpl w:val="949244FC"/>
    <w:lvl w:ilvl="0" w:tplc="0E2609FC">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726E5F"/>
    <w:multiLevelType w:val="hybridMultilevel"/>
    <w:tmpl w:val="FCE0A4E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7565BF"/>
    <w:multiLevelType w:val="hybridMultilevel"/>
    <w:tmpl w:val="3FA4DE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F6F69A0"/>
    <w:multiLevelType w:val="hybridMultilevel"/>
    <w:tmpl w:val="F5D46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B62D5F"/>
    <w:multiLevelType w:val="hybridMultilevel"/>
    <w:tmpl w:val="1278DABC"/>
    <w:lvl w:ilvl="0" w:tplc="F52AF9C4">
      <w:start w:val="1"/>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223"/>
    <w:rsid w:val="00080BB9"/>
    <w:rsid w:val="000D2D35"/>
    <w:rsid w:val="001147D2"/>
    <w:rsid w:val="00135DC4"/>
    <w:rsid w:val="00162498"/>
    <w:rsid w:val="00170E3A"/>
    <w:rsid w:val="00266978"/>
    <w:rsid w:val="003672B6"/>
    <w:rsid w:val="003726C0"/>
    <w:rsid w:val="00373ECA"/>
    <w:rsid w:val="0037527B"/>
    <w:rsid w:val="0043288F"/>
    <w:rsid w:val="0047095B"/>
    <w:rsid w:val="004B770B"/>
    <w:rsid w:val="005156BF"/>
    <w:rsid w:val="00523FDF"/>
    <w:rsid w:val="005533E5"/>
    <w:rsid w:val="00572223"/>
    <w:rsid w:val="00575185"/>
    <w:rsid w:val="006572E0"/>
    <w:rsid w:val="006C2EF5"/>
    <w:rsid w:val="007275EE"/>
    <w:rsid w:val="00752B88"/>
    <w:rsid w:val="007E0F14"/>
    <w:rsid w:val="00872A02"/>
    <w:rsid w:val="00901206"/>
    <w:rsid w:val="00922000"/>
    <w:rsid w:val="00996488"/>
    <w:rsid w:val="00AA49A3"/>
    <w:rsid w:val="00AF3282"/>
    <w:rsid w:val="00B04969"/>
    <w:rsid w:val="00B10E70"/>
    <w:rsid w:val="00B25D38"/>
    <w:rsid w:val="00B90100"/>
    <w:rsid w:val="00B908EB"/>
    <w:rsid w:val="00BA5E4E"/>
    <w:rsid w:val="00C25CDC"/>
    <w:rsid w:val="00C57CBA"/>
    <w:rsid w:val="00CD724F"/>
    <w:rsid w:val="00E3634E"/>
    <w:rsid w:val="00E42440"/>
    <w:rsid w:val="00E6261D"/>
    <w:rsid w:val="00EB53F5"/>
    <w:rsid w:val="00F53D42"/>
    <w:rsid w:val="00FB68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742542-9715-47DB-99B6-4D6257567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223"/>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semiHidden/>
    <w:unhideWhenUsed/>
    <w:rsid w:val="00E3634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rsid w:val="00E3634E"/>
    <w:rPr>
      <w:rFonts w:ascii="Times New Roman" w:eastAsia="Calibri"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634E"/>
    <w:rPr>
      <w:vertAlign w:val="superscript"/>
    </w:rPr>
  </w:style>
  <w:style w:type="paragraph" w:styleId="Prrafodelista">
    <w:name w:val="List Paragraph"/>
    <w:basedOn w:val="Normal"/>
    <w:link w:val="PrrafodelistaCar"/>
    <w:uiPriority w:val="34"/>
    <w:qFormat/>
    <w:rsid w:val="00922000"/>
    <w:pPr>
      <w:ind w:left="720"/>
      <w:contextualSpacing/>
    </w:pPr>
  </w:style>
  <w:style w:type="paragraph" w:styleId="Encabezado">
    <w:name w:val="header"/>
    <w:basedOn w:val="Normal"/>
    <w:link w:val="EncabezadoCar"/>
    <w:uiPriority w:val="99"/>
    <w:unhideWhenUsed/>
    <w:rsid w:val="006572E0"/>
    <w:pPr>
      <w:tabs>
        <w:tab w:val="center" w:pos="4419"/>
        <w:tab w:val="right" w:pos="8838"/>
      </w:tabs>
    </w:pPr>
  </w:style>
  <w:style w:type="character" w:customStyle="1" w:styleId="EncabezadoCar">
    <w:name w:val="Encabezado Car"/>
    <w:basedOn w:val="Fuentedeprrafopredeter"/>
    <w:link w:val="Encabezado"/>
    <w:uiPriority w:val="99"/>
    <w:rsid w:val="006572E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572E0"/>
    <w:pPr>
      <w:tabs>
        <w:tab w:val="center" w:pos="4419"/>
        <w:tab w:val="right" w:pos="8838"/>
      </w:tabs>
    </w:pPr>
  </w:style>
  <w:style w:type="character" w:customStyle="1" w:styleId="PiedepginaCar">
    <w:name w:val="Pie de página Car"/>
    <w:basedOn w:val="Fuentedeprrafopredeter"/>
    <w:link w:val="Piedepgina"/>
    <w:uiPriority w:val="99"/>
    <w:rsid w:val="006572E0"/>
    <w:rPr>
      <w:rFonts w:ascii="Times New Roman" w:eastAsia="Calibri" w:hAnsi="Times New Roman" w:cs="Times New Roman"/>
      <w:sz w:val="24"/>
      <w:szCs w:val="24"/>
      <w:lang w:val="es-ES" w:eastAsia="es-ES"/>
    </w:rPr>
  </w:style>
  <w:style w:type="table" w:styleId="Tablaconcuadrcula">
    <w:name w:val="Table Grid"/>
    <w:basedOn w:val="Tablanormal"/>
    <w:uiPriority w:val="59"/>
    <w:rsid w:val="006572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qFormat/>
    <w:locked/>
    <w:rsid w:val="003726C0"/>
    <w:rPr>
      <w:rFonts w:ascii="Times New Roman" w:eastAsia="Calibri" w:hAnsi="Times New Roman" w:cs="Times New Roman"/>
      <w:sz w:val="24"/>
      <w:szCs w:val="24"/>
      <w:lang w:val="es-ES" w:eastAsia="es-ES"/>
    </w:rPr>
  </w:style>
  <w:style w:type="character" w:customStyle="1" w:styleId="SinespaciadoCar">
    <w:name w:val="Sin espaciado Car"/>
    <w:aliases w:val="Francesa Car"/>
    <w:link w:val="Sinespaciado"/>
    <w:uiPriority w:val="1"/>
    <w:locked/>
    <w:rsid w:val="00C57CBA"/>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C57CBA"/>
    <w:pPr>
      <w:spacing w:after="0"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3288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288F"/>
    <w:rPr>
      <w:rFonts w:ascii="Segoe UI" w:eastAsia="Calibri"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86194">
      <w:bodyDiv w:val="1"/>
      <w:marLeft w:val="0"/>
      <w:marRight w:val="0"/>
      <w:marTop w:val="0"/>
      <w:marBottom w:val="0"/>
      <w:divBdr>
        <w:top w:val="none" w:sz="0" w:space="0" w:color="auto"/>
        <w:left w:val="none" w:sz="0" w:space="0" w:color="auto"/>
        <w:bottom w:val="none" w:sz="0" w:space="0" w:color="auto"/>
        <w:right w:val="none" w:sz="0" w:space="0" w:color="auto"/>
      </w:divBdr>
    </w:div>
    <w:div w:id="498034324">
      <w:bodyDiv w:val="1"/>
      <w:marLeft w:val="0"/>
      <w:marRight w:val="0"/>
      <w:marTop w:val="0"/>
      <w:marBottom w:val="0"/>
      <w:divBdr>
        <w:top w:val="none" w:sz="0" w:space="0" w:color="auto"/>
        <w:left w:val="none" w:sz="0" w:space="0" w:color="auto"/>
        <w:bottom w:val="none" w:sz="0" w:space="0" w:color="auto"/>
        <w:right w:val="none" w:sz="0" w:space="0" w:color="auto"/>
      </w:divBdr>
    </w:div>
    <w:div w:id="589243548">
      <w:bodyDiv w:val="1"/>
      <w:marLeft w:val="0"/>
      <w:marRight w:val="0"/>
      <w:marTop w:val="0"/>
      <w:marBottom w:val="0"/>
      <w:divBdr>
        <w:top w:val="none" w:sz="0" w:space="0" w:color="auto"/>
        <w:left w:val="none" w:sz="0" w:space="0" w:color="auto"/>
        <w:bottom w:val="none" w:sz="0" w:space="0" w:color="auto"/>
        <w:right w:val="none" w:sz="0" w:space="0" w:color="auto"/>
      </w:divBdr>
    </w:div>
    <w:div w:id="1032074069">
      <w:bodyDiv w:val="1"/>
      <w:marLeft w:val="0"/>
      <w:marRight w:val="0"/>
      <w:marTop w:val="0"/>
      <w:marBottom w:val="0"/>
      <w:divBdr>
        <w:top w:val="none" w:sz="0" w:space="0" w:color="auto"/>
        <w:left w:val="none" w:sz="0" w:space="0" w:color="auto"/>
        <w:bottom w:val="none" w:sz="0" w:space="0" w:color="auto"/>
        <w:right w:val="none" w:sz="0" w:space="0" w:color="auto"/>
      </w:divBdr>
    </w:div>
    <w:div w:id="1067192773">
      <w:bodyDiv w:val="1"/>
      <w:marLeft w:val="0"/>
      <w:marRight w:val="0"/>
      <w:marTop w:val="0"/>
      <w:marBottom w:val="0"/>
      <w:divBdr>
        <w:top w:val="none" w:sz="0" w:space="0" w:color="auto"/>
        <w:left w:val="none" w:sz="0" w:space="0" w:color="auto"/>
        <w:bottom w:val="none" w:sz="0" w:space="0" w:color="auto"/>
        <w:right w:val="none" w:sz="0" w:space="0" w:color="auto"/>
      </w:divBdr>
    </w:div>
    <w:div w:id="1236624419">
      <w:bodyDiv w:val="1"/>
      <w:marLeft w:val="0"/>
      <w:marRight w:val="0"/>
      <w:marTop w:val="0"/>
      <w:marBottom w:val="0"/>
      <w:divBdr>
        <w:top w:val="none" w:sz="0" w:space="0" w:color="auto"/>
        <w:left w:val="none" w:sz="0" w:space="0" w:color="auto"/>
        <w:bottom w:val="none" w:sz="0" w:space="0" w:color="auto"/>
        <w:right w:val="none" w:sz="0" w:space="0" w:color="auto"/>
      </w:divBdr>
    </w:div>
    <w:div w:id="1480807941">
      <w:bodyDiv w:val="1"/>
      <w:marLeft w:val="0"/>
      <w:marRight w:val="0"/>
      <w:marTop w:val="0"/>
      <w:marBottom w:val="0"/>
      <w:divBdr>
        <w:top w:val="none" w:sz="0" w:space="0" w:color="auto"/>
        <w:left w:val="none" w:sz="0" w:space="0" w:color="auto"/>
        <w:bottom w:val="none" w:sz="0" w:space="0" w:color="auto"/>
        <w:right w:val="none" w:sz="0" w:space="0" w:color="auto"/>
      </w:divBdr>
    </w:div>
    <w:div w:id="1493251584">
      <w:bodyDiv w:val="1"/>
      <w:marLeft w:val="0"/>
      <w:marRight w:val="0"/>
      <w:marTop w:val="0"/>
      <w:marBottom w:val="0"/>
      <w:divBdr>
        <w:top w:val="none" w:sz="0" w:space="0" w:color="auto"/>
        <w:left w:val="none" w:sz="0" w:space="0" w:color="auto"/>
        <w:bottom w:val="none" w:sz="0" w:space="0" w:color="auto"/>
        <w:right w:val="none" w:sz="0" w:space="0" w:color="auto"/>
      </w:divBdr>
    </w:div>
    <w:div w:id="1673414645">
      <w:bodyDiv w:val="1"/>
      <w:marLeft w:val="0"/>
      <w:marRight w:val="0"/>
      <w:marTop w:val="0"/>
      <w:marBottom w:val="0"/>
      <w:divBdr>
        <w:top w:val="none" w:sz="0" w:space="0" w:color="auto"/>
        <w:left w:val="none" w:sz="0" w:space="0" w:color="auto"/>
        <w:bottom w:val="none" w:sz="0" w:space="0" w:color="auto"/>
        <w:right w:val="none" w:sz="0" w:space="0" w:color="auto"/>
      </w:divBdr>
    </w:div>
    <w:div w:id="1818834632">
      <w:bodyDiv w:val="1"/>
      <w:marLeft w:val="0"/>
      <w:marRight w:val="0"/>
      <w:marTop w:val="0"/>
      <w:marBottom w:val="0"/>
      <w:divBdr>
        <w:top w:val="none" w:sz="0" w:space="0" w:color="auto"/>
        <w:left w:val="none" w:sz="0" w:space="0" w:color="auto"/>
        <w:bottom w:val="none" w:sz="0" w:space="0" w:color="auto"/>
        <w:right w:val="none" w:sz="0" w:space="0" w:color="auto"/>
      </w:divBdr>
    </w:div>
    <w:div w:id="1927611140">
      <w:bodyDiv w:val="1"/>
      <w:marLeft w:val="0"/>
      <w:marRight w:val="0"/>
      <w:marTop w:val="0"/>
      <w:marBottom w:val="0"/>
      <w:divBdr>
        <w:top w:val="none" w:sz="0" w:space="0" w:color="auto"/>
        <w:left w:val="none" w:sz="0" w:space="0" w:color="auto"/>
        <w:bottom w:val="none" w:sz="0" w:space="0" w:color="auto"/>
        <w:right w:val="none" w:sz="0" w:space="0" w:color="auto"/>
      </w:divBdr>
    </w:div>
    <w:div w:id="193851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7585</Words>
  <Characters>41721</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49208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2018-09-05T23:30:00Z</cp:lastPrinted>
  <dcterms:created xsi:type="dcterms:W3CDTF">2018-10-19T20:18:00Z</dcterms:created>
  <dcterms:modified xsi:type="dcterms:W3CDTF">2018-10-19T20:18:00Z</dcterms:modified>
</cp:coreProperties>
</file>