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26C11BA" w:rsidR="00091682" w:rsidRPr="004F2200" w:rsidRDefault="00091682" w:rsidP="00091682">
      <w:p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w:t>
      </w:r>
      <w:r w:rsidR="004440AC" w:rsidRPr="004F2200">
        <w:rPr>
          <w:rFonts w:ascii="Palatino Linotype" w:hAnsi="Palatino Linotype"/>
          <w:color w:val="000000" w:themeColor="text1"/>
        </w:rPr>
        <w:t>Metepec, Estado de México</w:t>
      </w:r>
      <w:r w:rsidR="008C3158" w:rsidRPr="004F2200">
        <w:rPr>
          <w:rFonts w:ascii="Palatino Linotype" w:hAnsi="Palatino Linotype"/>
          <w:color w:val="000000" w:themeColor="text1"/>
        </w:rPr>
        <w:t>;</w:t>
      </w:r>
      <w:r w:rsidR="00EF35FA" w:rsidRPr="004F2200">
        <w:rPr>
          <w:rFonts w:ascii="Palatino Linotype" w:hAnsi="Palatino Linotype"/>
          <w:color w:val="000000" w:themeColor="text1"/>
        </w:rPr>
        <w:t xml:space="preserve"> </w:t>
      </w:r>
      <w:r w:rsidR="004440AC" w:rsidRPr="004F2200">
        <w:rPr>
          <w:rFonts w:ascii="Palatino Linotype" w:hAnsi="Palatino Linotype"/>
          <w:color w:val="000000" w:themeColor="text1"/>
        </w:rPr>
        <w:t xml:space="preserve">de </w:t>
      </w:r>
      <w:r w:rsidR="00C66B77" w:rsidRPr="004F2200">
        <w:rPr>
          <w:rFonts w:ascii="Palatino Linotype" w:hAnsi="Palatino Linotype"/>
          <w:color w:val="000000" w:themeColor="text1"/>
        </w:rPr>
        <w:t>diecinueve</w:t>
      </w:r>
      <w:r w:rsidR="004E1A77" w:rsidRPr="004F2200">
        <w:rPr>
          <w:rFonts w:ascii="Palatino Linotype" w:hAnsi="Palatino Linotype"/>
          <w:color w:val="000000" w:themeColor="text1"/>
        </w:rPr>
        <w:t xml:space="preserve"> de septiembre</w:t>
      </w:r>
      <w:r w:rsidR="004440AC" w:rsidRPr="004F2200">
        <w:rPr>
          <w:rFonts w:ascii="Palatino Linotype" w:hAnsi="Palatino Linotype"/>
          <w:color w:val="000000" w:themeColor="text1"/>
        </w:rPr>
        <w:t xml:space="preserve"> </w:t>
      </w:r>
      <w:r w:rsidRPr="004F2200">
        <w:rPr>
          <w:rFonts w:ascii="Palatino Linotype" w:hAnsi="Palatino Linotype"/>
          <w:color w:val="000000" w:themeColor="text1"/>
        </w:rPr>
        <w:t>de</w:t>
      </w:r>
      <w:r w:rsidR="00686279" w:rsidRPr="004F2200">
        <w:rPr>
          <w:rFonts w:ascii="Palatino Linotype" w:hAnsi="Palatino Linotype"/>
          <w:color w:val="000000" w:themeColor="text1"/>
        </w:rPr>
        <w:t>l</w:t>
      </w:r>
      <w:r w:rsidR="00E5452C" w:rsidRPr="004F2200">
        <w:rPr>
          <w:rFonts w:ascii="Palatino Linotype" w:hAnsi="Palatino Linotype"/>
          <w:color w:val="000000" w:themeColor="text1"/>
        </w:rPr>
        <w:t xml:space="preserve"> dos mil dieci</w:t>
      </w:r>
      <w:r w:rsidR="000F4A82" w:rsidRPr="004F2200">
        <w:rPr>
          <w:rFonts w:ascii="Palatino Linotype" w:hAnsi="Palatino Linotype"/>
          <w:color w:val="000000" w:themeColor="text1"/>
        </w:rPr>
        <w:t>ocho</w:t>
      </w:r>
      <w:r w:rsidRPr="004F2200">
        <w:rPr>
          <w:rFonts w:ascii="Palatino Linotype" w:hAnsi="Palatino Linotype"/>
          <w:color w:val="000000" w:themeColor="text1"/>
        </w:rPr>
        <w:t>.</w:t>
      </w:r>
    </w:p>
    <w:p w14:paraId="7D53FE2D" w14:textId="17F784E0" w:rsidR="008E7698" w:rsidRPr="004F2200" w:rsidRDefault="008E7698" w:rsidP="008E7698">
      <w:pPr>
        <w:spacing w:before="240" w:after="240" w:line="360" w:lineRule="auto"/>
        <w:jc w:val="both"/>
        <w:rPr>
          <w:rFonts w:ascii="Palatino Linotype" w:hAnsi="Palatino Linotype" w:cs="Arial"/>
          <w:color w:val="000000" w:themeColor="text1"/>
        </w:rPr>
      </w:pPr>
      <w:r w:rsidRPr="004F2200">
        <w:rPr>
          <w:rFonts w:ascii="Palatino Linotype" w:hAnsi="Palatino Linotype" w:cs="Arial"/>
          <w:b/>
          <w:color w:val="000000" w:themeColor="text1"/>
          <w:sz w:val="28"/>
          <w:szCs w:val="28"/>
        </w:rPr>
        <w:t>Visto</w:t>
      </w:r>
      <w:r w:rsidRPr="004F2200">
        <w:rPr>
          <w:rFonts w:ascii="Palatino Linotype" w:hAnsi="Palatino Linotype" w:cs="Arial"/>
          <w:color w:val="000000" w:themeColor="text1"/>
        </w:rPr>
        <w:t xml:space="preserve"> el expediente relativo al recurso de revisión </w:t>
      </w:r>
      <w:r w:rsidR="004E1A77" w:rsidRPr="004F2200">
        <w:rPr>
          <w:rFonts w:ascii="Palatino Linotype" w:eastAsiaTheme="minorEastAsia" w:hAnsi="Palatino Linotype" w:cs="Arial"/>
          <w:b/>
          <w:bCs/>
          <w:color w:val="000000" w:themeColor="text1"/>
          <w:sz w:val="22"/>
          <w:szCs w:val="22"/>
          <w:lang w:val="es-MX"/>
        </w:rPr>
        <w:t>02604/INFOEM</w:t>
      </w:r>
      <w:r w:rsidR="001C06E4" w:rsidRPr="004F2200">
        <w:rPr>
          <w:rFonts w:ascii="Palatino Linotype" w:eastAsiaTheme="minorEastAsia" w:hAnsi="Palatino Linotype" w:cs="Arial"/>
          <w:b/>
          <w:bCs/>
          <w:color w:val="000000" w:themeColor="text1"/>
          <w:sz w:val="22"/>
          <w:szCs w:val="22"/>
          <w:lang w:val="es-MX"/>
        </w:rPr>
        <w:t>/IP/RR/2018</w:t>
      </w:r>
      <w:r w:rsidR="000E1C85" w:rsidRPr="004F2200">
        <w:rPr>
          <w:rFonts w:ascii="Palatino Linotype" w:hAnsi="Palatino Linotype" w:cs="Arial"/>
          <w:color w:val="000000" w:themeColor="text1"/>
        </w:rPr>
        <w:t xml:space="preserve">, interpuesto por </w:t>
      </w:r>
      <w:r w:rsidR="00F504BD" w:rsidRPr="004F2200">
        <w:rPr>
          <w:rFonts w:ascii="Palatino Linotype" w:hAnsi="Palatino Linotype" w:cs="Arial"/>
          <w:color w:val="000000" w:themeColor="text1"/>
        </w:rPr>
        <w:t>Xxxxx</w:t>
      </w:r>
      <w:r w:rsidR="004E1A77" w:rsidRPr="004F2200">
        <w:rPr>
          <w:rFonts w:ascii="Palatino Linotype" w:hAnsi="Palatino Linotype" w:cs="Arial"/>
          <w:b/>
          <w:color w:val="000000" w:themeColor="text1"/>
        </w:rPr>
        <w:t xml:space="preserve"> </w:t>
      </w:r>
      <w:r w:rsidR="00F504BD" w:rsidRPr="004F2200">
        <w:rPr>
          <w:rFonts w:ascii="Palatino Linotype" w:hAnsi="Palatino Linotype" w:cs="Arial"/>
          <w:b/>
          <w:color w:val="000000" w:themeColor="text1"/>
        </w:rPr>
        <w:t>Xxxxxxx</w:t>
      </w:r>
      <w:r w:rsidR="004E1A77" w:rsidRPr="004F2200">
        <w:rPr>
          <w:rFonts w:ascii="Palatino Linotype" w:hAnsi="Palatino Linotype" w:cs="Arial"/>
          <w:b/>
          <w:color w:val="000000" w:themeColor="text1"/>
        </w:rPr>
        <w:t xml:space="preserve"> </w:t>
      </w:r>
      <w:r w:rsidR="00F504BD" w:rsidRPr="004F2200">
        <w:rPr>
          <w:rFonts w:ascii="Palatino Linotype" w:hAnsi="Palatino Linotype" w:cs="Arial"/>
          <w:b/>
          <w:color w:val="000000" w:themeColor="text1"/>
        </w:rPr>
        <w:t>Xxxxxx</w:t>
      </w:r>
      <w:r w:rsidR="004E1A77" w:rsidRPr="004F2200">
        <w:rPr>
          <w:rFonts w:ascii="Palatino Linotype" w:hAnsi="Palatino Linotype" w:cs="Arial"/>
          <w:b/>
          <w:color w:val="000000" w:themeColor="text1"/>
        </w:rPr>
        <w:t xml:space="preserve"> </w:t>
      </w:r>
      <w:r w:rsidR="00F504BD" w:rsidRPr="004F2200">
        <w:rPr>
          <w:rFonts w:ascii="Palatino Linotype" w:hAnsi="Palatino Linotype" w:cs="Arial"/>
          <w:b/>
          <w:color w:val="000000" w:themeColor="text1"/>
        </w:rPr>
        <w:t>Xxxxxx</w:t>
      </w:r>
      <w:r w:rsidRPr="004F2200">
        <w:rPr>
          <w:rFonts w:ascii="Palatino Linotype" w:hAnsi="Palatino Linotype" w:cs="Arial"/>
          <w:color w:val="000000" w:themeColor="text1"/>
        </w:rPr>
        <w:t>,</w:t>
      </w:r>
      <w:r w:rsidR="004440AC" w:rsidRPr="004F2200">
        <w:rPr>
          <w:rFonts w:ascii="Palatino Linotype" w:hAnsi="Palatino Linotype" w:cs="Arial"/>
          <w:color w:val="000000" w:themeColor="text1"/>
        </w:rPr>
        <w:t xml:space="preserve"> </w:t>
      </w:r>
      <w:r w:rsidR="007E64E0" w:rsidRPr="004F2200">
        <w:rPr>
          <w:rFonts w:ascii="Palatino Linotype" w:hAnsi="Palatino Linotype" w:cs="Arial"/>
          <w:color w:val="000000" w:themeColor="text1"/>
        </w:rPr>
        <w:t>a q</w:t>
      </w:r>
      <w:r w:rsidR="004440AC" w:rsidRPr="004F2200">
        <w:rPr>
          <w:rFonts w:ascii="Palatino Linotype" w:hAnsi="Palatino Linotype" w:cs="Arial"/>
          <w:color w:val="000000" w:themeColor="text1"/>
        </w:rPr>
        <w:t>uien</w:t>
      </w:r>
      <w:r w:rsidRPr="004F2200">
        <w:rPr>
          <w:rFonts w:ascii="Palatino Linotype" w:hAnsi="Palatino Linotype" w:cs="Arial"/>
          <w:color w:val="000000" w:themeColor="text1"/>
        </w:rPr>
        <w:t xml:space="preserve"> en lo sucesivo se le denominará </w:t>
      </w:r>
      <w:r w:rsidR="004E1A77" w:rsidRPr="004F2200">
        <w:rPr>
          <w:rFonts w:ascii="Palatino Linotype" w:hAnsi="Palatino Linotype" w:cs="Arial"/>
          <w:color w:val="000000" w:themeColor="text1"/>
        </w:rPr>
        <w:t>el</w:t>
      </w:r>
      <w:r w:rsidR="004C7629" w:rsidRPr="004F2200">
        <w:rPr>
          <w:rFonts w:ascii="Palatino Linotype" w:hAnsi="Palatino Linotype" w:cs="Arial"/>
          <w:color w:val="000000" w:themeColor="text1"/>
        </w:rPr>
        <w:t xml:space="preserve"> </w:t>
      </w:r>
      <w:r w:rsidR="004C7629" w:rsidRPr="004F2200">
        <w:rPr>
          <w:rFonts w:ascii="Palatino Linotype" w:hAnsi="Palatino Linotype" w:cs="Arial"/>
          <w:b/>
          <w:i/>
          <w:color w:val="000000" w:themeColor="text1"/>
        </w:rPr>
        <w:t>Recurrente</w:t>
      </w:r>
      <w:r w:rsidRPr="004F2200">
        <w:rPr>
          <w:rFonts w:ascii="Palatino Linotype" w:hAnsi="Palatino Linotype" w:cs="Arial"/>
          <w:b/>
          <w:i/>
          <w:color w:val="000000" w:themeColor="text1"/>
        </w:rPr>
        <w:t xml:space="preserve"> </w:t>
      </w:r>
      <w:r w:rsidRPr="004F2200">
        <w:rPr>
          <w:rFonts w:ascii="Palatino Linotype" w:hAnsi="Palatino Linotype" w:cs="Arial"/>
          <w:color w:val="000000" w:themeColor="text1"/>
        </w:rPr>
        <w:t>en contra de la respuesta</w:t>
      </w:r>
      <w:r w:rsidR="00E66AC9" w:rsidRPr="004F2200">
        <w:rPr>
          <w:rFonts w:ascii="Palatino Linotype" w:hAnsi="Palatino Linotype" w:cs="Arial"/>
          <w:color w:val="000000" w:themeColor="text1"/>
        </w:rPr>
        <w:t xml:space="preserve"> a</w:t>
      </w:r>
      <w:r w:rsidRPr="004F2200">
        <w:rPr>
          <w:rFonts w:ascii="Palatino Linotype" w:hAnsi="Palatino Linotype" w:cs="Arial"/>
          <w:color w:val="000000" w:themeColor="text1"/>
        </w:rPr>
        <w:t xml:space="preserve"> su solicitud de in</w:t>
      </w:r>
      <w:r w:rsidR="004440AC" w:rsidRPr="004F2200">
        <w:rPr>
          <w:rFonts w:ascii="Palatino Linotype" w:hAnsi="Palatino Linotype" w:cs="Arial"/>
          <w:color w:val="000000" w:themeColor="text1"/>
        </w:rPr>
        <w:t xml:space="preserve">formación con número de folio </w:t>
      </w:r>
      <w:r w:rsidR="004E1A77" w:rsidRPr="004F2200">
        <w:rPr>
          <w:rFonts w:ascii="Palatino Linotype" w:eastAsiaTheme="minorEastAsia" w:hAnsi="Palatino Linotype" w:cs="Arial"/>
          <w:b/>
          <w:color w:val="000000" w:themeColor="text1"/>
          <w:sz w:val="22"/>
          <w:szCs w:val="22"/>
          <w:lang w:val="es-MX"/>
        </w:rPr>
        <w:t>00043/TRIJAEM</w:t>
      </w:r>
      <w:r w:rsidR="001C06E4" w:rsidRPr="004F2200">
        <w:rPr>
          <w:rFonts w:ascii="Palatino Linotype" w:eastAsiaTheme="minorEastAsia" w:hAnsi="Palatino Linotype" w:cs="Arial"/>
          <w:b/>
          <w:color w:val="000000" w:themeColor="text1"/>
          <w:sz w:val="22"/>
          <w:szCs w:val="22"/>
          <w:lang w:val="es-MX"/>
        </w:rPr>
        <w:t>/IP/2018</w:t>
      </w:r>
      <w:r w:rsidRPr="004F2200">
        <w:rPr>
          <w:rFonts w:ascii="Palatino Linotype" w:hAnsi="Palatino Linotype" w:cs="Arial"/>
          <w:color w:val="000000" w:themeColor="text1"/>
        </w:rPr>
        <w:t xml:space="preserve">, </w:t>
      </w:r>
      <w:r w:rsidR="004440AC" w:rsidRPr="004F2200">
        <w:rPr>
          <w:rFonts w:ascii="Palatino Linotype" w:hAnsi="Palatino Linotype" w:cs="Arial"/>
          <w:color w:val="000000" w:themeColor="text1"/>
        </w:rPr>
        <w:t xml:space="preserve">la cual fue otorgada </w:t>
      </w:r>
      <w:r w:rsidRPr="004F2200">
        <w:rPr>
          <w:rFonts w:ascii="Palatino Linotype" w:hAnsi="Palatino Linotype" w:cs="Arial"/>
          <w:color w:val="000000" w:themeColor="text1"/>
        </w:rPr>
        <w:t xml:space="preserve">por </w:t>
      </w:r>
      <w:r w:rsidR="00E5452C" w:rsidRPr="004F2200">
        <w:rPr>
          <w:rFonts w:ascii="Palatino Linotype" w:hAnsi="Palatino Linotype" w:cs="Arial"/>
          <w:color w:val="000000" w:themeColor="text1"/>
        </w:rPr>
        <w:t>el</w:t>
      </w:r>
      <w:r w:rsidR="008F355E" w:rsidRPr="004F2200">
        <w:rPr>
          <w:rFonts w:ascii="Palatino Linotype" w:hAnsi="Palatino Linotype" w:cs="Arial"/>
          <w:color w:val="000000" w:themeColor="text1"/>
        </w:rPr>
        <w:t xml:space="preserve"> </w:t>
      </w:r>
      <w:r w:rsidR="004E1A77" w:rsidRPr="004F2200">
        <w:rPr>
          <w:rFonts w:ascii="Palatino Linotype" w:hAnsi="Palatino Linotype" w:cs="Arial"/>
          <w:b/>
          <w:color w:val="000000" w:themeColor="text1"/>
        </w:rPr>
        <w:t>Tribunal de Justicia Administrativa del Estado de México</w:t>
      </w:r>
      <w:r w:rsidR="008F355E" w:rsidRPr="004F2200">
        <w:rPr>
          <w:rFonts w:ascii="Palatino Linotype" w:hAnsi="Palatino Linotype" w:cs="Arial"/>
          <w:color w:val="000000" w:themeColor="text1"/>
        </w:rPr>
        <w:t>,</w:t>
      </w:r>
      <w:r w:rsidRPr="004F2200">
        <w:rPr>
          <w:rFonts w:ascii="Palatino Linotype" w:hAnsi="Palatino Linotype" w:cs="Arial"/>
          <w:color w:val="000000" w:themeColor="text1"/>
        </w:rPr>
        <w:t xml:space="preserve"> en lo sucesivo el </w:t>
      </w:r>
      <w:r w:rsidRPr="004F2200">
        <w:rPr>
          <w:rFonts w:ascii="Palatino Linotype" w:hAnsi="Palatino Linotype" w:cs="Arial"/>
          <w:b/>
          <w:color w:val="000000" w:themeColor="text1"/>
        </w:rPr>
        <w:t>Sujeto Obligado</w:t>
      </w:r>
      <w:r w:rsidRPr="004F2200">
        <w:rPr>
          <w:rFonts w:ascii="Palatino Linotype" w:hAnsi="Palatino Linotype" w:cs="Arial"/>
          <w:color w:val="000000" w:themeColor="text1"/>
        </w:rPr>
        <w:t>;</w:t>
      </w:r>
      <w:r w:rsidRPr="004F2200">
        <w:rPr>
          <w:rFonts w:ascii="Palatino Linotype" w:hAnsi="Palatino Linotype" w:cs="Arial"/>
          <w:b/>
          <w:color w:val="000000" w:themeColor="text1"/>
        </w:rPr>
        <w:t xml:space="preserve"> </w:t>
      </w:r>
      <w:r w:rsidRPr="004F2200">
        <w:rPr>
          <w:rFonts w:ascii="Palatino Linotype" w:hAnsi="Palatino Linotype" w:cs="Arial"/>
          <w:color w:val="000000" w:themeColor="text1"/>
        </w:rPr>
        <w:t>se procede a dictar la presente resolución, con base en lo siguiente.</w:t>
      </w:r>
    </w:p>
    <w:p w14:paraId="1A4B04B4" w14:textId="6FE3E403" w:rsidR="008E7698" w:rsidRPr="004F2200" w:rsidRDefault="004A6EFE" w:rsidP="004A6EFE">
      <w:pPr>
        <w:pStyle w:val="Ttulo2"/>
        <w:jc w:val="center"/>
        <w:rPr>
          <w:rFonts w:ascii="Palatino Linotype" w:hAnsi="Palatino Linotype"/>
          <w:b/>
          <w:color w:val="000000" w:themeColor="text1"/>
          <w:sz w:val="24"/>
          <w:szCs w:val="24"/>
        </w:rPr>
      </w:pPr>
      <w:r w:rsidRPr="004F2200">
        <w:rPr>
          <w:rFonts w:ascii="Palatino Linotype" w:hAnsi="Palatino Linotype"/>
          <w:b/>
          <w:color w:val="000000" w:themeColor="text1"/>
          <w:sz w:val="24"/>
          <w:szCs w:val="24"/>
        </w:rPr>
        <w:t xml:space="preserve">I. </w:t>
      </w:r>
      <w:r w:rsidR="008E7698" w:rsidRPr="004F2200">
        <w:rPr>
          <w:rFonts w:ascii="Palatino Linotype" w:hAnsi="Palatino Linotype"/>
          <w:b/>
          <w:color w:val="000000" w:themeColor="text1"/>
          <w:sz w:val="24"/>
          <w:szCs w:val="24"/>
        </w:rPr>
        <w:t>A N T E C E D E N T E S:</w:t>
      </w:r>
    </w:p>
    <w:p w14:paraId="4B0026B6" w14:textId="28DE073C" w:rsidR="008E7698" w:rsidRPr="004F2200" w:rsidRDefault="008E7698" w:rsidP="008E7698">
      <w:pPr>
        <w:spacing w:before="240" w:after="240" w:line="360" w:lineRule="auto"/>
        <w:jc w:val="both"/>
        <w:rPr>
          <w:rFonts w:ascii="Palatino Linotype" w:hAnsi="Palatino Linotype" w:cs="Arial"/>
          <w:b/>
          <w:color w:val="000000" w:themeColor="text1"/>
        </w:rPr>
      </w:pPr>
      <w:r w:rsidRPr="004F2200">
        <w:rPr>
          <w:rFonts w:ascii="Palatino Linotype" w:hAnsi="Palatino Linotype" w:cs="Arial"/>
          <w:b/>
          <w:color w:val="000000" w:themeColor="text1"/>
          <w:sz w:val="28"/>
          <w:szCs w:val="28"/>
        </w:rPr>
        <w:t>1. Solicitud de acceso a la información.</w:t>
      </w:r>
      <w:r w:rsidRPr="004F2200">
        <w:rPr>
          <w:rFonts w:ascii="Palatino Linotype" w:hAnsi="Palatino Linotype" w:cs="Arial"/>
          <w:b/>
          <w:color w:val="000000" w:themeColor="text1"/>
        </w:rPr>
        <w:t xml:space="preserve"> </w:t>
      </w:r>
      <w:r w:rsidRPr="004F2200">
        <w:rPr>
          <w:rFonts w:ascii="Palatino Linotype" w:hAnsi="Palatino Linotype" w:cs="Arial"/>
          <w:color w:val="000000" w:themeColor="text1"/>
        </w:rPr>
        <w:t>Con</w:t>
      </w:r>
      <w:r w:rsidR="004440AC" w:rsidRPr="004F2200">
        <w:rPr>
          <w:rFonts w:ascii="Palatino Linotype" w:hAnsi="Palatino Linotype" w:cs="Arial"/>
          <w:color w:val="000000" w:themeColor="text1"/>
        </w:rPr>
        <w:t xml:space="preserve"> fecha </w:t>
      </w:r>
      <w:r w:rsidR="004E1A77" w:rsidRPr="004F2200">
        <w:rPr>
          <w:rFonts w:ascii="Palatino Linotype" w:hAnsi="Palatino Linotype" w:cs="Arial"/>
          <w:color w:val="000000" w:themeColor="text1"/>
        </w:rPr>
        <w:t>dieciocho de junio</w:t>
      </w:r>
      <w:r w:rsidR="00C673D1" w:rsidRPr="004F2200">
        <w:rPr>
          <w:rFonts w:ascii="Palatino Linotype" w:hAnsi="Palatino Linotype" w:cs="Arial"/>
          <w:color w:val="000000" w:themeColor="text1"/>
        </w:rPr>
        <w:t xml:space="preserve"> </w:t>
      </w:r>
      <w:r w:rsidRPr="004F2200">
        <w:rPr>
          <w:rFonts w:ascii="Palatino Linotype" w:hAnsi="Palatino Linotype" w:cs="Arial"/>
          <w:color w:val="000000" w:themeColor="text1"/>
        </w:rPr>
        <w:t xml:space="preserve">de dos mil </w:t>
      </w:r>
      <w:r w:rsidR="00682656" w:rsidRPr="004F2200">
        <w:rPr>
          <w:rFonts w:ascii="Palatino Linotype" w:hAnsi="Palatino Linotype" w:cs="Arial"/>
          <w:color w:val="000000" w:themeColor="text1"/>
        </w:rPr>
        <w:t>dieci</w:t>
      </w:r>
      <w:r w:rsidR="001C06E4" w:rsidRPr="004F2200">
        <w:rPr>
          <w:rFonts w:ascii="Palatino Linotype" w:hAnsi="Palatino Linotype" w:cs="Arial"/>
          <w:color w:val="000000" w:themeColor="text1"/>
        </w:rPr>
        <w:t>ocho</w:t>
      </w:r>
      <w:r w:rsidR="00682656" w:rsidRPr="004F2200">
        <w:rPr>
          <w:rFonts w:ascii="Palatino Linotype" w:hAnsi="Palatino Linotype" w:cs="Arial"/>
          <w:color w:val="000000" w:themeColor="text1"/>
        </w:rPr>
        <w:t xml:space="preserve">, </w:t>
      </w:r>
      <w:r w:rsidR="004E1A77" w:rsidRPr="004F2200">
        <w:rPr>
          <w:rFonts w:ascii="Palatino Linotype" w:hAnsi="Palatino Linotype" w:cs="Arial"/>
          <w:color w:val="000000" w:themeColor="text1"/>
        </w:rPr>
        <w:t>el</w:t>
      </w:r>
      <w:r w:rsidRPr="004F2200">
        <w:rPr>
          <w:rFonts w:ascii="Palatino Linotype" w:hAnsi="Palatino Linotype" w:cs="Arial"/>
          <w:color w:val="000000" w:themeColor="text1"/>
        </w:rPr>
        <w:t xml:space="preserve"> ahora </w:t>
      </w:r>
      <w:r w:rsidR="00DE7F9A" w:rsidRPr="004F2200">
        <w:rPr>
          <w:rFonts w:ascii="Palatino Linotype" w:hAnsi="Palatino Linotype" w:cs="Arial"/>
          <w:b/>
          <w:i/>
          <w:color w:val="000000" w:themeColor="text1"/>
        </w:rPr>
        <w:t>Recurrente</w:t>
      </w:r>
      <w:r w:rsidRPr="004F2200">
        <w:rPr>
          <w:rFonts w:ascii="Palatino Linotype" w:hAnsi="Palatino Linotype" w:cs="Arial"/>
          <w:color w:val="000000" w:themeColor="text1"/>
        </w:rPr>
        <w:t xml:space="preserve"> formuló solicitud de acceso a </w:t>
      </w:r>
      <w:r w:rsidR="00DF1223" w:rsidRPr="004F2200">
        <w:rPr>
          <w:rFonts w:ascii="Palatino Linotype" w:hAnsi="Palatino Linotype" w:cs="Arial"/>
          <w:color w:val="000000" w:themeColor="text1"/>
        </w:rPr>
        <w:t xml:space="preserve">la </w:t>
      </w:r>
      <w:r w:rsidRPr="004F2200">
        <w:rPr>
          <w:rFonts w:ascii="Palatino Linotype" w:hAnsi="Palatino Linotype" w:cs="Arial"/>
          <w:color w:val="000000" w:themeColor="text1"/>
        </w:rPr>
        <w:t xml:space="preserve">información pública al </w:t>
      </w:r>
      <w:r w:rsidRPr="004F2200">
        <w:rPr>
          <w:rFonts w:ascii="Palatino Linotype" w:hAnsi="Palatino Linotype" w:cs="Arial"/>
          <w:b/>
          <w:color w:val="000000" w:themeColor="text1"/>
        </w:rPr>
        <w:t>Sujeto Obligado</w:t>
      </w:r>
      <w:r w:rsidRPr="004F2200">
        <w:rPr>
          <w:rFonts w:ascii="Palatino Linotype" w:hAnsi="Palatino Linotype" w:cs="Arial"/>
          <w:color w:val="000000" w:themeColor="text1"/>
        </w:rPr>
        <w:t xml:space="preserve"> a través del Sistema de Acceso a la Información Mexiquense, en adelante </w:t>
      </w:r>
      <w:r w:rsidRPr="004F2200">
        <w:rPr>
          <w:rFonts w:ascii="Palatino Linotype" w:hAnsi="Palatino Linotype" w:cs="Arial"/>
          <w:b/>
          <w:color w:val="000000" w:themeColor="text1"/>
        </w:rPr>
        <w:t>SAIMEX,</w:t>
      </w:r>
      <w:r w:rsidR="001C06E4" w:rsidRPr="004F2200">
        <w:rPr>
          <w:rFonts w:ascii="Palatino Linotype" w:hAnsi="Palatino Linotype" w:cs="Arial"/>
          <w:color w:val="000000" w:themeColor="text1"/>
        </w:rPr>
        <w:t xml:space="preserve"> </w:t>
      </w:r>
      <w:r w:rsidR="00087017" w:rsidRPr="004F2200">
        <w:rPr>
          <w:rFonts w:ascii="Palatino Linotype" w:hAnsi="Palatino Linotype" w:cs="Arial"/>
          <w:color w:val="000000" w:themeColor="text1"/>
        </w:rPr>
        <w:t>requiriendo</w:t>
      </w:r>
      <w:r w:rsidRPr="004F2200">
        <w:rPr>
          <w:rFonts w:ascii="Palatino Linotype" w:hAnsi="Palatino Linotype" w:cs="Arial"/>
          <w:color w:val="000000" w:themeColor="text1"/>
        </w:rPr>
        <w:t xml:space="preserve"> lo siguiente:</w:t>
      </w:r>
    </w:p>
    <w:p w14:paraId="3F4E6C5F" w14:textId="45979B68" w:rsidR="00293DE5" w:rsidRPr="004F2200" w:rsidRDefault="00293DE5" w:rsidP="008F355E">
      <w:pPr>
        <w:spacing w:before="240" w:after="240" w:line="360" w:lineRule="auto"/>
        <w:ind w:left="851" w:right="902"/>
        <w:jc w:val="both"/>
        <w:rPr>
          <w:rFonts w:ascii="Palatino Linotype" w:hAnsi="Palatino Linotype" w:cs="Arial"/>
          <w:b/>
          <w:i/>
          <w:color w:val="000000" w:themeColor="text1"/>
        </w:rPr>
      </w:pPr>
      <w:r w:rsidRPr="004F2200">
        <w:rPr>
          <w:rFonts w:ascii="Palatino Linotype" w:eastAsiaTheme="minorEastAsia" w:hAnsi="Palatino Linotype" w:cs="Arial"/>
          <w:i/>
          <w:color w:val="000000" w:themeColor="text1"/>
          <w:lang w:val="es-MX"/>
        </w:rPr>
        <w:t>“</w:t>
      </w:r>
      <w:r w:rsidR="004E1A77" w:rsidRPr="004F2200">
        <w:rPr>
          <w:rFonts w:ascii="Palatino Linotype" w:eastAsiaTheme="minorEastAsia" w:hAnsi="Palatino Linotype" w:cs="Arial"/>
          <w:i/>
          <w:color w:val="000000" w:themeColor="text1"/>
          <w:lang w:val="es-MX"/>
        </w:rPr>
        <w:t>l</w:t>
      </w:r>
      <w:r w:rsidR="004E1A77" w:rsidRPr="004F2200">
        <w:rPr>
          <w:rFonts w:ascii="Palatino Linotype" w:hAnsi="Palatino Linotype"/>
          <w:i/>
          <w:color w:val="000000" w:themeColor="text1"/>
        </w:rPr>
        <w:t>o indicado en el archivo adjunto</w:t>
      </w:r>
      <w:r w:rsidR="004F5243" w:rsidRPr="004F2200">
        <w:rPr>
          <w:rFonts w:ascii="Palatino Linotype" w:hAnsi="Palatino Linotype" w:cs="Arial"/>
          <w:i/>
          <w:color w:val="000000" w:themeColor="text1"/>
        </w:rPr>
        <w:t>”</w:t>
      </w:r>
      <w:r w:rsidR="00C673D1" w:rsidRPr="004F2200">
        <w:rPr>
          <w:rFonts w:ascii="Palatino Linotype" w:hAnsi="Palatino Linotype" w:cs="Arial"/>
          <w:i/>
          <w:color w:val="000000" w:themeColor="text1"/>
        </w:rPr>
        <w:t>(sic)</w:t>
      </w:r>
    </w:p>
    <w:p w14:paraId="4DCB80BE" w14:textId="46CA1DC2" w:rsidR="002945B2" w:rsidRPr="004F2200" w:rsidRDefault="00BE3A21" w:rsidP="008E7698">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E</w:t>
      </w:r>
      <w:r w:rsidR="00D86E9B" w:rsidRPr="004F2200">
        <w:rPr>
          <w:rFonts w:ascii="Palatino Linotype" w:hAnsi="Palatino Linotype" w:cs="Arial"/>
          <w:color w:val="000000" w:themeColor="text1"/>
        </w:rPr>
        <w:t xml:space="preserve">l particular adjuntó a su solicitud de información </w:t>
      </w:r>
      <w:r w:rsidR="001D3401" w:rsidRPr="004F2200">
        <w:rPr>
          <w:rFonts w:ascii="Palatino Linotype" w:hAnsi="Palatino Linotype" w:cs="Arial"/>
          <w:color w:val="000000" w:themeColor="text1"/>
        </w:rPr>
        <w:t xml:space="preserve">el archivo denominado </w:t>
      </w:r>
      <w:hyperlink r:id="rId8" w:tgtFrame="_blank" w:history="1">
        <w:r w:rsidR="001D3401" w:rsidRPr="004F2200">
          <w:rPr>
            <w:rStyle w:val="Hipervnculo"/>
            <w:rFonts w:ascii="Palatino Linotype" w:hAnsi="Palatino Linotype" w:cs="Arial"/>
            <w:b/>
            <w:bCs/>
            <w:color w:val="000000" w:themeColor="text1"/>
            <w:u w:val="none"/>
          </w:rPr>
          <w:t>borrame.pdf</w:t>
        </w:r>
      </w:hyperlink>
      <w:r w:rsidR="00D86E9B" w:rsidRPr="004F2200">
        <w:rPr>
          <w:rFonts w:ascii="Palatino Linotype" w:hAnsi="Palatino Linotype" w:cs="Arial"/>
          <w:color w:val="000000" w:themeColor="text1"/>
        </w:rPr>
        <w:t xml:space="preserve">, </w:t>
      </w:r>
      <w:r w:rsidR="002945B2" w:rsidRPr="004F2200">
        <w:rPr>
          <w:rFonts w:ascii="Palatino Linotype" w:hAnsi="Palatino Linotype" w:cs="Arial"/>
          <w:color w:val="000000" w:themeColor="text1"/>
        </w:rPr>
        <w:t>que contiene los requerimientos de información consistentes en lo siguiente:</w:t>
      </w:r>
    </w:p>
    <w:p w14:paraId="111D071C" w14:textId="77777777" w:rsidR="002945B2" w:rsidRPr="004F2200" w:rsidRDefault="002945B2" w:rsidP="002945B2">
      <w:pPr>
        <w:spacing w:before="240" w:after="240" w:line="360" w:lineRule="auto"/>
        <w:ind w:left="851" w:right="900"/>
        <w:jc w:val="both"/>
        <w:rPr>
          <w:rFonts w:ascii="Palatino Linotype" w:hAnsi="Palatino Linotype"/>
          <w:i/>
          <w:color w:val="000000" w:themeColor="text1"/>
        </w:rPr>
      </w:pPr>
      <w:r w:rsidRPr="004F2200">
        <w:rPr>
          <w:rFonts w:ascii="Palatino Linotype" w:hAnsi="Palatino Linotype"/>
          <w:i/>
          <w:color w:val="000000" w:themeColor="text1"/>
        </w:rPr>
        <w:t xml:space="preserve">“Cuarta Sala Regional del Tribunal de Justicia Administrativa del Estado de México </w:t>
      </w:r>
    </w:p>
    <w:p w14:paraId="77EFE0CC" w14:textId="77777777" w:rsidR="002945B2" w:rsidRPr="004F2200" w:rsidRDefault="002945B2" w:rsidP="00216459">
      <w:pPr>
        <w:pStyle w:val="Prrafodelista"/>
        <w:numPr>
          <w:ilvl w:val="0"/>
          <w:numId w:val="2"/>
        </w:numPr>
        <w:spacing w:before="240" w:after="240" w:line="360" w:lineRule="auto"/>
        <w:ind w:right="900"/>
        <w:jc w:val="both"/>
        <w:rPr>
          <w:rFonts w:ascii="Palatino Linotype" w:hAnsi="Palatino Linotype" w:cs="Arial"/>
          <w:i/>
          <w:color w:val="000000" w:themeColor="text1"/>
        </w:rPr>
      </w:pPr>
      <w:r w:rsidRPr="004F2200">
        <w:rPr>
          <w:rFonts w:ascii="Palatino Linotype" w:hAnsi="Palatino Linotype"/>
          <w:i/>
          <w:color w:val="000000" w:themeColor="text1"/>
        </w:rPr>
        <w:lastRenderedPageBreak/>
        <w:t xml:space="preserve">El asesor comisionado adscrito a la cuarta sala regional me indicó que requería que recogiera unas documentales </w:t>
      </w:r>
    </w:p>
    <w:p w14:paraId="55D112EA" w14:textId="77777777" w:rsidR="002945B2" w:rsidRPr="004F2200" w:rsidRDefault="002945B2" w:rsidP="00216459">
      <w:pPr>
        <w:pStyle w:val="Prrafodelista"/>
        <w:numPr>
          <w:ilvl w:val="0"/>
          <w:numId w:val="2"/>
        </w:numPr>
        <w:spacing w:before="240" w:after="240" w:line="360" w:lineRule="auto"/>
        <w:ind w:right="900"/>
        <w:jc w:val="both"/>
        <w:rPr>
          <w:rFonts w:ascii="Palatino Linotype" w:hAnsi="Palatino Linotype" w:cs="Arial"/>
          <w:i/>
          <w:color w:val="000000" w:themeColor="text1"/>
        </w:rPr>
      </w:pPr>
      <w:r w:rsidRPr="004F2200">
        <w:rPr>
          <w:rFonts w:ascii="Palatino Linotype" w:hAnsi="Palatino Linotype"/>
          <w:i/>
          <w:color w:val="000000" w:themeColor="text1"/>
        </w:rPr>
        <w:t xml:space="preserve">El 18/08/2018 en la cuarta sala regional se me entregó diversas documentales, cheque y rechazo bancario, pero en la comparecencia sólo se mencionó que recibí un cheque. </w:t>
      </w:r>
    </w:p>
    <w:p w14:paraId="42A5904A" w14:textId="77777777" w:rsidR="002945B2" w:rsidRPr="004F2200" w:rsidRDefault="002945B2" w:rsidP="00216459">
      <w:pPr>
        <w:pStyle w:val="Prrafodelista"/>
        <w:numPr>
          <w:ilvl w:val="0"/>
          <w:numId w:val="2"/>
        </w:numPr>
        <w:spacing w:before="240" w:after="240" w:line="360" w:lineRule="auto"/>
        <w:ind w:right="900"/>
        <w:jc w:val="both"/>
        <w:rPr>
          <w:rFonts w:ascii="Palatino Linotype" w:hAnsi="Palatino Linotype" w:cs="Arial"/>
          <w:i/>
          <w:color w:val="000000" w:themeColor="text1"/>
        </w:rPr>
      </w:pPr>
      <w:r w:rsidRPr="004F2200">
        <w:rPr>
          <w:rFonts w:ascii="Palatino Linotype" w:hAnsi="Palatino Linotype"/>
          <w:i/>
          <w:color w:val="000000" w:themeColor="text1"/>
        </w:rPr>
        <w:t xml:space="preserve">El 18/08/2018 le entregué las documentales, cheque y rechazo bancario, al asesor comisionado y éste se negó a darme un acuse de recibo de los documentos. </w:t>
      </w:r>
    </w:p>
    <w:p w14:paraId="70D77519" w14:textId="55F54D87" w:rsidR="002945B2" w:rsidRPr="004F2200" w:rsidRDefault="002945B2" w:rsidP="002945B2">
      <w:pPr>
        <w:spacing w:before="240" w:after="240" w:line="360" w:lineRule="auto"/>
        <w:ind w:left="851" w:right="900"/>
        <w:jc w:val="both"/>
        <w:rPr>
          <w:rFonts w:ascii="Palatino Linotype" w:hAnsi="Palatino Linotype" w:cs="Arial"/>
          <w:i/>
          <w:color w:val="000000" w:themeColor="text1"/>
        </w:rPr>
      </w:pPr>
      <w:r w:rsidRPr="004F2200">
        <w:rPr>
          <w:rFonts w:ascii="Palatino Linotype" w:hAnsi="Palatino Linotype"/>
          <w:i/>
          <w:color w:val="000000" w:themeColor="text1"/>
        </w:rPr>
        <w:t>solicito copia de la versión pública de las documentales que se hayan generado con motivo de los eventos mencionados para poder demostrar que el asesor comisionado se encuentra en poder de las documentales referidas, entre los documentos que solicito deben constar copia de la comparecencia, copia de las documentales que me entregaron y del trámite de recepción del asesor comisionado.”</w:t>
      </w:r>
    </w:p>
    <w:p w14:paraId="649BFEDD" w14:textId="5F14376C" w:rsidR="00293DE5" w:rsidRPr="004F2200" w:rsidRDefault="002945B2" w:rsidP="008E7698">
      <w:pPr>
        <w:spacing w:before="240" w:after="240" w:line="360" w:lineRule="auto"/>
        <w:jc w:val="both"/>
        <w:rPr>
          <w:rFonts w:ascii="Palatino Linotype" w:hAnsi="Palatino Linotype" w:cs="Arial"/>
          <w:b/>
          <w:color w:val="000000" w:themeColor="text1"/>
        </w:rPr>
      </w:pPr>
      <w:r w:rsidRPr="004F2200">
        <w:rPr>
          <w:rFonts w:ascii="Palatino Linotype" w:hAnsi="Palatino Linotype" w:cs="Arial"/>
          <w:color w:val="000000" w:themeColor="text1"/>
        </w:rPr>
        <w:t>El particular señaló</w:t>
      </w:r>
      <w:r w:rsidR="00293DE5" w:rsidRPr="004F2200">
        <w:rPr>
          <w:rFonts w:ascii="Palatino Linotype" w:hAnsi="Palatino Linotype" w:cs="Arial"/>
          <w:color w:val="000000" w:themeColor="text1"/>
        </w:rPr>
        <w:t xml:space="preserve"> como modalidad de entrega </w:t>
      </w:r>
      <w:r w:rsidR="001D3401" w:rsidRPr="004F2200">
        <w:rPr>
          <w:rFonts w:ascii="Palatino Linotype" w:hAnsi="Palatino Linotype" w:cs="Arial"/>
          <w:color w:val="000000" w:themeColor="text1"/>
        </w:rPr>
        <w:t xml:space="preserve">de la información </w:t>
      </w:r>
      <w:r w:rsidR="00293DE5" w:rsidRPr="004F2200">
        <w:rPr>
          <w:rFonts w:ascii="Palatino Linotype" w:hAnsi="Palatino Linotype" w:cs="Arial"/>
          <w:color w:val="000000" w:themeColor="text1"/>
        </w:rPr>
        <w:t>el</w:t>
      </w:r>
      <w:r w:rsidR="00293DE5" w:rsidRPr="004F2200">
        <w:rPr>
          <w:rFonts w:ascii="Palatino Linotype" w:hAnsi="Palatino Linotype" w:cs="Arial"/>
          <w:b/>
          <w:color w:val="000000" w:themeColor="text1"/>
        </w:rPr>
        <w:t xml:space="preserve"> SAIMEX</w:t>
      </w:r>
      <w:r w:rsidR="00451F5B" w:rsidRPr="004F2200">
        <w:rPr>
          <w:rFonts w:ascii="Palatino Linotype" w:hAnsi="Palatino Linotype" w:cs="Arial"/>
          <w:b/>
          <w:color w:val="000000" w:themeColor="text1"/>
        </w:rPr>
        <w:t>.</w:t>
      </w:r>
    </w:p>
    <w:p w14:paraId="21EC61D6" w14:textId="4FCC54C2" w:rsidR="000B1BD9" w:rsidRPr="004F2200" w:rsidRDefault="000B1BD9" w:rsidP="000B1BD9">
      <w:pPr>
        <w:spacing w:before="240" w:after="240" w:line="360" w:lineRule="auto"/>
        <w:jc w:val="both"/>
        <w:rPr>
          <w:rFonts w:ascii="Palatino Linotype" w:hAnsi="Palatino Linotype" w:cs="Arial"/>
          <w:color w:val="000000" w:themeColor="text1"/>
          <w:szCs w:val="28"/>
        </w:rPr>
      </w:pPr>
      <w:r w:rsidRPr="004F2200">
        <w:rPr>
          <w:rFonts w:ascii="Palatino Linotype" w:hAnsi="Palatino Linotype" w:cs="Arial"/>
          <w:b/>
          <w:color w:val="000000" w:themeColor="text1"/>
          <w:sz w:val="28"/>
          <w:szCs w:val="28"/>
        </w:rPr>
        <w:t xml:space="preserve">2. Solicitud de Aclaración. </w:t>
      </w:r>
      <w:r w:rsidRPr="004F2200">
        <w:rPr>
          <w:rFonts w:ascii="Palatino Linotype" w:hAnsi="Palatino Linotype" w:cs="Arial"/>
          <w:color w:val="000000" w:themeColor="text1"/>
          <w:szCs w:val="28"/>
        </w:rPr>
        <w:t xml:space="preserve">En fecha veinte de junio del año en curso, el </w:t>
      </w:r>
      <w:r w:rsidRPr="004F2200">
        <w:rPr>
          <w:rFonts w:ascii="Palatino Linotype" w:hAnsi="Palatino Linotype" w:cs="Arial"/>
          <w:b/>
          <w:color w:val="000000" w:themeColor="text1"/>
          <w:szCs w:val="28"/>
        </w:rPr>
        <w:t>Sujeto Obligado</w:t>
      </w:r>
      <w:r w:rsidRPr="004F2200">
        <w:rPr>
          <w:rFonts w:ascii="Palatino Linotype" w:hAnsi="Palatino Linotype" w:cs="Arial"/>
          <w:color w:val="000000" w:themeColor="text1"/>
          <w:szCs w:val="28"/>
        </w:rPr>
        <w:t xml:space="preserve"> le notificó al particular requerimiento de aclaración a la solicitud de acceso a información, con la única finalidad de que precisará la fecha correcta de los hechos que narra en su solicitud</w:t>
      </w:r>
      <w:r w:rsidR="003E694A" w:rsidRPr="004F2200">
        <w:rPr>
          <w:rFonts w:ascii="Palatino Linotype" w:hAnsi="Palatino Linotype" w:cs="Arial"/>
          <w:color w:val="000000" w:themeColor="text1"/>
          <w:szCs w:val="28"/>
        </w:rPr>
        <w:t xml:space="preserve"> de </w:t>
      </w:r>
      <w:r w:rsidRPr="004F2200">
        <w:rPr>
          <w:rFonts w:ascii="Palatino Linotype" w:hAnsi="Palatino Linotype" w:cs="Arial"/>
          <w:color w:val="000000" w:themeColor="text1"/>
          <w:szCs w:val="28"/>
        </w:rPr>
        <w:t>información</w:t>
      </w:r>
      <w:r w:rsidR="001200D5" w:rsidRPr="004F2200">
        <w:rPr>
          <w:rFonts w:ascii="Palatino Linotype" w:hAnsi="Palatino Linotype" w:cs="Arial"/>
          <w:color w:val="000000" w:themeColor="text1"/>
          <w:szCs w:val="28"/>
        </w:rPr>
        <w:t xml:space="preserve"> y el número de expediente en que se localizan los documentos</w:t>
      </w:r>
      <w:r w:rsidRPr="004F2200">
        <w:rPr>
          <w:rFonts w:ascii="Palatino Linotype" w:hAnsi="Palatino Linotype" w:cs="Arial"/>
          <w:color w:val="000000" w:themeColor="text1"/>
          <w:szCs w:val="28"/>
        </w:rPr>
        <w:t xml:space="preserve">. Requerimiento que </w:t>
      </w:r>
      <w:r w:rsidR="0008069C" w:rsidRPr="004F2200">
        <w:rPr>
          <w:rFonts w:ascii="Palatino Linotype" w:hAnsi="Palatino Linotype" w:cs="Arial"/>
          <w:color w:val="000000" w:themeColor="text1"/>
          <w:szCs w:val="28"/>
        </w:rPr>
        <w:t>desahogo</w:t>
      </w:r>
      <w:r w:rsidRPr="004F2200">
        <w:rPr>
          <w:rFonts w:ascii="Palatino Linotype" w:hAnsi="Palatino Linotype" w:cs="Arial"/>
          <w:color w:val="000000" w:themeColor="text1"/>
          <w:szCs w:val="28"/>
        </w:rPr>
        <w:t xml:space="preserve"> </w:t>
      </w:r>
      <w:r w:rsidR="003E694A" w:rsidRPr="004F2200">
        <w:rPr>
          <w:rFonts w:ascii="Palatino Linotype" w:hAnsi="Palatino Linotype" w:cs="Arial"/>
          <w:color w:val="000000" w:themeColor="text1"/>
          <w:szCs w:val="28"/>
        </w:rPr>
        <w:t>el</w:t>
      </w:r>
      <w:r w:rsidRPr="004F2200">
        <w:rPr>
          <w:rFonts w:ascii="Palatino Linotype" w:hAnsi="Palatino Linotype" w:cs="Arial"/>
          <w:color w:val="000000" w:themeColor="text1"/>
          <w:szCs w:val="28"/>
        </w:rPr>
        <w:t xml:space="preserve"> hoy </w:t>
      </w:r>
      <w:r w:rsidRPr="004F2200">
        <w:rPr>
          <w:rFonts w:ascii="Palatino Linotype" w:hAnsi="Palatino Linotype" w:cs="Arial"/>
          <w:b/>
          <w:i/>
          <w:color w:val="000000" w:themeColor="text1"/>
          <w:szCs w:val="28"/>
        </w:rPr>
        <w:t xml:space="preserve">Recurrente </w:t>
      </w:r>
      <w:r w:rsidRPr="004F2200">
        <w:rPr>
          <w:rFonts w:ascii="Palatino Linotype" w:hAnsi="Palatino Linotype" w:cs="Arial"/>
          <w:color w:val="000000" w:themeColor="text1"/>
          <w:szCs w:val="28"/>
        </w:rPr>
        <w:t xml:space="preserve">en fecha </w:t>
      </w:r>
      <w:r w:rsidR="003E694A" w:rsidRPr="004F2200">
        <w:rPr>
          <w:rFonts w:ascii="Palatino Linotype" w:hAnsi="Palatino Linotype" w:cs="Arial"/>
          <w:color w:val="000000" w:themeColor="text1"/>
          <w:szCs w:val="28"/>
        </w:rPr>
        <w:t>veinte de junio</w:t>
      </w:r>
      <w:r w:rsidRPr="004F2200">
        <w:rPr>
          <w:rFonts w:ascii="Palatino Linotype" w:hAnsi="Palatino Linotype" w:cs="Arial"/>
          <w:color w:val="000000" w:themeColor="text1"/>
          <w:szCs w:val="28"/>
        </w:rPr>
        <w:t xml:space="preserve"> de la presente anualidad, manifestando que </w:t>
      </w:r>
      <w:r w:rsidR="003E694A" w:rsidRPr="004F2200">
        <w:rPr>
          <w:rFonts w:ascii="Palatino Linotype" w:hAnsi="Palatino Linotype" w:cs="Arial"/>
          <w:color w:val="000000" w:themeColor="text1"/>
          <w:szCs w:val="28"/>
        </w:rPr>
        <w:t xml:space="preserve">los hechos sucedieron el </w:t>
      </w:r>
      <w:r w:rsidR="003E694A" w:rsidRPr="004F2200">
        <w:rPr>
          <w:rFonts w:ascii="Palatino Linotype" w:hAnsi="Palatino Linotype" w:cs="Arial"/>
          <w:color w:val="000000" w:themeColor="text1"/>
          <w:szCs w:val="28"/>
        </w:rPr>
        <w:lastRenderedPageBreak/>
        <w:t>dieciocho de junio del dos mil dieciocho, que corresponde a la misma fecha en que se ingresó la solicitud de a</w:t>
      </w:r>
      <w:r w:rsidR="001200D5" w:rsidRPr="004F2200">
        <w:rPr>
          <w:rFonts w:ascii="Palatino Linotype" w:hAnsi="Palatino Linotype" w:cs="Arial"/>
          <w:color w:val="000000" w:themeColor="text1"/>
          <w:szCs w:val="28"/>
        </w:rPr>
        <w:t>cceso a la información pública, sin proporcionar el número de expediente.</w:t>
      </w:r>
    </w:p>
    <w:p w14:paraId="486A14B9" w14:textId="315E8BE2" w:rsidR="008E7698" w:rsidRPr="004F2200" w:rsidRDefault="000B1BD9" w:rsidP="008E7698">
      <w:pPr>
        <w:spacing w:before="240" w:after="240" w:line="360" w:lineRule="auto"/>
        <w:jc w:val="both"/>
        <w:rPr>
          <w:rFonts w:ascii="Palatino Linotype" w:hAnsi="Palatino Linotype" w:cs="Arial"/>
          <w:color w:val="000000" w:themeColor="text1"/>
        </w:rPr>
      </w:pPr>
      <w:r w:rsidRPr="004F2200">
        <w:rPr>
          <w:rFonts w:ascii="Palatino Linotype" w:hAnsi="Palatino Linotype" w:cs="Arial"/>
          <w:b/>
          <w:color w:val="000000" w:themeColor="text1"/>
          <w:sz w:val="28"/>
          <w:szCs w:val="28"/>
        </w:rPr>
        <w:t>3</w:t>
      </w:r>
      <w:r w:rsidR="008E7698" w:rsidRPr="004F2200">
        <w:rPr>
          <w:rFonts w:ascii="Palatino Linotype" w:hAnsi="Palatino Linotype" w:cs="Arial"/>
          <w:b/>
          <w:color w:val="000000" w:themeColor="text1"/>
          <w:sz w:val="28"/>
          <w:szCs w:val="28"/>
        </w:rPr>
        <w:t xml:space="preserve">. </w:t>
      </w:r>
      <w:r w:rsidR="008F355E" w:rsidRPr="004F2200">
        <w:rPr>
          <w:rFonts w:ascii="Palatino Linotype" w:hAnsi="Palatino Linotype" w:cs="Arial"/>
          <w:b/>
          <w:color w:val="000000" w:themeColor="text1"/>
          <w:sz w:val="28"/>
          <w:szCs w:val="28"/>
        </w:rPr>
        <w:t>Respuesta</w:t>
      </w:r>
      <w:r w:rsidR="008E7698" w:rsidRPr="004F2200">
        <w:rPr>
          <w:rFonts w:ascii="Palatino Linotype" w:hAnsi="Palatino Linotype" w:cs="Arial"/>
          <w:b/>
          <w:color w:val="000000" w:themeColor="text1"/>
          <w:sz w:val="28"/>
          <w:szCs w:val="28"/>
        </w:rPr>
        <w:t>.</w:t>
      </w:r>
      <w:r w:rsidR="008E7698" w:rsidRPr="004F2200">
        <w:rPr>
          <w:rFonts w:ascii="Palatino Linotype" w:hAnsi="Palatino Linotype" w:cs="Arial"/>
          <w:b/>
          <w:color w:val="000000" w:themeColor="text1"/>
        </w:rPr>
        <w:t xml:space="preserve"> </w:t>
      </w:r>
      <w:r w:rsidR="008E7698" w:rsidRPr="004F2200">
        <w:rPr>
          <w:rFonts w:ascii="Palatino Linotype" w:hAnsi="Palatino Linotype" w:cs="Arial"/>
          <w:color w:val="000000" w:themeColor="text1"/>
        </w:rPr>
        <w:t>Con fecha</w:t>
      </w:r>
      <w:r w:rsidR="00D53645" w:rsidRPr="004F2200">
        <w:rPr>
          <w:rFonts w:ascii="Palatino Linotype" w:hAnsi="Palatino Linotype" w:cs="Arial"/>
          <w:color w:val="000000" w:themeColor="text1"/>
        </w:rPr>
        <w:t xml:space="preserve"> </w:t>
      </w:r>
      <w:r w:rsidR="003E694A" w:rsidRPr="004F2200">
        <w:rPr>
          <w:rFonts w:ascii="Palatino Linotype" w:hAnsi="Palatino Linotype" w:cs="Arial"/>
          <w:color w:val="000000" w:themeColor="text1"/>
        </w:rPr>
        <w:t>once de julio</w:t>
      </w:r>
      <w:r w:rsidR="00E5452C" w:rsidRPr="004F2200">
        <w:rPr>
          <w:rFonts w:ascii="Palatino Linotype" w:hAnsi="Palatino Linotype" w:cs="Arial"/>
          <w:color w:val="000000" w:themeColor="text1"/>
        </w:rPr>
        <w:t xml:space="preserve"> de</w:t>
      </w:r>
      <w:r w:rsidR="001870FE" w:rsidRPr="004F2200">
        <w:rPr>
          <w:rFonts w:ascii="Palatino Linotype" w:hAnsi="Palatino Linotype" w:cs="Arial"/>
          <w:color w:val="000000" w:themeColor="text1"/>
        </w:rPr>
        <w:t xml:space="preserve">l </w:t>
      </w:r>
      <w:r w:rsidR="00541BA8" w:rsidRPr="004F2200">
        <w:rPr>
          <w:rFonts w:ascii="Palatino Linotype" w:hAnsi="Palatino Linotype" w:cs="Arial"/>
          <w:color w:val="000000" w:themeColor="text1"/>
        </w:rPr>
        <w:t>año en curso</w:t>
      </w:r>
      <w:r w:rsidR="00E5452C" w:rsidRPr="004F2200">
        <w:rPr>
          <w:rFonts w:ascii="Palatino Linotype" w:hAnsi="Palatino Linotype" w:cs="Arial"/>
          <w:color w:val="000000" w:themeColor="text1"/>
        </w:rPr>
        <w:t>,</w:t>
      </w:r>
      <w:r w:rsidR="00D53645" w:rsidRPr="004F2200">
        <w:rPr>
          <w:rFonts w:ascii="Palatino Linotype" w:hAnsi="Palatino Linotype" w:cs="Arial"/>
          <w:color w:val="000000" w:themeColor="text1"/>
        </w:rPr>
        <w:t xml:space="preserve"> </w:t>
      </w:r>
      <w:r w:rsidR="008E7698" w:rsidRPr="004F2200">
        <w:rPr>
          <w:rFonts w:ascii="Palatino Linotype" w:hAnsi="Palatino Linotype" w:cs="Arial"/>
          <w:color w:val="000000" w:themeColor="text1"/>
        </w:rPr>
        <w:t xml:space="preserve">a través del </w:t>
      </w:r>
      <w:r w:rsidR="00E5452C" w:rsidRPr="004F2200">
        <w:rPr>
          <w:rFonts w:ascii="Palatino Linotype" w:hAnsi="Palatino Linotype" w:cs="Arial"/>
          <w:color w:val="000000" w:themeColor="text1"/>
        </w:rPr>
        <w:t xml:space="preserve">sistema electrónico </w:t>
      </w:r>
      <w:r w:rsidR="008E7698" w:rsidRPr="004F2200">
        <w:rPr>
          <w:rFonts w:ascii="Palatino Linotype" w:hAnsi="Palatino Linotype" w:cs="Arial"/>
          <w:color w:val="000000" w:themeColor="text1"/>
        </w:rPr>
        <w:t xml:space="preserve">SAIMEX, </w:t>
      </w:r>
      <w:r w:rsidR="00E5452C" w:rsidRPr="004F2200">
        <w:rPr>
          <w:rFonts w:ascii="Palatino Linotype" w:hAnsi="Palatino Linotype" w:cs="Arial"/>
          <w:color w:val="000000" w:themeColor="text1"/>
        </w:rPr>
        <w:t xml:space="preserve">el </w:t>
      </w:r>
      <w:r w:rsidR="00E5452C" w:rsidRPr="004F2200">
        <w:rPr>
          <w:rFonts w:ascii="Palatino Linotype" w:hAnsi="Palatino Linotype" w:cs="Arial"/>
          <w:b/>
          <w:color w:val="000000" w:themeColor="text1"/>
        </w:rPr>
        <w:t xml:space="preserve">Sujeto Obligado </w:t>
      </w:r>
      <w:r w:rsidR="008F355E" w:rsidRPr="004F2200">
        <w:rPr>
          <w:rFonts w:ascii="Palatino Linotype" w:hAnsi="Palatino Linotype" w:cs="Arial"/>
          <w:color w:val="000000" w:themeColor="text1"/>
        </w:rPr>
        <w:t xml:space="preserve">notificó </w:t>
      </w:r>
      <w:r w:rsidR="001870FE" w:rsidRPr="004F2200">
        <w:rPr>
          <w:rFonts w:ascii="Palatino Linotype" w:hAnsi="Palatino Linotype" w:cs="Arial"/>
          <w:color w:val="000000" w:themeColor="text1"/>
        </w:rPr>
        <w:t>a</w:t>
      </w:r>
      <w:r w:rsidR="00E5452C" w:rsidRPr="004F2200">
        <w:rPr>
          <w:rFonts w:ascii="Palatino Linotype" w:hAnsi="Palatino Linotype" w:cs="Arial"/>
          <w:color w:val="000000" w:themeColor="text1"/>
        </w:rPr>
        <w:t>l particular la respuesta siguiente</w:t>
      </w:r>
      <w:r w:rsidR="008F355E" w:rsidRPr="004F2200">
        <w:rPr>
          <w:rFonts w:ascii="Palatino Linotype" w:hAnsi="Palatino Linotype" w:cs="Arial"/>
          <w:color w:val="000000" w:themeColor="text1"/>
        </w:rPr>
        <w:t>:</w:t>
      </w:r>
    </w:p>
    <w:p w14:paraId="224399FE" w14:textId="6A827271" w:rsidR="00E5452C" w:rsidRPr="004F2200" w:rsidRDefault="001870FE" w:rsidP="000F4A82">
      <w:pPr>
        <w:spacing w:before="240" w:after="240" w:line="360" w:lineRule="auto"/>
        <w:ind w:left="851" w:right="900"/>
        <w:jc w:val="both"/>
        <w:rPr>
          <w:rFonts w:ascii="Palatino Linotype" w:hAnsi="Palatino Linotype" w:cs="Arial"/>
          <w:color w:val="000000" w:themeColor="text1"/>
          <w:sz w:val="16"/>
          <w:szCs w:val="16"/>
        </w:rPr>
      </w:pPr>
      <w:r w:rsidRPr="004F2200">
        <w:rPr>
          <w:rFonts w:ascii="Palatino Linotype" w:hAnsi="Palatino Linotype"/>
          <w:i/>
          <w:color w:val="000000" w:themeColor="text1"/>
          <w:lang w:val="es-MX" w:eastAsia="es-MX"/>
        </w:rPr>
        <w:t>“</w:t>
      </w:r>
      <w:r w:rsidR="00CB3974" w:rsidRPr="004F2200">
        <w:rPr>
          <w:rFonts w:ascii="Palatino Linotype" w:hAnsi="Palatino Linotype"/>
          <w:i/>
          <w:color w:val="000000" w:themeColor="text1"/>
          <w:lang w:val="es-MX" w:eastAsia="es-MX"/>
        </w:rPr>
        <w:t>…</w:t>
      </w:r>
      <w:r w:rsidR="003E694A" w:rsidRPr="004F2200">
        <w:rPr>
          <w:rFonts w:ascii="Palatino Linotype" w:hAnsi="Palatino Linotype"/>
          <w:i/>
          <w:color w:val="000000" w:themeColor="text1"/>
        </w:rPr>
        <w:t>En archivos adjuntos se da respuesta a la solicitud de información.</w:t>
      </w:r>
      <w:r w:rsidR="00E5452C" w:rsidRPr="004F2200">
        <w:rPr>
          <w:rFonts w:ascii="Palatino Linotype" w:hAnsi="Palatino Linotype"/>
          <w:i/>
          <w:color w:val="000000" w:themeColor="text1"/>
        </w:rPr>
        <w:t>”</w:t>
      </w:r>
      <w:r w:rsidR="003E694A" w:rsidRPr="004F2200">
        <w:rPr>
          <w:rFonts w:ascii="Palatino Linotype" w:hAnsi="Palatino Linotype"/>
          <w:i/>
          <w:color w:val="000000" w:themeColor="text1"/>
          <w:sz w:val="16"/>
          <w:szCs w:val="16"/>
        </w:rPr>
        <w:t>(</w:t>
      </w:r>
      <w:r w:rsidR="00E5452C" w:rsidRPr="004F2200">
        <w:rPr>
          <w:rFonts w:ascii="Palatino Linotype" w:hAnsi="Palatino Linotype"/>
          <w:color w:val="000000" w:themeColor="text1"/>
          <w:sz w:val="16"/>
          <w:szCs w:val="16"/>
        </w:rPr>
        <w:t>sic)</w:t>
      </w:r>
    </w:p>
    <w:p w14:paraId="3DF089E3" w14:textId="4C4219AB" w:rsidR="00AA57EF" w:rsidRPr="004F2200" w:rsidRDefault="001B3256" w:rsidP="008F4C62">
      <w:pPr>
        <w:spacing w:before="240" w:after="240" w:line="360" w:lineRule="auto"/>
        <w:jc w:val="both"/>
        <w:rPr>
          <w:rFonts w:ascii="Palatino Linotype" w:hAnsi="Palatino Linotype"/>
          <w:color w:val="000000" w:themeColor="text1"/>
        </w:rPr>
      </w:pPr>
      <w:r w:rsidRPr="004F2200">
        <w:rPr>
          <w:rFonts w:ascii="Palatino Linotype" w:hAnsi="Palatino Linotype" w:cs="Arial"/>
          <w:color w:val="000000" w:themeColor="text1"/>
        </w:rPr>
        <w:t>E</w:t>
      </w:r>
      <w:r w:rsidR="00251066" w:rsidRPr="004F2200">
        <w:rPr>
          <w:rFonts w:ascii="Palatino Linotype" w:hAnsi="Palatino Linotype" w:cs="Arial"/>
          <w:color w:val="000000" w:themeColor="text1"/>
        </w:rPr>
        <w:t xml:space="preserve">l </w:t>
      </w:r>
      <w:r w:rsidR="000A0D0B" w:rsidRPr="004F2200">
        <w:rPr>
          <w:rFonts w:ascii="Palatino Linotype" w:hAnsi="Palatino Linotype" w:cs="Arial"/>
          <w:b/>
          <w:color w:val="000000" w:themeColor="text1"/>
        </w:rPr>
        <w:t>S</w:t>
      </w:r>
      <w:r w:rsidR="00251066" w:rsidRPr="004F2200">
        <w:rPr>
          <w:rFonts w:ascii="Palatino Linotype" w:hAnsi="Palatino Linotype" w:cs="Arial"/>
          <w:b/>
          <w:color w:val="000000" w:themeColor="text1"/>
        </w:rPr>
        <w:t xml:space="preserve">ujeto Obligado </w:t>
      </w:r>
      <w:r w:rsidR="00AB66F0" w:rsidRPr="004F2200">
        <w:rPr>
          <w:rFonts w:ascii="Palatino Linotype" w:hAnsi="Palatino Linotype" w:cs="Arial"/>
          <w:color w:val="000000" w:themeColor="text1"/>
        </w:rPr>
        <w:t xml:space="preserve">anexo </w:t>
      </w:r>
      <w:r w:rsidR="008F355E" w:rsidRPr="004F2200">
        <w:rPr>
          <w:rFonts w:ascii="Palatino Linotype" w:hAnsi="Palatino Linotype" w:cs="Arial"/>
          <w:color w:val="000000" w:themeColor="text1"/>
        </w:rPr>
        <w:t>l</w:t>
      </w:r>
      <w:r w:rsidR="002F14ED" w:rsidRPr="004F2200">
        <w:rPr>
          <w:rFonts w:ascii="Palatino Linotype" w:hAnsi="Palatino Linotype" w:cs="Arial"/>
          <w:color w:val="000000" w:themeColor="text1"/>
        </w:rPr>
        <w:t>os</w:t>
      </w:r>
      <w:r w:rsidR="00251066" w:rsidRPr="004F2200">
        <w:rPr>
          <w:rFonts w:ascii="Palatino Linotype" w:hAnsi="Palatino Linotype" w:cs="Arial"/>
          <w:color w:val="000000" w:themeColor="text1"/>
        </w:rPr>
        <w:t xml:space="preserve"> archivo</w:t>
      </w:r>
      <w:r w:rsidR="002F14ED" w:rsidRPr="004F2200">
        <w:rPr>
          <w:rFonts w:ascii="Palatino Linotype" w:hAnsi="Palatino Linotype" w:cs="Arial"/>
          <w:color w:val="000000" w:themeColor="text1"/>
        </w:rPr>
        <w:t>s</w:t>
      </w:r>
      <w:r w:rsidR="00251066" w:rsidRPr="004F2200">
        <w:rPr>
          <w:rFonts w:ascii="Palatino Linotype" w:hAnsi="Palatino Linotype" w:cs="Arial"/>
          <w:color w:val="000000" w:themeColor="text1"/>
        </w:rPr>
        <w:t xml:space="preserve"> </w:t>
      </w:r>
      <w:hyperlink r:id="rId9" w:tgtFrame="_blank" w:history="1">
        <w:r w:rsidR="003E694A" w:rsidRPr="004F2200">
          <w:rPr>
            <w:rStyle w:val="Hipervnculo"/>
            <w:rFonts w:ascii="Palatino Linotype" w:hAnsi="Palatino Linotype" w:cs="Arial"/>
            <w:b/>
            <w:bCs/>
            <w:color w:val="000000" w:themeColor="text1"/>
            <w:u w:val="none"/>
          </w:rPr>
          <w:t>Expedientillo 04-2018.pdf</w:t>
        </w:r>
      </w:hyperlink>
      <w:r w:rsidR="003E694A" w:rsidRPr="004F2200">
        <w:rPr>
          <w:rFonts w:ascii="Palatino Linotype" w:hAnsi="Palatino Linotype" w:cs="Arial"/>
          <w:b/>
          <w:bCs/>
          <w:color w:val="000000" w:themeColor="text1"/>
        </w:rPr>
        <w:t xml:space="preserve">, </w:t>
      </w:r>
      <w:hyperlink r:id="rId10" w:tgtFrame="_blank" w:history="1">
        <w:r w:rsidR="003E694A" w:rsidRPr="004F2200">
          <w:rPr>
            <w:rStyle w:val="Hipervnculo"/>
            <w:rFonts w:ascii="Palatino Linotype" w:hAnsi="Palatino Linotype" w:cs="Arial"/>
            <w:b/>
            <w:bCs/>
            <w:color w:val="000000" w:themeColor="text1"/>
            <w:u w:val="none"/>
          </w:rPr>
          <w:t>Expedientillo 03-2018.pdf</w:t>
        </w:r>
      </w:hyperlink>
      <w:r w:rsidR="0039167A" w:rsidRPr="004F2200">
        <w:rPr>
          <w:rFonts w:ascii="Palatino Linotype" w:hAnsi="Palatino Linotype"/>
          <w:color w:val="000000" w:themeColor="text1"/>
        </w:rPr>
        <w:t xml:space="preserve">, </w:t>
      </w:r>
      <w:hyperlink r:id="rId11" w:tgtFrame="_blank" w:history="1">
        <w:r w:rsidR="003E694A" w:rsidRPr="004F2200">
          <w:rPr>
            <w:rStyle w:val="Hipervnculo"/>
            <w:rFonts w:ascii="Palatino Linotype" w:hAnsi="Palatino Linotype" w:cs="Arial"/>
            <w:b/>
            <w:bCs/>
            <w:color w:val="000000" w:themeColor="text1"/>
            <w:u w:val="none"/>
          </w:rPr>
          <w:t>Acuerdo Sol 43-2018.pdf</w:t>
        </w:r>
      </w:hyperlink>
      <w:r w:rsidR="0039167A" w:rsidRPr="004F2200">
        <w:rPr>
          <w:rFonts w:ascii="Palatino Linotype" w:hAnsi="Palatino Linotype"/>
          <w:color w:val="000000" w:themeColor="text1"/>
        </w:rPr>
        <w:t xml:space="preserve">, </w:t>
      </w:r>
      <w:hyperlink r:id="rId12" w:tgtFrame="_blank" w:history="1">
        <w:r w:rsidR="003E694A" w:rsidRPr="004F2200">
          <w:rPr>
            <w:rStyle w:val="Hipervnculo"/>
            <w:rFonts w:ascii="Palatino Linotype" w:hAnsi="Palatino Linotype" w:cs="Arial"/>
            <w:b/>
            <w:bCs/>
            <w:color w:val="000000" w:themeColor="text1"/>
            <w:u w:val="none"/>
          </w:rPr>
          <w:t>Acta Extra 13-2018.pdf</w:t>
        </w:r>
      </w:hyperlink>
      <w:r w:rsidR="0039167A" w:rsidRPr="004F2200">
        <w:rPr>
          <w:rFonts w:ascii="Palatino Linotype" w:hAnsi="Palatino Linotype"/>
          <w:color w:val="000000" w:themeColor="text1"/>
        </w:rPr>
        <w:t xml:space="preserve"> y </w:t>
      </w:r>
      <w:hyperlink r:id="rId13" w:tgtFrame="_blank" w:history="1">
        <w:r w:rsidR="003E694A" w:rsidRPr="004F2200">
          <w:rPr>
            <w:rStyle w:val="Hipervnculo"/>
            <w:rFonts w:ascii="Palatino Linotype" w:hAnsi="Palatino Linotype" w:cs="Arial"/>
            <w:b/>
            <w:bCs/>
            <w:color w:val="000000" w:themeColor="text1"/>
            <w:u w:val="none"/>
          </w:rPr>
          <w:t>Convocatoria Sesión 13-2018.pdf</w:t>
        </w:r>
      </w:hyperlink>
      <w:hyperlink r:id="rId14" w:tgtFrame="_blank" w:history="1"/>
      <w:r w:rsidR="00251066" w:rsidRPr="004F2200">
        <w:rPr>
          <w:rFonts w:ascii="Palatino Linotype" w:hAnsi="Palatino Linotype"/>
          <w:color w:val="000000" w:themeColor="text1"/>
        </w:rPr>
        <w:t>, de</w:t>
      </w:r>
      <w:r w:rsidR="002F14ED" w:rsidRPr="004F2200">
        <w:rPr>
          <w:rFonts w:ascii="Palatino Linotype" w:hAnsi="Palatino Linotype"/>
          <w:color w:val="000000" w:themeColor="text1"/>
        </w:rPr>
        <w:t xml:space="preserve"> </w:t>
      </w:r>
      <w:r w:rsidR="00251066" w:rsidRPr="004F2200">
        <w:rPr>
          <w:rFonts w:ascii="Palatino Linotype" w:hAnsi="Palatino Linotype"/>
          <w:color w:val="000000" w:themeColor="text1"/>
        </w:rPr>
        <w:t>l</w:t>
      </w:r>
      <w:r w:rsidR="002F14ED" w:rsidRPr="004F2200">
        <w:rPr>
          <w:rFonts w:ascii="Palatino Linotype" w:hAnsi="Palatino Linotype"/>
          <w:color w:val="000000" w:themeColor="text1"/>
        </w:rPr>
        <w:t>os</w:t>
      </w:r>
      <w:r w:rsidR="00251066" w:rsidRPr="004F2200">
        <w:rPr>
          <w:rFonts w:ascii="Palatino Linotype" w:hAnsi="Palatino Linotype"/>
          <w:color w:val="000000" w:themeColor="text1"/>
        </w:rPr>
        <w:t xml:space="preserve"> cual</w:t>
      </w:r>
      <w:r w:rsidR="002F14ED" w:rsidRPr="004F2200">
        <w:rPr>
          <w:rFonts w:ascii="Palatino Linotype" w:hAnsi="Palatino Linotype"/>
          <w:color w:val="000000" w:themeColor="text1"/>
        </w:rPr>
        <w:t>es</w:t>
      </w:r>
      <w:r w:rsidR="00251066" w:rsidRPr="004F2200">
        <w:rPr>
          <w:rFonts w:ascii="Palatino Linotype" w:hAnsi="Palatino Linotype"/>
          <w:color w:val="000000" w:themeColor="text1"/>
        </w:rPr>
        <w:t xml:space="preserve"> se omite su </w:t>
      </w:r>
      <w:r w:rsidR="00511092" w:rsidRPr="004F2200">
        <w:rPr>
          <w:rFonts w:ascii="Palatino Linotype" w:hAnsi="Palatino Linotype"/>
          <w:color w:val="000000" w:themeColor="text1"/>
        </w:rPr>
        <w:t>transcripción</w:t>
      </w:r>
      <w:r w:rsidR="00861DD8" w:rsidRPr="004F2200">
        <w:rPr>
          <w:rFonts w:ascii="Palatino Linotype" w:hAnsi="Palatino Linotype"/>
          <w:color w:val="000000" w:themeColor="text1"/>
        </w:rPr>
        <w:t xml:space="preserve"> </w:t>
      </w:r>
      <w:r w:rsidR="000F1BBF" w:rsidRPr="004F2200">
        <w:rPr>
          <w:rFonts w:ascii="Palatino Linotype" w:hAnsi="Palatino Linotype"/>
          <w:color w:val="000000" w:themeColor="text1"/>
        </w:rPr>
        <w:t xml:space="preserve">toda vez que </w:t>
      </w:r>
      <w:r w:rsidR="007E64E0" w:rsidRPr="004F2200">
        <w:rPr>
          <w:rFonts w:ascii="Palatino Linotype" w:hAnsi="Palatino Linotype"/>
          <w:color w:val="000000" w:themeColor="text1"/>
        </w:rPr>
        <w:t>s</w:t>
      </w:r>
      <w:r w:rsidR="002F14ED" w:rsidRPr="004F2200">
        <w:rPr>
          <w:rFonts w:ascii="Palatino Linotype" w:hAnsi="Palatino Linotype"/>
          <w:color w:val="000000" w:themeColor="text1"/>
        </w:rPr>
        <w:t>on</w:t>
      </w:r>
      <w:r w:rsidR="000F1BBF" w:rsidRPr="004F2200">
        <w:rPr>
          <w:rFonts w:ascii="Palatino Linotype" w:hAnsi="Palatino Linotype"/>
          <w:color w:val="000000" w:themeColor="text1"/>
        </w:rPr>
        <w:t xml:space="preserve"> del conocimiento de las partes, aunado a ello se analizaran en el apartado correspondiente.</w:t>
      </w:r>
      <w:r w:rsidR="00861DD8" w:rsidRPr="004F2200">
        <w:rPr>
          <w:rFonts w:ascii="Palatino Linotype" w:hAnsi="Palatino Linotype"/>
          <w:color w:val="000000" w:themeColor="text1"/>
        </w:rPr>
        <w:t xml:space="preserve"> </w:t>
      </w:r>
    </w:p>
    <w:p w14:paraId="7056C445" w14:textId="0398A1BD" w:rsidR="008E7698" w:rsidRPr="004F2200" w:rsidRDefault="00105562" w:rsidP="008F4C62">
      <w:pPr>
        <w:spacing w:before="240" w:after="240" w:line="360" w:lineRule="auto"/>
        <w:jc w:val="both"/>
        <w:rPr>
          <w:rFonts w:ascii="Palatino Linotype" w:hAnsi="Palatino Linotype" w:cs="Arial"/>
          <w:color w:val="000000" w:themeColor="text1"/>
        </w:rPr>
      </w:pPr>
      <w:r w:rsidRPr="004F2200">
        <w:rPr>
          <w:rFonts w:ascii="Palatino Linotype" w:hAnsi="Palatino Linotype" w:cs="Arial"/>
          <w:b/>
          <w:color w:val="000000" w:themeColor="text1"/>
          <w:sz w:val="28"/>
          <w:szCs w:val="28"/>
        </w:rPr>
        <w:t>4</w:t>
      </w:r>
      <w:r w:rsidR="008E7698" w:rsidRPr="004F2200">
        <w:rPr>
          <w:rFonts w:ascii="Palatino Linotype" w:hAnsi="Palatino Linotype" w:cs="Arial"/>
          <w:b/>
          <w:color w:val="000000" w:themeColor="text1"/>
          <w:sz w:val="28"/>
          <w:szCs w:val="28"/>
        </w:rPr>
        <w:t>. Recurso de revisión.</w:t>
      </w:r>
      <w:r w:rsidR="008E7698" w:rsidRPr="004F2200">
        <w:rPr>
          <w:rFonts w:ascii="Palatino Linotype" w:hAnsi="Palatino Linotype" w:cs="Arial"/>
          <w:b/>
          <w:color w:val="000000" w:themeColor="text1"/>
        </w:rPr>
        <w:t xml:space="preserve"> </w:t>
      </w:r>
      <w:r w:rsidR="008E7698" w:rsidRPr="004F2200">
        <w:rPr>
          <w:rFonts w:ascii="Palatino Linotype" w:hAnsi="Palatino Linotype" w:cs="Arial"/>
          <w:color w:val="000000" w:themeColor="text1"/>
        </w:rPr>
        <w:t>El recurso de revisión se interpuso a través del SAIMEX con fecha</w:t>
      </w:r>
      <w:r w:rsidR="00FC3695" w:rsidRPr="004F2200">
        <w:rPr>
          <w:rFonts w:ascii="Palatino Linotype" w:hAnsi="Palatino Linotype" w:cs="Arial"/>
          <w:color w:val="000000" w:themeColor="text1"/>
        </w:rPr>
        <w:t xml:space="preserve"> </w:t>
      </w:r>
      <w:r w:rsidR="00961B2C" w:rsidRPr="004F2200">
        <w:rPr>
          <w:rFonts w:ascii="Palatino Linotype" w:hAnsi="Palatino Linotype" w:cs="Arial"/>
          <w:color w:val="000000" w:themeColor="text1"/>
        </w:rPr>
        <w:t>once de julio</w:t>
      </w:r>
      <w:r w:rsidR="00CB3974" w:rsidRPr="004F2200">
        <w:rPr>
          <w:rFonts w:ascii="Palatino Linotype" w:hAnsi="Palatino Linotype" w:cs="Arial"/>
          <w:color w:val="000000" w:themeColor="text1"/>
        </w:rPr>
        <w:t xml:space="preserve"> </w:t>
      </w:r>
      <w:r w:rsidR="00FC3695" w:rsidRPr="004F2200">
        <w:rPr>
          <w:rFonts w:ascii="Palatino Linotype" w:hAnsi="Palatino Linotype" w:cs="Arial"/>
          <w:color w:val="000000" w:themeColor="text1"/>
        </w:rPr>
        <w:t xml:space="preserve">de </w:t>
      </w:r>
      <w:r w:rsidR="00CB3974" w:rsidRPr="004F2200">
        <w:rPr>
          <w:rFonts w:ascii="Palatino Linotype" w:hAnsi="Palatino Linotype" w:cs="Arial"/>
          <w:color w:val="000000" w:themeColor="text1"/>
        </w:rPr>
        <w:t>los corrientes</w:t>
      </w:r>
      <w:r w:rsidR="008E7698" w:rsidRPr="004F2200">
        <w:rPr>
          <w:rFonts w:ascii="Palatino Linotype" w:hAnsi="Palatino Linotype" w:cs="Arial"/>
          <w:color w:val="000000" w:themeColor="text1"/>
        </w:rPr>
        <w:t xml:space="preserve"> por parte del solicitante </w:t>
      </w:r>
      <w:r w:rsidR="00961B2C" w:rsidRPr="004F2200">
        <w:rPr>
          <w:rFonts w:ascii="Palatino Linotype" w:hAnsi="Palatino Linotype" w:cs="Arial"/>
          <w:color w:val="000000" w:themeColor="text1"/>
        </w:rPr>
        <w:t>de información, quien expresó lo</w:t>
      </w:r>
      <w:r w:rsidR="008E7698" w:rsidRPr="004F2200">
        <w:rPr>
          <w:rFonts w:ascii="Palatino Linotype" w:hAnsi="Palatino Linotype" w:cs="Arial"/>
          <w:color w:val="000000" w:themeColor="text1"/>
        </w:rPr>
        <w:t xml:space="preserve">s siguientes </w:t>
      </w:r>
      <w:r w:rsidR="00CB3974" w:rsidRPr="004F2200">
        <w:rPr>
          <w:rFonts w:ascii="Palatino Linotype" w:hAnsi="Palatino Linotype" w:cs="Arial"/>
          <w:color w:val="000000" w:themeColor="text1"/>
        </w:rPr>
        <w:t>argumentos</w:t>
      </w:r>
      <w:r w:rsidR="008E7698" w:rsidRPr="004F2200">
        <w:rPr>
          <w:rFonts w:ascii="Palatino Linotype" w:hAnsi="Palatino Linotype" w:cs="Arial"/>
          <w:color w:val="000000" w:themeColor="text1"/>
        </w:rPr>
        <w:t>:</w:t>
      </w:r>
    </w:p>
    <w:p w14:paraId="4BB47E28" w14:textId="77777777" w:rsidR="008E7698" w:rsidRPr="004F2200" w:rsidRDefault="008E7698" w:rsidP="00AF299E">
      <w:pPr>
        <w:spacing w:before="240" w:after="240" w:line="360" w:lineRule="auto"/>
        <w:ind w:left="567"/>
        <w:rPr>
          <w:rFonts w:ascii="Palatino Linotype" w:hAnsi="Palatino Linotype" w:cs="Arial"/>
          <w:b/>
          <w:color w:val="000000" w:themeColor="text1"/>
        </w:rPr>
      </w:pPr>
      <w:r w:rsidRPr="004F2200">
        <w:rPr>
          <w:rFonts w:ascii="Palatino Linotype" w:hAnsi="Palatino Linotype" w:cs="Arial"/>
          <w:b/>
          <w:color w:val="000000" w:themeColor="text1"/>
        </w:rPr>
        <w:t>a) Acto impugnado.</w:t>
      </w:r>
    </w:p>
    <w:p w14:paraId="1F63D101" w14:textId="11CFABC0" w:rsidR="00FC3695" w:rsidRPr="004F2200" w:rsidRDefault="009B08DD" w:rsidP="00104E08">
      <w:pPr>
        <w:spacing w:before="240" w:after="240" w:line="360" w:lineRule="auto"/>
        <w:ind w:left="992" w:right="1043"/>
        <w:jc w:val="both"/>
        <w:rPr>
          <w:rFonts w:ascii="Palatino Linotype" w:hAnsi="Palatino Linotype" w:cs="Arial"/>
          <w:color w:val="000000" w:themeColor="text1"/>
        </w:rPr>
      </w:pPr>
      <w:r w:rsidRPr="004F2200">
        <w:rPr>
          <w:rFonts w:ascii="Palatino Linotype" w:hAnsi="Palatino Linotype"/>
          <w:i/>
          <w:color w:val="000000" w:themeColor="text1"/>
        </w:rPr>
        <w:t>“</w:t>
      </w:r>
      <w:r w:rsidR="00DE7B47" w:rsidRPr="004F2200">
        <w:rPr>
          <w:rFonts w:ascii="Palatino Linotype" w:hAnsi="Palatino Linotype"/>
          <w:i/>
          <w:color w:val="000000" w:themeColor="text1"/>
        </w:rPr>
        <w:t>se impugna la respuesta.</w:t>
      </w:r>
      <w:r w:rsidRPr="004F2200">
        <w:rPr>
          <w:rFonts w:ascii="Palatino Linotype" w:hAnsi="Palatino Linotype"/>
          <w:i/>
          <w:color w:val="000000" w:themeColor="text1"/>
        </w:rPr>
        <w:t>”</w:t>
      </w:r>
      <w:r w:rsidRPr="004F2200">
        <w:rPr>
          <w:rFonts w:ascii="Palatino Linotype" w:hAnsi="Palatino Linotype" w:cs="Arial"/>
          <w:i/>
          <w:color w:val="000000" w:themeColor="text1"/>
        </w:rPr>
        <w:t xml:space="preserve"> </w:t>
      </w:r>
      <w:r w:rsidR="009F704F" w:rsidRPr="004F2200">
        <w:rPr>
          <w:rFonts w:ascii="Palatino Linotype" w:hAnsi="Palatino Linotype" w:cs="Arial"/>
          <w:color w:val="000000" w:themeColor="text1"/>
          <w:sz w:val="16"/>
          <w:szCs w:val="16"/>
        </w:rPr>
        <w:t>(sic)</w:t>
      </w:r>
    </w:p>
    <w:p w14:paraId="70C0742E" w14:textId="78F3676F" w:rsidR="008E7698" w:rsidRPr="004F2200" w:rsidRDefault="008E7698" w:rsidP="00AF299E">
      <w:pPr>
        <w:spacing w:before="240" w:after="240" w:line="360" w:lineRule="auto"/>
        <w:ind w:left="567"/>
        <w:jc w:val="both"/>
        <w:rPr>
          <w:rFonts w:ascii="Palatino Linotype" w:hAnsi="Palatino Linotype" w:cs="Arial"/>
          <w:b/>
          <w:color w:val="000000" w:themeColor="text1"/>
        </w:rPr>
      </w:pPr>
      <w:r w:rsidRPr="004F2200">
        <w:rPr>
          <w:rFonts w:ascii="Palatino Linotype" w:hAnsi="Palatino Linotype" w:cs="Arial"/>
          <w:b/>
          <w:color w:val="000000" w:themeColor="text1"/>
        </w:rPr>
        <w:t>b) Motivos de inconformidad.</w:t>
      </w:r>
    </w:p>
    <w:p w14:paraId="07A25EE7" w14:textId="41340424" w:rsidR="00186B63" w:rsidRPr="004F2200" w:rsidRDefault="009B08DD" w:rsidP="000F4A82">
      <w:pPr>
        <w:spacing w:before="240" w:after="240" w:line="360" w:lineRule="auto"/>
        <w:ind w:left="851" w:right="900"/>
        <w:jc w:val="both"/>
        <w:rPr>
          <w:rFonts w:ascii="Palatino Linotype" w:hAnsi="Palatino Linotype" w:cs="Arial"/>
          <w:i/>
          <w:color w:val="000000" w:themeColor="text1"/>
          <w:sz w:val="16"/>
          <w:szCs w:val="16"/>
        </w:rPr>
      </w:pPr>
      <w:r w:rsidRPr="004F2200">
        <w:rPr>
          <w:rFonts w:ascii="Palatino Linotype" w:hAnsi="Palatino Linotype"/>
          <w:i/>
          <w:color w:val="000000" w:themeColor="text1"/>
        </w:rPr>
        <w:t>“</w:t>
      </w:r>
      <w:r w:rsidR="00DE7B47" w:rsidRPr="004F2200">
        <w:rPr>
          <w:rFonts w:ascii="Palatino Linotype" w:hAnsi="Palatino Linotype"/>
          <w:i/>
          <w:color w:val="000000" w:themeColor="text1"/>
        </w:rPr>
        <w:t>En el escrito de petición indiqué que el sujeto obligado me entregó diversas documentales, en la respueta exhiben el acuse de que el gobernado recibió las documentales pero omiten emitir copia de dichas documentales consistentes en el cheque y rechazo bancario por lo que la información otorgada no se debe considerar completa. • En el escrito de petición indiqué que documentales consistentes en cheque y rechazo bancario le fueron entregadas al asesor comisionado dependiente del sujeto obligado y que dicho servidor público se negó a emitir acuse de recibo. En la respuesta emitida por la autoridad no obra constancia de que dicho servidor público haya recibido las documentales pero tampoco lo niegan por lo que la información otorgada no se debe considerar completa pues se señaló que el gobernado tiene interés en demostrar que dichas documentales se encuentran en poder del sujeto obligado. • Adjunto acuse de que tal irregularidad es del conocimiento del sujeto obligado.</w:t>
      </w:r>
      <w:r w:rsidRPr="004F2200">
        <w:rPr>
          <w:rFonts w:ascii="Palatino Linotype" w:hAnsi="Palatino Linotype"/>
          <w:i/>
          <w:color w:val="000000" w:themeColor="text1"/>
        </w:rPr>
        <w:t>”</w:t>
      </w:r>
      <w:r w:rsidRPr="004F2200">
        <w:rPr>
          <w:rFonts w:ascii="Palatino Linotype" w:hAnsi="Palatino Linotype" w:cs="Arial"/>
          <w:i/>
          <w:color w:val="000000" w:themeColor="text1"/>
        </w:rPr>
        <w:t xml:space="preserve"> </w:t>
      </w:r>
      <w:r w:rsidR="009F704F" w:rsidRPr="004F2200">
        <w:rPr>
          <w:rFonts w:ascii="Palatino Linotype" w:hAnsi="Palatino Linotype" w:cs="Arial"/>
          <w:i/>
          <w:color w:val="000000" w:themeColor="text1"/>
          <w:sz w:val="16"/>
          <w:szCs w:val="16"/>
        </w:rPr>
        <w:t>(sic)</w:t>
      </w:r>
    </w:p>
    <w:p w14:paraId="793E0D7C" w14:textId="4CA2CA2A" w:rsidR="00DE7B47" w:rsidRPr="004F2200" w:rsidRDefault="00DE7B47" w:rsidP="00DE7B47">
      <w:pPr>
        <w:spacing w:before="240" w:after="240" w:line="360" w:lineRule="auto"/>
        <w:jc w:val="both"/>
        <w:rPr>
          <w:rFonts w:ascii="Arial" w:hAnsi="Arial" w:cs="Arial"/>
          <w:color w:val="000000" w:themeColor="text1"/>
          <w:sz w:val="27"/>
          <w:szCs w:val="27"/>
          <w:lang w:val="es-MX"/>
        </w:rPr>
      </w:pPr>
      <w:r w:rsidRPr="004F2200">
        <w:rPr>
          <w:rFonts w:ascii="Palatino Linotype" w:hAnsi="Palatino Linotype"/>
          <w:color w:val="000000" w:themeColor="text1"/>
        </w:rPr>
        <w:t xml:space="preserve">Al escrito de interposición del presente medio de impugnación el particular adjunto el archivo </w:t>
      </w:r>
      <w:hyperlink r:id="rId15" w:tgtFrame="_blank" w:history="1">
        <w:r w:rsidRPr="004F2200">
          <w:rPr>
            <w:rStyle w:val="Hipervnculo"/>
            <w:rFonts w:ascii="Palatino Linotype" w:hAnsi="Palatino Linotype" w:cs="Arial"/>
            <w:b/>
            <w:bCs/>
            <w:color w:val="000000" w:themeColor="text1"/>
            <w:u w:val="none"/>
          </w:rPr>
          <w:t>20180711_100638.jpg</w:t>
        </w:r>
      </w:hyperlink>
      <w:r w:rsidRPr="004F2200">
        <w:rPr>
          <w:rFonts w:ascii="Palatino Linotype" w:hAnsi="Palatino Linotype" w:cs="Arial"/>
          <w:color w:val="000000" w:themeColor="text1"/>
        </w:rPr>
        <w:t>, que es del conocimiento de las partes.</w:t>
      </w:r>
    </w:p>
    <w:p w14:paraId="1D62F603" w14:textId="58282AC1" w:rsidR="00D41D70" w:rsidRPr="004F2200" w:rsidRDefault="00DE7B47" w:rsidP="00AF299E">
      <w:pPr>
        <w:spacing w:before="240" w:after="240" w:line="360" w:lineRule="auto"/>
        <w:jc w:val="both"/>
        <w:rPr>
          <w:rFonts w:ascii="Palatino Linotype" w:hAnsi="Palatino Linotype" w:cs="Arial"/>
          <w:color w:val="000000" w:themeColor="text1"/>
        </w:rPr>
      </w:pPr>
      <w:r w:rsidRPr="004F2200">
        <w:rPr>
          <w:rFonts w:ascii="Palatino Linotype" w:hAnsi="Palatino Linotype" w:cs="Arial"/>
          <w:b/>
          <w:color w:val="000000" w:themeColor="text1"/>
          <w:sz w:val="28"/>
          <w:szCs w:val="28"/>
        </w:rPr>
        <w:t>5</w:t>
      </w:r>
      <w:r w:rsidR="008E7698" w:rsidRPr="004F2200">
        <w:rPr>
          <w:rFonts w:ascii="Palatino Linotype" w:hAnsi="Palatino Linotype" w:cs="Arial"/>
          <w:b/>
          <w:color w:val="000000" w:themeColor="text1"/>
          <w:sz w:val="28"/>
          <w:szCs w:val="28"/>
        </w:rPr>
        <w:t xml:space="preserve">. </w:t>
      </w:r>
      <w:r w:rsidR="00D41D70" w:rsidRPr="004F2200">
        <w:rPr>
          <w:rFonts w:ascii="Palatino Linotype" w:eastAsia="Calibri" w:hAnsi="Palatino Linotype" w:cs="Arial"/>
          <w:b/>
          <w:color w:val="000000" w:themeColor="text1"/>
          <w:sz w:val="28"/>
          <w:szCs w:val="28"/>
        </w:rPr>
        <w:t xml:space="preserve">Turno. </w:t>
      </w:r>
      <w:r w:rsidR="00D41D70" w:rsidRPr="004F2200">
        <w:rPr>
          <w:rFonts w:ascii="Palatino Linotype" w:eastAsia="Calibri" w:hAnsi="Palatino Linotype" w:cs="Arial"/>
          <w:color w:val="000000" w:themeColor="text1"/>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F2200">
        <w:rPr>
          <w:rFonts w:ascii="Palatino Linotype" w:hAnsi="Palatino Linotype" w:cs="Arial"/>
          <w:color w:val="000000" w:themeColor="text1"/>
        </w:rPr>
        <w:t>por razón de turno fue asignado al</w:t>
      </w:r>
      <w:r w:rsidR="00D41D70" w:rsidRPr="004F2200">
        <w:rPr>
          <w:rFonts w:ascii="Palatino Linotype" w:eastAsia="Calibri" w:hAnsi="Palatino Linotype" w:cs="Arial"/>
          <w:color w:val="000000" w:themeColor="text1"/>
        </w:rPr>
        <w:t xml:space="preserve"> Comisionado </w:t>
      </w:r>
      <w:r w:rsidR="00D41D70" w:rsidRPr="004F2200">
        <w:rPr>
          <w:rFonts w:ascii="Palatino Linotype" w:eastAsia="Calibri" w:hAnsi="Palatino Linotype" w:cs="Arial"/>
          <w:b/>
          <w:color w:val="000000" w:themeColor="text1"/>
        </w:rPr>
        <w:t>Javier Martínez Cruz</w:t>
      </w:r>
      <w:r w:rsidR="00D41D70" w:rsidRPr="004F2200">
        <w:rPr>
          <w:rFonts w:ascii="Palatino Linotype" w:hAnsi="Palatino Linotype" w:cs="Arial"/>
          <w:color w:val="000000" w:themeColor="text1"/>
        </w:rPr>
        <w:t xml:space="preserve"> para su análisis, estudio, elaboración del proyecto y </w:t>
      </w:r>
      <w:r w:rsidR="00D41D70" w:rsidRPr="004F2200">
        <w:rPr>
          <w:rFonts w:ascii="Palatino Linotype" w:eastAsia="Calibri" w:hAnsi="Palatino Linotype" w:cs="Arial"/>
          <w:color w:val="000000" w:themeColor="text1"/>
        </w:rPr>
        <w:t>presentación ante el Pleno de este Instituto.</w:t>
      </w:r>
    </w:p>
    <w:p w14:paraId="64E6B459" w14:textId="511C77C5" w:rsidR="00D41D70" w:rsidRPr="004F2200" w:rsidRDefault="00DE7B47" w:rsidP="00184FBA">
      <w:pPr>
        <w:spacing w:before="240" w:after="240" w:line="360" w:lineRule="auto"/>
        <w:jc w:val="both"/>
        <w:rPr>
          <w:rFonts w:cs="Arial"/>
          <w:color w:val="000000" w:themeColor="text1"/>
        </w:rPr>
      </w:pPr>
      <w:r w:rsidRPr="004F2200">
        <w:rPr>
          <w:rFonts w:ascii="Palatino Linotype" w:hAnsi="Palatino Linotype" w:cs="Arial"/>
          <w:b/>
          <w:color w:val="000000" w:themeColor="text1"/>
          <w:sz w:val="28"/>
          <w:szCs w:val="28"/>
        </w:rPr>
        <w:t>6</w:t>
      </w:r>
      <w:r w:rsidR="00D41D70" w:rsidRPr="004F2200">
        <w:rPr>
          <w:rFonts w:ascii="Palatino Linotype" w:hAnsi="Palatino Linotype" w:cs="Arial"/>
          <w:b/>
          <w:color w:val="000000" w:themeColor="text1"/>
          <w:sz w:val="28"/>
          <w:szCs w:val="28"/>
        </w:rPr>
        <w:t xml:space="preserve">. Admisión. </w:t>
      </w:r>
      <w:r w:rsidR="00D41D70" w:rsidRPr="004F2200">
        <w:rPr>
          <w:rFonts w:ascii="Palatino Linotype" w:hAnsi="Palatino Linotype" w:cs="Arial"/>
          <w:color w:val="000000" w:themeColor="text1"/>
        </w:rPr>
        <w:t xml:space="preserve">Mediante auto de fecha </w:t>
      </w:r>
      <w:r w:rsidRPr="004F2200">
        <w:rPr>
          <w:rFonts w:ascii="Palatino Linotype" w:hAnsi="Palatino Linotype" w:cs="Arial"/>
          <w:color w:val="000000" w:themeColor="text1"/>
        </w:rPr>
        <w:t>treinta y uno de julio</w:t>
      </w:r>
      <w:r w:rsidR="00F31853" w:rsidRPr="004F2200">
        <w:rPr>
          <w:rFonts w:ascii="Palatino Linotype" w:hAnsi="Palatino Linotype" w:cs="Arial"/>
          <w:color w:val="000000" w:themeColor="text1"/>
        </w:rPr>
        <w:t xml:space="preserve"> </w:t>
      </w:r>
      <w:r w:rsidR="00D41D70" w:rsidRPr="004F2200">
        <w:rPr>
          <w:rFonts w:ascii="Palatino Linotype" w:hAnsi="Palatino Linotype" w:cs="Arial"/>
          <w:color w:val="000000" w:themeColor="text1"/>
        </w:rPr>
        <w:t>de</w:t>
      </w:r>
      <w:r w:rsidR="00047F41" w:rsidRPr="004F2200">
        <w:rPr>
          <w:rFonts w:ascii="Palatino Linotype" w:hAnsi="Palatino Linotype" w:cs="Arial"/>
          <w:color w:val="000000" w:themeColor="text1"/>
        </w:rPr>
        <w:t>l</w:t>
      </w:r>
      <w:r w:rsidR="00D41D70" w:rsidRPr="004F2200">
        <w:rPr>
          <w:rFonts w:ascii="Palatino Linotype" w:hAnsi="Palatino Linotype" w:cs="Arial"/>
          <w:color w:val="000000" w:themeColor="text1"/>
        </w:rPr>
        <w:t xml:space="preserve"> dos mil </w:t>
      </w:r>
      <w:r w:rsidR="00F31853" w:rsidRPr="004F2200">
        <w:rPr>
          <w:rFonts w:ascii="Palatino Linotype" w:hAnsi="Palatino Linotype" w:cs="Arial"/>
          <w:color w:val="000000" w:themeColor="text1"/>
        </w:rPr>
        <w:t>ocho</w:t>
      </w:r>
      <w:r w:rsidR="00D41D70" w:rsidRPr="004F2200">
        <w:rPr>
          <w:rFonts w:ascii="Palatino Linotype" w:hAnsi="Palatino Linotype" w:cs="Arial"/>
          <w:color w:val="000000" w:themeColor="text1"/>
        </w:rPr>
        <w:t xml:space="preserve">, este Órgano Garante, admitió a trámite el recurso de revisión respectivo, </w:t>
      </w:r>
      <w:r w:rsidR="00BD000E" w:rsidRPr="004F2200">
        <w:rPr>
          <w:rFonts w:ascii="Palatino Linotype" w:hAnsi="Palatino Linotype" w:cs="Arial"/>
          <w:color w:val="000000" w:themeColor="text1"/>
        </w:rPr>
        <w:t xml:space="preserve">poniéndose </w:t>
      </w:r>
      <w:r w:rsidR="00D41D70" w:rsidRPr="004F2200">
        <w:rPr>
          <w:rFonts w:ascii="Palatino Linotype" w:hAnsi="Palatino Linotype" w:cs="Arial"/>
          <w:color w:val="000000" w:themeColor="text1"/>
        </w:rPr>
        <w:t xml:space="preserve">a disposición de las partes, para que un plazo no mayor a siete días </w:t>
      </w:r>
      <w:r w:rsidR="00857279" w:rsidRPr="004F2200">
        <w:rPr>
          <w:rFonts w:ascii="Palatino Linotype" w:hAnsi="Palatino Linotype" w:cs="Arial"/>
          <w:color w:val="000000" w:themeColor="text1"/>
        </w:rPr>
        <w:t xml:space="preserve">hábiles </w:t>
      </w:r>
      <w:r w:rsidR="00D41D70" w:rsidRPr="004F2200">
        <w:rPr>
          <w:rFonts w:ascii="Palatino Linotype" w:hAnsi="Palatino Linotype" w:cs="Arial"/>
          <w:color w:val="000000" w:themeColor="text1"/>
        </w:rPr>
        <w:t>manifestaran lo que a su derecho corresponda</w:t>
      </w:r>
      <w:r w:rsidR="00BD000E" w:rsidRPr="004F2200">
        <w:rPr>
          <w:rFonts w:ascii="Palatino Linotype" w:hAnsi="Palatino Linotype" w:cs="Arial"/>
          <w:color w:val="000000" w:themeColor="text1"/>
        </w:rPr>
        <w:t xml:space="preserve">, a efecto de ofrecer pruebas, informe justificado y alegatos, lo anterior con fundamento en el artículo 185 fracciones I, II y IV de la Ley de Transparencia y Acceso a la Información </w:t>
      </w:r>
      <w:r w:rsidR="00D50580" w:rsidRPr="004F2200">
        <w:rPr>
          <w:rFonts w:ascii="Palatino Linotype" w:hAnsi="Palatino Linotype" w:cs="Arial"/>
          <w:color w:val="000000" w:themeColor="text1"/>
        </w:rPr>
        <w:t>Pública</w:t>
      </w:r>
      <w:r w:rsidR="00BD000E" w:rsidRPr="004F2200">
        <w:rPr>
          <w:rFonts w:ascii="Palatino Linotype" w:hAnsi="Palatino Linotype" w:cs="Arial"/>
          <w:color w:val="000000" w:themeColor="text1"/>
        </w:rPr>
        <w:t xml:space="preserve"> del </w:t>
      </w:r>
      <w:r w:rsidR="00104E08" w:rsidRPr="004F2200">
        <w:rPr>
          <w:rFonts w:ascii="Palatino Linotype" w:hAnsi="Palatino Linotype" w:cs="Arial"/>
          <w:color w:val="000000" w:themeColor="text1"/>
        </w:rPr>
        <w:t>E</w:t>
      </w:r>
      <w:r w:rsidR="00BD000E" w:rsidRPr="004F2200">
        <w:rPr>
          <w:rFonts w:ascii="Palatino Linotype" w:hAnsi="Palatino Linotype" w:cs="Arial"/>
          <w:color w:val="000000" w:themeColor="text1"/>
        </w:rPr>
        <w:t>stado de México y Municipios.</w:t>
      </w:r>
      <w:r w:rsidR="00D41D70" w:rsidRPr="004F2200">
        <w:rPr>
          <w:rFonts w:ascii="Palatino Linotype" w:hAnsi="Palatino Linotype" w:cs="Arial"/>
          <w:color w:val="000000" w:themeColor="text1"/>
        </w:rPr>
        <w:t xml:space="preserve"> </w:t>
      </w:r>
    </w:p>
    <w:p w14:paraId="6AD42344" w14:textId="5B8A2065" w:rsidR="003D5E12" w:rsidRPr="004F2200" w:rsidRDefault="00DE7B47" w:rsidP="00241DDC">
      <w:pPr>
        <w:spacing w:before="240" w:after="240" w:line="360" w:lineRule="auto"/>
        <w:jc w:val="both"/>
        <w:rPr>
          <w:rFonts w:ascii="Palatino Linotype" w:hAnsi="Palatino Linotype" w:cs="Arial"/>
          <w:color w:val="000000" w:themeColor="text1"/>
        </w:rPr>
      </w:pPr>
      <w:r w:rsidRPr="004F2200">
        <w:rPr>
          <w:rFonts w:ascii="Palatino Linotype" w:hAnsi="Palatino Linotype" w:cs="Arial"/>
          <w:b/>
          <w:color w:val="000000" w:themeColor="text1"/>
          <w:sz w:val="28"/>
          <w:szCs w:val="28"/>
        </w:rPr>
        <w:t>7</w:t>
      </w:r>
      <w:r w:rsidR="004E4987" w:rsidRPr="004F2200">
        <w:rPr>
          <w:rFonts w:ascii="Palatino Linotype" w:hAnsi="Palatino Linotype" w:cs="Arial"/>
          <w:b/>
          <w:color w:val="000000" w:themeColor="text1"/>
          <w:sz w:val="28"/>
          <w:szCs w:val="28"/>
        </w:rPr>
        <w:t xml:space="preserve">. </w:t>
      </w:r>
      <w:r w:rsidR="00E954B7" w:rsidRPr="004F2200">
        <w:rPr>
          <w:rFonts w:ascii="Palatino Linotype" w:hAnsi="Palatino Linotype" w:cs="Arial"/>
          <w:b/>
          <w:color w:val="000000" w:themeColor="text1"/>
          <w:sz w:val="28"/>
          <w:szCs w:val="28"/>
        </w:rPr>
        <w:t>Manifestaciones.</w:t>
      </w:r>
      <w:r w:rsidR="00E954B7" w:rsidRPr="004F2200">
        <w:rPr>
          <w:color w:val="000000" w:themeColor="text1"/>
        </w:rPr>
        <w:t xml:space="preserve"> </w:t>
      </w:r>
      <w:r w:rsidR="009B08DD" w:rsidRPr="004F2200">
        <w:rPr>
          <w:rFonts w:ascii="Palatino Linotype" w:hAnsi="Palatino Linotype"/>
          <w:color w:val="000000" w:themeColor="text1"/>
        </w:rPr>
        <w:t>De las constancias del expediente electrónico del</w:t>
      </w:r>
      <w:r w:rsidR="009B08DD" w:rsidRPr="004F2200">
        <w:rPr>
          <w:rFonts w:ascii="Palatino Linotype" w:hAnsi="Palatino Linotype" w:cs="Arial"/>
          <w:b/>
          <w:color w:val="000000" w:themeColor="text1"/>
        </w:rPr>
        <w:t xml:space="preserve"> SAIMEX</w:t>
      </w:r>
      <w:r w:rsidR="009B08DD" w:rsidRPr="004F2200">
        <w:rPr>
          <w:rFonts w:ascii="Palatino Linotype" w:hAnsi="Palatino Linotype"/>
          <w:color w:val="000000" w:themeColor="text1"/>
        </w:rPr>
        <w:t xml:space="preserve">, se observa que </w:t>
      </w:r>
      <w:r w:rsidR="009B08DD" w:rsidRPr="004F2200">
        <w:rPr>
          <w:rFonts w:ascii="Palatino Linotype" w:hAnsi="Palatino Linotype" w:cs="Arial"/>
          <w:color w:val="000000" w:themeColor="text1"/>
        </w:rPr>
        <w:t xml:space="preserve">el </w:t>
      </w:r>
      <w:r w:rsidR="009B08DD" w:rsidRPr="004F2200">
        <w:rPr>
          <w:rFonts w:ascii="Palatino Linotype" w:hAnsi="Palatino Linotype" w:cs="Arial"/>
          <w:b/>
          <w:color w:val="000000" w:themeColor="text1"/>
        </w:rPr>
        <w:t>Sujeto Obligado</w:t>
      </w:r>
      <w:r w:rsidR="009B08DD" w:rsidRPr="004F2200">
        <w:rPr>
          <w:rFonts w:ascii="Palatino Linotype" w:hAnsi="Palatino Linotype" w:cs="Arial"/>
          <w:color w:val="000000" w:themeColor="text1"/>
        </w:rPr>
        <w:t xml:space="preserve"> </w:t>
      </w:r>
      <w:r w:rsidR="00F31853" w:rsidRPr="004F2200">
        <w:rPr>
          <w:rFonts w:ascii="Palatino Linotype" w:hAnsi="Palatino Linotype" w:cs="Arial"/>
          <w:color w:val="000000" w:themeColor="text1"/>
        </w:rPr>
        <w:t xml:space="preserve">en fecha </w:t>
      </w:r>
      <w:r w:rsidRPr="004F2200">
        <w:rPr>
          <w:rFonts w:ascii="Palatino Linotype" w:hAnsi="Palatino Linotype" w:cs="Arial"/>
          <w:color w:val="000000" w:themeColor="text1"/>
        </w:rPr>
        <w:t>nueve de agosto</w:t>
      </w:r>
      <w:r w:rsidR="00F31853" w:rsidRPr="004F2200">
        <w:rPr>
          <w:rFonts w:ascii="Palatino Linotype" w:hAnsi="Palatino Linotype" w:cs="Arial"/>
          <w:color w:val="000000" w:themeColor="text1"/>
        </w:rPr>
        <w:t xml:space="preserve"> de los corrientes, </w:t>
      </w:r>
      <w:r w:rsidRPr="004F2200">
        <w:rPr>
          <w:rFonts w:ascii="Palatino Linotype" w:hAnsi="Palatino Linotype" w:cs="Arial"/>
          <w:color w:val="000000" w:themeColor="text1"/>
        </w:rPr>
        <w:t xml:space="preserve">rindió su informe justificado mediante el archivo denominado </w:t>
      </w:r>
      <w:r w:rsidRPr="004F2200">
        <w:rPr>
          <w:rFonts w:ascii="Palatino Linotype" w:hAnsi="Palatino Linotype" w:cs="Arial"/>
          <w:b/>
          <w:color w:val="000000" w:themeColor="text1"/>
        </w:rPr>
        <w:t xml:space="preserve">INF JUST RR-2604-2018.PDF </w:t>
      </w:r>
      <w:r w:rsidRPr="004F2200">
        <w:rPr>
          <w:rFonts w:ascii="Palatino Linotype" w:hAnsi="Palatino Linotype" w:cs="Arial"/>
          <w:color w:val="000000" w:themeColor="text1"/>
        </w:rPr>
        <w:t xml:space="preserve">al cual se acompañaron los archivos </w:t>
      </w:r>
      <w:r w:rsidRPr="004F2200">
        <w:rPr>
          <w:rFonts w:ascii="Palatino Linotype" w:hAnsi="Palatino Linotype" w:cs="Arial"/>
          <w:b/>
          <w:color w:val="000000" w:themeColor="text1"/>
        </w:rPr>
        <w:t>Acuerdo 14 de Junio de 2017..pdf, Promoción 05 de junio de 2017..pdf, RE</w:t>
      </w:r>
      <w:r w:rsidR="00FE19E4" w:rsidRPr="004F2200">
        <w:rPr>
          <w:rFonts w:ascii="Palatino Linotype" w:hAnsi="Palatino Linotype" w:cs="Arial"/>
          <w:b/>
          <w:color w:val="000000" w:themeColor="text1"/>
        </w:rPr>
        <w:t xml:space="preserve">QUERIMIENTO Y RESPUESTA DE LA CUARTA SALA REGIONAL.pdf, ACUERDO RR 2604-2018.pdf, ACTA SE EXTRA 15-2018.pdf, COMPARECENCIA 18 DE JUNIO DE 2018..pdf, REQUERIMIENTO Y RESPUESTA UNIDAD DE ASESORIA COMISIONADA.pdf, ESCRITO ASESOR COMISIONADO Y RECHAZO BANCARIO.pdf </w:t>
      </w:r>
      <w:r w:rsidR="00FE19E4" w:rsidRPr="004F2200">
        <w:rPr>
          <w:rFonts w:ascii="Palatino Linotype" w:hAnsi="Palatino Linotype" w:cs="Arial"/>
          <w:color w:val="000000" w:themeColor="text1"/>
        </w:rPr>
        <w:t xml:space="preserve">y </w:t>
      </w:r>
      <w:r w:rsidR="00FE19E4" w:rsidRPr="004F2200">
        <w:rPr>
          <w:rFonts w:ascii="Palatino Linotype" w:hAnsi="Palatino Linotype" w:cs="Arial"/>
          <w:b/>
          <w:color w:val="000000" w:themeColor="text1"/>
        </w:rPr>
        <w:t>Convicatoria Sesión Comité.pdf</w:t>
      </w:r>
      <w:r w:rsidR="00F31853" w:rsidRPr="004F2200">
        <w:rPr>
          <w:rFonts w:ascii="Palatino Linotype" w:hAnsi="Palatino Linotype" w:cs="Arial"/>
          <w:b/>
          <w:color w:val="000000" w:themeColor="text1"/>
        </w:rPr>
        <w:t xml:space="preserve">, </w:t>
      </w:r>
      <w:r w:rsidR="003923B6" w:rsidRPr="004F2200">
        <w:rPr>
          <w:rFonts w:ascii="Palatino Linotype" w:hAnsi="Palatino Linotype" w:cs="Arial"/>
          <w:color w:val="000000" w:themeColor="text1"/>
        </w:rPr>
        <w:t xml:space="preserve">cuyo contenido no fue hecho del conocimiento del particular por </w:t>
      </w:r>
      <w:r w:rsidR="00DF259A" w:rsidRPr="004F2200">
        <w:rPr>
          <w:rFonts w:ascii="Palatino Linotype" w:hAnsi="Palatino Linotype" w:cs="Arial"/>
          <w:color w:val="000000" w:themeColor="text1"/>
        </w:rPr>
        <w:t>no</w:t>
      </w:r>
      <w:r w:rsidR="003923B6" w:rsidRPr="004F2200">
        <w:rPr>
          <w:rFonts w:ascii="Palatino Linotype" w:hAnsi="Palatino Linotype" w:cs="Arial"/>
          <w:color w:val="000000" w:themeColor="text1"/>
        </w:rPr>
        <w:t xml:space="preserve"> atender los requerimientos de información.</w:t>
      </w:r>
    </w:p>
    <w:p w14:paraId="5126E0CC" w14:textId="2A6731F8" w:rsidR="006031FE" w:rsidRPr="004F2200" w:rsidRDefault="00467311" w:rsidP="003D5E12">
      <w:pPr>
        <w:spacing w:before="240" w:after="240" w:line="360" w:lineRule="auto"/>
        <w:jc w:val="both"/>
        <w:rPr>
          <w:rFonts w:ascii="Palatino Linotype" w:eastAsia="Calibri" w:hAnsi="Palatino Linotype" w:cs="Arial"/>
          <w:b/>
          <w:color w:val="000000" w:themeColor="text1"/>
          <w:sz w:val="28"/>
          <w:szCs w:val="28"/>
        </w:rPr>
      </w:pPr>
      <w:r w:rsidRPr="004F2200">
        <w:rPr>
          <w:rFonts w:ascii="Palatino Linotype" w:eastAsia="Calibri" w:hAnsi="Palatino Linotype" w:cs="Arial"/>
          <w:b/>
          <w:color w:val="000000" w:themeColor="text1"/>
          <w:sz w:val="28"/>
          <w:szCs w:val="28"/>
        </w:rPr>
        <w:t>8</w:t>
      </w:r>
      <w:r w:rsidR="008E7698" w:rsidRPr="004F2200">
        <w:rPr>
          <w:rFonts w:ascii="Palatino Linotype" w:eastAsia="Calibri" w:hAnsi="Palatino Linotype" w:cs="Arial"/>
          <w:b/>
          <w:color w:val="000000" w:themeColor="text1"/>
          <w:sz w:val="28"/>
          <w:szCs w:val="28"/>
        </w:rPr>
        <w:t xml:space="preserve">. </w:t>
      </w:r>
      <w:r w:rsidR="006747B5" w:rsidRPr="004F2200">
        <w:rPr>
          <w:rFonts w:ascii="Palatino Linotype" w:eastAsia="Calibri" w:hAnsi="Palatino Linotype" w:cs="Arial"/>
          <w:b/>
          <w:color w:val="000000" w:themeColor="text1"/>
          <w:sz w:val="28"/>
          <w:szCs w:val="28"/>
        </w:rPr>
        <w:t xml:space="preserve">Cierre de Instrucción. </w:t>
      </w:r>
      <w:r w:rsidR="00DA0B77" w:rsidRPr="004F2200">
        <w:rPr>
          <w:rFonts w:ascii="Palatino Linotype" w:eastAsia="Calibri" w:hAnsi="Palatino Linotype" w:cs="Arial"/>
          <w:color w:val="000000" w:themeColor="text1"/>
          <w:szCs w:val="28"/>
        </w:rPr>
        <w:t xml:space="preserve">En fecha </w:t>
      </w:r>
      <w:r w:rsidR="007855C7" w:rsidRPr="004F2200">
        <w:rPr>
          <w:rFonts w:ascii="Palatino Linotype" w:hAnsi="Palatino Linotype"/>
          <w:color w:val="000000" w:themeColor="text1"/>
        </w:rPr>
        <w:t>trece</w:t>
      </w:r>
      <w:r w:rsidR="003923B6" w:rsidRPr="004F2200">
        <w:rPr>
          <w:rFonts w:ascii="Palatino Linotype" w:hAnsi="Palatino Linotype"/>
          <w:color w:val="000000" w:themeColor="text1"/>
        </w:rPr>
        <w:t xml:space="preserve"> de septiembre</w:t>
      </w:r>
      <w:r w:rsidR="00873B3E" w:rsidRPr="004F2200">
        <w:rPr>
          <w:rFonts w:ascii="Palatino Linotype" w:hAnsi="Palatino Linotype"/>
          <w:color w:val="000000" w:themeColor="text1"/>
        </w:rPr>
        <w:t xml:space="preserve"> d</w:t>
      </w:r>
      <w:r w:rsidR="00DA0B77" w:rsidRPr="004F2200">
        <w:rPr>
          <w:rFonts w:ascii="Palatino Linotype" w:hAnsi="Palatino Linotype"/>
          <w:color w:val="000000" w:themeColor="text1"/>
        </w:rPr>
        <w:t xml:space="preserve">el </w:t>
      </w:r>
      <w:r w:rsidR="005134B4" w:rsidRPr="004F2200">
        <w:rPr>
          <w:rFonts w:ascii="Palatino Linotype" w:hAnsi="Palatino Linotype"/>
          <w:color w:val="000000" w:themeColor="text1"/>
        </w:rPr>
        <w:t>año en curso</w:t>
      </w:r>
      <w:r w:rsidR="00DA0B77" w:rsidRPr="004F2200">
        <w:rPr>
          <w:rFonts w:ascii="Palatino Linotype" w:hAnsi="Palatino Linotype"/>
          <w:color w:val="000000" w:themeColor="text1"/>
        </w:rPr>
        <w:t xml:space="preserve">, se emitió el acuerdo por medio del cual se declaró cerrada la instrucción, pasando el expediente a resolución, en términos del </w:t>
      </w:r>
      <w:r w:rsidR="006031FE" w:rsidRPr="004F2200">
        <w:rPr>
          <w:rFonts w:ascii="Palatino Linotype" w:hAnsi="Palatino Linotype"/>
          <w:color w:val="000000" w:themeColor="text1"/>
        </w:rPr>
        <w:t>artículo 185 fracci</w:t>
      </w:r>
      <w:r w:rsidR="00DA0B77" w:rsidRPr="004F2200">
        <w:rPr>
          <w:rFonts w:ascii="Palatino Linotype" w:hAnsi="Palatino Linotype"/>
          <w:color w:val="000000" w:themeColor="text1"/>
        </w:rPr>
        <w:t>ones</w:t>
      </w:r>
      <w:r w:rsidR="006031FE" w:rsidRPr="004F2200">
        <w:rPr>
          <w:rFonts w:ascii="Palatino Linotype" w:hAnsi="Palatino Linotype"/>
          <w:color w:val="000000" w:themeColor="text1"/>
        </w:rPr>
        <w:t xml:space="preserve"> VI</w:t>
      </w:r>
      <w:r w:rsidR="00DA0B77" w:rsidRPr="004F2200">
        <w:rPr>
          <w:rFonts w:ascii="Palatino Linotype" w:hAnsi="Palatino Linotype"/>
          <w:color w:val="000000" w:themeColor="text1"/>
        </w:rPr>
        <w:t xml:space="preserve"> y VIII</w:t>
      </w:r>
      <w:r w:rsidR="006031FE" w:rsidRPr="004F2200">
        <w:rPr>
          <w:rFonts w:ascii="Palatino Linotype" w:hAnsi="Palatino Linotype"/>
          <w:color w:val="000000" w:themeColor="text1"/>
        </w:rPr>
        <w:t xml:space="preserve"> de la Ley de Transparencia y Acceso a la Información Pública del Estado de México y Municipios</w:t>
      </w:r>
      <w:r w:rsidR="009F19E6" w:rsidRPr="004F2200">
        <w:rPr>
          <w:rFonts w:ascii="Palatino Linotype" w:hAnsi="Palatino Linotype"/>
          <w:color w:val="000000" w:themeColor="text1"/>
        </w:rPr>
        <w:t>,</w:t>
      </w:r>
      <w:r w:rsidR="006031FE" w:rsidRPr="004F2200">
        <w:rPr>
          <w:rFonts w:ascii="Palatino Linotype" w:hAnsi="Palatino Linotype"/>
          <w:color w:val="000000" w:themeColor="text1"/>
        </w:rPr>
        <w:t xml:space="preserve"> </w:t>
      </w:r>
      <w:r w:rsidR="00DA0B77" w:rsidRPr="004F2200">
        <w:rPr>
          <w:rFonts w:ascii="Palatino Linotype" w:hAnsi="Palatino Linotype"/>
          <w:color w:val="000000" w:themeColor="text1"/>
        </w:rPr>
        <w:t>el cual fue notificado a las partes en la misma fecha</w:t>
      </w:r>
      <w:r w:rsidR="006031FE" w:rsidRPr="004F2200">
        <w:rPr>
          <w:rFonts w:ascii="Palatino Linotype" w:hAnsi="Palatino Linotype"/>
          <w:color w:val="000000" w:themeColor="text1"/>
        </w:rPr>
        <w:t xml:space="preserve">. </w:t>
      </w:r>
    </w:p>
    <w:p w14:paraId="316F1BD1" w14:textId="77777777" w:rsidR="009C6EDF" w:rsidRPr="004F2200" w:rsidRDefault="009C6EDF" w:rsidP="009C6EDF">
      <w:pPr>
        <w:spacing w:before="240" w:line="360" w:lineRule="auto"/>
        <w:jc w:val="both"/>
        <w:rPr>
          <w:rFonts w:ascii="Palatino Linotype" w:eastAsia="Calibri" w:hAnsi="Palatino Linotype" w:cs="Arial"/>
          <w:color w:val="000000" w:themeColor="text1"/>
          <w:szCs w:val="28"/>
        </w:rPr>
      </w:pPr>
      <w:r w:rsidRPr="004F2200">
        <w:rPr>
          <w:rFonts w:ascii="Palatino Linotype" w:eastAsia="Calibri" w:hAnsi="Palatino Linotype" w:cs="Arial"/>
          <w:color w:val="000000" w:themeColor="text1"/>
          <w:szCs w:val="28"/>
        </w:rPr>
        <w:t>En razón de que fue debidamente substanciado el expediente y no existiendo diligencia pendiente de desahogo, se ordenó emitir la resolución que conforme a derecho proceda, de acuerdo a los siguientes:</w:t>
      </w:r>
    </w:p>
    <w:p w14:paraId="6F9BFBF9" w14:textId="77777777" w:rsidR="009F4D23" w:rsidRPr="004F2200" w:rsidRDefault="009F4D23" w:rsidP="004A6EFE">
      <w:pPr>
        <w:pStyle w:val="Ttulo2"/>
        <w:jc w:val="center"/>
        <w:rPr>
          <w:rFonts w:ascii="Palatino Linotype" w:hAnsi="Palatino Linotype"/>
          <w:b/>
          <w:color w:val="000000" w:themeColor="text1"/>
          <w:sz w:val="24"/>
          <w:szCs w:val="24"/>
        </w:rPr>
      </w:pPr>
    </w:p>
    <w:p w14:paraId="4E1E75B1" w14:textId="77777777" w:rsidR="009F4D23" w:rsidRPr="004F2200" w:rsidRDefault="009F4D23" w:rsidP="004A6EFE">
      <w:pPr>
        <w:pStyle w:val="Ttulo2"/>
        <w:jc w:val="center"/>
        <w:rPr>
          <w:rFonts w:ascii="Palatino Linotype" w:hAnsi="Palatino Linotype"/>
          <w:b/>
          <w:color w:val="000000" w:themeColor="text1"/>
          <w:sz w:val="24"/>
          <w:szCs w:val="24"/>
        </w:rPr>
      </w:pPr>
    </w:p>
    <w:p w14:paraId="7CD5D137" w14:textId="10283084" w:rsidR="008E7698" w:rsidRPr="004F2200" w:rsidRDefault="004A6EFE" w:rsidP="004A6EFE">
      <w:pPr>
        <w:pStyle w:val="Ttulo2"/>
        <w:jc w:val="center"/>
        <w:rPr>
          <w:rFonts w:ascii="Palatino Linotype" w:hAnsi="Palatino Linotype"/>
          <w:b/>
          <w:color w:val="000000" w:themeColor="text1"/>
          <w:sz w:val="24"/>
          <w:szCs w:val="24"/>
        </w:rPr>
      </w:pPr>
      <w:r w:rsidRPr="004F2200">
        <w:rPr>
          <w:rFonts w:ascii="Palatino Linotype" w:hAnsi="Palatino Linotype"/>
          <w:b/>
          <w:color w:val="000000" w:themeColor="text1"/>
          <w:sz w:val="24"/>
          <w:szCs w:val="24"/>
        </w:rPr>
        <w:t xml:space="preserve">II. </w:t>
      </w:r>
      <w:r w:rsidR="008E7698" w:rsidRPr="004F2200">
        <w:rPr>
          <w:rFonts w:ascii="Palatino Linotype" w:hAnsi="Palatino Linotype"/>
          <w:b/>
          <w:color w:val="000000" w:themeColor="text1"/>
          <w:sz w:val="24"/>
          <w:szCs w:val="24"/>
        </w:rPr>
        <w:t>C O N S I D E R A N D O</w:t>
      </w:r>
      <w:r w:rsidR="00DA0B77" w:rsidRPr="004F2200">
        <w:rPr>
          <w:rFonts w:ascii="Palatino Linotype" w:hAnsi="Palatino Linotype"/>
          <w:b/>
          <w:color w:val="000000" w:themeColor="text1"/>
          <w:sz w:val="24"/>
          <w:szCs w:val="24"/>
        </w:rPr>
        <w:t xml:space="preserve"> S</w:t>
      </w:r>
      <w:r w:rsidR="008E7698" w:rsidRPr="004F2200">
        <w:rPr>
          <w:rFonts w:ascii="Palatino Linotype" w:hAnsi="Palatino Linotype"/>
          <w:b/>
          <w:color w:val="000000" w:themeColor="text1"/>
          <w:sz w:val="24"/>
          <w:szCs w:val="24"/>
        </w:rPr>
        <w:t>:</w:t>
      </w:r>
    </w:p>
    <w:p w14:paraId="445D27E5" w14:textId="77777777" w:rsidR="002339A2" w:rsidRPr="004F2200" w:rsidRDefault="00516E6A" w:rsidP="008E7698">
      <w:pPr>
        <w:spacing w:before="240" w:after="240" w:line="360" w:lineRule="auto"/>
        <w:jc w:val="both"/>
        <w:rPr>
          <w:rFonts w:ascii="Palatino Linotype" w:hAnsi="Palatino Linotype" w:cs="Arial"/>
          <w:b/>
          <w:color w:val="000000" w:themeColor="text1"/>
        </w:rPr>
      </w:pPr>
      <w:r w:rsidRPr="004F2200">
        <w:rPr>
          <w:rFonts w:ascii="Palatino Linotype" w:hAnsi="Palatino Linotype" w:cs="Arial"/>
          <w:b/>
          <w:color w:val="000000" w:themeColor="text1"/>
          <w:sz w:val="28"/>
          <w:szCs w:val="28"/>
        </w:rPr>
        <w:t>PRIMERO</w:t>
      </w:r>
      <w:r w:rsidR="008E7698" w:rsidRPr="004F2200">
        <w:rPr>
          <w:rFonts w:ascii="Palatino Linotype" w:hAnsi="Palatino Linotype" w:cs="Arial"/>
          <w:b/>
          <w:color w:val="000000" w:themeColor="text1"/>
          <w:sz w:val="28"/>
          <w:szCs w:val="28"/>
        </w:rPr>
        <w:t>. Competencia</w:t>
      </w:r>
      <w:r w:rsidR="008E7698" w:rsidRPr="004F2200">
        <w:rPr>
          <w:rFonts w:ascii="Palatino Linotype" w:hAnsi="Palatino Linotype" w:cs="Arial"/>
          <w:b/>
          <w:color w:val="000000" w:themeColor="text1"/>
        </w:rPr>
        <w:t xml:space="preserve">. </w:t>
      </w:r>
    </w:p>
    <w:p w14:paraId="0B1FAD6B" w14:textId="0C6D2E9B" w:rsidR="00A5404F" w:rsidRPr="004F2200" w:rsidRDefault="00A5404F" w:rsidP="008E7698">
      <w:pPr>
        <w:spacing w:before="240" w:after="240" w:line="360" w:lineRule="auto"/>
        <w:jc w:val="both"/>
        <w:rPr>
          <w:rFonts w:ascii="Palatino Linotype" w:hAnsi="Palatino Linotype" w:cs="Arial"/>
          <w:b/>
          <w:color w:val="000000" w:themeColor="text1"/>
        </w:rPr>
      </w:pPr>
      <w:r w:rsidRPr="004F2200">
        <w:rPr>
          <w:rFonts w:ascii="Palatino Linotype" w:hAnsi="Palatino Linotype"/>
          <w:color w:val="000000" w:themeColor="text1"/>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F2200">
        <w:rPr>
          <w:rFonts w:ascii="Palatino Linotype" w:hAnsi="Palatino Linotype"/>
          <w:color w:val="000000" w:themeColor="text1"/>
          <w:shd w:val="clear" w:color="auto" w:fill="FFFFFF"/>
        </w:rPr>
        <w:t>Recurrente</w:t>
      </w:r>
      <w:r w:rsidRPr="004F2200">
        <w:rPr>
          <w:rFonts w:ascii="Palatino Linotype" w:hAnsi="Palatino Linotype"/>
          <w:color w:val="000000" w:themeColor="text1"/>
          <w:shd w:val="clear" w:color="auto" w:fill="FFFFFF"/>
        </w:rPr>
        <w:t>, conforme a lo dispuesto en los artículos 6, apartado A de la Constitución Política de los Estados Unidos Mexican</w:t>
      </w:r>
      <w:r w:rsidR="00D371C6" w:rsidRPr="004F2200">
        <w:rPr>
          <w:rFonts w:ascii="Palatino Linotype" w:hAnsi="Palatino Linotype"/>
          <w:color w:val="000000" w:themeColor="text1"/>
          <w:shd w:val="clear" w:color="auto" w:fill="FFFFFF"/>
        </w:rPr>
        <w:t xml:space="preserve">os; 5, párrafos </w:t>
      </w:r>
      <w:r w:rsidR="00875E79" w:rsidRPr="004F2200">
        <w:rPr>
          <w:rFonts w:ascii="Palatino Linotype" w:hAnsi="Palatino Linotype"/>
          <w:color w:val="000000" w:themeColor="text1"/>
          <w:shd w:val="clear" w:color="auto" w:fill="FFFFFF"/>
        </w:rPr>
        <w:t>vigésimo, vigésimo primero y vigésimo segundo</w:t>
      </w:r>
      <w:r w:rsidR="00077347" w:rsidRPr="004F2200">
        <w:rPr>
          <w:rFonts w:ascii="Palatino Linotype" w:hAnsi="Palatino Linotype"/>
          <w:color w:val="000000" w:themeColor="text1"/>
          <w:shd w:val="clear" w:color="auto" w:fill="FFFFFF"/>
        </w:rPr>
        <w:t xml:space="preserve"> </w:t>
      </w:r>
      <w:r w:rsidR="00D371C6" w:rsidRPr="004F2200">
        <w:rPr>
          <w:rFonts w:ascii="Palatino Linotype" w:hAnsi="Palatino Linotype"/>
          <w:color w:val="000000" w:themeColor="text1"/>
          <w:shd w:val="clear" w:color="auto" w:fill="FFFFFF"/>
        </w:rPr>
        <w:t>fracci</w:t>
      </w:r>
      <w:r w:rsidR="00875E79" w:rsidRPr="004F2200">
        <w:rPr>
          <w:rFonts w:ascii="Palatino Linotype" w:hAnsi="Palatino Linotype"/>
          <w:color w:val="000000" w:themeColor="text1"/>
          <w:shd w:val="clear" w:color="auto" w:fill="FFFFFF"/>
        </w:rPr>
        <w:t>ones</w:t>
      </w:r>
      <w:r w:rsidR="00D371C6" w:rsidRPr="004F2200">
        <w:rPr>
          <w:rFonts w:ascii="Palatino Linotype" w:hAnsi="Palatino Linotype"/>
          <w:color w:val="000000" w:themeColor="text1"/>
          <w:shd w:val="clear" w:color="auto" w:fill="FFFFFF"/>
        </w:rPr>
        <w:t xml:space="preserve"> IV y V </w:t>
      </w:r>
      <w:r w:rsidRPr="004F2200">
        <w:rPr>
          <w:rFonts w:ascii="Palatino Linotype" w:hAnsi="Palatino Linotype"/>
          <w:color w:val="000000" w:themeColor="text1"/>
          <w:shd w:val="clear" w:color="auto" w:fill="FFFFFF"/>
        </w:rPr>
        <w:t>de la Constitución Política del Estado Libre y Soberano de México; 1,</w:t>
      </w:r>
      <w:r w:rsidR="00551BA4" w:rsidRPr="004F2200">
        <w:rPr>
          <w:rFonts w:ascii="Palatino Linotype" w:hAnsi="Palatino Linotype"/>
          <w:color w:val="000000" w:themeColor="text1"/>
          <w:shd w:val="clear" w:color="auto" w:fill="FFFFFF"/>
        </w:rPr>
        <w:t xml:space="preserve"> </w:t>
      </w:r>
      <w:r w:rsidR="00E34890" w:rsidRPr="004F2200">
        <w:rPr>
          <w:rFonts w:ascii="Palatino Linotype" w:hAnsi="Palatino Linotype"/>
          <w:color w:val="000000" w:themeColor="text1"/>
          <w:shd w:val="clear" w:color="auto" w:fill="FFFFFF"/>
        </w:rPr>
        <w:t>2, fracción II</w:t>
      </w:r>
      <w:r w:rsidR="00551BA4" w:rsidRPr="004F2200">
        <w:rPr>
          <w:rFonts w:ascii="Palatino Linotype" w:hAnsi="Palatino Linotype"/>
          <w:color w:val="000000" w:themeColor="text1"/>
          <w:shd w:val="clear" w:color="auto" w:fill="FFFFFF"/>
        </w:rPr>
        <w:t>;</w:t>
      </w:r>
      <w:r w:rsidR="00E34890" w:rsidRPr="004F2200">
        <w:rPr>
          <w:rFonts w:ascii="Palatino Linotype" w:hAnsi="Palatino Linotype"/>
          <w:color w:val="000000" w:themeColor="text1"/>
          <w:shd w:val="clear" w:color="auto" w:fill="FFFFFF"/>
        </w:rPr>
        <w:t xml:space="preserve"> 13, </w:t>
      </w:r>
      <w:r w:rsidRPr="004F2200">
        <w:rPr>
          <w:rFonts w:ascii="Palatino Linotype" w:hAnsi="Palatino Linotype"/>
          <w:color w:val="000000" w:themeColor="text1"/>
          <w:shd w:val="clear" w:color="auto" w:fill="FFFFFF"/>
        </w:rPr>
        <w:t xml:space="preserve"> 29, 36, fracciones I</w:t>
      </w:r>
      <w:r w:rsidR="005A232E" w:rsidRPr="004F2200">
        <w:rPr>
          <w:rFonts w:ascii="Palatino Linotype" w:hAnsi="Palatino Linotype"/>
          <w:color w:val="000000" w:themeColor="text1"/>
          <w:shd w:val="clear" w:color="auto" w:fill="FFFFFF"/>
        </w:rPr>
        <w:t xml:space="preserve"> y II;</w:t>
      </w:r>
      <w:r w:rsidRPr="004F2200">
        <w:rPr>
          <w:rFonts w:ascii="Palatino Linotype" w:hAnsi="Palatino Linotype"/>
          <w:color w:val="000000" w:themeColor="text1"/>
          <w:shd w:val="clear" w:color="auto" w:fill="FFFFFF"/>
        </w:rPr>
        <w:t xml:space="preserve"> 176,</w:t>
      </w:r>
      <w:r w:rsidR="004D5FEF" w:rsidRPr="004F2200">
        <w:rPr>
          <w:rFonts w:ascii="Palatino Linotype" w:hAnsi="Palatino Linotype"/>
          <w:color w:val="000000" w:themeColor="text1"/>
          <w:shd w:val="clear" w:color="auto" w:fill="FFFFFF"/>
        </w:rPr>
        <w:t xml:space="preserve"> 178,</w:t>
      </w:r>
      <w:r w:rsidRPr="004F2200">
        <w:rPr>
          <w:rFonts w:ascii="Palatino Linotype" w:hAnsi="Palatino Linotype"/>
          <w:color w:val="000000" w:themeColor="text1"/>
          <w:shd w:val="clear" w:color="auto" w:fill="FFFFFF"/>
        </w:rPr>
        <w:t xml:space="preserve"> 179, </w:t>
      </w:r>
      <w:r w:rsidR="004D5FEF" w:rsidRPr="004F2200">
        <w:rPr>
          <w:rFonts w:ascii="Palatino Linotype" w:hAnsi="Palatino Linotype"/>
          <w:color w:val="000000" w:themeColor="text1"/>
          <w:shd w:val="clear" w:color="auto" w:fill="FFFFFF"/>
        </w:rPr>
        <w:t xml:space="preserve">181 párrafo 3 y </w:t>
      </w:r>
      <w:r w:rsidRPr="004F2200">
        <w:rPr>
          <w:rFonts w:ascii="Palatino Linotype" w:hAnsi="Palatino Linotype"/>
          <w:color w:val="000000" w:themeColor="text1"/>
          <w:shd w:val="clear" w:color="auto" w:fill="FFFFFF"/>
        </w:rPr>
        <w:t>185</w:t>
      </w:r>
      <w:r w:rsidR="004D5FEF" w:rsidRPr="004F2200">
        <w:rPr>
          <w:rFonts w:ascii="Palatino Linotype" w:hAnsi="Palatino Linotype"/>
          <w:color w:val="000000" w:themeColor="text1"/>
          <w:shd w:val="clear" w:color="auto" w:fill="FFFFFF"/>
        </w:rPr>
        <w:t xml:space="preserve"> </w:t>
      </w:r>
      <w:r w:rsidRPr="004F2200">
        <w:rPr>
          <w:rFonts w:ascii="Palatino Linotype" w:hAnsi="Palatino Linotype"/>
          <w:color w:val="000000" w:themeColor="text1"/>
          <w:shd w:val="clear" w:color="auto" w:fill="FFFFFF"/>
        </w:rPr>
        <w:t xml:space="preserve">de la Ley Transparencia y Acceso a la Información Pública </w:t>
      </w:r>
      <w:r w:rsidR="0010152C" w:rsidRPr="004F2200">
        <w:rPr>
          <w:rFonts w:ascii="Palatino Linotype" w:hAnsi="Palatino Linotype"/>
          <w:color w:val="000000" w:themeColor="text1"/>
          <w:shd w:val="clear" w:color="auto" w:fill="FFFFFF"/>
        </w:rPr>
        <w:t>del Estado de México y Municipios</w:t>
      </w:r>
      <w:r w:rsidR="002C7992" w:rsidRPr="004F2200">
        <w:rPr>
          <w:rFonts w:ascii="Palatino Linotype" w:hAnsi="Palatino Linotype"/>
          <w:color w:val="000000" w:themeColor="text1"/>
          <w:shd w:val="clear" w:color="auto" w:fill="FFFFFF"/>
        </w:rPr>
        <w:t>;</w:t>
      </w:r>
      <w:r w:rsidRPr="004F2200">
        <w:rPr>
          <w:rFonts w:ascii="Palatino Linotype" w:hAnsi="Palatino Linotype"/>
          <w:color w:val="000000" w:themeColor="text1"/>
          <w:shd w:val="clear" w:color="auto" w:fill="FFFFFF"/>
        </w:rPr>
        <w:t xml:space="preserve"> </w:t>
      </w:r>
      <w:r w:rsidR="00E54F16" w:rsidRPr="004F2200">
        <w:rPr>
          <w:rFonts w:ascii="Palatino Linotype" w:hAnsi="Palatino Linotype" w:cs="Arial"/>
          <w:color w:val="000000" w:themeColor="text1"/>
        </w:rPr>
        <w:t xml:space="preserve">9 fracciones I, XXIV y 11 </w:t>
      </w:r>
      <w:r w:rsidRPr="004F2200">
        <w:rPr>
          <w:rFonts w:ascii="Palatino Linotype" w:hAnsi="Palatino Linotype"/>
          <w:color w:val="000000" w:themeColor="text1"/>
          <w:shd w:val="clear" w:color="auto" w:fill="FFFFFF"/>
        </w:rPr>
        <w:t>del Reglamento Interior del Instituto de Transparencia, Acceso a la Información Pública y Protección de Datos Personales del Estado de México y Municipios.</w:t>
      </w:r>
    </w:p>
    <w:p w14:paraId="66718402" w14:textId="74365E57" w:rsidR="008D033C" w:rsidRPr="004F2200" w:rsidRDefault="00C866A8" w:rsidP="00E82030">
      <w:pPr>
        <w:spacing w:before="240" w:after="240" w:line="360" w:lineRule="auto"/>
        <w:jc w:val="both"/>
        <w:rPr>
          <w:rFonts w:ascii="Palatino Linotype" w:hAnsi="Palatino Linotype" w:cs="Arial"/>
          <w:b/>
          <w:color w:val="000000" w:themeColor="text1"/>
          <w:sz w:val="28"/>
          <w:szCs w:val="28"/>
        </w:rPr>
      </w:pPr>
      <w:r w:rsidRPr="004F2200">
        <w:rPr>
          <w:rFonts w:ascii="Palatino Linotype" w:hAnsi="Palatino Linotype" w:cs="Arial"/>
          <w:b/>
          <w:color w:val="000000" w:themeColor="text1"/>
          <w:sz w:val="28"/>
          <w:szCs w:val="28"/>
        </w:rPr>
        <w:t xml:space="preserve">SEGUNDO. </w:t>
      </w:r>
      <w:r w:rsidR="00055938" w:rsidRPr="004F2200">
        <w:rPr>
          <w:rFonts w:ascii="Palatino Linotype" w:hAnsi="Palatino Linotype" w:cs="Arial"/>
          <w:b/>
          <w:color w:val="000000" w:themeColor="text1"/>
          <w:sz w:val="28"/>
          <w:szCs w:val="28"/>
        </w:rPr>
        <w:t>Oportunidad y Procediblidad del Recurso de Revisión</w:t>
      </w:r>
      <w:r w:rsidR="00E82030" w:rsidRPr="004F2200">
        <w:rPr>
          <w:rFonts w:ascii="Palatino Linotype" w:hAnsi="Palatino Linotype" w:cs="Arial"/>
          <w:b/>
          <w:color w:val="000000" w:themeColor="text1"/>
          <w:sz w:val="28"/>
          <w:szCs w:val="28"/>
        </w:rPr>
        <w:t>.</w:t>
      </w:r>
    </w:p>
    <w:p w14:paraId="1FDF3349" w14:textId="77777777" w:rsidR="008D033C" w:rsidRPr="004F2200" w:rsidRDefault="008D033C" w:rsidP="008D033C">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Previo al estudio del fondo del asunto, se procede a analizar los requisitos de oportunidad y procedibilidad que debe reunir el recurso de revisión interpuesto, previstos en los artículos </w:t>
      </w:r>
      <w:r w:rsidRPr="004F2200">
        <w:rPr>
          <w:rFonts w:ascii="Palatino Linotype" w:hAnsi="Palatino Linotype" w:cs="Arial"/>
          <w:color w:val="000000" w:themeColor="text1"/>
          <w:lang w:val="es-MX"/>
        </w:rPr>
        <w:t>178 y 180 de la Ley de Transparencia y Acceso a la Información Pública del Estado de México y Municipios</w:t>
      </w:r>
      <w:r w:rsidRPr="004F2200">
        <w:rPr>
          <w:rFonts w:ascii="Palatino Linotype" w:hAnsi="Palatino Linotype" w:cs="Arial"/>
          <w:color w:val="000000" w:themeColor="text1"/>
          <w:lang w:val="es-MX" w:eastAsia="es-MX"/>
        </w:rPr>
        <w:t xml:space="preserve">. </w:t>
      </w:r>
    </w:p>
    <w:p w14:paraId="00AFD030" w14:textId="02909275" w:rsidR="00E501D4" w:rsidRPr="004F2200" w:rsidRDefault="00E501D4" w:rsidP="00E501D4">
      <w:pPr>
        <w:spacing w:before="240" w:after="240" w:line="360" w:lineRule="auto"/>
        <w:jc w:val="both"/>
        <w:rPr>
          <w:rFonts w:ascii="Palatino Linotype" w:hAnsi="Palatino Linotype" w:cs="Arial"/>
          <w:i/>
          <w:color w:val="000000" w:themeColor="text1"/>
        </w:rPr>
      </w:pPr>
      <w:r w:rsidRPr="004F2200">
        <w:rPr>
          <w:rFonts w:ascii="Palatino Linotype" w:hAnsi="Palatino Linotype" w:cs="Arial"/>
          <w:color w:val="000000" w:themeColor="text1"/>
        </w:rPr>
        <w:t xml:space="preserve">El recurso de revisión fue interpuesto dentro del plazo de quince días hábiles previsto en el artículo 178 de la </w:t>
      </w:r>
      <w:r w:rsidRPr="004F2200">
        <w:rPr>
          <w:rFonts w:ascii="Palatino Linotype" w:hAnsi="Palatino Linotype" w:cs="Arial"/>
          <w:color w:val="000000" w:themeColor="text1"/>
          <w:lang w:val="es-MX"/>
        </w:rPr>
        <w:t xml:space="preserve">Ley de Transparencia y Acceso a la Información Pública del Estado de México y Municipios, </w:t>
      </w:r>
      <w:r w:rsidRPr="004F2200">
        <w:rPr>
          <w:rFonts w:ascii="Palatino Linotype" w:hAnsi="Palatino Linotype" w:cs="Arial"/>
          <w:color w:val="000000" w:themeColor="text1"/>
        </w:rPr>
        <w:t xml:space="preserve">contados a partir de la fecha en que el Sujeto Obligado emitió la respuesta, toda vez que ésta fue pronunciada el día </w:t>
      </w:r>
      <w:r w:rsidR="00685783" w:rsidRPr="004F2200">
        <w:rPr>
          <w:rFonts w:ascii="Palatino Linotype" w:hAnsi="Palatino Linotype" w:cs="Arial"/>
          <w:color w:val="000000" w:themeColor="text1"/>
        </w:rPr>
        <w:t>once de julio</w:t>
      </w:r>
      <w:r w:rsidRPr="004F2200">
        <w:rPr>
          <w:rFonts w:ascii="Palatino Linotype" w:hAnsi="Palatino Linotype" w:cs="Arial"/>
          <w:color w:val="000000" w:themeColor="text1"/>
        </w:rPr>
        <w:t xml:space="preserve"> de dos mil dieciocho, mientras que el </w:t>
      </w:r>
      <w:r w:rsidRPr="004F2200">
        <w:rPr>
          <w:rFonts w:ascii="Palatino Linotype" w:hAnsi="Palatino Linotype" w:cs="Arial"/>
          <w:b/>
          <w:i/>
          <w:color w:val="000000" w:themeColor="text1"/>
        </w:rPr>
        <w:t>Recurrente</w:t>
      </w:r>
      <w:r w:rsidRPr="004F2200">
        <w:rPr>
          <w:rFonts w:ascii="Palatino Linotype" w:hAnsi="Palatino Linotype" w:cs="Arial"/>
          <w:color w:val="000000" w:themeColor="text1"/>
        </w:rPr>
        <w:t xml:space="preserve"> interpuso el recurso de revisión el </w:t>
      </w:r>
      <w:r w:rsidR="00685783" w:rsidRPr="004F2200">
        <w:rPr>
          <w:rFonts w:ascii="Palatino Linotype" w:hAnsi="Palatino Linotype" w:cs="Arial"/>
          <w:color w:val="000000" w:themeColor="text1"/>
        </w:rPr>
        <w:t>once de julio</w:t>
      </w:r>
      <w:r w:rsidRPr="004F2200">
        <w:rPr>
          <w:rFonts w:ascii="Palatino Linotype" w:hAnsi="Palatino Linotype" w:cs="Arial"/>
          <w:color w:val="000000" w:themeColor="text1"/>
        </w:rPr>
        <w:t xml:space="preserve"> del mismo año.</w:t>
      </w:r>
    </w:p>
    <w:p w14:paraId="24C49637" w14:textId="3809C34E" w:rsidR="00532D92" w:rsidRPr="004F2200" w:rsidRDefault="00532D92" w:rsidP="00532D92">
      <w:pPr>
        <w:autoSpaceDE w:val="0"/>
        <w:autoSpaceDN w:val="0"/>
        <w:adjustRightInd w:val="0"/>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No obstante lo anterior, el hecho de que el Recurso haya sido presentado el mismo día en que le fue notificada la respuesta al Recurrente no debe desecharse ya que no hay una prohibición expresa en la Ley para realizarlo el mismo día y en atención a los principios generales del derecho todo aquello que no esté prohibido para el gobernado se tiene por permitido y por ende se debe de dar trámite al presente recurso.</w:t>
      </w:r>
    </w:p>
    <w:p w14:paraId="24C36F15" w14:textId="77777777" w:rsidR="00532D92" w:rsidRPr="004F2200" w:rsidRDefault="00532D92" w:rsidP="00532D92">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Sirven de apoyo los criterios del Poder Judicial Federal con los rubros siguientes: </w:t>
      </w:r>
    </w:p>
    <w:p w14:paraId="78894DD2" w14:textId="77777777" w:rsidR="00532D92" w:rsidRPr="004F2200" w:rsidRDefault="00532D92" w:rsidP="00216459">
      <w:pPr>
        <w:pStyle w:val="Prrafodelista"/>
        <w:numPr>
          <w:ilvl w:val="0"/>
          <w:numId w:val="1"/>
        </w:numPr>
        <w:spacing w:before="240" w:after="240" w:line="360" w:lineRule="auto"/>
        <w:contextualSpacing/>
        <w:jc w:val="both"/>
        <w:rPr>
          <w:rFonts w:ascii="Palatino Linotype" w:hAnsi="Palatino Linotype"/>
          <w:b/>
          <w:i/>
          <w:color w:val="000000" w:themeColor="text1"/>
          <w:sz w:val="20"/>
          <w:szCs w:val="20"/>
        </w:rPr>
      </w:pPr>
      <w:r w:rsidRPr="004F2200">
        <w:rPr>
          <w:rFonts w:ascii="Palatino Linotype" w:hAnsi="Palatino Linotype"/>
          <w:b/>
          <w:i/>
          <w:color w:val="000000" w:themeColor="text1"/>
          <w:sz w:val="20"/>
          <w:szCs w:val="20"/>
        </w:rPr>
        <w:t>RECURSO DE RECLAMACIÓN. SU INTERPOSICIÓN NO ES EXTEMPORÁNEA SI SE REALIZA ANTES DE QUE INICIE EL PLAZO PARA HACERLO.</w:t>
      </w:r>
      <w:r w:rsidRPr="004F2200">
        <w:rPr>
          <w:rStyle w:val="Refdenotaalpie"/>
          <w:rFonts w:ascii="Palatino Linotype" w:hAnsi="Palatino Linotype"/>
          <w:b/>
          <w:i/>
          <w:color w:val="000000" w:themeColor="text1"/>
          <w:sz w:val="20"/>
          <w:szCs w:val="20"/>
        </w:rPr>
        <w:t xml:space="preserve"> </w:t>
      </w:r>
      <w:r w:rsidRPr="004F2200">
        <w:rPr>
          <w:rStyle w:val="Refdenotaalpie"/>
          <w:rFonts w:ascii="Palatino Linotype" w:hAnsi="Palatino Linotype"/>
          <w:b/>
          <w:i/>
          <w:color w:val="000000" w:themeColor="text1"/>
          <w:sz w:val="20"/>
          <w:szCs w:val="20"/>
        </w:rPr>
        <w:footnoteReference w:id="1"/>
      </w:r>
    </w:p>
    <w:p w14:paraId="467B5F49" w14:textId="77777777" w:rsidR="00532D92" w:rsidRPr="004F2200" w:rsidRDefault="00532D92" w:rsidP="00216459">
      <w:pPr>
        <w:pStyle w:val="Prrafodelista"/>
        <w:numPr>
          <w:ilvl w:val="0"/>
          <w:numId w:val="1"/>
        </w:numPr>
        <w:spacing w:before="240" w:after="240" w:line="360" w:lineRule="auto"/>
        <w:contextualSpacing/>
        <w:jc w:val="both"/>
        <w:rPr>
          <w:rFonts w:ascii="Palatino Linotype" w:hAnsi="Palatino Linotype"/>
          <w:b/>
          <w:i/>
          <w:color w:val="000000" w:themeColor="text1"/>
          <w:sz w:val="20"/>
          <w:szCs w:val="20"/>
        </w:rPr>
      </w:pPr>
      <w:r w:rsidRPr="004F2200">
        <w:rPr>
          <w:rFonts w:ascii="Palatino Linotype" w:hAnsi="Palatino Linotype"/>
          <w:b/>
          <w:i/>
          <w:color w:val="000000" w:themeColor="text1"/>
          <w:sz w:val="20"/>
          <w:szCs w:val="20"/>
        </w:rPr>
        <w:t xml:space="preserve">RECURSO DE REVISIÓN EN EL JUICIO DE AMPARO. SU INTERPOSICIÓN RESULTA OPORTUNA AUN CUANDO OCURRA ANTES DE QUE INICIE EL CÓMPUTO DEL PLAZO RESPECTIVO. </w:t>
      </w:r>
      <w:r w:rsidRPr="004F2200">
        <w:rPr>
          <w:rStyle w:val="Refdenotaalpie"/>
          <w:rFonts w:ascii="Palatino Linotype" w:hAnsi="Palatino Linotype"/>
          <w:b/>
          <w:i/>
          <w:color w:val="000000" w:themeColor="text1"/>
          <w:sz w:val="20"/>
          <w:szCs w:val="20"/>
        </w:rPr>
        <w:footnoteReference w:id="2"/>
      </w:r>
    </w:p>
    <w:p w14:paraId="06033FE0" w14:textId="77777777" w:rsidR="00532D92" w:rsidRPr="004F2200" w:rsidRDefault="00532D92" w:rsidP="00532D92">
      <w:p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En conclusión, el medio de impugnación es procedente, aún y cuando se haya interpuesto el mismo día en que recibió la notificación de la respuesta, porque no hay impedimento legal al respecto; por lo tanto, se debe proceder al análisis de fondo hasta su resolución.</w:t>
      </w:r>
    </w:p>
    <w:p w14:paraId="45B62B5F" w14:textId="77777777" w:rsidR="00532D92" w:rsidRPr="004F2200" w:rsidRDefault="00532D92" w:rsidP="00532D92">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En ese sentido, al considerar la fecha en que se formuló la solicitud y la fecha en la que respondió a ésta el </w:t>
      </w:r>
      <w:r w:rsidRPr="004F2200">
        <w:rPr>
          <w:rFonts w:ascii="Palatino Linotype" w:hAnsi="Palatino Linotype" w:cs="Arial"/>
          <w:b/>
          <w:color w:val="000000" w:themeColor="text1"/>
        </w:rPr>
        <w:t>Sujeto Obligado</w:t>
      </w:r>
      <w:r w:rsidRPr="004F2200">
        <w:rPr>
          <w:rFonts w:ascii="Palatino Linotype" w:hAnsi="Palatino Linotype" w:cs="Arial"/>
          <w:color w:val="000000" w:themeColor="text1"/>
        </w:rPr>
        <w:t>; así como, en la que se interpuso el recurso de revisión, éste se encuentra dentro de los márgenes temporales previstos en el citado precepto legal.</w:t>
      </w:r>
    </w:p>
    <w:p w14:paraId="23AF358B" w14:textId="115A1875" w:rsidR="007C74F2" w:rsidRPr="004F2200" w:rsidRDefault="007C74F2" w:rsidP="007C74F2">
      <w:pPr>
        <w:pStyle w:val="Prrafodelista"/>
        <w:widowControl w:val="0"/>
        <w:autoSpaceDE w:val="0"/>
        <w:autoSpaceDN w:val="0"/>
        <w:adjustRightInd w:val="0"/>
        <w:spacing w:before="120" w:after="120" w:line="360" w:lineRule="auto"/>
        <w:ind w:left="0"/>
        <w:jc w:val="both"/>
        <w:rPr>
          <w:rStyle w:val="normaltextrun"/>
          <w:rFonts w:ascii="Palatino Linotype" w:hAnsi="Palatino Linotype" w:cs="Arial"/>
          <w:color w:val="000000" w:themeColor="text1"/>
        </w:rPr>
      </w:pPr>
      <w:r w:rsidRPr="004F2200">
        <w:rPr>
          <w:rFonts w:ascii="Palatino Linotype" w:hAnsi="Palatino Linotype" w:cs="Arial"/>
          <w:color w:val="000000" w:themeColor="text1"/>
        </w:rPr>
        <w:t xml:space="preserve">Por ende, se concluye la acreditación plena de todos y cada uno de los elementos formales exigidos por el artículo 180 de la </w:t>
      </w:r>
      <w:r w:rsidRPr="004F2200">
        <w:rPr>
          <w:rFonts w:ascii="Palatino Linotype" w:hAnsi="Palatino Linotype" w:cs="Arial"/>
          <w:color w:val="000000" w:themeColor="text1"/>
          <w:lang w:val="es-MX"/>
        </w:rPr>
        <w:t>Ley de Transparencia y Acceso a la Información Pública del Estado de México y Municipios</w:t>
      </w:r>
      <w:r w:rsidRPr="004F2200">
        <w:rPr>
          <w:rStyle w:val="normaltextrun"/>
          <w:rFonts w:ascii="Palatino Linotype" w:hAnsi="Palatino Linotype" w:cs="Segoe UI"/>
          <w:color w:val="000000" w:themeColor="text1"/>
        </w:rPr>
        <w:t xml:space="preserve">, pues resulta que se actualiza lo previsto en los artículos 176 y </w:t>
      </w:r>
      <w:r w:rsidRPr="004F2200">
        <w:rPr>
          <w:rStyle w:val="apple-converted-space"/>
          <w:rFonts w:ascii="Palatino Linotype" w:eastAsiaTheme="minorHAnsi" w:hAnsi="Palatino Linotype" w:cs="Segoe UI"/>
          <w:color w:val="000000" w:themeColor="text1"/>
        </w:rPr>
        <w:t xml:space="preserve"> 179 </w:t>
      </w:r>
      <w:r w:rsidR="00A02992" w:rsidRPr="004F2200">
        <w:rPr>
          <w:rStyle w:val="normaltextrun"/>
          <w:rFonts w:ascii="Palatino Linotype" w:hAnsi="Palatino Linotype" w:cs="Segoe UI"/>
          <w:color w:val="000000" w:themeColor="text1"/>
        </w:rPr>
        <w:t>fracción V</w:t>
      </w:r>
      <w:r w:rsidRPr="004F2200">
        <w:rPr>
          <w:rStyle w:val="normaltextrun"/>
          <w:rFonts w:ascii="Palatino Linotype" w:hAnsi="Palatino Linotype" w:cs="Segoe UI"/>
          <w:color w:val="000000" w:themeColor="text1"/>
        </w:rPr>
        <w:t xml:space="preserve"> del ordenamiento legal citado conforme a los argumentos vertidos por el particular, que son de tenor literal siguiente:</w:t>
      </w:r>
    </w:p>
    <w:p w14:paraId="1EB79A6D" w14:textId="13A5DA6F" w:rsidR="00AC17F2" w:rsidRPr="004F2200" w:rsidRDefault="007C74F2" w:rsidP="007C74F2">
      <w:pPr>
        <w:autoSpaceDE w:val="0"/>
        <w:autoSpaceDN w:val="0"/>
        <w:adjustRightInd w:val="0"/>
        <w:spacing w:after="120"/>
        <w:ind w:left="851" w:right="902"/>
        <w:jc w:val="both"/>
        <w:rPr>
          <w:rStyle w:val="normaltextrun"/>
          <w:rFonts w:ascii="Palatino Linotype" w:hAnsi="Palatino Linotype" w:cs="Segoe UI"/>
          <w:bCs/>
          <w:i/>
          <w:color w:val="000000" w:themeColor="text1"/>
          <w:sz w:val="20"/>
          <w:szCs w:val="20"/>
        </w:rPr>
      </w:pPr>
      <w:r w:rsidRPr="004F2200">
        <w:rPr>
          <w:rStyle w:val="normaltextrun"/>
          <w:rFonts w:ascii="Palatino Linotype" w:hAnsi="Palatino Linotype" w:cs="Segoe UI"/>
          <w:b/>
          <w:bCs/>
          <w:i/>
          <w:iCs/>
          <w:color w:val="000000" w:themeColor="text1"/>
          <w:sz w:val="20"/>
          <w:szCs w:val="20"/>
        </w:rPr>
        <w:t xml:space="preserve"> </w:t>
      </w:r>
      <w:r w:rsidR="00055938" w:rsidRPr="004F2200">
        <w:rPr>
          <w:rStyle w:val="normaltextrun"/>
          <w:rFonts w:ascii="Palatino Linotype" w:hAnsi="Palatino Linotype" w:cs="Segoe UI"/>
          <w:b/>
          <w:bCs/>
          <w:i/>
          <w:iCs/>
          <w:color w:val="000000" w:themeColor="text1"/>
          <w:sz w:val="20"/>
          <w:szCs w:val="20"/>
        </w:rPr>
        <w:t>“</w:t>
      </w:r>
      <w:r w:rsidR="00055938" w:rsidRPr="004F2200">
        <w:rPr>
          <w:rStyle w:val="normaltextrun"/>
          <w:rFonts w:ascii="Palatino Linotype" w:hAnsi="Palatino Linotype" w:cs="Segoe UI"/>
          <w:b/>
          <w:bCs/>
          <w:i/>
          <w:color w:val="000000" w:themeColor="text1"/>
          <w:sz w:val="20"/>
          <w:szCs w:val="20"/>
        </w:rPr>
        <w:t xml:space="preserve">Artículo </w:t>
      </w:r>
      <w:r w:rsidR="00AC17F2" w:rsidRPr="004F2200">
        <w:rPr>
          <w:rStyle w:val="normaltextrun"/>
          <w:rFonts w:ascii="Palatino Linotype" w:hAnsi="Palatino Linotype" w:cs="Segoe UI"/>
          <w:b/>
          <w:bCs/>
          <w:i/>
          <w:color w:val="000000" w:themeColor="text1"/>
          <w:sz w:val="20"/>
          <w:szCs w:val="20"/>
        </w:rPr>
        <w:t xml:space="preserve">176. </w:t>
      </w:r>
      <w:r w:rsidR="00AC17F2" w:rsidRPr="004F2200">
        <w:rPr>
          <w:rStyle w:val="normaltextrun"/>
          <w:rFonts w:ascii="Palatino Linotype" w:hAnsi="Palatino Linotype" w:cs="Segoe UI"/>
          <w:bCs/>
          <w:i/>
          <w:color w:val="000000" w:themeColor="text1"/>
          <w:sz w:val="20"/>
          <w:szCs w:val="20"/>
        </w:rPr>
        <w:t>El recurso de revisión  es la garantía secundaria mediante la cual se pretende reparar cualquier posible afectación al derecho de acceso a la información pública en términos del presente y siguiente Capítulo.</w:t>
      </w:r>
    </w:p>
    <w:p w14:paraId="6C8B6E7B" w14:textId="5DA1AC36" w:rsidR="00055938" w:rsidRPr="004F2200" w:rsidRDefault="00AC17F2" w:rsidP="00532D92">
      <w:pPr>
        <w:autoSpaceDE w:val="0"/>
        <w:autoSpaceDN w:val="0"/>
        <w:adjustRightInd w:val="0"/>
        <w:spacing w:after="120"/>
        <w:ind w:left="851" w:right="902"/>
        <w:jc w:val="both"/>
        <w:rPr>
          <w:rStyle w:val="eop"/>
          <w:rFonts w:ascii="Palatino Linotype" w:eastAsiaTheme="majorEastAsia" w:hAnsi="Palatino Linotype" w:cs="Segoe UI"/>
          <w:i/>
          <w:color w:val="000000" w:themeColor="text1"/>
          <w:sz w:val="20"/>
          <w:szCs w:val="20"/>
        </w:rPr>
      </w:pPr>
      <w:r w:rsidRPr="004F2200">
        <w:rPr>
          <w:rStyle w:val="normaltextrun"/>
          <w:rFonts w:ascii="Palatino Linotype" w:hAnsi="Palatino Linotype" w:cs="Segoe UI"/>
          <w:b/>
          <w:bCs/>
          <w:i/>
          <w:color w:val="000000" w:themeColor="text1"/>
          <w:sz w:val="20"/>
          <w:szCs w:val="20"/>
        </w:rPr>
        <w:t xml:space="preserve">Artículo </w:t>
      </w:r>
      <w:r w:rsidR="00055938" w:rsidRPr="004F2200">
        <w:rPr>
          <w:rStyle w:val="normaltextrun"/>
          <w:rFonts w:ascii="Palatino Linotype" w:hAnsi="Palatino Linotype" w:cs="Segoe UI"/>
          <w:b/>
          <w:bCs/>
          <w:i/>
          <w:color w:val="000000" w:themeColor="text1"/>
          <w:sz w:val="20"/>
          <w:szCs w:val="20"/>
        </w:rPr>
        <w:t>179</w:t>
      </w:r>
      <w:r w:rsidR="00055938" w:rsidRPr="004F2200">
        <w:rPr>
          <w:rStyle w:val="normaltextrun"/>
          <w:rFonts w:ascii="Palatino Linotype" w:hAnsi="Palatino Linotype" w:cs="Segoe UI"/>
          <w:b/>
          <w:bCs/>
          <w:color w:val="000000" w:themeColor="text1"/>
          <w:sz w:val="20"/>
          <w:szCs w:val="20"/>
        </w:rPr>
        <w:t>.-</w:t>
      </w:r>
      <w:r w:rsidR="00055938" w:rsidRPr="004F2200">
        <w:rPr>
          <w:rFonts w:ascii="Bookman Old Style" w:eastAsiaTheme="minorEastAsia" w:hAnsi="Bookman Old Style" w:cs="Bookman Old Style"/>
          <w:color w:val="000000" w:themeColor="text1"/>
          <w:sz w:val="20"/>
          <w:szCs w:val="20"/>
          <w:lang w:val="es-MX"/>
        </w:rPr>
        <w:t xml:space="preserve"> </w:t>
      </w:r>
      <w:r w:rsidR="00055938" w:rsidRPr="004F2200">
        <w:rPr>
          <w:rFonts w:ascii="Palatino Linotype" w:eastAsiaTheme="minorEastAsia" w:hAnsi="Palatino Linotype" w:cs="Bookman Old Style"/>
          <w:i/>
          <w:color w:val="000000" w:themeColor="text1"/>
          <w:sz w:val="20"/>
          <w:szCs w:val="20"/>
          <w:lang w:val="es-MX"/>
        </w:rPr>
        <w:t>El recurso de revisión es un medio de protección que la Ley otorga a los particulares, para hacer valer su derecho de acceso a la información pública, y procederá en contra de las siguientes causas:</w:t>
      </w:r>
    </w:p>
    <w:p w14:paraId="6295E9EC" w14:textId="77777777" w:rsidR="006A737B" w:rsidRPr="004F2200" w:rsidRDefault="006A737B" w:rsidP="00532D92">
      <w:pPr>
        <w:autoSpaceDE w:val="0"/>
        <w:autoSpaceDN w:val="0"/>
        <w:adjustRightInd w:val="0"/>
        <w:spacing w:after="120"/>
        <w:ind w:left="1134" w:right="941"/>
        <w:rPr>
          <w:rFonts w:ascii="Palatino Linotype" w:eastAsiaTheme="minorEastAsia" w:hAnsi="Palatino Linotype" w:cs="Bookman Old Style,Bold"/>
          <w:b/>
          <w:bCs/>
          <w:i/>
          <w:color w:val="000000" w:themeColor="text1"/>
          <w:sz w:val="20"/>
          <w:szCs w:val="20"/>
          <w:lang w:val="es-MX"/>
        </w:rPr>
      </w:pPr>
      <w:r w:rsidRPr="004F2200">
        <w:rPr>
          <w:rFonts w:ascii="Palatino Linotype" w:eastAsiaTheme="minorEastAsia" w:hAnsi="Palatino Linotype" w:cs="Bookman Old Style,Bold"/>
          <w:b/>
          <w:bCs/>
          <w:i/>
          <w:color w:val="000000" w:themeColor="text1"/>
          <w:sz w:val="20"/>
          <w:szCs w:val="20"/>
          <w:lang w:val="es-MX"/>
        </w:rPr>
        <w:t>(…)</w:t>
      </w:r>
    </w:p>
    <w:p w14:paraId="3C1A49C3" w14:textId="09B44CB8" w:rsidR="00055938" w:rsidRPr="004F2200" w:rsidRDefault="00E501D4" w:rsidP="00E501D4">
      <w:pPr>
        <w:pStyle w:val="paragraph"/>
        <w:spacing w:before="120" w:beforeAutospacing="0" w:after="120" w:afterAutospacing="0" w:line="360" w:lineRule="auto"/>
        <w:ind w:left="1134" w:right="1041"/>
        <w:jc w:val="both"/>
        <w:textAlignment w:val="baseline"/>
        <w:rPr>
          <w:rFonts w:ascii="Palatino Linotype" w:eastAsiaTheme="minorEastAsia" w:hAnsi="Palatino Linotype" w:cs="Bookman Old Style"/>
          <w:b/>
          <w:i/>
          <w:color w:val="000000" w:themeColor="text1"/>
          <w:sz w:val="20"/>
          <w:szCs w:val="20"/>
        </w:rPr>
      </w:pPr>
      <w:r w:rsidRPr="004F2200">
        <w:rPr>
          <w:rStyle w:val="eop"/>
          <w:rFonts w:ascii="Palatino Linotype" w:eastAsiaTheme="majorEastAsia" w:hAnsi="Palatino Linotype" w:cs="Segoe UI"/>
          <w:b/>
          <w:i/>
          <w:color w:val="000000" w:themeColor="text1"/>
          <w:sz w:val="22"/>
          <w:szCs w:val="22"/>
        </w:rPr>
        <w:t>V. La entrega de información incompleta;</w:t>
      </w:r>
      <w:r w:rsidR="00055938" w:rsidRPr="004F2200">
        <w:rPr>
          <w:rFonts w:ascii="Palatino Linotype" w:eastAsiaTheme="minorEastAsia" w:hAnsi="Palatino Linotype" w:cs="Bookman Old Style"/>
          <w:i/>
          <w:color w:val="000000" w:themeColor="text1"/>
          <w:sz w:val="20"/>
          <w:szCs w:val="20"/>
        </w:rPr>
        <w:t>…”</w:t>
      </w:r>
    </w:p>
    <w:p w14:paraId="3E747BF4" w14:textId="553C8DE7" w:rsidR="008D033C" w:rsidRPr="004F2200" w:rsidRDefault="007C74F2" w:rsidP="008D033C">
      <w:pPr>
        <w:spacing w:before="240" w:after="240" w:line="360" w:lineRule="auto"/>
        <w:jc w:val="both"/>
        <w:rPr>
          <w:rFonts w:ascii="Palatino Linotype" w:hAnsi="Palatino Linotype" w:cs="Arial"/>
          <w:color w:val="000000" w:themeColor="text1"/>
          <w:lang w:val="es-MX"/>
        </w:rPr>
      </w:pPr>
      <w:r w:rsidRPr="004F2200">
        <w:rPr>
          <w:rFonts w:ascii="Palatino Linotype" w:hAnsi="Palatino Linotype" w:cs="Arial"/>
          <w:color w:val="000000" w:themeColor="text1"/>
        </w:rPr>
        <w:t>E</w:t>
      </w:r>
      <w:r w:rsidR="00AC17F2" w:rsidRPr="004F2200">
        <w:rPr>
          <w:rFonts w:ascii="Palatino Linotype" w:hAnsi="Palatino Linotype" w:cs="Arial"/>
          <w:color w:val="000000" w:themeColor="text1"/>
          <w:lang w:val="es-MX"/>
        </w:rPr>
        <w:t>n consecuencia resulta conforme a derecho entrar al estudio de fondo y resolver el presente medio de impugnación.</w:t>
      </w:r>
    </w:p>
    <w:p w14:paraId="2F1FFCB1" w14:textId="77777777" w:rsidR="004716C4" w:rsidRPr="004F2200" w:rsidRDefault="004716C4" w:rsidP="004716C4">
      <w:pPr>
        <w:pStyle w:val="paragraph"/>
        <w:spacing w:before="240" w:beforeAutospacing="0" w:after="240" w:afterAutospacing="0" w:line="360" w:lineRule="auto"/>
        <w:jc w:val="both"/>
        <w:textAlignment w:val="baseline"/>
        <w:rPr>
          <w:rFonts w:ascii="Palatino Linotype" w:hAnsi="Palatino Linotype" w:cs="Arial"/>
          <w:b/>
          <w:color w:val="000000" w:themeColor="text1"/>
          <w:sz w:val="28"/>
          <w:szCs w:val="28"/>
        </w:rPr>
      </w:pPr>
      <w:r w:rsidRPr="004F2200">
        <w:rPr>
          <w:rFonts w:ascii="Palatino Linotype" w:hAnsi="Palatino Linotype" w:cs="Arial"/>
          <w:b/>
          <w:color w:val="000000" w:themeColor="text1"/>
          <w:sz w:val="28"/>
          <w:szCs w:val="28"/>
        </w:rPr>
        <w:t>TERCERO. Materia de la Revisión.</w:t>
      </w:r>
    </w:p>
    <w:p w14:paraId="53D68A14" w14:textId="01DEFCF6" w:rsidR="00041BCD" w:rsidRPr="004F2200" w:rsidRDefault="00AC17F2" w:rsidP="004716C4">
      <w:p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 xml:space="preserve">Por lo que una vez realizado el análisis de las constancias que integran el expediente en que se actúa, se desprende que la resolución consiste en determinar </w:t>
      </w:r>
      <w:r w:rsidR="00900226" w:rsidRPr="004F2200">
        <w:rPr>
          <w:rFonts w:ascii="Palatino Linotype" w:hAnsi="Palatino Linotype"/>
          <w:color w:val="000000" w:themeColor="text1"/>
        </w:rPr>
        <w:t>si</w:t>
      </w:r>
      <w:r w:rsidRPr="004F2200">
        <w:rPr>
          <w:rFonts w:ascii="Palatino Linotype" w:hAnsi="Palatino Linotype"/>
          <w:color w:val="000000" w:themeColor="text1"/>
        </w:rPr>
        <w:t xml:space="preserve"> la respuesta emitida por </w:t>
      </w:r>
      <w:r w:rsidR="00443FE0" w:rsidRPr="004F2200">
        <w:rPr>
          <w:rFonts w:ascii="Palatino Linotype" w:hAnsi="Palatino Linotype"/>
          <w:color w:val="000000" w:themeColor="text1"/>
        </w:rPr>
        <w:t>el</w:t>
      </w:r>
      <w:r w:rsidRPr="004F2200">
        <w:rPr>
          <w:rFonts w:ascii="Palatino Linotype" w:hAnsi="Palatino Linotype"/>
          <w:color w:val="000000" w:themeColor="text1"/>
        </w:rPr>
        <w:t xml:space="preserve"> </w:t>
      </w:r>
      <w:r w:rsidR="004E1A77" w:rsidRPr="004F2200">
        <w:rPr>
          <w:rFonts w:ascii="Palatino Linotype" w:hAnsi="Palatino Linotype"/>
          <w:color w:val="000000" w:themeColor="text1"/>
        </w:rPr>
        <w:t>Tribunal de Justicia Administrativa del Estado de México</w:t>
      </w:r>
      <w:r w:rsidRPr="004F2200">
        <w:rPr>
          <w:rFonts w:ascii="Palatino Linotype" w:hAnsi="Palatino Linotype"/>
          <w:color w:val="000000" w:themeColor="text1"/>
        </w:rPr>
        <w:t xml:space="preserve"> transgredió el derecho de acceso a la información pública del ahora </w:t>
      </w:r>
      <w:r w:rsidRPr="004F2200">
        <w:rPr>
          <w:rFonts w:ascii="Palatino Linotype" w:hAnsi="Palatino Linotype"/>
          <w:b/>
          <w:i/>
          <w:color w:val="000000" w:themeColor="text1"/>
        </w:rPr>
        <w:t xml:space="preserve">Recurrente </w:t>
      </w:r>
      <w:r w:rsidRPr="004F2200">
        <w:rPr>
          <w:rFonts w:ascii="Palatino Linotype" w:hAnsi="Palatino Linotype"/>
          <w:color w:val="000000" w:themeColor="text1"/>
        </w:rPr>
        <w:t>y, en su caso, resolver si resulta procedente ordenar la entrega de la información solicitada, de conformidad con lo dispuesto por la Ley de Transparencia y Acceso a la Información Pública del Estado de México y Municipios.</w:t>
      </w:r>
    </w:p>
    <w:p w14:paraId="3A37A954" w14:textId="77777777" w:rsidR="00947F35" w:rsidRPr="004F2200" w:rsidRDefault="00947F35" w:rsidP="00947F35">
      <w:pPr>
        <w:autoSpaceDE w:val="0"/>
        <w:autoSpaceDN w:val="0"/>
        <w:adjustRightInd w:val="0"/>
        <w:spacing w:before="240" w:after="240" w:line="360" w:lineRule="auto"/>
        <w:jc w:val="both"/>
        <w:rPr>
          <w:rFonts w:ascii="Palatino Linotype" w:hAnsi="Palatino Linotype" w:cs="Arial"/>
          <w:b/>
          <w:color w:val="000000" w:themeColor="text1"/>
          <w:sz w:val="28"/>
        </w:rPr>
      </w:pPr>
      <w:r w:rsidRPr="004F2200">
        <w:rPr>
          <w:rFonts w:ascii="Palatino Linotype" w:hAnsi="Palatino Linotype" w:cs="Arial"/>
          <w:b/>
          <w:color w:val="000000" w:themeColor="text1"/>
          <w:sz w:val="28"/>
        </w:rPr>
        <w:t>CUARTO.- Estudio del Asunto.</w:t>
      </w:r>
    </w:p>
    <w:p w14:paraId="1B37AD5B" w14:textId="107B8706" w:rsidR="00AC46E5" w:rsidRPr="004F2200" w:rsidRDefault="006240A2" w:rsidP="00947F35">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Formuladas la</w:t>
      </w:r>
      <w:r w:rsidR="00217AF2" w:rsidRPr="004F2200">
        <w:rPr>
          <w:rFonts w:ascii="Palatino Linotype" w:hAnsi="Palatino Linotype" w:cs="Arial"/>
          <w:color w:val="000000" w:themeColor="text1"/>
        </w:rPr>
        <w:t>s</w:t>
      </w:r>
      <w:r w:rsidRPr="004F2200">
        <w:rPr>
          <w:rFonts w:ascii="Palatino Linotype" w:hAnsi="Palatino Linotype" w:cs="Arial"/>
          <w:color w:val="000000" w:themeColor="text1"/>
        </w:rPr>
        <w:t xml:space="preserve"> precisiones que anteceden, se procede a analizar las razones y fundamentos de orden jurídico nacional y estatal que soportan la decisión de este Órgano Garante con base en los motivos de inconformidad del </w:t>
      </w:r>
      <w:r w:rsidR="00CA3918" w:rsidRPr="004F2200">
        <w:rPr>
          <w:rFonts w:ascii="Palatino Linotype" w:hAnsi="Palatino Linotype" w:cs="Arial"/>
          <w:b/>
          <w:i/>
          <w:color w:val="000000" w:themeColor="text1"/>
        </w:rPr>
        <w:t xml:space="preserve">Recurrente </w:t>
      </w:r>
      <w:r w:rsidR="00CA3918" w:rsidRPr="004F2200">
        <w:rPr>
          <w:rFonts w:ascii="Palatino Linotype" w:hAnsi="Palatino Linotype" w:cs="Arial"/>
          <w:color w:val="000000" w:themeColor="text1"/>
        </w:rPr>
        <w:t>y</w:t>
      </w:r>
      <w:r w:rsidRPr="004F2200">
        <w:rPr>
          <w:rFonts w:ascii="Palatino Linotype" w:hAnsi="Palatino Linotype" w:cs="Arial"/>
          <w:b/>
          <w:i/>
          <w:color w:val="000000" w:themeColor="text1"/>
        </w:rPr>
        <w:t xml:space="preserve"> </w:t>
      </w:r>
      <w:r w:rsidRPr="004F2200">
        <w:rPr>
          <w:rFonts w:ascii="Palatino Linotype" w:hAnsi="Palatino Linotype" w:cs="Arial"/>
          <w:color w:val="000000" w:themeColor="text1"/>
        </w:rPr>
        <w:t xml:space="preserve">los argumentos del </w:t>
      </w:r>
      <w:r w:rsidRPr="004F2200">
        <w:rPr>
          <w:rFonts w:ascii="Palatino Linotype" w:hAnsi="Palatino Linotype" w:cs="Arial"/>
          <w:b/>
          <w:color w:val="000000" w:themeColor="text1"/>
        </w:rPr>
        <w:t>Sujeto Obligado</w:t>
      </w:r>
      <w:r w:rsidR="00CA3918" w:rsidRPr="004F2200">
        <w:rPr>
          <w:rFonts w:ascii="Palatino Linotype" w:hAnsi="Palatino Linotype" w:cs="Arial"/>
          <w:b/>
          <w:color w:val="000000" w:themeColor="text1"/>
        </w:rPr>
        <w:t>,</w:t>
      </w:r>
      <w:r w:rsidRPr="004F2200">
        <w:rPr>
          <w:rFonts w:ascii="Palatino Linotype" w:hAnsi="Palatino Linotype" w:cs="Arial"/>
          <w:b/>
          <w:color w:val="000000" w:themeColor="text1"/>
        </w:rPr>
        <w:t xml:space="preserve"> </w:t>
      </w:r>
      <w:r w:rsidRPr="004F2200">
        <w:rPr>
          <w:rFonts w:ascii="Palatino Linotype" w:hAnsi="Palatino Linotype" w:cs="Arial"/>
          <w:color w:val="000000" w:themeColor="text1"/>
        </w:rPr>
        <w:t>a fin de determinar si la respuesta contraviene las disposiciones y principios normativos que hacen operante el ejercicio del derecho de acceso a la información pública</w:t>
      </w:r>
      <w:r w:rsidR="00AC46E5" w:rsidRPr="004F2200">
        <w:rPr>
          <w:rFonts w:ascii="Palatino Linotype" w:hAnsi="Palatino Linotype" w:cs="Arial"/>
          <w:color w:val="000000" w:themeColor="text1"/>
        </w:rPr>
        <w:t>.</w:t>
      </w:r>
    </w:p>
    <w:p w14:paraId="03D08905" w14:textId="77777777" w:rsidR="006240A2" w:rsidRPr="004F2200" w:rsidRDefault="006240A2" w:rsidP="006240A2">
      <w:pPr>
        <w:spacing w:before="240" w:after="240" w:line="360" w:lineRule="auto"/>
        <w:jc w:val="both"/>
        <w:rPr>
          <w:rFonts w:ascii="Palatino Linotype" w:hAnsi="Palatino Linotype"/>
          <w:color w:val="000000" w:themeColor="text1"/>
        </w:rPr>
      </w:pPr>
      <w:r w:rsidRPr="004F2200">
        <w:rPr>
          <w:rFonts w:ascii="Palatino Linotype" w:hAnsi="Palatino Linotype" w:cs="Arial"/>
          <w:color w:val="000000" w:themeColor="text1"/>
        </w:rPr>
        <w:t xml:space="preserve">De la lectura al artículo 6 de la Constitución Política de los Estados Unidos Mexicanos y al diverso 5 de la Constitución Política del Estado Libre y Soberano de México, se tiene que el derecho de acceso a la información pública se traduce </w:t>
      </w:r>
      <w:r w:rsidRPr="004F2200">
        <w:rPr>
          <w:rFonts w:ascii="Palatino Linotype" w:hAnsi="Palatino Linotype"/>
          <w:color w:val="000000" w:themeColor="text1"/>
        </w:rPr>
        <w:t>en la facultad que tiene todas las personas de solicitar, investigar, difundir, buscar y recibir información en posesión de cualquier entidad, órgano u organismos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p>
    <w:p w14:paraId="722529C1" w14:textId="77777777" w:rsidR="006240A2" w:rsidRPr="004F2200" w:rsidRDefault="006240A2" w:rsidP="006240A2">
      <w:p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Por su parte, el artículo 4 de la Ley de Transparencia y Acceso a la Información Pública del Estado de México y Municipios establece que toda la información generada, obtenida, adquirida, transformada o en posesión de los sujetos obligados es pública y sólo podrá ser clasificada como reservada temporalmente por razones de interés público</w:t>
      </w:r>
      <w:r w:rsidRPr="004F2200">
        <w:rPr>
          <w:rStyle w:val="Refdenotaalpie"/>
          <w:rFonts w:ascii="Palatino Linotype" w:hAnsi="Palatino Linotype"/>
          <w:color w:val="000000" w:themeColor="text1"/>
        </w:rPr>
        <w:footnoteReference w:id="3"/>
      </w:r>
      <w:r w:rsidRPr="004F2200">
        <w:rPr>
          <w:rFonts w:ascii="Palatino Linotype" w:hAnsi="Palatino Linotype"/>
          <w:color w:val="000000" w:themeColor="text1"/>
        </w:rPr>
        <w:t>.</w:t>
      </w:r>
    </w:p>
    <w:p w14:paraId="7C14C960" w14:textId="1E796977" w:rsidR="00CD19BF" w:rsidRPr="004F2200" w:rsidRDefault="006240A2" w:rsidP="00947F35">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Bajo este contexto, cabe</w:t>
      </w:r>
      <w:r w:rsidR="00676EF6" w:rsidRPr="004F2200">
        <w:rPr>
          <w:rFonts w:ascii="Palatino Linotype" w:hAnsi="Palatino Linotype" w:cs="Arial"/>
          <w:color w:val="000000" w:themeColor="text1"/>
        </w:rPr>
        <w:t xml:space="preserve"> recordar que </w:t>
      </w:r>
      <w:r w:rsidR="004D1BDE" w:rsidRPr="004F2200">
        <w:rPr>
          <w:rFonts w:ascii="Palatino Linotype" w:hAnsi="Palatino Linotype" w:cs="Arial"/>
          <w:color w:val="000000" w:themeColor="text1"/>
        </w:rPr>
        <w:t>el</w:t>
      </w:r>
      <w:r w:rsidRPr="004F2200">
        <w:rPr>
          <w:rFonts w:ascii="Palatino Linotype" w:hAnsi="Palatino Linotype" w:cs="Arial"/>
          <w:color w:val="000000" w:themeColor="text1"/>
        </w:rPr>
        <w:t xml:space="preserve"> particular solicitó al </w:t>
      </w:r>
      <w:r w:rsidR="004E1A77" w:rsidRPr="004F2200">
        <w:rPr>
          <w:rFonts w:ascii="Palatino Linotype" w:hAnsi="Palatino Linotype" w:cs="Arial"/>
          <w:color w:val="000000" w:themeColor="text1"/>
        </w:rPr>
        <w:t>Tribunal de Justicia Administrativa del Estado de México</w:t>
      </w:r>
      <w:r w:rsidR="00CD19BF" w:rsidRPr="004F2200">
        <w:rPr>
          <w:rFonts w:ascii="Palatino Linotype" w:hAnsi="Palatino Linotype" w:cs="Arial"/>
          <w:color w:val="000000" w:themeColor="text1"/>
        </w:rPr>
        <w:t>:</w:t>
      </w:r>
    </w:p>
    <w:p w14:paraId="7C09D4FB" w14:textId="77777777" w:rsidR="00CD19BF" w:rsidRPr="004F2200" w:rsidRDefault="00CD19BF" w:rsidP="00216459">
      <w:pPr>
        <w:pStyle w:val="Prrafodelista"/>
        <w:numPr>
          <w:ilvl w:val="0"/>
          <w:numId w:val="3"/>
        </w:num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Las documentales que se hayan generado con motivo de la comparecencia del dieciocho de junio de dos mil dieciocho en la Cuarta Sala Regional mediante la cual se le entregó un cheque y rechazo bancario.</w:t>
      </w:r>
    </w:p>
    <w:p w14:paraId="0B6DB6DC" w14:textId="77777777" w:rsidR="00CD19BF" w:rsidRPr="004F2200" w:rsidRDefault="00CD19BF" w:rsidP="00216459">
      <w:pPr>
        <w:pStyle w:val="Prrafodelista"/>
        <w:numPr>
          <w:ilvl w:val="0"/>
          <w:numId w:val="3"/>
        </w:num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Copia del cheque y rechazo bancario.</w:t>
      </w:r>
    </w:p>
    <w:p w14:paraId="557749C8" w14:textId="241E1FB1" w:rsidR="009F5B85" w:rsidRPr="004F2200" w:rsidRDefault="00CD19BF" w:rsidP="00216459">
      <w:pPr>
        <w:pStyle w:val="Prrafodelista"/>
        <w:numPr>
          <w:ilvl w:val="0"/>
          <w:numId w:val="3"/>
        </w:num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Documento que haga constar que el cheque y rechazo bancario fue entregado</w:t>
      </w:r>
      <w:r w:rsidR="008902B7" w:rsidRPr="004F2200">
        <w:rPr>
          <w:rFonts w:ascii="Palatino Linotype" w:hAnsi="Palatino Linotype" w:cs="Arial"/>
          <w:color w:val="000000" w:themeColor="text1"/>
        </w:rPr>
        <w:t xml:space="preserve"> al A</w:t>
      </w:r>
      <w:r w:rsidR="009F5B85" w:rsidRPr="004F2200">
        <w:rPr>
          <w:rFonts w:ascii="Palatino Linotype" w:hAnsi="Palatino Linotype" w:cs="Arial"/>
          <w:color w:val="000000" w:themeColor="text1"/>
        </w:rPr>
        <w:t>sesor Comisionado adscrito a la Cuarta Sala Regional.</w:t>
      </w:r>
    </w:p>
    <w:p w14:paraId="74697BAD" w14:textId="672065E3" w:rsidR="008E4892" w:rsidRPr="004F2200" w:rsidRDefault="009F5B85" w:rsidP="008E4892">
      <w:pPr>
        <w:spacing w:before="240" w:after="240" w:line="360" w:lineRule="auto"/>
        <w:jc w:val="both"/>
        <w:rPr>
          <w:rFonts w:ascii="Palatino Linotype" w:hAnsi="Palatino Linotype"/>
          <w:color w:val="000000" w:themeColor="text1"/>
        </w:rPr>
      </w:pPr>
      <w:r w:rsidRPr="004F2200">
        <w:rPr>
          <w:rFonts w:ascii="Palatino Linotype" w:hAnsi="Palatino Linotype" w:cs="Arial"/>
          <w:color w:val="000000" w:themeColor="text1"/>
        </w:rPr>
        <w:t>Los referidos requerimientos de información, se establecen a partir de la interpretación que esta Ponencia hace de los argumentos plasmados en el documento adjunto a la solicitud de información, en aplicación del principio de interpretación</w:t>
      </w:r>
      <w:r w:rsidR="003545B0" w:rsidRPr="004F2200">
        <w:rPr>
          <w:rFonts w:ascii="Palatino Linotype" w:hAnsi="Palatino Linotype" w:cs="Arial"/>
          <w:color w:val="000000" w:themeColor="text1"/>
        </w:rPr>
        <w:t xml:space="preserve"> </w:t>
      </w:r>
      <w:r w:rsidRPr="004F2200">
        <w:rPr>
          <w:rFonts w:ascii="Palatino Linotype" w:hAnsi="Palatino Linotype"/>
          <w:color w:val="000000" w:themeColor="text1"/>
        </w:rPr>
        <w:t>que en su más amplio sentido</w:t>
      </w:r>
      <w:r w:rsidR="00A811E2" w:rsidRPr="004F2200">
        <w:rPr>
          <w:rFonts w:ascii="Palatino Linotype" w:hAnsi="Palatino Linotype"/>
          <w:color w:val="000000" w:themeColor="text1"/>
        </w:rPr>
        <w:t xml:space="preserve"> permite dilucidar los planteamientos hechos,</w:t>
      </w:r>
      <w:r w:rsidRPr="004F2200">
        <w:rPr>
          <w:rFonts w:ascii="Palatino Linotype" w:hAnsi="Palatino Linotype" w:cs="Arial"/>
          <w:color w:val="000000" w:themeColor="text1"/>
        </w:rPr>
        <w:t xml:space="preserve"> </w:t>
      </w:r>
      <w:r w:rsidR="00A811E2" w:rsidRPr="004F2200">
        <w:rPr>
          <w:rFonts w:ascii="Palatino Linotype" w:hAnsi="Palatino Linotype" w:cs="Arial"/>
          <w:color w:val="000000" w:themeColor="text1"/>
        </w:rPr>
        <w:t>bajo la lógica de que la regla general debe ser la máxima publicidad de la información y disponibilidad en aras de privilegiar el acceso a los documentos que obren en los archivos del sujeto obligado.</w:t>
      </w:r>
      <w:r w:rsidR="008E4892" w:rsidRPr="004F2200">
        <w:rPr>
          <w:rFonts w:ascii="Palatino Linotype" w:hAnsi="Palatino Linotype" w:cs="Arial"/>
          <w:color w:val="000000" w:themeColor="text1"/>
        </w:rPr>
        <w:t xml:space="preserve"> </w:t>
      </w:r>
      <w:r w:rsidR="008E4892" w:rsidRPr="004F2200">
        <w:rPr>
          <w:rFonts w:ascii="Palatino Linotype" w:hAnsi="Palatino Linotype"/>
          <w:color w:val="000000" w:themeColor="text1"/>
        </w:rPr>
        <w:t>Como apoyo a lo anterior, es aplicable por analogía el Criterio 16/17, emitido por el Pleno del INAI, que reza así:</w:t>
      </w:r>
    </w:p>
    <w:p w14:paraId="0DBA81D4" w14:textId="77777777" w:rsidR="008E4892" w:rsidRPr="004F2200" w:rsidRDefault="008E4892" w:rsidP="008E4892">
      <w:pPr>
        <w:spacing w:after="120"/>
        <w:ind w:left="851" w:right="902"/>
        <w:jc w:val="both"/>
        <w:rPr>
          <w:rFonts w:ascii="Palatino Linotype" w:hAnsi="Palatino Linotype" w:cs="Arial"/>
          <w:i/>
          <w:color w:val="000000" w:themeColor="text1"/>
          <w:sz w:val="20"/>
          <w:szCs w:val="20"/>
          <w:lang w:val="es-MX"/>
        </w:rPr>
      </w:pPr>
      <w:r w:rsidRPr="004F2200">
        <w:rPr>
          <w:rFonts w:ascii="Palatino Linotype" w:hAnsi="Palatino Linotype" w:cs="Arial"/>
          <w:b/>
          <w:bCs/>
          <w:i/>
          <w:color w:val="000000" w:themeColor="text1"/>
          <w:sz w:val="20"/>
          <w:szCs w:val="20"/>
        </w:rPr>
        <w:t xml:space="preserve">“Expresión documental. </w:t>
      </w:r>
      <w:r w:rsidRPr="004F2200">
        <w:rPr>
          <w:rFonts w:ascii="Palatino Linotype" w:hAnsi="Palatino Linotype" w:cs="Arial"/>
          <w:bCs/>
          <w:i/>
          <w:color w:val="000000" w:themeColor="text1"/>
          <w:sz w:val="20"/>
          <w:szCs w:val="20"/>
        </w:rPr>
        <w:t>Cuando</w:t>
      </w:r>
      <w:r w:rsidRPr="004F2200">
        <w:rPr>
          <w:rFonts w:ascii="Palatino Linotype" w:hAnsi="Palatino Linotype" w:cs="Arial"/>
          <w:i/>
          <w:color w:val="000000" w:themeColor="text1"/>
          <w:sz w:val="20"/>
          <w:szCs w:val="20"/>
        </w:rPr>
        <w:t xml:space="preserve">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5C51C1C4" w14:textId="53D31555" w:rsidR="008902B7" w:rsidRPr="004F2200" w:rsidRDefault="00CC01F5" w:rsidP="00947F35">
      <w:p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 xml:space="preserve">En respuesta, el </w:t>
      </w:r>
      <w:r w:rsidR="006C0620" w:rsidRPr="004F2200">
        <w:rPr>
          <w:rFonts w:ascii="Palatino Linotype" w:hAnsi="Palatino Linotype"/>
          <w:b/>
          <w:color w:val="000000" w:themeColor="text1"/>
        </w:rPr>
        <w:t xml:space="preserve">Sujeto Obligado </w:t>
      </w:r>
      <w:r w:rsidRPr="004F2200">
        <w:rPr>
          <w:rFonts w:ascii="Palatino Linotype" w:hAnsi="Palatino Linotype"/>
          <w:color w:val="000000" w:themeColor="text1"/>
        </w:rPr>
        <w:t xml:space="preserve">a través del </w:t>
      </w:r>
      <w:r w:rsidR="00D87FAC" w:rsidRPr="004F2200">
        <w:rPr>
          <w:rFonts w:ascii="Palatino Linotype" w:hAnsi="Palatino Linotype"/>
          <w:color w:val="000000" w:themeColor="text1"/>
        </w:rPr>
        <w:t>Secretari</w:t>
      </w:r>
      <w:r w:rsidR="00A811E2" w:rsidRPr="004F2200">
        <w:rPr>
          <w:rFonts w:ascii="Palatino Linotype" w:hAnsi="Palatino Linotype"/>
          <w:color w:val="000000" w:themeColor="text1"/>
        </w:rPr>
        <w:t>o de Acuerdos de la Cuarta Sala Regional</w:t>
      </w:r>
      <w:r w:rsidR="00CC0D8C" w:rsidRPr="004F2200">
        <w:rPr>
          <w:rFonts w:ascii="Palatino Linotype" w:hAnsi="Palatino Linotype"/>
          <w:color w:val="000000" w:themeColor="text1"/>
        </w:rPr>
        <w:t xml:space="preserve">, </w:t>
      </w:r>
      <w:r w:rsidRPr="004F2200">
        <w:rPr>
          <w:rFonts w:ascii="Palatino Linotype" w:hAnsi="Palatino Linotype"/>
          <w:color w:val="000000" w:themeColor="text1"/>
        </w:rPr>
        <w:t xml:space="preserve">proporcionó </w:t>
      </w:r>
      <w:r w:rsidR="001A3F7E" w:rsidRPr="004F2200">
        <w:rPr>
          <w:rFonts w:ascii="Palatino Linotype" w:hAnsi="Palatino Linotype"/>
          <w:color w:val="000000" w:themeColor="text1"/>
        </w:rPr>
        <w:t>los siguientes</w:t>
      </w:r>
      <w:r w:rsidR="00251B5A" w:rsidRPr="004F2200">
        <w:rPr>
          <w:rFonts w:ascii="Palatino Linotype" w:hAnsi="Palatino Linotype"/>
          <w:color w:val="000000" w:themeColor="text1"/>
        </w:rPr>
        <w:t xml:space="preserve"> documentos</w:t>
      </w:r>
      <w:r w:rsidR="001A3F7E" w:rsidRPr="004F2200">
        <w:rPr>
          <w:rFonts w:ascii="Palatino Linotype" w:hAnsi="Palatino Linotype"/>
          <w:color w:val="000000" w:themeColor="text1"/>
        </w:rPr>
        <w:t>:</w:t>
      </w:r>
    </w:p>
    <w:p w14:paraId="6D66F5A6" w14:textId="39FB8CEF" w:rsidR="001A3F7E" w:rsidRPr="004F2200" w:rsidRDefault="001A3F7E" w:rsidP="00216459">
      <w:pPr>
        <w:pStyle w:val="Prrafodelista"/>
        <w:numPr>
          <w:ilvl w:val="0"/>
          <w:numId w:val="4"/>
        </w:num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Acuerdo de fecha cinco de julio de dos mil diecioch</w:t>
      </w:r>
      <w:r w:rsidR="00F73B25" w:rsidRPr="004F2200">
        <w:rPr>
          <w:rFonts w:ascii="Palatino Linotype" w:hAnsi="Palatino Linotype"/>
          <w:color w:val="000000" w:themeColor="text1"/>
        </w:rPr>
        <w:t>o, por el que se tuvo por presentada la promoción 005503, que se ordenó ser agregada al expedientillo varios del año dos mil dieciocho, además de indicarse al promovente que es la Jefa de la Unidad de Asesoría Comisionada quien conoce del patrocinio y desempeño de los asesores comisionados.</w:t>
      </w:r>
    </w:p>
    <w:p w14:paraId="6783C851" w14:textId="63882ABF" w:rsidR="00F73B25" w:rsidRPr="004F2200" w:rsidRDefault="00F73B25" w:rsidP="00216459">
      <w:pPr>
        <w:pStyle w:val="Prrafodelista"/>
        <w:numPr>
          <w:ilvl w:val="0"/>
          <w:numId w:val="4"/>
        </w:num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 xml:space="preserve">Promoción 005503, mediante la cual </w:t>
      </w:r>
      <w:r w:rsidR="00F504BD" w:rsidRPr="004F2200">
        <w:rPr>
          <w:rFonts w:ascii="Palatino Linotype" w:hAnsi="Palatino Linotype"/>
          <w:color w:val="000000" w:themeColor="text1"/>
        </w:rPr>
        <w:t>Xxxxx</w:t>
      </w:r>
      <w:r w:rsidRPr="004F2200">
        <w:rPr>
          <w:rFonts w:ascii="Palatino Linotype" w:hAnsi="Palatino Linotype"/>
          <w:b/>
          <w:color w:val="000000" w:themeColor="text1"/>
        </w:rPr>
        <w:t xml:space="preserve"> </w:t>
      </w:r>
      <w:r w:rsidR="00F504BD" w:rsidRPr="004F2200">
        <w:rPr>
          <w:rFonts w:ascii="Palatino Linotype" w:hAnsi="Palatino Linotype"/>
          <w:b/>
          <w:color w:val="000000" w:themeColor="text1"/>
        </w:rPr>
        <w:t>Xxxxxxx</w:t>
      </w:r>
      <w:r w:rsidRPr="004F2200">
        <w:rPr>
          <w:rFonts w:ascii="Palatino Linotype" w:hAnsi="Palatino Linotype"/>
          <w:b/>
          <w:color w:val="000000" w:themeColor="text1"/>
        </w:rPr>
        <w:t xml:space="preserve"> </w:t>
      </w:r>
      <w:r w:rsidR="00F504BD" w:rsidRPr="004F2200">
        <w:rPr>
          <w:rFonts w:ascii="Palatino Linotype" w:hAnsi="Palatino Linotype"/>
          <w:b/>
          <w:color w:val="000000" w:themeColor="text1"/>
        </w:rPr>
        <w:t>Xxxxxx</w:t>
      </w:r>
      <w:r w:rsidRPr="004F2200">
        <w:rPr>
          <w:rFonts w:ascii="Palatino Linotype" w:hAnsi="Palatino Linotype"/>
          <w:b/>
          <w:color w:val="000000" w:themeColor="text1"/>
        </w:rPr>
        <w:t xml:space="preserve"> </w:t>
      </w:r>
      <w:r w:rsidR="00F504BD" w:rsidRPr="004F2200">
        <w:rPr>
          <w:rFonts w:ascii="Palatino Linotype" w:hAnsi="Palatino Linotype"/>
          <w:b/>
          <w:color w:val="000000" w:themeColor="text1"/>
        </w:rPr>
        <w:t>Xxxxxx</w:t>
      </w:r>
      <w:r w:rsidRPr="004F2200">
        <w:rPr>
          <w:rFonts w:ascii="Palatino Linotype" w:hAnsi="Palatino Linotype"/>
          <w:color w:val="000000" w:themeColor="text1"/>
        </w:rPr>
        <w:t xml:space="preserve"> manifestó que entregó originales del cheque con número de folio </w:t>
      </w:r>
      <w:r w:rsidR="008230CE" w:rsidRPr="004F2200">
        <w:rPr>
          <w:rFonts w:ascii="Palatino Linotype" w:hAnsi="Palatino Linotype" w:cs="Arial"/>
          <w:color w:val="000000" w:themeColor="text1"/>
        </w:rPr>
        <w:t>0002154</w:t>
      </w:r>
      <w:r w:rsidRPr="004F2200">
        <w:rPr>
          <w:rFonts w:ascii="Palatino Linotype" w:hAnsi="Palatino Linotype"/>
          <w:color w:val="000000" w:themeColor="text1"/>
        </w:rPr>
        <w:t xml:space="preserve"> y rechazo bancario al Asesor Comisionado, quien se negó a emitir un acuse de recibo, por lo que solicitó que se ordenara al mismo, emitir el acuse correspondiente.</w:t>
      </w:r>
    </w:p>
    <w:p w14:paraId="6F13BBBF" w14:textId="013AEA8E" w:rsidR="00F73B25" w:rsidRPr="004F2200" w:rsidRDefault="00F73B25" w:rsidP="00216459">
      <w:pPr>
        <w:pStyle w:val="Prrafodelista"/>
        <w:numPr>
          <w:ilvl w:val="0"/>
          <w:numId w:val="4"/>
        </w:num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 xml:space="preserve">Ultima hoja de escrito de contestación </w:t>
      </w:r>
      <w:r w:rsidR="00B57C06" w:rsidRPr="004F2200">
        <w:rPr>
          <w:rFonts w:ascii="Palatino Linotype" w:hAnsi="Palatino Linotype"/>
          <w:color w:val="000000" w:themeColor="text1"/>
        </w:rPr>
        <w:t xml:space="preserve">de </w:t>
      </w:r>
      <w:r w:rsidRPr="004F2200">
        <w:rPr>
          <w:rFonts w:ascii="Palatino Linotype" w:hAnsi="Palatino Linotype"/>
          <w:color w:val="000000" w:themeColor="text1"/>
        </w:rPr>
        <w:t>demanda que contiene ofrecimiento de pruebas y pretensiones, así como el nombre del apoderado legal.</w:t>
      </w:r>
    </w:p>
    <w:p w14:paraId="1D6B5372" w14:textId="5029DC7B" w:rsidR="00681E83" w:rsidRPr="004F2200" w:rsidRDefault="00681E83" w:rsidP="00681E83">
      <w:pPr>
        <w:pStyle w:val="Prrafodelista"/>
        <w:numPr>
          <w:ilvl w:val="0"/>
          <w:numId w:val="4"/>
        </w:num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 xml:space="preserve">Promoción 005557, presentada el quince de junio de dos mil dieciocho por </w:t>
      </w:r>
      <w:r w:rsidR="00F504BD" w:rsidRPr="004F2200">
        <w:rPr>
          <w:rFonts w:ascii="Palatino Linotype" w:hAnsi="Palatino Linotype"/>
          <w:color w:val="000000" w:themeColor="text1"/>
        </w:rPr>
        <w:t>Xxxxx</w:t>
      </w:r>
      <w:r w:rsidRPr="004F2200">
        <w:rPr>
          <w:rFonts w:ascii="Palatino Linotype" w:hAnsi="Palatino Linotype"/>
          <w:b/>
          <w:color w:val="000000" w:themeColor="text1"/>
        </w:rPr>
        <w:t xml:space="preserve"> </w:t>
      </w:r>
      <w:r w:rsidR="00F504BD" w:rsidRPr="004F2200">
        <w:rPr>
          <w:rFonts w:ascii="Palatino Linotype" w:hAnsi="Palatino Linotype"/>
          <w:b/>
          <w:color w:val="000000" w:themeColor="text1"/>
        </w:rPr>
        <w:t>Xxxxxxx</w:t>
      </w:r>
      <w:r w:rsidRPr="004F2200">
        <w:rPr>
          <w:rFonts w:ascii="Palatino Linotype" w:hAnsi="Palatino Linotype"/>
          <w:b/>
          <w:color w:val="000000" w:themeColor="text1"/>
        </w:rPr>
        <w:t xml:space="preserve"> </w:t>
      </w:r>
      <w:r w:rsidR="00F504BD" w:rsidRPr="004F2200">
        <w:rPr>
          <w:rFonts w:ascii="Palatino Linotype" w:hAnsi="Palatino Linotype"/>
          <w:b/>
          <w:color w:val="000000" w:themeColor="text1"/>
        </w:rPr>
        <w:t>Xxxxxx</w:t>
      </w:r>
      <w:r w:rsidRPr="004F2200">
        <w:rPr>
          <w:rFonts w:ascii="Palatino Linotype" w:hAnsi="Palatino Linotype"/>
          <w:b/>
          <w:color w:val="000000" w:themeColor="text1"/>
        </w:rPr>
        <w:t xml:space="preserve"> </w:t>
      </w:r>
      <w:r w:rsidR="00F504BD" w:rsidRPr="004F2200">
        <w:rPr>
          <w:rFonts w:ascii="Palatino Linotype" w:hAnsi="Palatino Linotype"/>
          <w:b/>
          <w:color w:val="000000" w:themeColor="text1"/>
        </w:rPr>
        <w:t>Xxxxxx</w:t>
      </w:r>
      <w:r w:rsidRPr="004F2200">
        <w:rPr>
          <w:rFonts w:ascii="Palatino Linotype" w:hAnsi="Palatino Linotype"/>
          <w:b/>
          <w:color w:val="000000" w:themeColor="text1"/>
        </w:rPr>
        <w:t xml:space="preserve">, </w:t>
      </w:r>
      <w:r w:rsidRPr="004F2200">
        <w:rPr>
          <w:rFonts w:ascii="Palatino Linotype" w:hAnsi="Palatino Linotype"/>
          <w:color w:val="000000" w:themeColor="text1"/>
        </w:rPr>
        <w:t>documento mediante el cual manifestó que se presentó a recoger documentos que le fueron negados.</w:t>
      </w:r>
    </w:p>
    <w:p w14:paraId="725F364A" w14:textId="2B13DA66" w:rsidR="00F73B25" w:rsidRPr="004F2200" w:rsidRDefault="00F73B25" w:rsidP="00216459">
      <w:pPr>
        <w:pStyle w:val="Prrafodelista"/>
        <w:numPr>
          <w:ilvl w:val="0"/>
          <w:numId w:val="4"/>
        </w:num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Acuerdo de fecha cinco de julio de dos mil dieciocho, por el que se tuvo por presentada la promoción 005557, que se ordenó agrega</w:t>
      </w:r>
      <w:r w:rsidR="00535240" w:rsidRPr="004F2200">
        <w:rPr>
          <w:rFonts w:ascii="Palatino Linotype" w:hAnsi="Palatino Linotype"/>
          <w:color w:val="000000" w:themeColor="text1"/>
        </w:rPr>
        <w:t xml:space="preserve">r </w:t>
      </w:r>
      <w:r w:rsidRPr="004F2200">
        <w:rPr>
          <w:rFonts w:ascii="Palatino Linotype" w:hAnsi="Palatino Linotype"/>
          <w:color w:val="000000" w:themeColor="text1"/>
        </w:rPr>
        <w:t>al expedientillo varios del año dos mil dieciocho.</w:t>
      </w:r>
    </w:p>
    <w:p w14:paraId="63E64D4C" w14:textId="6D59A615" w:rsidR="00CC01F5" w:rsidRPr="004F2200" w:rsidRDefault="00CC01F5" w:rsidP="00262BFA">
      <w:pPr>
        <w:autoSpaceDE w:val="0"/>
        <w:autoSpaceDN w:val="0"/>
        <w:adjustRightInd w:val="0"/>
        <w:spacing w:before="240" w:after="240" w:line="360" w:lineRule="auto"/>
        <w:ind w:right="-91"/>
        <w:jc w:val="both"/>
        <w:rPr>
          <w:rFonts w:ascii="Palatino Linotype" w:hAnsi="Palatino Linotype"/>
          <w:b/>
          <w:color w:val="000000" w:themeColor="text1"/>
        </w:rPr>
      </w:pPr>
      <w:r w:rsidRPr="004F2200">
        <w:rPr>
          <w:rFonts w:ascii="Palatino Linotype" w:hAnsi="Palatino Linotype"/>
          <w:color w:val="000000" w:themeColor="text1"/>
        </w:rPr>
        <w:t xml:space="preserve">Inconforme </w:t>
      </w:r>
      <w:r w:rsidR="00681E83" w:rsidRPr="004F2200">
        <w:rPr>
          <w:rFonts w:ascii="Palatino Linotype" w:hAnsi="Palatino Linotype"/>
          <w:color w:val="000000" w:themeColor="text1"/>
        </w:rPr>
        <w:t>con la</w:t>
      </w:r>
      <w:r w:rsidRPr="004F2200">
        <w:rPr>
          <w:rFonts w:ascii="Palatino Linotype" w:hAnsi="Palatino Linotype"/>
          <w:color w:val="000000" w:themeColor="text1"/>
        </w:rPr>
        <w:t xml:space="preserve"> respuesta, el </w:t>
      </w:r>
      <w:r w:rsidR="00681E83" w:rsidRPr="004F2200">
        <w:rPr>
          <w:rFonts w:ascii="Palatino Linotype" w:hAnsi="Palatino Linotype"/>
          <w:color w:val="000000" w:themeColor="text1"/>
        </w:rPr>
        <w:t xml:space="preserve">particular interpuso recurso de revisión, manifestando medularmente que le entregaron diversas documentales, pero no el cheque y rechazo bancario, documento que haga constar que entregó dichos documentos al Asesor Comisionado, toda vez que pretende acreditar que dichos documentos se encuentran en poder del </w:t>
      </w:r>
      <w:r w:rsidR="00681E83" w:rsidRPr="004F2200">
        <w:rPr>
          <w:rFonts w:ascii="Palatino Linotype" w:hAnsi="Palatino Linotype"/>
          <w:b/>
          <w:color w:val="000000" w:themeColor="text1"/>
        </w:rPr>
        <w:t>Sujeto Obligado.</w:t>
      </w:r>
    </w:p>
    <w:p w14:paraId="2345636D" w14:textId="79A6C2EE" w:rsidR="00681E83" w:rsidRPr="004F2200" w:rsidRDefault="00681E83" w:rsidP="00262BFA">
      <w:p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color w:val="000000" w:themeColor="text1"/>
        </w:rPr>
        <w:t xml:space="preserve">En vía de informe justificado, el Tribunal de Justicia Administrativa modificó su respuesta, precisando a través de los Servidores Públicos Habilitados, que existe un asunto que se tramita en la Cuarta Sala Regional </w:t>
      </w:r>
      <w:r w:rsidR="00704E70" w:rsidRPr="004F2200">
        <w:rPr>
          <w:rFonts w:ascii="Palatino Linotype" w:hAnsi="Palatino Linotype"/>
          <w:color w:val="000000" w:themeColor="text1"/>
        </w:rPr>
        <w:t xml:space="preserve">por lo que se requirió a la Jefa de la </w:t>
      </w:r>
      <w:r w:rsidR="005B500E" w:rsidRPr="004F2200">
        <w:rPr>
          <w:rFonts w:ascii="Palatino Linotype" w:hAnsi="Palatino Linotype"/>
          <w:color w:val="000000" w:themeColor="text1"/>
        </w:rPr>
        <w:t>U</w:t>
      </w:r>
      <w:r w:rsidR="00704E70" w:rsidRPr="004F2200">
        <w:rPr>
          <w:rFonts w:ascii="Palatino Linotype" w:hAnsi="Palatino Linotype"/>
          <w:color w:val="000000" w:themeColor="text1"/>
        </w:rPr>
        <w:t>nidad de Asesoría Comisionada para que girara instrucciones al Asesor Comisionado adscrito a la Cuarta Sala para que buscar</w:t>
      </w:r>
      <w:r w:rsidR="00503077" w:rsidRPr="004F2200">
        <w:rPr>
          <w:rFonts w:ascii="Palatino Linotype" w:hAnsi="Palatino Linotype"/>
          <w:color w:val="000000" w:themeColor="text1"/>
        </w:rPr>
        <w:t>á</w:t>
      </w:r>
      <w:r w:rsidR="00704E70" w:rsidRPr="004F2200">
        <w:rPr>
          <w:rFonts w:ascii="Palatino Linotype" w:hAnsi="Palatino Linotype"/>
          <w:color w:val="000000" w:themeColor="text1"/>
        </w:rPr>
        <w:t xml:space="preserve"> los documentos solicitados e informar</w:t>
      </w:r>
      <w:r w:rsidR="007C15E1" w:rsidRPr="004F2200">
        <w:rPr>
          <w:rFonts w:ascii="Palatino Linotype" w:hAnsi="Palatino Linotype"/>
          <w:color w:val="000000" w:themeColor="text1"/>
        </w:rPr>
        <w:t>á</w:t>
      </w:r>
      <w:r w:rsidR="00704E70" w:rsidRPr="004F2200">
        <w:rPr>
          <w:rFonts w:ascii="Palatino Linotype" w:hAnsi="Palatino Linotype"/>
          <w:color w:val="000000" w:themeColor="text1"/>
        </w:rPr>
        <w:t xml:space="preserve"> lo conducente, Servidor Público que en esencia manifestó lo siguiente:</w:t>
      </w:r>
    </w:p>
    <w:p w14:paraId="59D910EC" w14:textId="6D06D14A" w:rsidR="00704E70" w:rsidRPr="004F2200" w:rsidRDefault="00704E70" w:rsidP="00704E70">
      <w:pPr>
        <w:pStyle w:val="Prrafodelista"/>
        <w:numPr>
          <w:ilvl w:val="0"/>
          <w:numId w:val="10"/>
        </w:num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b/>
          <w:color w:val="000000" w:themeColor="text1"/>
        </w:rPr>
        <w:t xml:space="preserve">Asesor Comisionado de la Cuarta Sala Regional.- </w:t>
      </w:r>
      <w:r w:rsidRPr="004F2200">
        <w:rPr>
          <w:rFonts w:ascii="Palatino Linotype" w:hAnsi="Palatino Linotype"/>
          <w:i/>
          <w:color w:val="000000" w:themeColor="text1"/>
        </w:rPr>
        <w:t>“…</w:t>
      </w:r>
      <w:r w:rsidR="00F504BD" w:rsidRPr="004F2200">
        <w:rPr>
          <w:rFonts w:ascii="Palatino Linotype" w:hAnsi="Palatino Linotype"/>
          <w:i/>
          <w:color w:val="000000" w:themeColor="text1"/>
        </w:rPr>
        <w:t>Xxxxx</w:t>
      </w:r>
      <w:r w:rsidRPr="004F2200">
        <w:rPr>
          <w:rFonts w:ascii="Palatino Linotype" w:hAnsi="Palatino Linotype"/>
          <w:b/>
          <w:i/>
          <w:color w:val="000000" w:themeColor="text1"/>
        </w:rPr>
        <w:t xml:space="preserve"> </w:t>
      </w:r>
      <w:r w:rsidR="00F504BD" w:rsidRPr="004F2200">
        <w:rPr>
          <w:rFonts w:ascii="Palatino Linotype" w:hAnsi="Palatino Linotype"/>
          <w:b/>
          <w:i/>
          <w:color w:val="000000" w:themeColor="text1"/>
        </w:rPr>
        <w:t>Xxxxxxx</w:t>
      </w:r>
      <w:r w:rsidRPr="004F2200">
        <w:rPr>
          <w:rFonts w:ascii="Palatino Linotype" w:hAnsi="Palatino Linotype"/>
          <w:b/>
          <w:i/>
          <w:color w:val="000000" w:themeColor="text1"/>
        </w:rPr>
        <w:t xml:space="preserve"> </w:t>
      </w:r>
      <w:r w:rsidR="00F504BD" w:rsidRPr="004F2200">
        <w:rPr>
          <w:rFonts w:ascii="Palatino Linotype" w:hAnsi="Palatino Linotype"/>
          <w:b/>
          <w:i/>
          <w:color w:val="000000" w:themeColor="text1"/>
        </w:rPr>
        <w:t>Xxxxxx</w:t>
      </w:r>
      <w:r w:rsidRPr="004F2200">
        <w:rPr>
          <w:rFonts w:ascii="Palatino Linotype" w:hAnsi="Palatino Linotype"/>
          <w:b/>
          <w:i/>
          <w:color w:val="000000" w:themeColor="text1"/>
        </w:rPr>
        <w:t xml:space="preserve"> </w:t>
      </w:r>
      <w:r w:rsidR="00F504BD" w:rsidRPr="004F2200">
        <w:rPr>
          <w:rFonts w:ascii="Palatino Linotype" w:hAnsi="Palatino Linotype"/>
          <w:b/>
          <w:i/>
          <w:color w:val="000000" w:themeColor="text1"/>
        </w:rPr>
        <w:t>Xxxxxx</w:t>
      </w:r>
      <w:r w:rsidRPr="004F2200">
        <w:rPr>
          <w:rFonts w:ascii="Palatino Linotype" w:hAnsi="Palatino Linotype"/>
          <w:b/>
          <w:i/>
          <w:color w:val="000000" w:themeColor="text1"/>
        </w:rPr>
        <w:t xml:space="preserve"> </w:t>
      </w:r>
      <w:r w:rsidRPr="004F2200">
        <w:rPr>
          <w:rFonts w:ascii="Palatino Linotype" w:hAnsi="Palatino Linotype"/>
          <w:i/>
          <w:color w:val="000000" w:themeColor="text1"/>
        </w:rPr>
        <w:t xml:space="preserve">… no es parte en ninguno de los asuntos del cual deriva el documento referido (cheque y rechazo), ya que los mismos están expedido a favor de una persona diversa, </w:t>
      </w:r>
      <w:r w:rsidRPr="004F2200">
        <w:rPr>
          <w:rFonts w:ascii="Palatino Linotype" w:hAnsi="Palatino Linotype"/>
          <w:color w:val="000000" w:themeColor="text1"/>
        </w:rPr>
        <w:t xml:space="preserve"> no obstante, que en fecha cinco de junio de dos mil diecisiete, exhibió el título de crédito en el expediente del juicio administrativo 258/2017, sin informar al Asesor Comisionado; docu</w:t>
      </w:r>
      <w:r w:rsidR="004731D0" w:rsidRPr="004F2200">
        <w:rPr>
          <w:rFonts w:ascii="Palatino Linotype" w:hAnsi="Palatino Linotype"/>
          <w:color w:val="000000" w:themeColor="text1"/>
        </w:rPr>
        <w:t>mentos que la Sala Regional puso</w:t>
      </w:r>
      <w:r w:rsidRPr="004F2200">
        <w:rPr>
          <w:rFonts w:ascii="Palatino Linotype" w:hAnsi="Palatino Linotype"/>
          <w:color w:val="000000" w:themeColor="text1"/>
        </w:rPr>
        <w:t xml:space="preserve"> a disposición, al no ser parte en el juicio. Derivado de ello, el dieciocho de junio de dos mil dieciocho se presentó en la Oficina del Asesor, a efectos de entregar</w:t>
      </w:r>
      <w:r w:rsidR="00082C95" w:rsidRPr="004F2200">
        <w:rPr>
          <w:rFonts w:ascii="Palatino Linotype" w:hAnsi="Palatino Linotype"/>
          <w:color w:val="000000" w:themeColor="text1"/>
        </w:rPr>
        <w:t xml:space="preserve"> cheque y rechazo bancario, sol</w:t>
      </w:r>
      <w:r w:rsidR="004731D0" w:rsidRPr="004F2200">
        <w:rPr>
          <w:rFonts w:ascii="Palatino Linotype" w:hAnsi="Palatino Linotype"/>
          <w:color w:val="000000" w:themeColor="text1"/>
        </w:rPr>
        <w:t>icitándole al mismo le entregará</w:t>
      </w:r>
      <w:r w:rsidR="00082C95" w:rsidRPr="004F2200">
        <w:rPr>
          <w:rFonts w:ascii="Palatino Linotype" w:hAnsi="Palatino Linotype"/>
          <w:color w:val="000000" w:themeColor="text1"/>
        </w:rPr>
        <w:t xml:space="preserve"> algún documento de recepción, documento que no fue emitido por el mismo al no ser parte en el juicio. Pero presentó promoción ante la Cuarta Sala Regional el mismo dieciocho de junio de la presente anualidad, mediante el cual exhibió el cheque y rechazo bancario en el juicio administrativo 610/2016 del índice de la Cuarta Sala Regional, por lo que no se encuentra en su poder, pero si en el interior de ese Tribunal. Además de indicar que no se le podía entregar copia de la promoción presentada por el mismo, al no ser parte en el juicio que se sigue.</w:t>
      </w:r>
    </w:p>
    <w:p w14:paraId="07E97A71" w14:textId="47553848" w:rsidR="00107391" w:rsidRPr="004F2200" w:rsidRDefault="00082C95" w:rsidP="00D933E8">
      <w:pPr>
        <w:pStyle w:val="Prrafodelista"/>
        <w:numPr>
          <w:ilvl w:val="0"/>
          <w:numId w:val="10"/>
        </w:num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b/>
          <w:color w:val="000000" w:themeColor="text1"/>
        </w:rPr>
        <w:t xml:space="preserve">Servidor Público Habilitado de la Cuarta Sala Regional: </w:t>
      </w:r>
      <w:r w:rsidRPr="004F2200">
        <w:rPr>
          <w:rFonts w:ascii="Palatino Linotype" w:hAnsi="Palatino Linotype"/>
          <w:color w:val="000000" w:themeColor="text1"/>
        </w:rPr>
        <w:t>Remitió promoción del cinco de julio de dos mil diecisiete exhibida en el juicio administrativo 258/2017, acuerdo que recayó a la promoción del catorce de junio del mismo año, comparecencia del dieciocho de julio de dos mil dieciocho</w:t>
      </w:r>
      <w:r w:rsidR="00107391" w:rsidRPr="004F2200">
        <w:rPr>
          <w:rFonts w:ascii="Palatino Linotype" w:hAnsi="Palatino Linotype"/>
          <w:color w:val="000000" w:themeColor="text1"/>
        </w:rPr>
        <w:t xml:space="preserve"> agregada en autos del expediente 258/2017, escrito del dieciocho de junio de dos mil dieciocho suscrito por el Asesor Comisionado en el que exhibió cheque y rechazo bancario en el expediente del juicio administrativo 610/2016, así como un informe pormenorizado de los hechos, en el constan los actos de autoridad que se consideraron causaron agravio al actor, el sentido de la resolución dicta</w:t>
      </w:r>
      <w:r w:rsidR="004731D0" w:rsidRPr="004F2200">
        <w:rPr>
          <w:rFonts w:ascii="Palatino Linotype" w:hAnsi="Palatino Linotype"/>
          <w:color w:val="000000" w:themeColor="text1"/>
        </w:rPr>
        <w:t>da</w:t>
      </w:r>
      <w:r w:rsidR="00107391" w:rsidRPr="004F2200">
        <w:rPr>
          <w:rFonts w:ascii="Palatino Linotype" w:hAnsi="Palatino Linotype"/>
          <w:color w:val="000000" w:themeColor="text1"/>
        </w:rPr>
        <w:t xml:space="preserve"> en la Sala Regional, fecha en que causo ejecutoria, </w:t>
      </w:r>
      <w:r w:rsidR="0063429F" w:rsidRPr="004F2200">
        <w:rPr>
          <w:rFonts w:ascii="Palatino Linotype" w:hAnsi="Palatino Linotype"/>
          <w:color w:val="000000" w:themeColor="text1"/>
        </w:rPr>
        <w:t>esto</w:t>
      </w:r>
      <w:r w:rsidR="00107391" w:rsidRPr="004F2200">
        <w:rPr>
          <w:rFonts w:ascii="Palatino Linotype" w:hAnsi="Palatino Linotype"/>
          <w:color w:val="000000" w:themeColor="text1"/>
        </w:rPr>
        <w:t xml:space="preserve"> de</w:t>
      </w:r>
      <w:r w:rsidR="0063429F" w:rsidRPr="004F2200">
        <w:rPr>
          <w:rFonts w:ascii="Palatino Linotype" w:hAnsi="Palatino Linotype"/>
          <w:color w:val="000000" w:themeColor="text1"/>
        </w:rPr>
        <w:t>l</w:t>
      </w:r>
      <w:r w:rsidR="00107391" w:rsidRPr="004F2200">
        <w:rPr>
          <w:rFonts w:ascii="Palatino Linotype" w:hAnsi="Palatino Linotype"/>
          <w:color w:val="000000" w:themeColor="text1"/>
        </w:rPr>
        <w:t xml:space="preserve"> juicio administrativo 610/2016; así mismo relató la circunstancias que dieron origen al juicio administrativo 258/2017, asunto en el que no se tuvo como parte a </w:t>
      </w:r>
      <w:r w:rsidR="00F504BD" w:rsidRPr="004F2200">
        <w:rPr>
          <w:rFonts w:ascii="Palatino Linotype" w:hAnsi="Palatino Linotype"/>
          <w:color w:val="000000" w:themeColor="text1"/>
        </w:rPr>
        <w:t>Xxxxx</w:t>
      </w:r>
      <w:r w:rsidR="00107391" w:rsidRPr="004F2200">
        <w:rPr>
          <w:rFonts w:ascii="Palatino Linotype" w:hAnsi="Palatino Linotype"/>
          <w:b/>
          <w:color w:val="000000" w:themeColor="text1"/>
        </w:rPr>
        <w:t xml:space="preserve"> </w:t>
      </w:r>
      <w:r w:rsidR="00F504BD" w:rsidRPr="004F2200">
        <w:rPr>
          <w:rFonts w:ascii="Palatino Linotype" w:hAnsi="Palatino Linotype"/>
          <w:b/>
          <w:color w:val="000000" w:themeColor="text1"/>
        </w:rPr>
        <w:t>Xxxxxxx</w:t>
      </w:r>
      <w:r w:rsidR="00107391" w:rsidRPr="004F2200">
        <w:rPr>
          <w:rFonts w:ascii="Palatino Linotype" w:hAnsi="Palatino Linotype"/>
          <w:b/>
          <w:color w:val="000000" w:themeColor="text1"/>
        </w:rPr>
        <w:t xml:space="preserve"> </w:t>
      </w:r>
      <w:r w:rsidR="00F504BD" w:rsidRPr="004F2200">
        <w:rPr>
          <w:rFonts w:ascii="Palatino Linotype" w:hAnsi="Palatino Linotype"/>
          <w:b/>
          <w:color w:val="000000" w:themeColor="text1"/>
        </w:rPr>
        <w:t>Xxxxxx</w:t>
      </w:r>
      <w:r w:rsidR="00107391" w:rsidRPr="004F2200">
        <w:rPr>
          <w:rFonts w:ascii="Palatino Linotype" w:hAnsi="Palatino Linotype"/>
          <w:b/>
          <w:color w:val="000000" w:themeColor="text1"/>
        </w:rPr>
        <w:t xml:space="preserve"> </w:t>
      </w:r>
      <w:r w:rsidR="00F504BD" w:rsidRPr="004F2200">
        <w:rPr>
          <w:rFonts w:ascii="Palatino Linotype" w:hAnsi="Palatino Linotype"/>
          <w:b/>
          <w:color w:val="000000" w:themeColor="text1"/>
        </w:rPr>
        <w:t>Xxxxx</w:t>
      </w:r>
      <w:r w:rsidR="00873E6D" w:rsidRPr="004F2200">
        <w:rPr>
          <w:rFonts w:ascii="Palatino Linotype" w:hAnsi="Palatino Linotype"/>
          <w:b/>
          <w:color w:val="000000" w:themeColor="text1"/>
        </w:rPr>
        <w:t>x</w:t>
      </w:r>
      <w:r w:rsidR="00107391" w:rsidRPr="004F2200">
        <w:rPr>
          <w:rFonts w:ascii="Palatino Linotype" w:hAnsi="Palatino Linotype"/>
          <w:b/>
          <w:color w:val="000000" w:themeColor="text1"/>
        </w:rPr>
        <w:t>.</w:t>
      </w:r>
    </w:p>
    <w:p w14:paraId="71976A1D" w14:textId="5B2E3A74" w:rsidR="003F4105" w:rsidRPr="004F2200" w:rsidRDefault="00107391" w:rsidP="003F4105">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olor w:val="000000" w:themeColor="text1"/>
        </w:rPr>
        <w:t xml:space="preserve">Ahora bien, el </w:t>
      </w:r>
      <w:r w:rsidRPr="004F2200">
        <w:rPr>
          <w:rFonts w:ascii="Palatino Linotype" w:hAnsi="Palatino Linotype"/>
          <w:b/>
          <w:color w:val="000000" w:themeColor="text1"/>
        </w:rPr>
        <w:t xml:space="preserve">Sujeto Obligado </w:t>
      </w:r>
      <w:r w:rsidRPr="004F2200">
        <w:rPr>
          <w:rFonts w:ascii="Palatino Linotype" w:hAnsi="Palatino Linotype"/>
          <w:color w:val="000000" w:themeColor="text1"/>
        </w:rPr>
        <w:t xml:space="preserve">en vía de informe justificado ofreció como pruebas las documentales públicas consistentes en: </w:t>
      </w:r>
      <w:r w:rsidR="003F4105" w:rsidRPr="004F2200">
        <w:rPr>
          <w:rFonts w:ascii="Palatino Linotype" w:hAnsi="Palatino Linotype"/>
          <w:color w:val="000000" w:themeColor="text1"/>
        </w:rPr>
        <w:t xml:space="preserve">los oficios número TJA/UDDI/244/2018, TJA-UAC-38/2018, TJA/UDDI/246/2018, TJA-4-SR-6015/2018, informe del Asesor Comisionado, Acuerdo de Clasificación de la Información emitido por el Comité de Transparencia, en versión pública la promoción del cinco de julio de dos mil diecisiete exhibida en el juicio administrativo 258/2017, acuerdo que recayó a la promoción del catorce de junio del mismo año, comparecencia del dieciocho de julio de dos mil dieciocho agregada en autos del expediente 258/2017, escrito del dieciocho de junio de dos mil dieciocho suscrito por el Asesor Comisionado en el que exhibió cheque y rechazo bancario en el expediente del juicio administrativo 610/2016, y el informe pormenorizado de los hechos, </w:t>
      </w:r>
      <w:r w:rsidR="003F4105" w:rsidRPr="004F2200">
        <w:rPr>
          <w:rFonts w:ascii="Palatino Linotype" w:hAnsi="Palatino Linotype" w:cs="Arial"/>
          <w:color w:val="000000" w:themeColor="text1"/>
        </w:rPr>
        <w:t xml:space="preserve">documentos que se valoran en términos de lo dispuesto en el </w:t>
      </w:r>
      <w:r w:rsidR="003F4105" w:rsidRPr="004F2200">
        <w:rPr>
          <w:rFonts w:ascii="Palatino Linotype" w:hAnsi="Palatino Linotype"/>
          <w:color w:val="000000" w:themeColor="text1"/>
        </w:rPr>
        <w:t xml:space="preserve">artículo 185 fracción IV </w:t>
      </w:r>
      <w:r w:rsidR="003F4105" w:rsidRPr="004F2200">
        <w:rPr>
          <w:rFonts w:ascii="Palatino Linotype" w:hAnsi="Palatino Linotype" w:cs="Arial"/>
          <w:color w:val="000000" w:themeColor="text1"/>
        </w:rPr>
        <w:t>de la Ley de Transparencia y Acceso a la Información Pública del Estado de México y Municipios</w:t>
      </w:r>
      <w:r w:rsidR="003F4105" w:rsidRPr="004F2200">
        <w:rPr>
          <w:rStyle w:val="Refdenotaalpie"/>
          <w:rFonts w:ascii="Palatino Linotype" w:hAnsi="Palatino Linotype"/>
          <w:color w:val="000000" w:themeColor="text1"/>
        </w:rPr>
        <w:footnoteReference w:id="4"/>
      </w:r>
      <w:r w:rsidR="003F4105" w:rsidRPr="004F2200">
        <w:rPr>
          <w:rFonts w:ascii="Palatino Linotype" w:hAnsi="Palatino Linotype" w:cs="Arial"/>
          <w:color w:val="000000" w:themeColor="text1"/>
        </w:rPr>
        <w:t xml:space="preserve"> </w:t>
      </w:r>
      <w:r w:rsidR="003F4105" w:rsidRPr="004F2200">
        <w:rPr>
          <w:rFonts w:ascii="Palatino Linotype" w:hAnsi="Palatino Linotype"/>
          <w:color w:val="000000" w:themeColor="text1"/>
        </w:rPr>
        <w:t xml:space="preserve">en relación directa con los artículos 95, 100 y 105 del Código de Procedimientos Administrativos del Estado de México que es de aplicación supletoria en la materia que nos ocupa, con base en lo dispuesto por el artículo </w:t>
      </w:r>
      <w:r w:rsidR="003F4105" w:rsidRPr="004F2200">
        <w:rPr>
          <w:rFonts w:ascii="Palatino Linotype" w:hAnsi="Palatino Linotype" w:cs="Arial"/>
          <w:color w:val="000000" w:themeColor="text1"/>
        </w:rPr>
        <w:t xml:space="preserve">195 de la Ley de Transparencia y Acceso a la información Pública del Estado de México y Municipios. </w:t>
      </w:r>
    </w:p>
    <w:p w14:paraId="3CD1EBC2" w14:textId="0D3A18BC" w:rsidR="00D933E8" w:rsidRPr="004F2200" w:rsidRDefault="00D933E8" w:rsidP="00B2310C">
      <w:p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cs="Arial"/>
          <w:color w:val="000000" w:themeColor="text1"/>
        </w:rPr>
        <w:t xml:space="preserve">En ese sentido, se advierte que dichas pruebas dan cuenta de las gestiones que realizó el </w:t>
      </w:r>
      <w:r w:rsidRPr="004F2200">
        <w:rPr>
          <w:rFonts w:ascii="Palatino Linotype" w:hAnsi="Palatino Linotype" w:cs="Arial"/>
          <w:b/>
          <w:color w:val="000000" w:themeColor="text1"/>
        </w:rPr>
        <w:t xml:space="preserve">Sujeto Obligado </w:t>
      </w:r>
      <w:r w:rsidRPr="004F2200">
        <w:rPr>
          <w:rFonts w:ascii="Palatino Linotype" w:hAnsi="Palatino Linotype" w:cs="Arial"/>
          <w:color w:val="000000" w:themeColor="text1"/>
        </w:rPr>
        <w:t xml:space="preserve">para dar atención a la solicitud de acceso a la información del particular hoy </w:t>
      </w:r>
      <w:r w:rsidR="00B2310C" w:rsidRPr="004F2200">
        <w:rPr>
          <w:rFonts w:ascii="Palatino Linotype" w:hAnsi="Palatino Linotype" w:cs="Arial"/>
          <w:b/>
          <w:i/>
          <w:color w:val="000000" w:themeColor="text1"/>
        </w:rPr>
        <w:t xml:space="preserve">Recurrente, </w:t>
      </w:r>
      <w:r w:rsidR="00B2310C" w:rsidRPr="004F2200">
        <w:rPr>
          <w:rFonts w:ascii="Palatino Linotype" w:hAnsi="Palatino Linotype" w:cs="Arial"/>
          <w:color w:val="000000" w:themeColor="text1"/>
        </w:rPr>
        <w:t xml:space="preserve">siendo las cosas así, resulta </w:t>
      </w:r>
      <w:r w:rsidRPr="004F2200">
        <w:rPr>
          <w:rFonts w:ascii="Palatino Linotype" w:hAnsi="Palatino Linotype" w:cs="Arial"/>
          <w:color w:val="000000" w:themeColor="text1"/>
        </w:rPr>
        <w:t xml:space="preserve">necesario aludir primeramente al procedimiento de búsqueda de la información que debe seguir los sujetos obligados para su localización, el cual se encuentra establecido en </w:t>
      </w:r>
      <w:r w:rsidR="0063429F" w:rsidRPr="004F2200">
        <w:rPr>
          <w:rFonts w:ascii="Palatino Linotype" w:hAnsi="Palatino Linotype" w:cs="Arial"/>
          <w:color w:val="000000" w:themeColor="text1"/>
        </w:rPr>
        <w:t>l</w:t>
      </w:r>
      <w:r w:rsidRPr="004F2200">
        <w:rPr>
          <w:rFonts w:ascii="Palatino Linotype" w:hAnsi="Palatino Linotype" w:cs="Arial"/>
          <w:color w:val="000000" w:themeColor="text1"/>
        </w:rPr>
        <w:t xml:space="preserve">os artículos </w:t>
      </w:r>
      <w:r w:rsidRPr="004F2200">
        <w:rPr>
          <w:rFonts w:ascii="Palatino Linotype" w:hAnsi="Palatino Linotype" w:cs="Arial"/>
          <w:color w:val="000000" w:themeColor="text1"/>
          <w:lang w:val="es-MX"/>
        </w:rPr>
        <w:t xml:space="preserve">151, </w:t>
      </w:r>
      <w:r w:rsidRPr="004F2200">
        <w:rPr>
          <w:rFonts w:ascii="Palatino Linotype" w:hAnsi="Palatino Linotype"/>
          <w:color w:val="000000" w:themeColor="text1"/>
        </w:rPr>
        <w:t>162 y 165 de la Ley de Transparencia y Acceso a la Información Pública del Estado de México y Municipios, en los siguientes términos:</w:t>
      </w:r>
    </w:p>
    <w:p w14:paraId="5C4E3FDA" w14:textId="77777777" w:rsidR="00D933E8" w:rsidRPr="004F2200" w:rsidRDefault="00D933E8" w:rsidP="00D933E8">
      <w:pPr>
        <w:spacing w:after="120"/>
        <w:ind w:left="851" w:right="900"/>
        <w:jc w:val="both"/>
        <w:rPr>
          <w:rFonts w:ascii="Palatino Linotype" w:hAnsi="Palatino Linotype"/>
          <w:i/>
          <w:color w:val="000000" w:themeColor="text1"/>
          <w:sz w:val="20"/>
          <w:szCs w:val="20"/>
        </w:rPr>
      </w:pPr>
      <w:r w:rsidRPr="004F2200">
        <w:rPr>
          <w:rFonts w:ascii="Palatino Linotype" w:hAnsi="Palatino Linotype"/>
          <w:b/>
          <w:i/>
          <w:color w:val="000000" w:themeColor="text1"/>
          <w:sz w:val="20"/>
          <w:szCs w:val="20"/>
        </w:rPr>
        <w:t>“Artículo 151.</w:t>
      </w:r>
      <w:r w:rsidRPr="004F2200">
        <w:rPr>
          <w:rFonts w:ascii="Palatino Linotype" w:hAnsi="Palatino Linotype"/>
          <w:i/>
          <w:color w:val="000000" w:themeColor="text1"/>
          <w:sz w:val="20"/>
          <w:szCs w:val="20"/>
        </w:rPr>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  </w:t>
      </w:r>
    </w:p>
    <w:p w14:paraId="40F467E2" w14:textId="77777777" w:rsidR="00D933E8" w:rsidRPr="004F2200" w:rsidRDefault="00D933E8" w:rsidP="00D933E8">
      <w:pPr>
        <w:spacing w:after="120"/>
        <w:ind w:left="851" w:right="900"/>
        <w:jc w:val="both"/>
        <w:rPr>
          <w:rFonts w:ascii="Palatino Linotype" w:hAnsi="Palatino Linotype"/>
          <w:i/>
          <w:color w:val="000000" w:themeColor="text1"/>
          <w:sz w:val="20"/>
          <w:szCs w:val="20"/>
        </w:rPr>
      </w:pPr>
      <w:r w:rsidRPr="004F2200">
        <w:rPr>
          <w:rFonts w:ascii="Palatino Linotype" w:hAnsi="Palatino Linotype"/>
          <w:b/>
          <w:i/>
          <w:color w:val="000000" w:themeColor="text1"/>
          <w:sz w:val="20"/>
          <w:szCs w:val="20"/>
        </w:rPr>
        <w:t>Artículo 162.</w:t>
      </w:r>
      <w:r w:rsidRPr="004F2200">
        <w:rPr>
          <w:rFonts w:ascii="Palatino Linotype" w:hAnsi="Palatino Linotype"/>
          <w:i/>
          <w:color w:val="000000" w:themeColor="text1"/>
          <w:sz w:val="20"/>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7B423332" w14:textId="77777777" w:rsidR="00D933E8" w:rsidRPr="004F2200" w:rsidRDefault="00D933E8" w:rsidP="00D933E8">
      <w:pPr>
        <w:spacing w:after="120"/>
        <w:ind w:left="851" w:right="900"/>
        <w:jc w:val="both"/>
        <w:rPr>
          <w:rFonts w:ascii="Palatino Linotype" w:hAnsi="Palatino Linotype"/>
          <w:i/>
          <w:color w:val="000000" w:themeColor="text1"/>
          <w:sz w:val="20"/>
          <w:szCs w:val="20"/>
        </w:rPr>
      </w:pPr>
      <w:r w:rsidRPr="004F2200">
        <w:rPr>
          <w:rFonts w:ascii="Palatino Linotype" w:hAnsi="Palatino Linotype"/>
          <w:b/>
          <w:i/>
          <w:color w:val="000000" w:themeColor="text1"/>
          <w:sz w:val="20"/>
          <w:szCs w:val="20"/>
        </w:rPr>
        <w:t>Artículo 165.</w:t>
      </w:r>
      <w:r w:rsidRPr="004F2200">
        <w:rPr>
          <w:rFonts w:ascii="Palatino Linotype" w:hAnsi="Palatino Linotype"/>
          <w:i/>
          <w:color w:val="000000" w:themeColor="text1"/>
          <w:sz w:val="20"/>
          <w:szCs w:val="20"/>
        </w:rPr>
        <w:t xml:space="preserve"> Los sujetos obligados establecerán la forma y términos en que darán trámite interno a las solicitudes en materia de acceso a la información…”</w:t>
      </w:r>
    </w:p>
    <w:p w14:paraId="589EC56A" w14:textId="77777777" w:rsidR="00B2310C" w:rsidRPr="004F2200" w:rsidRDefault="00B2310C" w:rsidP="00B2310C">
      <w:pPr>
        <w:spacing w:before="240" w:after="240" w:line="360" w:lineRule="auto"/>
        <w:jc w:val="both"/>
        <w:rPr>
          <w:rFonts w:ascii="Palatino Linotype" w:hAnsi="Palatino Linotype"/>
          <w:color w:val="000000" w:themeColor="text1"/>
        </w:rPr>
      </w:pPr>
      <w:r w:rsidRPr="004F2200">
        <w:rPr>
          <w:rFonts w:ascii="Palatino Linotype" w:hAnsi="Palatino Linotype"/>
          <w:color w:val="000000" w:themeColor="text1"/>
        </w:rPr>
        <w:t>De la normatividad citada, se desprende que las Unidades de Transparencia deben garantizar las medidas y condiciones de accesibilidad para que toda persona pueda ejercer el derecho de acceso a la información, y que una vez ejercido, deberán garantizar que las solicitudes de acceso a la información se turnen a todas las áreas competentes que cuenten con la información o que deban tenerla de acuerdo a sus facultades, competencia y funciones, en la forma y términos que los sujetos obligados determinen para su trámite interno.</w:t>
      </w:r>
    </w:p>
    <w:p w14:paraId="2235E583" w14:textId="31770EC7" w:rsidR="00B2310C" w:rsidRPr="004F2200" w:rsidRDefault="00B2310C" w:rsidP="00B2310C">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En ese contexto, la Unidad de Transparencia turnó la solicitud de información de mérito a la Cuarta Sala Regional y a la Jefa de Asesoría Comisionada, unidades administrativas que de conformidad con los artículos 36 y 58 de la</w:t>
      </w:r>
      <w:r w:rsidRPr="004F2200">
        <w:rPr>
          <w:rFonts w:ascii="Palatino Linotype" w:hAnsi="Palatino Linotype"/>
          <w:color w:val="000000" w:themeColor="text1"/>
        </w:rPr>
        <w:t xml:space="preserve"> Ley Orgánica del Tribunal de Justicia Administrativa del Estado de México</w:t>
      </w:r>
      <w:r w:rsidRPr="004F2200">
        <w:rPr>
          <w:rFonts w:ascii="Palatino Linotype" w:hAnsi="Palatino Linotype" w:cs="Arial"/>
          <w:color w:val="000000" w:themeColor="text1"/>
        </w:rPr>
        <w:t>, les corresponde el despacho de las siguientes funciones:</w:t>
      </w:r>
    </w:p>
    <w:p w14:paraId="274F53A4" w14:textId="77777777" w:rsidR="00B2310C" w:rsidRPr="004F2200" w:rsidRDefault="00B2310C" w:rsidP="00B2310C">
      <w:pPr>
        <w:autoSpaceDE w:val="0"/>
        <w:autoSpaceDN w:val="0"/>
        <w:adjustRightInd w:val="0"/>
        <w:spacing w:after="120"/>
        <w:ind w:left="851" w:right="902"/>
        <w:jc w:val="both"/>
        <w:rPr>
          <w:rFonts w:ascii="Palatino Linotype" w:hAnsi="Palatino Linotype"/>
          <w:i/>
          <w:color w:val="000000" w:themeColor="text1"/>
          <w:sz w:val="20"/>
          <w:szCs w:val="20"/>
        </w:rPr>
      </w:pPr>
      <w:r w:rsidRPr="004F2200">
        <w:rPr>
          <w:rFonts w:ascii="Palatino Linotype" w:hAnsi="Palatino Linotype"/>
          <w:b/>
          <w:i/>
          <w:color w:val="000000" w:themeColor="text1"/>
          <w:sz w:val="20"/>
          <w:szCs w:val="20"/>
        </w:rPr>
        <w:t>“Artículo 36.</w:t>
      </w:r>
      <w:r w:rsidRPr="004F2200">
        <w:rPr>
          <w:rFonts w:ascii="Palatino Linotype" w:hAnsi="Palatino Linotype"/>
          <w:i/>
          <w:color w:val="000000" w:themeColor="text1"/>
          <w:sz w:val="20"/>
          <w:szCs w:val="20"/>
        </w:rPr>
        <w:t xml:space="preserve"> Son atribuciones de las y los Magistrados de las Salas Regionales de Jurisdicción Ordinaria: </w:t>
      </w:r>
    </w:p>
    <w:p w14:paraId="210044EA"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 Tramitar y resolver los juicios administrativos de su competencia; </w:t>
      </w:r>
    </w:p>
    <w:p w14:paraId="62F07277"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II. Conocer y resolver del cumplimiento de los acuerdos de suspensión y de las resoluciones definitivas, en los juicios en que hayan intervenido; </w:t>
      </w:r>
    </w:p>
    <w:p w14:paraId="493B9E7F"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III. Dictar las medidas necesarias para el despacho pronto y expedito de los asuntos de su conocimiento; </w:t>
      </w:r>
    </w:p>
    <w:p w14:paraId="17E40503"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IV. Hacer uso de los medios de apremio o medidas disciplinarias para hacer cumplir sus determinaciones o para imponer el orden; </w:t>
      </w:r>
    </w:p>
    <w:p w14:paraId="37070A32"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V. Firmar, conjuntamente con la o el Secretario de Acuerdos, las resoluciones de la Sala; </w:t>
      </w:r>
    </w:p>
    <w:p w14:paraId="4FAF74F8"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VI. Imponer correcciones disciplinarias al personal de la Sala, que no impliquen sanciones administrativas; </w:t>
      </w:r>
    </w:p>
    <w:p w14:paraId="11F3E24E"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VII. Informar semanalmente, a la o el Presidente del Tribunal, el estado de las labores de la sala; </w:t>
      </w:r>
    </w:p>
    <w:p w14:paraId="7CA169DF" w14:textId="56B15EFE" w:rsidR="00D933E8"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VIII. Rendir los informes en los juicios de amparo que se promuevan en contra de las resoluciones de la Sala, así como interponer los recursos correspondientes ante los Tribunales Federales y designar delegados; y IX. Las que señale esta Ley, el Reglamento y las demás disposiciones aplicables.</w:t>
      </w:r>
    </w:p>
    <w:p w14:paraId="3F7EC4AE" w14:textId="1AEDDCEA" w:rsidR="00B2310C" w:rsidRPr="004F2200" w:rsidRDefault="00B2310C" w:rsidP="00B2310C">
      <w:pPr>
        <w:autoSpaceDE w:val="0"/>
        <w:autoSpaceDN w:val="0"/>
        <w:adjustRightInd w:val="0"/>
        <w:spacing w:before="120" w:after="120"/>
        <w:ind w:left="851" w:right="902"/>
        <w:jc w:val="both"/>
        <w:rPr>
          <w:rFonts w:ascii="Palatino Linotype" w:hAnsi="Palatino Linotype"/>
          <w:i/>
          <w:color w:val="000000" w:themeColor="text1"/>
          <w:sz w:val="20"/>
          <w:szCs w:val="20"/>
        </w:rPr>
      </w:pPr>
      <w:r w:rsidRPr="004F2200">
        <w:rPr>
          <w:rFonts w:ascii="Palatino Linotype" w:hAnsi="Palatino Linotype"/>
          <w:b/>
          <w:i/>
          <w:color w:val="000000" w:themeColor="text1"/>
          <w:sz w:val="20"/>
          <w:szCs w:val="20"/>
        </w:rPr>
        <w:t>Artículo 58.</w:t>
      </w:r>
      <w:r w:rsidRPr="004F2200">
        <w:rPr>
          <w:rFonts w:ascii="Palatino Linotype" w:hAnsi="Palatino Linotype"/>
          <w:i/>
          <w:color w:val="000000" w:themeColor="text1"/>
          <w:sz w:val="20"/>
          <w:szCs w:val="20"/>
        </w:rPr>
        <w:t xml:space="preserve"> Corresponde a las y los Asesores Comisionados:</w:t>
      </w:r>
    </w:p>
    <w:p w14:paraId="713067E9"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 Orientar, asesorar y representar gratuita y preferentemente a las personas que se encuentren en estado de vulnerabilidad y con perspectiva de género; </w:t>
      </w:r>
    </w:p>
    <w:p w14:paraId="2098E10D"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II. Asesorar, en forma gratuita a las personas físicas de escasos recursos económicos, que acudan directamente a solicitar la formulación de demandas y otras promociones que deban presentar ante el Tribunal; </w:t>
      </w:r>
    </w:p>
    <w:p w14:paraId="743B6A26"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III. Resolver, de manera gratuita, las consultas que formulen las personas físicas de escasos recursos económicos, en materia administrativa y fiscal, canalizando a éstos, en su caso, a las dependencias competentes; </w:t>
      </w:r>
    </w:p>
    <w:p w14:paraId="6C76EA8B"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IV. Formular escritos de petición ante las autoridades administrativas estatales y municipales, como preparación a una demanda ante el Tribunal, en los casos en los que sea procedente; </w:t>
      </w:r>
    </w:p>
    <w:p w14:paraId="04A21305"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V. En la prestación de los servicios de patrocinio, las y los Asesores Comisionados tendrán las obligaciones siguientes: </w:t>
      </w:r>
    </w:p>
    <w:p w14:paraId="4973B732" w14:textId="3BEB2AD5" w:rsidR="00B2310C" w:rsidRPr="004F2200" w:rsidRDefault="00B2310C" w:rsidP="00B2310C">
      <w:pPr>
        <w:autoSpaceDE w:val="0"/>
        <w:autoSpaceDN w:val="0"/>
        <w:adjustRightInd w:val="0"/>
        <w:ind w:left="1418"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w:t>
      </w:r>
    </w:p>
    <w:p w14:paraId="14D890A6"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VI. Remitir semanalmente en forma oportuna a la Unidad de Asesoría Comisionada, los datos estadísticos correspondientes a los juicios y recursos presentados en dicho período, así como el número de personas que fueron atendidas; </w:t>
      </w:r>
    </w:p>
    <w:p w14:paraId="3D01D58F"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VII. Asistir y participar en los eventos a los cuales sean comisionados por la Presidencia y la Vicepresidencia del Tribunal y de la Junta; </w:t>
      </w:r>
    </w:p>
    <w:p w14:paraId="3A1370F5"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VIII. Retirar el patrocinio en las materias administrativa y fiscal, previa aprobación de la o el titular de la Unidad de Asesoría Comisionada, cuando: </w:t>
      </w:r>
    </w:p>
    <w:p w14:paraId="4BC90D33" w14:textId="77777777" w:rsidR="00B2310C" w:rsidRPr="004F2200" w:rsidRDefault="00B2310C" w:rsidP="00B2310C">
      <w:pPr>
        <w:autoSpaceDE w:val="0"/>
        <w:autoSpaceDN w:val="0"/>
        <w:adjustRightInd w:val="0"/>
        <w:ind w:left="1418"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w:t>
      </w:r>
    </w:p>
    <w:p w14:paraId="7CF8AFA9"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IX. Asumir la responsabilidad del tratamiento de los datos personales conforme a lo establecido en la Ley de Protección de Datos Personales en Posesión de Sujetos Obligados del Estado de México y Municipios; </w:t>
      </w:r>
    </w:p>
    <w:p w14:paraId="7032A035" w14:textId="77777777" w:rsidR="00B2310C" w:rsidRPr="004F2200" w:rsidRDefault="00B2310C" w:rsidP="00B2310C">
      <w:pPr>
        <w:autoSpaceDE w:val="0"/>
        <w:autoSpaceDN w:val="0"/>
        <w:adjustRightInd w:val="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X. Solicitar que se realicen las notificaciones por vía electrónica en los juicios en los que intervenga ante el Tribunal; y </w:t>
      </w:r>
    </w:p>
    <w:p w14:paraId="3240B727" w14:textId="2B9435C6" w:rsidR="00B2310C" w:rsidRPr="004F2200" w:rsidRDefault="00B2310C" w:rsidP="00B2310C">
      <w:pPr>
        <w:autoSpaceDE w:val="0"/>
        <w:autoSpaceDN w:val="0"/>
        <w:adjustRightInd w:val="0"/>
        <w:ind w:left="1134" w:right="902"/>
        <w:jc w:val="both"/>
        <w:rPr>
          <w:rFonts w:ascii="Palatino Linotype" w:hAnsi="Palatino Linotype" w:cs="Arial"/>
          <w:i/>
          <w:color w:val="000000" w:themeColor="text1"/>
          <w:sz w:val="20"/>
          <w:szCs w:val="20"/>
        </w:rPr>
      </w:pPr>
      <w:r w:rsidRPr="004F2200">
        <w:rPr>
          <w:rFonts w:ascii="Palatino Linotype" w:hAnsi="Palatino Linotype"/>
          <w:i/>
          <w:color w:val="000000" w:themeColor="text1"/>
          <w:sz w:val="20"/>
          <w:szCs w:val="20"/>
        </w:rPr>
        <w:t>XI. Las demás atribuciones que les señalen otras disposiciones legales aplicables.”</w:t>
      </w:r>
    </w:p>
    <w:p w14:paraId="6FEC6545" w14:textId="267A18C8" w:rsidR="00D423D4" w:rsidRPr="004F2200" w:rsidRDefault="00ED2D70" w:rsidP="00D423D4">
      <w:p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color w:val="000000" w:themeColor="text1"/>
        </w:rPr>
        <w:t>De la normativa citada, se colige que son atribuciones de los Magistrados de las Salas Region</w:t>
      </w:r>
      <w:r w:rsidR="00D423D4" w:rsidRPr="004F2200">
        <w:rPr>
          <w:rFonts w:ascii="Palatino Linotype" w:hAnsi="Palatino Linotype"/>
          <w:color w:val="000000" w:themeColor="text1"/>
        </w:rPr>
        <w:t xml:space="preserve">ales de Jurisdicción Ordinaria, tramitar y resolver los juicios administrativos de su competencia en los que se tomen las medidas necesarias para el despacho pronto y expedito de los asuntos de su conocimiento, debiendo firmar los acuerdos y resoluciones conjuntamente con el Secretario de Acuerdos. Mientras que </w:t>
      </w:r>
      <w:r w:rsidR="00010DBC" w:rsidRPr="004F2200">
        <w:rPr>
          <w:rFonts w:ascii="Palatino Linotype" w:hAnsi="Palatino Linotype"/>
          <w:color w:val="000000" w:themeColor="text1"/>
        </w:rPr>
        <w:t xml:space="preserve">a </w:t>
      </w:r>
      <w:r w:rsidR="00D423D4" w:rsidRPr="004F2200">
        <w:rPr>
          <w:rFonts w:ascii="Palatino Linotype" w:hAnsi="Palatino Linotype"/>
          <w:color w:val="000000" w:themeColor="text1"/>
        </w:rPr>
        <w:t>los Asesores Comisionados, les corresponde orientar, asesorar y representar gratuita y preferentemente a las personas que se encuentren en estado de vulnerabilidad, que conlleva a buscar la aplicación del principio de mayor beneficio a favor de sus representados.</w:t>
      </w:r>
    </w:p>
    <w:p w14:paraId="5259B4AC" w14:textId="053B4FEF" w:rsidR="00D423D4" w:rsidRPr="004F2200" w:rsidRDefault="00D423D4" w:rsidP="00D423D4">
      <w:p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color w:val="000000" w:themeColor="text1"/>
        </w:rPr>
        <w:t xml:space="preserve">De conformidad con lo expuesto, es dable concluir que el </w:t>
      </w:r>
      <w:r w:rsidRPr="004F2200">
        <w:rPr>
          <w:rFonts w:ascii="Palatino Linotype" w:hAnsi="Palatino Linotype"/>
          <w:b/>
          <w:color w:val="000000" w:themeColor="text1"/>
        </w:rPr>
        <w:t xml:space="preserve">Sujeto Obligado </w:t>
      </w:r>
      <w:r w:rsidRPr="004F2200">
        <w:rPr>
          <w:rFonts w:ascii="Palatino Linotype" w:hAnsi="Palatino Linotype"/>
          <w:color w:val="000000" w:themeColor="text1"/>
        </w:rPr>
        <w:t>turnó la solicitud a las Unidades Administrativas que por sus atribuciones podían conocer de lo requerido, dado que el responsable de la Sala Regional es el Magistrado y el responsable de orientar a los ciudadanos en los juicios administrativos es el Asesor Comisionado.</w:t>
      </w:r>
    </w:p>
    <w:p w14:paraId="004EEB7F" w14:textId="77777777" w:rsidR="00CA2AB6" w:rsidRPr="004F2200" w:rsidRDefault="00D423D4" w:rsidP="00D423D4">
      <w:p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color w:val="000000" w:themeColor="text1"/>
        </w:rPr>
        <w:t xml:space="preserve">En atención a la solicitud de particular, </w:t>
      </w:r>
      <w:r w:rsidR="008B5E96" w:rsidRPr="004F2200">
        <w:rPr>
          <w:rFonts w:ascii="Palatino Linotype" w:hAnsi="Palatino Linotype"/>
          <w:color w:val="000000" w:themeColor="text1"/>
        </w:rPr>
        <w:t xml:space="preserve">la Cuarta Sala Regional proporcionó mediante respuesta las documentales citadas en párrafos que preceden, sin embargo, vale la pena resaltar las promociones 05503 y 5457 de fechas diez y quince de junio de dos mil dieciocho respectiva, </w:t>
      </w:r>
      <w:r w:rsidR="00CA2AB6" w:rsidRPr="004F2200">
        <w:rPr>
          <w:rFonts w:ascii="Palatino Linotype" w:hAnsi="Palatino Linotype"/>
          <w:color w:val="000000" w:themeColor="text1"/>
        </w:rPr>
        <w:t xml:space="preserve">antes de avocarnos a nuestros estudio, ante la premisa, que es </w:t>
      </w:r>
      <w:r w:rsidR="008B5E96" w:rsidRPr="004F2200">
        <w:rPr>
          <w:rFonts w:ascii="Palatino Linotype" w:hAnsi="Palatino Linotype"/>
          <w:color w:val="000000" w:themeColor="text1"/>
        </w:rPr>
        <w:t>obligación de este Instituto garantizar la observancia de los principios de protección de datos personales en posesión de los suje</w:t>
      </w:r>
      <w:r w:rsidR="00CA2AB6" w:rsidRPr="004F2200">
        <w:rPr>
          <w:rFonts w:ascii="Palatino Linotype" w:hAnsi="Palatino Linotype"/>
          <w:color w:val="000000" w:themeColor="text1"/>
        </w:rPr>
        <w:t xml:space="preserve">tos obligados, y en el caso, </w:t>
      </w:r>
      <w:r w:rsidR="008B5E96" w:rsidRPr="004F2200">
        <w:rPr>
          <w:rFonts w:ascii="Palatino Linotype" w:hAnsi="Palatino Linotype"/>
          <w:color w:val="000000" w:themeColor="text1"/>
        </w:rPr>
        <w:t xml:space="preserve">se advierte que </w:t>
      </w:r>
      <w:r w:rsidR="00CA2AB6" w:rsidRPr="004F2200">
        <w:rPr>
          <w:rFonts w:ascii="Palatino Linotype" w:hAnsi="Palatino Linotype"/>
          <w:color w:val="000000" w:themeColor="text1"/>
        </w:rPr>
        <w:t>se expusieron datos personales.</w:t>
      </w:r>
    </w:p>
    <w:p w14:paraId="5F1DFFBC" w14:textId="712ECF38" w:rsidR="000C03E5" w:rsidRPr="004F2200" w:rsidRDefault="00CA2AB6" w:rsidP="00D423D4">
      <w:p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color w:val="000000" w:themeColor="text1"/>
        </w:rPr>
        <w:t xml:space="preserve">Todas vez, </w:t>
      </w:r>
      <w:r w:rsidR="000C03E5" w:rsidRPr="004F2200">
        <w:rPr>
          <w:rFonts w:ascii="Palatino Linotype" w:hAnsi="Palatino Linotype"/>
          <w:color w:val="000000" w:themeColor="text1"/>
        </w:rPr>
        <w:t xml:space="preserve">que </w:t>
      </w:r>
      <w:r w:rsidRPr="004F2200">
        <w:rPr>
          <w:rFonts w:ascii="Palatino Linotype" w:hAnsi="Palatino Linotype"/>
          <w:color w:val="000000" w:themeColor="text1"/>
        </w:rPr>
        <w:t xml:space="preserve">los documentos en cuestión </w:t>
      </w:r>
      <w:r w:rsidR="00993B14" w:rsidRPr="004F2200">
        <w:rPr>
          <w:rFonts w:ascii="Palatino Linotype" w:hAnsi="Palatino Linotype"/>
          <w:color w:val="000000" w:themeColor="text1"/>
        </w:rPr>
        <w:t xml:space="preserve">contienen información de carácter confidencial </w:t>
      </w:r>
      <w:r w:rsidR="000C03E5" w:rsidRPr="004F2200">
        <w:rPr>
          <w:rFonts w:ascii="Palatino Linotype" w:hAnsi="Palatino Linotype"/>
          <w:color w:val="000000" w:themeColor="text1"/>
        </w:rPr>
        <w:t xml:space="preserve">de conformidad con lo establecido en el artículo 143 de la Ley de la Materia, en el entendido de que se dejó visible el nombre del particular y firma del ciudadano que los promovió, lo que en estricto sentido vulnera el derecho a la protección </w:t>
      </w:r>
      <w:r w:rsidR="000603E6" w:rsidRPr="004F2200">
        <w:rPr>
          <w:rFonts w:ascii="Palatino Linotype" w:hAnsi="Palatino Linotype"/>
          <w:color w:val="000000" w:themeColor="text1"/>
        </w:rPr>
        <w:t>de datos personales de é</w:t>
      </w:r>
      <w:r w:rsidR="000C03E5" w:rsidRPr="004F2200">
        <w:rPr>
          <w:rFonts w:ascii="Palatino Linotype" w:hAnsi="Palatino Linotype"/>
          <w:color w:val="000000" w:themeColor="text1"/>
        </w:rPr>
        <w:t xml:space="preserve">ste. </w:t>
      </w:r>
    </w:p>
    <w:p w14:paraId="207B28EC" w14:textId="2EDB7D74" w:rsidR="008B5E96" w:rsidRPr="004F2200" w:rsidRDefault="000C03E5" w:rsidP="008B5E96">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olor w:val="000000" w:themeColor="text1"/>
        </w:rPr>
        <w:t xml:space="preserve">Bajo la premisa de que en el ejercicio del derecho de acceso a la información no hay </w:t>
      </w:r>
      <w:r w:rsidR="008B5E96" w:rsidRPr="004F2200">
        <w:rPr>
          <w:rFonts w:ascii="Palatino Linotype" w:hAnsi="Palatino Linotype" w:cs="Arial"/>
          <w:color w:val="000000" w:themeColor="text1"/>
        </w:rPr>
        <w:t xml:space="preserve">necesidad de acreditar interés alguno o justificar su utilización, de lo que se infiere que para el ejercicio del derecho de acceso a la información pública, el nombre no es un requisito </w:t>
      </w:r>
      <w:r w:rsidR="008B5E96" w:rsidRPr="004F2200">
        <w:rPr>
          <w:rFonts w:ascii="Palatino Linotype" w:hAnsi="Palatino Linotype" w:cs="Arial"/>
          <w:i/>
          <w:color w:val="000000" w:themeColor="text1"/>
        </w:rPr>
        <w:t>sine qua non</w:t>
      </w:r>
      <w:r w:rsidR="008B5E96" w:rsidRPr="004F2200">
        <w:rPr>
          <w:rFonts w:ascii="Palatino Linotype" w:hAnsi="Palatino Linotype" w:cs="Arial"/>
          <w:color w:val="000000" w:themeColor="text1"/>
        </w:rPr>
        <w:t xml:space="preserve"> que los particulares y, en su caso, los recurrentes deban acreditar, por el contrario la Ley de Transparencia prevé en su artículo 155, párrafo segundo la posibilidad de que las solicitudes de información sean anónimas, con nombre incompleto o seudónimo.</w:t>
      </w:r>
    </w:p>
    <w:p w14:paraId="2FDD9684" w14:textId="41E133C5" w:rsidR="008B5E96" w:rsidRPr="004F2200" w:rsidRDefault="008B5E96" w:rsidP="008B5E96">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s="Arial"/>
          <w:color w:val="000000" w:themeColor="text1"/>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el derecho fundamental en cuestión exime a quien lo ejerce, de acreditar su legitimación en la causa o su interés en el asunto, lo que permite la posibilidad de que inclusive, la solicitud de acceso a la información contenga el nombre de una persona que legalmente no es, razones por las que</w:t>
      </w:r>
      <w:r w:rsidR="000C03E5" w:rsidRPr="004F2200">
        <w:rPr>
          <w:rFonts w:ascii="Palatino Linotype" w:hAnsi="Palatino Linotype" w:cs="Arial"/>
          <w:color w:val="000000" w:themeColor="text1"/>
        </w:rPr>
        <w:t xml:space="preserve"> en el asunto que nos ocupa</w:t>
      </w:r>
      <w:r w:rsidRPr="004F2200">
        <w:rPr>
          <w:rFonts w:ascii="Palatino Linotype" w:hAnsi="Palatino Linotype" w:cs="Arial"/>
          <w:color w:val="000000" w:themeColor="text1"/>
        </w:rPr>
        <w:t xml:space="preserve"> no se puede afirmar que se trate de la misma persona,</w:t>
      </w:r>
      <w:r w:rsidR="000C03E5" w:rsidRPr="004F2200">
        <w:rPr>
          <w:rFonts w:ascii="Palatino Linotype" w:hAnsi="Palatino Linotype" w:cs="Arial"/>
          <w:color w:val="000000" w:themeColor="text1"/>
        </w:rPr>
        <w:t xml:space="preserve"> quien promo</w:t>
      </w:r>
      <w:r w:rsidR="000603E6" w:rsidRPr="004F2200">
        <w:rPr>
          <w:rFonts w:ascii="Palatino Linotype" w:hAnsi="Palatino Linotype" w:cs="Arial"/>
          <w:color w:val="000000" w:themeColor="text1"/>
        </w:rPr>
        <w:t>vió</w:t>
      </w:r>
      <w:r w:rsidR="000C03E5" w:rsidRPr="004F2200">
        <w:rPr>
          <w:rFonts w:ascii="Palatino Linotype" w:hAnsi="Palatino Linotype" w:cs="Arial"/>
          <w:color w:val="000000" w:themeColor="text1"/>
        </w:rPr>
        <w:t xml:space="preserve"> ante el </w:t>
      </w:r>
      <w:r w:rsidR="000C03E5" w:rsidRPr="004F2200">
        <w:rPr>
          <w:rFonts w:ascii="Palatino Linotype" w:hAnsi="Palatino Linotype" w:cs="Arial"/>
          <w:b/>
          <w:color w:val="000000" w:themeColor="text1"/>
        </w:rPr>
        <w:t xml:space="preserve">Sujeto Obligado </w:t>
      </w:r>
      <w:r w:rsidR="000C03E5" w:rsidRPr="004F2200">
        <w:rPr>
          <w:rFonts w:ascii="Palatino Linotype" w:hAnsi="Palatino Linotype" w:cs="Arial"/>
          <w:color w:val="000000" w:themeColor="text1"/>
        </w:rPr>
        <w:t xml:space="preserve">y quien es </w:t>
      </w:r>
      <w:r w:rsidRPr="004F2200">
        <w:rPr>
          <w:rFonts w:ascii="Palatino Linotype" w:hAnsi="Palatino Linotype" w:cs="Arial"/>
          <w:b/>
          <w:i/>
          <w:color w:val="000000" w:themeColor="text1"/>
        </w:rPr>
        <w:t xml:space="preserve">Recurrente </w:t>
      </w:r>
      <w:r w:rsidRPr="004F2200">
        <w:rPr>
          <w:rFonts w:ascii="Palatino Linotype" w:hAnsi="Palatino Linotype" w:cs="Arial"/>
          <w:color w:val="000000" w:themeColor="text1"/>
        </w:rPr>
        <w:t>en el asunto que nos ocupa</w:t>
      </w:r>
      <w:r w:rsidR="000C03E5" w:rsidRPr="004F2200">
        <w:rPr>
          <w:rFonts w:ascii="Palatino Linotype" w:hAnsi="Palatino Linotype" w:cs="Arial"/>
          <w:color w:val="000000" w:themeColor="text1"/>
        </w:rPr>
        <w:t>.</w:t>
      </w:r>
    </w:p>
    <w:p w14:paraId="62E402F1" w14:textId="48C9C8AB" w:rsidR="008B5E96" w:rsidRPr="004F2200" w:rsidRDefault="000C03E5" w:rsidP="008B5E96">
      <w:pPr>
        <w:spacing w:before="100" w:beforeAutospacing="1" w:after="100" w:afterAutospacing="1" w:line="360" w:lineRule="auto"/>
        <w:ind w:right="49"/>
        <w:jc w:val="both"/>
        <w:rPr>
          <w:rFonts w:ascii="Palatino Linotype" w:hAnsi="Palatino Linotype" w:cs="Arial"/>
          <w:color w:val="000000" w:themeColor="text1"/>
          <w:szCs w:val="22"/>
          <w:lang w:val="es-MX" w:eastAsia="en-US"/>
        </w:rPr>
      </w:pPr>
      <w:r w:rsidRPr="004F2200">
        <w:rPr>
          <w:rFonts w:ascii="Palatino Linotype" w:hAnsi="Palatino Linotype"/>
          <w:color w:val="000000" w:themeColor="text1"/>
        </w:rPr>
        <w:t>Toda vez que el</w:t>
      </w:r>
      <w:r w:rsidR="008B5E96" w:rsidRPr="004F2200">
        <w:rPr>
          <w:rFonts w:ascii="Palatino Linotype" w:hAnsi="Palatino Linotype"/>
          <w:color w:val="000000" w:themeColor="text1"/>
        </w:rPr>
        <w:t xml:space="preserve"> </w:t>
      </w:r>
      <w:r w:rsidR="008B5E96" w:rsidRPr="004F2200">
        <w:rPr>
          <w:rFonts w:ascii="Palatino Linotype" w:hAnsi="Palatino Linotype"/>
          <w:b/>
          <w:color w:val="000000" w:themeColor="text1"/>
        </w:rPr>
        <w:t xml:space="preserve">Sujeto Obligado </w:t>
      </w:r>
      <w:r w:rsidRPr="004F2200">
        <w:rPr>
          <w:rFonts w:ascii="Palatino Linotype" w:hAnsi="Palatino Linotype"/>
          <w:color w:val="000000" w:themeColor="text1"/>
        </w:rPr>
        <w:t xml:space="preserve">y este Órgano Garante </w:t>
      </w:r>
      <w:r w:rsidR="008B5E96" w:rsidRPr="004F2200">
        <w:rPr>
          <w:rFonts w:ascii="Palatino Linotype" w:hAnsi="Palatino Linotype"/>
          <w:color w:val="000000" w:themeColor="text1"/>
        </w:rPr>
        <w:t>no está</w:t>
      </w:r>
      <w:r w:rsidRPr="004F2200">
        <w:rPr>
          <w:rFonts w:ascii="Palatino Linotype" w:hAnsi="Palatino Linotype"/>
          <w:color w:val="000000" w:themeColor="text1"/>
        </w:rPr>
        <w:t>n</w:t>
      </w:r>
      <w:r w:rsidR="008B5E96" w:rsidRPr="004F2200">
        <w:rPr>
          <w:rFonts w:ascii="Palatino Linotype" w:hAnsi="Palatino Linotype"/>
          <w:color w:val="000000" w:themeColor="text1"/>
        </w:rPr>
        <w:t xml:space="preserve"> facultado para solicitar que una persona se acredite en el ejercicio del derecho de acceso a la información</w:t>
      </w:r>
      <w:r w:rsidR="008B5E96" w:rsidRPr="004F2200">
        <w:rPr>
          <w:rStyle w:val="Refdenotaalpie"/>
          <w:rFonts w:ascii="Palatino Linotype" w:hAnsi="Palatino Linotype" w:cs="Arial"/>
          <w:color w:val="000000" w:themeColor="text1"/>
        </w:rPr>
        <w:footnoteReference w:id="5"/>
      </w:r>
      <w:r w:rsidR="008B5E96" w:rsidRPr="004F2200">
        <w:rPr>
          <w:rFonts w:ascii="Palatino Linotype" w:hAnsi="Palatino Linotype"/>
          <w:color w:val="000000" w:themeColor="text1"/>
        </w:rPr>
        <w:t xml:space="preserve">, </w:t>
      </w:r>
      <w:r w:rsidRPr="004F2200">
        <w:rPr>
          <w:rFonts w:ascii="Palatino Linotype" w:hAnsi="Palatino Linotype"/>
          <w:color w:val="000000" w:themeColor="text1"/>
        </w:rPr>
        <w:t>en virtud de que el derecho en cuestión no exige tal requisito y si obliga a los sujetos obligados a que pongan</w:t>
      </w:r>
      <w:r w:rsidR="008B5E96" w:rsidRPr="004F2200">
        <w:rPr>
          <w:rFonts w:ascii="Palatino Linotype" w:hAnsi="Palatino Linotype"/>
          <w:color w:val="000000" w:themeColor="text1"/>
        </w:rPr>
        <w:t xml:space="preserve"> a disposición de los particulares la información que genera</w:t>
      </w:r>
      <w:r w:rsidRPr="004F2200">
        <w:rPr>
          <w:rFonts w:ascii="Palatino Linotype" w:hAnsi="Palatino Linotype"/>
          <w:color w:val="000000" w:themeColor="text1"/>
        </w:rPr>
        <w:t>n</w:t>
      </w:r>
      <w:r w:rsidR="008B5E96" w:rsidRPr="004F2200">
        <w:rPr>
          <w:rFonts w:ascii="Palatino Linotype" w:hAnsi="Palatino Linotype"/>
          <w:color w:val="000000" w:themeColor="text1"/>
        </w:rPr>
        <w:t>, posee</w:t>
      </w:r>
      <w:r w:rsidRPr="004F2200">
        <w:rPr>
          <w:rFonts w:ascii="Palatino Linotype" w:hAnsi="Palatino Linotype"/>
          <w:color w:val="000000" w:themeColor="text1"/>
        </w:rPr>
        <w:t>n</w:t>
      </w:r>
      <w:r w:rsidR="008B5E96" w:rsidRPr="004F2200">
        <w:rPr>
          <w:rFonts w:ascii="Palatino Linotype" w:hAnsi="Palatino Linotype"/>
          <w:color w:val="000000" w:themeColor="text1"/>
        </w:rPr>
        <w:t xml:space="preserve"> o administra</w:t>
      </w:r>
      <w:r w:rsidRPr="004F2200">
        <w:rPr>
          <w:rFonts w:ascii="Palatino Linotype" w:hAnsi="Palatino Linotype"/>
          <w:color w:val="000000" w:themeColor="text1"/>
        </w:rPr>
        <w:t>n</w:t>
      </w:r>
      <w:r w:rsidR="008B5E96" w:rsidRPr="004F2200">
        <w:rPr>
          <w:rFonts w:ascii="Palatino Linotype" w:hAnsi="Palatino Linotype"/>
          <w:color w:val="000000" w:themeColor="text1"/>
        </w:rPr>
        <w:t xml:space="preserve"> en el ejercicio de sus facultades, funciones y atribuciones, y sólo podrán ser restringida cuando actualice alguno de los supuestos previstos en los artículos 140 y 143 de la Ley Adjetiva, </w:t>
      </w:r>
      <w:r w:rsidR="008B5E96" w:rsidRPr="004F2200">
        <w:rPr>
          <w:rFonts w:ascii="Palatino Linotype" w:hAnsi="Palatino Linotype" w:cs="Arial"/>
          <w:color w:val="000000" w:themeColor="text1"/>
          <w:szCs w:val="22"/>
          <w:lang w:val="es-MX" w:eastAsia="en-US"/>
        </w:rPr>
        <w:t>debiendo anteponer el Derecho a la Protección de Datos Personales ante el Derecho al Acceso a la Información Pública; es decir ponderar el primero sobre el segundo.</w:t>
      </w:r>
    </w:p>
    <w:p w14:paraId="6051D235" w14:textId="77777777" w:rsidR="008B5E96" w:rsidRPr="004F2200" w:rsidRDefault="008B5E96" w:rsidP="008B5E96">
      <w:pPr>
        <w:pStyle w:val="Prrafodelista"/>
        <w:spacing w:before="240" w:after="240" w:line="360" w:lineRule="auto"/>
        <w:ind w:left="0"/>
        <w:jc w:val="both"/>
        <w:rPr>
          <w:rFonts w:ascii="Palatino Linotype" w:hAnsi="Palatino Linotype" w:cs="Arial"/>
          <w:color w:val="000000" w:themeColor="text1"/>
        </w:rPr>
      </w:pPr>
      <w:r w:rsidRPr="004F2200">
        <w:rPr>
          <w:rFonts w:ascii="Palatino Linotype" w:hAnsi="Palatino Linotype"/>
          <w:color w:val="000000" w:themeColor="text1"/>
        </w:rPr>
        <w:t xml:space="preserve">De manera que si bien, pudiera establecerse que el </w:t>
      </w:r>
      <w:r w:rsidRPr="004F2200">
        <w:rPr>
          <w:rFonts w:ascii="Palatino Linotype" w:hAnsi="Palatino Linotype"/>
          <w:b/>
          <w:i/>
          <w:color w:val="000000" w:themeColor="text1"/>
        </w:rPr>
        <w:t xml:space="preserve">Recurrente </w:t>
      </w:r>
      <w:r w:rsidRPr="004F2200">
        <w:rPr>
          <w:rFonts w:ascii="Palatino Linotype" w:hAnsi="Palatino Linotype"/>
          <w:color w:val="000000" w:themeColor="text1"/>
        </w:rPr>
        <w:t xml:space="preserve">en el asunto materia de la resolución que nos ocupa, es el mismo que promovió ante la Cuarta Sala Regional del Tribunal de Justicia Administrativa, no se tiene certeza de ello, ante la falta de requisitos que obliguen a los particulares a acreditar su identidad y toda vez </w:t>
      </w:r>
      <w:r w:rsidRPr="004F2200">
        <w:rPr>
          <w:rFonts w:ascii="Palatino Linotype" w:hAnsi="Palatino Linotype" w:cs="Arial"/>
          <w:color w:val="000000" w:themeColor="text1"/>
        </w:rPr>
        <w:t xml:space="preserve">del anexo a la solicitud de acceso a la información, se tiene que el particular solicitó los documentos en versión pública, lo que redunda en que el hoy </w:t>
      </w:r>
      <w:r w:rsidRPr="004F2200">
        <w:rPr>
          <w:rFonts w:ascii="Palatino Linotype" w:hAnsi="Palatino Linotype" w:cs="Arial"/>
          <w:b/>
          <w:i/>
          <w:color w:val="000000" w:themeColor="text1"/>
        </w:rPr>
        <w:t xml:space="preserve">Recurrente </w:t>
      </w:r>
      <w:r w:rsidRPr="004F2200">
        <w:rPr>
          <w:rFonts w:ascii="Palatino Linotype" w:hAnsi="Palatino Linotype" w:cs="Arial"/>
          <w:color w:val="000000" w:themeColor="text1"/>
        </w:rPr>
        <w:t>no desea acceder, solicitar y ser informado sobre sus datos personales en posesión del sujeto obligado</w:t>
      </w:r>
      <w:r w:rsidRPr="004F2200">
        <w:rPr>
          <w:rStyle w:val="Refdenotaalpie"/>
          <w:rFonts w:ascii="Palatino Linotype" w:hAnsi="Palatino Linotype" w:cs="Arial"/>
          <w:color w:val="000000" w:themeColor="text1"/>
        </w:rPr>
        <w:footnoteReference w:id="6"/>
      </w:r>
      <w:r w:rsidRPr="004F2200">
        <w:rPr>
          <w:rFonts w:ascii="Palatino Linotype" w:hAnsi="Palatino Linotype" w:cs="Arial"/>
          <w:color w:val="000000" w:themeColor="text1"/>
        </w:rPr>
        <w:t xml:space="preserve">, por lo que no actualiza el ejercicio de derechos ARCO que permita cambiar la vía sobre la que se resuelve, y si faculta a este Órgano Garante para que </w:t>
      </w:r>
      <w:r w:rsidRPr="004F2200">
        <w:rPr>
          <w:rFonts w:ascii="Palatino Linotype" w:hAnsi="Palatino Linotype"/>
          <w:color w:val="000000" w:themeColor="text1"/>
        </w:rPr>
        <w:t xml:space="preserve">en términos de los </w:t>
      </w:r>
      <w:r w:rsidRPr="004F2200">
        <w:rPr>
          <w:rFonts w:ascii="Palatino Linotype" w:hAnsi="Palatino Linotype" w:cs="Arial"/>
          <w:color w:val="000000" w:themeColor="text1"/>
        </w:rPr>
        <w:t xml:space="preserve">artículos 190 y 223 en relación directa con el diverso 222, fracción III de la Ley de Transparencia y Acceso a la Información Pública del Estado de México y Municipios, de vista al Contralor Interno y Titular del Órgano de Control y Vigilancia de este Instituto, </w:t>
      </w:r>
      <w:r w:rsidRPr="004F2200">
        <w:rPr>
          <w:rFonts w:ascii="Palatino Linotype" w:hAnsi="Palatino Linotype"/>
          <w:color w:val="000000" w:themeColor="text1"/>
        </w:rPr>
        <w:t xml:space="preserve">ante la falta de previsiones para salvaguardar los datos personales sensibles de terceras personas, </w:t>
      </w:r>
      <w:r w:rsidRPr="004F2200">
        <w:rPr>
          <w:rFonts w:ascii="Palatino Linotype" w:hAnsi="Palatino Linotype" w:cs="Arial"/>
          <w:color w:val="000000" w:themeColor="text1"/>
        </w:rPr>
        <w:t>para que en términos de la Ley de Responsabilidades de los Servidores Públicos del Estado de México y Municipios determine el grado de responsabilidad, o en su caso, haga del conocimiento a la Contraloría Interna del Sujeto Obligado para que determine lo conducente.</w:t>
      </w:r>
    </w:p>
    <w:p w14:paraId="03656F73" w14:textId="03F132AF" w:rsidR="008B5E96" w:rsidRPr="004F2200" w:rsidRDefault="000C03E5" w:rsidP="00D423D4">
      <w:p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color w:val="000000" w:themeColor="text1"/>
        </w:rPr>
        <w:t xml:space="preserve">En virtud, de que es deber del </w:t>
      </w:r>
      <w:r w:rsidRPr="004F2200">
        <w:rPr>
          <w:rFonts w:ascii="Palatino Linotype" w:hAnsi="Palatino Linotype"/>
          <w:b/>
          <w:color w:val="000000" w:themeColor="text1"/>
        </w:rPr>
        <w:t xml:space="preserve">Sujeto Obligado </w:t>
      </w:r>
      <w:r w:rsidRPr="004F2200">
        <w:rPr>
          <w:rFonts w:ascii="Palatino Linotype" w:hAnsi="Palatino Linotype"/>
          <w:color w:val="000000" w:themeColor="text1"/>
        </w:rPr>
        <w:t xml:space="preserve">establecer medidas de seguridad administrativas, físicas y técnicas para garantizar la integridad, confidencialidad y disponibilidad de los datos personales, a través de controles y acciones que eviten su daño, alteración, perdida, destrucción, o el uso, transferencia, acceso o cualquier tratamiento no autorizado o </w:t>
      </w:r>
      <w:r w:rsidR="00A46C87" w:rsidRPr="004F2200">
        <w:rPr>
          <w:rFonts w:ascii="Palatino Linotype" w:hAnsi="Palatino Linotype"/>
          <w:color w:val="000000" w:themeColor="text1"/>
        </w:rPr>
        <w:t xml:space="preserve">ilícito. Deber que el Tribunal de Justicia Administrativa no está atendiendo según los párrafos que preceden, aunado a que en los documentos entregados mediante informe justificado también se dejaron visibles datos personales, lo que impidió que fueran hechos del conocimiento del particular. </w:t>
      </w:r>
    </w:p>
    <w:p w14:paraId="00495E83" w14:textId="4AD00E01" w:rsidR="00A46C87" w:rsidRPr="004F2200" w:rsidRDefault="00A46C87" w:rsidP="00A46C87">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olor w:val="000000" w:themeColor="text1"/>
        </w:rPr>
        <w:t xml:space="preserve">Una vez expuesto lo anterior, se procede al análisis de la normativa aplicable al </w:t>
      </w:r>
      <w:r w:rsidRPr="004F2200">
        <w:rPr>
          <w:rFonts w:ascii="Palatino Linotype" w:hAnsi="Palatino Linotype"/>
          <w:b/>
          <w:color w:val="000000" w:themeColor="text1"/>
        </w:rPr>
        <w:t xml:space="preserve">Sujeto Obligado, </w:t>
      </w:r>
      <w:r w:rsidRPr="004F2200">
        <w:rPr>
          <w:rFonts w:ascii="Palatino Linotype" w:hAnsi="Palatino Linotype"/>
          <w:color w:val="000000" w:themeColor="text1"/>
        </w:rPr>
        <w:t xml:space="preserve">que se comienza a partir de lo establecido en el </w:t>
      </w:r>
      <w:r w:rsidRPr="004F2200">
        <w:rPr>
          <w:rFonts w:ascii="Palatino Linotype" w:hAnsi="Palatino Linotype" w:cs="Arial"/>
          <w:color w:val="000000" w:themeColor="text1"/>
        </w:rPr>
        <w:t xml:space="preserve">Código de Procedimientos Administrativos del Estado de México, por ser el instrumento jurídico que regula los actos y procedimientos administrativos del </w:t>
      </w:r>
      <w:r w:rsidRPr="004F2200">
        <w:rPr>
          <w:rFonts w:ascii="Palatino Linotype" w:hAnsi="Palatino Linotype" w:cs="Arial"/>
          <w:b/>
          <w:color w:val="000000" w:themeColor="text1"/>
        </w:rPr>
        <w:t xml:space="preserve">Sujeto Obligado, </w:t>
      </w:r>
      <w:r w:rsidRPr="004F2200">
        <w:rPr>
          <w:rFonts w:ascii="Palatino Linotype" w:hAnsi="Palatino Linotype" w:cs="Arial"/>
          <w:color w:val="000000" w:themeColor="text1"/>
        </w:rPr>
        <w:t>antes denominado Tribunal de lo Contencioso Administrativo del Estado de México.</w:t>
      </w:r>
    </w:p>
    <w:p w14:paraId="3196358E" w14:textId="41B60E24" w:rsidR="00A46C87" w:rsidRPr="004F2200" w:rsidRDefault="00A46C87" w:rsidP="00D423D4">
      <w:pPr>
        <w:autoSpaceDE w:val="0"/>
        <w:autoSpaceDN w:val="0"/>
        <w:adjustRightInd w:val="0"/>
        <w:spacing w:before="240" w:after="240" w:line="360" w:lineRule="auto"/>
        <w:ind w:right="-91"/>
        <w:jc w:val="both"/>
        <w:rPr>
          <w:rFonts w:ascii="Palatino Linotype" w:hAnsi="Palatino Linotype"/>
          <w:color w:val="000000" w:themeColor="text1"/>
        </w:rPr>
      </w:pPr>
    </w:p>
    <w:p w14:paraId="539411BD" w14:textId="670986FC" w:rsidR="00A46C87" w:rsidRPr="004F2200" w:rsidRDefault="00A46C87" w:rsidP="00A46C87">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olor w:val="000000" w:themeColor="text1"/>
        </w:rPr>
        <w:t xml:space="preserve">Mismo que en su artículo 7, dispone que </w:t>
      </w:r>
      <w:r w:rsidRPr="004F2200">
        <w:rPr>
          <w:rFonts w:ascii="Palatino Linotype" w:hAnsi="Palatino Linotype" w:cs="Arial"/>
          <w:color w:val="000000" w:themeColor="text1"/>
        </w:rPr>
        <w:t>las promociones y actuaciones del procedimiento y proceso administrativo se presentarán o realizarán en forma escrita, aún y cuando y cuando se hayan desahogado diligencias de</w:t>
      </w:r>
      <w:r w:rsidR="00C2459C" w:rsidRPr="004F2200">
        <w:rPr>
          <w:rFonts w:ascii="Palatino Linotype" w:hAnsi="Palatino Linotype" w:cs="Arial"/>
          <w:color w:val="000000" w:themeColor="text1"/>
        </w:rPr>
        <w:t xml:space="preserve"> manera oral</w:t>
      </w:r>
      <w:r w:rsidRPr="004F2200">
        <w:rPr>
          <w:rFonts w:ascii="Palatino Linotype" w:hAnsi="Palatino Linotype" w:cs="Arial"/>
          <w:color w:val="000000" w:themeColor="text1"/>
        </w:rPr>
        <w:t>, según se puede leer enseguida:</w:t>
      </w:r>
    </w:p>
    <w:p w14:paraId="72796DBA" w14:textId="77777777" w:rsidR="00A46C87" w:rsidRPr="004F2200" w:rsidRDefault="00A46C87" w:rsidP="00A46C87">
      <w:pPr>
        <w:autoSpaceDE w:val="0"/>
        <w:autoSpaceDN w:val="0"/>
        <w:adjustRightInd w:val="0"/>
        <w:spacing w:after="120"/>
        <w:ind w:left="851" w:right="902"/>
        <w:jc w:val="both"/>
        <w:rPr>
          <w:rFonts w:ascii="Palatino Linotype" w:hAnsi="Palatino Linotype"/>
          <w:i/>
          <w:color w:val="000000" w:themeColor="text1"/>
          <w:sz w:val="20"/>
          <w:szCs w:val="20"/>
        </w:rPr>
      </w:pPr>
      <w:r w:rsidRPr="004F2200">
        <w:rPr>
          <w:rFonts w:ascii="Palatino Linotype" w:hAnsi="Palatino Linotype"/>
          <w:b/>
          <w:i/>
          <w:color w:val="000000" w:themeColor="text1"/>
          <w:sz w:val="20"/>
          <w:szCs w:val="20"/>
        </w:rPr>
        <w:t>“Artículo 7.-</w:t>
      </w:r>
      <w:r w:rsidRPr="004F2200">
        <w:rPr>
          <w:rFonts w:ascii="Palatino Linotype" w:hAnsi="Palatino Linotype"/>
          <w:i/>
          <w:color w:val="000000" w:themeColor="text1"/>
          <w:sz w:val="20"/>
          <w:szCs w:val="20"/>
        </w:rPr>
        <w:t xml:space="preserve"> Las promociones y actuaciones del procedimiento y proceso administrativo se presentarán o realizarán en forma escrita. Cuando una diligencia se practique de manera oral, deberá documentarse inmediatamente su desarrollo. </w:t>
      </w:r>
    </w:p>
    <w:p w14:paraId="37737241" w14:textId="77777777" w:rsidR="00A46C87" w:rsidRPr="004F2200" w:rsidRDefault="00A46C87" w:rsidP="00A46C87">
      <w:pPr>
        <w:autoSpaceDE w:val="0"/>
        <w:autoSpaceDN w:val="0"/>
        <w:adjustRightInd w:val="0"/>
        <w:spacing w:after="120"/>
        <w:ind w:left="851" w:right="902"/>
        <w:jc w:val="both"/>
        <w:rPr>
          <w:rFonts w:ascii="Palatino Linotype" w:hAnsi="Palatino Linotype" w:cs="Arial"/>
          <w:i/>
          <w:color w:val="000000" w:themeColor="text1"/>
          <w:sz w:val="20"/>
          <w:szCs w:val="20"/>
        </w:rPr>
      </w:pPr>
      <w:r w:rsidRPr="004F2200">
        <w:rPr>
          <w:rFonts w:ascii="Palatino Linotype" w:hAnsi="Palatino Linotype"/>
          <w:i/>
          <w:color w:val="000000" w:themeColor="text1"/>
          <w:sz w:val="20"/>
          <w:szCs w:val="20"/>
        </w:rPr>
        <w:t>Para documentar el procedimiento y proceso administrativo podrán utilizarse impresos que estén legalmente autorizados, así como los elementos incorporables a un sistema de compilación y reproducción mecánico o electrónico, que garantice su conservación y recuperación completa y fidedigna.”</w:t>
      </w:r>
    </w:p>
    <w:p w14:paraId="62F300DA" w14:textId="77777777" w:rsidR="00A46C87" w:rsidRPr="004F2200" w:rsidRDefault="00A46C87" w:rsidP="00A46C87">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s="Arial"/>
          <w:color w:val="000000" w:themeColor="text1"/>
        </w:rPr>
        <w:t>Lo cual encuentra congruencia en los artículos 14 y 16 de la Constitución Política de los Estados Unidos Mexicanos, de los que deriva que todo acto de autoridad que entrañe afectación a los derechos de un particular deberá apegarse a las formalidades esenciales de los procedimientos y conforme a las leyes expedidas, que incluso instituyen que los juicios y procedimientos en los que se establezca como regla la oralidad, deberá quedar constancia de ellos en cualquier medio que dé certeza de su contenido.</w:t>
      </w:r>
    </w:p>
    <w:p w14:paraId="500A9504" w14:textId="3EA1EA53" w:rsidR="00C2459C" w:rsidRPr="004F2200" w:rsidRDefault="00C2459C" w:rsidP="00C2459C">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s="Arial"/>
          <w:color w:val="000000" w:themeColor="text1"/>
        </w:rPr>
        <w:t>De las normas constitucionales referidas se desprende que el Tribunal de Justicia Administrativa del Estado de México, debe cumplir con la interpelación de legalidad y seguridad jurídica de todo proceso administrativo que se traduce en una exigencia de hacer constar por escrito cada una de las actuaciones del procedimiento al ser una exigencia del artículo 14 Constitucional y demás disposiciones aplicables. Sirve de sustento por analogía la tesis aislada de la Suprema Corte de Justicia de la Nacional, que se cita:</w:t>
      </w:r>
    </w:p>
    <w:p w14:paraId="4103A022" w14:textId="77777777" w:rsidR="00C2459C" w:rsidRPr="004F2200" w:rsidRDefault="00C2459C" w:rsidP="00C2459C">
      <w:pPr>
        <w:autoSpaceDE w:val="0"/>
        <w:autoSpaceDN w:val="0"/>
        <w:adjustRightInd w:val="0"/>
        <w:spacing w:after="120"/>
        <w:ind w:left="851" w:right="902"/>
        <w:jc w:val="both"/>
        <w:rPr>
          <w:rFonts w:ascii="Palatino Linotype" w:hAnsi="Palatino Linotype" w:cs="Arial"/>
          <w:i/>
          <w:color w:val="000000" w:themeColor="text1"/>
          <w:sz w:val="20"/>
          <w:szCs w:val="20"/>
        </w:rPr>
      </w:pPr>
      <w:r w:rsidRPr="004F2200">
        <w:rPr>
          <w:rFonts w:ascii="Palatino Linotype" w:hAnsi="Palatino Linotype" w:cs="Arial"/>
          <w:b/>
          <w:i/>
          <w:color w:val="000000" w:themeColor="text1"/>
          <w:sz w:val="20"/>
          <w:szCs w:val="20"/>
        </w:rPr>
        <w:t>“PRINCIPIO DE ORALIDAD EN EL PROCEDIMIENTO LABORAL. IMPLICA QUE SE DÉ PREVALENCIA EN EL JUICIO A LA PALABRA HABLADA, SIN EXCLUIR A LA FORMA ESCRITA QUE LA COMPLEMENTA.</w:t>
      </w:r>
      <w:r w:rsidRPr="004F2200">
        <w:rPr>
          <w:rFonts w:ascii="Palatino Linotype" w:hAnsi="Palatino Linotype" w:cs="Arial"/>
          <w:i/>
          <w:color w:val="000000" w:themeColor="text1"/>
          <w:sz w:val="20"/>
          <w:szCs w:val="20"/>
        </w:rPr>
        <w:t xml:space="preserve"> Conforme al artículo 685 de la Ley Federal del Trabajo, el procedimiento laboral es predominantemente oral, lo que implica que se dé prevalencia a la palabra hablada, lo que obliga a las partes a comparecer durante las diversas etapas y externar las manifestaciones que estimen necesarias para su adecuada defensa. Por su parte, el artículo 721 de la citada ley, precisa, en lo que interesa, que lo actuado en las audiencias se hará constar en actas, las que deberán ser firmadas por las personas que en ellas intervinieron, y que todas las actuaciones procesales serán autorizadas por el secretario, salvo aquellas diligencias encomendadas a otros funcionarios. De ello se evidencia que la oralidad no excluye a la forma escrita, sino que la complementa, pues resulta indispensable que todas las intervenciones y manifestaciones de las partes queden asentadas de manera escrita, con el objeto de tener la certeza de la forma y condiciones en que se desenvolvió el procedimiento, y será esto la herramienta que utilice el juzgador para resolver lo pretendido o alegado por los contendientes.”</w:t>
      </w:r>
    </w:p>
    <w:p w14:paraId="07121636" w14:textId="3DFF9BF9" w:rsidR="00C2459C" w:rsidRPr="004F2200" w:rsidRDefault="00C2459C" w:rsidP="00D423D4">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olor w:val="000000" w:themeColor="text1"/>
        </w:rPr>
        <w:t>En esa tesitura se tiene que el</w:t>
      </w:r>
      <w:r w:rsidRPr="004F2200">
        <w:rPr>
          <w:rFonts w:ascii="Palatino Linotype" w:hAnsi="Palatino Linotype" w:cs="Arial"/>
          <w:color w:val="000000" w:themeColor="text1"/>
        </w:rPr>
        <w:t xml:space="preserve"> particular está interesado en conocer promociones y actuaciones relacionadas con un procedimiento administrativo seguido en el Tribunal de Justicia Administrativa, según se analiza </w:t>
      </w:r>
      <w:r w:rsidR="00683607" w:rsidRPr="004F2200">
        <w:rPr>
          <w:rFonts w:ascii="Palatino Linotype" w:hAnsi="Palatino Linotype" w:cs="Arial"/>
          <w:color w:val="000000" w:themeColor="text1"/>
        </w:rPr>
        <w:t xml:space="preserve">en </w:t>
      </w:r>
      <w:r w:rsidRPr="004F2200">
        <w:rPr>
          <w:rFonts w:ascii="Palatino Linotype" w:hAnsi="Palatino Linotype" w:cs="Arial"/>
          <w:color w:val="000000" w:themeColor="text1"/>
        </w:rPr>
        <w:t>cada uno de los requerimientos.</w:t>
      </w:r>
    </w:p>
    <w:p w14:paraId="5C898DF2" w14:textId="77777777" w:rsidR="00C2459C" w:rsidRPr="004F2200" w:rsidRDefault="00C2459C" w:rsidP="00C2459C">
      <w:pPr>
        <w:pStyle w:val="Prrafodelista"/>
        <w:numPr>
          <w:ilvl w:val="0"/>
          <w:numId w:val="11"/>
        </w:numPr>
        <w:spacing w:before="240" w:after="240" w:line="360" w:lineRule="auto"/>
        <w:jc w:val="both"/>
        <w:rPr>
          <w:rFonts w:ascii="Palatino Linotype" w:hAnsi="Palatino Linotype" w:cs="Arial"/>
          <w:b/>
          <w:color w:val="000000" w:themeColor="text1"/>
        </w:rPr>
      </w:pPr>
      <w:r w:rsidRPr="004F2200">
        <w:rPr>
          <w:rFonts w:ascii="Palatino Linotype" w:hAnsi="Palatino Linotype" w:cs="Arial"/>
          <w:b/>
          <w:color w:val="000000" w:themeColor="text1"/>
        </w:rPr>
        <w:t>Las documentales que se hayan generado con motivo de la comparecencia del dieciocho de junio de dos mil dieciocho en la Cuarta Sala Regional mediante la cual se le entregó un cheque y rechazo bancario.</w:t>
      </w:r>
    </w:p>
    <w:p w14:paraId="641B0633" w14:textId="37EE3BB0" w:rsidR="00C2459C" w:rsidRPr="004F2200" w:rsidRDefault="00C2459C" w:rsidP="00C2459C">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Al respecto, el </w:t>
      </w:r>
      <w:r w:rsidRPr="004F2200">
        <w:rPr>
          <w:rFonts w:ascii="Palatino Linotype" w:hAnsi="Palatino Linotype" w:cs="Arial"/>
          <w:b/>
          <w:color w:val="000000" w:themeColor="text1"/>
        </w:rPr>
        <w:t xml:space="preserve">Sujeto Obligado </w:t>
      </w:r>
      <w:r w:rsidRPr="004F2200">
        <w:rPr>
          <w:rFonts w:ascii="Palatino Linotype" w:hAnsi="Palatino Linotype" w:cs="Arial"/>
          <w:color w:val="000000" w:themeColor="text1"/>
        </w:rPr>
        <w:t>envió la comparecencia registrada en el juicio administrativo 258/2017, de fecha dieciocho de junio de la presente anualidad, acto en el que se entregó el cheque 0002154 de la Institución de Crédito BANORTE al promovente quien lo recibió a su entera satisfacci</w:t>
      </w:r>
      <w:r w:rsidR="00B97249" w:rsidRPr="004F2200">
        <w:rPr>
          <w:rFonts w:ascii="Palatino Linotype" w:hAnsi="Palatino Linotype" w:cs="Arial"/>
          <w:color w:val="000000" w:themeColor="text1"/>
        </w:rPr>
        <w:t>ón, que se inserta para mayor referencia a las partes:</w:t>
      </w:r>
    </w:p>
    <w:p w14:paraId="3057EB65" w14:textId="4974990B" w:rsidR="00B97249" w:rsidRPr="004F2200" w:rsidRDefault="00B97249" w:rsidP="00B97249">
      <w:pPr>
        <w:spacing w:before="240" w:after="240" w:line="360" w:lineRule="auto"/>
        <w:jc w:val="center"/>
        <w:rPr>
          <w:rFonts w:ascii="Palatino Linotype" w:hAnsi="Palatino Linotype" w:cs="Arial"/>
          <w:color w:val="000000" w:themeColor="text1"/>
        </w:rPr>
      </w:pPr>
      <w:r w:rsidRPr="004F2200">
        <w:rPr>
          <w:rFonts w:ascii="Palatino Linotype" w:hAnsi="Palatino Linotype" w:cs="Arial"/>
          <w:noProof/>
          <w:color w:val="000000" w:themeColor="text1"/>
          <w:lang w:val="es-MX" w:eastAsia="es-MX"/>
        </w:rPr>
        <w:drawing>
          <wp:inline distT="0" distB="0" distL="0" distR="0" wp14:anchorId="19200720" wp14:editId="7CBE1F14">
            <wp:extent cx="3512820" cy="161809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7397" cy="1624805"/>
                    </a:xfrm>
                    <a:prstGeom prst="rect">
                      <a:avLst/>
                    </a:prstGeom>
                  </pic:spPr>
                </pic:pic>
              </a:graphicData>
            </a:graphic>
          </wp:inline>
        </w:drawing>
      </w:r>
    </w:p>
    <w:p w14:paraId="00B9D895" w14:textId="3068E24F" w:rsidR="000F7209" w:rsidRPr="004F2200" w:rsidRDefault="000F7209" w:rsidP="00C2459C">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Soporte documental que contiene los hechos narrados por el particular, lo que conlleva a decir que el </w:t>
      </w:r>
      <w:r w:rsidRPr="004F2200">
        <w:rPr>
          <w:rFonts w:ascii="Palatino Linotype" w:hAnsi="Palatino Linotype" w:cs="Arial"/>
          <w:b/>
          <w:color w:val="000000" w:themeColor="text1"/>
        </w:rPr>
        <w:t xml:space="preserve">Sujeto Obligado </w:t>
      </w:r>
      <w:r w:rsidRPr="004F2200">
        <w:rPr>
          <w:rFonts w:ascii="Palatino Linotype" w:hAnsi="Palatino Linotype" w:cs="Arial"/>
          <w:color w:val="000000" w:themeColor="text1"/>
        </w:rPr>
        <w:t xml:space="preserve">efectivamente genera, posee o administra el documento solicitado, tan es así, que lo envió al momento de rendir su informe justificado, pero que esta Ponencia determino no hacer del conocimiento del particular hoy </w:t>
      </w:r>
      <w:r w:rsidRPr="004F2200">
        <w:rPr>
          <w:rFonts w:ascii="Palatino Linotype" w:hAnsi="Palatino Linotype" w:cs="Arial"/>
          <w:b/>
          <w:i/>
          <w:color w:val="000000" w:themeColor="text1"/>
        </w:rPr>
        <w:t xml:space="preserve">Recurrente </w:t>
      </w:r>
      <w:r w:rsidRPr="004F2200">
        <w:rPr>
          <w:rFonts w:ascii="Palatino Linotype" w:hAnsi="Palatino Linotype" w:cs="Arial"/>
          <w:color w:val="000000" w:themeColor="text1"/>
        </w:rPr>
        <w:t>en razón a que el acuerdo de clasificación de información no colma los extremos legales de la Ley de Transparencia en la entidad, como se verá más adelante.</w:t>
      </w:r>
    </w:p>
    <w:p w14:paraId="2417516F" w14:textId="77777777" w:rsidR="00C2459C" w:rsidRPr="004F2200" w:rsidRDefault="00C2459C" w:rsidP="00C2459C">
      <w:pPr>
        <w:pStyle w:val="Prrafodelista"/>
        <w:numPr>
          <w:ilvl w:val="0"/>
          <w:numId w:val="11"/>
        </w:numPr>
        <w:spacing w:before="240" w:after="240" w:line="360" w:lineRule="auto"/>
        <w:jc w:val="both"/>
        <w:rPr>
          <w:rFonts w:ascii="Palatino Linotype" w:hAnsi="Palatino Linotype" w:cs="Arial"/>
          <w:b/>
          <w:color w:val="000000" w:themeColor="text1"/>
        </w:rPr>
      </w:pPr>
      <w:r w:rsidRPr="004F2200">
        <w:rPr>
          <w:rFonts w:ascii="Palatino Linotype" w:hAnsi="Palatino Linotype" w:cs="Arial"/>
          <w:b/>
          <w:color w:val="000000" w:themeColor="text1"/>
        </w:rPr>
        <w:t>Copia del cheque y rechazo bancario.</w:t>
      </w:r>
    </w:p>
    <w:p w14:paraId="42BECC09" w14:textId="4919128A" w:rsidR="000F7209" w:rsidRPr="004F2200" w:rsidRDefault="000F7209" w:rsidP="000F7209">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El Tribunal de Justicia Administrativa envió documento que contiene la imagen de un cheque y rechazo bancario, mismos que se tienen como los solicitados, en virtud, de que el particular hoy </w:t>
      </w:r>
      <w:r w:rsidRPr="004F2200">
        <w:rPr>
          <w:rFonts w:ascii="Palatino Linotype" w:hAnsi="Palatino Linotype" w:cs="Arial"/>
          <w:b/>
          <w:i/>
          <w:color w:val="000000" w:themeColor="text1"/>
        </w:rPr>
        <w:t xml:space="preserve">Recurrente </w:t>
      </w:r>
      <w:r w:rsidRPr="004F2200">
        <w:rPr>
          <w:rFonts w:ascii="Palatino Linotype" w:hAnsi="Palatino Linotype" w:cs="Arial"/>
          <w:color w:val="000000" w:themeColor="text1"/>
        </w:rPr>
        <w:t xml:space="preserve">adjuntó a su escrito de interposición del presente medio de defensa el archivo </w:t>
      </w:r>
      <w:r w:rsidRPr="004F2200">
        <w:rPr>
          <w:rFonts w:ascii="Palatino Linotype" w:hAnsi="Palatino Linotype" w:cs="Arial"/>
          <w:b/>
          <w:color w:val="000000" w:themeColor="text1"/>
        </w:rPr>
        <w:t xml:space="preserve"> 20180711_100638.jpg</w:t>
      </w:r>
      <w:r w:rsidRPr="004F2200">
        <w:rPr>
          <w:rFonts w:ascii="Palatino Linotype" w:hAnsi="Palatino Linotype" w:cs="Arial"/>
          <w:color w:val="000000" w:themeColor="text1"/>
        </w:rPr>
        <w:t xml:space="preserve"> en el que se refiere el cheque con el mismo número de folio 002154 entregado por el </w:t>
      </w:r>
      <w:r w:rsidRPr="004F2200">
        <w:rPr>
          <w:rFonts w:ascii="Palatino Linotype" w:hAnsi="Palatino Linotype" w:cs="Arial"/>
          <w:b/>
          <w:color w:val="000000" w:themeColor="text1"/>
        </w:rPr>
        <w:t xml:space="preserve">Sujeto Obligado, </w:t>
      </w:r>
      <w:r w:rsidRPr="004F2200">
        <w:rPr>
          <w:rFonts w:ascii="Palatino Linotype" w:hAnsi="Palatino Linotype" w:cs="Arial"/>
          <w:color w:val="000000" w:themeColor="text1"/>
        </w:rPr>
        <w:t>por lo que resulta procedente ordenar</w:t>
      </w:r>
      <w:r w:rsidR="00975B10" w:rsidRPr="004F2200">
        <w:rPr>
          <w:rFonts w:ascii="Palatino Linotype" w:hAnsi="Palatino Linotype" w:cs="Arial"/>
          <w:color w:val="000000" w:themeColor="text1"/>
        </w:rPr>
        <w:t>los</w:t>
      </w:r>
      <w:r w:rsidRPr="004F2200">
        <w:rPr>
          <w:rFonts w:ascii="Palatino Linotype" w:hAnsi="Palatino Linotype" w:cs="Arial"/>
          <w:color w:val="000000" w:themeColor="text1"/>
        </w:rPr>
        <w:t xml:space="preserve"> ante la falta de eficacia del acuerdo de clasificación, de los cuales el particular podrán obtener las copias que considere necesarias</w:t>
      </w:r>
      <w:r w:rsidR="00A518E3" w:rsidRPr="004F2200">
        <w:rPr>
          <w:rFonts w:ascii="Palatino Linotype" w:hAnsi="Palatino Linotype" w:cs="Arial"/>
          <w:color w:val="000000" w:themeColor="text1"/>
        </w:rPr>
        <w:t>.</w:t>
      </w:r>
    </w:p>
    <w:p w14:paraId="107F42D2" w14:textId="65FF2EBD" w:rsidR="00B97249" w:rsidRPr="004F2200" w:rsidRDefault="00B97249" w:rsidP="00B97249">
      <w:pPr>
        <w:spacing w:before="240" w:after="240" w:line="360" w:lineRule="auto"/>
        <w:jc w:val="center"/>
        <w:rPr>
          <w:rFonts w:ascii="Palatino Linotype" w:hAnsi="Palatino Linotype" w:cs="Arial"/>
          <w:color w:val="000000" w:themeColor="text1"/>
        </w:rPr>
      </w:pPr>
      <w:r w:rsidRPr="004F2200">
        <w:rPr>
          <w:rFonts w:ascii="Palatino Linotype" w:hAnsi="Palatino Linotype" w:cs="Arial"/>
          <w:noProof/>
          <w:color w:val="000000" w:themeColor="text1"/>
          <w:lang w:val="es-MX" w:eastAsia="es-MX"/>
        </w:rPr>
        <w:drawing>
          <wp:inline distT="0" distB="0" distL="0" distR="0" wp14:anchorId="09B105B8" wp14:editId="67351D63">
            <wp:extent cx="3829584" cy="21910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9584" cy="2191056"/>
                    </a:xfrm>
                    <a:prstGeom prst="rect">
                      <a:avLst/>
                    </a:prstGeom>
                  </pic:spPr>
                </pic:pic>
              </a:graphicData>
            </a:graphic>
          </wp:inline>
        </w:drawing>
      </w:r>
    </w:p>
    <w:p w14:paraId="2D9BE4F8" w14:textId="77777777" w:rsidR="00C2459C" w:rsidRPr="004F2200" w:rsidRDefault="00C2459C" w:rsidP="00C2459C">
      <w:pPr>
        <w:pStyle w:val="Prrafodelista"/>
        <w:numPr>
          <w:ilvl w:val="0"/>
          <w:numId w:val="11"/>
        </w:numPr>
        <w:spacing w:before="240" w:after="240" w:line="360" w:lineRule="auto"/>
        <w:jc w:val="both"/>
        <w:rPr>
          <w:rFonts w:ascii="Palatino Linotype" w:hAnsi="Palatino Linotype" w:cs="Arial"/>
          <w:b/>
          <w:color w:val="000000" w:themeColor="text1"/>
        </w:rPr>
      </w:pPr>
      <w:r w:rsidRPr="004F2200">
        <w:rPr>
          <w:rFonts w:ascii="Palatino Linotype" w:hAnsi="Palatino Linotype" w:cs="Arial"/>
          <w:b/>
          <w:color w:val="000000" w:themeColor="text1"/>
        </w:rPr>
        <w:t>Documento que haga constar que el cheque y rechazo bancario fue entregado al Asesor Comisionado adscrito a la Cuarta Sala Regional.</w:t>
      </w:r>
    </w:p>
    <w:p w14:paraId="538C9100" w14:textId="7455488E" w:rsidR="00C2459C" w:rsidRPr="004F2200" w:rsidRDefault="00A518E3" w:rsidP="00D423D4">
      <w:p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color w:val="000000" w:themeColor="text1"/>
        </w:rPr>
        <w:t>De la revisión al expediente electrónico se advierte</w:t>
      </w:r>
      <w:r w:rsidR="00885D71" w:rsidRPr="004F2200">
        <w:rPr>
          <w:rFonts w:ascii="Palatino Linotype" w:hAnsi="Palatino Linotype"/>
          <w:color w:val="000000" w:themeColor="text1"/>
        </w:rPr>
        <w:t>,</w:t>
      </w:r>
      <w:r w:rsidRPr="004F2200">
        <w:rPr>
          <w:rFonts w:ascii="Palatino Linotype" w:hAnsi="Palatino Linotype"/>
          <w:color w:val="000000" w:themeColor="text1"/>
        </w:rPr>
        <w:t xml:space="preserve"> que el </w:t>
      </w:r>
      <w:r w:rsidRPr="004F2200">
        <w:rPr>
          <w:rFonts w:ascii="Palatino Linotype" w:hAnsi="Palatino Linotype"/>
          <w:b/>
          <w:color w:val="000000" w:themeColor="text1"/>
        </w:rPr>
        <w:t xml:space="preserve">Sujeto Obligado </w:t>
      </w:r>
      <w:r w:rsidRPr="004F2200">
        <w:rPr>
          <w:rFonts w:ascii="Palatino Linotype" w:hAnsi="Palatino Linotype"/>
          <w:color w:val="000000" w:themeColor="text1"/>
        </w:rPr>
        <w:t>entregó la promoción 5507, relativa al juicio administrativo 610/2016 emitida y signada por el Asesor Comisionado</w:t>
      </w:r>
      <w:r w:rsidR="00885D71" w:rsidRPr="004F2200">
        <w:rPr>
          <w:rFonts w:ascii="Palatino Linotype" w:hAnsi="Palatino Linotype"/>
          <w:color w:val="000000" w:themeColor="text1"/>
        </w:rPr>
        <w:t>, que responde al nombre de Rubén Omar Cruz López, según se corrobora con la siguiente imagen que obra en el expediente:</w:t>
      </w:r>
    </w:p>
    <w:p w14:paraId="410DF768" w14:textId="5DAC2EBF" w:rsidR="00885D71" w:rsidRPr="004F2200" w:rsidRDefault="00885D71" w:rsidP="00885D71">
      <w:pPr>
        <w:autoSpaceDE w:val="0"/>
        <w:autoSpaceDN w:val="0"/>
        <w:adjustRightInd w:val="0"/>
        <w:spacing w:before="240" w:after="240" w:line="360" w:lineRule="auto"/>
        <w:ind w:right="-91"/>
        <w:jc w:val="center"/>
        <w:rPr>
          <w:rFonts w:ascii="Palatino Linotype" w:hAnsi="Palatino Linotype"/>
          <w:color w:val="000000" w:themeColor="text1"/>
        </w:rPr>
      </w:pPr>
      <w:r w:rsidRPr="004F2200">
        <w:rPr>
          <w:rFonts w:ascii="Palatino Linotype" w:hAnsi="Palatino Linotype"/>
          <w:noProof/>
          <w:color w:val="000000" w:themeColor="text1"/>
          <w:lang w:val="es-MX" w:eastAsia="es-MX"/>
        </w:rPr>
        <w:drawing>
          <wp:inline distT="0" distB="0" distL="0" distR="0" wp14:anchorId="046C826E" wp14:editId="4FE83EB2">
            <wp:extent cx="3787140" cy="1237527"/>
            <wp:effectExtent l="0" t="0" r="381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7037" cy="1244029"/>
                    </a:xfrm>
                    <a:prstGeom prst="rect">
                      <a:avLst/>
                    </a:prstGeom>
                  </pic:spPr>
                </pic:pic>
              </a:graphicData>
            </a:graphic>
          </wp:inline>
        </w:drawing>
      </w:r>
    </w:p>
    <w:p w14:paraId="30D493D7" w14:textId="7C9C9635" w:rsidR="00F57B59" w:rsidRPr="004F2200" w:rsidRDefault="00B97249" w:rsidP="00F57B59">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olor w:val="000000" w:themeColor="text1"/>
        </w:rPr>
        <w:t xml:space="preserve">Documento que colma el requerimiento de información, no así el derecho de acceso a la información del particular por las mismas razones que los requerimientos anteriores, toda vez que </w:t>
      </w:r>
      <w:r w:rsidR="00F57B59" w:rsidRPr="004F2200">
        <w:rPr>
          <w:rFonts w:ascii="Palatino Linotype" w:hAnsi="Palatino Linotype"/>
          <w:color w:val="000000" w:themeColor="text1"/>
        </w:rPr>
        <w:t xml:space="preserve">el mismo </w:t>
      </w:r>
      <w:r w:rsidR="00F57B59" w:rsidRPr="004F2200">
        <w:rPr>
          <w:rFonts w:ascii="Palatino Linotype" w:hAnsi="Palatino Linotype" w:cs="Arial"/>
          <w:color w:val="000000" w:themeColor="text1"/>
        </w:rPr>
        <w:t>hace constar que el cheque y rechazo bancario fueron entregados al Asesor Comisionado, ante la premisa de que fue el mismo Servidor Público quien promovió en el expediente del juicio administrativo 610/2016 a efectos de que se ordenar</w:t>
      </w:r>
      <w:r w:rsidR="00184E7E" w:rsidRPr="004F2200">
        <w:rPr>
          <w:rFonts w:ascii="Palatino Linotype" w:hAnsi="Palatino Linotype" w:cs="Arial"/>
          <w:color w:val="000000" w:themeColor="text1"/>
        </w:rPr>
        <w:t>á</w:t>
      </w:r>
      <w:r w:rsidR="00F57B59" w:rsidRPr="004F2200">
        <w:rPr>
          <w:rFonts w:ascii="Palatino Linotype" w:hAnsi="Palatino Linotype" w:cs="Arial"/>
          <w:color w:val="000000" w:themeColor="text1"/>
        </w:rPr>
        <w:t xml:space="preserve"> el pago inmediato de la cantidad que ampara dicho título de crédito, en fecha dieciocho de julio de la presente anualidad, quien además agregó copia de los documentos en cuestión.</w:t>
      </w:r>
    </w:p>
    <w:p w14:paraId="318A4E52" w14:textId="05B6BAFA" w:rsidR="00B97249" w:rsidRPr="004F2200" w:rsidRDefault="00F57B59" w:rsidP="00F57B59">
      <w:pPr>
        <w:autoSpaceDE w:val="0"/>
        <w:autoSpaceDN w:val="0"/>
        <w:adjustRightInd w:val="0"/>
        <w:spacing w:before="240" w:after="240" w:line="360" w:lineRule="auto"/>
        <w:ind w:right="-91"/>
        <w:jc w:val="center"/>
        <w:rPr>
          <w:rFonts w:ascii="Palatino Linotype" w:hAnsi="Palatino Linotype"/>
          <w:color w:val="000000" w:themeColor="text1"/>
        </w:rPr>
      </w:pPr>
      <w:r w:rsidRPr="004F2200">
        <w:rPr>
          <w:rFonts w:ascii="Palatino Linotype" w:hAnsi="Palatino Linotype"/>
          <w:noProof/>
          <w:color w:val="000000" w:themeColor="text1"/>
          <w:lang w:val="es-MX" w:eastAsia="es-MX"/>
        </w:rPr>
        <w:drawing>
          <wp:inline distT="0" distB="0" distL="0" distR="0" wp14:anchorId="4E2FB720" wp14:editId="17912A35">
            <wp:extent cx="4648849" cy="37533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8849" cy="3753374"/>
                    </a:xfrm>
                    <a:prstGeom prst="rect">
                      <a:avLst/>
                    </a:prstGeom>
                  </pic:spPr>
                </pic:pic>
              </a:graphicData>
            </a:graphic>
          </wp:inline>
        </w:drawing>
      </w:r>
    </w:p>
    <w:p w14:paraId="43E21DDA" w14:textId="6CE4A42D" w:rsidR="00B97249" w:rsidRPr="004F2200" w:rsidRDefault="00B97249" w:rsidP="00B97249">
      <w:pPr>
        <w:autoSpaceDE w:val="0"/>
        <w:autoSpaceDN w:val="0"/>
        <w:adjustRightInd w:val="0"/>
        <w:spacing w:before="240" w:after="240" w:line="360" w:lineRule="auto"/>
        <w:ind w:right="-91"/>
        <w:jc w:val="both"/>
        <w:rPr>
          <w:rFonts w:ascii="Palatino Linotype" w:hAnsi="Palatino Linotype"/>
          <w:color w:val="000000" w:themeColor="text1"/>
        </w:rPr>
      </w:pPr>
      <w:r w:rsidRPr="004F2200">
        <w:rPr>
          <w:rFonts w:ascii="Palatino Linotype" w:hAnsi="Palatino Linotype"/>
          <w:color w:val="000000" w:themeColor="text1"/>
        </w:rPr>
        <w:t>Por lo que este Pleno considera que el soporte documental en cuestión permite acreditar que los documentos fueron entregados al Asesor Comisionado, puesto que de otra manera no hubiese promovido en el juicio de referencia adjuntando los documentos en cuestión, por lo que resulta procedente ordenar su entrega.</w:t>
      </w:r>
    </w:p>
    <w:p w14:paraId="292FA941" w14:textId="77777777" w:rsidR="00F57B59" w:rsidRPr="004F2200" w:rsidRDefault="00F57B59" w:rsidP="00F57B59">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s="Arial"/>
          <w:color w:val="000000" w:themeColor="text1"/>
        </w:rPr>
        <w:t xml:space="preserve">Bajo las líneas argumentativas plasmadas, en indudable que el </w:t>
      </w:r>
      <w:r w:rsidRPr="004F2200">
        <w:rPr>
          <w:rFonts w:ascii="Palatino Linotype" w:hAnsi="Palatino Linotype" w:cs="Arial"/>
          <w:b/>
          <w:color w:val="000000" w:themeColor="text1"/>
        </w:rPr>
        <w:t xml:space="preserve">Sujeto Obligado </w:t>
      </w:r>
      <w:r w:rsidRPr="004F2200">
        <w:rPr>
          <w:rFonts w:ascii="Palatino Linotype" w:hAnsi="Palatino Linotype" w:cs="Arial"/>
          <w:color w:val="000000" w:themeColor="text1"/>
        </w:rPr>
        <w:t xml:space="preserve">genera, posee o administra los documentos soporte de los requerimientos planteados, tan es así, que acepto expresamente contar con ellos.  No obstante ello, su falta cumplimiento a las disposiciones previstas en la Ley de la Materia, restringe automáticamente el derecho de acceso a la información del particular, toda vez que si bien el </w:t>
      </w:r>
      <w:r w:rsidRPr="004F2200">
        <w:rPr>
          <w:rFonts w:ascii="Palatino Linotype" w:hAnsi="Palatino Linotype" w:cs="Arial"/>
          <w:b/>
          <w:color w:val="000000" w:themeColor="text1"/>
        </w:rPr>
        <w:t xml:space="preserve">Sujeto Obligado </w:t>
      </w:r>
      <w:r w:rsidRPr="004F2200">
        <w:rPr>
          <w:rFonts w:ascii="Palatino Linotype" w:hAnsi="Palatino Linotype" w:cs="Arial"/>
          <w:color w:val="000000" w:themeColor="text1"/>
        </w:rPr>
        <w:t>entregó mediante su informe justificado los documentos a los cuales desea tener acceso el particular, los mismos no satisfacen el derecho fundamental en cuestión, en virtud de que el acta que clasifica los datos testados, no es clara, y por en ende no cumple lo previsto en la Ley Adjetiva, ante la falta de un razonamiento lógico, que demuestre que la información actualiza alguna o algunas de la hipótesis previstas.</w:t>
      </w:r>
    </w:p>
    <w:p w14:paraId="1B00C0B5" w14:textId="77777777" w:rsidR="00F57B59" w:rsidRPr="004F2200" w:rsidRDefault="00F57B59" w:rsidP="00F57B59">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Lo anterior es así, en virtud de que el acuerdo emitido por el </w:t>
      </w:r>
      <w:r w:rsidRPr="004F2200">
        <w:rPr>
          <w:rFonts w:ascii="Palatino Linotype" w:hAnsi="Palatino Linotype" w:cs="Arial"/>
          <w:b/>
          <w:color w:val="000000" w:themeColor="text1"/>
        </w:rPr>
        <w:t xml:space="preserve">Sujeto Obligado </w:t>
      </w:r>
      <w:r w:rsidRPr="004F2200">
        <w:rPr>
          <w:rFonts w:ascii="Palatino Linotype" w:hAnsi="Palatino Linotype" w:cs="Arial"/>
          <w:color w:val="000000" w:themeColor="text1"/>
        </w:rPr>
        <w:t>de manera sustancial contiene lo siguiente:</w:t>
      </w:r>
    </w:p>
    <w:p w14:paraId="06ED9721" w14:textId="77777777" w:rsidR="00F57B59" w:rsidRPr="004F2200" w:rsidRDefault="00F57B59" w:rsidP="00F57B59">
      <w:pPr>
        <w:spacing w:before="240" w:after="240" w:line="360" w:lineRule="auto"/>
        <w:jc w:val="center"/>
        <w:rPr>
          <w:rFonts w:ascii="Palatino Linotype" w:hAnsi="Palatino Linotype" w:cs="Arial"/>
          <w:color w:val="000000" w:themeColor="text1"/>
        </w:rPr>
      </w:pPr>
      <w:r w:rsidRPr="004F2200">
        <w:rPr>
          <w:rFonts w:ascii="Palatino Linotype" w:hAnsi="Palatino Linotype" w:cs="Arial"/>
          <w:noProof/>
          <w:color w:val="000000" w:themeColor="text1"/>
          <w:lang w:val="es-MX" w:eastAsia="es-MX"/>
        </w:rPr>
        <w:drawing>
          <wp:inline distT="0" distB="0" distL="0" distR="0" wp14:anchorId="6E40A111" wp14:editId="406FF4EC">
            <wp:extent cx="4572000" cy="33077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4227" cy="3316561"/>
                    </a:xfrm>
                    <a:prstGeom prst="rect">
                      <a:avLst/>
                    </a:prstGeom>
                  </pic:spPr>
                </pic:pic>
              </a:graphicData>
            </a:graphic>
          </wp:inline>
        </w:drawing>
      </w:r>
    </w:p>
    <w:p w14:paraId="63CB8961" w14:textId="77777777" w:rsidR="00F57B59" w:rsidRPr="004F2200" w:rsidRDefault="00F57B59" w:rsidP="00F57B59">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s="Arial"/>
          <w:color w:val="000000" w:themeColor="text1"/>
        </w:rPr>
        <w:t>Del contenido del Acuerdo del Comité de Transparencia del Tribunal de Justicia Administrativa del Estado de México, no se advierte que se hayan atendido los principios de congruencia y exhaustividad que deben prevalecer en los actos de autoridad, que implica estudiar los motivos y fundamentos que tengan como consecuencia eliminar datos en las versiones públicas que entregan a los gobernados en el ejercicio de su derecho fundamental de acceso a la información.</w:t>
      </w:r>
    </w:p>
    <w:p w14:paraId="12623784" w14:textId="77777777" w:rsidR="00F57B59" w:rsidRPr="004F2200" w:rsidRDefault="00F57B59" w:rsidP="00F57B59">
      <w:pPr>
        <w:autoSpaceDE w:val="0"/>
        <w:autoSpaceDN w:val="0"/>
        <w:adjustRightInd w:val="0"/>
        <w:spacing w:before="240" w:after="240" w:line="360" w:lineRule="auto"/>
        <w:ind w:right="-91"/>
        <w:jc w:val="both"/>
        <w:rPr>
          <w:rFonts w:ascii="Palatino Linotype" w:hAnsi="Palatino Linotype" w:cs="Arial"/>
          <w:color w:val="000000" w:themeColor="text1"/>
        </w:rPr>
      </w:pPr>
      <w:r w:rsidRPr="004F2200">
        <w:rPr>
          <w:rFonts w:ascii="Palatino Linotype" w:hAnsi="Palatino Linotype" w:cs="Arial"/>
          <w:color w:val="000000" w:themeColor="text1"/>
        </w:rPr>
        <w:t>Lo que en estricto sentido provoca incumplimiento al artículo 22 de la Ley de Transparencia y Acceso a la Información Pública del Estado de México y Municipios, que establece que la clasificación, es el proceso mediante el cual los sujetos obligados determinan que la información en su poder actualiza alguno de los supuestos de reserva o confidencialidad, que culmina con el acuerdo emitido por el Comité de Transparencia</w:t>
      </w:r>
      <w:r w:rsidRPr="004F2200">
        <w:rPr>
          <w:rStyle w:val="Refdenotaalpie"/>
          <w:rFonts w:ascii="Palatino Linotype" w:hAnsi="Palatino Linotype" w:cs="Arial"/>
          <w:color w:val="000000" w:themeColor="text1"/>
        </w:rPr>
        <w:footnoteReference w:id="7"/>
      </w:r>
      <w:r w:rsidRPr="004F2200">
        <w:rPr>
          <w:rFonts w:ascii="Palatino Linotype" w:hAnsi="Palatino Linotype" w:cs="Arial"/>
          <w:color w:val="000000" w:themeColor="text1"/>
        </w:rPr>
        <w:t>, en el que se deberá confirmar, modificar o revocar la decisión del titular de la Unidad Administrativa, mientras que el diverso 132, prevé lo que es del texto literal siguiente:</w:t>
      </w:r>
    </w:p>
    <w:p w14:paraId="5CF87E4B" w14:textId="77777777" w:rsidR="00F57B59" w:rsidRPr="004F2200" w:rsidRDefault="00F57B59" w:rsidP="00F57B59">
      <w:pPr>
        <w:spacing w:after="120"/>
        <w:ind w:left="851" w:right="902"/>
        <w:jc w:val="both"/>
        <w:rPr>
          <w:rFonts w:ascii="Palatino Linotype" w:hAnsi="Palatino Linotype"/>
          <w:i/>
          <w:color w:val="000000" w:themeColor="text1"/>
          <w:sz w:val="20"/>
          <w:szCs w:val="20"/>
        </w:rPr>
      </w:pPr>
      <w:r w:rsidRPr="004F2200">
        <w:rPr>
          <w:rFonts w:ascii="Palatino Linotype" w:hAnsi="Palatino Linotype"/>
          <w:b/>
          <w:i/>
          <w:color w:val="000000" w:themeColor="text1"/>
          <w:sz w:val="20"/>
          <w:szCs w:val="20"/>
        </w:rPr>
        <w:t>“Artículo 132.</w:t>
      </w:r>
      <w:r w:rsidRPr="004F2200">
        <w:rPr>
          <w:rFonts w:ascii="Palatino Linotype" w:hAnsi="Palatino Linotype"/>
          <w:i/>
          <w:color w:val="000000" w:themeColor="text1"/>
          <w:sz w:val="20"/>
          <w:szCs w:val="20"/>
        </w:rPr>
        <w:t xml:space="preserve"> La clasificación de la información se llevará a cabo en el momento en que: </w:t>
      </w:r>
    </w:p>
    <w:p w14:paraId="4411FE0E" w14:textId="77777777" w:rsidR="00F57B59" w:rsidRPr="004F2200" w:rsidRDefault="00F57B59" w:rsidP="00F57B59">
      <w:pPr>
        <w:spacing w:after="12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 Se reciba una solicitud de acceso a la información; </w:t>
      </w:r>
    </w:p>
    <w:p w14:paraId="014C2DC4" w14:textId="77777777" w:rsidR="00F57B59" w:rsidRPr="004F2200" w:rsidRDefault="00F57B59" w:rsidP="00F57B59">
      <w:pPr>
        <w:spacing w:after="12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II. Se determine mediante resolución de autoridad competente; o </w:t>
      </w:r>
    </w:p>
    <w:p w14:paraId="6284610A" w14:textId="77777777" w:rsidR="00F57B59" w:rsidRPr="004F2200" w:rsidRDefault="00F57B59" w:rsidP="00F57B59">
      <w:pPr>
        <w:spacing w:after="120"/>
        <w:ind w:left="1134"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 xml:space="preserve">III. Se generen versiones públicas para dar cumplimiento a las obligaciones de transparencia previstas en esta Ley. </w:t>
      </w:r>
    </w:p>
    <w:p w14:paraId="0B8B9640" w14:textId="77777777" w:rsidR="00F57B59" w:rsidRPr="004F2200" w:rsidRDefault="00F57B59" w:rsidP="00F57B59">
      <w:pPr>
        <w:spacing w:after="120"/>
        <w:ind w:left="851" w:right="902"/>
        <w:jc w:val="both"/>
        <w:rPr>
          <w:rFonts w:ascii="Palatino Linotype" w:hAnsi="Palatino Linotype"/>
          <w:i/>
          <w:color w:val="000000" w:themeColor="text1"/>
          <w:sz w:val="20"/>
          <w:szCs w:val="20"/>
        </w:rPr>
      </w:pPr>
      <w:r w:rsidRPr="004F2200">
        <w:rPr>
          <w:rFonts w:ascii="Palatino Linotype" w:hAnsi="Palatino Linotype"/>
          <w:i/>
          <w:color w:val="000000" w:themeColor="text1"/>
          <w:sz w:val="20"/>
          <w:szCs w:val="20"/>
        </w:rPr>
        <w:t>Tratándose de información reservada, los titulares de las áreas deberán revisar la clasificación al momento de la recepción de una solicitud, para verificar si subsisten las causas que le dieron origen.”</w:t>
      </w:r>
    </w:p>
    <w:p w14:paraId="050FDD7C" w14:textId="77777777" w:rsidR="00F57B59" w:rsidRPr="004F2200" w:rsidRDefault="00F57B59" w:rsidP="00F57B59">
      <w:pPr>
        <w:spacing w:before="240" w:after="240" w:line="360" w:lineRule="auto"/>
        <w:ind w:right="49"/>
        <w:jc w:val="both"/>
        <w:rPr>
          <w:rFonts w:ascii="Palatino Linotype" w:hAnsi="Palatino Linotype"/>
          <w:color w:val="000000" w:themeColor="text1"/>
        </w:rPr>
      </w:pPr>
      <w:r w:rsidRPr="004F2200">
        <w:rPr>
          <w:rFonts w:ascii="Palatino Linotype" w:hAnsi="Palatino Linotype"/>
          <w:color w:val="000000" w:themeColor="text1"/>
        </w:rPr>
        <w:t>En esta perspectiva, el Acuerdo de Clasificación de Información tiene como propósito primordial que los particulares conozcan de manera completa las condiciones y circunstancias que determinaron negar el acceso a la información; a través de la adecuada fundamentación y motivación de la clasificación de información, considerando que todo acto que la autoridad pronuncie en el ejercicio de sus atribuciones, debe expresar los fundamentos legales que le dieron origen y las razones por las que se deben aplicar al caso concreto.</w:t>
      </w:r>
    </w:p>
    <w:p w14:paraId="4CB0956B" w14:textId="77777777" w:rsidR="00F57B59" w:rsidRPr="004F2200" w:rsidRDefault="00F57B59" w:rsidP="00F57B59">
      <w:pPr>
        <w:spacing w:before="240" w:after="240" w:line="360" w:lineRule="auto"/>
        <w:jc w:val="both"/>
        <w:rPr>
          <w:rFonts w:ascii="Palatino Linotype" w:hAnsi="Palatino Linotype"/>
          <w:color w:val="000000" w:themeColor="text1"/>
        </w:rPr>
      </w:pPr>
      <w:r w:rsidRPr="004F2200">
        <w:rPr>
          <w:rFonts w:ascii="Palatino Linotype" w:hAnsi="Palatino Linotype" w:cs="Arial"/>
          <w:color w:val="000000" w:themeColor="text1"/>
        </w:rPr>
        <w:t xml:space="preserve">Dicho de otra manera, el acuerdo deberá contener la </w:t>
      </w:r>
      <w:r w:rsidRPr="004F2200">
        <w:rPr>
          <w:rFonts w:ascii="Palatino Linotype" w:hAnsi="Palatino Linotype"/>
          <w:color w:val="000000" w:themeColor="text1"/>
        </w:rPr>
        <w:t xml:space="preserve">debida fundamentación y motivación del acto de autoridad, con la finalidad de evitar dejar en estado de incertidumbre al particular, debiendo establecer el fundamento jurídico en que se basa su determinación y la exposición razonada que justifique la clasificación de información. </w:t>
      </w:r>
    </w:p>
    <w:p w14:paraId="2D610CA1" w14:textId="77777777" w:rsidR="00F57B59" w:rsidRPr="004F2200" w:rsidRDefault="00F57B59" w:rsidP="00F57B59">
      <w:pPr>
        <w:spacing w:before="240" w:after="240" w:line="360" w:lineRule="auto"/>
        <w:jc w:val="both"/>
        <w:rPr>
          <w:rFonts w:ascii="Palatino Linotype" w:hAnsi="Palatino Linotype"/>
          <w:color w:val="000000" w:themeColor="text1"/>
        </w:rPr>
      </w:pPr>
      <w:r w:rsidRPr="004F2200">
        <w:rPr>
          <w:rFonts w:ascii="Palatino Linotype" w:hAnsi="Palatino Linotype" w:cs="Arial"/>
          <w:color w:val="000000" w:themeColor="text1"/>
        </w:rPr>
        <w:t>Así, los Lineamientos Generales en Materia de Clasificación y Desclasificación de la Información, así como para la elaboración de versiones públicas,</w:t>
      </w:r>
      <w:r w:rsidRPr="004F2200">
        <w:rPr>
          <w:rFonts w:ascii="Palatino Linotype" w:hAnsi="Palatino Linotype" w:cs="Arial"/>
          <w:bCs/>
          <w:iCs/>
          <w:color w:val="000000" w:themeColor="text1"/>
          <w:lang w:eastAsia="es-MX"/>
        </w:rPr>
        <w:t xml:space="preserve"> que fueron expedidos por el </w:t>
      </w:r>
      <w:r w:rsidRPr="004F2200">
        <w:rPr>
          <w:rFonts w:ascii="Palatino Linotype" w:hAnsi="Palatino Linotype" w:cs="Arial"/>
          <w:bCs/>
          <w:iCs/>
          <w:color w:val="000000" w:themeColor="text1"/>
          <w:lang w:val="es-MX" w:eastAsia="es-MX"/>
        </w:rPr>
        <w:t>Consejo Nacional del Sistema Nacional de Transparencia, Acceso a la Información Pública y Protección de Datos Personales,</w:t>
      </w:r>
      <w:r w:rsidRPr="004F2200">
        <w:rPr>
          <w:rFonts w:ascii="Palatino Linotype" w:hAnsi="Palatino Linotype" w:cs="Arial"/>
          <w:color w:val="000000" w:themeColor="text1"/>
        </w:rPr>
        <w:t xml:space="preserve"> establecen en sus numerales </w:t>
      </w:r>
      <w:r w:rsidRPr="004F2200">
        <w:rPr>
          <w:rFonts w:ascii="Palatino Linotype" w:hAnsi="Palatino Linotype"/>
          <w:color w:val="000000" w:themeColor="text1"/>
        </w:rPr>
        <w:t>Quincuagésimo tercero y Quincuagésimo quinto de los Lineamientos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4F2200" w:rsidRPr="004F2200" w14:paraId="2373C649" w14:textId="77777777" w:rsidTr="00457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7F2E3F65" w14:textId="77777777" w:rsidR="00F57B59" w:rsidRPr="004F2200" w:rsidRDefault="00F57B59" w:rsidP="0045784E">
            <w:pPr>
              <w:jc w:val="center"/>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Parcial</w:t>
            </w:r>
          </w:p>
        </w:tc>
        <w:tc>
          <w:tcPr>
            <w:tcW w:w="4414" w:type="dxa"/>
            <w:gridSpan w:val="2"/>
          </w:tcPr>
          <w:p w14:paraId="2C430DC3" w14:textId="77777777" w:rsidR="00F57B59" w:rsidRPr="004F2200" w:rsidRDefault="00F57B59" w:rsidP="0045784E">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Total</w:t>
            </w:r>
          </w:p>
        </w:tc>
      </w:tr>
      <w:tr w:rsidR="004F2200" w:rsidRPr="004F2200" w14:paraId="7AA492D4" w14:textId="77777777" w:rsidTr="0045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B8AAD32" w14:textId="77777777" w:rsidR="00F57B59" w:rsidRPr="004F2200" w:rsidRDefault="00F57B59" w:rsidP="0045784E">
            <w:pPr>
              <w:jc w:val="center"/>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Concepto</w:t>
            </w:r>
          </w:p>
        </w:tc>
        <w:tc>
          <w:tcPr>
            <w:tcW w:w="3568" w:type="dxa"/>
          </w:tcPr>
          <w:p w14:paraId="0223265E" w14:textId="77777777" w:rsidR="00F57B59" w:rsidRPr="004F2200" w:rsidRDefault="00F57B59" w:rsidP="0045784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Dónde</w:t>
            </w:r>
          </w:p>
        </w:tc>
        <w:tc>
          <w:tcPr>
            <w:tcW w:w="968" w:type="dxa"/>
          </w:tcPr>
          <w:p w14:paraId="19839767" w14:textId="77777777" w:rsidR="00F57B59" w:rsidRPr="004F2200" w:rsidRDefault="00F57B59" w:rsidP="0045784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Concepto</w:t>
            </w:r>
          </w:p>
        </w:tc>
        <w:tc>
          <w:tcPr>
            <w:tcW w:w="3446" w:type="dxa"/>
          </w:tcPr>
          <w:p w14:paraId="6854072F" w14:textId="77777777" w:rsidR="00F57B59" w:rsidRPr="004F2200" w:rsidRDefault="00F57B59" w:rsidP="0045784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Dónde</w:t>
            </w:r>
          </w:p>
        </w:tc>
      </w:tr>
      <w:tr w:rsidR="004F2200" w:rsidRPr="004F2200" w14:paraId="5552EEA6" w14:textId="77777777" w:rsidTr="0045784E">
        <w:tc>
          <w:tcPr>
            <w:cnfStyle w:val="001000000000" w:firstRow="0" w:lastRow="0" w:firstColumn="1" w:lastColumn="0" w:oddVBand="0" w:evenVBand="0" w:oddHBand="0" w:evenHBand="0" w:firstRowFirstColumn="0" w:firstRowLastColumn="0" w:lastRowFirstColumn="0" w:lastRowLastColumn="0"/>
            <w:tcW w:w="8828" w:type="dxa"/>
            <w:gridSpan w:val="4"/>
          </w:tcPr>
          <w:p w14:paraId="16A1B96B" w14:textId="77777777" w:rsidR="00F57B59" w:rsidRPr="004F2200" w:rsidRDefault="00F57B59" w:rsidP="0045784E">
            <w:pPr>
              <w:jc w:val="center"/>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Sello oficial o logotipo del sujeto obligado</w:t>
            </w:r>
          </w:p>
        </w:tc>
      </w:tr>
      <w:tr w:rsidR="004F2200" w:rsidRPr="004F2200" w14:paraId="397F57D8" w14:textId="77777777" w:rsidTr="0045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99A39A8"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Fecha de clasificación</w:t>
            </w:r>
          </w:p>
        </w:tc>
        <w:tc>
          <w:tcPr>
            <w:tcW w:w="3568" w:type="dxa"/>
          </w:tcPr>
          <w:p w14:paraId="5CA2DCB0"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anotará la fecha en la que el Comité de Transparencia confirmó la clasificación del documento, en su caso.</w:t>
            </w:r>
          </w:p>
        </w:tc>
        <w:tc>
          <w:tcPr>
            <w:tcW w:w="968" w:type="dxa"/>
          </w:tcPr>
          <w:p w14:paraId="6EF93309"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Fecha de clasificación</w:t>
            </w:r>
          </w:p>
        </w:tc>
        <w:tc>
          <w:tcPr>
            <w:tcW w:w="3446" w:type="dxa"/>
          </w:tcPr>
          <w:p w14:paraId="6927DE12"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anotará la fecha en la que el Comité de Transparencia confirmó la clasificación del documento, en su caso.</w:t>
            </w:r>
          </w:p>
        </w:tc>
      </w:tr>
      <w:tr w:rsidR="004F2200" w:rsidRPr="004F2200" w14:paraId="47C58207" w14:textId="77777777" w:rsidTr="0045784E">
        <w:tc>
          <w:tcPr>
            <w:cnfStyle w:val="001000000000" w:firstRow="0" w:lastRow="0" w:firstColumn="1" w:lastColumn="0" w:oddVBand="0" w:evenVBand="0" w:oddHBand="0" w:evenHBand="0" w:firstRowFirstColumn="0" w:firstRowLastColumn="0" w:lastRowFirstColumn="0" w:lastRowLastColumn="0"/>
            <w:tcW w:w="846" w:type="dxa"/>
          </w:tcPr>
          <w:p w14:paraId="6559C43F"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Área</w:t>
            </w:r>
          </w:p>
        </w:tc>
        <w:tc>
          <w:tcPr>
            <w:tcW w:w="3568" w:type="dxa"/>
          </w:tcPr>
          <w:p w14:paraId="3FCA895E"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señalará el nombre del área del cual es titular quien clasifica.</w:t>
            </w:r>
          </w:p>
        </w:tc>
        <w:tc>
          <w:tcPr>
            <w:tcW w:w="968" w:type="dxa"/>
          </w:tcPr>
          <w:p w14:paraId="5804A4E0"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Área</w:t>
            </w:r>
          </w:p>
        </w:tc>
        <w:tc>
          <w:tcPr>
            <w:tcW w:w="3446" w:type="dxa"/>
          </w:tcPr>
          <w:p w14:paraId="45361B63"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señalará el nombre del área de la cual es el titular quien clasifica.</w:t>
            </w:r>
          </w:p>
        </w:tc>
      </w:tr>
      <w:tr w:rsidR="004F2200" w:rsidRPr="004F2200" w14:paraId="7F82DEB0" w14:textId="77777777" w:rsidTr="0045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F1A10F1"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Información reservada</w:t>
            </w:r>
          </w:p>
        </w:tc>
        <w:tc>
          <w:tcPr>
            <w:tcW w:w="3568" w:type="dxa"/>
          </w:tcPr>
          <w:p w14:paraId="2608FBEB"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1B51E58"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Reservado</w:t>
            </w:r>
          </w:p>
        </w:tc>
        <w:tc>
          <w:tcPr>
            <w:tcW w:w="3446" w:type="dxa"/>
          </w:tcPr>
          <w:p w14:paraId="5C59E3BE"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Leyenda de información RESERVADA.</w:t>
            </w:r>
          </w:p>
        </w:tc>
      </w:tr>
      <w:tr w:rsidR="004F2200" w:rsidRPr="004F2200" w14:paraId="65F1CA97" w14:textId="77777777" w:rsidTr="0045784E">
        <w:tc>
          <w:tcPr>
            <w:cnfStyle w:val="001000000000" w:firstRow="0" w:lastRow="0" w:firstColumn="1" w:lastColumn="0" w:oddVBand="0" w:evenVBand="0" w:oddHBand="0" w:evenHBand="0" w:firstRowFirstColumn="0" w:firstRowLastColumn="0" w:lastRowFirstColumn="0" w:lastRowLastColumn="0"/>
            <w:tcW w:w="846" w:type="dxa"/>
          </w:tcPr>
          <w:p w14:paraId="5AA61101"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Fundamento legal</w:t>
            </w:r>
          </w:p>
        </w:tc>
        <w:tc>
          <w:tcPr>
            <w:tcW w:w="3568" w:type="dxa"/>
          </w:tcPr>
          <w:p w14:paraId="2FE73200"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señalará el nombre del ordenamiento, el o los artículos, fracción(es), párrafo(s) con base en los cuales se sustente la reserva.</w:t>
            </w:r>
          </w:p>
        </w:tc>
        <w:tc>
          <w:tcPr>
            <w:tcW w:w="968" w:type="dxa"/>
          </w:tcPr>
          <w:p w14:paraId="5375ED49"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Periodo de reserva</w:t>
            </w:r>
          </w:p>
        </w:tc>
        <w:tc>
          <w:tcPr>
            <w:tcW w:w="3446" w:type="dxa"/>
          </w:tcPr>
          <w:p w14:paraId="6E1CE7B4"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anotará el número de años o meses por los que se mantendrá el documento o las partes del mismo como reservado. Si el expediente no es reservado, sino confidencial, deberá tacharse este apartado.</w:t>
            </w:r>
          </w:p>
        </w:tc>
      </w:tr>
      <w:tr w:rsidR="004F2200" w:rsidRPr="004F2200" w14:paraId="36DF9C31" w14:textId="77777777" w:rsidTr="0045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7F5F9C5"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Ampliación del periodo de reserva</w:t>
            </w:r>
          </w:p>
        </w:tc>
        <w:tc>
          <w:tcPr>
            <w:tcW w:w="3568" w:type="dxa"/>
          </w:tcPr>
          <w:p w14:paraId="027BB829"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En caso de haber solicitado la ampliación del periodo de reserva originalmente establecido, se deberá anotar el número de años o meses por los que se amplía la reserva.</w:t>
            </w:r>
          </w:p>
        </w:tc>
        <w:tc>
          <w:tcPr>
            <w:tcW w:w="968" w:type="dxa"/>
          </w:tcPr>
          <w:p w14:paraId="5F54BC35"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Fundamento legal</w:t>
            </w:r>
          </w:p>
        </w:tc>
        <w:tc>
          <w:tcPr>
            <w:tcW w:w="3446" w:type="dxa"/>
          </w:tcPr>
          <w:p w14:paraId="50C529C0"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señalará el nombre del o de los ordenamientos jurídicos, el o los artículos, fracción(es), párrafo(s) con base en los cuales se sustenta la reserva.</w:t>
            </w:r>
          </w:p>
        </w:tc>
      </w:tr>
      <w:tr w:rsidR="004F2200" w:rsidRPr="004F2200" w14:paraId="5B1EF7DD" w14:textId="77777777" w:rsidTr="0045784E">
        <w:tc>
          <w:tcPr>
            <w:cnfStyle w:val="001000000000" w:firstRow="0" w:lastRow="0" w:firstColumn="1" w:lastColumn="0" w:oddVBand="0" w:evenVBand="0" w:oddHBand="0" w:evenHBand="0" w:firstRowFirstColumn="0" w:firstRowLastColumn="0" w:lastRowFirstColumn="0" w:lastRowLastColumn="0"/>
            <w:tcW w:w="846" w:type="dxa"/>
          </w:tcPr>
          <w:p w14:paraId="3B77DDCA"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Confidencial</w:t>
            </w:r>
          </w:p>
        </w:tc>
        <w:tc>
          <w:tcPr>
            <w:tcW w:w="3568" w:type="dxa"/>
          </w:tcPr>
          <w:p w14:paraId="00846DFF"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37C7A6B"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Ampliación del periodo de reserva</w:t>
            </w:r>
          </w:p>
        </w:tc>
        <w:tc>
          <w:tcPr>
            <w:tcW w:w="3446" w:type="dxa"/>
          </w:tcPr>
          <w:p w14:paraId="09715037"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En caso de haber solicitado la ampliación del periodo de reserva originalmente establecido, se deberá anotar el número de años o meses por los que se amplía la reserva.</w:t>
            </w:r>
          </w:p>
        </w:tc>
      </w:tr>
      <w:tr w:rsidR="004F2200" w:rsidRPr="004F2200" w14:paraId="7D86D1C2" w14:textId="77777777" w:rsidTr="0045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E17C7BB"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Fundamento legal</w:t>
            </w:r>
          </w:p>
        </w:tc>
        <w:tc>
          <w:tcPr>
            <w:tcW w:w="3568" w:type="dxa"/>
          </w:tcPr>
          <w:p w14:paraId="015620BD"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señalará el nombre del ordenamiento, el o los artículos, fracción(es), párrafo(s) con base en los cuales se sustente la confidencialidad.</w:t>
            </w:r>
          </w:p>
        </w:tc>
        <w:tc>
          <w:tcPr>
            <w:tcW w:w="968" w:type="dxa"/>
          </w:tcPr>
          <w:p w14:paraId="603290EE"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Confidencial</w:t>
            </w:r>
          </w:p>
        </w:tc>
        <w:tc>
          <w:tcPr>
            <w:tcW w:w="3446" w:type="dxa"/>
          </w:tcPr>
          <w:p w14:paraId="0EEEE2FE"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Leyenda de información CONFIDENCIAL.</w:t>
            </w:r>
          </w:p>
        </w:tc>
      </w:tr>
      <w:tr w:rsidR="004F2200" w:rsidRPr="004F2200" w14:paraId="5D3F0F21" w14:textId="77777777" w:rsidTr="0045784E">
        <w:tc>
          <w:tcPr>
            <w:cnfStyle w:val="001000000000" w:firstRow="0" w:lastRow="0" w:firstColumn="1" w:lastColumn="0" w:oddVBand="0" w:evenVBand="0" w:oddHBand="0" w:evenHBand="0" w:firstRowFirstColumn="0" w:firstRowLastColumn="0" w:lastRowFirstColumn="0" w:lastRowLastColumn="0"/>
            <w:tcW w:w="846" w:type="dxa"/>
          </w:tcPr>
          <w:p w14:paraId="3829F51D"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Rúbrica del titular del área</w:t>
            </w:r>
          </w:p>
        </w:tc>
        <w:tc>
          <w:tcPr>
            <w:tcW w:w="3568" w:type="dxa"/>
          </w:tcPr>
          <w:p w14:paraId="3CAD3A45"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Rúbrica autógrafa de quien clasifica.</w:t>
            </w:r>
          </w:p>
        </w:tc>
        <w:tc>
          <w:tcPr>
            <w:tcW w:w="968" w:type="dxa"/>
          </w:tcPr>
          <w:p w14:paraId="5CA12FA6"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Fundamento legal</w:t>
            </w:r>
          </w:p>
        </w:tc>
        <w:tc>
          <w:tcPr>
            <w:tcW w:w="3446" w:type="dxa"/>
          </w:tcPr>
          <w:p w14:paraId="2EADD131"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señalará el nombre del o de los ordenamientos jurídicos, el o los artículos, fracción(es), párrafo(s) con base en los cuales se sustente la confidencialidad.</w:t>
            </w:r>
          </w:p>
        </w:tc>
      </w:tr>
      <w:tr w:rsidR="004F2200" w:rsidRPr="004F2200" w14:paraId="7813A932" w14:textId="77777777" w:rsidTr="0045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7344605"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Fecha de desclasificación</w:t>
            </w:r>
          </w:p>
        </w:tc>
        <w:tc>
          <w:tcPr>
            <w:tcW w:w="3568" w:type="dxa"/>
          </w:tcPr>
          <w:p w14:paraId="0B6F1047"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anotará la fecha en que se desclasifica el documento.</w:t>
            </w:r>
          </w:p>
        </w:tc>
        <w:tc>
          <w:tcPr>
            <w:tcW w:w="968" w:type="dxa"/>
          </w:tcPr>
          <w:p w14:paraId="3ED01AD5"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Rúbrica del titular del área</w:t>
            </w:r>
          </w:p>
        </w:tc>
        <w:tc>
          <w:tcPr>
            <w:tcW w:w="3446" w:type="dxa"/>
          </w:tcPr>
          <w:p w14:paraId="50A22935"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Rúbrica autógrafa de quien clasifica.</w:t>
            </w:r>
          </w:p>
        </w:tc>
      </w:tr>
      <w:tr w:rsidR="004F2200" w:rsidRPr="004F2200" w14:paraId="4710303C" w14:textId="77777777" w:rsidTr="0045784E">
        <w:tc>
          <w:tcPr>
            <w:cnfStyle w:val="001000000000" w:firstRow="0" w:lastRow="0" w:firstColumn="1" w:lastColumn="0" w:oddVBand="0" w:evenVBand="0" w:oddHBand="0" w:evenHBand="0" w:firstRowFirstColumn="0" w:firstRowLastColumn="0" w:lastRowFirstColumn="0" w:lastRowLastColumn="0"/>
            <w:tcW w:w="846" w:type="dxa"/>
          </w:tcPr>
          <w:p w14:paraId="254EE64A" w14:textId="77777777" w:rsidR="00F57B59" w:rsidRPr="004F2200" w:rsidRDefault="00F57B59" w:rsidP="0045784E">
            <w:pPr>
              <w:jc w:val="both"/>
              <w:rPr>
                <w:rFonts w:ascii="Palatino Linotype" w:hAnsi="Palatino Linotype"/>
                <w:b w:val="0"/>
                <w:color w:val="000000" w:themeColor="text1"/>
                <w:sz w:val="12"/>
                <w:szCs w:val="12"/>
              </w:rPr>
            </w:pPr>
            <w:r w:rsidRPr="004F2200">
              <w:rPr>
                <w:rFonts w:ascii="Palatino Linotype" w:hAnsi="Palatino Linotype"/>
                <w:b w:val="0"/>
                <w:color w:val="000000" w:themeColor="text1"/>
                <w:sz w:val="12"/>
                <w:szCs w:val="12"/>
              </w:rPr>
              <w:t>Rúbrica y cargo del servidor público</w:t>
            </w:r>
          </w:p>
        </w:tc>
        <w:tc>
          <w:tcPr>
            <w:tcW w:w="3568" w:type="dxa"/>
          </w:tcPr>
          <w:p w14:paraId="5EE579ED"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Rúbrica autógrafa de quien desclasifica.</w:t>
            </w:r>
          </w:p>
        </w:tc>
        <w:tc>
          <w:tcPr>
            <w:tcW w:w="968" w:type="dxa"/>
          </w:tcPr>
          <w:p w14:paraId="24835928"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Fecha de desclasificación</w:t>
            </w:r>
          </w:p>
        </w:tc>
        <w:tc>
          <w:tcPr>
            <w:tcW w:w="3446" w:type="dxa"/>
          </w:tcPr>
          <w:p w14:paraId="5E002820"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Se anotará la fecha en que se desclasifica.</w:t>
            </w:r>
          </w:p>
        </w:tc>
      </w:tr>
      <w:tr w:rsidR="004F2200" w:rsidRPr="004F2200" w14:paraId="1D631BB7" w14:textId="77777777" w:rsidTr="0045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3175B1E" w14:textId="77777777" w:rsidR="00F57B59" w:rsidRPr="004F2200" w:rsidRDefault="00F57B59" w:rsidP="0045784E">
            <w:pPr>
              <w:jc w:val="both"/>
              <w:rPr>
                <w:rFonts w:ascii="Palatino Linotype" w:hAnsi="Palatino Linotype"/>
                <w:color w:val="000000" w:themeColor="text1"/>
                <w:sz w:val="12"/>
                <w:szCs w:val="12"/>
              </w:rPr>
            </w:pPr>
          </w:p>
        </w:tc>
        <w:tc>
          <w:tcPr>
            <w:tcW w:w="3568" w:type="dxa"/>
          </w:tcPr>
          <w:p w14:paraId="420F6843"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p>
        </w:tc>
        <w:tc>
          <w:tcPr>
            <w:tcW w:w="968" w:type="dxa"/>
          </w:tcPr>
          <w:p w14:paraId="641FAE6D"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Partes o secciones reservadas o confidenciales</w:t>
            </w:r>
          </w:p>
        </w:tc>
        <w:tc>
          <w:tcPr>
            <w:tcW w:w="3446" w:type="dxa"/>
          </w:tcPr>
          <w:p w14:paraId="2E736E81" w14:textId="77777777" w:rsidR="00F57B59" w:rsidRPr="004F2200" w:rsidRDefault="00F57B59" w:rsidP="0045784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En caso que una vez desclasificado el expediente, subsistanpartes o secciones del mismo reservadas o confidenciales, se señalará este hecho.</w:t>
            </w:r>
          </w:p>
        </w:tc>
      </w:tr>
      <w:tr w:rsidR="004F2200" w:rsidRPr="004F2200" w14:paraId="05C82CC5" w14:textId="77777777" w:rsidTr="0045784E">
        <w:tc>
          <w:tcPr>
            <w:cnfStyle w:val="001000000000" w:firstRow="0" w:lastRow="0" w:firstColumn="1" w:lastColumn="0" w:oddVBand="0" w:evenVBand="0" w:oddHBand="0" w:evenHBand="0" w:firstRowFirstColumn="0" w:firstRowLastColumn="0" w:lastRowFirstColumn="0" w:lastRowLastColumn="0"/>
            <w:tcW w:w="846" w:type="dxa"/>
          </w:tcPr>
          <w:p w14:paraId="7E2AEE94" w14:textId="77777777" w:rsidR="00F57B59" w:rsidRPr="004F2200" w:rsidRDefault="00F57B59" w:rsidP="0045784E">
            <w:pPr>
              <w:jc w:val="both"/>
              <w:rPr>
                <w:rFonts w:ascii="Palatino Linotype" w:hAnsi="Palatino Linotype"/>
                <w:color w:val="000000" w:themeColor="text1"/>
                <w:sz w:val="12"/>
                <w:szCs w:val="12"/>
              </w:rPr>
            </w:pPr>
          </w:p>
        </w:tc>
        <w:tc>
          <w:tcPr>
            <w:tcW w:w="3568" w:type="dxa"/>
          </w:tcPr>
          <w:p w14:paraId="500F9F52"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p>
        </w:tc>
        <w:tc>
          <w:tcPr>
            <w:tcW w:w="968" w:type="dxa"/>
          </w:tcPr>
          <w:p w14:paraId="025FFADD"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themeColor="text1"/>
                <w:sz w:val="12"/>
                <w:szCs w:val="12"/>
              </w:rPr>
            </w:pPr>
            <w:r w:rsidRPr="004F2200">
              <w:rPr>
                <w:rFonts w:ascii="Palatino Linotype" w:hAnsi="Palatino Linotype"/>
                <w:b/>
                <w:color w:val="000000" w:themeColor="text1"/>
                <w:sz w:val="12"/>
                <w:szCs w:val="12"/>
              </w:rPr>
              <w:t>Rúbrica y cargo del servidor público</w:t>
            </w:r>
          </w:p>
        </w:tc>
        <w:tc>
          <w:tcPr>
            <w:tcW w:w="3446" w:type="dxa"/>
          </w:tcPr>
          <w:p w14:paraId="37279D3E" w14:textId="77777777" w:rsidR="00F57B59" w:rsidRPr="004F2200" w:rsidRDefault="00F57B59" w:rsidP="0045784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2"/>
                <w:szCs w:val="12"/>
              </w:rPr>
            </w:pPr>
            <w:r w:rsidRPr="004F2200">
              <w:rPr>
                <w:rFonts w:ascii="Palatino Linotype" w:hAnsi="Palatino Linotype"/>
                <w:color w:val="000000" w:themeColor="text1"/>
                <w:sz w:val="12"/>
                <w:szCs w:val="12"/>
              </w:rPr>
              <w:t>Rúbrica autógrafa de quien desclasifica.</w:t>
            </w:r>
          </w:p>
        </w:tc>
      </w:tr>
    </w:tbl>
    <w:p w14:paraId="6B6A327E" w14:textId="77777777" w:rsidR="00F57B59" w:rsidRPr="004F2200" w:rsidRDefault="00F57B59" w:rsidP="00F57B59">
      <w:p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En términos de lo anterior, el Acuerdo de Clasificación de Informacional Confidencial no es eficaz, al resultar contrario a los fines perseguidos en la Ley de la Materia, al no acotar un análisis de los datos personales susceptibles de clasificación, lo que hace violatorio el derecho de acceso a la información, en virtud de que el Comité de Transparencia no atendió el deber que tienen los sujetos obligados de respetar y hacer respetar el derecho fundamental de cuestión de todas las personas, basado en las normas jurídicas que aseguran su reconocimiento y efectiva aplicación, adoptando las medidas necesarias que permitieran otorgar certidumbre al particular respecto de la información que fue eliminada. </w:t>
      </w:r>
    </w:p>
    <w:p w14:paraId="5DF34111" w14:textId="653E5EC2" w:rsidR="007438D2" w:rsidRPr="004F2200" w:rsidRDefault="00F57B59" w:rsidP="007438D2">
      <w:pPr>
        <w:spacing w:before="240" w:after="240" w:line="360" w:lineRule="auto"/>
        <w:jc w:val="both"/>
        <w:rPr>
          <w:rFonts w:ascii="Palatino Linotype" w:hAnsi="Palatino Linotype" w:cs="Arial"/>
          <w:b/>
          <w:color w:val="000000" w:themeColor="text1"/>
        </w:rPr>
      </w:pPr>
      <w:r w:rsidRPr="004F2200">
        <w:rPr>
          <w:rFonts w:ascii="Palatino Linotype" w:hAnsi="Palatino Linotype" w:cs="Arial"/>
          <w:color w:val="000000" w:themeColor="text1"/>
        </w:rPr>
        <w:t>Consecuentemente resulta procedente ordenar la en</w:t>
      </w:r>
      <w:r w:rsidR="007438D2" w:rsidRPr="004F2200">
        <w:rPr>
          <w:rFonts w:ascii="Palatino Linotype" w:hAnsi="Palatino Linotype" w:cs="Arial"/>
          <w:color w:val="000000" w:themeColor="text1"/>
        </w:rPr>
        <w:t xml:space="preserve">trega </w:t>
      </w:r>
      <w:r w:rsidRPr="004F2200">
        <w:rPr>
          <w:rFonts w:ascii="Palatino Linotype" w:hAnsi="Palatino Linotype" w:cs="Arial"/>
          <w:color w:val="000000" w:themeColor="text1"/>
        </w:rPr>
        <w:t>en versión pública, de conformida</w:t>
      </w:r>
      <w:r w:rsidR="007438D2" w:rsidRPr="004F2200">
        <w:rPr>
          <w:rFonts w:ascii="Palatino Linotype" w:hAnsi="Palatino Linotype" w:cs="Arial"/>
          <w:color w:val="000000" w:themeColor="text1"/>
        </w:rPr>
        <w:t>d con el considerando siguiente, del documento que se haya generado con motivo de la comparecencia del dieciocho de junio de dos mil dieciocho en la Cuarta Sala Regional, en el expediente 258/2017</w:t>
      </w:r>
      <w:r w:rsidR="00E802BD" w:rsidRPr="004F2200">
        <w:rPr>
          <w:rFonts w:ascii="Palatino Linotype" w:hAnsi="Palatino Linotype" w:cs="Arial"/>
          <w:color w:val="000000" w:themeColor="text1"/>
        </w:rPr>
        <w:t>;</w:t>
      </w:r>
      <w:r w:rsidR="007438D2" w:rsidRPr="004F2200">
        <w:rPr>
          <w:rFonts w:ascii="Palatino Linotype" w:hAnsi="Palatino Linotype" w:cs="Arial"/>
          <w:color w:val="000000" w:themeColor="text1"/>
        </w:rPr>
        <w:t xml:space="preserve"> la promoción 005507 de fecha dieciocho de junio de dos mil dieciocho, que hace constar que el cheque y rechazo bancario fueron entregado al Asesor Comisionado adscrito a la Cuarta Sala Regional </w:t>
      </w:r>
      <w:r w:rsidR="00E802BD" w:rsidRPr="004F2200">
        <w:rPr>
          <w:rFonts w:ascii="Palatino Linotype" w:hAnsi="Palatino Linotype" w:cs="Arial"/>
          <w:color w:val="000000" w:themeColor="text1"/>
        </w:rPr>
        <w:t>el documento que contenga imágenes del cheque</w:t>
      </w:r>
      <w:r w:rsidR="007438D2" w:rsidRPr="004F2200">
        <w:rPr>
          <w:rFonts w:ascii="Palatino Linotype" w:hAnsi="Palatino Linotype" w:cs="Arial"/>
          <w:color w:val="000000" w:themeColor="text1"/>
        </w:rPr>
        <w:t xml:space="preserve"> 0002154 y rechazo bancario.</w:t>
      </w:r>
    </w:p>
    <w:p w14:paraId="641FFD10" w14:textId="6F5CA50F" w:rsidR="00F57B59" w:rsidRPr="004F2200" w:rsidRDefault="00F57B59" w:rsidP="00F57B59">
      <w:pPr>
        <w:spacing w:before="240" w:after="240" w:line="360" w:lineRule="auto"/>
        <w:jc w:val="both"/>
        <w:rPr>
          <w:rFonts w:ascii="Palatino Linotype" w:hAnsi="Palatino Linotype" w:cs="Arial"/>
          <w:color w:val="000000" w:themeColor="text1"/>
        </w:rPr>
      </w:pPr>
    </w:p>
    <w:p w14:paraId="2EE51A94" w14:textId="5AF60C17" w:rsidR="005078E2" w:rsidRPr="004F2200" w:rsidRDefault="005078E2" w:rsidP="00D423D4">
      <w:pPr>
        <w:autoSpaceDE w:val="0"/>
        <w:autoSpaceDN w:val="0"/>
        <w:adjustRightInd w:val="0"/>
        <w:spacing w:before="240" w:after="240" w:line="360" w:lineRule="auto"/>
        <w:ind w:right="-91"/>
        <w:jc w:val="both"/>
        <w:rPr>
          <w:rFonts w:ascii="Palatino Linotype" w:eastAsiaTheme="minorEastAsia" w:hAnsi="Palatino Linotype" w:cs="Bookman Old Style"/>
          <w:b/>
          <w:color w:val="000000" w:themeColor="text1"/>
          <w:sz w:val="28"/>
          <w:szCs w:val="28"/>
          <w:lang w:val="es-MX"/>
        </w:rPr>
      </w:pPr>
      <w:r w:rsidRPr="004F2200">
        <w:rPr>
          <w:rFonts w:ascii="Palatino Linotype" w:eastAsiaTheme="minorEastAsia" w:hAnsi="Palatino Linotype" w:cs="Bookman Old Style"/>
          <w:b/>
          <w:color w:val="000000" w:themeColor="text1"/>
          <w:sz w:val="28"/>
          <w:szCs w:val="28"/>
          <w:lang w:val="es-MX"/>
        </w:rPr>
        <w:t>QUINTO. Versión Pública.</w:t>
      </w:r>
    </w:p>
    <w:p w14:paraId="26396B85" w14:textId="77777777" w:rsidR="005078E2" w:rsidRPr="004F2200" w:rsidRDefault="005078E2" w:rsidP="005078E2">
      <w:pPr>
        <w:autoSpaceDE w:val="0"/>
        <w:autoSpaceDN w:val="0"/>
        <w:adjustRightInd w:val="0"/>
        <w:spacing w:before="240" w:after="240" w:line="360" w:lineRule="auto"/>
        <w:ind w:right="51"/>
        <w:jc w:val="both"/>
        <w:rPr>
          <w:rFonts w:ascii="Palatino Linotype" w:eastAsiaTheme="minorEastAsia" w:hAnsi="Palatino Linotype" w:cs="Bookman Old Style"/>
          <w:color w:val="000000" w:themeColor="text1"/>
          <w:lang w:val="es-MX"/>
        </w:rPr>
      </w:pPr>
      <w:r w:rsidRPr="004F2200">
        <w:rPr>
          <w:rFonts w:ascii="Palatino Linotype" w:eastAsiaTheme="minorEastAsia" w:hAnsi="Palatino Linotype" w:cs="Bookman Old Style"/>
          <w:color w:val="000000" w:themeColor="text1"/>
          <w:lang w:val="es-MX"/>
        </w:rPr>
        <w:t xml:space="preserve">Por último, cabe señalar que respecto a la versión pública de los documentos que contenga la información solicitada, el Comité de Transparencia del </w:t>
      </w:r>
      <w:r w:rsidRPr="004F2200">
        <w:rPr>
          <w:rFonts w:ascii="Palatino Linotype" w:eastAsiaTheme="minorEastAsia" w:hAnsi="Palatino Linotype" w:cs="Bookman Old Style"/>
          <w:b/>
          <w:color w:val="000000" w:themeColor="text1"/>
          <w:lang w:val="es-MX"/>
        </w:rPr>
        <w:t>Sujeto Obligado</w:t>
      </w:r>
      <w:r w:rsidRPr="004F2200">
        <w:rPr>
          <w:rFonts w:ascii="Palatino Linotype" w:eastAsiaTheme="minorEastAsia" w:hAnsi="Palatino Linotype" w:cs="Bookman Old Style"/>
          <w:color w:val="000000" w:themeColor="text1"/>
          <w:lang w:val="es-MX"/>
        </w:rPr>
        <w:t>, deberá emitir el acuerdo de clasificación de información confidencial con fundamento en el artículo 3 y 143 de la Ley de Transparencia y Acceso a la Información Pública del Estado de México, que establece lo siguiente respecto a los datos personales:</w:t>
      </w:r>
    </w:p>
    <w:p w14:paraId="03DEA4CD" w14:textId="77777777" w:rsidR="005078E2" w:rsidRPr="004F2200" w:rsidRDefault="005078E2" w:rsidP="005078E2">
      <w:pPr>
        <w:autoSpaceDE w:val="0"/>
        <w:autoSpaceDN w:val="0"/>
        <w:adjustRightInd w:val="0"/>
        <w:spacing w:before="120" w:after="240"/>
        <w:ind w:left="851" w:right="902"/>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
          <w:b/>
          <w:i/>
          <w:color w:val="000000" w:themeColor="text1"/>
          <w:sz w:val="20"/>
          <w:szCs w:val="20"/>
          <w:lang w:val="es-MX"/>
        </w:rPr>
        <w:t xml:space="preserve">“Artículo 3. </w:t>
      </w:r>
      <w:r w:rsidRPr="004F2200">
        <w:rPr>
          <w:rFonts w:ascii="Palatino Linotype" w:eastAsiaTheme="minorEastAsia" w:hAnsi="Palatino Linotype" w:cs="Bookman Old Style"/>
          <w:i/>
          <w:color w:val="000000" w:themeColor="text1"/>
          <w:sz w:val="20"/>
          <w:szCs w:val="20"/>
          <w:lang w:val="es-MX"/>
        </w:rPr>
        <w:t>Para los efectos de la presente Ley se entenderá por:</w:t>
      </w:r>
    </w:p>
    <w:p w14:paraId="0F64EF48" w14:textId="77777777" w:rsidR="005078E2" w:rsidRPr="004F2200" w:rsidRDefault="005078E2" w:rsidP="005078E2">
      <w:pPr>
        <w:autoSpaceDE w:val="0"/>
        <w:autoSpaceDN w:val="0"/>
        <w:adjustRightInd w:val="0"/>
        <w:spacing w:before="120" w:after="240"/>
        <w:ind w:left="851" w:right="902"/>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
          <w:b/>
          <w:i/>
          <w:color w:val="000000" w:themeColor="text1"/>
          <w:sz w:val="20"/>
          <w:szCs w:val="20"/>
          <w:lang w:val="es-MX"/>
        </w:rPr>
        <w:t>(…</w:t>
      </w:r>
      <w:r w:rsidRPr="004F2200">
        <w:rPr>
          <w:rFonts w:ascii="Palatino Linotype" w:eastAsiaTheme="minorEastAsia" w:hAnsi="Palatino Linotype" w:cs="Bookman Old Style"/>
          <w:i/>
          <w:color w:val="000000" w:themeColor="text1"/>
          <w:sz w:val="20"/>
          <w:szCs w:val="20"/>
          <w:lang w:val="es-MX"/>
        </w:rPr>
        <w:t>)</w:t>
      </w:r>
    </w:p>
    <w:p w14:paraId="2E3C4BBA" w14:textId="77777777" w:rsidR="005078E2" w:rsidRPr="004F2200" w:rsidRDefault="005078E2" w:rsidP="005078E2">
      <w:pPr>
        <w:autoSpaceDE w:val="0"/>
        <w:autoSpaceDN w:val="0"/>
        <w:adjustRightInd w:val="0"/>
        <w:spacing w:before="120" w:after="240"/>
        <w:ind w:left="851" w:right="902"/>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Bold"/>
          <w:b/>
          <w:bCs/>
          <w:i/>
          <w:color w:val="000000" w:themeColor="text1"/>
          <w:sz w:val="20"/>
          <w:szCs w:val="20"/>
          <w:lang w:val="es-MX"/>
        </w:rPr>
        <w:t xml:space="preserve">IX. Datos personales: </w:t>
      </w:r>
      <w:r w:rsidRPr="004F2200">
        <w:rPr>
          <w:rFonts w:ascii="Palatino Linotype" w:eastAsiaTheme="minorEastAsia" w:hAnsi="Palatino Linotype" w:cs="Bookman Old Style"/>
          <w:i/>
          <w:color w:val="000000" w:themeColor="text1"/>
          <w:sz w:val="20"/>
          <w:szCs w:val="20"/>
          <w:lang w:val="es-MX"/>
        </w:rPr>
        <w:t>La información concerniente a una persona, identificada o identificable según lo dispuesto por la Ley de Protección de Datos Personales del Estado de México;</w:t>
      </w:r>
    </w:p>
    <w:p w14:paraId="5A31E0FE" w14:textId="77777777" w:rsidR="005078E2" w:rsidRPr="004F2200" w:rsidRDefault="005078E2" w:rsidP="005078E2">
      <w:pPr>
        <w:autoSpaceDE w:val="0"/>
        <w:autoSpaceDN w:val="0"/>
        <w:adjustRightInd w:val="0"/>
        <w:spacing w:before="120" w:after="240"/>
        <w:ind w:left="851" w:right="902"/>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Bold"/>
          <w:b/>
          <w:bCs/>
          <w:i/>
          <w:color w:val="000000" w:themeColor="text1"/>
          <w:sz w:val="20"/>
          <w:szCs w:val="20"/>
          <w:lang w:val="es-MX"/>
        </w:rPr>
        <w:t>(…</w:t>
      </w:r>
      <w:r w:rsidRPr="004F2200">
        <w:rPr>
          <w:rFonts w:ascii="Palatino Linotype" w:eastAsiaTheme="minorEastAsia" w:hAnsi="Palatino Linotype" w:cs="Bookman Old Style"/>
          <w:i/>
          <w:color w:val="000000" w:themeColor="text1"/>
          <w:sz w:val="20"/>
          <w:szCs w:val="20"/>
          <w:lang w:val="es-MX"/>
        </w:rPr>
        <w:t>).”</w:t>
      </w:r>
    </w:p>
    <w:p w14:paraId="46915E3B" w14:textId="77777777" w:rsidR="005078E2" w:rsidRPr="004F2200" w:rsidRDefault="005078E2" w:rsidP="005078E2">
      <w:pPr>
        <w:autoSpaceDE w:val="0"/>
        <w:autoSpaceDN w:val="0"/>
        <w:adjustRightInd w:val="0"/>
        <w:ind w:left="851" w:right="900"/>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Bold"/>
          <w:b/>
          <w:bCs/>
          <w:i/>
          <w:color w:val="000000" w:themeColor="text1"/>
          <w:sz w:val="20"/>
          <w:szCs w:val="20"/>
          <w:lang w:val="es-MX"/>
        </w:rPr>
        <w:t xml:space="preserve">“Artículo 143. </w:t>
      </w:r>
      <w:r w:rsidRPr="004F2200">
        <w:rPr>
          <w:rFonts w:ascii="Palatino Linotype" w:eastAsiaTheme="minorEastAsia" w:hAnsi="Palatino Linotype" w:cs="Bookman Old Style"/>
          <w:i/>
          <w:color w:val="000000" w:themeColor="text1"/>
          <w:sz w:val="20"/>
          <w:szCs w:val="20"/>
          <w:lang w:val="es-MX"/>
        </w:rPr>
        <w:t>Para los efectos de esta Ley se considera información confidencial, la clasificada como tal, de manera permanente, por su naturaleza, cuando:</w:t>
      </w:r>
    </w:p>
    <w:p w14:paraId="51D8D972" w14:textId="77777777" w:rsidR="005078E2" w:rsidRPr="004F2200" w:rsidRDefault="005078E2" w:rsidP="005078E2">
      <w:pPr>
        <w:autoSpaceDE w:val="0"/>
        <w:autoSpaceDN w:val="0"/>
        <w:adjustRightInd w:val="0"/>
        <w:ind w:left="1134" w:right="900"/>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Bold"/>
          <w:b/>
          <w:bCs/>
          <w:i/>
          <w:color w:val="000000" w:themeColor="text1"/>
          <w:sz w:val="20"/>
          <w:szCs w:val="20"/>
          <w:lang w:val="es-MX"/>
        </w:rPr>
        <w:t xml:space="preserve">I. </w:t>
      </w:r>
      <w:r w:rsidRPr="004F2200">
        <w:rPr>
          <w:rFonts w:ascii="Palatino Linotype" w:eastAsiaTheme="minorEastAsia" w:hAnsi="Palatino Linotype" w:cs="Bookman Old Style"/>
          <w:i/>
          <w:color w:val="000000" w:themeColor="text1"/>
          <w:sz w:val="20"/>
          <w:szCs w:val="20"/>
          <w:lang w:val="es-MX"/>
        </w:rPr>
        <w:t>Se refiera a la información privada y los datos personales concernientes a una persona física o jurídico colectiva identificada o identificable;</w:t>
      </w:r>
    </w:p>
    <w:p w14:paraId="071AC65B" w14:textId="77777777" w:rsidR="005078E2" w:rsidRPr="004F2200" w:rsidRDefault="005078E2" w:rsidP="005078E2">
      <w:pPr>
        <w:autoSpaceDE w:val="0"/>
        <w:autoSpaceDN w:val="0"/>
        <w:adjustRightInd w:val="0"/>
        <w:ind w:left="1134" w:right="900"/>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Bold"/>
          <w:b/>
          <w:bCs/>
          <w:i/>
          <w:color w:val="000000" w:themeColor="text1"/>
          <w:sz w:val="20"/>
          <w:szCs w:val="20"/>
          <w:lang w:val="es-MX"/>
        </w:rPr>
        <w:t xml:space="preserve">II. </w:t>
      </w:r>
      <w:r w:rsidRPr="004F2200">
        <w:rPr>
          <w:rFonts w:ascii="Palatino Linotype" w:eastAsiaTheme="minorEastAsia" w:hAnsi="Palatino Linotype" w:cs="Bookman Old Style"/>
          <w:i/>
          <w:color w:val="000000" w:themeColor="text1"/>
          <w:sz w:val="20"/>
          <w:szCs w:val="20"/>
          <w:lang w:val="es-MX"/>
        </w:rPr>
        <w:t>Los secretos bancario, fiduciario, industrial, comercial, fiscal, bursátil y postal, cuya titularidad corresponda a particulares, sujetos de derecho internacional o a sujetos obligados cuando no involucren el ejercicio de recursos públicos; y</w:t>
      </w:r>
    </w:p>
    <w:p w14:paraId="29383FAA" w14:textId="77777777" w:rsidR="005078E2" w:rsidRPr="004F2200" w:rsidRDefault="005078E2" w:rsidP="005078E2">
      <w:pPr>
        <w:autoSpaceDE w:val="0"/>
        <w:autoSpaceDN w:val="0"/>
        <w:adjustRightInd w:val="0"/>
        <w:ind w:left="1134" w:right="900"/>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Bold"/>
          <w:b/>
          <w:bCs/>
          <w:i/>
          <w:color w:val="000000" w:themeColor="text1"/>
          <w:sz w:val="20"/>
          <w:szCs w:val="20"/>
          <w:lang w:val="es-MX"/>
        </w:rPr>
        <w:t xml:space="preserve">III. </w:t>
      </w:r>
      <w:r w:rsidRPr="004F2200">
        <w:rPr>
          <w:rFonts w:ascii="Palatino Linotype" w:eastAsiaTheme="minorEastAsia" w:hAnsi="Palatino Linotype" w:cs="Bookman Old Style"/>
          <w:i/>
          <w:color w:val="000000" w:themeColor="text1"/>
          <w:sz w:val="20"/>
          <w:szCs w:val="20"/>
          <w:lang w:val="es-MX"/>
        </w:rPr>
        <w:t>La que presenten los particulares a los sujetos obligados, de conformidad con lo dispuesto por las leyes o los tratados internacionales.</w:t>
      </w:r>
    </w:p>
    <w:p w14:paraId="6DEF35D8" w14:textId="77777777" w:rsidR="005078E2" w:rsidRPr="004F2200" w:rsidRDefault="005078E2" w:rsidP="005078E2">
      <w:pPr>
        <w:autoSpaceDE w:val="0"/>
        <w:autoSpaceDN w:val="0"/>
        <w:adjustRightInd w:val="0"/>
        <w:spacing w:before="240" w:after="240"/>
        <w:ind w:left="851" w:right="902"/>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
          <w:i/>
          <w:color w:val="000000" w:themeColor="text1"/>
          <w:sz w:val="20"/>
          <w:szCs w:val="20"/>
          <w:lang w:val="es-MX"/>
        </w:rPr>
        <w:t>La información confidencial no estará sujeta a temporalidad alguna y sólo podrán tener acceso a ella los titulares de la misma, sus representantes y los servidores públicos facultados para ello.</w:t>
      </w:r>
    </w:p>
    <w:p w14:paraId="0CF19E8D" w14:textId="77777777" w:rsidR="005078E2" w:rsidRPr="004F2200" w:rsidRDefault="005078E2" w:rsidP="005078E2">
      <w:pPr>
        <w:autoSpaceDE w:val="0"/>
        <w:autoSpaceDN w:val="0"/>
        <w:adjustRightInd w:val="0"/>
        <w:spacing w:before="240" w:after="240"/>
        <w:ind w:left="851" w:right="902"/>
        <w:jc w:val="both"/>
        <w:rPr>
          <w:rFonts w:ascii="Palatino Linotype" w:eastAsiaTheme="minorEastAsia" w:hAnsi="Palatino Linotype" w:cs="Bookman Old Style"/>
          <w:i/>
          <w:color w:val="000000" w:themeColor="text1"/>
          <w:sz w:val="20"/>
          <w:szCs w:val="20"/>
          <w:lang w:val="es-MX"/>
        </w:rPr>
      </w:pPr>
      <w:r w:rsidRPr="004F2200">
        <w:rPr>
          <w:rFonts w:ascii="Palatino Linotype" w:eastAsiaTheme="minorEastAsia" w:hAnsi="Palatino Linotype" w:cs="Bookman Old Style"/>
          <w:i/>
          <w:color w:val="000000" w:themeColor="text1"/>
          <w:sz w:val="20"/>
          <w:szCs w:val="20"/>
          <w:lang w:val="es-MX"/>
        </w:rPr>
        <w:t>No se considerará confidencial la información que se encuentre en los registros públicos o en fuentes de acceso público, ni tampoco la que sea considerada por la presente ley como información pública.”</w:t>
      </w:r>
    </w:p>
    <w:p w14:paraId="2C5C3D19" w14:textId="77777777" w:rsidR="005078E2" w:rsidRPr="004F2200" w:rsidRDefault="005078E2" w:rsidP="005078E2">
      <w:pPr>
        <w:pStyle w:val="Sinespaciado"/>
        <w:spacing w:before="240" w:after="240" w:line="360" w:lineRule="auto"/>
        <w:jc w:val="both"/>
        <w:rPr>
          <w:rFonts w:ascii="Palatino Linotype" w:hAnsi="Palatino Linotype" w:cs="Arial"/>
          <w:color w:val="000000" w:themeColor="text1"/>
        </w:rPr>
      </w:pPr>
      <w:r w:rsidRPr="004F2200">
        <w:rPr>
          <w:rFonts w:ascii="Palatino Linotype" w:eastAsiaTheme="minorEastAsia" w:hAnsi="Palatino Linotype" w:cs="Bookman Old Style"/>
          <w:color w:val="000000" w:themeColor="text1"/>
        </w:rPr>
        <w:t>En concordancia con lo anterior, los Criterios para la Clasificación</w:t>
      </w:r>
      <w:r w:rsidRPr="004F2200">
        <w:rPr>
          <w:rFonts w:ascii="Palatino Linotype" w:hAnsi="Palatino Linotype" w:cs="Arial"/>
          <w:color w:val="000000" w:themeColor="text1"/>
        </w:rPr>
        <w:t xml:space="preserve"> de la Información Pública de las Dependencias, Organismos Auxiliares y Fideicomisos Públicos de la Administración Pública del Estado de México, emitidos por este Instituto, señalan con claridad cuáles son aquellos datos personales que deben ser clasificados al momento de la elaboración de las versiones públicas. </w:t>
      </w:r>
    </w:p>
    <w:p w14:paraId="56BF22A4" w14:textId="656324DE" w:rsidR="00D171FD" w:rsidRPr="004F2200" w:rsidRDefault="005078E2" w:rsidP="00E10CB3">
      <w:pPr>
        <w:pStyle w:val="Sinespaciado"/>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En el caso específico, en la documentación en la cual podría constar la información solicitada, podría advertirse información confidencial que haga identificada o identificable a una persona, la cual de manera enunciativa más no limitativa podría ser el </w:t>
      </w:r>
      <w:r w:rsidR="00E10CB3" w:rsidRPr="004F2200">
        <w:rPr>
          <w:rFonts w:ascii="Palatino Linotype" w:hAnsi="Palatino Linotype" w:cs="Arial"/>
          <w:b/>
          <w:color w:val="000000" w:themeColor="text1"/>
        </w:rPr>
        <w:t xml:space="preserve">número de cuenta, importe, </w:t>
      </w:r>
      <w:r w:rsidR="008409C2" w:rsidRPr="004F2200">
        <w:rPr>
          <w:rFonts w:ascii="Palatino Linotype" w:hAnsi="Palatino Linotype" w:cs="Arial"/>
          <w:b/>
          <w:color w:val="000000" w:themeColor="text1"/>
        </w:rPr>
        <w:t>nombre, firma</w:t>
      </w:r>
      <w:r w:rsidR="008409C2" w:rsidRPr="004F2200">
        <w:rPr>
          <w:rFonts w:ascii="Palatino Linotype" w:hAnsi="Palatino Linotype" w:cs="Arial"/>
          <w:color w:val="000000" w:themeColor="text1"/>
        </w:rPr>
        <w:t>, entre otros.</w:t>
      </w:r>
    </w:p>
    <w:p w14:paraId="5103E8A5" w14:textId="413CD088" w:rsidR="00E10CB3" w:rsidRPr="004F2200" w:rsidRDefault="00E10CB3" w:rsidP="00E10CB3">
      <w:pPr>
        <w:autoSpaceDE w:val="0"/>
        <w:autoSpaceDN w:val="0"/>
        <w:adjustRightInd w:val="0"/>
        <w:spacing w:before="240" w:after="240" w:line="360" w:lineRule="auto"/>
        <w:ind w:right="49"/>
        <w:jc w:val="both"/>
        <w:rPr>
          <w:rFonts w:ascii="Palatino Linotype" w:hAnsi="Palatino Linotype" w:cs="Arial"/>
          <w:color w:val="000000" w:themeColor="text1"/>
          <w:lang w:val="es-ES_tradnl"/>
        </w:rPr>
      </w:pPr>
      <w:r w:rsidRPr="004F2200">
        <w:rPr>
          <w:rFonts w:ascii="Palatino Linotype" w:hAnsi="Palatino Linotype" w:cs="Arial"/>
          <w:color w:val="000000" w:themeColor="text1"/>
          <w:lang w:val="es-MX"/>
        </w:rPr>
        <w:t xml:space="preserve">El número de cuenta bancaria constituye un elemento que permitiría la comisión de delitos de fraude, acceso ilícito a sistemas informáticos o bien la falsificación de títulos de crédito, por lo tanto constituye información que no puede ser del dominio público. Sirve de sustento de los argumentos anteriores y bajo un principio de analogía u orientador </w:t>
      </w:r>
      <w:r w:rsidRPr="004F2200">
        <w:rPr>
          <w:rFonts w:ascii="Palatino Linotype" w:hAnsi="Palatino Linotype" w:cs="Arial"/>
          <w:color w:val="000000" w:themeColor="text1"/>
          <w:lang w:val="es-ES_tradnl"/>
        </w:rPr>
        <w:t xml:space="preserve">el Criterio 10/13 del entonces, Instituto Federal de Acceso a la Información, que se inserta enseguida para una mayor referencia: </w:t>
      </w:r>
    </w:p>
    <w:p w14:paraId="1E00E513" w14:textId="77777777" w:rsidR="00E10CB3" w:rsidRPr="004F2200" w:rsidRDefault="00E10CB3" w:rsidP="00E10CB3">
      <w:pPr>
        <w:autoSpaceDE w:val="0"/>
        <w:autoSpaceDN w:val="0"/>
        <w:adjustRightInd w:val="0"/>
        <w:spacing w:after="120"/>
        <w:ind w:left="851" w:right="900"/>
        <w:jc w:val="both"/>
        <w:rPr>
          <w:rFonts w:ascii="Palatino Linotype" w:hAnsi="Palatino Linotype" w:cs="Arial"/>
          <w:color w:val="000000" w:themeColor="text1"/>
          <w:sz w:val="22"/>
        </w:rPr>
      </w:pPr>
      <w:r w:rsidRPr="004F2200">
        <w:rPr>
          <w:rFonts w:ascii="Palatino Linotype" w:hAnsi="Palatino Linotype" w:cs="Arial"/>
          <w:i/>
          <w:iCs/>
          <w:color w:val="000000" w:themeColor="text1"/>
          <w:sz w:val="22"/>
          <w:lang w:val="es-ES_tradnl"/>
        </w:rPr>
        <w:t>“</w:t>
      </w:r>
      <w:r w:rsidRPr="004F2200">
        <w:rPr>
          <w:rFonts w:ascii="Palatino Linotype" w:hAnsi="Palatino Linotype" w:cs="Arial"/>
          <w:b/>
          <w:i/>
          <w:iCs/>
          <w:color w:val="000000" w:themeColor="text1"/>
          <w:sz w:val="22"/>
          <w:lang w:val="es-ES_tradnl"/>
        </w:rPr>
        <w:t>NÚMERO DE CUENTA BANCARIA DE PARTICULARES, PERSONAS FÍSICAS Y MORALES, CONSTITUYE INFORMACIÓN CONFIDENCIAL</w:t>
      </w:r>
      <w:r w:rsidRPr="004F2200">
        <w:rPr>
          <w:rFonts w:ascii="Palatino Linotype" w:hAnsi="Palatino Linotype" w:cs="Arial"/>
          <w:i/>
          <w:iCs/>
          <w:color w:val="000000" w:themeColor="text1"/>
          <w:sz w:val="22"/>
          <w:lang w:val="es-ES_tradnl"/>
        </w:rPr>
        <w:t>.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w:t>
      </w:r>
      <w:r w:rsidRPr="004F2200">
        <w:rPr>
          <w:rFonts w:ascii="Palatino Linotype" w:hAnsi="Palatino Linotype" w:cs="Arial"/>
          <w:i/>
          <w:iCs/>
          <w:color w:val="000000" w:themeColor="text1"/>
          <w:sz w:val="22"/>
          <w:lang w:val="it-IT"/>
        </w:rPr>
        <w:t>n del nu</w:t>
      </w:r>
      <w:r w:rsidRPr="004F2200">
        <w:rPr>
          <w:rFonts w:ascii="Palatino Linotype" w:hAnsi="Palatino Linotype" w:cs="Arial"/>
          <w:i/>
          <w:iCs/>
          <w:color w:val="000000" w:themeColor="text1"/>
          <w:sz w:val="22"/>
          <w:lang w:val="es-ES_tradnl"/>
        </w:rPr>
        <w:t>́mero de cuenta bancaria de un particular, deberán elaborarse versiones públicas en las que deberá́ testarse dicho dato, por tratarse de información de carácter patrimonial, cuya difusión no contribuye a la rendición de cuentas.</w:t>
      </w:r>
      <w:r w:rsidRPr="004F2200">
        <w:rPr>
          <w:rFonts w:ascii="Palatino Linotype" w:hAnsi="Palatino Linotype" w:cs="Arial"/>
          <w:i/>
          <w:iCs/>
          <w:color w:val="000000" w:themeColor="text1"/>
          <w:sz w:val="22"/>
          <w:lang w:val="en-US"/>
        </w:rPr>
        <w:t>”</w:t>
      </w:r>
    </w:p>
    <w:p w14:paraId="3AB60D0C" w14:textId="1B95BCF9" w:rsidR="00E10CB3" w:rsidRPr="004F2200" w:rsidRDefault="00E10CB3" w:rsidP="00E10CB3">
      <w:pPr>
        <w:pStyle w:val="Sinespaciado"/>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Con la difusión del importe </w:t>
      </w:r>
      <w:r w:rsidR="008409C2" w:rsidRPr="004F2200">
        <w:rPr>
          <w:rFonts w:ascii="Palatino Linotype" w:hAnsi="Palatino Linotype" w:cs="Arial"/>
          <w:color w:val="000000" w:themeColor="text1"/>
        </w:rPr>
        <w:t>del título de crédito denominado “cheque” se estaría revelando información que atañe directamente a la información patrimonial del interesado, y su difusión facilitaría que cualquier persona interesada en afectar el patrimonio del titular, pudiera realizar conductas atípicas.</w:t>
      </w:r>
    </w:p>
    <w:p w14:paraId="535F787E" w14:textId="77777777" w:rsidR="008409C2" w:rsidRPr="004F2200" w:rsidRDefault="008409C2" w:rsidP="008409C2">
      <w:pPr>
        <w:spacing w:before="240" w:after="240" w:line="360" w:lineRule="auto"/>
        <w:jc w:val="both"/>
        <w:rPr>
          <w:rFonts w:ascii="Palatino Linotype" w:hAnsi="Palatino Linotype" w:cs="Arial"/>
          <w:noProof/>
          <w:color w:val="000000" w:themeColor="text1"/>
          <w:lang w:val="es-MX" w:eastAsia="es-MX"/>
        </w:rPr>
      </w:pPr>
      <w:r w:rsidRPr="004F2200">
        <w:rPr>
          <w:rFonts w:ascii="Palatino Linotype" w:eastAsiaTheme="minorEastAsia" w:hAnsi="Palatino Linotype" w:cs="Arial"/>
          <w:color w:val="000000" w:themeColor="text1"/>
          <w:lang w:val="es-MX"/>
        </w:rPr>
        <w:t xml:space="preserve">Mientras que la </w:t>
      </w:r>
      <w:r w:rsidRPr="004F2200">
        <w:rPr>
          <w:rFonts w:ascii="Palatino Linotype" w:eastAsiaTheme="minorEastAsia" w:hAnsi="Palatino Linotype" w:cs="Arial"/>
          <w:color w:val="000000" w:themeColor="text1"/>
        </w:rPr>
        <w:t>f</w:t>
      </w:r>
      <w:r w:rsidRPr="004F2200">
        <w:rPr>
          <w:rFonts w:ascii="Palatino Linotype" w:hAnsi="Palatino Linotype" w:cs="Arial"/>
          <w:noProof/>
          <w:color w:val="000000" w:themeColor="text1"/>
        </w:rPr>
        <w:t xml:space="preserve">irma </w:t>
      </w:r>
      <w:r w:rsidRPr="004F2200">
        <w:rPr>
          <w:rFonts w:ascii="Palatino Linotype" w:hAnsi="Palatino Linotype" w:cs="Arial"/>
          <w:noProof/>
          <w:color w:val="000000" w:themeColor="text1"/>
          <w:lang w:val="es-MX" w:eastAsia="es-MX"/>
        </w:rPr>
        <w:t>autografa constituye un dato personal, toda vez que en el transcurso del tiempo se ha consagrado como un simbolo de identificacion y enlace entre el autor de lo escrito y su persona, toda vez que esta puede estar compuesta por el nombre y apellidos de la propia persona, o un conjunto de rasgos que se realizan siempre de la misma manera, pero ya sea de una u otra forma, se realizan siempre igual, y por ende hacen indentificable a una persona y con esta a su vez se otorga autenticidad y se muestra la aprobacion del contenido de un documento, por lo tanto resulta ser unica e irrepetible.</w:t>
      </w:r>
    </w:p>
    <w:p w14:paraId="109E6539" w14:textId="77777777" w:rsidR="008409C2" w:rsidRPr="004F2200" w:rsidRDefault="008409C2" w:rsidP="008409C2">
      <w:pPr>
        <w:pStyle w:val="j"/>
        <w:shd w:val="clear" w:color="auto" w:fill="FFFFFF"/>
        <w:spacing w:before="240" w:beforeAutospacing="0" w:after="240" w:afterAutospacing="0" w:line="360" w:lineRule="auto"/>
        <w:jc w:val="both"/>
        <w:textAlignment w:val="baseline"/>
        <w:rPr>
          <w:rFonts w:ascii="Palatino Linotype" w:hAnsi="Palatino Linotype" w:cs="Arial"/>
          <w:noProof/>
          <w:color w:val="000000" w:themeColor="text1"/>
        </w:rPr>
      </w:pPr>
      <w:r w:rsidRPr="004F2200">
        <w:rPr>
          <w:rFonts w:ascii="Palatino Linotype" w:hAnsi="Palatino Linotype" w:cs="Arial"/>
          <w:noProof/>
          <w:color w:val="000000" w:themeColor="text1"/>
        </w:rPr>
        <w:t>Sustenta lo anterior la deficion de la Real Academia Española que se inserta enseguida, que a la letra dice lo siguiente:</w:t>
      </w:r>
    </w:p>
    <w:p w14:paraId="279E0151" w14:textId="77777777" w:rsidR="008409C2" w:rsidRPr="004F2200" w:rsidRDefault="008409C2" w:rsidP="008409C2">
      <w:pPr>
        <w:pStyle w:val="j"/>
        <w:shd w:val="clear" w:color="auto" w:fill="FFFFFF"/>
        <w:spacing w:before="0" w:beforeAutospacing="0" w:after="120" w:afterAutospacing="0"/>
        <w:ind w:left="851" w:right="902"/>
        <w:jc w:val="both"/>
        <w:textAlignment w:val="baseline"/>
        <w:rPr>
          <w:rFonts w:ascii="Palatino Linotype" w:eastAsia="Arial Unicode MS" w:hAnsi="Palatino Linotype" w:cs="Arial Unicode MS"/>
          <w:i/>
          <w:color w:val="000000" w:themeColor="text1"/>
          <w:spacing w:val="4"/>
          <w:sz w:val="20"/>
          <w:szCs w:val="20"/>
        </w:rPr>
      </w:pPr>
      <w:r w:rsidRPr="004F2200">
        <w:rPr>
          <w:rFonts w:ascii="Palatino Linotype" w:eastAsia="Arial Unicode MS" w:hAnsi="Palatino Linotype" w:cs="Arial Unicode MS"/>
          <w:i/>
          <w:color w:val="000000" w:themeColor="text1"/>
          <w:spacing w:val="4"/>
          <w:sz w:val="20"/>
          <w:szCs w:val="20"/>
        </w:rPr>
        <w:t>“Nombre y apellidos escritos por una persona de su propia mano en un documento, con o sin rubrica, para darle autenticidad o mostrar la aprobación de su contenido.”</w:t>
      </w:r>
    </w:p>
    <w:p w14:paraId="73A55072" w14:textId="77777777" w:rsidR="008409C2" w:rsidRPr="004F2200" w:rsidRDefault="008409C2" w:rsidP="008409C2">
      <w:pPr>
        <w:pStyle w:val="j"/>
        <w:shd w:val="clear" w:color="auto" w:fill="FFFFFF"/>
        <w:spacing w:before="0" w:beforeAutospacing="0" w:after="120" w:afterAutospacing="0"/>
        <w:ind w:left="851" w:right="902"/>
        <w:jc w:val="both"/>
        <w:textAlignment w:val="baseline"/>
        <w:rPr>
          <w:rFonts w:ascii="Palatino Linotype" w:eastAsia="Arial Unicode MS" w:hAnsi="Palatino Linotype" w:cs="Arial Unicode MS"/>
          <w:i/>
          <w:color w:val="000000" w:themeColor="text1"/>
          <w:spacing w:val="4"/>
          <w:sz w:val="20"/>
          <w:szCs w:val="20"/>
        </w:rPr>
      </w:pPr>
      <w:r w:rsidRPr="004F2200">
        <w:rPr>
          <w:rFonts w:ascii="Palatino Linotype" w:eastAsia="Arial Unicode MS" w:hAnsi="Palatino Linotype" w:cs="Arial Unicode MS"/>
          <w:i/>
          <w:color w:val="000000" w:themeColor="text1"/>
          <w:spacing w:val="4"/>
          <w:sz w:val="20"/>
          <w:szCs w:val="20"/>
        </w:rPr>
        <w:t>“Rasgo o conjunto de rasgos, realizados siempre de la misma manera, que identifican a una persona y sustituyen a su nombre y apellidos para aprobar o dar autenticidad a un documento.”</w:t>
      </w:r>
    </w:p>
    <w:p w14:paraId="7B9A04D1" w14:textId="2AE23023" w:rsidR="008409C2" w:rsidRPr="004F2200" w:rsidRDefault="008409C2" w:rsidP="008409C2">
      <w:pPr>
        <w:autoSpaceDE w:val="0"/>
        <w:autoSpaceDN w:val="0"/>
        <w:adjustRightInd w:val="0"/>
        <w:spacing w:before="240" w:after="240" w:line="360" w:lineRule="auto"/>
        <w:jc w:val="both"/>
        <w:rPr>
          <w:rFonts w:ascii="Palatino Linotype" w:hAnsi="Palatino Linotype" w:cs="Arial"/>
          <w:color w:val="000000" w:themeColor="text1"/>
          <w:lang w:eastAsia="es-MX"/>
        </w:rPr>
      </w:pPr>
      <w:r w:rsidRPr="004F2200">
        <w:rPr>
          <w:rFonts w:ascii="Palatino Linotype" w:hAnsi="Palatino Linotype" w:cs="Arial"/>
          <w:color w:val="000000" w:themeColor="text1"/>
          <w:lang w:eastAsia="es-MX"/>
        </w:rPr>
        <w:t>Mientras que el nombre, es conceptualizado por el Código Civil del Estado de México, como aquel que se designa a una persona, y que le permite diferenciarse de otro individuo, que se forma con el sustantivo propio y el primer apellido del padre y de la madre, el cual este constituye un dato personal e intransferible.</w:t>
      </w:r>
    </w:p>
    <w:p w14:paraId="246616B2" w14:textId="77777777" w:rsidR="005078E2" w:rsidRPr="004F2200" w:rsidRDefault="005078E2" w:rsidP="005078E2">
      <w:pPr>
        <w:pStyle w:val="Sinespaciado"/>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7B816674" w14:textId="77777777" w:rsidR="005078E2" w:rsidRPr="004F2200" w:rsidRDefault="005078E2" w:rsidP="005078E2">
      <w:pPr>
        <w:tabs>
          <w:tab w:val="left" w:pos="8647"/>
        </w:tabs>
        <w:spacing w:before="240" w:after="240" w:line="360" w:lineRule="auto"/>
        <w:ind w:right="51"/>
        <w:jc w:val="both"/>
        <w:rPr>
          <w:rFonts w:ascii="Palatino Linotype" w:hAnsi="Palatino Linotype" w:cs="Arial"/>
          <w:color w:val="000000" w:themeColor="text1"/>
        </w:rPr>
      </w:pPr>
      <w:r w:rsidRPr="004F2200">
        <w:rPr>
          <w:rFonts w:ascii="Palatino Linotype" w:hAnsi="Palatino Linotype" w:cs="Arial"/>
          <w:color w:val="000000" w:themeColor="text1"/>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3D5DDF27" w14:textId="77777777" w:rsidR="005078E2" w:rsidRPr="004F2200" w:rsidRDefault="005078E2" w:rsidP="005078E2">
      <w:pPr>
        <w:spacing w:before="240" w:after="360" w:line="360" w:lineRule="auto"/>
        <w:jc w:val="both"/>
        <w:rPr>
          <w:rFonts w:ascii="Palatino Linotype" w:hAnsi="Palatino Linotype" w:cs="Arial"/>
          <w:color w:val="000000" w:themeColor="text1"/>
        </w:rPr>
      </w:pPr>
      <w:r w:rsidRPr="004F2200">
        <w:rPr>
          <w:rFonts w:ascii="Palatino Linotype" w:eastAsiaTheme="minorHAnsi" w:hAnsi="Palatino Linotype" w:cstheme="minorBidi"/>
          <w:color w:val="000000" w:themeColor="text1"/>
          <w:lang w:val="es-MX" w:eastAsia="en-US"/>
        </w:rPr>
        <w:t>Por lo anterior, es procedente ordenar la entrega del acuerdo del Comité de Transparencia por el que se clasificó la información ordenada, es decir, deberá emitir el acuerdo correspondiente de manera fundada y motivada, mediante el cual testó y/o disoció</w:t>
      </w:r>
      <w:r w:rsidRPr="004F2200">
        <w:rPr>
          <w:rFonts w:ascii="Palatino Linotype" w:hAnsi="Palatino Linotype" w:cs="Arial"/>
          <w:color w:val="000000" w:themeColor="text1"/>
        </w:rPr>
        <w:t xml:space="preserve"> aquellos elementos señalados en la presente resolución, en el entendido de que debe ser pública toda la demás información relacionada que no encuadre en los conceptos anteriores.</w:t>
      </w:r>
    </w:p>
    <w:p w14:paraId="5546A246" w14:textId="77777777" w:rsidR="005078E2" w:rsidRPr="004F2200" w:rsidRDefault="005078E2" w:rsidP="005078E2">
      <w:pPr>
        <w:widowControl w:val="0"/>
        <w:autoSpaceDE w:val="0"/>
        <w:autoSpaceDN w:val="0"/>
        <w:adjustRightInd w:val="0"/>
        <w:spacing w:line="360" w:lineRule="auto"/>
        <w:jc w:val="both"/>
        <w:rPr>
          <w:rFonts w:ascii="Palatino Linotype" w:hAnsi="Palatino Linotype"/>
          <w:color w:val="000000" w:themeColor="text1"/>
        </w:rPr>
      </w:pPr>
      <w:r w:rsidRPr="004F2200">
        <w:rPr>
          <w:rFonts w:ascii="Palatino Linotype" w:hAnsi="Palatino Linotype" w:cs="Arial"/>
          <w:color w:val="000000" w:themeColor="text1"/>
        </w:rPr>
        <w:t xml:space="preserve">El Acuerdo de Clasificación de Información Confidencial, se emitirá en términos de lo dispuesto tanto como en los en </w:t>
      </w:r>
      <w:r w:rsidRPr="004F2200">
        <w:rPr>
          <w:rFonts w:ascii="Palatino Linotype" w:hAnsi="Palatino Linotype"/>
          <w:color w:val="000000" w:themeColor="text1"/>
        </w:rPr>
        <w:t>los artículos 137, 143 y 149 de la Ley de Transparencia y Acceso a la Información Pública del Estado de México y Municipios, como en los</w:t>
      </w:r>
      <w:r w:rsidRPr="004F2200">
        <w:rPr>
          <w:rFonts w:ascii="Palatino Linotype" w:hAnsi="Palatino Linotype" w:cs="Arial"/>
          <w:color w:val="000000" w:themeColor="text1"/>
        </w:rPr>
        <w:t xml:space="preserve"> Lineamientos Generales en Materia de Clasificación y Desclasificación de la Información, así como para la elaboración de Versiones Públicas, publicados en el Diario Oficial de la Federación en fecha quince de abril del dos mil dieciséis, mediante ACUERDO del Consejo Nacional del Sistema Nacional de Transparencia, Acceso a la Información Pública y Protección de Datos Personales, </w:t>
      </w:r>
      <w:r w:rsidRPr="004F2200">
        <w:rPr>
          <w:rFonts w:ascii="Palatino Linotype" w:hAnsi="Palatino Linotype"/>
          <w:color w:val="000000" w:themeColor="text1"/>
        </w:rPr>
        <w:t xml:space="preserve">motivando la referida clasificación al señalar las </w:t>
      </w:r>
      <w:r w:rsidRPr="004F2200">
        <w:rPr>
          <w:rFonts w:ascii="Palatino Linotype" w:hAnsi="Palatino Linotype"/>
          <w:b/>
          <w:color w:val="000000" w:themeColor="text1"/>
          <w:u w:val="single"/>
        </w:rPr>
        <w:t>razones, motivos o circunstancias especiales</w:t>
      </w:r>
      <w:r w:rsidRPr="004F2200">
        <w:rPr>
          <w:rFonts w:ascii="Palatino Linotype" w:hAnsi="Palatino Linotype"/>
          <w:color w:val="000000" w:themeColor="text1"/>
        </w:rPr>
        <w:t xml:space="preserve"> que lo llevaron a concluir que el caso concreto, se ajustó a los supuestos previstos en la normatividad legal invocada.</w:t>
      </w:r>
    </w:p>
    <w:p w14:paraId="109F00E5" w14:textId="20004E31" w:rsidR="007417EA" w:rsidRPr="004F2200" w:rsidRDefault="007417EA" w:rsidP="007417EA">
      <w:pPr>
        <w:shd w:val="clear" w:color="auto" w:fill="FFFFFF"/>
        <w:spacing w:before="240" w:after="240" w:line="360" w:lineRule="auto"/>
        <w:jc w:val="both"/>
        <w:rPr>
          <w:rFonts w:ascii="Palatino Linotype" w:hAnsi="Palatino Linotype" w:cs="Arial"/>
          <w:color w:val="000000" w:themeColor="text1"/>
          <w:lang w:eastAsia="es-MX"/>
        </w:rPr>
      </w:pPr>
      <w:r w:rsidRPr="004F2200">
        <w:rPr>
          <w:rFonts w:ascii="Palatino Linotype" w:hAnsi="Palatino Linotype" w:cs="Arial"/>
          <w:color w:val="000000" w:themeColor="text1"/>
          <w:lang w:eastAsia="es-MX"/>
        </w:rPr>
        <w:t>Así,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14:paraId="04312EDF" w14:textId="77777777" w:rsidR="009C4FE0" w:rsidRPr="004F2200" w:rsidRDefault="009C4FE0" w:rsidP="00AB61CC">
      <w:pPr>
        <w:pStyle w:val="Prrafodelista"/>
        <w:spacing w:before="240" w:after="240" w:line="360" w:lineRule="auto"/>
        <w:ind w:left="0"/>
        <w:jc w:val="both"/>
        <w:rPr>
          <w:rFonts w:ascii="Palatino Linotype" w:hAnsi="Palatino Linotype"/>
          <w:color w:val="000000" w:themeColor="text1"/>
        </w:rPr>
      </w:pPr>
    </w:p>
    <w:p w14:paraId="175481B3" w14:textId="5EF554AD" w:rsidR="00DF134A" w:rsidRPr="004F2200" w:rsidRDefault="00DF134A" w:rsidP="00DF134A">
      <w:pPr>
        <w:pStyle w:val="Prrafodelista"/>
        <w:spacing w:before="240" w:after="240" w:line="360" w:lineRule="auto"/>
        <w:ind w:left="0"/>
        <w:jc w:val="center"/>
        <w:rPr>
          <w:rFonts w:ascii="Palatino Linotype" w:hAnsi="Palatino Linotype" w:cs="Arial"/>
          <w:b/>
          <w:color w:val="000000" w:themeColor="text1"/>
        </w:rPr>
      </w:pPr>
      <w:r w:rsidRPr="004F2200">
        <w:rPr>
          <w:rFonts w:ascii="Palatino Linotype" w:hAnsi="Palatino Linotype" w:cs="Arial"/>
          <w:b/>
          <w:color w:val="000000" w:themeColor="text1"/>
        </w:rPr>
        <w:t>R E S U E L V E</w:t>
      </w:r>
    </w:p>
    <w:p w14:paraId="2DB8DB74" w14:textId="4FBF618F" w:rsidR="007F1525" w:rsidRPr="004F2200" w:rsidRDefault="007F1525" w:rsidP="007F1525">
      <w:pPr>
        <w:autoSpaceDE w:val="0"/>
        <w:autoSpaceDN w:val="0"/>
        <w:adjustRightInd w:val="0"/>
        <w:spacing w:before="240" w:after="240" w:line="360" w:lineRule="auto"/>
        <w:jc w:val="both"/>
        <w:rPr>
          <w:rFonts w:ascii="Palatino Linotype" w:hAnsi="Palatino Linotype" w:cs="Arial"/>
          <w:bCs/>
          <w:color w:val="000000" w:themeColor="text1"/>
          <w:lang w:eastAsia="es-MX"/>
        </w:rPr>
      </w:pPr>
      <w:r w:rsidRPr="004F2200">
        <w:rPr>
          <w:rFonts w:ascii="Palatino Linotype" w:hAnsi="Palatino Linotype" w:cs="Arial"/>
          <w:b/>
          <w:color w:val="000000" w:themeColor="text1"/>
          <w:sz w:val="28"/>
        </w:rPr>
        <w:t>PRIMERO</w:t>
      </w:r>
      <w:r w:rsidRPr="004F2200">
        <w:rPr>
          <w:rFonts w:ascii="Palatino Linotype" w:hAnsi="Palatino Linotype" w:cs="Arial"/>
          <w:color w:val="000000" w:themeColor="text1"/>
          <w:sz w:val="28"/>
        </w:rPr>
        <w:t xml:space="preserve">. </w:t>
      </w:r>
      <w:r w:rsidRPr="004F2200">
        <w:rPr>
          <w:rFonts w:ascii="Palatino Linotype" w:hAnsi="Palatino Linotype" w:cs="Arial"/>
          <w:bCs/>
          <w:color w:val="000000" w:themeColor="text1"/>
          <w:lang w:eastAsia="es-MX"/>
        </w:rPr>
        <w:t xml:space="preserve">Resultan fundados los motivos de inconformidad </w:t>
      </w:r>
      <w:r w:rsidR="00533DC5" w:rsidRPr="004F2200">
        <w:rPr>
          <w:rFonts w:ascii="Palatino Linotype" w:hAnsi="Palatino Linotype" w:cs="Arial"/>
          <w:bCs/>
          <w:color w:val="000000" w:themeColor="text1"/>
          <w:lang w:eastAsia="es-MX"/>
        </w:rPr>
        <w:t xml:space="preserve">planteados por </w:t>
      </w:r>
      <w:r w:rsidR="008409C2" w:rsidRPr="004F2200">
        <w:rPr>
          <w:rFonts w:ascii="Palatino Linotype" w:hAnsi="Palatino Linotype" w:cs="Arial"/>
          <w:bCs/>
          <w:color w:val="000000" w:themeColor="text1"/>
          <w:lang w:eastAsia="es-MX"/>
        </w:rPr>
        <w:t>el</w:t>
      </w:r>
      <w:r w:rsidRPr="004F2200">
        <w:rPr>
          <w:rFonts w:ascii="Palatino Linotype" w:hAnsi="Palatino Linotype" w:cs="Arial"/>
          <w:bCs/>
          <w:color w:val="000000" w:themeColor="text1"/>
          <w:lang w:eastAsia="es-MX"/>
        </w:rPr>
        <w:t xml:space="preserve"> </w:t>
      </w:r>
      <w:r w:rsidRPr="004F2200">
        <w:rPr>
          <w:rFonts w:ascii="Palatino Linotype" w:hAnsi="Palatino Linotype" w:cs="Arial"/>
          <w:b/>
          <w:bCs/>
          <w:i/>
          <w:color w:val="000000" w:themeColor="text1"/>
          <w:lang w:eastAsia="es-MX"/>
        </w:rPr>
        <w:t>Recurrente</w:t>
      </w:r>
      <w:r w:rsidRPr="004F2200">
        <w:rPr>
          <w:rFonts w:ascii="Palatino Linotype" w:hAnsi="Palatino Linotype" w:cs="Arial"/>
          <w:color w:val="000000" w:themeColor="text1"/>
        </w:rPr>
        <w:t xml:space="preserve">, en términos del Considerando CUARTO de esta resolución, por lo que se determina </w:t>
      </w:r>
      <w:r w:rsidR="00A23A2A" w:rsidRPr="004F2200">
        <w:rPr>
          <w:rFonts w:ascii="Palatino Linotype" w:hAnsi="Palatino Linotype" w:cs="Arial"/>
          <w:b/>
          <w:color w:val="000000" w:themeColor="text1"/>
        </w:rPr>
        <w:t>REVO</w:t>
      </w:r>
      <w:r w:rsidRPr="004F2200">
        <w:rPr>
          <w:rFonts w:ascii="Palatino Linotype" w:hAnsi="Palatino Linotype" w:cs="Arial"/>
          <w:b/>
          <w:color w:val="000000" w:themeColor="text1"/>
        </w:rPr>
        <w:t xml:space="preserve">CAR </w:t>
      </w:r>
      <w:r w:rsidRPr="004F2200">
        <w:rPr>
          <w:rFonts w:ascii="Palatino Linotype" w:hAnsi="Palatino Linotype" w:cs="Arial"/>
          <w:color w:val="000000" w:themeColor="text1"/>
        </w:rPr>
        <w:t xml:space="preserve">la respuesta emitida por el </w:t>
      </w:r>
      <w:r w:rsidR="004E1A77" w:rsidRPr="004F2200">
        <w:rPr>
          <w:rFonts w:ascii="Palatino Linotype" w:hAnsi="Palatino Linotype" w:cs="Arial"/>
          <w:color w:val="000000" w:themeColor="text1"/>
        </w:rPr>
        <w:t>Tribunal de Justicia Administrativa del Estado de México</w:t>
      </w:r>
      <w:r w:rsidRPr="004F2200">
        <w:rPr>
          <w:rFonts w:ascii="Palatino Linotype" w:hAnsi="Palatino Linotype" w:cs="Arial"/>
          <w:color w:val="000000" w:themeColor="text1"/>
        </w:rPr>
        <w:t>.</w:t>
      </w:r>
    </w:p>
    <w:p w14:paraId="27C7C5D0" w14:textId="0F4B8CCB" w:rsidR="007F1525" w:rsidRPr="004F2200" w:rsidRDefault="007F1525" w:rsidP="007F1525">
      <w:pPr>
        <w:autoSpaceDE w:val="0"/>
        <w:autoSpaceDN w:val="0"/>
        <w:adjustRightInd w:val="0"/>
        <w:spacing w:before="240" w:after="240" w:line="360" w:lineRule="auto"/>
        <w:jc w:val="both"/>
        <w:rPr>
          <w:rFonts w:ascii="Palatino Linotype" w:hAnsi="Palatino Linotype" w:cs="Arial"/>
          <w:color w:val="000000" w:themeColor="text1"/>
        </w:rPr>
      </w:pPr>
      <w:r w:rsidRPr="004F2200">
        <w:rPr>
          <w:rFonts w:ascii="Palatino Linotype" w:hAnsi="Palatino Linotype" w:cs="Arial"/>
          <w:b/>
          <w:color w:val="000000" w:themeColor="text1"/>
          <w:sz w:val="28"/>
          <w:szCs w:val="28"/>
          <w:lang w:val="es-MX" w:eastAsia="es-MX"/>
        </w:rPr>
        <w:t>SEGUNDO.</w:t>
      </w:r>
      <w:r w:rsidRPr="004F2200">
        <w:rPr>
          <w:rFonts w:ascii="Palatino Linotype" w:hAnsi="Palatino Linotype" w:cs="Arial"/>
          <w:b/>
          <w:color w:val="000000" w:themeColor="text1"/>
          <w:sz w:val="28"/>
        </w:rPr>
        <w:t xml:space="preserve"> </w:t>
      </w:r>
      <w:r w:rsidRPr="004F2200">
        <w:rPr>
          <w:rFonts w:ascii="Palatino Linotype" w:hAnsi="Palatino Linotype" w:cs="Arial"/>
          <w:color w:val="000000" w:themeColor="text1"/>
        </w:rPr>
        <w:t>Se</w:t>
      </w:r>
      <w:r w:rsidRPr="004F2200">
        <w:rPr>
          <w:rFonts w:ascii="Palatino Linotype" w:hAnsi="Palatino Linotype" w:cs="Arial"/>
          <w:b/>
          <w:color w:val="000000" w:themeColor="text1"/>
        </w:rPr>
        <w:t xml:space="preserve"> ORDENA </w:t>
      </w:r>
      <w:r w:rsidRPr="004F2200">
        <w:rPr>
          <w:rFonts w:ascii="Palatino Linotype" w:hAnsi="Palatino Linotype" w:cs="Arial"/>
          <w:color w:val="000000" w:themeColor="text1"/>
        </w:rPr>
        <w:t xml:space="preserve">al </w:t>
      </w:r>
      <w:r w:rsidR="004E1A77" w:rsidRPr="004F2200">
        <w:rPr>
          <w:rFonts w:ascii="Palatino Linotype" w:hAnsi="Palatino Linotype" w:cs="Arial"/>
          <w:b/>
          <w:color w:val="000000" w:themeColor="text1"/>
        </w:rPr>
        <w:t>Tribunal de Justicia Administrativa del Estado de México</w:t>
      </w:r>
      <w:r w:rsidRPr="004F2200">
        <w:rPr>
          <w:rFonts w:ascii="Palatino Linotype" w:hAnsi="Palatino Linotype" w:cs="Arial"/>
          <w:b/>
          <w:color w:val="000000" w:themeColor="text1"/>
        </w:rPr>
        <w:t xml:space="preserve">, </w:t>
      </w:r>
      <w:r w:rsidRPr="004F2200">
        <w:rPr>
          <w:rFonts w:ascii="Palatino Linotype" w:hAnsi="Palatino Linotype" w:cs="Arial"/>
          <w:color w:val="000000" w:themeColor="text1"/>
        </w:rPr>
        <w:t xml:space="preserve">Sujeto Obligado, atienda la solicitud de información número </w:t>
      </w:r>
      <w:r w:rsidR="004E1A77" w:rsidRPr="004F2200">
        <w:rPr>
          <w:rFonts w:ascii="Palatino Linotype" w:hAnsi="Palatino Linotype" w:cs="Arial"/>
          <w:b/>
          <w:color w:val="000000" w:themeColor="text1"/>
        </w:rPr>
        <w:t>00043/TRIJAEM</w:t>
      </w:r>
      <w:r w:rsidR="001C06E4" w:rsidRPr="004F2200">
        <w:rPr>
          <w:rFonts w:ascii="Palatino Linotype" w:hAnsi="Palatino Linotype" w:cs="Arial"/>
          <w:b/>
          <w:color w:val="000000" w:themeColor="text1"/>
        </w:rPr>
        <w:t>/IP/2018</w:t>
      </w:r>
      <w:r w:rsidRPr="004F2200">
        <w:rPr>
          <w:rFonts w:ascii="Palatino Linotype" w:hAnsi="Palatino Linotype"/>
          <w:bCs/>
          <w:color w:val="000000" w:themeColor="text1"/>
        </w:rPr>
        <w:t xml:space="preserve">, y </w:t>
      </w:r>
      <w:r w:rsidRPr="004F2200">
        <w:rPr>
          <w:rFonts w:ascii="Palatino Linotype" w:hAnsi="Palatino Linotype" w:cs="Arial"/>
          <w:color w:val="000000" w:themeColor="text1"/>
        </w:rPr>
        <w:t>haga entrega vía SAIMEX</w:t>
      </w:r>
      <w:r w:rsidR="00F66BB3" w:rsidRPr="004F2200">
        <w:rPr>
          <w:rFonts w:ascii="Palatino Linotype" w:hAnsi="Palatino Linotype" w:cs="Arial"/>
          <w:color w:val="000000" w:themeColor="text1"/>
        </w:rPr>
        <w:t xml:space="preserve"> en versión pública</w:t>
      </w:r>
      <w:r w:rsidRPr="004F2200">
        <w:rPr>
          <w:rFonts w:ascii="Palatino Linotype" w:hAnsi="Palatino Linotype" w:cs="Arial"/>
          <w:color w:val="000000" w:themeColor="text1"/>
        </w:rPr>
        <w:t>, en términos de</w:t>
      </w:r>
      <w:r w:rsidR="00F66BB3" w:rsidRPr="004F2200">
        <w:rPr>
          <w:rFonts w:ascii="Palatino Linotype" w:hAnsi="Palatino Linotype" w:cs="Arial"/>
          <w:color w:val="000000" w:themeColor="text1"/>
        </w:rPr>
        <w:t xml:space="preserve"> </w:t>
      </w:r>
      <w:r w:rsidRPr="004F2200">
        <w:rPr>
          <w:rFonts w:ascii="Palatino Linotype" w:hAnsi="Palatino Linotype" w:cs="Arial"/>
          <w:color w:val="000000" w:themeColor="text1"/>
        </w:rPr>
        <w:t>l</w:t>
      </w:r>
      <w:r w:rsidR="00F66BB3" w:rsidRPr="004F2200">
        <w:rPr>
          <w:rFonts w:ascii="Palatino Linotype" w:hAnsi="Palatino Linotype" w:cs="Arial"/>
          <w:color w:val="000000" w:themeColor="text1"/>
        </w:rPr>
        <w:t>os</w:t>
      </w:r>
      <w:r w:rsidRPr="004F2200">
        <w:rPr>
          <w:rFonts w:ascii="Palatino Linotype" w:hAnsi="Palatino Linotype" w:cs="Arial"/>
          <w:color w:val="000000" w:themeColor="text1"/>
        </w:rPr>
        <w:t xml:space="preserve"> Considerando</w:t>
      </w:r>
      <w:r w:rsidR="002911CC" w:rsidRPr="004F2200">
        <w:rPr>
          <w:rFonts w:ascii="Palatino Linotype" w:hAnsi="Palatino Linotype" w:cs="Arial"/>
          <w:color w:val="000000" w:themeColor="text1"/>
        </w:rPr>
        <w:t>s</w:t>
      </w:r>
      <w:r w:rsidRPr="004F2200">
        <w:rPr>
          <w:rFonts w:ascii="Palatino Linotype" w:hAnsi="Palatino Linotype" w:cs="Arial"/>
          <w:color w:val="000000" w:themeColor="text1"/>
        </w:rPr>
        <w:t xml:space="preserve"> CUARTO</w:t>
      </w:r>
      <w:r w:rsidR="00F66BB3" w:rsidRPr="004F2200">
        <w:rPr>
          <w:rFonts w:ascii="Palatino Linotype" w:hAnsi="Palatino Linotype" w:cs="Arial"/>
          <w:color w:val="000000" w:themeColor="text1"/>
        </w:rPr>
        <w:t xml:space="preserve"> y QUINTO de esta resolución</w:t>
      </w:r>
      <w:r w:rsidR="00E3504C" w:rsidRPr="004F2200">
        <w:rPr>
          <w:rFonts w:ascii="Palatino Linotype" w:hAnsi="Palatino Linotype" w:cs="Arial"/>
          <w:color w:val="000000" w:themeColor="text1"/>
        </w:rPr>
        <w:t xml:space="preserve">, </w:t>
      </w:r>
      <w:r w:rsidR="006C1A47" w:rsidRPr="004F2200">
        <w:rPr>
          <w:rFonts w:ascii="Palatino Linotype" w:hAnsi="Palatino Linotype" w:cs="Arial"/>
          <w:color w:val="000000" w:themeColor="text1"/>
        </w:rPr>
        <w:t>de</w:t>
      </w:r>
      <w:r w:rsidR="007438D2" w:rsidRPr="004F2200">
        <w:rPr>
          <w:rFonts w:ascii="Palatino Linotype" w:hAnsi="Palatino Linotype" w:cs="Arial"/>
          <w:color w:val="000000" w:themeColor="text1"/>
        </w:rPr>
        <w:t xml:space="preserve">l documento o documentos </w:t>
      </w:r>
      <w:r w:rsidR="00AC4636" w:rsidRPr="004F2200">
        <w:rPr>
          <w:rFonts w:ascii="Palatino Linotype" w:hAnsi="Palatino Linotype" w:cs="Arial"/>
          <w:color w:val="000000" w:themeColor="text1"/>
        </w:rPr>
        <w:t xml:space="preserve">entregados en informe justificado, </w:t>
      </w:r>
      <w:r w:rsidR="007438D2" w:rsidRPr="004F2200">
        <w:rPr>
          <w:rFonts w:ascii="Palatino Linotype" w:hAnsi="Palatino Linotype" w:cs="Arial"/>
          <w:color w:val="000000" w:themeColor="text1"/>
        </w:rPr>
        <w:t>en los que conste</w:t>
      </w:r>
      <w:r w:rsidRPr="004F2200">
        <w:rPr>
          <w:rFonts w:ascii="Palatino Linotype" w:hAnsi="Palatino Linotype" w:cs="Arial"/>
          <w:color w:val="000000" w:themeColor="text1"/>
        </w:rPr>
        <w:t>:</w:t>
      </w:r>
    </w:p>
    <w:p w14:paraId="0E2B777B" w14:textId="538B7D05" w:rsidR="007438D2" w:rsidRPr="004F2200" w:rsidRDefault="007438D2" w:rsidP="007438D2">
      <w:pPr>
        <w:pStyle w:val="Prrafodelista"/>
        <w:numPr>
          <w:ilvl w:val="0"/>
          <w:numId w:val="8"/>
        </w:num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La comparecencia del dieciocho de junio de dos mil dieciocho</w:t>
      </w:r>
      <w:r w:rsidR="00042D83" w:rsidRPr="004F2200">
        <w:rPr>
          <w:rFonts w:ascii="Palatino Linotype" w:hAnsi="Palatino Linotype" w:cs="Arial"/>
          <w:color w:val="000000" w:themeColor="text1"/>
        </w:rPr>
        <w:t>,</w:t>
      </w:r>
      <w:r w:rsidRPr="004F2200">
        <w:rPr>
          <w:rFonts w:ascii="Palatino Linotype" w:hAnsi="Palatino Linotype" w:cs="Arial"/>
          <w:color w:val="000000" w:themeColor="text1"/>
        </w:rPr>
        <w:t xml:space="preserve"> en la Cuarta Sala Regional</w:t>
      </w:r>
      <w:r w:rsidR="00042D83" w:rsidRPr="004F2200">
        <w:rPr>
          <w:rFonts w:ascii="Palatino Linotype" w:hAnsi="Palatino Linotype" w:cs="Arial"/>
          <w:color w:val="000000" w:themeColor="text1"/>
        </w:rPr>
        <w:t>,</w:t>
      </w:r>
      <w:r w:rsidRPr="004F2200">
        <w:rPr>
          <w:rFonts w:ascii="Palatino Linotype" w:hAnsi="Palatino Linotype" w:cs="Arial"/>
          <w:color w:val="000000" w:themeColor="text1"/>
        </w:rPr>
        <w:t xml:space="preserve"> en la que se entregó cheque y rechazo bancario. </w:t>
      </w:r>
    </w:p>
    <w:p w14:paraId="34935093" w14:textId="0F31862F" w:rsidR="007438D2" w:rsidRPr="004F2200" w:rsidRDefault="007438D2" w:rsidP="007438D2">
      <w:pPr>
        <w:pStyle w:val="Prrafodelista"/>
        <w:numPr>
          <w:ilvl w:val="0"/>
          <w:numId w:val="8"/>
        </w:num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Cheque y rechazo bancario. </w:t>
      </w:r>
    </w:p>
    <w:p w14:paraId="1286D54C" w14:textId="4716660C" w:rsidR="007438D2" w:rsidRPr="004F2200" w:rsidRDefault="0046385D" w:rsidP="007438D2">
      <w:pPr>
        <w:pStyle w:val="Prrafodelista"/>
        <w:numPr>
          <w:ilvl w:val="0"/>
          <w:numId w:val="8"/>
        </w:numPr>
        <w:spacing w:before="240" w:after="240" w:line="360" w:lineRule="auto"/>
        <w:jc w:val="both"/>
        <w:rPr>
          <w:rFonts w:ascii="Palatino Linotype" w:hAnsi="Palatino Linotype" w:cs="Arial"/>
          <w:color w:val="000000" w:themeColor="text1"/>
        </w:rPr>
      </w:pPr>
      <w:r w:rsidRPr="004F2200">
        <w:rPr>
          <w:rFonts w:ascii="Palatino Linotype" w:hAnsi="Palatino Linotype" w:cs="Arial"/>
          <w:color w:val="000000" w:themeColor="text1"/>
        </w:rPr>
        <w:t xml:space="preserve">La promoción </w:t>
      </w:r>
      <w:r w:rsidR="0082072E" w:rsidRPr="004F2200">
        <w:rPr>
          <w:rFonts w:ascii="Palatino Linotype" w:hAnsi="Palatino Linotype" w:cs="Arial"/>
          <w:color w:val="000000" w:themeColor="text1"/>
        </w:rPr>
        <w:t>00</w:t>
      </w:r>
      <w:r w:rsidRPr="004F2200">
        <w:rPr>
          <w:rFonts w:ascii="Palatino Linotype" w:hAnsi="Palatino Linotype"/>
          <w:color w:val="000000" w:themeColor="text1"/>
        </w:rPr>
        <w:t>5507 de fecha dieciocho de junio de dos mil dieciocho</w:t>
      </w:r>
      <w:r w:rsidR="0082072E" w:rsidRPr="004F2200">
        <w:rPr>
          <w:rFonts w:ascii="Palatino Linotype" w:hAnsi="Palatino Linotype"/>
          <w:color w:val="000000" w:themeColor="text1"/>
        </w:rPr>
        <w:t>,</w:t>
      </w:r>
      <w:r w:rsidRPr="004F2200">
        <w:rPr>
          <w:rFonts w:ascii="Palatino Linotype" w:hAnsi="Palatino Linotype"/>
          <w:color w:val="000000" w:themeColor="text1"/>
        </w:rPr>
        <w:t xml:space="preserve"> emitida y signada por el Asesor Comisionado</w:t>
      </w:r>
      <w:r w:rsidRPr="004F2200">
        <w:rPr>
          <w:rFonts w:ascii="Palatino Linotype" w:hAnsi="Palatino Linotype" w:cs="Arial"/>
          <w:color w:val="000000" w:themeColor="text1"/>
        </w:rPr>
        <w:t xml:space="preserve"> </w:t>
      </w:r>
      <w:r w:rsidR="007438D2" w:rsidRPr="004F2200">
        <w:rPr>
          <w:rFonts w:ascii="Palatino Linotype" w:hAnsi="Palatino Linotype" w:cs="Arial"/>
          <w:color w:val="000000" w:themeColor="text1"/>
        </w:rPr>
        <w:t>ads</w:t>
      </w:r>
      <w:r w:rsidR="00AC4636" w:rsidRPr="004F2200">
        <w:rPr>
          <w:rFonts w:ascii="Palatino Linotype" w:hAnsi="Palatino Linotype" w:cs="Arial"/>
          <w:color w:val="000000" w:themeColor="text1"/>
        </w:rPr>
        <w:t>crito a la Cuarta Sala Regional.</w:t>
      </w:r>
    </w:p>
    <w:p w14:paraId="1B682103" w14:textId="4AAB08FF" w:rsidR="00F66BB3" w:rsidRPr="004F2200" w:rsidRDefault="00F66BB3" w:rsidP="004D6770">
      <w:pPr>
        <w:tabs>
          <w:tab w:val="left" w:pos="709"/>
        </w:tabs>
        <w:autoSpaceDE w:val="0"/>
        <w:autoSpaceDN w:val="0"/>
        <w:adjustRightInd w:val="0"/>
        <w:spacing w:before="240" w:after="240" w:line="360" w:lineRule="auto"/>
        <w:ind w:left="284" w:right="567"/>
        <w:jc w:val="both"/>
        <w:rPr>
          <w:rFonts w:ascii="Palatino Linotype" w:hAnsi="Palatino Linotype" w:cs="Arial"/>
          <w:i/>
          <w:color w:val="000000" w:themeColor="text1"/>
          <w:sz w:val="20"/>
          <w:szCs w:val="20"/>
        </w:rPr>
      </w:pPr>
      <w:r w:rsidRPr="004F2200">
        <w:rPr>
          <w:rFonts w:ascii="Palatino Linotype" w:hAnsi="Palatino Linotype" w:cs="Arial"/>
          <w:i/>
          <w:color w:val="000000" w:themeColor="text1"/>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4F2200">
        <w:rPr>
          <w:rFonts w:ascii="Palatino Linotype" w:hAnsi="Palatino Linotype" w:cs="Arial"/>
          <w:b/>
          <w:i/>
          <w:color w:val="000000" w:themeColor="text1"/>
          <w:sz w:val="20"/>
          <w:szCs w:val="20"/>
        </w:rPr>
        <w:t>Recurrente</w:t>
      </w:r>
      <w:r w:rsidRPr="004F2200">
        <w:rPr>
          <w:rFonts w:ascii="Palatino Linotype" w:hAnsi="Palatino Linotype" w:cs="Arial"/>
          <w:i/>
          <w:color w:val="000000" w:themeColor="text1"/>
          <w:sz w:val="20"/>
          <w:szCs w:val="20"/>
        </w:rPr>
        <w:t>.</w:t>
      </w:r>
    </w:p>
    <w:p w14:paraId="18A1F628" w14:textId="388D890A" w:rsidR="007F1525" w:rsidRPr="004F2200" w:rsidRDefault="007D4945" w:rsidP="006B13E3">
      <w:pPr>
        <w:tabs>
          <w:tab w:val="left" w:pos="709"/>
        </w:tabs>
        <w:autoSpaceDE w:val="0"/>
        <w:autoSpaceDN w:val="0"/>
        <w:adjustRightInd w:val="0"/>
        <w:spacing w:before="240" w:after="240" w:line="360" w:lineRule="auto"/>
        <w:ind w:right="49"/>
        <w:jc w:val="both"/>
        <w:rPr>
          <w:rFonts w:ascii="Palatino Linotype" w:hAnsi="Palatino Linotype" w:cs="Arial"/>
          <w:color w:val="000000" w:themeColor="text1"/>
          <w:lang w:val="es-MX" w:eastAsia="es-MX"/>
        </w:rPr>
      </w:pPr>
      <w:r w:rsidRPr="004F2200">
        <w:rPr>
          <w:rFonts w:ascii="Palatino Linotype" w:hAnsi="Palatino Linotype" w:cs="Arial"/>
          <w:b/>
          <w:color w:val="000000" w:themeColor="text1"/>
          <w:sz w:val="28"/>
          <w:szCs w:val="28"/>
          <w:lang w:val="es-MX" w:eastAsia="es-MX"/>
        </w:rPr>
        <w:t xml:space="preserve">TERCERO. </w:t>
      </w:r>
      <w:r w:rsidR="007F1525" w:rsidRPr="004F2200">
        <w:rPr>
          <w:rFonts w:ascii="Palatino Linotype" w:hAnsi="Palatino Linotype" w:cs="Arial"/>
          <w:b/>
          <w:color w:val="000000" w:themeColor="text1"/>
          <w:lang w:val="es-MX" w:eastAsia="es-MX"/>
        </w:rPr>
        <w:t>Notifíquese,</w:t>
      </w:r>
      <w:r w:rsidR="007F1525" w:rsidRPr="004F2200">
        <w:rPr>
          <w:rFonts w:ascii="Palatino Linotype" w:hAnsi="Palatino Linotype" w:cs="Arial"/>
          <w:b/>
          <w:color w:val="000000" w:themeColor="text1"/>
          <w:sz w:val="28"/>
          <w:szCs w:val="28"/>
          <w:lang w:val="es-MX" w:eastAsia="es-MX"/>
        </w:rPr>
        <w:t xml:space="preserve"> </w:t>
      </w:r>
      <w:r w:rsidR="007F1525" w:rsidRPr="004F2200">
        <w:rPr>
          <w:rFonts w:ascii="Palatino Linotype" w:hAnsi="Palatino Linotype" w:cs="Arial"/>
          <w:color w:val="000000" w:themeColor="text1"/>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87DF77A" w14:textId="7D371B63" w:rsidR="00860608" w:rsidRPr="004F2200" w:rsidRDefault="007F1525" w:rsidP="00860608">
      <w:pPr>
        <w:spacing w:before="240" w:after="240" w:line="360" w:lineRule="auto"/>
        <w:jc w:val="both"/>
        <w:rPr>
          <w:rFonts w:ascii="Palatino Linotype" w:hAnsi="Palatino Linotype" w:cs="Arial"/>
          <w:color w:val="000000" w:themeColor="text1"/>
        </w:rPr>
      </w:pPr>
      <w:r w:rsidRPr="004F2200">
        <w:rPr>
          <w:rFonts w:ascii="Palatino Linotype" w:hAnsi="Palatino Linotype" w:cs="Arial"/>
          <w:b/>
          <w:color w:val="000000" w:themeColor="text1"/>
          <w:sz w:val="28"/>
          <w:szCs w:val="28"/>
          <w:lang w:val="es-MX" w:eastAsia="es-MX"/>
        </w:rPr>
        <w:t xml:space="preserve">CUARTO. </w:t>
      </w:r>
      <w:r w:rsidR="00860608" w:rsidRPr="004F2200">
        <w:rPr>
          <w:rFonts w:ascii="Palatino Linotype" w:hAnsi="Palatino Linotype" w:cs="Arial"/>
          <w:b/>
          <w:color w:val="000000" w:themeColor="text1"/>
        </w:rPr>
        <w:t>N</w:t>
      </w:r>
      <w:r w:rsidR="006A17D0" w:rsidRPr="004F2200">
        <w:rPr>
          <w:rFonts w:ascii="Palatino Linotype" w:hAnsi="Palatino Linotype" w:cs="Arial"/>
          <w:b/>
          <w:color w:val="000000" w:themeColor="text1"/>
        </w:rPr>
        <w:t>otifíquese,</w:t>
      </w:r>
      <w:r w:rsidR="00860608" w:rsidRPr="004F2200">
        <w:rPr>
          <w:rFonts w:ascii="Palatino Linotype" w:hAnsi="Palatino Linotype" w:cs="Arial"/>
          <w:color w:val="000000" w:themeColor="text1"/>
        </w:rPr>
        <w:t xml:space="preserve"> a</w:t>
      </w:r>
      <w:r w:rsidR="00860608" w:rsidRPr="004F2200">
        <w:rPr>
          <w:rFonts w:ascii="Palatino Linotype" w:hAnsi="Palatino Linotype" w:cs="Arial"/>
          <w:bCs/>
          <w:color w:val="000000" w:themeColor="text1"/>
        </w:rPr>
        <w:t xml:space="preserve">l recurrente </w:t>
      </w:r>
      <w:r w:rsidR="00860608" w:rsidRPr="004F2200">
        <w:rPr>
          <w:rFonts w:ascii="Palatino Linotype" w:hAnsi="Palatino Linotype"/>
          <w:color w:val="000000" w:themeColor="text1"/>
          <w:shd w:val="clear" w:color="auto" w:fill="FFFFFF"/>
        </w:rPr>
        <w:t xml:space="preserve">la presente resolución, así como, </w:t>
      </w:r>
      <w:r w:rsidR="00860608" w:rsidRPr="004F2200">
        <w:rPr>
          <w:rFonts w:ascii="Palatino Linotype" w:hAnsi="Palatino Linotype" w:cs="Arial"/>
          <w:bCs/>
          <w:color w:val="000000" w:themeColor="text1"/>
        </w:rPr>
        <w:t>que podrá impugnarla vía Juicio de Amparo en los términos de las leyes aplicables, de conformidad con lo establecido en el artículo 196 de la Ley de Transparencia y Acceso a la Información Pública del Estado de México y Municipios.</w:t>
      </w:r>
      <w:r w:rsidR="00860608" w:rsidRPr="004F2200">
        <w:rPr>
          <w:rFonts w:ascii="Palatino Linotype" w:hAnsi="Palatino Linotype" w:cs="Arial"/>
          <w:color w:val="000000" w:themeColor="text1"/>
        </w:rPr>
        <w:t xml:space="preserve"> </w:t>
      </w:r>
    </w:p>
    <w:p w14:paraId="73015D1A" w14:textId="549354B1" w:rsidR="008E7698" w:rsidRPr="004F2200" w:rsidRDefault="00026D94" w:rsidP="009D2860">
      <w:pPr>
        <w:autoSpaceDE w:val="0"/>
        <w:autoSpaceDN w:val="0"/>
        <w:adjustRightInd w:val="0"/>
        <w:spacing w:before="240" w:after="240" w:line="360" w:lineRule="auto"/>
        <w:jc w:val="both"/>
        <w:rPr>
          <w:rFonts w:ascii="Palatino Linotype" w:eastAsia="Arial Unicode MS" w:hAnsi="Palatino Linotype" w:cs="Arial"/>
          <w:color w:val="000000" w:themeColor="text1"/>
        </w:rPr>
      </w:pPr>
      <w:r w:rsidRPr="004F2200">
        <w:rPr>
          <w:rFonts w:ascii="Palatino Linotype" w:hAnsi="Palatino Linotype" w:cs="Arial"/>
          <w:color w:val="000000" w:themeColor="text1"/>
        </w:rPr>
        <w:t xml:space="preserve">ASÍ LO RESUELVE, POR </w:t>
      </w:r>
      <w:r w:rsidR="00053351" w:rsidRPr="004F2200">
        <w:rPr>
          <w:rFonts w:ascii="Palatino Linotype" w:hAnsi="Palatino Linotype" w:cs="Arial"/>
          <w:color w:val="000000" w:themeColor="text1"/>
        </w:rPr>
        <w:t>UNANIMIDAD</w:t>
      </w:r>
      <w:r w:rsidRPr="004F2200">
        <w:rPr>
          <w:rFonts w:ascii="Palatino Linotype" w:hAnsi="Palatino Linotype" w:cs="Arial"/>
          <w:color w:val="000000" w:themeColor="text1"/>
        </w:rPr>
        <w:t xml:space="preserve"> DE VOTOS EL PLENO DEL</w:t>
      </w:r>
      <w:r w:rsidRPr="004F2200">
        <w:rPr>
          <w:rFonts w:ascii="Palatino Linotype" w:eastAsia="Arial Unicode MS" w:hAnsi="Palatino Linotype" w:cs="Arial"/>
          <w:color w:val="000000" w:themeColor="text1"/>
        </w:rPr>
        <w:t xml:space="preserve"> INSTITUTO DE TRANSPARENCIA, ACCESO A LA INFORMACIÓN PÚBLICA Y PROTECCIÓN DE DATOS PERSONALES DEL ESTADO DE MÉXICO Y MUNICIPIOS</w:t>
      </w:r>
      <w:r w:rsidRPr="004F2200">
        <w:rPr>
          <w:rFonts w:ascii="Palatino Linotype" w:hAnsi="Palatino Linotype" w:cs="Arial"/>
          <w:color w:val="000000" w:themeColor="text1"/>
        </w:rPr>
        <w:t xml:space="preserve">, CONFORMADO POR LOS COMISIONADOS </w:t>
      </w:r>
      <w:r w:rsidR="00D21513" w:rsidRPr="004F2200">
        <w:rPr>
          <w:rFonts w:ascii="Palatino Linotype" w:hAnsi="Palatino Linotype" w:cs="Arial"/>
          <w:color w:val="000000" w:themeColor="text1"/>
        </w:rPr>
        <w:t>ZULEMA MARTÍNEZ SÁNCHEZ</w:t>
      </w:r>
      <w:r w:rsidR="00EF35FA" w:rsidRPr="004F2200">
        <w:rPr>
          <w:rFonts w:ascii="Palatino Linotype" w:hAnsi="Palatino Linotype" w:cs="Arial"/>
          <w:color w:val="000000" w:themeColor="text1"/>
        </w:rPr>
        <w:t>; EVA ABAID YAPUR</w:t>
      </w:r>
      <w:r w:rsidR="00C66B77" w:rsidRPr="004F2200">
        <w:rPr>
          <w:rFonts w:ascii="Palatino Linotype" w:hAnsi="Palatino Linotype" w:cs="Arial"/>
          <w:color w:val="000000" w:themeColor="text1"/>
        </w:rPr>
        <w:t xml:space="preserve"> CON VOTO PARTICULAR</w:t>
      </w:r>
      <w:r w:rsidR="00D21513" w:rsidRPr="004F2200">
        <w:rPr>
          <w:rFonts w:ascii="Palatino Linotype" w:hAnsi="Palatino Linotype" w:cs="Arial"/>
          <w:color w:val="000000" w:themeColor="text1"/>
        </w:rPr>
        <w:t>; JOSÉ GUADALUPE LUNA HERNÁNDEZ</w:t>
      </w:r>
      <w:r w:rsidR="00C66B77" w:rsidRPr="004F2200">
        <w:rPr>
          <w:rFonts w:ascii="Palatino Linotype" w:hAnsi="Palatino Linotype" w:cs="Arial"/>
          <w:color w:val="000000" w:themeColor="text1"/>
        </w:rPr>
        <w:t>, J</w:t>
      </w:r>
      <w:r w:rsidR="00D21513" w:rsidRPr="004F2200">
        <w:rPr>
          <w:rFonts w:ascii="Palatino Linotype" w:hAnsi="Palatino Linotype" w:cs="Arial"/>
          <w:color w:val="000000" w:themeColor="text1"/>
        </w:rPr>
        <w:t>AVIER MARTÍNEZ CRUZ</w:t>
      </w:r>
      <w:r w:rsidR="00C66B77" w:rsidRPr="004F2200">
        <w:rPr>
          <w:rFonts w:ascii="Palatino Linotype" w:hAnsi="Palatino Linotype" w:cs="Arial"/>
          <w:color w:val="000000" w:themeColor="text1"/>
        </w:rPr>
        <w:t xml:space="preserve"> Y LUIS GUSTAVO PARRA NORIEGA</w:t>
      </w:r>
      <w:r w:rsidRPr="004F2200">
        <w:rPr>
          <w:rFonts w:ascii="Palatino Linotype" w:hAnsi="Palatino Linotype" w:cs="Arial"/>
          <w:color w:val="000000" w:themeColor="text1"/>
        </w:rPr>
        <w:t xml:space="preserve">; EN LA </w:t>
      </w:r>
      <w:r w:rsidR="00C66B77" w:rsidRPr="004F2200">
        <w:rPr>
          <w:rFonts w:ascii="Palatino Linotype" w:hAnsi="Palatino Linotype" w:cs="Arial"/>
          <w:color w:val="000000" w:themeColor="text1"/>
        </w:rPr>
        <w:t>TRIGÉSIMA CUARTA</w:t>
      </w:r>
      <w:r w:rsidRPr="004F2200">
        <w:rPr>
          <w:rFonts w:ascii="Palatino Linotype" w:hAnsi="Palatino Linotype" w:cs="Arial"/>
          <w:color w:val="000000" w:themeColor="text1"/>
        </w:rPr>
        <w:t xml:space="preserve"> SESIÓN ORDINARIA CELEBRADA EL </w:t>
      </w:r>
      <w:r w:rsidR="00C66B77" w:rsidRPr="004F2200">
        <w:rPr>
          <w:rFonts w:ascii="Palatino Linotype" w:hAnsi="Palatino Linotype" w:cs="Arial"/>
          <w:color w:val="000000" w:themeColor="text1"/>
        </w:rPr>
        <w:t>DIECINUEVE DE SEPTIEMBRE</w:t>
      </w:r>
      <w:r w:rsidRPr="004F2200">
        <w:rPr>
          <w:rFonts w:ascii="Palatino Linotype" w:hAnsi="Palatino Linotype" w:cs="Arial"/>
          <w:color w:val="000000" w:themeColor="text1"/>
        </w:rPr>
        <w:t xml:space="preserve"> DEL DOS MIL DIECI</w:t>
      </w:r>
      <w:r w:rsidR="00D21513" w:rsidRPr="004F2200">
        <w:rPr>
          <w:rFonts w:ascii="Palatino Linotype" w:hAnsi="Palatino Linotype" w:cs="Arial"/>
          <w:color w:val="000000" w:themeColor="text1"/>
        </w:rPr>
        <w:t>OCHO</w:t>
      </w:r>
      <w:r w:rsidRPr="004F2200">
        <w:rPr>
          <w:rFonts w:ascii="Palatino Linotype" w:hAnsi="Palatino Linotype" w:cs="Arial"/>
          <w:color w:val="000000" w:themeColor="text1"/>
        </w:rPr>
        <w:t xml:space="preserve">, ANTE </w:t>
      </w:r>
      <w:r w:rsidR="00546B33" w:rsidRPr="004F2200">
        <w:rPr>
          <w:rFonts w:ascii="Palatino Linotype" w:hAnsi="Palatino Linotype" w:cs="Arial"/>
          <w:color w:val="000000" w:themeColor="text1"/>
        </w:rPr>
        <w:t>EL SEC</w:t>
      </w:r>
      <w:r w:rsidRPr="004F2200">
        <w:rPr>
          <w:rFonts w:ascii="Palatino Linotype" w:hAnsi="Palatino Linotype" w:cs="Arial"/>
          <w:color w:val="000000" w:themeColor="text1"/>
        </w:rPr>
        <w:t>RETARI</w:t>
      </w:r>
      <w:r w:rsidR="00053351" w:rsidRPr="004F2200">
        <w:rPr>
          <w:rFonts w:ascii="Palatino Linotype" w:hAnsi="Palatino Linotype" w:cs="Arial"/>
          <w:color w:val="000000" w:themeColor="text1"/>
        </w:rPr>
        <w:t>O</w:t>
      </w:r>
      <w:r w:rsidRPr="004F2200">
        <w:rPr>
          <w:rFonts w:ascii="Palatino Linotype" w:hAnsi="Palatino Linotype" w:cs="Arial"/>
          <w:color w:val="000000" w:themeColor="text1"/>
        </w:rPr>
        <w:t xml:space="preserve"> TÉCNIC</w:t>
      </w:r>
      <w:r w:rsidR="00053351" w:rsidRPr="004F2200">
        <w:rPr>
          <w:rFonts w:ascii="Palatino Linotype" w:hAnsi="Palatino Linotype" w:cs="Arial"/>
          <w:color w:val="000000" w:themeColor="text1"/>
        </w:rPr>
        <w:t>O</w:t>
      </w:r>
      <w:r w:rsidRPr="004F2200">
        <w:rPr>
          <w:rFonts w:ascii="Palatino Linotype" w:hAnsi="Palatino Linotype" w:cs="Arial"/>
          <w:color w:val="000000" w:themeColor="text1"/>
        </w:rPr>
        <w:t xml:space="preserve"> DEL PLENO, </w:t>
      </w:r>
      <w:r w:rsidR="00053351" w:rsidRPr="004F2200">
        <w:rPr>
          <w:rFonts w:ascii="Palatino Linotype" w:hAnsi="Palatino Linotype" w:cs="Arial"/>
          <w:color w:val="000000" w:themeColor="text1"/>
        </w:rPr>
        <w:t>ALEXIS TAPIA RAMÍREZ</w:t>
      </w:r>
      <w:r w:rsidRPr="004F2200">
        <w:rPr>
          <w:rFonts w:ascii="Palatino Linotype" w:hAnsi="Palatino Linotype" w:cs="Arial"/>
          <w:color w:val="000000" w:themeColor="text1"/>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4490"/>
      </w:tblGrid>
      <w:tr w:rsidR="004F2200" w:rsidRPr="004F2200" w14:paraId="5672C997" w14:textId="77777777" w:rsidTr="00BD6BED">
        <w:trPr>
          <w:trHeight w:val="793"/>
          <w:jc w:val="center"/>
        </w:trPr>
        <w:tc>
          <w:tcPr>
            <w:tcW w:w="8364" w:type="dxa"/>
            <w:gridSpan w:val="2"/>
            <w:vAlign w:val="center"/>
          </w:tcPr>
          <w:p w14:paraId="5132457C" w14:textId="27A4E8D5" w:rsidR="009E7593" w:rsidRPr="004F2200" w:rsidRDefault="00516E6A" w:rsidP="00BD6BED">
            <w:pPr>
              <w:jc w:val="center"/>
              <w:rPr>
                <w:rFonts w:ascii="Palatino Linotype" w:hAnsi="Palatino Linotype"/>
                <w:b/>
                <w:color w:val="000000" w:themeColor="text1"/>
                <w:sz w:val="28"/>
                <w:szCs w:val="28"/>
              </w:rPr>
            </w:pPr>
            <w:r w:rsidRPr="004F2200">
              <w:rPr>
                <w:rFonts w:ascii="Palatino Linotype" w:hAnsi="Palatino Linotype" w:cs="Arial"/>
                <w:color w:val="000000" w:themeColor="text1"/>
              </w:rPr>
              <w:br w:type="page"/>
            </w:r>
          </w:p>
          <w:p w14:paraId="10A096D1" w14:textId="77777777" w:rsidR="009E7593" w:rsidRPr="004F2200" w:rsidRDefault="009E7593" w:rsidP="00BD6BED">
            <w:pPr>
              <w:jc w:val="center"/>
              <w:rPr>
                <w:rFonts w:ascii="Palatino Linotype" w:hAnsi="Palatino Linotype"/>
                <w:b/>
                <w:color w:val="000000" w:themeColor="text1"/>
                <w:sz w:val="28"/>
                <w:szCs w:val="28"/>
              </w:rPr>
            </w:pPr>
          </w:p>
          <w:p w14:paraId="308B43A8" w14:textId="77777777" w:rsidR="009B0B57" w:rsidRPr="004F2200" w:rsidRDefault="009B0B57" w:rsidP="00D21513">
            <w:pPr>
              <w:jc w:val="center"/>
              <w:rPr>
                <w:rFonts w:ascii="Palatino Linotype" w:hAnsi="Palatino Linotype"/>
                <w:b/>
                <w:color w:val="000000" w:themeColor="text1"/>
                <w:sz w:val="28"/>
                <w:szCs w:val="28"/>
              </w:rPr>
            </w:pPr>
          </w:p>
          <w:p w14:paraId="69AF5806" w14:textId="77777777" w:rsidR="009B0B57" w:rsidRPr="004F2200" w:rsidRDefault="009B0B57" w:rsidP="00D21513">
            <w:pPr>
              <w:jc w:val="center"/>
              <w:rPr>
                <w:rFonts w:ascii="Palatino Linotype" w:hAnsi="Palatino Linotype"/>
                <w:b/>
                <w:color w:val="000000" w:themeColor="text1"/>
                <w:sz w:val="28"/>
                <w:szCs w:val="28"/>
              </w:rPr>
            </w:pPr>
          </w:p>
          <w:p w14:paraId="06D0CFC6" w14:textId="77777777" w:rsidR="009B0B57" w:rsidRPr="004F2200" w:rsidRDefault="009B0B57" w:rsidP="00D21513">
            <w:pPr>
              <w:jc w:val="center"/>
              <w:rPr>
                <w:rFonts w:ascii="Palatino Linotype" w:hAnsi="Palatino Linotype"/>
                <w:b/>
                <w:color w:val="000000" w:themeColor="text1"/>
                <w:sz w:val="28"/>
                <w:szCs w:val="28"/>
              </w:rPr>
            </w:pPr>
          </w:p>
          <w:p w14:paraId="13BFA07F" w14:textId="77777777" w:rsidR="009B0B57" w:rsidRPr="004F2200" w:rsidRDefault="009B0B57" w:rsidP="00D21513">
            <w:pPr>
              <w:jc w:val="center"/>
              <w:rPr>
                <w:rFonts w:ascii="Palatino Linotype" w:hAnsi="Palatino Linotype"/>
                <w:b/>
                <w:color w:val="000000" w:themeColor="text1"/>
                <w:sz w:val="28"/>
                <w:szCs w:val="28"/>
              </w:rPr>
            </w:pPr>
          </w:p>
          <w:p w14:paraId="370B3C64" w14:textId="77777777" w:rsidR="00D21513" w:rsidRPr="004F2200" w:rsidRDefault="00D21513" w:rsidP="00D21513">
            <w:pPr>
              <w:jc w:val="center"/>
              <w:rPr>
                <w:rFonts w:ascii="Palatino Linotype" w:hAnsi="Palatino Linotype"/>
                <w:b/>
                <w:color w:val="000000" w:themeColor="text1"/>
                <w:sz w:val="28"/>
                <w:szCs w:val="28"/>
              </w:rPr>
            </w:pPr>
            <w:r w:rsidRPr="004F2200">
              <w:rPr>
                <w:rFonts w:ascii="Palatino Linotype" w:hAnsi="Palatino Linotype"/>
                <w:b/>
                <w:color w:val="000000" w:themeColor="text1"/>
                <w:sz w:val="28"/>
                <w:szCs w:val="28"/>
              </w:rPr>
              <w:t>Zulema Martínez Sánchez</w:t>
            </w:r>
          </w:p>
          <w:p w14:paraId="381F46A1" w14:textId="77777777" w:rsidR="00516E6A" w:rsidRPr="004F2200" w:rsidRDefault="00516E6A" w:rsidP="00BD6BED">
            <w:pPr>
              <w:jc w:val="center"/>
              <w:rPr>
                <w:rFonts w:ascii="Palatino Linotype" w:hAnsi="Palatino Linotype"/>
                <w:color w:val="000000" w:themeColor="text1"/>
              </w:rPr>
            </w:pPr>
            <w:r w:rsidRPr="004F2200">
              <w:rPr>
                <w:rFonts w:ascii="Palatino Linotype" w:hAnsi="Palatino Linotype"/>
                <w:color w:val="000000" w:themeColor="text1"/>
              </w:rPr>
              <w:t>Comisionada Presidenta</w:t>
            </w:r>
          </w:p>
          <w:p w14:paraId="22E56C27" w14:textId="10309EC6" w:rsidR="00516E6A" w:rsidRPr="004F2200" w:rsidRDefault="00DA0B14" w:rsidP="00EF35FA">
            <w:pPr>
              <w:jc w:val="center"/>
              <w:rPr>
                <w:rFonts w:ascii="Palatino Linotype" w:hAnsi="Palatino Linotype"/>
                <w:color w:val="000000" w:themeColor="text1"/>
              </w:rPr>
            </w:pPr>
            <w:r w:rsidRPr="004F2200">
              <w:rPr>
                <w:rFonts w:ascii="Palatino Linotype" w:hAnsi="Palatino Linotype" w:cs="Arial"/>
                <w:color w:val="000000" w:themeColor="text1"/>
              </w:rPr>
              <w:t>(</w:t>
            </w:r>
            <w:r w:rsidR="00D21513" w:rsidRPr="004F2200">
              <w:rPr>
                <w:rFonts w:ascii="Palatino Linotype" w:hAnsi="Palatino Linotype"/>
                <w:color w:val="000000" w:themeColor="text1"/>
              </w:rPr>
              <w:t>Rúbrica</w:t>
            </w:r>
            <w:r w:rsidRPr="004F2200">
              <w:rPr>
                <w:rFonts w:ascii="Palatino Linotype" w:hAnsi="Palatino Linotype" w:cs="Arial"/>
                <w:color w:val="000000" w:themeColor="text1"/>
              </w:rPr>
              <w:t>)</w:t>
            </w:r>
          </w:p>
        </w:tc>
      </w:tr>
      <w:tr w:rsidR="004F2200" w:rsidRPr="004F2200" w14:paraId="6A11EFCA" w14:textId="77777777" w:rsidTr="00B61C6E">
        <w:trPr>
          <w:trHeight w:val="2063"/>
          <w:jc w:val="center"/>
        </w:trPr>
        <w:tc>
          <w:tcPr>
            <w:tcW w:w="3874" w:type="dxa"/>
            <w:vAlign w:val="center"/>
          </w:tcPr>
          <w:p w14:paraId="243114CF" w14:textId="77777777" w:rsidR="00C66B77" w:rsidRPr="004F2200" w:rsidRDefault="00C66B77" w:rsidP="00B61C6E">
            <w:pPr>
              <w:jc w:val="center"/>
              <w:rPr>
                <w:rFonts w:ascii="Palatino Linotype" w:hAnsi="Palatino Linotype"/>
                <w:b/>
                <w:color w:val="000000" w:themeColor="text1"/>
                <w:sz w:val="28"/>
                <w:szCs w:val="28"/>
              </w:rPr>
            </w:pPr>
          </w:p>
          <w:p w14:paraId="09F7FE1A" w14:textId="77777777" w:rsidR="00C66B77" w:rsidRPr="004F2200" w:rsidRDefault="00C66B77" w:rsidP="00B61C6E">
            <w:pPr>
              <w:jc w:val="center"/>
              <w:rPr>
                <w:rFonts w:ascii="Palatino Linotype" w:hAnsi="Palatino Linotype"/>
                <w:b/>
                <w:color w:val="000000" w:themeColor="text1"/>
                <w:sz w:val="28"/>
                <w:szCs w:val="28"/>
              </w:rPr>
            </w:pPr>
            <w:r w:rsidRPr="004F2200">
              <w:rPr>
                <w:rFonts w:ascii="Palatino Linotype" w:hAnsi="Palatino Linotype"/>
                <w:b/>
                <w:color w:val="000000" w:themeColor="text1"/>
                <w:sz w:val="28"/>
                <w:szCs w:val="28"/>
              </w:rPr>
              <w:t>Eva Abaid Yapur</w:t>
            </w:r>
          </w:p>
          <w:p w14:paraId="09DBE811" w14:textId="77777777" w:rsidR="00C66B77" w:rsidRPr="004F2200" w:rsidRDefault="00C66B77" w:rsidP="00B61C6E">
            <w:pPr>
              <w:jc w:val="center"/>
              <w:rPr>
                <w:rFonts w:ascii="Palatino Linotype" w:hAnsi="Palatino Linotype"/>
                <w:color w:val="000000" w:themeColor="text1"/>
              </w:rPr>
            </w:pPr>
            <w:r w:rsidRPr="004F2200">
              <w:rPr>
                <w:rFonts w:ascii="Palatino Linotype" w:hAnsi="Palatino Linotype"/>
                <w:color w:val="000000" w:themeColor="text1"/>
              </w:rPr>
              <w:t>Comisionada</w:t>
            </w:r>
          </w:p>
          <w:p w14:paraId="546285A1" w14:textId="77777777" w:rsidR="00C66B77" w:rsidRPr="004F2200" w:rsidRDefault="00C66B77" w:rsidP="00B61C6E">
            <w:pPr>
              <w:jc w:val="center"/>
              <w:rPr>
                <w:rFonts w:ascii="Palatino Linotype" w:hAnsi="Palatino Linotype"/>
                <w:color w:val="000000" w:themeColor="text1"/>
              </w:rPr>
            </w:pPr>
            <w:r w:rsidRPr="004F2200">
              <w:rPr>
                <w:rFonts w:ascii="Palatino Linotype" w:hAnsi="Palatino Linotype"/>
                <w:color w:val="000000" w:themeColor="text1"/>
              </w:rPr>
              <w:t>(Rúbrica)</w:t>
            </w:r>
          </w:p>
        </w:tc>
        <w:tc>
          <w:tcPr>
            <w:tcW w:w="4490" w:type="dxa"/>
            <w:vAlign w:val="center"/>
          </w:tcPr>
          <w:p w14:paraId="62AD46D4" w14:textId="77777777" w:rsidR="00C66B77" w:rsidRPr="004F2200" w:rsidRDefault="00C66B77" w:rsidP="00B61C6E">
            <w:pPr>
              <w:jc w:val="center"/>
              <w:rPr>
                <w:rFonts w:ascii="Palatino Linotype" w:hAnsi="Palatino Linotype"/>
                <w:b/>
                <w:color w:val="000000" w:themeColor="text1"/>
              </w:rPr>
            </w:pPr>
          </w:p>
          <w:p w14:paraId="2C832EF3" w14:textId="77777777" w:rsidR="00C66B77" w:rsidRPr="004F2200" w:rsidRDefault="00C66B77" w:rsidP="00B61C6E">
            <w:pPr>
              <w:jc w:val="center"/>
              <w:rPr>
                <w:rFonts w:ascii="Palatino Linotype" w:hAnsi="Palatino Linotype"/>
                <w:b/>
                <w:color w:val="000000" w:themeColor="text1"/>
                <w:sz w:val="28"/>
                <w:szCs w:val="28"/>
              </w:rPr>
            </w:pPr>
          </w:p>
          <w:p w14:paraId="3FACE463" w14:textId="77777777" w:rsidR="00C66B77" w:rsidRPr="004F2200" w:rsidRDefault="00C66B77" w:rsidP="00B61C6E">
            <w:pPr>
              <w:jc w:val="center"/>
              <w:rPr>
                <w:rFonts w:ascii="Palatino Linotype" w:hAnsi="Palatino Linotype"/>
                <w:b/>
                <w:color w:val="000000" w:themeColor="text1"/>
                <w:sz w:val="28"/>
                <w:szCs w:val="28"/>
              </w:rPr>
            </w:pPr>
          </w:p>
          <w:p w14:paraId="66C28813" w14:textId="77777777" w:rsidR="00C66B77" w:rsidRPr="004F2200" w:rsidRDefault="00C66B77" w:rsidP="00B61C6E">
            <w:pPr>
              <w:jc w:val="center"/>
              <w:rPr>
                <w:rFonts w:ascii="Palatino Linotype" w:hAnsi="Palatino Linotype"/>
                <w:b/>
                <w:color w:val="000000" w:themeColor="text1"/>
                <w:sz w:val="28"/>
                <w:szCs w:val="28"/>
              </w:rPr>
            </w:pPr>
          </w:p>
          <w:p w14:paraId="4FEB2023" w14:textId="77777777" w:rsidR="00C66B77" w:rsidRPr="004F2200" w:rsidRDefault="00C66B77" w:rsidP="00B61C6E">
            <w:pPr>
              <w:jc w:val="center"/>
              <w:rPr>
                <w:rFonts w:ascii="Palatino Linotype" w:hAnsi="Palatino Linotype"/>
                <w:b/>
                <w:color w:val="000000" w:themeColor="text1"/>
                <w:sz w:val="28"/>
                <w:szCs w:val="28"/>
              </w:rPr>
            </w:pPr>
            <w:r w:rsidRPr="004F2200">
              <w:rPr>
                <w:rFonts w:ascii="Palatino Linotype" w:hAnsi="Palatino Linotype"/>
                <w:b/>
                <w:color w:val="000000" w:themeColor="text1"/>
                <w:sz w:val="28"/>
                <w:szCs w:val="28"/>
              </w:rPr>
              <w:t>José Guadalupe Luna Hernández</w:t>
            </w:r>
          </w:p>
          <w:p w14:paraId="0A3CB363" w14:textId="77777777" w:rsidR="00C66B77" w:rsidRPr="004F2200" w:rsidRDefault="00C66B77" w:rsidP="00B61C6E">
            <w:pPr>
              <w:jc w:val="center"/>
              <w:rPr>
                <w:rFonts w:ascii="Palatino Linotype" w:hAnsi="Palatino Linotype"/>
                <w:color w:val="000000" w:themeColor="text1"/>
              </w:rPr>
            </w:pPr>
            <w:r w:rsidRPr="004F2200">
              <w:rPr>
                <w:rFonts w:ascii="Palatino Linotype" w:hAnsi="Palatino Linotype"/>
                <w:color w:val="000000" w:themeColor="text1"/>
              </w:rPr>
              <w:t>Comisionado</w:t>
            </w:r>
          </w:p>
          <w:p w14:paraId="55BA9A2E" w14:textId="77777777" w:rsidR="00C66B77" w:rsidRPr="004F2200" w:rsidRDefault="00C66B77" w:rsidP="00B61C6E">
            <w:pPr>
              <w:jc w:val="center"/>
              <w:rPr>
                <w:rFonts w:ascii="Palatino Linotype" w:hAnsi="Palatino Linotype"/>
                <w:color w:val="000000" w:themeColor="text1"/>
              </w:rPr>
            </w:pPr>
            <w:r w:rsidRPr="004F2200">
              <w:rPr>
                <w:rFonts w:ascii="Palatino Linotype" w:hAnsi="Palatino Linotype"/>
                <w:color w:val="000000" w:themeColor="text1"/>
              </w:rPr>
              <w:t>(Rúbrica)</w:t>
            </w:r>
          </w:p>
          <w:p w14:paraId="72B9BFE8" w14:textId="77777777" w:rsidR="00C66B77" w:rsidRPr="004F2200" w:rsidRDefault="00C66B77" w:rsidP="00B61C6E">
            <w:pPr>
              <w:jc w:val="center"/>
              <w:rPr>
                <w:rFonts w:ascii="Palatino Linotype" w:hAnsi="Palatino Linotype"/>
                <w:color w:val="000000" w:themeColor="text1"/>
              </w:rPr>
            </w:pPr>
          </w:p>
          <w:p w14:paraId="5B042862" w14:textId="77777777" w:rsidR="00C66B77" w:rsidRPr="004F2200" w:rsidRDefault="00C66B77" w:rsidP="00B61C6E">
            <w:pPr>
              <w:jc w:val="center"/>
              <w:rPr>
                <w:rFonts w:ascii="Palatino Linotype" w:hAnsi="Palatino Linotype"/>
                <w:color w:val="000000" w:themeColor="text1"/>
              </w:rPr>
            </w:pPr>
          </w:p>
          <w:p w14:paraId="498E103E" w14:textId="77777777" w:rsidR="00C66B77" w:rsidRPr="004F2200" w:rsidRDefault="00C66B77" w:rsidP="00B61C6E">
            <w:pPr>
              <w:jc w:val="center"/>
              <w:rPr>
                <w:rFonts w:ascii="Palatino Linotype" w:hAnsi="Palatino Linotype"/>
                <w:color w:val="000000" w:themeColor="text1"/>
              </w:rPr>
            </w:pPr>
          </w:p>
        </w:tc>
      </w:tr>
      <w:tr w:rsidR="004F2200" w:rsidRPr="004F2200" w14:paraId="744B8DB9" w14:textId="77777777" w:rsidTr="00BD6BED">
        <w:trPr>
          <w:trHeight w:val="2063"/>
          <w:jc w:val="center"/>
        </w:trPr>
        <w:tc>
          <w:tcPr>
            <w:tcW w:w="3874" w:type="dxa"/>
            <w:vAlign w:val="center"/>
          </w:tcPr>
          <w:p w14:paraId="425379FF" w14:textId="77777777" w:rsidR="00A900E2" w:rsidRPr="004F2200" w:rsidRDefault="00A900E2" w:rsidP="00BD6BED">
            <w:pPr>
              <w:jc w:val="center"/>
              <w:rPr>
                <w:rFonts w:ascii="Palatino Linotype" w:hAnsi="Palatino Linotype"/>
                <w:b/>
                <w:color w:val="000000" w:themeColor="text1"/>
                <w:sz w:val="28"/>
                <w:szCs w:val="28"/>
              </w:rPr>
            </w:pPr>
          </w:p>
          <w:p w14:paraId="5A846BA5" w14:textId="77777777" w:rsidR="00C66B77" w:rsidRPr="004F2200" w:rsidRDefault="00C66B77" w:rsidP="00C66B77">
            <w:pPr>
              <w:jc w:val="center"/>
              <w:rPr>
                <w:rFonts w:ascii="Palatino Linotype" w:hAnsi="Palatino Linotype"/>
                <w:b/>
                <w:color w:val="000000" w:themeColor="text1"/>
                <w:sz w:val="28"/>
                <w:szCs w:val="28"/>
              </w:rPr>
            </w:pPr>
            <w:r w:rsidRPr="004F2200">
              <w:rPr>
                <w:rFonts w:ascii="Palatino Linotype" w:hAnsi="Palatino Linotype"/>
                <w:b/>
                <w:color w:val="000000" w:themeColor="text1"/>
                <w:sz w:val="28"/>
                <w:szCs w:val="28"/>
              </w:rPr>
              <w:t>Javier Martínez Cruz</w:t>
            </w:r>
          </w:p>
          <w:p w14:paraId="25228B82" w14:textId="77777777" w:rsidR="00C66B77" w:rsidRPr="004F2200" w:rsidRDefault="00C66B77" w:rsidP="00C66B77">
            <w:pPr>
              <w:jc w:val="center"/>
              <w:rPr>
                <w:rFonts w:ascii="Palatino Linotype" w:hAnsi="Palatino Linotype"/>
                <w:color w:val="000000" w:themeColor="text1"/>
              </w:rPr>
            </w:pPr>
            <w:r w:rsidRPr="004F2200">
              <w:rPr>
                <w:rFonts w:ascii="Palatino Linotype" w:hAnsi="Palatino Linotype"/>
                <w:color w:val="000000" w:themeColor="text1"/>
              </w:rPr>
              <w:t>Comisionado</w:t>
            </w:r>
          </w:p>
          <w:p w14:paraId="14131B61" w14:textId="394EC9A7" w:rsidR="00516E6A" w:rsidRPr="004F2200" w:rsidRDefault="00C66B77" w:rsidP="00C66B77">
            <w:pPr>
              <w:jc w:val="center"/>
              <w:rPr>
                <w:rFonts w:ascii="Palatino Linotype" w:hAnsi="Palatino Linotype"/>
                <w:color w:val="000000" w:themeColor="text1"/>
              </w:rPr>
            </w:pPr>
            <w:r w:rsidRPr="004F2200">
              <w:rPr>
                <w:rFonts w:ascii="Palatino Linotype" w:hAnsi="Palatino Linotype"/>
                <w:color w:val="000000" w:themeColor="text1"/>
              </w:rPr>
              <w:t>(Rúbrica)</w:t>
            </w:r>
          </w:p>
        </w:tc>
        <w:tc>
          <w:tcPr>
            <w:tcW w:w="4490" w:type="dxa"/>
            <w:vAlign w:val="center"/>
          </w:tcPr>
          <w:p w14:paraId="3C0E08F1" w14:textId="77777777" w:rsidR="00516E6A" w:rsidRPr="004F2200" w:rsidRDefault="00516E6A" w:rsidP="00BD6BED">
            <w:pPr>
              <w:jc w:val="center"/>
              <w:rPr>
                <w:rFonts w:ascii="Palatino Linotype" w:hAnsi="Palatino Linotype"/>
                <w:b/>
                <w:color w:val="000000" w:themeColor="text1"/>
              </w:rPr>
            </w:pPr>
          </w:p>
          <w:p w14:paraId="668C8D49" w14:textId="77777777" w:rsidR="00516E6A" w:rsidRPr="004F2200" w:rsidRDefault="00516E6A" w:rsidP="00BD6BED">
            <w:pPr>
              <w:jc w:val="center"/>
              <w:rPr>
                <w:rFonts w:ascii="Palatino Linotype" w:hAnsi="Palatino Linotype"/>
                <w:b/>
                <w:color w:val="000000" w:themeColor="text1"/>
                <w:sz w:val="28"/>
                <w:szCs w:val="28"/>
              </w:rPr>
            </w:pPr>
          </w:p>
          <w:p w14:paraId="3E0DB4B7" w14:textId="77777777" w:rsidR="00A900E2" w:rsidRPr="004F2200" w:rsidRDefault="00A900E2" w:rsidP="00BD6BED">
            <w:pPr>
              <w:jc w:val="center"/>
              <w:rPr>
                <w:rFonts w:ascii="Palatino Linotype" w:hAnsi="Palatino Linotype"/>
                <w:b/>
                <w:color w:val="000000" w:themeColor="text1"/>
                <w:sz w:val="28"/>
                <w:szCs w:val="28"/>
              </w:rPr>
            </w:pPr>
          </w:p>
          <w:p w14:paraId="2EDAAFF1" w14:textId="77777777" w:rsidR="00A900E2" w:rsidRPr="004F2200" w:rsidRDefault="00A900E2" w:rsidP="00BD6BED">
            <w:pPr>
              <w:jc w:val="center"/>
              <w:rPr>
                <w:rFonts w:ascii="Palatino Linotype" w:hAnsi="Palatino Linotype"/>
                <w:b/>
                <w:color w:val="000000" w:themeColor="text1"/>
                <w:sz w:val="28"/>
                <w:szCs w:val="28"/>
              </w:rPr>
            </w:pPr>
          </w:p>
          <w:p w14:paraId="39150B74" w14:textId="741A70BF" w:rsidR="00516E6A" w:rsidRPr="004F2200" w:rsidRDefault="00C66B77" w:rsidP="00BD6BED">
            <w:pPr>
              <w:jc w:val="center"/>
              <w:rPr>
                <w:rFonts w:ascii="Palatino Linotype" w:hAnsi="Palatino Linotype"/>
                <w:b/>
                <w:color w:val="000000" w:themeColor="text1"/>
                <w:sz w:val="28"/>
                <w:szCs w:val="28"/>
              </w:rPr>
            </w:pPr>
            <w:r w:rsidRPr="004F2200">
              <w:rPr>
                <w:rFonts w:ascii="Palatino Linotype" w:hAnsi="Palatino Linotype"/>
                <w:b/>
                <w:color w:val="000000" w:themeColor="text1"/>
                <w:sz w:val="28"/>
                <w:szCs w:val="28"/>
              </w:rPr>
              <w:t>Luis Gustavo Parra Noriega</w:t>
            </w:r>
          </w:p>
          <w:p w14:paraId="77652420" w14:textId="77777777" w:rsidR="00516E6A" w:rsidRPr="004F2200" w:rsidRDefault="00516E6A" w:rsidP="00BD6BED">
            <w:pPr>
              <w:jc w:val="center"/>
              <w:rPr>
                <w:rFonts w:ascii="Palatino Linotype" w:hAnsi="Palatino Linotype"/>
                <w:color w:val="000000" w:themeColor="text1"/>
              </w:rPr>
            </w:pPr>
            <w:r w:rsidRPr="004F2200">
              <w:rPr>
                <w:rFonts w:ascii="Palatino Linotype" w:hAnsi="Palatino Linotype"/>
                <w:color w:val="000000" w:themeColor="text1"/>
              </w:rPr>
              <w:t>Comisionado</w:t>
            </w:r>
          </w:p>
          <w:p w14:paraId="3433CC9B" w14:textId="04E51AD9" w:rsidR="00516E6A" w:rsidRPr="004F2200" w:rsidRDefault="00A900E2" w:rsidP="00BD6BED">
            <w:pPr>
              <w:jc w:val="center"/>
              <w:rPr>
                <w:rFonts w:ascii="Palatino Linotype" w:hAnsi="Palatino Linotype"/>
                <w:color w:val="000000" w:themeColor="text1"/>
              </w:rPr>
            </w:pPr>
            <w:r w:rsidRPr="004F2200">
              <w:rPr>
                <w:rFonts w:ascii="Palatino Linotype" w:hAnsi="Palatino Linotype"/>
                <w:color w:val="000000" w:themeColor="text1"/>
              </w:rPr>
              <w:t>(Rúbrica)</w:t>
            </w:r>
          </w:p>
          <w:p w14:paraId="423D24D5" w14:textId="77777777" w:rsidR="00516E6A" w:rsidRPr="004F2200" w:rsidRDefault="00516E6A" w:rsidP="00BD6BED">
            <w:pPr>
              <w:jc w:val="center"/>
              <w:rPr>
                <w:rFonts w:ascii="Palatino Linotype" w:hAnsi="Palatino Linotype"/>
                <w:color w:val="000000" w:themeColor="text1"/>
              </w:rPr>
            </w:pPr>
          </w:p>
          <w:p w14:paraId="3EBAE701" w14:textId="77777777" w:rsidR="00516E6A" w:rsidRPr="004F2200" w:rsidRDefault="00516E6A" w:rsidP="00BD6BED">
            <w:pPr>
              <w:jc w:val="center"/>
              <w:rPr>
                <w:rFonts w:ascii="Palatino Linotype" w:hAnsi="Palatino Linotype"/>
                <w:color w:val="000000" w:themeColor="text1"/>
              </w:rPr>
            </w:pPr>
          </w:p>
          <w:p w14:paraId="233CF339" w14:textId="77777777" w:rsidR="00516E6A" w:rsidRPr="004F2200" w:rsidRDefault="00516E6A" w:rsidP="00BD6BED">
            <w:pPr>
              <w:jc w:val="center"/>
              <w:rPr>
                <w:rFonts w:ascii="Palatino Linotype" w:hAnsi="Palatino Linotype"/>
                <w:color w:val="000000" w:themeColor="text1"/>
              </w:rPr>
            </w:pPr>
          </w:p>
        </w:tc>
      </w:tr>
      <w:tr w:rsidR="004F2200" w:rsidRPr="004F2200" w14:paraId="604D5650" w14:textId="77777777" w:rsidTr="00374729">
        <w:trPr>
          <w:trHeight w:val="2148"/>
          <w:jc w:val="center"/>
        </w:trPr>
        <w:tc>
          <w:tcPr>
            <w:tcW w:w="8364" w:type="dxa"/>
            <w:gridSpan w:val="2"/>
            <w:vAlign w:val="center"/>
          </w:tcPr>
          <w:p w14:paraId="60CE2AD0" w14:textId="501AE81D" w:rsidR="00D21513" w:rsidRPr="004F2200" w:rsidRDefault="00D21513" w:rsidP="00BD6BED">
            <w:pPr>
              <w:jc w:val="center"/>
              <w:rPr>
                <w:rFonts w:ascii="Palatino Linotype" w:hAnsi="Palatino Linotype"/>
                <w:color w:val="000000" w:themeColor="text1"/>
              </w:rPr>
            </w:pPr>
          </w:p>
        </w:tc>
      </w:tr>
      <w:tr w:rsidR="004F2200" w:rsidRPr="004F2200" w14:paraId="08D0C596" w14:textId="77777777" w:rsidTr="00BD6BED">
        <w:trPr>
          <w:trHeight w:val="1869"/>
          <w:jc w:val="center"/>
        </w:trPr>
        <w:tc>
          <w:tcPr>
            <w:tcW w:w="8364" w:type="dxa"/>
            <w:gridSpan w:val="2"/>
            <w:vAlign w:val="center"/>
          </w:tcPr>
          <w:p w14:paraId="11F5125B" w14:textId="77777777" w:rsidR="00516E6A" w:rsidRPr="004F2200" w:rsidRDefault="00516E6A" w:rsidP="00BD6BED">
            <w:pPr>
              <w:jc w:val="center"/>
              <w:rPr>
                <w:rFonts w:ascii="Palatino Linotype" w:hAnsi="Palatino Linotype"/>
                <w:b/>
                <w:color w:val="000000" w:themeColor="text1"/>
              </w:rPr>
            </w:pPr>
          </w:p>
          <w:p w14:paraId="55AF70F6" w14:textId="77777777" w:rsidR="00516E6A" w:rsidRPr="004F2200" w:rsidRDefault="00516E6A" w:rsidP="00BD6BED">
            <w:pPr>
              <w:jc w:val="center"/>
              <w:rPr>
                <w:rFonts w:ascii="Palatino Linotype" w:hAnsi="Palatino Linotype"/>
                <w:b/>
                <w:color w:val="000000" w:themeColor="text1"/>
                <w:sz w:val="28"/>
                <w:szCs w:val="28"/>
              </w:rPr>
            </w:pPr>
          </w:p>
          <w:p w14:paraId="35643870" w14:textId="77777777" w:rsidR="00C66B77" w:rsidRPr="004F2200" w:rsidRDefault="00C66B77" w:rsidP="00BD6BED">
            <w:pPr>
              <w:jc w:val="center"/>
              <w:rPr>
                <w:rFonts w:ascii="Palatino Linotype" w:hAnsi="Palatino Linotype"/>
                <w:b/>
                <w:color w:val="000000" w:themeColor="text1"/>
                <w:sz w:val="28"/>
                <w:szCs w:val="28"/>
              </w:rPr>
            </w:pPr>
          </w:p>
          <w:p w14:paraId="60D5EDA3" w14:textId="77777777" w:rsidR="00C66B77" w:rsidRPr="004F2200" w:rsidRDefault="00C66B77" w:rsidP="00BD6BED">
            <w:pPr>
              <w:jc w:val="center"/>
              <w:rPr>
                <w:rFonts w:ascii="Palatino Linotype" w:hAnsi="Palatino Linotype"/>
                <w:b/>
                <w:color w:val="000000" w:themeColor="text1"/>
                <w:sz w:val="28"/>
                <w:szCs w:val="28"/>
              </w:rPr>
            </w:pPr>
          </w:p>
          <w:p w14:paraId="0A0A74F6" w14:textId="77777777" w:rsidR="00C66B77" w:rsidRPr="004F2200" w:rsidRDefault="00C66B77" w:rsidP="00BD6BED">
            <w:pPr>
              <w:jc w:val="center"/>
              <w:rPr>
                <w:rFonts w:ascii="Palatino Linotype" w:hAnsi="Palatino Linotype"/>
                <w:b/>
                <w:color w:val="000000" w:themeColor="text1"/>
                <w:sz w:val="28"/>
                <w:szCs w:val="28"/>
              </w:rPr>
            </w:pPr>
          </w:p>
          <w:p w14:paraId="3A798857" w14:textId="7ED644FC" w:rsidR="00516E6A" w:rsidRPr="004F2200" w:rsidRDefault="00053351" w:rsidP="00BD6BED">
            <w:pPr>
              <w:jc w:val="center"/>
              <w:rPr>
                <w:rFonts w:ascii="Palatino Linotype" w:hAnsi="Palatino Linotype"/>
                <w:b/>
                <w:color w:val="000000" w:themeColor="text1"/>
                <w:sz w:val="28"/>
                <w:szCs w:val="28"/>
              </w:rPr>
            </w:pPr>
            <w:r w:rsidRPr="004F2200">
              <w:rPr>
                <w:rFonts w:ascii="Palatino Linotype" w:hAnsi="Palatino Linotype"/>
                <w:b/>
                <w:color w:val="000000" w:themeColor="text1"/>
                <w:sz w:val="28"/>
                <w:szCs w:val="28"/>
              </w:rPr>
              <w:t xml:space="preserve">Alexis Tapia </w:t>
            </w:r>
            <w:r w:rsidR="00546B33" w:rsidRPr="004F2200">
              <w:rPr>
                <w:rFonts w:ascii="Palatino Linotype" w:hAnsi="Palatino Linotype"/>
                <w:b/>
                <w:color w:val="000000" w:themeColor="text1"/>
                <w:sz w:val="28"/>
                <w:szCs w:val="28"/>
              </w:rPr>
              <w:t>Ramírez</w:t>
            </w:r>
          </w:p>
          <w:p w14:paraId="637039FC" w14:textId="4245D1BA" w:rsidR="00516E6A" w:rsidRPr="004F2200" w:rsidRDefault="00516E6A" w:rsidP="00BD6BED">
            <w:pPr>
              <w:jc w:val="center"/>
              <w:rPr>
                <w:rFonts w:ascii="Palatino Linotype" w:hAnsi="Palatino Linotype"/>
                <w:color w:val="000000" w:themeColor="text1"/>
              </w:rPr>
            </w:pPr>
            <w:r w:rsidRPr="004F2200">
              <w:rPr>
                <w:rFonts w:ascii="Palatino Linotype" w:hAnsi="Palatino Linotype"/>
                <w:color w:val="000000" w:themeColor="text1"/>
              </w:rPr>
              <w:t>Secretari</w:t>
            </w:r>
            <w:r w:rsidR="00053351" w:rsidRPr="004F2200">
              <w:rPr>
                <w:rFonts w:ascii="Palatino Linotype" w:hAnsi="Palatino Linotype"/>
                <w:color w:val="000000" w:themeColor="text1"/>
              </w:rPr>
              <w:t>o</w:t>
            </w:r>
            <w:r w:rsidRPr="004F2200">
              <w:rPr>
                <w:rFonts w:ascii="Palatino Linotype" w:hAnsi="Palatino Linotype"/>
                <w:color w:val="000000" w:themeColor="text1"/>
              </w:rPr>
              <w:t xml:space="preserve"> Técnic</w:t>
            </w:r>
            <w:r w:rsidR="00053351" w:rsidRPr="004F2200">
              <w:rPr>
                <w:rFonts w:ascii="Palatino Linotype" w:hAnsi="Palatino Linotype"/>
                <w:color w:val="000000" w:themeColor="text1"/>
              </w:rPr>
              <w:t>o</w:t>
            </w:r>
            <w:r w:rsidRPr="004F2200">
              <w:rPr>
                <w:rFonts w:ascii="Palatino Linotype" w:hAnsi="Palatino Linotype"/>
                <w:color w:val="000000" w:themeColor="text1"/>
              </w:rPr>
              <w:t xml:space="preserve"> del Pleno</w:t>
            </w:r>
          </w:p>
          <w:p w14:paraId="636D6438" w14:textId="77777777" w:rsidR="00516E6A" w:rsidRPr="004F2200" w:rsidRDefault="00516E6A" w:rsidP="00BD6BED">
            <w:pPr>
              <w:jc w:val="center"/>
              <w:rPr>
                <w:rFonts w:ascii="Palatino Linotype" w:hAnsi="Palatino Linotype"/>
                <w:color w:val="000000" w:themeColor="text1"/>
              </w:rPr>
            </w:pPr>
            <w:r w:rsidRPr="004F2200">
              <w:rPr>
                <w:rFonts w:ascii="Palatino Linotype" w:hAnsi="Palatino Linotype"/>
                <w:color w:val="000000" w:themeColor="text1"/>
              </w:rPr>
              <w:t>(Rúbrica)</w:t>
            </w:r>
          </w:p>
          <w:p w14:paraId="763925BD" w14:textId="77777777" w:rsidR="00516E6A" w:rsidRPr="004F2200" w:rsidRDefault="00516E6A" w:rsidP="00BD6BED">
            <w:pPr>
              <w:jc w:val="center"/>
              <w:rPr>
                <w:rFonts w:ascii="Palatino Linotype" w:hAnsi="Palatino Linotype"/>
                <w:color w:val="000000" w:themeColor="text1"/>
              </w:rPr>
            </w:pPr>
          </w:p>
          <w:p w14:paraId="76AA92DB" w14:textId="77777777" w:rsidR="00A014EE" w:rsidRPr="004F2200" w:rsidRDefault="00A014EE" w:rsidP="00BD6BED">
            <w:pPr>
              <w:jc w:val="center"/>
              <w:rPr>
                <w:rFonts w:ascii="Palatino Linotype" w:hAnsi="Palatino Linotype"/>
                <w:color w:val="000000" w:themeColor="text1"/>
              </w:rPr>
            </w:pPr>
          </w:p>
        </w:tc>
      </w:tr>
    </w:tbl>
    <w:p w14:paraId="7D2A109B" w14:textId="0F217473" w:rsidR="0085736B" w:rsidRPr="004F2200" w:rsidRDefault="008E7698" w:rsidP="0085736B">
      <w:pPr>
        <w:spacing w:before="240" w:after="240"/>
        <w:jc w:val="both"/>
        <w:rPr>
          <w:rFonts w:ascii="Palatino Linotype" w:hAnsi="Palatino Linotype" w:cs="Arial"/>
          <w:color w:val="000000" w:themeColor="text1"/>
          <w:sz w:val="16"/>
        </w:rPr>
      </w:pPr>
      <w:r w:rsidRPr="004F2200">
        <w:rPr>
          <w:rFonts w:ascii="Palatino Linotype" w:hAnsi="Palatino Linotype" w:cs="Arial"/>
          <w:color w:val="000000" w:themeColor="text1"/>
          <w:sz w:val="16"/>
        </w:rPr>
        <w:t>Esta hoja</w:t>
      </w:r>
      <w:r w:rsidR="001306E4" w:rsidRPr="004F2200">
        <w:rPr>
          <w:rFonts w:ascii="Palatino Linotype" w:hAnsi="Palatino Linotype" w:cs="Arial"/>
          <w:color w:val="000000" w:themeColor="text1"/>
          <w:sz w:val="16"/>
        </w:rPr>
        <w:t xml:space="preserve"> corresponde a la resolución de </w:t>
      </w:r>
      <w:r w:rsidR="00C66B77" w:rsidRPr="004F2200">
        <w:rPr>
          <w:rFonts w:ascii="Palatino Linotype" w:hAnsi="Palatino Linotype" w:cs="Arial"/>
          <w:color w:val="000000" w:themeColor="text1"/>
          <w:sz w:val="16"/>
        </w:rPr>
        <w:t>diecinueve de septiembre</w:t>
      </w:r>
      <w:r w:rsidRPr="004F2200">
        <w:rPr>
          <w:rFonts w:ascii="Palatino Linotype" w:hAnsi="Palatino Linotype" w:cs="Arial"/>
          <w:color w:val="000000" w:themeColor="text1"/>
          <w:sz w:val="16"/>
        </w:rPr>
        <w:t xml:space="preserve"> de</w:t>
      </w:r>
      <w:r w:rsidR="00686279" w:rsidRPr="004F2200">
        <w:rPr>
          <w:rFonts w:ascii="Palatino Linotype" w:hAnsi="Palatino Linotype" w:cs="Arial"/>
          <w:color w:val="000000" w:themeColor="text1"/>
          <w:sz w:val="16"/>
        </w:rPr>
        <w:t>l</w:t>
      </w:r>
      <w:r w:rsidRPr="004F2200">
        <w:rPr>
          <w:rFonts w:ascii="Palatino Linotype" w:hAnsi="Palatino Linotype" w:cs="Arial"/>
          <w:color w:val="000000" w:themeColor="text1"/>
          <w:sz w:val="16"/>
        </w:rPr>
        <w:t xml:space="preserve"> dos mil </w:t>
      </w:r>
      <w:r w:rsidR="001306E4" w:rsidRPr="004F2200">
        <w:rPr>
          <w:rFonts w:ascii="Palatino Linotype" w:hAnsi="Palatino Linotype" w:cs="Arial"/>
          <w:color w:val="000000" w:themeColor="text1"/>
          <w:sz w:val="16"/>
        </w:rPr>
        <w:t>diec</w:t>
      </w:r>
      <w:r w:rsidR="00D21513" w:rsidRPr="004F2200">
        <w:rPr>
          <w:rFonts w:ascii="Palatino Linotype" w:hAnsi="Palatino Linotype" w:cs="Arial"/>
          <w:color w:val="000000" w:themeColor="text1"/>
          <w:sz w:val="16"/>
        </w:rPr>
        <w:t>iocho</w:t>
      </w:r>
      <w:r w:rsidRPr="004F2200">
        <w:rPr>
          <w:rFonts w:ascii="Palatino Linotype" w:hAnsi="Palatino Linotype" w:cs="Arial"/>
          <w:color w:val="000000" w:themeColor="text1"/>
          <w:sz w:val="16"/>
        </w:rPr>
        <w:t xml:space="preserve">, emitida en el recurso de revisión </w:t>
      </w:r>
      <w:r w:rsidR="004E1A77" w:rsidRPr="004F2200">
        <w:rPr>
          <w:rFonts w:ascii="Palatino Linotype" w:hAnsi="Palatino Linotype" w:cs="Arial"/>
          <w:bCs/>
          <w:color w:val="000000" w:themeColor="text1"/>
          <w:sz w:val="16"/>
        </w:rPr>
        <w:t>02604/INFOEM</w:t>
      </w:r>
      <w:r w:rsidR="001C06E4" w:rsidRPr="004F2200">
        <w:rPr>
          <w:rFonts w:ascii="Palatino Linotype" w:hAnsi="Palatino Linotype" w:cs="Arial"/>
          <w:bCs/>
          <w:color w:val="000000" w:themeColor="text1"/>
          <w:sz w:val="16"/>
        </w:rPr>
        <w:t>/IP/RR/2018</w:t>
      </w:r>
      <w:r w:rsidRPr="004F2200">
        <w:rPr>
          <w:rFonts w:ascii="Palatino Linotype" w:hAnsi="Palatino Linotype" w:cs="Arial"/>
          <w:color w:val="000000" w:themeColor="text1"/>
          <w:sz w:val="16"/>
        </w:rPr>
        <w:t>.</w:t>
      </w:r>
      <w:r w:rsidR="0085736B" w:rsidRPr="004F2200">
        <w:rPr>
          <w:rFonts w:ascii="Palatino Linotype" w:hAnsi="Palatino Linotype" w:cs="Arial"/>
          <w:color w:val="000000" w:themeColor="text1"/>
          <w:sz w:val="16"/>
        </w:rPr>
        <w:t xml:space="preserve"> </w:t>
      </w:r>
    </w:p>
    <w:sectPr w:rsidR="0085736B" w:rsidRPr="004F2200" w:rsidSect="009F07F4">
      <w:headerReference w:type="even" r:id="rId21"/>
      <w:headerReference w:type="default" r:id="rId22"/>
      <w:footerReference w:type="even" r:id="rId23"/>
      <w:footerReference w:type="default" r:id="rId24"/>
      <w:headerReference w:type="first" r:id="rId25"/>
      <w:footerReference w:type="first" r:id="rId2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28AA3" w14:textId="77777777" w:rsidR="00C76EC0" w:rsidRDefault="00C76EC0" w:rsidP="00C80F8C">
      <w:r>
        <w:separator/>
      </w:r>
    </w:p>
  </w:endnote>
  <w:endnote w:type="continuationSeparator" w:id="0">
    <w:p w14:paraId="014F65A2" w14:textId="77777777" w:rsidR="00C76EC0" w:rsidRDefault="00C76E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03B6A" w14:textId="77777777" w:rsidR="00C76DAA" w:rsidRDefault="00C76D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D933E8" w:rsidRDefault="00D933E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76DAA">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76DAA">
      <w:rPr>
        <w:rFonts w:ascii="Arial" w:hAnsi="Arial" w:cs="Arial"/>
        <w:b/>
        <w:bCs/>
        <w:noProof/>
        <w:sz w:val="20"/>
        <w:szCs w:val="20"/>
      </w:rPr>
      <w:t>39</w:t>
    </w:r>
    <w:r>
      <w:rPr>
        <w:rFonts w:ascii="Arial" w:hAnsi="Arial" w:cs="Arial"/>
        <w:b/>
        <w:bCs/>
        <w:sz w:val="20"/>
        <w:szCs w:val="20"/>
      </w:rPr>
      <w:fldChar w:fldCharType="end"/>
    </w:r>
  </w:p>
  <w:p w14:paraId="1192A578" w14:textId="77777777" w:rsidR="00D933E8" w:rsidRDefault="00D933E8" w:rsidP="00935A0D">
    <w:pPr>
      <w:pStyle w:val="Piedepgina"/>
      <w:rPr>
        <w:rFonts w:ascii="Times New Roman" w:hAnsi="Times New Roman" w:cs="Times New Roman"/>
      </w:rPr>
    </w:pPr>
  </w:p>
  <w:p w14:paraId="14A770F8" w14:textId="77777777" w:rsidR="00D933E8" w:rsidRDefault="00D933E8" w:rsidP="006F30F8">
    <w:pPr>
      <w:pStyle w:val="Piedepgin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D933E8" w:rsidRDefault="00D933E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76DA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76DAA">
      <w:rPr>
        <w:rFonts w:ascii="Arial" w:hAnsi="Arial" w:cs="Arial"/>
        <w:b/>
        <w:bCs/>
        <w:noProof/>
        <w:sz w:val="20"/>
        <w:szCs w:val="20"/>
      </w:rPr>
      <w:t>39</w:t>
    </w:r>
    <w:r>
      <w:rPr>
        <w:rFonts w:ascii="Arial" w:hAnsi="Arial" w:cs="Arial"/>
        <w:b/>
        <w:bCs/>
        <w:sz w:val="20"/>
        <w:szCs w:val="20"/>
      </w:rPr>
      <w:fldChar w:fldCharType="end"/>
    </w:r>
  </w:p>
  <w:p w14:paraId="5D98ABD5" w14:textId="77777777" w:rsidR="00D933E8" w:rsidRDefault="00D933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56BA5" w14:textId="77777777" w:rsidR="00C76EC0" w:rsidRDefault="00C76EC0" w:rsidP="00C80F8C">
      <w:r>
        <w:separator/>
      </w:r>
    </w:p>
  </w:footnote>
  <w:footnote w:type="continuationSeparator" w:id="0">
    <w:p w14:paraId="35B5789D" w14:textId="77777777" w:rsidR="00C76EC0" w:rsidRDefault="00C76EC0" w:rsidP="00C80F8C">
      <w:r>
        <w:continuationSeparator/>
      </w:r>
    </w:p>
  </w:footnote>
  <w:footnote w:id="1">
    <w:p w14:paraId="78AAC1C9" w14:textId="77777777" w:rsidR="00D933E8" w:rsidRPr="00C03938" w:rsidRDefault="00D933E8" w:rsidP="00532D92">
      <w:pPr>
        <w:jc w:val="both"/>
        <w:rPr>
          <w:rFonts w:ascii="Palatino Linotype" w:hAnsi="Palatino Linotype"/>
          <w:sz w:val="16"/>
          <w:szCs w:val="16"/>
        </w:rPr>
      </w:pPr>
      <w:r w:rsidRPr="009A7528">
        <w:rPr>
          <w:rStyle w:val="Refdenotaalpie"/>
          <w:rFonts w:ascii="Palatino Linotype" w:hAnsi="Palatino Linotype"/>
        </w:rPr>
        <w:footnoteRef/>
      </w:r>
      <w:r w:rsidRPr="009A7528">
        <w:rPr>
          <w:rFonts w:ascii="Palatino Linotype" w:hAnsi="Palatino Linotype"/>
        </w:rPr>
        <w:t xml:space="preserve"> </w:t>
      </w:r>
      <w:r w:rsidRPr="00C03938">
        <w:rPr>
          <w:rFonts w:ascii="Palatino Linotype" w:hAnsi="Palatino Linotype"/>
          <w:b/>
          <w:sz w:val="16"/>
          <w:szCs w:val="16"/>
        </w:rPr>
        <w:t>Cuerpo de la tesis:</w:t>
      </w:r>
      <w:r w:rsidRPr="00C03938">
        <w:rPr>
          <w:rFonts w:ascii="Palatino Linotype" w:hAnsi="Palatino Linotype"/>
          <w:sz w:val="16"/>
          <w:szCs w:val="16"/>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9D939E6" w14:textId="77777777" w:rsidR="00D933E8" w:rsidRPr="00C03938" w:rsidRDefault="00D933E8" w:rsidP="00532D92">
      <w:pPr>
        <w:jc w:val="both"/>
        <w:rPr>
          <w:rFonts w:ascii="Palatino Linotype" w:hAnsi="Palatino Linotype"/>
          <w:sz w:val="16"/>
          <w:szCs w:val="16"/>
        </w:rPr>
      </w:pPr>
      <w:r w:rsidRPr="00C03938">
        <w:rPr>
          <w:rFonts w:ascii="Palatino Linotype" w:hAnsi="Palatino Linotype"/>
          <w:sz w:val="16"/>
          <w:szCs w:val="16"/>
        </w:rPr>
        <w:t>Tesis: 1a. CCCXXXV/2014, Primera Sala, Décima Época, Semanario Judicial de la Federación, Libro 11, Octubre de 2014, Tomo I, pág. 619.</w:t>
      </w:r>
    </w:p>
  </w:footnote>
  <w:footnote w:id="2">
    <w:p w14:paraId="2D8F0C64" w14:textId="77777777" w:rsidR="00D933E8" w:rsidRPr="00C03938" w:rsidRDefault="00D933E8" w:rsidP="00532D92">
      <w:pPr>
        <w:jc w:val="both"/>
        <w:rPr>
          <w:rFonts w:ascii="Palatino Linotype" w:hAnsi="Palatino Linotype"/>
          <w:sz w:val="16"/>
          <w:szCs w:val="16"/>
        </w:rPr>
      </w:pPr>
      <w:r w:rsidRPr="00C03938">
        <w:rPr>
          <w:rStyle w:val="Refdenotaalpie"/>
          <w:rFonts w:ascii="Palatino Linotype" w:hAnsi="Palatino Linotype"/>
          <w:sz w:val="16"/>
          <w:szCs w:val="16"/>
        </w:rPr>
        <w:footnoteRef/>
      </w:r>
      <w:r w:rsidRPr="00C03938">
        <w:rPr>
          <w:rFonts w:ascii="Palatino Linotype" w:hAnsi="Palatino Linotype"/>
          <w:sz w:val="16"/>
          <w:szCs w:val="16"/>
        </w:rPr>
        <w:t xml:space="preserve"> </w:t>
      </w:r>
      <w:r w:rsidRPr="00C03938">
        <w:rPr>
          <w:rFonts w:ascii="Palatino Linotype" w:hAnsi="Palatino Linotype"/>
          <w:b/>
          <w:sz w:val="16"/>
          <w:szCs w:val="16"/>
        </w:rPr>
        <w:t>Cuerpo de la tesis:</w:t>
      </w:r>
      <w:r w:rsidRPr="00C03938">
        <w:rPr>
          <w:rFonts w:ascii="Palatino Linotype" w:hAnsi="Palatino Linotype"/>
          <w:sz w:val="16"/>
          <w:szCs w:val="16"/>
        </w:rPr>
        <w:t xml:space="preserve"> El artículo 86 de la Ley de Amparo establece que el plazo para interponer el recurso de revisión es de 10 días, contados desde el siguiente al en que surta efectos la notificación de la resolución recurrida; punto de partida que es acorde con el diverso 24, fracción I, de la misma ley, donde se precisan las reglas para el cómputo de los términos en el juicio de amparo destacándose, además, que en ellos se incluirá el día del vencimiento. De esta manera, la interpretación de ambos preceptos permite concluir que, al fijar un plazo para la interposición del recurso, el legislador quiso establecer un límite temporal a las partes para ejercer su derecho de revisión de las resoluciones dictadas dentro del juicio de amparo, a fin de generar seguridad jurídica respecto a la firmeza de esas decisiones jurisdiccionales; sin embargo, las referidas normas no prohíben que pueda interponerse dicho recurso antes de que inicie el cómputo del plazo, debido a que esa anticipación no infringe ni sobrepasa el término previsto en la ley.</w:t>
      </w:r>
    </w:p>
    <w:p w14:paraId="63DB1804" w14:textId="77777777" w:rsidR="00D933E8" w:rsidRPr="00C03938" w:rsidRDefault="00D933E8" w:rsidP="00532D92">
      <w:pPr>
        <w:jc w:val="both"/>
        <w:rPr>
          <w:sz w:val="16"/>
          <w:szCs w:val="16"/>
        </w:rPr>
      </w:pPr>
      <w:r w:rsidRPr="00C03938">
        <w:rPr>
          <w:rFonts w:ascii="Palatino Linotype" w:hAnsi="Palatino Linotype"/>
          <w:sz w:val="16"/>
          <w:szCs w:val="16"/>
        </w:rPr>
        <w:t>Tesis: 2a. LXXIII/2012, Primera Sala, Décima Época, Semanario Judicial de la Federación. Libro XIII, Octubre de 2012, Tomo 3, pág. 2037.</w:t>
      </w:r>
    </w:p>
  </w:footnote>
  <w:footnote w:id="3">
    <w:p w14:paraId="16BFC003" w14:textId="77777777" w:rsidR="00D933E8" w:rsidRPr="000E20F0" w:rsidRDefault="00D933E8" w:rsidP="006240A2">
      <w:pPr>
        <w:pStyle w:val="Prrafodelista"/>
        <w:spacing w:after="120"/>
        <w:ind w:left="0" w:right="49"/>
        <w:jc w:val="both"/>
        <w:rPr>
          <w:rFonts w:ascii="Palatino Linotype" w:hAnsi="Palatino Linotype"/>
          <w:i/>
          <w:sz w:val="16"/>
          <w:szCs w:val="16"/>
        </w:rPr>
      </w:pPr>
      <w:r>
        <w:rPr>
          <w:rStyle w:val="Refdenotaalpie"/>
        </w:rPr>
        <w:footnoteRef/>
      </w:r>
      <w:r>
        <w:t xml:space="preserve"> </w:t>
      </w:r>
      <w:r w:rsidRPr="000E20F0">
        <w:rPr>
          <w:rFonts w:ascii="Palatino Linotype" w:hAnsi="Palatino Linotype"/>
          <w:b/>
          <w:i/>
          <w:sz w:val="16"/>
          <w:szCs w:val="16"/>
        </w:rPr>
        <w:t>Artículo 4.</w:t>
      </w:r>
      <w:r w:rsidRPr="000E20F0">
        <w:rPr>
          <w:rFonts w:ascii="Palatino Linotype" w:hAnsi="Palatino Linotype"/>
          <w:i/>
          <w:sz w:val="16"/>
          <w:szCs w:val="16"/>
        </w:rPr>
        <w:t xml:space="preserve"> El derecho humano de acceso a la información comprende solicitar, investigar, difundir, buscar y recibir información. Toda la información generada, obtenida, adquirida, transformada o en posesión de los sujetos obligados es pública y accesible a cualquier persona 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footnote>
  <w:footnote w:id="4">
    <w:p w14:paraId="58CEBCEA" w14:textId="77777777" w:rsidR="00D933E8" w:rsidRDefault="00D933E8" w:rsidP="003F4105">
      <w:pPr>
        <w:pStyle w:val="Textonotapie"/>
      </w:pPr>
      <w:r>
        <w:rPr>
          <w:rStyle w:val="Refdenotaalpie"/>
        </w:rPr>
        <w:footnoteRef/>
      </w:r>
      <w:r>
        <w:t xml:space="preserve"> </w:t>
      </w:r>
      <w:r w:rsidRPr="00A44A00">
        <w:rPr>
          <w:rFonts w:ascii="Palatino Linotype" w:hAnsi="Palatino Linotype"/>
          <w:i/>
          <w:sz w:val="16"/>
          <w:szCs w:val="16"/>
        </w:rPr>
        <w:t>IV. Dentro del plazo mencionado en la fracción II, las partes podrán ofrecer todo tipo de pruebas o alegatos excepto la confesional por parte de los sujetos obligados y aquéllas que sean contrarias a derecho</w:t>
      </w:r>
    </w:p>
  </w:footnote>
  <w:footnote w:id="5">
    <w:p w14:paraId="3DFA225B" w14:textId="77777777" w:rsidR="008B5E96" w:rsidRPr="00262BFA" w:rsidRDefault="008B5E96" w:rsidP="008B5E96">
      <w:pPr>
        <w:autoSpaceDE w:val="0"/>
        <w:autoSpaceDN w:val="0"/>
        <w:adjustRightInd w:val="0"/>
        <w:ind w:right="51"/>
        <w:jc w:val="both"/>
        <w:rPr>
          <w:rFonts w:ascii="Palatino Linotype" w:hAnsi="Palatino Linotype" w:cs="Arial"/>
          <w:i/>
          <w:sz w:val="16"/>
          <w:szCs w:val="16"/>
        </w:rPr>
      </w:pPr>
      <w:r w:rsidRPr="00262BFA">
        <w:rPr>
          <w:rStyle w:val="Refdenotaalpie"/>
          <w:rFonts w:ascii="Palatino Linotype" w:hAnsi="Palatino Linotype"/>
          <w:sz w:val="16"/>
          <w:szCs w:val="16"/>
        </w:rPr>
        <w:footnoteRef/>
      </w:r>
      <w:r w:rsidRPr="00262BFA">
        <w:rPr>
          <w:rFonts w:ascii="Palatino Linotype" w:hAnsi="Palatino Linotype"/>
          <w:sz w:val="16"/>
          <w:szCs w:val="16"/>
        </w:rPr>
        <w:t xml:space="preserve"> </w:t>
      </w:r>
      <w:r w:rsidRPr="00262BFA">
        <w:rPr>
          <w:rFonts w:ascii="Palatino Linotype" w:hAnsi="Palatino Linotype" w:cs="Arial"/>
          <w:i/>
          <w:sz w:val="16"/>
          <w:szCs w:val="16"/>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004D480" w14:textId="77777777" w:rsidR="008B5E96" w:rsidRDefault="008B5E96" w:rsidP="008B5E96">
      <w:pPr>
        <w:pStyle w:val="Textonotapie"/>
      </w:pPr>
    </w:p>
  </w:footnote>
  <w:footnote w:id="6">
    <w:p w14:paraId="14590B5E" w14:textId="77777777" w:rsidR="008B5E96" w:rsidRPr="003D70ED" w:rsidRDefault="008B5E96" w:rsidP="008B5E96">
      <w:pPr>
        <w:pStyle w:val="Textonotapie"/>
        <w:jc w:val="both"/>
      </w:pPr>
      <w:r>
        <w:rPr>
          <w:rStyle w:val="Refdenotaalpie"/>
        </w:rPr>
        <w:footnoteRef/>
      </w:r>
      <w:r>
        <w:t xml:space="preserve"> </w:t>
      </w:r>
      <w:r w:rsidRPr="003D70ED">
        <w:rPr>
          <w:rFonts w:ascii="Palatino Linotype" w:hAnsi="Palatino Linotype"/>
          <w:i/>
          <w:sz w:val="16"/>
          <w:szCs w:val="16"/>
        </w:rPr>
        <w:t>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r>
        <w:rPr>
          <w:rFonts w:ascii="Palatino Linotype" w:hAnsi="Palatino Linotype"/>
          <w:i/>
          <w:sz w:val="16"/>
          <w:szCs w:val="16"/>
        </w:rPr>
        <w:t xml:space="preserve"> </w:t>
      </w:r>
      <w:r>
        <w:rPr>
          <w:rFonts w:ascii="Palatino Linotype" w:hAnsi="Palatino Linotype"/>
          <w:sz w:val="16"/>
          <w:szCs w:val="16"/>
        </w:rPr>
        <w:t>Ley de Protección de Datos Personales en Posesión de Sujetos Obligados del Estado de México y Municipios.</w:t>
      </w:r>
    </w:p>
  </w:footnote>
  <w:footnote w:id="7">
    <w:p w14:paraId="2213E35E" w14:textId="77777777" w:rsidR="00F57B59" w:rsidRPr="000D795B" w:rsidRDefault="00F57B59" w:rsidP="00F57B59">
      <w:pPr>
        <w:pStyle w:val="Textonotapie"/>
        <w:rPr>
          <w:rFonts w:ascii="Palatino Linotype" w:hAnsi="Palatino Linotype"/>
          <w:sz w:val="16"/>
          <w:szCs w:val="16"/>
        </w:rPr>
      </w:pPr>
      <w:r>
        <w:rPr>
          <w:rStyle w:val="Refdenotaalpie"/>
        </w:rPr>
        <w:footnoteRef/>
      </w:r>
      <w:r>
        <w:t xml:space="preserve"> </w:t>
      </w:r>
      <w:r w:rsidRPr="000D795B">
        <w:rPr>
          <w:rFonts w:ascii="Palatino Linotype" w:hAnsi="Palatino Linotype"/>
          <w:sz w:val="16"/>
          <w:szCs w:val="16"/>
        </w:rPr>
        <w:t>Artículo 128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6B9EC" w14:textId="77777777" w:rsidR="00C76DAA" w:rsidRDefault="00C76D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933E8" w14:paraId="6B4E3B81" w14:textId="77777777" w:rsidTr="009D4854">
      <w:tc>
        <w:tcPr>
          <w:tcW w:w="2553" w:type="dxa"/>
          <w:vAlign w:val="center"/>
          <w:hideMark/>
        </w:tcPr>
        <w:p w14:paraId="0ABBC6C0" w14:textId="77777777" w:rsidR="00D933E8" w:rsidRDefault="00D933E8"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011E42BB" w:rsidR="00D933E8" w:rsidRDefault="00D933E8" w:rsidP="00F31803">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02604/INFOEM/IP/RR/2018</w:t>
          </w:r>
        </w:p>
      </w:tc>
    </w:tr>
    <w:tr w:rsidR="00D933E8" w14:paraId="31CB780F" w14:textId="77777777" w:rsidTr="009D4854">
      <w:trPr>
        <w:trHeight w:val="228"/>
      </w:trPr>
      <w:tc>
        <w:tcPr>
          <w:tcW w:w="2553" w:type="dxa"/>
          <w:vAlign w:val="center"/>
          <w:hideMark/>
        </w:tcPr>
        <w:p w14:paraId="4F49CB4A" w14:textId="6966D32E" w:rsidR="00D933E8" w:rsidRDefault="00D933E8"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2079B5B6" w:rsidR="00D933E8" w:rsidRDefault="00D933E8" w:rsidP="00F31803">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Tribunal de Justicia Administrativa del Estado de México</w:t>
          </w:r>
        </w:p>
      </w:tc>
    </w:tr>
    <w:tr w:rsidR="00D933E8" w14:paraId="69050F56" w14:textId="77777777" w:rsidTr="009D4854">
      <w:tc>
        <w:tcPr>
          <w:tcW w:w="2553" w:type="dxa"/>
          <w:vAlign w:val="center"/>
          <w:hideMark/>
        </w:tcPr>
        <w:p w14:paraId="65C9B735" w14:textId="1BD9C7F4" w:rsidR="00D933E8" w:rsidRDefault="00D933E8"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D933E8" w:rsidRDefault="00D933E8"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D933E8" w:rsidRDefault="00D933E8" w:rsidP="006F30F8">
    <w:pPr>
      <w:pStyle w:val="Encabezado"/>
      <w:tabs>
        <w:tab w:val="clear" w:pos="4252"/>
        <w:tab w:val="clear" w:pos="8504"/>
        <w:tab w:val="left" w:pos="2326"/>
      </w:tabs>
    </w:pPr>
    <w:r>
      <w:tab/>
    </w:r>
  </w:p>
  <w:p w14:paraId="23403E59" w14:textId="77777777" w:rsidR="00D933E8" w:rsidRDefault="00D933E8" w:rsidP="006F30F8">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D933E8" w:rsidRDefault="00D933E8"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D933E8" w14:paraId="477E149B" w14:textId="77777777" w:rsidTr="00C47D1B">
      <w:tc>
        <w:tcPr>
          <w:tcW w:w="2553" w:type="dxa"/>
          <w:vAlign w:val="center"/>
          <w:hideMark/>
        </w:tcPr>
        <w:p w14:paraId="5C0586E4" w14:textId="77777777" w:rsidR="00D933E8" w:rsidRDefault="00D933E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10AAA72F" w:rsidR="00D933E8" w:rsidRPr="004440AC" w:rsidRDefault="00D933E8" w:rsidP="00F31803">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02604/INFOEM/IP/RR/2018</w:t>
          </w:r>
        </w:p>
      </w:tc>
    </w:tr>
    <w:tr w:rsidR="00D933E8" w14:paraId="5B5BE21C" w14:textId="77777777" w:rsidTr="00C47D1B">
      <w:tc>
        <w:tcPr>
          <w:tcW w:w="2553" w:type="dxa"/>
          <w:vAlign w:val="center"/>
          <w:hideMark/>
        </w:tcPr>
        <w:p w14:paraId="4AE96902" w14:textId="4E063913" w:rsidR="00D933E8" w:rsidRDefault="00D933E8" w:rsidP="00C47D1B">
          <w:pPr>
            <w:rPr>
              <w:rFonts w:ascii="Palatino Linotype" w:hAnsi="Palatino Linotype"/>
              <w:b/>
              <w:sz w:val="22"/>
              <w:szCs w:val="22"/>
              <w:lang w:val="es-ES_tradnl"/>
            </w:rPr>
          </w:pPr>
          <w:bookmarkStart w:id="0" w:name="_GoBack" w:colFirst="1" w:colLast="1"/>
          <w:r>
            <w:rPr>
              <w:rFonts w:ascii="Palatino Linotype" w:hAnsi="Palatino Linotype"/>
              <w:b/>
              <w:sz w:val="22"/>
              <w:szCs w:val="22"/>
              <w:lang w:val="es-ES_tradnl"/>
            </w:rPr>
            <w:t>Recurrente:</w:t>
          </w:r>
        </w:p>
      </w:tc>
      <w:tc>
        <w:tcPr>
          <w:tcW w:w="3687" w:type="dxa"/>
          <w:vAlign w:val="center"/>
          <w:hideMark/>
        </w:tcPr>
        <w:p w14:paraId="776E3E60" w14:textId="749F7586" w:rsidR="00D933E8" w:rsidRPr="00C76DAA" w:rsidRDefault="00F504BD" w:rsidP="00C47D1B">
          <w:pPr>
            <w:rPr>
              <w:rFonts w:ascii="Palatino Linotype" w:hAnsi="Palatino Linotype"/>
              <w:b/>
              <w:color w:val="000000" w:themeColor="text1"/>
              <w:sz w:val="22"/>
              <w:szCs w:val="22"/>
              <w:lang w:val="es-ES_tradnl"/>
            </w:rPr>
          </w:pPr>
          <w:r w:rsidRPr="00C76DAA">
            <w:rPr>
              <w:rFonts w:ascii="Palatino Linotype" w:eastAsiaTheme="minorEastAsia" w:hAnsi="Palatino Linotype" w:cs="Arial"/>
              <w:b/>
              <w:color w:val="000000" w:themeColor="text1"/>
              <w:sz w:val="22"/>
              <w:szCs w:val="22"/>
              <w:lang w:val="es-MX"/>
            </w:rPr>
            <w:t>Xxxxx</w:t>
          </w:r>
          <w:r w:rsidR="00D933E8" w:rsidRPr="00C76DAA">
            <w:rPr>
              <w:rFonts w:ascii="Palatino Linotype" w:eastAsiaTheme="minorEastAsia" w:hAnsi="Palatino Linotype" w:cs="Arial"/>
              <w:b/>
              <w:color w:val="000000" w:themeColor="text1"/>
              <w:sz w:val="22"/>
              <w:szCs w:val="22"/>
              <w:lang w:val="es-MX"/>
            </w:rPr>
            <w:t xml:space="preserve"> </w:t>
          </w:r>
          <w:r w:rsidRPr="00C76DAA">
            <w:rPr>
              <w:rFonts w:ascii="Palatino Linotype" w:eastAsiaTheme="minorEastAsia" w:hAnsi="Palatino Linotype" w:cs="Arial"/>
              <w:b/>
              <w:color w:val="000000" w:themeColor="text1"/>
              <w:sz w:val="22"/>
              <w:szCs w:val="22"/>
              <w:lang w:val="es-MX"/>
            </w:rPr>
            <w:t>Xxxxxxx</w:t>
          </w:r>
          <w:r w:rsidR="00D933E8" w:rsidRPr="00C76DAA">
            <w:rPr>
              <w:rFonts w:ascii="Palatino Linotype" w:eastAsiaTheme="minorEastAsia" w:hAnsi="Palatino Linotype" w:cs="Arial"/>
              <w:b/>
              <w:color w:val="000000" w:themeColor="text1"/>
              <w:sz w:val="22"/>
              <w:szCs w:val="22"/>
              <w:lang w:val="es-MX"/>
            </w:rPr>
            <w:t xml:space="preserve"> </w:t>
          </w:r>
          <w:r w:rsidRPr="00C76DAA">
            <w:rPr>
              <w:rFonts w:ascii="Palatino Linotype" w:eastAsiaTheme="minorEastAsia" w:hAnsi="Palatino Linotype" w:cs="Arial"/>
              <w:b/>
              <w:color w:val="000000" w:themeColor="text1"/>
              <w:sz w:val="22"/>
              <w:szCs w:val="22"/>
              <w:lang w:val="es-MX"/>
            </w:rPr>
            <w:t>Xxxxxx</w:t>
          </w:r>
          <w:r w:rsidR="00D933E8" w:rsidRPr="00C76DAA">
            <w:rPr>
              <w:rFonts w:ascii="Palatino Linotype" w:eastAsiaTheme="minorEastAsia" w:hAnsi="Palatino Linotype" w:cs="Arial"/>
              <w:b/>
              <w:color w:val="000000" w:themeColor="text1"/>
              <w:sz w:val="22"/>
              <w:szCs w:val="22"/>
              <w:lang w:val="es-MX"/>
            </w:rPr>
            <w:t xml:space="preserve"> </w:t>
          </w:r>
          <w:r w:rsidRPr="00C76DAA">
            <w:rPr>
              <w:rFonts w:ascii="Palatino Linotype" w:eastAsiaTheme="minorEastAsia" w:hAnsi="Palatino Linotype" w:cs="Arial"/>
              <w:b/>
              <w:color w:val="000000" w:themeColor="text1"/>
              <w:sz w:val="22"/>
              <w:szCs w:val="22"/>
              <w:lang w:val="es-MX"/>
            </w:rPr>
            <w:t>Xxxxxx</w:t>
          </w:r>
        </w:p>
      </w:tc>
    </w:tr>
    <w:tr w:rsidR="00D933E8" w14:paraId="22601A11" w14:textId="77777777" w:rsidTr="00C47D1B">
      <w:trPr>
        <w:trHeight w:val="228"/>
      </w:trPr>
      <w:tc>
        <w:tcPr>
          <w:tcW w:w="2553" w:type="dxa"/>
          <w:vAlign w:val="center"/>
          <w:hideMark/>
        </w:tcPr>
        <w:p w14:paraId="6EFE221D" w14:textId="49C5F800" w:rsidR="00D933E8" w:rsidRDefault="00D933E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6BC83C2C" w:rsidR="00D933E8" w:rsidRPr="00C76DAA" w:rsidRDefault="00D933E8" w:rsidP="00F31803">
          <w:pPr>
            <w:jc w:val="both"/>
            <w:rPr>
              <w:rFonts w:ascii="Palatino Linotype" w:hAnsi="Palatino Linotype"/>
              <w:b/>
              <w:color w:val="000000" w:themeColor="text1"/>
              <w:sz w:val="22"/>
              <w:szCs w:val="22"/>
              <w:lang w:val="es-ES_tradnl"/>
            </w:rPr>
          </w:pPr>
          <w:r w:rsidRPr="00C76DAA">
            <w:rPr>
              <w:rFonts w:ascii="Palatino Linotype" w:eastAsiaTheme="minorEastAsia" w:hAnsi="Palatino Linotype" w:cs="Arial"/>
              <w:b/>
              <w:color w:val="000000" w:themeColor="text1"/>
              <w:sz w:val="22"/>
              <w:szCs w:val="22"/>
              <w:lang w:val="es-MX"/>
            </w:rPr>
            <w:t>Tribunal de Justicia Administrativa del Estado de México</w:t>
          </w:r>
        </w:p>
      </w:tc>
    </w:tr>
    <w:bookmarkEnd w:id="0"/>
    <w:tr w:rsidR="00D933E8" w14:paraId="2D6C630E" w14:textId="77777777" w:rsidTr="00C47D1B">
      <w:tc>
        <w:tcPr>
          <w:tcW w:w="2553" w:type="dxa"/>
          <w:vAlign w:val="center"/>
          <w:hideMark/>
        </w:tcPr>
        <w:p w14:paraId="5BD4C6DB" w14:textId="0AEF79C2" w:rsidR="00D933E8" w:rsidRDefault="00D933E8"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D933E8" w:rsidRPr="004440AC" w:rsidRDefault="00D933E8"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D933E8" w:rsidRDefault="00D933E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4307F"/>
    <w:multiLevelType w:val="hybridMultilevel"/>
    <w:tmpl w:val="5CD84D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D801BA"/>
    <w:multiLevelType w:val="hybridMultilevel"/>
    <w:tmpl w:val="36F4BD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B01919"/>
    <w:multiLevelType w:val="hybridMultilevel"/>
    <w:tmpl w:val="FEEE912C"/>
    <w:lvl w:ilvl="0" w:tplc="080A0005">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39A40D3D"/>
    <w:multiLevelType w:val="hybridMultilevel"/>
    <w:tmpl w:val="36F4BD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434609"/>
    <w:multiLevelType w:val="hybridMultilevel"/>
    <w:tmpl w:val="36F4BD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95135A"/>
    <w:multiLevelType w:val="hybridMultilevel"/>
    <w:tmpl w:val="3BA8F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137945"/>
    <w:multiLevelType w:val="hybridMultilevel"/>
    <w:tmpl w:val="5960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B4489A"/>
    <w:multiLevelType w:val="hybridMultilevel"/>
    <w:tmpl w:val="0A3AA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1A3C4B"/>
    <w:multiLevelType w:val="hybridMultilevel"/>
    <w:tmpl w:val="AF9C9D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4D4E7D"/>
    <w:multiLevelType w:val="hybridMultilevel"/>
    <w:tmpl w:val="36F4BD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E22E87"/>
    <w:multiLevelType w:val="hybridMultilevel"/>
    <w:tmpl w:val="43B291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8"/>
  </w:num>
  <w:num w:numId="6">
    <w:abstractNumId w:val="3"/>
  </w:num>
  <w:num w:numId="7">
    <w:abstractNumId w:val="0"/>
  </w:num>
  <w:num w:numId="8">
    <w:abstractNumId w:val="1"/>
  </w:num>
  <w:num w:numId="9">
    <w:abstractNumId w:val="10"/>
  </w:num>
  <w:num w:numId="10">
    <w:abstractNumId w:val="7"/>
  </w:num>
  <w:num w:numId="1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5DE"/>
    <w:rsid w:val="000035AE"/>
    <w:rsid w:val="00004CA2"/>
    <w:rsid w:val="0000625E"/>
    <w:rsid w:val="000064FC"/>
    <w:rsid w:val="00010DBC"/>
    <w:rsid w:val="00012A5F"/>
    <w:rsid w:val="000151E0"/>
    <w:rsid w:val="000163E2"/>
    <w:rsid w:val="00017BE1"/>
    <w:rsid w:val="00020A18"/>
    <w:rsid w:val="00021709"/>
    <w:rsid w:val="00021E8D"/>
    <w:rsid w:val="000239D7"/>
    <w:rsid w:val="00023C79"/>
    <w:rsid w:val="000252E9"/>
    <w:rsid w:val="00025532"/>
    <w:rsid w:val="00026705"/>
    <w:rsid w:val="00026D94"/>
    <w:rsid w:val="00030E35"/>
    <w:rsid w:val="000314E8"/>
    <w:rsid w:val="0003341C"/>
    <w:rsid w:val="0003385D"/>
    <w:rsid w:val="000343B9"/>
    <w:rsid w:val="00035413"/>
    <w:rsid w:val="000354B7"/>
    <w:rsid w:val="000359D8"/>
    <w:rsid w:val="00035B1B"/>
    <w:rsid w:val="00035F2E"/>
    <w:rsid w:val="00036575"/>
    <w:rsid w:val="00036B8A"/>
    <w:rsid w:val="00041731"/>
    <w:rsid w:val="00041BCD"/>
    <w:rsid w:val="000423C7"/>
    <w:rsid w:val="00042D83"/>
    <w:rsid w:val="00042E1D"/>
    <w:rsid w:val="0004471E"/>
    <w:rsid w:val="00045FD8"/>
    <w:rsid w:val="00047F41"/>
    <w:rsid w:val="00053351"/>
    <w:rsid w:val="00055938"/>
    <w:rsid w:val="00055948"/>
    <w:rsid w:val="0005705D"/>
    <w:rsid w:val="00057073"/>
    <w:rsid w:val="000603E6"/>
    <w:rsid w:val="00060CD1"/>
    <w:rsid w:val="000646E3"/>
    <w:rsid w:val="00064748"/>
    <w:rsid w:val="000667E0"/>
    <w:rsid w:val="00066DF5"/>
    <w:rsid w:val="00070B97"/>
    <w:rsid w:val="00071462"/>
    <w:rsid w:val="00071A99"/>
    <w:rsid w:val="0007505B"/>
    <w:rsid w:val="000752EF"/>
    <w:rsid w:val="00075D7A"/>
    <w:rsid w:val="0007730D"/>
    <w:rsid w:val="00077347"/>
    <w:rsid w:val="00077788"/>
    <w:rsid w:val="0008069C"/>
    <w:rsid w:val="00082C95"/>
    <w:rsid w:val="00083058"/>
    <w:rsid w:val="0008542A"/>
    <w:rsid w:val="00087017"/>
    <w:rsid w:val="00087498"/>
    <w:rsid w:val="00087514"/>
    <w:rsid w:val="00090EBA"/>
    <w:rsid w:val="000912A6"/>
    <w:rsid w:val="00091682"/>
    <w:rsid w:val="00092FF6"/>
    <w:rsid w:val="00094E67"/>
    <w:rsid w:val="00097EF0"/>
    <w:rsid w:val="000A0D0B"/>
    <w:rsid w:val="000A1C9A"/>
    <w:rsid w:val="000A1DBD"/>
    <w:rsid w:val="000A1E1F"/>
    <w:rsid w:val="000A351A"/>
    <w:rsid w:val="000A4EC4"/>
    <w:rsid w:val="000A515A"/>
    <w:rsid w:val="000A577A"/>
    <w:rsid w:val="000A5B28"/>
    <w:rsid w:val="000A6651"/>
    <w:rsid w:val="000A7C0E"/>
    <w:rsid w:val="000B01A7"/>
    <w:rsid w:val="000B1437"/>
    <w:rsid w:val="000B1BD9"/>
    <w:rsid w:val="000B2B61"/>
    <w:rsid w:val="000B2CE3"/>
    <w:rsid w:val="000B2FE2"/>
    <w:rsid w:val="000B3FFD"/>
    <w:rsid w:val="000B5351"/>
    <w:rsid w:val="000B7B5A"/>
    <w:rsid w:val="000C03E5"/>
    <w:rsid w:val="000C1B34"/>
    <w:rsid w:val="000C29FF"/>
    <w:rsid w:val="000C3FF6"/>
    <w:rsid w:val="000C4453"/>
    <w:rsid w:val="000C54A3"/>
    <w:rsid w:val="000C7623"/>
    <w:rsid w:val="000C7714"/>
    <w:rsid w:val="000C77C6"/>
    <w:rsid w:val="000C7C04"/>
    <w:rsid w:val="000D0395"/>
    <w:rsid w:val="000D07EC"/>
    <w:rsid w:val="000D3A03"/>
    <w:rsid w:val="000D4D96"/>
    <w:rsid w:val="000D6BE2"/>
    <w:rsid w:val="000D7676"/>
    <w:rsid w:val="000D795B"/>
    <w:rsid w:val="000E08B8"/>
    <w:rsid w:val="000E133C"/>
    <w:rsid w:val="000E1C85"/>
    <w:rsid w:val="000E48C2"/>
    <w:rsid w:val="000E5076"/>
    <w:rsid w:val="000E59A1"/>
    <w:rsid w:val="000E663A"/>
    <w:rsid w:val="000F1BBF"/>
    <w:rsid w:val="000F2EB3"/>
    <w:rsid w:val="000F4A82"/>
    <w:rsid w:val="000F56A8"/>
    <w:rsid w:val="000F71B5"/>
    <w:rsid w:val="000F7209"/>
    <w:rsid w:val="000F7FE2"/>
    <w:rsid w:val="0010152C"/>
    <w:rsid w:val="00101832"/>
    <w:rsid w:val="00103A1C"/>
    <w:rsid w:val="00104E08"/>
    <w:rsid w:val="00105562"/>
    <w:rsid w:val="00107249"/>
    <w:rsid w:val="00107391"/>
    <w:rsid w:val="001073CC"/>
    <w:rsid w:val="001079AD"/>
    <w:rsid w:val="00107A49"/>
    <w:rsid w:val="00110202"/>
    <w:rsid w:val="001110FC"/>
    <w:rsid w:val="00112892"/>
    <w:rsid w:val="00114D4B"/>
    <w:rsid w:val="00114DDF"/>
    <w:rsid w:val="00115AAD"/>
    <w:rsid w:val="001200D5"/>
    <w:rsid w:val="00124762"/>
    <w:rsid w:val="00125763"/>
    <w:rsid w:val="00126630"/>
    <w:rsid w:val="00127CCA"/>
    <w:rsid w:val="00130642"/>
    <w:rsid w:val="001306E4"/>
    <w:rsid w:val="00130BA7"/>
    <w:rsid w:val="00136083"/>
    <w:rsid w:val="00136B81"/>
    <w:rsid w:val="00141F78"/>
    <w:rsid w:val="00143967"/>
    <w:rsid w:val="00147E1D"/>
    <w:rsid w:val="00150789"/>
    <w:rsid w:val="00151D19"/>
    <w:rsid w:val="00152866"/>
    <w:rsid w:val="00153F8E"/>
    <w:rsid w:val="001543BC"/>
    <w:rsid w:val="0015575F"/>
    <w:rsid w:val="00161160"/>
    <w:rsid w:val="00161FC4"/>
    <w:rsid w:val="00163B98"/>
    <w:rsid w:val="00164D22"/>
    <w:rsid w:val="00166139"/>
    <w:rsid w:val="001667F0"/>
    <w:rsid w:val="00167F89"/>
    <w:rsid w:val="001701C4"/>
    <w:rsid w:val="00170E0A"/>
    <w:rsid w:val="00172089"/>
    <w:rsid w:val="001723BF"/>
    <w:rsid w:val="0017530C"/>
    <w:rsid w:val="0017555E"/>
    <w:rsid w:val="00175974"/>
    <w:rsid w:val="00177A27"/>
    <w:rsid w:val="00180BA9"/>
    <w:rsid w:val="00181791"/>
    <w:rsid w:val="00183275"/>
    <w:rsid w:val="00183ADD"/>
    <w:rsid w:val="00184E7E"/>
    <w:rsid w:val="00184FBA"/>
    <w:rsid w:val="00186B63"/>
    <w:rsid w:val="001870FE"/>
    <w:rsid w:val="001911CC"/>
    <w:rsid w:val="001934EE"/>
    <w:rsid w:val="00195DBD"/>
    <w:rsid w:val="001978F1"/>
    <w:rsid w:val="00197DA4"/>
    <w:rsid w:val="001A0542"/>
    <w:rsid w:val="001A1810"/>
    <w:rsid w:val="001A2131"/>
    <w:rsid w:val="001A2A37"/>
    <w:rsid w:val="001A2FF3"/>
    <w:rsid w:val="001A373A"/>
    <w:rsid w:val="001A3F7E"/>
    <w:rsid w:val="001A7913"/>
    <w:rsid w:val="001B3256"/>
    <w:rsid w:val="001B5099"/>
    <w:rsid w:val="001B5182"/>
    <w:rsid w:val="001B51A5"/>
    <w:rsid w:val="001B59CA"/>
    <w:rsid w:val="001B6BDC"/>
    <w:rsid w:val="001C06E4"/>
    <w:rsid w:val="001C085B"/>
    <w:rsid w:val="001C0C3F"/>
    <w:rsid w:val="001C2128"/>
    <w:rsid w:val="001C304B"/>
    <w:rsid w:val="001C56FB"/>
    <w:rsid w:val="001C731A"/>
    <w:rsid w:val="001D0631"/>
    <w:rsid w:val="001D064E"/>
    <w:rsid w:val="001D3401"/>
    <w:rsid w:val="001D54C7"/>
    <w:rsid w:val="001D6129"/>
    <w:rsid w:val="001D63C6"/>
    <w:rsid w:val="001D7D03"/>
    <w:rsid w:val="001E1C02"/>
    <w:rsid w:val="001E1E7C"/>
    <w:rsid w:val="001E39C4"/>
    <w:rsid w:val="001E5309"/>
    <w:rsid w:val="001E64BE"/>
    <w:rsid w:val="001F18E5"/>
    <w:rsid w:val="001F1B46"/>
    <w:rsid w:val="001F1F7D"/>
    <w:rsid w:val="001F20AB"/>
    <w:rsid w:val="001F2412"/>
    <w:rsid w:val="001F2CA8"/>
    <w:rsid w:val="001F501F"/>
    <w:rsid w:val="001F515B"/>
    <w:rsid w:val="0020054B"/>
    <w:rsid w:val="00201E21"/>
    <w:rsid w:val="00204C2A"/>
    <w:rsid w:val="00205361"/>
    <w:rsid w:val="00210B59"/>
    <w:rsid w:val="00212FE4"/>
    <w:rsid w:val="00213D2C"/>
    <w:rsid w:val="002155B0"/>
    <w:rsid w:val="00215922"/>
    <w:rsid w:val="00216459"/>
    <w:rsid w:val="00217AF2"/>
    <w:rsid w:val="00220538"/>
    <w:rsid w:val="00220958"/>
    <w:rsid w:val="00221545"/>
    <w:rsid w:val="00221D2C"/>
    <w:rsid w:val="00222F65"/>
    <w:rsid w:val="00223D0B"/>
    <w:rsid w:val="00225A44"/>
    <w:rsid w:val="00225FCB"/>
    <w:rsid w:val="00231269"/>
    <w:rsid w:val="0023264F"/>
    <w:rsid w:val="00233285"/>
    <w:rsid w:val="0023380E"/>
    <w:rsid w:val="002339A2"/>
    <w:rsid w:val="00233F88"/>
    <w:rsid w:val="00235FB4"/>
    <w:rsid w:val="00236E44"/>
    <w:rsid w:val="00241DDC"/>
    <w:rsid w:val="002435B5"/>
    <w:rsid w:val="002440EB"/>
    <w:rsid w:val="00244EEF"/>
    <w:rsid w:val="00247F45"/>
    <w:rsid w:val="00251066"/>
    <w:rsid w:val="00251B5A"/>
    <w:rsid w:val="00251C63"/>
    <w:rsid w:val="00253610"/>
    <w:rsid w:val="002556CA"/>
    <w:rsid w:val="00255927"/>
    <w:rsid w:val="00256193"/>
    <w:rsid w:val="0026164E"/>
    <w:rsid w:val="002622C2"/>
    <w:rsid w:val="0026271B"/>
    <w:rsid w:val="002629E7"/>
    <w:rsid w:val="00262BFA"/>
    <w:rsid w:val="002657BB"/>
    <w:rsid w:val="0026683E"/>
    <w:rsid w:val="00267670"/>
    <w:rsid w:val="00267A6D"/>
    <w:rsid w:val="002712E4"/>
    <w:rsid w:val="0027232C"/>
    <w:rsid w:val="00276F2E"/>
    <w:rsid w:val="002817BA"/>
    <w:rsid w:val="00281EF2"/>
    <w:rsid w:val="00283308"/>
    <w:rsid w:val="00286DC8"/>
    <w:rsid w:val="00290C42"/>
    <w:rsid w:val="002911CC"/>
    <w:rsid w:val="002937C6"/>
    <w:rsid w:val="00293DE5"/>
    <w:rsid w:val="002945B2"/>
    <w:rsid w:val="00294C51"/>
    <w:rsid w:val="00295078"/>
    <w:rsid w:val="00295C72"/>
    <w:rsid w:val="00295DE7"/>
    <w:rsid w:val="00296FC5"/>
    <w:rsid w:val="00297AB0"/>
    <w:rsid w:val="002A0448"/>
    <w:rsid w:val="002A2FDD"/>
    <w:rsid w:val="002A6CC7"/>
    <w:rsid w:val="002B0776"/>
    <w:rsid w:val="002B0A1D"/>
    <w:rsid w:val="002B0EF8"/>
    <w:rsid w:val="002B1708"/>
    <w:rsid w:val="002B2B69"/>
    <w:rsid w:val="002B393B"/>
    <w:rsid w:val="002B45EF"/>
    <w:rsid w:val="002B4950"/>
    <w:rsid w:val="002B56ED"/>
    <w:rsid w:val="002B62AF"/>
    <w:rsid w:val="002B7622"/>
    <w:rsid w:val="002C0C63"/>
    <w:rsid w:val="002C0F5C"/>
    <w:rsid w:val="002C4011"/>
    <w:rsid w:val="002C43FE"/>
    <w:rsid w:val="002C4537"/>
    <w:rsid w:val="002C4BC2"/>
    <w:rsid w:val="002C4EBB"/>
    <w:rsid w:val="002C4F45"/>
    <w:rsid w:val="002C6154"/>
    <w:rsid w:val="002C7992"/>
    <w:rsid w:val="002C7B5D"/>
    <w:rsid w:val="002D07B6"/>
    <w:rsid w:val="002D46BF"/>
    <w:rsid w:val="002D508B"/>
    <w:rsid w:val="002E3A07"/>
    <w:rsid w:val="002E4EC0"/>
    <w:rsid w:val="002E5744"/>
    <w:rsid w:val="002E6172"/>
    <w:rsid w:val="002E6B74"/>
    <w:rsid w:val="002E73B4"/>
    <w:rsid w:val="002F14ED"/>
    <w:rsid w:val="002F1C4D"/>
    <w:rsid w:val="002F2653"/>
    <w:rsid w:val="002F3A84"/>
    <w:rsid w:val="002F411A"/>
    <w:rsid w:val="002F5A90"/>
    <w:rsid w:val="002F652D"/>
    <w:rsid w:val="002F700E"/>
    <w:rsid w:val="002F74CE"/>
    <w:rsid w:val="002F773A"/>
    <w:rsid w:val="002F78E8"/>
    <w:rsid w:val="003002F7"/>
    <w:rsid w:val="00302359"/>
    <w:rsid w:val="00302787"/>
    <w:rsid w:val="00302C06"/>
    <w:rsid w:val="00302FBC"/>
    <w:rsid w:val="00306B09"/>
    <w:rsid w:val="0030711C"/>
    <w:rsid w:val="0031046F"/>
    <w:rsid w:val="0031090D"/>
    <w:rsid w:val="00312F96"/>
    <w:rsid w:val="00313AFB"/>
    <w:rsid w:val="00314023"/>
    <w:rsid w:val="00314587"/>
    <w:rsid w:val="003156AE"/>
    <w:rsid w:val="00321D72"/>
    <w:rsid w:val="00322AE2"/>
    <w:rsid w:val="00323623"/>
    <w:rsid w:val="00323995"/>
    <w:rsid w:val="00323CFF"/>
    <w:rsid w:val="0033030C"/>
    <w:rsid w:val="0033087F"/>
    <w:rsid w:val="003339C3"/>
    <w:rsid w:val="00333C7C"/>
    <w:rsid w:val="003349F4"/>
    <w:rsid w:val="00335047"/>
    <w:rsid w:val="00336346"/>
    <w:rsid w:val="003404F0"/>
    <w:rsid w:val="00340B86"/>
    <w:rsid w:val="0034164E"/>
    <w:rsid w:val="00345118"/>
    <w:rsid w:val="00345781"/>
    <w:rsid w:val="00346CC6"/>
    <w:rsid w:val="00347274"/>
    <w:rsid w:val="00351CB7"/>
    <w:rsid w:val="00352FCD"/>
    <w:rsid w:val="003537DE"/>
    <w:rsid w:val="003543B2"/>
    <w:rsid w:val="003545B0"/>
    <w:rsid w:val="003555AA"/>
    <w:rsid w:val="003557C1"/>
    <w:rsid w:val="00355B75"/>
    <w:rsid w:val="0035716F"/>
    <w:rsid w:val="0036086E"/>
    <w:rsid w:val="00361521"/>
    <w:rsid w:val="003633DD"/>
    <w:rsid w:val="00363BA1"/>
    <w:rsid w:val="003655C3"/>
    <w:rsid w:val="00366C6B"/>
    <w:rsid w:val="0036735C"/>
    <w:rsid w:val="00367CE5"/>
    <w:rsid w:val="00371FC9"/>
    <w:rsid w:val="0037225D"/>
    <w:rsid w:val="003729E8"/>
    <w:rsid w:val="00374729"/>
    <w:rsid w:val="00374C7D"/>
    <w:rsid w:val="003779E9"/>
    <w:rsid w:val="0038071A"/>
    <w:rsid w:val="00382014"/>
    <w:rsid w:val="00382699"/>
    <w:rsid w:val="0039167A"/>
    <w:rsid w:val="003923B6"/>
    <w:rsid w:val="003934CA"/>
    <w:rsid w:val="00394018"/>
    <w:rsid w:val="00396A6F"/>
    <w:rsid w:val="00397AE0"/>
    <w:rsid w:val="003A11DD"/>
    <w:rsid w:val="003A19EE"/>
    <w:rsid w:val="003A2B96"/>
    <w:rsid w:val="003A5A6E"/>
    <w:rsid w:val="003A6186"/>
    <w:rsid w:val="003A7A6D"/>
    <w:rsid w:val="003A7E31"/>
    <w:rsid w:val="003B62A2"/>
    <w:rsid w:val="003B72E9"/>
    <w:rsid w:val="003C4A79"/>
    <w:rsid w:val="003C5460"/>
    <w:rsid w:val="003C55F5"/>
    <w:rsid w:val="003C5A54"/>
    <w:rsid w:val="003D00F8"/>
    <w:rsid w:val="003D1883"/>
    <w:rsid w:val="003D18A4"/>
    <w:rsid w:val="003D489B"/>
    <w:rsid w:val="003D48A3"/>
    <w:rsid w:val="003D5E12"/>
    <w:rsid w:val="003D61B0"/>
    <w:rsid w:val="003D70ED"/>
    <w:rsid w:val="003E0A67"/>
    <w:rsid w:val="003E2873"/>
    <w:rsid w:val="003E5D8A"/>
    <w:rsid w:val="003E5DB7"/>
    <w:rsid w:val="003E694A"/>
    <w:rsid w:val="003E6D0E"/>
    <w:rsid w:val="003F0247"/>
    <w:rsid w:val="003F09F0"/>
    <w:rsid w:val="003F2BA9"/>
    <w:rsid w:val="003F3041"/>
    <w:rsid w:val="003F3496"/>
    <w:rsid w:val="003F4105"/>
    <w:rsid w:val="003F52B0"/>
    <w:rsid w:val="003F52C2"/>
    <w:rsid w:val="003F58C3"/>
    <w:rsid w:val="003F5CBA"/>
    <w:rsid w:val="003F6844"/>
    <w:rsid w:val="003F733C"/>
    <w:rsid w:val="003F7BD3"/>
    <w:rsid w:val="0040233B"/>
    <w:rsid w:val="00404666"/>
    <w:rsid w:val="004053FB"/>
    <w:rsid w:val="00410650"/>
    <w:rsid w:val="004106C1"/>
    <w:rsid w:val="004126F7"/>
    <w:rsid w:val="004140B9"/>
    <w:rsid w:val="00414AE6"/>
    <w:rsid w:val="00414EE8"/>
    <w:rsid w:val="0042006D"/>
    <w:rsid w:val="0042327C"/>
    <w:rsid w:val="00423786"/>
    <w:rsid w:val="00423D1D"/>
    <w:rsid w:val="00424241"/>
    <w:rsid w:val="00431366"/>
    <w:rsid w:val="00431E02"/>
    <w:rsid w:val="0043317E"/>
    <w:rsid w:val="00433345"/>
    <w:rsid w:val="00434264"/>
    <w:rsid w:val="0043442A"/>
    <w:rsid w:val="00436503"/>
    <w:rsid w:val="0043669C"/>
    <w:rsid w:val="00437F59"/>
    <w:rsid w:val="004402E2"/>
    <w:rsid w:val="00441BF3"/>
    <w:rsid w:val="004436ED"/>
    <w:rsid w:val="00443FE0"/>
    <w:rsid w:val="004440AC"/>
    <w:rsid w:val="004443A2"/>
    <w:rsid w:val="00444919"/>
    <w:rsid w:val="0044547C"/>
    <w:rsid w:val="00446BB3"/>
    <w:rsid w:val="00450869"/>
    <w:rsid w:val="00450F57"/>
    <w:rsid w:val="00451F5B"/>
    <w:rsid w:val="00453028"/>
    <w:rsid w:val="00453918"/>
    <w:rsid w:val="004542CF"/>
    <w:rsid w:val="00455768"/>
    <w:rsid w:val="00456E2C"/>
    <w:rsid w:val="00457077"/>
    <w:rsid w:val="00457FC7"/>
    <w:rsid w:val="00460450"/>
    <w:rsid w:val="00461B3D"/>
    <w:rsid w:val="00462197"/>
    <w:rsid w:val="00462417"/>
    <w:rsid w:val="0046385D"/>
    <w:rsid w:val="00463A5F"/>
    <w:rsid w:val="00464624"/>
    <w:rsid w:val="00465E62"/>
    <w:rsid w:val="00467311"/>
    <w:rsid w:val="004677F9"/>
    <w:rsid w:val="004716B0"/>
    <w:rsid w:val="004716C4"/>
    <w:rsid w:val="00471D85"/>
    <w:rsid w:val="00472460"/>
    <w:rsid w:val="004731D0"/>
    <w:rsid w:val="0047775E"/>
    <w:rsid w:val="00482683"/>
    <w:rsid w:val="00482731"/>
    <w:rsid w:val="0048286C"/>
    <w:rsid w:val="00482FF1"/>
    <w:rsid w:val="00483A0F"/>
    <w:rsid w:val="00484625"/>
    <w:rsid w:val="0048589D"/>
    <w:rsid w:val="004879E2"/>
    <w:rsid w:val="00487F15"/>
    <w:rsid w:val="004912A0"/>
    <w:rsid w:val="004914EE"/>
    <w:rsid w:val="004928DE"/>
    <w:rsid w:val="00493E2F"/>
    <w:rsid w:val="00493F81"/>
    <w:rsid w:val="00494CB5"/>
    <w:rsid w:val="004954D8"/>
    <w:rsid w:val="0049576C"/>
    <w:rsid w:val="004967BB"/>
    <w:rsid w:val="004A0292"/>
    <w:rsid w:val="004A0EA8"/>
    <w:rsid w:val="004A14D9"/>
    <w:rsid w:val="004A21F6"/>
    <w:rsid w:val="004A2265"/>
    <w:rsid w:val="004A4B61"/>
    <w:rsid w:val="004A6EFE"/>
    <w:rsid w:val="004B1858"/>
    <w:rsid w:val="004B2540"/>
    <w:rsid w:val="004B3D11"/>
    <w:rsid w:val="004B42A7"/>
    <w:rsid w:val="004B455B"/>
    <w:rsid w:val="004B58C3"/>
    <w:rsid w:val="004B675F"/>
    <w:rsid w:val="004B72C5"/>
    <w:rsid w:val="004B7A1B"/>
    <w:rsid w:val="004C08BF"/>
    <w:rsid w:val="004C1C07"/>
    <w:rsid w:val="004C3804"/>
    <w:rsid w:val="004C45A2"/>
    <w:rsid w:val="004C56DE"/>
    <w:rsid w:val="004C6C1E"/>
    <w:rsid w:val="004C7629"/>
    <w:rsid w:val="004C7701"/>
    <w:rsid w:val="004D0A26"/>
    <w:rsid w:val="004D0EE4"/>
    <w:rsid w:val="004D1BDE"/>
    <w:rsid w:val="004D482C"/>
    <w:rsid w:val="004D5AC0"/>
    <w:rsid w:val="004D5FEF"/>
    <w:rsid w:val="004D6770"/>
    <w:rsid w:val="004D764F"/>
    <w:rsid w:val="004E1A77"/>
    <w:rsid w:val="004E1EBF"/>
    <w:rsid w:val="004E27AD"/>
    <w:rsid w:val="004E40F5"/>
    <w:rsid w:val="004E4987"/>
    <w:rsid w:val="004E585B"/>
    <w:rsid w:val="004F1094"/>
    <w:rsid w:val="004F2200"/>
    <w:rsid w:val="004F227C"/>
    <w:rsid w:val="004F3B64"/>
    <w:rsid w:val="004F5243"/>
    <w:rsid w:val="005000FC"/>
    <w:rsid w:val="00500247"/>
    <w:rsid w:val="00500FE4"/>
    <w:rsid w:val="00503077"/>
    <w:rsid w:val="005037D5"/>
    <w:rsid w:val="00505B26"/>
    <w:rsid w:val="0050606E"/>
    <w:rsid w:val="00507449"/>
    <w:rsid w:val="005078E2"/>
    <w:rsid w:val="0051018D"/>
    <w:rsid w:val="005104CE"/>
    <w:rsid w:val="00511092"/>
    <w:rsid w:val="00511602"/>
    <w:rsid w:val="005134B4"/>
    <w:rsid w:val="00513C7D"/>
    <w:rsid w:val="005158DE"/>
    <w:rsid w:val="005164B6"/>
    <w:rsid w:val="00516E6A"/>
    <w:rsid w:val="00520010"/>
    <w:rsid w:val="00520301"/>
    <w:rsid w:val="005206C8"/>
    <w:rsid w:val="005218EA"/>
    <w:rsid w:val="00521EE1"/>
    <w:rsid w:val="00523390"/>
    <w:rsid w:val="00523435"/>
    <w:rsid w:val="0052414D"/>
    <w:rsid w:val="005245C4"/>
    <w:rsid w:val="005247FB"/>
    <w:rsid w:val="0052725A"/>
    <w:rsid w:val="005276A7"/>
    <w:rsid w:val="0053002A"/>
    <w:rsid w:val="00531ABD"/>
    <w:rsid w:val="00532D92"/>
    <w:rsid w:val="005332A3"/>
    <w:rsid w:val="00533DC5"/>
    <w:rsid w:val="00534304"/>
    <w:rsid w:val="00535240"/>
    <w:rsid w:val="00535560"/>
    <w:rsid w:val="0053609F"/>
    <w:rsid w:val="00541397"/>
    <w:rsid w:val="005413A9"/>
    <w:rsid w:val="00541AEE"/>
    <w:rsid w:val="00541BA8"/>
    <w:rsid w:val="00542D8A"/>
    <w:rsid w:val="00544117"/>
    <w:rsid w:val="005446DA"/>
    <w:rsid w:val="00544DBC"/>
    <w:rsid w:val="00544E0A"/>
    <w:rsid w:val="00544F9E"/>
    <w:rsid w:val="00546B33"/>
    <w:rsid w:val="00546D9F"/>
    <w:rsid w:val="005479D6"/>
    <w:rsid w:val="00550E9A"/>
    <w:rsid w:val="00551261"/>
    <w:rsid w:val="005515DC"/>
    <w:rsid w:val="00551BA4"/>
    <w:rsid w:val="00552D59"/>
    <w:rsid w:val="005556E4"/>
    <w:rsid w:val="00556A81"/>
    <w:rsid w:val="00557F71"/>
    <w:rsid w:val="005624EC"/>
    <w:rsid w:val="00564711"/>
    <w:rsid w:val="00565483"/>
    <w:rsid w:val="0056588E"/>
    <w:rsid w:val="00571391"/>
    <w:rsid w:val="00571D92"/>
    <w:rsid w:val="00573949"/>
    <w:rsid w:val="00573ECF"/>
    <w:rsid w:val="00577287"/>
    <w:rsid w:val="0057738E"/>
    <w:rsid w:val="0057776A"/>
    <w:rsid w:val="005777E0"/>
    <w:rsid w:val="0058269D"/>
    <w:rsid w:val="0058439D"/>
    <w:rsid w:val="00585149"/>
    <w:rsid w:val="00585376"/>
    <w:rsid w:val="00585C24"/>
    <w:rsid w:val="00586825"/>
    <w:rsid w:val="0058743A"/>
    <w:rsid w:val="005875A9"/>
    <w:rsid w:val="005921E5"/>
    <w:rsid w:val="00592755"/>
    <w:rsid w:val="00593DB7"/>
    <w:rsid w:val="00594366"/>
    <w:rsid w:val="00594BC5"/>
    <w:rsid w:val="00595381"/>
    <w:rsid w:val="005954E9"/>
    <w:rsid w:val="005A0040"/>
    <w:rsid w:val="005A232E"/>
    <w:rsid w:val="005A323B"/>
    <w:rsid w:val="005A4A35"/>
    <w:rsid w:val="005A6845"/>
    <w:rsid w:val="005A7C3F"/>
    <w:rsid w:val="005B087C"/>
    <w:rsid w:val="005B112F"/>
    <w:rsid w:val="005B500E"/>
    <w:rsid w:val="005B6938"/>
    <w:rsid w:val="005B6F32"/>
    <w:rsid w:val="005B7350"/>
    <w:rsid w:val="005C5799"/>
    <w:rsid w:val="005C5929"/>
    <w:rsid w:val="005D0EF3"/>
    <w:rsid w:val="005D117C"/>
    <w:rsid w:val="005D1DF5"/>
    <w:rsid w:val="005D45A0"/>
    <w:rsid w:val="005D6415"/>
    <w:rsid w:val="005D7248"/>
    <w:rsid w:val="005E0300"/>
    <w:rsid w:val="005E15A3"/>
    <w:rsid w:val="005E234E"/>
    <w:rsid w:val="005E35A0"/>
    <w:rsid w:val="005E4A3D"/>
    <w:rsid w:val="005E4F05"/>
    <w:rsid w:val="005E5859"/>
    <w:rsid w:val="005E5DC1"/>
    <w:rsid w:val="005E67EC"/>
    <w:rsid w:val="005E75E4"/>
    <w:rsid w:val="005F178D"/>
    <w:rsid w:val="005F2060"/>
    <w:rsid w:val="005F2D0F"/>
    <w:rsid w:val="005F44D2"/>
    <w:rsid w:val="005F4C5D"/>
    <w:rsid w:val="005F4DCE"/>
    <w:rsid w:val="005F53FC"/>
    <w:rsid w:val="005F5725"/>
    <w:rsid w:val="005F5800"/>
    <w:rsid w:val="00600733"/>
    <w:rsid w:val="006010BF"/>
    <w:rsid w:val="00601296"/>
    <w:rsid w:val="00601B42"/>
    <w:rsid w:val="006031FE"/>
    <w:rsid w:val="00603E10"/>
    <w:rsid w:val="00604741"/>
    <w:rsid w:val="006047FC"/>
    <w:rsid w:val="006048D2"/>
    <w:rsid w:val="00604979"/>
    <w:rsid w:val="0060516C"/>
    <w:rsid w:val="00605233"/>
    <w:rsid w:val="006077EB"/>
    <w:rsid w:val="006079C9"/>
    <w:rsid w:val="006100A1"/>
    <w:rsid w:val="006104BE"/>
    <w:rsid w:val="00611F9E"/>
    <w:rsid w:val="0061214B"/>
    <w:rsid w:val="006143B9"/>
    <w:rsid w:val="00614DBE"/>
    <w:rsid w:val="0061521D"/>
    <w:rsid w:val="006156C2"/>
    <w:rsid w:val="0061663A"/>
    <w:rsid w:val="006168AB"/>
    <w:rsid w:val="00620899"/>
    <w:rsid w:val="00623DDC"/>
    <w:rsid w:val="00623EA3"/>
    <w:rsid w:val="006240A2"/>
    <w:rsid w:val="00624BDB"/>
    <w:rsid w:val="00625AFD"/>
    <w:rsid w:val="00625E1B"/>
    <w:rsid w:val="00627B5D"/>
    <w:rsid w:val="00627DE4"/>
    <w:rsid w:val="006302FD"/>
    <w:rsid w:val="0063047C"/>
    <w:rsid w:val="006305DC"/>
    <w:rsid w:val="00631C13"/>
    <w:rsid w:val="006325BB"/>
    <w:rsid w:val="00633AB7"/>
    <w:rsid w:val="0063429F"/>
    <w:rsid w:val="00634485"/>
    <w:rsid w:val="006345A0"/>
    <w:rsid w:val="006354DC"/>
    <w:rsid w:val="00635FC2"/>
    <w:rsid w:val="00637C16"/>
    <w:rsid w:val="00641ACA"/>
    <w:rsid w:val="00643299"/>
    <w:rsid w:val="006445D2"/>
    <w:rsid w:val="0064661F"/>
    <w:rsid w:val="00647094"/>
    <w:rsid w:val="006505D9"/>
    <w:rsid w:val="00655B83"/>
    <w:rsid w:val="00655F33"/>
    <w:rsid w:val="00656C59"/>
    <w:rsid w:val="006619ED"/>
    <w:rsid w:val="006647A8"/>
    <w:rsid w:val="00666655"/>
    <w:rsid w:val="0067084D"/>
    <w:rsid w:val="006747B5"/>
    <w:rsid w:val="00675974"/>
    <w:rsid w:val="00676EF6"/>
    <w:rsid w:val="00677213"/>
    <w:rsid w:val="00677D09"/>
    <w:rsid w:val="006803E8"/>
    <w:rsid w:val="00681E83"/>
    <w:rsid w:val="00682656"/>
    <w:rsid w:val="00683607"/>
    <w:rsid w:val="00683A2C"/>
    <w:rsid w:val="00683EAC"/>
    <w:rsid w:val="00684EF6"/>
    <w:rsid w:val="00685046"/>
    <w:rsid w:val="00685783"/>
    <w:rsid w:val="00686279"/>
    <w:rsid w:val="00686A8A"/>
    <w:rsid w:val="00686B80"/>
    <w:rsid w:val="006878A4"/>
    <w:rsid w:val="00691B06"/>
    <w:rsid w:val="00695056"/>
    <w:rsid w:val="006954F2"/>
    <w:rsid w:val="006957B8"/>
    <w:rsid w:val="006A03CD"/>
    <w:rsid w:val="006A06FE"/>
    <w:rsid w:val="006A17D0"/>
    <w:rsid w:val="006A189D"/>
    <w:rsid w:val="006A42D4"/>
    <w:rsid w:val="006A4E98"/>
    <w:rsid w:val="006A737B"/>
    <w:rsid w:val="006A77F3"/>
    <w:rsid w:val="006A7829"/>
    <w:rsid w:val="006B13E3"/>
    <w:rsid w:val="006B2A9B"/>
    <w:rsid w:val="006B2BA6"/>
    <w:rsid w:val="006B3E26"/>
    <w:rsid w:val="006B432D"/>
    <w:rsid w:val="006B4A50"/>
    <w:rsid w:val="006B4B65"/>
    <w:rsid w:val="006B537E"/>
    <w:rsid w:val="006B6513"/>
    <w:rsid w:val="006C0620"/>
    <w:rsid w:val="006C065D"/>
    <w:rsid w:val="006C1A47"/>
    <w:rsid w:val="006C1A73"/>
    <w:rsid w:val="006C24A5"/>
    <w:rsid w:val="006C24CD"/>
    <w:rsid w:val="006C42A7"/>
    <w:rsid w:val="006C60B5"/>
    <w:rsid w:val="006C7D68"/>
    <w:rsid w:val="006D16CB"/>
    <w:rsid w:val="006D1A5E"/>
    <w:rsid w:val="006D25FC"/>
    <w:rsid w:val="006D2F39"/>
    <w:rsid w:val="006D3F2C"/>
    <w:rsid w:val="006D64F9"/>
    <w:rsid w:val="006D7A2C"/>
    <w:rsid w:val="006E0D87"/>
    <w:rsid w:val="006E13E8"/>
    <w:rsid w:val="006E1421"/>
    <w:rsid w:val="006E34B6"/>
    <w:rsid w:val="006E5FB5"/>
    <w:rsid w:val="006E6278"/>
    <w:rsid w:val="006E6389"/>
    <w:rsid w:val="006E65F1"/>
    <w:rsid w:val="006E662E"/>
    <w:rsid w:val="006E69AA"/>
    <w:rsid w:val="006F1C74"/>
    <w:rsid w:val="006F30F8"/>
    <w:rsid w:val="006F3144"/>
    <w:rsid w:val="006F3CA9"/>
    <w:rsid w:val="006F5B9E"/>
    <w:rsid w:val="006F6E1B"/>
    <w:rsid w:val="00700C41"/>
    <w:rsid w:val="00701BE4"/>
    <w:rsid w:val="00702CB3"/>
    <w:rsid w:val="00702F14"/>
    <w:rsid w:val="00703E92"/>
    <w:rsid w:val="00704C3C"/>
    <w:rsid w:val="00704E70"/>
    <w:rsid w:val="007061DF"/>
    <w:rsid w:val="00706475"/>
    <w:rsid w:val="007112A9"/>
    <w:rsid w:val="00711B09"/>
    <w:rsid w:val="00712516"/>
    <w:rsid w:val="0071646D"/>
    <w:rsid w:val="00716CE1"/>
    <w:rsid w:val="0072358C"/>
    <w:rsid w:val="00726FA5"/>
    <w:rsid w:val="00730313"/>
    <w:rsid w:val="00730BC4"/>
    <w:rsid w:val="00731841"/>
    <w:rsid w:val="00731D9B"/>
    <w:rsid w:val="00731F23"/>
    <w:rsid w:val="00733CB7"/>
    <w:rsid w:val="007343D5"/>
    <w:rsid w:val="00734A8B"/>
    <w:rsid w:val="00735210"/>
    <w:rsid w:val="007352AB"/>
    <w:rsid w:val="00735B0D"/>
    <w:rsid w:val="00736C06"/>
    <w:rsid w:val="007401BB"/>
    <w:rsid w:val="00740BCB"/>
    <w:rsid w:val="00740E5C"/>
    <w:rsid w:val="007417EA"/>
    <w:rsid w:val="00741FEA"/>
    <w:rsid w:val="0074244D"/>
    <w:rsid w:val="007438D2"/>
    <w:rsid w:val="007446D8"/>
    <w:rsid w:val="00744736"/>
    <w:rsid w:val="00746F1A"/>
    <w:rsid w:val="00750F05"/>
    <w:rsid w:val="00751311"/>
    <w:rsid w:val="00751395"/>
    <w:rsid w:val="00751E19"/>
    <w:rsid w:val="0075239A"/>
    <w:rsid w:val="00757243"/>
    <w:rsid w:val="00757444"/>
    <w:rsid w:val="00757F23"/>
    <w:rsid w:val="00764B6A"/>
    <w:rsid w:val="007677C8"/>
    <w:rsid w:val="00767912"/>
    <w:rsid w:val="007709DE"/>
    <w:rsid w:val="00770CC8"/>
    <w:rsid w:val="00770E29"/>
    <w:rsid w:val="0077203A"/>
    <w:rsid w:val="0077266E"/>
    <w:rsid w:val="00773601"/>
    <w:rsid w:val="00773EA1"/>
    <w:rsid w:val="007753ED"/>
    <w:rsid w:val="00775CB2"/>
    <w:rsid w:val="0077689F"/>
    <w:rsid w:val="007811DC"/>
    <w:rsid w:val="00782D4B"/>
    <w:rsid w:val="00782DD9"/>
    <w:rsid w:val="007830E3"/>
    <w:rsid w:val="00784021"/>
    <w:rsid w:val="00785112"/>
    <w:rsid w:val="007855C7"/>
    <w:rsid w:val="00787DB5"/>
    <w:rsid w:val="007914D5"/>
    <w:rsid w:val="00794305"/>
    <w:rsid w:val="007958CD"/>
    <w:rsid w:val="007A02EB"/>
    <w:rsid w:val="007A11F1"/>
    <w:rsid w:val="007A35F6"/>
    <w:rsid w:val="007A4E83"/>
    <w:rsid w:val="007A5F1A"/>
    <w:rsid w:val="007A7693"/>
    <w:rsid w:val="007B4CA8"/>
    <w:rsid w:val="007B5B76"/>
    <w:rsid w:val="007B7166"/>
    <w:rsid w:val="007B755C"/>
    <w:rsid w:val="007C025F"/>
    <w:rsid w:val="007C09AA"/>
    <w:rsid w:val="007C0AFD"/>
    <w:rsid w:val="007C15E1"/>
    <w:rsid w:val="007C20AF"/>
    <w:rsid w:val="007C2204"/>
    <w:rsid w:val="007C3D29"/>
    <w:rsid w:val="007C3E67"/>
    <w:rsid w:val="007C4021"/>
    <w:rsid w:val="007C4F2D"/>
    <w:rsid w:val="007C6783"/>
    <w:rsid w:val="007C6937"/>
    <w:rsid w:val="007C74F2"/>
    <w:rsid w:val="007C7E5A"/>
    <w:rsid w:val="007D0C6E"/>
    <w:rsid w:val="007D112D"/>
    <w:rsid w:val="007D13D5"/>
    <w:rsid w:val="007D1598"/>
    <w:rsid w:val="007D331E"/>
    <w:rsid w:val="007D4945"/>
    <w:rsid w:val="007D5376"/>
    <w:rsid w:val="007D55DE"/>
    <w:rsid w:val="007D5B23"/>
    <w:rsid w:val="007D7334"/>
    <w:rsid w:val="007E07A7"/>
    <w:rsid w:val="007E1EB2"/>
    <w:rsid w:val="007E24F8"/>
    <w:rsid w:val="007E3963"/>
    <w:rsid w:val="007E64E0"/>
    <w:rsid w:val="007E6A21"/>
    <w:rsid w:val="007F1525"/>
    <w:rsid w:val="007F18A3"/>
    <w:rsid w:val="007F36DE"/>
    <w:rsid w:val="007F528B"/>
    <w:rsid w:val="007F61DA"/>
    <w:rsid w:val="00800475"/>
    <w:rsid w:val="00800611"/>
    <w:rsid w:val="00800DDC"/>
    <w:rsid w:val="00801983"/>
    <w:rsid w:val="00801D34"/>
    <w:rsid w:val="00802FE8"/>
    <w:rsid w:val="00805A48"/>
    <w:rsid w:val="008063E2"/>
    <w:rsid w:val="00806A83"/>
    <w:rsid w:val="00807739"/>
    <w:rsid w:val="008100C2"/>
    <w:rsid w:val="00810126"/>
    <w:rsid w:val="00810A48"/>
    <w:rsid w:val="00811637"/>
    <w:rsid w:val="00814930"/>
    <w:rsid w:val="0081609E"/>
    <w:rsid w:val="00820139"/>
    <w:rsid w:val="0082072E"/>
    <w:rsid w:val="008207CA"/>
    <w:rsid w:val="008223A5"/>
    <w:rsid w:val="008228A2"/>
    <w:rsid w:val="008230CE"/>
    <w:rsid w:val="008235DE"/>
    <w:rsid w:val="008254D3"/>
    <w:rsid w:val="00825CA4"/>
    <w:rsid w:val="00827352"/>
    <w:rsid w:val="00830B87"/>
    <w:rsid w:val="00832A75"/>
    <w:rsid w:val="00832F74"/>
    <w:rsid w:val="00833175"/>
    <w:rsid w:val="008331EF"/>
    <w:rsid w:val="00833271"/>
    <w:rsid w:val="0083402A"/>
    <w:rsid w:val="00835546"/>
    <w:rsid w:val="00835741"/>
    <w:rsid w:val="008367D9"/>
    <w:rsid w:val="00836AD8"/>
    <w:rsid w:val="00837520"/>
    <w:rsid w:val="00837706"/>
    <w:rsid w:val="00840982"/>
    <w:rsid w:val="008409C2"/>
    <w:rsid w:val="008422A0"/>
    <w:rsid w:val="0084270E"/>
    <w:rsid w:val="00842C37"/>
    <w:rsid w:val="00843C46"/>
    <w:rsid w:val="008442E6"/>
    <w:rsid w:val="00844945"/>
    <w:rsid w:val="0084543B"/>
    <w:rsid w:val="00845701"/>
    <w:rsid w:val="00846E76"/>
    <w:rsid w:val="0084711A"/>
    <w:rsid w:val="00851F8C"/>
    <w:rsid w:val="008520A2"/>
    <w:rsid w:val="00852CE9"/>
    <w:rsid w:val="00855F8A"/>
    <w:rsid w:val="00856585"/>
    <w:rsid w:val="00856F7A"/>
    <w:rsid w:val="00857279"/>
    <w:rsid w:val="0085736B"/>
    <w:rsid w:val="00857B52"/>
    <w:rsid w:val="00860608"/>
    <w:rsid w:val="00861B32"/>
    <w:rsid w:val="00861DD8"/>
    <w:rsid w:val="008665F8"/>
    <w:rsid w:val="008679FF"/>
    <w:rsid w:val="00867C9A"/>
    <w:rsid w:val="008701A1"/>
    <w:rsid w:val="0087119D"/>
    <w:rsid w:val="008718F3"/>
    <w:rsid w:val="0087246B"/>
    <w:rsid w:val="00872D3B"/>
    <w:rsid w:val="00873B3E"/>
    <w:rsid w:val="00873E6D"/>
    <w:rsid w:val="00874685"/>
    <w:rsid w:val="00874DC9"/>
    <w:rsid w:val="0087561C"/>
    <w:rsid w:val="00875E79"/>
    <w:rsid w:val="00876615"/>
    <w:rsid w:val="0088137B"/>
    <w:rsid w:val="00881B09"/>
    <w:rsid w:val="00882131"/>
    <w:rsid w:val="0088510A"/>
    <w:rsid w:val="00885CAF"/>
    <w:rsid w:val="00885CB3"/>
    <w:rsid w:val="00885D71"/>
    <w:rsid w:val="008860BB"/>
    <w:rsid w:val="00886BFC"/>
    <w:rsid w:val="00887493"/>
    <w:rsid w:val="008900BC"/>
    <w:rsid w:val="008902B7"/>
    <w:rsid w:val="00890A84"/>
    <w:rsid w:val="0089164B"/>
    <w:rsid w:val="00891778"/>
    <w:rsid w:val="00891E4A"/>
    <w:rsid w:val="00892AFC"/>
    <w:rsid w:val="00893430"/>
    <w:rsid w:val="0089436A"/>
    <w:rsid w:val="00895C62"/>
    <w:rsid w:val="0089728F"/>
    <w:rsid w:val="008A0C05"/>
    <w:rsid w:val="008A0CFD"/>
    <w:rsid w:val="008A42B0"/>
    <w:rsid w:val="008A4982"/>
    <w:rsid w:val="008A6085"/>
    <w:rsid w:val="008A663F"/>
    <w:rsid w:val="008A7BE3"/>
    <w:rsid w:val="008B0803"/>
    <w:rsid w:val="008B1273"/>
    <w:rsid w:val="008B187E"/>
    <w:rsid w:val="008B36C5"/>
    <w:rsid w:val="008B542E"/>
    <w:rsid w:val="008B590E"/>
    <w:rsid w:val="008B5987"/>
    <w:rsid w:val="008B5BE2"/>
    <w:rsid w:val="008B5E96"/>
    <w:rsid w:val="008C04B3"/>
    <w:rsid w:val="008C0694"/>
    <w:rsid w:val="008C06D5"/>
    <w:rsid w:val="008C3158"/>
    <w:rsid w:val="008C3963"/>
    <w:rsid w:val="008C4CFE"/>
    <w:rsid w:val="008C6732"/>
    <w:rsid w:val="008D033C"/>
    <w:rsid w:val="008D0B33"/>
    <w:rsid w:val="008D0D25"/>
    <w:rsid w:val="008D1526"/>
    <w:rsid w:val="008D1B95"/>
    <w:rsid w:val="008D2273"/>
    <w:rsid w:val="008D4B2A"/>
    <w:rsid w:val="008D75E7"/>
    <w:rsid w:val="008E094D"/>
    <w:rsid w:val="008E176A"/>
    <w:rsid w:val="008E2822"/>
    <w:rsid w:val="008E2982"/>
    <w:rsid w:val="008E4713"/>
    <w:rsid w:val="008E4892"/>
    <w:rsid w:val="008E4F15"/>
    <w:rsid w:val="008E5BC1"/>
    <w:rsid w:val="008E7698"/>
    <w:rsid w:val="008E7D60"/>
    <w:rsid w:val="008F0F17"/>
    <w:rsid w:val="008F1015"/>
    <w:rsid w:val="008F1517"/>
    <w:rsid w:val="008F2EE4"/>
    <w:rsid w:val="008F3161"/>
    <w:rsid w:val="008F355E"/>
    <w:rsid w:val="008F4C62"/>
    <w:rsid w:val="008F5E3B"/>
    <w:rsid w:val="008F7D25"/>
    <w:rsid w:val="00900226"/>
    <w:rsid w:val="00900C8D"/>
    <w:rsid w:val="009012C6"/>
    <w:rsid w:val="00901D57"/>
    <w:rsid w:val="009052E1"/>
    <w:rsid w:val="00905A0D"/>
    <w:rsid w:val="0090665D"/>
    <w:rsid w:val="00911559"/>
    <w:rsid w:val="00914FDF"/>
    <w:rsid w:val="0091599A"/>
    <w:rsid w:val="00917EB1"/>
    <w:rsid w:val="00921109"/>
    <w:rsid w:val="00921436"/>
    <w:rsid w:val="0092330B"/>
    <w:rsid w:val="009239BB"/>
    <w:rsid w:val="0092433B"/>
    <w:rsid w:val="00926B57"/>
    <w:rsid w:val="00930350"/>
    <w:rsid w:val="00930F79"/>
    <w:rsid w:val="00931EF0"/>
    <w:rsid w:val="00932409"/>
    <w:rsid w:val="00932CFF"/>
    <w:rsid w:val="00932F08"/>
    <w:rsid w:val="00935A0D"/>
    <w:rsid w:val="00936419"/>
    <w:rsid w:val="00936ACA"/>
    <w:rsid w:val="00940FFE"/>
    <w:rsid w:val="009411A0"/>
    <w:rsid w:val="00942DF7"/>
    <w:rsid w:val="00943AA5"/>
    <w:rsid w:val="00943B74"/>
    <w:rsid w:val="0094486F"/>
    <w:rsid w:val="009449F8"/>
    <w:rsid w:val="00944CA2"/>
    <w:rsid w:val="009455B4"/>
    <w:rsid w:val="009458C7"/>
    <w:rsid w:val="0094714C"/>
    <w:rsid w:val="009472B3"/>
    <w:rsid w:val="0094732C"/>
    <w:rsid w:val="00947905"/>
    <w:rsid w:val="00947F35"/>
    <w:rsid w:val="009500DD"/>
    <w:rsid w:val="009504BB"/>
    <w:rsid w:val="009573BD"/>
    <w:rsid w:val="0096079C"/>
    <w:rsid w:val="0096089C"/>
    <w:rsid w:val="00961B2C"/>
    <w:rsid w:val="00962E4E"/>
    <w:rsid w:val="00964E79"/>
    <w:rsid w:val="00964F37"/>
    <w:rsid w:val="0096645A"/>
    <w:rsid w:val="00966C2B"/>
    <w:rsid w:val="00967C2E"/>
    <w:rsid w:val="00971134"/>
    <w:rsid w:val="0097222B"/>
    <w:rsid w:val="00973578"/>
    <w:rsid w:val="00974437"/>
    <w:rsid w:val="00975A2A"/>
    <w:rsid w:val="00975B10"/>
    <w:rsid w:val="00975B6D"/>
    <w:rsid w:val="00975EB9"/>
    <w:rsid w:val="009763B8"/>
    <w:rsid w:val="00976EA5"/>
    <w:rsid w:val="00977454"/>
    <w:rsid w:val="00981F51"/>
    <w:rsid w:val="00982C6E"/>
    <w:rsid w:val="009837CB"/>
    <w:rsid w:val="009858EF"/>
    <w:rsid w:val="0099075B"/>
    <w:rsid w:val="00990E7A"/>
    <w:rsid w:val="00991EC7"/>
    <w:rsid w:val="00992009"/>
    <w:rsid w:val="009925EC"/>
    <w:rsid w:val="00993B14"/>
    <w:rsid w:val="009969DF"/>
    <w:rsid w:val="00996E9C"/>
    <w:rsid w:val="00997C31"/>
    <w:rsid w:val="009A00BC"/>
    <w:rsid w:val="009A01AE"/>
    <w:rsid w:val="009A0F6D"/>
    <w:rsid w:val="009A1A05"/>
    <w:rsid w:val="009A2FF6"/>
    <w:rsid w:val="009A34EE"/>
    <w:rsid w:val="009A3ADA"/>
    <w:rsid w:val="009A52D1"/>
    <w:rsid w:val="009A5CBF"/>
    <w:rsid w:val="009A78A9"/>
    <w:rsid w:val="009B08DD"/>
    <w:rsid w:val="009B0B57"/>
    <w:rsid w:val="009B299F"/>
    <w:rsid w:val="009B29BB"/>
    <w:rsid w:val="009B55C4"/>
    <w:rsid w:val="009B5CBA"/>
    <w:rsid w:val="009B6C33"/>
    <w:rsid w:val="009B6EF8"/>
    <w:rsid w:val="009C3731"/>
    <w:rsid w:val="009C4E6E"/>
    <w:rsid w:val="009C4FE0"/>
    <w:rsid w:val="009C5252"/>
    <w:rsid w:val="009C64B7"/>
    <w:rsid w:val="009C6A35"/>
    <w:rsid w:val="009C6EDF"/>
    <w:rsid w:val="009D00FC"/>
    <w:rsid w:val="009D040F"/>
    <w:rsid w:val="009D2860"/>
    <w:rsid w:val="009D2C90"/>
    <w:rsid w:val="009D4854"/>
    <w:rsid w:val="009D5151"/>
    <w:rsid w:val="009D5847"/>
    <w:rsid w:val="009D605C"/>
    <w:rsid w:val="009D6900"/>
    <w:rsid w:val="009D7497"/>
    <w:rsid w:val="009E03BE"/>
    <w:rsid w:val="009E11BB"/>
    <w:rsid w:val="009E1E5F"/>
    <w:rsid w:val="009E2222"/>
    <w:rsid w:val="009E2235"/>
    <w:rsid w:val="009E25E5"/>
    <w:rsid w:val="009E2EEE"/>
    <w:rsid w:val="009E30D5"/>
    <w:rsid w:val="009E310B"/>
    <w:rsid w:val="009E4D74"/>
    <w:rsid w:val="009E68BB"/>
    <w:rsid w:val="009E7036"/>
    <w:rsid w:val="009E7593"/>
    <w:rsid w:val="009F07F4"/>
    <w:rsid w:val="009F19E6"/>
    <w:rsid w:val="009F26DD"/>
    <w:rsid w:val="009F35A7"/>
    <w:rsid w:val="009F4D23"/>
    <w:rsid w:val="009F570B"/>
    <w:rsid w:val="009F5B85"/>
    <w:rsid w:val="009F704F"/>
    <w:rsid w:val="00A00110"/>
    <w:rsid w:val="00A003D4"/>
    <w:rsid w:val="00A00BC6"/>
    <w:rsid w:val="00A011D2"/>
    <w:rsid w:val="00A014EE"/>
    <w:rsid w:val="00A01634"/>
    <w:rsid w:val="00A02992"/>
    <w:rsid w:val="00A037CB"/>
    <w:rsid w:val="00A0469A"/>
    <w:rsid w:val="00A062CA"/>
    <w:rsid w:val="00A075F7"/>
    <w:rsid w:val="00A12D3A"/>
    <w:rsid w:val="00A13008"/>
    <w:rsid w:val="00A14237"/>
    <w:rsid w:val="00A17D0D"/>
    <w:rsid w:val="00A20F7B"/>
    <w:rsid w:val="00A21417"/>
    <w:rsid w:val="00A23601"/>
    <w:rsid w:val="00A23A2A"/>
    <w:rsid w:val="00A25070"/>
    <w:rsid w:val="00A25AF8"/>
    <w:rsid w:val="00A27150"/>
    <w:rsid w:val="00A32A88"/>
    <w:rsid w:val="00A32DF4"/>
    <w:rsid w:val="00A33202"/>
    <w:rsid w:val="00A34675"/>
    <w:rsid w:val="00A35622"/>
    <w:rsid w:val="00A36ED5"/>
    <w:rsid w:val="00A41054"/>
    <w:rsid w:val="00A41E44"/>
    <w:rsid w:val="00A42D27"/>
    <w:rsid w:val="00A43472"/>
    <w:rsid w:val="00A43B64"/>
    <w:rsid w:val="00A4679F"/>
    <w:rsid w:val="00A46C87"/>
    <w:rsid w:val="00A47C8C"/>
    <w:rsid w:val="00A518E3"/>
    <w:rsid w:val="00A51D2C"/>
    <w:rsid w:val="00A52C18"/>
    <w:rsid w:val="00A5404F"/>
    <w:rsid w:val="00A55E21"/>
    <w:rsid w:val="00A56379"/>
    <w:rsid w:val="00A57AFC"/>
    <w:rsid w:val="00A6220A"/>
    <w:rsid w:val="00A62E75"/>
    <w:rsid w:val="00A65B97"/>
    <w:rsid w:val="00A67754"/>
    <w:rsid w:val="00A717E4"/>
    <w:rsid w:val="00A744CF"/>
    <w:rsid w:val="00A76FB1"/>
    <w:rsid w:val="00A81140"/>
    <w:rsid w:val="00A811E2"/>
    <w:rsid w:val="00A81EA7"/>
    <w:rsid w:val="00A84737"/>
    <w:rsid w:val="00A850E0"/>
    <w:rsid w:val="00A87117"/>
    <w:rsid w:val="00A871E7"/>
    <w:rsid w:val="00A87615"/>
    <w:rsid w:val="00A900E2"/>
    <w:rsid w:val="00A91095"/>
    <w:rsid w:val="00A92027"/>
    <w:rsid w:val="00A9276F"/>
    <w:rsid w:val="00A94713"/>
    <w:rsid w:val="00A9555B"/>
    <w:rsid w:val="00A95947"/>
    <w:rsid w:val="00A96BC3"/>
    <w:rsid w:val="00A96EE6"/>
    <w:rsid w:val="00A97959"/>
    <w:rsid w:val="00AA0B37"/>
    <w:rsid w:val="00AA19A7"/>
    <w:rsid w:val="00AA1C49"/>
    <w:rsid w:val="00AA25E4"/>
    <w:rsid w:val="00AA2C2B"/>
    <w:rsid w:val="00AA37FC"/>
    <w:rsid w:val="00AA44B0"/>
    <w:rsid w:val="00AA4B65"/>
    <w:rsid w:val="00AA57EF"/>
    <w:rsid w:val="00AA5F5D"/>
    <w:rsid w:val="00AB1659"/>
    <w:rsid w:val="00AB1B06"/>
    <w:rsid w:val="00AB3F5E"/>
    <w:rsid w:val="00AB4396"/>
    <w:rsid w:val="00AB6036"/>
    <w:rsid w:val="00AB61CC"/>
    <w:rsid w:val="00AB66B7"/>
    <w:rsid w:val="00AB66F0"/>
    <w:rsid w:val="00AB7491"/>
    <w:rsid w:val="00AC17F2"/>
    <w:rsid w:val="00AC20D8"/>
    <w:rsid w:val="00AC3EA4"/>
    <w:rsid w:val="00AC4636"/>
    <w:rsid w:val="00AC46E5"/>
    <w:rsid w:val="00AC6E31"/>
    <w:rsid w:val="00AC74AC"/>
    <w:rsid w:val="00AD1D3D"/>
    <w:rsid w:val="00AD3308"/>
    <w:rsid w:val="00AD59C1"/>
    <w:rsid w:val="00AD5C04"/>
    <w:rsid w:val="00AD6050"/>
    <w:rsid w:val="00AE013D"/>
    <w:rsid w:val="00AE0AB9"/>
    <w:rsid w:val="00AE111D"/>
    <w:rsid w:val="00AE34E5"/>
    <w:rsid w:val="00AF0251"/>
    <w:rsid w:val="00AF16F8"/>
    <w:rsid w:val="00AF200E"/>
    <w:rsid w:val="00AF203D"/>
    <w:rsid w:val="00AF299E"/>
    <w:rsid w:val="00AF2AD6"/>
    <w:rsid w:val="00AF4BD7"/>
    <w:rsid w:val="00AF55A6"/>
    <w:rsid w:val="00AF65A0"/>
    <w:rsid w:val="00B0060F"/>
    <w:rsid w:val="00B01D6B"/>
    <w:rsid w:val="00B02C37"/>
    <w:rsid w:val="00B03CE2"/>
    <w:rsid w:val="00B058C7"/>
    <w:rsid w:val="00B06BA1"/>
    <w:rsid w:val="00B11E6A"/>
    <w:rsid w:val="00B131D6"/>
    <w:rsid w:val="00B1640C"/>
    <w:rsid w:val="00B16FF2"/>
    <w:rsid w:val="00B21982"/>
    <w:rsid w:val="00B2310C"/>
    <w:rsid w:val="00B25866"/>
    <w:rsid w:val="00B25A6F"/>
    <w:rsid w:val="00B25BC6"/>
    <w:rsid w:val="00B33C2F"/>
    <w:rsid w:val="00B35432"/>
    <w:rsid w:val="00B362EF"/>
    <w:rsid w:val="00B373AD"/>
    <w:rsid w:val="00B41299"/>
    <w:rsid w:val="00B41343"/>
    <w:rsid w:val="00B4134E"/>
    <w:rsid w:val="00B42B2D"/>
    <w:rsid w:val="00B436ED"/>
    <w:rsid w:val="00B441CE"/>
    <w:rsid w:val="00B44DA3"/>
    <w:rsid w:val="00B5061D"/>
    <w:rsid w:val="00B5114C"/>
    <w:rsid w:val="00B518F7"/>
    <w:rsid w:val="00B51A2C"/>
    <w:rsid w:val="00B5328A"/>
    <w:rsid w:val="00B5510F"/>
    <w:rsid w:val="00B55D36"/>
    <w:rsid w:val="00B57C06"/>
    <w:rsid w:val="00B61DD1"/>
    <w:rsid w:val="00B623CE"/>
    <w:rsid w:val="00B63188"/>
    <w:rsid w:val="00B662AD"/>
    <w:rsid w:val="00B72ACE"/>
    <w:rsid w:val="00B7332C"/>
    <w:rsid w:val="00B73BC0"/>
    <w:rsid w:val="00B74C18"/>
    <w:rsid w:val="00B76358"/>
    <w:rsid w:val="00B81EA4"/>
    <w:rsid w:val="00B82000"/>
    <w:rsid w:val="00B83717"/>
    <w:rsid w:val="00B84265"/>
    <w:rsid w:val="00B86E05"/>
    <w:rsid w:val="00B91560"/>
    <w:rsid w:val="00B91A02"/>
    <w:rsid w:val="00B91C28"/>
    <w:rsid w:val="00B92B46"/>
    <w:rsid w:val="00B92E1C"/>
    <w:rsid w:val="00B95DFB"/>
    <w:rsid w:val="00B96729"/>
    <w:rsid w:val="00B97249"/>
    <w:rsid w:val="00BA00A9"/>
    <w:rsid w:val="00BA0426"/>
    <w:rsid w:val="00BA1B7A"/>
    <w:rsid w:val="00BA2A2B"/>
    <w:rsid w:val="00BA3674"/>
    <w:rsid w:val="00BA36A5"/>
    <w:rsid w:val="00BA69F4"/>
    <w:rsid w:val="00BA7F80"/>
    <w:rsid w:val="00BB0CC2"/>
    <w:rsid w:val="00BB1A72"/>
    <w:rsid w:val="00BB2546"/>
    <w:rsid w:val="00BB37FC"/>
    <w:rsid w:val="00BB6202"/>
    <w:rsid w:val="00BB7698"/>
    <w:rsid w:val="00BB78FC"/>
    <w:rsid w:val="00BC134A"/>
    <w:rsid w:val="00BC15AB"/>
    <w:rsid w:val="00BC250E"/>
    <w:rsid w:val="00BC30AA"/>
    <w:rsid w:val="00BC3FE1"/>
    <w:rsid w:val="00BC4A24"/>
    <w:rsid w:val="00BC63BC"/>
    <w:rsid w:val="00BC6602"/>
    <w:rsid w:val="00BC6991"/>
    <w:rsid w:val="00BC7267"/>
    <w:rsid w:val="00BD000E"/>
    <w:rsid w:val="00BD0947"/>
    <w:rsid w:val="00BD1191"/>
    <w:rsid w:val="00BD1625"/>
    <w:rsid w:val="00BD1943"/>
    <w:rsid w:val="00BD1BDB"/>
    <w:rsid w:val="00BD24F0"/>
    <w:rsid w:val="00BD3280"/>
    <w:rsid w:val="00BD3667"/>
    <w:rsid w:val="00BD3AD2"/>
    <w:rsid w:val="00BD3B66"/>
    <w:rsid w:val="00BD428D"/>
    <w:rsid w:val="00BD552D"/>
    <w:rsid w:val="00BD6BED"/>
    <w:rsid w:val="00BD7483"/>
    <w:rsid w:val="00BE0E74"/>
    <w:rsid w:val="00BE226E"/>
    <w:rsid w:val="00BE3A21"/>
    <w:rsid w:val="00BE3B2F"/>
    <w:rsid w:val="00BE64C8"/>
    <w:rsid w:val="00BE67A1"/>
    <w:rsid w:val="00BE7600"/>
    <w:rsid w:val="00BF0748"/>
    <w:rsid w:val="00BF1BE1"/>
    <w:rsid w:val="00BF330A"/>
    <w:rsid w:val="00BF469C"/>
    <w:rsid w:val="00BF5E75"/>
    <w:rsid w:val="00BF6B39"/>
    <w:rsid w:val="00C00D3D"/>
    <w:rsid w:val="00C0130F"/>
    <w:rsid w:val="00C033E4"/>
    <w:rsid w:val="00C0590E"/>
    <w:rsid w:val="00C05937"/>
    <w:rsid w:val="00C06929"/>
    <w:rsid w:val="00C06C84"/>
    <w:rsid w:val="00C1122F"/>
    <w:rsid w:val="00C1337F"/>
    <w:rsid w:val="00C134E5"/>
    <w:rsid w:val="00C13832"/>
    <w:rsid w:val="00C16490"/>
    <w:rsid w:val="00C16C13"/>
    <w:rsid w:val="00C16CC0"/>
    <w:rsid w:val="00C17535"/>
    <w:rsid w:val="00C1778D"/>
    <w:rsid w:val="00C20E42"/>
    <w:rsid w:val="00C22635"/>
    <w:rsid w:val="00C22842"/>
    <w:rsid w:val="00C22F2B"/>
    <w:rsid w:val="00C23048"/>
    <w:rsid w:val="00C2325C"/>
    <w:rsid w:val="00C23621"/>
    <w:rsid w:val="00C2459C"/>
    <w:rsid w:val="00C2583B"/>
    <w:rsid w:val="00C265CC"/>
    <w:rsid w:val="00C273AE"/>
    <w:rsid w:val="00C3109F"/>
    <w:rsid w:val="00C372C1"/>
    <w:rsid w:val="00C400E5"/>
    <w:rsid w:val="00C407AD"/>
    <w:rsid w:val="00C428CE"/>
    <w:rsid w:val="00C4317A"/>
    <w:rsid w:val="00C433CE"/>
    <w:rsid w:val="00C46981"/>
    <w:rsid w:val="00C472F7"/>
    <w:rsid w:val="00C47D1B"/>
    <w:rsid w:val="00C503FF"/>
    <w:rsid w:val="00C505E8"/>
    <w:rsid w:val="00C515D8"/>
    <w:rsid w:val="00C51B23"/>
    <w:rsid w:val="00C53782"/>
    <w:rsid w:val="00C53E72"/>
    <w:rsid w:val="00C546A6"/>
    <w:rsid w:val="00C54BE5"/>
    <w:rsid w:val="00C56A45"/>
    <w:rsid w:val="00C57553"/>
    <w:rsid w:val="00C6012D"/>
    <w:rsid w:val="00C6294D"/>
    <w:rsid w:val="00C636D0"/>
    <w:rsid w:val="00C639AC"/>
    <w:rsid w:val="00C66B77"/>
    <w:rsid w:val="00C673D1"/>
    <w:rsid w:val="00C716E5"/>
    <w:rsid w:val="00C74C5A"/>
    <w:rsid w:val="00C76DAA"/>
    <w:rsid w:val="00C76EC0"/>
    <w:rsid w:val="00C7768B"/>
    <w:rsid w:val="00C77CD0"/>
    <w:rsid w:val="00C80153"/>
    <w:rsid w:val="00C8083C"/>
    <w:rsid w:val="00C80F64"/>
    <w:rsid w:val="00C80F8C"/>
    <w:rsid w:val="00C8162E"/>
    <w:rsid w:val="00C818EC"/>
    <w:rsid w:val="00C81D68"/>
    <w:rsid w:val="00C81EC9"/>
    <w:rsid w:val="00C828BE"/>
    <w:rsid w:val="00C82C57"/>
    <w:rsid w:val="00C84585"/>
    <w:rsid w:val="00C866A8"/>
    <w:rsid w:val="00C87926"/>
    <w:rsid w:val="00C90A72"/>
    <w:rsid w:val="00C91A3F"/>
    <w:rsid w:val="00C92091"/>
    <w:rsid w:val="00C92FA3"/>
    <w:rsid w:val="00C94EA7"/>
    <w:rsid w:val="00C95E47"/>
    <w:rsid w:val="00C96CDD"/>
    <w:rsid w:val="00C97E22"/>
    <w:rsid w:val="00CA2AB6"/>
    <w:rsid w:val="00CA30DF"/>
    <w:rsid w:val="00CA3918"/>
    <w:rsid w:val="00CA456C"/>
    <w:rsid w:val="00CA460D"/>
    <w:rsid w:val="00CA66DF"/>
    <w:rsid w:val="00CA7476"/>
    <w:rsid w:val="00CA7C1E"/>
    <w:rsid w:val="00CB2A57"/>
    <w:rsid w:val="00CB3974"/>
    <w:rsid w:val="00CB5B27"/>
    <w:rsid w:val="00CC01F5"/>
    <w:rsid w:val="00CC0C5D"/>
    <w:rsid w:val="00CC0D8C"/>
    <w:rsid w:val="00CC0EE1"/>
    <w:rsid w:val="00CC22DD"/>
    <w:rsid w:val="00CC2BF2"/>
    <w:rsid w:val="00CC30A8"/>
    <w:rsid w:val="00CC47C4"/>
    <w:rsid w:val="00CC5E23"/>
    <w:rsid w:val="00CC77E3"/>
    <w:rsid w:val="00CD19BF"/>
    <w:rsid w:val="00CD2271"/>
    <w:rsid w:val="00CD2AE3"/>
    <w:rsid w:val="00CD4A97"/>
    <w:rsid w:val="00CD57CA"/>
    <w:rsid w:val="00CD7C46"/>
    <w:rsid w:val="00CE1592"/>
    <w:rsid w:val="00CE1DC1"/>
    <w:rsid w:val="00CE1EEB"/>
    <w:rsid w:val="00CE4301"/>
    <w:rsid w:val="00CE46FC"/>
    <w:rsid w:val="00CE4AA8"/>
    <w:rsid w:val="00CE5C2C"/>
    <w:rsid w:val="00CE657B"/>
    <w:rsid w:val="00CF3A3D"/>
    <w:rsid w:val="00CF3B1B"/>
    <w:rsid w:val="00CF67F8"/>
    <w:rsid w:val="00CF6971"/>
    <w:rsid w:val="00CF6B0F"/>
    <w:rsid w:val="00CF6C29"/>
    <w:rsid w:val="00D00BAB"/>
    <w:rsid w:val="00D01EDC"/>
    <w:rsid w:val="00D027E3"/>
    <w:rsid w:val="00D035FA"/>
    <w:rsid w:val="00D047E8"/>
    <w:rsid w:val="00D04D9D"/>
    <w:rsid w:val="00D11533"/>
    <w:rsid w:val="00D11A30"/>
    <w:rsid w:val="00D12E08"/>
    <w:rsid w:val="00D14D6E"/>
    <w:rsid w:val="00D16EAC"/>
    <w:rsid w:val="00D171FD"/>
    <w:rsid w:val="00D17DCA"/>
    <w:rsid w:val="00D20D2F"/>
    <w:rsid w:val="00D21513"/>
    <w:rsid w:val="00D236C3"/>
    <w:rsid w:val="00D24764"/>
    <w:rsid w:val="00D24A5F"/>
    <w:rsid w:val="00D269B7"/>
    <w:rsid w:val="00D278A7"/>
    <w:rsid w:val="00D31B06"/>
    <w:rsid w:val="00D31BFC"/>
    <w:rsid w:val="00D32B0F"/>
    <w:rsid w:val="00D32B38"/>
    <w:rsid w:val="00D33B5C"/>
    <w:rsid w:val="00D3529A"/>
    <w:rsid w:val="00D35C16"/>
    <w:rsid w:val="00D371C6"/>
    <w:rsid w:val="00D372B2"/>
    <w:rsid w:val="00D4136B"/>
    <w:rsid w:val="00D41D70"/>
    <w:rsid w:val="00D42123"/>
    <w:rsid w:val="00D42175"/>
    <w:rsid w:val="00D423D4"/>
    <w:rsid w:val="00D42497"/>
    <w:rsid w:val="00D43439"/>
    <w:rsid w:val="00D46C8E"/>
    <w:rsid w:val="00D47351"/>
    <w:rsid w:val="00D50580"/>
    <w:rsid w:val="00D50CDF"/>
    <w:rsid w:val="00D518E8"/>
    <w:rsid w:val="00D5257F"/>
    <w:rsid w:val="00D5288E"/>
    <w:rsid w:val="00D53645"/>
    <w:rsid w:val="00D547F7"/>
    <w:rsid w:val="00D5723A"/>
    <w:rsid w:val="00D63076"/>
    <w:rsid w:val="00D645CD"/>
    <w:rsid w:val="00D649B8"/>
    <w:rsid w:val="00D66740"/>
    <w:rsid w:val="00D67822"/>
    <w:rsid w:val="00D7015C"/>
    <w:rsid w:val="00D70B6F"/>
    <w:rsid w:val="00D70E8B"/>
    <w:rsid w:val="00D71585"/>
    <w:rsid w:val="00D72B26"/>
    <w:rsid w:val="00D72B99"/>
    <w:rsid w:val="00D7492A"/>
    <w:rsid w:val="00D75214"/>
    <w:rsid w:val="00D77B71"/>
    <w:rsid w:val="00D83CE5"/>
    <w:rsid w:val="00D86460"/>
    <w:rsid w:val="00D86E9B"/>
    <w:rsid w:val="00D8734E"/>
    <w:rsid w:val="00D87FAC"/>
    <w:rsid w:val="00D90342"/>
    <w:rsid w:val="00D90475"/>
    <w:rsid w:val="00D91FB9"/>
    <w:rsid w:val="00D9245C"/>
    <w:rsid w:val="00D933E8"/>
    <w:rsid w:val="00D9488E"/>
    <w:rsid w:val="00D950A6"/>
    <w:rsid w:val="00D956AA"/>
    <w:rsid w:val="00D95EF8"/>
    <w:rsid w:val="00D95F50"/>
    <w:rsid w:val="00DA0B14"/>
    <w:rsid w:val="00DA0B77"/>
    <w:rsid w:val="00DA299A"/>
    <w:rsid w:val="00DA3DF7"/>
    <w:rsid w:val="00DA4C11"/>
    <w:rsid w:val="00DA63C9"/>
    <w:rsid w:val="00DB2606"/>
    <w:rsid w:val="00DC10E2"/>
    <w:rsid w:val="00DC215D"/>
    <w:rsid w:val="00DC25F8"/>
    <w:rsid w:val="00DC2CBF"/>
    <w:rsid w:val="00DC3E83"/>
    <w:rsid w:val="00DC6492"/>
    <w:rsid w:val="00DC752F"/>
    <w:rsid w:val="00DD0067"/>
    <w:rsid w:val="00DD0FEA"/>
    <w:rsid w:val="00DD1B85"/>
    <w:rsid w:val="00DD324F"/>
    <w:rsid w:val="00DD36E9"/>
    <w:rsid w:val="00DD43B7"/>
    <w:rsid w:val="00DD4EA2"/>
    <w:rsid w:val="00DD747F"/>
    <w:rsid w:val="00DE03DC"/>
    <w:rsid w:val="00DE0BC1"/>
    <w:rsid w:val="00DE1D18"/>
    <w:rsid w:val="00DE71E4"/>
    <w:rsid w:val="00DE7834"/>
    <w:rsid w:val="00DE7B47"/>
    <w:rsid w:val="00DE7F9A"/>
    <w:rsid w:val="00DF0AB0"/>
    <w:rsid w:val="00DF0B40"/>
    <w:rsid w:val="00DF0D44"/>
    <w:rsid w:val="00DF1223"/>
    <w:rsid w:val="00DF134A"/>
    <w:rsid w:val="00DF13C0"/>
    <w:rsid w:val="00DF259A"/>
    <w:rsid w:val="00DF3014"/>
    <w:rsid w:val="00DF3CE0"/>
    <w:rsid w:val="00E01862"/>
    <w:rsid w:val="00E0197E"/>
    <w:rsid w:val="00E020A1"/>
    <w:rsid w:val="00E023C9"/>
    <w:rsid w:val="00E029F7"/>
    <w:rsid w:val="00E03758"/>
    <w:rsid w:val="00E05C70"/>
    <w:rsid w:val="00E07911"/>
    <w:rsid w:val="00E07E01"/>
    <w:rsid w:val="00E10CB3"/>
    <w:rsid w:val="00E1164E"/>
    <w:rsid w:val="00E1303E"/>
    <w:rsid w:val="00E136DD"/>
    <w:rsid w:val="00E13DE6"/>
    <w:rsid w:val="00E16244"/>
    <w:rsid w:val="00E162C7"/>
    <w:rsid w:val="00E16369"/>
    <w:rsid w:val="00E16AC1"/>
    <w:rsid w:val="00E207FE"/>
    <w:rsid w:val="00E20B6F"/>
    <w:rsid w:val="00E21052"/>
    <w:rsid w:val="00E21313"/>
    <w:rsid w:val="00E2306B"/>
    <w:rsid w:val="00E2538E"/>
    <w:rsid w:val="00E270D7"/>
    <w:rsid w:val="00E33369"/>
    <w:rsid w:val="00E3406A"/>
    <w:rsid w:val="00E34890"/>
    <w:rsid w:val="00E34F35"/>
    <w:rsid w:val="00E3504C"/>
    <w:rsid w:val="00E36E31"/>
    <w:rsid w:val="00E36F5E"/>
    <w:rsid w:val="00E4041D"/>
    <w:rsid w:val="00E41A85"/>
    <w:rsid w:val="00E423B1"/>
    <w:rsid w:val="00E430A9"/>
    <w:rsid w:val="00E4335D"/>
    <w:rsid w:val="00E45F6B"/>
    <w:rsid w:val="00E46FEC"/>
    <w:rsid w:val="00E471F2"/>
    <w:rsid w:val="00E47425"/>
    <w:rsid w:val="00E47AB9"/>
    <w:rsid w:val="00E501D4"/>
    <w:rsid w:val="00E5268B"/>
    <w:rsid w:val="00E5452C"/>
    <w:rsid w:val="00E54F16"/>
    <w:rsid w:val="00E5532F"/>
    <w:rsid w:val="00E55E95"/>
    <w:rsid w:val="00E619AC"/>
    <w:rsid w:val="00E61E9D"/>
    <w:rsid w:val="00E62DB9"/>
    <w:rsid w:val="00E640ED"/>
    <w:rsid w:val="00E64143"/>
    <w:rsid w:val="00E6514E"/>
    <w:rsid w:val="00E66AC9"/>
    <w:rsid w:val="00E66CA0"/>
    <w:rsid w:val="00E67912"/>
    <w:rsid w:val="00E71476"/>
    <w:rsid w:val="00E7373D"/>
    <w:rsid w:val="00E74DD4"/>
    <w:rsid w:val="00E74EB3"/>
    <w:rsid w:val="00E7510A"/>
    <w:rsid w:val="00E774D6"/>
    <w:rsid w:val="00E802BD"/>
    <w:rsid w:val="00E805C5"/>
    <w:rsid w:val="00E81221"/>
    <w:rsid w:val="00E8169E"/>
    <w:rsid w:val="00E82030"/>
    <w:rsid w:val="00E82A53"/>
    <w:rsid w:val="00E83AF0"/>
    <w:rsid w:val="00E85BA8"/>
    <w:rsid w:val="00E86E4F"/>
    <w:rsid w:val="00E87ACA"/>
    <w:rsid w:val="00E906D5"/>
    <w:rsid w:val="00E954B7"/>
    <w:rsid w:val="00E95D22"/>
    <w:rsid w:val="00EA014F"/>
    <w:rsid w:val="00EA058C"/>
    <w:rsid w:val="00EA4CD3"/>
    <w:rsid w:val="00EA6925"/>
    <w:rsid w:val="00EA6D71"/>
    <w:rsid w:val="00EB0094"/>
    <w:rsid w:val="00EB1551"/>
    <w:rsid w:val="00EB1965"/>
    <w:rsid w:val="00EB29D3"/>
    <w:rsid w:val="00EB3E96"/>
    <w:rsid w:val="00EB4AF6"/>
    <w:rsid w:val="00EB57EC"/>
    <w:rsid w:val="00EB5BD5"/>
    <w:rsid w:val="00EB648C"/>
    <w:rsid w:val="00EC0103"/>
    <w:rsid w:val="00EC35B4"/>
    <w:rsid w:val="00EC59EE"/>
    <w:rsid w:val="00EC692E"/>
    <w:rsid w:val="00ED0EC6"/>
    <w:rsid w:val="00ED2D70"/>
    <w:rsid w:val="00ED3020"/>
    <w:rsid w:val="00ED4629"/>
    <w:rsid w:val="00ED4E84"/>
    <w:rsid w:val="00ED7CAF"/>
    <w:rsid w:val="00ED7D9E"/>
    <w:rsid w:val="00EE2C63"/>
    <w:rsid w:val="00EE6497"/>
    <w:rsid w:val="00EE6BB3"/>
    <w:rsid w:val="00EF00D9"/>
    <w:rsid w:val="00EF079E"/>
    <w:rsid w:val="00EF07E6"/>
    <w:rsid w:val="00EF0E89"/>
    <w:rsid w:val="00EF35FA"/>
    <w:rsid w:val="00EF4435"/>
    <w:rsid w:val="00F00AB6"/>
    <w:rsid w:val="00F00CD5"/>
    <w:rsid w:val="00F00D29"/>
    <w:rsid w:val="00F00FD2"/>
    <w:rsid w:val="00F02049"/>
    <w:rsid w:val="00F0373D"/>
    <w:rsid w:val="00F04F66"/>
    <w:rsid w:val="00F069F1"/>
    <w:rsid w:val="00F117C8"/>
    <w:rsid w:val="00F12A0E"/>
    <w:rsid w:val="00F16720"/>
    <w:rsid w:val="00F172EE"/>
    <w:rsid w:val="00F179D8"/>
    <w:rsid w:val="00F20655"/>
    <w:rsid w:val="00F2098F"/>
    <w:rsid w:val="00F2152D"/>
    <w:rsid w:val="00F23DD7"/>
    <w:rsid w:val="00F25EC1"/>
    <w:rsid w:val="00F300EF"/>
    <w:rsid w:val="00F301C6"/>
    <w:rsid w:val="00F30F7B"/>
    <w:rsid w:val="00F31803"/>
    <w:rsid w:val="00F31853"/>
    <w:rsid w:val="00F322EA"/>
    <w:rsid w:val="00F32BCB"/>
    <w:rsid w:val="00F3329C"/>
    <w:rsid w:val="00F34176"/>
    <w:rsid w:val="00F36AFB"/>
    <w:rsid w:val="00F4023E"/>
    <w:rsid w:val="00F41380"/>
    <w:rsid w:val="00F414B3"/>
    <w:rsid w:val="00F4347B"/>
    <w:rsid w:val="00F4528B"/>
    <w:rsid w:val="00F45839"/>
    <w:rsid w:val="00F4715B"/>
    <w:rsid w:val="00F47385"/>
    <w:rsid w:val="00F47EF8"/>
    <w:rsid w:val="00F504BD"/>
    <w:rsid w:val="00F5164C"/>
    <w:rsid w:val="00F51DE7"/>
    <w:rsid w:val="00F533A1"/>
    <w:rsid w:val="00F54B18"/>
    <w:rsid w:val="00F552FA"/>
    <w:rsid w:val="00F55F1B"/>
    <w:rsid w:val="00F567A8"/>
    <w:rsid w:val="00F574F8"/>
    <w:rsid w:val="00F576E4"/>
    <w:rsid w:val="00F57A46"/>
    <w:rsid w:val="00F57B59"/>
    <w:rsid w:val="00F600F2"/>
    <w:rsid w:val="00F6065B"/>
    <w:rsid w:val="00F63C1F"/>
    <w:rsid w:val="00F65156"/>
    <w:rsid w:val="00F6561D"/>
    <w:rsid w:val="00F66BB3"/>
    <w:rsid w:val="00F70291"/>
    <w:rsid w:val="00F702B4"/>
    <w:rsid w:val="00F72656"/>
    <w:rsid w:val="00F73B25"/>
    <w:rsid w:val="00F743AF"/>
    <w:rsid w:val="00F75810"/>
    <w:rsid w:val="00F75ED7"/>
    <w:rsid w:val="00F80729"/>
    <w:rsid w:val="00F80996"/>
    <w:rsid w:val="00F81192"/>
    <w:rsid w:val="00F82380"/>
    <w:rsid w:val="00F84BAA"/>
    <w:rsid w:val="00F84D35"/>
    <w:rsid w:val="00F8725D"/>
    <w:rsid w:val="00F87384"/>
    <w:rsid w:val="00F907B2"/>
    <w:rsid w:val="00F92058"/>
    <w:rsid w:val="00F92E0C"/>
    <w:rsid w:val="00F944D7"/>
    <w:rsid w:val="00F96A7D"/>
    <w:rsid w:val="00F973D9"/>
    <w:rsid w:val="00F97F78"/>
    <w:rsid w:val="00FA0EC0"/>
    <w:rsid w:val="00FA43A4"/>
    <w:rsid w:val="00FA499D"/>
    <w:rsid w:val="00FA5129"/>
    <w:rsid w:val="00FA62D8"/>
    <w:rsid w:val="00FA7A9E"/>
    <w:rsid w:val="00FA7B5A"/>
    <w:rsid w:val="00FA7FF8"/>
    <w:rsid w:val="00FB0735"/>
    <w:rsid w:val="00FB1D39"/>
    <w:rsid w:val="00FB48D6"/>
    <w:rsid w:val="00FB59B6"/>
    <w:rsid w:val="00FB622A"/>
    <w:rsid w:val="00FC3122"/>
    <w:rsid w:val="00FC3695"/>
    <w:rsid w:val="00FC4060"/>
    <w:rsid w:val="00FC698F"/>
    <w:rsid w:val="00FD0471"/>
    <w:rsid w:val="00FD1DE6"/>
    <w:rsid w:val="00FD1E9A"/>
    <w:rsid w:val="00FD3477"/>
    <w:rsid w:val="00FD4ADA"/>
    <w:rsid w:val="00FD6EAB"/>
    <w:rsid w:val="00FD7CD2"/>
    <w:rsid w:val="00FE021A"/>
    <w:rsid w:val="00FE19E4"/>
    <w:rsid w:val="00FE1A69"/>
    <w:rsid w:val="00FE1B57"/>
    <w:rsid w:val="00FE1F79"/>
    <w:rsid w:val="00FE43BA"/>
    <w:rsid w:val="00FE5006"/>
    <w:rsid w:val="00FE517E"/>
    <w:rsid w:val="00FE5219"/>
    <w:rsid w:val="00FE6C02"/>
    <w:rsid w:val="00FE71F9"/>
    <w:rsid w:val="00FF0383"/>
    <w:rsid w:val="00FF4044"/>
    <w:rsid w:val="00FF5688"/>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2E2CC17A-958C-4CE4-9C17-005B49F0E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customStyle="1" w:styleId="j">
    <w:name w:val="j"/>
    <w:basedOn w:val="Normal"/>
    <w:rsid w:val="007D331E"/>
    <w:pPr>
      <w:spacing w:before="100" w:beforeAutospacing="1" w:after="100" w:afterAutospacing="1"/>
    </w:pPr>
    <w:rPr>
      <w:lang w:val="es-MX" w:eastAsia="es-MX"/>
    </w:rPr>
  </w:style>
  <w:style w:type="table" w:styleId="Tabladelista1clara-nfasis1">
    <w:name w:val="List Table 1 Light Accent 1"/>
    <w:basedOn w:val="Tablanormal"/>
    <w:uiPriority w:val="46"/>
    <w:rsid w:val="00A850E0"/>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449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0172344">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7361165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2017958">
      <w:bodyDiv w:val="1"/>
      <w:marLeft w:val="0"/>
      <w:marRight w:val="0"/>
      <w:marTop w:val="0"/>
      <w:marBottom w:val="0"/>
      <w:divBdr>
        <w:top w:val="none" w:sz="0" w:space="0" w:color="auto"/>
        <w:left w:val="none" w:sz="0" w:space="0" w:color="auto"/>
        <w:bottom w:val="none" w:sz="0" w:space="0" w:color="auto"/>
        <w:right w:val="none" w:sz="0" w:space="0" w:color="auto"/>
      </w:divBdr>
      <w:divsChild>
        <w:div w:id="143743725">
          <w:marLeft w:val="864"/>
          <w:marRight w:val="0"/>
          <w:marTop w:val="0"/>
          <w:marBottom w:val="78"/>
          <w:divBdr>
            <w:top w:val="none" w:sz="0" w:space="0" w:color="auto"/>
            <w:left w:val="none" w:sz="0" w:space="0" w:color="auto"/>
            <w:bottom w:val="none" w:sz="0" w:space="0" w:color="auto"/>
            <w:right w:val="none" w:sz="0" w:space="0" w:color="auto"/>
          </w:divBdr>
        </w:div>
        <w:div w:id="1662074745">
          <w:marLeft w:val="1296"/>
          <w:marRight w:val="0"/>
          <w:marTop w:val="0"/>
          <w:marBottom w:val="78"/>
          <w:divBdr>
            <w:top w:val="none" w:sz="0" w:space="0" w:color="auto"/>
            <w:left w:val="none" w:sz="0" w:space="0" w:color="auto"/>
            <w:bottom w:val="none" w:sz="0" w:space="0" w:color="auto"/>
            <w:right w:val="none" w:sz="0" w:space="0" w:color="auto"/>
          </w:divBdr>
        </w:div>
        <w:div w:id="521936119">
          <w:marLeft w:val="1296"/>
          <w:marRight w:val="0"/>
          <w:marTop w:val="0"/>
          <w:marBottom w:val="78"/>
          <w:divBdr>
            <w:top w:val="none" w:sz="0" w:space="0" w:color="auto"/>
            <w:left w:val="none" w:sz="0" w:space="0" w:color="auto"/>
            <w:bottom w:val="none" w:sz="0" w:space="0" w:color="auto"/>
            <w:right w:val="none" w:sz="0" w:space="0" w:color="auto"/>
          </w:divBdr>
        </w:div>
        <w:div w:id="1105616200">
          <w:marLeft w:val="1296"/>
          <w:marRight w:val="0"/>
          <w:marTop w:val="0"/>
          <w:marBottom w:val="78"/>
          <w:divBdr>
            <w:top w:val="none" w:sz="0" w:space="0" w:color="auto"/>
            <w:left w:val="none" w:sz="0" w:space="0" w:color="auto"/>
            <w:bottom w:val="none" w:sz="0" w:space="0" w:color="auto"/>
            <w:right w:val="none" w:sz="0" w:space="0" w:color="auto"/>
          </w:divBdr>
        </w:div>
        <w:div w:id="756708680">
          <w:marLeft w:val="864"/>
          <w:marRight w:val="0"/>
          <w:marTop w:val="0"/>
          <w:marBottom w:val="78"/>
          <w:divBdr>
            <w:top w:val="none" w:sz="0" w:space="0" w:color="auto"/>
            <w:left w:val="none" w:sz="0" w:space="0" w:color="auto"/>
            <w:bottom w:val="none" w:sz="0" w:space="0" w:color="auto"/>
            <w:right w:val="none" w:sz="0" w:space="0" w:color="auto"/>
          </w:divBdr>
        </w:div>
        <w:div w:id="1759403008">
          <w:marLeft w:val="1296"/>
          <w:marRight w:val="0"/>
          <w:marTop w:val="0"/>
          <w:marBottom w:val="78"/>
          <w:divBdr>
            <w:top w:val="none" w:sz="0" w:space="0" w:color="auto"/>
            <w:left w:val="none" w:sz="0" w:space="0" w:color="auto"/>
            <w:bottom w:val="none" w:sz="0" w:space="0" w:color="auto"/>
            <w:right w:val="none" w:sz="0" w:space="0" w:color="auto"/>
          </w:divBdr>
        </w:div>
        <w:div w:id="26420766">
          <w:marLeft w:val="1296"/>
          <w:marRight w:val="0"/>
          <w:marTop w:val="0"/>
          <w:marBottom w:val="78"/>
          <w:divBdr>
            <w:top w:val="none" w:sz="0" w:space="0" w:color="auto"/>
            <w:left w:val="none" w:sz="0" w:space="0" w:color="auto"/>
            <w:bottom w:val="none" w:sz="0" w:space="0" w:color="auto"/>
            <w:right w:val="none" w:sz="0" w:space="0" w:color="auto"/>
          </w:divBdr>
        </w:div>
        <w:div w:id="1643386857">
          <w:marLeft w:val="1296"/>
          <w:marRight w:val="0"/>
          <w:marTop w:val="0"/>
          <w:marBottom w:val="78"/>
          <w:divBdr>
            <w:top w:val="none" w:sz="0" w:space="0" w:color="auto"/>
            <w:left w:val="none" w:sz="0" w:space="0" w:color="auto"/>
            <w:bottom w:val="none" w:sz="0" w:space="0" w:color="auto"/>
            <w:right w:val="none" w:sz="0" w:space="0" w:color="auto"/>
          </w:divBdr>
        </w:div>
        <w:div w:id="1500734029">
          <w:marLeft w:val="864"/>
          <w:marRight w:val="0"/>
          <w:marTop w:val="0"/>
          <w:marBottom w:val="78"/>
          <w:divBdr>
            <w:top w:val="none" w:sz="0" w:space="0" w:color="auto"/>
            <w:left w:val="none" w:sz="0" w:space="0" w:color="auto"/>
            <w:bottom w:val="none" w:sz="0" w:space="0" w:color="auto"/>
            <w:right w:val="none" w:sz="0" w:space="0" w:color="auto"/>
          </w:divBdr>
        </w:div>
        <w:div w:id="1062751842">
          <w:marLeft w:val="1296"/>
          <w:marRight w:val="0"/>
          <w:marTop w:val="0"/>
          <w:marBottom w:val="78"/>
          <w:divBdr>
            <w:top w:val="none" w:sz="0" w:space="0" w:color="auto"/>
            <w:left w:val="none" w:sz="0" w:space="0" w:color="auto"/>
            <w:bottom w:val="none" w:sz="0" w:space="0" w:color="auto"/>
            <w:right w:val="none" w:sz="0" w:space="0" w:color="auto"/>
          </w:divBdr>
        </w:div>
        <w:div w:id="869684606">
          <w:marLeft w:val="1296"/>
          <w:marRight w:val="0"/>
          <w:marTop w:val="0"/>
          <w:marBottom w:val="78"/>
          <w:divBdr>
            <w:top w:val="none" w:sz="0" w:space="0" w:color="auto"/>
            <w:left w:val="none" w:sz="0" w:space="0" w:color="auto"/>
            <w:bottom w:val="none" w:sz="0" w:space="0" w:color="auto"/>
            <w:right w:val="none" w:sz="0" w:space="0" w:color="auto"/>
          </w:divBdr>
        </w:div>
        <w:div w:id="1804887172">
          <w:marLeft w:val="1296"/>
          <w:marRight w:val="0"/>
          <w:marTop w:val="0"/>
          <w:marBottom w:val="78"/>
          <w:divBdr>
            <w:top w:val="none" w:sz="0" w:space="0" w:color="auto"/>
            <w:left w:val="none" w:sz="0" w:space="0" w:color="auto"/>
            <w:bottom w:val="none" w:sz="0" w:space="0" w:color="auto"/>
            <w:right w:val="none" w:sz="0" w:space="0" w:color="auto"/>
          </w:divBdr>
        </w:div>
        <w:div w:id="940452805">
          <w:marLeft w:val="864"/>
          <w:marRight w:val="0"/>
          <w:marTop w:val="0"/>
          <w:marBottom w:val="78"/>
          <w:divBdr>
            <w:top w:val="none" w:sz="0" w:space="0" w:color="auto"/>
            <w:left w:val="none" w:sz="0" w:space="0" w:color="auto"/>
            <w:bottom w:val="none" w:sz="0" w:space="0" w:color="auto"/>
            <w:right w:val="none" w:sz="0" w:space="0" w:color="auto"/>
          </w:divBdr>
        </w:div>
        <w:div w:id="1000935305">
          <w:marLeft w:val="1296"/>
          <w:marRight w:val="0"/>
          <w:marTop w:val="0"/>
          <w:marBottom w:val="78"/>
          <w:divBdr>
            <w:top w:val="none" w:sz="0" w:space="0" w:color="auto"/>
            <w:left w:val="none" w:sz="0" w:space="0" w:color="auto"/>
            <w:bottom w:val="none" w:sz="0" w:space="0" w:color="auto"/>
            <w:right w:val="none" w:sz="0" w:space="0" w:color="auto"/>
          </w:divBdr>
        </w:div>
        <w:div w:id="71702912">
          <w:marLeft w:val="1296"/>
          <w:marRight w:val="0"/>
          <w:marTop w:val="0"/>
          <w:marBottom w:val="78"/>
          <w:divBdr>
            <w:top w:val="none" w:sz="0" w:space="0" w:color="auto"/>
            <w:left w:val="none" w:sz="0" w:space="0" w:color="auto"/>
            <w:bottom w:val="none" w:sz="0" w:space="0" w:color="auto"/>
            <w:right w:val="none" w:sz="0" w:space="0" w:color="auto"/>
          </w:divBdr>
        </w:div>
        <w:div w:id="1391928054">
          <w:marLeft w:val="1296"/>
          <w:marRight w:val="0"/>
          <w:marTop w:val="0"/>
          <w:marBottom w:val="78"/>
          <w:divBdr>
            <w:top w:val="none" w:sz="0" w:space="0" w:color="auto"/>
            <w:left w:val="none" w:sz="0" w:space="0" w:color="auto"/>
            <w:bottom w:val="none" w:sz="0" w:space="0" w:color="auto"/>
            <w:right w:val="none" w:sz="0" w:space="0" w:color="auto"/>
          </w:divBdr>
        </w:div>
        <w:div w:id="1091437262">
          <w:marLeft w:val="1296"/>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9834456">
      <w:bodyDiv w:val="1"/>
      <w:marLeft w:val="0"/>
      <w:marRight w:val="0"/>
      <w:marTop w:val="0"/>
      <w:marBottom w:val="0"/>
      <w:divBdr>
        <w:top w:val="none" w:sz="0" w:space="0" w:color="auto"/>
        <w:left w:val="none" w:sz="0" w:space="0" w:color="auto"/>
        <w:bottom w:val="none" w:sz="0" w:space="0" w:color="auto"/>
        <w:right w:val="none" w:sz="0" w:space="0" w:color="auto"/>
      </w:divBdr>
      <w:divsChild>
        <w:div w:id="1671982052">
          <w:marLeft w:val="0"/>
          <w:marRight w:val="0"/>
          <w:marTop w:val="0"/>
          <w:marBottom w:val="82"/>
          <w:divBdr>
            <w:top w:val="none" w:sz="0" w:space="0" w:color="auto"/>
            <w:left w:val="none" w:sz="0" w:space="0" w:color="auto"/>
            <w:bottom w:val="none" w:sz="0" w:space="0" w:color="auto"/>
            <w:right w:val="none" w:sz="0" w:space="0" w:color="auto"/>
          </w:divBdr>
        </w:div>
        <w:div w:id="533927803">
          <w:marLeft w:val="864"/>
          <w:marRight w:val="0"/>
          <w:marTop w:val="0"/>
          <w:marBottom w:val="82"/>
          <w:divBdr>
            <w:top w:val="none" w:sz="0" w:space="0" w:color="auto"/>
            <w:left w:val="none" w:sz="0" w:space="0" w:color="auto"/>
            <w:bottom w:val="none" w:sz="0" w:space="0" w:color="auto"/>
            <w:right w:val="none" w:sz="0" w:space="0" w:color="auto"/>
          </w:divBdr>
        </w:div>
        <w:div w:id="1188788155">
          <w:marLeft w:val="864"/>
          <w:marRight w:val="0"/>
          <w:marTop w:val="0"/>
          <w:marBottom w:val="82"/>
          <w:divBdr>
            <w:top w:val="none" w:sz="0" w:space="0" w:color="auto"/>
            <w:left w:val="none" w:sz="0" w:space="0" w:color="auto"/>
            <w:bottom w:val="none" w:sz="0" w:space="0" w:color="auto"/>
            <w:right w:val="none" w:sz="0" w:space="0" w:color="auto"/>
          </w:divBdr>
        </w:div>
        <w:div w:id="1907302060">
          <w:marLeft w:val="864"/>
          <w:marRight w:val="0"/>
          <w:marTop w:val="0"/>
          <w:marBottom w:val="82"/>
          <w:divBdr>
            <w:top w:val="none" w:sz="0" w:space="0" w:color="auto"/>
            <w:left w:val="none" w:sz="0" w:space="0" w:color="auto"/>
            <w:bottom w:val="none" w:sz="0" w:space="0" w:color="auto"/>
            <w:right w:val="none" w:sz="0" w:space="0" w:color="auto"/>
          </w:divBdr>
        </w:div>
        <w:div w:id="1095441705">
          <w:marLeft w:val="864"/>
          <w:marRight w:val="0"/>
          <w:marTop w:val="0"/>
          <w:marBottom w:val="82"/>
          <w:divBdr>
            <w:top w:val="none" w:sz="0" w:space="0" w:color="auto"/>
            <w:left w:val="none" w:sz="0" w:space="0" w:color="auto"/>
            <w:bottom w:val="none" w:sz="0" w:space="0" w:color="auto"/>
            <w:right w:val="none" w:sz="0" w:space="0" w:color="auto"/>
          </w:divBdr>
        </w:div>
        <w:div w:id="876237357">
          <w:marLeft w:val="864"/>
          <w:marRight w:val="0"/>
          <w:marTop w:val="0"/>
          <w:marBottom w:val="82"/>
          <w:divBdr>
            <w:top w:val="none" w:sz="0" w:space="0" w:color="auto"/>
            <w:left w:val="none" w:sz="0" w:space="0" w:color="auto"/>
            <w:bottom w:val="none" w:sz="0" w:space="0" w:color="auto"/>
            <w:right w:val="none" w:sz="0" w:space="0" w:color="auto"/>
          </w:divBdr>
        </w:div>
        <w:div w:id="600190385">
          <w:marLeft w:val="864"/>
          <w:marRight w:val="0"/>
          <w:marTop w:val="0"/>
          <w:marBottom w:val="82"/>
          <w:divBdr>
            <w:top w:val="none" w:sz="0" w:space="0" w:color="auto"/>
            <w:left w:val="none" w:sz="0" w:space="0" w:color="auto"/>
            <w:bottom w:val="none" w:sz="0" w:space="0" w:color="auto"/>
            <w:right w:val="none" w:sz="0" w:space="0" w:color="auto"/>
          </w:divBdr>
        </w:div>
        <w:div w:id="1905140360">
          <w:marLeft w:val="864"/>
          <w:marRight w:val="0"/>
          <w:marTop w:val="0"/>
          <w:marBottom w:val="82"/>
          <w:divBdr>
            <w:top w:val="none" w:sz="0" w:space="0" w:color="auto"/>
            <w:left w:val="none" w:sz="0" w:space="0" w:color="auto"/>
            <w:bottom w:val="none" w:sz="0" w:space="0" w:color="auto"/>
            <w:right w:val="none" w:sz="0" w:space="0" w:color="auto"/>
          </w:divBdr>
        </w:div>
      </w:divsChild>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3717117">
      <w:bodyDiv w:val="1"/>
      <w:marLeft w:val="0"/>
      <w:marRight w:val="0"/>
      <w:marTop w:val="0"/>
      <w:marBottom w:val="0"/>
      <w:divBdr>
        <w:top w:val="none" w:sz="0" w:space="0" w:color="auto"/>
        <w:left w:val="none" w:sz="0" w:space="0" w:color="auto"/>
        <w:bottom w:val="none" w:sz="0" w:space="0" w:color="auto"/>
        <w:right w:val="none" w:sz="0" w:space="0" w:color="auto"/>
      </w:divBdr>
    </w:div>
    <w:div w:id="1951929547">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183718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47086.page" TargetMode="External"/><Relationship Id="rId13" Type="http://schemas.openxmlformats.org/officeDocument/2006/relationships/hyperlink" Target="https://www.saimex.org.mx/saimex/solicitud/downloadAttach/556541.page"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556540.page"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56539.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556583.pa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saimex.org.mx/saimex/solicitud/downloadAttach/556538.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556537.page" TargetMode="External"/><Relationship Id="rId14" Type="http://schemas.openxmlformats.org/officeDocument/2006/relationships/hyperlink" Target="http://www.saimex.org.mx/saimex/solicitud/downloadAttach/359478.page"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27D4D-0893-4A47-BF44-8A09AE1B3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3974</TotalTime>
  <Pages>39</Pages>
  <Words>9092</Words>
  <Characters>50010</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364</cp:revision>
  <cp:lastPrinted>2018-09-19T23:35:00Z</cp:lastPrinted>
  <dcterms:created xsi:type="dcterms:W3CDTF">2017-04-19T17:29:00Z</dcterms:created>
  <dcterms:modified xsi:type="dcterms:W3CDTF">2018-11-14T02:01:00Z</dcterms:modified>
</cp:coreProperties>
</file>