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5C69" w14:textId="0A1BE13E" w:rsidR="008519DF" w:rsidRPr="00336566" w:rsidRDefault="00426092" w:rsidP="00426092">
      <w:pPr>
        <w:tabs>
          <w:tab w:val="center" w:pos="4394"/>
          <w:tab w:val="left" w:pos="6735"/>
        </w:tabs>
        <w:spacing w:before="240" w:after="240" w:line="360" w:lineRule="auto"/>
        <w:rPr>
          <w:rFonts w:ascii="Palatino Linotype" w:hAnsi="Palatino Linotype"/>
          <w:b/>
        </w:rPr>
      </w:pPr>
      <w:r>
        <w:rPr>
          <w:rFonts w:ascii="Palatino Linotype" w:hAnsi="Palatino Linotype"/>
          <w:b/>
        </w:rPr>
        <w:tab/>
      </w:r>
      <w:r w:rsidR="005B118B" w:rsidRPr="00336566">
        <w:rPr>
          <w:rFonts w:ascii="Palatino Linotype" w:hAnsi="Palatino Linotype"/>
          <w:b/>
        </w:rPr>
        <w:t xml:space="preserve">LÍNEAS </w:t>
      </w:r>
      <w:r w:rsidR="00777013" w:rsidRPr="00336566">
        <w:rPr>
          <w:rFonts w:ascii="Palatino Linotype" w:hAnsi="Palatino Linotype"/>
          <w:b/>
        </w:rPr>
        <w:t>ARGUMENTATIVAS.</w:t>
      </w:r>
    </w:p>
    <w:p w14:paraId="61C4D34E" w14:textId="6348ECFA" w:rsidR="00777013" w:rsidRPr="00336566" w:rsidRDefault="00777013" w:rsidP="00777013">
      <w:pPr>
        <w:spacing w:before="240" w:after="360" w:line="360" w:lineRule="auto"/>
        <w:contextualSpacing/>
        <w:jc w:val="both"/>
        <w:rPr>
          <w:rFonts w:ascii="Palatino Linotype" w:eastAsia="Times New Roman" w:hAnsi="Palatino Linotype"/>
        </w:rPr>
      </w:pPr>
      <w:r w:rsidRPr="00336566">
        <w:rPr>
          <w:rFonts w:ascii="Palatino Linotype" w:eastAsia="Times New Roman" w:hAnsi="Palatino Linotype"/>
          <w:b/>
        </w:rPr>
        <w:t>DEBERES DE LAS AUTORIDADES.</w:t>
      </w:r>
      <w:r w:rsidRPr="00336566">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0E5D085" w14:textId="77777777" w:rsidR="009A101D" w:rsidRPr="00336566" w:rsidRDefault="009A101D" w:rsidP="00777013">
      <w:pPr>
        <w:spacing w:before="240" w:after="360" w:line="360" w:lineRule="auto"/>
        <w:contextualSpacing/>
        <w:jc w:val="both"/>
        <w:rPr>
          <w:rFonts w:ascii="Palatino Linotype" w:eastAsia="Times New Roman" w:hAnsi="Palatino Linotype"/>
        </w:rPr>
      </w:pPr>
    </w:p>
    <w:p w14:paraId="5A2ECFC6" w14:textId="77777777" w:rsidR="009A101D" w:rsidRPr="00336566" w:rsidRDefault="009A101D" w:rsidP="009A101D">
      <w:pPr>
        <w:spacing w:before="240" w:after="240" w:line="360" w:lineRule="auto"/>
        <w:contextualSpacing/>
        <w:jc w:val="both"/>
        <w:rPr>
          <w:rFonts w:ascii="Palatino Linotype" w:eastAsia="Times New Roman" w:hAnsi="Palatino Linotype" w:cs="Arial"/>
          <w:color w:val="000000"/>
          <w:szCs w:val="23"/>
        </w:rPr>
      </w:pPr>
      <w:r w:rsidRPr="00336566">
        <w:rPr>
          <w:rFonts w:ascii="Palatino Linotype" w:hAnsi="Palatino Linotype"/>
          <w:b/>
          <w:szCs w:val="23"/>
        </w:rPr>
        <w:t>PRORROGAS INDEBIDAS</w:t>
      </w:r>
      <w:r w:rsidRPr="00336566">
        <w:rPr>
          <w:rFonts w:ascii="Palatino Linotype" w:hAnsi="Palatino Linotype"/>
          <w:szCs w:val="23"/>
        </w:rPr>
        <w:t xml:space="preserve">. </w:t>
      </w:r>
      <w:r w:rsidRPr="00336566">
        <w:rPr>
          <w:rFonts w:ascii="Palatino Linotype" w:eastAsia="Times New Roman" w:hAnsi="Palatino Linotype" w:cs="Arial"/>
          <w:color w:val="000000"/>
          <w:szCs w:val="23"/>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14:paraId="7CFC56E1" w14:textId="77777777" w:rsidR="00030C45" w:rsidRPr="00336566" w:rsidRDefault="00030C45" w:rsidP="00777013">
      <w:pPr>
        <w:spacing w:before="240" w:after="360" w:line="360" w:lineRule="auto"/>
        <w:contextualSpacing/>
        <w:jc w:val="both"/>
        <w:rPr>
          <w:rFonts w:ascii="Palatino Linotype" w:eastAsia="Times New Roman" w:hAnsi="Palatino Linotype"/>
        </w:rPr>
      </w:pPr>
    </w:p>
    <w:p w14:paraId="5CA62E11" w14:textId="2F15BFE1" w:rsidR="006540A5" w:rsidRPr="00336566" w:rsidRDefault="009A61AE" w:rsidP="00426092">
      <w:pPr>
        <w:spacing w:before="240" w:after="360" w:line="360" w:lineRule="auto"/>
        <w:contextualSpacing/>
        <w:jc w:val="both"/>
        <w:rPr>
          <w:rFonts w:ascii="Palatino Linotype" w:eastAsia="Times New Roman" w:hAnsi="Palatino Linotype"/>
        </w:rPr>
      </w:pPr>
      <w:r w:rsidRPr="00336566">
        <w:rPr>
          <w:rFonts w:ascii="Palatino Linotype" w:eastAsia="Times New Roman" w:hAnsi="Palatino Linotype"/>
          <w:b/>
        </w:rPr>
        <w:t>RESPUESTAS IMPRECISAS O INCOMPLETAS, DEBER DE REPARACIÓN.</w:t>
      </w:r>
      <w:r w:rsidRPr="00336566">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9068E1C" w14:textId="77777777" w:rsidR="00515BA2" w:rsidRPr="00336566" w:rsidRDefault="00515BA2" w:rsidP="00426092">
      <w:pPr>
        <w:spacing w:before="240" w:after="360" w:line="360" w:lineRule="auto"/>
        <w:contextualSpacing/>
        <w:jc w:val="both"/>
        <w:rPr>
          <w:rFonts w:ascii="Palatino Linotype" w:eastAsia="Times New Roman" w:hAnsi="Palatino Linotype"/>
        </w:rPr>
      </w:pPr>
    </w:p>
    <w:p w14:paraId="3B86BDA9" w14:textId="1D5EF0A5" w:rsidR="00515BA2" w:rsidRPr="00336566" w:rsidRDefault="00515BA2" w:rsidP="009D4B4D">
      <w:pPr>
        <w:spacing w:line="360" w:lineRule="auto"/>
        <w:jc w:val="both"/>
        <w:rPr>
          <w:rFonts w:ascii="Palatino Linotype" w:eastAsia="MS Mincho" w:hAnsi="Palatino Linotype" w:cs="Times New Roman"/>
          <w:b/>
        </w:rPr>
      </w:pPr>
      <w:r w:rsidRPr="00336566">
        <w:rPr>
          <w:rFonts w:ascii="Palatino Linotype" w:eastAsia="MS Mincho" w:hAnsi="Palatino Linotype" w:cs="Times New Roman"/>
          <w:b/>
        </w:rPr>
        <w:t xml:space="preserve">INFORMACIÓN CONFIDENCIAL, CLASIFICACIÓN DE LA. </w:t>
      </w:r>
      <w:r w:rsidRPr="00336566">
        <w:rPr>
          <w:rFonts w:ascii="Palatino Linotype" w:eastAsia="MS Mincho" w:hAnsi="Palatino Linotype" w:cs="Times New Roman"/>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w:t>
      </w:r>
      <w:r w:rsidRPr="00336566">
        <w:rPr>
          <w:rFonts w:ascii="Palatino Linotype" w:eastAsia="MS Mincho" w:hAnsi="Palatino Linotype" w:cs="Times New Roman"/>
        </w:rPr>
        <w:lastRenderedPageBreak/>
        <w:t>solicitante, de lo contrario los servidores públicos involucrados incurrirán en responsabilidad.</w:t>
      </w:r>
    </w:p>
    <w:p w14:paraId="3980DA32" w14:textId="77777777" w:rsidR="00426092" w:rsidRPr="00336566" w:rsidRDefault="00426092" w:rsidP="00426092">
      <w:pPr>
        <w:spacing w:before="240" w:after="360" w:line="360" w:lineRule="auto"/>
        <w:contextualSpacing/>
        <w:jc w:val="both"/>
        <w:rPr>
          <w:rFonts w:ascii="Palatino Linotype" w:hAnsi="Palatino Linotype" w:cs="Arial"/>
        </w:rPr>
      </w:pPr>
    </w:p>
    <w:p w14:paraId="2AEF4D9A" w14:textId="64075BC5" w:rsidR="00426092" w:rsidRPr="00336566" w:rsidRDefault="00336566" w:rsidP="00426092">
      <w:pPr>
        <w:spacing w:before="240" w:after="360" w:line="360" w:lineRule="auto"/>
        <w:contextualSpacing/>
        <w:jc w:val="both"/>
        <w:rPr>
          <w:rFonts w:ascii="Palatino Linotype" w:hAnsi="Palatino Linotype" w:cs="Arial"/>
        </w:rPr>
      </w:pPr>
      <w:r w:rsidRPr="00336566">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095878D3" wp14:editId="05C63841">
                <wp:simplePos x="0" y="0"/>
                <wp:positionH relativeFrom="column">
                  <wp:posOffset>24764</wp:posOffset>
                </wp:positionH>
                <wp:positionV relativeFrom="paragraph">
                  <wp:posOffset>3072765</wp:posOffset>
                </wp:positionV>
                <wp:extent cx="5514975" cy="33909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14975" cy="3390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F3B0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41.95pt" to="436.2pt,5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" strokecolor="#4579b8 [3044]"/>
            </w:pict>
          </mc:Fallback>
        </mc:AlternateContent>
      </w:r>
      <w:r w:rsidR="00426092" w:rsidRPr="00336566">
        <w:rPr>
          <w:rFonts w:ascii="Palatino Linotype" w:hAnsi="Palatino Linotype" w:cs="Arial"/>
          <w:b/>
        </w:rPr>
        <w:t>VERSIONES PÚBLICAS, DE LA ELABORACIÓN DE LAS</w:t>
      </w:r>
      <w:r w:rsidR="00426092" w:rsidRPr="00336566">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0295912F" w14:textId="77777777" w:rsidR="00014338" w:rsidRPr="00336566" w:rsidRDefault="00014338" w:rsidP="004E5180">
      <w:pPr>
        <w:spacing w:before="240" w:after="240" w:line="360" w:lineRule="auto"/>
        <w:jc w:val="both"/>
        <w:rPr>
          <w:rFonts w:ascii="Palatino Linotype" w:hAnsi="Palatino Linotype"/>
          <w:b/>
          <w:color w:val="000000" w:themeColor="text1"/>
        </w:rPr>
      </w:pPr>
    </w:p>
    <w:p w14:paraId="7C24374E" w14:textId="77777777" w:rsidR="00515BA2" w:rsidRPr="00336566" w:rsidRDefault="00515BA2" w:rsidP="004E5180">
      <w:pPr>
        <w:spacing w:before="240" w:after="240" w:line="360" w:lineRule="auto"/>
        <w:jc w:val="both"/>
        <w:rPr>
          <w:rFonts w:ascii="Palatino Linotype" w:hAnsi="Palatino Linotype"/>
          <w:b/>
          <w:color w:val="000000" w:themeColor="text1"/>
        </w:rPr>
      </w:pPr>
    </w:p>
    <w:p w14:paraId="146A9643" w14:textId="77777777" w:rsidR="00515BA2" w:rsidRPr="00336566" w:rsidRDefault="00515BA2" w:rsidP="004E5180">
      <w:pPr>
        <w:spacing w:before="240" w:after="240" w:line="360" w:lineRule="auto"/>
        <w:jc w:val="both"/>
        <w:rPr>
          <w:rFonts w:ascii="Palatino Linotype" w:hAnsi="Palatino Linotype"/>
          <w:b/>
          <w:color w:val="000000" w:themeColor="text1"/>
        </w:rPr>
      </w:pPr>
    </w:p>
    <w:p w14:paraId="5813439B" w14:textId="77777777" w:rsidR="00515BA2" w:rsidRPr="00336566" w:rsidRDefault="00515BA2" w:rsidP="004E5180">
      <w:pPr>
        <w:spacing w:before="240" w:after="240" w:line="360" w:lineRule="auto"/>
        <w:jc w:val="both"/>
        <w:rPr>
          <w:rFonts w:ascii="Palatino Linotype" w:hAnsi="Palatino Linotype"/>
          <w:b/>
          <w:color w:val="000000" w:themeColor="text1"/>
        </w:rPr>
      </w:pPr>
    </w:p>
    <w:p w14:paraId="76158525" w14:textId="77777777" w:rsidR="00515BA2" w:rsidRPr="00336566" w:rsidRDefault="00515BA2" w:rsidP="004E5180">
      <w:pPr>
        <w:spacing w:before="240" w:after="240" w:line="360" w:lineRule="auto"/>
        <w:jc w:val="both"/>
        <w:rPr>
          <w:rFonts w:ascii="Palatino Linotype" w:hAnsi="Palatino Linotype"/>
          <w:b/>
          <w:color w:val="000000" w:themeColor="text1"/>
        </w:rPr>
      </w:pPr>
    </w:p>
    <w:p w14:paraId="32A1D59A" w14:textId="77777777" w:rsidR="00515BA2" w:rsidRPr="00336566" w:rsidRDefault="00515BA2" w:rsidP="004E5180">
      <w:pPr>
        <w:spacing w:before="240" w:after="240" w:line="360" w:lineRule="auto"/>
        <w:jc w:val="both"/>
        <w:rPr>
          <w:rFonts w:ascii="Palatino Linotype" w:hAnsi="Palatino Linotype"/>
          <w:b/>
          <w:color w:val="000000" w:themeColor="text1"/>
        </w:rPr>
      </w:pPr>
    </w:p>
    <w:p w14:paraId="08BD2D04" w14:textId="77777777" w:rsidR="00EC5D48" w:rsidRPr="00336566" w:rsidRDefault="00EC5D48" w:rsidP="004E5180">
      <w:pPr>
        <w:spacing w:before="240" w:after="240" w:line="360" w:lineRule="auto"/>
        <w:jc w:val="both"/>
        <w:rPr>
          <w:rFonts w:ascii="Palatino Linotype" w:hAnsi="Palatino Linotype"/>
          <w:color w:val="000000" w:themeColor="text1"/>
        </w:rPr>
      </w:pPr>
    </w:p>
    <w:p w14:paraId="5C6AEE9C" w14:textId="294D36BB" w:rsidR="007C37D2" w:rsidRPr="00336566" w:rsidRDefault="00474A9F" w:rsidP="00721F66">
      <w:pPr>
        <w:spacing w:before="240" w:after="240" w:line="360" w:lineRule="auto"/>
        <w:jc w:val="center"/>
        <w:rPr>
          <w:rFonts w:ascii="Palatino Linotype" w:hAnsi="Palatino Linotype"/>
          <w:color w:val="000000" w:themeColor="text1"/>
        </w:rPr>
      </w:pPr>
      <w:r w:rsidRPr="00336566">
        <w:rPr>
          <w:rFonts w:ascii="Palatino Linotype" w:hAnsi="Palatino Linotype"/>
          <w:b/>
          <w:color w:val="000000" w:themeColor="text1"/>
        </w:rPr>
        <w:lastRenderedPageBreak/>
        <w:t>ÍNDICE</w:t>
      </w:r>
      <w:r w:rsidRPr="00336566">
        <w:rPr>
          <w:rFonts w:ascii="Palatino Linotype" w:hAnsi="Palatino Linotype"/>
          <w:color w:val="000000" w:themeColor="text1"/>
        </w:rPr>
        <w:t>.</w:t>
      </w:r>
    </w:p>
    <w:p w14:paraId="12396007" w14:textId="77777777" w:rsidR="00474A9F" w:rsidRPr="00336566" w:rsidRDefault="00474A9F" w:rsidP="00721F66">
      <w:pPr>
        <w:spacing w:before="240" w:after="240"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098032E" w14:textId="77777777" w:rsidR="00336566" w:rsidRPr="00336566" w:rsidRDefault="00B828E4">
          <w:pPr>
            <w:pStyle w:val="TDC1"/>
            <w:rPr>
              <w:noProof/>
              <w:sz w:val="22"/>
              <w:szCs w:val="22"/>
              <w:lang w:val="es-MX" w:eastAsia="es-MX"/>
            </w:rPr>
          </w:pPr>
          <w:r w:rsidRPr="00336566">
            <w:rPr>
              <w:rFonts w:ascii="Palatino Linotype" w:hAnsi="Palatino Linotype"/>
              <w:color w:val="000000" w:themeColor="text1"/>
            </w:rPr>
            <w:fldChar w:fldCharType="begin"/>
          </w:r>
          <w:r w:rsidRPr="00336566">
            <w:rPr>
              <w:rFonts w:ascii="Palatino Linotype" w:hAnsi="Palatino Linotype"/>
              <w:color w:val="000000" w:themeColor="text1"/>
            </w:rPr>
            <w:instrText xml:space="preserve"> TOC \o "1-3" \h \z \u </w:instrText>
          </w:r>
          <w:r w:rsidRPr="00336566">
            <w:rPr>
              <w:rFonts w:ascii="Palatino Linotype" w:hAnsi="Palatino Linotype"/>
              <w:color w:val="000000" w:themeColor="text1"/>
            </w:rPr>
            <w:fldChar w:fldCharType="separate"/>
          </w:r>
          <w:hyperlink w:anchor="_Toc525557991" w:history="1">
            <w:r w:rsidR="00336566" w:rsidRPr="00336566">
              <w:rPr>
                <w:rStyle w:val="Hipervnculo"/>
                <w:rFonts w:ascii="Palatino Linotype" w:hAnsi="Palatino Linotype"/>
                <w:b/>
                <w:noProof/>
              </w:rPr>
              <w:t>ANTECEDENTES</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_Toc525557991 \h </w:instrText>
            </w:r>
            <w:r w:rsidR="00336566" w:rsidRPr="00336566">
              <w:rPr>
                <w:noProof/>
                <w:webHidden/>
              </w:rPr>
            </w:r>
            <w:r w:rsidR="00336566" w:rsidRPr="00336566">
              <w:rPr>
                <w:noProof/>
                <w:webHidden/>
              </w:rPr>
              <w:fldChar w:fldCharType="separate"/>
            </w:r>
            <w:r w:rsidR="003D4B53">
              <w:rPr>
                <w:noProof/>
                <w:webHidden/>
              </w:rPr>
              <w:t>4</w:t>
            </w:r>
            <w:r w:rsidR="00336566" w:rsidRPr="00336566">
              <w:rPr>
                <w:noProof/>
                <w:webHidden/>
              </w:rPr>
              <w:fldChar w:fldCharType="end"/>
            </w:r>
          </w:hyperlink>
        </w:p>
        <w:p w14:paraId="7252781B" w14:textId="77777777" w:rsidR="00336566" w:rsidRPr="00336566" w:rsidRDefault="00543B68">
          <w:pPr>
            <w:pStyle w:val="TDC1"/>
            <w:rPr>
              <w:noProof/>
              <w:sz w:val="22"/>
              <w:szCs w:val="22"/>
              <w:lang w:val="es-MX" w:eastAsia="es-MX"/>
            </w:rPr>
          </w:pPr>
          <w:hyperlink w:anchor="_Toc525557994" w:history="1">
            <w:r w:rsidR="00336566" w:rsidRPr="00336566">
              <w:rPr>
                <w:rStyle w:val="Hipervnculo"/>
                <w:rFonts w:ascii="Palatino Linotype" w:hAnsi="Palatino Linotype"/>
                <w:b/>
                <w:noProof/>
              </w:rPr>
              <w:t>CONSIDERANDO</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_Toc525557994 \h </w:instrText>
            </w:r>
            <w:r w:rsidR="00336566" w:rsidRPr="00336566">
              <w:rPr>
                <w:noProof/>
                <w:webHidden/>
              </w:rPr>
            </w:r>
            <w:r w:rsidR="00336566" w:rsidRPr="00336566">
              <w:rPr>
                <w:noProof/>
                <w:webHidden/>
              </w:rPr>
              <w:fldChar w:fldCharType="separate"/>
            </w:r>
            <w:r w:rsidR="003D4B53">
              <w:rPr>
                <w:noProof/>
                <w:webHidden/>
              </w:rPr>
              <w:t>10</w:t>
            </w:r>
            <w:r w:rsidR="00336566" w:rsidRPr="00336566">
              <w:rPr>
                <w:noProof/>
                <w:webHidden/>
              </w:rPr>
              <w:fldChar w:fldCharType="end"/>
            </w:r>
          </w:hyperlink>
        </w:p>
        <w:p w14:paraId="60D69686" w14:textId="77777777" w:rsidR="00336566" w:rsidRPr="00336566" w:rsidRDefault="00543B68" w:rsidP="00336566">
          <w:pPr>
            <w:pStyle w:val="TDC2"/>
            <w:tabs>
              <w:tab w:val="right" w:leader="dot" w:pos="8779"/>
            </w:tabs>
            <w:ind w:left="0"/>
            <w:rPr>
              <w:noProof/>
              <w:sz w:val="22"/>
              <w:szCs w:val="22"/>
              <w:lang w:val="es-MX" w:eastAsia="es-MX"/>
            </w:rPr>
          </w:pPr>
          <w:hyperlink w:anchor="_Toc525557995" w:history="1">
            <w:r w:rsidR="00336566" w:rsidRPr="00336566">
              <w:rPr>
                <w:rStyle w:val="Hipervnculo"/>
                <w:rFonts w:ascii="Palatino Linotype" w:hAnsi="Palatino Linotype"/>
                <w:b/>
                <w:noProof/>
              </w:rPr>
              <w:t>PRIMERO. De la competencia</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_Toc525557995 \h </w:instrText>
            </w:r>
            <w:r w:rsidR="00336566" w:rsidRPr="00336566">
              <w:rPr>
                <w:noProof/>
                <w:webHidden/>
              </w:rPr>
            </w:r>
            <w:r w:rsidR="00336566" w:rsidRPr="00336566">
              <w:rPr>
                <w:noProof/>
                <w:webHidden/>
              </w:rPr>
              <w:fldChar w:fldCharType="separate"/>
            </w:r>
            <w:r w:rsidR="003D4B53">
              <w:rPr>
                <w:noProof/>
                <w:webHidden/>
              </w:rPr>
              <w:t>10</w:t>
            </w:r>
            <w:r w:rsidR="00336566" w:rsidRPr="00336566">
              <w:rPr>
                <w:noProof/>
                <w:webHidden/>
              </w:rPr>
              <w:fldChar w:fldCharType="end"/>
            </w:r>
          </w:hyperlink>
        </w:p>
        <w:p w14:paraId="2359701E" w14:textId="77777777" w:rsidR="00336566" w:rsidRPr="00336566" w:rsidRDefault="00543B68" w:rsidP="00336566">
          <w:pPr>
            <w:pStyle w:val="TDC2"/>
            <w:tabs>
              <w:tab w:val="right" w:leader="dot" w:pos="8779"/>
            </w:tabs>
            <w:ind w:left="0"/>
            <w:rPr>
              <w:noProof/>
              <w:sz w:val="22"/>
              <w:szCs w:val="22"/>
              <w:lang w:val="es-MX" w:eastAsia="es-MX"/>
            </w:rPr>
          </w:pPr>
          <w:hyperlink w:anchor="_Toc525557996" w:history="1">
            <w:r w:rsidR="00336566" w:rsidRPr="00336566">
              <w:rPr>
                <w:rStyle w:val="Hipervnculo"/>
                <w:rFonts w:ascii="Palatino Linotype" w:hAnsi="Palatino Linotype"/>
                <w:b/>
                <w:noProof/>
              </w:rPr>
              <w:t>SEGUNDO. De la oportunidad y procedencia.</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_Toc525557996 \h </w:instrText>
            </w:r>
            <w:r w:rsidR="00336566" w:rsidRPr="00336566">
              <w:rPr>
                <w:noProof/>
                <w:webHidden/>
              </w:rPr>
            </w:r>
            <w:r w:rsidR="00336566" w:rsidRPr="00336566">
              <w:rPr>
                <w:noProof/>
                <w:webHidden/>
              </w:rPr>
              <w:fldChar w:fldCharType="separate"/>
            </w:r>
            <w:r w:rsidR="003D4B53">
              <w:rPr>
                <w:noProof/>
                <w:webHidden/>
              </w:rPr>
              <w:t>11</w:t>
            </w:r>
            <w:r w:rsidR="00336566" w:rsidRPr="00336566">
              <w:rPr>
                <w:noProof/>
                <w:webHidden/>
              </w:rPr>
              <w:fldChar w:fldCharType="end"/>
            </w:r>
          </w:hyperlink>
        </w:p>
        <w:p w14:paraId="392EF5C8" w14:textId="77777777" w:rsidR="00336566" w:rsidRPr="00336566" w:rsidRDefault="00543B68" w:rsidP="00336566">
          <w:pPr>
            <w:pStyle w:val="TDC2"/>
            <w:tabs>
              <w:tab w:val="right" w:leader="dot" w:pos="8779"/>
            </w:tabs>
            <w:ind w:left="0"/>
            <w:rPr>
              <w:noProof/>
              <w:sz w:val="22"/>
              <w:szCs w:val="22"/>
              <w:lang w:val="es-MX" w:eastAsia="es-MX"/>
            </w:rPr>
          </w:pPr>
          <w:hyperlink w:anchor="_Toc525557997" w:history="1">
            <w:r w:rsidR="00336566" w:rsidRPr="00336566">
              <w:rPr>
                <w:rStyle w:val="Hipervnculo"/>
                <w:rFonts w:ascii="Palatino Linotype" w:hAnsi="Palatino Linotype"/>
                <w:b/>
                <w:noProof/>
              </w:rPr>
              <w:t xml:space="preserve">TERCERO. Del planteamiento de la </w:t>
            </w:r>
            <w:r w:rsidR="00336566" w:rsidRPr="00336566">
              <w:rPr>
                <w:rStyle w:val="Hipervnculo"/>
                <w:rFonts w:ascii="Palatino Linotype" w:hAnsi="Palatino Linotype"/>
                <w:b/>
                <w:i/>
                <w:noProof/>
              </w:rPr>
              <w:t>Litis.</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_Toc525557997 \h </w:instrText>
            </w:r>
            <w:r w:rsidR="00336566" w:rsidRPr="00336566">
              <w:rPr>
                <w:noProof/>
                <w:webHidden/>
              </w:rPr>
            </w:r>
            <w:r w:rsidR="00336566" w:rsidRPr="00336566">
              <w:rPr>
                <w:noProof/>
                <w:webHidden/>
              </w:rPr>
              <w:fldChar w:fldCharType="separate"/>
            </w:r>
            <w:r w:rsidR="003D4B53">
              <w:rPr>
                <w:noProof/>
                <w:webHidden/>
              </w:rPr>
              <w:t>12</w:t>
            </w:r>
            <w:r w:rsidR="00336566" w:rsidRPr="00336566">
              <w:rPr>
                <w:noProof/>
                <w:webHidden/>
              </w:rPr>
              <w:fldChar w:fldCharType="end"/>
            </w:r>
          </w:hyperlink>
        </w:p>
        <w:p w14:paraId="5997CD0D" w14:textId="77777777" w:rsidR="00336566" w:rsidRPr="00336566" w:rsidRDefault="00543B68">
          <w:pPr>
            <w:pStyle w:val="TDC1"/>
            <w:rPr>
              <w:noProof/>
              <w:sz w:val="22"/>
              <w:szCs w:val="22"/>
              <w:lang w:val="es-MX" w:eastAsia="es-MX"/>
            </w:rPr>
          </w:pPr>
          <w:hyperlink w:anchor="_Toc525557998" w:history="1">
            <w:r w:rsidR="00336566" w:rsidRPr="00336566">
              <w:rPr>
                <w:rStyle w:val="Hipervnculo"/>
                <w:rFonts w:ascii="Palatino Linotype" w:hAnsi="Palatino Linotype"/>
                <w:b/>
                <w:noProof/>
              </w:rPr>
              <w:t>CUARTO.  De previo y especial pronunciamiento.</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_Toc525557998 \h </w:instrText>
            </w:r>
            <w:r w:rsidR="00336566" w:rsidRPr="00336566">
              <w:rPr>
                <w:noProof/>
                <w:webHidden/>
              </w:rPr>
            </w:r>
            <w:r w:rsidR="00336566" w:rsidRPr="00336566">
              <w:rPr>
                <w:noProof/>
                <w:webHidden/>
              </w:rPr>
              <w:fldChar w:fldCharType="separate"/>
            </w:r>
            <w:r w:rsidR="003D4B53">
              <w:rPr>
                <w:noProof/>
                <w:webHidden/>
              </w:rPr>
              <w:t>13</w:t>
            </w:r>
            <w:r w:rsidR="00336566" w:rsidRPr="00336566">
              <w:rPr>
                <w:noProof/>
                <w:webHidden/>
              </w:rPr>
              <w:fldChar w:fldCharType="end"/>
            </w:r>
          </w:hyperlink>
        </w:p>
        <w:p w14:paraId="2FA24BEF" w14:textId="77777777" w:rsidR="00336566" w:rsidRPr="00336566" w:rsidRDefault="00543B68">
          <w:pPr>
            <w:pStyle w:val="TDC1"/>
            <w:rPr>
              <w:noProof/>
              <w:sz w:val="22"/>
              <w:szCs w:val="22"/>
              <w:lang w:val="es-MX" w:eastAsia="es-MX"/>
            </w:rPr>
          </w:pPr>
          <w:hyperlink w:anchor="_Toc525557999" w:history="1">
            <w:r w:rsidR="00336566" w:rsidRPr="00336566">
              <w:rPr>
                <w:rStyle w:val="Hipervnculo"/>
                <w:rFonts w:ascii="Palatino Linotype" w:hAnsi="Palatino Linotype"/>
                <w:b/>
                <w:noProof/>
              </w:rPr>
              <w:t>QUINTO. Del estudio y resolución del asunto.</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_Toc525557999 \h </w:instrText>
            </w:r>
            <w:r w:rsidR="00336566" w:rsidRPr="00336566">
              <w:rPr>
                <w:noProof/>
                <w:webHidden/>
              </w:rPr>
            </w:r>
            <w:r w:rsidR="00336566" w:rsidRPr="00336566">
              <w:rPr>
                <w:noProof/>
                <w:webHidden/>
              </w:rPr>
              <w:fldChar w:fldCharType="separate"/>
            </w:r>
            <w:r w:rsidR="003D4B53">
              <w:rPr>
                <w:noProof/>
                <w:webHidden/>
              </w:rPr>
              <w:t>15</w:t>
            </w:r>
            <w:r w:rsidR="00336566" w:rsidRPr="00336566">
              <w:rPr>
                <w:noProof/>
                <w:webHidden/>
              </w:rPr>
              <w:fldChar w:fldCharType="end"/>
            </w:r>
          </w:hyperlink>
        </w:p>
        <w:p w14:paraId="0047CBFF" w14:textId="77777777" w:rsidR="00336566" w:rsidRPr="00336566" w:rsidRDefault="00543B68">
          <w:pPr>
            <w:pStyle w:val="TDC2"/>
            <w:tabs>
              <w:tab w:val="right" w:leader="dot" w:pos="8779"/>
            </w:tabs>
            <w:rPr>
              <w:noProof/>
              <w:sz w:val="22"/>
              <w:szCs w:val="22"/>
              <w:lang w:val="es-MX" w:eastAsia="es-MX"/>
            </w:rPr>
          </w:pPr>
          <w:hyperlink w:anchor="_Toc525558000" w:history="1">
            <w:r w:rsidR="00336566" w:rsidRPr="00336566">
              <w:rPr>
                <w:rStyle w:val="Hipervnculo"/>
                <w:rFonts w:ascii="Palatino Linotype" w:hAnsi="Palatino Linotype"/>
                <w:b/>
                <w:noProof/>
              </w:rPr>
              <w:t>I. Del deber de las autoridades de promover, respetar, proteger, y garantizar el derecho de acceso a la información pública.</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_Toc525558000 \h </w:instrText>
            </w:r>
            <w:r w:rsidR="00336566" w:rsidRPr="00336566">
              <w:rPr>
                <w:noProof/>
                <w:webHidden/>
              </w:rPr>
            </w:r>
            <w:r w:rsidR="00336566" w:rsidRPr="00336566">
              <w:rPr>
                <w:noProof/>
                <w:webHidden/>
              </w:rPr>
              <w:fldChar w:fldCharType="separate"/>
            </w:r>
            <w:r w:rsidR="003D4B53">
              <w:rPr>
                <w:noProof/>
                <w:webHidden/>
              </w:rPr>
              <w:t>15</w:t>
            </w:r>
            <w:r w:rsidR="00336566" w:rsidRPr="00336566">
              <w:rPr>
                <w:noProof/>
                <w:webHidden/>
              </w:rPr>
              <w:fldChar w:fldCharType="end"/>
            </w:r>
          </w:hyperlink>
        </w:p>
        <w:p w14:paraId="5D69A3A4" w14:textId="77777777" w:rsidR="00336566" w:rsidRPr="00336566" w:rsidRDefault="00543B68">
          <w:pPr>
            <w:pStyle w:val="TDC2"/>
            <w:tabs>
              <w:tab w:val="right" w:leader="dot" w:pos="8779"/>
            </w:tabs>
            <w:rPr>
              <w:noProof/>
              <w:sz w:val="22"/>
              <w:szCs w:val="22"/>
              <w:lang w:val="es-MX" w:eastAsia="es-MX"/>
            </w:rPr>
          </w:pPr>
          <w:hyperlink w:anchor="_Toc525558001" w:history="1">
            <w:r w:rsidR="00336566" w:rsidRPr="00336566">
              <w:rPr>
                <w:rStyle w:val="Hipervnculo"/>
                <w:rFonts w:ascii="Palatino Linotype" w:hAnsi="Palatino Linotype"/>
                <w:b/>
                <w:noProof/>
              </w:rPr>
              <w:t>II.  De la información puesta disposición.</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_Toc525558001 \h </w:instrText>
            </w:r>
            <w:r w:rsidR="00336566" w:rsidRPr="00336566">
              <w:rPr>
                <w:noProof/>
                <w:webHidden/>
              </w:rPr>
            </w:r>
            <w:r w:rsidR="00336566" w:rsidRPr="00336566">
              <w:rPr>
                <w:noProof/>
                <w:webHidden/>
              </w:rPr>
              <w:fldChar w:fldCharType="separate"/>
            </w:r>
            <w:r w:rsidR="003D4B53">
              <w:rPr>
                <w:noProof/>
                <w:webHidden/>
              </w:rPr>
              <w:t>17</w:t>
            </w:r>
            <w:r w:rsidR="00336566" w:rsidRPr="00336566">
              <w:rPr>
                <w:noProof/>
                <w:webHidden/>
              </w:rPr>
              <w:fldChar w:fldCharType="end"/>
            </w:r>
          </w:hyperlink>
        </w:p>
        <w:p w14:paraId="38B7B8A6" w14:textId="77777777" w:rsidR="00336566" w:rsidRPr="00336566" w:rsidRDefault="00543B68">
          <w:pPr>
            <w:pStyle w:val="TDC2"/>
            <w:tabs>
              <w:tab w:val="right" w:leader="dot" w:pos="8779"/>
            </w:tabs>
            <w:rPr>
              <w:noProof/>
              <w:sz w:val="22"/>
              <w:szCs w:val="22"/>
              <w:lang w:val="es-MX" w:eastAsia="es-MX"/>
            </w:rPr>
          </w:pPr>
          <w:hyperlink w:anchor="_Toc525558002" w:history="1">
            <w:r w:rsidR="00336566" w:rsidRPr="00336566">
              <w:rPr>
                <w:rStyle w:val="Hipervnculo"/>
                <w:rFonts w:ascii="Palatino Linotype" w:hAnsi="Palatino Linotype"/>
                <w:b/>
                <w:noProof/>
              </w:rPr>
              <w:t>III. De las consideraciones que se deben de observar para realizar el acuerdo de clasificación de la información como confidencial.</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_Toc525558002 \h </w:instrText>
            </w:r>
            <w:r w:rsidR="00336566" w:rsidRPr="00336566">
              <w:rPr>
                <w:noProof/>
                <w:webHidden/>
              </w:rPr>
            </w:r>
            <w:r w:rsidR="00336566" w:rsidRPr="00336566">
              <w:rPr>
                <w:noProof/>
                <w:webHidden/>
              </w:rPr>
              <w:fldChar w:fldCharType="separate"/>
            </w:r>
            <w:r w:rsidR="003D4B53">
              <w:rPr>
                <w:noProof/>
                <w:webHidden/>
              </w:rPr>
              <w:t>28</w:t>
            </w:r>
            <w:r w:rsidR="00336566" w:rsidRPr="00336566">
              <w:rPr>
                <w:noProof/>
                <w:webHidden/>
              </w:rPr>
              <w:fldChar w:fldCharType="end"/>
            </w:r>
          </w:hyperlink>
        </w:p>
        <w:p w14:paraId="7B339A02" w14:textId="77777777" w:rsidR="00336566" w:rsidRPr="00336566" w:rsidRDefault="00543B68">
          <w:pPr>
            <w:pStyle w:val="TDC2"/>
            <w:tabs>
              <w:tab w:val="right" w:leader="dot" w:pos="8779"/>
            </w:tabs>
            <w:rPr>
              <w:noProof/>
              <w:sz w:val="22"/>
              <w:szCs w:val="22"/>
              <w:lang w:val="es-MX" w:eastAsia="es-MX"/>
            </w:rPr>
          </w:pPr>
          <w:hyperlink w:anchor="_Toc525558003" w:history="1">
            <w:r w:rsidR="00336566" w:rsidRPr="00336566">
              <w:rPr>
                <w:rStyle w:val="Hipervnculo"/>
                <w:rFonts w:ascii="Palatino Linotype" w:hAnsi="Palatino Linotype" w:cs="Arial"/>
                <w:b/>
                <w:noProof/>
              </w:rPr>
              <w:t>III.I. Requisitos previos.</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_Toc525558003 \h </w:instrText>
            </w:r>
            <w:r w:rsidR="00336566" w:rsidRPr="00336566">
              <w:rPr>
                <w:noProof/>
                <w:webHidden/>
              </w:rPr>
            </w:r>
            <w:r w:rsidR="00336566" w:rsidRPr="00336566">
              <w:rPr>
                <w:noProof/>
                <w:webHidden/>
              </w:rPr>
              <w:fldChar w:fldCharType="separate"/>
            </w:r>
            <w:r w:rsidR="003D4B53">
              <w:rPr>
                <w:noProof/>
                <w:webHidden/>
              </w:rPr>
              <w:t>30</w:t>
            </w:r>
            <w:r w:rsidR="00336566" w:rsidRPr="00336566">
              <w:rPr>
                <w:noProof/>
                <w:webHidden/>
              </w:rPr>
              <w:fldChar w:fldCharType="end"/>
            </w:r>
          </w:hyperlink>
        </w:p>
        <w:p w14:paraId="05A8398A" w14:textId="77777777" w:rsidR="00336566" w:rsidRPr="00336566" w:rsidRDefault="00543B68">
          <w:pPr>
            <w:pStyle w:val="TDC2"/>
            <w:tabs>
              <w:tab w:val="right" w:leader="dot" w:pos="8779"/>
            </w:tabs>
            <w:rPr>
              <w:noProof/>
              <w:sz w:val="22"/>
              <w:szCs w:val="22"/>
              <w:lang w:val="es-MX" w:eastAsia="es-MX"/>
            </w:rPr>
          </w:pPr>
          <w:hyperlink w:anchor="_Toc525558004" w:history="1">
            <w:r w:rsidR="00336566" w:rsidRPr="00336566">
              <w:rPr>
                <w:rStyle w:val="Hipervnculo"/>
                <w:rFonts w:ascii="Palatino Linotype" w:hAnsi="Palatino Linotype"/>
                <w:b/>
                <w:noProof/>
              </w:rPr>
              <w:t>III.II Supuestos de clasificación.</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_Toc525558004 \h </w:instrText>
            </w:r>
            <w:r w:rsidR="00336566" w:rsidRPr="00336566">
              <w:rPr>
                <w:noProof/>
                <w:webHidden/>
              </w:rPr>
            </w:r>
            <w:r w:rsidR="00336566" w:rsidRPr="00336566">
              <w:rPr>
                <w:noProof/>
                <w:webHidden/>
              </w:rPr>
              <w:fldChar w:fldCharType="separate"/>
            </w:r>
            <w:r w:rsidR="003D4B53">
              <w:rPr>
                <w:noProof/>
                <w:webHidden/>
              </w:rPr>
              <w:t>31</w:t>
            </w:r>
            <w:r w:rsidR="00336566" w:rsidRPr="00336566">
              <w:rPr>
                <w:noProof/>
                <w:webHidden/>
              </w:rPr>
              <w:fldChar w:fldCharType="end"/>
            </w:r>
          </w:hyperlink>
        </w:p>
        <w:p w14:paraId="21B40B85" w14:textId="77777777" w:rsidR="00336566" w:rsidRPr="00336566" w:rsidRDefault="00543B68">
          <w:pPr>
            <w:pStyle w:val="TDC2"/>
            <w:tabs>
              <w:tab w:val="right" w:leader="dot" w:pos="8779"/>
            </w:tabs>
            <w:rPr>
              <w:noProof/>
              <w:sz w:val="22"/>
              <w:szCs w:val="22"/>
              <w:lang w:val="es-MX" w:eastAsia="es-MX"/>
            </w:rPr>
          </w:pPr>
          <w:hyperlink w:anchor="_Toc525558005" w:history="1">
            <w:r w:rsidR="00336566" w:rsidRPr="00336566">
              <w:rPr>
                <w:rStyle w:val="Hipervnculo"/>
                <w:rFonts w:ascii="Palatino Linotype" w:hAnsi="Palatino Linotype"/>
                <w:b/>
                <w:noProof/>
              </w:rPr>
              <w:t>III.III. Formalidades para emitir el acuerdo de clasificación.</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_Toc525558005 \h </w:instrText>
            </w:r>
            <w:r w:rsidR="00336566" w:rsidRPr="00336566">
              <w:rPr>
                <w:noProof/>
                <w:webHidden/>
              </w:rPr>
            </w:r>
            <w:r w:rsidR="00336566" w:rsidRPr="00336566">
              <w:rPr>
                <w:noProof/>
                <w:webHidden/>
              </w:rPr>
              <w:fldChar w:fldCharType="separate"/>
            </w:r>
            <w:r w:rsidR="003D4B53">
              <w:rPr>
                <w:noProof/>
                <w:webHidden/>
              </w:rPr>
              <w:t>33</w:t>
            </w:r>
            <w:r w:rsidR="00336566" w:rsidRPr="00336566">
              <w:rPr>
                <w:noProof/>
                <w:webHidden/>
              </w:rPr>
              <w:fldChar w:fldCharType="end"/>
            </w:r>
          </w:hyperlink>
        </w:p>
        <w:p w14:paraId="132AC37D" w14:textId="77777777" w:rsidR="00336566" w:rsidRPr="00336566" w:rsidRDefault="00543B68">
          <w:pPr>
            <w:pStyle w:val="TDC2"/>
            <w:tabs>
              <w:tab w:val="right" w:leader="dot" w:pos="8779"/>
            </w:tabs>
            <w:rPr>
              <w:noProof/>
              <w:sz w:val="22"/>
              <w:szCs w:val="22"/>
              <w:lang w:val="es-MX" w:eastAsia="es-MX"/>
            </w:rPr>
          </w:pPr>
          <w:hyperlink w:anchor="_Toc525558006" w:history="1">
            <w:r w:rsidR="00336566" w:rsidRPr="00336566">
              <w:rPr>
                <w:rStyle w:val="Hipervnculo"/>
                <w:rFonts w:ascii="Palatino Linotype" w:hAnsi="Palatino Linotype"/>
                <w:b/>
                <w:noProof/>
              </w:rPr>
              <w:t>III.IV. Requisitos de fondo del acuerdo de clasificación.</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_Toc525558006 \h </w:instrText>
            </w:r>
            <w:r w:rsidR="00336566" w:rsidRPr="00336566">
              <w:rPr>
                <w:noProof/>
                <w:webHidden/>
              </w:rPr>
            </w:r>
            <w:r w:rsidR="00336566" w:rsidRPr="00336566">
              <w:rPr>
                <w:noProof/>
                <w:webHidden/>
              </w:rPr>
              <w:fldChar w:fldCharType="separate"/>
            </w:r>
            <w:r w:rsidR="003D4B53">
              <w:rPr>
                <w:noProof/>
                <w:webHidden/>
              </w:rPr>
              <w:t>34</w:t>
            </w:r>
            <w:r w:rsidR="00336566" w:rsidRPr="00336566">
              <w:rPr>
                <w:noProof/>
                <w:webHidden/>
              </w:rPr>
              <w:fldChar w:fldCharType="end"/>
            </w:r>
          </w:hyperlink>
        </w:p>
        <w:p w14:paraId="6A9A418A" w14:textId="77777777" w:rsidR="00336566" w:rsidRPr="00336566" w:rsidRDefault="00543B68">
          <w:pPr>
            <w:pStyle w:val="TDC2"/>
            <w:tabs>
              <w:tab w:val="right" w:leader="dot" w:pos="8779"/>
            </w:tabs>
            <w:rPr>
              <w:noProof/>
              <w:sz w:val="22"/>
              <w:szCs w:val="22"/>
              <w:lang w:val="es-MX" w:eastAsia="es-MX"/>
            </w:rPr>
          </w:pPr>
          <w:hyperlink w:anchor="_Toc525558007" w:history="1">
            <w:r w:rsidR="00336566" w:rsidRPr="00336566">
              <w:rPr>
                <w:rStyle w:val="Hipervnculo"/>
                <w:rFonts w:ascii="Palatino Linotype" w:hAnsi="Palatino Linotype"/>
                <w:b/>
                <w:noProof/>
              </w:rPr>
              <w:t>III.V. Condiciones especiales de la clasificación de la información como confidencial.</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_Toc525558007 \h </w:instrText>
            </w:r>
            <w:r w:rsidR="00336566" w:rsidRPr="00336566">
              <w:rPr>
                <w:noProof/>
                <w:webHidden/>
              </w:rPr>
            </w:r>
            <w:r w:rsidR="00336566" w:rsidRPr="00336566">
              <w:rPr>
                <w:noProof/>
                <w:webHidden/>
              </w:rPr>
              <w:fldChar w:fldCharType="separate"/>
            </w:r>
            <w:r w:rsidR="003D4B53">
              <w:rPr>
                <w:noProof/>
                <w:webHidden/>
              </w:rPr>
              <w:t>38</w:t>
            </w:r>
            <w:r w:rsidR="00336566" w:rsidRPr="00336566">
              <w:rPr>
                <w:noProof/>
                <w:webHidden/>
              </w:rPr>
              <w:fldChar w:fldCharType="end"/>
            </w:r>
          </w:hyperlink>
        </w:p>
        <w:p w14:paraId="3AD12EA3" w14:textId="77777777" w:rsidR="00336566" w:rsidRPr="00336566" w:rsidRDefault="00543B68">
          <w:pPr>
            <w:pStyle w:val="TDC1"/>
            <w:rPr>
              <w:noProof/>
              <w:sz w:val="22"/>
              <w:szCs w:val="22"/>
              <w:lang w:val="es-MX" w:eastAsia="es-MX"/>
            </w:rPr>
          </w:pPr>
          <w:hyperlink w:anchor="_Toc525558008" w:history="1">
            <w:r w:rsidR="00336566" w:rsidRPr="00336566">
              <w:rPr>
                <w:rStyle w:val="Hipervnculo"/>
                <w:rFonts w:ascii="Palatino Linotype" w:hAnsi="Palatino Linotype"/>
                <w:b/>
                <w:noProof/>
              </w:rPr>
              <w:t>SEXTO. Vista a los Órganos de Control Interno.</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_Toc525558008 \h </w:instrText>
            </w:r>
            <w:r w:rsidR="00336566" w:rsidRPr="00336566">
              <w:rPr>
                <w:noProof/>
                <w:webHidden/>
              </w:rPr>
            </w:r>
            <w:r w:rsidR="00336566" w:rsidRPr="00336566">
              <w:rPr>
                <w:noProof/>
                <w:webHidden/>
              </w:rPr>
              <w:fldChar w:fldCharType="separate"/>
            </w:r>
            <w:r w:rsidR="003D4B53">
              <w:rPr>
                <w:noProof/>
                <w:webHidden/>
              </w:rPr>
              <w:t>40</w:t>
            </w:r>
            <w:r w:rsidR="00336566" w:rsidRPr="00336566">
              <w:rPr>
                <w:noProof/>
                <w:webHidden/>
              </w:rPr>
              <w:fldChar w:fldCharType="end"/>
            </w:r>
          </w:hyperlink>
        </w:p>
        <w:p w14:paraId="05F70573" w14:textId="77777777" w:rsidR="00336566" w:rsidRPr="00336566" w:rsidRDefault="00543B68">
          <w:pPr>
            <w:pStyle w:val="TDC2"/>
            <w:tabs>
              <w:tab w:val="right" w:leader="dot" w:pos="8779"/>
            </w:tabs>
            <w:rPr>
              <w:noProof/>
              <w:sz w:val="22"/>
              <w:szCs w:val="22"/>
              <w:lang w:val="es-MX" w:eastAsia="es-MX"/>
            </w:rPr>
          </w:pPr>
          <w:hyperlink w:anchor="_Toc525558009" w:history="1">
            <w:r w:rsidR="00336566" w:rsidRPr="00336566">
              <w:rPr>
                <w:rStyle w:val="Hipervnculo"/>
                <w:rFonts w:ascii="Palatino Linotype" w:eastAsiaTheme="majorEastAsia" w:hAnsi="Palatino Linotype" w:cstheme="majorBidi"/>
                <w:b/>
                <w:noProof/>
                <w:lang w:val="es-MX" w:eastAsia="en-US"/>
              </w:rPr>
              <w:t>R E S O L U T I V O S</w:t>
            </w:r>
            <w:r w:rsidR="00336566" w:rsidRPr="00336566">
              <w:rPr>
                <w:noProof/>
                <w:webHidden/>
              </w:rPr>
              <w:tab/>
            </w:r>
            <w:r w:rsidR="00336566" w:rsidRPr="00336566">
              <w:rPr>
                <w:noProof/>
                <w:webHidden/>
              </w:rPr>
              <w:fldChar w:fldCharType="begin"/>
            </w:r>
            <w:r w:rsidR="00336566" w:rsidRPr="00336566">
              <w:rPr>
                <w:noProof/>
                <w:webHidden/>
              </w:rPr>
              <w:instrText xml:space="preserve"> PAGEREF _Toc525558009 \h </w:instrText>
            </w:r>
            <w:r w:rsidR="00336566" w:rsidRPr="00336566">
              <w:rPr>
                <w:noProof/>
                <w:webHidden/>
              </w:rPr>
            </w:r>
            <w:r w:rsidR="00336566" w:rsidRPr="00336566">
              <w:rPr>
                <w:noProof/>
                <w:webHidden/>
              </w:rPr>
              <w:fldChar w:fldCharType="separate"/>
            </w:r>
            <w:r w:rsidR="003D4B53">
              <w:rPr>
                <w:noProof/>
                <w:webHidden/>
              </w:rPr>
              <w:t>43</w:t>
            </w:r>
            <w:r w:rsidR="00336566" w:rsidRPr="00336566">
              <w:rPr>
                <w:noProof/>
                <w:webHidden/>
              </w:rPr>
              <w:fldChar w:fldCharType="end"/>
            </w:r>
          </w:hyperlink>
        </w:p>
        <w:p w14:paraId="139DBEE2" w14:textId="21C2EBA7" w:rsidR="00B828E4" w:rsidRPr="00336566" w:rsidRDefault="00B828E4" w:rsidP="00777013">
          <w:pPr>
            <w:spacing w:line="480" w:lineRule="auto"/>
            <w:rPr>
              <w:rFonts w:ascii="Palatino Linotype" w:hAnsi="Palatino Linotype"/>
              <w:color w:val="000000" w:themeColor="text1"/>
            </w:rPr>
          </w:pPr>
          <w:r w:rsidRPr="00336566">
            <w:rPr>
              <w:rFonts w:ascii="Palatino Linotype" w:hAnsi="Palatino Linotype"/>
              <w:b/>
              <w:bCs/>
              <w:color w:val="000000" w:themeColor="text1"/>
              <w:lang w:val="es-ES"/>
            </w:rPr>
            <w:fldChar w:fldCharType="end"/>
          </w:r>
        </w:p>
      </w:sdtContent>
    </w:sdt>
    <w:p w14:paraId="71139992" w14:textId="77777777" w:rsidR="00515BA2" w:rsidRPr="00336566" w:rsidRDefault="00515BA2" w:rsidP="0075265E">
      <w:pPr>
        <w:spacing w:before="240" w:after="240" w:line="360" w:lineRule="auto"/>
        <w:jc w:val="both"/>
        <w:rPr>
          <w:rFonts w:ascii="Palatino Linotype" w:hAnsi="Palatino Linotype"/>
          <w:color w:val="000000" w:themeColor="text1"/>
        </w:rPr>
      </w:pPr>
    </w:p>
    <w:p w14:paraId="7A90298A" w14:textId="6558B7E5" w:rsidR="00AE1EB3" w:rsidRPr="00336566" w:rsidRDefault="009B11D6" w:rsidP="0075265E">
      <w:pPr>
        <w:spacing w:before="240" w:after="240" w:line="360" w:lineRule="auto"/>
        <w:jc w:val="both"/>
        <w:rPr>
          <w:rFonts w:ascii="Palatino Linotype" w:hAnsi="Palatino Linotype"/>
          <w:color w:val="000000" w:themeColor="text1"/>
        </w:rPr>
      </w:pPr>
      <w:r w:rsidRPr="00336566">
        <w:rPr>
          <w:rFonts w:ascii="Palatino Linotype" w:hAnsi="Palatino Linotype"/>
          <w:color w:val="000000" w:themeColor="text1"/>
        </w:rPr>
        <w:lastRenderedPageBreak/>
        <w:t>R</w:t>
      </w:r>
      <w:r w:rsidR="00662C69" w:rsidRPr="00336566">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6A5621" w:rsidRPr="00336566">
        <w:rPr>
          <w:rFonts w:ascii="Palatino Linotype" w:hAnsi="Palatino Linotype"/>
          <w:color w:val="000000" w:themeColor="text1"/>
        </w:rPr>
        <w:t xml:space="preserve">fecha diecinueve </w:t>
      </w:r>
      <w:r w:rsidR="009E71F2" w:rsidRPr="00336566">
        <w:rPr>
          <w:rFonts w:ascii="Palatino Linotype" w:hAnsi="Palatino Linotype"/>
          <w:color w:val="000000" w:themeColor="text1"/>
        </w:rPr>
        <w:t xml:space="preserve"> (</w:t>
      </w:r>
      <w:r w:rsidR="009D4B4D" w:rsidRPr="00336566">
        <w:rPr>
          <w:rFonts w:ascii="Palatino Linotype" w:hAnsi="Palatino Linotype"/>
          <w:color w:val="000000" w:themeColor="text1"/>
        </w:rPr>
        <w:t>19</w:t>
      </w:r>
      <w:r w:rsidR="009A61AE" w:rsidRPr="00336566">
        <w:rPr>
          <w:rFonts w:ascii="Palatino Linotype" w:hAnsi="Palatino Linotype"/>
          <w:color w:val="000000" w:themeColor="text1"/>
        </w:rPr>
        <w:t>)</w:t>
      </w:r>
      <w:r w:rsidR="009E71F2" w:rsidRPr="00336566">
        <w:rPr>
          <w:rFonts w:ascii="Palatino Linotype" w:hAnsi="Palatino Linotype"/>
          <w:color w:val="000000" w:themeColor="text1"/>
        </w:rPr>
        <w:t xml:space="preserve"> </w:t>
      </w:r>
      <w:r w:rsidR="004F180C" w:rsidRPr="00336566">
        <w:rPr>
          <w:rFonts w:ascii="Palatino Linotype" w:hAnsi="Palatino Linotype"/>
          <w:color w:val="000000" w:themeColor="text1"/>
        </w:rPr>
        <w:t>de septiembre</w:t>
      </w:r>
      <w:r w:rsidR="00662C69" w:rsidRPr="00336566">
        <w:rPr>
          <w:rFonts w:ascii="Palatino Linotype" w:hAnsi="Palatino Linotype"/>
          <w:color w:val="000000" w:themeColor="text1"/>
        </w:rPr>
        <w:t xml:space="preserve"> de dos mil </w:t>
      </w:r>
      <w:r w:rsidR="009573B2" w:rsidRPr="00336566">
        <w:rPr>
          <w:rFonts w:ascii="Palatino Linotype" w:hAnsi="Palatino Linotype"/>
          <w:color w:val="000000" w:themeColor="text1"/>
        </w:rPr>
        <w:t>dieciocho.</w:t>
      </w:r>
    </w:p>
    <w:p w14:paraId="6206C24D" w14:textId="73EC8180" w:rsidR="006F7CA6" w:rsidRPr="00336566" w:rsidRDefault="00F56DBA" w:rsidP="00F56DBA">
      <w:pPr>
        <w:spacing w:before="240" w:after="360" w:line="360" w:lineRule="auto"/>
        <w:jc w:val="both"/>
        <w:rPr>
          <w:rFonts w:ascii="Palatino Linotype" w:hAnsi="Palatino Linotype"/>
          <w:color w:val="000000" w:themeColor="text1"/>
        </w:rPr>
      </w:pPr>
      <w:r w:rsidRPr="00336566">
        <w:rPr>
          <w:rFonts w:ascii="Palatino Linotype" w:hAnsi="Palatino Linotype"/>
          <w:b/>
          <w:color w:val="000000" w:themeColor="text1"/>
        </w:rPr>
        <w:t>VISTO</w:t>
      </w:r>
      <w:r w:rsidRPr="00336566">
        <w:rPr>
          <w:rFonts w:ascii="Palatino Linotype" w:hAnsi="Palatino Linotype"/>
          <w:color w:val="000000" w:themeColor="text1"/>
        </w:rPr>
        <w:t xml:space="preserve"> el expediente electrónico formado con motivo del recurso de revisión </w:t>
      </w:r>
      <w:r w:rsidR="00BA7170" w:rsidRPr="00336566">
        <w:rPr>
          <w:rFonts w:ascii="Palatino Linotype" w:hAnsi="Palatino Linotype" w:cs="Arial"/>
          <w:b/>
          <w:bCs/>
          <w:color w:val="000000" w:themeColor="text1"/>
        </w:rPr>
        <w:t>02611</w:t>
      </w:r>
      <w:r w:rsidR="00FA0EE3" w:rsidRPr="00336566">
        <w:rPr>
          <w:rFonts w:ascii="Palatino Linotype" w:hAnsi="Palatino Linotype" w:cs="Arial"/>
          <w:b/>
          <w:bCs/>
          <w:color w:val="000000" w:themeColor="text1"/>
        </w:rPr>
        <w:t>/INFOEM/IP/RR/201</w:t>
      </w:r>
      <w:r w:rsidR="009A61AE" w:rsidRPr="00336566">
        <w:rPr>
          <w:rFonts w:ascii="Palatino Linotype" w:hAnsi="Palatino Linotype" w:cs="Arial"/>
          <w:b/>
          <w:bCs/>
          <w:color w:val="000000" w:themeColor="text1"/>
        </w:rPr>
        <w:t>8</w:t>
      </w:r>
      <w:r w:rsidRPr="00336566">
        <w:rPr>
          <w:rFonts w:ascii="Palatino Linotype" w:hAnsi="Palatino Linotype" w:cs="Arial"/>
          <w:b/>
          <w:bCs/>
          <w:color w:val="000000" w:themeColor="text1"/>
        </w:rPr>
        <w:t xml:space="preserve">, </w:t>
      </w:r>
      <w:r w:rsidRPr="00336566">
        <w:rPr>
          <w:rFonts w:ascii="Palatino Linotype" w:hAnsi="Palatino Linotype"/>
          <w:color w:val="000000" w:themeColor="text1"/>
        </w:rPr>
        <w:t>promovido por</w:t>
      </w:r>
      <w:r w:rsidR="00BA7170" w:rsidRPr="00336566">
        <w:rPr>
          <w:rFonts w:ascii="Palatino Linotype" w:hAnsi="Palatino Linotype"/>
          <w:b/>
          <w:color w:val="000000" w:themeColor="text1"/>
          <w:szCs w:val="22"/>
        </w:rPr>
        <w:t xml:space="preserve"> </w:t>
      </w:r>
      <w:r w:rsidR="003F1BBB" w:rsidRPr="003F1BBB">
        <w:rPr>
          <w:rFonts w:ascii="Palatino Linotype" w:hAnsi="Palatino Linotype"/>
          <w:b/>
          <w:color w:val="000000" w:themeColor="text1"/>
          <w:szCs w:val="22"/>
          <w:highlight w:val="black"/>
        </w:rPr>
        <w:t>------------------------------------------------</w:t>
      </w:r>
      <w:r w:rsidRPr="00336566">
        <w:rPr>
          <w:rFonts w:ascii="Palatino Linotype" w:hAnsi="Palatino Linotype"/>
          <w:b/>
          <w:color w:val="000000" w:themeColor="text1"/>
        </w:rPr>
        <w:t xml:space="preserve">, </w:t>
      </w:r>
      <w:r w:rsidRPr="00336566">
        <w:rPr>
          <w:rFonts w:ascii="Palatino Linotype" w:hAnsi="Palatino Linotype" w:cs="Arial"/>
          <w:color w:val="000000" w:themeColor="text1"/>
        </w:rPr>
        <w:t xml:space="preserve">en su calidad de </w:t>
      </w:r>
      <w:r w:rsidRPr="00336566">
        <w:rPr>
          <w:rFonts w:ascii="Palatino Linotype" w:hAnsi="Palatino Linotype" w:cs="Arial"/>
          <w:b/>
          <w:color w:val="000000" w:themeColor="text1"/>
        </w:rPr>
        <w:t>RECURRENTE</w:t>
      </w:r>
      <w:r w:rsidRPr="00336566">
        <w:rPr>
          <w:rFonts w:ascii="Palatino Linotype" w:hAnsi="Palatino Linotype" w:cs="Arial"/>
          <w:color w:val="000000" w:themeColor="text1"/>
        </w:rPr>
        <w:t xml:space="preserve">, en contra de la respuesta </w:t>
      </w:r>
      <w:r w:rsidR="00BA7170" w:rsidRPr="00336566">
        <w:rPr>
          <w:rFonts w:ascii="Palatino Linotype" w:hAnsi="Palatino Linotype" w:cs="Arial"/>
          <w:color w:val="000000" w:themeColor="text1"/>
        </w:rPr>
        <w:t xml:space="preserve">del </w:t>
      </w:r>
      <w:r w:rsidR="00BA7170" w:rsidRPr="00336566">
        <w:rPr>
          <w:rFonts w:ascii="Palatino Linotype" w:hAnsi="Palatino Linotype" w:cs="Arial"/>
          <w:b/>
          <w:color w:val="000000" w:themeColor="text1"/>
        </w:rPr>
        <w:t>Ayuntamiento de Atizapán de Zaragoza</w:t>
      </w:r>
      <w:r w:rsidRPr="00336566">
        <w:rPr>
          <w:rFonts w:ascii="Palatino Linotype" w:hAnsi="Palatino Linotype"/>
          <w:b/>
          <w:color w:val="000000" w:themeColor="text1"/>
        </w:rPr>
        <w:t xml:space="preserve">, </w:t>
      </w:r>
      <w:r w:rsidRPr="00336566">
        <w:rPr>
          <w:rFonts w:ascii="Palatino Linotype" w:hAnsi="Palatino Linotype"/>
          <w:color w:val="000000" w:themeColor="text1"/>
        </w:rPr>
        <w:t>en lo sucesivo el</w:t>
      </w:r>
      <w:r w:rsidRPr="00336566">
        <w:rPr>
          <w:rFonts w:ascii="Palatino Linotype" w:hAnsi="Palatino Linotype"/>
          <w:b/>
          <w:color w:val="000000" w:themeColor="text1"/>
        </w:rPr>
        <w:t xml:space="preserve"> SUJETO OBLIGADO, </w:t>
      </w:r>
      <w:r w:rsidRPr="00336566">
        <w:rPr>
          <w:rFonts w:ascii="Palatino Linotype" w:hAnsi="Palatino Linotype"/>
          <w:color w:val="000000" w:themeColor="text1"/>
        </w:rPr>
        <w:t>se procede a dictar la presente resolución, con base en los siguientes:</w:t>
      </w:r>
    </w:p>
    <w:p w14:paraId="769E1410" w14:textId="5740327F" w:rsidR="00587366" w:rsidRPr="00336566" w:rsidRDefault="00662C69" w:rsidP="007C37D2">
      <w:pPr>
        <w:pStyle w:val="Ttulo1"/>
        <w:jc w:val="center"/>
        <w:rPr>
          <w:rFonts w:ascii="Palatino Linotype" w:hAnsi="Palatino Linotype"/>
          <w:b/>
          <w:color w:val="000000" w:themeColor="text1"/>
          <w:sz w:val="24"/>
        </w:rPr>
      </w:pPr>
      <w:bookmarkStart w:id="0" w:name="_Toc515555218"/>
      <w:bookmarkStart w:id="1" w:name="_Toc525557991"/>
      <w:r w:rsidRPr="00336566">
        <w:rPr>
          <w:rFonts w:ascii="Palatino Linotype" w:hAnsi="Palatino Linotype"/>
          <w:b/>
          <w:color w:val="000000" w:themeColor="text1"/>
          <w:sz w:val="24"/>
        </w:rPr>
        <w:t>ANTECEDENTES</w:t>
      </w:r>
      <w:bookmarkEnd w:id="0"/>
      <w:bookmarkEnd w:id="1"/>
    </w:p>
    <w:p w14:paraId="6EF01D14" w14:textId="77777777" w:rsidR="00583131" w:rsidRPr="00336566" w:rsidRDefault="00583131" w:rsidP="00583131">
      <w:pPr>
        <w:rPr>
          <w:lang w:val="es-MX" w:eastAsia="en-US"/>
        </w:rPr>
      </w:pPr>
    </w:p>
    <w:p w14:paraId="1FB60AE9" w14:textId="45D190AD" w:rsidR="00DB4BEF" w:rsidRPr="00336566" w:rsidRDefault="00BA7170" w:rsidP="00E311E0">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336566">
        <w:rPr>
          <w:rFonts w:ascii="Palatino Linotype" w:eastAsia="Calibri" w:hAnsi="Palatino Linotype" w:cs="Arial"/>
          <w:color w:val="000000" w:themeColor="text1"/>
          <w:lang w:val="es-ES"/>
        </w:rPr>
        <w:t>El día once</w:t>
      </w:r>
      <w:r w:rsidR="00E1705A" w:rsidRPr="00336566">
        <w:rPr>
          <w:rFonts w:ascii="Palatino Linotype" w:eastAsia="Calibri" w:hAnsi="Palatino Linotype" w:cs="Arial"/>
          <w:color w:val="000000" w:themeColor="text1"/>
          <w:lang w:val="es-ES"/>
        </w:rPr>
        <w:t xml:space="preserve"> </w:t>
      </w:r>
      <w:r w:rsidR="00A13811" w:rsidRPr="00336566">
        <w:rPr>
          <w:rFonts w:ascii="Palatino Linotype" w:eastAsia="Calibri" w:hAnsi="Palatino Linotype" w:cs="Arial"/>
          <w:color w:val="000000" w:themeColor="text1"/>
          <w:lang w:val="es-ES"/>
        </w:rPr>
        <w:t>(</w:t>
      </w:r>
      <w:r w:rsidRPr="00336566">
        <w:rPr>
          <w:rFonts w:ascii="Palatino Linotype" w:eastAsia="Calibri" w:hAnsi="Palatino Linotype" w:cs="Arial"/>
          <w:color w:val="000000" w:themeColor="text1"/>
          <w:lang w:val="es-ES"/>
        </w:rPr>
        <w:t>11</w:t>
      </w:r>
      <w:r w:rsidR="004F180C" w:rsidRPr="00336566">
        <w:rPr>
          <w:rFonts w:ascii="Palatino Linotype" w:eastAsia="Calibri" w:hAnsi="Palatino Linotype" w:cs="Arial"/>
          <w:color w:val="000000" w:themeColor="text1"/>
          <w:lang w:val="es-ES"/>
        </w:rPr>
        <w:t>) de junio</w:t>
      </w:r>
      <w:r w:rsidR="00E1705A" w:rsidRPr="00336566">
        <w:rPr>
          <w:rFonts w:ascii="Palatino Linotype" w:eastAsia="Calibri" w:hAnsi="Palatino Linotype" w:cs="Arial"/>
          <w:color w:val="000000" w:themeColor="text1"/>
          <w:lang w:val="es-ES"/>
        </w:rPr>
        <w:t xml:space="preserve"> </w:t>
      </w:r>
      <w:r w:rsidR="00AB274F" w:rsidRPr="00336566">
        <w:rPr>
          <w:rFonts w:ascii="Palatino Linotype" w:eastAsia="Calibri" w:hAnsi="Palatino Linotype" w:cs="Arial"/>
          <w:color w:val="000000" w:themeColor="text1"/>
          <w:lang w:val="es-ES"/>
        </w:rPr>
        <w:t xml:space="preserve">de </w:t>
      </w:r>
      <w:r w:rsidR="00DB4BEF" w:rsidRPr="00336566">
        <w:rPr>
          <w:rFonts w:ascii="Palatino Linotype" w:eastAsia="Calibri" w:hAnsi="Palatino Linotype" w:cs="Arial"/>
          <w:color w:val="000000" w:themeColor="text1"/>
          <w:lang w:val="es-ES"/>
        </w:rPr>
        <w:t xml:space="preserve">dos mil </w:t>
      </w:r>
      <w:r w:rsidR="009573B2" w:rsidRPr="00336566">
        <w:rPr>
          <w:rFonts w:ascii="Palatino Linotype" w:eastAsia="Calibri" w:hAnsi="Palatino Linotype" w:cs="Arial"/>
          <w:color w:val="000000" w:themeColor="text1"/>
          <w:lang w:val="es-ES"/>
        </w:rPr>
        <w:t>dieciocho</w:t>
      </w:r>
      <w:r w:rsidR="00DB4BEF" w:rsidRPr="00336566">
        <w:rPr>
          <w:rFonts w:ascii="Palatino Linotype" w:eastAsia="Calibri" w:hAnsi="Palatino Linotype" w:cs="Arial"/>
          <w:color w:val="000000" w:themeColor="text1"/>
          <w:lang w:val="es-ES"/>
        </w:rPr>
        <w:t>,</w:t>
      </w:r>
      <w:r w:rsidR="00DB4BEF" w:rsidRPr="00336566">
        <w:rPr>
          <w:rFonts w:ascii="Palatino Linotype" w:eastAsia="Calibri" w:hAnsi="Palatino Linotype" w:cs="Times New Roman"/>
          <w:color w:val="000000" w:themeColor="text1"/>
          <w:lang w:val="es-ES"/>
        </w:rPr>
        <w:t xml:space="preserve"> </w:t>
      </w:r>
      <w:r w:rsidR="003F1BBB" w:rsidRPr="003F1BBB">
        <w:rPr>
          <w:rFonts w:ascii="Palatino Linotype" w:hAnsi="Palatino Linotype"/>
          <w:b/>
          <w:color w:val="000000" w:themeColor="text1"/>
          <w:szCs w:val="22"/>
          <w:highlight w:val="black"/>
        </w:rPr>
        <w:t>----------------------------------------------------------</w:t>
      </w:r>
      <w:r w:rsidR="00C9545D" w:rsidRPr="00336566">
        <w:rPr>
          <w:rFonts w:ascii="Palatino Linotype" w:hAnsi="Palatino Linotype"/>
          <w:b/>
          <w:color w:val="000000" w:themeColor="text1"/>
          <w:szCs w:val="22"/>
        </w:rPr>
        <w:t xml:space="preserve">, </w:t>
      </w:r>
      <w:r w:rsidR="008F54B7" w:rsidRPr="00336566">
        <w:rPr>
          <w:rFonts w:ascii="Palatino Linotype" w:hAnsi="Palatino Linotype"/>
          <w:color w:val="000000" w:themeColor="text1"/>
          <w:szCs w:val="22"/>
        </w:rPr>
        <w:t>presentó</w:t>
      </w:r>
      <w:r w:rsidR="007237BF" w:rsidRPr="00336566">
        <w:rPr>
          <w:rFonts w:ascii="Palatino Linotype" w:hAnsi="Palatino Linotype"/>
          <w:b/>
          <w:color w:val="000000" w:themeColor="text1"/>
          <w:szCs w:val="22"/>
        </w:rPr>
        <w:t xml:space="preserve"> </w:t>
      </w:r>
      <w:r w:rsidR="003116A6" w:rsidRPr="00336566">
        <w:rPr>
          <w:rFonts w:ascii="Palatino Linotype" w:eastAsia="Calibri" w:hAnsi="Palatino Linotype" w:cs="Arial"/>
          <w:color w:val="000000" w:themeColor="text1"/>
          <w:lang w:val="es-ES"/>
        </w:rPr>
        <w:t xml:space="preserve">ante el </w:t>
      </w:r>
      <w:r w:rsidR="003116A6" w:rsidRPr="00336566">
        <w:rPr>
          <w:rFonts w:ascii="Palatino Linotype" w:eastAsia="Calibri" w:hAnsi="Palatino Linotype" w:cs="Arial"/>
          <w:b/>
          <w:color w:val="000000" w:themeColor="text1"/>
          <w:lang w:val="es-ES"/>
        </w:rPr>
        <w:t>SUJETO OBLIGADO</w:t>
      </w:r>
      <w:r w:rsidR="003116A6" w:rsidRPr="00336566">
        <w:rPr>
          <w:rFonts w:ascii="Palatino Linotype" w:eastAsia="Calibri" w:hAnsi="Palatino Linotype" w:cs="Arial"/>
          <w:color w:val="000000" w:themeColor="text1"/>
        </w:rPr>
        <w:t xml:space="preserve"> vía</w:t>
      </w:r>
      <w:r w:rsidR="00DB4BEF" w:rsidRPr="00336566">
        <w:rPr>
          <w:rFonts w:ascii="Palatino Linotype" w:eastAsia="Calibri" w:hAnsi="Palatino Linotype" w:cs="Arial"/>
          <w:color w:val="000000" w:themeColor="text1"/>
        </w:rPr>
        <w:t xml:space="preserve"> </w:t>
      </w:r>
      <w:r w:rsidR="00DB4BEF" w:rsidRPr="00336566">
        <w:rPr>
          <w:rFonts w:ascii="Palatino Linotype" w:eastAsia="Calibri" w:hAnsi="Palatino Linotype" w:cs="Arial"/>
          <w:color w:val="000000" w:themeColor="text1"/>
          <w:lang w:val="es-ES"/>
        </w:rPr>
        <w:t xml:space="preserve">Sistema de Acceso a la Información Mexiquense </w:t>
      </w:r>
      <w:r w:rsidR="00DB4BEF" w:rsidRPr="00336566">
        <w:rPr>
          <w:rFonts w:ascii="Palatino Linotype" w:eastAsia="Calibri" w:hAnsi="Palatino Linotype" w:cs="Arial"/>
          <w:b/>
          <w:color w:val="000000" w:themeColor="text1"/>
          <w:lang w:val="es-ES"/>
        </w:rPr>
        <w:t>SAIMEX</w:t>
      </w:r>
      <w:r w:rsidR="00DB4BEF" w:rsidRPr="00336566">
        <w:rPr>
          <w:rFonts w:ascii="Palatino Linotype" w:eastAsia="Calibri" w:hAnsi="Palatino Linotype" w:cs="Arial"/>
          <w:color w:val="000000" w:themeColor="text1"/>
          <w:lang w:val="es-ES"/>
        </w:rPr>
        <w:t xml:space="preserve">, la solicitud de información pública registrada con el número </w:t>
      </w:r>
      <w:r w:rsidRPr="00336566">
        <w:rPr>
          <w:rFonts w:ascii="Palatino Linotype" w:eastAsia="Calibri" w:hAnsi="Palatino Linotype" w:cs="Arial"/>
          <w:b/>
          <w:color w:val="000000" w:themeColor="text1"/>
          <w:lang w:val="es-ES"/>
        </w:rPr>
        <w:t>00188</w:t>
      </w:r>
      <w:r w:rsidR="00FA0EE3" w:rsidRPr="00336566">
        <w:rPr>
          <w:rFonts w:ascii="Palatino Linotype" w:eastAsia="Calibri" w:hAnsi="Palatino Linotype" w:cs="Arial"/>
          <w:b/>
          <w:color w:val="000000" w:themeColor="text1"/>
          <w:lang w:val="es-ES"/>
        </w:rPr>
        <w:t>/</w:t>
      </w:r>
      <w:r w:rsidRPr="00336566">
        <w:rPr>
          <w:rFonts w:ascii="Palatino Linotype" w:eastAsia="Calibri" w:hAnsi="Palatino Linotype" w:cs="Arial"/>
          <w:b/>
          <w:color w:val="000000" w:themeColor="text1"/>
          <w:lang w:val="es-ES"/>
        </w:rPr>
        <w:t>ATIZARA</w:t>
      </w:r>
      <w:r w:rsidR="00FA0EE3" w:rsidRPr="00336566">
        <w:rPr>
          <w:rFonts w:ascii="Palatino Linotype" w:eastAsia="Calibri" w:hAnsi="Palatino Linotype" w:cs="Arial"/>
          <w:b/>
          <w:color w:val="000000" w:themeColor="text1"/>
          <w:lang w:val="es-ES"/>
        </w:rPr>
        <w:t>/IP/201</w:t>
      </w:r>
      <w:r w:rsidR="009573B2" w:rsidRPr="00336566">
        <w:rPr>
          <w:rFonts w:ascii="Palatino Linotype" w:eastAsia="Calibri" w:hAnsi="Palatino Linotype" w:cs="Arial"/>
          <w:b/>
          <w:color w:val="000000" w:themeColor="text1"/>
          <w:lang w:val="es-ES"/>
        </w:rPr>
        <w:t>8</w:t>
      </w:r>
      <w:r w:rsidRPr="00336566">
        <w:rPr>
          <w:rFonts w:ascii="Palatino Linotype" w:eastAsia="Calibri" w:hAnsi="Palatino Linotype" w:cs="Arial"/>
          <w:color w:val="000000" w:themeColor="text1"/>
          <w:lang w:val="es-ES"/>
        </w:rPr>
        <w:t>, mediante la cual solicitó</w:t>
      </w:r>
      <w:r w:rsidR="00DB4BEF" w:rsidRPr="00336566">
        <w:rPr>
          <w:rFonts w:ascii="Palatino Linotype" w:eastAsia="Calibri" w:hAnsi="Palatino Linotype" w:cs="Arial"/>
          <w:color w:val="000000" w:themeColor="text1"/>
          <w:lang w:val="es-ES"/>
        </w:rPr>
        <w:t>:</w:t>
      </w:r>
    </w:p>
    <w:p w14:paraId="06668B7C" w14:textId="4192585A" w:rsidR="00BA7170" w:rsidRPr="00336566" w:rsidRDefault="00E727B7" w:rsidP="00BA7170">
      <w:pPr>
        <w:spacing w:line="360" w:lineRule="auto"/>
        <w:ind w:left="567" w:right="567"/>
        <w:jc w:val="both"/>
        <w:rPr>
          <w:rFonts w:ascii="Palatino Linotype" w:eastAsia="Calibri" w:hAnsi="Palatino Linotype" w:cs="Arial"/>
          <w:color w:val="000000" w:themeColor="text1"/>
          <w:sz w:val="22"/>
          <w:szCs w:val="22"/>
          <w:lang w:val="es-ES"/>
        </w:rPr>
      </w:pPr>
      <w:r w:rsidRPr="00336566">
        <w:rPr>
          <w:rFonts w:ascii="Palatino Linotype" w:hAnsi="Palatino Linotype"/>
          <w:i/>
          <w:color w:val="000000" w:themeColor="text1"/>
          <w:sz w:val="22"/>
          <w:szCs w:val="22"/>
        </w:rPr>
        <w:t>“</w:t>
      </w:r>
      <w:r w:rsidR="00BA7170" w:rsidRPr="00336566">
        <w:rPr>
          <w:rFonts w:ascii="Palatino Linotype" w:hAnsi="Palatino Linotype"/>
          <w:i/>
          <w:color w:val="000000" w:themeColor="text1"/>
          <w:sz w:val="22"/>
          <w:szCs w:val="22"/>
        </w:rPr>
        <w:t xml:space="preserve">Solicito respetuosamente en copia simple y versión pública la licencia de construcción para obra nueva </w:t>
      </w:r>
      <w:r w:rsidR="00417D22" w:rsidRPr="00417D22">
        <w:rPr>
          <w:rFonts w:ascii="Palatino Linotype" w:hAnsi="Palatino Linotype"/>
          <w:i/>
          <w:color w:val="000000" w:themeColor="text1"/>
          <w:sz w:val="22"/>
          <w:szCs w:val="22"/>
          <w:highlight w:val="black"/>
        </w:rPr>
        <w:t>-----------------</w:t>
      </w:r>
      <w:r w:rsidR="00D7312E" w:rsidRPr="00336566">
        <w:rPr>
          <w:rFonts w:ascii="Palatino Linotype" w:hAnsi="Palatino Linotype"/>
          <w:i/>
          <w:color w:val="000000" w:themeColor="text1"/>
          <w:sz w:val="22"/>
          <w:szCs w:val="22"/>
        </w:rPr>
        <w:t>.</w:t>
      </w:r>
      <w:r w:rsidR="009573B2" w:rsidRPr="00336566">
        <w:rPr>
          <w:rFonts w:ascii="Palatino Linotype" w:eastAsia="Calibri" w:hAnsi="Palatino Linotype" w:cs="Arial"/>
          <w:i/>
          <w:color w:val="000000" w:themeColor="text1"/>
          <w:sz w:val="22"/>
          <w:szCs w:val="22"/>
          <w:lang w:val="es-ES"/>
        </w:rPr>
        <w:t xml:space="preserve">” </w:t>
      </w:r>
      <w:r w:rsidR="009573B2" w:rsidRPr="00336566">
        <w:rPr>
          <w:rFonts w:ascii="Palatino Linotype" w:eastAsia="Calibri" w:hAnsi="Palatino Linotype" w:cs="Arial"/>
          <w:color w:val="000000" w:themeColor="text1"/>
          <w:sz w:val="22"/>
          <w:szCs w:val="22"/>
          <w:lang w:val="es-ES"/>
        </w:rPr>
        <w:t>(Sic).</w:t>
      </w:r>
    </w:p>
    <w:p w14:paraId="5F7B51E7" w14:textId="1683ABAD" w:rsidR="00D7312E" w:rsidRPr="00336566"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5ED2E19F" w14:textId="1871978D" w:rsidR="009A61AE" w:rsidRPr="00336566" w:rsidRDefault="005F1C39" w:rsidP="00E311E0">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sidRPr="00336566">
        <w:rPr>
          <w:rFonts w:ascii="Palatino Linotype" w:eastAsia="Calibri" w:hAnsi="Palatino Linotype" w:cs="Arial"/>
          <w:color w:val="000000" w:themeColor="text1"/>
          <w:lang w:val="es-AR"/>
        </w:rPr>
        <w:t xml:space="preserve">Se </w:t>
      </w:r>
      <w:r w:rsidR="006668DC" w:rsidRPr="00336566">
        <w:rPr>
          <w:rFonts w:ascii="Palatino Linotype" w:eastAsia="Calibri" w:hAnsi="Palatino Linotype" w:cs="Arial"/>
          <w:color w:val="000000" w:themeColor="text1"/>
          <w:lang w:val="es-AR"/>
        </w:rPr>
        <w:t xml:space="preserve">hace constar que se </w:t>
      </w:r>
      <w:r w:rsidR="00BB7BCB" w:rsidRPr="00336566">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336566">
        <w:rPr>
          <w:rFonts w:ascii="Palatino Linotype" w:eastAsia="Calibri" w:hAnsi="Palatino Linotype" w:cs="Arial"/>
          <w:b/>
          <w:color w:val="000000" w:themeColor="text1"/>
          <w:lang w:val="es-AR"/>
        </w:rPr>
        <w:t>(SAIMEX</w:t>
      </w:r>
      <w:r w:rsidR="00EF13FE" w:rsidRPr="00336566">
        <w:rPr>
          <w:rFonts w:ascii="Palatino Linotype" w:eastAsia="Calibri" w:hAnsi="Palatino Linotype" w:cs="Arial"/>
          <w:b/>
          <w:color w:val="000000" w:themeColor="text1"/>
          <w:lang w:val="es-AR"/>
        </w:rPr>
        <w:t>)</w:t>
      </w:r>
      <w:r w:rsidR="00EF13FE" w:rsidRPr="00336566">
        <w:rPr>
          <w:rFonts w:ascii="Palatino Linotype" w:eastAsia="Calibri" w:hAnsi="Palatino Linotype" w:cs="Arial"/>
          <w:color w:val="000000" w:themeColor="text1"/>
          <w:lang w:val="es-AR"/>
        </w:rPr>
        <w:t>.</w:t>
      </w:r>
    </w:p>
    <w:p w14:paraId="1B7D663F" w14:textId="77777777" w:rsidR="009A101D" w:rsidRPr="00336566" w:rsidRDefault="009A101D" w:rsidP="009A101D">
      <w:pPr>
        <w:pStyle w:val="Prrafodelista"/>
        <w:spacing w:line="360" w:lineRule="auto"/>
        <w:ind w:left="0" w:right="34"/>
        <w:jc w:val="both"/>
        <w:rPr>
          <w:rFonts w:ascii="Palatino Linotype" w:hAnsi="Palatino Linotype"/>
          <w:b/>
          <w:i/>
          <w:color w:val="000000" w:themeColor="text1"/>
          <w:sz w:val="22"/>
          <w:szCs w:val="22"/>
        </w:rPr>
      </w:pPr>
    </w:p>
    <w:p w14:paraId="1B784AF8" w14:textId="1D4240A1" w:rsidR="00BA7170" w:rsidRPr="00336566" w:rsidRDefault="009A101D" w:rsidP="00E311E0">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336566">
        <w:rPr>
          <w:rFonts w:ascii="Palatino Linotype" w:hAnsi="Palatino Linotype"/>
          <w:color w:val="000000" w:themeColor="text1"/>
          <w:szCs w:val="22"/>
        </w:rPr>
        <w:t xml:space="preserve">El día veintinueve (29) del año dos mil dieciocho el </w:t>
      </w:r>
      <w:r w:rsidRPr="00336566">
        <w:rPr>
          <w:rFonts w:ascii="Palatino Linotype" w:hAnsi="Palatino Linotype"/>
          <w:b/>
          <w:color w:val="000000" w:themeColor="text1"/>
          <w:szCs w:val="22"/>
        </w:rPr>
        <w:t xml:space="preserve">SUJETO OBLIGADO </w:t>
      </w:r>
      <w:r w:rsidRPr="00336566">
        <w:rPr>
          <w:rFonts w:ascii="Palatino Linotype" w:hAnsi="Palatino Linotype"/>
          <w:color w:val="000000" w:themeColor="text1"/>
          <w:szCs w:val="22"/>
        </w:rPr>
        <w:t xml:space="preserve">solicitó prórroga a efecto de proporcionar su respuesta; sin embargo, es de apreciar </w:t>
      </w:r>
      <w:r w:rsidRPr="00336566">
        <w:rPr>
          <w:rFonts w:ascii="Palatino Linotype" w:hAnsi="Palatino Linotype"/>
          <w:color w:val="000000" w:themeColor="text1"/>
          <w:szCs w:val="22"/>
        </w:rPr>
        <w:lastRenderedPageBreak/>
        <w:t>que no se advierten</w:t>
      </w:r>
      <w:r w:rsidR="009D4B4D" w:rsidRPr="00336566">
        <w:rPr>
          <w:rFonts w:ascii="Palatino Linotype" w:hAnsi="Palatino Linotype"/>
          <w:color w:val="000000" w:themeColor="text1"/>
          <w:szCs w:val="22"/>
        </w:rPr>
        <w:t xml:space="preserve"> las razones de manera fundada o</w:t>
      </w:r>
      <w:r w:rsidRPr="00336566">
        <w:rPr>
          <w:rFonts w:ascii="Palatino Linotype" w:hAnsi="Palatino Linotype"/>
          <w:color w:val="000000" w:themeColor="text1"/>
          <w:szCs w:val="22"/>
        </w:rPr>
        <w:t xml:space="preserve"> motivada para solicitar la ampliación de plazo para emitir respuesta, por lo anterior es de referir que nos encontramos ante una prorroga indebida. </w:t>
      </w:r>
    </w:p>
    <w:p w14:paraId="25633CA9" w14:textId="77777777" w:rsidR="00256EB1" w:rsidRPr="00336566" w:rsidRDefault="00256EB1" w:rsidP="00A12D58">
      <w:pPr>
        <w:spacing w:line="360" w:lineRule="auto"/>
        <w:ind w:right="34"/>
        <w:jc w:val="both"/>
        <w:rPr>
          <w:rFonts w:ascii="Palatino Linotype" w:hAnsi="Palatino Linotype"/>
          <w:b/>
          <w:i/>
          <w:color w:val="000000" w:themeColor="text1"/>
          <w:sz w:val="22"/>
          <w:szCs w:val="22"/>
        </w:rPr>
      </w:pPr>
    </w:p>
    <w:p w14:paraId="6B1AD677" w14:textId="01C19354" w:rsidR="00256EB1" w:rsidRPr="00336566" w:rsidRDefault="00256EB1" w:rsidP="00E311E0">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336566">
        <w:rPr>
          <w:rFonts w:ascii="Palatino Linotype" w:hAnsi="Palatino Linotype"/>
          <w:color w:val="000000" w:themeColor="text1"/>
          <w:szCs w:val="22"/>
        </w:rPr>
        <w:t>E</w:t>
      </w:r>
      <w:r w:rsidR="00A12D58" w:rsidRPr="00336566">
        <w:rPr>
          <w:rFonts w:ascii="Palatino Linotype" w:hAnsi="Palatino Linotype"/>
          <w:color w:val="000000" w:themeColor="text1"/>
          <w:szCs w:val="22"/>
        </w:rPr>
        <w:t>n fecha</w:t>
      </w:r>
      <w:r w:rsidR="009A101D" w:rsidRPr="00336566">
        <w:rPr>
          <w:rFonts w:ascii="Palatino Linotype" w:hAnsi="Palatino Linotype"/>
          <w:color w:val="000000" w:themeColor="text1"/>
          <w:szCs w:val="22"/>
        </w:rPr>
        <w:t xml:space="preserve"> diez (10) de jul</w:t>
      </w:r>
      <w:r w:rsidRPr="00336566">
        <w:rPr>
          <w:rFonts w:ascii="Palatino Linotype" w:hAnsi="Palatino Linotype"/>
          <w:color w:val="000000" w:themeColor="text1"/>
          <w:szCs w:val="22"/>
        </w:rPr>
        <w:t xml:space="preserve">io del año dos mil dieciocho, el </w:t>
      </w:r>
      <w:r w:rsidRPr="00336566">
        <w:rPr>
          <w:rFonts w:ascii="Palatino Linotype" w:hAnsi="Palatino Linotype"/>
          <w:b/>
          <w:color w:val="000000" w:themeColor="text1"/>
          <w:szCs w:val="22"/>
        </w:rPr>
        <w:t>SUJETO OBLIGADO</w:t>
      </w:r>
      <w:r w:rsidR="00A12D58" w:rsidRPr="00336566">
        <w:rPr>
          <w:rFonts w:ascii="Palatino Linotype" w:hAnsi="Palatino Linotype"/>
          <w:b/>
          <w:color w:val="000000" w:themeColor="text1"/>
          <w:szCs w:val="22"/>
        </w:rPr>
        <w:t xml:space="preserve"> </w:t>
      </w:r>
      <w:r w:rsidRPr="00336566">
        <w:rPr>
          <w:rFonts w:ascii="Palatino Linotype" w:hAnsi="Palatino Linotype"/>
          <w:b/>
          <w:color w:val="000000" w:themeColor="text1"/>
          <w:szCs w:val="22"/>
        </w:rPr>
        <w:t xml:space="preserve"> </w:t>
      </w:r>
      <w:r w:rsidRPr="00336566">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336566" w:rsidRDefault="00256EB1" w:rsidP="00256EB1">
      <w:pPr>
        <w:pStyle w:val="Prrafodelista"/>
        <w:spacing w:line="360" w:lineRule="auto"/>
        <w:ind w:left="284" w:right="34"/>
        <w:jc w:val="both"/>
        <w:rPr>
          <w:rFonts w:ascii="Palatino Linotype" w:hAnsi="Palatino Linotype"/>
          <w:b/>
          <w:i/>
          <w:color w:val="000000" w:themeColor="text1"/>
          <w:sz w:val="22"/>
          <w:szCs w:val="22"/>
        </w:rPr>
      </w:pPr>
    </w:p>
    <w:p w14:paraId="034639BD" w14:textId="3821C660" w:rsidR="00AB3FA7" w:rsidRPr="00336566" w:rsidRDefault="00AB3FA7" w:rsidP="00AB3FA7">
      <w:pPr>
        <w:tabs>
          <w:tab w:val="left" w:pos="8222"/>
        </w:tabs>
        <w:spacing w:line="360" w:lineRule="auto"/>
        <w:ind w:right="567" w:firstLine="426"/>
        <w:jc w:val="both"/>
        <w:rPr>
          <w:rFonts w:ascii="Palatino Linotype" w:hAnsi="Palatino Linotype"/>
          <w:i/>
          <w:color w:val="000000" w:themeColor="text1"/>
          <w:sz w:val="22"/>
        </w:rPr>
      </w:pPr>
      <w:r w:rsidRPr="00336566">
        <w:rPr>
          <w:rFonts w:ascii="Palatino Linotype" w:hAnsi="Palatino Linotype"/>
          <w:i/>
          <w:color w:val="000000" w:themeColor="text1"/>
          <w:sz w:val="22"/>
        </w:rPr>
        <w:t xml:space="preserve"> </w:t>
      </w:r>
      <w:r w:rsidR="00256EB1" w:rsidRPr="00336566">
        <w:rPr>
          <w:rFonts w:ascii="Palatino Linotype" w:hAnsi="Palatino Linotype"/>
          <w:i/>
          <w:color w:val="000000" w:themeColor="text1"/>
          <w:sz w:val="22"/>
        </w:rPr>
        <w:t>“</w:t>
      </w:r>
      <w:r w:rsidRPr="00336566">
        <w:rPr>
          <w:rFonts w:ascii="Palatino Linotype" w:hAnsi="Palatino Linotype"/>
          <w:i/>
          <w:color w:val="000000" w:themeColor="text1"/>
          <w:sz w:val="22"/>
        </w:rPr>
        <w:t>Atizapán de Zaragoza, México a 10 de Julio de 2018</w:t>
      </w:r>
    </w:p>
    <w:p w14:paraId="76C2A355" w14:textId="703924E3"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 xml:space="preserve">Nombre del solicitante: </w:t>
      </w:r>
      <w:r w:rsidR="003F1BBB" w:rsidRPr="003F1BBB">
        <w:rPr>
          <w:rFonts w:ascii="Palatino Linotype" w:hAnsi="Palatino Linotype"/>
          <w:i/>
          <w:color w:val="000000" w:themeColor="text1"/>
          <w:sz w:val="22"/>
          <w:highlight w:val="black"/>
        </w:rPr>
        <w:t>-----------</w:t>
      </w:r>
      <w:r w:rsidR="003F1BBB">
        <w:rPr>
          <w:rFonts w:ascii="Palatino Linotype" w:hAnsi="Palatino Linotype"/>
          <w:i/>
          <w:color w:val="000000" w:themeColor="text1"/>
          <w:sz w:val="22"/>
          <w:highlight w:val="black"/>
        </w:rPr>
        <w:t>-----</w:t>
      </w:r>
      <w:r w:rsidR="003F1BBB" w:rsidRPr="003F1BBB">
        <w:rPr>
          <w:rFonts w:ascii="Palatino Linotype" w:hAnsi="Palatino Linotype"/>
          <w:i/>
          <w:color w:val="000000" w:themeColor="text1"/>
          <w:sz w:val="22"/>
          <w:highlight w:val="black"/>
        </w:rPr>
        <w:t>--------------------------------</w:t>
      </w:r>
    </w:p>
    <w:p w14:paraId="2400FBCD"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Folio de la solicitud: 00188/ATIZARA/IP/2018</w:t>
      </w:r>
    </w:p>
    <w:p w14:paraId="02C42BFF"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p>
    <w:p w14:paraId="54C8AE21"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D874F5"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p>
    <w:p w14:paraId="31CD0CD8" w14:textId="4818DCF9"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 xml:space="preserve">En atención a su solicitud número 00188/ATIZARA/IP/2018, atendiendo al Principio de Máxima Publicidad, después de haber realizado la búsqueda en los archivos que obran en esta Dirección de Desarrollo Urbano, se localizó Licencia de Construcción para Obra Nueva número </w:t>
      </w:r>
      <w:r w:rsidR="00417D22" w:rsidRPr="00417D22">
        <w:rPr>
          <w:rFonts w:ascii="Palatino Linotype" w:hAnsi="Palatino Linotype"/>
          <w:i/>
          <w:color w:val="000000" w:themeColor="text1"/>
          <w:sz w:val="22"/>
          <w:highlight w:val="black"/>
        </w:rPr>
        <w:t>------------------</w:t>
      </w:r>
      <w:r w:rsidRPr="00336566">
        <w:rPr>
          <w:rFonts w:ascii="Palatino Linotype" w:hAnsi="Palatino Linotype"/>
          <w:i/>
          <w:color w:val="000000" w:themeColor="text1"/>
          <w:sz w:val="22"/>
        </w:rPr>
        <w:t xml:space="preserve">, la cual anexo en archivo electrónico, misma que será entregada en versión pública, de acuerdo al Artículo 52 de la Ley de Transparencia y Acceso a la Información Pública del Estado de México y Municipios, que a la letra dice: Artículo 52.- “…Las solicitudes de acceso a la información y las respuestas que se les dé, incluyendo, en su caso, la información entregada, así como las resoluciones a los recursos que en su caso se promuevan serán públicas, y de ser el caso que contengan </w:t>
      </w:r>
      <w:r w:rsidRPr="00336566">
        <w:rPr>
          <w:rFonts w:ascii="Palatino Linotype" w:hAnsi="Palatino Linotype"/>
          <w:i/>
          <w:color w:val="000000" w:themeColor="text1"/>
          <w:sz w:val="22"/>
        </w:rPr>
        <w:lastRenderedPageBreak/>
        <w:t>datos personales que deban ser protegidos se podrá dar su acceso en su versión pública, siempre y cuando la resolución de referencia se someta a un proceso de disociación, es decir, no haga identificable al titular de tales datos personales…” Lo anterior por disposición al “ACUERDO CIC/59/12/XLV/02/07/2018 DEL COMITÉ DE TRANSPARENCIA DEL H. AYUNTAMIENTO DE ATIZAPÁN DE ZARAGOZA, ESTADO DE MÉXICO, DE SOLICITUD DE CONFIRMACIÓN DE CLASIFICACIÓN DE INFORMACIÓN EN MODALIDAD DE CONFIDENCIAL, COMO PUNTO 12 DE SU CUADRAGÉSIMA QUINTA SESIÓN DE CARÁCTER EXTRAORDINARIA, DE FECHA 02 DE JULIO DE 2018, (mismo que anexo al presente). Sin otro particular de momento, quedo de usted. A T EN T A M E N T E LIC. CLAUDIA MARÍA GUTIÉRREZ LORENZO LUACES DIRECTORA DE DESARROLLO URBANO</w:t>
      </w:r>
    </w:p>
    <w:p w14:paraId="78FD27F1"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p>
    <w:p w14:paraId="227280AE" w14:textId="77777777" w:rsidR="00AB3FA7"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ATENTAMENTE</w:t>
      </w:r>
    </w:p>
    <w:p w14:paraId="3B620C1C" w14:textId="26ACE7C0" w:rsidR="00256EB1" w:rsidRPr="00336566" w:rsidRDefault="00AB3FA7" w:rsidP="00AB3FA7">
      <w:pPr>
        <w:pStyle w:val="Prrafodelista"/>
        <w:tabs>
          <w:tab w:val="left" w:pos="8222"/>
        </w:tabs>
        <w:spacing w:line="360" w:lineRule="auto"/>
        <w:ind w:left="567" w:right="567"/>
        <w:jc w:val="both"/>
        <w:rPr>
          <w:rFonts w:ascii="Palatino Linotype" w:hAnsi="Palatino Linotype"/>
          <w:i/>
          <w:color w:val="000000" w:themeColor="text1"/>
          <w:sz w:val="22"/>
        </w:rPr>
      </w:pPr>
      <w:r w:rsidRPr="00336566">
        <w:rPr>
          <w:rFonts w:ascii="Palatino Linotype" w:hAnsi="Palatino Linotype"/>
          <w:i/>
          <w:color w:val="000000" w:themeColor="text1"/>
          <w:sz w:val="22"/>
        </w:rPr>
        <w:t>C. CESAR VILLAFAN JARAMILLO</w:t>
      </w:r>
      <w:r w:rsidR="00256EB1" w:rsidRPr="00336566">
        <w:rPr>
          <w:rFonts w:ascii="Palatino Linotype" w:hAnsi="Palatino Linotype"/>
          <w:i/>
          <w:color w:val="000000" w:themeColor="text1"/>
          <w:sz w:val="22"/>
        </w:rPr>
        <w:t>” (Sic)</w:t>
      </w:r>
    </w:p>
    <w:p w14:paraId="6CDE7D21" w14:textId="77777777" w:rsidR="00256EB1" w:rsidRPr="00336566" w:rsidRDefault="00256EB1" w:rsidP="00256EB1">
      <w:pPr>
        <w:pStyle w:val="Prrafodelista"/>
        <w:spacing w:line="360" w:lineRule="auto"/>
        <w:ind w:left="284" w:right="34"/>
        <w:jc w:val="both"/>
        <w:rPr>
          <w:rFonts w:ascii="Palatino Linotype" w:hAnsi="Palatino Linotype"/>
          <w:b/>
          <w:i/>
          <w:color w:val="000000" w:themeColor="text1"/>
          <w:szCs w:val="22"/>
        </w:rPr>
      </w:pPr>
    </w:p>
    <w:p w14:paraId="15D0CAA6" w14:textId="17CA771E" w:rsidR="001C0729" w:rsidRPr="00336566" w:rsidRDefault="001C0729"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336566">
        <w:rPr>
          <w:rFonts w:ascii="Palatino Linotype" w:hAnsi="Palatino Linotype"/>
          <w:color w:val="000000" w:themeColor="text1"/>
        </w:rPr>
        <w:t>A dicha respuesta se anexó un</w:t>
      </w:r>
      <w:r w:rsidR="002048A8" w:rsidRPr="00336566">
        <w:rPr>
          <w:rFonts w:ascii="Palatino Linotype" w:hAnsi="Palatino Linotype"/>
          <w:color w:val="000000" w:themeColor="text1"/>
        </w:rPr>
        <w:t xml:space="preserve"> (01) </w:t>
      </w:r>
      <w:r w:rsidRPr="00336566">
        <w:rPr>
          <w:rFonts w:ascii="Palatino Linotype" w:hAnsi="Palatino Linotype"/>
          <w:color w:val="000000" w:themeColor="text1"/>
        </w:rPr>
        <w:t xml:space="preserve">archivo electrónico a saber, el cual únicamente se refiere ya que es de conocimiento de las partes: </w:t>
      </w:r>
    </w:p>
    <w:p w14:paraId="0CDFD7F4" w14:textId="77777777" w:rsidR="001C0729" w:rsidRPr="00336566" w:rsidRDefault="001C0729" w:rsidP="001C0729">
      <w:pPr>
        <w:pStyle w:val="Prrafodelista"/>
        <w:spacing w:line="360" w:lineRule="auto"/>
        <w:ind w:left="0"/>
        <w:jc w:val="both"/>
        <w:rPr>
          <w:rFonts w:ascii="Palatino Linotype" w:hAnsi="Palatino Linotype"/>
          <w:b/>
          <w:i/>
          <w:color w:val="000000" w:themeColor="text1"/>
        </w:rPr>
      </w:pPr>
    </w:p>
    <w:p w14:paraId="062D8CF6" w14:textId="77EDF976" w:rsidR="002048A8" w:rsidRPr="00336566" w:rsidRDefault="001C0729" w:rsidP="002048A8">
      <w:pPr>
        <w:pStyle w:val="Prrafodelista"/>
        <w:numPr>
          <w:ilvl w:val="0"/>
          <w:numId w:val="9"/>
        </w:numPr>
        <w:spacing w:line="360" w:lineRule="auto"/>
        <w:ind w:left="567" w:right="567" w:firstLine="0"/>
        <w:jc w:val="both"/>
        <w:rPr>
          <w:rFonts w:ascii="Palatino Linotype" w:hAnsi="Palatino Linotype"/>
          <w:b/>
          <w:color w:val="000000" w:themeColor="text1"/>
        </w:rPr>
      </w:pPr>
      <w:r w:rsidRPr="00336566">
        <w:rPr>
          <w:rFonts w:ascii="Palatino Linotype" w:hAnsi="Palatino Linotype"/>
          <w:b/>
          <w:color w:val="000000" w:themeColor="text1"/>
        </w:rPr>
        <w:t xml:space="preserve">SOL. 00188-ATIZARA-2018.pdf: </w:t>
      </w:r>
      <w:r w:rsidRPr="00336566">
        <w:rPr>
          <w:rFonts w:ascii="Palatino Linotype" w:hAnsi="Palatino Linotype"/>
          <w:color w:val="000000" w:themeColor="text1"/>
        </w:rPr>
        <w:t xml:space="preserve">Correspondiente a un documento electrónico que contiene en siete (07) hojas </w:t>
      </w:r>
      <w:r w:rsidR="002048A8" w:rsidRPr="00336566">
        <w:rPr>
          <w:rFonts w:ascii="Palatino Linotype" w:hAnsi="Palatino Linotype"/>
          <w:color w:val="000000" w:themeColor="text1"/>
        </w:rPr>
        <w:t>una licencia de construcción para obra nueva en versión pública y un acuerdo del comité de trasparencia del Ayuntamiento de Atizapán de Zaragoza, mediante el cual se sustenta la</w:t>
      </w:r>
      <w:r w:rsidR="00082F9E" w:rsidRPr="00336566">
        <w:rPr>
          <w:rFonts w:ascii="Palatino Linotype" w:hAnsi="Palatino Linotype"/>
          <w:color w:val="000000" w:themeColor="text1"/>
        </w:rPr>
        <w:t xml:space="preserve"> </w:t>
      </w:r>
      <w:r w:rsidR="002048A8" w:rsidRPr="00336566">
        <w:rPr>
          <w:rFonts w:ascii="Palatino Linotype" w:hAnsi="Palatino Linotype"/>
          <w:color w:val="000000" w:themeColor="text1"/>
        </w:rPr>
        <w:t>clasificación de información en modalidad de confidencial.</w:t>
      </w:r>
      <w:r w:rsidR="002048A8" w:rsidRPr="00336566">
        <w:rPr>
          <w:rFonts w:ascii="Palatino Linotype" w:hAnsi="Palatino Linotype"/>
          <w:b/>
          <w:color w:val="000000" w:themeColor="text1"/>
        </w:rPr>
        <w:t xml:space="preserve"> </w:t>
      </w:r>
    </w:p>
    <w:p w14:paraId="153D589E" w14:textId="1C85667A" w:rsidR="001C0729" w:rsidRPr="00336566" w:rsidRDefault="001C0729" w:rsidP="002048A8">
      <w:pPr>
        <w:pStyle w:val="Prrafodelista"/>
        <w:spacing w:line="360" w:lineRule="auto"/>
        <w:ind w:left="780"/>
        <w:jc w:val="both"/>
        <w:rPr>
          <w:rFonts w:ascii="Palatino Linotype" w:hAnsi="Palatino Linotype"/>
          <w:b/>
          <w:color w:val="000000" w:themeColor="text1"/>
        </w:rPr>
      </w:pPr>
      <w:r w:rsidRPr="00336566">
        <w:rPr>
          <w:rFonts w:ascii="Palatino Linotype" w:hAnsi="Palatino Linotype"/>
          <w:color w:val="000000" w:themeColor="text1"/>
        </w:rPr>
        <w:lastRenderedPageBreak/>
        <w:t xml:space="preserve"> </w:t>
      </w:r>
    </w:p>
    <w:p w14:paraId="127B1A18" w14:textId="5D9F5480" w:rsidR="00146F00" w:rsidRPr="00336566" w:rsidRDefault="00DB4BEF"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336566">
        <w:rPr>
          <w:rFonts w:ascii="Palatino Linotype" w:eastAsia="Times New Roman" w:hAnsi="Palatino Linotype" w:cs="Arial"/>
          <w:color w:val="000000" w:themeColor="text1"/>
          <w:lang w:val="es-ES"/>
        </w:rPr>
        <w:t xml:space="preserve">El </w:t>
      </w:r>
      <w:r w:rsidR="00AB3FA7" w:rsidRPr="00336566">
        <w:rPr>
          <w:rFonts w:ascii="Palatino Linotype" w:eastAsia="Times New Roman" w:hAnsi="Palatino Linotype" w:cs="Arial"/>
          <w:color w:val="000000" w:themeColor="text1"/>
          <w:lang w:val="es-ES"/>
        </w:rPr>
        <w:t>día doce</w:t>
      </w:r>
      <w:r w:rsidR="00D1140D" w:rsidRPr="00336566">
        <w:rPr>
          <w:rFonts w:ascii="Palatino Linotype" w:eastAsia="Times New Roman" w:hAnsi="Palatino Linotype" w:cs="Arial"/>
          <w:color w:val="000000" w:themeColor="text1"/>
          <w:lang w:val="es-ES"/>
        </w:rPr>
        <w:t xml:space="preserve"> </w:t>
      </w:r>
      <w:r w:rsidR="00D85885" w:rsidRPr="00336566">
        <w:rPr>
          <w:rFonts w:ascii="Palatino Linotype" w:eastAsia="Times New Roman" w:hAnsi="Palatino Linotype" w:cs="Arial"/>
          <w:color w:val="000000" w:themeColor="text1"/>
          <w:lang w:val="es-ES"/>
        </w:rPr>
        <w:t>(</w:t>
      </w:r>
      <w:r w:rsidR="00AB3FA7" w:rsidRPr="00336566">
        <w:rPr>
          <w:rFonts w:ascii="Palatino Linotype" w:eastAsia="Times New Roman" w:hAnsi="Palatino Linotype" w:cs="Arial"/>
          <w:color w:val="000000" w:themeColor="text1"/>
          <w:lang w:val="es-ES"/>
        </w:rPr>
        <w:t>12</w:t>
      </w:r>
      <w:r w:rsidR="00D85885" w:rsidRPr="00336566">
        <w:rPr>
          <w:rFonts w:ascii="Palatino Linotype" w:eastAsia="Times New Roman" w:hAnsi="Palatino Linotype" w:cs="Arial"/>
          <w:color w:val="000000" w:themeColor="text1"/>
          <w:lang w:val="es-ES"/>
        </w:rPr>
        <w:t xml:space="preserve">) </w:t>
      </w:r>
      <w:r w:rsidR="00AE1EB3" w:rsidRPr="00336566">
        <w:rPr>
          <w:rFonts w:ascii="Palatino Linotype" w:eastAsia="Times New Roman" w:hAnsi="Palatino Linotype" w:cs="Arial"/>
          <w:color w:val="000000" w:themeColor="text1"/>
          <w:lang w:val="es-ES"/>
        </w:rPr>
        <w:t>de jul</w:t>
      </w:r>
      <w:r w:rsidR="00D1140D" w:rsidRPr="00336566">
        <w:rPr>
          <w:rFonts w:ascii="Palatino Linotype" w:eastAsia="Times New Roman" w:hAnsi="Palatino Linotype" w:cs="Arial"/>
          <w:color w:val="000000" w:themeColor="text1"/>
          <w:lang w:val="es-ES"/>
        </w:rPr>
        <w:t>io</w:t>
      </w:r>
      <w:r w:rsidR="00604626" w:rsidRPr="00336566">
        <w:rPr>
          <w:rFonts w:ascii="Palatino Linotype" w:eastAsia="Times New Roman" w:hAnsi="Palatino Linotype" w:cs="Arial"/>
          <w:color w:val="000000" w:themeColor="text1"/>
          <w:lang w:val="es-ES"/>
        </w:rPr>
        <w:t xml:space="preserve"> </w:t>
      </w:r>
      <w:r w:rsidRPr="00336566">
        <w:rPr>
          <w:rFonts w:ascii="Palatino Linotype" w:eastAsia="Times New Roman" w:hAnsi="Palatino Linotype" w:cs="Arial"/>
          <w:color w:val="000000" w:themeColor="text1"/>
          <w:lang w:val="es-ES"/>
        </w:rPr>
        <w:t xml:space="preserve">de dos mil </w:t>
      </w:r>
      <w:r w:rsidR="009573B2" w:rsidRPr="00336566">
        <w:rPr>
          <w:rFonts w:ascii="Palatino Linotype" w:eastAsia="Times New Roman" w:hAnsi="Palatino Linotype" w:cs="Arial"/>
          <w:color w:val="000000" w:themeColor="text1"/>
          <w:lang w:val="es-ES"/>
        </w:rPr>
        <w:t>dieciocho</w:t>
      </w:r>
      <w:r w:rsidR="00D1140D" w:rsidRPr="00336566">
        <w:rPr>
          <w:rFonts w:ascii="Palatino Linotype" w:eastAsia="Times New Roman" w:hAnsi="Palatino Linotype" w:cs="Arial"/>
          <w:color w:val="000000" w:themeColor="text1"/>
          <w:lang w:val="es-ES"/>
        </w:rPr>
        <w:t xml:space="preserve">, estando en tiempo y forma, </w:t>
      </w:r>
      <w:r w:rsidR="00BB7BCB" w:rsidRPr="00336566">
        <w:rPr>
          <w:rFonts w:ascii="Palatino Linotype" w:hAnsi="Palatino Linotype"/>
          <w:b/>
          <w:color w:val="000000" w:themeColor="text1"/>
          <w:szCs w:val="22"/>
        </w:rPr>
        <w:t xml:space="preserve"> </w:t>
      </w:r>
      <w:r w:rsidR="003F1BBB">
        <w:rPr>
          <w:rFonts w:ascii="Palatino Linotype" w:hAnsi="Palatino Linotype"/>
          <w:b/>
          <w:color w:val="000000" w:themeColor="text1"/>
          <w:szCs w:val="22"/>
        </w:rPr>
        <w:t>--</w:t>
      </w:r>
      <w:r w:rsidR="003F1BBB" w:rsidRPr="003F1BBB">
        <w:rPr>
          <w:rFonts w:ascii="Palatino Linotype" w:hAnsi="Palatino Linotype"/>
          <w:b/>
          <w:color w:val="000000" w:themeColor="text1"/>
          <w:szCs w:val="22"/>
          <w:highlight w:val="black"/>
        </w:rPr>
        <w:t>-------------------------------------------------------</w:t>
      </w:r>
      <w:r w:rsidRPr="003F1BBB">
        <w:rPr>
          <w:rFonts w:ascii="Palatino Linotype" w:eastAsia="Times New Roman" w:hAnsi="Palatino Linotype" w:cs="Arial"/>
          <w:b/>
          <w:color w:val="000000" w:themeColor="text1"/>
          <w:highlight w:val="black"/>
          <w:lang w:val="es-ES"/>
        </w:rPr>
        <w:t>,</w:t>
      </w:r>
      <w:r w:rsidRPr="00336566">
        <w:rPr>
          <w:rFonts w:ascii="Palatino Linotype" w:eastAsia="Times New Roman" w:hAnsi="Palatino Linotype" w:cs="Arial"/>
          <w:color w:val="000000" w:themeColor="text1"/>
          <w:lang w:val="es-ES"/>
        </w:rPr>
        <w:t xml:space="preserve"> interpuso</w:t>
      </w:r>
      <w:r w:rsidR="009316E9" w:rsidRPr="00336566">
        <w:rPr>
          <w:rFonts w:ascii="Palatino Linotype" w:eastAsia="Times New Roman" w:hAnsi="Palatino Linotype" w:cs="Arial"/>
          <w:color w:val="000000" w:themeColor="text1"/>
          <w:lang w:val="es-ES"/>
        </w:rPr>
        <w:t xml:space="preserve"> </w:t>
      </w:r>
      <w:r w:rsidRPr="00336566">
        <w:rPr>
          <w:rFonts w:ascii="Palatino Linotype" w:eastAsia="Times New Roman" w:hAnsi="Palatino Linotype" w:cs="Arial"/>
          <w:color w:val="000000" w:themeColor="text1"/>
          <w:lang w:val="es-ES"/>
        </w:rPr>
        <w:t>recurso de revisión</w:t>
      </w:r>
      <w:r w:rsidR="00EC455A" w:rsidRPr="00336566">
        <w:rPr>
          <w:rFonts w:ascii="Palatino Linotype" w:eastAsia="Times New Roman" w:hAnsi="Palatino Linotype" w:cs="Arial"/>
          <w:color w:val="000000" w:themeColor="text1"/>
          <w:lang w:val="es-ES"/>
        </w:rPr>
        <w:t xml:space="preserve"> </w:t>
      </w:r>
      <w:r w:rsidR="009316E9" w:rsidRPr="00336566">
        <w:rPr>
          <w:rFonts w:ascii="Palatino Linotype" w:eastAsia="Times New Roman" w:hAnsi="Palatino Linotype" w:cs="Arial"/>
          <w:color w:val="000000" w:themeColor="text1"/>
          <w:lang w:val="es-ES"/>
        </w:rPr>
        <w:t xml:space="preserve">en contra de la respuesta anteriormente </w:t>
      </w:r>
      <w:r w:rsidR="009E4942" w:rsidRPr="00336566">
        <w:rPr>
          <w:rFonts w:ascii="Palatino Linotype" w:eastAsia="Times New Roman" w:hAnsi="Palatino Linotype" w:cs="Arial"/>
          <w:color w:val="000000" w:themeColor="text1"/>
          <w:lang w:val="es-ES"/>
        </w:rPr>
        <w:t>referida</w:t>
      </w:r>
      <w:r w:rsidR="009316E9" w:rsidRPr="00336566">
        <w:rPr>
          <w:rFonts w:ascii="Palatino Linotype" w:eastAsia="Times New Roman" w:hAnsi="Palatino Linotype" w:cs="Arial"/>
          <w:color w:val="000000" w:themeColor="text1"/>
          <w:lang w:val="es-ES"/>
        </w:rPr>
        <w:t xml:space="preserve">, </w:t>
      </w:r>
      <w:r w:rsidR="002B2A2E" w:rsidRPr="00336566">
        <w:rPr>
          <w:rFonts w:ascii="Palatino Linotype" w:eastAsia="Times New Roman" w:hAnsi="Palatino Linotype" w:cs="Arial"/>
          <w:color w:val="000000" w:themeColor="text1"/>
          <w:lang w:val="es-ES"/>
        </w:rPr>
        <w:t xml:space="preserve">señalando </w:t>
      </w:r>
      <w:r w:rsidR="009E4942" w:rsidRPr="00336566">
        <w:rPr>
          <w:rFonts w:ascii="Palatino Linotype" w:eastAsia="Times New Roman" w:hAnsi="Palatino Linotype" w:cs="Arial"/>
          <w:color w:val="000000" w:themeColor="text1"/>
          <w:lang w:val="es-ES"/>
        </w:rPr>
        <w:t>como</w:t>
      </w:r>
      <w:r w:rsidR="00146F00" w:rsidRPr="00336566">
        <w:rPr>
          <w:rFonts w:ascii="Palatino Linotype" w:eastAsia="Times New Roman" w:hAnsi="Palatino Linotype" w:cs="Arial"/>
          <w:color w:val="000000" w:themeColor="text1"/>
          <w:lang w:val="es-ES"/>
        </w:rPr>
        <w:t>:</w:t>
      </w:r>
    </w:p>
    <w:p w14:paraId="501B534C" w14:textId="77777777" w:rsidR="002F7DEA" w:rsidRPr="00336566" w:rsidRDefault="002F7DEA" w:rsidP="002F7DEA">
      <w:pPr>
        <w:pStyle w:val="Prrafodelista"/>
        <w:spacing w:line="360" w:lineRule="auto"/>
        <w:ind w:left="284"/>
        <w:jc w:val="both"/>
        <w:rPr>
          <w:rFonts w:ascii="Palatino Linotype" w:hAnsi="Palatino Linotype"/>
          <w:b/>
          <w:i/>
          <w:color w:val="000000" w:themeColor="text1"/>
          <w:sz w:val="22"/>
          <w:szCs w:val="22"/>
        </w:rPr>
      </w:pPr>
    </w:p>
    <w:p w14:paraId="45AA859E" w14:textId="34E2C9CC" w:rsidR="00146F00" w:rsidRPr="00336566" w:rsidRDefault="009E4942" w:rsidP="00AB3FA7">
      <w:pPr>
        <w:pStyle w:val="Prrafodelista"/>
        <w:numPr>
          <w:ilvl w:val="0"/>
          <w:numId w:val="2"/>
        </w:numPr>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5557992"/>
      <w:bookmarkStart w:id="20" w:name="_Toc483411550"/>
      <w:r w:rsidRPr="00336566">
        <w:rPr>
          <w:rStyle w:val="Ttulo2Car"/>
          <w:rFonts w:ascii="Palatino Linotype" w:hAnsi="Palatino Linotype"/>
          <w:b/>
          <w:color w:val="000000" w:themeColor="text1"/>
          <w:sz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FE49E3" w:rsidRPr="00336566">
        <w:rPr>
          <w:rStyle w:val="Ttulo2Car"/>
          <w:rFonts w:ascii="Palatino Linotype" w:hAnsi="Palatino Linotype"/>
          <w:b/>
          <w:color w:val="000000" w:themeColor="text1"/>
          <w:sz w:val="24"/>
        </w:rPr>
        <w:t xml:space="preserve"> </w:t>
      </w:r>
      <w:r w:rsidR="00E727B7" w:rsidRPr="00336566">
        <w:rPr>
          <w:rFonts w:ascii="Palatino Linotype" w:hAnsi="Palatino Linotype"/>
          <w:i/>
          <w:color w:val="000000" w:themeColor="text1"/>
        </w:rPr>
        <w:t>“</w:t>
      </w:r>
      <w:r w:rsidR="00AB3FA7" w:rsidRPr="00336566">
        <w:rPr>
          <w:rFonts w:ascii="Palatino Linotype" w:hAnsi="Palatino Linotype"/>
          <w:i/>
          <w:color w:val="000000" w:themeColor="text1"/>
        </w:rPr>
        <w:t>La respuesta a la solicitud de información 00188/ATIZARA/IP/2018</w:t>
      </w:r>
      <w:r w:rsidR="007B53A4" w:rsidRPr="00336566">
        <w:rPr>
          <w:rFonts w:ascii="Palatino Linotype" w:hAnsi="Palatino Linotype"/>
          <w:i/>
          <w:color w:val="000000" w:themeColor="text1"/>
        </w:rPr>
        <w:t>.</w:t>
      </w:r>
      <w:r w:rsidR="004433A7" w:rsidRPr="00336566">
        <w:rPr>
          <w:rFonts w:ascii="Palatino Linotype" w:hAnsi="Palatino Linotype"/>
          <w:i/>
          <w:color w:val="000000" w:themeColor="text1"/>
        </w:rPr>
        <w:t>”</w:t>
      </w:r>
      <w:r w:rsidR="004433A7" w:rsidRPr="00336566">
        <w:rPr>
          <w:rFonts w:ascii="Palatino Linotype" w:hAnsi="Palatino Linotype"/>
          <w:color w:val="000000" w:themeColor="text1"/>
        </w:rPr>
        <w:t xml:space="preserve"> (Sic)</w:t>
      </w:r>
      <w:bookmarkEnd w:id="20"/>
      <w:r w:rsidR="00A81889" w:rsidRPr="00336566">
        <w:rPr>
          <w:rFonts w:ascii="Palatino Linotype" w:hAnsi="Palatino Linotype"/>
          <w:color w:val="000000" w:themeColor="text1"/>
        </w:rPr>
        <w:t>.</w:t>
      </w:r>
    </w:p>
    <w:p w14:paraId="3E8F4C85" w14:textId="30AA099B" w:rsidR="00146F00" w:rsidRPr="00336566" w:rsidRDefault="003D4B53" w:rsidP="00C556C4">
      <w:pPr>
        <w:spacing w:line="360" w:lineRule="auto"/>
        <w:ind w:left="851"/>
        <w:jc w:val="both"/>
        <w:rPr>
          <w:rStyle w:val="Ttulo2Car"/>
          <w:rFonts w:ascii="Palatino Linotype" w:hAnsi="Palatino Linotype"/>
          <w:b/>
          <w:color w:val="000000" w:themeColor="text1"/>
          <w:sz w:val="24"/>
          <w:lang w:val="es-ES"/>
        </w:rPr>
      </w:pPr>
      <w:r>
        <w:rPr>
          <w:rFonts w:ascii="Palatino Linotype" w:eastAsiaTheme="majorEastAsia" w:hAnsi="Palatino Linotype" w:cstheme="majorBidi"/>
          <w:b/>
          <w:noProof/>
          <w:color w:val="000000" w:themeColor="text1"/>
          <w:szCs w:val="26"/>
          <w:lang w:val="es-MX" w:eastAsia="es-MX"/>
        </w:rPr>
        <mc:AlternateContent>
          <mc:Choice Requires="wps">
            <w:drawing>
              <wp:anchor distT="0" distB="0" distL="114300" distR="114300" simplePos="0" relativeHeight="251662336" behindDoc="0" locked="0" layoutInCell="1" allowOverlap="1" wp14:anchorId="063F5E06" wp14:editId="2D810FB5">
                <wp:simplePos x="0" y="0"/>
                <wp:positionH relativeFrom="column">
                  <wp:posOffset>529590</wp:posOffset>
                </wp:positionH>
                <wp:positionV relativeFrom="paragraph">
                  <wp:posOffset>375285</wp:posOffset>
                </wp:positionV>
                <wp:extent cx="4933950" cy="508635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4933950" cy="508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FE2BFD"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7pt,29.55pt" to="430.2pt,4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" strokecolor="#4f81bd [3204]" strokeweight="2pt">
                <v:shadow on="t" color="black" opacity="24903f" origin=",.5" offset="0,.55556mm"/>
              </v:line>
            </w:pict>
          </mc:Fallback>
        </mc:AlternateContent>
      </w:r>
    </w:p>
    <w:p w14:paraId="770FE432" w14:textId="5EB14A72" w:rsidR="008A7D54" w:rsidRPr="00336566" w:rsidRDefault="009E4942" w:rsidP="00AB3FA7">
      <w:pPr>
        <w:pStyle w:val="Ttulo2"/>
        <w:numPr>
          <w:ilvl w:val="0"/>
          <w:numId w:val="2"/>
        </w:numPr>
        <w:jc w:val="both"/>
        <w:rPr>
          <w:rFonts w:ascii="Palatino Linotype" w:hAnsi="Palatino Linotype"/>
          <w:color w:val="000000" w:themeColor="text1"/>
          <w:sz w:val="28"/>
          <w:szCs w:val="14"/>
        </w:rPr>
      </w:pPr>
      <w:bookmarkStart w:id="21" w:name="_Toc466982515"/>
      <w:bookmarkStart w:id="22" w:name="_Toc483995815"/>
      <w:bookmarkStart w:id="23" w:name="_Toc483411551"/>
      <w:bookmarkStart w:id="24" w:name="_Toc487622221"/>
      <w:bookmarkStart w:id="25" w:name="_Toc513198477"/>
      <w:bookmarkStart w:id="26" w:name="_Toc513203702"/>
      <w:bookmarkStart w:id="27" w:name="_Toc513203955"/>
      <w:bookmarkStart w:id="28" w:name="_Toc515555220"/>
      <w:bookmarkStart w:id="29" w:name="_Toc521603603"/>
      <w:bookmarkStart w:id="30" w:name="_Toc521605911"/>
      <w:bookmarkStart w:id="31" w:name="_Toc521949101"/>
      <w:bookmarkStart w:id="32" w:name="_Toc522641233"/>
      <w:bookmarkStart w:id="33" w:name="_Toc522703903"/>
      <w:bookmarkStart w:id="34" w:name="_Toc522705317"/>
      <w:bookmarkStart w:id="35" w:name="_Toc523418726"/>
      <w:bookmarkStart w:id="36" w:name="_Toc523908134"/>
      <w:bookmarkStart w:id="37" w:name="_Toc524437283"/>
      <w:bookmarkStart w:id="38" w:name="_Toc524437410"/>
      <w:bookmarkStart w:id="39" w:name="_Toc525557993"/>
      <w:r w:rsidRPr="00336566">
        <w:rPr>
          <w:rStyle w:val="Ttulo2Car"/>
          <w:rFonts w:ascii="Palatino Linotype" w:hAnsi="Palatino Linotype"/>
          <w:b/>
          <w:color w:val="000000" w:themeColor="text1"/>
          <w:sz w:val="24"/>
        </w:rPr>
        <w:lastRenderedPageBreak/>
        <w:t>Razones o Motivos de inconformidad:</w:t>
      </w:r>
      <w:bookmarkEnd w:id="21"/>
      <w:r w:rsidR="00FE49E3" w:rsidRPr="00336566">
        <w:rPr>
          <w:rFonts w:ascii="Palatino Linotype" w:hAnsi="Palatino Linotype"/>
          <w:b/>
          <w:color w:val="000000" w:themeColor="text1"/>
          <w:sz w:val="24"/>
        </w:rPr>
        <w:t xml:space="preserve"> </w:t>
      </w:r>
      <w:r w:rsidR="00E727B7" w:rsidRPr="00336566">
        <w:rPr>
          <w:rFonts w:ascii="Palatino Linotype" w:hAnsi="Palatino Linotype"/>
          <w:i/>
          <w:color w:val="000000" w:themeColor="text1"/>
          <w:sz w:val="24"/>
          <w:szCs w:val="22"/>
        </w:rPr>
        <w:t>“</w:t>
      </w:r>
      <w:bookmarkStart w:id="40" w:name="_Toc483995816"/>
      <w:bookmarkEnd w:id="22"/>
      <w:r w:rsidR="00AB3FA7" w:rsidRPr="00336566">
        <w:rPr>
          <w:rFonts w:ascii="Palatino Linotype" w:hAnsi="Palatino Linotype"/>
          <w:i/>
          <w:color w:val="000000" w:themeColor="text1"/>
          <w:sz w:val="24"/>
          <w:szCs w:val="22"/>
        </w:rPr>
        <w:t xml:space="preserve">Considero que la respuesta entregada viola mis derechos humanos, también considerados en la Ley de Transparencia y que deben desclasificarse como confidenciales los datos que he solicitado, ya que de nada me sirve la respuesta obtenida. Como respuesta a mi solicitud, se me han negado datos importantes que debo conocer, pues al pedir una licencia de construcción para una obra nueva, lo que es importante saber, para mi investigación, son los metros del terreno, los metros permitidos de construcción y la superficie total de la construcción permitida en un predio cualquiera. El Municipio me ha dado la respuesta, de que los datos de clave catastral, la superficie del terreno, la superficie de construcción, la superficie total de la construcción, el valor estimado del metro cuadrado, y el valor estimado total son datos confidenciales, así como el nombre del Perito y su dirección, clasificación con la que no estoy de acuerdo porque: La ley de Transparencia y Acceso a la Información Pública del Estado de México en su Título Primero, Disposiciones generales, Capítulo Primero, establece que son datos personales, en el numeral IX. Datos personales: La información concerniente a una persona, identificada o identificable según lo dispuesto por la Ley de Protección de Datos Personales del Estado de México; y esos datos que ha clasificado NADA tienen que ver con los datos personales . La ley establece que son datos confidenciales, los contenidos en el numeral XXI. del mismo artículo y se define como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Por lo que creo que los datos que ha solicitado se manejen como confidenciales, NADA tienen que ver con la definición arriba descrita, por lo que solicito se me entreguen a la brevedad, para poder concluir mi investigación.” </w:t>
      </w:r>
      <w:r w:rsidR="00CF377E" w:rsidRPr="00336566">
        <w:rPr>
          <w:rFonts w:ascii="Palatino Linotype" w:hAnsi="Palatino Linotype"/>
          <w:color w:val="000000" w:themeColor="text1"/>
          <w:sz w:val="24"/>
          <w:szCs w:val="22"/>
        </w:rPr>
        <w:t xml:space="preserve"> (Sic</w:t>
      </w:r>
      <w:r w:rsidR="00CF377E" w:rsidRPr="00336566">
        <w:rPr>
          <w:rFonts w:ascii="Palatino Linotype" w:hAnsi="Palatino Linotype"/>
          <w:color w:val="000000" w:themeColor="text1"/>
          <w:sz w:val="28"/>
          <w:szCs w:val="14"/>
        </w:rPr>
        <w:t>)</w:t>
      </w:r>
      <w:bookmarkEnd w:id="23"/>
      <w:bookmarkEnd w:id="24"/>
      <w:bookmarkEnd w:id="40"/>
      <w:r w:rsidR="00A81889" w:rsidRPr="00336566">
        <w:rPr>
          <w:rFonts w:ascii="Palatino Linotype" w:hAnsi="Palatino Linotype"/>
          <w:color w:val="000000" w:themeColor="text1"/>
          <w:sz w:val="28"/>
          <w:szCs w:val="14"/>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DAC48B" w14:textId="77777777" w:rsidR="008A7D54" w:rsidRPr="00336566" w:rsidRDefault="008A7D54" w:rsidP="008A7D54">
      <w:pPr>
        <w:rPr>
          <w:lang w:val="es-MX" w:eastAsia="en-US"/>
        </w:rPr>
      </w:pPr>
    </w:p>
    <w:p w14:paraId="6E571BB8" w14:textId="452766F8" w:rsidR="006D52D1" w:rsidRPr="00336566" w:rsidRDefault="007E5278" w:rsidP="00E311E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sz w:val="22"/>
          <w:szCs w:val="22"/>
        </w:rPr>
      </w:pPr>
      <w:r w:rsidRPr="00336566">
        <w:rPr>
          <w:rFonts w:ascii="Palatino Linotype" w:eastAsia="Times New Roman" w:hAnsi="Palatino Linotype" w:cs="Arial"/>
          <w:color w:val="000000" w:themeColor="text1"/>
          <w:lang w:val="es-ES"/>
        </w:rPr>
        <w:t xml:space="preserve">Se </w:t>
      </w:r>
      <w:r w:rsidR="002E74CE" w:rsidRPr="00336566">
        <w:rPr>
          <w:rFonts w:ascii="Palatino Linotype" w:eastAsia="Times New Roman" w:hAnsi="Palatino Linotype" w:cs="Arial"/>
          <w:color w:val="000000" w:themeColor="text1"/>
          <w:lang w:val="es-ES"/>
        </w:rPr>
        <w:t xml:space="preserve">registró el recurso de revisión </w:t>
      </w:r>
      <w:r w:rsidR="00F85237" w:rsidRPr="00336566">
        <w:rPr>
          <w:rFonts w:ascii="Palatino Linotype" w:eastAsia="Times New Roman" w:hAnsi="Palatino Linotype" w:cs="Arial"/>
          <w:color w:val="000000" w:themeColor="text1"/>
          <w:lang w:val="es-ES"/>
        </w:rPr>
        <w:t xml:space="preserve">bajo el número de expediente </w:t>
      </w:r>
      <w:r w:rsidR="00F85237" w:rsidRPr="00336566">
        <w:rPr>
          <w:rFonts w:ascii="Palatino Linotype" w:hAnsi="Palatino Linotype" w:cs="Arial"/>
          <w:bCs/>
          <w:color w:val="000000" w:themeColor="text1"/>
        </w:rPr>
        <w:t xml:space="preserve">al rubro indicado, asimismo </w:t>
      </w:r>
      <w:r w:rsidR="005B7C5D" w:rsidRPr="00336566">
        <w:rPr>
          <w:rFonts w:ascii="Palatino Linotype" w:hAnsi="Palatino Linotype" w:cs="Arial"/>
          <w:bCs/>
          <w:color w:val="000000" w:themeColor="text1"/>
        </w:rPr>
        <w:t xml:space="preserve">con fundamento en lo dispuesto por el </w:t>
      </w:r>
      <w:r w:rsidR="005B7C5D" w:rsidRPr="00336566">
        <w:rPr>
          <w:rFonts w:ascii="Palatino Linotype" w:eastAsia="Calibri" w:hAnsi="Palatino Linotype" w:cs="Arial"/>
          <w:color w:val="000000" w:themeColor="text1"/>
          <w:lang w:val="es-ES"/>
        </w:rPr>
        <w:t xml:space="preserve">artículo 185 fracción I de la </w:t>
      </w:r>
      <w:r w:rsidR="005B7C5D" w:rsidRPr="00336566">
        <w:rPr>
          <w:rFonts w:ascii="Palatino Linotype" w:eastAsia="Calibri" w:hAnsi="Palatino Linotype" w:cs="Arial"/>
          <w:b/>
          <w:color w:val="000000" w:themeColor="text1"/>
          <w:lang w:val="es-ES"/>
        </w:rPr>
        <w:t xml:space="preserve">Ley de Transparencia y Acceso a la Información Pública del Estado de México </w:t>
      </w:r>
      <w:r w:rsidR="005B7C5D" w:rsidRPr="00336566">
        <w:rPr>
          <w:rFonts w:ascii="Palatino Linotype" w:eastAsia="Calibri" w:hAnsi="Palatino Linotype" w:cs="Arial"/>
          <w:b/>
          <w:color w:val="000000" w:themeColor="text1"/>
          <w:lang w:val="es-ES"/>
        </w:rPr>
        <w:lastRenderedPageBreak/>
        <w:t xml:space="preserve">y Municipios </w:t>
      </w:r>
      <w:r w:rsidR="005B7C5D" w:rsidRPr="00336566">
        <w:rPr>
          <w:rFonts w:ascii="Palatino Linotype" w:eastAsia="Times New Roman" w:hAnsi="Palatino Linotype" w:cs="Arial"/>
          <w:color w:val="000000" w:themeColor="text1"/>
          <w:lang w:val="es-ES"/>
        </w:rPr>
        <w:t>se turnó al</w:t>
      </w:r>
      <w:r w:rsidR="00EC455A" w:rsidRPr="00336566">
        <w:rPr>
          <w:rFonts w:ascii="Palatino Linotype" w:eastAsia="Times New Roman" w:hAnsi="Palatino Linotype" w:cs="Arial"/>
          <w:color w:val="000000" w:themeColor="text1"/>
          <w:lang w:val="es-ES"/>
        </w:rPr>
        <w:t xml:space="preserve"> </w:t>
      </w:r>
      <w:r w:rsidR="00EC455A" w:rsidRPr="00336566">
        <w:rPr>
          <w:rFonts w:ascii="Palatino Linotype" w:eastAsia="Times New Roman" w:hAnsi="Palatino Linotype" w:cs="Arial"/>
          <w:b/>
          <w:color w:val="000000" w:themeColor="text1"/>
          <w:lang w:val="es-ES"/>
        </w:rPr>
        <w:t xml:space="preserve">Comisionado José Guadalupe Luna Hernández </w:t>
      </w:r>
      <w:r w:rsidR="005B7C5D" w:rsidRPr="00336566">
        <w:rPr>
          <w:rFonts w:ascii="Palatino Linotype" w:eastAsia="Times New Roman" w:hAnsi="Palatino Linotype" w:cs="Arial"/>
          <w:color w:val="000000" w:themeColor="text1"/>
          <w:lang w:val="es-ES"/>
        </w:rPr>
        <w:t xml:space="preserve">con el objeto de </w:t>
      </w:r>
      <w:r w:rsidRPr="00336566">
        <w:rPr>
          <w:rFonts w:ascii="Palatino Linotype" w:eastAsia="Times New Roman" w:hAnsi="Palatino Linotype" w:cs="Arial"/>
          <w:color w:val="000000" w:themeColor="text1"/>
          <w:lang w:val="es-MX"/>
        </w:rPr>
        <w:t>su análisis.</w:t>
      </w:r>
    </w:p>
    <w:p w14:paraId="11032560" w14:textId="77777777" w:rsidR="006D52D1" w:rsidRPr="00336566" w:rsidRDefault="006D52D1" w:rsidP="00473924">
      <w:pPr>
        <w:pStyle w:val="Prrafodelista"/>
        <w:ind w:left="0"/>
        <w:rPr>
          <w:rFonts w:ascii="Palatino Linotype" w:eastAsia="Calibri" w:hAnsi="Palatino Linotype" w:cs="Arial"/>
          <w:color w:val="000000" w:themeColor="text1"/>
          <w:lang w:val="es-ES"/>
        </w:rPr>
      </w:pPr>
    </w:p>
    <w:p w14:paraId="15BF2056" w14:textId="391E0BDD" w:rsidR="003C3DCD" w:rsidRPr="00336566" w:rsidRDefault="00FE49E3" w:rsidP="00E311E0">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336566">
        <w:rPr>
          <w:rFonts w:ascii="Palatino Linotype" w:eastAsia="Calibri" w:hAnsi="Palatino Linotype" w:cs="Arial"/>
          <w:color w:val="000000" w:themeColor="text1"/>
          <w:lang w:val="es-ES"/>
        </w:rPr>
        <w:t xml:space="preserve">El </w:t>
      </w:r>
      <w:r w:rsidR="0004686A" w:rsidRPr="00336566">
        <w:rPr>
          <w:rFonts w:ascii="Palatino Linotype" w:eastAsia="Calibri" w:hAnsi="Palatino Linotype" w:cs="Arial"/>
          <w:color w:val="000000" w:themeColor="text1"/>
          <w:lang w:val="es-ES"/>
        </w:rPr>
        <w:t xml:space="preserve">Comisionado Ponente con fundamento en lo dispuesto por el </w:t>
      </w:r>
      <w:r w:rsidR="009A20BA" w:rsidRPr="00336566">
        <w:rPr>
          <w:rFonts w:ascii="Palatino Linotype" w:eastAsia="Calibri" w:hAnsi="Palatino Linotype" w:cs="Arial"/>
          <w:color w:val="000000" w:themeColor="text1"/>
          <w:lang w:val="es-ES"/>
        </w:rPr>
        <w:t>artículo 185 fracción II de la L</w:t>
      </w:r>
      <w:r w:rsidR="0004686A" w:rsidRPr="00336566">
        <w:rPr>
          <w:rFonts w:ascii="Palatino Linotype" w:eastAsia="Calibri" w:hAnsi="Palatino Linotype" w:cs="Arial"/>
          <w:color w:val="000000" w:themeColor="text1"/>
          <w:lang w:val="es-ES"/>
        </w:rPr>
        <w:t xml:space="preserve">ey de la materia, a través del </w:t>
      </w:r>
      <w:r w:rsidR="00B81371" w:rsidRPr="00336566">
        <w:rPr>
          <w:rFonts w:ascii="Palatino Linotype" w:eastAsia="Calibri" w:hAnsi="Palatino Linotype" w:cs="Arial"/>
          <w:color w:val="000000" w:themeColor="text1"/>
          <w:lang w:val="es-ES"/>
        </w:rPr>
        <w:t xml:space="preserve">acuerdo </w:t>
      </w:r>
      <w:r w:rsidR="00F147C6" w:rsidRPr="00336566">
        <w:rPr>
          <w:rFonts w:ascii="Palatino Linotype" w:eastAsia="Calibri" w:hAnsi="Palatino Linotype" w:cs="Arial"/>
          <w:color w:val="000000" w:themeColor="text1"/>
          <w:lang w:val="es-ES"/>
        </w:rPr>
        <w:t xml:space="preserve">de admisión </w:t>
      </w:r>
      <w:r w:rsidR="00310B04" w:rsidRPr="00336566">
        <w:rPr>
          <w:rFonts w:ascii="Palatino Linotype" w:eastAsia="Calibri" w:hAnsi="Palatino Linotype" w:cs="Arial"/>
          <w:color w:val="000000" w:themeColor="text1"/>
          <w:lang w:val="es-ES"/>
        </w:rPr>
        <w:t>de</w:t>
      </w:r>
      <w:r w:rsidR="00864611" w:rsidRPr="00336566">
        <w:rPr>
          <w:rFonts w:ascii="Palatino Linotype" w:eastAsia="Calibri" w:hAnsi="Palatino Linotype" w:cs="Arial"/>
          <w:color w:val="000000" w:themeColor="text1"/>
          <w:lang w:val="es-ES"/>
        </w:rPr>
        <w:t xml:space="preserve"> </w:t>
      </w:r>
      <w:r w:rsidR="00AB3FA7" w:rsidRPr="00336566">
        <w:rPr>
          <w:rFonts w:ascii="Palatino Linotype" w:eastAsia="Calibri" w:hAnsi="Palatino Linotype" w:cs="Arial"/>
          <w:color w:val="000000" w:themeColor="text1"/>
          <w:lang w:val="es-ES"/>
        </w:rPr>
        <w:t>primero</w:t>
      </w:r>
      <w:r w:rsidR="00145CE7" w:rsidRPr="00336566">
        <w:rPr>
          <w:rFonts w:ascii="Palatino Linotype" w:eastAsia="Calibri" w:hAnsi="Palatino Linotype" w:cs="Arial"/>
          <w:color w:val="000000" w:themeColor="text1"/>
          <w:lang w:val="es-ES"/>
        </w:rPr>
        <w:t xml:space="preserve"> </w:t>
      </w:r>
      <w:r w:rsidR="0036073F" w:rsidRPr="00336566">
        <w:rPr>
          <w:rFonts w:ascii="Palatino Linotype" w:eastAsia="Calibri" w:hAnsi="Palatino Linotype" w:cs="Arial"/>
          <w:color w:val="000000" w:themeColor="text1"/>
          <w:lang w:val="es-ES"/>
        </w:rPr>
        <w:t>(</w:t>
      </w:r>
      <w:r w:rsidR="00AB3FA7" w:rsidRPr="00336566">
        <w:rPr>
          <w:rFonts w:ascii="Palatino Linotype" w:eastAsia="Calibri" w:hAnsi="Palatino Linotype" w:cs="Arial"/>
          <w:color w:val="000000" w:themeColor="text1"/>
          <w:lang w:val="es-ES"/>
        </w:rPr>
        <w:t>01</w:t>
      </w:r>
      <w:r w:rsidR="0036073F" w:rsidRPr="00336566">
        <w:rPr>
          <w:rFonts w:ascii="Palatino Linotype" w:eastAsia="Calibri" w:hAnsi="Palatino Linotype" w:cs="Arial"/>
          <w:color w:val="000000" w:themeColor="text1"/>
          <w:lang w:val="es-ES"/>
        </w:rPr>
        <w:t xml:space="preserve">) </w:t>
      </w:r>
      <w:r w:rsidR="00AB3FA7" w:rsidRPr="00336566">
        <w:rPr>
          <w:rFonts w:ascii="Palatino Linotype" w:eastAsia="Calibri" w:hAnsi="Palatino Linotype" w:cs="Arial"/>
          <w:color w:val="000000" w:themeColor="text1"/>
          <w:lang w:val="es-ES"/>
        </w:rPr>
        <w:t>de agosto</w:t>
      </w:r>
      <w:r w:rsidR="007237BF" w:rsidRPr="00336566">
        <w:rPr>
          <w:rFonts w:ascii="Palatino Linotype" w:eastAsia="Calibri" w:hAnsi="Palatino Linotype" w:cs="Arial"/>
          <w:color w:val="000000" w:themeColor="text1"/>
          <w:lang w:val="es-ES"/>
        </w:rPr>
        <w:t xml:space="preserve"> </w:t>
      </w:r>
      <w:r w:rsidR="00A81889" w:rsidRPr="00336566">
        <w:rPr>
          <w:rFonts w:ascii="Palatino Linotype" w:eastAsia="Calibri" w:hAnsi="Palatino Linotype" w:cs="Arial"/>
          <w:color w:val="000000" w:themeColor="text1"/>
          <w:lang w:val="es-ES"/>
        </w:rPr>
        <w:t>d</w:t>
      </w:r>
      <w:r w:rsidR="0075650E" w:rsidRPr="00336566">
        <w:rPr>
          <w:rFonts w:ascii="Palatino Linotype" w:eastAsia="Calibri" w:hAnsi="Palatino Linotype" w:cs="Arial"/>
          <w:color w:val="000000" w:themeColor="text1"/>
          <w:lang w:val="es-ES"/>
        </w:rPr>
        <w:t xml:space="preserve">e dos mil </w:t>
      </w:r>
      <w:r w:rsidR="00EC5D48" w:rsidRPr="00336566">
        <w:rPr>
          <w:rFonts w:ascii="Palatino Linotype" w:eastAsia="Calibri" w:hAnsi="Palatino Linotype" w:cs="Arial"/>
          <w:color w:val="000000" w:themeColor="text1"/>
          <w:lang w:val="es-ES"/>
        </w:rPr>
        <w:t>dieci</w:t>
      </w:r>
      <w:r w:rsidR="00BB3227" w:rsidRPr="00336566">
        <w:rPr>
          <w:rFonts w:ascii="Palatino Linotype" w:eastAsia="Calibri" w:hAnsi="Palatino Linotype" w:cs="Arial"/>
          <w:color w:val="000000" w:themeColor="text1"/>
          <w:lang w:val="es-ES"/>
        </w:rPr>
        <w:t>ocho</w:t>
      </w:r>
      <w:r w:rsidR="00473924" w:rsidRPr="00336566">
        <w:rPr>
          <w:rFonts w:ascii="Palatino Linotype" w:eastAsia="Calibri" w:hAnsi="Palatino Linotype" w:cs="Arial"/>
          <w:color w:val="000000" w:themeColor="text1"/>
          <w:lang w:val="es-ES"/>
        </w:rPr>
        <w:t xml:space="preserve">, </w:t>
      </w:r>
      <w:r w:rsidR="00B81371" w:rsidRPr="00336566">
        <w:rPr>
          <w:rFonts w:ascii="Palatino Linotype" w:eastAsia="Calibri" w:hAnsi="Palatino Linotype" w:cs="Arial"/>
          <w:color w:val="000000" w:themeColor="text1"/>
          <w:lang w:val="es-ES"/>
        </w:rPr>
        <w:t xml:space="preserve">puso a </w:t>
      </w:r>
      <w:r w:rsidR="00875167" w:rsidRPr="00336566">
        <w:rPr>
          <w:rFonts w:ascii="Palatino Linotype" w:eastAsia="Calibri" w:hAnsi="Palatino Linotype" w:cs="Arial"/>
          <w:color w:val="000000" w:themeColor="text1"/>
          <w:lang w:val="es-ES"/>
        </w:rPr>
        <w:t>disposición</w:t>
      </w:r>
      <w:r w:rsidR="00B81371" w:rsidRPr="00336566">
        <w:rPr>
          <w:rFonts w:ascii="Palatino Linotype" w:eastAsia="Calibri" w:hAnsi="Palatino Linotype" w:cs="Arial"/>
          <w:color w:val="000000" w:themeColor="text1"/>
          <w:lang w:val="es-ES"/>
        </w:rPr>
        <w:t xml:space="preserve"> de las partes el expediente electrónico </w:t>
      </w:r>
      <w:r w:rsidR="00B81371" w:rsidRPr="00336566">
        <w:rPr>
          <w:rFonts w:ascii="Palatino Linotype" w:eastAsia="Calibri" w:hAnsi="Palatino Linotype" w:cs="Arial"/>
          <w:color w:val="000000" w:themeColor="text1"/>
        </w:rPr>
        <w:t xml:space="preserve">vía </w:t>
      </w:r>
      <w:r w:rsidR="00B81371" w:rsidRPr="00336566">
        <w:rPr>
          <w:rFonts w:ascii="Palatino Linotype" w:eastAsia="Calibri" w:hAnsi="Palatino Linotype" w:cs="Arial"/>
          <w:color w:val="000000" w:themeColor="text1"/>
          <w:lang w:val="es-ES"/>
        </w:rPr>
        <w:t xml:space="preserve">Sistema de Acceso a la Información Mexiquense </w:t>
      </w:r>
      <w:r w:rsidR="00B81371" w:rsidRPr="00336566">
        <w:rPr>
          <w:rFonts w:ascii="Palatino Linotype" w:eastAsia="Calibri" w:hAnsi="Palatino Linotype" w:cs="Arial"/>
          <w:b/>
          <w:color w:val="000000" w:themeColor="text1"/>
          <w:lang w:val="es-ES"/>
        </w:rPr>
        <w:t xml:space="preserve">SAIMEX </w:t>
      </w:r>
      <w:r w:rsidR="00B81371" w:rsidRPr="00336566">
        <w:rPr>
          <w:rFonts w:ascii="Palatino Linotype" w:eastAsia="Calibri" w:hAnsi="Palatino Linotype" w:cs="Arial"/>
          <w:color w:val="000000" w:themeColor="text1"/>
          <w:lang w:val="es-ES"/>
        </w:rPr>
        <w:t xml:space="preserve">a efecto de que en un plazo máximo de siete días </w:t>
      </w:r>
      <w:r w:rsidR="00875167" w:rsidRPr="00336566">
        <w:rPr>
          <w:rFonts w:ascii="Palatino Linotype" w:eastAsia="Calibri" w:hAnsi="Palatino Linotype" w:cs="Arial"/>
          <w:color w:val="000000" w:themeColor="text1"/>
          <w:lang w:val="es-ES"/>
        </w:rPr>
        <w:t>manifestaran</w:t>
      </w:r>
      <w:r w:rsidR="00B81371" w:rsidRPr="00336566">
        <w:rPr>
          <w:rFonts w:ascii="Palatino Linotype" w:eastAsia="Calibri" w:hAnsi="Palatino Linotype" w:cs="Arial"/>
          <w:color w:val="000000" w:themeColor="text1"/>
          <w:lang w:val="es-ES"/>
        </w:rPr>
        <w:t xml:space="preserve"> lo que a derecho conviniera</w:t>
      </w:r>
      <w:r w:rsidR="00875167" w:rsidRPr="00336566">
        <w:rPr>
          <w:rFonts w:ascii="Palatino Linotype" w:eastAsia="Calibri" w:hAnsi="Palatino Linotype" w:cs="Arial"/>
          <w:color w:val="000000" w:themeColor="text1"/>
          <w:lang w:val="es-ES"/>
        </w:rPr>
        <w:t>n</w:t>
      </w:r>
      <w:r w:rsidR="00032493" w:rsidRPr="00336566">
        <w:rPr>
          <w:rFonts w:ascii="Palatino Linotype" w:eastAsia="Calibri" w:hAnsi="Palatino Linotype" w:cs="Arial"/>
          <w:color w:val="000000" w:themeColor="text1"/>
          <w:lang w:val="es-ES"/>
        </w:rPr>
        <w:t>,</w:t>
      </w:r>
      <w:r w:rsidR="00B81371" w:rsidRPr="00336566">
        <w:rPr>
          <w:rFonts w:ascii="Palatino Linotype" w:eastAsia="Calibri" w:hAnsi="Palatino Linotype" w:cs="Arial"/>
          <w:color w:val="000000" w:themeColor="text1"/>
          <w:lang w:val="es-ES"/>
        </w:rPr>
        <w:t xml:space="preserve"> </w:t>
      </w:r>
      <w:r w:rsidR="00875167" w:rsidRPr="00336566">
        <w:rPr>
          <w:rFonts w:ascii="Palatino Linotype" w:eastAsia="Calibri" w:hAnsi="Palatino Linotype" w:cs="Arial"/>
          <w:color w:val="000000" w:themeColor="text1"/>
          <w:lang w:val="es-ES"/>
        </w:rPr>
        <w:t>ofrecieran pruebas y alegatos según correspond</w:t>
      </w:r>
      <w:r w:rsidR="00C15817" w:rsidRPr="00336566">
        <w:rPr>
          <w:rFonts w:ascii="Palatino Linotype" w:eastAsia="Calibri" w:hAnsi="Palatino Linotype" w:cs="Arial"/>
          <w:color w:val="000000" w:themeColor="text1"/>
          <w:lang w:val="es-ES"/>
        </w:rPr>
        <w:t>iese</w:t>
      </w:r>
      <w:r w:rsidR="00875167" w:rsidRPr="00336566">
        <w:rPr>
          <w:rFonts w:ascii="Palatino Linotype" w:eastAsia="Calibri" w:hAnsi="Palatino Linotype" w:cs="Arial"/>
          <w:color w:val="000000" w:themeColor="text1"/>
          <w:lang w:val="es-ES"/>
        </w:rPr>
        <w:t xml:space="preserve"> al caso concreto, </w:t>
      </w:r>
      <w:r w:rsidR="00C15817" w:rsidRPr="00336566">
        <w:rPr>
          <w:rFonts w:ascii="Palatino Linotype" w:eastAsia="Calibri" w:hAnsi="Palatino Linotype" w:cs="Arial"/>
          <w:color w:val="000000" w:themeColor="text1"/>
          <w:lang w:val="es-ES"/>
        </w:rPr>
        <w:t>de é</w:t>
      </w:r>
      <w:r w:rsidR="00F147C6" w:rsidRPr="00336566">
        <w:rPr>
          <w:rFonts w:ascii="Palatino Linotype" w:eastAsia="Calibri" w:hAnsi="Palatino Linotype" w:cs="Arial"/>
          <w:color w:val="000000" w:themeColor="text1"/>
          <w:lang w:val="es-ES"/>
        </w:rPr>
        <w:t>sta forma</w:t>
      </w:r>
      <w:r w:rsidR="00875167" w:rsidRPr="00336566">
        <w:rPr>
          <w:rFonts w:ascii="Palatino Linotype" w:eastAsia="Calibri" w:hAnsi="Palatino Linotype" w:cs="Arial"/>
          <w:color w:val="000000" w:themeColor="text1"/>
          <w:lang w:val="es-ES"/>
        </w:rPr>
        <w:t xml:space="preserve"> para que el </w:t>
      </w:r>
      <w:r w:rsidR="00875167" w:rsidRPr="00336566">
        <w:rPr>
          <w:rFonts w:ascii="Palatino Linotype" w:eastAsia="Calibri" w:hAnsi="Palatino Linotype" w:cs="Arial"/>
          <w:b/>
          <w:color w:val="000000" w:themeColor="text1"/>
          <w:lang w:val="es-ES"/>
        </w:rPr>
        <w:t>SUJETO OBLIGADO</w:t>
      </w:r>
      <w:r w:rsidR="00875167" w:rsidRPr="00336566">
        <w:rPr>
          <w:rFonts w:ascii="Palatino Linotype" w:eastAsia="Calibri" w:hAnsi="Palatino Linotype" w:cs="Arial"/>
          <w:color w:val="000000" w:themeColor="text1"/>
          <w:lang w:val="es-ES"/>
        </w:rPr>
        <w:t xml:space="preserve"> </w:t>
      </w:r>
      <w:r w:rsidR="00B81371" w:rsidRPr="00336566">
        <w:rPr>
          <w:rFonts w:ascii="Palatino Linotype" w:eastAsia="Calibri" w:hAnsi="Palatino Linotype" w:cs="Arial"/>
          <w:color w:val="000000" w:themeColor="text1"/>
          <w:lang w:val="es-ES"/>
        </w:rPr>
        <w:t>pre</w:t>
      </w:r>
      <w:r w:rsidR="007D25F5" w:rsidRPr="00336566">
        <w:rPr>
          <w:rFonts w:ascii="Palatino Linotype" w:eastAsia="Calibri" w:hAnsi="Palatino Linotype" w:cs="Arial"/>
          <w:color w:val="000000" w:themeColor="text1"/>
          <w:lang w:val="es-ES"/>
        </w:rPr>
        <w:t>sentara</w:t>
      </w:r>
      <w:r w:rsidR="00B81371" w:rsidRPr="00336566">
        <w:rPr>
          <w:rFonts w:ascii="Palatino Linotype" w:eastAsia="Calibri" w:hAnsi="Palatino Linotype" w:cs="Arial"/>
          <w:color w:val="000000" w:themeColor="text1"/>
          <w:lang w:val="es-ES"/>
        </w:rPr>
        <w:t xml:space="preserve"> el Informe Justificado</w:t>
      </w:r>
      <w:r w:rsidR="00875167" w:rsidRPr="00336566">
        <w:rPr>
          <w:rFonts w:ascii="Palatino Linotype" w:eastAsia="Calibri" w:hAnsi="Palatino Linotype" w:cs="Arial"/>
          <w:color w:val="000000" w:themeColor="text1"/>
          <w:lang w:val="es-ES"/>
        </w:rPr>
        <w:t xml:space="preserve"> procedente</w:t>
      </w:r>
      <w:r w:rsidR="00C15817" w:rsidRPr="00336566">
        <w:rPr>
          <w:rFonts w:ascii="Palatino Linotype" w:eastAsia="Calibri" w:hAnsi="Palatino Linotype" w:cs="Arial"/>
          <w:color w:val="000000" w:themeColor="text1"/>
          <w:lang w:val="es-ES"/>
        </w:rPr>
        <w:t>.</w:t>
      </w:r>
    </w:p>
    <w:p w14:paraId="5130B6EF" w14:textId="77777777" w:rsidR="003C3DCD" w:rsidRPr="00336566" w:rsidRDefault="003C3DCD" w:rsidP="003C3DCD">
      <w:pPr>
        <w:pStyle w:val="Prrafodelista"/>
        <w:spacing w:before="240" w:after="240" w:line="360" w:lineRule="auto"/>
        <w:ind w:left="0"/>
        <w:jc w:val="both"/>
        <w:rPr>
          <w:rFonts w:ascii="Palatino Linotype" w:hAnsi="Palatino Linotype"/>
          <w:i/>
          <w:color w:val="000000" w:themeColor="text1"/>
          <w:sz w:val="22"/>
          <w:szCs w:val="22"/>
        </w:rPr>
      </w:pPr>
    </w:p>
    <w:p w14:paraId="68D930FA" w14:textId="6BCABE94" w:rsidR="001E6DFD" w:rsidRPr="00336566" w:rsidRDefault="00CD13B0" w:rsidP="00E311E0">
      <w:pPr>
        <w:pStyle w:val="Prrafodelista"/>
        <w:numPr>
          <w:ilvl w:val="0"/>
          <w:numId w:val="1"/>
        </w:numPr>
        <w:tabs>
          <w:tab w:val="left" w:pos="709"/>
        </w:tabs>
        <w:spacing w:before="240" w:after="360" w:line="360" w:lineRule="auto"/>
        <w:ind w:left="0" w:right="49" w:firstLine="0"/>
        <w:jc w:val="both"/>
        <w:rPr>
          <w:rFonts w:ascii="Palatino Linotype" w:hAnsi="Palatino Linotype"/>
          <w:color w:val="000000" w:themeColor="text1"/>
        </w:rPr>
      </w:pPr>
      <w:r w:rsidRPr="00336566">
        <w:rPr>
          <w:rFonts w:ascii="Palatino Linotype" w:hAnsi="Palatino Linotype"/>
          <w:color w:val="000000" w:themeColor="text1"/>
        </w:rPr>
        <w:t>E</w:t>
      </w:r>
      <w:r w:rsidR="007B53A4" w:rsidRPr="00336566">
        <w:rPr>
          <w:rFonts w:ascii="Palatino Linotype" w:hAnsi="Palatino Linotype"/>
          <w:color w:val="000000" w:themeColor="text1"/>
        </w:rPr>
        <w:t>n fecha siete</w:t>
      </w:r>
      <w:r w:rsidR="001E6DFD" w:rsidRPr="00336566">
        <w:rPr>
          <w:rFonts w:ascii="Palatino Linotype" w:hAnsi="Palatino Linotype"/>
          <w:color w:val="000000" w:themeColor="text1"/>
        </w:rPr>
        <w:t xml:space="preserve"> (</w:t>
      </w:r>
      <w:r w:rsidR="007B53A4" w:rsidRPr="00336566">
        <w:rPr>
          <w:rFonts w:ascii="Palatino Linotype" w:hAnsi="Palatino Linotype"/>
          <w:color w:val="000000" w:themeColor="text1"/>
        </w:rPr>
        <w:t>07</w:t>
      </w:r>
      <w:r w:rsidR="007F6CD9" w:rsidRPr="00336566">
        <w:rPr>
          <w:rFonts w:ascii="Palatino Linotype" w:hAnsi="Palatino Linotype"/>
          <w:color w:val="000000" w:themeColor="text1"/>
        </w:rPr>
        <w:t>) de agosto</w:t>
      </w:r>
      <w:r w:rsidR="001E6DFD" w:rsidRPr="00336566">
        <w:rPr>
          <w:rFonts w:ascii="Palatino Linotype" w:hAnsi="Palatino Linotype"/>
          <w:color w:val="000000" w:themeColor="text1"/>
        </w:rPr>
        <w:t xml:space="preserve"> de dos mil dieciocho,</w:t>
      </w:r>
      <w:r w:rsidRPr="00336566">
        <w:rPr>
          <w:rFonts w:ascii="Palatino Linotype" w:hAnsi="Palatino Linotype"/>
          <w:color w:val="000000" w:themeColor="text1"/>
        </w:rPr>
        <w:t xml:space="preserve"> el </w:t>
      </w:r>
      <w:r w:rsidRPr="00336566">
        <w:rPr>
          <w:rFonts w:ascii="Palatino Linotype" w:hAnsi="Palatino Linotype"/>
          <w:b/>
          <w:color w:val="000000" w:themeColor="text1"/>
        </w:rPr>
        <w:t>SUJETO OBLIGADO</w:t>
      </w:r>
      <w:r w:rsidR="00EC455A" w:rsidRPr="00336566">
        <w:rPr>
          <w:rFonts w:ascii="Palatino Linotype" w:hAnsi="Palatino Linotype"/>
          <w:b/>
          <w:color w:val="000000" w:themeColor="text1"/>
        </w:rPr>
        <w:t xml:space="preserve">, </w:t>
      </w:r>
      <w:r w:rsidR="00EC455A" w:rsidRPr="00336566">
        <w:rPr>
          <w:rFonts w:ascii="Palatino Linotype" w:hAnsi="Palatino Linotype"/>
          <w:color w:val="000000" w:themeColor="text1"/>
        </w:rPr>
        <w:t>emitió el informe justificado respecti</w:t>
      </w:r>
      <w:r w:rsidR="00C470DD" w:rsidRPr="00336566">
        <w:rPr>
          <w:rFonts w:ascii="Palatino Linotype" w:hAnsi="Palatino Linotype"/>
          <w:color w:val="000000" w:themeColor="text1"/>
        </w:rPr>
        <w:t xml:space="preserve">vo, </w:t>
      </w:r>
      <w:r w:rsidR="00EC455A" w:rsidRPr="00336566">
        <w:rPr>
          <w:rFonts w:ascii="Palatino Linotype" w:hAnsi="Palatino Linotype"/>
          <w:color w:val="000000" w:themeColor="text1"/>
        </w:rPr>
        <w:t>e</w:t>
      </w:r>
      <w:r w:rsidR="006F7CA6" w:rsidRPr="00336566">
        <w:rPr>
          <w:rFonts w:ascii="Palatino Linotype" w:hAnsi="Palatino Linotype"/>
          <w:color w:val="000000" w:themeColor="text1"/>
        </w:rPr>
        <w:t>l cual no se puso a la vista de la</w:t>
      </w:r>
      <w:r w:rsidR="00EC455A" w:rsidRPr="00336566">
        <w:rPr>
          <w:rFonts w:ascii="Palatino Linotype" w:hAnsi="Palatino Linotype"/>
          <w:color w:val="000000" w:themeColor="text1"/>
        </w:rPr>
        <w:t xml:space="preserve"> particular en virtud de que no aportaba elementos novedosos con relación a la respuesta primigenia. Sin embargo</w:t>
      </w:r>
      <w:r w:rsidR="00350DEA" w:rsidRPr="00336566">
        <w:rPr>
          <w:rFonts w:ascii="Palatino Linotype" w:hAnsi="Palatino Linotype"/>
          <w:color w:val="000000" w:themeColor="text1"/>
        </w:rPr>
        <w:t>, con la finalidad de que no exista opacid</w:t>
      </w:r>
      <w:r w:rsidR="00145CE7" w:rsidRPr="00336566">
        <w:rPr>
          <w:rFonts w:ascii="Palatino Linotype" w:hAnsi="Palatino Linotype"/>
          <w:color w:val="000000" w:themeColor="text1"/>
        </w:rPr>
        <w:t>ad, se hará del conocimiento de la</w:t>
      </w:r>
      <w:r w:rsidR="00350DEA" w:rsidRPr="00336566">
        <w:rPr>
          <w:rFonts w:ascii="Palatino Linotype" w:hAnsi="Palatino Linotype"/>
          <w:color w:val="000000" w:themeColor="text1"/>
        </w:rPr>
        <w:t xml:space="preserve"> particular al momento de la notificación de la presente resolución. Por su par</w:t>
      </w:r>
      <w:r w:rsidR="00BC6E49" w:rsidRPr="00336566">
        <w:rPr>
          <w:rFonts w:ascii="Palatino Linotype" w:hAnsi="Palatino Linotype"/>
          <w:color w:val="000000" w:themeColor="text1"/>
        </w:rPr>
        <w:t xml:space="preserve">te la </w:t>
      </w:r>
      <w:r w:rsidR="00CA7229" w:rsidRPr="00336566">
        <w:rPr>
          <w:rFonts w:ascii="Palatino Linotype" w:hAnsi="Palatino Linotype"/>
          <w:color w:val="000000" w:themeColor="text1"/>
        </w:rPr>
        <w:t xml:space="preserve">recurrente </w:t>
      </w:r>
      <w:r w:rsidR="00BC6E49" w:rsidRPr="00336566">
        <w:rPr>
          <w:rFonts w:ascii="Palatino Linotype" w:hAnsi="Palatino Linotype"/>
          <w:color w:val="000000" w:themeColor="text1"/>
        </w:rPr>
        <w:t>fue omisa</w:t>
      </w:r>
      <w:r w:rsidR="00350DEA" w:rsidRPr="00336566">
        <w:rPr>
          <w:rFonts w:ascii="Palatino Linotype" w:hAnsi="Palatino Linotype"/>
          <w:color w:val="000000" w:themeColor="text1"/>
        </w:rPr>
        <w:t xml:space="preserve"> en realizar manifestaciones que a su derecho convinieran y asistieran</w:t>
      </w:r>
      <w:r w:rsidR="00BC6E49" w:rsidRPr="00336566">
        <w:rPr>
          <w:rFonts w:ascii="Palatino Linotype" w:hAnsi="Palatino Linotype"/>
          <w:color w:val="000000" w:themeColor="text1"/>
        </w:rPr>
        <w:t>.</w:t>
      </w:r>
    </w:p>
    <w:p w14:paraId="111F1DFD" w14:textId="77777777" w:rsidR="00A274EA" w:rsidRPr="00336566" w:rsidRDefault="00A274EA" w:rsidP="00A274EA">
      <w:pPr>
        <w:pStyle w:val="Prrafodelista"/>
        <w:rPr>
          <w:rFonts w:ascii="Palatino Linotype" w:eastAsia="Calibri" w:hAnsi="Palatino Linotype" w:cs="Times New Roman"/>
          <w:color w:val="000000" w:themeColor="text1"/>
          <w:szCs w:val="20"/>
          <w:lang w:val="es-ES"/>
        </w:rPr>
      </w:pPr>
    </w:p>
    <w:p w14:paraId="2C3919E7" w14:textId="594E9C4F" w:rsidR="006668DC" w:rsidRPr="00336566" w:rsidRDefault="00350DEA" w:rsidP="006668DC">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336566">
        <w:rPr>
          <w:rFonts w:ascii="Palatino Linotype" w:hAnsi="Palatino Linotype"/>
          <w:color w:val="000000" w:themeColor="text1"/>
        </w:rPr>
        <w:t>El Comisionado Ponente decretó el cierre de instrucción mediante</w:t>
      </w:r>
      <w:r w:rsidR="0054677E" w:rsidRPr="00336566">
        <w:rPr>
          <w:rFonts w:ascii="Palatino Linotype" w:hAnsi="Palatino Linotype"/>
          <w:color w:val="000000" w:themeColor="text1"/>
        </w:rPr>
        <w:t xml:space="preserve"> acuerdo de fecha catorce (14) de agosto</w:t>
      </w:r>
      <w:r w:rsidRPr="00336566">
        <w:rPr>
          <w:rFonts w:ascii="Palatino Linotype" w:hAnsi="Palatino Linotype"/>
          <w:color w:val="000000" w:themeColor="text1"/>
        </w:rPr>
        <w:t xml:space="preserve"> de dos mil dieciocho, por lo que, ordenó turnar el expediente a resolución, misma que ahora se pronuncia. </w:t>
      </w:r>
    </w:p>
    <w:p w14:paraId="65E8448F" w14:textId="77777777" w:rsidR="006668DC" w:rsidRPr="00336566" w:rsidRDefault="006668DC" w:rsidP="006668DC">
      <w:pPr>
        <w:pStyle w:val="Prrafodelista"/>
        <w:tabs>
          <w:tab w:val="left" w:pos="709"/>
        </w:tabs>
        <w:spacing w:before="240" w:after="240" w:line="360" w:lineRule="auto"/>
        <w:ind w:left="0"/>
        <w:jc w:val="both"/>
        <w:rPr>
          <w:rFonts w:ascii="Palatino Linotype" w:hAnsi="Palatino Linotype"/>
          <w:b/>
          <w:color w:val="000000" w:themeColor="text1"/>
        </w:rPr>
      </w:pPr>
    </w:p>
    <w:p w14:paraId="2B3D335D" w14:textId="266386B3" w:rsidR="006668DC" w:rsidRPr="00336566" w:rsidRDefault="00082F9E" w:rsidP="006668DC">
      <w:pPr>
        <w:pStyle w:val="Prrafodelista"/>
        <w:numPr>
          <w:ilvl w:val="0"/>
          <w:numId w:val="1"/>
        </w:numPr>
        <w:spacing w:before="240" w:after="240" w:line="360" w:lineRule="auto"/>
        <w:ind w:left="0" w:firstLine="0"/>
        <w:jc w:val="both"/>
      </w:pPr>
      <w:r w:rsidRPr="00336566">
        <w:rPr>
          <w:rFonts w:ascii="Palatino Linotype" w:eastAsia="Calibri" w:hAnsi="Palatino Linotype" w:cs="Arial"/>
          <w:color w:val="000000" w:themeColor="text1"/>
        </w:rPr>
        <w:t>El día nueve (11</w:t>
      </w:r>
      <w:r w:rsidR="00B623D4" w:rsidRPr="00336566">
        <w:rPr>
          <w:rFonts w:ascii="Palatino Linotype" w:eastAsia="Calibri" w:hAnsi="Palatino Linotype" w:cs="Arial"/>
          <w:color w:val="000000" w:themeColor="text1"/>
        </w:rPr>
        <w:t xml:space="preserve">) de septiembre </w:t>
      </w:r>
      <w:r w:rsidR="006668DC" w:rsidRPr="00336566">
        <w:rPr>
          <w:rFonts w:ascii="Palatino Linotype" w:eastAsia="Calibri" w:hAnsi="Palatino Linotype" w:cs="Arial"/>
          <w:color w:val="000000" w:themeColor="text1"/>
        </w:rPr>
        <w:t>de dos mil dieciocho y con fundamento en el artículo 181 tercer párrafo de la </w:t>
      </w:r>
      <w:r w:rsidR="006668DC" w:rsidRPr="00336566">
        <w:rPr>
          <w:rFonts w:ascii="Palatino Linotype" w:eastAsia="Calibri" w:hAnsi="Palatino Linotype" w:cs="Arial"/>
          <w:b/>
          <w:bCs/>
          <w:color w:val="000000" w:themeColor="text1"/>
        </w:rPr>
        <w:t xml:space="preserve">Ley de Transparencia y Acceso a la Información </w:t>
      </w:r>
      <w:r w:rsidR="006668DC" w:rsidRPr="00336566">
        <w:rPr>
          <w:rFonts w:ascii="Palatino Linotype" w:eastAsia="Calibri" w:hAnsi="Palatino Linotype" w:cs="Arial"/>
          <w:b/>
          <w:bCs/>
          <w:color w:val="000000" w:themeColor="text1"/>
        </w:rPr>
        <w:lastRenderedPageBreak/>
        <w:t>Pública del Estado de México y Municipios, </w:t>
      </w:r>
      <w:r w:rsidR="006668DC" w:rsidRPr="00336566">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6DA1E7D6" w14:textId="77777777" w:rsidR="00426092" w:rsidRPr="00336566" w:rsidRDefault="00426092" w:rsidP="00515BA2">
      <w:pPr>
        <w:tabs>
          <w:tab w:val="left" w:pos="142"/>
        </w:tabs>
        <w:spacing w:before="240" w:after="240" w:line="360" w:lineRule="auto"/>
        <w:jc w:val="both"/>
        <w:rPr>
          <w:rFonts w:ascii="Palatino Linotype" w:hAnsi="Palatino Linotype"/>
          <w:b/>
          <w:color w:val="000000" w:themeColor="text1"/>
        </w:rPr>
      </w:pPr>
    </w:p>
    <w:p w14:paraId="15FA8C1A" w14:textId="46EB4D0F" w:rsidR="00587366" w:rsidRPr="00336566" w:rsidRDefault="007C0013" w:rsidP="002E198E">
      <w:pPr>
        <w:pStyle w:val="Ttulo1"/>
        <w:jc w:val="center"/>
        <w:rPr>
          <w:rFonts w:ascii="Palatino Linotype" w:hAnsi="Palatino Linotype"/>
          <w:b/>
          <w:color w:val="000000" w:themeColor="text1"/>
          <w:sz w:val="24"/>
        </w:rPr>
      </w:pPr>
      <w:bookmarkStart w:id="41" w:name="_Toc525557994"/>
      <w:r w:rsidRPr="00336566">
        <w:rPr>
          <w:rFonts w:ascii="Palatino Linotype" w:hAnsi="Palatino Linotype"/>
          <w:b/>
          <w:color w:val="000000" w:themeColor="text1"/>
          <w:sz w:val="24"/>
        </w:rPr>
        <w:t>CONSIDERANDO</w:t>
      </w:r>
      <w:bookmarkEnd w:id="41"/>
    </w:p>
    <w:p w14:paraId="06AC8084" w14:textId="77777777" w:rsidR="00BC6E49" w:rsidRPr="00336566" w:rsidRDefault="00BC6E49" w:rsidP="00BC6E49">
      <w:pPr>
        <w:rPr>
          <w:lang w:val="es-MX" w:eastAsia="en-US"/>
        </w:rPr>
      </w:pPr>
    </w:p>
    <w:p w14:paraId="10731595" w14:textId="77777777" w:rsidR="008200A3" w:rsidRPr="00336566" w:rsidRDefault="008200A3" w:rsidP="008200A3">
      <w:pPr>
        <w:rPr>
          <w:rFonts w:ascii="Palatino Linotype" w:hAnsi="Palatino Linotype"/>
          <w:color w:val="000000" w:themeColor="text1"/>
          <w:lang w:val="es-MX" w:eastAsia="en-US"/>
        </w:rPr>
      </w:pPr>
    </w:p>
    <w:p w14:paraId="629A5BE2" w14:textId="56C3E7D5" w:rsidR="007C0013" w:rsidRPr="00336566" w:rsidRDefault="007C0013" w:rsidP="002E198E">
      <w:pPr>
        <w:pStyle w:val="Ttulo2"/>
        <w:rPr>
          <w:rFonts w:ascii="Palatino Linotype" w:hAnsi="Palatino Linotype"/>
          <w:b/>
          <w:color w:val="000000" w:themeColor="text1"/>
          <w:sz w:val="24"/>
        </w:rPr>
      </w:pPr>
      <w:bookmarkStart w:id="42" w:name="_Toc525557995"/>
      <w:r w:rsidRPr="00336566">
        <w:rPr>
          <w:rFonts w:ascii="Palatino Linotype" w:hAnsi="Palatino Linotype"/>
          <w:b/>
          <w:color w:val="000000" w:themeColor="text1"/>
          <w:sz w:val="24"/>
        </w:rPr>
        <w:t>PRIMERO. De la competencia</w:t>
      </w:r>
      <w:bookmarkEnd w:id="42"/>
    </w:p>
    <w:p w14:paraId="19A87C10" w14:textId="77777777" w:rsidR="00DB6CCF" w:rsidRPr="00336566" w:rsidRDefault="00DB6CCF" w:rsidP="00DB6CCF">
      <w:pPr>
        <w:rPr>
          <w:lang w:val="es-MX" w:eastAsia="en-US"/>
        </w:rPr>
      </w:pPr>
    </w:p>
    <w:p w14:paraId="44952588" w14:textId="77777777" w:rsidR="00DC3B0B" w:rsidRPr="00336566" w:rsidRDefault="00DC3B0B" w:rsidP="00DB6CCF">
      <w:pPr>
        <w:rPr>
          <w:lang w:val="es-MX" w:eastAsia="en-US"/>
        </w:rPr>
      </w:pPr>
    </w:p>
    <w:p w14:paraId="33388EC6" w14:textId="1983C4CA" w:rsidR="004A1E34" w:rsidRPr="00336566" w:rsidRDefault="0036610C" w:rsidP="004A1E34">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33656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336566"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1A59F70F" w14:textId="77777777" w:rsidR="00715ACC" w:rsidRPr="00336566" w:rsidRDefault="00715ACC" w:rsidP="007C5DF8">
      <w:pPr>
        <w:pStyle w:val="Prrafodelista"/>
        <w:spacing w:line="360" w:lineRule="auto"/>
        <w:ind w:left="360"/>
        <w:jc w:val="both"/>
        <w:rPr>
          <w:rFonts w:ascii="Palatino Linotype" w:eastAsia="Calibri" w:hAnsi="Palatino Linotype"/>
          <w:b/>
          <w:color w:val="000000" w:themeColor="text1"/>
          <w:lang w:val="es-ES"/>
        </w:rPr>
      </w:pPr>
    </w:p>
    <w:p w14:paraId="0867CA8D" w14:textId="77777777" w:rsidR="00715ACC" w:rsidRPr="00336566" w:rsidRDefault="00715ACC"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258D1218" w:rsidR="007C0013" w:rsidRPr="00336566" w:rsidRDefault="007C0013" w:rsidP="002E198E">
      <w:pPr>
        <w:pStyle w:val="Ttulo2"/>
        <w:rPr>
          <w:rFonts w:ascii="Palatino Linotype" w:hAnsi="Palatino Linotype"/>
          <w:b/>
          <w:color w:val="000000" w:themeColor="text1"/>
          <w:sz w:val="24"/>
        </w:rPr>
      </w:pPr>
      <w:bookmarkStart w:id="43" w:name="_Toc525557996"/>
      <w:r w:rsidRPr="00336566">
        <w:rPr>
          <w:rFonts w:ascii="Palatino Linotype" w:hAnsi="Palatino Linotype"/>
          <w:b/>
          <w:color w:val="000000" w:themeColor="text1"/>
          <w:sz w:val="24"/>
        </w:rPr>
        <w:lastRenderedPageBreak/>
        <w:t xml:space="preserve">SEGUNDO. De la oportunidad y </w:t>
      </w:r>
      <w:r w:rsidR="004A1E34" w:rsidRPr="00336566">
        <w:rPr>
          <w:rFonts w:ascii="Palatino Linotype" w:hAnsi="Palatino Linotype"/>
          <w:b/>
          <w:color w:val="000000" w:themeColor="text1"/>
          <w:sz w:val="24"/>
        </w:rPr>
        <w:t>procedencia</w:t>
      </w:r>
      <w:r w:rsidRPr="00336566">
        <w:rPr>
          <w:rFonts w:ascii="Palatino Linotype" w:hAnsi="Palatino Linotype"/>
          <w:b/>
          <w:color w:val="000000" w:themeColor="text1"/>
          <w:sz w:val="24"/>
        </w:rPr>
        <w:t>.</w:t>
      </w:r>
      <w:bookmarkEnd w:id="43"/>
    </w:p>
    <w:p w14:paraId="11879EC9" w14:textId="77777777" w:rsidR="00A67E2D" w:rsidRPr="00336566" w:rsidRDefault="00A67E2D" w:rsidP="00A67E2D">
      <w:pPr>
        <w:rPr>
          <w:lang w:val="es-MX" w:eastAsia="en-US"/>
        </w:rPr>
      </w:pPr>
    </w:p>
    <w:p w14:paraId="65FDFF05" w14:textId="78E8232C" w:rsidR="00A247D7" w:rsidRPr="00336566" w:rsidRDefault="00F84995" w:rsidP="00E311E0">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336566">
        <w:rPr>
          <w:rFonts w:ascii="Palatino Linotype" w:eastAsia="Calibri" w:hAnsi="Palatino Linotype" w:cs="Arial"/>
          <w:lang w:val="es-MX"/>
        </w:rPr>
        <w:t>El</w:t>
      </w:r>
      <w:r w:rsidRPr="00336566">
        <w:rPr>
          <w:rFonts w:ascii="Palatino Linotype" w:eastAsia="Calibri" w:hAnsi="Palatino Linotype" w:cs="Arial"/>
        </w:rPr>
        <w:t xml:space="preserve"> medio de impugnación fue presentado</w:t>
      </w:r>
      <w:r w:rsidR="00A247D7" w:rsidRPr="00336566">
        <w:rPr>
          <w:rFonts w:ascii="Palatino Linotype" w:eastAsia="Calibri" w:hAnsi="Palatino Linotype" w:cs="Arial"/>
        </w:rPr>
        <w:t xml:space="preserve"> a través del </w:t>
      </w:r>
      <w:r w:rsidR="00A247D7" w:rsidRPr="00336566">
        <w:rPr>
          <w:rFonts w:ascii="Palatino Linotype" w:eastAsia="Calibri" w:hAnsi="Palatino Linotype" w:cs="Arial"/>
          <w:b/>
        </w:rPr>
        <w:t>SAIMEX,</w:t>
      </w:r>
      <w:r w:rsidR="00A247D7" w:rsidRPr="0033656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336566">
        <w:rPr>
          <w:rFonts w:ascii="Palatino Linotype" w:eastAsia="Calibri" w:hAnsi="Palatino Linotype" w:cs="Arial"/>
          <w:b/>
        </w:rPr>
        <w:t>SUJETO OBLIGADO</w:t>
      </w:r>
      <w:r w:rsidR="00A247D7" w:rsidRPr="00336566">
        <w:rPr>
          <w:rFonts w:ascii="Palatino Linotype" w:eastAsia="Calibri" w:hAnsi="Palatino Linotype" w:cs="Arial"/>
        </w:rPr>
        <w:t xml:space="preserve"> emitió </w:t>
      </w:r>
      <w:r w:rsidR="007F6CD9" w:rsidRPr="00336566">
        <w:rPr>
          <w:rFonts w:ascii="Palatino Linotype" w:eastAsia="Calibri" w:hAnsi="Palatino Linotype" w:cs="Arial"/>
        </w:rPr>
        <w:t>su</w:t>
      </w:r>
      <w:r w:rsidR="00703A62" w:rsidRPr="00336566">
        <w:rPr>
          <w:rFonts w:ascii="Palatino Linotype" w:eastAsia="Calibri" w:hAnsi="Palatino Linotype" w:cs="Arial"/>
        </w:rPr>
        <w:t xml:space="preserve"> respuesta</w:t>
      </w:r>
      <w:r w:rsidR="0088655E" w:rsidRPr="00336566">
        <w:rPr>
          <w:rFonts w:ascii="Palatino Linotype" w:eastAsia="Calibri" w:hAnsi="Palatino Linotype" w:cs="Arial"/>
        </w:rPr>
        <w:t xml:space="preserve"> el diez (10</w:t>
      </w:r>
      <w:r w:rsidR="009974ED" w:rsidRPr="00336566">
        <w:rPr>
          <w:rFonts w:ascii="Palatino Linotype" w:eastAsia="Calibri" w:hAnsi="Palatino Linotype" w:cs="Arial"/>
        </w:rPr>
        <w:t>) de</w:t>
      </w:r>
      <w:r w:rsidR="0088655E" w:rsidRPr="00336566">
        <w:rPr>
          <w:rFonts w:ascii="Palatino Linotype" w:eastAsia="Calibri" w:hAnsi="Palatino Linotype" w:cs="Arial"/>
        </w:rPr>
        <w:t xml:space="preserve"> jul</w:t>
      </w:r>
      <w:r w:rsidR="00A247D7" w:rsidRPr="00336566">
        <w:rPr>
          <w:rFonts w:ascii="Palatino Linotype" w:eastAsia="Calibri" w:hAnsi="Palatino Linotype" w:cs="Arial"/>
        </w:rPr>
        <w:t>io</w:t>
      </w:r>
      <w:r w:rsidR="00703A62" w:rsidRPr="00336566">
        <w:rPr>
          <w:rFonts w:ascii="Palatino Linotype" w:eastAsia="Calibri" w:hAnsi="Palatino Linotype" w:cs="Arial"/>
        </w:rPr>
        <w:t xml:space="preserve"> del dos mil dieciocho</w:t>
      </w:r>
      <w:r w:rsidR="00A247D7" w:rsidRPr="00336566">
        <w:rPr>
          <w:rFonts w:ascii="Palatino Linotype" w:eastAsia="Calibri" w:hAnsi="Palatino Linotype" w:cs="Arial"/>
        </w:rPr>
        <w:t xml:space="preserve">, </w:t>
      </w:r>
      <w:r w:rsidR="009974ED" w:rsidRPr="00336566">
        <w:rPr>
          <w:rFonts w:ascii="Palatino Linotype" w:hAnsi="Palatino Linotype" w:cs="Arial"/>
        </w:rPr>
        <w:t>de tal forma que el plazo para interponer el recur</w:t>
      </w:r>
      <w:r w:rsidRPr="00336566">
        <w:rPr>
          <w:rFonts w:ascii="Palatino Linotype" w:hAnsi="Palatino Linotype" w:cs="Arial"/>
        </w:rPr>
        <w:t>so</w:t>
      </w:r>
      <w:r w:rsidR="00F92D06" w:rsidRPr="00336566">
        <w:rPr>
          <w:rFonts w:ascii="Palatino Linotype" w:hAnsi="Palatino Linotype" w:cs="Arial"/>
        </w:rPr>
        <w:t xml:space="preserve"> tra</w:t>
      </w:r>
      <w:r w:rsidR="0088655E" w:rsidRPr="00336566">
        <w:rPr>
          <w:rFonts w:ascii="Palatino Linotype" w:hAnsi="Palatino Linotype" w:cs="Arial"/>
        </w:rPr>
        <w:t>nscurrió del día once (11</w:t>
      </w:r>
      <w:r w:rsidR="00A247D7" w:rsidRPr="00336566">
        <w:rPr>
          <w:rFonts w:ascii="Palatino Linotype" w:hAnsi="Palatino Linotype" w:cs="Arial"/>
        </w:rPr>
        <w:t>)</w:t>
      </w:r>
      <w:r w:rsidR="009974ED" w:rsidRPr="00336566">
        <w:rPr>
          <w:rFonts w:ascii="Palatino Linotype" w:hAnsi="Palatino Linotype" w:cs="Arial"/>
        </w:rPr>
        <w:t xml:space="preserve"> </w:t>
      </w:r>
      <w:r w:rsidR="0088655E" w:rsidRPr="00336566">
        <w:rPr>
          <w:rFonts w:ascii="Palatino Linotype" w:hAnsi="Palatino Linotype" w:cs="Arial"/>
        </w:rPr>
        <w:t>de jul</w:t>
      </w:r>
      <w:r w:rsidR="00A247D7" w:rsidRPr="00336566">
        <w:rPr>
          <w:rFonts w:ascii="Palatino Linotype" w:hAnsi="Palatino Linotype" w:cs="Arial"/>
        </w:rPr>
        <w:t>io</w:t>
      </w:r>
      <w:r w:rsidR="0088655E" w:rsidRPr="00336566">
        <w:rPr>
          <w:rFonts w:ascii="Palatino Linotype" w:hAnsi="Palatino Linotype" w:cs="Arial"/>
        </w:rPr>
        <w:t>, al</w:t>
      </w:r>
      <w:r w:rsidR="00715ACC" w:rsidRPr="00336566">
        <w:rPr>
          <w:rFonts w:ascii="Palatino Linotype" w:hAnsi="Palatino Linotype" w:cs="Arial"/>
        </w:rPr>
        <w:t xml:space="preserve"> catorce</w:t>
      </w:r>
      <w:r w:rsidRPr="00336566">
        <w:rPr>
          <w:rFonts w:ascii="Palatino Linotype" w:hAnsi="Palatino Linotype" w:cs="Arial"/>
        </w:rPr>
        <w:t xml:space="preserve"> </w:t>
      </w:r>
      <w:r w:rsidR="00A247D7" w:rsidRPr="00336566">
        <w:rPr>
          <w:rFonts w:ascii="Palatino Linotype" w:hAnsi="Palatino Linotype" w:cs="Arial"/>
        </w:rPr>
        <w:t>(</w:t>
      </w:r>
      <w:r w:rsidR="0088655E" w:rsidRPr="00336566">
        <w:rPr>
          <w:rFonts w:ascii="Palatino Linotype" w:hAnsi="Palatino Linotype" w:cs="Arial"/>
        </w:rPr>
        <w:t>1</w:t>
      </w:r>
      <w:r w:rsidR="00715ACC" w:rsidRPr="00336566">
        <w:rPr>
          <w:rFonts w:ascii="Palatino Linotype" w:hAnsi="Palatino Linotype" w:cs="Arial"/>
        </w:rPr>
        <w:t>4</w:t>
      </w:r>
      <w:r w:rsidR="00A247D7" w:rsidRPr="00336566">
        <w:rPr>
          <w:rFonts w:ascii="Palatino Linotype" w:hAnsi="Palatino Linotype" w:cs="Arial"/>
        </w:rPr>
        <w:t>)</w:t>
      </w:r>
      <w:r w:rsidR="009974ED" w:rsidRPr="00336566">
        <w:rPr>
          <w:rFonts w:ascii="Palatino Linotype" w:hAnsi="Palatino Linotype" w:cs="Arial"/>
        </w:rPr>
        <w:t xml:space="preserve"> </w:t>
      </w:r>
      <w:r w:rsidR="0088655E" w:rsidRPr="00336566">
        <w:rPr>
          <w:rFonts w:ascii="Palatino Linotype" w:hAnsi="Palatino Linotype" w:cs="Arial"/>
        </w:rPr>
        <w:t xml:space="preserve">de agosto </w:t>
      </w:r>
      <w:r w:rsidR="00F25BAE" w:rsidRPr="00336566">
        <w:rPr>
          <w:rFonts w:ascii="Palatino Linotype" w:hAnsi="Palatino Linotype" w:cs="Arial"/>
        </w:rPr>
        <w:t>de dos mil dieciocho, s</w:t>
      </w:r>
      <w:r w:rsidR="0088655E" w:rsidRPr="00336566">
        <w:rPr>
          <w:rFonts w:ascii="Palatino Linotype" w:hAnsi="Palatino Linotype" w:cs="Arial"/>
        </w:rPr>
        <w:t xml:space="preserve">in contemplar en el computo los días </w:t>
      </w:r>
      <w:r w:rsidR="001C4C80" w:rsidRPr="00336566">
        <w:rPr>
          <w:rFonts w:ascii="Palatino Linotype" w:hAnsi="Palatino Linotype" w:cs="Arial"/>
        </w:rPr>
        <w:t xml:space="preserve">del dieciséis (16) al veintisiete (27) de julio del año dos mil dieciocho, considerados como días inhábiles, en términos del artículo 3 fracción X de la Ley de Trasparencia y Acceso a la Información Pública del Estado de México y Municipios, y de conformidad con el Calendario Oficial en Materia de Transparencia, Acceso a la Información Pública y Protección de Datos Personales del Estado de México y Municipios, para el año dos mil dieciocho y enero dos mil diecinueve, publicado en el Periodo Oficial “Gaceta del Gobierno”, el veinte de diciembre de dos mil diecisiete. </w:t>
      </w:r>
      <w:r w:rsidR="00A247D7" w:rsidRPr="00336566">
        <w:rPr>
          <w:rFonts w:ascii="Palatino Linotype" w:hAnsi="Palatino Linotype" w:cs="Arial"/>
        </w:rPr>
        <w:t xml:space="preserve">En consecuencia, si la hoy </w:t>
      </w:r>
      <w:r w:rsidR="00A247D7" w:rsidRPr="00336566">
        <w:rPr>
          <w:rFonts w:ascii="Palatino Linotype" w:hAnsi="Palatino Linotype" w:cs="Arial"/>
          <w:b/>
        </w:rPr>
        <w:t>RECURRENTE</w:t>
      </w:r>
      <w:r w:rsidR="009974ED" w:rsidRPr="00336566">
        <w:rPr>
          <w:rFonts w:ascii="Palatino Linotype" w:hAnsi="Palatino Linotype" w:cs="Arial"/>
        </w:rPr>
        <w:t xml:space="preserve"> presentó su</w:t>
      </w:r>
      <w:r w:rsidR="00A247D7" w:rsidRPr="00336566">
        <w:rPr>
          <w:rFonts w:ascii="Palatino Linotype" w:hAnsi="Palatino Linotype" w:cs="Arial"/>
        </w:rPr>
        <w:t xml:space="preserve"> </w:t>
      </w:r>
      <w:r w:rsidR="001C4C80" w:rsidRPr="00336566">
        <w:rPr>
          <w:rFonts w:ascii="Palatino Linotype" w:hAnsi="Palatino Linotype" w:cs="Arial"/>
        </w:rPr>
        <w:t>inconformidad el día doce</w:t>
      </w:r>
      <w:r w:rsidR="00A247D7" w:rsidRPr="00336566">
        <w:rPr>
          <w:rFonts w:ascii="Palatino Linotype" w:hAnsi="Palatino Linotype" w:cs="Arial"/>
        </w:rPr>
        <w:t xml:space="preserve"> (</w:t>
      </w:r>
      <w:r w:rsidR="001C4C80" w:rsidRPr="00336566">
        <w:rPr>
          <w:rFonts w:ascii="Palatino Linotype" w:hAnsi="Palatino Linotype" w:cs="Arial"/>
        </w:rPr>
        <w:t>12</w:t>
      </w:r>
      <w:r w:rsidR="00A247D7" w:rsidRPr="00336566">
        <w:rPr>
          <w:rFonts w:ascii="Palatino Linotype" w:hAnsi="Palatino Linotype" w:cs="Arial"/>
        </w:rPr>
        <w:t>)</w:t>
      </w:r>
      <w:r w:rsidR="009974ED" w:rsidRPr="00336566">
        <w:rPr>
          <w:rFonts w:ascii="Palatino Linotype" w:hAnsi="Palatino Linotype" w:cs="Arial"/>
        </w:rPr>
        <w:t xml:space="preserve"> </w:t>
      </w:r>
      <w:r w:rsidR="00F92D06" w:rsidRPr="00336566">
        <w:rPr>
          <w:rFonts w:ascii="Palatino Linotype" w:hAnsi="Palatino Linotype" w:cs="Arial"/>
        </w:rPr>
        <w:t>de jul</w:t>
      </w:r>
      <w:r w:rsidR="00A247D7" w:rsidRPr="00336566">
        <w:rPr>
          <w:rFonts w:ascii="Palatino Linotype" w:hAnsi="Palatino Linotype" w:cs="Arial"/>
        </w:rPr>
        <w:t xml:space="preserve">io de la presente anualidad, </w:t>
      </w:r>
      <w:r w:rsidR="00A247D7" w:rsidRPr="00336566">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p>
    <w:p w14:paraId="77CF2362" w14:textId="77777777" w:rsidR="0054677E" w:rsidRPr="00336566" w:rsidRDefault="0054677E" w:rsidP="0054677E">
      <w:pPr>
        <w:pStyle w:val="Prrafodelista"/>
        <w:spacing w:before="240" w:after="240" w:line="360" w:lineRule="auto"/>
        <w:ind w:left="426" w:right="49"/>
        <w:jc w:val="both"/>
        <w:rPr>
          <w:rFonts w:ascii="Palatino Linotype" w:hAnsi="Palatino Linotype" w:cs="Arial"/>
          <w:b/>
        </w:rPr>
      </w:pPr>
    </w:p>
    <w:p w14:paraId="38AB7BB6" w14:textId="0A7D75C3" w:rsidR="00B96B39" w:rsidRPr="00336566" w:rsidRDefault="0054677E" w:rsidP="0013417A">
      <w:pPr>
        <w:pStyle w:val="Prrafodelista"/>
        <w:numPr>
          <w:ilvl w:val="0"/>
          <w:numId w:val="1"/>
        </w:numPr>
        <w:tabs>
          <w:tab w:val="left" w:pos="284"/>
        </w:tabs>
        <w:spacing w:before="240" w:after="240" w:line="360" w:lineRule="auto"/>
        <w:ind w:left="0" w:right="49" w:firstLine="0"/>
        <w:jc w:val="both"/>
        <w:rPr>
          <w:rFonts w:ascii="Palatino Linotype" w:hAnsi="Palatino Linotype" w:cs="Arial"/>
          <w:b/>
        </w:rPr>
      </w:pPr>
      <w:r w:rsidRPr="00336566">
        <w:rPr>
          <w:rFonts w:ascii="Palatino Linotype"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336566">
        <w:rPr>
          <w:rFonts w:ascii="Palatino Linotype" w:hAnsi="Palatino Linotype" w:cs="Arial"/>
        </w:rPr>
        <w:lastRenderedPageBreak/>
        <w:t>Personales del Estado de México y Municipios, conozca y resuelva el presente recurso.</w:t>
      </w:r>
    </w:p>
    <w:p w14:paraId="0A1B7077" w14:textId="77777777" w:rsidR="00733FA7" w:rsidRPr="00336566" w:rsidRDefault="00733FA7" w:rsidP="00733FA7">
      <w:pPr>
        <w:pStyle w:val="Prrafodelista"/>
        <w:tabs>
          <w:tab w:val="left" w:pos="284"/>
        </w:tabs>
        <w:spacing w:before="240" w:after="240" w:line="360" w:lineRule="auto"/>
        <w:ind w:left="0" w:right="49"/>
        <w:jc w:val="both"/>
        <w:rPr>
          <w:rFonts w:ascii="Palatino Linotype" w:hAnsi="Palatino Linotype" w:cs="Arial"/>
          <w:b/>
        </w:rPr>
      </w:pPr>
    </w:p>
    <w:p w14:paraId="0E213F0D" w14:textId="77777777" w:rsidR="0013417A" w:rsidRPr="00336566" w:rsidRDefault="0013417A" w:rsidP="005F1C39">
      <w:pPr>
        <w:pStyle w:val="Ttulo2"/>
        <w:rPr>
          <w:rFonts w:ascii="Palatino Linotype" w:hAnsi="Palatino Linotype"/>
          <w:b/>
          <w:i/>
          <w:color w:val="auto"/>
          <w:sz w:val="24"/>
        </w:rPr>
      </w:pPr>
      <w:bookmarkStart w:id="44" w:name="_Toc503862490"/>
      <w:bookmarkStart w:id="45" w:name="_Toc509403241"/>
      <w:bookmarkStart w:id="46" w:name="_Toc521536227"/>
      <w:bookmarkStart w:id="47" w:name="_Toc525557997"/>
      <w:r w:rsidRPr="00336566">
        <w:rPr>
          <w:rFonts w:ascii="Palatino Linotype" w:hAnsi="Palatino Linotype"/>
          <w:b/>
          <w:color w:val="auto"/>
          <w:sz w:val="24"/>
        </w:rPr>
        <w:t xml:space="preserve">TERCERO. </w:t>
      </w:r>
      <w:bookmarkEnd w:id="44"/>
      <w:bookmarkEnd w:id="45"/>
      <w:r w:rsidRPr="00336566">
        <w:rPr>
          <w:rFonts w:ascii="Palatino Linotype" w:hAnsi="Palatino Linotype"/>
          <w:b/>
          <w:color w:val="auto"/>
          <w:sz w:val="24"/>
        </w:rPr>
        <w:t xml:space="preserve">Del planteamiento de la </w:t>
      </w:r>
      <w:r w:rsidRPr="00336566">
        <w:rPr>
          <w:rFonts w:ascii="Palatino Linotype" w:hAnsi="Palatino Linotype"/>
          <w:b/>
          <w:i/>
          <w:color w:val="auto"/>
          <w:sz w:val="24"/>
        </w:rPr>
        <w:t>Litis.</w:t>
      </w:r>
      <w:bookmarkEnd w:id="46"/>
      <w:bookmarkEnd w:id="47"/>
    </w:p>
    <w:p w14:paraId="50D99ACE" w14:textId="77777777" w:rsidR="0013417A" w:rsidRPr="00336566" w:rsidRDefault="0013417A" w:rsidP="003F4487">
      <w:pPr>
        <w:spacing w:line="360" w:lineRule="auto"/>
        <w:jc w:val="both"/>
        <w:rPr>
          <w:rFonts w:ascii="Palatino Linotype" w:hAnsi="Palatino Linotype"/>
        </w:rPr>
      </w:pPr>
    </w:p>
    <w:p w14:paraId="601D6794" w14:textId="3670DA78" w:rsidR="0013417A" w:rsidRPr="00336566" w:rsidRDefault="00982F3B" w:rsidP="00E311E0">
      <w:pPr>
        <w:pStyle w:val="Prrafodelista"/>
        <w:numPr>
          <w:ilvl w:val="0"/>
          <w:numId w:val="1"/>
        </w:numPr>
        <w:tabs>
          <w:tab w:val="left" w:pos="709"/>
        </w:tabs>
        <w:spacing w:line="360" w:lineRule="auto"/>
        <w:ind w:left="142" w:hanging="1"/>
        <w:jc w:val="both"/>
        <w:rPr>
          <w:rFonts w:ascii="Palatino Linotype" w:hAnsi="Palatino Linotype"/>
        </w:rPr>
      </w:pPr>
      <w:r w:rsidRPr="00336566">
        <w:rPr>
          <w:rFonts w:ascii="Palatino Linotype" w:hAnsi="Palatino Linotype"/>
          <w:lang w:val="es-MX"/>
        </w:rPr>
        <w:t>La</w:t>
      </w:r>
      <w:r w:rsidR="0013417A" w:rsidRPr="00336566">
        <w:rPr>
          <w:rFonts w:ascii="Palatino Linotype" w:hAnsi="Palatino Linotype"/>
          <w:lang w:val="es-MX"/>
        </w:rPr>
        <w:t xml:space="preserve"> particular, mediante </w:t>
      </w:r>
      <w:r w:rsidR="002E60A2" w:rsidRPr="00336566">
        <w:rPr>
          <w:rFonts w:ascii="Palatino Linotype" w:hAnsi="Palatino Linotype"/>
          <w:lang w:val="es-MX"/>
        </w:rPr>
        <w:t>su so</w:t>
      </w:r>
      <w:r w:rsidR="00143332" w:rsidRPr="00336566">
        <w:rPr>
          <w:rFonts w:ascii="Palatino Linotype" w:hAnsi="Palatino Linotype"/>
          <w:lang w:val="es-MX"/>
        </w:rPr>
        <w:t>licitud</w:t>
      </w:r>
      <w:r w:rsidR="002E60A2" w:rsidRPr="00336566">
        <w:rPr>
          <w:rFonts w:ascii="Palatino Linotype" w:hAnsi="Palatino Linotype"/>
          <w:lang w:val="es-MX"/>
        </w:rPr>
        <w:t xml:space="preserve"> </w:t>
      </w:r>
      <w:r w:rsidR="00F84995" w:rsidRPr="00336566">
        <w:rPr>
          <w:rFonts w:ascii="Palatino Linotype" w:hAnsi="Palatino Linotype"/>
          <w:lang w:val="es-MX"/>
        </w:rPr>
        <w:t>de información, esencialmente requirió a</w:t>
      </w:r>
      <w:r w:rsidR="00BB4943" w:rsidRPr="00336566">
        <w:rPr>
          <w:rFonts w:ascii="Palatino Linotype" w:hAnsi="Palatino Linotype"/>
          <w:lang w:val="es-MX"/>
        </w:rPr>
        <w:t>l Ayuntamiento de Atizapán de Zaragoza</w:t>
      </w:r>
      <w:r w:rsidR="0013417A" w:rsidRPr="00336566">
        <w:rPr>
          <w:rFonts w:ascii="Palatino Linotype" w:hAnsi="Palatino Linotype"/>
          <w:lang w:val="es-MX"/>
        </w:rPr>
        <w:t>, la siguiente información:</w:t>
      </w:r>
    </w:p>
    <w:p w14:paraId="621BFA3C" w14:textId="77777777" w:rsidR="0013417A" w:rsidRPr="00336566" w:rsidRDefault="0013417A" w:rsidP="00B61272">
      <w:pPr>
        <w:spacing w:line="360" w:lineRule="auto"/>
        <w:ind w:left="567" w:right="567"/>
        <w:jc w:val="both"/>
        <w:rPr>
          <w:rFonts w:ascii="Palatino Linotype" w:hAnsi="Palatino Linotype"/>
        </w:rPr>
      </w:pPr>
    </w:p>
    <w:p w14:paraId="227A0530" w14:textId="042EA724" w:rsidR="00BB4943" w:rsidRPr="00336566" w:rsidRDefault="00BB4943" w:rsidP="00E311E0">
      <w:pPr>
        <w:numPr>
          <w:ilvl w:val="0"/>
          <w:numId w:val="3"/>
        </w:numPr>
        <w:spacing w:line="360" w:lineRule="auto"/>
        <w:ind w:left="567" w:right="567" w:firstLine="0"/>
        <w:jc w:val="both"/>
        <w:rPr>
          <w:rFonts w:ascii="Palatino Linotype" w:hAnsi="Palatino Linotype"/>
          <w:b/>
        </w:rPr>
      </w:pPr>
      <w:r w:rsidRPr="00336566">
        <w:rPr>
          <w:rFonts w:ascii="Palatino Linotype" w:hAnsi="Palatino Linotype"/>
          <w:b/>
        </w:rPr>
        <w:t xml:space="preserve">Copia simple y versión pública la licencia de construcción para obra nueva </w:t>
      </w:r>
      <w:r w:rsidR="00417D22" w:rsidRPr="00417D22">
        <w:rPr>
          <w:rFonts w:ascii="Palatino Linotype" w:hAnsi="Palatino Linotype"/>
          <w:b/>
          <w:highlight w:val="black"/>
        </w:rPr>
        <w:t>------------------</w:t>
      </w:r>
      <w:r w:rsidRPr="00336566">
        <w:rPr>
          <w:rFonts w:ascii="Palatino Linotype" w:hAnsi="Palatino Linotype"/>
          <w:b/>
        </w:rPr>
        <w:t>.</w:t>
      </w:r>
    </w:p>
    <w:p w14:paraId="14857EEE" w14:textId="77777777" w:rsidR="00143332" w:rsidRPr="00336566" w:rsidRDefault="00143332" w:rsidP="00BB4943">
      <w:pPr>
        <w:spacing w:line="360" w:lineRule="auto"/>
        <w:ind w:right="425"/>
        <w:jc w:val="both"/>
        <w:rPr>
          <w:rFonts w:ascii="Palatino Linotype" w:hAnsi="Palatino Linotype"/>
          <w:b/>
          <w:u w:val="single"/>
        </w:rPr>
      </w:pPr>
    </w:p>
    <w:p w14:paraId="0F0B6213" w14:textId="78CEB6B7" w:rsidR="001C0729" w:rsidRPr="00336566" w:rsidRDefault="006465D2" w:rsidP="002048A8">
      <w:pPr>
        <w:numPr>
          <w:ilvl w:val="0"/>
          <w:numId w:val="1"/>
        </w:numPr>
        <w:spacing w:line="360" w:lineRule="auto"/>
        <w:ind w:left="0" w:firstLine="0"/>
        <w:jc w:val="both"/>
        <w:rPr>
          <w:rFonts w:ascii="Palatino Linotype" w:hAnsi="Palatino Linotype"/>
        </w:rPr>
      </w:pPr>
      <w:r w:rsidRPr="00336566">
        <w:rPr>
          <w:rFonts w:ascii="Palatino Linotype" w:hAnsi="Palatino Linotype"/>
        </w:rPr>
        <w:t>En su respuesta</w:t>
      </w:r>
      <w:r w:rsidR="0013417A" w:rsidRPr="00336566">
        <w:rPr>
          <w:rFonts w:ascii="Palatino Linotype" w:hAnsi="Palatino Linotype"/>
        </w:rPr>
        <w:t xml:space="preserve">, el </w:t>
      </w:r>
      <w:r w:rsidR="0013417A" w:rsidRPr="00336566">
        <w:rPr>
          <w:rFonts w:ascii="Palatino Linotype" w:hAnsi="Palatino Linotype"/>
          <w:b/>
        </w:rPr>
        <w:t>SUJETO OBLIGADO</w:t>
      </w:r>
      <w:r w:rsidRPr="00336566">
        <w:rPr>
          <w:rFonts w:ascii="Palatino Linotype" w:hAnsi="Palatino Linotype"/>
          <w:b/>
        </w:rPr>
        <w:t xml:space="preserve"> </w:t>
      </w:r>
      <w:r w:rsidR="0041697B" w:rsidRPr="00336566">
        <w:rPr>
          <w:rFonts w:ascii="Palatino Linotype" w:hAnsi="Palatino Linotype"/>
        </w:rPr>
        <w:t>medularmente</w:t>
      </w:r>
      <w:r w:rsidR="0041697B" w:rsidRPr="00336566">
        <w:rPr>
          <w:rFonts w:ascii="Palatino Linotype" w:hAnsi="Palatino Linotype"/>
          <w:b/>
        </w:rPr>
        <w:t xml:space="preserve"> </w:t>
      </w:r>
      <w:r w:rsidR="00054A06" w:rsidRPr="00336566">
        <w:rPr>
          <w:rFonts w:ascii="Palatino Linotype" w:hAnsi="Palatino Linotype"/>
        </w:rPr>
        <w:t>refiere que derivado</w:t>
      </w:r>
      <w:r w:rsidR="001C0729" w:rsidRPr="00336566">
        <w:rPr>
          <w:rFonts w:ascii="Palatino Linotype" w:hAnsi="Palatino Linotype"/>
        </w:rPr>
        <w:t xml:space="preserve"> de la</w:t>
      </w:r>
      <w:r w:rsidR="00054A06" w:rsidRPr="00336566">
        <w:rPr>
          <w:rFonts w:ascii="Palatino Linotype" w:hAnsi="Palatino Linotype"/>
        </w:rPr>
        <w:t xml:space="preserve"> búsqueda </w:t>
      </w:r>
      <w:r w:rsidR="001C0729" w:rsidRPr="00336566">
        <w:rPr>
          <w:rFonts w:ascii="Palatino Linotype" w:hAnsi="Palatino Linotype"/>
        </w:rPr>
        <w:t xml:space="preserve">realizada en los archivos que obran en la dirección de Desarrollo Urbano, se localizó la Licencia de Construcción para Obra Nueva número </w:t>
      </w:r>
      <w:r w:rsidR="00417D22" w:rsidRPr="00417D22">
        <w:rPr>
          <w:rFonts w:ascii="Palatino Linotype" w:hAnsi="Palatino Linotype"/>
          <w:highlight w:val="black"/>
        </w:rPr>
        <w:t>-------------------</w:t>
      </w:r>
      <w:r w:rsidR="001C0729" w:rsidRPr="00336566">
        <w:rPr>
          <w:rFonts w:ascii="Palatino Linotype" w:hAnsi="Palatino Linotype"/>
        </w:rPr>
        <w:t xml:space="preserve">, de la cual se anexa archivo electrónico,  misma que </w:t>
      </w:r>
      <w:r w:rsidR="0047722C" w:rsidRPr="00336566">
        <w:rPr>
          <w:rFonts w:ascii="Palatino Linotype" w:hAnsi="Palatino Linotype"/>
        </w:rPr>
        <w:t xml:space="preserve">es </w:t>
      </w:r>
      <w:r w:rsidR="001C0729" w:rsidRPr="00336566">
        <w:rPr>
          <w:rFonts w:ascii="Palatino Linotype" w:hAnsi="Palatino Linotype"/>
        </w:rPr>
        <w:t xml:space="preserve">entregada en versión pública de conformidad con el artículo 52 de la Ley de Transparencia y Acceso a la Información </w:t>
      </w:r>
      <w:proofErr w:type="spellStart"/>
      <w:r w:rsidR="001C0729" w:rsidRPr="00336566">
        <w:rPr>
          <w:rFonts w:ascii="Palatino Linotype" w:hAnsi="Palatino Linotype"/>
        </w:rPr>
        <w:t>Publica</w:t>
      </w:r>
      <w:proofErr w:type="spellEnd"/>
      <w:r w:rsidR="001C0729" w:rsidRPr="00336566">
        <w:rPr>
          <w:rFonts w:ascii="Palatino Linotype" w:hAnsi="Palatino Linotype"/>
        </w:rPr>
        <w:t xml:space="preserve"> del Estado de México y Municipios y el acuerdo  CIC/59/12/XLV/02/07/2018 del comité de trasparencia del H. Ayuntamiento de Atizapán de Zaragoza.</w:t>
      </w:r>
    </w:p>
    <w:p w14:paraId="33122CF9" w14:textId="42BE2FD2" w:rsidR="0013417A" w:rsidRPr="00336566" w:rsidRDefault="001C0729" w:rsidP="001C0729">
      <w:pPr>
        <w:spacing w:line="360" w:lineRule="auto"/>
        <w:jc w:val="both"/>
        <w:rPr>
          <w:rFonts w:ascii="Palatino Linotype" w:hAnsi="Palatino Linotype"/>
        </w:rPr>
      </w:pPr>
      <w:r w:rsidRPr="00336566">
        <w:rPr>
          <w:rFonts w:ascii="Palatino Linotype" w:hAnsi="Palatino Linotype"/>
        </w:rPr>
        <w:t xml:space="preserve">     </w:t>
      </w:r>
      <w:r w:rsidR="00054A06" w:rsidRPr="00336566">
        <w:rPr>
          <w:rFonts w:ascii="Palatino Linotype" w:hAnsi="Palatino Linotype"/>
        </w:rPr>
        <w:t xml:space="preserve">  </w:t>
      </w:r>
    </w:p>
    <w:p w14:paraId="20A46931" w14:textId="5051FB60" w:rsidR="00445120" w:rsidRPr="00336566" w:rsidRDefault="0013417A" w:rsidP="00583455">
      <w:pPr>
        <w:numPr>
          <w:ilvl w:val="0"/>
          <w:numId w:val="1"/>
        </w:numPr>
        <w:spacing w:line="360" w:lineRule="auto"/>
        <w:ind w:left="0" w:firstLine="0"/>
        <w:jc w:val="both"/>
        <w:rPr>
          <w:rFonts w:ascii="Palatino Linotype" w:hAnsi="Palatino Linotype"/>
        </w:rPr>
      </w:pPr>
      <w:r w:rsidRPr="00336566">
        <w:rPr>
          <w:rFonts w:ascii="Palatino Linotype" w:hAnsi="Palatino Linotype"/>
        </w:rPr>
        <w:t xml:space="preserve">Por su parte, la </w:t>
      </w:r>
      <w:r w:rsidRPr="00336566">
        <w:rPr>
          <w:rFonts w:ascii="Palatino Linotype" w:hAnsi="Palatino Linotype"/>
          <w:b/>
        </w:rPr>
        <w:t>RECURRENTE</w:t>
      </w:r>
      <w:r w:rsidR="00ED7B32" w:rsidRPr="00336566">
        <w:rPr>
          <w:rFonts w:ascii="Palatino Linotype" w:hAnsi="Palatino Linotype"/>
          <w:b/>
        </w:rPr>
        <w:t xml:space="preserve"> </w:t>
      </w:r>
      <w:r w:rsidR="00ED7B32" w:rsidRPr="00336566">
        <w:rPr>
          <w:rFonts w:ascii="Palatino Linotype" w:hAnsi="Palatino Linotype"/>
        </w:rPr>
        <w:t>en términos generales</w:t>
      </w:r>
      <w:r w:rsidRPr="00336566">
        <w:rPr>
          <w:rFonts w:ascii="Palatino Linotype" w:hAnsi="Palatino Linotype"/>
        </w:rPr>
        <w:t xml:space="preserve"> se inconformó dentro de</w:t>
      </w:r>
      <w:r w:rsidR="00415AD1" w:rsidRPr="00336566">
        <w:rPr>
          <w:rFonts w:ascii="Palatino Linotype" w:hAnsi="Palatino Linotype"/>
        </w:rPr>
        <w:t>l recurso</w:t>
      </w:r>
      <w:r w:rsidRPr="00336566">
        <w:rPr>
          <w:rFonts w:ascii="Palatino Linotype" w:hAnsi="Palatino Linotype"/>
        </w:rPr>
        <w:t xml:space="preserve"> de revisión materia de ésta resolución,</w:t>
      </w:r>
      <w:r w:rsidR="00030FEF" w:rsidRPr="00336566">
        <w:rPr>
          <w:rFonts w:ascii="Palatino Linotype" w:hAnsi="Palatino Linotype"/>
        </w:rPr>
        <w:t xml:space="preserve"> porque a su consideración </w:t>
      </w:r>
      <w:r w:rsidRPr="00336566">
        <w:rPr>
          <w:rFonts w:ascii="Palatino Linotype" w:hAnsi="Palatino Linotype"/>
        </w:rPr>
        <w:t xml:space="preserve">el </w:t>
      </w:r>
      <w:r w:rsidRPr="00336566">
        <w:rPr>
          <w:rFonts w:ascii="Palatino Linotype" w:hAnsi="Palatino Linotype"/>
          <w:b/>
        </w:rPr>
        <w:t>SUJETO OBLIGADO</w:t>
      </w:r>
      <w:r w:rsidR="00733FA7" w:rsidRPr="00336566">
        <w:rPr>
          <w:rFonts w:ascii="Palatino Linotype" w:hAnsi="Palatino Linotype"/>
        </w:rPr>
        <w:t xml:space="preserve"> </w:t>
      </w:r>
      <w:r w:rsidR="0047722C" w:rsidRPr="00336566">
        <w:rPr>
          <w:rFonts w:ascii="Palatino Linotype" w:hAnsi="Palatino Linotype"/>
        </w:rPr>
        <w:t xml:space="preserve">con su respuesta </w:t>
      </w:r>
      <w:r w:rsidR="008B2269" w:rsidRPr="00336566">
        <w:rPr>
          <w:rFonts w:ascii="Palatino Linotype" w:hAnsi="Palatino Linotype"/>
        </w:rPr>
        <w:t>le</w:t>
      </w:r>
      <w:r w:rsidR="008B2269" w:rsidRPr="00336566">
        <w:rPr>
          <w:rFonts w:ascii="Palatino Linotype" w:hAnsi="Palatino Linotype"/>
          <w:b/>
        </w:rPr>
        <w:t xml:space="preserve"> </w:t>
      </w:r>
      <w:r w:rsidRPr="00336566">
        <w:rPr>
          <w:rFonts w:ascii="Palatino Linotype" w:hAnsi="Palatino Linotype"/>
        </w:rPr>
        <w:t xml:space="preserve">negó el acceso a la información solicitada </w:t>
      </w:r>
      <w:r w:rsidR="00082F9E" w:rsidRPr="00336566">
        <w:rPr>
          <w:rFonts w:ascii="Palatino Linotype" w:hAnsi="Palatino Linotype"/>
        </w:rPr>
        <w:lastRenderedPageBreak/>
        <w:t xml:space="preserve">violentando </w:t>
      </w:r>
      <w:r w:rsidR="00ED7B32" w:rsidRPr="00336566">
        <w:rPr>
          <w:rFonts w:ascii="Palatino Linotype" w:hAnsi="Palatino Linotype"/>
        </w:rPr>
        <w:t xml:space="preserve">sus derechos humanos </w:t>
      </w:r>
      <w:r w:rsidR="00082F9E" w:rsidRPr="00336566">
        <w:rPr>
          <w:rFonts w:ascii="Palatino Linotype" w:hAnsi="Palatino Linotype"/>
        </w:rPr>
        <w:t>al clasificar los</w:t>
      </w:r>
      <w:r w:rsidR="00ED7B32" w:rsidRPr="00336566">
        <w:rPr>
          <w:rFonts w:ascii="Palatino Linotype" w:hAnsi="Palatino Linotype"/>
        </w:rPr>
        <w:t xml:space="preserve"> datos a los cuales requiere tener acceso.  </w:t>
      </w:r>
    </w:p>
    <w:p w14:paraId="1956D0E8" w14:textId="77777777" w:rsidR="00ED7B32" w:rsidRPr="00336566" w:rsidRDefault="00ED7B32" w:rsidP="00ED7B32">
      <w:pPr>
        <w:spacing w:line="360" w:lineRule="auto"/>
        <w:jc w:val="both"/>
        <w:rPr>
          <w:rFonts w:ascii="Palatino Linotype" w:hAnsi="Palatino Linotype"/>
        </w:rPr>
      </w:pPr>
    </w:p>
    <w:p w14:paraId="7DA0E5FF" w14:textId="2136183C" w:rsidR="00445120" w:rsidRPr="00336566" w:rsidRDefault="00445120" w:rsidP="00E311E0">
      <w:pPr>
        <w:numPr>
          <w:ilvl w:val="0"/>
          <w:numId w:val="1"/>
        </w:numPr>
        <w:spacing w:line="360" w:lineRule="auto"/>
        <w:ind w:left="0" w:firstLine="0"/>
        <w:jc w:val="both"/>
        <w:rPr>
          <w:rFonts w:ascii="Palatino Linotype" w:hAnsi="Palatino Linotype"/>
        </w:rPr>
      </w:pPr>
      <w:r w:rsidRPr="00336566">
        <w:rPr>
          <w:rFonts w:ascii="Palatino Linotype" w:hAnsi="Palatino Linotype"/>
        </w:rPr>
        <w:t xml:space="preserve">Cabe señalar que el </w:t>
      </w:r>
      <w:r w:rsidRPr="00336566">
        <w:rPr>
          <w:rFonts w:ascii="Palatino Linotype" w:hAnsi="Palatino Linotype"/>
          <w:b/>
        </w:rPr>
        <w:t xml:space="preserve">SUJETO OBLIGADO </w:t>
      </w:r>
      <w:r w:rsidRPr="00336566">
        <w:rPr>
          <w:rFonts w:ascii="Palatino Linotype" w:hAnsi="Palatino Linotype"/>
        </w:rPr>
        <w:t xml:space="preserve">rindió su Informe Justificado para manifestar lo que a su derecho asistiera y conviniera, ratificando su respuesta inicial motivo por el no será motivo de análisis en el cuerpo de la presente resolución.  </w:t>
      </w:r>
    </w:p>
    <w:p w14:paraId="47003B43" w14:textId="2C1C340B" w:rsidR="0013417A" w:rsidRPr="00336566" w:rsidRDefault="0013417A" w:rsidP="004972B8">
      <w:pPr>
        <w:spacing w:line="360" w:lineRule="auto"/>
        <w:jc w:val="both"/>
        <w:rPr>
          <w:rFonts w:ascii="Palatino Linotype" w:hAnsi="Palatino Linotype"/>
        </w:rPr>
      </w:pPr>
    </w:p>
    <w:p w14:paraId="6EEE5FC4" w14:textId="273864A4" w:rsidR="0013417A" w:rsidRPr="00336566" w:rsidRDefault="00030FEF" w:rsidP="00E311E0">
      <w:pPr>
        <w:numPr>
          <w:ilvl w:val="0"/>
          <w:numId w:val="1"/>
        </w:numPr>
        <w:spacing w:line="360" w:lineRule="auto"/>
        <w:ind w:left="0" w:firstLine="0"/>
        <w:jc w:val="both"/>
        <w:rPr>
          <w:rFonts w:ascii="Palatino Linotype" w:hAnsi="Palatino Linotype"/>
        </w:rPr>
      </w:pPr>
      <w:r w:rsidRPr="00336566">
        <w:rPr>
          <w:rFonts w:ascii="Palatino Linotype" w:hAnsi="Palatino Linotype"/>
        </w:rPr>
        <w:t xml:space="preserve">En dichas condiciones el </w:t>
      </w:r>
      <w:r w:rsidR="0013417A" w:rsidRPr="00336566">
        <w:rPr>
          <w:rFonts w:ascii="Palatino Linotype" w:hAnsi="Palatino Linotype"/>
        </w:rPr>
        <w:t xml:space="preserve">presente recurso de revisión se circunscribe a determinar si el </w:t>
      </w:r>
      <w:r w:rsidR="0013417A" w:rsidRPr="00336566">
        <w:rPr>
          <w:rFonts w:ascii="Palatino Linotype" w:hAnsi="Palatino Linotype"/>
          <w:b/>
        </w:rPr>
        <w:t>SUJETO OBLIGADO</w:t>
      </w:r>
      <w:r w:rsidR="00B61272" w:rsidRPr="00336566">
        <w:rPr>
          <w:rFonts w:ascii="Palatino Linotype" w:hAnsi="Palatino Linotype"/>
        </w:rPr>
        <w:t xml:space="preserve"> con su</w:t>
      </w:r>
      <w:r w:rsidR="0013417A" w:rsidRPr="00336566">
        <w:rPr>
          <w:rFonts w:ascii="Palatino Linotype" w:hAnsi="Palatino Linotype"/>
        </w:rPr>
        <w:t xml:space="preserve"> </w:t>
      </w:r>
      <w:r w:rsidR="00415AD1" w:rsidRPr="00336566">
        <w:rPr>
          <w:rFonts w:ascii="Palatino Linotype" w:hAnsi="Palatino Linotype"/>
        </w:rPr>
        <w:t>respuesta a la solicitud</w:t>
      </w:r>
      <w:r w:rsidR="0013417A" w:rsidRPr="00336566">
        <w:rPr>
          <w:rFonts w:ascii="Palatino Linotype" w:hAnsi="Palatino Linotype"/>
        </w:rPr>
        <w:t xml:space="preserve"> satisface el derecho de acceso a la información o por el </w:t>
      </w:r>
      <w:r w:rsidR="00982F3B" w:rsidRPr="00336566">
        <w:rPr>
          <w:rFonts w:ascii="Palatino Linotype" w:hAnsi="Palatino Linotype"/>
        </w:rPr>
        <w:t>contrario actualiza la causal de procedencia prevista</w:t>
      </w:r>
      <w:r w:rsidR="0013417A" w:rsidRPr="00336566">
        <w:rPr>
          <w:rFonts w:ascii="Palatino Linotype" w:hAnsi="Palatino Linotype"/>
        </w:rPr>
        <w:t xml:space="preserve"> en el</w:t>
      </w:r>
      <w:r w:rsidR="00415AD1" w:rsidRPr="00336566">
        <w:rPr>
          <w:rFonts w:ascii="Palatino Linotype" w:hAnsi="Palatino Linotype"/>
        </w:rPr>
        <w:t xml:space="preserve"> artículo 179 </w:t>
      </w:r>
      <w:r w:rsidR="00D969D3" w:rsidRPr="00336566">
        <w:rPr>
          <w:rFonts w:ascii="Palatino Linotype" w:hAnsi="Palatino Linotype"/>
        </w:rPr>
        <w:t>fracciones II</w:t>
      </w:r>
      <w:r w:rsidR="00415AD1" w:rsidRPr="00336566">
        <w:rPr>
          <w:rFonts w:ascii="Palatino Linotype" w:hAnsi="Palatino Linotype"/>
        </w:rPr>
        <w:t xml:space="preserve"> </w:t>
      </w:r>
      <w:r w:rsidR="0013417A" w:rsidRPr="00336566">
        <w:rPr>
          <w:rFonts w:ascii="Palatino Linotype" w:hAnsi="Palatino Linotype"/>
        </w:rPr>
        <w:t xml:space="preserve">de la Ley de Transparencia y Acceso a la Información del Estado de México y Municipios. </w:t>
      </w:r>
    </w:p>
    <w:p w14:paraId="46F76B09" w14:textId="77777777" w:rsidR="00B96B39" w:rsidRPr="00336566" w:rsidRDefault="00B96B39" w:rsidP="003F4487">
      <w:pPr>
        <w:spacing w:line="360" w:lineRule="auto"/>
        <w:jc w:val="both"/>
        <w:rPr>
          <w:rFonts w:ascii="Palatino Linotype" w:hAnsi="Palatino Linotype"/>
          <w:sz w:val="22"/>
        </w:rPr>
      </w:pPr>
    </w:p>
    <w:p w14:paraId="49B35F90" w14:textId="5668E125" w:rsidR="00ED7B32" w:rsidRPr="00336566" w:rsidRDefault="00277410" w:rsidP="008519DF">
      <w:pPr>
        <w:pStyle w:val="Ttulo1"/>
        <w:rPr>
          <w:rFonts w:ascii="Palatino Linotype" w:hAnsi="Palatino Linotype"/>
          <w:b/>
          <w:color w:val="000000" w:themeColor="text1"/>
          <w:sz w:val="24"/>
          <w:szCs w:val="24"/>
        </w:rPr>
      </w:pPr>
      <w:bookmarkStart w:id="48" w:name="_Toc525557998"/>
      <w:bookmarkStart w:id="49" w:name="_Toc453696499"/>
      <w:bookmarkStart w:id="50" w:name="_Toc454301152"/>
      <w:r w:rsidRPr="00336566">
        <w:rPr>
          <w:rFonts w:ascii="Palatino Linotype" w:hAnsi="Palatino Linotype"/>
          <w:b/>
          <w:color w:val="000000" w:themeColor="text1"/>
          <w:sz w:val="24"/>
          <w:szCs w:val="24"/>
        </w:rPr>
        <w:t xml:space="preserve">CUARTO. </w:t>
      </w:r>
      <w:r w:rsidR="00ED7B32" w:rsidRPr="00336566">
        <w:rPr>
          <w:rFonts w:ascii="Palatino Linotype" w:hAnsi="Palatino Linotype"/>
          <w:b/>
          <w:color w:val="000000" w:themeColor="text1"/>
          <w:sz w:val="24"/>
          <w:szCs w:val="24"/>
        </w:rPr>
        <w:t xml:space="preserve"> De previo y especial pronunciamiento.</w:t>
      </w:r>
      <w:bookmarkEnd w:id="48"/>
      <w:r w:rsidR="00ED7B32" w:rsidRPr="00336566">
        <w:rPr>
          <w:rFonts w:ascii="Palatino Linotype" w:hAnsi="Palatino Linotype"/>
          <w:b/>
          <w:color w:val="000000" w:themeColor="text1"/>
          <w:sz w:val="24"/>
          <w:szCs w:val="24"/>
        </w:rPr>
        <w:t xml:space="preserve"> </w:t>
      </w:r>
    </w:p>
    <w:p w14:paraId="1CF8048F" w14:textId="77777777" w:rsidR="002C7064" w:rsidRPr="00336566" w:rsidRDefault="002C7064" w:rsidP="002C7064">
      <w:pPr>
        <w:rPr>
          <w:lang w:val="es-MX" w:eastAsia="en-US"/>
        </w:rPr>
      </w:pPr>
    </w:p>
    <w:p w14:paraId="109224E8" w14:textId="77777777" w:rsidR="00ED7B32" w:rsidRPr="00336566" w:rsidRDefault="00ED7B32" w:rsidP="00ED7B32">
      <w:pPr>
        <w:rPr>
          <w:lang w:val="es-MX" w:eastAsia="en-US"/>
        </w:rPr>
      </w:pPr>
    </w:p>
    <w:p w14:paraId="3CBEA77E" w14:textId="492B3C40" w:rsidR="002C7064" w:rsidRPr="00336566" w:rsidRDefault="00D969D3" w:rsidP="002C7064">
      <w:pPr>
        <w:numPr>
          <w:ilvl w:val="0"/>
          <w:numId w:val="1"/>
        </w:numPr>
        <w:spacing w:before="240" w:after="240" w:line="360" w:lineRule="auto"/>
        <w:ind w:left="0" w:firstLine="0"/>
        <w:contextualSpacing/>
        <w:jc w:val="both"/>
        <w:rPr>
          <w:rFonts w:ascii="Palatino Linotype" w:eastAsia="Times New Roman" w:hAnsi="Palatino Linotype" w:cs="Arial"/>
          <w:color w:val="222222"/>
          <w:lang w:val="es-ES" w:eastAsia="es-MX"/>
        </w:rPr>
      </w:pPr>
      <w:r w:rsidRPr="00336566">
        <w:rPr>
          <w:rFonts w:ascii="Palatino Linotype" w:eastAsia="Calibri" w:hAnsi="Palatino Linotype" w:cs="Arial"/>
        </w:rPr>
        <w:t xml:space="preserve">No pasa inadvertido para este </w:t>
      </w:r>
      <w:proofErr w:type="spellStart"/>
      <w:r w:rsidRPr="00336566">
        <w:rPr>
          <w:rFonts w:ascii="Palatino Linotype" w:eastAsia="Calibri" w:hAnsi="Palatino Linotype" w:cs="Arial"/>
        </w:rPr>
        <w:t>resolutor</w:t>
      </w:r>
      <w:proofErr w:type="spellEnd"/>
      <w:r w:rsidRPr="00336566">
        <w:rPr>
          <w:rFonts w:ascii="Palatino Linotype" w:eastAsia="Calibri" w:hAnsi="Palatino Linotype" w:cs="Arial"/>
        </w:rPr>
        <w:t xml:space="preserve"> que e</w:t>
      </w:r>
      <w:r w:rsidR="002C7064" w:rsidRPr="00336566">
        <w:rPr>
          <w:rFonts w:ascii="Palatino Linotype" w:eastAsia="Calibri" w:hAnsi="Palatino Linotype" w:cs="Arial"/>
        </w:rPr>
        <w:t>l</w:t>
      </w:r>
      <w:r w:rsidR="002C7064" w:rsidRPr="00336566">
        <w:rPr>
          <w:rFonts w:ascii="Palatino Linotype" w:eastAsia="Times New Roman" w:hAnsi="Palatino Linotype" w:cs="Arial"/>
          <w:color w:val="222222"/>
          <w:lang w:val="es-ES" w:eastAsia="es-MX"/>
        </w:rPr>
        <w:t> </w:t>
      </w:r>
      <w:r w:rsidR="002C7064" w:rsidRPr="00336566">
        <w:rPr>
          <w:rFonts w:ascii="Palatino Linotype" w:eastAsia="Times New Roman" w:hAnsi="Palatino Linotype" w:cs="Arial"/>
          <w:b/>
          <w:bCs/>
          <w:color w:val="222222"/>
          <w:lang w:val="es-ES" w:eastAsia="es-MX"/>
        </w:rPr>
        <w:t>SUJETO OBLIGADO</w:t>
      </w:r>
      <w:r w:rsidR="002C7064" w:rsidRPr="00336566">
        <w:rPr>
          <w:rFonts w:ascii="Palatino Linotype" w:eastAsia="Times New Roman" w:hAnsi="Palatino Linotype" w:cs="Arial"/>
          <w:color w:val="222222"/>
          <w:lang w:val="es-ES" w:eastAsia="es-MX"/>
        </w:rPr>
        <w:t> solicitó un</w:t>
      </w:r>
      <w:r w:rsidR="00082F9E" w:rsidRPr="00336566">
        <w:rPr>
          <w:rFonts w:ascii="Palatino Linotype" w:eastAsia="Times New Roman" w:hAnsi="Palatino Linotype" w:cs="Arial"/>
          <w:color w:val="222222"/>
          <w:lang w:val="es-ES" w:eastAsia="es-MX"/>
        </w:rPr>
        <w:t>a prórroga la cual según se parecía</w:t>
      </w:r>
      <w:r w:rsidRPr="00336566">
        <w:rPr>
          <w:rFonts w:ascii="Palatino Linotype" w:eastAsia="Times New Roman" w:hAnsi="Palatino Linotype" w:cs="Arial"/>
          <w:color w:val="222222"/>
          <w:lang w:val="es-ES" w:eastAsia="es-MX"/>
        </w:rPr>
        <w:t xml:space="preserve"> resulta indebida además de que carece de toda fundamentación  y </w:t>
      </w:r>
      <w:r w:rsidR="002C7064" w:rsidRPr="00336566">
        <w:rPr>
          <w:rFonts w:ascii="Palatino Linotype" w:eastAsia="Times New Roman" w:hAnsi="Palatino Linotype" w:cs="Arial"/>
          <w:color w:val="222222"/>
          <w:lang w:val="es-ES" w:eastAsia="es-MX"/>
        </w:rPr>
        <w:t xml:space="preserve">motivación, </w:t>
      </w:r>
      <w:r w:rsidR="002E5271" w:rsidRPr="00336566">
        <w:rPr>
          <w:rFonts w:ascii="Palatino Linotype" w:eastAsia="Times New Roman" w:hAnsi="Palatino Linotype" w:cs="Arial"/>
          <w:color w:val="222222"/>
          <w:lang w:val="es-ES" w:eastAsia="es-MX"/>
        </w:rPr>
        <w:t xml:space="preserve">y </w:t>
      </w:r>
      <w:r w:rsidR="002C7064" w:rsidRPr="00336566">
        <w:rPr>
          <w:rFonts w:ascii="Palatino Linotype" w:eastAsia="Times New Roman" w:hAnsi="Palatino Linotype" w:cs="Arial"/>
          <w:color w:val="222222"/>
          <w:lang w:val="es-ES" w:eastAsia="es-MX"/>
        </w:rPr>
        <w:t>que si bien, fue otorgada, carece de toda validez, de conformidad con lo dispuesto por el artículo 163 de la ley de la materia que señala lo siguiente:</w:t>
      </w:r>
    </w:p>
    <w:p w14:paraId="71D39DD0" w14:textId="77777777" w:rsidR="002C7064" w:rsidRPr="00336566" w:rsidRDefault="002C7064" w:rsidP="002C7064">
      <w:pPr>
        <w:spacing w:before="240" w:after="240" w:line="360" w:lineRule="auto"/>
        <w:ind w:left="426"/>
        <w:contextualSpacing/>
        <w:jc w:val="both"/>
        <w:rPr>
          <w:rFonts w:ascii="Palatino Linotype" w:eastAsia="Times New Roman" w:hAnsi="Palatino Linotype" w:cs="Arial"/>
          <w:color w:val="222222"/>
          <w:lang w:val="es-ES" w:eastAsia="es-MX"/>
        </w:rPr>
      </w:pPr>
    </w:p>
    <w:p w14:paraId="792C5A79" w14:textId="77777777" w:rsidR="002C7064" w:rsidRPr="00336566" w:rsidRDefault="002C7064" w:rsidP="002C7064">
      <w:pPr>
        <w:shd w:val="clear" w:color="auto" w:fill="FFFFFF"/>
        <w:spacing w:line="360" w:lineRule="auto"/>
        <w:ind w:left="567" w:right="616"/>
        <w:jc w:val="both"/>
        <w:rPr>
          <w:rFonts w:ascii="Palatino Linotype" w:eastAsia="Times New Roman" w:hAnsi="Palatino Linotype" w:cs="Arial"/>
          <w:i/>
          <w:iCs/>
          <w:color w:val="222222"/>
          <w:sz w:val="22"/>
          <w:szCs w:val="22"/>
          <w:lang w:eastAsia="es-MX"/>
        </w:rPr>
      </w:pPr>
      <w:r w:rsidRPr="00336566">
        <w:rPr>
          <w:rFonts w:ascii="Palatino Linotype" w:eastAsia="Times New Roman" w:hAnsi="Palatino Linotype" w:cs="Arial"/>
          <w:b/>
          <w:bCs/>
          <w:i/>
          <w:iCs/>
          <w:color w:val="222222"/>
          <w:sz w:val="22"/>
          <w:szCs w:val="22"/>
          <w:lang w:eastAsia="es-MX"/>
        </w:rPr>
        <w:t>“Artículo 163. </w:t>
      </w:r>
      <w:r w:rsidRPr="00336566">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5E5A39C9" w14:textId="77777777" w:rsidR="002C7064" w:rsidRPr="00336566" w:rsidRDefault="002C7064" w:rsidP="002C7064">
      <w:pPr>
        <w:shd w:val="clear" w:color="auto" w:fill="FFFFFF"/>
        <w:spacing w:line="360" w:lineRule="auto"/>
        <w:ind w:left="567" w:right="616"/>
        <w:jc w:val="both"/>
        <w:rPr>
          <w:rFonts w:ascii="Arial" w:eastAsia="Times New Roman" w:hAnsi="Arial" w:cs="Arial"/>
          <w:color w:val="222222"/>
          <w:sz w:val="22"/>
          <w:szCs w:val="22"/>
          <w:lang w:eastAsia="es-MX"/>
        </w:rPr>
      </w:pPr>
    </w:p>
    <w:p w14:paraId="3597BBA9" w14:textId="77777777" w:rsidR="002C7064" w:rsidRPr="00336566" w:rsidRDefault="002C7064" w:rsidP="002C7064">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r w:rsidRPr="00336566">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Pr="00336566">
        <w:rPr>
          <w:rFonts w:ascii="Palatino Linotype" w:eastAsia="Times New Roman" w:hAnsi="Palatino Linotype" w:cs="Arial"/>
          <w:i/>
          <w:iCs/>
          <w:color w:val="222222"/>
          <w:sz w:val="19"/>
          <w:szCs w:val="19"/>
          <w:lang w:eastAsia="es-MX"/>
        </w:rPr>
        <w:t>.”</w:t>
      </w:r>
    </w:p>
    <w:p w14:paraId="4F37607A" w14:textId="77777777" w:rsidR="00683DBE" w:rsidRPr="00336566" w:rsidRDefault="00683DBE" w:rsidP="002C7064">
      <w:pPr>
        <w:shd w:val="clear" w:color="auto" w:fill="FFFFFF"/>
        <w:spacing w:line="360" w:lineRule="auto"/>
        <w:ind w:left="567" w:right="616"/>
        <w:jc w:val="both"/>
        <w:rPr>
          <w:rFonts w:ascii="Palatino Linotype" w:eastAsia="Times New Roman" w:hAnsi="Palatino Linotype" w:cs="Arial"/>
          <w:i/>
          <w:iCs/>
          <w:color w:val="222222"/>
          <w:sz w:val="19"/>
          <w:szCs w:val="19"/>
          <w:lang w:eastAsia="es-MX"/>
        </w:rPr>
      </w:pPr>
    </w:p>
    <w:p w14:paraId="190704DC" w14:textId="77777777" w:rsidR="002C7064" w:rsidRPr="00336566" w:rsidRDefault="002C7064" w:rsidP="002C7064">
      <w:pPr>
        <w:shd w:val="clear" w:color="auto" w:fill="FFFFFF"/>
        <w:spacing w:line="288" w:lineRule="atLeast"/>
        <w:ind w:left="567" w:right="616"/>
        <w:jc w:val="both"/>
        <w:rPr>
          <w:rFonts w:ascii="Arial" w:eastAsia="Times New Roman" w:hAnsi="Arial" w:cs="Arial"/>
          <w:color w:val="222222"/>
          <w:sz w:val="19"/>
          <w:szCs w:val="19"/>
          <w:lang w:eastAsia="es-MX"/>
        </w:rPr>
      </w:pPr>
    </w:p>
    <w:p w14:paraId="3D5223D2" w14:textId="77777777" w:rsidR="002C7064" w:rsidRPr="00336566" w:rsidRDefault="002C7064" w:rsidP="002C7064">
      <w:pPr>
        <w:numPr>
          <w:ilvl w:val="0"/>
          <w:numId w:val="1"/>
        </w:numPr>
        <w:spacing w:before="240" w:after="240" w:line="360" w:lineRule="auto"/>
        <w:ind w:left="0" w:firstLine="0"/>
        <w:contextualSpacing/>
        <w:jc w:val="both"/>
        <w:rPr>
          <w:rFonts w:ascii="Palatino Linotype" w:eastAsia="Times New Roman" w:hAnsi="Palatino Linotype" w:cs="Arial"/>
          <w:b/>
          <w:bCs/>
          <w:color w:val="222222"/>
          <w:lang w:val="es-ES" w:eastAsia="es-MX"/>
        </w:rPr>
      </w:pPr>
      <w:r w:rsidRPr="00336566">
        <w:rPr>
          <w:rFonts w:ascii="Palatino Linotype" w:eastAsia="Calibri" w:hAnsi="Palatino Linotype" w:cs="Arial"/>
        </w:rPr>
        <w:t>Solo</w:t>
      </w:r>
      <w:r w:rsidRPr="00336566">
        <w:rPr>
          <w:rFonts w:ascii="Palatino Linotype" w:eastAsia="Times New Roman" w:hAnsi="Palatino Linotype" w:cs="Arial"/>
          <w:color w:val="222222"/>
          <w:lang w:val="es-ES" w:eastAsia="es-MX"/>
        </w:rPr>
        <w:t xml:space="preserve"> en aquellos casos excepcionales el </w:t>
      </w:r>
      <w:r w:rsidRPr="00336566">
        <w:rPr>
          <w:rFonts w:ascii="Palatino Linotype" w:eastAsia="Times New Roman" w:hAnsi="Palatino Linotype" w:cs="Arial"/>
          <w:b/>
          <w:bCs/>
          <w:color w:val="222222"/>
          <w:lang w:val="es-ES" w:eastAsia="es-MX"/>
        </w:rPr>
        <w:t xml:space="preserve">SUJETO OBLIGADO </w:t>
      </w:r>
      <w:r w:rsidRPr="00336566">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1334F619" w14:textId="77777777" w:rsidR="002C7064" w:rsidRPr="00336566" w:rsidRDefault="002C7064" w:rsidP="002C7064">
      <w:pPr>
        <w:spacing w:before="240" w:after="240" w:line="360" w:lineRule="auto"/>
        <w:ind w:left="426"/>
        <w:contextualSpacing/>
        <w:jc w:val="both"/>
        <w:rPr>
          <w:rFonts w:ascii="Palatino Linotype" w:eastAsia="Times New Roman" w:hAnsi="Palatino Linotype" w:cs="Arial"/>
          <w:b/>
          <w:bCs/>
          <w:color w:val="222222"/>
          <w:lang w:val="es-ES" w:eastAsia="es-MX"/>
        </w:rPr>
      </w:pPr>
    </w:p>
    <w:p w14:paraId="71D1E982" w14:textId="77777777" w:rsidR="002C7064" w:rsidRPr="00336566" w:rsidRDefault="002C7064" w:rsidP="002C7064">
      <w:pPr>
        <w:numPr>
          <w:ilvl w:val="0"/>
          <w:numId w:val="1"/>
        </w:numPr>
        <w:spacing w:before="240" w:after="240" w:line="360" w:lineRule="auto"/>
        <w:ind w:left="0" w:firstLine="0"/>
        <w:contextualSpacing/>
        <w:jc w:val="both"/>
        <w:rPr>
          <w:rFonts w:ascii="Arial" w:eastAsia="Times New Roman" w:hAnsi="Arial" w:cs="Arial"/>
          <w:color w:val="222222"/>
          <w:lang w:eastAsia="es-MX"/>
        </w:rPr>
      </w:pPr>
      <w:r w:rsidRPr="00336566">
        <w:rPr>
          <w:rFonts w:ascii="Palatino Linotype" w:eastAsia="Times New Roman" w:hAnsi="Palatino Linotype" w:cs="Arial"/>
          <w:color w:val="222222"/>
          <w:lang w:val="es-ES" w:eastAsia="es-MX"/>
        </w:rPr>
        <w:t xml:space="preserve">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w:t>
      </w:r>
      <w:r w:rsidRPr="00336566">
        <w:rPr>
          <w:rFonts w:ascii="Palatino Linotype" w:eastAsia="Times New Roman" w:hAnsi="Palatino Linotype" w:cs="Arial"/>
          <w:color w:val="222222"/>
          <w:lang w:val="es-ES" w:eastAsia="es-MX"/>
        </w:rPr>
        <w:lastRenderedPageBreak/>
        <w:t>dispuesto en el artículo 163 de la Ley de Transparencia y Acceso a la Información Pública del Estado de México y Municipios</w:t>
      </w:r>
      <w:r w:rsidRPr="00336566">
        <w:rPr>
          <w:rFonts w:ascii="Palatino Linotype" w:eastAsia="Times New Roman" w:hAnsi="Palatino Linotype" w:cs="Arial"/>
          <w:i/>
          <w:iCs/>
          <w:color w:val="222222"/>
          <w:lang w:val="es-ES" w:eastAsia="es-MX"/>
        </w:rPr>
        <w:t>.</w:t>
      </w:r>
    </w:p>
    <w:p w14:paraId="41A45707" w14:textId="77777777" w:rsidR="00ED7B32" w:rsidRPr="00336566" w:rsidRDefault="00ED7B32" w:rsidP="00ED7B32">
      <w:pPr>
        <w:rPr>
          <w:lang w:val="es-MX" w:eastAsia="en-US"/>
        </w:rPr>
      </w:pPr>
    </w:p>
    <w:p w14:paraId="0F41B4B0" w14:textId="27CEEA21" w:rsidR="00BC6E49" w:rsidRPr="00336566" w:rsidRDefault="00ED7B32" w:rsidP="002C7064">
      <w:pPr>
        <w:pStyle w:val="Ttulo1"/>
        <w:rPr>
          <w:rFonts w:ascii="Palatino Linotype" w:hAnsi="Palatino Linotype"/>
          <w:b/>
          <w:color w:val="auto"/>
          <w:sz w:val="24"/>
        </w:rPr>
      </w:pPr>
      <w:bookmarkStart w:id="51" w:name="_Toc525557999"/>
      <w:r w:rsidRPr="00336566">
        <w:rPr>
          <w:rFonts w:ascii="Palatino Linotype" w:hAnsi="Palatino Linotype"/>
          <w:b/>
          <w:color w:val="auto"/>
          <w:sz w:val="24"/>
        </w:rPr>
        <w:t xml:space="preserve">QUINTO. </w:t>
      </w:r>
      <w:r w:rsidR="00277410" w:rsidRPr="00336566">
        <w:rPr>
          <w:rFonts w:ascii="Palatino Linotype" w:hAnsi="Palatino Linotype"/>
          <w:b/>
          <w:color w:val="auto"/>
          <w:sz w:val="24"/>
        </w:rPr>
        <w:t>Del estudio y resolución del asunto</w:t>
      </w:r>
      <w:bookmarkEnd w:id="49"/>
      <w:bookmarkEnd w:id="50"/>
      <w:r w:rsidR="00AE0F40" w:rsidRPr="00336566">
        <w:rPr>
          <w:rFonts w:ascii="Palatino Linotype" w:hAnsi="Palatino Linotype"/>
          <w:b/>
          <w:color w:val="auto"/>
          <w:sz w:val="24"/>
        </w:rPr>
        <w:t>.</w:t>
      </w:r>
      <w:bookmarkEnd w:id="51"/>
    </w:p>
    <w:p w14:paraId="0C28AE70" w14:textId="77777777" w:rsidR="009B2C5C" w:rsidRPr="00336566" w:rsidRDefault="009B2C5C" w:rsidP="009B2C5C">
      <w:pPr>
        <w:rPr>
          <w:lang w:val="es-MX" w:eastAsia="en-US"/>
        </w:rPr>
      </w:pPr>
    </w:p>
    <w:p w14:paraId="46459625" w14:textId="77777777" w:rsidR="00683DBE" w:rsidRPr="00336566" w:rsidRDefault="00683DBE" w:rsidP="00683DBE">
      <w:pPr>
        <w:rPr>
          <w:lang w:val="es-MX" w:eastAsia="en-US"/>
        </w:rPr>
      </w:pPr>
    </w:p>
    <w:p w14:paraId="4854B4B6" w14:textId="00152CC7" w:rsidR="00515BA2" w:rsidRPr="00336566" w:rsidRDefault="00F835ED" w:rsidP="008519DF">
      <w:pPr>
        <w:pStyle w:val="Ttulo2"/>
        <w:rPr>
          <w:rFonts w:ascii="Palatino Linotype" w:hAnsi="Palatino Linotype"/>
          <w:b/>
          <w:color w:val="000000" w:themeColor="text1"/>
          <w:sz w:val="24"/>
          <w:szCs w:val="24"/>
        </w:rPr>
      </w:pPr>
      <w:bookmarkStart w:id="52" w:name="_Toc525558000"/>
      <w:r w:rsidRPr="00336566">
        <w:rPr>
          <w:rFonts w:ascii="Palatino Linotype" w:hAnsi="Palatino Linotype"/>
          <w:b/>
          <w:color w:val="000000" w:themeColor="text1"/>
          <w:sz w:val="24"/>
          <w:szCs w:val="24"/>
        </w:rPr>
        <w:t>I.</w:t>
      </w:r>
      <w:r w:rsidR="00515BA2" w:rsidRPr="00336566">
        <w:rPr>
          <w:rFonts w:ascii="Palatino Linotype" w:hAnsi="Palatino Linotype"/>
          <w:b/>
          <w:color w:val="000000" w:themeColor="text1"/>
          <w:sz w:val="24"/>
          <w:szCs w:val="24"/>
        </w:rPr>
        <w:t xml:space="preserve"> Del deber de las autoridades de promover, respetar, proteger, y garantizar el derecho de acceso a la información pública.</w:t>
      </w:r>
      <w:bookmarkEnd w:id="52"/>
      <w:r w:rsidR="00515BA2" w:rsidRPr="00336566">
        <w:rPr>
          <w:rFonts w:ascii="Palatino Linotype" w:hAnsi="Palatino Linotype"/>
          <w:b/>
          <w:color w:val="000000" w:themeColor="text1"/>
          <w:sz w:val="24"/>
          <w:szCs w:val="24"/>
        </w:rPr>
        <w:t xml:space="preserve"> </w:t>
      </w:r>
    </w:p>
    <w:p w14:paraId="3DE7EC4A" w14:textId="77777777" w:rsidR="009B2C5C" w:rsidRPr="00336566" w:rsidRDefault="009B2C5C" w:rsidP="00AE0F40">
      <w:pPr>
        <w:rPr>
          <w:rFonts w:ascii="Palatino Linotype" w:hAnsi="Palatino Linotype"/>
          <w:b/>
          <w:lang w:val="es-MX" w:eastAsia="en-US"/>
        </w:rPr>
      </w:pPr>
    </w:p>
    <w:p w14:paraId="70CEA65C" w14:textId="77777777" w:rsidR="00515BA2" w:rsidRPr="00336566" w:rsidRDefault="00515BA2" w:rsidP="00515BA2">
      <w:pPr>
        <w:pStyle w:val="Prrafodelista"/>
        <w:numPr>
          <w:ilvl w:val="0"/>
          <w:numId w:val="1"/>
        </w:numPr>
        <w:spacing w:before="240" w:after="240" w:line="360" w:lineRule="auto"/>
        <w:ind w:left="0" w:firstLine="0"/>
        <w:jc w:val="both"/>
        <w:rPr>
          <w:rFonts w:ascii="Palatino Linotype" w:hAnsi="Palatino Linotype" w:cs="Arial"/>
          <w:lang w:val="es-MX"/>
        </w:rPr>
      </w:pPr>
      <w:r w:rsidRPr="00336566">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36566">
        <w:rPr>
          <w:rFonts w:ascii="Palatino Linotype" w:hAnsi="Palatino Linotype" w:cs="Arial"/>
          <w:b/>
          <w:lang w:val="es-MX"/>
        </w:rPr>
        <w:t>SUJETO OBLIGADO</w:t>
      </w:r>
      <w:r w:rsidRPr="00336566">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36566">
        <w:rPr>
          <w:rFonts w:ascii="Palatino Linotype" w:hAnsi="Palatino Linotype" w:cs="Arial"/>
          <w:b/>
          <w:lang w:val="es-MX"/>
        </w:rPr>
        <w:t xml:space="preserve">Constitución Política de los Estados Unidos Mexicanos </w:t>
      </w:r>
      <w:r w:rsidRPr="00336566">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336566" w:rsidRDefault="00515BA2" w:rsidP="00515BA2">
      <w:pPr>
        <w:pStyle w:val="Prrafodelista"/>
        <w:spacing w:before="240" w:after="240" w:line="360" w:lineRule="auto"/>
        <w:ind w:left="927"/>
        <w:jc w:val="both"/>
        <w:rPr>
          <w:rFonts w:ascii="Palatino Linotype" w:hAnsi="Palatino Linotype" w:cs="Arial"/>
          <w:lang w:val="es-MX"/>
        </w:rPr>
      </w:pPr>
    </w:p>
    <w:p w14:paraId="696D537D" w14:textId="77777777" w:rsidR="00515BA2" w:rsidRPr="00336566" w:rsidRDefault="00515BA2" w:rsidP="00515BA2">
      <w:pPr>
        <w:pStyle w:val="Prrafodelista"/>
        <w:numPr>
          <w:ilvl w:val="0"/>
          <w:numId w:val="1"/>
        </w:numPr>
        <w:spacing w:before="240" w:after="240" w:line="360" w:lineRule="auto"/>
        <w:ind w:left="0" w:firstLine="0"/>
        <w:jc w:val="both"/>
        <w:rPr>
          <w:rFonts w:ascii="Palatino Linotype" w:hAnsi="Palatino Linotype" w:cs="Arial"/>
          <w:lang w:val="es-MX"/>
        </w:rPr>
      </w:pPr>
      <w:r w:rsidRPr="00336566">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w:t>
      </w:r>
      <w:r w:rsidRPr="00336566">
        <w:rPr>
          <w:rFonts w:ascii="Palatino Linotype" w:hAnsi="Palatino Linotype" w:cs="Arial"/>
          <w:lang w:val="es-MX"/>
        </w:rPr>
        <w:lastRenderedPageBreak/>
        <w:t>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336566" w:rsidRDefault="00515BA2" w:rsidP="00515BA2">
      <w:pPr>
        <w:pStyle w:val="Prrafodelista"/>
        <w:spacing w:before="240" w:after="240" w:line="360" w:lineRule="auto"/>
        <w:ind w:left="927"/>
        <w:jc w:val="both"/>
        <w:rPr>
          <w:rFonts w:ascii="Palatino Linotype" w:hAnsi="Palatino Linotype" w:cs="Arial"/>
          <w:lang w:val="es-MX"/>
        </w:rPr>
      </w:pPr>
    </w:p>
    <w:p w14:paraId="143A21D7" w14:textId="77777777" w:rsidR="00515BA2" w:rsidRPr="00336566" w:rsidRDefault="00515BA2" w:rsidP="00515BA2">
      <w:pPr>
        <w:pStyle w:val="Prrafodelista"/>
        <w:numPr>
          <w:ilvl w:val="0"/>
          <w:numId w:val="1"/>
        </w:numPr>
        <w:spacing w:before="240" w:after="240" w:line="360" w:lineRule="auto"/>
        <w:ind w:left="0" w:firstLine="0"/>
        <w:jc w:val="both"/>
        <w:rPr>
          <w:rFonts w:ascii="Palatino Linotype" w:hAnsi="Palatino Linotype" w:cs="Arial"/>
          <w:lang w:val="es-MX"/>
        </w:rPr>
      </w:pPr>
      <w:r w:rsidRPr="00336566">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530FDF0" w14:textId="77777777" w:rsidR="00515BA2" w:rsidRPr="00336566" w:rsidRDefault="00515BA2" w:rsidP="00515BA2">
      <w:pPr>
        <w:pStyle w:val="Prrafodelista"/>
        <w:spacing w:before="240" w:after="240" w:line="360" w:lineRule="auto"/>
        <w:ind w:left="927"/>
        <w:jc w:val="both"/>
        <w:rPr>
          <w:rFonts w:ascii="Palatino Linotype" w:hAnsi="Palatino Linotype" w:cs="Arial"/>
          <w:lang w:val="es-MX"/>
        </w:rPr>
      </w:pPr>
    </w:p>
    <w:p w14:paraId="138AA8F2" w14:textId="68001030" w:rsidR="00515BA2" w:rsidRPr="00336566" w:rsidRDefault="00515BA2" w:rsidP="00515BA2">
      <w:pPr>
        <w:pStyle w:val="Prrafodelista"/>
        <w:numPr>
          <w:ilvl w:val="0"/>
          <w:numId w:val="1"/>
        </w:numPr>
        <w:spacing w:before="240" w:after="240" w:line="360" w:lineRule="auto"/>
        <w:ind w:left="0" w:firstLine="0"/>
        <w:jc w:val="both"/>
        <w:rPr>
          <w:rFonts w:ascii="Palatino Linotype" w:hAnsi="Palatino Linotype" w:cs="Arial"/>
          <w:lang w:val="es-MX"/>
        </w:rPr>
      </w:pPr>
      <w:r w:rsidRPr="00336566">
        <w:rPr>
          <w:rFonts w:ascii="Palatino Linotype" w:hAnsi="Palatino Linotype" w:cs="Arial"/>
          <w:lang w:val="es-MX"/>
        </w:rPr>
        <w:t>En el caso concreto que nos ocupa ana</w:t>
      </w:r>
      <w:r w:rsidR="00AE0F40" w:rsidRPr="00336566">
        <w:rPr>
          <w:rFonts w:ascii="Palatino Linotype" w:hAnsi="Palatino Linotype" w:cs="Arial"/>
          <w:lang w:val="es-MX"/>
        </w:rPr>
        <w:t>lizar, el particular requirió del Ayuntamiento de Atizapán de Zaragoza una licencia de</w:t>
      </w:r>
      <w:r w:rsidR="00F835ED" w:rsidRPr="00336566">
        <w:rPr>
          <w:rFonts w:ascii="Palatino Linotype" w:hAnsi="Palatino Linotype" w:cs="Arial"/>
          <w:lang w:val="es-MX"/>
        </w:rPr>
        <w:t xml:space="preserve"> construcción para obra nueva</w:t>
      </w:r>
      <w:r w:rsidRPr="00336566">
        <w:rPr>
          <w:rFonts w:ascii="Palatino Linotype" w:hAnsi="Palatino Linotype" w:cs="Arial"/>
          <w:lang w:val="es-MX"/>
        </w:rPr>
        <w:t>; siendo importante señalar</w:t>
      </w:r>
      <w:r w:rsidR="00FA1C3F" w:rsidRPr="00336566">
        <w:rPr>
          <w:rFonts w:ascii="Palatino Linotype" w:hAnsi="Palatino Linotype" w:cs="Arial"/>
          <w:lang w:val="es-MX"/>
        </w:rPr>
        <w:t xml:space="preserve"> que el </w:t>
      </w:r>
      <w:r w:rsidRPr="00336566">
        <w:rPr>
          <w:rFonts w:ascii="Palatino Linotype" w:hAnsi="Palatino Linotype" w:cs="Arial"/>
          <w:b/>
          <w:lang w:val="es-MX"/>
        </w:rPr>
        <w:t>SUJETO OBLIGADO</w:t>
      </w:r>
      <w:r w:rsidRPr="00336566">
        <w:rPr>
          <w:rFonts w:ascii="Palatino Linotype" w:hAnsi="Palatino Linotype" w:cs="Arial"/>
          <w:lang w:val="es-MX"/>
        </w:rPr>
        <w:t xml:space="preserve"> respondió parcialmente a la solicitud presentada</w:t>
      </w:r>
      <w:r w:rsidR="00FA1C3F" w:rsidRPr="00336566">
        <w:rPr>
          <w:rFonts w:ascii="Palatino Linotype" w:hAnsi="Palatino Linotype" w:cs="Arial"/>
          <w:lang w:val="es-MX"/>
        </w:rPr>
        <w:t>, pues el acuerdo de clasificación que pretende sustentar la versión publica otorgada</w:t>
      </w:r>
      <w:r w:rsidR="009B2C5C" w:rsidRPr="00336566">
        <w:rPr>
          <w:rFonts w:ascii="Palatino Linotype" w:hAnsi="Palatino Linotype" w:cs="Arial"/>
          <w:lang w:val="es-MX"/>
        </w:rPr>
        <w:t xml:space="preserve"> no cumple con las consideraciones que establece la ley</w:t>
      </w:r>
      <w:r w:rsidRPr="00336566">
        <w:rPr>
          <w:rFonts w:ascii="Palatino Linotype" w:hAnsi="Palatino Linotype" w:cs="Arial"/>
          <w:lang w:val="es-MX"/>
        </w:rPr>
        <w:t xml:space="preserve">, lo que constituye una afectación indiscutible al derecho humano de acceso a la información pública y en este sentido, el artículo primero Constitucional </w:t>
      </w:r>
      <w:r w:rsidRPr="00336566">
        <w:rPr>
          <w:rFonts w:ascii="Palatino Linotype" w:hAnsi="Palatino Linotype" w:cs="Arial"/>
          <w:lang w:val="es-MX"/>
        </w:rPr>
        <w:lastRenderedPageBreak/>
        <w:t xml:space="preserve">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9800DB3" w14:textId="77777777" w:rsidR="00515BA2" w:rsidRPr="00336566" w:rsidRDefault="00515BA2" w:rsidP="00515BA2">
      <w:pPr>
        <w:pStyle w:val="Prrafodelista"/>
        <w:spacing w:before="240" w:after="240" w:line="360" w:lineRule="auto"/>
        <w:ind w:left="927"/>
        <w:jc w:val="both"/>
        <w:rPr>
          <w:rFonts w:ascii="Palatino Linotype" w:hAnsi="Palatino Linotype" w:cs="Arial"/>
          <w:lang w:val="es-MX"/>
        </w:rPr>
      </w:pPr>
    </w:p>
    <w:p w14:paraId="509A784C" w14:textId="77777777" w:rsidR="00515BA2" w:rsidRPr="00336566" w:rsidRDefault="00515BA2" w:rsidP="00515BA2">
      <w:pPr>
        <w:pStyle w:val="Prrafodelista"/>
        <w:numPr>
          <w:ilvl w:val="0"/>
          <w:numId w:val="1"/>
        </w:numPr>
        <w:spacing w:before="240" w:after="240" w:line="360" w:lineRule="auto"/>
        <w:ind w:left="0" w:firstLine="0"/>
        <w:jc w:val="both"/>
        <w:rPr>
          <w:rFonts w:ascii="Palatino Linotype" w:hAnsi="Palatino Linotype" w:cs="Arial"/>
          <w:lang w:val="es-MX"/>
        </w:rPr>
      </w:pPr>
      <w:r w:rsidRPr="00336566">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8E12B31" w14:textId="77777777" w:rsidR="009B2C5C" w:rsidRPr="00336566" w:rsidRDefault="009B2C5C" w:rsidP="00F835ED">
      <w:pPr>
        <w:pStyle w:val="Prrafodelista"/>
        <w:rPr>
          <w:rFonts w:ascii="Palatino Linotype" w:hAnsi="Palatino Linotype" w:cs="Arial"/>
          <w:lang w:val="es-MX"/>
        </w:rPr>
      </w:pPr>
    </w:p>
    <w:p w14:paraId="0DD24748" w14:textId="194EFB35" w:rsidR="005D1341" w:rsidRPr="00336566" w:rsidRDefault="00F835ED" w:rsidP="008519DF">
      <w:pPr>
        <w:pStyle w:val="Ttulo2"/>
        <w:rPr>
          <w:rFonts w:ascii="Palatino Linotype" w:hAnsi="Palatino Linotype"/>
          <w:b/>
          <w:color w:val="000000" w:themeColor="text1"/>
          <w:sz w:val="24"/>
        </w:rPr>
      </w:pPr>
      <w:bookmarkStart w:id="53" w:name="_Toc525558001"/>
      <w:r w:rsidRPr="00336566">
        <w:rPr>
          <w:rFonts w:ascii="Palatino Linotype" w:hAnsi="Palatino Linotype"/>
          <w:b/>
          <w:color w:val="000000" w:themeColor="text1"/>
          <w:sz w:val="24"/>
        </w:rPr>
        <w:t xml:space="preserve">II.  </w:t>
      </w:r>
      <w:r w:rsidR="005D1341" w:rsidRPr="00336566">
        <w:rPr>
          <w:rFonts w:ascii="Palatino Linotype" w:hAnsi="Palatino Linotype"/>
          <w:b/>
          <w:color w:val="000000" w:themeColor="text1"/>
          <w:sz w:val="24"/>
        </w:rPr>
        <w:t>De la información puesta disposición.</w:t>
      </w:r>
      <w:bookmarkEnd w:id="53"/>
      <w:r w:rsidR="005D1341" w:rsidRPr="00336566">
        <w:rPr>
          <w:rFonts w:ascii="Palatino Linotype" w:hAnsi="Palatino Linotype"/>
          <w:b/>
          <w:color w:val="000000" w:themeColor="text1"/>
          <w:sz w:val="24"/>
        </w:rPr>
        <w:t xml:space="preserve">  </w:t>
      </w:r>
    </w:p>
    <w:p w14:paraId="14D4A37E" w14:textId="77777777" w:rsidR="00F835ED" w:rsidRPr="00336566" w:rsidRDefault="00F835ED" w:rsidP="00A26007">
      <w:pPr>
        <w:pStyle w:val="Prrafodelista"/>
        <w:spacing w:before="240" w:after="240" w:line="360" w:lineRule="auto"/>
        <w:ind w:left="0"/>
        <w:jc w:val="both"/>
        <w:rPr>
          <w:rFonts w:ascii="Palatino Linotype" w:hAnsi="Palatino Linotype" w:cs="Arial"/>
          <w:i/>
          <w:lang w:val="es-MX"/>
        </w:rPr>
      </w:pPr>
    </w:p>
    <w:p w14:paraId="293E89F9" w14:textId="3EB277A8" w:rsidR="00342C19" w:rsidRPr="00336566" w:rsidRDefault="00342C19" w:rsidP="00E311E0">
      <w:pPr>
        <w:pStyle w:val="Prrafodelista"/>
        <w:numPr>
          <w:ilvl w:val="0"/>
          <w:numId w:val="1"/>
        </w:numPr>
        <w:spacing w:before="240" w:after="240" w:line="360" w:lineRule="auto"/>
        <w:ind w:left="0" w:firstLine="0"/>
        <w:jc w:val="both"/>
        <w:rPr>
          <w:rFonts w:ascii="Palatino Linotype" w:hAnsi="Palatino Linotype" w:cs="Arial"/>
          <w:i/>
          <w:lang w:val="es-MX"/>
        </w:rPr>
      </w:pPr>
      <w:r w:rsidRPr="00336566">
        <w:rPr>
          <w:rFonts w:ascii="Palatino Linotype" w:hAnsi="Palatino Linotype" w:cs="Arial"/>
          <w:szCs w:val="23"/>
          <w:lang w:val="es-MX"/>
        </w:rPr>
        <w:t>Derivado</w:t>
      </w:r>
      <w:r w:rsidRPr="00336566">
        <w:rPr>
          <w:rFonts w:ascii="Palatino Linotype" w:hAnsi="Palatino Linotype" w:cs="Arial"/>
          <w:szCs w:val="23"/>
        </w:rPr>
        <w:t xml:space="preserve"> del Planteamiento de la </w:t>
      </w:r>
      <w:r w:rsidRPr="00336566">
        <w:rPr>
          <w:rFonts w:ascii="Palatino Linotype" w:hAnsi="Palatino Linotype" w:cs="Arial"/>
          <w:i/>
          <w:szCs w:val="23"/>
        </w:rPr>
        <w:t>Litis</w:t>
      </w:r>
      <w:r w:rsidRPr="00336566">
        <w:rPr>
          <w:rFonts w:ascii="Palatino Linotype" w:hAnsi="Palatino Linotype" w:cs="Arial"/>
          <w:szCs w:val="23"/>
        </w:rPr>
        <w:t>, se procede analizar el contenido íntegro de las actuaciones que obran en el expediente electrónico, y así este Órgano Gara</w:t>
      </w:r>
      <w:r w:rsidR="001024E9" w:rsidRPr="00336566">
        <w:rPr>
          <w:rFonts w:ascii="Palatino Linotype" w:hAnsi="Palatino Linotype" w:cs="Arial"/>
          <w:szCs w:val="23"/>
        </w:rPr>
        <w:t xml:space="preserve">nte esté en posibilidad de </w:t>
      </w:r>
      <w:r w:rsidRPr="00336566">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w:t>
      </w:r>
      <w:r w:rsidRPr="00336566">
        <w:rPr>
          <w:rFonts w:ascii="Palatino Linotype" w:hAnsi="Palatino Linotype" w:cs="Arial"/>
          <w:szCs w:val="23"/>
        </w:rPr>
        <w:lastRenderedPageBreak/>
        <w:t xml:space="preserve">artículo 8 de la </w:t>
      </w:r>
      <w:r w:rsidRPr="00336566">
        <w:rPr>
          <w:rFonts w:ascii="Palatino Linotype" w:eastAsia="Calibri" w:hAnsi="Palatino Linotype" w:cs="Arial"/>
          <w:b/>
          <w:lang w:val="es-ES"/>
        </w:rPr>
        <w:t>Ley de Transparencia y Acceso a la Información Pública del Estado de México y Municipios</w:t>
      </w:r>
      <w:r w:rsidRPr="00336566">
        <w:rPr>
          <w:rFonts w:ascii="Palatino Linotype" w:eastAsia="Times New Roman" w:hAnsi="Palatino Linotype" w:cs="Arial"/>
          <w:lang w:val="es-ES" w:eastAsia="es-MX"/>
        </w:rPr>
        <w:t>.</w:t>
      </w:r>
    </w:p>
    <w:p w14:paraId="0A134FEE" w14:textId="77777777" w:rsidR="00A26007" w:rsidRPr="00336566" w:rsidRDefault="00A26007" w:rsidP="00A26007">
      <w:pPr>
        <w:rPr>
          <w:rFonts w:ascii="Palatino Linotype" w:eastAsia="MS Mincho" w:hAnsi="Palatino Linotype" w:cs="Times New Roman"/>
          <w:color w:val="000000"/>
        </w:rPr>
      </w:pPr>
    </w:p>
    <w:p w14:paraId="6B9F211B" w14:textId="2CC9895D" w:rsidR="002E1FDF" w:rsidRPr="00336566" w:rsidRDefault="000139AE" w:rsidP="002E1FDF">
      <w:pPr>
        <w:pStyle w:val="Prrafodelista"/>
        <w:numPr>
          <w:ilvl w:val="0"/>
          <w:numId w:val="1"/>
        </w:numPr>
        <w:spacing w:line="360" w:lineRule="auto"/>
        <w:ind w:left="0" w:firstLine="0"/>
        <w:jc w:val="both"/>
        <w:rPr>
          <w:rFonts w:ascii="Palatino Linotype" w:eastAsia="Times New Roman" w:hAnsi="Palatino Linotype" w:cs="Arial"/>
          <w:lang w:val="es-ES" w:eastAsia="es-MX"/>
        </w:rPr>
      </w:pPr>
      <w:r w:rsidRPr="00336566">
        <w:rPr>
          <w:rFonts w:ascii="Palatino Linotype" w:hAnsi="Palatino Linotype"/>
        </w:rPr>
        <w:t xml:space="preserve">En ese tenor, </w:t>
      </w:r>
      <w:r w:rsidR="002E1FDF" w:rsidRPr="00336566">
        <w:rPr>
          <w:rFonts w:ascii="Palatino Linotype" w:eastAsia="Times New Roman" w:hAnsi="Palatino Linotype" w:cs="Arial"/>
          <w:lang w:val="es-ES" w:eastAsia="es-MX"/>
        </w:rPr>
        <w:t>es pertinente mencionar que</w:t>
      </w:r>
      <w:r w:rsidR="002E1FDF" w:rsidRPr="00336566">
        <w:rPr>
          <w:rFonts w:ascii="Palatino Linotype" w:eastAsia="Calibri" w:hAnsi="Palatino Linotype" w:cs="Arial"/>
          <w:bCs/>
          <w:lang w:val="es-ES"/>
        </w:rPr>
        <w:t xml:space="preserve"> el </w:t>
      </w:r>
      <w:r w:rsidR="002E1FDF" w:rsidRPr="00336566">
        <w:rPr>
          <w:rFonts w:ascii="Palatino Linotype" w:eastAsia="Calibri" w:hAnsi="Palatino Linotype" w:cs="Arial"/>
          <w:b/>
          <w:bCs/>
          <w:lang w:val="es-ES"/>
        </w:rPr>
        <w:t>SUJETO OBLIGADO</w:t>
      </w:r>
      <w:r w:rsidR="002E1FDF" w:rsidRPr="00336566">
        <w:rPr>
          <w:rFonts w:ascii="Palatino Linotype" w:eastAsia="Calibri" w:hAnsi="Palatino Linotype" w:cs="Arial"/>
          <w:bCs/>
          <w:lang w:val="es-ES"/>
        </w:rPr>
        <w:t xml:space="preserve"> no niega la existencia de la información solicitada, sino por el contrario, al</w:t>
      </w:r>
      <w:r w:rsidR="00B94DFC" w:rsidRPr="00336566">
        <w:rPr>
          <w:rFonts w:ascii="Palatino Linotype" w:eastAsia="Times New Roman" w:hAnsi="Palatino Linotype" w:cs="Arial"/>
          <w:lang w:val="es-ES" w:eastAsia="es-MX"/>
        </w:rPr>
        <w:t xml:space="preserve">  emitir respuesta a la solicitud</w:t>
      </w:r>
      <w:r w:rsidR="002E1FDF" w:rsidRPr="00336566">
        <w:rPr>
          <w:rFonts w:ascii="Palatino Linotype" w:eastAsia="Times New Roman" w:hAnsi="Palatino Linotype" w:cs="Arial"/>
          <w:lang w:val="es-ES" w:eastAsia="es-MX"/>
        </w:rPr>
        <w:t xml:space="preserve"> de acceso a la información y expedir la documentación que estimó conveniente para atender</w:t>
      </w:r>
      <w:r w:rsidR="00B94DFC" w:rsidRPr="00336566">
        <w:rPr>
          <w:rFonts w:ascii="Palatino Linotype" w:eastAsia="Times New Roman" w:hAnsi="Palatino Linotype" w:cs="Arial"/>
          <w:lang w:val="es-ES" w:eastAsia="es-MX"/>
        </w:rPr>
        <w:t xml:space="preserve"> el</w:t>
      </w:r>
      <w:r w:rsidR="002E1FDF" w:rsidRPr="00336566">
        <w:rPr>
          <w:rFonts w:ascii="Palatino Linotype" w:eastAsia="Times New Roman" w:hAnsi="Palatino Linotype" w:cs="Arial"/>
          <w:lang w:val="es-ES" w:eastAsia="es-MX"/>
        </w:rPr>
        <w:t xml:space="preserve"> requerimiento, asevera su existencia, por lo que el estudio de la naturaleza jurídica de la información solicitada, en el caso concreto, se obvia. </w:t>
      </w:r>
    </w:p>
    <w:p w14:paraId="661D94E2" w14:textId="77777777" w:rsidR="007C5872" w:rsidRPr="00336566" w:rsidRDefault="007C5872" w:rsidP="007C5872">
      <w:pPr>
        <w:pStyle w:val="Prrafodelista"/>
        <w:spacing w:line="360" w:lineRule="auto"/>
        <w:ind w:left="0"/>
        <w:jc w:val="both"/>
        <w:rPr>
          <w:rFonts w:ascii="Palatino Linotype" w:eastAsia="Times New Roman" w:hAnsi="Palatino Linotype" w:cs="Arial"/>
          <w:lang w:val="es-ES" w:eastAsia="es-MX"/>
        </w:rPr>
      </w:pPr>
    </w:p>
    <w:p w14:paraId="2CDAB6BD" w14:textId="193CC01E" w:rsidR="00B94DFC" w:rsidRPr="00336566" w:rsidRDefault="002E1FDF" w:rsidP="00B94DFC">
      <w:pPr>
        <w:pStyle w:val="Prrafodelista"/>
        <w:numPr>
          <w:ilvl w:val="0"/>
          <w:numId w:val="1"/>
        </w:numPr>
        <w:spacing w:before="240" w:after="240" w:line="360" w:lineRule="auto"/>
        <w:ind w:left="0" w:firstLine="0"/>
        <w:jc w:val="both"/>
        <w:rPr>
          <w:rFonts w:ascii="Palatino Linotype" w:eastAsia="Times New Roman" w:hAnsi="Palatino Linotype" w:cs="Arial"/>
          <w:b/>
          <w:lang w:val="es-ES"/>
        </w:rPr>
      </w:pPr>
      <w:r w:rsidRPr="00336566">
        <w:rPr>
          <w:rFonts w:ascii="Palatino Linotype" w:eastAsia="Times New Roman" w:hAnsi="Palatino Linotype" w:cs="Arial"/>
          <w:lang w:val="es-ES" w:eastAsia="es-MX"/>
        </w:rPr>
        <w:t>Lo anterior es así, ya que el estudio enunciado tiene por objeto determinar si el</w:t>
      </w:r>
      <w:r w:rsidRPr="00336566">
        <w:rPr>
          <w:rFonts w:ascii="Palatino Linotype" w:eastAsia="Times New Roman" w:hAnsi="Palatino Linotype" w:cs="Arial"/>
          <w:b/>
          <w:lang w:val="es-ES" w:eastAsia="es-MX"/>
        </w:rPr>
        <w:t xml:space="preserve"> SUJETO OBLIGADO</w:t>
      </w:r>
      <w:r w:rsidRPr="00336566">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w:t>
      </w:r>
      <w:r w:rsidR="00FA1C3F" w:rsidRPr="00336566">
        <w:rPr>
          <w:rFonts w:ascii="Palatino Linotype" w:eastAsia="Times New Roman" w:hAnsi="Palatino Linotype" w:cs="Arial"/>
          <w:lang w:val="es-ES" w:eastAsia="es-MX"/>
        </w:rPr>
        <w:t xml:space="preserve"> conduciría su estudio, ya que, </w:t>
      </w:r>
      <w:r w:rsidRPr="00336566">
        <w:rPr>
          <w:rFonts w:ascii="Palatino Linotype" w:eastAsia="Times New Roman" w:hAnsi="Palatino Linotype" w:cs="Arial"/>
          <w:lang w:val="es-ES" w:eastAsia="es-MX"/>
        </w:rPr>
        <w:t xml:space="preserve">se insiste, la información pública solicitada fue asumida por el </w:t>
      </w:r>
      <w:r w:rsidRPr="00336566">
        <w:rPr>
          <w:rFonts w:ascii="Palatino Linotype" w:eastAsia="Times New Roman" w:hAnsi="Palatino Linotype" w:cs="Arial"/>
          <w:b/>
          <w:lang w:val="es-ES" w:eastAsia="es-MX"/>
        </w:rPr>
        <w:t>SUJETO OBLIGADO</w:t>
      </w:r>
      <w:r w:rsidRPr="00336566">
        <w:rPr>
          <w:rFonts w:ascii="Palatino Linotype" w:eastAsia="Times New Roman" w:hAnsi="Palatino Linotype" w:cs="Arial"/>
          <w:lang w:val="es-ES" w:eastAsia="es-MX"/>
        </w:rPr>
        <w:t>.</w:t>
      </w:r>
    </w:p>
    <w:p w14:paraId="563280F6" w14:textId="77777777" w:rsidR="00B1502B" w:rsidRPr="00336566" w:rsidRDefault="00B1502B" w:rsidP="00B1502B">
      <w:pPr>
        <w:pStyle w:val="Prrafodelista"/>
        <w:rPr>
          <w:rFonts w:ascii="Palatino Linotype" w:eastAsia="Times New Roman" w:hAnsi="Palatino Linotype" w:cs="Arial"/>
          <w:b/>
          <w:lang w:val="es-ES"/>
        </w:rPr>
      </w:pPr>
    </w:p>
    <w:p w14:paraId="63C08FCE" w14:textId="77AD0F1E" w:rsidR="00B1502B" w:rsidRPr="00336566" w:rsidRDefault="00FA1C3F" w:rsidP="00B94DFC">
      <w:pPr>
        <w:pStyle w:val="Prrafodelista"/>
        <w:numPr>
          <w:ilvl w:val="0"/>
          <w:numId w:val="1"/>
        </w:numPr>
        <w:spacing w:before="240" w:after="240" w:line="360" w:lineRule="auto"/>
        <w:ind w:left="0" w:firstLine="0"/>
        <w:jc w:val="both"/>
        <w:rPr>
          <w:rFonts w:ascii="Palatino Linotype" w:eastAsia="Times New Roman" w:hAnsi="Palatino Linotype" w:cs="Arial"/>
          <w:b/>
          <w:lang w:val="es-ES"/>
        </w:rPr>
      </w:pPr>
      <w:r w:rsidRPr="00336566">
        <w:rPr>
          <w:rFonts w:ascii="Palatino Linotype" w:eastAsia="Times New Roman" w:hAnsi="Palatino Linotype" w:cs="Arial"/>
          <w:lang w:val="es-ES"/>
        </w:rPr>
        <w:t>Por otra parte es necesario precisar que</w:t>
      </w:r>
      <w:r w:rsidR="00B1502B" w:rsidRPr="00336566">
        <w:rPr>
          <w:rFonts w:ascii="Palatino Linotype" w:eastAsia="Times New Roman" w:hAnsi="Palatino Linotype" w:cs="Arial"/>
          <w:lang w:val="es-ES"/>
        </w:rPr>
        <w:t xml:space="preserve"> este Instituto, no está facultado para pronunciarse sobre la veracidad de la información proporcionada,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w:t>
      </w:r>
      <w:r w:rsidR="00B1502B" w:rsidRPr="00336566">
        <w:rPr>
          <w:rFonts w:ascii="Palatino Linotype" w:eastAsia="Times New Roman" w:hAnsi="Palatino Linotype" w:cs="Arial"/>
          <w:lang w:val="es-ES"/>
        </w:rPr>
        <w:lastRenderedPageBreak/>
        <w:t xml:space="preserve">Nacional de Trasparencia, Acceso a la Información y Protección de Datos Personales (INAI) que a la letra dice: </w:t>
      </w:r>
    </w:p>
    <w:p w14:paraId="28CD6777" w14:textId="77777777" w:rsidR="00B1502B" w:rsidRPr="00336566" w:rsidRDefault="00B1502B" w:rsidP="00B1502B">
      <w:pPr>
        <w:pStyle w:val="Prrafodelista"/>
        <w:rPr>
          <w:rFonts w:ascii="Palatino Linotype" w:eastAsia="Times New Roman" w:hAnsi="Palatino Linotype" w:cs="Arial"/>
          <w:lang w:val="es-ES"/>
        </w:rPr>
      </w:pPr>
    </w:p>
    <w:p w14:paraId="695B7CA3"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w:t>
      </w:r>
      <w:r w:rsidRPr="00336566">
        <w:rPr>
          <w:rFonts w:ascii="Palatino Linotype" w:eastAsia="MS Mincho"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336566">
        <w:rPr>
          <w:rFonts w:ascii="Palatino Linotype" w:eastAsia="MS Mincho" w:hAnsi="Palatino Linotype" w:cs="Times New Roman"/>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82CC18" w14:textId="77777777" w:rsidR="00D52ECE" w:rsidRPr="00336566" w:rsidRDefault="00D52ECE" w:rsidP="00B1502B">
      <w:pPr>
        <w:pStyle w:val="Prrafodelista"/>
        <w:spacing w:before="240" w:after="240" w:line="360" w:lineRule="auto"/>
        <w:ind w:left="567" w:right="567"/>
        <w:jc w:val="both"/>
        <w:rPr>
          <w:rFonts w:ascii="Palatino Linotype" w:eastAsia="MS Mincho" w:hAnsi="Palatino Linotype" w:cs="Times New Roman"/>
          <w:i/>
          <w:lang w:val="es-MX"/>
        </w:rPr>
      </w:pPr>
    </w:p>
    <w:p w14:paraId="75C97AC3"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Expedientes:</w:t>
      </w:r>
    </w:p>
    <w:p w14:paraId="4D778D37"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2440/07 Comisión Federal de Electricidad - Alonso Lujambio Irazábal</w:t>
      </w:r>
    </w:p>
    <w:p w14:paraId="7E7152EA"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0113/09 Instituto de Seguridad y Servicios Sociales de los Trabajadores del Estado – Alonso Lujambio Irazábal</w:t>
      </w:r>
    </w:p>
    <w:p w14:paraId="5C86D657"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lastRenderedPageBreak/>
        <w:t xml:space="preserve">1624/09 Instituto Nacional para la Educación de los Adultos - María </w:t>
      </w:r>
      <w:proofErr w:type="spellStart"/>
      <w:r w:rsidRPr="00336566">
        <w:rPr>
          <w:rFonts w:ascii="Palatino Linotype" w:eastAsia="MS Mincho" w:hAnsi="Palatino Linotype" w:cs="Times New Roman"/>
          <w:i/>
          <w:lang w:val="es-MX"/>
        </w:rPr>
        <w:t>Marván</w:t>
      </w:r>
      <w:proofErr w:type="spellEnd"/>
      <w:r w:rsidRPr="00336566">
        <w:rPr>
          <w:rFonts w:ascii="Palatino Linotype" w:eastAsia="MS Mincho" w:hAnsi="Palatino Linotype" w:cs="Times New Roman"/>
          <w:i/>
          <w:lang w:val="es-MX"/>
        </w:rPr>
        <w:t xml:space="preserve"> Laborde</w:t>
      </w:r>
    </w:p>
    <w:p w14:paraId="3BD9A0D8"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 xml:space="preserve">2395/09 Secretaría de Economía - María </w:t>
      </w:r>
      <w:proofErr w:type="spellStart"/>
      <w:r w:rsidRPr="00336566">
        <w:rPr>
          <w:rFonts w:ascii="Palatino Linotype" w:eastAsia="MS Mincho" w:hAnsi="Palatino Linotype" w:cs="Times New Roman"/>
          <w:i/>
          <w:lang w:val="es-MX"/>
        </w:rPr>
        <w:t>Marván</w:t>
      </w:r>
      <w:proofErr w:type="spellEnd"/>
      <w:r w:rsidRPr="00336566">
        <w:rPr>
          <w:rFonts w:ascii="Palatino Linotype" w:eastAsia="MS Mincho" w:hAnsi="Palatino Linotype" w:cs="Times New Roman"/>
          <w:i/>
          <w:lang w:val="es-MX"/>
        </w:rPr>
        <w:t xml:space="preserve"> Laborde</w:t>
      </w:r>
    </w:p>
    <w:p w14:paraId="26FC651F" w14:textId="77777777" w:rsidR="00B1502B" w:rsidRPr="00336566" w:rsidRDefault="00B1502B" w:rsidP="00B1502B">
      <w:pPr>
        <w:pStyle w:val="Prrafodelista"/>
        <w:spacing w:before="240" w:after="240" w:line="360" w:lineRule="auto"/>
        <w:ind w:left="567" w:right="567"/>
        <w:jc w:val="both"/>
        <w:rPr>
          <w:rFonts w:ascii="Palatino Linotype" w:eastAsia="MS Mincho" w:hAnsi="Palatino Linotype" w:cs="Times New Roman"/>
          <w:i/>
          <w:lang w:val="es-MX"/>
        </w:rPr>
      </w:pPr>
      <w:r w:rsidRPr="00336566">
        <w:rPr>
          <w:rFonts w:ascii="Palatino Linotype" w:eastAsia="MS Mincho" w:hAnsi="Palatino Linotype" w:cs="Times New Roman"/>
          <w:i/>
          <w:lang w:val="es-MX"/>
        </w:rPr>
        <w:t xml:space="preserve">0837/10 Administración Portuaria Integral de Veracruz, S.A. de C.V. – María </w:t>
      </w:r>
      <w:proofErr w:type="spellStart"/>
      <w:r w:rsidRPr="00336566">
        <w:rPr>
          <w:rFonts w:ascii="Palatino Linotype" w:eastAsia="MS Mincho" w:hAnsi="Palatino Linotype" w:cs="Times New Roman"/>
          <w:i/>
          <w:lang w:val="es-MX"/>
        </w:rPr>
        <w:t>Marván</w:t>
      </w:r>
      <w:proofErr w:type="spellEnd"/>
      <w:r w:rsidRPr="00336566">
        <w:rPr>
          <w:rFonts w:ascii="Palatino Linotype" w:eastAsia="MS Mincho" w:hAnsi="Palatino Linotype" w:cs="Times New Roman"/>
          <w:i/>
          <w:lang w:val="es-MX"/>
        </w:rPr>
        <w:t xml:space="preserve"> Laborde”</w:t>
      </w:r>
    </w:p>
    <w:p w14:paraId="264F95CC" w14:textId="130B13B3" w:rsidR="00B1502B" w:rsidRPr="00336566" w:rsidRDefault="00B1502B" w:rsidP="00B1502B">
      <w:pPr>
        <w:pStyle w:val="Prrafodelista"/>
        <w:spacing w:before="240" w:after="240" w:line="360" w:lineRule="auto"/>
        <w:ind w:left="0"/>
        <w:jc w:val="both"/>
        <w:rPr>
          <w:rFonts w:ascii="Palatino Linotype" w:eastAsia="Times New Roman" w:hAnsi="Palatino Linotype" w:cs="Arial"/>
          <w:b/>
          <w:lang w:val="es-ES"/>
        </w:rPr>
      </w:pPr>
    </w:p>
    <w:p w14:paraId="56672684" w14:textId="7D30B20B" w:rsidR="00B94DFC" w:rsidRPr="00336566" w:rsidRDefault="00047CD2" w:rsidP="002E1FDF">
      <w:pPr>
        <w:pStyle w:val="Prrafodelista"/>
        <w:numPr>
          <w:ilvl w:val="0"/>
          <w:numId w:val="1"/>
        </w:numPr>
        <w:spacing w:before="240" w:after="240" w:line="360" w:lineRule="auto"/>
        <w:ind w:left="0" w:firstLine="0"/>
        <w:jc w:val="both"/>
        <w:rPr>
          <w:rFonts w:ascii="Palatino Linotype" w:eastAsia="Times New Roman" w:hAnsi="Palatino Linotype" w:cs="Times New Roman"/>
          <w:lang w:val="es-MX" w:eastAsia="es-MX"/>
        </w:rPr>
      </w:pPr>
      <w:r w:rsidRPr="00336566">
        <w:rPr>
          <w:rFonts w:ascii="Palatino Linotype" w:eastAsia="Times New Roman" w:hAnsi="Palatino Linotype" w:cs="Arial"/>
          <w:lang w:val="es-ES"/>
        </w:rPr>
        <w:t>Así</w:t>
      </w:r>
      <w:r w:rsidR="00FA1C3F" w:rsidRPr="00336566">
        <w:rPr>
          <w:rFonts w:ascii="Palatino Linotype" w:eastAsia="Times New Roman" w:hAnsi="Palatino Linotype" w:cs="Arial"/>
          <w:lang w:val="es-ES"/>
        </w:rPr>
        <w:t xml:space="preserve"> las cosas</w:t>
      </w:r>
      <w:r w:rsidRPr="00336566">
        <w:rPr>
          <w:rFonts w:ascii="Palatino Linotype" w:eastAsia="Times New Roman" w:hAnsi="Palatino Linotype" w:cs="Arial"/>
          <w:lang w:val="es-ES"/>
        </w:rPr>
        <w:t xml:space="preserve">, </w:t>
      </w:r>
      <w:r w:rsidR="002E1FDF" w:rsidRPr="00336566">
        <w:rPr>
          <w:rFonts w:ascii="Palatino Linotype" w:eastAsia="Times New Roman" w:hAnsi="Palatino Linotype" w:cs="Times New Roman"/>
          <w:lang w:val="es-MX" w:eastAsia="es-MX"/>
        </w:rPr>
        <w:t>la Ley de Transparencia vig</w:t>
      </w:r>
      <w:r w:rsidR="00331A21" w:rsidRPr="00336566">
        <w:rPr>
          <w:rFonts w:ascii="Palatino Linotype" w:eastAsia="Times New Roman" w:hAnsi="Palatino Linotype" w:cs="Times New Roman"/>
          <w:lang w:val="es-MX" w:eastAsia="es-MX"/>
        </w:rPr>
        <w:t xml:space="preserve">ente en la entidad, establece </w:t>
      </w:r>
      <w:r w:rsidR="002E1FDF" w:rsidRPr="00336566">
        <w:rPr>
          <w:rFonts w:ascii="Palatino Linotype" w:eastAsia="Times New Roman" w:hAnsi="Palatino Linotype" w:cs="Times New Roman"/>
          <w:lang w:val="es-MX" w:eastAsia="es-MX"/>
        </w:rPr>
        <w:t xml:space="preserve">que la información pública es toda aquella que sea generada, obtenida, adquirida, transformada, administrada o en posesión de los </w:t>
      </w:r>
      <w:r w:rsidR="002E1FDF" w:rsidRPr="00336566">
        <w:rPr>
          <w:rFonts w:ascii="Palatino Linotype" w:eastAsia="Times New Roman" w:hAnsi="Palatino Linotype" w:cs="Times New Roman"/>
          <w:b/>
          <w:lang w:val="es-MX" w:eastAsia="es-MX"/>
        </w:rPr>
        <w:t>SUJETOS OBLIGADOS</w:t>
      </w:r>
      <w:r w:rsidR="002E1FDF" w:rsidRPr="00336566">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502B5B23" w14:textId="77777777" w:rsidR="00D52ECE" w:rsidRPr="00336566" w:rsidRDefault="00D52ECE" w:rsidP="00D52ECE">
      <w:pPr>
        <w:pStyle w:val="Prrafodelista"/>
        <w:spacing w:before="240" w:after="240" w:line="360" w:lineRule="auto"/>
        <w:ind w:left="0"/>
        <w:jc w:val="both"/>
        <w:rPr>
          <w:rFonts w:ascii="Palatino Linotype" w:eastAsia="Times New Roman" w:hAnsi="Palatino Linotype" w:cs="Times New Roman"/>
          <w:lang w:val="es-MX" w:eastAsia="es-MX"/>
        </w:rPr>
      </w:pPr>
    </w:p>
    <w:p w14:paraId="3CB75A09" w14:textId="77777777" w:rsidR="002E1FDF" w:rsidRPr="00336566" w:rsidRDefault="002E1FDF" w:rsidP="00B94DFC">
      <w:pPr>
        <w:spacing w:line="360" w:lineRule="auto"/>
        <w:ind w:left="567" w:right="567"/>
        <w:jc w:val="both"/>
        <w:rPr>
          <w:rFonts w:ascii="Palatino Linotype" w:eastAsia="Times New Roman" w:hAnsi="Palatino Linotype" w:cs="Times New Roman"/>
          <w:i/>
          <w:sz w:val="22"/>
          <w:szCs w:val="22"/>
          <w:lang w:val="es-ES"/>
        </w:rPr>
      </w:pPr>
      <w:r w:rsidRPr="00336566">
        <w:rPr>
          <w:rFonts w:ascii="Palatino Linotype" w:eastAsia="Times New Roman" w:hAnsi="Palatino Linotype" w:cs="Times New Roman"/>
          <w:i/>
          <w:sz w:val="22"/>
          <w:szCs w:val="22"/>
          <w:lang w:val="es-ES"/>
        </w:rPr>
        <w:t>“</w:t>
      </w:r>
      <w:r w:rsidRPr="00336566">
        <w:rPr>
          <w:rFonts w:ascii="Palatino Linotype" w:eastAsia="Times New Roman" w:hAnsi="Palatino Linotype" w:cs="Times New Roman"/>
          <w:b/>
          <w:i/>
          <w:sz w:val="22"/>
          <w:szCs w:val="22"/>
          <w:lang w:val="es-ES"/>
        </w:rPr>
        <w:t>Artículo 4.</w:t>
      </w:r>
      <w:r w:rsidRPr="00336566">
        <w:rPr>
          <w:rFonts w:ascii="Palatino Linotype" w:eastAsia="Times New Roman" w:hAnsi="Palatino Linotype" w:cs="Times New Roman"/>
          <w:i/>
          <w:sz w:val="22"/>
          <w:szCs w:val="22"/>
          <w:lang w:val="es-ES"/>
        </w:rPr>
        <w:t xml:space="preserve"> (…)</w:t>
      </w:r>
    </w:p>
    <w:p w14:paraId="6105D645" w14:textId="77777777" w:rsidR="002E1FDF" w:rsidRPr="00336566" w:rsidRDefault="002E1FDF" w:rsidP="00B94DFC">
      <w:pPr>
        <w:spacing w:line="360" w:lineRule="auto"/>
        <w:ind w:left="567" w:right="567"/>
        <w:jc w:val="both"/>
        <w:rPr>
          <w:rFonts w:ascii="Palatino Linotype" w:eastAsia="Times New Roman" w:hAnsi="Palatino Linotype" w:cs="Times New Roman"/>
          <w:i/>
          <w:sz w:val="22"/>
          <w:szCs w:val="22"/>
          <w:lang w:val="es-ES"/>
        </w:rPr>
      </w:pPr>
    </w:p>
    <w:p w14:paraId="37FA0E73" w14:textId="77777777" w:rsidR="002E1FDF" w:rsidRPr="00336566" w:rsidRDefault="002E1FDF" w:rsidP="00B94DFC">
      <w:pPr>
        <w:spacing w:line="360" w:lineRule="auto"/>
        <w:ind w:left="567" w:right="567"/>
        <w:jc w:val="both"/>
        <w:rPr>
          <w:rFonts w:ascii="Palatino Linotype" w:eastAsia="Times New Roman" w:hAnsi="Palatino Linotype" w:cs="Times New Roman"/>
          <w:i/>
          <w:sz w:val="22"/>
          <w:szCs w:val="22"/>
          <w:lang w:val="es-ES"/>
        </w:rPr>
      </w:pPr>
      <w:r w:rsidRPr="00336566">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336566">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F093583" w14:textId="77777777" w:rsidR="002E1FDF" w:rsidRPr="00336566" w:rsidRDefault="002E1FDF" w:rsidP="00B94DFC">
      <w:pPr>
        <w:spacing w:line="360" w:lineRule="auto"/>
        <w:ind w:left="567" w:right="567"/>
        <w:jc w:val="both"/>
        <w:rPr>
          <w:rFonts w:ascii="Palatino Linotype" w:eastAsia="Times New Roman" w:hAnsi="Palatino Linotype" w:cs="Times New Roman"/>
          <w:sz w:val="16"/>
          <w:szCs w:val="16"/>
          <w:lang w:val="es-ES"/>
        </w:rPr>
      </w:pPr>
    </w:p>
    <w:p w14:paraId="6F568CFF" w14:textId="77777777" w:rsidR="002E1FDF" w:rsidRPr="00336566" w:rsidRDefault="002E1FDF" w:rsidP="00B94DFC">
      <w:pPr>
        <w:spacing w:line="360" w:lineRule="auto"/>
        <w:ind w:left="567" w:right="567"/>
        <w:jc w:val="both"/>
        <w:rPr>
          <w:rFonts w:ascii="Palatino Linotype" w:eastAsia="Times New Roman" w:hAnsi="Palatino Linotype" w:cs="Times New Roman"/>
          <w:sz w:val="22"/>
          <w:szCs w:val="22"/>
          <w:lang w:val="es-ES"/>
        </w:rPr>
      </w:pPr>
      <w:r w:rsidRPr="00336566">
        <w:rPr>
          <w:rFonts w:ascii="Palatino Linotype" w:eastAsia="Times New Roman" w:hAnsi="Palatino Linotype" w:cs="Times New Roman"/>
          <w:sz w:val="22"/>
          <w:szCs w:val="22"/>
          <w:lang w:val="es-ES"/>
        </w:rPr>
        <w:t>(Énfasis añadido)</w:t>
      </w:r>
    </w:p>
    <w:p w14:paraId="4AFFD4D9" w14:textId="77777777" w:rsidR="007C5872" w:rsidRPr="00336566" w:rsidRDefault="007C5872" w:rsidP="00B94DFC">
      <w:pPr>
        <w:spacing w:line="360" w:lineRule="auto"/>
        <w:ind w:left="567" w:right="567"/>
        <w:jc w:val="both"/>
        <w:rPr>
          <w:rFonts w:ascii="Palatino Linotype" w:eastAsia="Times New Roman" w:hAnsi="Palatino Linotype" w:cs="Times New Roman"/>
          <w:sz w:val="22"/>
          <w:szCs w:val="22"/>
          <w:lang w:val="es-ES"/>
        </w:rPr>
      </w:pPr>
    </w:p>
    <w:p w14:paraId="666C0B7E" w14:textId="0FA862B1" w:rsidR="002E1FDF" w:rsidRPr="00336566" w:rsidRDefault="002E1FDF" w:rsidP="00B94DFC">
      <w:pPr>
        <w:pStyle w:val="Prrafodelista"/>
        <w:numPr>
          <w:ilvl w:val="0"/>
          <w:numId w:val="1"/>
        </w:numPr>
        <w:spacing w:before="100" w:beforeAutospacing="1" w:after="100" w:afterAutospacing="1" w:line="360" w:lineRule="auto"/>
        <w:ind w:left="0" w:firstLine="0"/>
        <w:jc w:val="both"/>
        <w:rPr>
          <w:rFonts w:ascii="Palatino Linotype" w:eastAsia="Times New Roman" w:hAnsi="Palatino Linotype" w:cs="Arial"/>
          <w:lang w:val="es-MX" w:eastAsia="es-MX"/>
        </w:rPr>
      </w:pPr>
      <w:r w:rsidRPr="00336566">
        <w:rPr>
          <w:rFonts w:ascii="Palatino Linotype" w:eastAsia="Times New Roman" w:hAnsi="Palatino Linotype" w:cs="Arial"/>
          <w:lang w:val="es-MX" w:eastAsia="es-MX"/>
        </w:rPr>
        <w:t xml:space="preserve">De ahí que el </w:t>
      </w:r>
      <w:r w:rsidRPr="00336566">
        <w:rPr>
          <w:rFonts w:ascii="Palatino Linotype" w:eastAsia="Times New Roman" w:hAnsi="Palatino Linotype" w:cs="Arial"/>
          <w:b/>
          <w:lang w:val="es-MX" w:eastAsia="es-MX"/>
        </w:rPr>
        <w:t>SUJETO OBLIGADO</w:t>
      </w:r>
      <w:r w:rsidRPr="00336566">
        <w:rPr>
          <w:rFonts w:ascii="Palatino Linotype" w:eastAsia="Times New Roman"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336566">
        <w:rPr>
          <w:vertAlign w:val="superscript"/>
          <w:lang w:val="es-MX" w:eastAsia="es-MX"/>
        </w:rPr>
        <w:footnoteReference w:id="1"/>
      </w:r>
      <w:r w:rsidRPr="00336566">
        <w:rPr>
          <w:rFonts w:ascii="Palatino Linotype" w:eastAsia="Times New Roman" w:hAnsi="Palatino Linotype" w:cs="Arial"/>
          <w:lang w:val="es-MX" w:eastAsia="es-MX"/>
        </w:rPr>
        <w:t>,  más aún si la misma se trata de información pública generada en el ejercicio de sus facultades, atribuciones y responsabilidades señaladas por la Ley en la materia.</w:t>
      </w:r>
    </w:p>
    <w:p w14:paraId="43B50CB3" w14:textId="77777777" w:rsidR="00B94DFC" w:rsidRPr="00336566" w:rsidRDefault="00B94DFC" w:rsidP="00B94DFC">
      <w:pPr>
        <w:pStyle w:val="Prrafodelista"/>
        <w:spacing w:before="100" w:beforeAutospacing="1" w:after="100" w:afterAutospacing="1" w:line="360" w:lineRule="auto"/>
        <w:ind w:left="0"/>
        <w:jc w:val="both"/>
        <w:rPr>
          <w:rFonts w:ascii="Palatino Linotype" w:eastAsia="Times New Roman" w:hAnsi="Palatino Linotype" w:cs="Arial"/>
          <w:lang w:val="es-MX" w:eastAsia="es-MX"/>
        </w:rPr>
      </w:pPr>
    </w:p>
    <w:p w14:paraId="5A01E086" w14:textId="7B446FD2" w:rsidR="002E1FDF" w:rsidRPr="00336566" w:rsidRDefault="002E1FDF" w:rsidP="00B94DFC">
      <w:pPr>
        <w:pStyle w:val="Prrafodelista"/>
        <w:numPr>
          <w:ilvl w:val="0"/>
          <w:numId w:val="1"/>
        </w:numPr>
        <w:spacing w:line="360" w:lineRule="auto"/>
        <w:ind w:left="0" w:right="49" w:firstLine="0"/>
        <w:jc w:val="both"/>
        <w:rPr>
          <w:rFonts w:ascii="Palatino Linotype" w:eastAsia="Times New Roman" w:hAnsi="Palatino Linotype" w:cs="Times New Roman"/>
          <w:lang w:val="es-ES"/>
        </w:rPr>
      </w:pPr>
      <w:r w:rsidRPr="00336566">
        <w:rPr>
          <w:rFonts w:ascii="Palatino Linotype" w:eastAsia="Calibri" w:hAnsi="Palatino Linotype" w:cs="Arial"/>
          <w:lang w:val="es-ES"/>
        </w:rPr>
        <w:t xml:space="preserve">Por lo que en el caso concreto, conforme a </w:t>
      </w:r>
      <w:r w:rsidR="000660E0" w:rsidRPr="00336566">
        <w:rPr>
          <w:rFonts w:ascii="Palatino Linotype" w:eastAsia="Times New Roman" w:hAnsi="Palatino Linotype" w:cs="Times New Roman"/>
          <w:lang w:val="es-ES"/>
        </w:rPr>
        <w:t xml:space="preserve">lo dispuesto en las </w:t>
      </w:r>
      <w:r w:rsidR="00D52ECE" w:rsidRPr="00336566">
        <w:rPr>
          <w:rFonts w:ascii="Palatino Linotype" w:eastAsia="Times New Roman" w:hAnsi="Palatino Linotype" w:cs="Times New Roman"/>
          <w:lang w:val="es-ES"/>
        </w:rPr>
        <w:t>fracción</w:t>
      </w:r>
      <w:r w:rsidRPr="00336566">
        <w:rPr>
          <w:rFonts w:ascii="Palatino Linotype" w:eastAsia="Times New Roman" w:hAnsi="Palatino Linotype" w:cs="Times New Roman"/>
          <w:lang w:val="es-ES"/>
        </w:rPr>
        <w:t xml:space="preserve">  </w:t>
      </w:r>
      <w:r w:rsidR="000660E0" w:rsidRPr="00336566">
        <w:rPr>
          <w:rFonts w:ascii="Palatino Linotype" w:eastAsia="Times New Roman" w:hAnsi="Palatino Linotype" w:cs="Times New Roman"/>
          <w:lang w:val="es-ES"/>
        </w:rPr>
        <w:t xml:space="preserve">XXXII </w:t>
      </w:r>
      <w:r w:rsidRPr="00336566">
        <w:rPr>
          <w:rFonts w:ascii="Palatino Linotype" w:eastAsia="Times New Roman" w:hAnsi="Palatino Linotype" w:cs="Times New Roman"/>
          <w:lang w:val="es-ES"/>
        </w:rPr>
        <w:t xml:space="preserve">del artículo 92 de la Ley de Transparencia y Acceso a la Información Pública de la entidad, la información peticionada constituye una obligación en materia de transparencia a cargo del </w:t>
      </w:r>
      <w:r w:rsidRPr="00336566">
        <w:rPr>
          <w:rFonts w:ascii="Palatino Linotype" w:eastAsia="Times New Roman" w:hAnsi="Palatino Linotype" w:cs="Times New Roman"/>
          <w:b/>
          <w:lang w:val="es-ES"/>
        </w:rPr>
        <w:t>SUJETO OBLIGADO</w:t>
      </w:r>
      <w:r w:rsidRPr="00336566">
        <w:rPr>
          <w:rFonts w:ascii="Palatino Linotype" w:eastAsia="Times New Roman" w:hAnsi="Palatino Linotype" w:cs="Times New Roman"/>
          <w:lang w:val="es-ES"/>
        </w:rPr>
        <w:t xml:space="preserve">, quien tiene el deber de generar y publicar lo siguiente:  </w:t>
      </w:r>
    </w:p>
    <w:p w14:paraId="6233FB0E" w14:textId="77777777" w:rsidR="007C5872" w:rsidRPr="00336566" w:rsidRDefault="007C5872" w:rsidP="007C5872">
      <w:pPr>
        <w:pStyle w:val="Prrafodelista"/>
        <w:rPr>
          <w:rFonts w:ascii="Palatino Linotype" w:eastAsia="Times New Roman" w:hAnsi="Palatino Linotype" w:cs="Times New Roman"/>
          <w:lang w:val="es-ES"/>
        </w:rPr>
      </w:pPr>
    </w:p>
    <w:p w14:paraId="4E0CF586" w14:textId="77777777" w:rsidR="007C5872" w:rsidRPr="00336566" w:rsidRDefault="007C5872" w:rsidP="007C5872">
      <w:pPr>
        <w:pStyle w:val="Prrafodelista"/>
        <w:spacing w:line="360" w:lineRule="auto"/>
        <w:ind w:left="0" w:right="49"/>
        <w:jc w:val="both"/>
        <w:rPr>
          <w:rFonts w:ascii="Palatino Linotype" w:eastAsia="Times New Roman" w:hAnsi="Palatino Linotype" w:cs="Times New Roman"/>
          <w:lang w:val="es-ES"/>
        </w:rPr>
      </w:pPr>
    </w:p>
    <w:p w14:paraId="205EDE23" w14:textId="6B2E297E" w:rsidR="00B94DFC" w:rsidRPr="00336566" w:rsidRDefault="007C5872" w:rsidP="007C5872">
      <w:pPr>
        <w:pStyle w:val="Prrafodelista"/>
        <w:spacing w:line="360" w:lineRule="auto"/>
        <w:ind w:left="567" w:right="567"/>
        <w:jc w:val="both"/>
        <w:rPr>
          <w:rFonts w:ascii="Palatino Linotype" w:eastAsia="Times New Roman" w:hAnsi="Palatino Linotype" w:cs="Times New Roman"/>
          <w:i/>
        </w:rPr>
      </w:pPr>
      <w:r w:rsidRPr="00336566">
        <w:rPr>
          <w:rFonts w:ascii="Palatino Linotype" w:eastAsia="Times New Roman" w:hAnsi="Palatino Linotype" w:cs="Times New Roman"/>
          <w:b/>
          <w:i/>
        </w:rPr>
        <w:t>Artículo 92.</w:t>
      </w:r>
      <w:r w:rsidRPr="00336566">
        <w:rPr>
          <w:rFonts w:ascii="Palatino Linotype" w:eastAsia="Times New Roman"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9F4E5E" w14:textId="77777777" w:rsidR="007C5872" w:rsidRPr="00336566" w:rsidRDefault="007C5872" w:rsidP="007C5872">
      <w:pPr>
        <w:spacing w:line="360" w:lineRule="auto"/>
        <w:ind w:right="567"/>
        <w:jc w:val="both"/>
        <w:rPr>
          <w:rFonts w:ascii="Palatino Linotype" w:eastAsia="Times New Roman" w:hAnsi="Palatino Linotype" w:cs="Times New Roman"/>
          <w:i/>
        </w:rPr>
      </w:pPr>
    </w:p>
    <w:p w14:paraId="3A6A4F40" w14:textId="645E1ECA" w:rsidR="007C5872" w:rsidRPr="00336566" w:rsidRDefault="007C5872" w:rsidP="00DC4E2D">
      <w:pPr>
        <w:pStyle w:val="Prrafodelista"/>
        <w:spacing w:line="360" w:lineRule="auto"/>
        <w:ind w:left="567" w:right="567"/>
        <w:jc w:val="both"/>
        <w:rPr>
          <w:rFonts w:ascii="Palatino Linotype" w:eastAsia="Times New Roman" w:hAnsi="Palatino Linotype" w:cs="Times New Roman"/>
          <w:i/>
          <w:lang w:val="es-ES"/>
        </w:rPr>
      </w:pPr>
      <w:r w:rsidRPr="00336566">
        <w:rPr>
          <w:rFonts w:ascii="Palatino Linotype" w:eastAsia="Times New Roman" w:hAnsi="Palatino Linotype" w:cs="Times New Roman"/>
          <w:i/>
          <w:lang w:val="es-ES"/>
        </w:rPr>
        <w:t>(…)</w:t>
      </w:r>
    </w:p>
    <w:p w14:paraId="718B7E52" w14:textId="54713DAD" w:rsidR="007C5872" w:rsidRPr="00336566" w:rsidRDefault="007C5872" w:rsidP="00DC4E2D">
      <w:pPr>
        <w:pStyle w:val="Prrafodelista"/>
        <w:spacing w:line="360" w:lineRule="auto"/>
        <w:ind w:left="567" w:right="567"/>
        <w:jc w:val="both"/>
        <w:rPr>
          <w:rFonts w:ascii="Palatino Linotype" w:eastAsia="Times New Roman" w:hAnsi="Palatino Linotype" w:cs="Times New Roman"/>
          <w:i/>
        </w:rPr>
      </w:pPr>
      <w:r w:rsidRPr="00336566">
        <w:rPr>
          <w:rFonts w:ascii="Palatino Linotype" w:eastAsia="Times New Roman" w:hAnsi="Palatino Linotype" w:cs="Times New Roman"/>
          <w:b/>
          <w:i/>
        </w:rPr>
        <w:t>XXXII.</w:t>
      </w:r>
      <w:r w:rsidRPr="00336566">
        <w:rPr>
          <w:rFonts w:ascii="Palatino Linotype" w:eastAsia="Times New Roman" w:hAnsi="Palatino Linotype" w:cs="Times New Roman"/>
          <w:i/>
        </w:rPr>
        <w:t xml:space="preserve"> Las concesiones, contratos, convenios, permisos, </w:t>
      </w:r>
      <w:r w:rsidRPr="00336566">
        <w:rPr>
          <w:rFonts w:ascii="Palatino Linotype" w:eastAsia="Times New Roman" w:hAnsi="Palatino Linotype" w:cs="Times New Roman"/>
          <w:b/>
          <w:i/>
        </w:rPr>
        <w:t>licencias o autorizaciones otorgados</w:t>
      </w:r>
      <w:r w:rsidRPr="00336566">
        <w:rPr>
          <w:rFonts w:ascii="Palatino Linotype" w:eastAsia="Times New Roman" w:hAnsi="Palatino Linotype" w:cs="Times New Roman"/>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F79FBB0" w14:textId="29E69212" w:rsidR="007C5872" w:rsidRPr="00336566" w:rsidRDefault="007C5872" w:rsidP="007C5872">
      <w:pPr>
        <w:pStyle w:val="Prrafodelista"/>
        <w:spacing w:line="360" w:lineRule="auto"/>
        <w:ind w:left="567" w:right="567"/>
        <w:jc w:val="both"/>
        <w:rPr>
          <w:rFonts w:ascii="Palatino Linotype" w:eastAsia="Times New Roman" w:hAnsi="Palatino Linotype" w:cs="Times New Roman"/>
          <w:i/>
        </w:rPr>
      </w:pPr>
      <w:r w:rsidRPr="00336566">
        <w:rPr>
          <w:rFonts w:ascii="Palatino Linotype" w:eastAsia="Times New Roman" w:hAnsi="Palatino Linotype" w:cs="Times New Roman"/>
          <w:i/>
        </w:rPr>
        <w:t>(…)</w:t>
      </w:r>
    </w:p>
    <w:p w14:paraId="03A779FF" w14:textId="77777777" w:rsidR="007C5872" w:rsidRPr="00336566" w:rsidRDefault="007C5872" w:rsidP="007C5872">
      <w:pPr>
        <w:pStyle w:val="Prrafodelista"/>
        <w:spacing w:line="360" w:lineRule="auto"/>
        <w:ind w:left="567" w:right="567"/>
        <w:jc w:val="both"/>
        <w:rPr>
          <w:rFonts w:ascii="Palatino Linotype" w:eastAsia="Times New Roman" w:hAnsi="Palatino Linotype" w:cs="Times New Roman"/>
          <w:i/>
        </w:rPr>
      </w:pPr>
    </w:p>
    <w:p w14:paraId="559F0485" w14:textId="45E52085" w:rsidR="00DC4E2D" w:rsidRPr="00336566" w:rsidRDefault="007C5872" w:rsidP="00DC4E2D">
      <w:pPr>
        <w:pStyle w:val="Prrafodelista"/>
        <w:spacing w:line="360" w:lineRule="auto"/>
        <w:ind w:left="567" w:right="567"/>
        <w:jc w:val="both"/>
        <w:rPr>
          <w:rFonts w:ascii="Palatino Linotype" w:eastAsia="Times New Roman" w:hAnsi="Palatino Linotype" w:cs="Times New Roman"/>
          <w:i/>
        </w:rPr>
      </w:pPr>
      <w:r w:rsidRPr="00336566">
        <w:rPr>
          <w:rFonts w:ascii="Palatino Linotype" w:eastAsia="Times New Roman" w:hAnsi="Palatino Linotype" w:cs="Times New Roman"/>
          <w:i/>
        </w:rPr>
        <w:t xml:space="preserve">(Énfasis añadido) </w:t>
      </w:r>
    </w:p>
    <w:p w14:paraId="13B4F670" w14:textId="77777777" w:rsidR="00B94DFC" w:rsidRPr="00336566" w:rsidRDefault="00B94DFC" w:rsidP="00B94DFC">
      <w:pPr>
        <w:pStyle w:val="Prrafodelista"/>
        <w:spacing w:line="360" w:lineRule="auto"/>
        <w:ind w:left="0" w:right="49"/>
        <w:jc w:val="both"/>
        <w:rPr>
          <w:rFonts w:ascii="Palatino Linotype" w:eastAsia="Times New Roman" w:hAnsi="Palatino Linotype" w:cs="Times New Roman"/>
          <w:lang w:val="es-ES"/>
        </w:rPr>
      </w:pPr>
    </w:p>
    <w:p w14:paraId="41C061A3" w14:textId="68389092" w:rsidR="00703672" w:rsidRPr="00336566" w:rsidRDefault="00EA45AB" w:rsidP="00F85279">
      <w:pPr>
        <w:pStyle w:val="Prrafodelista"/>
        <w:numPr>
          <w:ilvl w:val="0"/>
          <w:numId w:val="1"/>
        </w:numPr>
        <w:spacing w:line="360" w:lineRule="auto"/>
        <w:ind w:left="0" w:right="49" w:firstLine="0"/>
        <w:jc w:val="both"/>
        <w:rPr>
          <w:rFonts w:ascii="Palatino Linotype" w:hAnsi="Palatino Linotype"/>
        </w:rPr>
      </w:pPr>
      <w:r w:rsidRPr="00336566">
        <w:rPr>
          <w:rFonts w:ascii="Palatino Linotype" w:eastAsia="Times New Roman" w:hAnsi="Palatino Linotype" w:cs="Times New Roman"/>
          <w:lang w:val="es-ES"/>
        </w:rPr>
        <w:t xml:space="preserve">Así, una vez establecido lo anterior, </w:t>
      </w:r>
      <w:r w:rsidR="00703672" w:rsidRPr="00336566">
        <w:rPr>
          <w:rFonts w:ascii="Palatino Linotype" w:eastAsia="Times New Roman" w:hAnsi="Palatino Linotype" w:cs="Times New Roman"/>
          <w:lang w:val="es-ES"/>
        </w:rPr>
        <w:t xml:space="preserve">para </w:t>
      </w:r>
      <w:r w:rsidRPr="00336566">
        <w:rPr>
          <w:rFonts w:ascii="Palatino Linotype" w:eastAsia="Times New Roman" w:hAnsi="Palatino Linotype" w:cs="Times New Roman"/>
          <w:lang w:val="es-ES"/>
        </w:rPr>
        <w:t xml:space="preserve"> este órgano garante</w:t>
      </w:r>
      <w:r w:rsidR="00703672" w:rsidRPr="00336566">
        <w:rPr>
          <w:rFonts w:ascii="Palatino Linotype" w:eastAsia="Times New Roman" w:hAnsi="Palatino Linotype" w:cs="Times New Roman"/>
          <w:lang w:val="es-ES"/>
        </w:rPr>
        <w:t xml:space="preserve"> no pasa inadvertido que  la ahora recurrente se inconforma dentro del recurso de revisión</w:t>
      </w:r>
      <w:r w:rsidR="00F85279" w:rsidRPr="00336566">
        <w:rPr>
          <w:rFonts w:ascii="Palatino Linotype" w:eastAsia="Times New Roman" w:hAnsi="Palatino Linotype" w:cs="Times New Roman"/>
          <w:lang w:val="es-ES"/>
        </w:rPr>
        <w:t xml:space="preserve"> materia de esta resolución por la </w:t>
      </w:r>
      <w:r w:rsidR="00703672" w:rsidRPr="00336566">
        <w:rPr>
          <w:rFonts w:ascii="Palatino Linotype" w:eastAsia="Times New Roman" w:hAnsi="Palatino Linotype" w:cs="Times New Roman"/>
          <w:lang w:val="es-ES"/>
        </w:rPr>
        <w:t>clasificación</w:t>
      </w:r>
      <w:r w:rsidR="00D52ECE" w:rsidRPr="00336566">
        <w:rPr>
          <w:rFonts w:ascii="Palatino Linotype" w:eastAsia="Times New Roman" w:hAnsi="Palatino Linotype" w:cs="Times New Roman"/>
          <w:lang w:val="es-ES"/>
        </w:rPr>
        <w:t xml:space="preserve"> de la información solicitada </w:t>
      </w:r>
      <w:r w:rsidR="00703672" w:rsidRPr="00336566">
        <w:rPr>
          <w:rFonts w:ascii="Palatino Linotype" w:eastAsia="Times New Roman" w:hAnsi="Palatino Linotype" w:cs="Times New Roman"/>
          <w:lang w:val="es-ES"/>
        </w:rPr>
        <w:t xml:space="preserve"> que el </w:t>
      </w:r>
      <w:r w:rsidR="00703672" w:rsidRPr="00336566">
        <w:rPr>
          <w:rFonts w:ascii="Palatino Linotype" w:eastAsia="Times New Roman" w:hAnsi="Palatino Linotype" w:cs="Times New Roman"/>
          <w:b/>
          <w:lang w:val="es-ES"/>
        </w:rPr>
        <w:t xml:space="preserve">SUJETO OBLIGADO </w:t>
      </w:r>
      <w:r w:rsidR="006B3BF5" w:rsidRPr="00336566">
        <w:rPr>
          <w:rFonts w:ascii="Palatino Linotype" w:eastAsia="Times New Roman" w:hAnsi="Palatino Linotype" w:cs="Times New Roman"/>
          <w:lang w:val="es-ES"/>
        </w:rPr>
        <w:t>propone</w:t>
      </w:r>
      <w:r w:rsidR="00703672" w:rsidRPr="00336566">
        <w:rPr>
          <w:rFonts w:ascii="Palatino Linotype" w:eastAsia="Times New Roman" w:hAnsi="Palatino Linotype" w:cs="Times New Roman"/>
          <w:lang w:val="es-ES"/>
        </w:rPr>
        <w:t xml:space="preserve">, </w:t>
      </w:r>
      <w:r w:rsidR="000E1E25" w:rsidRPr="00336566">
        <w:rPr>
          <w:rFonts w:ascii="Palatino Linotype" w:eastAsia="Times New Roman" w:hAnsi="Palatino Linotype" w:cs="Times New Roman"/>
          <w:lang w:val="es-ES"/>
        </w:rPr>
        <w:t xml:space="preserve">por lo que resulta dable </w:t>
      </w:r>
      <w:r w:rsidR="00045391" w:rsidRPr="00336566">
        <w:rPr>
          <w:rFonts w:ascii="Palatino Linotype" w:eastAsia="Times New Roman" w:hAnsi="Palatino Linotype" w:cs="Times New Roman"/>
          <w:lang w:val="es-ES"/>
        </w:rPr>
        <w:t xml:space="preserve">establecer </w:t>
      </w:r>
      <w:r w:rsidR="00F85279" w:rsidRPr="00336566">
        <w:rPr>
          <w:rFonts w:ascii="Palatino Linotype" w:eastAsia="Times New Roman" w:hAnsi="Palatino Linotype" w:cs="Times New Roman"/>
          <w:lang w:val="es-ES"/>
        </w:rPr>
        <w:t xml:space="preserve">que el segundo párrafo del artículo 16 de la Constitución Política de los Estados Unidos Mexicanos, refiere que </w:t>
      </w:r>
      <w:r w:rsidR="00F85279" w:rsidRPr="00336566">
        <w:rPr>
          <w:rFonts w:ascii="Palatino Linotype" w:eastAsia="Times New Roman" w:hAnsi="Palatino Linotype" w:cs="Times New Roman"/>
          <w:i/>
          <w:lang w:val="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00F85279" w:rsidRPr="00336566">
        <w:rPr>
          <w:rFonts w:ascii="Palatino Linotype" w:eastAsia="Times New Roman" w:hAnsi="Palatino Linotype" w:cs="Times New Roman"/>
          <w:lang w:val="es-ES"/>
        </w:rPr>
        <w:t xml:space="preserve"> .</w:t>
      </w:r>
    </w:p>
    <w:p w14:paraId="1619D7FC" w14:textId="77777777" w:rsidR="00F85279" w:rsidRPr="00336566" w:rsidRDefault="00F85279" w:rsidP="00F85279">
      <w:pPr>
        <w:pStyle w:val="Prrafodelista"/>
        <w:spacing w:line="360" w:lineRule="auto"/>
        <w:ind w:left="0" w:right="49"/>
        <w:jc w:val="both"/>
        <w:rPr>
          <w:rFonts w:ascii="Palatino Linotype" w:hAnsi="Palatino Linotype"/>
        </w:rPr>
      </w:pPr>
    </w:p>
    <w:p w14:paraId="1DFBC62A" w14:textId="6F1E2079" w:rsidR="00703672" w:rsidRPr="00336566" w:rsidRDefault="00F85279" w:rsidP="00F85279">
      <w:pPr>
        <w:pStyle w:val="Prrafodelista"/>
        <w:numPr>
          <w:ilvl w:val="0"/>
          <w:numId w:val="1"/>
        </w:numPr>
        <w:spacing w:line="360" w:lineRule="auto"/>
        <w:ind w:left="0" w:right="49" w:firstLine="0"/>
        <w:jc w:val="both"/>
        <w:rPr>
          <w:rFonts w:ascii="Palatino Linotype" w:hAnsi="Palatino Linotype"/>
        </w:rPr>
      </w:pPr>
      <w:r w:rsidRPr="00336566">
        <w:rPr>
          <w:rFonts w:ascii="Palatino Linotype" w:eastAsia="Times New Roman" w:hAnsi="Palatino Linotype" w:cs="Times New Roman"/>
          <w:lang w:val="es-ES"/>
        </w:rPr>
        <w:t xml:space="preserve">Así se tiene que la información en posesión </w:t>
      </w:r>
      <w:r w:rsidR="000D63C5" w:rsidRPr="00336566">
        <w:rPr>
          <w:rFonts w:ascii="Palatino Linotype" w:eastAsia="Times New Roman" w:hAnsi="Palatino Linotype" w:cs="Times New Roman"/>
          <w:lang w:val="es-ES"/>
        </w:rPr>
        <w:t xml:space="preserve">de cualquier autoridad, entidad, órgano y organismo de los Poderes ejecutivo, Legislativo y Judicial, así como de </w:t>
      </w:r>
      <w:r w:rsidR="000D63C5" w:rsidRPr="00336566">
        <w:rPr>
          <w:rFonts w:ascii="Palatino Linotype" w:eastAsia="Times New Roman" w:hAnsi="Palatino Linotype" w:cs="Times New Roman"/>
          <w:lang w:val="es-ES"/>
        </w:rPr>
        <w:lastRenderedPageBreak/>
        <w:t xml:space="preserve">cualquier persona física, moral o sindicato que reciba y ejerza recursos públicos o realice actos de autoridad en el ámbito federal, estatal o municipal, es pública y solo podrá ser reservada temporalmente </w:t>
      </w:r>
      <w:r w:rsidR="00077450" w:rsidRPr="00336566">
        <w:rPr>
          <w:rFonts w:ascii="Palatino Linotype" w:hAnsi="Palatino Linotype"/>
        </w:rPr>
        <w:t xml:space="preserve">por razones de interés público y seguridad nacional, en los términos que fijen las leyes. Por tanto, se puede colegir que la información que posee el </w:t>
      </w:r>
      <w:r w:rsidR="00077450" w:rsidRPr="00336566">
        <w:rPr>
          <w:rFonts w:ascii="Palatino Linotype" w:hAnsi="Palatino Linotype"/>
          <w:b/>
        </w:rPr>
        <w:t xml:space="preserve">SUJETO OBLIGADO, </w:t>
      </w:r>
      <w:r w:rsidR="00077450" w:rsidRPr="00336566">
        <w:rPr>
          <w:rFonts w:ascii="Palatino Linotype" w:hAnsi="Palatino Linotype"/>
        </w:rPr>
        <w:t xml:space="preserve"> respecto a las licencias de construcción para obra nueva son susceptibles de ser entregadas en solicitudes de información.  </w:t>
      </w:r>
    </w:p>
    <w:p w14:paraId="24964FAB" w14:textId="77777777" w:rsidR="00077450" w:rsidRPr="00336566" w:rsidRDefault="00077450" w:rsidP="00077450">
      <w:pPr>
        <w:pStyle w:val="Prrafodelista"/>
        <w:rPr>
          <w:rFonts w:ascii="Palatino Linotype" w:hAnsi="Palatino Linotype"/>
        </w:rPr>
      </w:pPr>
    </w:p>
    <w:p w14:paraId="51CF9BBC" w14:textId="7EB7F00A" w:rsidR="00077450" w:rsidRPr="00336566" w:rsidRDefault="00077450" w:rsidP="00F85279">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Sin embargo, en el caso en </w:t>
      </w:r>
      <w:r w:rsidR="006F66D1" w:rsidRPr="00336566">
        <w:rPr>
          <w:rFonts w:ascii="Palatino Linotype" w:hAnsi="Palatino Linotype"/>
        </w:rPr>
        <w:t xml:space="preserve">concreto se debe observar que el </w:t>
      </w:r>
      <w:r w:rsidRPr="00336566">
        <w:rPr>
          <w:rFonts w:ascii="Palatino Linotype" w:hAnsi="Palatino Linotype"/>
        </w:rPr>
        <w:t xml:space="preserve">solicitante de la licencia es un particular, y que si bien su exhibición es posible en apego a lo señalado por </w:t>
      </w:r>
      <w:r w:rsidR="00D52ECE" w:rsidRPr="00336566">
        <w:rPr>
          <w:rFonts w:ascii="Palatino Linotype" w:hAnsi="Palatino Linotype"/>
        </w:rPr>
        <w:t>las leyes</w:t>
      </w:r>
      <w:r w:rsidR="001157E0" w:rsidRPr="00336566">
        <w:rPr>
          <w:rFonts w:ascii="Palatino Linotype" w:hAnsi="Palatino Linotype"/>
        </w:rPr>
        <w:t xml:space="preserve"> de la Materia, también es pro</w:t>
      </w:r>
      <w:r w:rsidRPr="00336566">
        <w:rPr>
          <w:rFonts w:ascii="Palatino Linotype" w:hAnsi="Palatino Linotype"/>
        </w:rPr>
        <w:t>cedente que en los documentos en donde conste dicha infor</w:t>
      </w:r>
      <w:r w:rsidR="00D52ECE" w:rsidRPr="00336566">
        <w:rPr>
          <w:rFonts w:ascii="Palatino Linotype" w:hAnsi="Palatino Linotype"/>
        </w:rPr>
        <w:t>mación se testen diversos datos.</w:t>
      </w:r>
    </w:p>
    <w:p w14:paraId="2DFF1899" w14:textId="77777777" w:rsidR="006F66D1" w:rsidRPr="00336566" w:rsidRDefault="006F66D1" w:rsidP="006F66D1">
      <w:pPr>
        <w:pStyle w:val="Prrafodelista"/>
        <w:rPr>
          <w:rFonts w:ascii="Palatino Linotype" w:hAnsi="Palatino Linotype"/>
        </w:rPr>
      </w:pPr>
    </w:p>
    <w:p w14:paraId="7C463F80" w14:textId="5CECA797" w:rsidR="006F66D1" w:rsidRPr="00336566" w:rsidRDefault="006F66D1" w:rsidP="00F85279">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Así, conviene también establecer que la Ley de Protección de Datos Personales del Estado de México y Municipios, en su artículo 4 fracción </w:t>
      </w:r>
      <w:proofErr w:type="spellStart"/>
      <w:r w:rsidRPr="00336566">
        <w:rPr>
          <w:rFonts w:ascii="Palatino Linotype" w:hAnsi="Palatino Linotype"/>
        </w:rPr>
        <w:t>Xl</w:t>
      </w:r>
      <w:proofErr w:type="spellEnd"/>
      <w:r w:rsidRPr="00336566">
        <w:rPr>
          <w:rFonts w:ascii="Palatino Linotype" w:hAnsi="Palatino Linotype"/>
        </w:rPr>
        <w:t xml:space="preserve">, define datos personales  como la información concerniente a una persona física o jurídica colectiva identificada o 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14:paraId="0423AE1A" w14:textId="77777777" w:rsidR="006F66D1" w:rsidRPr="00336566" w:rsidRDefault="006F66D1" w:rsidP="006F66D1">
      <w:pPr>
        <w:pStyle w:val="Prrafodelista"/>
        <w:rPr>
          <w:rFonts w:ascii="Palatino Linotype" w:hAnsi="Palatino Linotype"/>
        </w:rPr>
      </w:pPr>
    </w:p>
    <w:p w14:paraId="368AC72C" w14:textId="77777777" w:rsidR="008F0782" w:rsidRPr="00336566" w:rsidRDefault="008F0782" w:rsidP="006F66D1">
      <w:pPr>
        <w:pStyle w:val="Prrafodelista"/>
        <w:rPr>
          <w:rFonts w:ascii="Palatino Linotype" w:hAnsi="Palatino Linotype"/>
        </w:rPr>
      </w:pPr>
    </w:p>
    <w:p w14:paraId="0A436D1E" w14:textId="295964FB" w:rsidR="006F66D1" w:rsidRPr="00336566" w:rsidRDefault="006F66D1" w:rsidP="00F85279">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Por otra parte el artículo 6 de la Ley de Protección de Datos</w:t>
      </w:r>
      <w:r w:rsidR="00845BB6" w:rsidRPr="00336566">
        <w:rPr>
          <w:rFonts w:ascii="Palatino Linotype" w:hAnsi="Palatino Linotype"/>
        </w:rPr>
        <w:t xml:space="preserve"> </w:t>
      </w:r>
      <w:r w:rsidRPr="00336566">
        <w:rPr>
          <w:rFonts w:ascii="Palatino Linotype" w:hAnsi="Palatino Linotype"/>
        </w:rPr>
        <w:t>antes referida, establece que:</w:t>
      </w:r>
    </w:p>
    <w:p w14:paraId="71809A1A" w14:textId="77777777" w:rsidR="00D52ECE" w:rsidRPr="00336566" w:rsidRDefault="00D52ECE" w:rsidP="00D52ECE">
      <w:pPr>
        <w:pStyle w:val="Prrafodelista"/>
        <w:spacing w:line="360" w:lineRule="auto"/>
        <w:ind w:left="0" w:right="49"/>
        <w:jc w:val="both"/>
        <w:rPr>
          <w:rFonts w:ascii="Palatino Linotype" w:hAnsi="Palatino Linotype"/>
        </w:rPr>
      </w:pPr>
    </w:p>
    <w:p w14:paraId="2632FEEE" w14:textId="77777777" w:rsidR="006F66D1" w:rsidRPr="00336566" w:rsidRDefault="006F66D1" w:rsidP="006F66D1">
      <w:pPr>
        <w:pStyle w:val="Prrafodelista"/>
        <w:rPr>
          <w:rFonts w:ascii="Palatino Linotype" w:hAnsi="Palatino Linotype"/>
        </w:rPr>
      </w:pPr>
    </w:p>
    <w:p w14:paraId="7DE638F3" w14:textId="55404EDF" w:rsidR="006F66D1" w:rsidRPr="00336566" w:rsidRDefault="006F66D1" w:rsidP="006F66D1">
      <w:pPr>
        <w:pStyle w:val="Prrafodelista"/>
        <w:spacing w:line="360" w:lineRule="auto"/>
        <w:ind w:left="567" w:right="567"/>
        <w:jc w:val="both"/>
        <w:rPr>
          <w:rFonts w:ascii="Palatino Linotype" w:hAnsi="Palatino Linotype"/>
          <w:i/>
        </w:rPr>
      </w:pPr>
      <w:r w:rsidRPr="00336566">
        <w:rPr>
          <w:rFonts w:ascii="Palatino Linotype" w:hAnsi="Palatino Linotype"/>
          <w:b/>
          <w:i/>
        </w:rPr>
        <w:t xml:space="preserve">Artículo 6. </w:t>
      </w:r>
      <w:r w:rsidR="00880639" w:rsidRPr="00336566">
        <w:rPr>
          <w:rFonts w:ascii="Palatino Linotype" w:hAnsi="Palatino Linotype"/>
          <w:i/>
        </w:rPr>
        <w:t xml:space="preserve"> El Estado garantizará l</w:t>
      </w:r>
      <w:r w:rsidRPr="00336566">
        <w:rPr>
          <w:rFonts w:ascii="Palatino Linotype" w:hAnsi="Palatino Linotype"/>
          <w:i/>
        </w:rPr>
        <w:t xml:space="preserve">a privacidad de los individuos y velará porque no se incurra en conductas que puedan afectar arbitrariamente. </w:t>
      </w:r>
    </w:p>
    <w:p w14:paraId="27DF4185" w14:textId="77777777" w:rsidR="006F66D1" w:rsidRPr="00336566" w:rsidRDefault="006F66D1" w:rsidP="006F66D1">
      <w:pPr>
        <w:pStyle w:val="Prrafodelista"/>
        <w:spacing w:line="360" w:lineRule="auto"/>
        <w:ind w:left="567" w:right="567"/>
        <w:jc w:val="both"/>
        <w:rPr>
          <w:rFonts w:ascii="Palatino Linotype" w:hAnsi="Palatino Linotype"/>
          <w:i/>
        </w:rPr>
      </w:pPr>
    </w:p>
    <w:p w14:paraId="7309ABAD" w14:textId="2CBB181C" w:rsidR="006F66D1" w:rsidRPr="00336566" w:rsidRDefault="006F66D1" w:rsidP="006F66D1">
      <w:pPr>
        <w:pStyle w:val="Prrafodelista"/>
        <w:spacing w:line="360" w:lineRule="auto"/>
        <w:ind w:left="567" w:right="567"/>
        <w:jc w:val="both"/>
        <w:rPr>
          <w:rFonts w:ascii="Palatino Linotype" w:hAnsi="Palatino Linotype"/>
          <w:i/>
        </w:rPr>
      </w:pPr>
      <w:r w:rsidRPr="00336566">
        <w:rPr>
          <w:rFonts w:ascii="Palatino Linotype" w:hAnsi="Palatino Linotype"/>
          <w:i/>
        </w:rPr>
        <w:t xml:space="preserve">Los responsables aplicaran las medidas establecidas en esta Ley para la protección de las personas y su dignidad, respecto al tratamiento de sus datos personales. </w:t>
      </w:r>
    </w:p>
    <w:p w14:paraId="70A86CF4" w14:textId="432E6F90" w:rsidR="006F66D1" w:rsidRPr="00336566" w:rsidRDefault="006F66D1" w:rsidP="006F66D1">
      <w:pPr>
        <w:pStyle w:val="Prrafodelista"/>
        <w:spacing w:line="360" w:lineRule="auto"/>
        <w:ind w:left="567" w:right="567"/>
        <w:jc w:val="both"/>
        <w:rPr>
          <w:rFonts w:ascii="Palatino Linotype" w:hAnsi="Palatino Linotype"/>
          <w:i/>
        </w:rPr>
      </w:pPr>
      <w:r w:rsidRPr="00336566">
        <w:rPr>
          <w:rFonts w:ascii="Palatino Linotype" w:hAnsi="Palatino Linotype"/>
          <w:i/>
        </w:rPr>
        <w:t xml:space="preserve">El derecho a la protección de los datos personales solamente se limitará por razones de seguridad pública en términos de la Ley de la materia, disposiciones de orden público, salud pública o proteger los derechos de terceros. </w:t>
      </w:r>
    </w:p>
    <w:p w14:paraId="6EE6A589" w14:textId="77777777" w:rsidR="00077450" w:rsidRPr="00336566" w:rsidRDefault="00077450" w:rsidP="001157E0">
      <w:pPr>
        <w:rPr>
          <w:rFonts w:ascii="Palatino Linotype" w:hAnsi="Palatino Linotype"/>
        </w:rPr>
      </w:pPr>
    </w:p>
    <w:p w14:paraId="71D0B618" w14:textId="77777777" w:rsidR="00077450" w:rsidRPr="00336566" w:rsidRDefault="00077450" w:rsidP="00077450">
      <w:pPr>
        <w:pStyle w:val="Prrafodelista"/>
        <w:spacing w:line="360" w:lineRule="auto"/>
        <w:ind w:left="0" w:right="49"/>
        <w:jc w:val="both"/>
        <w:rPr>
          <w:rFonts w:ascii="Palatino Linotype" w:hAnsi="Palatino Linotype"/>
        </w:rPr>
      </w:pPr>
    </w:p>
    <w:p w14:paraId="53657088" w14:textId="77777777" w:rsidR="000E2091" w:rsidRPr="00336566" w:rsidRDefault="000E2091"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14:paraId="4D17513C" w14:textId="759AF13D" w:rsidR="000E2091" w:rsidRPr="00336566" w:rsidRDefault="000E2091" w:rsidP="000E2091">
      <w:pPr>
        <w:pStyle w:val="Prrafodelista"/>
        <w:spacing w:line="360" w:lineRule="auto"/>
        <w:ind w:left="567" w:right="567"/>
        <w:jc w:val="both"/>
        <w:rPr>
          <w:rFonts w:ascii="Palatino Linotype" w:hAnsi="Palatino Linotype"/>
        </w:rPr>
      </w:pPr>
      <w:r w:rsidRPr="00336566">
        <w:rPr>
          <w:rFonts w:ascii="Palatino Linotype" w:hAnsi="Palatino Linotype"/>
        </w:rPr>
        <w:t xml:space="preserve"> </w:t>
      </w:r>
    </w:p>
    <w:p w14:paraId="09B94979" w14:textId="25787BB0" w:rsidR="000E2091" w:rsidRPr="00336566" w:rsidRDefault="000E2091" w:rsidP="000E2091">
      <w:pPr>
        <w:pStyle w:val="Prrafodelista"/>
        <w:spacing w:line="360" w:lineRule="auto"/>
        <w:ind w:left="567" w:right="567"/>
        <w:jc w:val="both"/>
        <w:rPr>
          <w:rFonts w:ascii="Palatino Linotype" w:hAnsi="Palatino Linotype"/>
          <w:i/>
        </w:rPr>
      </w:pPr>
      <w:r w:rsidRPr="00336566">
        <w:rPr>
          <w:rFonts w:ascii="Palatino Linotype" w:hAnsi="Palatino Linotype"/>
          <w:b/>
          <w:i/>
        </w:rPr>
        <w:t>Artículo 143.</w:t>
      </w:r>
      <w:r w:rsidRPr="00336566">
        <w:rPr>
          <w:rFonts w:ascii="Palatino Linotype" w:hAnsi="Palatino Linotype"/>
          <w:i/>
        </w:rPr>
        <w:t xml:space="preserve"> Para los efectos de esta Ley se considera información confidencial, la clasificada como tal, de manera permanente, por su naturaleza, cuando: </w:t>
      </w:r>
    </w:p>
    <w:p w14:paraId="407CE26B" w14:textId="77777777" w:rsidR="000E2091" w:rsidRPr="00336566" w:rsidRDefault="000E2091" w:rsidP="000E2091">
      <w:pPr>
        <w:pStyle w:val="Prrafodelista"/>
        <w:spacing w:line="360" w:lineRule="auto"/>
        <w:ind w:left="567" w:right="567"/>
        <w:jc w:val="both"/>
        <w:rPr>
          <w:rFonts w:ascii="Palatino Linotype" w:hAnsi="Palatino Linotype"/>
          <w:i/>
        </w:rPr>
      </w:pPr>
    </w:p>
    <w:p w14:paraId="1A2DE51C" w14:textId="4968BFA7" w:rsidR="000E2091" w:rsidRPr="00336566" w:rsidRDefault="000E2091" w:rsidP="000E2091">
      <w:pPr>
        <w:pStyle w:val="Prrafodelista"/>
        <w:spacing w:line="360" w:lineRule="auto"/>
        <w:ind w:left="567" w:right="567"/>
        <w:jc w:val="both"/>
        <w:rPr>
          <w:rFonts w:ascii="Palatino Linotype" w:hAnsi="Palatino Linotype"/>
          <w:i/>
        </w:rPr>
      </w:pPr>
      <w:proofErr w:type="gramStart"/>
      <w:r w:rsidRPr="00336566">
        <w:rPr>
          <w:rFonts w:ascii="Palatino Linotype" w:hAnsi="Palatino Linotype"/>
          <w:i/>
        </w:rPr>
        <w:t>I .</w:t>
      </w:r>
      <w:proofErr w:type="gramEnd"/>
      <w:r w:rsidRPr="00336566">
        <w:rPr>
          <w:rFonts w:ascii="Palatino Linotype" w:hAnsi="Palatino Linotype"/>
          <w:i/>
        </w:rPr>
        <w:t xml:space="preserve"> Se refiera a la información privada y los datos personales concernientes a una persona física o jurídica colectiva identificada o identificable. </w:t>
      </w:r>
    </w:p>
    <w:p w14:paraId="0D7C6D2C" w14:textId="77777777" w:rsidR="000E2091" w:rsidRPr="00336566" w:rsidRDefault="000E2091" w:rsidP="000E2091">
      <w:pPr>
        <w:pStyle w:val="Prrafodelista"/>
        <w:spacing w:line="360" w:lineRule="auto"/>
        <w:ind w:left="567" w:right="567"/>
        <w:jc w:val="both"/>
        <w:rPr>
          <w:rFonts w:ascii="Palatino Linotype" w:hAnsi="Palatino Linotype"/>
        </w:rPr>
      </w:pPr>
    </w:p>
    <w:p w14:paraId="58EB52F0" w14:textId="77777777" w:rsidR="000E2091" w:rsidRPr="00336566" w:rsidRDefault="000E2091" w:rsidP="000E2091">
      <w:pPr>
        <w:pStyle w:val="Prrafodelista"/>
        <w:spacing w:line="360" w:lineRule="auto"/>
        <w:ind w:left="0" w:right="49"/>
        <w:jc w:val="both"/>
        <w:rPr>
          <w:rFonts w:ascii="Palatino Linotype" w:hAnsi="Palatino Linotype"/>
        </w:rPr>
      </w:pPr>
    </w:p>
    <w:p w14:paraId="31EC2268" w14:textId="45D1B2F4" w:rsidR="000E2091" w:rsidRPr="00336566" w:rsidRDefault="000E2091"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Es así que se está ante una colisión entre derechos: por una parte está la obligación de dejar a la vista el nombre del titular de las licencias solicitadas, en </w:t>
      </w:r>
      <w:r w:rsidRPr="00336566">
        <w:rPr>
          <w:rFonts w:ascii="Palatino Linotype" w:hAnsi="Palatino Linotype"/>
        </w:rPr>
        <w:lastRenderedPageBreak/>
        <w:t xml:space="preserve">términos del artículo 70 fracción XXVII de la Ley General de Trasparencia; los Lineamientos Técnicos Generales ya referidos; y por el artículo 92 fracción XXXII de la Ley de la Materia local; y por la otra se encuentra la obligación de proteger y tutelar los datos personales de un tercero, en el caso en concreto, de acuerdo a lo dispuesto en los artículos 6 y 16 de la Constitución General; artículo 6 de la Ley de Datos local y 143 de la Ley de Transparencia estatal.  </w:t>
      </w:r>
    </w:p>
    <w:p w14:paraId="12A395CB" w14:textId="77777777" w:rsidR="001157E0" w:rsidRPr="00336566" w:rsidRDefault="001157E0" w:rsidP="001157E0">
      <w:pPr>
        <w:pStyle w:val="Prrafodelista"/>
        <w:spacing w:line="360" w:lineRule="auto"/>
        <w:ind w:left="0" w:right="49"/>
        <w:jc w:val="both"/>
        <w:rPr>
          <w:rFonts w:ascii="Palatino Linotype" w:hAnsi="Palatino Linotype"/>
        </w:rPr>
      </w:pPr>
    </w:p>
    <w:p w14:paraId="18CB08CB" w14:textId="341F4558" w:rsidR="000E2091" w:rsidRPr="00336566" w:rsidRDefault="000E2091"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Ahora bien, este Instituto se encuentra constreñido a actuar en apego a lo dispuesto por la normatividad vigente aplicable y bajo diversos principios, entre ellos </w:t>
      </w:r>
      <w:r w:rsidR="005A2E0F" w:rsidRPr="00336566">
        <w:rPr>
          <w:rFonts w:ascii="Palatino Linotype" w:hAnsi="Palatino Linotype"/>
        </w:rPr>
        <w:t xml:space="preserve">los de legalidad y objetividad, entendiendo estos como sigue: </w:t>
      </w:r>
    </w:p>
    <w:p w14:paraId="34E79A82" w14:textId="77777777" w:rsidR="005A2E0F" w:rsidRPr="00336566" w:rsidRDefault="005A2E0F" w:rsidP="005A2E0F">
      <w:pPr>
        <w:pStyle w:val="Prrafodelista"/>
        <w:spacing w:line="360" w:lineRule="auto"/>
        <w:ind w:left="0" w:right="49"/>
        <w:jc w:val="both"/>
        <w:rPr>
          <w:rFonts w:ascii="Palatino Linotype" w:hAnsi="Palatino Linotype"/>
        </w:rPr>
      </w:pPr>
    </w:p>
    <w:p w14:paraId="7974F0E5" w14:textId="1E51C10B" w:rsidR="000E2091" w:rsidRPr="00336566" w:rsidRDefault="005A2E0F" w:rsidP="005A2E0F">
      <w:pPr>
        <w:pStyle w:val="Prrafodelista"/>
        <w:spacing w:line="360" w:lineRule="auto"/>
        <w:ind w:left="567" w:right="567"/>
        <w:jc w:val="both"/>
        <w:rPr>
          <w:rFonts w:ascii="Palatino Linotype" w:hAnsi="Palatino Linotype"/>
        </w:rPr>
      </w:pPr>
      <w:r w:rsidRPr="00336566">
        <w:rPr>
          <w:rFonts w:ascii="Palatino Linotype" w:hAnsi="Palatino Linotype"/>
          <w:b/>
        </w:rPr>
        <w:t xml:space="preserve">Legalidad: </w:t>
      </w:r>
      <w:r w:rsidRPr="00336566">
        <w:rPr>
          <w:rFonts w:ascii="Palatino Linotype" w:hAnsi="Palatino Linotype"/>
        </w:rPr>
        <w:t>Obligación del Instituto de ajustar su actuación, que funde y motive sus resoluciones y actos en las normas aplicables.</w:t>
      </w:r>
    </w:p>
    <w:p w14:paraId="3AF755A4" w14:textId="77777777" w:rsidR="005A2E0F" w:rsidRPr="00336566" w:rsidRDefault="005A2E0F" w:rsidP="005A2E0F">
      <w:pPr>
        <w:spacing w:line="360" w:lineRule="auto"/>
        <w:ind w:right="567"/>
        <w:jc w:val="both"/>
        <w:rPr>
          <w:rFonts w:ascii="Palatino Linotype" w:hAnsi="Palatino Linotype"/>
        </w:rPr>
      </w:pPr>
    </w:p>
    <w:p w14:paraId="2D3D28C4" w14:textId="2FDBB59B" w:rsidR="005A2E0F" w:rsidRPr="00336566" w:rsidRDefault="005A2E0F" w:rsidP="005A2E0F">
      <w:pPr>
        <w:pStyle w:val="Prrafodelista"/>
        <w:spacing w:line="360" w:lineRule="auto"/>
        <w:ind w:left="567" w:right="567"/>
        <w:jc w:val="both"/>
        <w:rPr>
          <w:rFonts w:ascii="Palatino Linotype" w:hAnsi="Palatino Linotype"/>
        </w:rPr>
      </w:pPr>
      <w:r w:rsidRPr="00336566">
        <w:rPr>
          <w:rFonts w:ascii="Palatino Linotype" w:hAnsi="Palatino Linotype"/>
          <w:b/>
        </w:rPr>
        <w:t xml:space="preserve">Objetividad: </w:t>
      </w:r>
      <w:r w:rsidRPr="00336566">
        <w:rPr>
          <w:rFonts w:ascii="Palatino Linotype" w:hAnsi="Palatino Linotype"/>
        </w:rPr>
        <w:t>Obligación del Instituto de ajustar su actuación a los presupuestos de ley que deben ser aplicados al analizar el caso en concreto y resolver todos los hechos, prescindiendo de las consideraciones y criterios personales.</w:t>
      </w:r>
    </w:p>
    <w:p w14:paraId="2EB40BD3" w14:textId="77777777" w:rsidR="005A2E0F" w:rsidRPr="00336566" w:rsidRDefault="005A2E0F" w:rsidP="000E2091">
      <w:pPr>
        <w:pStyle w:val="Prrafodelista"/>
        <w:spacing w:line="360" w:lineRule="auto"/>
        <w:ind w:left="0" w:right="49"/>
        <w:jc w:val="both"/>
        <w:rPr>
          <w:rFonts w:ascii="Palatino Linotype" w:hAnsi="Palatino Linotype"/>
          <w:b/>
        </w:rPr>
      </w:pPr>
    </w:p>
    <w:p w14:paraId="311C99E9" w14:textId="3E4849D0" w:rsidR="005A2E0F" w:rsidRPr="00336566" w:rsidRDefault="005A2E0F"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Es así antes una colisión de derechos, el Pleno de este Instituto tiene la facultad de interpretar los ordenamientos aplicables con el propósito de resolver de manera armónica </w:t>
      </w:r>
      <w:r w:rsidR="005F5F55" w:rsidRPr="00336566">
        <w:rPr>
          <w:rFonts w:ascii="Palatino Linotype" w:hAnsi="Palatino Linotype"/>
        </w:rPr>
        <w:t xml:space="preserve">entre los derechos en conflicto, en el presente caso, entre el derecho a la información pública y el derecho a la protección de datos personales, </w:t>
      </w:r>
      <w:r w:rsidR="005F5F55" w:rsidRPr="00336566">
        <w:rPr>
          <w:rFonts w:ascii="Palatino Linotype" w:hAnsi="Palatino Linotype"/>
        </w:rPr>
        <w:lastRenderedPageBreak/>
        <w:t xml:space="preserve">en concreto los datos </w:t>
      </w:r>
      <w:r w:rsidR="00D52ECE" w:rsidRPr="00336566">
        <w:rPr>
          <w:rFonts w:ascii="Palatino Linotype" w:hAnsi="Palatino Linotype"/>
        </w:rPr>
        <w:t xml:space="preserve">considerados como información clasificada en su modalidad de confidencial </w:t>
      </w:r>
      <w:r w:rsidR="005F5F55" w:rsidRPr="00336566">
        <w:rPr>
          <w:rFonts w:ascii="Palatino Linotype" w:hAnsi="Palatino Linotype"/>
        </w:rPr>
        <w:t xml:space="preserve">en la licencia otorgada por el Sujeto Obligado. </w:t>
      </w:r>
    </w:p>
    <w:p w14:paraId="26E67577" w14:textId="77777777" w:rsidR="005F5F55" w:rsidRPr="00336566" w:rsidRDefault="005F5F55" w:rsidP="005F5F55">
      <w:pPr>
        <w:pStyle w:val="Prrafodelista"/>
        <w:spacing w:line="360" w:lineRule="auto"/>
        <w:ind w:left="0" w:right="49"/>
        <w:jc w:val="both"/>
        <w:rPr>
          <w:rFonts w:ascii="Palatino Linotype" w:hAnsi="Palatino Linotype"/>
        </w:rPr>
      </w:pPr>
    </w:p>
    <w:p w14:paraId="2F384C6E" w14:textId="0E51C6AE" w:rsidR="005F5F55" w:rsidRPr="00336566" w:rsidRDefault="005F5F55"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Así, es necesario establecer puntualmente los </w:t>
      </w:r>
      <w:r w:rsidR="00D52ECE" w:rsidRPr="00336566">
        <w:rPr>
          <w:rFonts w:ascii="Palatino Linotype" w:hAnsi="Palatino Linotype"/>
        </w:rPr>
        <w:t xml:space="preserve">siguientes </w:t>
      </w:r>
      <w:r w:rsidR="00845BB6" w:rsidRPr="00336566">
        <w:rPr>
          <w:rFonts w:ascii="Palatino Linotype" w:hAnsi="Palatino Linotype"/>
        </w:rPr>
        <w:t>aspectos a considerar</w:t>
      </w:r>
      <w:r w:rsidRPr="00336566">
        <w:rPr>
          <w:rFonts w:ascii="Palatino Linotype" w:hAnsi="Palatino Linotype"/>
        </w:rPr>
        <w:t xml:space="preserve">, a fin de llevar a buen término el criterio que prevalecerá en el presente asunto, el cual deberá estar debidamente fundado y motivado como ya ha quedado señalado. Así en este orden de ideas se puntualiza lo siguiente: </w:t>
      </w:r>
    </w:p>
    <w:p w14:paraId="7248009A" w14:textId="77777777" w:rsidR="005F5F55" w:rsidRPr="00336566" w:rsidRDefault="005F5F55" w:rsidP="00D52ECE">
      <w:pPr>
        <w:pStyle w:val="Prrafodelista"/>
        <w:ind w:left="567" w:right="567"/>
        <w:rPr>
          <w:rFonts w:ascii="Palatino Linotype" w:hAnsi="Palatino Linotype"/>
        </w:rPr>
      </w:pPr>
    </w:p>
    <w:p w14:paraId="0CF1E738" w14:textId="77777777" w:rsidR="00AD0E76" w:rsidRPr="00336566" w:rsidRDefault="005F5F55" w:rsidP="00D52ECE">
      <w:pPr>
        <w:pStyle w:val="Prrafodelista"/>
        <w:numPr>
          <w:ilvl w:val="0"/>
          <w:numId w:val="3"/>
        </w:numPr>
        <w:spacing w:line="360" w:lineRule="auto"/>
        <w:ind w:left="567" w:right="567" w:firstLine="0"/>
        <w:jc w:val="both"/>
        <w:rPr>
          <w:rFonts w:ascii="Palatino Linotype" w:hAnsi="Palatino Linotype"/>
        </w:rPr>
      </w:pPr>
      <w:r w:rsidRPr="00336566">
        <w:rPr>
          <w:rFonts w:ascii="Palatino Linotype" w:hAnsi="Palatino Linotype"/>
        </w:rPr>
        <w:t xml:space="preserve">Basándose en su derecho constitucional de acceso a la información la Recurrente </w:t>
      </w:r>
      <w:r w:rsidR="00AD0E76" w:rsidRPr="00336566">
        <w:rPr>
          <w:rFonts w:ascii="Palatino Linotype" w:hAnsi="Palatino Linotype"/>
        </w:rPr>
        <w:t xml:space="preserve">solicitó una licencia de construcción para obra nueva. </w:t>
      </w:r>
    </w:p>
    <w:p w14:paraId="4D59F5B0" w14:textId="77777777" w:rsidR="00AD0E76" w:rsidRPr="00336566" w:rsidRDefault="00AD0E76" w:rsidP="00D52ECE">
      <w:pPr>
        <w:pStyle w:val="Prrafodelista"/>
        <w:spacing w:line="360" w:lineRule="auto"/>
        <w:ind w:left="567" w:right="567"/>
        <w:jc w:val="both"/>
        <w:rPr>
          <w:rFonts w:ascii="Palatino Linotype" w:hAnsi="Palatino Linotype"/>
        </w:rPr>
      </w:pPr>
    </w:p>
    <w:p w14:paraId="5618FDB2" w14:textId="692A9968" w:rsidR="005F5F55" w:rsidRPr="00336566" w:rsidRDefault="00AD0E76" w:rsidP="00D52ECE">
      <w:pPr>
        <w:pStyle w:val="Prrafodelista"/>
        <w:numPr>
          <w:ilvl w:val="0"/>
          <w:numId w:val="3"/>
        </w:numPr>
        <w:spacing w:line="360" w:lineRule="auto"/>
        <w:ind w:left="567" w:right="567" w:firstLine="0"/>
        <w:jc w:val="both"/>
        <w:rPr>
          <w:rFonts w:ascii="Palatino Linotype" w:hAnsi="Palatino Linotype"/>
        </w:rPr>
      </w:pPr>
      <w:r w:rsidRPr="00336566">
        <w:rPr>
          <w:rFonts w:ascii="Palatino Linotype" w:hAnsi="Palatino Linotype"/>
        </w:rPr>
        <w:t>Dicha licencia fue presentada por el Sujeto Obligado con la Clave Catastral, Superficie del Terreno, Superficie de Construcción, Superficie Total de Construcción, Valor Estimado,</w:t>
      </w:r>
      <w:r w:rsidR="00C9692A" w:rsidRPr="00336566">
        <w:rPr>
          <w:rFonts w:ascii="Palatino Linotype" w:hAnsi="Palatino Linotype"/>
        </w:rPr>
        <w:t xml:space="preserve"> Valor Estimado Total testados, nombre del director responsable de la obra y/o corresponsable de la obra y/o perito responsable y nombre  y firma del causante testados. </w:t>
      </w:r>
    </w:p>
    <w:p w14:paraId="47E75878" w14:textId="77777777" w:rsidR="005F5F55" w:rsidRPr="00336566" w:rsidRDefault="005F5F55" w:rsidP="005F5F55">
      <w:pPr>
        <w:pStyle w:val="Prrafodelista"/>
        <w:rPr>
          <w:rFonts w:ascii="Palatino Linotype" w:hAnsi="Palatino Linotype"/>
        </w:rPr>
      </w:pPr>
    </w:p>
    <w:p w14:paraId="0D744E0F" w14:textId="17EFA7CF" w:rsidR="005F5F55" w:rsidRPr="00336566" w:rsidRDefault="00AD0E76"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hAnsi="Palatino Linotype"/>
        </w:rPr>
        <w:t xml:space="preserve">Así por otra parte es conveniente determinar lo siguiente: </w:t>
      </w:r>
    </w:p>
    <w:p w14:paraId="224C0B5E" w14:textId="77777777" w:rsidR="00C9692A" w:rsidRPr="00336566" w:rsidRDefault="00C9692A" w:rsidP="00D52ECE">
      <w:pPr>
        <w:spacing w:line="360" w:lineRule="auto"/>
        <w:ind w:left="567" w:right="567"/>
        <w:jc w:val="both"/>
        <w:rPr>
          <w:rFonts w:ascii="Palatino Linotype" w:hAnsi="Palatino Linotype"/>
        </w:rPr>
      </w:pPr>
    </w:p>
    <w:p w14:paraId="1176DC57" w14:textId="7162947B" w:rsidR="00AD0E76" w:rsidRPr="00336566" w:rsidRDefault="00AD0E76" w:rsidP="00D52ECE">
      <w:pPr>
        <w:pStyle w:val="Prrafodelista"/>
        <w:numPr>
          <w:ilvl w:val="0"/>
          <w:numId w:val="13"/>
        </w:numPr>
        <w:spacing w:line="360" w:lineRule="auto"/>
        <w:ind w:left="567" w:right="567" w:firstLine="0"/>
        <w:jc w:val="both"/>
        <w:rPr>
          <w:rFonts w:ascii="Palatino Linotype" w:hAnsi="Palatino Linotype"/>
        </w:rPr>
      </w:pPr>
      <w:r w:rsidRPr="00336566">
        <w:rPr>
          <w:rFonts w:ascii="Palatino Linotype" w:hAnsi="Palatino Linotype"/>
        </w:rPr>
        <w:t xml:space="preserve">El director responsable de obra, corresponsable de obra o perito responsable, </w:t>
      </w:r>
      <w:r w:rsidR="0093243C" w:rsidRPr="00336566">
        <w:rPr>
          <w:rFonts w:ascii="Palatino Linotype" w:hAnsi="Palatino Linotype"/>
        </w:rPr>
        <w:t xml:space="preserve">es un tercero ajeno a la solicitud del Recurrente y a la respuesta del Sujeto Obligado. </w:t>
      </w:r>
    </w:p>
    <w:p w14:paraId="6DE737D4" w14:textId="77777777" w:rsidR="0093243C" w:rsidRPr="00336566" w:rsidRDefault="0093243C" w:rsidP="00D52ECE">
      <w:pPr>
        <w:pStyle w:val="Prrafodelista"/>
        <w:spacing w:line="360" w:lineRule="auto"/>
        <w:ind w:left="567" w:right="567"/>
        <w:jc w:val="both"/>
        <w:rPr>
          <w:rFonts w:ascii="Palatino Linotype" w:hAnsi="Palatino Linotype"/>
        </w:rPr>
      </w:pPr>
    </w:p>
    <w:p w14:paraId="67C3BD37" w14:textId="09EB898A" w:rsidR="0093243C" w:rsidRPr="00336566" w:rsidRDefault="0093243C" w:rsidP="00D52ECE">
      <w:pPr>
        <w:pStyle w:val="Prrafodelista"/>
        <w:numPr>
          <w:ilvl w:val="0"/>
          <w:numId w:val="13"/>
        </w:numPr>
        <w:spacing w:line="360" w:lineRule="auto"/>
        <w:ind w:left="567" w:right="567" w:firstLine="0"/>
        <w:jc w:val="both"/>
        <w:rPr>
          <w:rFonts w:ascii="Palatino Linotype" w:hAnsi="Palatino Linotype"/>
        </w:rPr>
      </w:pPr>
      <w:r w:rsidRPr="00336566">
        <w:rPr>
          <w:rFonts w:ascii="Palatino Linotype" w:hAnsi="Palatino Linotype"/>
        </w:rPr>
        <w:t xml:space="preserve">Los datos concernientes a la clave catastral, superficie de terreno, superficie de construcción, superficie total de construcción, valor </w:t>
      </w:r>
      <w:r w:rsidRPr="00336566">
        <w:rPr>
          <w:rFonts w:ascii="Palatino Linotype" w:hAnsi="Palatino Linotype"/>
        </w:rPr>
        <w:lastRenderedPageBreak/>
        <w:t>estimado, valor estimado total, corresponden a datos que hacen identificable el patrimonio del particula</w:t>
      </w:r>
      <w:r w:rsidR="006451F4" w:rsidRPr="00336566">
        <w:rPr>
          <w:rFonts w:ascii="Palatino Linotype" w:hAnsi="Palatino Linotype"/>
        </w:rPr>
        <w:t xml:space="preserve">r, y por lo tanto a su persona, además de que pudieran otorgar razón respecto de su poder adquisitivo y causarle una afectación. </w:t>
      </w:r>
    </w:p>
    <w:p w14:paraId="6F003E16" w14:textId="257444D6" w:rsidR="005F5F55" w:rsidRPr="00336566" w:rsidRDefault="005A2E0F" w:rsidP="00D52ECE">
      <w:pPr>
        <w:pStyle w:val="Prrafodelista"/>
        <w:spacing w:line="360" w:lineRule="auto"/>
        <w:ind w:left="567" w:right="567"/>
        <w:jc w:val="both"/>
        <w:rPr>
          <w:rFonts w:ascii="Palatino Linotype" w:hAnsi="Palatino Linotype"/>
        </w:rPr>
      </w:pPr>
      <w:r w:rsidRPr="00336566">
        <w:rPr>
          <w:rFonts w:ascii="Palatino Linotype" w:hAnsi="Palatino Linotype"/>
        </w:rPr>
        <w:t xml:space="preserve"> </w:t>
      </w:r>
    </w:p>
    <w:p w14:paraId="775AC0CF" w14:textId="77777777" w:rsidR="005F5F55" w:rsidRPr="00336566" w:rsidRDefault="005F5F55" w:rsidP="005F5F55">
      <w:pPr>
        <w:pStyle w:val="Prrafodelista"/>
        <w:rPr>
          <w:rFonts w:ascii="Palatino Linotype" w:eastAsia="Times New Roman" w:hAnsi="Palatino Linotype" w:cs="Times New Roman"/>
          <w:lang w:val="es-ES"/>
        </w:rPr>
      </w:pPr>
    </w:p>
    <w:p w14:paraId="207079B8" w14:textId="42D8DEE2" w:rsidR="00B747F1" w:rsidRPr="00336566" w:rsidRDefault="0093243C" w:rsidP="008519DF">
      <w:pPr>
        <w:pStyle w:val="Prrafodelista"/>
        <w:numPr>
          <w:ilvl w:val="0"/>
          <w:numId w:val="1"/>
        </w:numPr>
        <w:spacing w:line="360" w:lineRule="auto"/>
        <w:ind w:left="0" w:right="49" w:firstLine="0"/>
        <w:jc w:val="both"/>
        <w:rPr>
          <w:rFonts w:ascii="Palatino Linotype" w:hAnsi="Palatino Linotype"/>
        </w:rPr>
      </w:pPr>
      <w:r w:rsidRPr="00336566">
        <w:rPr>
          <w:rFonts w:ascii="Palatino Linotype" w:eastAsia="Times New Roman" w:hAnsi="Palatino Linotype" w:cs="Times New Roman"/>
          <w:lang w:val="es-ES"/>
        </w:rPr>
        <w:t>Así las cosas, se advierte que dichos datos</w:t>
      </w:r>
      <w:r w:rsidR="00703672" w:rsidRPr="00336566">
        <w:rPr>
          <w:rFonts w:ascii="Palatino Linotype" w:eastAsia="Times New Roman" w:hAnsi="Palatino Linotype" w:cs="Times New Roman"/>
          <w:lang w:val="es-ES"/>
        </w:rPr>
        <w:t>,</w:t>
      </w:r>
      <w:r w:rsidRPr="00336566">
        <w:rPr>
          <w:rFonts w:ascii="Palatino Linotype" w:eastAsia="Times New Roman" w:hAnsi="Palatino Linotype" w:cs="Times New Roman"/>
          <w:lang w:val="es-ES"/>
        </w:rPr>
        <w:t xml:space="preserve"> no se pueden entregar</w:t>
      </w:r>
      <w:r w:rsidR="00C9692A" w:rsidRPr="00336566">
        <w:rPr>
          <w:rFonts w:ascii="Palatino Linotype" w:eastAsia="Times New Roman" w:hAnsi="Palatino Linotype" w:cs="Times New Roman"/>
          <w:lang w:val="es-ES"/>
        </w:rPr>
        <w:t xml:space="preserve"> e</w:t>
      </w:r>
      <w:r w:rsidR="00C51DC6" w:rsidRPr="00336566">
        <w:rPr>
          <w:rFonts w:ascii="Palatino Linotype" w:eastAsia="Times New Roman" w:hAnsi="Palatino Linotype" w:cs="Times New Roman"/>
          <w:lang w:val="es-ES"/>
        </w:rPr>
        <w:t xml:space="preserve">n solicitudes de información, </w:t>
      </w:r>
      <w:r w:rsidR="006451F4" w:rsidRPr="00336566">
        <w:rPr>
          <w:rFonts w:ascii="Palatino Linotype" w:eastAsia="Times New Roman" w:hAnsi="Palatino Linotype" w:cs="Times New Roman"/>
          <w:lang w:val="es-ES"/>
        </w:rPr>
        <w:t>por otro lado, s</w:t>
      </w:r>
      <w:r w:rsidR="00EA45AB" w:rsidRPr="00336566">
        <w:rPr>
          <w:rFonts w:ascii="Palatino Linotype" w:eastAsia="Times New Roman" w:hAnsi="Palatino Linotype" w:cs="Times New Roman"/>
          <w:lang w:val="es-ES"/>
        </w:rPr>
        <w:t>i bien</w:t>
      </w:r>
      <w:r w:rsidR="006451F4" w:rsidRPr="00336566">
        <w:rPr>
          <w:rFonts w:ascii="Palatino Linotype" w:eastAsia="Times New Roman" w:hAnsi="Palatino Linotype" w:cs="Times New Roman"/>
          <w:lang w:val="es-ES"/>
        </w:rPr>
        <w:t xml:space="preserve"> es cierto</w:t>
      </w:r>
      <w:r w:rsidR="00EA45AB" w:rsidRPr="00336566">
        <w:rPr>
          <w:rFonts w:ascii="Palatino Linotype" w:eastAsia="Times New Roman" w:hAnsi="Palatino Linotype" w:cs="Times New Roman"/>
          <w:lang w:val="es-ES"/>
        </w:rPr>
        <w:t xml:space="preserve"> el </w:t>
      </w:r>
      <w:r w:rsidR="00EA45AB" w:rsidRPr="00336566">
        <w:rPr>
          <w:rFonts w:ascii="Palatino Linotype" w:eastAsia="Times New Roman" w:hAnsi="Palatino Linotype" w:cs="Times New Roman"/>
          <w:b/>
          <w:lang w:val="es-ES"/>
        </w:rPr>
        <w:t>SUJETO OBLIGADO</w:t>
      </w:r>
      <w:r w:rsidR="00EA45AB" w:rsidRPr="00336566">
        <w:rPr>
          <w:rFonts w:ascii="Palatino Linotype" w:eastAsia="Times New Roman" w:hAnsi="Palatino Linotype" w:cs="Times New Roman"/>
          <w:lang w:val="es-ES"/>
        </w:rPr>
        <w:t xml:space="preserve">, emitió respuesta a la solicitud de información, también lo es que esta fue de forma parcial, pues </w:t>
      </w:r>
      <w:r w:rsidR="00B324A3" w:rsidRPr="00336566">
        <w:rPr>
          <w:rFonts w:ascii="Palatino Linotype" w:eastAsia="Times New Roman" w:hAnsi="Palatino Linotype" w:cs="Times New Roman"/>
          <w:lang w:val="es-ES"/>
        </w:rPr>
        <w:t xml:space="preserve">según se aprecia, el acuerdo que sustenta la versión pública de la licencia otorgada, </w:t>
      </w:r>
      <w:r w:rsidR="004B4AE7" w:rsidRPr="00336566">
        <w:rPr>
          <w:rFonts w:ascii="Palatino Linotype" w:eastAsia="Times New Roman" w:hAnsi="Palatino Linotype" w:cs="Times New Roman"/>
          <w:lang w:val="es-ES"/>
        </w:rPr>
        <w:t>no se encuentra signado</w:t>
      </w:r>
      <w:r w:rsidR="00703672" w:rsidRPr="00336566">
        <w:rPr>
          <w:rFonts w:ascii="Palatino Linotype" w:eastAsia="Times New Roman" w:hAnsi="Palatino Linotype" w:cs="Times New Roman"/>
          <w:lang w:val="es-ES"/>
        </w:rPr>
        <w:t xml:space="preserve"> por todos los integrantes del comité d</w:t>
      </w:r>
      <w:r w:rsidR="006451F4" w:rsidRPr="00336566">
        <w:rPr>
          <w:rFonts w:ascii="Palatino Linotype" w:eastAsia="Times New Roman" w:hAnsi="Palatino Linotype" w:cs="Times New Roman"/>
          <w:lang w:val="es-ES"/>
        </w:rPr>
        <w:t xml:space="preserve">e trasparencia, además de que no se sustenta puntualmente la clasificación de cada dato. </w:t>
      </w:r>
    </w:p>
    <w:p w14:paraId="78F3287A" w14:textId="77777777" w:rsidR="00F85279" w:rsidRPr="00336566" w:rsidRDefault="00F85279" w:rsidP="00F85279">
      <w:pPr>
        <w:pStyle w:val="Prrafodelista"/>
        <w:spacing w:line="360" w:lineRule="auto"/>
        <w:ind w:left="0" w:right="49"/>
        <w:jc w:val="both"/>
        <w:rPr>
          <w:rFonts w:ascii="Palatino Linotype" w:hAnsi="Palatino Linotype"/>
        </w:rPr>
      </w:pPr>
    </w:p>
    <w:p w14:paraId="1218C267" w14:textId="10DE374B" w:rsidR="00531946" w:rsidRPr="00336566" w:rsidRDefault="00C51DC6" w:rsidP="0053194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36566">
        <w:rPr>
          <w:rFonts w:ascii="Palatino Linotype" w:eastAsia="Calibri" w:hAnsi="Palatino Linotype" w:cs="Arial"/>
          <w:szCs w:val="22"/>
          <w:lang w:val="es-ES" w:eastAsia="es-CO"/>
        </w:rPr>
        <w:t>As</w:t>
      </w:r>
      <w:r w:rsidR="00845BB6" w:rsidRPr="00336566">
        <w:rPr>
          <w:rFonts w:ascii="Palatino Linotype" w:eastAsia="Calibri" w:hAnsi="Palatino Linotype" w:cs="Arial"/>
          <w:szCs w:val="22"/>
          <w:lang w:val="es-ES" w:eastAsia="es-CO"/>
        </w:rPr>
        <w:t>í</w:t>
      </w:r>
      <w:r w:rsidR="00531946" w:rsidRPr="00336566">
        <w:rPr>
          <w:rFonts w:ascii="Palatino Linotype" w:eastAsia="Calibri" w:hAnsi="Palatino Linotype" w:cs="Arial"/>
          <w:szCs w:val="22"/>
          <w:lang w:val="es-ES" w:eastAsia="es-CO"/>
        </w:rPr>
        <w:t xml:space="preserve">, la entrega de documentos, en su versión pública, debe acompañarse necesariamente del Acuerdo del Comité de </w:t>
      </w:r>
      <w:r w:rsidR="006965C3" w:rsidRPr="00336566">
        <w:rPr>
          <w:rFonts w:ascii="Palatino Linotype" w:eastAsia="Calibri" w:hAnsi="Palatino Linotype" w:cs="Arial"/>
          <w:szCs w:val="22"/>
          <w:lang w:val="es-ES" w:eastAsia="es-CO"/>
        </w:rPr>
        <w:t xml:space="preserve">Transparencia </w:t>
      </w:r>
      <w:r w:rsidR="00531946" w:rsidRPr="00336566">
        <w:rPr>
          <w:rFonts w:ascii="Palatino Linotype" w:eastAsia="Calibri" w:hAnsi="Palatino Linotype" w:cs="Arial"/>
          <w:szCs w:val="22"/>
          <w:lang w:val="es-ES" w:eastAsia="es-CO"/>
        </w:rPr>
        <w:t xml:space="preserve">que la sustente, en el que se expongan los fundamentos y razonamientos que llevaron al </w:t>
      </w:r>
      <w:r w:rsidR="00531946" w:rsidRPr="00336566">
        <w:rPr>
          <w:rFonts w:ascii="Palatino Linotype" w:eastAsia="Calibri" w:hAnsi="Palatino Linotype" w:cs="Arial"/>
          <w:b/>
          <w:szCs w:val="22"/>
          <w:lang w:val="es-ES" w:eastAsia="es-CO"/>
        </w:rPr>
        <w:t>SUJETO OBLIGADO</w:t>
      </w:r>
      <w:r w:rsidR="00531946" w:rsidRPr="00336566">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00531946" w:rsidRPr="00336566">
        <w:rPr>
          <w:rFonts w:ascii="Palatino Linotype" w:eastAsia="Calibri" w:hAnsi="Palatino Linotype" w:cs="Arial"/>
          <w:szCs w:val="22"/>
          <w:lang w:val="es-ES" w:eastAsia="es-CO"/>
        </w:rPr>
        <w:lastRenderedPageBreak/>
        <w:t>exponen de manera puntual las razones de ello se estaría violentando desde un inicio el derecho de acceso a la información del solicitante.</w:t>
      </w:r>
    </w:p>
    <w:p w14:paraId="5AE69A0C" w14:textId="77777777" w:rsidR="00531946" w:rsidRPr="00336566" w:rsidRDefault="00531946" w:rsidP="00531946">
      <w:pPr>
        <w:pStyle w:val="Prrafodelista"/>
        <w:spacing w:line="360" w:lineRule="auto"/>
        <w:jc w:val="both"/>
        <w:rPr>
          <w:rFonts w:ascii="Palatino Linotype" w:eastAsia="Times New Roman" w:hAnsi="Palatino Linotype" w:cs="Arial"/>
          <w:lang w:eastAsia="es-MX"/>
        </w:rPr>
      </w:pPr>
    </w:p>
    <w:p w14:paraId="5BB093C7" w14:textId="7A67CF0D" w:rsidR="00531946" w:rsidRPr="00336566" w:rsidRDefault="006451F4" w:rsidP="00531946">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36566">
        <w:rPr>
          <w:rFonts w:ascii="Palatino Linotype" w:eastAsia="Times New Roman" w:hAnsi="Palatino Linotype" w:cs="Arial"/>
          <w:szCs w:val="22"/>
          <w:lang w:val="es-MX" w:eastAsia="es-MX"/>
        </w:rPr>
        <w:t xml:space="preserve">En consecuencia </w:t>
      </w:r>
      <w:r w:rsidR="00531946" w:rsidRPr="00336566">
        <w:rPr>
          <w:rFonts w:ascii="Palatino Linotype" w:eastAsia="Times New Roman" w:hAnsi="Palatino Linotype" w:cs="Arial"/>
          <w:szCs w:val="22"/>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F68A7FD" w14:textId="77777777" w:rsidR="00703672" w:rsidRPr="00336566" w:rsidRDefault="00703672" w:rsidP="00703672">
      <w:pPr>
        <w:pStyle w:val="Prrafodelista"/>
        <w:spacing w:line="360" w:lineRule="auto"/>
        <w:ind w:left="0" w:right="49"/>
        <w:jc w:val="both"/>
        <w:rPr>
          <w:rFonts w:ascii="Palatino Linotype" w:hAnsi="Palatino Linotype"/>
        </w:rPr>
      </w:pPr>
    </w:p>
    <w:p w14:paraId="431B0B03" w14:textId="55D55DA2" w:rsidR="00B747F1" w:rsidRPr="00336566" w:rsidRDefault="00B747F1" w:rsidP="008519DF">
      <w:pPr>
        <w:pStyle w:val="Ttulo2"/>
        <w:rPr>
          <w:rFonts w:ascii="Palatino Linotype" w:hAnsi="Palatino Linotype"/>
          <w:b/>
          <w:color w:val="000000" w:themeColor="text1"/>
          <w:sz w:val="24"/>
        </w:rPr>
      </w:pPr>
      <w:bookmarkStart w:id="54" w:name="_Toc525558002"/>
      <w:r w:rsidRPr="00336566">
        <w:rPr>
          <w:rFonts w:ascii="Palatino Linotype" w:hAnsi="Palatino Linotype"/>
          <w:b/>
          <w:color w:val="000000" w:themeColor="text1"/>
          <w:sz w:val="24"/>
        </w:rPr>
        <w:t xml:space="preserve">III. De las </w:t>
      </w:r>
      <w:r w:rsidR="004D78A7" w:rsidRPr="00336566">
        <w:rPr>
          <w:rFonts w:ascii="Palatino Linotype" w:hAnsi="Palatino Linotype"/>
          <w:b/>
          <w:color w:val="000000" w:themeColor="text1"/>
          <w:sz w:val="24"/>
        </w:rPr>
        <w:t xml:space="preserve">consideraciones </w:t>
      </w:r>
      <w:r w:rsidR="005D1341" w:rsidRPr="00336566">
        <w:rPr>
          <w:rFonts w:ascii="Palatino Linotype" w:hAnsi="Palatino Linotype"/>
          <w:b/>
          <w:color w:val="000000" w:themeColor="text1"/>
          <w:sz w:val="24"/>
        </w:rPr>
        <w:t>que se deben de observar para realizar</w:t>
      </w:r>
      <w:r w:rsidRPr="00336566">
        <w:rPr>
          <w:rFonts w:ascii="Palatino Linotype" w:hAnsi="Palatino Linotype"/>
          <w:b/>
          <w:color w:val="000000" w:themeColor="text1"/>
          <w:sz w:val="24"/>
        </w:rPr>
        <w:t xml:space="preserve"> el acuerdo de clasificación de la información como confidencial.</w:t>
      </w:r>
      <w:bookmarkEnd w:id="54"/>
    </w:p>
    <w:p w14:paraId="3136DE5A" w14:textId="77777777" w:rsidR="00B747F1" w:rsidRPr="00336566" w:rsidRDefault="00B747F1" w:rsidP="00B747F1">
      <w:pPr>
        <w:pStyle w:val="Prrafodelista"/>
        <w:spacing w:line="360" w:lineRule="auto"/>
        <w:ind w:left="0"/>
        <w:jc w:val="both"/>
        <w:rPr>
          <w:rFonts w:ascii="Palatino Linotype" w:hAnsi="Palatino Linotype"/>
          <w:b/>
        </w:rPr>
      </w:pPr>
    </w:p>
    <w:p w14:paraId="22EC3BB4" w14:textId="6410F57A" w:rsidR="008061A9" w:rsidRPr="00336566" w:rsidRDefault="00703672"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Así</w:t>
      </w:r>
      <w:r w:rsidR="008061A9" w:rsidRPr="00336566">
        <w:rPr>
          <w:rFonts w:ascii="Palatino Linotype" w:eastAsia="Calibri" w:hAnsi="Palatino Linotype" w:cs="Arial"/>
          <w:color w:val="000000"/>
          <w:lang w:eastAsia="en-US"/>
        </w:rPr>
        <w:t>, debe destacarse que debido a la naturalez</w:t>
      </w:r>
      <w:r w:rsidR="008B09BB" w:rsidRPr="00336566">
        <w:rPr>
          <w:rFonts w:ascii="Palatino Linotype" w:eastAsia="Calibri" w:hAnsi="Palatino Linotype" w:cs="Arial"/>
          <w:color w:val="000000"/>
          <w:lang w:eastAsia="en-US"/>
        </w:rPr>
        <w:t>a de la información solicitada</w:t>
      </w:r>
      <w:r w:rsidR="008061A9" w:rsidRPr="00336566">
        <w:rPr>
          <w:rFonts w:ascii="Palatino Linotype" w:eastAsia="Calibri" w:hAnsi="Palatino Linotype" w:cs="Arial"/>
          <w:b/>
          <w:color w:val="000000"/>
          <w:lang w:eastAsia="en-US"/>
        </w:rPr>
        <w:t xml:space="preserve">, </w:t>
      </w:r>
      <w:r w:rsidR="008B09BB" w:rsidRPr="00336566">
        <w:rPr>
          <w:rFonts w:ascii="Palatino Linotype" w:eastAsia="Calibri" w:hAnsi="Palatino Linotype" w:cs="Arial"/>
          <w:color w:val="000000"/>
          <w:lang w:eastAsia="en-US"/>
        </w:rPr>
        <w:t>obra</w:t>
      </w:r>
      <w:r w:rsidR="008061A9" w:rsidRPr="00336566">
        <w:rPr>
          <w:rFonts w:ascii="Palatino Linotype" w:eastAsia="Calibri" w:hAnsi="Palatino Linotype" w:cs="Arial"/>
          <w:color w:val="000000"/>
          <w:lang w:eastAsia="en-US"/>
        </w:rPr>
        <w:t xml:space="preserve"> información confidencial o datos personales susceptibles de protegerse, y toda vez que este Instituto de Transparencia, Acceso a la Información Pública y Protección de Datos Personales del Estado de México tiene el deber de velar por la protección de la información como son los datos personales</w:t>
      </w:r>
      <w:r w:rsidR="008B09BB" w:rsidRPr="00336566">
        <w:rPr>
          <w:rFonts w:ascii="Palatino Linotype" w:eastAsia="Calibri" w:hAnsi="Palatino Linotype" w:cs="Arial"/>
          <w:color w:val="000000"/>
          <w:lang w:eastAsia="en-US"/>
        </w:rPr>
        <w:t xml:space="preserve"> es necesario señalar que l</w:t>
      </w:r>
      <w:r w:rsidR="008061A9" w:rsidRPr="00336566">
        <w:rPr>
          <w:rFonts w:ascii="Palatino Linotype" w:eastAsia="Calibri" w:hAnsi="Palatino Linotype" w:cs="Arial"/>
          <w:color w:val="000000"/>
          <w:lang w:eastAsia="en-US"/>
        </w:rPr>
        <w:t>a clasificación total o parcial de la información requerida, mediante solicitud de acceso a la información pública, constituye una restricción al derecho hu</w:t>
      </w:r>
      <w:r w:rsidR="008B09BB" w:rsidRPr="00336566">
        <w:rPr>
          <w:rFonts w:ascii="Palatino Linotype" w:eastAsia="Calibri" w:hAnsi="Palatino Linotype" w:cs="Arial"/>
          <w:color w:val="000000"/>
          <w:lang w:eastAsia="en-US"/>
        </w:rPr>
        <w:t xml:space="preserve">mano </w:t>
      </w:r>
      <w:r w:rsidR="008B09BB" w:rsidRPr="00336566">
        <w:rPr>
          <w:rFonts w:ascii="Palatino Linotype" w:eastAsia="Calibri" w:hAnsi="Palatino Linotype" w:cs="Arial"/>
          <w:color w:val="000000"/>
          <w:lang w:eastAsia="en-US"/>
        </w:rPr>
        <w:lastRenderedPageBreak/>
        <w:t>de acceso a la información, sin embargo, c</w:t>
      </w:r>
      <w:r w:rsidR="008061A9" w:rsidRPr="00336566">
        <w:rPr>
          <w:rFonts w:ascii="Palatino Linotype" w:eastAsia="Calibri" w:hAnsi="Palatino Linotype" w:cs="Arial"/>
          <w:color w:val="000000"/>
          <w:lang w:eastAsia="en-US"/>
        </w:rPr>
        <w:t>omo reiteradamente han dicho, diversos órganos jurisdiccionales, ningún derecho es absoluto</w:t>
      </w:r>
      <w:r w:rsidR="008061A9" w:rsidRPr="00336566">
        <w:rPr>
          <w:rFonts w:ascii="Palatino Linotype" w:eastAsia="Calibri" w:hAnsi="Palatino Linotype" w:cs="Arial"/>
          <w:color w:val="000000"/>
          <w:vertAlign w:val="superscript"/>
          <w:lang w:eastAsia="en-US"/>
        </w:rPr>
        <w:footnoteReference w:id="2"/>
      </w:r>
      <w:r w:rsidR="008061A9" w:rsidRPr="00336566">
        <w:rPr>
          <w:rFonts w:ascii="Palatino Linotype" w:eastAsia="Calibri" w:hAnsi="Palatino Linotype" w:cs="Arial"/>
          <w:color w:val="000000"/>
          <w:lang w:eastAsia="en-US"/>
        </w:rPr>
        <w:t xml:space="preserve"> aunque cualquier límite o restricción, para ser legítimo, debe reunir con </w:t>
      </w:r>
      <w:r w:rsidR="008061A9" w:rsidRPr="00336566">
        <w:rPr>
          <w:rFonts w:ascii="Palatino Linotype" w:eastAsia="Calibri" w:hAnsi="Palatino Linotype" w:cs="Arial"/>
          <w:color w:val="000000"/>
          <w:u w:val="single"/>
          <w:lang w:eastAsia="en-US"/>
        </w:rPr>
        <w:t>tres requisitos</w:t>
      </w:r>
      <w:r w:rsidR="008061A9" w:rsidRPr="00336566">
        <w:rPr>
          <w:rFonts w:ascii="Palatino Linotype" w:eastAsia="Calibri" w:hAnsi="Palatino Linotype" w:cs="Arial"/>
          <w:color w:val="000000"/>
          <w:lang w:eastAsia="en-US"/>
        </w:rPr>
        <w:t>: primero, debe de estar establecida en un ordenamiento legal, antes de su aplicación; debe de corresponder a un fin legítimo y ser estrictamente proporcional con el principio o valor que se pretende preservar.</w:t>
      </w:r>
      <w:r w:rsidR="008061A9" w:rsidRPr="00336566">
        <w:rPr>
          <w:rFonts w:ascii="Palatino Linotype" w:eastAsia="Calibri" w:hAnsi="Palatino Linotype" w:cs="Arial"/>
          <w:color w:val="000000"/>
          <w:vertAlign w:val="superscript"/>
          <w:lang w:eastAsia="en-US"/>
        </w:rPr>
        <w:footnoteReference w:id="3"/>
      </w:r>
      <w:r w:rsidR="008061A9" w:rsidRPr="00336566">
        <w:rPr>
          <w:rFonts w:ascii="Palatino Linotype" w:eastAsia="Calibri" w:hAnsi="Palatino Linotype" w:cs="Arial"/>
          <w:color w:val="000000"/>
          <w:lang w:eastAsia="en-U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BBB1EA3"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34934089"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01FA223" w14:textId="77777777" w:rsidR="008061A9" w:rsidRPr="00336566" w:rsidRDefault="008061A9" w:rsidP="008061A9">
      <w:pPr>
        <w:spacing w:after="120" w:line="360" w:lineRule="auto"/>
        <w:ind w:left="426" w:right="49"/>
        <w:contextualSpacing/>
        <w:jc w:val="both"/>
        <w:rPr>
          <w:rFonts w:ascii="Palatino Linotype" w:eastAsia="Calibri" w:hAnsi="Palatino Linotype" w:cs="Arial"/>
          <w:b/>
          <w:color w:val="000000"/>
          <w:lang w:val="es-MX" w:eastAsia="en-US"/>
        </w:rPr>
      </w:pPr>
    </w:p>
    <w:p w14:paraId="289BCE71" w14:textId="3C4A15A3" w:rsidR="008061A9" w:rsidRPr="00336566" w:rsidRDefault="00A369C4" w:rsidP="008519DF">
      <w:pPr>
        <w:pStyle w:val="Ttulo2"/>
        <w:rPr>
          <w:rFonts w:ascii="Palatino Linotype" w:hAnsi="Palatino Linotype" w:cs="Arial"/>
          <w:b/>
          <w:color w:val="000000" w:themeColor="text1"/>
          <w:sz w:val="24"/>
          <w:szCs w:val="24"/>
        </w:rPr>
      </w:pPr>
      <w:bookmarkStart w:id="55" w:name="_Toc525558003"/>
      <w:r w:rsidRPr="00336566">
        <w:rPr>
          <w:rFonts w:ascii="Palatino Linotype" w:hAnsi="Palatino Linotype" w:cs="Arial"/>
          <w:b/>
          <w:color w:val="000000" w:themeColor="text1"/>
          <w:sz w:val="24"/>
          <w:szCs w:val="24"/>
        </w:rPr>
        <w:t>II</w:t>
      </w:r>
      <w:r w:rsidR="008B09BB" w:rsidRPr="00336566">
        <w:rPr>
          <w:rFonts w:ascii="Palatino Linotype" w:hAnsi="Palatino Linotype" w:cs="Arial"/>
          <w:b/>
          <w:color w:val="000000" w:themeColor="text1"/>
          <w:sz w:val="24"/>
          <w:szCs w:val="24"/>
        </w:rPr>
        <w:t xml:space="preserve">I.I. </w:t>
      </w:r>
      <w:r w:rsidR="008061A9" w:rsidRPr="00336566">
        <w:rPr>
          <w:rFonts w:ascii="Palatino Linotype" w:hAnsi="Palatino Linotype" w:cs="Arial"/>
          <w:b/>
          <w:color w:val="000000" w:themeColor="text1"/>
          <w:sz w:val="24"/>
          <w:szCs w:val="24"/>
        </w:rPr>
        <w:t>Requisitos previos.</w:t>
      </w:r>
      <w:bookmarkEnd w:id="55"/>
    </w:p>
    <w:p w14:paraId="69233999" w14:textId="77777777" w:rsidR="008B09BB" w:rsidRPr="00336566" w:rsidRDefault="008B09BB" w:rsidP="008061A9">
      <w:pPr>
        <w:spacing w:after="120" w:line="360" w:lineRule="auto"/>
        <w:ind w:left="426" w:right="49"/>
        <w:contextualSpacing/>
        <w:jc w:val="both"/>
        <w:rPr>
          <w:rFonts w:ascii="Palatino Linotype" w:eastAsia="Calibri" w:hAnsi="Palatino Linotype" w:cs="Arial"/>
          <w:b/>
          <w:color w:val="000000"/>
          <w:lang w:val="es-MX" w:eastAsia="en-US"/>
        </w:rPr>
      </w:pPr>
    </w:p>
    <w:p w14:paraId="7C4B8197"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Los artículos 122 y 100 de la Ley Estatal y de la Ley General, respectivamente, señalan que los sujetos obligados determinan que la información actualiza alguno de los supuestos de clasificación;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w:t>
      </w:r>
      <w:r w:rsidRPr="00336566">
        <w:rPr>
          <w:rFonts w:ascii="Palatino Linotype" w:eastAsia="Calibri" w:hAnsi="Palatino Linotype" w:cs="Arial"/>
          <w:b/>
          <w:color w:val="000000"/>
          <w:lang w:eastAsia="en-US"/>
        </w:rPr>
        <w:t xml:space="preserve">nombre, registro federal de contribuyentes, </w:t>
      </w:r>
      <w:r w:rsidRPr="00336566">
        <w:rPr>
          <w:rFonts w:ascii="Palatino Linotype" w:eastAsia="Calibri" w:hAnsi="Palatino Linotype" w:cs="Arial"/>
          <w:b/>
          <w:color w:val="000000"/>
          <w:u w:val="single"/>
          <w:lang w:eastAsia="en-US"/>
        </w:rPr>
        <w:t>edad</w:t>
      </w:r>
      <w:r w:rsidRPr="00336566">
        <w:rPr>
          <w:rFonts w:ascii="Palatino Linotype" w:eastAsia="Calibri" w:hAnsi="Palatino Linotype" w:cs="Arial"/>
          <w:b/>
          <w:color w:val="000000"/>
          <w:lang w:eastAsia="en-US"/>
        </w:rPr>
        <w:t xml:space="preserve">, </w:t>
      </w:r>
      <w:r w:rsidRPr="00336566">
        <w:rPr>
          <w:rFonts w:ascii="Palatino Linotype" w:eastAsia="Calibri" w:hAnsi="Palatino Linotype" w:cs="Arial"/>
          <w:b/>
          <w:color w:val="000000"/>
          <w:u w:val="single"/>
          <w:lang w:eastAsia="en-US"/>
        </w:rPr>
        <w:t>domicilio,</w:t>
      </w:r>
      <w:r w:rsidRPr="00336566">
        <w:rPr>
          <w:rFonts w:ascii="Palatino Linotype" w:eastAsia="Calibri" w:hAnsi="Palatino Linotype" w:cs="Arial"/>
          <w:b/>
          <w:color w:val="000000"/>
          <w:lang w:eastAsia="en-US"/>
        </w:rPr>
        <w:t xml:space="preserve"> </w:t>
      </w:r>
      <w:r w:rsidRPr="00336566">
        <w:rPr>
          <w:rFonts w:ascii="Palatino Linotype" w:eastAsia="Calibri" w:hAnsi="Palatino Linotype" w:cs="Arial"/>
          <w:b/>
          <w:color w:val="000000"/>
          <w:u w:val="single"/>
          <w:lang w:eastAsia="en-US"/>
        </w:rPr>
        <w:t>fotografía</w:t>
      </w:r>
      <w:r w:rsidRPr="00336566">
        <w:rPr>
          <w:rFonts w:ascii="Palatino Linotype" w:eastAsia="Calibri" w:hAnsi="Palatino Linotype" w:cs="Arial"/>
          <w:b/>
          <w:color w:val="000000"/>
          <w:lang w:eastAsia="en-US"/>
        </w:rPr>
        <w:t xml:space="preserve">, </w:t>
      </w:r>
      <w:r w:rsidRPr="00336566">
        <w:rPr>
          <w:rFonts w:ascii="Palatino Linotype" w:eastAsia="Calibri" w:hAnsi="Palatino Linotype" w:cs="Arial"/>
          <w:b/>
          <w:color w:val="000000"/>
          <w:u w:val="single"/>
          <w:lang w:eastAsia="en-US"/>
        </w:rPr>
        <w:t>firma</w:t>
      </w:r>
      <w:r w:rsidRPr="00336566">
        <w:rPr>
          <w:rFonts w:ascii="Palatino Linotype" w:eastAsia="Calibri" w:hAnsi="Palatino Linotype" w:cs="Arial"/>
          <w:b/>
          <w:color w:val="000000"/>
          <w:lang w:eastAsia="en-US"/>
        </w:rPr>
        <w:t>, entre otros</w:t>
      </w:r>
      <w:r w:rsidRPr="00336566">
        <w:rPr>
          <w:rFonts w:ascii="Palatino Linotype" w:eastAsia="Calibri" w:hAnsi="Palatino Linotype" w:cs="Arial"/>
          <w:color w:val="000000"/>
          <w:lang w:eastAsia="en-US"/>
        </w:rPr>
        <w:t>) que forme parte de algún documento o el documento que se pretende clasificar (contrato, licencia, póliza, entre otros), señalando el supuesto de clasificación (confidencialidad o reserva).</w:t>
      </w:r>
    </w:p>
    <w:p w14:paraId="77B77510"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5412E6B7"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429D6B7"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041F1B54"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lastRenderedPageBreak/>
        <w:t xml:space="preserve">El último de estos requisitos consiste en que </w:t>
      </w:r>
      <w:r w:rsidRPr="00336566">
        <w:rPr>
          <w:rFonts w:ascii="Palatino Linotype" w:eastAsia="Calibri" w:hAnsi="Palatino Linotype" w:cs="Arial"/>
          <w:color w:val="000000"/>
          <w:u w:val="single"/>
          <w:lang w:eastAsia="en-US"/>
        </w:rPr>
        <w:t>no se pueden emitir acuerdos de carácter general ni particular</w:t>
      </w:r>
      <w:r w:rsidRPr="00336566">
        <w:rPr>
          <w:rFonts w:ascii="Palatino Linotype" w:eastAsia="Calibri" w:hAnsi="Palatino Linotype" w:cs="Arial"/>
          <w:color w:val="000000"/>
          <w:lang w:eastAsia="en-US"/>
        </w:rPr>
        <w:t xml:space="preserve">, según lo disponen los artículos 134 y 108 de la Ley Estatal y de la Ley General, respectivamente, esto es, </w:t>
      </w:r>
      <w:r w:rsidRPr="00336566">
        <w:rPr>
          <w:rFonts w:ascii="Palatino Linotype" w:eastAsia="Calibri" w:hAnsi="Palatino Linotype" w:cs="Arial"/>
          <w:b/>
          <w:color w:val="000000"/>
          <w:u w:val="single"/>
          <w:lang w:eastAsia="en-US"/>
        </w:rPr>
        <w:t xml:space="preserve">no se puede hacer un acuerdo para clasificar de manera general todos los documentos de un expediente o área,  </w:t>
      </w:r>
      <w:r w:rsidRPr="00336566">
        <w:rPr>
          <w:rFonts w:ascii="Palatino Linotype" w:eastAsia="Calibri" w:hAnsi="Palatino Linotype" w:cs="Arial"/>
          <w:color w:val="000000"/>
          <w:lang w:eastAsia="en-US"/>
        </w:rPr>
        <w:t xml:space="preserve">sin individualizar su análisis y </w:t>
      </w:r>
      <w:r w:rsidRPr="00336566">
        <w:rPr>
          <w:rFonts w:ascii="Palatino Linotype" w:eastAsia="Calibri" w:hAnsi="Palatino Linotype" w:cs="Arial"/>
          <w:color w:val="000000"/>
          <w:u w:val="single"/>
          <w:lang w:eastAsia="en-US"/>
        </w:rPr>
        <w:t>tampoco se puede hacer un acuerdo por cada dato que se vaya a clasificar</w:t>
      </w:r>
      <w:r w:rsidRPr="00336566">
        <w:rPr>
          <w:rFonts w:ascii="Palatino Linotype" w:eastAsia="Calibri" w:hAnsi="Palatino Linotype" w:cs="Arial"/>
          <w:color w:val="000000"/>
          <w:lang w:eastAsia="en-US"/>
        </w:rPr>
        <w:t xml:space="preserve"> dentro de un documento con diez datos, susceptibles de ser clasificados.</w:t>
      </w:r>
    </w:p>
    <w:p w14:paraId="386807E9" w14:textId="77777777" w:rsidR="008061A9" w:rsidRPr="00336566" w:rsidRDefault="008061A9" w:rsidP="008061A9">
      <w:pPr>
        <w:spacing w:after="120" w:line="360" w:lineRule="auto"/>
        <w:ind w:left="426" w:right="49"/>
        <w:contextualSpacing/>
        <w:jc w:val="both"/>
        <w:rPr>
          <w:rFonts w:ascii="Palatino Linotype" w:eastAsia="Calibri" w:hAnsi="Palatino Linotype" w:cs="Arial"/>
          <w:b/>
          <w:color w:val="000000"/>
          <w:lang w:val="es-MX" w:eastAsia="en-US"/>
        </w:rPr>
      </w:pPr>
    </w:p>
    <w:p w14:paraId="0A04376F" w14:textId="33E04679" w:rsidR="008061A9" w:rsidRPr="00336566" w:rsidRDefault="00A369C4" w:rsidP="008519DF">
      <w:pPr>
        <w:pStyle w:val="Ttulo2"/>
        <w:rPr>
          <w:rFonts w:ascii="Palatino Linotype" w:hAnsi="Palatino Linotype"/>
          <w:b/>
          <w:color w:val="000000" w:themeColor="text1"/>
          <w:sz w:val="24"/>
        </w:rPr>
      </w:pPr>
      <w:bookmarkStart w:id="56" w:name="_Toc525558004"/>
      <w:r w:rsidRPr="00336566">
        <w:rPr>
          <w:rFonts w:ascii="Palatino Linotype" w:hAnsi="Palatino Linotype"/>
          <w:b/>
          <w:color w:val="000000" w:themeColor="text1"/>
          <w:sz w:val="24"/>
        </w:rPr>
        <w:t xml:space="preserve">III.II </w:t>
      </w:r>
      <w:r w:rsidR="008061A9" w:rsidRPr="00336566">
        <w:rPr>
          <w:rFonts w:ascii="Palatino Linotype" w:hAnsi="Palatino Linotype"/>
          <w:b/>
          <w:color w:val="000000" w:themeColor="text1"/>
          <w:sz w:val="24"/>
        </w:rPr>
        <w:t>Supuestos de clasificación.</w:t>
      </w:r>
      <w:bookmarkEnd w:id="56"/>
    </w:p>
    <w:p w14:paraId="5ECF633B" w14:textId="77777777" w:rsidR="008061A9" w:rsidRPr="00336566" w:rsidRDefault="008061A9" w:rsidP="008061A9">
      <w:pPr>
        <w:spacing w:after="120" w:line="360" w:lineRule="auto"/>
        <w:ind w:left="426" w:right="49"/>
        <w:contextualSpacing/>
        <w:jc w:val="both"/>
        <w:rPr>
          <w:rFonts w:ascii="Palatino Linotype" w:eastAsia="Calibri" w:hAnsi="Palatino Linotype" w:cs="Arial"/>
          <w:b/>
          <w:color w:val="000000"/>
          <w:lang w:val="es-MX" w:eastAsia="en-US"/>
        </w:rPr>
      </w:pPr>
    </w:p>
    <w:p w14:paraId="551EBA54"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val="es-MX" w:eastAsia="en-US"/>
        </w:rPr>
      </w:pPr>
      <w:r w:rsidRPr="00336566">
        <w:rPr>
          <w:rFonts w:ascii="Palatino Linotype" w:eastAsia="Calibri" w:hAnsi="Palatino Linotype" w:cs="Arial"/>
          <w:color w:val="000000"/>
          <w:lang w:val="es-MX" w:eastAsia="en-US"/>
        </w:rPr>
        <w:t>Las disposiciones constitucionales y legales en la materia establecen los dos supuestos generales para clasificar la información: por reserva y por confidencialidad.</w:t>
      </w:r>
    </w:p>
    <w:p w14:paraId="16DF17F0"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07A6097D"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Los artículos 143 y 116 de la Ley Estatal y de la Ley General, respectivamente, señalan los supuestos para que la información pueda ser clasificada como confidencial:</w:t>
      </w:r>
    </w:p>
    <w:p w14:paraId="4592DE41" w14:textId="77777777" w:rsidR="008B09BB" w:rsidRPr="00336566" w:rsidRDefault="008B09BB" w:rsidP="008B09BB">
      <w:pPr>
        <w:pStyle w:val="Prrafodelista"/>
        <w:rPr>
          <w:rFonts w:ascii="Palatino Linotype" w:eastAsia="Calibri" w:hAnsi="Palatino Linotype" w:cs="Arial"/>
          <w:color w:val="000000"/>
          <w:lang w:eastAsia="en-US"/>
        </w:rPr>
      </w:pPr>
    </w:p>
    <w:p w14:paraId="5F9DD8CB" w14:textId="77777777" w:rsidR="008B09BB" w:rsidRPr="00336566" w:rsidRDefault="008B09BB" w:rsidP="008B09BB">
      <w:pPr>
        <w:spacing w:after="120" w:line="360" w:lineRule="auto"/>
        <w:ind w:right="49"/>
        <w:contextualSpacing/>
        <w:jc w:val="both"/>
        <w:rPr>
          <w:rFonts w:ascii="Palatino Linotype" w:eastAsia="Calibri" w:hAnsi="Palatino Linotype" w:cs="Arial"/>
          <w:color w:val="000000"/>
          <w:lang w:eastAsia="en-US"/>
        </w:rPr>
      </w:pPr>
    </w:p>
    <w:p w14:paraId="07C6B5D6" w14:textId="77777777" w:rsidR="008061A9" w:rsidRPr="00336566" w:rsidRDefault="008061A9" w:rsidP="008B09BB">
      <w:pPr>
        <w:spacing w:after="120" w:line="360" w:lineRule="auto"/>
        <w:ind w:left="567" w:right="567"/>
        <w:contextualSpacing/>
        <w:jc w:val="both"/>
        <w:rPr>
          <w:rFonts w:ascii="Palatino Linotype" w:eastAsia="Calibri" w:hAnsi="Palatino Linotype" w:cs="Arial"/>
          <w:i/>
          <w:color w:val="000000"/>
          <w:lang w:val="es-MX" w:eastAsia="en-US"/>
        </w:rPr>
      </w:pPr>
      <w:r w:rsidRPr="00336566">
        <w:rPr>
          <w:rFonts w:ascii="Palatino Linotype" w:eastAsia="Calibri" w:hAnsi="Palatino Linotype" w:cs="Arial"/>
          <w:bCs/>
          <w:i/>
          <w:color w:val="000000"/>
          <w:lang w:val="es-MX" w:eastAsia="en-US"/>
        </w:rPr>
        <w:t xml:space="preserve">I. </w:t>
      </w:r>
      <w:r w:rsidRPr="00336566">
        <w:rPr>
          <w:rFonts w:ascii="Palatino Linotype" w:eastAsia="Calibri" w:hAnsi="Palatino Linotype" w:cs="Arial"/>
          <w:i/>
          <w:color w:val="000000"/>
          <w:lang w:val="es-MX" w:eastAsia="en-US"/>
        </w:rPr>
        <w:t xml:space="preserve">Se refiera a la información privada y los datos personales concernientes a una persona física o </w:t>
      </w:r>
      <w:proofErr w:type="gramStart"/>
      <w:r w:rsidRPr="00336566">
        <w:rPr>
          <w:rFonts w:ascii="Palatino Linotype" w:eastAsia="Calibri" w:hAnsi="Palatino Linotype" w:cs="Arial"/>
          <w:i/>
          <w:color w:val="000000"/>
          <w:lang w:val="es-MX" w:eastAsia="en-US"/>
        </w:rPr>
        <w:t>jurídico</w:t>
      </w:r>
      <w:proofErr w:type="gramEnd"/>
      <w:r w:rsidRPr="00336566">
        <w:rPr>
          <w:rFonts w:ascii="Palatino Linotype" w:eastAsia="Calibri" w:hAnsi="Palatino Linotype" w:cs="Arial"/>
          <w:i/>
          <w:color w:val="000000"/>
          <w:lang w:val="es-MX" w:eastAsia="en-US"/>
        </w:rPr>
        <w:t xml:space="preserve"> colectiva identificada o identificable; </w:t>
      </w:r>
    </w:p>
    <w:p w14:paraId="6D3A99C6" w14:textId="77777777" w:rsidR="008061A9" w:rsidRPr="00336566" w:rsidRDefault="008061A9" w:rsidP="008B09BB">
      <w:pPr>
        <w:spacing w:after="120" w:line="360" w:lineRule="auto"/>
        <w:ind w:left="567" w:right="567"/>
        <w:contextualSpacing/>
        <w:jc w:val="both"/>
        <w:rPr>
          <w:rFonts w:ascii="Palatino Linotype" w:eastAsia="Calibri" w:hAnsi="Palatino Linotype" w:cs="Arial"/>
          <w:i/>
          <w:color w:val="000000"/>
          <w:lang w:val="es-MX" w:eastAsia="en-US"/>
        </w:rPr>
      </w:pPr>
      <w:r w:rsidRPr="00336566">
        <w:rPr>
          <w:rFonts w:ascii="Palatino Linotype" w:eastAsia="Calibri" w:hAnsi="Palatino Linotype" w:cs="Arial"/>
          <w:bCs/>
          <w:i/>
          <w:color w:val="000000"/>
          <w:lang w:val="es-MX" w:eastAsia="en-US"/>
        </w:rPr>
        <w:t xml:space="preserve">II. </w:t>
      </w:r>
      <w:r w:rsidRPr="00336566">
        <w:rPr>
          <w:rFonts w:ascii="Palatino Linotype" w:eastAsia="Calibri" w:hAnsi="Palatino Linotype" w:cs="Arial"/>
          <w:i/>
          <w:color w:val="000000"/>
          <w:lang w:val="es-MX" w:eastAsia="en-US"/>
        </w:rPr>
        <w:t xml:space="preserve">Los secretos bancario, fiduciario, industrial, comercial, fiscal, bursátil y postal, cuya titularidad corresponda a particulares, sujetos de derecho </w:t>
      </w:r>
      <w:r w:rsidRPr="00336566">
        <w:rPr>
          <w:rFonts w:ascii="Palatino Linotype" w:eastAsia="Calibri" w:hAnsi="Palatino Linotype" w:cs="Arial"/>
          <w:i/>
          <w:color w:val="000000"/>
          <w:lang w:val="es-MX" w:eastAsia="en-US"/>
        </w:rPr>
        <w:lastRenderedPageBreak/>
        <w:t xml:space="preserve">internacional o a sujetos obligados cuando no involucren el ejercicio de recursos públicos; y </w:t>
      </w:r>
    </w:p>
    <w:p w14:paraId="7C2A2242" w14:textId="77777777" w:rsidR="008061A9" w:rsidRPr="00336566" w:rsidRDefault="008061A9" w:rsidP="008B09BB">
      <w:pPr>
        <w:spacing w:after="120" w:line="360" w:lineRule="auto"/>
        <w:ind w:left="567" w:right="567"/>
        <w:contextualSpacing/>
        <w:jc w:val="both"/>
        <w:rPr>
          <w:rFonts w:ascii="Palatino Linotype" w:eastAsia="Calibri" w:hAnsi="Palatino Linotype" w:cs="Arial"/>
          <w:i/>
          <w:color w:val="000000"/>
          <w:lang w:val="es-MX" w:eastAsia="en-US"/>
        </w:rPr>
      </w:pPr>
      <w:r w:rsidRPr="00336566">
        <w:rPr>
          <w:rFonts w:ascii="Palatino Linotype" w:eastAsia="Calibri" w:hAnsi="Palatino Linotype" w:cs="Arial"/>
          <w:bCs/>
          <w:i/>
          <w:color w:val="000000"/>
          <w:lang w:val="es-MX" w:eastAsia="en-US"/>
        </w:rPr>
        <w:t xml:space="preserve">III. </w:t>
      </w:r>
      <w:r w:rsidRPr="00336566">
        <w:rPr>
          <w:rFonts w:ascii="Palatino Linotype" w:eastAsia="Calibri" w:hAnsi="Palatino Linotype" w:cs="Arial"/>
          <w:i/>
          <w:color w:val="000000"/>
          <w:lang w:val="es-MX" w:eastAsia="en-US"/>
        </w:rPr>
        <w:t xml:space="preserve">La que presenten los particulares a los sujetos obligados, de conformidad con lo dispuesto por las leyes o los tratados internacionales. </w:t>
      </w:r>
    </w:p>
    <w:p w14:paraId="77713C61" w14:textId="77777777" w:rsidR="008061A9" w:rsidRPr="00336566" w:rsidRDefault="008061A9" w:rsidP="008B09BB">
      <w:pPr>
        <w:spacing w:after="120" w:line="360" w:lineRule="auto"/>
        <w:ind w:left="567" w:right="567"/>
        <w:contextualSpacing/>
        <w:jc w:val="both"/>
        <w:rPr>
          <w:rFonts w:ascii="Palatino Linotype" w:eastAsia="Calibri" w:hAnsi="Palatino Linotype" w:cs="Arial"/>
          <w:i/>
          <w:color w:val="000000"/>
          <w:lang w:val="es-MX" w:eastAsia="en-US"/>
        </w:rPr>
      </w:pPr>
      <w:r w:rsidRPr="00336566">
        <w:rPr>
          <w:rFonts w:ascii="Palatino Linotype" w:eastAsia="Calibri" w:hAnsi="Palatino Linotype" w:cs="Arial"/>
          <w:i/>
          <w:color w:val="000000"/>
          <w:lang w:val="es-MX" w:eastAsia="en-US"/>
        </w:rPr>
        <w:t xml:space="preserve">La información confidencial no estará sujeta a temporalidad alguna y sólo podrán tener acceso a ella los titulares de la misma, sus representantes y los servidores públicos facultados para ello. </w:t>
      </w:r>
    </w:p>
    <w:p w14:paraId="4E263F90" w14:textId="77777777" w:rsidR="008061A9" w:rsidRPr="00336566" w:rsidRDefault="008061A9" w:rsidP="008B09BB">
      <w:pPr>
        <w:spacing w:after="120" w:line="360" w:lineRule="auto"/>
        <w:ind w:left="567" w:right="567"/>
        <w:contextualSpacing/>
        <w:jc w:val="both"/>
        <w:rPr>
          <w:rFonts w:ascii="Palatino Linotype" w:eastAsia="Calibri" w:hAnsi="Palatino Linotype" w:cs="Arial"/>
          <w:i/>
          <w:color w:val="000000"/>
          <w:lang w:val="es-MX" w:eastAsia="en-US"/>
        </w:rPr>
      </w:pPr>
      <w:r w:rsidRPr="00336566">
        <w:rPr>
          <w:rFonts w:ascii="Palatino Linotype" w:eastAsia="Calibri" w:hAnsi="Palatino Linotype" w:cs="Arial"/>
          <w:i/>
          <w:color w:val="000000"/>
          <w:lang w:val="es-MX" w:eastAsia="en-US"/>
        </w:rPr>
        <w:t xml:space="preserve">No se considerará confidencial la información que se encuentre en los registros públicos o en fuentes de acceso público, ni tampoco la que sea considerada por la presente ley como información pública. </w:t>
      </w:r>
    </w:p>
    <w:p w14:paraId="2C614790" w14:textId="77777777" w:rsidR="008061A9" w:rsidRPr="00336566" w:rsidRDefault="008061A9" w:rsidP="008061A9">
      <w:pPr>
        <w:spacing w:after="120" w:line="360" w:lineRule="auto"/>
        <w:ind w:left="426" w:right="49"/>
        <w:contextualSpacing/>
        <w:jc w:val="both"/>
        <w:rPr>
          <w:rFonts w:ascii="Palatino Linotype" w:eastAsia="Calibri" w:hAnsi="Palatino Linotype" w:cs="Arial"/>
          <w:i/>
          <w:color w:val="000000"/>
          <w:lang w:val="es-MX" w:eastAsia="en-US"/>
        </w:rPr>
      </w:pPr>
    </w:p>
    <w:p w14:paraId="2B032765"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30B1D7E"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val="es-MX" w:eastAsia="en-US"/>
        </w:rPr>
      </w:pPr>
    </w:p>
    <w:p w14:paraId="4C772F68"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Como consecuencia de lo anterior, el Sujeto Obligado debe </w:t>
      </w:r>
      <w:r w:rsidRPr="00336566">
        <w:rPr>
          <w:rFonts w:ascii="Palatino Linotype" w:eastAsia="Calibri" w:hAnsi="Palatino Linotype" w:cs="Arial"/>
          <w:b/>
          <w:color w:val="000000"/>
          <w:lang w:eastAsia="en-US"/>
        </w:rPr>
        <w:t>identificar claramente el tipo de información y hacer un juicio de subsunción o encaje</w:t>
      </w:r>
      <w:r w:rsidRPr="00336566">
        <w:rPr>
          <w:rFonts w:ascii="Palatino Linotype" w:eastAsia="Calibri" w:hAnsi="Palatino Linotype" w:cs="Arial"/>
          <w:color w:val="000000"/>
          <w:vertAlign w:val="superscript"/>
          <w:lang w:eastAsia="en-US"/>
        </w:rPr>
        <w:footnoteReference w:id="4"/>
      </w:r>
      <w:r w:rsidRPr="00336566">
        <w:rPr>
          <w:rFonts w:ascii="Palatino Linotype" w:eastAsia="Calibri" w:hAnsi="Palatino Linotype" w:cs="Arial"/>
          <w:color w:val="000000"/>
          <w:lang w:eastAsia="en-US"/>
        </w:rPr>
        <w:t xml:space="preserve"> para </w:t>
      </w:r>
      <w:r w:rsidRPr="00336566">
        <w:rPr>
          <w:rFonts w:ascii="Palatino Linotype" w:eastAsia="Calibri" w:hAnsi="Palatino Linotype" w:cs="Arial"/>
          <w:color w:val="000000"/>
          <w:lang w:eastAsia="en-US"/>
        </w:rPr>
        <w:lastRenderedPageBreak/>
        <w:t xml:space="preserve">acreditar que el supuesto de hecho corresponde estrictamente con la hipótesis jurídica. </w:t>
      </w:r>
    </w:p>
    <w:p w14:paraId="1362914F" w14:textId="77777777" w:rsidR="008061A9" w:rsidRPr="00336566" w:rsidRDefault="008061A9" w:rsidP="008061A9">
      <w:pPr>
        <w:spacing w:after="160" w:line="259" w:lineRule="auto"/>
        <w:rPr>
          <w:rFonts w:ascii="Palatino Linotype" w:eastAsia="Calibri" w:hAnsi="Palatino Linotype" w:cs="Arial"/>
          <w:color w:val="000000"/>
          <w:lang w:eastAsia="en-US"/>
        </w:rPr>
      </w:pPr>
    </w:p>
    <w:p w14:paraId="476D4616" w14:textId="6CA3FC2D" w:rsidR="008061A9" w:rsidRPr="00336566" w:rsidRDefault="00A369C4" w:rsidP="008519DF">
      <w:pPr>
        <w:pStyle w:val="Ttulo2"/>
        <w:rPr>
          <w:rFonts w:ascii="Palatino Linotype" w:hAnsi="Palatino Linotype"/>
          <w:b/>
          <w:color w:val="000000" w:themeColor="text1"/>
          <w:sz w:val="24"/>
          <w:szCs w:val="24"/>
        </w:rPr>
      </w:pPr>
      <w:bookmarkStart w:id="58" w:name="_Toc525558005"/>
      <w:r w:rsidRPr="00336566">
        <w:rPr>
          <w:rFonts w:ascii="Palatino Linotype" w:hAnsi="Palatino Linotype"/>
          <w:b/>
          <w:color w:val="000000" w:themeColor="text1"/>
          <w:sz w:val="24"/>
          <w:szCs w:val="24"/>
        </w:rPr>
        <w:t xml:space="preserve">III.III. </w:t>
      </w:r>
      <w:r w:rsidR="008061A9" w:rsidRPr="00336566">
        <w:rPr>
          <w:rFonts w:ascii="Palatino Linotype" w:hAnsi="Palatino Linotype"/>
          <w:b/>
          <w:color w:val="000000" w:themeColor="text1"/>
          <w:sz w:val="24"/>
          <w:szCs w:val="24"/>
        </w:rPr>
        <w:t>Formalidades para emitir el acuerdo de clasificación.</w:t>
      </w:r>
      <w:bookmarkEnd w:id="58"/>
    </w:p>
    <w:p w14:paraId="2D4300A6" w14:textId="77777777" w:rsidR="008B09BB" w:rsidRPr="00336566" w:rsidRDefault="008B09BB" w:rsidP="008061A9">
      <w:pPr>
        <w:spacing w:after="120" w:line="360" w:lineRule="auto"/>
        <w:ind w:left="426" w:right="49"/>
        <w:contextualSpacing/>
        <w:jc w:val="both"/>
        <w:rPr>
          <w:rFonts w:ascii="Palatino Linotype" w:eastAsia="Calibri" w:hAnsi="Palatino Linotype" w:cs="Arial"/>
          <w:b/>
          <w:color w:val="000000"/>
          <w:lang w:val="es-MX" w:eastAsia="en-US"/>
        </w:rPr>
      </w:pPr>
    </w:p>
    <w:p w14:paraId="46269149" w14:textId="77777777"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0A06872"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34D3CFD5" w14:textId="51672B00" w:rsidR="008061A9" w:rsidRPr="00336566" w:rsidRDefault="008061A9" w:rsidP="008B09BB">
      <w:pPr>
        <w:numPr>
          <w:ilvl w:val="0"/>
          <w:numId w:val="1"/>
        </w:numPr>
        <w:spacing w:after="120" w:line="360" w:lineRule="auto"/>
        <w:ind w:left="0" w:right="49" w:firstLine="0"/>
        <w:contextualSpacing/>
        <w:jc w:val="both"/>
        <w:rPr>
          <w:rFonts w:ascii="Palatino Linotype" w:eastAsia="Calibri" w:hAnsi="Palatino Linotype" w:cs="Arial"/>
          <w:color w:val="000000"/>
          <w:u w:val="single"/>
          <w:lang w:eastAsia="en-US"/>
        </w:rPr>
      </w:pPr>
      <w:r w:rsidRPr="00336566">
        <w:rPr>
          <w:rFonts w:ascii="Palatino Linotype" w:eastAsia="Calibri" w:hAnsi="Palatino Linotype" w:cs="Arial"/>
          <w:color w:val="000000"/>
          <w:lang w:eastAsia="en-US"/>
        </w:rPr>
        <w:t xml:space="preserve">Evidentemente, esta decisión implica una restricción a un derecho humano, por lo tanto, puede generar un agravio al particular y, en consecuencia, es necesario que </w:t>
      </w:r>
      <w:r w:rsidRPr="00336566">
        <w:rPr>
          <w:rFonts w:ascii="Palatino Linotype" w:eastAsia="Calibri" w:hAnsi="Palatino Linotype" w:cs="Arial"/>
          <w:b/>
          <w:color w:val="000000"/>
          <w:u w:val="single"/>
          <w:lang w:eastAsia="en-US"/>
        </w:rPr>
        <w:t>el acto reúna con los requisitos elementales</w:t>
      </w:r>
      <w:r w:rsidRPr="00336566">
        <w:rPr>
          <w:rFonts w:ascii="Palatino Linotype" w:eastAsia="Calibri" w:hAnsi="Palatino Linotype" w:cs="Arial"/>
          <w:color w:val="000000"/>
          <w:lang w:eastAsia="en-US"/>
        </w:rPr>
        <w:t xml:space="preserve">, entre ellos, que la autoridad que va a emitir el acto de autoridad sea la legalmente facultada para ello, es decir, que cumpla con el principio de reserva de ley,  por lo que no está demás señalar que el artículo </w:t>
      </w:r>
      <w:r w:rsidRPr="00336566">
        <w:rPr>
          <w:rFonts w:ascii="Palatino Linotype" w:eastAsia="Calibri" w:hAnsi="Palatino Linotype" w:cs="Arial"/>
          <w:b/>
          <w:color w:val="000000"/>
          <w:lang w:eastAsia="en-US"/>
        </w:rPr>
        <w:t xml:space="preserve">45 de la Ley Estatal, claramente señala que el Comité de Transparencia, </w:t>
      </w:r>
      <w:r w:rsidRPr="00336566">
        <w:rPr>
          <w:rFonts w:ascii="Palatino Linotype" w:eastAsia="Calibri" w:hAnsi="Palatino Linotype" w:cs="Arial"/>
          <w:b/>
          <w:color w:val="000000"/>
          <w:lang w:eastAsia="en-US"/>
        </w:rPr>
        <w:lastRenderedPageBreak/>
        <w:t>legalmente facultado para emitir el acuerdo de clasificación, se integra por el Titular de la Unidad de Transparencia, el responsable del área coordinadora de archivos, el titular del órgano interno de control y el servidor público encargado de la protección de los datos personales;</w:t>
      </w:r>
      <w:r w:rsidRPr="00336566">
        <w:rPr>
          <w:rFonts w:ascii="Palatino Linotype" w:eastAsia="Calibri" w:hAnsi="Palatino Linotype" w:cs="Arial"/>
          <w:color w:val="000000"/>
          <w:lang w:eastAsia="en-US"/>
        </w:rPr>
        <w:t xml:space="preserve"> </w:t>
      </w:r>
      <w:r w:rsidRPr="00336566">
        <w:rPr>
          <w:rFonts w:ascii="Palatino Linotype" w:eastAsia="Calibri" w:hAnsi="Palatino Linotype" w:cs="Arial"/>
          <w:b/>
          <w:color w:val="000000"/>
          <w:lang w:eastAsia="en-US"/>
        </w:rPr>
        <w:t>integrado siempre por un número impar y que no debe de existir dependencia jerárquica entre sus integrantes.</w:t>
      </w:r>
      <w:r w:rsidRPr="00336566">
        <w:rPr>
          <w:rFonts w:ascii="Palatino Linotype" w:eastAsia="Calibri" w:hAnsi="Palatino Linotype" w:cs="Arial"/>
          <w:color w:val="000000"/>
          <w:lang w:eastAsia="en-US"/>
        </w:rPr>
        <w:t xml:space="preserve"> </w:t>
      </w:r>
      <w:r w:rsidR="004D78A7" w:rsidRPr="00336566">
        <w:rPr>
          <w:rFonts w:ascii="Palatino Linotype" w:eastAsia="Calibri" w:hAnsi="Palatino Linotype" w:cs="Arial"/>
          <w:color w:val="000000"/>
          <w:lang w:eastAsia="en-US"/>
        </w:rPr>
        <w:t xml:space="preserve">Situación que cabe señalar no concurrió en el presente asunto por lo que </w:t>
      </w:r>
      <w:r w:rsidR="004D78A7" w:rsidRPr="00336566">
        <w:rPr>
          <w:rFonts w:ascii="Palatino Linotype" w:eastAsia="Calibri" w:hAnsi="Palatino Linotype" w:cs="Arial"/>
          <w:b/>
          <w:color w:val="000000"/>
          <w:lang w:eastAsia="en-US"/>
        </w:rPr>
        <w:t>c</w:t>
      </w:r>
      <w:r w:rsidRPr="00336566">
        <w:rPr>
          <w:rFonts w:ascii="Palatino Linotype" w:eastAsia="Calibri" w:hAnsi="Palatino Linotype" w:cs="Arial"/>
          <w:b/>
          <w:color w:val="000000"/>
          <w:lang w:eastAsia="en-US"/>
        </w:rPr>
        <w:t>ualquier otra composición del Comité puede generar vicios de legalidad de origen en el acto que restringe un derecho humano.</w:t>
      </w:r>
    </w:p>
    <w:p w14:paraId="3CD8DFDE"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6711180B"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D45A61"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0E9C02CC" w14:textId="7010DC1F" w:rsidR="008061A9" w:rsidRPr="00336566" w:rsidRDefault="00A369C4" w:rsidP="008519DF">
      <w:pPr>
        <w:pStyle w:val="Ttulo2"/>
        <w:rPr>
          <w:rFonts w:ascii="Palatino Linotype" w:hAnsi="Palatino Linotype"/>
          <w:b/>
          <w:color w:val="000000" w:themeColor="text1"/>
          <w:sz w:val="24"/>
          <w:szCs w:val="24"/>
        </w:rPr>
      </w:pPr>
      <w:bookmarkStart w:id="59" w:name="_Toc525558006"/>
      <w:r w:rsidRPr="00336566">
        <w:rPr>
          <w:rFonts w:ascii="Palatino Linotype" w:hAnsi="Palatino Linotype"/>
          <w:b/>
          <w:color w:val="000000" w:themeColor="text1"/>
          <w:sz w:val="24"/>
          <w:szCs w:val="24"/>
        </w:rPr>
        <w:t xml:space="preserve">III.IV. </w:t>
      </w:r>
      <w:r w:rsidR="008061A9" w:rsidRPr="00336566">
        <w:rPr>
          <w:rFonts w:ascii="Palatino Linotype" w:hAnsi="Palatino Linotype"/>
          <w:b/>
          <w:color w:val="000000" w:themeColor="text1"/>
          <w:sz w:val="24"/>
          <w:szCs w:val="24"/>
        </w:rPr>
        <w:t>Requisitos de fondo del acuerdo de clasificación.</w:t>
      </w:r>
      <w:bookmarkEnd w:id="59"/>
    </w:p>
    <w:p w14:paraId="1224117F"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val="es-MX" w:eastAsia="en-US"/>
        </w:rPr>
      </w:pPr>
    </w:p>
    <w:p w14:paraId="0CBFF042"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w:t>
      </w:r>
      <w:r w:rsidRPr="00336566">
        <w:rPr>
          <w:rFonts w:ascii="Palatino Linotype" w:eastAsia="Calibri" w:hAnsi="Palatino Linotype" w:cs="Arial"/>
          <w:color w:val="000000"/>
          <w:lang w:eastAsia="en-US"/>
        </w:rPr>
        <w:lastRenderedPageBreak/>
        <w:t xml:space="preserve">párrafo de la Ley Estatal y de la Ley General respectivamente, y el numeral sexagésimo segundo de los Lineamientos Generales,  al señalar que la carga de la prueba, para justificar las restricciones, corresponde a los Sujetos Obligados, por lo que deberán fundar y motivar debidamente la clasificación. </w:t>
      </w:r>
    </w:p>
    <w:p w14:paraId="3A70D384"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156F49FE"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De lo anterior, se desprende que para una correcta </w:t>
      </w:r>
      <w:r w:rsidRPr="00336566">
        <w:rPr>
          <w:rFonts w:ascii="Palatino Linotype" w:eastAsia="Calibri" w:hAnsi="Palatino Linotype" w:cs="Arial"/>
          <w:b/>
          <w:color w:val="000000"/>
          <w:lang w:eastAsia="en-US"/>
        </w:rPr>
        <w:t>clasificación total o parcial</w:t>
      </w:r>
      <w:r w:rsidRPr="00336566">
        <w:rPr>
          <w:rFonts w:ascii="Palatino Linotype" w:eastAsia="Calibri" w:hAnsi="Palatino Linotype" w:cs="Arial"/>
          <w:color w:val="000000"/>
          <w:lang w:eastAsia="en-US"/>
        </w:rPr>
        <w:t xml:space="preserve">, esto es </w:t>
      </w:r>
      <w:r w:rsidRPr="00336566">
        <w:rPr>
          <w:rFonts w:ascii="Palatino Linotype" w:eastAsia="Calibri" w:hAnsi="Palatino Linotype" w:cs="Arial"/>
          <w:b/>
          <w:color w:val="000000"/>
          <w:lang w:eastAsia="en-US"/>
        </w:rPr>
        <w:t>determinar los datos que se suprimen en las versiones públicas</w:t>
      </w:r>
      <w:r w:rsidRPr="00336566">
        <w:rPr>
          <w:rFonts w:ascii="Palatino Linotype" w:eastAsia="Calibri" w:hAnsi="Palatino Linotype" w:cs="Arial"/>
          <w:color w:val="000000"/>
          <w:lang w:eastAsia="en-US"/>
        </w:rPr>
        <w:t>,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766359"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7DCE3182"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36566">
        <w:rPr>
          <w:rFonts w:ascii="Palatino Linotype" w:eastAsia="Calibri" w:hAnsi="Palatino Linotype" w:cs="Arial"/>
          <w:color w:val="000000"/>
          <w:lang w:eastAsia="en-US"/>
        </w:rPr>
        <w:lastRenderedPageBreak/>
        <w:t>del análisis de las pruebas, lo cual se debe exteriorizar en una argumentación o juicio de hecho....”</w:t>
      </w:r>
      <w:r w:rsidRPr="00336566">
        <w:rPr>
          <w:rFonts w:ascii="Palatino Linotype" w:eastAsia="Calibri" w:hAnsi="Palatino Linotype" w:cs="Arial"/>
          <w:color w:val="000000"/>
          <w:vertAlign w:val="superscript"/>
          <w:lang w:eastAsia="en-US"/>
        </w:rPr>
        <w:footnoteReference w:id="5"/>
      </w:r>
    </w:p>
    <w:p w14:paraId="6A4E42CF"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5765DF55"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Por su parte, el intérprete judicial del país ha establecido una jurisprudencia respecto a qué debe entenderse por fundamentación y motivación, en los siguientes términos:</w:t>
      </w:r>
    </w:p>
    <w:p w14:paraId="7A359B70"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val="es-MX" w:eastAsia="en-US"/>
        </w:rPr>
      </w:pPr>
    </w:p>
    <w:p w14:paraId="7599168A"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b/>
          <w:i/>
          <w:color w:val="000000"/>
          <w:sz w:val="22"/>
          <w:szCs w:val="22"/>
          <w:lang w:val="es-MX" w:eastAsia="en-US"/>
        </w:rPr>
        <w:t>FUNDAMENTACIÓN Y MOTIVACIÓN.</w:t>
      </w:r>
      <w:r w:rsidRPr="00336566">
        <w:rPr>
          <w:rFonts w:ascii="Palatino Linotype" w:eastAsia="Calibri" w:hAnsi="Palatino Linotype" w:cs="Arial"/>
          <w:i/>
          <w:color w:val="000000"/>
          <w:sz w:val="22"/>
          <w:szCs w:val="22"/>
          <w:lang w:val="es-MX" w:eastAsia="en-US"/>
        </w:rPr>
        <w:t xml:space="preserve"> La </w:t>
      </w:r>
      <w:r w:rsidRPr="00336566">
        <w:rPr>
          <w:rFonts w:ascii="Palatino Linotype" w:eastAsia="Calibr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36566">
        <w:rPr>
          <w:rFonts w:ascii="Palatino Linotype" w:eastAsia="Calibri" w:hAnsi="Palatino Linotype" w:cs="Arial"/>
          <w:i/>
          <w:color w:val="000000"/>
          <w:sz w:val="22"/>
          <w:szCs w:val="22"/>
          <w:lang w:val="es-MX" w:eastAsia="en-US"/>
        </w:rPr>
        <w:t>.</w:t>
      </w:r>
    </w:p>
    <w:p w14:paraId="0D0299E8"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t>SEGUNDO TRIBUNAL COLEGIADO DEL SEXTO CIRCUITO.</w:t>
      </w:r>
    </w:p>
    <w:p w14:paraId="37D710CE"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50AC792A"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t xml:space="preserve">Revisión fiscal 103/88. Instituto Mexicano del Seguro Social. 18 de octubre de 1988. Unanimidad de votos. Ponente: Arnoldo Nájera Virgen. Secretario: Alejandro </w:t>
      </w:r>
      <w:proofErr w:type="spellStart"/>
      <w:r w:rsidRPr="00336566">
        <w:rPr>
          <w:rFonts w:ascii="Palatino Linotype" w:eastAsia="Calibri" w:hAnsi="Palatino Linotype" w:cs="Arial"/>
          <w:i/>
          <w:color w:val="000000"/>
          <w:sz w:val="22"/>
          <w:szCs w:val="22"/>
          <w:lang w:val="es-MX" w:eastAsia="en-US"/>
        </w:rPr>
        <w:t>Esponda</w:t>
      </w:r>
      <w:proofErr w:type="spellEnd"/>
      <w:r w:rsidRPr="00336566">
        <w:rPr>
          <w:rFonts w:ascii="Palatino Linotype" w:eastAsia="Calibri" w:hAnsi="Palatino Linotype" w:cs="Arial"/>
          <w:i/>
          <w:color w:val="000000"/>
          <w:sz w:val="22"/>
          <w:szCs w:val="22"/>
          <w:lang w:val="es-MX" w:eastAsia="en-US"/>
        </w:rPr>
        <w:t xml:space="preserve"> Rincón.</w:t>
      </w:r>
    </w:p>
    <w:p w14:paraId="03B1214B"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t xml:space="preserve">Amparo en revisión 333/88. </w:t>
      </w:r>
      <w:proofErr w:type="spellStart"/>
      <w:r w:rsidRPr="00336566">
        <w:rPr>
          <w:rFonts w:ascii="Palatino Linotype" w:eastAsia="Calibri" w:hAnsi="Palatino Linotype" w:cs="Arial"/>
          <w:i/>
          <w:color w:val="000000"/>
          <w:sz w:val="22"/>
          <w:szCs w:val="22"/>
          <w:lang w:val="es-MX" w:eastAsia="en-US"/>
        </w:rPr>
        <w:t>Adilia</w:t>
      </w:r>
      <w:proofErr w:type="spellEnd"/>
      <w:r w:rsidRPr="00336566">
        <w:rPr>
          <w:rFonts w:ascii="Palatino Linotype" w:eastAsia="Calibri" w:hAnsi="Palatino Linotype" w:cs="Arial"/>
          <w:i/>
          <w:color w:val="000000"/>
          <w:sz w:val="22"/>
          <w:szCs w:val="22"/>
          <w:lang w:val="es-MX" w:eastAsia="en-US"/>
        </w:rPr>
        <w:t xml:space="preserve"> Romero. 26 de octubre de 1988. Unanimidad de votos. Ponente: Arnoldo Nájera Virgen. Secretario: Enrique Crispín Campos Ramírez.</w:t>
      </w:r>
    </w:p>
    <w:p w14:paraId="3D56F657"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lastRenderedPageBreak/>
        <w:t xml:space="preserve">Amparo en revisión 597/95. Emilio Maurer Bretón. 15 de noviembre de 1995. Unanimidad de votos. Ponente: Clementina Ramírez Moguel </w:t>
      </w:r>
      <w:proofErr w:type="spellStart"/>
      <w:r w:rsidRPr="00336566">
        <w:rPr>
          <w:rFonts w:ascii="Palatino Linotype" w:eastAsia="Calibri" w:hAnsi="Palatino Linotype" w:cs="Arial"/>
          <w:i/>
          <w:color w:val="000000"/>
          <w:sz w:val="22"/>
          <w:szCs w:val="22"/>
          <w:lang w:val="es-MX" w:eastAsia="en-US"/>
        </w:rPr>
        <w:t>Goyzueta</w:t>
      </w:r>
      <w:proofErr w:type="spellEnd"/>
      <w:r w:rsidRPr="00336566">
        <w:rPr>
          <w:rFonts w:ascii="Palatino Linotype" w:eastAsia="Calibri" w:hAnsi="Palatino Linotype" w:cs="Arial"/>
          <w:i/>
          <w:color w:val="000000"/>
          <w:sz w:val="22"/>
          <w:szCs w:val="22"/>
          <w:lang w:val="es-MX" w:eastAsia="en-US"/>
        </w:rPr>
        <w:t>. Secretario: Gonzalo Carrera Molina.</w:t>
      </w:r>
    </w:p>
    <w:p w14:paraId="4C353502"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336566">
        <w:rPr>
          <w:rFonts w:ascii="Palatino Linotype" w:eastAsia="Calibri" w:hAnsi="Palatino Linotype" w:cs="Arial"/>
          <w:i/>
          <w:color w:val="000000"/>
          <w:sz w:val="22"/>
          <w:szCs w:val="22"/>
          <w:lang w:val="es-MX" w:eastAsia="en-US"/>
        </w:rPr>
        <w:t>Baigts</w:t>
      </w:r>
      <w:proofErr w:type="spellEnd"/>
      <w:r w:rsidRPr="00336566">
        <w:rPr>
          <w:rFonts w:ascii="Palatino Linotype" w:eastAsia="Calibri" w:hAnsi="Palatino Linotype" w:cs="Arial"/>
          <w:i/>
          <w:color w:val="000000"/>
          <w:sz w:val="22"/>
          <w:szCs w:val="22"/>
          <w:lang w:val="es-MX" w:eastAsia="en-US"/>
        </w:rPr>
        <w:t xml:space="preserve"> Muñoz.</w:t>
      </w:r>
    </w:p>
    <w:p w14:paraId="303F598E"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val="es-ES" w:eastAsia="en-US"/>
        </w:rPr>
      </w:pPr>
    </w:p>
    <w:p w14:paraId="095B6F89"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3D2912C"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1017F385"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E5E114"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6AF872BC" w14:textId="77777777" w:rsidR="008061A9" w:rsidRPr="00336566" w:rsidRDefault="008061A9" w:rsidP="00A369C4">
      <w:pPr>
        <w:numPr>
          <w:ilvl w:val="0"/>
          <w:numId w:val="1"/>
        </w:numPr>
        <w:tabs>
          <w:tab w:val="left" w:pos="142"/>
        </w:tabs>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En ese mismo sentido, el numeral trigésimo tercero fracción V de los Lineamientos Generales, precisa que para motivar la clasificación se deben acreditar las circunstancias de tiempo, modo y lugar.</w:t>
      </w:r>
    </w:p>
    <w:p w14:paraId="58569886"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0D2631C3"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Ahora bien, </w:t>
      </w:r>
      <w:r w:rsidRPr="00336566">
        <w:rPr>
          <w:rFonts w:ascii="Palatino Linotype" w:eastAsia="Calibri" w:hAnsi="Palatino Linotype" w:cs="Arial"/>
          <w:b/>
          <w:color w:val="000000"/>
          <w:u w:val="single"/>
          <w:lang w:eastAsia="en-US"/>
        </w:rPr>
        <w:t>para cada caso además de fundar y motivar</w:t>
      </w:r>
      <w:r w:rsidRPr="00336566">
        <w:rPr>
          <w:rFonts w:ascii="Palatino Linotype" w:eastAsia="Calibri" w:hAnsi="Palatino Linotype" w:cs="Arial"/>
          <w:color w:val="000000"/>
          <w:lang w:eastAsia="en-US"/>
        </w:rPr>
        <w:t xml:space="preserve">, se debe identificar con claridad que datos contenidos en las documentales que son susceptibles de </w:t>
      </w:r>
      <w:r w:rsidRPr="00336566">
        <w:rPr>
          <w:rFonts w:ascii="Palatino Linotype" w:eastAsia="Calibri" w:hAnsi="Palatino Linotype" w:cs="Arial"/>
          <w:color w:val="000000"/>
          <w:lang w:eastAsia="en-US"/>
        </w:rPr>
        <w:lastRenderedPageBreak/>
        <w:t xml:space="preserve">suprimirse, por ejemplo, si una documental de naturaleza pública como lo es la </w:t>
      </w:r>
      <w:r w:rsidRPr="00336566">
        <w:rPr>
          <w:rFonts w:ascii="Palatino Linotype" w:eastAsia="Calibri" w:hAnsi="Palatino Linotype" w:cs="Arial"/>
          <w:color w:val="000000"/>
          <w:u w:val="single"/>
          <w:lang w:eastAsia="en-US"/>
        </w:rPr>
        <w:t>nómina general, si bien el dato de sus remuneraciones es eminentemente público, no así todos los datos contenidos en dicho documento que son datos personales</w:t>
      </w:r>
      <w:r w:rsidRPr="00336566">
        <w:rPr>
          <w:rFonts w:ascii="Palatino Linotype" w:eastAsia="Calibri" w:hAnsi="Palatino Linotype" w:cs="Arial"/>
          <w:color w:val="000000"/>
          <w:u w:val="single"/>
          <w:vertAlign w:val="superscript"/>
          <w:lang w:eastAsia="en-US"/>
        </w:rPr>
        <w:footnoteReference w:id="6"/>
      </w:r>
      <w:r w:rsidRPr="00336566">
        <w:rPr>
          <w:rFonts w:ascii="Palatino Linotype" w:eastAsia="Calibri" w:hAnsi="Palatino Linotype" w:cs="Arial"/>
          <w:color w:val="000000"/>
          <w:u w:val="single"/>
          <w:lang w:eastAsia="en-US"/>
        </w:rPr>
        <w:t xml:space="preserve"> del servidor público que no tienen ninguna injerencia en el tema de la transparencia y la rendición de cuentas,</w:t>
      </w:r>
      <w:r w:rsidRPr="00336566">
        <w:rPr>
          <w:rFonts w:ascii="Palatino Linotype" w:eastAsia="Calibri" w:hAnsi="Palatino Linotype" w:cs="Arial"/>
          <w:color w:val="000000"/>
          <w:lang w:eastAsia="en-US"/>
        </w:rPr>
        <w:t xml:space="preserve">  por ejemplo, </w:t>
      </w:r>
      <w:r w:rsidRPr="00336566">
        <w:rPr>
          <w:rFonts w:ascii="Palatino Linotype" w:eastAsia="Calibri" w:hAnsi="Palatino Linotype" w:cs="Arial"/>
          <w:color w:val="000000"/>
          <w:lang w:val="es-ES" w:eastAsia="en-US"/>
        </w:rPr>
        <w:t xml:space="preserve">Clave Única de Registro de Población (CURP), Registro Federal de Contribuyentes (R.F.C.), entre otros, son datos susceptibles de clasificarse como confidenciales mediante una versión pública que deje a la vista los datos que ofrezcan la información requerida. </w:t>
      </w:r>
    </w:p>
    <w:p w14:paraId="0D4FBA98"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46B607E6"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val="es-ES" w:eastAsia="en-US"/>
        </w:rPr>
        <w:t xml:space="preserve">Otro tipo de información confidencial constituyen </w:t>
      </w:r>
      <w:r w:rsidRPr="00336566">
        <w:rPr>
          <w:rFonts w:ascii="Palatino Linotype" w:eastAsia="Calibri" w:hAnsi="Palatino Linotype" w:cs="Arial"/>
          <w:b/>
          <w:color w:val="000000"/>
          <w:lang w:val="es-ES" w:eastAsia="en-US"/>
        </w:rPr>
        <w:t>los secretos bancario, fiduciario, industrial, comercial, fiscal, bursátil y postal, cuya titularidad corresponda a particulares,</w:t>
      </w:r>
      <w:r w:rsidRPr="00336566">
        <w:rPr>
          <w:rFonts w:ascii="Palatino Linotype" w:eastAsia="Calibri" w:hAnsi="Palatino Linotype" w:cs="Arial"/>
          <w:color w:val="000000"/>
          <w:lang w:val="es-ES" w:eastAsia="en-US"/>
        </w:rPr>
        <w:t xml:space="preserve"> sujetos de derecho internacional o a sujetos obligados </w:t>
      </w:r>
      <w:r w:rsidRPr="00336566">
        <w:rPr>
          <w:rFonts w:ascii="Palatino Linotype" w:eastAsia="Calibri" w:hAnsi="Palatino Linotype" w:cs="Arial"/>
          <w:b/>
          <w:color w:val="000000"/>
          <w:u w:val="single"/>
          <w:lang w:val="es-ES" w:eastAsia="en-US"/>
        </w:rPr>
        <w:t>cuando no involucren el ejercicio de recursos públicos</w:t>
      </w:r>
      <w:r w:rsidRPr="00336566">
        <w:rPr>
          <w:rFonts w:ascii="Palatino Linotype" w:eastAsia="Calibri" w:hAnsi="Palatino Linotype" w:cs="Arial"/>
          <w:color w:val="000000"/>
          <w:lang w:val="es-ES" w:eastAsia="en-US"/>
        </w:rPr>
        <w:t>, así lo define la fracción XXI del artículo 3 de la Ley Estatal.</w:t>
      </w:r>
    </w:p>
    <w:p w14:paraId="5059E29D"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235775A2" w14:textId="1FA726E4" w:rsidR="008061A9" w:rsidRPr="00336566" w:rsidRDefault="00A369C4" w:rsidP="008519DF">
      <w:pPr>
        <w:pStyle w:val="Ttulo2"/>
        <w:rPr>
          <w:rFonts w:ascii="Palatino Linotype" w:hAnsi="Palatino Linotype"/>
          <w:b/>
          <w:color w:val="000000" w:themeColor="text1"/>
          <w:sz w:val="24"/>
        </w:rPr>
      </w:pPr>
      <w:bookmarkStart w:id="60" w:name="_Toc525558007"/>
      <w:r w:rsidRPr="00336566">
        <w:rPr>
          <w:rFonts w:ascii="Palatino Linotype" w:hAnsi="Palatino Linotype"/>
          <w:b/>
          <w:color w:val="000000" w:themeColor="text1"/>
          <w:sz w:val="24"/>
        </w:rPr>
        <w:t xml:space="preserve">III.V. </w:t>
      </w:r>
      <w:r w:rsidR="008061A9" w:rsidRPr="00336566">
        <w:rPr>
          <w:rFonts w:ascii="Palatino Linotype" w:hAnsi="Palatino Linotype"/>
          <w:b/>
          <w:color w:val="000000" w:themeColor="text1"/>
          <w:sz w:val="24"/>
        </w:rPr>
        <w:t>Condiciones especiales de la clasificación de la información como confidencial.</w:t>
      </w:r>
      <w:bookmarkEnd w:id="60"/>
    </w:p>
    <w:p w14:paraId="6D487E19" w14:textId="77777777" w:rsidR="008061A9" w:rsidRPr="00336566" w:rsidRDefault="008061A9" w:rsidP="008061A9">
      <w:pPr>
        <w:spacing w:after="120" w:line="360" w:lineRule="auto"/>
        <w:ind w:right="49"/>
        <w:contextualSpacing/>
        <w:jc w:val="both"/>
        <w:rPr>
          <w:rFonts w:ascii="Palatino Linotype" w:eastAsia="Calibri" w:hAnsi="Palatino Linotype" w:cs="Arial"/>
          <w:b/>
          <w:color w:val="000000"/>
          <w:lang w:val="es-MX" w:eastAsia="en-US"/>
        </w:rPr>
      </w:pPr>
    </w:p>
    <w:p w14:paraId="111A7268"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Los artículos 148 y 120 de la Ley Estatal y de la Ley General, respectivamente, establecen que aun tratándose de datos personales, se podrán proporcionar, incluso </w:t>
      </w:r>
      <w:r w:rsidRPr="00336566">
        <w:rPr>
          <w:rFonts w:ascii="Palatino Linotype" w:eastAsia="Calibri" w:hAnsi="Palatino Linotype" w:cs="Arial"/>
          <w:color w:val="000000"/>
          <w:lang w:eastAsia="en-US"/>
        </w:rPr>
        <w:lastRenderedPageBreak/>
        <w:t xml:space="preserve">sin solicitar el consentimiento de su titular, cuando dichos datos correspondan a los siguientes supuestos: </w:t>
      </w:r>
    </w:p>
    <w:p w14:paraId="3EA3B3DB"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2937BB9E" w14:textId="77777777" w:rsidR="008061A9" w:rsidRPr="00336566" w:rsidRDefault="008061A9" w:rsidP="008061A9">
      <w:pPr>
        <w:spacing w:after="120" w:line="360" w:lineRule="auto"/>
        <w:ind w:left="426" w:right="567"/>
        <w:contextualSpacing/>
        <w:jc w:val="both"/>
        <w:rPr>
          <w:rFonts w:ascii="Palatino Linotype" w:eastAsia="Calibri" w:hAnsi="Palatino Linotype" w:cs="Arial"/>
          <w:bCs/>
          <w:i/>
          <w:color w:val="000000"/>
          <w:sz w:val="22"/>
          <w:szCs w:val="22"/>
          <w:lang w:val="es-MX" w:eastAsia="en-US"/>
        </w:rPr>
      </w:pPr>
      <w:r w:rsidRPr="00336566">
        <w:rPr>
          <w:rFonts w:ascii="Palatino Linotype" w:eastAsia="Calibri" w:hAnsi="Palatino Linotype" w:cs="Arial"/>
          <w:bCs/>
          <w:i/>
          <w:color w:val="000000"/>
          <w:sz w:val="22"/>
          <w:szCs w:val="22"/>
          <w:lang w:val="es-MX" w:eastAsia="en-US"/>
        </w:rPr>
        <w:t>I.</w:t>
      </w:r>
      <w:r w:rsidRPr="00336566">
        <w:rPr>
          <w:rFonts w:ascii="Palatino Linotype" w:eastAsia="Calibri" w:hAnsi="Palatino Linotype" w:cs="Arial"/>
          <w:i/>
          <w:color w:val="000000"/>
          <w:sz w:val="22"/>
          <w:szCs w:val="22"/>
          <w:lang w:val="es-MX" w:eastAsia="en-US"/>
        </w:rPr>
        <w:t xml:space="preserve"> La información se encuentre en registros públicos o fuentes de acceso público;</w:t>
      </w:r>
    </w:p>
    <w:p w14:paraId="5A2554D1" w14:textId="77777777" w:rsidR="008061A9" w:rsidRPr="00336566" w:rsidRDefault="008061A9" w:rsidP="008061A9">
      <w:pPr>
        <w:spacing w:after="120" w:line="360" w:lineRule="auto"/>
        <w:ind w:left="426" w:right="567"/>
        <w:contextualSpacing/>
        <w:jc w:val="both"/>
        <w:rPr>
          <w:rFonts w:ascii="Palatino Linotype" w:eastAsia="Calibri" w:hAnsi="Palatino Linotype" w:cs="Arial"/>
          <w:bCs/>
          <w:i/>
          <w:color w:val="000000"/>
          <w:sz w:val="22"/>
          <w:szCs w:val="22"/>
          <w:lang w:val="es-MX" w:eastAsia="en-US"/>
        </w:rPr>
      </w:pPr>
      <w:r w:rsidRPr="00336566">
        <w:rPr>
          <w:rFonts w:ascii="Palatino Linotype" w:eastAsia="Calibri" w:hAnsi="Palatino Linotype" w:cs="Arial"/>
          <w:bCs/>
          <w:i/>
          <w:color w:val="000000"/>
          <w:sz w:val="22"/>
          <w:szCs w:val="22"/>
          <w:lang w:val="es-MX" w:eastAsia="en-US"/>
        </w:rPr>
        <w:t xml:space="preserve">II. </w:t>
      </w:r>
      <w:r w:rsidRPr="00336566">
        <w:rPr>
          <w:rFonts w:ascii="Palatino Linotype" w:eastAsia="Calibri" w:hAnsi="Palatino Linotype" w:cs="Arial"/>
          <w:i/>
          <w:color w:val="000000"/>
          <w:sz w:val="22"/>
          <w:szCs w:val="22"/>
          <w:lang w:val="es-MX" w:eastAsia="en-US"/>
        </w:rPr>
        <w:t>Por Ley tenga el carácter de pública;</w:t>
      </w:r>
    </w:p>
    <w:p w14:paraId="6533CD82"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bCs/>
          <w:i/>
          <w:color w:val="000000"/>
          <w:sz w:val="22"/>
          <w:szCs w:val="22"/>
          <w:lang w:val="es-MX" w:eastAsia="en-US"/>
        </w:rPr>
        <w:t xml:space="preserve">III. </w:t>
      </w:r>
      <w:r w:rsidRPr="00336566">
        <w:rPr>
          <w:rFonts w:ascii="Palatino Linotype" w:eastAsia="Calibri" w:hAnsi="Palatino Linotype" w:cs="Arial"/>
          <w:i/>
          <w:color w:val="000000"/>
          <w:sz w:val="22"/>
          <w:szCs w:val="22"/>
          <w:lang w:val="es-MX" w:eastAsia="en-US"/>
        </w:rPr>
        <w:t xml:space="preserve">Exista una orden judicial; </w:t>
      </w:r>
    </w:p>
    <w:p w14:paraId="0F5FF089"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bCs/>
          <w:i/>
          <w:color w:val="000000"/>
          <w:sz w:val="22"/>
          <w:szCs w:val="22"/>
          <w:lang w:val="es-MX" w:eastAsia="en-US"/>
        </w:rPr>
        <w:t xml:space="preserve">IV. </w:t>
      </w:r>
      <w:r w:rsidRPr="00336566">
        <w:rPr>
          <w:rFonts w:ascii="Palatino Linotype" w:eastAsia="Calibri" w:hAnsi="Palatino Linotype" w:cs="Arial"/>
          <w:i/>
          <w:color w:val="000000"/>
          <w:sz w:val="22"/>
          <w:szCs w:val="22"/>
          <w:lang w:val="es-MX" w:eastAsia="en-US"/>
        </w:rPr>
        <w:t xml:space="preserve">Por razones de seguridad pública, o para proteger los derechos de terceros, se requiera su publicación; o </w:t>
      </w:r>
    </w:p>
    <w:p w14:paraId="6E9B785B" w14:textId="77777777" w:rsidR="008061A9" w:rsidRPr="00336566" w:rsidRDefault="008061A9" w:rsidP="008061A9">
      <w:pPr>
        <w:spacing w:after="120" w:line="360" w:lineRule="auto"/>
        <w:ind w:left="426" w:right="567"/>
        <w:contextualSpacing/>
        <w:jc w:val="both"/>
        <w:rPr>
          <w:rFonts w:ascii="Palatino Linotype" w:eastAsia="Calibri" w:hAnsi="Palatino Linotype" w:cs="Arial"/>
          <w:i/>
          <w:color w:val="000000"/>
          <w:sz w:val="22"/>
          <w:szCs w:val="22"/>
          <w:lang w:val="es-MX" w:eastAsia="en-US"/>
        </w:rPr>
      </w:pPr>
      <w:r w:rsidRPr="00336566">
        <w:rPr>
          <w:rFonts w:ascii="Palatino Linotype" w:eastAsia="Calibri" w:hAnsi="Palatino Linotype" w:cs="Arial"/>
          <w:bCs/>
          <w:i/>
          <w:color w:val="000000"/>
          <w:sz w:val="22"/>
          <w:szCs w:val="22"/>
          <w:lang w:val="es-MX" w:eastAsia="en-US"/>
        </w:rPr>
        <w:t xml:space="preserve">V. </w:t>
      </w:r>
      <w:r w:rsidRPr="00336566">
        <w:rPr>
          <w:rFonts w:ascii="Palatino Linotype" w:eastAsia="Calibri" w:hAnsi="Palatino Linotype" w:cs="Arial"/>
          <w:i/>
          <w:color w:val="000000"/>
          <w:sz w:val="22"/>
          <w:szCs w:val="22"/>
          <w:lang w:val="es-MX" w:eastAsia="en-U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D652AED"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0D2CA748" w14:textId="77777777" w:rsidR="008061A9" w:rsidRPr="00336566" w:rsidRDefault="008061A9" w:rsidP="00A369C4">
      <w:pPr>
        <w:numPr>
          <w:ilvl w:val="0"/>
          <w:numId w:val="1"/>
        </w:numPr>
        <w:spacing w:after="120" w:line="360" w:lineRule="auto"/>
        <w:ind w:left="0" w:right="49" w:firstLine="0"/>
        <w:contextualSpacing/>
        <w:jc w:val="both"/>
        <w:rPr>
          <w:rFonts w:ascii="Palatino Linotype" w:eastAsia="Calibri" w:hAnsi="Palatino Linotype" w:cs="Arial"/>
          <w:color w:val="000000"/>
          <w:lang w:eastAsia="en-US"/>
        </w:rPr>
      </w:pPr>
      <w:r w:rsidRPr="00336566">
        <w:rPr>
          <w:rFonts w:ascii="Palatino Linotype" w:eastAsia="Calibri" w:hAnsi="Palatino Linotype" w:cs="Arial"/>
          <w:color w:val="000000"/>
          <w:lang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51A3F30" w14:textId="77777777" w:rsidR="008061A9" w:rsidRPr="00336566" w:rsidRDefault="008061A9" w:rsidP="008061A9">
      <w:pPr>
        <w:spacing w:after="120" w:line="360" w:lineRule="auto"/>
        <w:ind w:left="426" w:right="49"/>
        <w:contextualSpacing/>
        <w:jc w:val="both"/>
        <w:rPr>
          <w:rFonts w:ascii="Palatino Linotype" w:eastAsia="Calibri" w:hAnsi="Palatino Linotype" w:cs="Arial"/>
          <w:color w:val="000000"/>
          <w:lang w:eastAsia="en-US"/>
        </w:rPr>
      </w:pPr>
    </w:p>
    <w:p w14:paraId="5AF6D998" w14:textId="77777777" w:rsidR="008061A9" w:rsidRPr="00336566" w:rsidRDefault="008061A9" w:rsidP="00A369C4">
      <w:pPr>
        <w:numPr>
          <w:ilvl w:val="0"/>
          <w:numId w:val="1"/>
        </w:numPr>
        <w:spacing w:after="120" w:line="360" w:lineRule="auto"/>
        <w:ind w:left="0" w:right="49" w:firstLine="0"/>
        <w:jc w:val="both"/>
        <w:rPr>
          <w:rFonts w:ascii="Palatino Linotype" w:eastAsia="MS Mincho" w:hAnsi="Palatino Linotype" w:cs="Times New Roman"/>
        </w:rPr>
      </w:pPr>
      <w:r w:rsidRPr="00336566">
        <w:rPr>
          <w:rFonts w:ascii="Palatino Linotype" w:eastAsia="Calibri" w:hAnsi="Palatino Linotype" w:cs="Arial"/>
          <w:color w:val="000000"/>
          <w:lang w:eastAsia="en-U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8FD21E6" w14:textId="77777777" w:rsidR="00B90005" w:rsidRPr="00336566" w:rsidRDefault="00B90005" w:rsidP="00B90005">
      <w:pPr>
        <w:spacing w:after="120" w:line="360" w:lineRule="auto"/>
        <w:ind w:right="49"/>
        <w:jc w:val="both"/>
        <w:rPr>
          <w:rFonts w:ascii="Palatino Linotype" w:eastAsia="MS Mincho" w:hAnsi="Palatino Linotype" w:cs="Times New Roman"/>
        </w:rPr>
      </w:pPr>
    </w:p>
    <w:p w14:paraId="2ACE0499" w14:textId="77777777" w:rsidR="001F71E8" w:rsidRPr="00336566" w:rsidRDefault="001F71E8" w:rsidP="00B90005">
      <w:pPr>
        <w:spacing w:after="120" w:line="360" w:lineRule="auto"/>
        <w:ind w:right="49"/>
        <w:jc w:val="both"/>
        <w:rPr>
          <w:rFonts w:ascii="Palatino Linotype" w:eastAsia="MS Mincho" w:hAnsi="Palatino Linotype" w:cs="Times New Roman"/>
        </w:rPr>
      </w:pPr>
    </w:p>
    <w:p w14:paraId="747649CB" w14:textId="5ECD9373" w:rsidR="00B90005" w:rsidRPr="00336566" w:rsidRDefault="00B90005" w:rsidP="008519DF">
      <w:pPr>
        <w:pStyle w:val="Ttulo1"/>
        <w:rPr>
          <w:rFonts w:ascii="Palatino Linotype" w:hAnsi="Palatino Linotype"/>
          <w:b/>
          <w:color w:val="000000" w:themeColor="text1"/>
          <w:sz w:val="24"/>
          <w:szCs w:val="24"/>
        </w:rPr>
      </w:pPr>
      <w:bookmarkStart w:id="61" w:name="_Toc525558008"/>
      <w:r w:rsidRPr="00336566">
        <w:rPr>
          <w:rFonts w:ascii="Palatino Linotype" w:hAnsi="Palatino Linotype"/>
          <w:b/>
          <w:color w:val="000000" w:themeColor="text1"/>
          <w:sz w:val="24"/>
          <w:szCs w:val="24"/>
        </w:rPr>
        <w:lastRenderedPageBreak/>
        <w:t>SEXTO. Vista a los Órganos de Control Interno.</w:t>
      </w:r>
      <w:bookmarkEnd w:id="61"/>
      <w:r w:rsidRPr="00336566">
        <w:rPr>
          <w:rFonts w:ascii="Palatino Linotype" w:hAnsi="Palatino Linotype"/>
          <w:b/>
          <w:color w:val="000000" w:themeColor="text1"/>
          <w:sz w:val="24"/>
          <w:szCs w:val="24"/>
        </w:rPr>
        <w:t xml:space="preserve"> </w:t>
      </w:r>
    </w:p>
    <w:p w14:paraId="05276CB1" w14:textId="77777777" w:rsidR="008519DF" w:rsidRPr="00336566" w:rsidRDefault="008519DF" w:rsidP="008519DF">
      <w:pPr>
        <w:rPr>
          <w:lang w:val="es-MX" w:eastAsia="en-US"/>
        </w:rPr>
      </w:pPr>
    </w:p>
    <w:p w14:paraId="66A3FCC3" w14:textId="36135178" w:rsidR="00B90005" w:rsidRPr="00336566" w:rsidRDefault="00B90005" w:rsidP="00B90005">
      <w:pPr>
        <w:numPr>
          <w:ilvl w:val="0"/>
          <w:numId w:val="1"/>
        </w:numPr>
        <w:spacing w:before="240" w:after="240" w:line="360" w:lineRule="auto"/>
        <w:ind w:left="0" w:firstLine="0"/>
        <w:contextualSpacing/>
        <w:jc w:val="both"/>
        <w:rPr>
          <w:rFonts w:ascii="Palatino Linotype" w:hAnsi="Palatino Linotype"/>
        </w:rPr>
      </w:pPr>
      <w:r w:rsidRPr="00336566">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dada la información que se emitió en respuesta se dará vista al área competente para que en ejercicio de sus atribuciones realice las investigaciones pertinentes </w:t>
      </w:r>
      <w:r w:rsidRPr="00336566">
        <w:rPr>
          <w:rFonts w:ascii="Palatino Linotype" w:hAnsi="Palatino Linotype"/>
          <w:b/>
          <w:u w:val="single"/>
        </w:rPr>
        <w:t xml:space="preserve">por las omisiones detectadas atribuibles al </w:t>
      </w:r>
      <w:r w:rsidRPr="00336566">
        <w:rPr>
          <w:rFonts w:ascii="Palatino Linotype" w:hAnsi="Palatino Linotype"/>
          <w:b/>
        </w:rPr>
        <w:t>Sujeto Obligado</w:t>
      </w:r>
      <w:r w:rsidRPr="00336566">
        <w:rPr>
          <w:rFonts w:ascii="Palatino Linotype" w:hAnsi="Palatino Linotype"/>
        </w:rPr>
        <w:t>.</w:t>
      </w:r>
    </w:p>
    <w:p w14:paraId="3C24A3A0" w14:textId="77777777" w:rsidR="00B90005" w:rsidRPr="00336566" w:rsidRDefault="00B90005" w:rsidP="00B90005">
      <w:pPr>
        <w:spacing w:before="240" w:after="240" w:line="360" w:lineRule="auto"/>
        <w:contextualSpacing/>
        <w:jc w:val="both"/>
        <w:rPr>
          <w:rFonts w:ascii="Palatino Linotype" w:hAnsi="Palatino Linotype"/>
        </w:rPr>
      </w:pPr>
    </w:p>
    <w:p w14:paraId="64A60258" w14:textId="77777777" w:rsidR="00B90005" w:rsidRPr="00336566" w:rsidRDefault="00B90005" w:rsidP="00B90005">
      <w:pPr>
        <w:numPr>
          <w:ilvl w:val="0"/>
          <w:numId w:val="1"/>
        </w:numPr>
        <w:spacing w:before="240" w:after="240" w:line="360" w:lineRule="auto"/>
        <w:ind w:left="0" w:firstLine="0"/>
        <w:contextualSpacing/>
        <w:jc w:val="both"/>
        <w:rPr>
          <w:rFonts w:ascii="Palatino Linotype" w:hAnsi="Palatino Linotype"/>
        </w:rPr>
      </w:pPr>
      <w:r w:rsidRPr="00336566">
        <w:rPr>
          <w:rFonts w:ascii="Palatino Linotype" w:hAnsi="Palatino Linotype"/>
        </w:rPr>
        <w:t>Por ello, es conveniente señalar la fracción X, del artículo 36, de la Ley de Transparencia y Acceso a la Información Pública del Estado de México y Municipios, que establece:</w:t>
      </w:r>
    </w:p>
    <w:p w14:paraId="4FD106B7" w14:textId="77777777" w:rsidR="00B90005" w:rsidRPr="00336566" w:rsidRDefault="00B90005" w:rsidP="00B90005">
      <w:pPr>
        <w:spacing w:before="240" w:after="240" w:line="360" w:lineRule="auto"/>
        <w:contextualSpacing/>
        <w:jc w:val="both"/>
        <w:rPr>
          <w:rFonts w:ascii="Palatino Linotype" w:hAnsi="Palatino Linotype"/>
        </w:rPr>
      </w:pPr>
    </w:p>
    <w:p w14:paraId="4FB4E646"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“Artículo 36. El Instituto tendrá, en el ámbito de su competencia, las siguientes atribuciones:</w:t>
      </w:r>
    </w:p>
    <w:p w14:paraId="69F2F261"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w:t>
      </w:r>
    </w:p>
    <w:p w14:paraId="2849631C"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 xml:space="preserve">X. Hacer del conocimiento del órgano de control interno o equivalente de cada Sujeto Obligado las infracciones a esta Ley; </w:t>
      </w:r>
    </w:p>
    <w:p w14:paraId="226BE3EB"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w:t>
      </w:r>
    </w:p>
    <w:p w14:paraId="6842EFA0" w14:textId="77777777" w:rsidR="00B90005" w:rsidRPr="00336566" w:rsidRDefault="00B90005" w:rsidP="00B90005">
      <w:pPr>
        <w:spacing w:line="360" w:lineRule="auto"/>
        <w:ind w:left="567" w:right="567"/>
        <w:contextualSpacing/>
        <w:jc w:val="both"/>
        <w:rPr>
          <w:rFonts w:ascii="Palatino Linotype" w:hAnsi="Palatino Linotype"/>
          <w:i/>
        </w:rPr>
      </w:pPr>
    </w:p>
    <w:p w14:paraId="2013716F" w14:textId="77777777" w:rsidR="00B90005" w:rsidRPr="00336566" w:rsidRDefault="00B90005" w:rsidP="00B90005">
      <w:pPr>
        <w:numPr>
          <w:ilvl w:val="0"/>
          <w:numId w:val="1"/>
        </w:numPr>
        <w:spacing w:before="240" w:after="240" w:line="360" w:lineRule="auto"/>
        <w:ind w:left="0" w:firstLine="0"/>
        <w:contextualSpacing/>
        <w:jc w:val="both"/>
        <w:rPr>
          <w:rFonts w:ascii="Palatino Linotype" w:eastAsia="MS Mincho" w:hAnsi="Palatino Linotype" w:cs="Arial"/>
        </w:rPr>
      </w:pPr>
      <w:r w:rsidRPr="00336566">
        <w:rPr>
          <w:rFonts w:ascii="Palatino Linotype" w:hAnsi="Palatino Linotype"/>
        </w:rPr>
        <w:t xml:space="preserve">Asimismo, este Pleno hará del conocimiento del órgano de control de este Instituto de las infracciones en que el </w:t>
      </w:r>
      <w:r w:rsidRPr="00336566">
        <w:rPr>
          <w:rFonts w:ascii="Palatino Linotype" w:hAnsi="Palatino Linotype"/>
          <w:b/>
        </w:rPr>
        <w:t>SUJETO OBLIGADO</w:t>
      </w:r>
      <w:r w:rsidRPr="00336566">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36566">
        <w:rPr>
          <w:rFonts w:ascii="Palatino Linotype" w:eastAsia="MS Mincho" w:hAnsi="Palatino Linotype" w:cs="Arial"/>
        </w:rPr>
        <w:lastRenderedPageBreak/>
        <w:t>en la Ley de Transparencia Acceso a la Información Pública del Estado de México y Municipios específicamente en sus artículos 190, y 223 que señalan lo siguiente:</w:t>
      </w:r>
    </w:p>
    <w:p w14:paraId="6AEFB6EC" w14:textId="77777777" w:rsidR="00B90005" w:rsidRPr="00336566" w:rsidRDefault="00B90005" w:rsidP="00B90005">
      <w:pPr>
        <w:spacing w:before="240" w:after="240" w:line="360" w:lineRule="auto"/>
        <w:contextualSpacing/>
        <w:jc w:val="both"/>
        <w:rPr>
          <w:rFonts w:ascii="Palatino Linotype" w:eastAsia="MS Mincho" w:hAnsi="Palatino Linotype" w:cs="Arial"/>
        </w:rPr>
      </w:pPr>
    </w:p>
    <w:p w14:paraId="24F3789B"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w:t>
      </w:r>
      <w:r w:rsidRPr="00336566">
        <w:rPr>
          <w:rFonts w:ascii="Palatino Linotype" w:hAnsi="Palatino Linotype"/>
          <w:b/>
          <w:i/>
        </w:rPr>
        <w:t>Artículo 190.</w:t>
      </w:r>
      <w:r w:rsidRPr="00336566">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669E83" w14:textId="77777777" w:rsidR="00B90005" w:rsidRPr="00336566" w:rsidRDefault="00B90005" w:rsidP="00B90005">
      <w:pPr>
        <w:spacing w:line="360" w:lineRule="auto"/>
        <w:ind w:left="567" w:right="567"/>
        <w:contextualSpacing/>
        <w:jc w:val="both"/>
        <w:rPr>
          <w:rFonts w:ascii="Palatino Linotype" w:hAnsi="Palatino Linotype"/>
          <w:i/>
        </w:rPr>
      </w:pPr>
    </w:p>
    <w:p w14:paraId="1ADBD704"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0221A98" w14:textId="77777777" w:rsidR="00B90005" w:rsidRPr="00336566" w:rsidRDefault="00B90005" w:rsidP="00B90005">
      <w:pPr>
        <w:spacing w:line="360" w:lineRule="auto"/>
        <w:ind w:left="567" w:right="567"/>
        <w:contextualSpacing/>
        <w:jc w:val="both"/>
        <w:rPr>
          <w:rFonts w:ascii="Palatino Linotype" w:hAnsi="Palatino Linotype"/>
          <w:i/>
        </w:rPr>
      </w:pPr>
    </w:p>
    <w:p w14:paraId="7ED47C9B" w14:textId="77777777" w:rsidR="00B90005" w:rsidRPr="00336566" w:rsidRDefault="00B90005" w:rsidP="00B90005">
      <w:pPr>
        <w:spacing w:line="360" w:lineRule="auto"/>
        <w:ind w:left="567" w:right="567"/>
        <w:contextualSpacing/>
        <w:jc w:val="both"/>
        <w:rPr>
          <w:rFonts w:ascii="Palatino Linotype" w:hAnsi="Palatino Linotype"/>
          <w:i/>
        </w:rPr>
      </w:pPr>
      <w:r w:rsidRPr="00336566">
        <w:rPr>
          <w:rFonts w:ascii="Palatino Linotype" w:hAnsi="Palatino Linotype"/>
          <w:i/>
        </w:rPr>
        <w:t>(Énfasis añadido)</w:t>
      </w:r>
    </w:p>
    <w:p w14:paraId="094967DC" w14:textId="77777777" w:rsidR="00B90005" w:rsidRPr="00336566" w:rsidRDefault="00B90005" w:rsidP="00B90005">
      <w:pPr>
        <w:spacing w:line="360" w:lineRule="auto"/>
        <w:ind w:right="567"/>
        <w:contextualSpacing/>
        <w:jc w:val="both"/>
        <w:rPr>
          <w:rFonts w:ascii="Palatino Linotype" w:hAnsi="Palatino Linotype"/>
          <w:i/>
        </w:rPr>
      </w:pPr>
    </w:p>
    <w:p w14:paraId="38BD4371" w14:textId="21A46A3C" w:rsidR="00B90005" w:rsidRPr="00336566" w:rsidRDefault="00B90005" w:rsidP="00B90005">
      <w:pPr>
        <w:numPr>
          <w:ilvl w:val="0"/>
          <w:numId w:val="1"/>
        </w:numPr>
        <w:tabs>
          <w:tab w:val="left" w:pos="851"/>
        </w:tabs>
        <w:spacing w:before="240" w:after="240" w:line="360" w:lineRule="auto"/>
        <w:ind w:left="0" w:right="49" w:firstLine="0"/>
        <w:contextualSpacing/>
        <w:jc w:val="both"/>
        <w:rPr>
          <w:rFonts w:ascii="Palatino Linotype" w:hAnsi="Palatino Linotype"/>
          <w:lang w:val="es-ES"/>
        </w:rPr>
      </w:pPr>
      <w:r w:rsidRPr="00336566">
        <w:rPr>
          <w:rFonts w:ascii="Palatino Linotype" w:eastAsia="Calibri" w:hAnsi="Palatino Linotype" w:cs="Arial"/>
          <w:color w:val="000000"/>
          <w:lang w:val="es-ES" w:eastAsia="es-MX"/>
        </w:rPr>
        <w:t xml:space="preserve">Así las cosas, si bien es cierto el Sujeto Obligado proporcionó respuesta a la solicitud de acceso a la información, también lo es, que dentro de la información vertida se encuentra información susceptible de clasificarse como confidencial, misma que debió ser protegida, situación que no ocurrió. Es así que se advierte que en el archivo denominado </w:t>
      </w:r>
      <w:hyperlink r:id="rId8" w:tgtFrame="_blank" w:history="1">
        <w:r w:rsidRPr="00336566">
          <w:rPr>
            <w:rStyle w:val="Hipervnculo"/>
            <w:rFonts w:ascii="Palatino Linotype" w:eastAsia="Calibri" w:hAnsi="Palatino Linotype" w:cs="Arial"/>
            <w:b/>
            <w:bCs/>
            <w:color w:val="000000" w:themeColor="text1"/>
            <w:u w:val="none"/>
            <w:lang w:eastAsia="es-MX"/>
          </w:rPr>
          <w:t>SOL. 00188-ATIZARA-2018.pdf</w:t>
        </w:r>
      </w:hyperlink>
      <w:r w:rsidRPr="00336566">
        <w:rPr>
          <w:rFonts w:ascii="Palatino Linotype" w:eastAsia="Calibri" w:hAnsi="Palatino Linotype" w:cs="Arial"/>
          <w:color w:val="000000"/>
          <w:lang w:val="es-ES" w:eastAsia="es-MX"/>
        </w:rPr>
        <w:t xml:space="preserve"> se advierten las dimensiones por estacionamiento, áreas de servicio, volados y área útil.  Por lo que </w:t>
      </w:r>
      <w:r w:rsidRPr="00336566">
        <w:rPr>
          <w:rFonts w:ascii="Palatino Linotype" w:eastAsia="Calibri" w:hAnsi="Palatino Linotype" w:cs="Arial"/>
          <w:color w:val="000000"/>
          <w:lang w:val="es-ES" w:eastAsia="es-MX"/>
        </w:rPr>
        <w:lastRenderedPageBreak/>
        <w:t xml:space="preserve">es menester dar vista al Órgano de Control Interno de este Instituto para que en ejercicio de sus atribuciones atienda las directivas marcadas en la propia Ley de la materia, con fundamento en el artículo 190 de la ley de la materia, el cual señala que  </w:t>
      </w:r>
      <w:r w:rsidRPr="00336566">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4AF9FB" w14:textId="77777777" w:rsidR="00260059" w:rsidRPr="00336566" w:rsidRDefault="00260059" w:rsidP="004D78A7">
      <w:pPr>
        <w:jc w:val="both"/>
        <w:rPr>
          <w:rFonts w:ascii="Palatino Linotype" w:hAnsi="Palatino Linotype"/>
          <w:lang w:val="es-MX" w:eastAsia="es-ES_tradnl"/>
        </w:rPr>
      </w:pPr>
    </w:p>
    <w:p w14:paraId="727998DA" w14:textId="47AB93EF" w:rsidR="00C453E0" w:rsidRPr="00336566" w:rsidRDefault="00260059" w:rsidP="00C453E0">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336566">
        <w:rPr>
          <w:rFonts w:ascii="Palatino Linotype" w:hAnsi="Palatino Linotype" w:cs="Arial"/>
          <w:color w:val="000000" w:themeColor="text1"/>
        </w:rPr>
        <w:t>Luego entonces, en térm</w:t>
      </w:r>
      <w:r w:rsidR="00D55BCD" w:rsidRPr="00336566">
        <w:rPr>
          <w:rFonts w:ascii="Palatino Linotype" w:hAnsi="Palatino Linotype" w:cs="Arial"/>
          <w:color w:val="000000" w:themeColor="text1"/>
        </w:rPr>
        <w:t xml:space="preserve">inos del artículo 179 </w:t>
      </w:r>
      <w:r w:rsidR="00531946" w:rsidRPr="00336566">
        <w:rPr>
          <w:rFonts w:ascii="Palatino Linotype" w:hAnsi="Palatino Linotype" w:cs="Arial"/>
          <w:color w:val="000000" w:themeColor="text1"/>
        </w:rPr>
        <w:t xml:space="preserve">fracción II </w:t>
      </w:r>
      <w:r w:rsidR="00B11433" w:rsidRPr="00336566">
        <w:rPr>
          <w:rFonts w:ascii="Palatino Linotype" w:hAnsi="Palatino Linotype" w:cs="Arial"/>
          <w:color w:val="000000" w:themeColor="text1"/>
        </w:rPr>
        <w:t>de la</w:t>
      </w:r>
      <w:r w:rsidR="00D55BCD" w:rsidRPr="00336566">
        <w:rPr>
          <w:rFonts w:ascii="Palatino Linotype" w:hAnsi="Palatino Linotype" w:cs="Arial"/>
          <w:color w:val="000000" w:themeColor="text1"/>
        </w:rPr>
        <w:t xml:space="preserve"> Ley de Trasparencia y Acceso a la Información Pública del Estado de México</w:t>
      </w:r>
      <w:r w:rsidR="00B11433" w:rsidRPr="00336566">
        <w:rPr>
          <w:rFonts w:ascii="Palatino Linotype" w:hAnsi="Palatino Linotype" w:cs="Arial"/>
          <w:color w:val="000000" w:themeColor="text1"/>
        </w:rPr>
        <w:t>, resultan parciamente</w:t>
      </w:r>
      <w:r w:rsidRPr="00336566">
        <w:rPr>
          <w:rFonts w:ascii="Palatino Linotype" w:eastAsia="MS Mincho" w:hAnsi="Palatino Linotype" w:cstheme="majorBidi"/>
        </w:rPr>
        <w:t xml:space="preserve"> </w:t>
      </w:r>
      <w:r w:rsidRPr="00336566">
        <w:rPr>
          <w:rFonts w:ascii="Palatino Linotype" w:eastAsia="Times New Roman" w:hAnsi="Palatino Linotype" w:cs="Arial"/>
        </w:rPr>
        <w:t>fundadas las</w:t>
      </w:r>
      <w:r w:rsidRPr="00336566">
        <w:rPr>
          <w:rFonts w:ascii="Palatino Linotype" w:eastAsia="Times New Roman" w:hAnsi="Palatino Linotype" w:cs="Arial"/>
          <w:b/>
        </w:rPr>
        <w:t xml:space="preserve"> </w:t>
      </w:r>
      <w:r w:rsidRPr="00336566">
        <w:rPr>
          <w:rFonts w:ascii="Palatino Linotype" w:eastAsia="Times New Roman" w:hAnsi="Palatino Linotype" w:cs="Arial"/>
          <w:lang w:val="es-ES"/>
        </w:rPr>
        <w:t xml:space="preserve">razones o motivos de inconformidad hechos valer por </w:t>
      </w:r>
      <w:r w:rsidR="00DE3129" w:rsidRPr="00336566">
        <w:rPr>
          <w:rFonts w:ascii="Palatino Linotype" w:eastAsia="Times New Roman" w:hAnsi="Palatino Linotype" w:cs="Arial"/>
          <w:lang w:val="es-ES"/>
        </w:rPr>
        <w:t xml:space="preserve">la </w:t>
      </w:r>
      <w:r w:rsidRPr="00336566">
        <w:rPr>
          <w:rFonts w:ascii="Palatino Linotype" w:eastAsia="Times New Roman" w:hAnsi="Palatino Linotype" w:cs="Arial"/>
          <w:b/>
          <w:lang w:val="es-ES"/>
        </w:rPr>
        <w:t>RECURRENTE</w:t>
      </w:r>
      <w:r w:rsidRPr="00336566">
        <w:rPr>
          <w:rFonts w:ascii="Palatino Linotype" w:eastAsia="Times New Roman" w:hAnsi="Palatino Linotype" w:cs="Arial"/>
          <w:lang w:val="es-ES"/>
        </w:rPr>
        <w:t xml:space="preserve"> </w:t>
      </w:r>
      <w:r w:rsidR="00D55BCD" w:rsidRPr="00336566">
        <w:rPr>
          <w:rFonts w:ascii="Palatino Linotype" w:eastAsia="Calibri" w:hAnsi="Palatino Linotype" w:cs="Arial"/>
          <w:lang w:val="es-ES"/>
        </w:rPr>
        <w:t>en el recurso</w:t>
      </w:r>
      <w:r w:rsidRPr="00336566">
        <w:rPr>
          <w:rFonts w:ascii="Palatino Linotype" w:eastAsia="Calibri" w:hAnsi="Palatino Linotype" w:cs="Arial"/>
          <w:lang w:val="es-ES"/>
        </w:rPr>
        <w:t xml:space="preserve"> de revisión de mérito, razón por lo cual es dable ordenar </w:t>
      </w:r>
      <w:r w:rsidR="00B90005" w:rsidRPr="00336566">
        <w:rPr>
          <w:rFonts w:ascii="Palatino Linotype" w:eastAsia="Calibri" w:hAnsi="Palatino Linotype" w:cs="Arial"/>
          <w:lang w:val="es-ES"/>
        </w:rPr>
        <w:t>e</w:t>
      </w:r>
      <w:r w:rsidR="00B90005" w:rsidRPr="00336566">
        <w:rPr>
          <w:rFonts w:ascii="Palatino Linotype" w:hAnsi="Palatino Linotype" w:cs="Times New Roman"/>
          <w:lang w:eastAsia="es-ES_tradnl"/>
        </w:rPr>
        <w:t>l acuerdo del Comité de Transparencia del Sujeto Obligado que sustente la versión pública de la información enviada en respuesta.</w:t>
      </w:r>
    </w:p>
    <w:p w14:paraId="363AB745" w14:textId="77777777" w:rsidR="00260059" w:rsidRPr="00336566" w:rsidRDefault="00260059" w:rsidP="00E311E0">
      <w:pPr>
        <w:numPr>
          <w:ilvl w:val="0"/>
          <w:numId w:val="1"/>
        </w:numPr>
        <w:spacing w:line="360" w:lineRule="auto"/>
        <w:ind w:left="0" w:firstLine="0"/>
        <w:contextualSpacing/>
        <w:jc w:val="both"/>
        <w:rPr>
          <w:rFonts w:ascii="Palatino Linotype" w:hAnsi="Palatino Linotype"/>
          <w:color w:val="000000" w:themeColor="text1"/>
        </w:rPr>
      </w:pPr>
      <w:r w:rsidRPr="00336566">
        <w:rPr>
          <w:rFonts w:ascii="Palatino Linotype" w:hAnsi="Palatino Linotype"/>
          <w:color w:val="000000" w:themeColor="text1"/>
          <w:lang w:val="es-ES" w:eastAsia="es-MX"/>
        </w:rPr>
        <w:t xml:space="preserve">Por lo anteriormente expuesto y fundado, este </w:t>
      </w:r>
      <w:r w:rsidRPr="00336566">
        <w:rPr>
          <w:rFonts w:ascii="Palatino Linotype" w:hAnsi="Palatino Linotype"/>
          <w:b/>
          <w:bCs/>
          <w:color w:val="000000" w:themeColor="text1"/>
          <w:lang w:val="es-ES" w:eastAsia="es-MX"/>
        </w:rPr>
        <w:t>ÓRGANO GARANTE</w:t>
      </w:r>
      <w:r w:rsidRPr="00336566">
        <w:rPr>
          <w:rFonts w:ascii="Palatino Linotype" w:hAnsi="Palatino Linotype"/>
          <w:color w:val="000000" w:themeColor="text1"/>
          <w:lang w:val="es-ES" w:eastAsia="es-MX"/>
        </w:rPr>
        <w:t xml:space="preserve"> emite los siguientes:</w:t>
      </w:r>
    </w:p>
    <w:p w14:paraId="1C5714D0" w14:textId="77777777" w:rsidR="006A5621" w:rsidRPr="00336566" w:rsidRDefault="006A5621" w:rsidP="006A5621">
      <w:pPr>
        <w:spacing w:line="360" w:lineRule="auto"/>
        <w:contextualSpacing/>
        <w:jc w:val="both"/>
        <w:rPr>
          <w:rFonts w:ascii="Palatino Linotype" w:hAnsi="Palatino Linotype"/>
          <w:color w:val="000000" w:themeColor="text1"/>
          <w:lang w:val="es-ES" w:eastAsia="es-MX"/>
        </w:rPr>
      </w:pPr>
    </w:p>
    <w:p w14:paraId="53C632FF" w14:textId="77777777" w:rsidR="006A5621" w:rsidRPr="00336566" w:rsidRDefault="006A5621" w:rsidP="006A5621">
      <w:pPr>
        <w:spacing w:line="360" w:lineRule="auto"/>
        <w:contextualSpacing/>
        <w:jc w:val="both"/>
        <w:rPr>
          <w:rFonts w:ascii="Palatino Linotype" w:hAnsi="Palatino Linotype"/>
          <w:color w:val="000000" w:themeColor="text1"/>
        </w:rPr>
      </w:pPr>
    </w:p>
    <w:p w14:paraId="0595B56D" w14:textId="77777777" w:rsidR="00260059" w:rsidRPr="00336566" w:rsidRDefault="00260059" w:rsidP="00260059">
      <w:pPr>
        <w:spacing w:before="240" w:after="240" w:line="360" w:lineRule="auto"/>
        <w:ind w:left="426" w:right="49"/>
        <w:contextualSpacing/>
        <w:jc w:val="both"/>
        <w:rPr>
          <w:rFonts w:ascii="Palatino Linotype" w:hAnsi="Palatino Linotype" w:cs="Arial"/>
        </w:rPr>
      </w:pPr>
    </w:p>
    <w:p w14:paraId="5B5DC487" w14:textId="77777777" w:rsidR="00260059" w:rsidRPr="00336566" w:rsidRDefault="00260059" w:rsidP="0026005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62" w:name="_Toc521949108"/>
      <w:bookmarkStart w:id="63" w:name="_Toc522209068"/>
      <w:bookmarkStart w:id="64" w:name="_Toc525558009"/>
      <w:r w:rsidRPr="00336566">
        <w:rPr>
          <w:rFonts w:ascii="Palatino Linotype" w:eastAsiaTheme="majorEastAsia" w:hAnsi="Palatino Linotype" w:cstheme="majorBidi"/>
          <w:b/>
          <w:sz w:val="26"/>
          <w:szCs w:val="26"/>
          <w:lang w:val="es-MX" w:eastAsia="en-US"/>
        </w:rPr>
        <w:lastRenderedPageBreak/>
        <w:t>R E S O L U T I V O S</w:t>
      </w:r>
      <w:bookmarkEnd w:id="62"/>
      <w:bookmarkEnd w:id="63"/>
      <w:bookmarkEnd w:id="64"/>
    </w:p>
    <w:p w14:paraId="37495625" w14:textId="77777777" w:rsidR="00260059" w:rsidRPr="00336566" w:rsidRDefault="00260059" w:rsidP="00260059">
      <w:pPr>
        <w:jc w:val="both"/>
        <w:rPr>
          <w:lang w:val="es-MX" w:eastAsia="en-US"/>
        </w:rPr>
      </w:pPr>
    </w:p>
    <w:p w14:paraId="137AA0E3" w14:textId="1D59F9DD" w:rsidR="00260059" w:rsidRPr="00336566" w:rsidRDefault="00260059" w:rsidP="00260059">
      <w:pPr>
        <w:spacing w:before="240" w:after="360" w:line="360" w:lineRule="auto"/>
        <w:jc w:val="both"/>
        <w:rPr>
          <w:rFonts w:ascii="Palatino Linotype" w:eastAsia="Times New Roman" w:hAnsi="Palatino Linotype" w:cs="Arial"/>
          <w:color w:val="000000"/>
          <w:lang w:val="es-ES"/>
        </w:rPr>
      </w:pPr>
      <w:r w:rsidRPr="00336566">
        <w:rPr>
          <w:rFonts w:ascii="Palatino Linotype" w:eastAsia="MS Mincho" w:hAnsi="Palatino Linotype" w:cs="Times New Roman"/>
          <w:b/>
          <w:color w:val="000000"/>
        </w:rPr>
        <w:t>PRIMERO.</w:t>
      </w:r>
      <w:r w:rsidRPr="00336566">
        <w:rPr>
          <w:rFonts w:ascii="Palatino Linotype" w:eastAsia="MS Gothic" w:hAnsi="Palatino Linotype" w:cs="Times New Roman"/>
          <w:b/>
          <w:color w:val="000000"/>
          <w:lang w:val="es-MX" w:eastAsia="en-US"/>
        </w:rPr>
        <w:t xml:space="preserve"> </w:t>
      </w:r>
      <w:r w:rsidRPr="00336566">
        <w:rPr>
          <w:rFonts w:ascii="Palatino Linotype" w:eastAsia="Times New Roman" w:hAnsi="Palatino Linotype" w:cs="Arial"/>
          <w:color w:val="000000"/>
          <w:lang w:val="es-ES"/>
        </w:rPr>
        <w:t>Resultan parcial</w:t>
      </w:r>
      <w:r w:rsidR="00535E71" w:rsidRPr="00336566">
        <w:rPr>
          <w:rFonts w:ascii="Palatino Linotype" w:eastAsia="Times New Roman" w:hAnsi="Palatino Linotype" w:cs="Arial"/>
          <w:color w:val="000000"/>
          <w:lang w:val="es-ES"/>
        </w:rPr>
        <w:t>mente fundadas las razones o</w:t>
      </w:r>
      <w:r w:rsidRPr="00336566">
        <w:rPr>
          <w:rFonts w:ascii="Palatino Linotype" w:eastAsia="Times New Roman" w:hAnsi="Palatino Linotype" w:cs="Arial"/>
          <w:color w:val="000000"/>
          <w:lang w:val="es-ES"/>
        </w:rPr>
        <w:t xml:space="preserve"> motivos de inconformidad hechos valer </w:t>
      </w:r>
      <w:r w:rsidRPr="00336566">
        <w:rPr>
          <w:rFonts w:ascii="Palatino Linotype" w:eastAsia="MS Mincho" w:hAnsi="Palatino Linotype" w:cs="Times New Roman"/>
          <w:color w:val="000000"/>
        </w:rPr>
        <w:t>en</w:t>
      </w:r>
      <w:r w:rsidR="00B11433" w:rsidRPr="00336566">
        <w:rPr>
          <w:rFonts w:ascii="Palatino Linotype" w:eastAsia="MS Mincho" w:hAnsi="Palatino Linotype" w:cs="Times New Roman"/>
          <w:color w:val="000000"/>
        </w:rPr>
        <w:t xml:space="preserve"> el recurso de revisión </w:t>
      </w:r>
      <w:r w:rsidRPr="00336566">
        <w:rPr>
          <w:rFonts w:ascii="Palatino Linotype" w:eastAsia="MS Mincho" w:hAnsi="Palatino Linotype" w:cs="Times New Roman"/>
          <w:color w:val="000000"/>
        </w:rPr>
        <w:t xml:space="preserve"> </w:t>
      </w:r>
      <w:r w:rsidR="00531946" w:rsidRPr="00336566">
        <w:rPr>
          <w:rFonts w:ascii="Palatino Linotype" w:eastAsia="MS Mincho" w:hAnsi="Palatino Linotype" w:cs="Times New Roman"/>
          <w:b/>
          <w:color w:val="000000"/>
        </w:rPr>
        <w:t>02611</w:t>
      </w:r>
      <w:r w:rsidRPr="00336566">
        <w:rPr>
          <w:rFonts w:ascii="Palatino Linotype" w:eastAsia="MS Mincho" w:hAnsi="Palatino Linotype" w:cs="Times New Roman"/>
          <w:b/>
          <w:color w:val="000000"/>
        </w:rPr>
        <w:t>/INFOEM/IP/RR/2018</w:t>
      </w:r>
      <w:r w:rsidRPr="00336566">
        <w:rPr>
          <w:rFonts w:ascii="Palatino Linotype" w:eastAsia="MS Mincho" w:hAnsi="Palatino Linotype" w:cs="Arial"/>
          <w:b/>
          <w:bCs/>
          <w:color w:val="000000"/>
        </w:rPr>
        <w:t xml:space="preserve">, </w:t>
      </w:r>
      <w:r w:rsidR="00531946" w:rsidRPr="00336566">
        <w:rPr>
          <w:rFonts w:ascii="Palatino Linotype" w:eastAsia="Times New Roman" w:hAnsi="Palatino Linotype" w:cs="Times New Roman"/>
          <w:color w:val="000000"/>
        </w:rPr>
        <w:t xml:space="preserve">en términos del </w:t>
      </w:r>
      <w:r w:rsidR="00531946" w:rsidRPr="00336566">
        <w:rPr>
          <w:rFonts w:ascii="Palatino Linotype" w:eastAsia="Times New Roman" w:hAnsi="Palatino Linotype" w:cs="Times New Roman"/>
          <w:b/>
          <w:color w:val="000000"/>
        </w:rPr>
        <w:t xml:space="preserve">Considerando </w:t>
      </w:r>
      <w:r w:rsidR="00A75C7E" w:rsidRPr="00336566">
        <w:rPr>
          <w:rFonts w:ascii="Palatino Linotype" w:eastAsia="Times New Roman" w:hAnsi="Palatino Linotype" w:cs="Times New Roman"/>
          <w:b/>
          <w:color w:val="000000"/>
        </w:rPr>
        <w:t>QUINTO</w:t>
      </w:r>
      <w:r w:rsidRPr="00336566">
        <w:rPr>
          <w:rFonts w:ascii="Palatino Linotype" w:eastAsia="Times New Roman" w:hAnsi="Palatino Linotype" w:cs="Times New Roman"/>
          <w:b/>
          <w:color w:val="000000"/>
        </w:rPr>
        <w:t xml:space="preserve"> </w:t>
      </w:r>
      <w:r w:rsidRPr="00336566">
        <w:rPr>
          <w:rFonts w:ascii="Palatino Linotype" w:eastAsia="Times New Roman" w:hAnsi="Palatino Linotype" w:cs="Times New Roman"/>
          <w:color w:val="000000"/>
        </w:rPr>
        <w:t>de la presente resolución.</w:t>
      </w:r>
    </w:p>
    <w:p w14:paraId="12181CB8" w14:textId="42128188" w:rsidR="00B90005" w:rsidRPr="00336566" w:rsidRDefault="00260059" w:rsidP="00260059">
      <w:pPr>
        <w:shd w:val="clear" w:color="auto" w:fill="FFFFFF"/>
        <w:spacing w:before="240" w:after="240" w:line="360" w:lineRule="auto"/>
        <w:jc w:val="both"/>
        <w:rPr>
          <w:rFonts w:ascii="Palatino Linotype" w:eastAsia="Times New Roman" w:hAnsi="Palatino Linotype" w:cs="Arial"/>
          <w:color w:val="000000"/>
          <w:lang w:val="es-ES"/>
        </w:rPr>
      </w:pPr>
      <w:r w:rsidRPr="00336566">
        <w:rPr>
          <w:rFonts w:ascii="Palatino Linotype" w:eastAsia="Times New Roman" w:hAnsi="Palatino Linotype" w:cs="Arial"/>
          <w:b/>
          <w:color w:val="000000"/>
          <w:lang w:val="es-ES"/>
        </w:rPr>
        <w:t xml:space="preserve">SEGUNDO. </w:t>
      </w:r>
      <w:r w:rsidRPr="00336566">
        <w:rPr>
          <w:rFonts w:ascii="Palatino Linotype" w:eastAsia="Calibri" w:hAnsi="Palatino Linotype" w:cs="Arial"/>
          <w:color w:val="000000"/>
          <w:lang w:val="es-ES"/>
        </w:rPr>
        <w:t xml:space="preserve">Se </w:t>
      </w:r>
      <w:r w:rsidR="001F575A" w:rsidRPr="00336566">
        <w:rPr>
          <w:rFonts w:ascii="Palatino Linotype" w:eastAsia="Calibri" w:hAnsi="Palatino Linotype" w:cs="Arial"/>
          <w:b/>
          <w:color w:val="000000"/>
          <w:lang w:val="es-ES"/>
        </w:rPr>
        <w:t>MODIFICA</w:t>
      </w:r>
      <w:r w:rsidR="00B11433" w:rsidRPr="00336566">
        <w:rPr>
          <w:rFonts w:ascii="Palatino Linotype" w:eastAsia="Calibri" w:hAnsi="Palatino Linotype" w:cs="Arial"/>
          <w:color w:val="000000"/>
          <w:lang w:val="es-ES"/>
        </w:rPr>
        <w:t xml:space="preserve"> la respuesta emitida</w:t>
      </w:r>
      <w:r w:rsidR="00531946" w:rsidRPr="00336566">
        <w:rPr>
          <w:rFonts w:ascii="Palatino Linotype" w:eastAsia="Calibri" w:hAnsi="Palatino Linotype" w:cs="Arial"/>
          <w:color w:val="000000"/>
          <w:lang w:val="es-ES"/>
        </w:rPr>
        <w:t xml:space="preserve"> por el </w:t>
      </w:r>
      <w:r w:rsidR="00531946" w:rsidRPr="00336566">
        <w:rPr>
          <w:rFonts w:ascii="Palatino Linotype" w:eastAsia="Calibri" w:hAnsi="Palatino Linotype" w:cs="Arial"/>
          <w:b/>
          <w:color w:val="000000"/>
          <w:lang w:val="es-ES"/>
        </w:rPr>
        <w:t xml:space="preserve">Ayuntamiento de Atizapán de Zaragoza </w:t>
      </w:r>
      <w:r w:rsidRPr="00336566">
        <w:rPr>
          <w:rFonts w:ascii="Palatino Linotype" w:eastAsia="Calibri" w:hAnsi="Palatino Linotype" w:cs="Arial"/>
          <w:color w:val="000000"/>
          <w:lang w:val="es-ES"/>
        </w:rPr>
        <w:t xml:space="preserve">y se </w:t>
      </w:r>
      <w:r w:rsidR="001F575A" w:rsidRPr="00336566">
        <w:rPr>
          <w:rFonts w:ascii="Palatino Linotype" w:eastAsia="Calibri" w:hAnsi="Palatino Linotype" w:cs="Arial"/>
          <w:b/>
          <w:color w:val="000000"/>
          <w:lang w:val="es-ES"/>
        </w:rPr>
        <w:t>ORDENA</w:t>
      </w:r>
      <w:r w:rsidRPr="00336566">
        <w:rPr>
          <w:rFonts w:ascii="Palatino Linotype" w:eastAsia="Calibri" w:hAnsi="Palatino Linotype" w:cs="Arial"/>
          <w:color w:val="000000"/>
          <w:lang w:val="es-ES"/>
        </w:rPr>
        <w:t xml:space="preserve"> </w:t>
      </w:r>
      <w:r w:rsidRPr="00336566">
        <w:rPr>
          <w:rFonts w:ascii="Palatino Linotype" w:eastAsia="Times New Roman" w:hAnsi="Palatino Linotype" w:cs="Arial"/>
          <w:color w:val="000000"/>
          <w:lang w:val="es-ES"/>
        </w:rPr>
        <w:t>entrega</w:t>
      </w:r>
      <w:r w:rsidR="001F575A" w:rsidRPr="00336566">
        <w:rPr>
          <w:rFonts w:ascii="Palatino Linotype" w:eastAsia="Times New Roman" w:hAnsi="Palatino Linotype" w:cs="Arial"/>
          <w:color w:val="000000"/>
          <w:lang w:val="es-ES"/>
        </w:rPr>
        <w:t>r</w:t>
      </w:r>
      <w:r w:rsidRPr="00336566">
        <w:rPr>
          <w:rFonts w:ascii="Palatino Linotype" w:eastAsia="Times New Roman" w:hAnsi="Palatino Linotype" w:cs="Arial"/>
          <w:color w:val="000000"/>
          <w:lang w:val="es-ES"/>
        </w:rPr>
        <w:t xml:space="preserve"> vía</w:t>
      </w:r>
      <w:r w:rsidR="00A75C7E" w:rsidRPr="00336566">
        <w:rPr>
          <w:rFonts w:ascii="Palatino Linotype" w:eastAsia="Times New Roman" w:hAnsi="Palatino Linotype" w:cs="Arial"/>
          <w:color w:val="000000"/>
          <w:lang w:val="es-ES"/>
        </w:rPr>
        <w:t xml:space="preserve"> Sistema de Acceso a la Información Mexiquense </w:t>
      </w:r>
      <w:r w:rsidR="00535E71" w:rsidRPr="00336566">
        <w:rPr>
          <w:rFonts w:ascii="Palatino Linotype" w:eastAsia="Times New Roman" w:hAnsi="Palatino Linotype" w:cs="Arial"/>
          <w:b/>
          <w:color w:val="000000"/>
        </w:rPr>
        <w:t xml:space="preserve"> </w:t>
      </w:r>
      <w:r w:rsidR="00A75C7E" w:rsidRPr="00336566">
        <w:rPr>
          <w:rFonts w:ascii="Palatino Linotype" w:eastAsia="Times New Roman" w:hAnsi="Palatino Linotype" w:cs="Arial"/>
          <w:b/>
          <w:color w:val="000000"/>
        </w:rPr>
        <w:t>(</w:t>
      </w:r>
      <w:r w:rsidR="00535E71" w:rsidRPr="00336566">
        <w:rPr>
          <w:rFonts w:ascii="Palatino Linotype" w:eastAsia="Times New Roman" w:hAnsi="Palatino Linotype" w:cs="Arial"/>
          <w:b/>
          <w:color w:val="000000"/>
        </w:rPr>
        <w:t>SAIMEX</w:t>
      </w:r>
      <w:r w:rsidR="00A75C7E" w:rsidRPr="00336566">
        <w:rPr>
          <w:rFonts w:ascii="Palatino Linotype" w:eastAsia="Times New Roman" w:hAnsi="Palatino Linotype" w:cs="Arial"/>
          <w:b/>
          <w:color w:val="000000"/>
        </w:rPr>
        <w:t>)</w:t>
      </w:r>
      <w:r w:rsidR="00531946" w:rsidRPr="00336566">
        <w:rPr>
          <w:rFonts w:ascii="Palatino Linotype" w:eastAsia="Times New Roman" w:hAnsi="Palatino Linotype" w:cs="Arial"/>
          <w:color w:val="000000"/>
          <w:lang w:val="es-ES"/>
        </w:rPr>
        <w:t>, lo siguiente:</w:t>
      </w:r>
    </w:p>
    <w:p w14:paraId="688003A1" w14:textId="4CBD1B61" w:rsidR="00B90005" w:rsidRPr="00336566" w:rsidRDefault="00531946" w:rsidP="001F1D0F">
      <w:pPr>
        <w:pStyle w:val="Prrafodelista"/>
        <w:numPr>
          <w:ilvl w:val="0"/>
          <w:numId w:val="12"/>
        </w:numPr>
        <w:shd w:val="clear" w:color="auto" w:fill="FFFFFF"/>
        <w:spacing w:before="240" w:after="240" w:line="360" w:lineRule="auto"/>
        <w:ind w:left="993" w:right="567" w:hanging="426"/>
        <w:jc w:val="both"/>
        <w:rPr>
          <w:rFonts w:ascii="Palatino Linotype" w:eastAsia="Times New Roman" w:hAnsi="Palatino Linotype" w:cs="Arial"/>
          <w:b/>
          <w:color w:val="000000"/>
          <w:lang w:val="es-ES"/>
        </w:rPr>
      </w:pPr>
      <w:r w:rsidRPr="00336566">
        <w:rPr>
          <w:rFonts w:ascii="Palatino Linotype" w:eastAsia="Times New Roman" w:hAnsi="Palatino Linotype" w:cs="Arial"/>
          <w:b/>
          <w:color w:val="000000"/>
          <w:lang w:val="es-ES"/>
        </w:rPr>
        <w:t>El acuerdo del Comité de Transparencia del Sujeto Obligado que sustente la versión pública de</w:t>
      </w:r>
      <w:r w:rsidR="006A5621" w:rsidRPr="00336566">
        <w:rPr>
          <w:rFonts w:ascii="Palatino Linotype" w:hAnsi="Palatino Linotype"/>
          <w:b/>
          <w:color w:val="000000" w:themeColor="text1"/>
          <w:sz w:val="22"/>
          <w:szCs w:val="22"/>
        </w:rPr>
        <w:t xml:space="preserve"> la </w:t>
      </w:r>
      <w:r w:rsidR="006A5621" w:rsidRPr="00336566">
        <w:rPr>
          <w:rFonts w:ascii="Palatino Linotype" w:eastAsia="Times New Roman" w:hAnsi="Palatino Linotype" w:cs="Arial"/>
          <w:b/>
          <w:color w:val="000000"/>
        </w:rPr>
        <w:t xml:space="preserve">licencia de construcción </w:t>
      </w:r>
      <w:r w:rsidR="001F1D0F" w:rsidRPr="00336566">
        <w:rPr>
          <w:rFonts w:ascii="Palatino Linotype" w:eastAsia="Times New Roman" w:hAnsi="Palatino Linotype" w:cs="Arial"/>
          <w:b/>
          <w:color w:val="000000"/>
          <w:lang w:val="es-ES"/>
        </w:rPr>
        <w:t>enviada en respuesta a la solicitud 00188/ATIZARA/IP/2018.</w:t>
      </w:r>
    </w:p>
    <w:p w14:paraId="47427B2C" w14:textId="77777777" w:rsidR="00260059" w:rsidRPr="00336566"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336566">
        <w:rPr>
          <w:rFonts w:ascii="Palatino Linotype" w:eastAsiaTheme="majorEastAsia" w:hAnsi="Palatino Linotype" w:cstheme="majorBidi"/>
          <w:b/>
          <w:color w:val="000000" w:themeColor="text1"/>
          <w:szCs w:val="26"/>
          <w:lang w:val="es-MX" w:eastAsia="en-US"/>
        </w:rPr>
        <w:t xml:space="preserve">TERCERO. </w:t>
      </w:r>
      <w:r w:rsidRPr="00336566">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336566">
        <w:rPr>
          <w:rFonts w:ascii="Palatino Linotype" w:eastAsiaTheme="majorEastAsia" w:hAnsi="Palatino Linotype" w:cstheme="majorBidi"/>
          <w:b/>
          <w:color w:val="000000" w:themeColor="text1"/>
          <w:szCs w:val="26"/>
          <w:lang w:val="es-MX" w:eastAsia="en-US"/>
        </w:rPr>
        <w:t>SUJETO OBLIGADO</w:t>
      </w:r>
      <w:r w:rsidRPr="00336566">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1DA71FAB" w:rsidR="00260059" w:rsidRPr="00336566"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336566">
        <w:rPr>
          <w:rFonts w:ascii="Palatino Linotype" w:eastAsiaTheme="majorEastAsia" w:hAnsi="Palatino Linotype" w:cstheme="majorBidi"/>
          <w:b/>
          <w:lang w:val="es-MX" w:eastAsia="en-US"/>
        </w:rPr>
        <w:t xml:space="preserve">CUARTO. </w:t>
      </w:r>
      <w:r w:rsidRPr="00336566">
        <w:rPr>
          <w:rFonts w:ascii="Palatino Linotype" w:eastAsiaTheme="majorEastAsia" w:hAnsi="Palatino Linotype" w:cstheme="majorBidi"/>
          <w:lang w:val="es-MX" w:eastAsia="en-US"/>
        </w:rPr>
        <w:t>Notifíquese a</w:t>
      </w:r>
      <w:r w:rsidR="00C453E0" w:rsidRPr="00336566">
        <w:rPr>
          <w:rFonts w:ascii="Verdana" w:hAnsi="Verdana"/>
          <w:color w:val="000000"/>
          <w:sz w:val="17"/>
          <w:szCs w:val="17"/>
        </w:rPr>
        <w:t xml:space="preserve"> </w:t>
      </w:r>
      <w:r w:rsidR="003F1BBB" w:rsidRPr="003F1BBB">
        <w:rPr>
          <w:rFonts w:ascii="Palatino Linotype" w:eastAsiaTheme="majorEastAsia" w:hAnsi="Palatino Linotype" w:cstheme="majorBidi"/>
          <w:b/>
          <w:highlight w:val="black"/>
          <w:lang w:eastAsia="en-US"/>
        </w:rPr>
        <w:t>-----------------------------------------------------------</w:t>
      </w:r>
      <w:r w:rsidR="00514F1F" w:rsidRPr="00336566">
        <w:rPr>
          <w:rFonts w:ascii="Palatino Linotype" w:hAnsi="Palatino Linotype"/>
          <w:b/>
          <w:color w:val="000000" w:themeColor="text1"/>
          <w:szCs w:val="22"/>
        </w:rPr>
        <w:t xml:space="preserve"> </w:t>
      </w:r>
      <w:r w:rsidRPr="00336566">
        <w:rPr>
          <w:rFonts w:ascii="Palatino Linotype" w:eastAsia="Times New Roman" w:hAnsi="Palatino Linotype" w:cs="Times New Roman"/>
          <w:lang w:val="es-ES"/>
        </w:rPr>
        <w:t xml:space="preserve">la presente </w:t>
      </w:r>
      <w:r w:rsidRPr="00336566">
        <w:rPr>
          <w:rFonts w:ascii="Palatino Linotype" w:eastAsia="Times New Roman" w:hAnsi="Palatino Linotype" w:cs="Times New Roman"/>
          <w:b/>
          <w:lang w:val="es-ES"/>
        </w:rPr>
        <w:t xml:space="preserve">resolución, </w:t>
      </w:r>
      <w:r w:rsidR="00474A9F" w:rsidRPr="00336566">
        <w:rPr>
          <w:rFonts w:ascii="Palatino Linotype" w:eastAsia="Times New Roman" w:hAnsi="Palatino Linotype" w:cs="Times New Roman"/>
          <w:lang w:val="es-ES"/>
        </w:rPr>
        <w:t>a</w:t>
      </w:r>
      <w:r w:rsidR="006A5621" w:rsidRPr="00336566">
        <w:rPr>
          <w:rFonts w:ascii="Palatino Linotype" w:eastAsia="Times New Roman" w:hAnsi="Palatino Linotype" w:cs="Times New Roman"/>
          <w:lang w:val="es-ES"/>
        </w:rPr>
        <w:t>sí como el informe justificado</w:t>
      </w:r>
      <w:r w:rsidRPr="00336566">
        <w:rPr>
          <w:rFonts w:ascii="Palatino Linotype" w:eastAsia="Times New Roman" w:hAnsi="Palatino Linotype" w:cs="Times New Roman"/>
          <w:lang w:val="es-ES"/>
        </w:rPr>
        <w:t xml:space="preserve">. </w:t>
      </w:r>
    </w:p>
    <w:p w14:paraId="018E5136" w14:textId="7480104C" w:rsidR="00474A9F" w:rsidRPr="00336566" w:rsidRDefault="00260059" w:rsidP="00474A9F">
      <w:pPr>
        <w:spacing w:before="240" w:after="360" w:line="360" w:lineRule="auto"/>
        <w:jc w:val="both"/>
        <w:rPr>
          <w:rFonts w:ascii="Palatino Linotype" w:eastAsia="MS Mincho" w:hAnsi="Palatino Linotype" w:cs="Times New Roman"/>
          <w:color w:val="000000" w:themeColor="text1"/>
        </w:rPr>
      </w:pPr>
      <w:r w:rsidRPr="00336566">
        <w:rPr>
          <w:rFonts w:ascii="Palatino Linotype" w:eastAsia="MS Mincho" w:hAnsi="Palatino Linotype" w:cs="Times New Roman"/>
          <w:b/>
          <w:color w:val="000000" w:themeColor="text1"/>
        </w:rPr>
        <w:t xml:space="preserve">QUINTO. </w:t>
      </w:r>
      <w:r w:rsidRPr="00336566">
        <w:rPr>
          <w:rFonts w:ascii="Palatino Linotype" w:eastAsia="MS Mincho" w:hAnsi="Palatino Linotype" w:cs="Times New Roman"/>
          <w:color w:val="000000" w:themeColor="text1"/>
        </w:rPr>
        <w:t xml:space="preserve">Se hace del conocimiento de </w:t>
      </w:r>
      <w:r w:rsidR="003F1BBB" w:rsidRPr="003F1BBB">
        <w:rPr>
          <w:rFonts w:ascii="Palatino Linotype" w:eastAsia="MS Mincho" w:hAnsi="Palatino Linotype" w:cs="Times New Roman"/>
          <w:b/>
          <w:color w:val="000000" w:themeColor="text1"/>
          <w:highlight w:val="black"/>
        </w:rPr>
        <w:t>-------------------------------------------------</w:t>
      </w:r>
      <w:r w:rsidR="00514F1F" w:rsidRPr="00336566">
        <w:rPr>
          <w:rFonts w:ascii="Palatino Linotype" w:eastAsia="MS Mincho" w:hAnsi="Palatino Linotype" w:cs="Times New Roman"/>
          <w:b/>
          <w:color w:val="000000" w:themeColor="text1"/>
        </w:rPr>
        <w:t xml:space="preserve"> </w:t>
      </w:r>
      <w:r w:rsidRPr="00336566">
        <w:rPr>
          <w:rFonts w:ascii="Palatino Linotype" w:eastAsia="MS Mincho" w:hAnsi="Palatino Linotype" w:cs="Times New Roman"/>
          <w:color w:val="000000" w:themeColor="text1"/>
        </w:rPr>
        <w:t xml:space="preserve">que, de conformidad con lo establecido en el artículo 196 de la Ley de Transparencia y </w:t>
      </w:r>
      <w:r w:rsidRPr="00336566">
        <w:rPr>
          <w:rFonts w:ascii="Palatino Linotype" w:eastAsia="MS Mincho" w:hAnsi="Palatino Linotype" w:cs="Times New Roman"/>
          <w:color w:val="000000" w:themeColor="text1"/>
        </w:rPr>
        <w:lastRenderedPageBreak/>
        <w:t>Acceso a la Información Pública del Estado de México y Municipios, en caso de que considere que la resolución le cause algún perjuicio podrá impugnarla vía juicio de amparo en los té</w:t>
      </w:r>
      <w:r w:rsidR="00474A9F" w:rsidRPr="00336566">
        <w:rPr>
          <w:rFonts w:ascii="Palatino Linotype" w:eastAsia="MS Mincho" w:hAnsi="Palatino Linotype" w:cs="Times New Roman"/>
          <w:color w:val="000000" w:themeColor="text1"/>
        </w:rPr>
        <w:t>rminos de las leyes aplicables.</w:t>
      </w:r>
    </w:p>
    <w:p w14:paraId="79F244E5" w14:textId="4EE30247" w:rsidR="00C51DC6" w:rsidRDefault="00B90005" w:rsidP="00B90005">
      <w:pPr>
        <w:shd w:val="clear" w:color="auto" w:fill="FFFFFF"/>
        <w:spacing w:before="240" w:after="360" w:line="360" w:lineRule="auto"/>
        <w:jc w:val="both"/>
        <w:rPr>
          <w:rFonts w:ascii="Palatino Linotype" w:eastAsia="Calibri" w:hAnsi="Palatino Linotype" w:cs="Times New Roman"/>
          <w:b/>
        </w:rPr>
      </w:pPr>
      <w:r w:rsidRPr="00336566">
        <w:rPr>
          <w:rFonts w:ascii="Palatino Linotype" w:eastAsia="Times New Roman" w:hAnsi="Palatino Linotype" w:cs="Times New Roman"/>
          <w:b/>
          <w:color w:val="222222"/>
          <w:lang w:val="es-ES" w:eastAsia="es-MX"/>
        </w:rPr>
        <w:t>SEXTO.</w:t>
      </w:r>
      <w:r w:rsidRPr="00336566">
        <w:rPr>
          <w:rFonts w:ascii="Palatino Linotype" w:eastAsia="Times New Roman" w:hAnsi="Palatino Linotype" w:cs="Times New Roman"/>
          <w:color w:val="222222"/>
          <w:lang w:val="es-ES" w:eastAsia="es-MX"/>
        </w:rPr>
        <w:t xml:space="preserve"> </w:t>
      </w:r>
      <w:r w:rsidRPr="00336566">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336566">
        <w:rPr>
          <w:rFonts w:ascii="Palatino Linotype" w:eastAsia="Calibri" w:hAnsi="Palatino Linotype" w:cs="Times New Roman"/>
          <w:b/>
        </w:rPr>
        <w:t>Considerando SEXTO.</w:t>
      </w:r>
    </w:p>
    <w:p w14:paraId="30D2464F" w14:textId="61AE26B9" w:rsidR="00336566" w:rsidRDefault="00336566" w:rsidP="00336566">
      <w:pPr>
        <w:spacing w:before="240" w:after="240" w:line="360" w:lineRule="auto"/>
        <w:ind w:firstLine="1"/>
        <w:jc w:val="both"/>
        <w:rPr>
          <w:rFonts w:ascii="Palatino Linotype" w:hAnsi="Palatino Linotype"/>
        </w:rPr>
      </w:pPr>
      <w:r w:rsidRPr="004D4B86">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DCF4259" wp14:editId="6FCBC85E">
                <wp:simplePos x="0" y="0"/>
                <wp:positionH relativeFrom="margin">
                  <wp:align>left</wp:align>
                </wp:positionH>
                <wp:positionV relativeFrom="paragraph">
                  <wp:posOffset>3182619</wp:posOffset>
                </wp:positionV>
                <wp:extent cx="5543550" cy="16097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43550"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3BBEB" id="Conector recto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0.6pt" to="436.5pt,3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" strokecolor="black [3040]">
                <w10:wrap anchorx="margin"/>
              </v:line>
            </w:pict>
          </mc:Fallback>
        </mc:AlternateContent>
      </w: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OPINIÓN PARTICULAR</w:t>
      </w:r>
      <w:r w:rsidRPr="004D4B86">
        <w:rPr>
          <w:rFonts w:ascii="Palatino Linotype" w:hAnsi="Palatino Linotype"/>
        </w:rPr>
        <w:t xml:space="preserve">; JOSÉ GUADALUPE LUNA HERNÁNDEZ; JAVIER MARTÍNEZ CRUZ Y LUIS GUSTAVO PARRA NORIEGA, EN LA TRIGÉSIMA </w:t>
      </w:r>
      <w:r>
        <w:rPr>
          <w:rFonts w:ascii="Palatino Linotype" w:hAnsi="Palatino Linotype"/>
        </w:rPr>
        <w:t>CUARTA</w:t>
      </w:r>
      <w:r w:rsidRPr="004D4B86">
        <w:rPr>
          <w:rFonts w:ascii="Palatino Linotype" w:hAnsi="Palatino Linotype"/>
        </w:rPr>
        <w:t xml:space="preserve"> SESIÓN ORDINARIA CELEBRADA EL DÍA </w:t>
      </w:r>
      <w:r>
        <w:rPr>
          <w:rFonts w:ascii="Palatino Linotype" w:hAnsi="Palatino Linotype"/>
        </w:rPr>
        <w:t>DIECINUEVE</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336566" w:rsidRPr="00330466" w14:paraId="2C4791A9" w14:textId="77777777" w:rsidTr="00844D09">
        <w:trPr>
          <w:trHeight w:val="1639"/>
        </w:trPr>
        <w:tc>
          <w:tcPr>
            <w:tcW w:w="8771" w:type="dxa"/>
            <w:gridSpan w:val="2"/>
            <w:vAlign w:val="center"/>
          </w:tcPr>
          <w:p w14:paraId="7B28DC17" w14:textId="77777777" w:rsidR="00336566" w:rsidRDefault="00336566" w:rsidP="00844D09">
            <w:pPr>
              <w:spacing w:line="240" w:lineRule="atLeast"/>
              <w:jc w:val="center"/>
              <w:rPr>
                <w:rFonts w:ascii="Palatino Linotype" w:hAnsi="Palatino Linotype" w:cs="Times New Roman"/>
                <w:b/>
              </w:rPr>
            </w:pPr>
          </w:p>
          <w:p w14:paraId="699051F8" w14:textId="77777777" w:rsidR="00336566" w:rsidRDefault="00336566" w:rsidP="00844D09">
            <w:pPr>
              <w:spacing w:line="240" w:lineRule="atLeast"/>
              <w:jc w:val="center"/>
              <w:rPr>
                <w:rFonts w:ascii="Palatino Linotype" w:hAnsi="Palatino Linotype" w:cs="Times New Roman"/>
                <w:b/>
              </w:rPr>
            </w:pPr>
          </w:p>
          <w:p w14:paraId="60A57B6C" w14:textId="77777777" w:rsidR="00336566" w:rsidRDefault="00336566" w:rsidP="00844D09">
            <w:pPr>
              <w:spacing w:line="240" w:lineRule="atLeast"/>
              <w:jc w:val="center"/>
              <w:rPr>
                <w:rFonts w:ascii="Palatino Linotype" w:hAnsi="Palatino Linotype" w:cs="Times New Roman"/>
                <w:b/>
              </w:rPr>
            </w:pPr>
          </w:p>
          <w:p w14:paraId="477CC064" w14:textId="77777777" w:rsidR="00336566" w:rsidRDefault="00336566" w:rsidP="00844D09">
            <w:pPr>
              <w:spacing w:line="240" w:lineRule="atLeast"/>
              <w:jc w:val="center"/>
              <w:rPr>
                <w:rFonts w:ascii="Palatino Linotype" w:hAnsi="Palatino Linotype" w:cs="Times New Roman"/>
                <w:b/>
              </w:rPr>
            </w:pPr>
          </w:p>
          <w:p w14:paraId="17ED9439" w14:textId="77777777" w:rsidR="00336566" w:rsidRDefault="00336566" w:rsidP="00844D09">
            <w:pPr>
              <w:spacing w:line="240" w:lineRule="atLeast"/>
              <w:jc w:val="center"/>
              <w:rPr>
                <w:rFonts w:ascii="Palatino Linotype" w:hAnsi="Palatino Linotype" w:cs="Times New Roman"/>
                <w:b/>
              </w:rPr>
            </w:pPr>
          </w:p>
          <w:p w14:paraId="105C04A9" w14:textId="77777777" w:rsidR="00336566" w:rsidRDefault="00336566" w:rsidP="00844D09">
            <w:pPr>
              <w:spacing w:line="240" w:lineRule="atLeast"/>
              <w:jc w:val="center"/>
              <w:rPr>
                <w:rFonts w:ascii="Palatino Linotype" w:hAnsi="Palatino Linotype" w:cs="Times New Roman"/>
                <w:b/>
              </w:rPr>
            </w:pPr>
          </w:p>
          <w:p w14:paraId="352B727B" w14:textId="77777777" w:rsidR="00336566" w:rsidRDefault="00336566" w:rsidP="00844D09">
            <w:pPr>
              <w:spacing w:line="240" w:lineRule="atLeast"/>
              <w:jc w:val="center"/>
              <w:rPr>
                <w:rFonts w:ascii="Palatino Linotype" w:hAnsi="Palatino Linotype" w:cs="Times New Roman"/>
                <w:b/>
              </w:rPr>
            </w:pPr>
          </w:p>
          <w:p w14:paraId="5ED39D2B" w14:textId="77777777" w:rsidR="00336566" w:rsidRDefault="00336566" w:rsidP="00844D09">
            <w:pPr>
              <w:spacing w:line="240" w:lineRule="atLeast"/>
              <w:jc w:val="center"/>
              <w:rPr>
                <w:rFonts w:ascii="Palatino Linotype" w:hAnsi="Palatino Linotype" w:cs="Times New Roman"/>
                <w:b/>
              </w:rPr>
            </w:pPr>
          </w:p>
          <w:p w14:paraId="77415535" w14:textId="77777777" w:rsidR="00336566" w:rsidRDefault="00336566" w:rsidP="00844D09">
            <w:pPr>
              <w:spacing w:line="240" w:lineRule="atLeast"/>
              <w:jc w:val="center"/>
              <w:rPr>
                <w:rFonts w:ascii="Palatino Linotype" w:hAnsi="Palatino Linotype" w:cs="Times New Roman"/>
                <w:b/>
              </w:rPr>
            </w:pPr>
          </w:p>
          <w:p w14:paraId="206EC33F" w14:textId="77777777" w:rsidR="00336566" w:rsidRDefault="00336566" w:rsidP="00844D09">
            <w:pPr>
              <w:spacing w:line="240" w:lineRule="atLeast"/>
              <w:jc w:val="center"/>
              <w:rPr>
                <w:rFonts w:ascii="Palatino Linotype" w:hAnsi="Palatino Linotype" w:cs="Times New Roman"/>
                <w:b/>
              </w:rPr>
            </w:pPr>
          </w:p>
          <w:p w14:paraId="54451E6E" w14:textId="77777777" w:rsidR="00336566" w:rsidRDefault="00336566" w:rsidP="00844D09">
            <w:pPr>
              <w:spacing w:line="240" w:lineRule="atLeast"/>
              <w:jc w:val="center"/>
              <w:rPr>
                <w:rFonts w:ascii="Palatino Linotype" w:hAnsi="Palatino Linotype" w:cs="Times New Roman"/>
                <w:b/>
              </w:rPr>
            </w:pPr>
          </w:p>
          <w:p w14:paraId="0DE01D91" w14:textId="4056C9B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14:paraId="69DB077C"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12BB08A6"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336566" w:rsidRPr="00330466" w14:paraId="3AC3F808" w14:textId="77777777" w:rsidTr="00844D09">
        <w:trPr>
          <w:trHeight w:val="1956"/>
        </w:trPr>
        <w:tc>
          <w:tcPr>
            <w:tcW w:w="4385" w:type="dxa"/>
            <w:vAlign w:val="center"/>
          </w:tcPr>
          <w:p w14:paraId="50ABD390" w14:textId="77777777" w:rsidR="00336566" w:rsidRPr="00330466" w:rsidRDefault="00336566" w:rsidP="00844D09">
            <w:pPr>
              <w:spacing w:line="240" w:lineRule="atLeast"/>
              <w:rPr>
                <w:rFonts w:ascii="Palatino Linotype" w:hAnsi="Palatino Linotype" w:cs="Times New Roman"/>
                <w:b/>
              </w:rPr>
            </w:pPr>
          </w:p>
          <w:p w14:paraId="6AE02CFA" w14:textId="77777777" w:rsidR="00336566" w:rsidRPr="00330466" w:rsidRDefault="00336566" w:rsidP="00844D09">
            <w:pPr>
              <w:spacing w:line="240" w:lineRule="atLeast"/>
              <w:rPr>
                <w:rFonts w:ascii="Palatino Linotype" w:hAnsi="Palatino Linotype" w:cs="Times New Roman"/>
                <w:b/>
              </w:rPr>
            </w:pPr>
          </w:p>
          <w:p w14:paraId="352A61B7" w14:textId="77777777" w:rsidR="00336566" w:rsidRPr="00330466" w:rsidRDefault="00336566" w:rsidP="00844D09">
            <w:pPr>
              <w:spacing w:line="240" w:lineRule="atLeast"/>
              <w:jc w:val="center"/>
              <w:rPr>
                <w:rFonts w:ascii="Palatino Linotype" w:hAnsi="Palatino Linotype" w:cs="Times New Roman"/>
                <w:b/>
              </w:rPr>
            </w:pPr>
          </w:p>
          <w:p w14:paraId="35F37CBA" w14:textId="77777777" w:rsidR="00336566" w:rsidRPr="00330466" w:rsidRDefault="00336566" w:rsidP="00844D09">
            <w:pPr>
              <w:spacing w:line="240" w:lineRule="atLeast"/>
              <w:jc w:val="center"/>
              <w:rPr>
                <w:rFonts w:ascii="Palatino Linotype" w:hAnsi="Palatino Linotype" w:cs="Times New Roman"/>
                <w:b/>
              </w:rPr>
            </w:pPr>
          </w:p>
          <w:p w14:paraId="5904BDD7" w14:textId="7777777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14:paraId="25F3CBE1"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14E14A5C"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21EE7A2C" w14:textId="77777777" w:rsidR="00336566" w:rsidRPr="00330466" w:rsidRDefault="00336566" w:rsidP="00844D09">
            <w:pPr>
              <w:spacing w:line="240" w:lineRule="atLeast"/>
              <w:rPr>
                <w:rFonts w:ascii="Palatino Linotype" w:hAnsi="Palatino Linotype" w:cs="Times New Roman"/>
              </w:rPr>
            </w:pPr>
          </w:p>
        </w:tc>
        <w:tc>
          <w:tcPr>
            <w:tcW w:w="4386" w:type="dxa"/>
            <w:vAlign w:val="center"/>
          </w:tcPr>
          <w:p w14:paraId="54D1C027" w14:textId="77777777" w:rsidR="00336566" w:rsidRPr="00330466" w:rsidRDefault="00336566" w:rsidP="00844D09">
            <w:pPr>
              <w:spacing w:line="240" w:lineRule="atLeast"/>
              <w:jc w:val="center"/>
              <w:rPr>
                <w:rFonts w:ascii="Palatino Linotype" w:hAnsi="Palatino Linotype" w:cs="Times New Roman"/>
                <w:b/>
              </w:rPr>
            </w:pPr>
          </w:p>
          <w:p w14:paraId="0DC56DAA" w14:textId="77777777" w:rsidR="00336566" w:rsidRPr="00330466" w:rsidRDefault="00336566" w:rsidP="00844D09">
            <w:pPr>
              <w:spacing w:line="240" w:lineRule="atLeast"/>
              <w:jc w:val="center"/>
              <w:rPr>
                <w:rFonts w:ascii="Palatino Linotype" w:hAnsi="Palatino Linotype" w:cs="Times New Roman"/>
                <w:b/>
              </w:rPr>
            </w:pPr>
          </w:p>
          <w:p w14:paraId="6A0CCFE6" w14:textId="77777777" w:rsidR="00336566" w:rsidRPr="00330466" w:rsidRDefault="00336566" w:rsidP="00844D09">
            <w:pPr>
              <w:spacing w:line="240" w:lineRule="atLeast"/>
              <w:jc w:val="center"/>
              <w:rPr>
                <w:rFonts w:ascii="Palatino Linotype" w:hAnsi="Palatino Linotype" w:cs="Times New Roman"/>
                <w:b/>
              </w:rPr>
            </w:pPr>
          </w:p>
          <w:p w14:paraId="08908CCA" w14:textId="77777777" w:rsidR="00336566" w:rsidRPr="00330466" w:rsidRDefault="00336566" w:rsidP="00844D09">
            <w:pPr>
              <w:spacing w:line="240" w:lineRule="atLeast"/>
              <w:jc w:val="center"/>
              <w:rPr>
                <w:rFonts w:ascii="Palatino Linotype" w:hAnsi="Palatino Linotype" w:cs="Times New Roman"/>
                <w:b/>
              </w:rPr>
            </w:pPr>
          </w:p>
          <w:p w14:paraId="2C75D9E1" w14:textId="7777777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403464EE"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3510D049"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6113417B" w14:textId="77777777" w:rsidR="00336566" w:rsidRPr="00330466" w:rsidRDefault="00336566" w:rsidP="00844D09">
            <w:pPr>
              <w:spacing w:line="240" w:lineRule="atLeast"/>
              <w:rPr>
                <w:rFonts w:ascii="Palatino Linotype" w:hAnsi="Palatino Linotype" w:cs="Times New Roman"/>
              </w:rPr>
            </w:pPr>
          </w:p>
        </w:tc>
      </w:tr>
      <w:tr w:rsidR="00336566" w:rsidRPr="00330466" w14:paraId="001ADD26" w14:textId="77777777" w:rsidTr="00844D09">
        <w:trPr>
          <w:trHeight w:val="2037"/>
        </w:trPr>
        <w:tc>
          <w:tcPr>
            <w:tcW w:w="4385" w:type="dxa"/>
            <w:vAlign w:val="center"/>
          </w:tcPr>
          <w:p w14:paraId="0B0F1769" w14:textId="77777777" w:rsidR="00336566" w:rsidRPr="00330466" w:rsidRDefault="00336566" w:rsidP="00844D09">
            <w:pPr>
              <w:spacing w:line="240" w:lineRule="atLeast"/>
              <w:jc w:val="center"/>
              <w:rPr>
                <w:rFonts w:ascii="Palatino Linotype" w:hAnsi="Palatino Linotype" w:cs="Times New Roman"/>
                <w:b/>
              </w:rPr>
            </w:pPr>
          </w:p>
          <w:p w14:paraId="5D01DC14" w14:textId="77777777" w:rsidR="00336566" w:rsidRPr="00330466" w:rsidRDefault="00336566" w:rsidP="00844D09">
            <w:pPr>
              <w:spacing w:line="240" w:lineRule="atLeast"/>
              <w:jc w:val="center"/>
              <w:rPr>
                <w:rFonts w:ascii="Palatino Linotype" w:hAnsi="Palatino Linotype" w:cs="Times New Roman"/>
                <w:b/>
              </w:rPr>
            </w:pPr>
          </w:p>
          <w:p w14:paraId="2B64C94D" w14:textId="77777777" w:rsidR="00336566" w:rsidRPr="00330466" w:rsidRDefault="00336566" w:rsidP="00844D09">
            <w:pPr>
              <w:spacing w:line="240" w:lineRule="atLeast"/>
              <w:jc w:val="center"/>
              <w:rPr>
                <w:rFonts w:ascii="Palatino Linotype" w:hAnsi="Palatino Linotype" w:cs="Times New Roman"/>
                <w:b/>
              </w:rPr>
            </w:pPr>
          </w:p>
          <w:p w14:paraId="548B673D" w14:textId="77777777" w:rsidR="00336566" w:rsidRPr="00330466" w:rsidRDefault="00336566" w:rsidP="00844D09">
            <w:pPr>
              <w:spacing w:line="240" w:lineRule="atLeast"/>
              <w:jc w:val="center"/>
              <w:rPr>
                <w:rFonts w:ascii="Palatino Linotype" w:hAnsi="Palatino Linotype" w:cs="Times New Roman"/>
                <w:b/>
              </w:rPr>
            </w:pPr>
          </w:p>
          <w:p w14:paraId="030467F4" w14:textId="7777777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5B14B87B"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44F63368"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341EFCC4" w14:textId="77777777" w:rsidR="00336566" w:rsidRPr="00330466" w:rsidRDefault="00336566" w:rsidP="00844D09">
            <w:pPr>
              <w:spacing w:line="240" w:lineRule="atLeast"/>
              <w:jc w:val="center"/>
              <w:rPr>
                <w:rFonts w:ascii="Palatino Linotype" w:hAnsi="Palatino Linotype" w:cs="Times New Roman"/>
                <w:b/>
              </w:rPr>
            </w:pPr>
          </w:p>
          <w:p w14:paraId="23D3B8D5" w14:textId="77777777" w:rsidR="00336566" w:rsidRPr="00330466" w:rsidRDefault="00336566" w:rsidP="00844D09">
            <w:pPr>
              <w:spacing w:line="240" w:lineRule="atLeast"/>
              <w:jc w:val="center"/>
              <w:rPr>
                <w:rFonts w:ascii="Palatino Linotype" w:hAnsi="Palatino Linotype" w:cs="Times New Roman"/>
                <w:b/>
              </w:rPr>
            </w:pPr>
          </w:p>
          <w:p w14:paraId="0C667DC0" w14:textId="77777777" w:rsidR="00336566" w:rsidRPr="00330466" w:rsidRDefault="00336566" w:rsidP="00844D09">
            <w:pPr>
              <w:spacing w:line="240" w:lineRule="atLeast"/>
              <w:jc w:val="center"/>
              <w:rPr>
                <w:rFonts w:ascii="Palatino Linotype" w:hAnsi="Palatino Linotype" w:cs="Times New Roman"/>
                <w:b/>
              </w:rPr>
            </w:pPr>
          </w:p>
          <w:p w14:paraId="52F2F555" w14:textId="77777777" w:rsidR="00336566" w:rsidRPr="00330466" w:rsidRDefault="00336566" w:rsidP="00844D09">
            <w:pPr>
              <w:spacing w:line="240" w:lineRule="atLeast"/>
              <w:jc w:val="center"/>
              <w:rPr>
                <w:rFonts w:ascii="Palatino Linotype" w:hAnsi="Palatino Linotype" w:cs="Times New Roman"/>
                <w:b/>
              </w:rPr>
            </w:pPr>
          </w:p>
          <w:p w14:paraId="4DBA9BC3" w14:textId="7777777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0AF67889"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2C7ADA71"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336566" w:rsidRPr="00330466" w14:paraId="00B1B70C" w14:textId="77777777" w:rsidTr="00844D09">
        <w:trPr>
          <w:trHeight w:val="1773"/>
        </w:trPr>
        <w:tc>
          <w:tcPr>
            <w:tcW w:w="8771" w:type="dxa"/>
            <w:gridSpan w:val="2"/>
            <w:vAlign w:val="center"/>
          </w:tcPr>
          <w:p w14:paraId="21A2A1D8" w14:textId="77777777" w:rsidR="00336566" w:rsidRPr="00330466" w:rsidRDefault="00336566" w:rsidP="00844D09">
            <w:pPr>
              <w:spacing w:line="240" w:lineRule="atLeast"/>
              <w:jc w:val="center"/>
              <w:rPr>
                <w:rFonts w:ascii="Palatino Linotype" w:hAnsi="Palatino Linotype" w:cs="Times New Roman"/>
                <w:b/>
              </w:rPr>
            </w:pPr>
          </w:p>
          <w:p w14:paraId="7727A74B" w14:textId="77777777" w:rsidR="00336566" w:rsidRPr="00330466" w:rsidRDefault="00336566" w:rsidP="00844D09">
            <w:pPr>
              <w:spacing w:line="240" w:lineRule="atLeast"/>
              <w:jc w:val="center"/>
              <w:rPr>
                <w:rFonts w:ascii="Palatino Linotype" w:hAnsi="Palatino Linotype" w:cs="Times New Roman"/>
                <w:b/>
              </w:rPr>
            </w:pPr>
          </w:p>
          <w:p w14:paraId="4749EFF1" w14:textId="77777777" w:rsidR="00336566" w:rsidRPr="00330466" w:rsidRDefault="00336566" w:rsidP="00844D09">
            <w:pPr>
              <w:spacing w:line="240" w:lineRule="atLeast"/>
              <w:jc w:val="center"/>
              <w:rPr>
                <w:rFonts w:ascii="Palatino Linotype" w:hAnsi="Palatino Linotype" w:cs="Times New Roman"/>
                <w:b/>
              </w:rPr>
            </w:pPr>
          </w:p>
          <w:p w14:paraId="7A86C897" w14:textId="77777777" w:rsidR="00336566" w:rsidRPr="00330466" w:rsidRDefault="00336566" w:rsidP="00844D09">
            <w:pPr>
              <w:spacing w:line="240" w:lineRule="atLeast"/>
              <w:jc w:val="center"/>
              <w:rPr>
                <w:rFonts w:ascii="Palatino Linotype" w:hAnsi="Palatino Linotype" w:cs="Times New Roman"/>
                <w:b/>
              </w:rPr>
            </w:pPr>
          </w:p>
          <w:p w14:paraId="1FCA331B" w14:textId="77777777" w:rsidR="00336566" w:rsidRPr="00330466" w:rsidRDefault="00336566" w:rsidP="00844D09">
            <w:pPr>
              <w:spacing w:line="240" w:lineRule="atLeast"/>
              <w:jc w:val="center"/>
              <w:rPr>
                <w:rFonts w:ascii="Palatino Linotype" w:hAnsi="Palatino Linotype" w:cs="Times New Roman"/>
                <w:b/>
              </w:rPr>
            </w:pPr>
          </w:p>
          <w:p w14:paraId="2B175C2A" w14:textId="77777777" w:rsidR="00336566" w:rsidRPr="00330466" w:rsidRDefault="00336566"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14:paraId="3A378A6E" w14:textId="77777777" w:rsidR="00336566" w:rsidRPr="003304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7FC66943" w14:textId="77777777" w:rsidR="00336566" w:rsidRDefault="00336566"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9C11E3B" w14:textId="77777777" w:rsidR="00336566" w:rsidRPr="00330466" w:rsidRDefault="00336566" w:rsidP="00844D09">
            <w:pPr>
              <w:spacing w:line="240" w:lineRule="atLeast"/>
              <w:jc w:val="center"/>
              <w:rPr>
                <w:rFonts w:ascii="Palatino Linotype" w:hAnsi="Palatino Linotype" w:cs="Times New Roman"/>
              </w:rPr>
            </w:pPr>
          </w:p>
        </w:tc>
      </w:tr>
    </w:tbl>
    <w:p w14:paraId="3CC7F358" w14:textId="68048199" w:rsidR="00336566" w:rsidRPr="004D4B86" w:rsidRDefault="00336566" w:rsidP="00336566">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diecinueve</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02611/INFOEM/IP/RR/2018.</w:t>
      </w:r>
    </w:p>
    <w:p w14:paraId="31C6C076" w14:textId="77777777" w:rsidR="00336566" w:rsidRPr="00336566" w:rsidRDefault="00336566" w:rsidP="00B90005">
      <w:pPr>
        <w:shd w:val="clear" w:color="auto" w:fill="FFFFFF"/>
        <w:spacing w:before="240" w:after="360" w:line="360" w:lineRule="auto"/>
        <w:jc w:val="both"/>
        <w:rPr>
          <w:rFonts w:ascii="Palatino Linotype" w:eastAsia="Times New Roman" w:hAnsi="Palatino Linotype" w:cs="Times New Roman"/>
          <w:b/>
          <w:color w:val="222222"/>
          <w:lang w:eastAsia="es-MX"/>
        </w:rPr>
      </w:pPr>
    </w:p>
    <w:sectPr w:rsidR="00336566" w:rsidRPr="00336566" w:rsidSect="005B118B">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FC270" w14:textId="77777777" w:rsidR="000A3AD0" w:rsidRDefault="000A3AD0" w:rsidP="00587366">
      <w:r>
        <w:separator/>
      </w:r>
    </w:p>
  </w:endnote>
  <w:endnote w:type="continuationSeparator" w:id="0">
    <w:p w14:paraId="796291DB" w14:textId="77777777" w:rsidR="000A3AD0" w:rsidRDefault="000A3AD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8519DF" w:rsidRPr="00883450" w:rsidRDefault="008519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3B68">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3B68">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8519DF" w:rsidRDefault="008519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519DF" w:rsidRPr="00883450" w:rsidRDefault="008519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B4CC0" w:rsidRPr="000B4C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B4CC0" w:rsidRPr="000B4CC0">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8519DF" w:rsidRPr="00883450" w:rsidRDefault="008519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7EEA" w14:textId="77777777" w:rsidR="000A3AD0" w:rsidRDefault="000A3AD0" w:rsidP="00587366">
      <w:r>
        <w:separator/>
      </w:r>
    </w:p>
  </w:footnote>
  <w:footnote w:type="continuationSeparator" w:id="0">
    <w:p w14:paraId="6A200120" w14:textId="77777777" w:rsidR="000A3AD0" w:rsidRDefault="000A3AD0" w:rsidP="00587366">
      <w:r>
        <w:continuationSeparator/>
      </w:r>
    </w:p>
  </w:footnote>
  <w:footnote w:id="1">
    <w:p w14:paraId="150F6945" w14:textId="77777777" w:rsidR="008519DF" w:rsidRPr="00F538C8" w:rsidRDefault="008519DF" w:rsidP="002E1FDF">
      <w:pPr>
        <w:pStyle w:val="FAFunotente1"/>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14:paraId="0B4647D3" w14:textId="77777777" w:rsidR="008519DF" w:rsidRPr="00F538C8" w:rsidRDefault="008519DF" w:rsidP="002E1FDF">
      <w:pPr>
        <w:pStyle w:val="FAFunotente1"/>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4B068F29" w14:textId="77777777" w:rsidR="008519DF" w:rsidRPr="00034B44" w:rsidRDefault="008519DF" w:rsidP="008061A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5AEE3CC" w14:textId="77777777" w:rsidR="008519DF" w:rsidRPr="00034B44" w:rsidRDefault="008519DF" w:rsidP="008061A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165E306" w14:textId="77777777" w:rsidR="008519DF" w:rsidRPr="00034B44" w:rsidRDefault="008519DF" w:rsidP="008061A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2CC335D2" w14:textId="77777777" w:rsidR="008519DF" w:rsidRPr="00034B44" w:rsidRDefault="008519DF" w:rsidP="008061A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F48E8E" w14:textId="77777777" w:rsidR="008519DF" w:rsidRPr="00034B44" w:rsidRDefault="008519DF" w:rsidP="008061A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0DD28C" w14:textId="77777777" w:rsidR="008519DF" w:rsidRPr="00034B44" w:rsidRDefault="008519DF" w:rsidP="008061A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bookmarkStart w:id="57" w:name="_GoBack"/>
      <w:bookmarkEnd w:id="57"/>
    </w:p>
  </w:footnote>
  <w:footnote w:id="5">
    <w:p w14:paraId="19533375" w14:textId="77777777" w:rsidR="008519DF" w:rsidRPr="00034B44" w:rsidRDefault="008519DF" w:rsidP="008061A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27E9C6E1" w14:textId="77777777" w:rsidR="008519DF" w:rsidRPr="00034B44" w:rsidRDefault="008519DF" w:rsidP="008061A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E7F6221" w14:textId="77777777" w:rsidR="008519DF" w:rsidRPr="00034B44" w:rsidRDefault="008519DF" w:rsidP="008061A9">
      <w:pPr>
        <w:pStyle w:val="Textonotapie"/>
        <w:jc w:val="both"/>
        <w:rPr>
          <w:rFonts w:ascii="Palatino Linotype" w:hAnsi="Palatino Linotype"/>
          <w:sz w:val="18"/>
        </w:rPr>
      </w:pPr>
      <w:r w:rsidRPr="00034B44">
        <w:rPr>
          <w:rFonts w:ascii="Palatino Linotype" w:hAnsi="Palatino Linotype"/>
          <w:sz w:val="18"/>
        </w:rPr>
        <w:t xml:space="preserve"> (…)</w:t>
      </w:r>
    </w:p>
    <w:p w14:paraId="07E47544" w14:textId="77777777" w:rsidR="008519DF" w:rsidRPr="00034B44" w:rsidRDefault="008519DF" w:rsidP="008061A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8519DF" w:rsidRDefault="008519DF">
    <w:pPr>
      <w:pStyle w:val="Encabezado"/>
    </w:pPr>
    <w:r>
      <w:tab/>
    </w:r>
    <w:r>
      <w:tab/>
    </w:r>
  </w:p>
  <w:p w14:paraId="64F5F23E" w14:textId="390690E5" w:rsidR="008519DF" w:rsidRDefault="008519DF">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519DF" w:rsidRPr="00E1705A" w14:paraId="07F2896E" w14:textId="77777777" w:rsidTr="00B16FB2">
      <w:trPr>
        <w:trHeight w:val="138"/>
      </w:trPr>
      <w:tc>
        <w:tcPr>
          <w:tcW w:w="2552" w:type="dxa"/>
          <w:vAlign w:val="center"/>
        </w:tcPr>
        <w:p w14:paraId="4A5B1974" w14:textId="77777777" w:rsidR="008519DF" w:rsidRPr="00E1705A" w:rsidRDefault="008519DF"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2747FCE9" w:rsidR="008519DF" w:rsidRPr="00E1705A" w:rsidRDefault="008519DF" w:rsidP="00336566">
          <w:pPr>
            <w:pStyle w:val="Encabezado"/>
            <w:jc w:val="right"/>
            <w:rPr>
              <w:rFonts w:ascii="Palatino Linotype" w:hAnsi="Palatino Linotype"/>
              <w:b/>
              <w:sz w:val="22"/>
              <w:szCs w:val="22"/>
            </w:rPr>
          </w:pPr>
          <w:r>
            <w:rPr>
              <w:rFonts w:ascii="Palatino Linotype" w:hAnsi="Palatino Linotype" w:cs="Arial"/>
              <w:b/>
              <w:bCs/>
              <w:sz w:val="22"/>
              <w:szCs w:val="22"/>
              <w:lang w:eastAsia="es-MX"/>
            </w:rPr>
            <w:t>02611/INFOEM/IP/RR/2018</w:t>
          </w:r>
        </w:p>
      </w:tc>
    </w:tr>
    <w:tr w:rsidR="008519DF" w:rsidRPr="00E1705A" w14:paraId="095EB01B" w14:textId="77777777" w:rsidTr="00B16FB2">
      <w:trPr>
        <w:trHeight w:val="321"/>
      </w:trPr>
      <w:tc>
        <w:tcPr>
          <w:tcW w:w="2552" w:type="dxa"/>
          <w:vAlign w:val="center"/>
        </w:tcPr>
        <w:p w14:paraId="6E000A51" w14:textId="4DA3E277" w:rsidR="008519DF" w:rsidRPr="00E1705A" w:rsidRDefault="008519DF"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4A0EE75E" w:rsidR="008519DF" w:rsidRPr="00E1705A" w:rsidRDefault="008519DF" w:rsidP="00336566">
          <w:pPr>
            <w:pStyle w:val="Encabezado"/>
            <w:jc w:val="right"/>
            <w:rPr>
              <w:rFonts w:ascii="Palatino Linotype" w:hAnsi="Palatino Linotype"/>
              <w:b/>
              <w:sz w:val="22"/>
              <w:szCs w:val="22"/>
            </w:rPr>
          </w:pPr>
          <w:r>
            <w:rPr>
              <w:rFonts w:ascii="Palatino Linotype" w:hAnsi="Palatino Linotype"/>
              <w:b/>
              <w:sz w:val="22"/>
              <w:szCs w:val="22"/>
            </w:rPr>
            <w:t xml:space="preserve">Ayuntamiento de Atizapán de Zaragoza </w:t>
          </w:r>
        </w:p>
      </w:tc>
    </w:tr>
    <w:tr w:rsidR="008519DF" w:rsidRPr="00E1705A" w14:paraId="14F3CE0D" w14:textId="77777777" w:rsidTr="00B16FB2">
      <w:trPr>
        <w:trHeight w:val="321"/>
      </w:trPr>
      <w:tc>
        <w:tcPr>
          <w:tcW w:w="2552" w:type="dxa"/>
          <w:vAlign w:val="center"/>
        </w:tcPr>
        <w:p w14:paraId="12248485" w14:textId="2D643AEB" w:rsidR="008519DF" w:rsidRPr="00E1705A" w:rsidRDefault="008519DF"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8519DF" w:rsidRPr="00E1705A" w:rsidRDefault="008519DF" w:rsidP="00336566">
          <w:pPr>
            <w:pStyle w:val="Encabezado"/>
            <w:jc w:val="right"/>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8519DF" w:rsidRDefault="008519DF"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519DF" w:rsidRDefault="008519DF" w:rsidP="000B5D79">
    <w:pPr>
      <w:pStyle w:val="Encabezado"/>
      <w:tabs>
        <w:tab w:val="clear" w:pos="4252"/>
        <w:tab w:val="clear" w:pos="8504"/>
        <w:tab w:val="left" w:pos="3103"/>
      </w:tabs>
    </w:pPr>
    <w:r>
      <w:tab/>
    </w:r>
    <w:r>
      <w:tab/>
    </w:r>
  </w:p>
  <w:tbl>
    <w:tblPr>
      <w:tblStyle w:val="Tablaconcuadrcula"/>
      <w:tblW w:w="6521"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8519DF" w:rsidRPr="00182113" w14:paraId="665387B4" w14:textId="77777777" w:rsidTr="00B16FB2">
      <w:trPr>
        <w:trHeight w:val="138"/>
      </w:trPr>
      <w:tc>
        <w:tcPr>
          <w:tcW w:w="2552" w:type="dxa"/>
          <w:vAlign w:val="center"/>
        </w:tcPr>
        <w:p w14:paraId="01509DD6" w14:textId="77777777" w:rsidR="008519DF" w:rsidRPr="005B118B" w:rsidRDefault="008519DF"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49A8AA33" w:rsidR="008519DF" w:rsidRPr="005B118B" w:rsidRDefault="008519DF" w:rsidP="00CC360E">
          <w:pPr>
            <w:pStyle w:val="Encabezado"/>
            <w:rPr>
              <w:rFonts w:ascii="Palatino Linotype" w:hAnsi="Palatino Linotype"/>
              <w:b/>
              <w:sz w:val="22"/>
              <w:szCs w:val="22"/>
            </w:rPr>
          </w:pPr>
          <w:r>
            <w:rPr>
              <w:rFonts w:ascii="Palatino Linotype" w:hAnsi="Palatino Linotype" w:cs="Arial"/>
              <w:b/>
              <w:bCs/>
              <w:sz w:val="22"/>
              <w:szCs w:val="22"/>
              <w:lang w:eastAsia="es-MX"/>
            </w:rPr>
            <w:t>02611</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8519DF" w:rsidRPr="00182113" w14:paraId="78C9F2F4" w14:textId="77777777" w:rsidTr="00B16FB2">
      <w:trPr>
        <w:trHeight w:val="227"/>
      </w:trPr>
      <w:tc>
        <w:tcPr>
          <w:tcW w:w="2552" w:type="dxa"/>
          <w:vAlign w:val="center"/>
        </w:tcPr>
        <w:p w14:paraId="2D89FED3" w14:textId="77777777" w:rsidR="008519DF" w:rsidRPr="005B118B" w:rsidRDefault="008519DF"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4B094CAE" w:rsidR="008519DF" w:rsidRPr="005B118B" w:rsidRDefault="003F1BBB" w:rsidP="000B5D79">
          <w:pPr>
            <w:pStyle w:val="Encabezado"/>
            <w:rPr>
              <w:rFonts w:ascii="Palatino Linotype" w:hAnsi="Palatino Linotype"/>
              <w:b/>
              <w:sz w:val="22"/>
              <w:szCs w:val="22"/>
            </w:rPr>
          </w:pPr>
          <w:r w:rsidRPr="003F1BBB">
            <w:rPr>
              <w:rFonts w:ascii="Palatino Linotype" w:hAnsi="Palatino Linotype"/>
              <w:b/>
              <w:sz w:val="22"/>
              <w:szCs w:val="22"/>
              <w:highlight w:val="black"/>
            </w:rPr>
            <w:t>--------------------------------------------</w:t>
          </w:r>
        </w:p>
      </w:tc>
    </w:tr>
    <w:tr w:rsidR="008519DF" w:rsidRPr="00182113" w14:paraId="1A862673" w14:textId="77777777" w:rsidTr="00B16FB2">
      <w:trPr>
        <w:trHeight w:val="232"/>
      </w:trPr>
      <w:tc>
        <w:tcPr>
          <w:tcW w:w="2552" w:type="dxa"/>
          <w:vAlign w:val="center"/>
        </w:tcPr>
        <w:p w14:paraId="767A6F60" w14:textId="77777777" w:rsidR="008519DF" w:rsidRPr="005B118B" w:rsidRDefault="008519DF"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0D54D062" w:rsidR="008519DF" w:rsidRPr="005B118B" w:rsidRDefault="008519DF" w:rsidP="000B5D79">
          <w:pPr>
            <w:pStyle w:val="Encabezado"/>
            <w:rPr>
              <w:rFonts w:ascii="Palatino Linotype" w:hAnsi="Palatino Linotype"/>
              <w:b/>
              <w:sz w:val="22"/>
              <w:szCs w:val="22"/>
            </w:rPr>
          </w:pPr>
          <w:r>
            <w:rPr>
              <w:rFonts w:ascii="Palatino Linotype" w:hAnsi="Palatino Linotype"/>
              <w:b/>
              <w:sz w:val="22"/>
              <w:szCs w:val="22"/>
            </w:rPr>
            <w:t xml:space="preserve">Ayuntamiento de Atizapán de Zaragoza </w:t>
          </w:r>
        </w:p>
      </w:tc>
    </w:tr>
    <w:tr w:rsidR="008519DF" w:rsidRPr="00182113" w14:paraId="4416531B" w14:textId="77777777" w:rsidTr="00B16FB2">
      <w:trPr>
        <w:trHeight w:val="320"/>
      </w:trPr>
      <w:tc>
        <w:tcPr>
          <w:tcW w:w="2552" w:type="dxa"/>
          <w:vAlign w:val="center"/>
        </w:tcPr>
        <w:p w14:paraId="277DD3E2" w14:textId="77777777" w:rsidR="008519DF" w:rsidRPr="005B118B" w:rsidRDefault="008519DF"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8519DF" w:rsidRPr="005B118B" w:rsidRDefault="008519DF"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8519DF" w:rsidRDefault="00851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7">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11"/>
  </w:num>
  <w:num w:numId="3">
    <w:abstractNumId w:val="6"/>
  </w:num>
  <w:num w:numId="4">
    <w:abstractNumId w:val="0"/>
  </w:num>
  <w:num w:numId="5">
    <w:abstractNumId w:val="12"/>
  </w:num>
  <w:num w:numId="6">
    <w:abstractNumId w:val="4"/>
  </w:num>
  <w:num w:numId="7">
    <w:abstractNumId w:val="5"/>
  </w:num>
  <w:num w:numId="8">
    <w:abstractNumId w:val="3"/>
  </w:num>
  <w:num w:numId="9">
    <w:abstractNumId w:val="2"/>
  </w:num>
  <w:num w:numId="10">
    <w:abstractNumId w:val="10"/>
  </w:num>
  <w:num w:numId="11">
    <w:abstractNumId w:val="8"/>
  </w:num>
  <w:num w:numId="12">
    <w:abstractNumId w:val="9"/>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602C"/>
    <w:rsid w:val="00012472"/>
    <w:rsid w:val="000139AE"/>
    <w:rsid w:val="00014338"/>
    <w:rsid w:val="00017C15"/>
    <w:rsid w:val="00027522"/>
    <w:rsid w:val="0003063D"/>
    <w:rsid w:val="00030C45"/>
    <w:rsid w:val="00030FEF"/>
    <w:rsid w:val="00032493"/>
    <w:rsid w:val="00032C51"/>
    <w:rsid w:val="00033D4C"/>
    <w:rsid w:val="000404A1"/>
    <w:rsid w:val="000406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3AD0"/>
    <w:rsid w:val="000A487A"/>
    <w:rsid w:val="000A5750"/>
    <w:rsid w:val="000A77ED"/>
    <w:rsid w:val="000B146E"/>
    <w:rsid w:val="000B1620"/>
    <w:rsid w:val="000B4CC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5B59"/>
    <w:rsid w:val="000E7EC3"/>
    <w:rsid w:val="000F287A"/>
    <w:rsid w:val="000F52A3"/>
    <w:rsid w:val="001024E9"/>
    <w:rsid w:val="0010274A"/>
    <w:rsid w:val="0010336E"/>
    <w:rsid w:val="001053E4"/>
    <w:rsid w:val="00110A12"/>
    <w:rsid w:val="001119EC"/>
    <w:rsid w:val="001126D7"/>
    <w:rsid w:val="00112B02"/>
    <w:rsid w:val="001157E0"/>
    <w:rsid w:val="0012006D"/>
    <w:rsid w:val="001201D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466E"/>
    <w:rsid w:val="00155908"/>
    <w:rsid w:val="001648EE"/>
    <w:rsid w:val="00164B65"/>
    <w:rsid w:val="00166794"/>
    <w:rsid w:val="001703B9"/>
    <w:rsid w:val="0017229A"/>
    <w:rsid w:val="00175A64"/>
    <w:rsid w:val="001775DF"/>
    <w:rsid w:val="00180865"/>
    <w:rsid w:val="00181280"/>
    <w:rsid w:val="00187D0F"/>
    <w:rsid w:val="001912C3"/>
    <w:rsid w:val="001917EA"/>
    <w:rsid w:val="0019244D"/>
    <w:rsid w:val="001937D1"/>
    <w:rsid w:val="001940AA"/>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67B0"/>
    <w:rsid w:val="001C6FB4"/>
    <w:rsid w:val="001C79FA"/>
    <w:rsid w:val="001D4579"/>
    <w:rsid w:val="001E1B3E"/>
    <w:rsid w:val="001E25C4"/>
    <w:rsid w:val="001E6DFD"/>
    <w:rsid w:val="001E6E03"/>
    <w:rsid w:val="001E787B"/>
    <w:rsid w:val="001E7B54"/>
    <w:rsid w:val="001E7B9E"/>
    <w:rsid w:val="001F1599"/>
    <w:rsid w:val="001F1D0F"/>
    <w:rsid w:val="001F23F4"/>
    <w:rsid w:val="001F3470"/>
    <w:rsid w:val="001F575A"/>
    <w:rsid w:val="001F71E8"/>
    <w:rsid w:val="00201125"/>
    <w:rsid w:val="002011A5"/>
    <w:rsid w:val="002031F3"/>
    <w:rsid w:val="00203CEB"/>
    <w:rsid w:val="002048A8"/>
    <w:rsid w:val="00207D18"/>
    <w:rsid w:val="002120F0"/>
    <w:rsid w:val="00212DE7"/>
    <w:rsid w:val="00215985"/>
    <w:rsid w:val="002172AF"/>
    <w:rsid w:val="002179AC"/>
    <w:rsid w:val="002209C1"/>
    <w:rsid w:val="002217BA"/>
    <w:rsid w:val="00225D7F"/>
    <w:rsid w:val="002263B9"/>
    <w:rsid w:val="002345FF"/>
    <w:rsid w:val="0023544C"/>
    <w:rsid w:val="0023701C"/>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6F80"/>
    <w:rsid w:val="00277410"/>
    <w:rsid w:val="00280ACC"/>
    <w:rsid w:val="002836F5"/>
    <w:rsid w:val="0028402F"/>
    <w:rsid w:val="00284D62"/>
    <w:rsid w:val="00286DCE"/>
    <w:rsid w:val="0029063F"/>
    <w:rsid w:val="002924F3"/>
    <w:rsid w:val="00295016"/>
    <w:rsid w:val="002964D0"/>
    <w:rsid w:val="002A1959"/>
    <w:rsid w:val="002A5E20"/>
    <w:rsid w:val="002A6696"/>
    <w:rsid w:val="002B085C"/>
    <w:rsid w:val="002B2A2E"/>
    <w:rsid w:val="002B3575"/>
    <w:rsid w:val="002C0800"/>
    <w:rsid w:val="002C47ED"/>
    <w:rsid w:val="002C7064"/>
    <w:rsid w:val="002C7268"/>
    <w:rsid w:val="002D0B00"/>
    <w:rsid w:val="002D1A38"/>
    <w:rsid w:val="002D373C"/>
    <w:rsid w:val="002D3E3F"/>
    <w:rsid w:val="002D4C09"/>
    <w:rsid w:val="002D7B77"/>
    <w:rsid w:val="002E198E"/>
    <w:rsid w:val="002E1FDF"/>
    <w:rsid w:val="002E3F25"/>
    <w:rsid w:val="002E413D"/>
    <w:rsid w:val="002E5271"/>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61C4"/>
    <w:rsid w:val="00331A21"/>
    <w:rsid w:val="00332994"/>
    <w:rsid w:val="0033395E"/>
    <w:rsid w:val="00333BE8"/>
    <w:rsid w:val="00333CD5"/>
    <w:rsid w:val="00334850"/>
    <w:rsid w:val="00336566"/>
    <w:rsid w:val="00337522"/>
    <w:rsid w:val="0033787C"/>
    <w:rsid w:val="0033795F"/>
    <w:rsid w:val="0034009B"/>
    <w:rsid w:val="00342C19"/>
    <w:rsid w:val="00343B0D"/>
    <w:rsid w:val="0034560B"/>
    <w:rsid w:val="00345D0F"/>
    <w:rsid w:val="003472B3"/>
    <w:rsid w:val="003477AE"/>
    <w:rsid w:val="00347C10"/>
    <w:rsid w:val="00350DEA"/>
    <w:rsid w:val="003553FE"/>
    <w:rsid w:val="003567ED"/>
    <w:rsid w:val="0036073F"/>
    <w:rsid w:val="003646B1"/>
    <w:rsid w:val="00365ABF"/>
    <w:rsid w:val="0036610C"/>
    <w:rsid w:val="0037183E"/>
    <w:rsid w:val="003721B2"/>
    <w:rsid w:val="00376390"/>
    <w:rsid w:val="00376637"/>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D4B53"/>
    <w:rsid w:val="003E2043"/>
    <w:rsid w:val="003E381E"/>
    <w:rsid w:val="003E5020"/>
    <w:rsid w:val="003F01CF"/>
    <w:rsid w:val="003F15DB"/>
    <w:rsid w:val="003F1BBB"/>
    <w:rsid w:val="003F2702"/>
    <w:rsid w:val="003F421D"/>
    <w:rsid w:val="003F4487"/>
    <w:rsid w:val="003F5E7E"/>
    <w:rsid w:val="003F70CA"/>
    <w:rsid w:val="00400510"/>
    <w:rsid w:val="0040278D"/>
    <w:rsid w:val="00402AAD"/>
    <w:rsid w:val="00402C25"/>
    <w:rsid w:val="004060C4"/>
    <w:rsid w:val="00407CB0"/>
    <w:rsid w:val="00414498"/>
    <w:rsid w:val="00414ADE"/>
    <w:rsid w:val="004152AD"/>
    <w:rsid w:val="00415AD1"/>
    <w:rsid w:val="0041697B"/>
    <w:rsid w:val="00417D22"/>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7722C"/>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1E34"/>
    <w:rsid w:val="004A2BF5"/>
    <w:rsid w:val="004A43EF"/>
    <w:rsid w:val="004A5401"/>
    <w:rsid w:val="004A5F59"/>
    <w:rsid w:val="004B1405"/>
    <w:rsid w:val="004B293C"/>
    <w:rsid w:val="004B2FF6"/>
    <w:rsid w:val="004B408C"/>
    <w:rsid w:val="004B45D3"/>
    <w:rsid w:val="004B4AE7"/>
    <w:rsid w:val="004B4DD8"/>
    <w:rsid w:val="004C037C"/>
    <w:rsid w:val="004C128A"/>
    <w:rsid w:val="004C29E4"/>
    <w:rsid w:val="004C3F98"/>
    <w:rsid w:val="004C6E5A"/>
    <w:rsid w:val="004D257A"/>
    <w:rsid w:val="004D2B48"/>
    <w:rsid w:val="004D78A7"/>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6F27"/>
    <w:rsid w:val="005308AB"/>
    <w:rsid w:val="00531946"/>
    <w:rsid w:val="00535E71"/>
    <w:rsid w:val="00542B3A"/>
    <w:rsid w:val="00543B68"/>
    <w:rsid w:val="00544EC9"/>
    <w:rsid w:val="0054677E"/>
    <w:rsid w:val="00552011"/>
    <w:rsid w:val="005520BF"/>
    <w:rsid w:val="0055775C"/>
    <w:rsid w:val="0056061F"/>
    <w:rsid w:val="0056245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227D"/>
    <w:rsid w:val="00595511"/>
    <w:rsid w:val="00595B8D"/>
    <w:rsid w:val="005A1CD1"/>
    <w:rsid w:val="005A2A65"/>
    <w:rsid w:val="005A2E0F"/>
    <w:rsid w:val="005A3513"/>
    <w:rsid w:val="005A3BD7"/>
    <w:rsid w:val="005A459B"/>
    <w:rsid w:val="005B04FF"/>
    <w:rsid w:val="005B118B"/>
    <w:rsid w:val="005B15EB"/>
    <w:rsid w:val="005B34CA"/>
    <w:rsid w:val="005B6696"/>
    <w:rsid w:val="005B7C5D"/>
    <w:rsid w:val="005C1A74"/>
    <w:rsid w:val="005C3294"/>
    <w:rsid w:val="005C3EA6"/>
    <w:rsid w:val="005C6F55"/>
    <w:rsid w:val="005D1341"/>
    <w:rsid w:val="005D27DD"/>
    <w:rsid w:val="005D28D1"/>
    <w:rsid w:val="005D3493"/>
    <w:rsid w:val="005E0ECF"/>
    <w:rsid w:val="005E52F5"/>
    <w:rsid w:val="005E6027"/>
    <w:rsid w:val="005E7DBB"/>
    <w:rsid w:val="005F00F4"/>
    <w:rsid w:val="005F1C39"/>
    <w:rsid w:val="005F1EC1"/>
    <w:rsid w:val="005F3241"/>
    <w:rsid w:val="005F52F5"/>
    <w:rsid w:val="005F5F55"/>
    <w:rsid w:val="005F62B2"/>
    <w:rsid w:val="005F676D"/>
    <w:rsid w:val="005F715E"/>
    <w:rsid w:val="006005C1"/>
    <w:rsid w:val="00602995"/>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4015"/>
    <w:rsid w:val="006451F4"/>
    <w:rsid w:val="006465D2"/>
    <w:rsid w:val="00646A08"/>
    <w:rsid w:val="00647A04"/>
    <w:rsid w:val="006513FD"/>
    <w:rsid w:val="00653532"/>
    <w:rsid w:val="00653773"/>
    <w:rsid w:val="006540A5"/>
    <w:rsid w:val="006569F7"/>
    <w:rsid w:val="0066099D"/>
    <w:rsid w:val="0066255A"/>
    <w:rsid w:val="00662C69"/>
    <w:rsid w:val="00664C1C"/>
    <w:rsid w:val="006668DC"/>
    <w:rsid w:val="00667A80"/>
    <w:rsid w:val="00672268"/>
    <w:rsid w:val="00673A73"/>
    <w:rsid w:val="00683948"/>
    <w:rsid w:val="00683DBE"/>
    <w:rsid w:val="00687410"/>
    <w:rsid w:val="00687779"/>
    <w:rsid w:val="006879A6"/>
    <w:rsid w:val="00687EDA"/>
    <w:rsid w:val="006920A9"/>
    <w:rsid w:val="006925D9"/>
    <w:rsid w:val="00693427"/>
    <w:rsid w:val="00694362"/>
    <w:rsid w:val="006965C3"/>
    <w:rsid w:val="00696EF8"/>
    <w:rsid w:val="006A0E68"/>
    <w:rsid w:val="006A153F"/>
    <w:rsid w:val="006A3A72"/>
    <w:rsid w:val="006A5621"/>
    <w:rsid w:val="006A6003"/>
    <w:rsid w:val="006A79F8"/>
    <w:rsid w:val="006B0198"/>
    <w:rsid w:val="006B12E8"/>
    <w:rsid w:val="006B3BF5"/>
    <w:rsid w:val="006B4A20"/>
    <w:rsid w:val="006B5641"/>
    <w:rsid w:val="006C1A3C"/>
    <w:rsid w:val="006C2A0E"/>
    <w:rsid w:val="006C50C2"/>
    <w:rsid w:val="006C563A"/>
    <w:rsid w:val="006C643E"/>
    <w:rsid w:val="006C68C6"/>
    <w:rsid w:val="006D27D8"/>
    <w:rsid w:val="006D27EF"/>
    <w:rsid w:val="006D2D9A"/>
    <w:rsid w:val="006D52D1"/>
    <w:rsid w:val="006E1056"/>
    <w:rsid w:val="006E297B"/>
    <w:rsid w:val="006E32BA"/>
    <w:rsid w:val="006E5ECE"/>
    <w:rsid w:val="006F0179"/>
    <w:rsid w:val="006F2C12"/>
    <w:rsid w:val="006F2ED6"/>
    <w:rsid w:val="006F2F92"/>
    <w:rsid w:val="006F619D"/>
    <w:rsid w:val="006F66D1"/>
    <w:rsid w:val="006F7CA6"/>
    <w:rsid w:val="00700EAB"/>
    <w:rsid w:val="00702E2D"/>
    <w:rsid w:val="00703374"/>
    <w:rsid w:val="00703672"/>
    <w:rsid w:val="00703A62"/>
    <w:rsid w:val="00703D40"/>
    <w:rsid w:val="00704712"/>
    <w:rsid w:val="00707096"/>
    <w:rsid w:val="00711B2B"/>
    <w:rsid w:val="00711F33"/>
    <w:rsid w:val="00715428"/>
    <w:rsid w:val="00715ACC"/>
    <w:rsid w:val="0071789F"/>
    <w:rsid w:val="00717DA9"/>
    <w:rsid w:val="00721F66"/>
    <w:rsid w:val="00722530"/>
    <w:rsid w:val="0072352D"/>
    <w:rsid w:val="00723622"/>
    <w:rsid w:val="007236F8"/>
    <w:rsid w:val="007237BF"/>
    <w:rsid w:val="00723FE8"/>
    <w:rsid w:val="0072483C"/>
    <w:rsid w:val="007277BA"/>
    <w:rsid w:val="00731F5E"/>
    <w:rsid w:val="00733FA7"/>
    <w:rsid w:val="007342B2"/>
    <w:rsid w:val="007344D3"/>
    <w:rsid w:val="00736D70"/>
    <w:rsid w:val="007408CD"/>
    <w:rsid w:val="00742974"/>
    <w:rsid w:val="007479C2"/>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5E85"/>
    <w:rsid w:val="00786A90"/>
    <w:rsid w:val="007914E4"/>
    <w:rsid w:val="0079761F"/>
    <w:rsid w:val="007A1303"/>
    <w:rsid w:val="007A1F76"/>
    <w:rsid w:val="007B06AA"/>
    <w:rsid w:val="007B30F3"/>
    <w:rsid w:val="007B3E8D"/>
    <w:rsid w:val="007B52FE"/>
    <w:rsid w:val="007B53A4"/>
    <w:rsid w:val="007B55C1"/>
    <w:rsid w:val="007C0013"/>
    <w:rsid w:val="007C2559"/>
    <w:rsid w:val="007C2A76"/>
    <w:rsid w:val="007C2D96"/>
    <w:rsid w:val="007C32A1"/>
    <w:rsid w:val="007C3417"/>
    <w:rsid w:val="007C37D2"/>
    <w:rsid w:val="007C503B"/>
    <w:rsid w:val="007C5872"/>
    <w:rsid w:val="007C5DF8"/>
    <w:rsid w:val="007D151A"/>
    <w:rsid w:val="007D25F5"/>
    <w:rsid w:val="007D709E"/>
    <w:rsid w:val="007D7EF3"/>
    <w:rsid w:val="007E30E1"/>
    <w:rsid w:val="007E4B68"/>
    <w:rsid w:val="007E5278"/>
    <w:rsid w:val="007E5B30"/>
    <w:rsid w:val="007E68E3"/>
    <w:rsid w:val="007F041D"/>
    <w:rsid w:val="007F09AF"/>
    <w:rsid w:val="007F3E90"/>
    <w:rsid w:val="007F6CD9"/>
    <w:rsid w:val="007F6F0F"/>
    <w:rsid w:val="007F78C6"/>
    <w:rsid w:val="007F7B9E"/>
    <w:rsid w:val="008061A9"/>
    <w:rsid w:val="00806BD3"/>
    <w:rsid w:val="00812291"/>
    <w:rsid w:val="008167F5"/>
    <w:rsid w:val="00820091"/>
    <w:rsid w:val="008200A3"/>
    <w:rsid w:val="008257FE"/>
    <w:rsid w:val="00826660"/>
    <w:rsid w:val="0083026A"/>
    <w:rsid w:val="008370E5"/>
    <w:rsid w:val="008400CC"/>
    <w:rsid w:val="00840559"/>
    <w:rsid w:val="00843588"/>
    <w:rsid w:val="00845BB6"/>
    <w:rsid w:val="00846EB8"/>
    <w:rsid w:val="008473FA"/>
    <w:rsid w:val="00847700"/>
    <w:rsid w:val="008515F8"/>
    <w:rsid w:val="008519DF"/>
    <w:rsid w:val="008523BA"/>
    <w:rsid w:val="00853002"/>
    <w:rsid w:val="008560F4"/>
    <w:rsid w:val="0086244C"/>
    <w:rsid w:val="00864611"/>
    <w:rsid w:val="00864E61"/>
    <w:rsid w:val="00872EE9"/>
    <w:rsid w:val="00875167"/>
    <w:rsid w:val="00880639"/>
    <w:rsid w:val="00883450"/>
    <w:rsid w:val="008847C8"/>
    <w:rsid w:val="0088655E"/>
    <w:rsid w:val="008927AE"/>
    <w:rsid w:val="00892D91"/>
    <w:rsid w:val="00896BB3"/>
    <w:rsid w:val="008972CA"/>
    <w:rsid w:val="00897A98"/>
    <w:rsid w:val="008A06DA"/>
    <w:rsid w:val="008A2F18"/>
    <w:rsid w:val="008A3355"/>
    <w:rsid w:val="008A76AC"/>
    <w:rsid w:val="008A7D54"/>
    <w:rsid w:val="008A7E1D"/>
    <w:rsid w:val="008B02F6"/>
    <w:rsid w:val="008B09BB"/>
    <w:rsid w:val="008B1786"/>
    <w:rsid w:val="008B2269"/>
    <w:rsid w:val="008B34E5"/>
    <w:rsid w:val="008B3D33"/>
    <w:rsid w:val="008C1A93"/>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79C6"/>
    <w:rsid w:val="008F0782"/>
    <w:rsid w:val="008F114A"/>
    <w:rsid w:val="008F12E6"/>
    <w:rsid w:val="008F1759"/>
    <w:rsid w:val="008F22E9"/>
    <w:rsid w:val="008F54B7"/>
    <w:rsid w:val="00903AE9"/>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42DB3"/>
    <w:rsid w:val="0094362A"/>
    <w:rsid w:val="00945309"/>
    <w:rsid w:val="00953E8D"/>
    <w:rsid w:val="0095513F"/>
    <w:rsid w:val="00955339"/>
    <w:rsid w:val="009563A5"/>
    <w:rsid w:val="009573B2"/>
    <w:rsid w:val="009606E6"/>
    <w:rsid w:val="00962F40"/>
    <w:rsid w:val="00965C4A"/>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101D"/>
    <w:rsid w:val="009A20BA"/>
    <w:rsid w:val="009A481A"/>
    <w:rsid w:val="009A5191"/>
    <w:rsid w:val="009A608D"/>
    <w:rsid w:val="009A61AE"/>
    <w:rsid w:val="009A6897"/>
    <w:rsid w:val="009B06EC"/>
    <w:rsid w:val="009B0F5C"/>
    <w:rsid w:val="009B11D6"/>
    <w:rsid w:val="009B134A"/>
    <w:rsid w:val="009B2C5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4942"/>
    <w:rsid w:val="009E71F2"/>
    <w:rsid w:val="009F40D4"/>
    <w:rsid w:val="009F50DE"/>
    <w:rsid w:val="009F6BE1"/>
    <w:rsid w:val="009F7BB0"/>
    <w:rsid w:val="00A05CF7"/>
    <w:rsid w:val="00A07D84"/>
    <w:rsid w:val="00A11AF8"/>
    <w:rsid w:val="00A12D58"/>
    <w:rsid w:val="00A13811"/>
    <w:rsid w:val="00A14ECC"/>
    <w:rsid w:val="00A23406"/>
    <w:rsid w:val="00A235D0"/>
    <w:rsid w:val="00A247D7"/>
    <w:rsid w:val="00A26007"/>
    <w:rsid w:val="00A274EA"/>
    <w:rsid w:val="00A3221A"/>
    <w:rsid w:val="00A3276A"/>
    <w:rsid w:val="00A32A87"/>
    <w:rsid w:val="00A349D2"/>
    <w:rsid w:val="00A369C4"/>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38DD"/>
    <w:rsid w:val="00AD0B3C"/>
    <w:rsid w:val="00AD0E7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502B"/>
    <w:rsid w:val="00B1662E"/>
    <w:rsid w:val="00B166D9"/>
    <w:rsid w:val="00B16FB2"/>
    <w:rsid w:val="00B1786A"/>
    <w:rsid w:val="00B206D8"/>
    <w:rsid w:val="00B23296"/>
    <w:rsid w:val="00B23F91"/>
    <w:rsid w:val="00B260BA"/>
    <w:rsid w:val="00B27596"/>
    <w:rsid w:val="00B27B61"/>
    <w:rsid w:val="00B27F82"/>
    <w:rsid w:val="00B312C7"/>
    <w:rsid w:val="00B3242C"/>
    <w:rsid w:val="00B324A3"/>
    <w:rsid w:val="00B335B9"/>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6639E"/>
    <w:rsid w:val="00B71823"/>
    <w:rsid w:val="00B7260C"/>
    <w:rsid w:val="00B73838"/>
    <w:rsid w:val="00B747F1"/>
    <w:rsid w:val="00B81371"/>
    <w:rsid w:val="00B82180"/>
    <w:rsid w:val="00B828E4"/>
    <w:rsid w:val="00B82C49"/>
    <w:rsid w:val="00B841EA"/>
    <w:rsid w:val="00B85265"/>
    <w:rsid w:val="00B8584B"/>
    <w:rsid w:val="00B86FF4"/>
    <w:rsid w:val="00B87497"/>
    <w:rsid w:val="00B87964"/>
    <w:rsid w:val="00B90005"/>
    <w:rsid w:val="00B90BE1"/>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100D9"/>
    <w:rsid w:val="00C10CB5"/>
    <w:rsid w:val="00C14439"/>
    <w:rsid w:val="00C15817"/>
    <w:rsid w:val="00C20AD3"/>
    <w:rsid w:val="00C2139F"/>
    <w:rsid w:val="00C260B5"/>
    <w:rsid w:val="00C274ED"/>
    <w:rsid w:val="00C3172F"/>
    <w:rsid w:val="00C35AE8"/>
    <w:rsid w:val="00C360C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60625"/>
    <w:rsid w:val="00C6220B"/>
    <w:rsid w:val="00C65B57"/>
    <w:rsid w:val="00C743ED"/>
    <w:rsid w:val="00C75816"/>
    <w:rsid w:val="00C80A90"/>
    <w:rsid w:val="00C820CB"/>
    <w:rsid w:val="00C850BE"/>
    <w:rsid w:val="00C85551"/>
    <w:rsid w:val="00C9043C"/>
    <w:rsid w:val="00C928F3"/>
    <w:rsid w:val="00C9339E"/>
    <w:rsid w:val="00C9545D"/>
    <w:rsid w:val="00C9692A"/>
    <w:rsid w:val="00CA3D68"/>
    <w:rsid w:val="00CA41C2"/>
    <w:rsid w:val="00CA63B1"/>
    <w:rsid w:val="00CA7229"/>
    <w:rsid w:val="00CA77CD"/>
    <w:rsid w:val="00CB0611"/>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2054"/>
    <w:rsid w:val="00CE7E6A"/>
    <w:rsid w:val="00CF01E7"/>
    <w:rsid w:val="00CF377E"/>
    <w:rsid w:val="00CF3DE0"/>
    <w:rsid w:val="00CF7205"/>
    <w:rsid w:val="00D007E0"/>
    <w:rsid w:val="00D00999"/>
    <w:rsid w:val="00D00C90"/>
    <w:rsid w:val="00D031A9"/>
    <w:rsid w:val="00D06EE0"/>
    <w:rsid w:val="00D07603"/>
    <w:rsid w:val="00D07FEA"/>
    <w:rsid w:val="00D1140D"/>
    <w:rsid w:val="00D116AB"/>
    <w:rsid w:val="00D2020B"/>
    <w:rsid w:val="00D23940"/>
    <w:rsid w:val="00D2414B"/>
    <w:rsid w:val="00D24785"/>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F8F"/>
    <w:rsid w:val="00D610AA"/>
    <w:rsid w:val="00D65068"/>
    <w:rsid w:val="00D65FA1"/>
    <w:rsid w:val="00D72821"/>
    <w:rsid w:val="00D7291A"/>
    <w:rsid w:val="00D7312E"/>
    <w:rsid w:val="00D7343A"/>
    <w:rsid w:val="00D73B0B"/>
    <w:rsid w:val="00D745BB"/>
    <w:rsid w:val="00D83C17"/>
    <w:rsid w:val="00D85885"/>
    <w:rsid w:val="00D87652"/>
    <w:rsid w:val="00D943F1"/>
    <w:rsid w:val="00D9644F"/>
    <w:rsid w:val="00D969D3"/>
    <w:rsid w:val="00D96F34"/>
    <w:rsid w:val="00D97019"/>
    <w:rsid w:val="00D9771E"/>
    <w:rsid w:val="00DA077D"/>
    <w:rsid w:val="00DA1894"/>
    <w:rsid w:val="00DA2967"/>
    <w:rsid w:val="00DA2D0E"/>
    <w:rsid w:val="00DA5674"/>
    <w:rsid w:val="00DB30CB"/>
    <w:rsid w:val="00DB496E"/>
    <w:rsid w:val="00DB4BEF"/>
    <w:rsid w:val="00DB6CCF"/>
    <w:rsid w:val="00DC1ABE"/>
    <w:rsid w:val="00DC3B0B"/>
    <w:rsid w:val="00DC4E2D"/>
    <w:rsid w:val="00DC6AEA"/>
    <w:rsid w:val="00DC779D"/>
    <w:rsid w:val="00DD2C43"/>
    <w:rsid w:val="00DD672D"/>
    <w:rsid w:val="00DE3129"/>
    <w:rsid w:val="00DE33A5"/>
    <w:rsid w:val="00DE77B7"/>
    <w:rsid w:val="00DF27B2"/>
    <w:rsid w:val="00DF6136"/>
    <w:rsid w:val="00E010B9"/>
    <w:rsid w:val="00E01F9D"/>
    <w:rsid w:val="00E03246"/>
    <w:rsid w:val="00E03253"/>
    <w:rsid w:val="00E03C0E"/>
    <w:rsid w:val="00E122C7"/>
    <w:rsid w:val="00E12D1C"/>
    <w:rsid w:val="00E12FAB"/>
    <w:rsid w:val="00E1488D"/>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5C03"/>
    <w:rsid w:val="00E503D5"/>
    <w:rsid w:val="00E509F5"/>
    <w:rsid w:val="00E5243D"/>
    <w:rsid w:val="00E527F8"/>
    <w:rsid w:val="00E531E8"/>
    <w:rsid w:val="00E61F8B"/>
    <w:rsid w:val="00E6241E"/>
    <w:rsid w:val="00E62DEE"/>
    <w:rsid w:val="00E63879"/>
    <w:rsid w:val="00E64282"/>
    <w:rsid w:val="00E727B7"/>
    <w:rsid w:val="00E730AA"/>
    <w:rsid w:val="00E74685"/>
    <w:rsid w:val="00E76415"/>
    <w:rsid w:val="00E767B1"/>
    <w:rsid w:val="00E76F52"/>
    <w:rsid w:val="00E854B7"/>
    <w:rsid w:val="00E87D3E"/>
    <w:rsid w:val="00E92503"/>
    <w:rsid w:val="00E9564E"/>
    <w:rsid w:val="00E97547"/>
    <w:rsid w:val="00E977BA"/>
    <w:rsid w:val="00EA2ABB"/>
    <w:rsid w:val="00EA45AB"/>
    <w:rsid w:val="00EA6F76"/>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3C47"/>
    <w:rsid w:val="00EE3E9C"/>
    <w:rsid w:val="00EE41A1"/>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47C6"/>
    <w:rsid w:val="00F17F29"/>
    <w:rsid w:val="00F204A1"/>
    <w:rsid w:val="00F20B3F"/>
    <w:rsid w:val="00F251A9"/>
    <w:rsid w:val="00F25BAE"/>
    <w:rsid w:val="00F2706D"/>
    <w:rsid w:val="00F27C1E"/>
    <w:rsid w:val="00F32BDB"/>
    <w:rsid w:val="00F37CFE"/>
    <w:rsid w:val="00F445F3"/>
    <w:rsid w:val="00F47D3F"/>
    <w:rsid w:val="00F56DBA"/>
    <w:rsid w:val="00F5720B"/>
    <w:rsid w:val="00F60655"/>
    <w:rsid w:val="00F60C62"/>
    <w:rsid w:val="00F66361"/>
    <w:rsid w:val="00F67946"/>
    <w:rsid w:val="00F7228F"/>
    <w:rsid w:val="00F739E9"/>
    <w:rsid w:val="00F77CE3"/>
    <w:rsid w:val="00F835ED"/>
    <w:rsid w:val="00F84541"/>
    <w:rsid w:val="00F84995"/>
    <w:rsid w:val="00F85237"/>
    <w:rsid w:val="00F85279"/>
    <w:rsid w:val="00F85F15"/>
    <w:rsid w:val="00F86F7A"/>
    <w:rsid w:val="00F87655"/>
    <w:rsid w:val="00F9000A"/>
    <w:rsid w:val="00F92D06"/>
    <w:rsid w:val="00F931D5"/>
    <w:rsid w:val="00F95148"/>
    <w:rsid w:val="00F95464"/>
    <w:rsid w:val="00F97D82"/>
    <w:rsid w:val="00FA0EE3"/>
    <w:rsid w:val="00FA1C3F"/>
    <w:rsid w:val="00FA21B1"/>
    <w:rsid w:val="00FA2B03"/>
    <w:rsid w:val="00FA488E"/>
    <w:rsid w:val="00FA5AE3"/>
    <w:rsid w:val="00FA73DD"/>
    <w:rsid w:val="00FB13C2"/>
    <w:rsid w:val="00FB471D"/>
    <w:rsid w:val="00FB52F9"/>
    <w:rsid w:val="00FB5396"/>
    <w:rsid w:val="00FB6B73"/>
    <w:rsid w:val="00FC34B2"/>
    <w:rsid w:val="00FC76C6"/>
    <w:rsid w:val="00FC7E40"/>
    <w:rsid w:val="00FD0544"/>
    <w:rsid w:val="00FD1976"/>
    <w:rsid w:val="00FD4D94"/>
    <w:rsid w:val="00FD5CA6"/>
    <w:rsid w:val="00FD6B60"/>
    <w:rsid w:val="00FD7591"/>
    <w:rsid w:val="00FD7935"/>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628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C97A-E5FF-495F-B3F5-F9DCDB43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45</Pages>
  <Words>9273</Words>
  <Characters>51006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2018-09-24T18:34:00Z</cp:lastPrinted>
  <dcterms:created xsi:type="dcterms:W3CDTF">2018-09-13T18:35:00Z</dcterms:created>
  <dcterms:modified xsi:type="dcterms:W3CDTF">2018-10-23T19:43:00Z</dcterms:modified>
</cp:coreProperties>
</file>