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116915" w:rsidRPr="00116915">
        <w:rPr>
          <w:rFonts w:ascii="Palatino Linotype" w:eastAsia="Times New Roman" w:hAnsi="Palatino Linotype" w:cs="Arial"/>
          <w:color w:val="000000"/>
          <w:sz w:val="24"/>
          <w:szCs w:val="24"/>
          <w:lang w:eastAsia="es-MX"/>
        </w:rPr>
        <w:t>veintiséis</w:t>
      </w:r>
      <w:r w:rsidR="00377851" w:rsidRPr="00116915">
        <w:rPr>
          <w:rFonts w:ascii="Palatino Linotype" w:eastAsia="Times New Roman" w:hAnsi="Palatino Linotype" w:cs="Arial"/>
          <w:color w:val="000000"/>
          <w:sz w:val="24"/>
          <w:szCs w:val="24"/>
          <w:lang w:eastAsia="es-MX"/>
        </w:rPr>
        <w:t xml:space="preserve"> de </w:t>
      </w:r>
      <w:r w:rsidR="00116915" w:rsidRPr="00116915">
        <w:rPr>
          <w:rFonts w:ascii="Palatino Linotype" w:eastAsia="Times New Roman" w:hAnsi="Palatino Linotype" w:cs="Arial"/>
          <w:color w:val="000000"/>
          <w:sz w:val="24"/>
          <w:szCs w:val="24"/>
          <w:lang w:eastAsia="es-MX"/>
        </w:rPr>
        <w:t>septiembre</w:t>
      </w:r>
      <w:r w:rsidR="00F628C2" w:rsidRPr="00116915">
        <w:rPr>
          <w:rFonts w:ascii="Palatino Linotype" w:eastAsia="Times New Roman" w:hAnsi="Palatino Linotype" w:cs="Arial"/>
          <w:color w:val="000000"/>
          <w:sz w:val="24"/>
          <w:szCs w:val="24"/>
          <w:lang w:eastAsia="es-MX"/>
        </w:rPr>
        <w:t xml:space="preserve"> de dos mil dieciocho</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5A4073">
        <w:rPr>
          <w:rFonts w:ascii="Palatino Linotype" w:hAnsi="Palatino Linotype" w:cs="Arial"/>
          <w:b/>
          <w:bCs/>
          <w:sz w:val="24"/>
          <w:lang w:eastAsia="es-MX"/>
        </w:rPr>
        <w:t>02681</w:t>
      </w:r>
      <w:r w:rsidR="00277BC2">
        <w:rPr>
          <w:rFonts w:ascii="Palatino Linotype" w:hAnsi="Palatino Linotype" w:cs="Arial"/>
          <w:b/>
          <w:bCs/>
          <w:sz w:val="24"/>
          <w:lang w:eastAsia="es-MX"/>
        </w:rPr>
        <w:t>/INFOEM/IP/RR/2018</w:t>
      </w:r>
      <w:r w:rsidR="00B55585">
        <w:rPr>
          <w:rFonts w:ascii="Palatino Linotype" w:hAnsi="Palatino Linotype" w:cs="Arial"/>
          <w:sz w:val="24"/>
        </w:rPr>
        <w:t>, interpuesto por el</w:t>
      </w:r>
      <w:r w:rsidRPr="00224181">
        <w:rPr>
          <w:rFonts w:ascii="Palatino Linotype" w:hAnsi="Palatino Linotype" w:cs="Arial"/>
          <w:sz w:val="24"/>
        </w:rPr>
        <w:t xml:space="preserve"> </w:t>
      </w:r>
      <w:r w:rsidR="00C91322">
        <w:rPr>
          <w:rFonts w:ascii="Palatino Linotype" w:hAnsi="Palatino Linotype" w:cs="Arial"/>
          <w:b/>
          <w:sz w:val="24"/>
          <w:szCs w:val="24"/>
        </w:rPr>
        <w:t>XXXXXXXXXXXX</w:t>
      </w:r>
      <w:r w:rsidR="005A4073">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8902C6">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5A4073">
        <w:rPr>
          <w:rFonts w:ascii="Palatino Linotype" w:hAnsi="Palatino Linotype" w:cs="Arial"/>
          <w:sz w:val="24"/>
          <w:szCs w:val="24"/>
        </w:rPr>
        <w:t>de</w:t>
      </w:r>
      <w:r w:rsidRPr="00224181">
        <w:rPr>
          <w:rFonts w:ascii="Palatino Linotype" w:hAnsi="Palatino Linotype" w:cs="Arial"/>
          <w:sz w:val="24"/>
          <w:szCs w:val="24"/>
        </w:rPr>
        <w:t xml:space="preserve"> </w:t>
      </w:r>
      <w:r w:rsidR="005A4073" w:rsidRPr="005A4073">
        <w:rPr>
          <w:rFonts w:ascii="Palatino Linotype" w:hAnsi="Palatino Linotype" w:cs="Arial"/>
          <w:b/>
          <w:sz w:val="24"/>
          <w:szCs w:val="24"/>
        </w:rPr>
        <w:t>Ayuntamiento de Cuautitlán Izcalli</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5A4073">
        <w:rPr>
          <w:rFonts w:ascii="Palatino Linotype" w:hAnsi="Palatino Linotype" w:cs="Arial"/>
          <w:sz w:val="24"/>
        </w:rPr>
        <w:t xml:space="preserve"> fecha trece</w:t>
      </w:r>
      <w:r w:rsidR="000A79A6">
        <w:rPr>
          <w:rFonts w:ascii="Palatino Linotype" w:hAnsi="Palatino Linotype" w:cs="Arial"/>
          <w:sz w:val="24"/>
        </w:rPr>
        <w:t xml:space="preserve"> de </w:t>
      </w:r>
      <w:r w:rsidR="005A4073">
        <w:rPr>
          <w:rFonts w:ascii="Palatino Linotype" w:hAnsi="Palatino Linotype" w:cs="Arial"/>
          <w:sz w:val="24"/>
        </w:rPr>
        <w:t>junio</w:t>
      </w:r>
      <w:r w:rsidR="00C56242">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8902C6">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B75628">
        <w:rPr>
          <w:rFonts w:ascii="Palatino Linotype" w:hAnsi="Palatino Linotype" w:cs="Arial"/>
          <w:b/>
          <w:sz w:val="24"/>
        </w:rPr>
        <w:t xml:space="preserve"> </w:t>
      </w:r>
      <w:r w:rsidR="005A4073" w:rsidRPr="005A4073">
        <w:rPr>
          <w:rFonts w:ascii="Palatino Linotype" w:hAnsi="Palatino Linotype" w:cs="Arial"/>
          <w:b/>
          <w:sz w:val="24"/>
        </w:rPr>
        <w:t>00185/CUAUTIZC/IP/2018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rsidR="00E3099C" w:rsidRDefault="00E3099C" w:rsidP="00C56242">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5A4073" w:rsidRPr="005A4073">
        <w:rPr>
          <w:rFonts w:ascii="Palatino Linotype" w:hAnsi="Palatino Linotype"/>
          <w:i/>
          <w:lang w:val="es-ES_tradnl"/>
        </w:rPr>
        <w:t xml:space="preserve">Requiero saber si puedo contruir un condominio de algunas casas (las que aprueben) en un terreno propio en el fraccionamiento </w:t>
      </w:r>
      <w:r w:rsidR="00C91322">
        <w:rPr>
          <w:rFonts w:ascii="Palatino Linotype" w:hAnsi="Palatino Linotype"/>
          <w:i/>
          <w:lang w:val="es-ES_tradnl"/>
        </w:rPr>
        <w:t>XXXXXXXXXXXX</w:t>
      </w:r>
      <w:r w:rsidR="005A4073" w:rsidRPr="005A4073">
        <w:rPr>
          <w:rFonts w:ascii="Palatino Linotype" w:hAnsi="Palatino Linotype"/>
          <w:i/>
          <w:lang w:val="es-ES_tradnl"/>
        </w:rPr>
        <w:t xml:space="preserve"> en la calle </w:t>
      </w:r>
      <w:r w:rsidR="00C91322">
        <w:rPr>
          <w:rFonts w:ascii="Palatino Linotype" w:hAnsi="Palatino Linotype"/>
          <w:i/>
          <w:lang w:val="es-ES_tradnl"/>
        </w:rPr>
        <w:t>XXXXX</w:t>
      </w:r>
      <w:r w:rsidR="005A4073" w:rsidRPr="005A4073">
        <w:rPr>
          <w:rFonts w:ascii="Palatino Linotype" w:hAnsi="Palatino Linotype"/>
          <w:i/>
          <w:lang w:val="es-ES_tradnl"/>
        </w:rPr>
        <w:t xml:space="preserve"> y en otro terreno en calle </w:t>
      </w:r>
      <w:r w:rsidR="00C91322">
        <w:rPr>
          <w:rFonts w:ascii="Palatino Linotype" w:hAnsi="Palatino Linotype"/>
          <w:i/>
          <w:lang w:val="es-ES_tradnl"/>
        </w:rPr>
        <w:t>XXXXX</w:t>
      </w:r>
      <w:r w:rsidR="005A4073" w:rsidRPr="005A4073">
        <w:rPr>
          <w:rFonts w:ascii="Palatino Linotype" w:hAnsi="Palatino Linotype"/>
          <w:i/>
          <w:lang w:val="es-ES_tradnl"/>
        </w:rPr>
        <w:t xml:space="preserve">. Requiero saber si puedo fraccionar un terreno propio de dos mil metros en el fraccionamiento </w:t>
      </w:r>
      <w:r w:rsidR="00C91322">
        <w:rPr>
          <w:rFonts w:ascii="Palatino Linotype" w:hAnsi="Palatino Linotype"/>
          <w:i/>
          <w:lang w:val="es-ES_tradnl"/>
        </w:rPr>
        <w:t>XXXXXX</w:t>
      </w:r>
      <w:r w:rsidR="005A4073" w:rsidRPr="005A4073">
        <w:rPr>
          <w:rFonts w:ascii="Palatino Linotype" w:hAnsi="Palatino Linotype"/>
          <w:i/>
          <w:lang w:val="es-ES_tradnl"/>
        </w:rPr>
        <w:t xml:space="preserve"> en la calle </w:t>
      </w:r>
      <w:r w:rsidR="00C91322">
        <w:rPr>
          <w:rFonts w:ascii="Palatino Linotype" w:hAnsi="Palatino Linotype"/>
          <w:i/>
          <w:lang w:val="es-ES_tradnl"/>
        </w:rPr>
        <w:t>XXXXX</w:t>
      </w:r>
      <w:r w:rsidR="005A4073" w:rsidRPr="005A4073">
        <w:rPr>
          <w:rFonts w:ascii="Palatino Linotype" w:hAnsi="Palatino Linotype"/>
          <w:i/>
          <w:lang w:val="es-ES_tradnl"/>
        </w:rPr>
        <w:t xml:space="preserve"> y en otro terreno en calle </w:t>
      </w:r>
      <w:r w:rsidR="00C91322">
        <w:rPr>
          <w:rFonts w:ascii="Palatino Linotype" w:hAnsi="Palatino Linotype"/>
          <w:i/>
          <w:lang w:val="es-ES_tradnl"/>
        </w:rPr>
        <w:t>XXXXX</w:t>
      </w:r>
      <w:r w:rsidR="005A4073" w:rsidRPr="005A4073">
        <w:rPr>
          <w:rFonts w:ascii="Palatino Linotype" w:hAnsi="Palatino Linotype"/>
          <w:i/>
          <w:lang w:val="es-ES_tradnl"/>
        </w:rPr>
        <w:t xml:space="preserve"> y desarrollar un condominio pero sin construir las casas, es decir hacer el desarrollo de condominio pero vender los lote. </w:t>
      </w:r>
      <w:r w:rsidR="005A4073" w:rsidRPr="005A4073">
        <w:rPr>
          <w:rFonts w:ascii="Palatino Linotype" w:hAnsi="Palatino Linotype"/>
          <w:i/>
          <w:lang w:val="es-ES_tradnl"/>
        </w:rPr>
        <w:lastRenderedPageBreak/>
        <w:t>requiero la normatividad aplicable (uso de suelo) y los tramites que necesito hacer</w:t>
      </w:r>
      <w:r w:rsidR="009F22C8" w:rsidRPr="009F22C8">
        <w:rPr>
          <w:rFonts w:ascii="Palatino Linotype" w:hAnsi="Palatino Linotype"/>
          <w:i/>
          <w:lang w:val="es-ES_tradnl"/>
        </w:rPr>
        <w:t>.</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8902C6" w:rsidRPr="008902C6" w:rsidRDefault="008902C6" w:rsidP="00B51566">
      <w:pPr>
        <w:tabs>
          <w:tab w:val="left" w:pos="8789"/>
          <w:tab w:val="left" w:pos="9072"/>
        </w:tabs>
        <w:spacing w:line="240" w:lineRule="auto"/>
        <w:ind w:right="850"/>
        <w:jc w:val="both"/>
        <w:rPr>
          <w:rFonts w:ascii="Palatino Linotype" w:hAnsi="Palatino Linotype"/>
          <w:lang w:val="es-ES_tradnl"/>
        </w:rPr>
      </w:pPr>
    </w:p>
    <w:p w:rsidR="00E3099C" w:rsidRPr="00BE2480" w:rsidRDefault="00A443F5"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9F22C8">
        <w:rPr>
          <w:rFonts w:ascii="Palatino Linotype" w:eastAsia="Times New Roman" w:hAnsi="Palatino Linotype" w:cs="Times New Roman"/>
          <w:sz w:val="24"/>
          <w:szCs w:val="24"/>
          <w:lang w:val="es-ES_tradnl" w:eastAsia="es-ES"/>
        </w:rPr>
        <w:t>co del SAIMEX, se aprecia que la</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CD6DED">
        <w:rPr>
          <w:rFonts w:ascii="Palatino Linotype" w:hAnsi="Palatino Linotype" w:cs="Arial"/>
          <w:b/>
          <w:sz w:val="28"/>
          <w:szCs w:val="20"/>
        </w:rPr>
        <w:t>De la respuesta del Sujeto Obligado.</w:t>
      </w:r>
    </w:p>
    <w:p w:rsidR="00B51566" w:rsidRDefault="00A443F5" w:rsidP="00AA51D0">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5A4073">
        <w:rPr>
          <w:rFonts w:ascii="Palatino Linotype" w:hAnsi="Palatino Linotype" w:cs="Arial"/>
          <w:sz w:val="24"/>
        </w:rPr>
        <w:t xml:space="preserve">precia que en fecha cuatro de julio </w:t>
      </w:r>
      <w:r w:rsidR="009F22C8">
        <w:rPr>
          <w:rFonts w:ascii="Palatino Linotype" w:hAnsi="Palatino Linotype" w:cs="Arial"/>
          <w:sz w:val="24"/>
        </w:rPr>
        <w:t>de dos mil dieciocho</w:t>
      </w:r>
      <w:r w:rsidRPr="00A443F5">
        <w:rPr>
          <w:rFonts w:ascii="Palatino Linotype" w:hAnsi="Palatino Linotype" w:cs="Arial"/>
          <w:sz w:val="24"/>
        </w:rPr>
        <w:t xml:space="preserve"> el </w:t>
      </w:r>
      <w:r w:rsidR="00B51566">
        <w:rPr>
          <w:rFonts w:ascii="Palatino Linotype" w:hAnsi="Palatino Linotype" w:cs="Arial"/>
          <w:sz w:val="24"/>
        </w:rPr>
        <w:t>sujeto obligado emitió la debida respu</w:t>
      </w:r>
      <w:r w:rsidR="00C91A95">
        <w:rPr>
          <w:rFonts w:ascii="Palatino Linotype" w:hAnsi="Palatino Linotype" w:cs="Arial"/>
          <w:sz w:val="24"/>
        </w:rPr>
        <w:t xml:space="preserve">esta, adjuntando </w:t>
      </w:r>
      <w:r w:rsidR="005A4073">
        <w:rPr>
          <w:rFonts w:ascii="Palatino Linotype" w:hAnsi="Palatino Linotype" w:cs="Arial"/>
          <w:sz w:val="24"/>
        </w:rPr>
        <w:t>un</w:t>
      </w:r>
      <w:r w:rsidR="001425D2">
        <w:rPr>
          <w:rFonts w:ascii="Palatino Linotype" w:hAnsi="Palatino Linotype" w:cs="Arial"/>
          <w:sz w:val="24"/>
        </w:rPr>
        <w:t xml:space="preserve"> archivo</w:t>
      </w:r>
      <w:r w:rsidR="005A4073">
        <w:rPr>
          <w:rFonts w:ascii="Palatino Linotype" w:hAnsi="Palatino Linotype" w:cs="Arial"/>
          <w:sz w:val="24"/>
        </w:rPr>
        <w:t xml:space="preserve"> electrónico denominado</w:t>
      </w:r>
      <w:r w:rsidR="001425D2">
        <w:rPr>
          <w:rFonts w:ascii="Palatino Linotype" w:hAnsi="Palatino Linotype" w:cs="Arial"/>
          <w:sz w:val="24"/>
        </w:rPr>
        <w:t xml:space="preserve"> “</w:t>
      </w:r>
      <w:r w:rsidR="005A4073" w:rsidRPr="005A4073">
        <w:rPr>
          <w:rFonts w:ascii="Palatino Linotype" w:hAnsi="Palatino Linotype" w:cs="Arial"/>
          <w:sz w:val="24"/>
        </w:rPr>
        <w:t>185.pdf</w:t>
      </w:r>
      <w:r w:rsidR="001425D2">
        <w:rPr>
          <w:rFonts w:ascii="Palatino Linotype" w:hAnsi="Palatino Linotype" w:cs="Arial"/>
          <w:sz w:val="24"/>
        </w:rPr>
        <w:t>”</w:t>
      </w:r>
      <w:r w:rsidR="00B51566">
        <w:rPr>
          <w:rFonts w:ascii="Palatino Linotype" w:hAnsi="Palatino Linotype" w:cs="Arial"/>
          <w:sz w:val="24"/>
        </w:rPr>
        <w:t>,</w:t>
      </w:r>
      <w:r w:rsidR="00AA51D0">
        <w:rPr>
          <w:rFonts w:ascii="Palatino Linotype" w:hAnsi="Palatino Linotype" w:cs="Arial"/>
          <w:sz w:val="24"/>
        </w:rPr>
        <w:t xml:space="preserve"> </w:t>
      </w:r>
      <w:r w:rsidR="005A4073">
        <w:rPr>
          <w:rFonts w:ascii="Palatino Linotype" w:hAnsi="Palatino Linotype" w:cs="Arial"/>
          <w:sz w:val="24"/>
        </w:rPr>
        <w:t>el cual se omite</w:t>
      </w:r>
      <w:r w:rsidR="00AA51D0">
        <w:rPr>
          <w:rFonts w:ascii="Palatino Linotype" w:hAnsi="Palatino Linotype" w:cs="Arial"/>
          <w:sz w:val="24"/>
        </w:rPr>
        <w:t xml:space="preserve"> su inserción </w:t>
      </w:r>
      <w:r w:rsidR="005A4073">
        <w:rPr>
          <w:rFonts w:ascii="Palatino Linotype" w:hAnsi="Palatino Linotype" w:cs="Arial"/>
          <w:sz w:val="24"/>
        </w:rPr>
        <w:t xml:space="preserve">en este apartado </w:t>
      </w:r>
      <w:r w:rsidR="00AA51D0">
        <w:rPr>
          <w:rFonts w:ascii="Palatino Linotype" w:hAnsi="Palatino Linotype" w:cs="Arial"/>
          <w:sz w:val="24"/>
        </w:rPr>
        <w:t>al ser del conocimiento de las partes, sin embargo serán objeto de estudio más adelante.</w:t>
      </w:r>
    </w:p>
    <w:p w:rsidR="00AA51D0" w:rsidRPr="00AA51D0" w:rsidRDefault="00AA51D0" w:rsidP="00AA51D0">
      <w:pPr>
        <w:spacing w:before="240" w:line="360" w:lineRule="auto"/>
        <w:jc w:val="both"/>
        <w:rPr>
          <w:rFonts w:ascii="Palatino Linotype" w:hAnsi="Palatino Linotype" w:cs="Arial"/>
          <w:sz w:val="24"/>
        </w:rPr>
      </w:pP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B51566">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 xml:space="preserve">interpuso el recurso de revisión, en fecha </w:t>
      </w:r>
      <w:r w:rsidR="00D15261">
        <w:rPr>
          <w:rFonts w:ascii="Palatino Linotype" w:hAnsi="Palatino Linotype" w:cs="Arial"/>
          <w:sz w:val="24"/>
          <w:szCs w:val="24"/>
        </w:rPr>
        <w:t xml:space="preserve">diecinueve de julio </w:t>
      </w:r>
      <w:r w:rsidR="00E3099C">
        <w:rPr>
          <w:rFonts w:ascii="Palatino Linotype" w:hAnsi="Palatino Linotype" w:cs="Arial"/>
          <w:sz w:val="24"/>
          <w:szCs w:val="24"/>
        </w:rPr>
        <w:t>de</w:t>
      </w:r>
      <w:r w:rsidR="00FE4693">
        <w:rPr>
          <w:rFonts w:ascii="Palatino Linotype" w:hAnsi="Palatino Linotype" w:cs="Arial"/>
          <w:sz w:val="24"/>
          <w:szCs w:val="24"/>
        </w:rPr>
        <w:t xml:space="preserve"> dos mil dieciocho</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D15261">
        <w:rPr>
          <w:rFonts w:ascii="Palatino Linotype" w:hAnsi="Palatino Linotype" w:cs="Arial"/>
          <w:b/>
          <w:sz w:val="24"/>
          <w:szCs w:val="24"/>
        </w:rPr>
        <w:t>02681</w:t>
      </w:r>
      <w:r w:rsidR="00FE4693">
        <w:rPr>
          <w:rFonts w:ascii="Palatino Linotype" w:hAnsi="Palatino Linotype" w:cs="Arial"/>
          <w:b/>
          <w:sz w:val="24"/>
          <w:szCs w:val="24"/>
        </w:rPr>
        <w:t>/INFOEM/IP/RR/2018</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E3099C">
      <w:pPr>
        <w:spacing w:before="240"/>
        <w:jc w:val="both"/>
        <w:rPr>
          <w:rFonts w:ascii="Palatino Linotype" w:hAnsi="Palatino Linotype" w:cs="Arial"/>
          <w:b/>
          <w:sz w:val="24"/>
        </w:rPr>
      </w:pPr>
    </w:p>
    <w:p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lastRenderedPageBreak/>
        <w:t>“</w:t>
      </w:r>
      <w:r w:rsidR="00D15261" w:rsidRPr="00D15261">
        <w:rPr>
          <w:rFonts w:ascii="Palatino Linotype" w:hAnsi="Palatino Linotype"/>
          <w:i/>
          <w:color w:val="000000"/>
        </w:rPr>
        <w:t>LA AUTORIDAD MENCIONA QUE NO ES COMPETENTE, CUANDO LA LEY ES CLARA. LOS AYUNTAMIENTOS SON LOS QUE DETERMINAN EL USO DE SUELO Y OTORGAN LAS LICENCIAS DE CONSTRUCCIÓN.</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E3099C" w:rsidRDefault="00E3099C" w:rsidP="00E3099C">
      <w:pPr>
        <w:spacing w:before="240"/>
        <w:jc w:val="both"/>
        <w:rPr>
          <w:rFonts w:ascii="Palatino Linotype" w:hAnsi="Palatino Linotype" w:cs="Arial"/>
          <w:b/>
          <w:sz w:val="24"/>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D15261" w:rsidRPr="00D15261">
        <w:rPr>
          <w:rFonts w:ascii="Palatino Linotype" w:hAnsi="Palatino Linotype" w:cs="Arial"/>
          <w:i/>
        </w:rPr>
        <w:t>MANIFESTARSE COMO NO COMPETENTES</w:t>
      </w:r>
      <w:r w:rsidR="00AA51D0" w:rsidRPr="00AA51D0">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rsidR="00E25D3E" w:rsidRDefault="00E25D3E" w:rsidP="00E3099C">
      <w:pPr>
        <w:spacing w:before="24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D15261">
        <w:rPr>
          <w:rFonts w:ascii="Palatino Linotype" w:hAnsi="Palatino Linotype" w:cs="Arial"/>
          <w:sz w:val="24"/>
          <w:szCs w:val="24"/>
        </w:rPr>
        <w:t>ón en fecha tres</w:t>
      </w:r>
      <w:r w:rsidR="00E25D3E">
        <w:rPr>
          <w:rFonts w:ascii="Palatino Linotype" w:hAnsi="Palatino Linotype" w:cs="Arial"/>
          <w:sz w:val="24"/>
          <w:szCs w:val="24"/>
        </w:rPr>
        <w:t xml:space="preserve"> de </w:t>
      </w:r>
      <w:r w:rsidR="00D15261">
        <w:rPr>
          <w:rFonts w:ascii="Palatino Linotype" w:hAnsi="Palatino Linotype" w:cs="Arial"/>
          <w:sz w:val="24"/>
          <w:szCs w:val="24"/>
        </w:rPr>
        <w:t>agosto</w:t>
      </w:r>
      <w:r w:rsidR="00AA51D0">
        <w:rPr>
          <w:rFonts w:ascii="Palatino Linotype" w:hAnsi="Palatino Linotype" w:cs="Arial"/>
          <w:sz w:val="24"/>
          <w:szCs w:val="24"/>
        </w:rPr>
        <w:t xml:space="preserve"> </w:t>
      </w:r>
      <w:r w:rsidRPr="00FE4693">
        <w:rPr>
          <w:rFonts w:ascii="Palatino Linotype" w:hAnsi="Palatino Linotype" w:cs="Arial"/>
          <w:sz w:val="24"/>
          <w:szCs w:val="24"/>
        </w:rPr>
        <w:t>de dos mil dieciocho, determinándose en él, un plazo de siete días para que las partes manifestaran lo que a su derecho corresponda en términos del numeral ya citado.</w:t>
      </w:r>
    </w:p>
    <w:p w:rsidR="007A2CA1" w:rsidRPr="007A2CA1" w:rsidRDefault="007A2CA1" w:rsidP="007A2CA1">
      <w:pPr>
        <w:spacing w:before="240" w:line="360" w:lineRule="auto"/>
        <w:jc w:val="both"/>
        <w:rPr>
          <w:rFonts w:ascii="Palatino Linotype" w:hAnsi="Palatino Linotype" w:cs="Arial"/>
          <w:sz w:val="24"/>
          <w:szCs w:val="24"/>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071B10"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D15261">
        <w:rPr>
          <w:rFonts w:ascii="Palatino Linotype" w:hAnsi="Palatino Linotype" w:cs="Arial"/>
          <w:sz w:val="24"/>
          <w:szCs w:val="24"/>
        </w:rPr>
        <w:t>en fecha catorce de agosto</w:t>
      </w:r>
      <w:r w:rsidR="008562B4">
        <w:rPr>
          <w:rFonts w:ascii="Palatino Linotype" w:hAnsi="Palatino Linotype" w:cs="Arial"/>
          <w:sz w:val="24"/>
          <w:szCs w:val="24"/>
        </w:rPr>
        <w:t xml:space="preserve"> </w:t>
      </w:r>
      <w:r w:rsidR="00FE4693">
        <w:rPr>
          <w:rFonts w:ascii="Palatino Linotype" w:hAnsi="Palatino Linotype" w:cs="Arial"/>
          <w:sz w:val="24"/>
          <w:szCs w:val="24"/>
        </w:rPr>
        <w:t>dos mil dieciocho</w:t>
      </w:r>
      <w:r w:rsidR="00E77373">
        <w:rPr>
          <w:rFonts w:ascii="Palatino Linotype" w:hAnsi="Palatino Linotype" w:cs="Arial"/>
          <w:sz w:val="24"/>
          <w:szCs w:val="24"/>
        </w:rPr>
        <w:t xml:space="preserve">, adjuntó </w:t>
      </w:r>
      <w:r w:rsidR="0056101D">
        <w:rPr>
          <w:rFonts w:ascii="Palatino Linotype" w:hAnsi="Palatino Linotype" w:cs="Arial"/>
          <w:sz w:val="24"/>
          <w:szCs w:val="24"/>
        </w:rPr>
        <w:t>a la etapa de</w:t>
      </w:r>
      <w:r w:rsidR="008562B4">
        <w:rPr>
          <w:rFonts w:ascii="Palatino Linotype" w:hAnsi="Palatino Linotype" w:cs="Arial"/>
          <w:sz w:val="24"/>
          <w:szCs w:val="24"/>
        </w:rPr>
        <w:t xml:space="preserve"> manifestaciones el informe justificado correspondiente</w:t>
      </w:r>
      <w:r w:rsidR="009B1BD3">
        <w:rPr>
          <w:rFonts w:ascii="Palatino Linotype" w:hAnsi="Palatino Linotype" w:cs="Arial"/>
          <w:sz w:val="24"/>
          <w:szCs w:val="24"/>
        </w:rPr>
        <w:t xml:space="preserve">, </w:t>
      </w:r>
      <w:r w:rsidR="00D15261">
        <w:rPr>
          <w:rFonts w:ascii="Palatino Linotype" w:hAnsi="Palatino Linotype" w:cs="Arial"/>
          <w:sz w:val="24"/>
          <w:szCs w:val="24"/>
        </w:rPr>
        <w:t xml:space="preserve">mismo que fue puesto a la vista del recurrente mediante acuerdo de fecha veintidós de agosto de los corrientes, </w:t>
      </w:r>
      <w:r w:rsidR="00111643">
        <w:rPr>
          <w:rFonts w:ascii="Palatino Linotype" w:hAnsi="Palatino Linotype" w:cs="Arial"/>
          <w:sz w:val="24"/>
          <w:szCs w:val="24"/>
        </w:rPr>
        <w:t>asimism</w:t>
      </w:r>
      <w:r w:rsidR="00F7456A">
        <w:rPr>
          <w:rFonts w:ascii="Palatino Linotype" w:hAnsi="Palatino Linotype" w:cs="Arial"/>
          <w:sz w:val="24"/>
          <w:szCs w:val="24"/>
        </w:rPr>
        <w:t xml:space="preserve">o </w:t>
      </w:r>
      <w:r w:rsidR="00C5342D">
        <w:rPr>
          <w:rFonts w:ascii="Palatino Linotype" w:hAnsi="Palatino Linotype" w:cs="Arial"/>
          <w:sz w:val="24"/>
          <w:szCs w:val="24"/>
        </w:rPr>
        <w:t xml:space="preserve">se advierte </w:t>
      </w:r>
      <w:r w:rsidR="0056101D">
        <w:rPr>
          <w:rFonts w:ascii="Palatino Linotype" w:hAnsi="Palatino Linotype" w:cs="Arial"/>
          <w:sz w:val="24"/>
          <w:szCs w:val="24"/>
        </w:rPr>
        <w:t>que el</w:t>
      </w:r>
      <w:r w:rsidR="00C5342D">
        <w:rPr>
          <w:rFonts w:ascii="Palatino Linotype" w:hAnsi="Palatino Linotype" w:cs="Arial"/>
          <w:sz w:val="24"/>
          <w:szCs w:val="24"/>
        </w:rPr>
        <w:t xml:space="preserve"> </w:t>
      </w:r>
      <w:r w:rsidR="00CB1CC6">
        <w:rPr>
          <w:rFonts w:ascii="Palatino Linotype" w:hAnsi="Palatino Linotype" w:cs="Arial"/>
          <w:sz w:val="24"/>
          <w:szCs w:val="24"/>
        </w:rPr>
        <w:t>recurrente</w:t>
      </w:r>
      <w:r w:rsidR="008B0427">
        <w:rPr>
          <w:rFonts w:ascii="Palatino Linotype" w:hAnsi="Palatino Linotype" w:cs="Arial"/>
          <w:sz w:val="24"/>
          <w:szCs w:val="24"/>
        </w:rPr>
        <w:t xml:space="preserve"> no realizó manifestaciones</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B1BD3" w:rsidRPr="008B042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Por lo que </w:t>
      </w:r>
      <w:r w:rsidR="00E3099C">
        <w:rPr>
          <w:rFonts w:ascii="Palatino Linotype" w:hAnsi="Palatino Linotype" w:cs="Arial"/>
          <w:sz w:val="24"/>
          <w:szCs w:val="24"/>
        </w:rPr>
        <w:t>se decretó el cierre de instru</w:t>
      </w:r>
      <w:r w:rsidR="006C69A3">
        <w:rPr>
          <w:rFonts w:ascii="Palatino Linotype" w:hAnsi="Palatino Linotype" w:cs="Arial"/>
          <w:sz w:val="24"/>
          <w:szCs w:val="24"/>
        </w:rPr>
        <w:t>cción m</w:t>
      </w:r>
      <w:r w:rsidR="007836DD">
        <w:rPr>
          <w:rFonts w:ascii="Palatino Linotype" w:hAnsi="Palatino Linotype" w:cs="Arial"/>
          <w:sz w:val="24"/>
          <w:szCs w:val="24"/>
        </w:rPr>
        <w:t>edi</w:t>
      </w:r>
      <w:r w:rsidR="00071B10">
        <w:rPr>
          <w:rFonts w:ascii="Palatino Linotype" w:hAnsi="Palatino Linotype" w:cs="Arial"/>
          <w:sz w:val="24"/>
          <w:szCs w:val="24"/>
        </w:rPr>
        <w:t>ante pr</w:t>
      </w:r>
      <w:r>
        <w:rPr>
          <w:rFonts w:ascii="Palatino Linotype" w:hAnsi="Palatino Linotype" w:cs="Arial"/>
          <w:sz w:val="24"/>
          <w:szCs w:val="24"/>
        </w:rPr>
        <w:t>oveído de fecha treinta de agosto</w:t>
      </w:r>
      <w:r w:rsidR="008B0427">
        <w:rPr>
          <w:rFonts w:ascii="Palatino Linotype" w:hAnsi="Palatino Linotype" w:cs="Arial"/>
          <w:sz w:val="24"/>
          <w:szCs w:val="24"/>
        </w:rPr>
        <w:t xml:space="preserve"> </w:t>
      </w:r>
      <w:r w:rsidR="007836DD">
        <w:rPr>
          <w:rFonts w:ascii="Palatino Linotype" w:hAnsi="Palatino Linotype" w:cs="Arial"/>
          <w:sz w:val="24"/>
          <w:szCs w:val="24"/>
        </w:rPr>
        <w:t>de dos mil dieciocho</w:t>
      </w:r>
      <w:r w:rsidR="00E3099C">
        <w:rPr>
          <w:rFonts w:ascii="Palatino Linotype" w:hAnsi="Palatino Linotype" w:cs="Arial"/>
          <w:sz w:val="24"/>
          <w:szCs w:val="24"/>
        </w:rPr>
        <w:t>.</w:t>
      </w:r>
    </w:p>
    <w:p w:rsidR="009B1BD3" w:rsidRDefault="009B1BD3" w:rsidP="00042285">
      <w:pPr>
        <w:spacing w:before="240" w:line="360" w:lineRule="auto"/>
        <w:jc w:val="both"/>
        <w:rPr>
          <w:rFonts w:ascii="Palatino Linotype" w:hAnsi="Palatino Linotype" w:cs="Arial"/>
          <w:b/>
          <w:sz w:val="28"/>
        </w:rPr>
      </w:pPr>
    </w:p>
    <w:p w:rsidR="00042285" w:rsidRDefault="00042285" w:rsidP="00042285">
      <w:pPr>
        <w:spacing w:before="240" w:line="360" w:lineRule="auto"/>
        <w:jc w:val="both"/>
        <w:rPr>
          <w:rFonts w:ascii="Palatino Linotype" w:hAnsi="Palatino Linotype" w:cs="Arial"/>
          <w:b/>
          <w:sz w:val="28"/>
          <w:szCs w:val="28"/>
        </w:rPr>
      </w:pPr>
      <w:r>
        <w:rPr>
          <w:rFonts w:ascii="Palatino Linotype" w:hAnsi="Palatino Linotype" w:cs="Arial"/>
          <w:b/>
          <w:sz w:val="28"/>
        </w:rPr>
        <w:t>SEXTO</w:t>
      </w:r>
      <w:r w:rsidRPr="008551ED">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b/>
          <w:sz w:val="28"/>
          <w:szCs w:val="28"/>
        </w:rPr>
        <w:t>De la ampliación del término para resolver.</w:t>
      </w:r>
    </w:p>
    <w:p w:rsidR="00042285" w:rsidRDefault="00D15261"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En fecha catorce de septiembre</w:t>
      </w:r>
      <w:r w:rsidR="00042285">
        <w:rPr>
          <w:rFonts w:ascii="Palatino Linotype" w:hAnsi="Palatino Linotype" w:cs="Arial"/>
          <w:sz w:val="24"/>
          <w:szCs w:val="24"/>
        </w:rPr>
        <w:t xml:space="preserve"> de dos mil dieciocho, se amplió el término para resolver el recurso de revisión en términos del artículo 181 párrafo tercero de la Ley de Transparencia y Acceso a la Información Pública del Estado de México y Municipios por un plazo de quince días hábiles.</w:t>
      </w:r>
    </w:p>
    <w:p w:rsidR="00B52B70" w:rsidRDefault="00B52B70" w:rsidP="00E3099C">
      <w:pPr>
        <w:spacing w:before="240" w:line="360" w:lineRule="auto"/>
        <w:jc w:val="center"/>
        <w:rPr>
          <w:rFonts w:ascii="Palatino Linotype" w:hAnsi="Palatino Linotype" w:cs="Arial"/>
          <w:b/>
          <w:sz w:val="28"/>
          <w:szCs w:val="28"/>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 xml:space="preserve">Instituto </w:t>
      </w:r>
      <w:r>
        <w:rPr>
          <w:rFonts w:ascii="Palatino Linotype" w:hAnsi="Palatino Linotype" w:cs="Arial"/>
          <w:sz w:val="24"/>
        </w:rPr>
        <w:lastRenderedPageBreak/>
        <w:t>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 xml:space="preserve">Resulta indispensable referir que el derecho de acceso a la información pública implica que cualquier persona pueda acceder y conocer la información contenida en los documentos que se encuentran en posesión de los Sujetos Obligados.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lastRenderedPageBreak/>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obligación de proporcionar información no comprende el procesamiento de la misma, ni el presentarla conforme al interés del solicitante; no estarán obligados a generarla, resumirla, efectuar cálculos o practicar investigaciones. </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2B6649" w:rsidRPr="00382AD8" w:rsidRDefault="002B6649" w:rsidP="002B6649">
      <w:pPr>
        <w:spacing w:after="0" w:line="360" w:lineRule="auto"/>
        <w:ind w:left="851" w:right="851"/>
        <w:jc w:val="both"/>
        <w:rPr>
          <w:rFonts w:ascii="Palatino Linotype" w:hAnsi="Palatino Linotype" w:cs="Arial"/>
          <w:i/>
          <w:color w:val="000000" w:themeColor="text1"/>
        </w:rPr>
      </w:pPr>
    </w:p>
    <w:p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2B6649" w:rsidRDefault="002B6649" w:rsidP="002B6649">
      <w:pPr>
        <w:spacing w:after="0" w:line="360" w:lineRule="auto"/>
        <w:jc w:val="both"/>
        <w:rPr>
          <w:rFonts w:ascii="Palatino Linotype" w:hAnsi="Palatino Linotype" w:cs="Arial"/>
          <w:color w:val="000000" w:themeColor="text1"/>
          <w:sz w:val="24"/>
          <w:szCs w:val="24"/>
        </w:rPr>
      </w:pPr>
    </w:p>
    <w:p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w:t>
      </w:r>
      <w:r w:rsidR="008E48E5">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primeramente es necesario retomar los requerimientos del solicitante que versan específicamente en lo siguiente: </w:t>
      </w:r>
    </w:p>
    <w:p w:rsidR="00F7456A" w:rsidRDefault="00F7456A" w:rsidP="002B6649">
      <w:pPr>
        <w:spacing w:after="0" w:line="360" w:lineRule="auto"/>
        <w:jc w:val="both"/>
        <w:rPr>
          <w:rFonts w:ascii="Palatino Linotype" w:hAnsi="Palatino Linotype" w:cs="Arial"/>
          <w:color w:val="000000" w:themeColor="text1"/>
          <w:sz w:val="24"/>
          <w:szCs w:val="24"/>
        </w:rPr>
      </w:pPr>
    </w:p>
    <w:p w:rsidR="00944150" w:rsidRDefault="00944150" w:rsidP="00E04AF4">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 xml:space="preserve">Requiero saber si puedo construir un condominio de algunas casas (las que aprueben) en un terreno propio en el fraccionamiento lago de </w:t>
      </w:r>
      <w:r w:rsidR="00C91322">
        <w:rPr>
          <w:rFonts w:ascii="Palatino Linotype" w:hAnsi="Palatino Linotype" w:cs="Arial"/>
        </w:rPr>
        <w:t>XXXXXXXX</w:t>
      </w:r>
      <w:r>
        <w:rPr>
          <w:rFonts w:ascii="Palatino Linotype" w:hAnsi="Palatino Linotype" w:cs="Arial"/>
        </w:rPr>
        <w:t xml:space="preserve"> calle </w:t>
      </w:r>
      <w:r w:rsidR="00C91322">
        <w:rPr>
          <w:rFonts w:ascii="Palatino Linotype" w:hAnsi="Palatino Linotype" w:cs="Arial"/>
        </w:rPr>
        <w:t>XXXXXX</w:t>
      </w:r>
      <w:r>
        <w:rPr>
          <w:rFonts w:ascii="Palatino Linotype" w:hAnsi="Palatino Linotype" w:cs="Arial"/>
        </w:rPr>
        <w:t xml:space="preserve"> y en otro en calle </w:t>
      </w:r>
      <w:r w:rsidR="00C91322">
        <w:rPr>
          <w:rFonts w:ascii="Palatino Linotype" w:hAnsi="Palatino Linotype" w:cs="Arial"/>
        </w:rPr>
        <w:t>XXXXXXX</w:t>
      </w:r>
    </w:p>
    <w:p w:rsidR="00944150" w:rsidRDefault="00944150" w:rsidP="00434CB9">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sidRPr="00944150">
        <w:rPr>
          <w:rFonts w:ascii="Palatino Linotype" w:hAnsi="Palatino Linotype" w:cs="Arial"/>
        </w:rPr>
        <w:t xml:space="preserve">Requiero saber si puedo fraccionar un terreno propio de dos mil metros en el fraccionamiento </w:t>
      </w:r>
      <w:r w:rsidR="00C91322">
        <w:rPr>
          <w:rFonts w:ascii="Palatino Linotype" w:hAnsi="Palatino Linotype" w:cs="Arial"/>
        </w:rPr>
        <w:t>XXXXXX</w:t>
      </w:r>
      <w:r w:rsidRPr="00944150">
        <w:rPr>
          <w:rFonts w:ascii="Palatino Linotype" w:hAnsi="Palatino Linotype" w:cs="Arial"/>
        </w:rPr>
        <w:t xml:space="preserve"> en la calle </w:t>
      </w:r>
      <w:r w:rsidR="00C91322">
        <w:rPr>
          <w:rFonts w:ascii="Palatino Linotype" w:hAnsi="Palatino Linotype" w:cs="Arial"/>
        </w:rPr>
        <w:t>XXXXXX</w:t>
      </w:r>
      <w:r w:rsidRPr="00944150">
        <w:rPr>
          <w:rFonts w:ascii="Palatino Linotype" w:hAnsi="Palatino Linotype" w:cs="Arial"/>
        </w:rPr>
        <w:t xml:space="preserve"> y otro en calle </w:t>
      </w:r>
      <w:r w:rsidR="00C91322">
        <w:rPr>
          <w:rFonts w:ascii="Palatino Linotype" w:hAnsi="Palatino Linotype" w:cs="Arial"/>
        </w:rPr>
        <w:t xml:space="preserve">XXXXXXX </w:t>
      </w:r>
      <w:r>
        <w:rPr>
          <w:rFonts w:ascii="Palatino Linotype" w:hAnsi="Palatino Linotype" w:cs="Arial"/>
        </w:rPr>
        <w:t>y desarrollar un condominio pero sin construir casas.</w:t>
      </w:r>
    </w:p>
    <w:p w:rsidR="00E04AF4" w:rsidRPr="00944150" w:rsidRDefault="00944150" w:rsidP="00434CB9">
      <w:pPr>
        <w:pStyle w:val="Prrafodelista"/>
        <w:numPr>
          <w:ilvl w:val="0"/>
          <w:numId w:val="15"/>
        </w:numPr>
        <w:autoSpaceDE w:val="0"/>
        <w:autoSpaceDN w:val="0"/>
        <w:adjustRightInd w:val="0"/>
        <w:spacing w:before="240" w:after="160" w:line="360" w:lineRule="auto"/>
        <w:jc w:val="both"/>
        <w:rPr>
          <w:rFonts w:ascii="Palatino Linotype" w:hAnsi="Palatino Linotype" w:cs="Arial"/>
        </w:rPr>
      </w:pPr>
      <w:r>
        <w:rPr>
          <w:rFonts w:ascii="Palatino Linotype" w:hAnsi="Palatino Linotype" w:cs="Arial"/>
        </w:rPr>
        <w:t>Normatividad aplicable (uso de suelo) y los tramites que necesito hacer.</w:t>
      </w:r>
    </w:p>
    <w:p w:rsidR="004D4E0D" w:rsidRDefault="00976E0B"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Para lo cual el sujeto obligado, estando en tiempo y forma emitió la debida respuesta a la solicitud de información en los siguientes términos:</w:t>
      </w:r>
    </w:p>
    <w:p w:rsidR="00976E0B" w:rsidRPr="004D4E0D" w:rsidRDefault="00C91322"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drawing>
          <wp:inline distT="0" distB="0" distL="0" distR="0">
            <wp:extent cx="5764530" cy="41643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530" cy="4164330"/>
                    </a:xfrm>
                    <a:prstGeom prst="rect">
                      <a:avLst/>
                    </a:prstGeom>
                    <a:noFill/>
                    <a:ln>
                      <a:noFill/>
                    </a:ln>
                  </pic:spPr>
                </pic:pic>
              </a:graphicData>
            </a:graphic>
          </wp:inline>
        </w:drawing>
      </w:r>
      <w:r w:rsidR="007E7D78">
        <w:rPr>
          <w:noProof/>
          <w:lang w:eastAsia="es-MX"/>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2374900</wp:posOffset>
                </wp:positionV>
                <wp:extent cx="5657850" cy="17716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5657850" cy="1771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136989" id="Rectángulo 10" o:spid="_x0000_s1026" style="position:absolute;margin-left:2.7pt;margin-top:187pt;width:445.5pt;height:1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" filled="f" strokecolor="red" strokeweight="2.25pt"/>
            </w:pict>
          </mc:Fallback>
        </mc:AlternateContent>
      </w:r>
    </w:p>
    <w:p w:rsidR="007E7D78" w:rsidRDefault="007E7D78"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Respuesta que al particular le resultó desfavorable, motivo por el cual promovió el medio de impugnación correspondiente, manifestando las siguientes razones o motivos de inconformidad:</w:t>
      </w:r>
      <w:bookmarkStart w:id="0" w:name="_GoBack"/>
      <w:bookmarkEnd w:id="0"/>
    </w:p>
    <w:p w:rsidR="007E7D78" w:rsidRDefault="007E7D78" w:rsidP="007E7D78">
      <w:pPr>
        <w:spacing w:line="240" w:lineRule="auto"/>
        <w:ind w:left="851" w:right="850"/>
        <w:jc w:val="both"/>
        <w:rPr>
          <w:rFonts w:ascii="Palatino Linotype" w:hAnsi="Palatino Linotype" w:cs="Arial"/>
          <w:i/>
        </w:rPr>
      </w:pPr>
    </w:p>
    <w:p w:rsidR="007E7D78" w:rsidRPr="004469D5" w:rsidRDefault="007E7D78" w:rsidP="007E7D78">
      <w:pPr>
        <w:spacing w:line="240" w:lineRule="auto"/>
        <w:ind w:left="851" w:right="850"/>
        <w:jc w:val="both"/>
        <w:rPr>
          <w:rFonts w:ascii="Palatino Linotype" w:hAnsi="Palatino Linotype" w:cs="Arial"/>
          <w:i/>
        </w:rPr>
      </w:pPr>
      <w:r w:rsidRPr="004469D5">
        <w:rPr>
          <w:rFonts w:ascii="Palatino Linotype" w:hAnsi="Palatino Linotype" w:cs="Arial"/>
          <w:i/>
        </w:rPr>
        <w:t>“</w:t>
      </w:r>
      <w:r w:rsidRPr="00D15261">
        <w:rPr>
          <w:rFonts w:ascii="Palatino Linotype" w:hAnsi="Palatino Linotype" w:cs="Arial"/>
          <w:i/>
        </w:rPr>
        <w:t>MANIFESTARSE COMO NO COMPETENTES</w:t>
      </w:r>
      <w:r w:rsidRPr="00AA51D0">
        <w:rPr>
          <w:rFonts w:ascii="Palatino Linotype" w:hAnsi="Palatino Linotype" w:cs="Arial"/>
          <w:i/>
        </w:rPr>
        <w:t>.</w:t>
      </w:r>
      <w:r>
        <w:rPr>
          <w:rFonts w:ascii="Palatino Linotype" w:hAnsi="Palatino Linotype" w:cs="Arial"/>
          <w:i/>
        </w:rPr>
        <w:t>”[S</w:t>
      </w:r>
      <w:r w:rsidRPr="004469D5">
        <w:rPr>
          <w:rFonts w:ascii="Palatino Linotype" w:hAnsi="Palatino Linotype" w:cs="Arial"/>
          <w:i/>
        </w:rPr>
        <w:t>ic]</w:t>
      </w:r>
    </w:p>
    <w:p w:rsidR="007E7D78" w:rsidRDefault="007E7D78" w:rsidP="00172F03">
      <w:pPr>
        <w:tabs>
          <w:tab w:val="left" w:pos="8931"/>
        </w:tabs>
        <w:spacing w:before="240" w:line="360" w:lineRule="auto"/>
        <w:ind w:right="51"/>
        <w:jc w:val="both"/>
        <w:rPr>
          <w:rFonts w:ascii="Palatino Linotype" w:hAnsi="Palatino Linotype"/>
          <w:sz w:val="24"/>
          <w:szCs w:val="24"/>
        </w:rPr>
      </w:pPr>
    </w:p>
    <w:p w:rsidR="007E7D78" w:rsidRDefault="007E7D78"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De esa forma se aprecia que el recurrente se duele de que el sujeto obligado ha manifestado su incompetencia respecto a la información peticionada, toda vez que de los diversos requerimientos solamente se pronunció respecto de la normatividad aplicable para los trámites que desea realizar el particular.</w:t>
      </w:r>
    </w:p>
    <w:p w:rsidR="007E7D78" w:rsidRDefault="007E7D78" w:rsidP="00172F03">
      <w:pPr>
        <w:tabs>
          <w:tab w:val="left" w:pos="8931"/>
        </w:tabs>
        <w:spacing w:before="240" w:line="360" w:lineRule="auto"/>
        <w:ind w:right="51"/>
        <w:jc w:val="both"/>
        <w:rPr>
          <w:rFonts w:ascii="Palatino Linotype" w:hAnsi="Palatino Linotype"/>
          <w:sz w:val="24"/>
          <w:szCs w:val="24"/>
        </w:rPr>
      </w:pPr>
    </w:p>
    <w:p w:rsidR="007E7D78" w:rsidRDefault="00355976" w:rsidP="00172F03">
      <w:pPr>
        <w:tabs>
          <w:tab w:val="left" w:pos="8931"/>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-13335</wp:posOffset>
                </wp:positionH>
                <wp:positionV relativeFrom="paragraph">
                  <wp:posOffset>1287779</wp:posOffset>
                </wp:positionV>
                <wp:extent cx="5886450" cy="4524375"/>
                <wp:effectExtent l="0" t="0" r="19050" b="28575"/>
                <wp:wrapNone/>
                <wp:docPr id="13" name="Conector recto 13"/>
                <wp:cNvGraphicFramePr/>
                <a:graphic xmlns:a="http://schemas.openxmlformats.org/drawingml/2006/main">
                  <a:graphicData uri="http://schemas.microsoft.com/office/word/2010/wordprocessingShape">
                    <wps:wsp>
                      <wps:cNvCnPr/>
                      <wps:spPr>
                        <a:xfrm>
                          <a:off x="0" y="0"/>
                          <a:ext cx="5886450" cy="452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51347E" id="Conector recto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101.4pt" to="462.45pt,4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" strokecolor="black [3200]" strokeweight=".5pt">
                <v:stroke joinstyle="miter"/>
              </v:line>
            </w:pict>
          </mc:Fallback>
        </mc:AlternateContent>
      </w:r>
      <w:r w:rsidR="007E7D78">
        <w:rPr>
          <w:rFonts w:ascii="Palatino Linotype" w:hAnsi="Palatino Linotype"/>
          <w:sz w:val="24"/>
          <w:szCs w:val="24"/>
        </w:rPr>
        <w:t xml:space="preserve">Por lo anterior el sujeto obligado adjuntó a la etapa de manifestaciones, el informe justificado correspondiente, en el que especifica con mayor claridad </w:t>
      </w:r>
      <w:r w:rsidR="00752710">
        <w:rPr>
          <w:rFonts w:ascii="Palatino Linotype" w:hAnsi="Palatino Linotype"/>
          <w:sz w:val="24"/>
          <w:szCs w:val="24"/>
        </w:rPr>
        <w:t>el motivo por el cual dicho institución se declara incompetente, sirve de sustento las siguientes imágenes ilustrativas:</w:t>
      </w:r>
    </w:p>
    <w:p w:rsidR="00355976" w:rsidRDefault="00355976" w:rsidP="00172F03">
      <w:pPr>
        <w:tabs>
          <w:tab w:val="left" w:pos="8931"/>
        </w:tabs>
        <w:spacing w:before="240" w:line="360" w:lineRule="auto"/>
        <w:ind w:right="51"/>
        <w:jc w:val="both"/>
        <w:rPr>
          <w:noProof/>
          <w:lang w:eastAsia="es-MX"/>
        </w:rPr>
      </w:pPr>
    </w:p>
    <w:p w:rsidR="00407864" w:rsidRPr="00407864" w:rsidRDefault="00C02F0A" w:rsidP="00407864">
      <w:pPr>
        <w:tabs>
          <w:tab w:val="left" w:pos="8931"/>
        </w:tabs>
        <w:spacing w:before="240" w:line="360" w:lineRule="auto"/>
        <w:ind w:right="51"/>
        <w:jc w:val="both"/>
        <w:rPr>
          <w:rFonts w:ascii="Palatino Linotype" w:hAnsi="Palatino Linotype"/>
          <w:sz w:val="24"/>
          <w:szCs w:val="24"/>
        </w:rPr>
      </w:pPr>
      <w:r>
        <w:rPr>
          <w:noProof/>
          <w:lang w:eastAsia="es-MX"/>
        </w:rPr>
        <w:lastRenderedPageBreak/>
        <w:drawing>
          <wp:inline distT="0" distB="0" distL="0" distR="0" wp14:anchorId="3357AFC1" wp14:editId="5C3C2B70">
            <wp:extent cx="5791200" cy="7296150"/>
            <wp:effectExtent l="19050" t="19050" r="1905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18" t="11075" r="5258" b="8480"/>
                    <a:stretch/>
                  </pic:blipFill>
                  <pic:spPr bwMode="auto">
                    <a:xfrm>
                      <a:off x="0" y="0"/>
                      <a:ext cx="5791200" cy="72961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11A64" w:rsidRPr="00407864" w:rsidRDefault="00407864" w:rsidP="00407864">
      <w:pPr>
        <w:spacing w:line="360" w:lineRule="auto"/>
        <w:contextualSpacing/>
        <w:jc w:val="both"/>
        <w:rPr>
          <w:rFonts w:ascii="Palatino Linotype" w:hAnsi="Palatino Linotype"/>
          <w:color w:val="000000"/>
          <w:sz w:val="24"/>
        </w:rPr>
      </w:pPr>
      <w:r>
        <w:rPr>
          <w:noProof/>
          <w:lang w:eastAsia="es-MX"/>
        </w:rPr>
        <w:lastRenderedPageBreak/>
        <w:drawing>
          <wp:inline distT="0" distB="0" distL="0" distR="0" wp14:anchorId="03D2A1C4" wp14:editId="27E1D270">
            <wp:extent cx="6019800" cy="2838450"/>
            <wp:effectExtent l="19050" t="19050" r="1905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75" t="22457" r="5919" b="34321"/>
                    <a:stretch/>
                  </pic:blipFill>
                  <pic:spPr bwMode="auto">
                    <a:xfrm>
                      <a:off x="0" y="0"/>
                      <a:ext cx="6019800" cy="2838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7864" w:rsidRDefault="00407864" w:rsidP="00011A64">
      <w:pPr>
        <w:spacing w:before="240" w:after="360" w:line="360" w:lineRule="auto"/>
        <w:contextualSpacing/>
        <w:jc w:val="both"/>
        <w:rPr>
          <w:rFonts w:ascii="Palatino Linotype" w:hAnsi="Palatino Linotype" w:cs="Arial"/>
          <w:sz w:val="24"/>
        </w:rPr>
      </w:pPr>
    </w:p>
    <w:p w:rsidR="00407864" w:rsidRDefault="00407864" w:rsidP="00011A64">
      <w:pPr>
        <w:spacing w:before="240" w:after="360" w:line="360" w:lineRule="auto"/>
        <w:contextualSpacing/>
        <w:jc w:val="both"/>
        <w:rPr>
          <w:rFonts w:ascii="Palatino Linotype" w:hAnsi="Palatino Linotype" w:cs="Arial"/>
          <w:sz w:val="24"/>
        </w:rPr>
      </w:pPr>
      <w:r>
        <w:rPr>
          <w:rFonts w:ascii="Palatino Linotype" w:hAnsi="Palatino Linotype" w:cs="Arial"/>
          <w:sz w:val="24"/>
        </w:rPr>
        <w:t>Así las cosas de la información proporcionada por el sujeto obligado a través del informe justificado en comento, se desprende que con base a la normatividad inmersa en dicho informe, existe la posibilidad de que efectivamente los requerimientos expuestos por el solicitante, obren en los archivos de la Secretaria de Desarrollo Urbano y Metropolitano del Estado de México, tal como lo ha manifestado el sujeto obligado en la respuesta primigenia.</w:t>
      </w:r>
    </w:p>
    <w:p w:rsidR="00444DEC" w:rsidRDefault="00444DEC" w:rsidP="00172F03">
      <w:pPr>
        <w:tabs>
          <w:tab w:val="left" w:pos="8931"/>
        </w:tabs>
        <w:spacing w:before="240" w:line="360" w:lineRule="auto"/>
        <w:ind w:right="51"/>
        <w:jc w:val="both"/>
        <w:rPr>
          <w:rFonts w:ascii="Palatino Linotype" w:hAnsi="Palatino Linotype" w:cs="Arial"/>
          <w:sz w:val="24"/>
        </w:rPr>
      </w:pPr>
    </w:p>
    <w:p w:rsidR="0097639E" w:rsidRPr="000708DA" w:rsidRDefault="0097639E" w:rsidP="0097639E">
      <w:pPr>
        <w:tabs>
          <w:tab w:val="left" w:pos="709"/>
        </w:tabs>
        <w:spacing w:before="240" w:line="360" w:lineRule="auto"/>
        <w:ind w:right="51"/>
        <w:jc w:val="both"/>
        <w:rPr>
          <w:rFonts w:ascii="Palatino Linotype" w:hAnsi="Palatino Linotype"/>
          <w:sz w:val="24"/>
          <w:szCs w:val="24"/>
        </w:rPr>
      </w:pPr>
      <w:r w:rsidRPr="000708DA">
        <w:rPr>
          <w:rFonts w:ascii="Palatino Linotype" w:hAnsi="Palatino Linotype"/>
          <w:sz w:val="24"/>
          <w:szCs w:val="24"/>
        </w:rPr>
        <w:t>En este sentido, resulta oportuno precisar que</w:t>
      </w:r>
      <w:r>
        <w:rPr>
          <w:rFonts w:ascii="Palatino Linotype" w:hAnsi="Palatino Linotype"/>
          <w:b/>
          <w:sz w:val="24"/>
          <w:szCs w:val="24"/>
        </w:rPr>
        <w:t xml:space="preserve"> </w:t>
      </w:r>
      <w:r w:rsidRPr="00DD1573">
        <w:rPr>
          <w:rFonts w:ascii="Palatino Linotype" w:hAnsi="Palatino Linotype"/>
          <w:sz w:val="24"/>
          <w:szCs w:val="24"/>
        </w:rPr>
        <w:t>el sujeto obligado</w:t>
      </w:r>
      <w:r w:rsidRPr="000708DA">
        <w:rPr>
          <w:rFonts w:ascii="Palatino Linotype" w:hAnsi="Palatino Linotype"/>
          <w:b/>
          <w:sz w:val="24"/>
          <w:szCs w:val="24"/>
        </w:rPr>
        <w:t xml:space="preserve"> </w:t>
      </w:r>
      <w:r w:rsidRPr="000708DA">
        <w:rPr>
          <w:rFonts w:ascii="Palatino Linotype" w:hAnsi="Palatino Linotype"/>
          <w:sz w:val="24"/>
          <w:szCs w:val="24"/>
        </w:rPr>
        <w:t xml:space="preserve">únicamente </w:t>
      </w:r>
      <w:r>
        <w:rPr>
          <w:rFonts w:ascii="Palatino Linotype" w:hAnsi="Palatino Linotype"/>
          <w:sz w:val="24"/>
          <w:szCs w:val="24"/>
        </w:rPr>
        <w:t>debe de</w:t>
      </w:r>
      <w:r w:rsidRPr="000708DA">
        <w:rPr>
          <w:rFonts w:ascii="Palatino Linotype" w:hAnsi="Palatino Linotype"/>
          <w:sz w:val="24"/>
          <w:szCs w:val="24"/>
        </w:rPr>
        <w:t xml:space="preserve"> proporcionar la información que obre en sus archivos,</w:t>
      </w:r>
      <w:r>
        <w:rPr>
          <w:rFonts w:ascii="Palatino Linotype" w:hAnsi="Palatino Linotype"/>
          <w:sz w:val="24"/>
          <w:szCs w:val="24"/>
        </w:rPr>
        <w:t xml:space="preserve"> l</w:t>
      </w:r>
      <w:r w:rsidRPr="000708DA">
        <w:rPr>
          <w:rFonts w:ascii="Palatino Linotype" w:hAnsi="Palatino Linotype"/>
          <w:sz w:val="24"/>
          <w:szCs w:val="24"/>
        </w:rPr>
        <w:t>o anterior con fundamento en el artículo 12 de la Ley de Transparencia, la cual señala a la literalidad:</w:t>
      </w:r>
    </w:p>
    <w:p w:rsidR="0097639E" w:rsidRPr="00963110" w:rsidRDefault="0097639E" w:rsidP="0097639E">
      <w:pPr>
        <w:autoSpaceDE w:val="0"/>
        <w:autoSpaceDN w:val="0"/>
        <w:adjustRightInd w:val="0"/>
        <w:spacing w:before="240" w:line="360" w:lineRule="auto"/>
        <w:ind w:left="851" w:right="851"/>
        <w:jc w:val="both"/>
        <w:rPr>
          <w:rFonts w:ascii="Palatino Linotype" w:hAnsi="Palatino Linotype" w:cs="Arial"/>
          <w:i/>
          <w:color w:val="000000"/>
        </w:rPr>
      </w:pPr>
      <w:r>
        <w:rPr>
          <w:rFonts w:ascii="Palatino Linotype" w:hAnsi="Palatino Linotype" w:cs="Arial"/>
          <w:b/>
          <w:bCs/>
          <w:i/>
          <w:color w:val="000000"/>
        </w:rPr>
        <w:t>“</w:t>
      </w:r>
      <w:r w:rsidRPr="00963110">
        <w:rPr>
          <w:rFonts w:ascii="Palatino Linotype" w:hAnsi="Palatino Linotype" w:cs="Arial"/>
          <w:b/>
          <w:bCs/>
          <w:i/>
          <w:color w:val="000000"/>
        </w:rPr>
        <w:t xml:space="preserve">Artículo 12. </w:t>
      </w:r>
      <w:r w:rsidRPr="00963110">
        <w:rPr>
          <w:rFonts w:ascii="Palatino Linotype" w:hAnsi="Palatino Linotype" w:cs="Arial"/>
          <w:i/>
          <w:color w:val="000000"/>
        </w:rPr>
        <w:t xml:space="preserve">Quienes generen, recopilen, administren, manejen, procesen, archiven o conserven información pública serán responsables de la misma en los términos de las disposiciones jurídicas aplicables. </w:t>
      </w:r>
    </w:p>
    <w:p w:rsidR="0097639E" w:rsidRDefault="0097639E" w:rsidP="0097639E">
      <w:pPr>
        <w:spacing w:before="240" w:line="360" w:lineRule="auto"/>
        <w:ind w:left="851" w:right="850"/>
        <w:jc w:val="both"/>
        <w:rPr>
          <w:rFonts w:ascii="Palatino Linotype" w:hAnsi="Palatino Linotype" w:cs="Arial"/>
          <w:sz w:val="24"/>
        </w:rPr>
      </w:pPr>
      <w:r w:rsidRPr="000708DA">
        <w:rPr>
          <w:rFonts w:ascii="Palatino Linotype" w:hAnsi="Palatino Linotype" w:cs="Arial"/>
          <w:i/>
          <w:color w:val="000000"/>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color w:val="000000"/>
        </w:rPr>
        <w:t>”</w:t>
      </w:r>
    </w:p>
    <w:p w:rsidR="0097639E" w:rsidRDefault="0097639E" w:rsidP="0097639E">
      <w:pPr>
        <w:spacing w:before="240" w:line="360" w:lineRule="auto"/>
        <w:jc w:val="both"/>
        <w:rPr>
          <w:rFonts w:ascii="Palatino Linotype" w:hAnsi="Palatino Linotype" w:cs="Arial"/>
          <w:sz w:val="24"/>
        </w:rPr>
      </w:pPr>
    </w:p>
    <w:p w:rsidR="0097639E" w:rsidRDefault="0097639E" w:rsidP="0097639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otra parte, tienen aplicación los artículos 49 fracción II y 167 de la Ley de Transparencia y Acceso a la Información Pública del Estado de México y Municipios, los cuales disponen lo siguiente: </w:t>
      </w:r>
    </w:p>
    <w:p w:rsidR="0097639E" w:rsidRPr="004858B2" w:rsidRDefault="0097639E" w:rsidP="0097639E">
      <w:pPr>
        <w:autoSpaceDE w:val="0"/>
        <w:autoSpaceDN w:val="0"/>
        <w:adjustRightInd w:val="0"/>
        <w:ind w:left="851" w:right="899"/>
        <w:jc w:val="both"/>
        <w:rPr>
          <w:rFonts w:ascii="Palatino Linotype" w:hAnsi="Palatino Linotype" w:cs="Arial"/>
          <w:i/>
        </w:rPr>
      </w:pPr>
      <w:r w:rsidRPr="004858B2">
        <w:rPr>
          <w:rFonts w:ascii="Palatino Linotype" w:hAnsi="Palatino Linotype" w:cs="Arial"/>
          <w:b/>
          <w:bCs/>
          <w:i/>
        </w:rPr>
        <w:t xml:space="preserve">“Artículo 49. </w:t>
      </w:r>
      <w:r w:rsidRPr="004858B2">
        <w:rPr>
          <w:rFonts w:ascii="Palatino Linotype" w:hAnsi="Palatino Linotype" w:cs="Arial"/>
          <w:i/>
        </w:rPr>
        <w:t>Los Comités de Transparencia tendrán las siguientes atribuciones:</w:t>
      </w:r>
    </w:p>
    <w:p w:rsidR="0097639E" w:rsidRPr="004858B2" w:rsidRDefault="0097639E" w:rsidP="0097639E">
      <w:pPr>
        <w:autoSpaceDE w:val="0"/>
        <w:autoSpaceDN w:val="0"/>
        <w:adjustRightInd w:val="0"/>
        <w:ind w:left="851" w:right="899"/>
        <w:jc w:val="both"/>
        <w:rPr>
          <w:rFonts w:ascii="Palatino Linotype" w:hAnsi="Palatino Linotype" w:cs="Arial"/>
          <w:i/>
        </w:rPr>
      </w:pPr>
      <w:r w:rsidRPr="004858B2">
        <w:rPr>
          <w:rFonts w:ascii="Palatino Linotype" w:hAnsi="Palatino Linotype" w:cs="Arial"/>
          <w:b/>
          <w:bCs/>
          <w:i/>
        </w:rPr>
        <w:t xml:space="preserve">I. </w:t>
      </w:r>
      <w:r w:rsidRPr="004858B2">
        <w:rPr>
          <w:rFonts w:ascii="Palatino Linotype" w:hAnsi="Palatino Linotype" w:cs="Arial"/>
          <w:i/>
        </w:rPr>
        <w:t>Instituir, coordinar y supervisar en términos de las disposiciones aplicables, las acciones, medidas y procedimientos que coadyuven a asegurar una mayor eficacia en la gestión y atención de las solicitudes en materia de acceso a la información;</w:t>
      </w:r>
    </w:p>
    <w:p w:rsidR="0097639E" w:rsidRPr="004858B2" w:rsidRDefault="0097639E" w:rsidP="0097639E">
      <w:pPr>
        <w:autoSpaceDE w:val="0"/>
        <w:autoSpaceDN w:val="0"/>
        <w:adjustRightInd w:val="0"/>
        <w:ind w:left="851" w:right="899"/>
        <w:jc w:val="both"/>
        <w:rPr>
          <w:rFonts w:ascii="Palatino Linotype" w:hAnsi="Palatino Linotype" w:cs="Arial"/>
          <w:i/>
        </w:rPr>
      </w:pPr>
      <w:r w:rsidRPr="004858B2">
        <w:rPr>
          <w:rFonts w:ascii="Palatino Linotype" w:hAnsi="Palatino Linotype" w:cs="Arial"/>
          <w:b/>
          <w:bCs/>
          <w:i/>
        </w:rPr>
        <w:t xml:space="preserve">II. </w:t>
      </w:r>
      <w:r w:rsidRPr="004858B2">
        <w:rPr>
          <w:rFonts w:ascii="Palatino Linotype" w:hAnsi="Palatino Linotype" w:cs="Arial"/>
          <w:i/>
        </w:rPr>
        <w:t xml:space="preserve">Confirmar, modificar o revocar las determinaciones que en materia de ampliación del plazo de respuesta, clasificación de la información y declaración de inexistencia </w:t>
      </w:r>
      <w:r w:rsidRPr="004858B2">
        <w:rPr>
          <w:rFonts w:ascii="Palatino Linotype" w:hAnsi="Palatino Linotype" w:cs="Arial"/>
          <w:b/>
          <w:i/>
        </w:rPr>
        <w:t>o de incompetencia realicen los titulares de las áreas de los sujetos obligados</w:t>
      </w:r>
      <w:r w:rsidRPr="004858B2">
        <w:rPr>
          <w:rFonts w:ascii="Palatino Linotype" w:hAnsi="Palatino Linotype" w:cs="Arial"/>
          <w:i/>
        </w:rPr>
        <w:t>;</w:t>
      </w:r>
    </w:p>
    <w:p w:rsidR="0097639E" w:rsidRDefault="0097639E" w:rsidP="0097639E">
      <w:pPr>
        <w:autoSpaceDE w:val="0"/>
        <w:autoSpaceDN w:val="0"/>
        <w:adjustRightInd w:val="0"/>
        <w:ind w:left="851" w:right="899"/>
        <w:jc w:val="both"/>
        <w:rPr>
          <w:rFonts w:ascii="Palatino Linotype" w:hAnsi="Palatino Linotype"/>
          <w:b/>
          <w:i/>
          <w:u w:val="single"/>
        </w:rPr>
      </w:pPr>
      <w:r w:rsidRPr="00C71272">
        <w:rPr>
          <w:rFonts w:ascii="Palatino Linotype" w:hAnsi="Palatino Linotype"/>
          <w:b/>
          <w:bCs/>
          <w:i/>
        </w:rPr>
        <w:t xml:space="preserve">Artículo 167. </w:t>
      </w:r>
      <w:r w:rsidRPr="00C71272">
        <w:rPr>
          <w:rFonts w:ascii="Palatino Linotype" w:hAnsi="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A965C0">
        <w:rPr>
          <w:rFonts w:ascii="Palatino Linotype" w:hAnsi="Palatino Linotype"/>
          <w:b/>
          <w:i/>
          <w:u w:val="single"/>
        </w:rPr>
        <w:t>en su caso orientar al solicitante, el o los sujetos obligados competentes.</w:t>
      </w:r>
    </w:p>
    <w:p w:rsidR="0097639E" w:rsidRPr="00A965C0" w:rsidRDefault="0097639E" w:rsidP="0097639E">
      <w:pPr>
        <w:autoSpaceDE w:val="0"/>
        <w:autoSpaceDN w:val="0"/>
        <w:adjustRightInd w:val="0"/>
        <w:ind w:left="851" w:right="899"/>
        <w:jc w:val="both"/>
        <w:rPr>
          <w:rFonts w:ascii="Palatino Linotype" w:hAnsi="Palatino Linotype" w:cs="Arial"/>
          <w:b/>
          <w:i/>
          <w:u w:val="single"/>
        </w:rPr>
      </w:pPr>
    </w:p>
    <w:p w:rsidR="0097639E" w:rsidRDefault="0097639E" w:rsidP="0097639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Es de lo expuesto que el Comité de Transparencia debe confirmar la incompetencia que en el presente asunto encuadra en el supuesto de la Ley. Por otra parte, ante la </w:t>
      </w:r>
      <w:r>
        <w:rPr>
          <w:rFonts w:ascii="Palatino Linotype" w:hAnsi="Palatino Linotype"/>
          <w:sz w:val="24"/>
          <w:szCs w:val="24"/>
        </w:rPr>
        <w:lastRenderedPageBreak/>
        <w:t xml:space="preserve">incompetencia, </w:t>
      </w:r>
      <w:r w:rsidRPr="00DD1573">
        <w:rPr>
          <w:rFonts w:ascii="Palatino Linotype" w:hAnsi="Palatino Linotype"/>
          <w:sz w:val="24"/>
          <w:szCs w:val="24"/>
        </w:rPr>
        <w:t>el sujeto obligado</w:t>
      </w:r>
      <w:r>
        <w:rPr>
          <w:rFonts w:ascii="Palatino Linotype" w:hAnsi="Palatino Linotype"/>
          <w:b/>
          <w:sz w:val="24"/>
          <w:szCs w:val="24"/>
        </w:rPr>
        <w:t xml:space="preserve"> </w:t>
      </w:r>
      <w:r>
        <w:rPr>
          <w:rFonts w:ascii="Palatino Linotype" w:hAnsi="Palatino Linotype"/>
          <w:sz w:val="24"/>
          <w:szCs w:val="24"/>
        </w:rPr>
        <w:t xml:space="preserve">tiene la potestad de orientar al particular sobre la dependencia pública ante quien deba presentar su solicitud de información. </w:t>
      </w:r>
    </w:p>
    <w:p w:rsidR="00976510" w:rsidRDefault="0097639E" w:rsidP="0097639E">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anterior es que resulta dable ordenar al sujeto obligado haga entrega del acuerdo de incompetencia</w:t>
      </w:r>
      <w:r w:rsidR="00976510">
        <w:rPr>
          <w:rFonts w:ascii="Palatino Linotype" w:hAnsi="Palatino Linotype"/>
          <w:sz w:val="24"/>
          <w:szCs w:val="24"/>
        </w:rPr>
        <w:t xml:space="preserve"> debidamente fundado y motivado</w:t>
      </w:r>
      <w:r>
        <w:rPr>
          <w:rFonts w:ascii="Palatino Linotype" w:hAnsi="Palatino Linotype"/>
          <w:sz w:val="24"/>
          <w:szCs w:val="24"/>
        </w:rPr>
        <w:t>, toda vez que dicha declaración no se ha presentado dentro de los primeros tres días hábiles a los que se refiere la Ley de la materia.</w:t>
      </w:r>
    </w:p>
    <w:p w:rsidR="00976510" w:rsidRPr="007D7AE6" w:rsidRDefault="00976510" w:rsidP="00976510">
      <w:pPr>
        <w:tabs>
          <w:tab w:val="left" w:pos="709"/>
        </w:tabs>
        <w:spacing w:line="360" w:lineRule="auto"/>
        <w:ind w:right="51"/>
        <w:jc w:val="both"/>
        <w:rPr>
          <w:rFonts w:ascii="Palatino Linotype" w:eastAsia="Times New Roman" w:hAnsi="Palatino Linotype" w:cs="Times New Roman"/>
          <w:color w:val="000000"/>
          <w:sz w:val="24"/>
          <w:szCs w:val="24"/>
          <w:lang w:eastAsia="es-MX"/>
        </w:rPr>
      </w:pPr>
      <w:r w:rsidRPr="00B72CEE">
        <w:rPr>
          <w:rFonts w:ascii="Palatino Linotype" w:hAnsi="Palatino Linotype" w:cs="Arial"/>
          <w:color w:val="000000" w:themeColor="text1"/>
          <w:sz w:val="24"/>
          <w:szCs w:val="24"/>
        </w:rPr>
        <w:t>Requisitos que deben estar acompañados de la debida fundamentación y motivación, cobrado aplicación lo que señala la jurisprudencia de la novena</w:t>
      </w:r>
      <w:r w:rsidRPr="007D7AE6">
        <w:rPr>
          <w:rFonts w:ascii="Palatino Linotype" w:eastAsia="Times New Roman" w:hAnsi="Palatino Linotype" w:cs="Times New Roman"/>
          <w:color w:val="000000"/>
          <w:sz w:val="24"/>
          <w:szCs w:val="24"/>
          <w:lang w:eastAsia="es-MX"/>
        </w:rPr>
        <w:t xml:space="preserve"> época visible en el Semanario Judicial de la Federación y su Gaceta. Instancia: Tribunales Colegiados de Circuito. Tesis I.4o.A.J/43 (9a.) bajo el número de registro 175082 cuyo rubro y texto esgrime;</w:t>
      </w:r>
    </w:p>
    <w:p w:rsidR="00976510" w:rsidRPr="004140C2" w:rsidRDefault="00976510" w:rsidP="00976510">
      <w:pPr>
        <w:spacing w:after="0" w:line="360" w:lineRule="auto"/>
        <w:ind w:left="851" w:right="850"/>
        <w:jc w:val="both"/>
        <w:rPr>
          <w:rFonts w:ascii="Palatino Linotype" w:eastAsia="Times New Roman" w:hAnsi="Palatino Linotype" w:cs="Times New Roman"/>
          <w:b/>
          <w:bCs/>
          <w:i/>
          <w:color w:val="000000"/>
          <w:lang w:eastAsia="es-MX"/>
        </w:rPr>
      </w:pPr>
      <w:r w:rsidRPr="004140C2">
        <w:rPr>
          <w:rFonts w:ascii="Palatino Linotype" w:eastAsia="Times New Roman" w:hAnsi="Palatino Linotype" w:cs="Times New Roman"/>
          <w:b/>
          <w:bCs/>
          <w:i/>
          <w:color w:val="000000"/>
          <w:lang w:eastAsia="es-MX"/>
        </w:rPr>
        <w:t>FUNDAMENTACIÓN Y MOTIVACIÓN. EL ASPECTO FORMAL DE LA GARANTÍA Y SU FINALIDAD SE TRADUCEN EN EXPLICAR, JUSTIFICAR, POSIBILITAR LA DEFENSA Y COMUNICAR LA DECISIÓN.</w:t>
      </w:r>
    </w:p>
    <w:p w:rsidR="00976510" w:rsidRDefault="00976510" w:rsidP="00976510">
      <w:pPr>
        <w:spacing w:after="0" w:line="360" w:lineRule="auto"/>
        <w:ind w:left="851" w:right="850"/>
        <w:jc w:val="both"/>
        <w:rPr>
          <w:rFonts w:ascii="Palatino Linotype" w:eastAsia="Times New Roman" w:hAnsi="Palatino Linotype" w:cs="Times New Roman"/>
          <w:i/>
          <w:color w:val="000000"/>
          <w:lang w:eastAsia="es-MX"/>
        </w:rPr>
      </w:pPr>
      <w:r w:rsidRPr="004140C2">
        <w:rPr>
          <w:rFonts w:ascii="Palatino Linotype" w:eastAsia="Times New Roman" w:hAnsi="Palatino Linotype" w:cs="Times New Roman"/>
          <w:i/>
          <w:color w:val="000000"/>
          <w:lang w:eastAsia="es-MX"/>
        </w:rPr>
        <w:br/>
        <w:t>El contenido formal de la garantía de legalidad prevista en el artículo </w:t>
      </w:r>
      <w:hyperlink r:id="rId11" w:history="1">
        <w:r w:rsidRPr="004140C2">
          <w:rPr>
            <w:rFonts w:ascii="Palatino Linotype" w:eastAsia="Times New Roman" w:hAnsi="Palatino Linotype" w:cs="Times New Roman"/>
            <w:i/>
            <w:lang w:eastAsia="es-MX"/>
          </w:rPr>
          <w:t>16 constitucional</w:t>
        </w:r>
      </w:hyperlink>
      <w:r w:rsidRPr="004140C2">
        <w:rPr>
          <w:rFonts w:ascii="Palatino Linotype" w:eastAsia="Times New Roman" w:hAnsi="Palatino Linotype" w:cs="Times New Roman"/>
          <w:i/>
          <w:color w:val="000000"/>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w:t>
      </w:r>
      <w:r w:rsidRPr="004140C2">
        <w:rPr>
          <w:rFonts w:ascii="Palatino Linotype" w:eastAsia="Times New Roman" w:hAnsi="Palatino Linotype" w:cs="Times New Roman"/>
          <w:i/>
          <w:color w:val="000000"/>
          <w:lang w:eastAsia="es-MX"/>
        </w:rPr>
        <w:lastRenderedPageBreak/>
        <w:t>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976510" w:rsidRPr="00976510" w:rsidRDefault="00976510" w:rsidP="00976510">
      <w:pPr>
        <w:spacing w:after="0" w:line="360" w:lineRule="auto"/>
        <w:ind w:left="851" w:right="850"/>
        <w:jc w:val="both"/>
        <w:rPr>
          <w:rFonts w:ascii="Palatino Linotype" w:eastAsia="Times New Roman" w:hAnsi="Palatino Linotype" w:cs="Times New Roman"/>
          <w:i/>
          <w:color w:val="000000"/>
          <w:lang w:eastAsia="es-MX"/>
        </w:rPr>
      </w:pPr>
    </w:p>
    <w:p w:rsidR="00407864" w:rsidRDefault="00976510" w:rsidP="00976510">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igual forma es de resaltar que la información a la que se refiere el solicitante podría constar en un trámite, sin embargo </w:t>
      </w:r>
      <w:r w:rsidR="0097639E">
        <w:rPr>
          <w:rFonts w:ascii="Palatino Linotype" w:hAnsi="Palatino Linotype"/>
          <w:sz w:val="24"/>
          <w:szCs w:val="24"/>
        </w:rPr>
        <w:t xml:space="preserve">se dejan a salvo los derechos del </w:t>
      </w:r>
      <w:r w:rsidR="0097639E" w:rsidRPr="00DD1573">
        <w:rPr>
          <w:rFonts w:ascii="Palatino Linotype" w:hAnsi="Palatino Linotype"/>
          <w:sz w:val="24"/>
          <w:szCs w:val="24"/>
        </w:rPr>
        <w:t>recurrente</w:t>
      </w:r>
      <w:r w:rsidR="0097639E" w:rsidRPr="00A965C0">
        <w:rPr>
          <w:rFonts w:ascii="Palatino Linotype" w:hAnsi="Palatino Linotype"/>
          <w:b/>
          <w:sz w:val="24"/>
          <w:szCs w:val="24"/>
        </w:rPr>
        <w:t xml:space="preserve"> </w:t>
      </w:r>
      <w:r w:rsidR="0097639E">
        <w:rPr>
          <w:rFonts w:ascii="Palatino Linotype" w:hAnsi="Palatino Linotype"/>
          <w:sz w:val="24"/>
          <w:szCs w:val="24"/>
        </w:rPr>
        <w:t xml:space="preserve">para que formule una nueva solicitud de información ante </w:t>
      </w:r>
      <w:r w:rsidR="0097639E" w:rsidRPr="00DD1573">
        <w:rPr>
          <w:rFonts w:ascii="Palatino Linotype" w:hAnsi="Palatino Linotype"/>
          <w:sz w:val="24"/>
          <w:szCs w:val="24"/>
        </w:rPr>
        <w:t>el sujeto obligado</w:t>
      </w:r>
      <w:r w:rsidR="0097639E">
        <w:rPr>
          <w:rFonts w:ascii="Palatino Linotype" w:hAnsi="Palatino Linotype"/>
          <w:b/>
          <w:sz w:val="24"/>
          <w:szCs w:val="24"/>
        </w:rPr>
        <w:t xml:space="preserve"> </w:t>
      </w:r>
      <w:r w:rsidR="0097639E">
        <w:rPr>
          <w:rFonts w:ascii="Palatino Linotype" w:hAnsi="Palatino Linotype"/>
          <w:sz w:val="24"/>
          <w:szCs w:val="24"/>
        </w:rPr>
        <w:t xml:space="preserve">competente. </w:t>
      </w:r>
    </w:p>
    <w:p w:rsidR="00976510" w:rsidRDefault="00976510" w:rsidP="00976510">
      <w:pPr>
        <w:tabs>
          <w:tab w:val="left" w:pos="709"/>
        </w:tabs>
        <w:spacing w:before="240" w:line="360" w:lineRule="auto"/>
        <w:ind w:right="51"/>
        <w:jc w:val="both"/>
        <w:rPr>
          <w:rFonts w:ascii="Palatino Linotype" w:hAnsi="Palatino Linotype"/>
          <w:sz w:val="24"/>
          <w:szCs w:val="24"/>
        </w:rPr>
      </w:pPr>
    </w:p>
    <w:p w:rsidR="00172F03" w:rsidRDefault="00172F03" w:rsidP="00172F0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C49D6" w:rsidRDefault="008C49D6" w:rsidP="0045369F">
      <w:pPr>
        <w:autoSpaceDE w:val="0"/>
        <w:autoSpaceDN w:val="0"/>
        <w:adjustRightInd w:val="0"/>
        <w:spacing w:before="240" w:line="360" w:lineRule="auto"/>
        <w:jc w:val="both"/>
        <w:rPr>
          <w:rFonts w:ascii="Palatino Linotype" w:hAnsi="Palatino Linotype" w:cs="Arial"/>
          <w:sz w:val="24"/>
        </w:rPr>
      </w:pP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976510">
        <w:rPr>
          <w:rFonts w:ascii="Palatino Linotype" w:hAnsi="Palatino Linotype" w:cs="Arial"/>
          <w:b/>
          <w:sz w:val="24"/>
          <w:szCs w:val="24"/>
          <w:lang w:val="es-ES_tradnl"/>
        </w:rPr>
        <w:t>MODIFICA</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 xml:space="preserve">la respuesta entregada por </w:t>
      </w:r>
      <w:r w:rsidR="00976510">
        <w:rPr>
          <w:rFonts w:ascii="Palatino Linotype" w:eastAsia="Arial Unicode MS" w:hAnsi="Palatino Linotype" w:cs="Arial"/>
          <w:b/>
          <w:sz w:val="24"/>
          <w:szCs w:val="24"/>
        </w:rPr>
        <w:t>E</w:t>
      </w:r>
      <w:r w:rsidR="00976510" w:rsidRPr="00921CA9">
        <w:rPr>
          <w:rFonts w:ascii="Palatino Linotype" w:eastAsia="Arial Unicode MS" w:hAnsi="Palatino Linotype" w:cs="Arial"/>
          <w:b/>
          <w:sz w:val="24"/>
          <w:szCs w:val="24"/>
        </w:rPr>
        <w:t xml:space="preserve">l Sujeto Obligado </w:t>
      </w:r>
      <w:r w:rsidR="00976510" w:rsidRPr="00921CA9">
        <w:rPr>
          <w:rFonts w:ascii="Palatino Linotype" w:eastAsia="Arial Unicode MS" w:hAnsi="Palatino Linotype" w:cs="Arial"/>
          <w:sz w:val="24"/>
          <w:szCs w:val="24"/>
        </w:rPr>
        <w:t>a la solicitud de información número</w:t>
      </w:r>
      <w:r w:rsidR="00976510">
        <w:rPr>
          <w:rFonts w:ascii="Palatino Linotype" w:eastAsia="Arial Unicode MS" w:hAnsi="Palatino Linotype" w:cs="Arial"/>
          <w:sz w:val="24"/>
          <w:szCs w:val="24"/>
        </w:rPr>
        <w:t xml:space="preserve"> </w:t>
      </w:r>
      <w:r w:rsidR="00976510" w:rsidRPr="005A4073">
        <w:rPr>
          <w:rFonts w:ascii="Palatino Linotype" w:hAnsi="Palatino Linotype" w:cs="Arial"/>
          <w:b/>
          <w:sz w:val="24"/>
        </w:rPr>
        <w:t>00185/CUAUTIZC/IP/2018</w:t>
      </w:r>
      <w:r w:rsidR="00976510" w:rsidRPr="00921CA9">
        <w:rPr>
          <w:rFonts w:ascii="Palatino Linotype" w:eastAsia="Arial Unicode MS" w:hAnsi="Palatino Linotype" w:cs="Arial"/>
          <w:sz w:val="24"/>
          <w:szCs w:val="24"/>
        </w:rPr>
        <w:t xml:space="preserve">, por resultar </w:t>
      </w:r>
      <w:r w:rsidR="00976510">
        <w:rPr>
          <w:rFonts w:ascii="Palatino Linotype" w:eastAsia="Arial Unicode MS" w:hAnsi="Palatino Linotype" w:cs="Arial"/>
          <w:sz w:val="24"/>
          <w:szCs w:val="24"/>
        </w:rPr>
        <w:t xml:space="preserve">parcialmente </w:t>
      </w:r>
      <w:r w:rsidR="00976510" w:rsidRPr="00921CA9">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inconformidad que arguye </w:t>
      </w:r>
      <w:r w:rsidR="00976510">
        <w:rPr>
          <w:rFonts w:ascii="Palatino Linotype" w:eastAsia="Arial Unicode MS" w:hAnsi="Palatino Linotype" w:cs="Arial"/>
          <w:b/>
          <w:sz w:val="24"/>
          <w:szCs w:val="24"/>
        </w:rPr>
        <w:t>el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A65386" w:rsidRPr="00A65386" w:rsidRDefault="006A2B44" w:rsidP="00A65386">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lastRenderedPageBreak/>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65386">
        <w:rPr>
          <w:rFonts w:ascii="Palatino Linotype" w:hAnsi="Palatino Linotype" w:cs="Arial"/>
          <w:sz w:val="24"/>
          <w:lang w:eastAsia="es-MX"/>
        </w:rPr>
        <w:t>Se ordena al sujeto obligado, haga entrega al recurrente a través del SAIMEX</w:t>
      </w:r>
      <w:r w:rsidR="00976510">
        <w:rPr>
          <w:rFonts w:ascii="Palatino Linotype" w:hAnsi="Palatino Linotype" w:cs="Arial"/>
          <w:sz w:val="24"/>
          <w:lang w:eastAsia="es-MX"/>
        </w:rPr>
        <w:t xml:space="preserve">, en términos del considerando </w:t>
      </w:r>
      <w:r w:rsidR="00976510" w:rsidRPr="00976510">
        <w:rPr>
          <w:rFonts w:ascii="Palatino Linotype" w:hAnsi="Palatino Linotype" w:cs="Arial"/>
          <w:b/>
          <w:sz w:val="24"/>
          <w:lang w:eastAsia="es-MX"/>
        </w:rPr>
        <w:t>cuarto</w:t>
      </w:r>
      <w:r w:rsidR="00976510">
        <w:rPr>
          <w:rFonts w:ascii="Palatino Linotype" w:hAnsi="Palatino Linotype" w:cs="Arial"/>
          <w:sz w:val="24"/>
          <w:lang w:eastAsia="es-MX"/>
        </w:rPr>
        <w:t xml:space="preserve"> de la presente resolución,</w:t>
      </w:r>
      <w:r w:rsidR="00A65386">
        <w:rPr>
          <w:rFonts w:ascii="Palatino Linotype" w:hAnsi="Palatino Linotype" w:cs="Arial"/>
          <w:sz w:val="24"/>
          <w:lang w:eastAsia="es-MX"/>
        </w:rPr>
        <w:t xml:space="preserve"> de lo siguiente:</w:t>
      </w:r>
    </w:p>
    <w:p w:rsidR="00A65386" w:rsidRPr="0012305B" w:rsidRDefault="00A65386" w:rsidP="00A65386">
      <w:pPr>
        <w:spacing w:before="240" w:line="360" w:lineRule="auto"/>
        <w:ind w:left="851" w:right="851"/>
        <w:jc w:val="both"/>
        <w:rPr>
          <w:rFonts w:ascii="Palatino Linotype" w:hAnsi="Palatino Linotype" w:cs="Arial"/>
          <w:i/>
          <w:sz w:val="24"/>
          <w:szCs w:val="24"/>
        </w:rPr>
      </w:pPr>
      <w:r>
        <w:rPr>
          <w:rFonts w:ascii="Palatino Linotype" w:hAnsi="Palatino Linotype" w:cs="Arial"/>
          <w:i/>
          <w:sz w:val="24"/>
          <w:szCs w:val="24"/>
        </w:rPr>
        <w:t xml:space="preserve">“El Acuerdo que emita el Comité de Transparencia en el que se confirme la declaración de incompetencia del </w:t>
      </w:r>
      <w:r w:rsidRPr="00C545B7">
        <w:rPr>
          <w:rFonts w:ascii="Palatino Linotype" w:hAnsi="Palatino Linotype" w:cs="Arial"/>
          <w:i/>
          <w:sz w:val="24"/>
          <w:szCs w:val="24"/>
        </w:rPr>
        <w:t>SUJETO OBLIGADO</w:t>
      </w:r>
      <w:r>
        <w:rPr>
          <w:rFonts w:ascii="Palatino Linotype" w:hAnsi="Palatino Linotype" w:cs="Arial"/>
          <w:b/>
          <w:i/>
          <w:sz w:val="24"/>
          <w:szCs w:val="24"/>
        </w:rPr>
        <w:t xml:space="preserve"> </w:t>
      </w:r>
      <w:r>
        <w:rPr>
          <w:rFonts w:ascii="Palatino Linotype" w:hAnsi="Palatino Linotype" w:cs="Arial"/>
          <w:i/>
          <w:sz w:val="24"/>
          <w:szCs w:val="24"/>
        </w:rPr>
        <w:t xml:space="preserve">respecto </w:t>
      </w:r>
      <w:r w:rsidR="00976510">
        <w:rPr>
          <w:rFonts w:ascii="Palatino Linotype" w:hAnsi="Palatino Linotype" w:cs="Arial"/>
          <w:i/>
          <w:sz w:val="24"/>
          <w:szCs w:val="24"/>
        </w:rPr>
        <w:t xml:space="preserve">a la información requerida en la solicitud de información número </w:t>
      </w:r>
      <w:r w:rsidR="00976510" w:rsidRPr="00976510">
        <w:rPr>
          <w:rFonts w:ascii="Palatino Linotype" w:hAnsi="Palatino Linotype" w:cs="Arial"/>
          <w:b/>
          <w:i/>
          <w:sz w:val="24"/>
          <w:lang w:eastAsia="es-MX"/>
        </w:rPr>
        <w:t>00185/CUAUTIZC/IP/2018</w:t>
      </w:r>
      <w:r w:rsidRPr="00A03484">
        <w:rPr>
          <w:rFonts w:ascii="Palatino Linotype" w:hAnsi="Palatino Linotype" w:cs="Arial"/>
          <w:i/>
          <w:sz w:val="24"/>
          <w:szCs w:val="24"/>
        </w:rPr>
        <w:t>”</w:t>
      </w:r>
    </w:p>
    <w:p w:rsidR="002A3C76" w:rsidRPr="002A3C76" w:rsidRDefault="002A3C76" w:rsidP="00A65386">
      <w:pPr>
        <w:pStyle w:val="Prrafodelista"/>
        <w:spacing w:line="360" w:lineRule="auto"/>
        <w:ind w:left="851"/>
        <w:jc w:val="both"/>
        <w:rPr>
          <w:rFonts w:ascii="Palatino Linotype" w:hAnsi="Palatino Linotype"/>
          <w:i/>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280CE6" w:rsidRPr="009902AF" w:rsidRDefault="006A2B44" w:rsidP="00A65386">
      <w:pPr>
        <w:autoSpaceDE w:val="0"/>
        <w:autoSpaceDN w:val="0"/>
        <w:adjustRightInd w:val="0"/>
        <w:spacing w:before="240" w:line="360" w:lineRule="auto"/>
        <w:jc w:val="both"/>
        <w:rPr>
          <w:rFonts w:ascii="Palatino Linotype" w:hAnsi="Palatino Linotype" w:cs="Arial"/>
          <w:b/>
          <w:sz w:val="18"/>
          <w:szCs w:val="18"/>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w:t>
      </w:r>
      <w:r w:rsidR="00730DF5">
        <w:rPr>
          <w:rFonts w:ascii="Palatino Linotype" w:hAnsi="Palatino Linotype" w:cs="Arial"/>
          <w:sz w:val="24"/>
          <w:szCs w:val="24"/>
        </w:rPr>
        <w:t xml:space="preserve"> asimismo s</w:t>
      </w:r>
      <w:r w:rsidR="00426B79">
        <w:rPr>
          <w:rFonts w:ascii="Palatino Linotype" w:hAnsi="Palatino Linotype" w:cs="Arial"/>
          <w:sz w:val="24"/>
          <w:szCs w:val="24"/>
        </w:rPr>
        <w:t>e hace del conocimiento al</w:t>
      </w:r>
      <w:r w:rsidR="00426B79" w:rsidRPr="00426B79">
        <w:rPr>
          <w:rFonts w:ascii="Palatino Linotype" w:hAnsi="Palatino Linotype" w:cs="Arial"/>
          <w:sz w:val="24"/>
          <w:szCs w:val="24"/>
        </w:rPr>
        <w:t xml:space="preserve"> recurrente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36D4A" w:rsidRDefault="00E3099C" w:rsidP="005C5DC2">
      <w:pPr>
        <w:spacing w:before="240" w:line="240" w:lineRule="auto"/>
        <w:jc w:val="both"/>
        <w:rPr>
          <w:rFonts w:ascii="Palatino Linotype" w:hAnsi="Palatino Linotype"/>
          <w:b/>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005C5DC2" w:rsidRPr="005C5DC2">
        <w:rPr>
          <w:rFonts w:ascii="Palatino Linotype" w:hAnsi="Palatino Linotype" w:cs="Arial"/>
        </w:rPr>
        <w:t xml:space="preserve">ZULEMA MARTÍNEZ SÁNCHEZ, EVA ABAID YAPUR, JOSÉ </w:t>
      </w:r>
      <w:r w:rsidR="005C5DC2" w:rsidRPr="005C5DC2">
        <w:rPr>
          <w:rFonts w:ascii="Palatino Linotype" w:hAnsi="Palatino Linotype" w:cs="Arial"/>
        </w:rPr>
        <w:lastRenderedPageBreak/>
        <w:t>GUADALUPE LUNA HERNÁNDEZ</w:t>
      </w:r>
      <w:r w:rsidR="005C5DC2">
        <w:rPr>
          <w:rFonts w:ascii="Palatino Linotype" w:hAnsi="Palatino Linotype" w:cs="Arial"/>
        </w:rPr>
        <w:t xml:space="preserve"> EMITIENDO OPINIÓN</w:t>
      </w:r>
      <w:r w:rsidR="005C5DC2" w:rsidRPr="005C5DC2">
        <w:rPr>
          <w:rFonts w:ascii="Palatino Linotype" w:hAnsi="Palatino Linotype" w:cs="Arial"/>
        </w:rPr>
        <w:t xml:space="preserve"> PARTICULAR</w:t>
      </w:r>
      <w:r w:rsidR="00C54777">
        <w:rPr>
          <w:rFonts w:ascii="Palatino Linotype" w:hAnsi="Palatino Linotype" w:cs="Arial"/>
        </w:rPr>
        <w:t>, JAVIER MARTÍNEZ CRUZ EMITIENDO OPINIÓN</w:t>
      </w:r>
      <w:r w:rsidR="005C5DC2" w:rsidRPr="005C5DC2">
        <w:rPr>
          <w:rFonts w:ascii="Palatino Linotype" w:hAnsi="Palatino Linotype" w:cs="Arial"/>
        </w:rPr>
        <w:t xml:space="preserve"> PARTICULAR Y LUIS GUSTAVO PARRA NORIEGA</w:t>
      </w:r>
      <w:r w:rsidR="005C5DC2">
        <w:rPr>
          <w:rFonts w:ascii="Palatino Linotype" w:hAnsi="Palatino Linotype" w:cs="Arial"/>
        </w:rPr>
        <w:t xml:space="preserve"> </w:t>
      </w:r>
      <w:r w:rsidR="005C5DC2" w:rsidRPr="005C5DC2">
        <w:rPr>
          <w:rFonts w:ascii="Palatino Linotype" w:hAnsi="Palatino Linotype" w:cs="Arial"/>
        </w:rPr>
        <w:t>EMITIENDO VOTO PARTICULAR, EN LA  TRIGÉSIMA QUINTA SESIÓN ORDINARIA CELEBRADA EL VEINTISÉIS DE SEPTIEMBRE DE DOS MIL DIECIOCHO, ANTE EL SECRETARIO TÉCNICO DEL PLENO, ALEXIS TAPIA RAMÍREZ.</w:t>
      </w:r>
    </w:p>
    <w:p w:rsidR="005C5DC2" w:rsidRDefault="005C5DC2" w:rsidP="00E3099C">
      <w:pPr>
        <w:spacing w:before="240"/>
        <w:jc w:val="both"/>
        <w:rPr>
          <w:rFonts w:ascii="Palatino Linotype" w:hAnsi="Palatino Linotype"/>
          <w:b/>
          <w:sz w:val="18"/>
        </w:rPr>
      </w:pPr>
    </w:p>
    <w:p w:rsidR="005C5DC2" w:rsidRDefault="005C5DC2" w:rsidP="00E3099C">
      <w:pPr>
        <w:spacing w:before="240"/>
        <w:jc w:val="both"/>
        <w:rPr>
          <w:rFonts w:ascii="Palatino Linotype" w:hAnsi="Palatino Linotype"/>
          <w:b/>
          <w:sz w:val="18"/>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52C0BE12" wp14:editId="47488F3B">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0BE12"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Zulema Martínez Sánchez</w:t>
                      </w:r>
                    </w:p>
                    <w:p w:rsidR="00E3099C" w:rsidRDefault="00E3099C" w:rsidP="00E3099C">
                      <w:pPr>
                        <w:jc w:val="center"/>
                        <w:rPr>
                          <w:rFonts w:ascii="Palatino Linotype" w:hAnsi="Palatino Linotype"/>
                        </w:rPr>
                      </w:pPr>
                      <w:r>
                        <w:rPr>
                          <w:rFonts w:ascii="Palatino Linotype" w:hAnsi="Palatino Linotype"/>
                        </w:rPr>
                        <w:t>Comisionada Presidenta</w:t>
                      </w:r>
                    </w:p>
                    <w:p w:rsidR="00E3099C" w:rsidRDefault="00E3099C" w:rsidP="00E3099C">
                      <w:pPr>
                        <w:jc w:val="center"/>
                        <w:rPr>
                          <w:rFonts w:ascii="Palatino Linotype" w:hAnsi="Palatino Linotype"/>
                          <w:b/>
                        </w:rPr>
                      </w:pPr>
                      <w:r>
                        <w:rPr>
                          <w:rFonts w:ascii="Palatino Linotype" w:hAnsi="Palatino Linotype"/>
                          <w:b/>
                        </w:rPr>
                        <w:t>(Rúbrica).</w:t>
                      </w:r>
                    </w:p>
                    <w:p w:rsidR="00E3099C" w:rsidRPr="00016AF3" w:rsidRDefault="00E3099C"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E3099C" w:rsidRPr="00EF2FC0" w:rsidRDefault="00E3099C" w:rsidP="00E3099C">
                      <w:pPr>
                        <w:jc w:val="center"/>
                        <w:rPr>
                          <w:rFonts w:ascii="Palatino Linotype" w:hAnsi="Palatino Linotype"/>
                        </w:rPr>
                      </w:pPr>
                      <w:r>
                        <w:rPr>
                          <w:rFonts w:ascii="Palatino Linotype" w:hAnsi="Palatino Linotype"/>
                          <w:b/>
                        </w:rPr>
                        <w:t>José Guadalupe Luna Hernández</w:t>
                      </w:r>
                    </w:p>
                    <w:p w:rsidR="00E3099C" w:rsidRDefault="00E3099C" w:rsidP="00E3099C">
                      <w:pPr>
                        <w:jc w:val="center"/>
                        <w:rPr>
                          <w:rFonts w:ascii="Palatino Linotype" w:hAnsi="Palatino Linotype"/>
                        </w:rPr>
                      </w:pPr>
                      <w:r w:rsidRPr="00EF2FC0">
                        <w:rPr>
                          <w:rFonts w:ascii="Palatino Linotype" w:hAnsi="Palatino Linotype"/>
                        </w:rPr>
                        <w:t>Comisionado</w:t>
                      </w:r>
                    </w:p>
                    <w:p w:rsidR="00E3099C" w:rsidRPr="009234AD" w:rsidRDefault="00E3099C"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E3099C" w:rsidRPr="00EF2FC0" w:rsidRDefault="00E3099C" w:rsidP="00E3099C">
                      <w:pPr>
                        <w:jc w:val="center"/>
                        <w:rPr>
                          <w:rFonts w:ascii="Palatino Linotype" w:hAnsi="Palatino Linotype"/>
                          <w:b/>
                        </w:rPr>
                      </w:pPr>
                      <w:r w:rsidRPr="00EF2FC0">
                        <w:rPr>
                          <w:rFonts w:ascii="Palatino Linotype" w:hAnsi="Palatino Linotype"/>
                          <w:b/>
                        </w:rPr>
                        <w:t>Eva Abaid Yapur</w:t>
                      </w:r>
                    </w:p>
                    <w:p w:rsidR="00E3099C" w:rsidRPr="00EF2FC0" w:rsidRDefault="00E3099C" w:rsidP="00E3099C">
                      <w:pPr>
                        <w:jc w:val="center"/>
                        <w:rPr>
                          <w:rFonts w:ascii="Palatino Linotype" w:hAnsi="Palatino Linotype"/>
                        </w:rPr>
                      </w:pPr>
                      <w:r w:rsidRPr="00EF2FC0">
                        <w:rPr>
                          <w:rFonts w:ascii="Palatino Linotype" w:hAnsi="Palatino Linotype"/>
                        </w:rPr>
                        <w:t>Comisionada</w:t>
                      </w:r>
                    </w:p>
                    <w:p w:rsidR="00E3099C" w:rsidRDefault="007A6C25" w:rsidP="00E3099C">
                      <w:pPr>
                        <w:jc w:val="center"/>
                        <w:rPr>
                          <w:rFonts w:ascii="Palatino Linotype" w:hAnsi="Palatino Linotype"/>
                          <w:b/>
                        </w:rPr>
                      </w:pPr>
                      <w:r>
                        <w:rPr>
                          <w:rFonts w:ascii="Palatino Linotype" w:hAnsi="Palatino Linotype"/>
                          <w:b/>
                        </w:rPr>
                        <w:t>(Rúbrica</w:t>
                      </w:r>
                      <w:r w:rsidR="00E3099C">
                        <w:rPr>
                          <w:rFonts w:ascii="Palatino Linotype" w:hAnsi="Palatino Linotype"/>
                          <w:b/>
                        </w:rPr>
                        <w:t>).</w:t>
                      </w:r>
                    </w:p>
                    <w:p w:rsidR="00E3099C" w:rsidRDefault="00E3099C"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99266B" w:rsidRDefault="0099266B"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5C5DC2" w:rsidRDefault="005C5DC2" w:rsidP="00E3099C">
      <w:pPr>
        <w:spacing w:before="240"/>
        <w:rPr>
          <w:rFonts w:ascii="Palatino Linotype" w:hAnsi="Palatino Linotype"/>
          <w:b/>
          <w:sz w:val="18"/>
          <w:szCs w:val="18"/>
        </w:rPr>
      </w:pPr>
    </w:p>
    <w:p w:rsidR="00E3099C" w:rsidRPr="00B93570" w:rsidRDefault="005C5DC2"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BD07B48" wp14:editId="08167EC2">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C5DC2" w:rsidRPr="00EF2FC0" w:rsidRDefault="005C5DC2" w:rsidP="005C5DC2">
                            <w:pPr>
                              <w:jc w:val="center"/>
                              <w:rPr>
                                <w:rFonts w:ascii="Palatino Linotype" w:hAnsi="Palatino Linotype"/>
                              </w:rPr>
                            </w:pPr>
                            <w:r>
                              <w:rPr>
                                <w:rFonts w:ascii="Palatino Linotype" w:hAnsi="Palatino Linotype"/>
                                <w:b/>
                              </w:rPr>
                              <w:t>Luis Gustavo Parra Noriega</w:t>
                            </w:r>
                          </w:p>
                          <w:p w:rsidR="005C5DC2" w:rsidRPr="00EF2FC0" w:rsidRDefault="005C5DC2" w:rsidP="005C5DC2">
                            <w:pPr>
                              <w:jc w:val="center"/>
                              <w:rPr>
                                <w:rFonts w:ascii="Palatino Linotype" w:hAnsi="Palatino Linotype"/>
                              </w:rPr>
                            </w:pPr>
                            <w:r w:rsidRPr="00EF2FC0">
                              <w:rPr>
                                <w:rFonts w:ascii="Palatino Linotype" w:hAnsi="Palatino Linotype"/>
                              </w:rPr>
                              <w:t>Comisionado</w:t>
                            </w:r>
                          </w:p>
                          <w:p w:rsidR="005C5DC2" w:rsidRDefault="005C5DC2" w:rsidP="005C5DC2">
                            <w:pPr>
                              <w:jc w:val="center"/>
                              <w:rPr>
                                <w:rFonts w:ascii="Palatino Linotype" w:hAnsi="Palatino Linotype"/>
                                <w:b/>
                              </w:rPr>
                            </w:pPr>
                            <w:r>
                              <w:rPr>
                                <w:rFonts w:ascii="Palatino Linotype" w:hAnsi="Palatino Linotype"/>
                                <w:b/>
                              </w:rPr>
                              <w:t>(Rúbrica).</w:t>
                            </w:r>
                          </w:p>
                          <w:p w:rsidR="005C5DC2" w:rsidRDefault="005C5DC2" w:rsidP="005C5D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07B48" id="Cuadro de texto 12" o:spid="_x0000_s1029" type="#_x0000_t202" style="position:absolute;margin-left:116.8pt;margin-top:4.85pt;width:168pt;height:73.8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rsidR="005C5DC2" w:rsidRPr="00EF2FC0" w:rsidRDefault="005C5DC2" w:rsidP="005C5DC2">
                      <w:pPr>
                        <w:jc w:val="center"/>
                        <w:rPr>
                          <w:rFonts w:ascii="Palatino Linotype" w:hAnsi="Palatino Linotype"/>
                        </w:rPr>
                      </w:pPr>
                      <w:r>
                        <w:rPr>
                          <w:rFonts w:ascii="Palatino Linotype" w:hAnsi="Palatino Linotype"/>
                          <w:b/>
                        </w:rPr>
                        <w:t>Luis Gustavo Parra Noriega</w:t>
                      </w:r>
                    </w:p>
                    <w:p w:rsidR="005C5DC2" w:rsidRPr="00EF2FC0" w:rsidRDefault="005C5DC2" w:rsidP="005C5DC2">
                      <w:pPr>
                        <w:jc w:val="center"/>
                        <w:rPr>
                          <w:rFonts w:ascii="Palatino Linotype" w:hAnsi="Palatino Linotype"/>
                        </w:rPr>
                      </w:pPr>
                      <w:r w:rsidRPr="00EF2FC0">
                        <w:rPr>
                          <w:rFonts w:ascii="Palatino Linotype" w:hAnsi="Palatino Linotype"/>
                        </w:rPr>
                        <w:t>Comisionado</w:t>
                      </w:r>
                    </w:p>
                    <w:p w:rsidR="005C5DC2" w:rsidRDefault="005C5DC2" w:rsidP="005C5DC2">
                      <w:pPr>
                        <w:jc w:val="center"/>
                        <w:rPr>
                          <w:rFonts w:ascii="Palatino Linotype" w:hAnsi="Palatino Linotype"/>
                          <w:b/>
                        </w:rPr>
                      </w:pPr>
                      <w:r>
                        <w:rPr>
                          <w:rFonts w:ascii="Palatino Linotype" w:hAnsi="Palatino Linotype"/>
                          <w:b/>
                        </w:rPr>
                        <w:t>(Rúbrica).</w:t>
                      </w:r>
                    </w:p>
                    <w:p w:rsidR="005C5DC2" w:rsidRDefault="005C5DC2" w:rsidP="005C5DC2"/>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7303D563" wp14:editId="751E1C91">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D563" id="Cuadro de texto 5" o:spid="_x0000_s1030" type="#_x0000_t202" style="position:absolute;margin-left:0;margin-top:4.5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rsidR="00E3099C" w:rsidRPr="00EF2FC0" w:rsidRDefault="00E3099C" w:rsidP="00E3099C">
                      <w:pPr>
                        <w:jc w:val="center"/>
                        <w:rPr>
                          <w:rFonts w:ascii="Palatino Linotype" w:hAnsi="Palatino Linotype"/>
                        </w:rPr>
                      </w:pPr>
                      <w:r w:rsidRPr="00EF2FC0">
                        <w:rPr>
                          <w:rFonts w:ascii="Palatino Linotype" w:hAnsi="Palatino Linotype"/>
                          <w:b/>
                        </w:rPr>
                        <w:t>Javier Martínez Cruz</w:t>
                      </w:r>
                    </w:p>
                    <w:p w:rsidR="00E3099C" w:rsidRPr="00EF2FC0" w:rsidRDefault="00E3099C" w:rsidP="00E3099C">
                      <w:pPr>
                        <w:jc w:val="center"/>
                        <w:rPr>
                          <w:rFonts w:ascii="Palatino Linotype" w:hAnsi="Palatino Linotype"/>
                        </w:rPr>
                      </w:pPr>
                      <w:r w:rsidRPr="00EF2FC0">
                        <w:rPr>
                          <w:rFonts w:ascii="Palatino Linotype" w:hAnsi="Palatino Linotype"/>
                        </w:rPr>
                        <w:t>Comisionado</w:t>
                      </w:r>
                    </w:p>
                    <w:p w:rsidR="00E3099C" w:rsidRDefault="00E3099C" w:rsidP="00E3099C">
                      <w:pPr>
                        <w:jc w:val="center"/>
                        <w:rPr>
                          <w:rFonts w:ascii="Palatino Linotype" w:hAnsi="Palatino Linotype"/>
                          <w:b/>
                        </w:rPr>
                      </w:pPr>
                      <w:r>
                        <w:rPr>
                          <w:rFonts w:ascii="Palatino Linotype" w:hAnsi="Palatino Linotype"/>
                          <w:b/>
                        </w:rPr>
                        <w:t>(Rúbrica).</w:t>
                      </w:r>
                    </w:p>
                    <w:p w:rsidR="00E3099C" w:rsidRDefault="00E3099C"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649B86EA" wp14:editId="3D939EFE">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86EA"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E3099C" w:rsidRPr="007F6133" w:rsidRDefault="00280CE6" w:rsidP="00E3099C">
                      <w:pPr>
                        <w:jc w:val="center"/>
                        <w:rPr>
                          <w:rFonts w:ascii="Palatino Linotype" w:hAnsi="Palatino Linotype"/>
                          <w:b/>
                        </w:rPr>
                      </w:pPr>
                      <w:r>
                        <w:rPr>
                          <w:rFonts w:ascii="Palatino Linotype" w:hAnsi="Palatino Linotype"/>
                          <w:b/>
                        </w:rPr>
                        <w:t>Alexis Tapia Ramírez</w:t>
                      </w:r>
                    </w:p>
                    <w:p w:rsidR="00E3099C" w:rsidRDefault="00280CE6" w:rsidP="00E3099C">
                      <w:pPr>
                        <w:jc w:val="center"/>
                        <w:rPr>
                          <w:rFonts w:ascii="Palatino Linotype" w:hAnsi="Palatino Linotype"/>
                        </w:rPr>
                      </w:pPr>
                      <w:r>
                        <w:rPr>
                          <w:rFonts w:ascii="Palatino Linotype" w:hAnsi="Palatino Linotype"/>
                        </w:rPr>
                        <w:t>Secretario Técnico</w:t>
                      </w:r>
                      <w:r w:rsidR="00E3099C" w:rsidRPr="007F6133">
                        <w:rPr>
                          <w:rFonts w:ascii="Palatino Linotype" w:hAnsi="Palatino Linotype"/>
                        </w:rPr>
                        <w:t xml:space="preserve"> del Pleno</w:t>
                      </w:r>
                      <w:r w:rsidR="00E3099C" w:rsidRPr="00EF2FC0">
                        <w:rPr>
                          <w:rFonts w:ascii="Palatino Linotype" w:hAnsi="Palatino Linotype"/>
                        </w:rPr>
                        <w:t xml:space="preserve"> </w:t>
                      </w:r>
                    </w:p>
                    <w:p w:rsidR="00E3099C" w:rsidRDefault="00E3099C" w:rsidP="00E3099C">
                      <w:pPr>
                        <w:jc w:val="center"/>
                        <w:rPr>
                          <w:rFonts w:ascii="Palatino Linotype" w:hAnsi="Palatino Linotype"/>
                          <w:b/>
                        </w:rPr>
                      </w:pPr>
                      <w:r>
                        <w:rPr>
                          <w:rFonts w:ascii="Palatino Linotype" w:hAnsi="Palatino Linotype"/>
                          <w:b/>
                        </w:rPr>
                        <w:t>(Rúbrica).</w:t>
                      </w:r>
                      <w:r w:rsidR="0099266B">
                        <w:rPr>
                          <w:rFonts w:ascii="Palatino Linotype" w:hAnsi="Palatino Linotype"/>
                          <w:b/>
                        </w:rPr>
                        <w:br/>
                      </w:r>
                      <w:r w:rsidR="0099266B">
                        <w:rPr>
                          <w:rFonts w:ascii="Palatino Linotype" w:hAnsi="Palatino Linotype"/>
                          <w:b/>
                        </w:rPr>
                        <w:br/>
                      </w:r>
                    </w:p>
                    <w:p w:rsidR="00E3099C" w:rsidRDefault="00E3099C" w:rsidP="00E3099C">
                      <w:pPr>
                        <w:jc w:val="center"/>
                        <w:rPr>
                          <w:rFonts w:ascii="Palatino Linotype" w:hAnsi="Palatino Linotype"/>
                        </w:rPr>
                      </w:pPr>
                    </w:p>
                    <w:p w:rsidR="00E3099C" w:rsidRPr="00EF2FC0" w:rsidRDefault="00E3099C" w:rsidP="00E3099C">
                      <w:pPr>
                        <w:jc w:val="center"/>
                        <w:rPr>
                          <w:rFonts w:ascii="Palatino Linotype" w:hAnsi="Palatino Linotype"/>
                        </w:rPr>
                      </w:pPr>
                    </w:p>
                    <w:p w:rsidR="00E3099C" w:rsidRDefault="00E3099C" w:rsidP="00E3099C"/>
                  </w:txbxContent>
                </v:textbox>
                <w10:wrap anchorx="page"/>
              </v:shape>
            </w:pict>
          </mc:Fallback>
        </mc:AlternateContent>
      </w:r>
    </w:p>
    <w:p w:rsidR="00E3099C" w:rsidRDefault="00E3099C" w:rsidP="00E3099C">
      <w:pPr>
        <w:spacing w:before="240"/>
        <w:rPr>
          <w:rFonts w:ascii="Palatino Linotype" w:hAnsi="Palatino Linotype" w:cs="Arial"/>
          <w:sz w:val="16"/>
          <w:szCs w:val="16"/>
        </w:rPr>
      </w:pPr>
    </w:p>
    <w:p w:rsidR="00E3099C" w:rsidRDefault="00E3099C" w:rsidP="00E3099C">
      <w:pPr>
        <w:spacing w:before="240" w:line="240" w:lineRule="auto"/>
        <w:jc w:val="both"/>
        <w:rPr>
          <w:rFonts w:ascii="Palatino Linotype" w:hAnsi="Palatino Linotype" w:cs="Arial"/>
          <w:sz w:val="16"/>
          <w:szCs w:val="16"/>
        </w:rPr>
      </w:pPr>
    </w:p>
    <w:p w:rsidR="007A6C25" w:rsidRDefault="007A6C25" w:rsidP="0099266B">
      <w:pPr>
        <w:spacing w:before="240" w:line="240" w:lineRule="auto"/>
        <w:jc w:val="both"/>
        <w:rPr>
          <w:rFonts w:ascii="Palatino Linotype" w:hAnsi="Palatino Linotype" w:cs="Arial"/>
          <w:sz w:val="16"/>
          <w:szCs w:val="16"/>
        </w:rPr>
      </w:pPr>
    </w:p>
    <w:p w:rsidR="006B7634" w:rsidRPr="002F0E1E" w:rsidRDefault="00E3099C" w:rsidP="0099266B">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5C5DC2">
        <w:rPr>
          <w:rFonts w:ascii="Palatino Linotype" w:hAnsi="Palatino Linotype" w:cs="Arial"/>
          <w:sz w:val="16"/>
          <w:szCs w:val="16"/>
        </w:rPr>
        <w:t>veintiséis</w:t>
      </w:r>
      <w:r w:rsidR="00041A02">
        <w:rPr>
          <w:rFonts w:ascii="Palatino Linotype" w:hAnsi="Palatino Linotype" w:cs="Arial"/>
          <w:sz w:val="16"/>
          <w:szCs w:val="16"/>
        </w:rPr>
        <w:t xml:space="preserve"> de </w:t>
      </w:r>
      <w:r w:rsidR="005C5DC2">
        <w:rPr>
          <w:rFonts w:ascii="Palatino Linotype" w:hAnsi="Palatino Linotype" w:cs="Arial"/>
          <w:sz w:val="16"/>
          <w:szCs w:val="16"/>
        </w:rPr>
        <w:t>septiembre</w:t>
      </w:r>
      <w:r w:rsidR="00277BC2">
        <w:rPr>
          <w:rFonts w:ascii="Palatino Linotype" w:hAnsi="Palatino Linotype" w:cs="Arial"/>
          <w:sz w:val="16"/>
          <w:szCs w:val="16"/>
        </w:rPr>
        <w:t xml:space="preserve"> de dos mil dieciocho</w:t>
      </w:r>
      <w:r w:rsidRPr="00861BBC">
        <w:rPr>
          <w:rFonts w:ascii="Palatino Linotype" w:hAnsi="Palatino Linotype" w:cs="Arial"/>
          <w:sz w:val="16"/>
          <w:szCs w:val="16"/>
        </w:rPr>
        <w:t xml:space="preserve">, emitida en el recurso de revisión </w:t>
      </w:r>
      <w:r w:rsidR="005C5DC2">
        <w:rPr>
          <w:rFonts w:ascii="Palatino Linotype" w:hAnsi="Palatino Linotype" w:cs="Arial"/>
          <w:bCs/>
          <w:sz w:val="16"/>
          <w:szCs w:val="16"/>
          <w:lang w:eastAsia="es-MX"/>
        </w:rPr>
        <w:t>02681</w:t>
      </w:r>
      <w:r w:rsidR="00280CE6">
        <w:rPr>
          <w:rFonts w:ascii="Palatino Linotype" w:hAnsi="Palatino Linotype" w:cs="Arial"/>
          <w:bCs/>
          <w:sz w:val="16"/>
          <w:szCs w:val="16"/>
          <w:lang w:eastAsia="es-MX"/>
        </w:rPr>
        <w:t>/INFOEM/IP/RR/2018</w:t>
      </w:r>
      <w:r w:rsidRPr="00861BBC">
        <w:rPr>
          <w:rFonts w:ascii="Palatino Linotype" w:hAnsi="Palatino Linotype" w:cs="Arial"/>
          <w:bCs/>
          <w:sz w:val="16"/>
          <w:szCs w:val="16"/>
          <w:lang w:eastAsia="es-MX"/>
        </w:rPr>
        <w:t>.</w:t>
      </w:r>
      <w:r w:rsidR="002F0E1E">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F0E1E" w:rsidSect="00581590">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D75" w:rsidRDefault="00627D75" w:rsidP="00E3099C">
      <w:pPr>
        <w:spacing w:after="0" w:line="240" w:lineRule="auto"/>
      </w:pPr>
      <w:r>
        <w:separator/>
      </w:r>
    </w:p>
  </w:endnote>
  <w:endnote w:type="continuationSeparator" w:id="0">
    <w:p w:rsidR="00627D75" w:rsidRDefault="00627D75"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F72E9">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F72E9">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Pr="000B69FA" w:rsidRDefault="000E415C"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9132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91322">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D75" w:rsidRDefault="00627D75" w:rsidP="00E3099C">
      <w:pPr>
        <w:spacing w:after="0" w:line="240" w:lineRule="auto"/>
      </w:pPr>
      <w:r>
        <w:separator/>
      </w:r>
    </w:p>
  </w:footnote>
  <w:footnote w:type="continuationSeparator" w:id="0">
    <w:p w:rsidR="00627D75" w:rsidRDefault="00627D75" w:rsidP="00E3099C">
      <w:pPr>
        <w:spacing w:after="0" w:line="240" w:lineRule="auto"/>
      </w:pPr>
      <w:r>
        <w:continuationSeparator/>
      </w:r>
    </w:p>
  </w:footnote>
  <w:footnote w:id="1">
    <w:p w:rsidR="00E5244D" w:rsidRPr="00911081" w:rsidRDefault="00E5244D"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5244D" w:rsidRPr="00911081" w:rsidRDefault="00E5244D"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590" w:rsidRDefault="0058159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Default="005A4073"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02681</w:t>
          </w:r>
          <w:r w:rsidR="009F22C8">
            <w:rPr>
              <w:rFonts w:ascii="Palatino Linotype" w:hAnsi="Palatino Linotype" w:cs="Arial"/>
              <w:bCs/>
              <w:sz w:val="24"/>
              <w:lang w:eastAsia="es-MX"/>
            </w:rPr>
            <w:t>/INFOEM/IP/RR/2018</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5A4073" w:rsidP="00581590">
          <w:pPr>
            <w:spacing w:after="120" w:line="256" w:lineRule="auto"/>
            <w:ind w:left="-486" w:right="214" w:firstLine="284"/>
            <w:jc w:val="right"/>
            <w:rPr>
              <w:rFonts w:ascii="Palatino Linotype" w:hAnsi="Palatino Linotype" w:cs="Arial"/>
              <w:szCs w:val="20"/>
            </w:rPr>
          </w:pPr>
          <w:r w:rsidRPr="005A4073">
            <w:rPr>
              <w:rFonts w:ascii="Palatino Linotype" w:hAnsi="Palatino Linotype" w:cs="Arial"/>
              <w:szCs w:val="20"/>
            </w:rPr>
            <w:t>Ayuntamiento de Cuautitlán Izcalli</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81590" w:rsidTr="00581590">
      <w:trPr>
        <w:trHeight w:val="227"/>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581590" w:rsidRPr="00B4142F" w:rsidRDefault="005A4073"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02681</w:t>
          </w:r>
          <w:r w:rsidR="009F22C8">
            <w:rPr>
              <w:rFonts w:ascii="Palatino Linotype" w:hAnsi="Palatino Linotype" w:cs="Arial"/>
              <w:bCs/>
              <w:sz w:val="24"/>
              <w:lang w:eastAsia="es-MX"/>
            </w:rPr>
            <w:t>/INFOEM/IP/RR/2018</w:t>
          </w:r>
        </w:p>
      </w:tc>
    </w:tr>
    <w:tr w:rsidR="00581590" w:rsidTr="00581590">
      <w:trPr>
        <w:trHeight w:val="196"/>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581590" w:rsidRPr="00F06FED" w:rsidRDefault="00C91322"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w:t>
          </w:r>
        </w:p>
      </w:tc>
    </w:tr>
    <w:tr w:rsidR="00581590" w:rsidTr="00581590">
      <w:trPr>
        <w:trHeight w:val="242"/>
      </w:trPr>
      <w:tc>
        <w:tcPr>
          <w:tcW w:w="5529" w:type="dxa"/>
          <w:hideMark/>
        </w:tcPr>
        <w:p w:rsidR="00581590" w:rsidRDefault="000E415C"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581590" w:rsidRDefault="005A4073" w:rsidP="00581590">
          <w:pPr>
            <w:spacing w:after="120" w:line="256" w:lineRule="auto"/>
            <w:ind w:left="-495" w:right="214" w:firstLine="567"/>
            <w:jc w:val="right"/>
            <w:rPr>
              <w:rFonts w:ascii="Palatino Linotype" w:hAnsi="Palatino Linotype" w:cs="Arial"/>
              <w:szCs w:val="20"/>
            </w:rPr>
          </w:pPr>
          <w:r w:rsidRPr="005A4073">
            <w:rPr>
              <w:rFonts w:ascii="Palatino Linotype" w:hAnsi="Palatino Linotype" w:cs="Arial"/>
              <w:szCs w:val="20"/>
            </w:rPr>
            <w:t>Ayuntamiento de Cuautitlán Izcalli</w:t>
          </w:r>
        </w:p>
      </w:tc>
    </w:tr>
    <w:tr w:rsidR="00581590" w:rsidTr="00581590">
      <w:trPr>
        <w:trHeight w:val="342"/>
      </w:trPr>
      <w:tc>
        <w:tcPr>
          <w:tcW w:w="5529" w:type="dxa"/>
          <w:hideMark/>
        </w:tcPr>
        <w:p w:rsidR="00581590" w:rsidRDefault="000E415C"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581590" w:rsidRDefault="000E415C"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581590" w:rsidRDefault="005815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3"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2"/>
  </w:num>
  <w:num w:numId="2">
    <w:abstractNumId w:val="3"/>
  </w:num>
  <w:num w:numId="3">
    <w:abstractNumId w:val="8"/>
  </w:num>
  <w:num w:numId="4">
    <w:abstractNumId w:val="13"/>
  </w:num>
  <w:num w:numId="5">
    <w:abstractNumId w:val="2"/>
  </w:num>
  <w:num w:numId="6">
    <w:abstractNumId w:val="14"/>
  </w:num>
  <w:num w:numId="7">
    <w:abstractNumId w:val="6"/>
  </w:num>
  <w:num w:numId="8">
    <w:abstractNumId w:val="7"/>
  </w:num>
  <w:num w:numId="9">
    <w:abstractNumId w:val="9"/>
  </w:num>
  <w:num w:numId="10">
    <w:abstractNumId w:val="1"/>
  </w:num>
  <w:num w:numId="11">
    <w:abstractNumId w:val="5"/>
  </w:num>
  <w:num w:numId="12">
    <w:abstractNumId w:val="10"/>
  </w:num>
  <w:num w:numId="13">
    <w:abstractNumId w:val="0"/>
  </w:num>
  <w:num w:numId="14">
    <w:abstractNumId w:val="15"/>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11A64"/>
    <w:rsid w:val="00012829"/>
    <w:rsid w:val="0001435C"/>
    <w:rsid w:val="0001774D"/>
    <w:rsid w:val="0002310A"/>
    <w:rsid w:val="000238DF"/>
    <w:rsid w:val="00026B0C"/>
    <w:rsid w:val="000311AD"/>
    <w:rsid w:val="0003144E"/>
    <w:rsid w:val="00041A02"/>
    <w:rsid w:val="00042285"/>
    <w:rsid w:val="0004700A"/>
    <w:rsid w:val="00057C41"/>
    <w:rsid w:val="00065A25"/>
    <w:rsid w:val="00066895"/>
    <w:rsid w:val="000673A2"/>
    <w:rsid w:val="00071B10"/>
    <w:rsid w:val="00075AD8"/>
    <w:rsid w:val="00080C0D"/>
    <w:rsid w:val="00087BC6"/>
    <w:rsid w:val="000A0F25"/>
    <w:rsid w:val="000A410B"/>
    <w:rsid w:val="000A4BCE"/>
    <w:rsid w:val="000A79A6"/>
    <w:rsid w:val="000E415C"/>
    <w:rsid w:val="000E70B4"/>
    <w:rsid w:val="000F72E9"/>
    <w:rsid w:val="00105567"/>
    <w:rsid w:val="00111643"/>
    <w:rsid w:val="001129FA"/>
    <w:rsid w:val="0011305B"/>
    <w:rsid w:val="00113B26"/>
    <w:rsid w:val="00116280"/>
    <w:rsid w:val="00116915"/>
    <w:rsid w:val="00117061"/>
    <w:rsid w:val="00122B8A"/>
    <w:rsid w:val="00137751"/>
    <w:rsid w:val="001425D2"/>
    <w:rsid w:val="0014307A"/>
    <w:rsid w:val="00145A5C"/>
    <w:rsid w:val="0015173B"/>
    <w:rsid w:val="00155A3C"/>
    <w:rsid w:val="00155AAE"/>
    <w:rsid w:val="00172378"/>
    <w:rsid w:val="00172F03"/>
    <w:rsid w:val="00176C95"/>
    <w:rsid w:val="00185B42"/>
    <w:rsid w:val="001862E6"/>
    <w:rsid w:val="0019326F"/>
    <w:rsid w:val="001A032F"/>
    <w:rsid w:val="001B38FF"/>
    <w:rsid w:val="001B3A64"/>
    <w:rsid w:val="001C22C5"/>
    <w:rsid w:val="001C34D3"/>
    <w:rsid w:val="001C76AE"/>
    <w:rsid w:val="001D1252"/>
    <w:rsid w:val="001F6E82"/>
    <w:rsid w:val="001F7A91"/>
    <w:rsid w:val="00203755"/>
    <w:rsid w:val="00206EDF"/>
    <w:rsid w:val="0024257F"/>
    <w:rsid w:val="00242F5A"/>
    <w:rsid w:val="00243AA7"/>
    <w:rsid w:val="0026551E"/>
    <w:rsid w:val="00265880"/>
    <w:rsid w:val="00273A01"/>
    <w:rsid w:val="00273D65"/>
    <w:rsid w:val="00277BC2"/>
    <w:rsid w:val="00280CE6"/>
    <w:rsid w:val="00295459"/>
    <w:rsid w:val="00296ECB"/>
    <w:rsid w:val="002A3C76"/>
    <w:rsid w:val="002A5ADD"/>
    <w:rsid w:val="002B6649"/>
    <w:rsid w:val="002C5B56"/>
    <w:rsid w:val="002C692F"/>
    <w:rsid w:val="002E1008"/>
    <w:rsid w:val="002F0E1E"/>
    <w:rsid w:val="002F5B20"/>
    <w:rsid w:val="0031435A"/>
    <w:rsid w:val="00315671"/>
    <w:rsid w:val="00316F60"/>
    <w:rsid w:val="00317C24"/>
    <w:rsid w:val="003327F0"/>
    <w:rsid w:val="003340F5"/>
    <w:rsid w:val="00335A8C"/>
    <w:rsid w:val="00352E33"/>
    <w:rsid w:val="00353EFD"/>
    <w:rsid w:val="003550EE"/>
    <w:rsid w:val="00355976"/>
    <w:rsid w:val="003571AB"/>
    <w:rsid w:val="003619F8"/>
    <w:rsid w:val="00363336"/>
    <w:rsid w:val="003651E6"/>
    <w:rsid w:val="00366F5B"/>
    <w:rsid w:val="003776F0"/>
    <w:rsid w:val="00377851"/>
    <w:rsid w:val="00380EEB"/>
    <w:rsid w:val="00392196"/>
    <w:rsid w:val="00394E0D"/>
    <w:rsid w:val="003C5DD5"/>
    <w:rsid w:val="003D06E7"/>
    <w:rsid w:val="003D0981"/>
    <w:rsid w:val="003D5F5A"/>
    <w:rsid w:val="003E5DA1"/>
    <w:rsid w:val="00400D28"/>
    <w:rsid w:val="00407864"/>
    <w:rsid w:val="00413F19"/>
    <w:rsid w:val="0041620D"/>
    <w:rsid w:val="00424415"/>
    <w:rsid w:val="00426B79"/>
    <w:rsid w:val="00434244"/>
    <w:rsid w:val="00435462"/>
    <w:rsid w:val="00444DEC"/>
    <w:rsid w:val="0044778A"/>
    <w:rsid w:val="0045369F"/>
    <w:rsid w:val="004556C4"/>
    <w:rsid w:val="0046021E"/>
    <w:rsid w:val="0046654E"/>
    <w:rsid w:val="004710D7"/>
    <w:rsid w:val="00477CF2"/>
    <w:rsid w:val="00481BB8"/>
    <w:rsid w:val="00482A78"/>
    <w:rsid w:val="00484202"/>
    <w:rsid w:val="004A265C"/>
    <w:rsid w:val="004B3BA0"/>
    <w:rsid w:val="004B44B6"/>
    <w:rsid w:val="004D4E0D"/>
    <w:rsid w:val="004E0A09"/>
    <w:rsid w:val="005016A6"/>
    <w:rsid w:val="00504926"/>
    <w:rsid w:val="0052584D"/>
    <w:rsid w:val="00552654"/>
    <w:rsid w:val="0055602E"/>
    <w:rsid w:val="0056101D"/>
    <w:rsid w:val="00561362"/>
    <w:rsid w:val="00561E8A"/>
    <w:rsid w:val="00563E8B"/>
    <w:rsid w:val="00570C3F"/>
    <w:rsid w:val="00580097"/>
    <w:rsid w:val="00580F3F"/>
    <w:rsid w:val="00581590"/>
    <w:rsid w:val="00581B45"/>
    <w:rsid w:val="00586E5C"/>
    <w:rsid w:val="0059169B"/>
    <w:rsid w:val="005959AF"/>
    <w:rsid w:val="005A4073"/>
    <w:rsid w:val="005A45DC"/>
    <w:rsid w:val="005A5236"/>
    <w:rsid w:val="005A5FD6"/>
    <w:rsid w:val="005B5571"/>
    <w:rsid w:val="005B7CB6"/>
    <w:rsid w:val="005C5DC2"/>
    <w:rsid w:val="005D0FA2"/>
    <w:rsid w:val="005D1480"/>
    <w:rsid w:val="005D5E29"/>
    <w:rsid w:val="005F60DD"/>
    <w:rsid w:val="00600A10"/>
    <w:rsid w:val="006027D2"/>
    <w:rsid w:val="006033D4"/>
    <w:rsid w:val="0061038C"/>
    <w:rsid w:val="00613E99"/>
    <w:rsid w:val="00614542"/>
    <w:rsid w:val="006215C8"/>
    <w:rsid w:val="0062589A"/>
    <w:rsid w:val="00627D75"/>
    <w:rsid w:val="006345A5"/>
    <w:rsid w:val="0064047C"/>
    <w:rsid w:val="0064532D"/>
    <w:rsid w:val="006467CF"/>
    <w:rsid w:val="00651F44"/>
    <w:rsid w:val="00665234"/>
    <w:rsid w:val="00693BB0"/>
    <w:rsid w:val="0069551F"/>
    <w:rsid w:val="006955D7"/>
    <w:rsid w:val="00695C6F"/>
    <w:rsid w:val="0069665A"/>
    <w:rsid w:val="006A2B44"/>
    <w:rsid w:val="006B16FE"/>
    <w:rsid w:val="006B2DEC"/>
    <w:rsid w:val="006B7634"/>
    <w:rsid w:val="006C0A28"/>
    <w:rsid w:val="006C69A3"/>
    <w:rsid w:val="006C742F"/>
    <w:rsid w:val="006D74DF"/>
    <w:rsid w:val="006D7AAC"/>
    <w:rsid w:val="006E16AB"/>
    <w:rsid w:val="006E3127"/>
    <w:rsid w:val="006E3DD7"/>
    <w:rsid w:val="006E6F77"/>
    <w:rsid w:val="006F5DAF"/>
    <w:rsid w:val="006F7EE9"/>
    <w:rsid w:val="00712000"/>
    <w:rsid w:val="00713F81"/>
    <w:rsid w:val="00715CD7"/>
    <w:rsid w:val="007212E8"/>
    <w:rsid w:val="00724FB9"/>
    <w:rsid w:val="00730DF5"/>
    <w:rsid w:val="00733F93"/>
    <w:rsid w:val="007355DC"/>
    <w:rsid w:val="00742AD8"/>
    <w:rsid w:val="007442C8"/>
    <w:rsid w:val="00746719"/>
    <w:rsid w:val="00751225"/>
    <w:rsid w:val="00752710"/>
    <w:rsid w:val="00764AD8"/>
    <w:rsid w:val="00780A5D"/>
    <w:rsid w:val="00780D82"/>
    <w:rsid w:val="007836DD"/>
    <w:rsid w:val="0078662C"/>
    <w:rsid w:val="00786666"/>
    <w:rsid w:val="007A1F05"/>
    <w:rsid w:val="007A2CA1"/>
    <w:rsid w:val="007A69CD"/>
    <w:rsid w:val="007A6C25"/>
    <w:rsid w:val="007B06CF"/>
    <w:rsid w:val="007B4341"/>
    <w:rsid w:val="007C41F8"/>
    <w:rsid w:val="007C7B43"/>
    <w:rsid w:val="007E6674"/>
    <w:rsid w:val="007E71F1"/>
    <w:rsid w:val="007E7D78"/>
    <w:rsid w:val="007E7DAF"/>
    <w:rsid w:val="007F1DA9"/>
    <w:rsid w:val="007F2D20"/>
    <w:rsid w:val="008104EC"/>
    <w:rsid w:val="008128F0"/>
    <w:rsid w:val="00812F2A"/>
    <w:rsid w:val="008203B4"/>
    <w:rsid w:val="00823379"/>
    <w:rsid w:val="008374B6"/>
    <w:rsid w:val="008377BC"/>
    <w:rsid w:val="00842D95"/>
    <w:rsid w:val="00850EC6"/>
    <w:rsid w:val="0085193B"/>
    <w:rsid w:val="008562B4"/>
    <w:rsid w:val="00857209"/>
    <w:rsid w:val="00875899"/>
    <w:rsid w:val="00880047"/>
    <w:rsid w:val="00890291"/>
    <w:rsid w:val="008902C6"/>
    <w:rsid w:val="008960DA"/>
    <w:rsid w:val="008A4615"/>
    <w:rsid w:val="008B0427"/>
    <w:rsid w:val="008C079D"/>
    <w:rsid w:val="008C4246"/>
    <w:rsid w:val="008C49D6"/>
    <w:rsid w:val="008D2AB9"/>
    <w:rsid w:val="008D504D"/>
    <w:rsid w:val="008E2B9C"/>
    <w:rsid w:val="008E48E5"/>
    <w:rsid w:val="008F62F7"/>
    <w:rsid w:val="00910E6B"/>
    <w:rsid w:val="009134AC"/>
    <w:rsid w:val="009247D5"/>
    <w:rsid w:val="00944150"/>
    <w:rsid w:val="00944AD4"/>
    <w:rsid w:val="00945DFF"/>
    <w:rsid w:val="009634D3"/>
    <w:rsid w:val="00966406"/>
    <w:rsid w:val="0097639E"/>
    <w:rsid w:val="00976510"/>
    <w:rsid w:val="00976E0B"/>
    <w:rsid w:val="00983481"/>
    <w:rsid w:val="009844BC"/>
    <w:rsid w:val="009844C6"/>
    <w:rsid w:val="00984FB1"/>
    <w:rsid w:val="0099266B"/>
    <w:rsid w:val="009948B2"/>
    <w:rsid w:val="00997032"/>
    <w:rsid w:val="009A5A37"/>
    <w:rsid w:val="009B1BD3"/>
    <w:rsid w:val="009C2B98"/>
    <w:rsid w:val="009D41F8"/>
    <w:rsid w:val="009D7904"/>
    <w:rsid w:val="009F1F22"/>
    <w:rsid w:val="009F22C8"/>
    <w:rsid w:val="009F2ADB"/>
    <w:rsid w:val="009F4967"/>
    <w:rsid w:val="00A02CF8"/>
    <w:rsid w:val="00A03059"/>
    <w:rsid w:val="00A05F91"/>
    <w:rsid w:val="00A21F47"/>
    <w:rsid w:val="00A23894"/>
    <w:rsid w:val="00A3160B"/>
    <w:rsid w:val="00A322E7"/>
    <w:rsid w:val="00A35D1D"/>
    <w:rsid w:val="00A42402"/>
    <w:rsid w:val="00A43F2E"/>
    <w:rsid w:val="00A443F5"/>
    <w:rsid w:val="00A4606D"/>
    <w:rsid w:val="00A514EA"/>
    <w:rsid w:val="00A64887"/>
    <w:rsid w:val="00A65386"/>
    <w:rsid w:val="00A66340"/>
    <w:rsid w:val="00A663FA"/>
    <w:rsid w:val="00A7160D"/>
    <w:rsid w:val="00A75CE6"/>
    <w:rsid w:val="00A75F4B"/>
    <w:rsid w:val="00A7699A"/>
    <w:rsid w:val="00A778A8"/>
    <w:rsid w:val="00A8696C"/>
    <w:rsid w:val="00A9152A"/>
    <w:rsid w:val="00A91D2E"/>
    <w:rsid w:val="00A9241D"/>
    <w:rsid w:val="00A92E52"/>
    <w:rsid w:val="00AA51D0"/>
    <w:rsid w:val="00AB10EE"/>
    <w:rsid w:val="00AB2FD1"/>
    <w:rsid w:val="00AD2B61"/>
    <w:rsid w:val="00AF4B73"/>
    <w:rsid w:val="00AF63EF"/>
    <w:rsid w:val="00AF7682"/>
    <w:rsid w:val="00B021C1"/>
    <w:rsid w:val="00B036E0"/>
    <w:rsid w:val="00B06D22"/>
    <w:rsid w:val="00B10A4B"/>
    <w:rsid w:val="00B12682"/>
    <w:rsid w:val="00B14C6E"/>
    <w:rsid w:val="00B20E08"/>
    <w:rsid w:val="00B21D79"/>
    <w:rsid w:val="00B23AF2"/>
    <w:rsid w:val="00B244F2"/>
    <w:rsid w:val="00B253B3"/>
    <w:rsid w:val="00B30918"/>
    <w:rsid w:val="00B342F6"/>
    <w:rsid w:val="00B34359"/>
    <w:rsid w:val="00B447BE"/>
    <w:rsid w:val="00B466B4"/>
    <w:rsid w:val="00B46992"/>
    <w:rsid w:val="00B51566"/>
    <w:rsid w:val="00B52604"/>
    <w:rsid w:val="00B52B70"/>
    <w:rsid w:val="00B55585"/>
    <w:rsid w:val="00B63AC0"/>
    <w:rsid w:val="00B66B6D"/>
    <w:rsid w:val="00B7488E"/>
    <w:rsid w:val="00B75628"/>
    <w:rsid w:val="00B91C85"/>
    <w:rsid w:val="00BA01EF"/>
    <w:rsid w:val="00BA5AB9"/>
    <w:rsid w:val="00BB7261"/>
    <w:rsid w:val="00BC1722"/>
    <w:rsid w:val="00BC51DC"/>
    <w:rsid w:val="00BD458B"/>
    <w:rsid w:val="00BD5351"/>
    <w:rsid w:val="00BE2480"/>
    <w:rsid w:val="00BF245A"/>
    <w:rsid w:val="00C0245B"/>
    <w:rsid w:val="00C02B79"/>
    <w:rsid w:val="00C02F0A"/>
    <w:rsid w:val="00C139E9"/>
    <w:rsid w:val="00C14CE7"/>
    <w:rsid w:val="00C14FF0"/>
    <w:rsid w:val="00C15F07"/>
    <w:rsid w:val="00C257BF"/>
    <w:rsid w:val="00C327FA"/>
    <w:rsid w:val="00C33C6C"/>
    <w:rsid w:val="00C400FB"/>
    <w:rsid w:val="00C43B98"/>
    <w:rsid w:val="00C47403"/>
    <w:rsid w:val="00C5342D"/>
    <w:rsid w:val="00C54777"/>
    <w:rsid w:val="00C56242"/>
    <w:rsid w:val="00C63F76"/>
    <w:rsid w:val="00C65821"/>
    <w:rsid w:val="00C6712D"/>
    <w:rsid w:val="00C6793D"/>
    <w:rsid w:val="00C76332"/>
    <w:rsid w:val="00C8328F"/>
    <w:rsid w:val="00C91322"/>
    <w:rsid w:val="00C91A95"/>
    <w:rsid w:val="00CA6589"/>
    <w:rsid w:val="00CA7A7C"/>
    <w:rsid w:val="00CB1CC6"/>
    <w:rsid w:val="00CD7067"/>
    <w:rsid w:val="00CF4002"/>
    <w:rsid w:val="00CF40B3"/>
    <w:rsid w:val="00CF7C6D"/>
    <w:rsid w:val="00CF7CCA"/>
    <w:rsid w:val="00D03642"/>
    <w:rsid w:val="00D070F9"/>
    <w:rsid w:val="00D15261"/>
    <w:rsid w:val="00D20752"/>
    <w:rsid w:val="00D34DC4"/>
    <w:rsid w:val="00D428A6"/>
    <w:rsid w:val="00D47D28"/>
    <w:rsid w:val="00D50FAC"/>
    <w:rsid w:val="00D619B2"/>
    <w:rsid w:val="00D621DF"/>
    <w:rsid w:val="00D700FF"/>
    <w:rsid w:val="00D7698B"/>
    <w:rsid w:val="00DA107A"/>
    <w:rsid w:val="00DA68EB"/>
    <w:rsid w:val="00DB2541"/>
    <w:rsid w:val="00DB53FA"/>
    <w:rsid w:val="00DB68DE"/>
    <w:rsid w:val="00DC3FD7"/>
    <w:rsid w:val="00DC5845"/>
    <w:rsid w:val="00DD233D"/>
    <w:rsid w:val="00DD3B5A"/>
    <w:rsid w:val="00DD78C2"/>
    <w:rsid w:val="00E04AF4"/>
    <w:rsid w:val="00E07CE2"/>
    <w:rsid w:val="00E10C8E"/>
    <w:rsid w:val="00E15DAC"/>
    <w:rsid w:val="00E25D3E"/>
    <w:rsid w:val="00E26784"/>
    <w:rsid w:val="00E30435"/>
    <w:rsid w:val="00E3099C"/>
    <w:rsid w:val="00E32E2B"/>
    <w:rsid w:val="00E34367"/>
    <w:rsid w:val="00E366CE"/>
    <w:rsid w:val="00E45436"/>
    <w:rsid w:val="00E45628"/>
    <w:rsid w:val="00E5244D"/>
    <w:rsid w:val="00E5512C"/>
    <w:rsid w:val="00E55405"/>
    <w:rsid w:val="00E621FB"/>
    <w:rsid w:val="00E7640B"/>
    <w:rsid w:val="00E77373"/>
    <w:rsid w:val="00E8162E"/>
    <w:rsid w:val="00E8436A"/>
    <w:rsid w:val="00E8694A"/>
    <w:rsid w:val="00E95BE2"/>
    <w:rsid w:val="00EA436F"/>
    <w:rsid w:val="00EA6BF9"/>
    <w:rsid w:val="00EB245C"/>
    <w:rsid w:val="00EB71D1"/>
    <w:rsid w:val="00EE73AF"/>
    <w:rsid w:val="00F12160"/>
    <w:rsid w:val="00F13B8A"/>
    <w:rsid w:val="00F153BA"/>
    <w:rsid w:val="00F254BF"/>
    <w:rsid w:val="00F36D4A"/>
    <w:rsid w:val="00F5568C"/>
    <w:rsid w:val="00F622F1"/>
    <w:rsid w:val="00F628C2"/>
    <w:rsid w:val="00F729EB"/>
    <w:rsid w:val="00F7456A"/>
    <w:rsid w:val="00F81A4B"/>
    <w:rsid w:val="00F84760"/>
    <w:rsid w:val="00F86DE8"/>
    <w:rsid w:val="00F86E91"/>
    <w:rsid w:val="00F87338"/>
    <w:rsid w:val="00FB0137"/>
    <w:rsid w:val="00FB722E"/>
    <w:rsid w:val="00FE2B2F"/>
    <w:rsid w:val="00FE4693"/>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CD251-B72D-47AB-9590-448823CBB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3457</Words>
  <Characters>19014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USER</cp:lastModifiedBy>
  <cp:revision>2</cp:revision>
  <cp:lastPrinted>2018-09-28T18:48:00Z</cp:lastPrinted>
  <dcterms:created xsi:type="dcterms:W3CDTF">2018-10-04T20:04:00Z</dcterms:created>
  <dcterms:modified xsi:type="dcterms:W3CDTF">2018-10-04T20:04:00Z</dcterms:modified>
</cp:coreProperties>
</file>