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85A46DF" w:rsidR="00091682" w:rsidRPr="00917C1B" w:rsidRDefault="00091682" w:rsidP="00091682">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w:t>
      </w:r>
      <w:r w:rsidR="004440AC" w:rsidRPr="00917C1B">
        <w:rPr>
          <w:rFonts w:ascii="Palatino Linotype" w:hAnsi="Palatino Linotype"/>
          <w:color w:val="000000" w:themeColor="text1"/>
        </w:rPr>
        <w:t>Metepec, Estado de México</w:t>
      </w:r>
      <w:r w:rsidR="008C3158" w:rsidRPr="00917C1B">
        <w:rPr>
          <w:rFonts w:ascii="Palatino Linotype" w:hAnsi="Palatino Linotype"/>
          <w:color w:val="000000" w:themeColor="text1"/>
        </w:rPr>
        <w:t>;</w:t>
      </w:r>
      <w:r w:rsidR="00EF35FA" w:rsidRPr="00917C1B">
        <w:rPr>
          <w:rFonts w:ascii="Palatino Linotype" w:hAnsi="Palatino Linotype"/>
          <w:color w:val="000000" w:themeColor="text1"/>
        </w:rPr>
        <w:t xml:space="preserve"> </w:t>
      </w:r>
      <w:r w:rsidR="004440AC" w:rsidRPr="00917C1B">
        <w:rPr>
          <w:rFonts w:ascii="Palatino Linotype" w:hAnsi="Palatino Linotype"/>
          <w:color w:val="000000" w:themeColor="text1"/>
        </w:rPr>
        <w:t xml:space="preserve">de </w:t>
      </w:r>
      <w:r w:rsidR="008E0C11" w:rsidRPr="00917C1B">
        <w:rPr>
          <w:rFonts w:ascii="Palatino Linotype" w:hAnsi="Palatino Linotype"/>
          <w:color w:val="000000" w:themeColor="text1"/>
        </w:rPr>
        <w:t>veintiséis de septiembre</w:t>
      </w:r>
      <w:r w:rsidR="004440AC" w:rsidRPr="00917C1B">
        <w:rPr>
          <w:rFonts w:ascii="Palatino Linotype" w:hAnsi="Palatino Linotype"/>
          <w:color w:val="000000" w:themeColor="text1"/>
        </w:rPr>
        <w:t xml:space="preserve"> </w:t>
      </w:r>
      <w:r w:rsidRPr="00917C1B">
        <w:rPr>
          <w:rFonts w:ascii="Palatino Linotype" w:hAnsi="Palatino Linotype"/>
          <w:color w:val="000000" w:themeColor="text1"/>
        </w:rPr>
        <w:t>de</w:t>
      </w:r>
      <w:r w:rsidR="00686279" w:rsidRPr="00917C1B">
        <w:rPr>
          <w:rFonts w:ascii="Palatino Linotype" w:hAnsi="Palatino Linotype"/>
          <w:color w:val="000000" w:themeColor="text1"/>
        </w:rPr>
        <w:t>l</w:t>
      </w:r>
      <w:r w:rsidR="00E5452C" w:rsidRPr="00917C1B">
        <w:rPr>
          <w:rFonts w:ascii="Palatino Linotype" w:hAnsi="Palatino Linotype"/>
          <w:color w:val="000000" w:themeColor="text1"/>
        </w:rPr>
        <w:t xml:space="preserve"> dos mil dieci</w:t>
      </w:r>
      <w:r w:rsidR="009D502B" w:rsidRPr="00917C1B">
        <w:rPr>
          <w:rFonts w:ascii="Palatino Linotype" w:hAnsi="Palatino Linotype"/>
          <w:color w:val="000000" w:themeColor="text1"/>
        </w:rPr>
        <w:t>ocho</w:t>
      </w:r>
      <w:r w:rsidRPr="00917C1B">
        <w:rPr>
          <w:rFonts w:ascii="Palatino Linotype" w:hAnsi="Palatino Linotype"/>
          <w:color w:val="000000" w:themeColor="text1"/>
        </w:rPr>
        <w:t>.</w:t>
      </w:r>
    </w:p>
    <w:p w14:paraId="7D53FE2D" w14:textId="3239CD30" w:rsidR="008E7698" w:rsidRPr="00917C1B" w:rsidRDefault="008E7698" w:rsidP="008E7698">
      <w:pPr>
        <w:spacing w:before="240" w:after="240" w:line="360" w:lineRule="auto"/>
        <w:jc w:val="both"/>
        <w:rPr>
          <w:rFonts w:ascii="Palatino Linotype" w:hAnsi="Palatino Linotype" w:cs="Arial"/>
          <w:color w:val="000000" w:themeColor="text1"/>
        </w:rPr>
      </w:pPr>
      <w:r w:rsidRPr="00917C1B">
        <w:rPr>
          <w:rFonts w:ascii="Palatino Linotype" w:hAnsi="Palatino Linotype" w:cs="Arial"/>
          <w:b/>
          <w:color w:val="000000" w:themeColor="text1"/>
          <w:sz w:val="28"/>
          <w:szCs w:val="28"/>
        </w:rPr>
        <w:t>Visto</w:t>
      </w:r>
      <w:r w:rsidRPr="00917C1B">
        <w:rPr>
          <w:rFonts w:ascii="Palatino Linotype" w:hAnsi="Palatino Linotype" w:cs="Arial"/>
          <w:color w:val="000000" w:themeColor="text1"/>
        </w:rPr>
        <w:t xml:space="preserve"> el expediente relativo al recurso de revisión </w:t>
      </w:r>
      <w:r w:rsidR="00BC3AAB" w:rsidRPr="00917C1B">
        <w:rPr>
          <w:rFonts w:ascii="Palatino Linotype" w:eastAsiaTheme="minorEastAsia" w:hAnsi="Palatino Linotype" w:cs="Arial"/>
          <w:b/>
          <w:bCs/>
          <w:color w:val="000000" w:themeColor="text1"/>
          <w:sz w:val="22"/>
          <w:szCs w:val="22"/>
          <w:lang w:val="es-MX"/>
        </w:rPr>
        <w:t>02724/INFOEM</w:t>
      </w:r>
      <w:r w:rsidR="00437D10" w:rsidRPr="00917C1B">
        <w:rPr>
          <w:rFonts w:ascii="Palatino Linotype" w:eastAsiaTheme="minorEastAsia" w:hAnsi="Palatino Linotype" w:cs="Arial"/>
          <w:b/>
          <w:bCs/>
          <w:color w:val="000000" w:themeColor="text1"/>
          <w:sz w:val="22"/>
          <w:szCs w:val="22"/>
          <w:lang w:val="es-MX"/>
        </w:rPr>
        <w:t>/IP/RR/2018</w:t>
      </w:r>
      <w:r w:rsidR="000E1C85" w:rsidRPr="00917C1B">
        <w:rPr>
          <w:rFonts w:ascii="Palatino Linotype" w:hAnsi="Palatino Linotype" w:cs="Arial"/>
          <w:color w:val="000000" w:themeColor="text1"/>
        </w:rPr>
        <w:t xml:space="preserve">, interpuesto por </w:t>
      </w:r>
      <w:r w:rsidR="009D14CF" w:rsidRPr="00917C1B">
        <w:rPr>
          <w:rFonts w:ascii="Palatino Linotype" w:hAnsi="Palatino Linotype" w:cs="Arial"/>
          <w:color w:val="000000" w:themeColor="text1"/>
        </w:rPr>
        <w:t>Xxxxx</w:t>
      </w:r>
      <w:r w:rsidR="00BC3AAB" w:rsidRPr="00917C1B">
        <w:rPr>
          <w:rFonts w:ascii="Palatino Linotype" w:hAnsi="Palatino Linotype" w:cs="Arial"/>
          <w:b/>
          <w:color w:val="000000" w:themeColor="text1"/>
        </w:rPr>
        <w:t xml:space="preserve"> </w:t>
      </w:r>
      <w:r w:rsidR="009D14CF" w:rsidRPr="00917C1B">
        <w:rPr>
          <w:rFonts w:ascii="Palatino Linotype" w:hAnsi="Palatino Linotype" w:cs="Arial"/>
          <w:b/>
          <w:color w:val="000000" w:themeColor="text1"/>
        </w:rPr>
        <w:t>x</w:t>
      </w:r>
      <w:r w:rsidR="00BC3AAB" w:rsidRPr="00917C1B">
        <w:rPr>
          <w:rFonts w:ascii="Palatino Linotype" w:hAnsi="Palatino Linotype" w:cs="Arial"/>
          <w:b/>
          <w:color w:val="000000" w:themeColor="text1"/>
        </w:rPr>
        <w:t xml:space="preserve"> </w:t>
      </w:r>
      <w:r w:rsidR="009D14CF" w:rsidRPr="00917C1B">
        <w:rPr>
          <w:rFonts w:ascii="Palatino Linotype" w:hAnsi="Palatino Linotype" w:cs="Arial"/>
          <w:b/>
          <w:color w:val="000000" w:themeColor="text1"/>
        </w:rPr>
        <w:t>x</w:t>
      </w:r>
      <w:r w:rsidRPr="00917C1B">
        <w:rPr>
          <w:rFonts w:ascii="Palatino Linotype" w:hAnsi="Palatino Linotype" w:cs="Arial"/>
          <w:color w:val="000000" w:themeColor="text1"/>
        </w:rPr>
        <w:t>,</w:t>
      </w:r>
      <w:r w:rsidR="004440AC" w:rsidRPr="00917C1B">
        <w:rPr>
          <w:rFonts w:ascii="Palatino Linotype" w:hAnsi="Palatino Linotype" w:cs="Arial"/>
          <w:color w:val="000000" w:themeColor="text1"/>
        </w:rPr>
        <w:t xml:space="preserve"> </w:t>
      </w:r>
      <w:r w:rsidR="007E64E0" w:rsidRPr="00917C1B">
        <w:rPr>
          <w:rFonts w:ascii="Palatino Linotype" w:hAnsi="Palatino Linotype" w:cs="Arial"/>
          <w:color w:val="000000" w:themeColor="text1"/>
        </w:rPr>
        <w:t>a q</w:t>
      </w:r>
      <w:r w:rsidR="004440AC" w:rsidRPr="00917C1B">
        <w:rPr>
          <w:rFonts w:ascii="Palatino Linotype" w:hAnsi="Palatino Linotype" w:cs="Arial"/>
          <w:color w:val="000000" w:themeColor="text1"/>
        </w:rPr>
        <w:t>uien</w:t>
      </w:r>
      <w:r w:rsidRPr="00917C1B">
        <w:rPr>
          <w:rFonts w:ascii="Palatino Linotype" w:hAnsi="Palatino Linotype" w:cs="Arial"/>
          <w:color w:val="000000" w:themeColor="text1"/>
        </w:rPr>
        <w:t xml:space="preserve"> en lo sucesivo se le denominará </w:t>
      </w:r>
      <w:r w:rsidR="00BC3AAB" w:rsidRPr="00917C1B">
        <w:rPr>
          <w:rFonts w:ascii="Palatino Linotype" w:hAnsi="Palatino Linotype" w:cs="Arial"/>
          <w:color w:val="000000" w:themeColor="text1"/>
        </w:rPr>
        <w:t>el</w:t>
      </w:r>
      <w:r w:rsidR="004C7629" w:rsidRPr="00917C1B">
        <w:rPr>
          <w:rFonts w:ascii="Palatino Linotype" w:hAnsi="Palatino Linotype" w:cs="Arial"/>
          <w:color w:val="000000" w:themeColor="text1"/>
        </w:rPr>
        <w:t xml:space="preserve"> </w:t>
      </w:r>
      <w:r w:rsidR="004C7629" w:rsidRPr="00917C1B">
        <w:rPr>
          <w:rFonts w:ascii="Palatino Linotype" w:hAnsi="Palatino Linotype" w:cs="Arial"/>
          <w:b/>
          <w:i/>
          <w:color w:val="000000" w:themeColor="text1"/>
        </w:rPr>
        <w:t>Recurrente</w:t>
      </w:r>
      <w:r w:rsidRPr="00917C1B">
        <w:rPr>
          <w:rFonts w:ascii="Palatino Linotype" w:hAnsi="Palatino Linotype" w:cs="Arial"/>
          <w:b/>
          <w:i/>
          <w:color w:val="000000" w:themeColor="text1"/>
        </w:rPr>
        <w:t xml:space="preserve"> </w:t>
      </w:r>
      <w:r w:rsidRPr="00917C1B">
        <w:rPr>
          <w:rFonts w:ascii="Palatino Linotype" w:hAnsi="Palatino Linotype" w:cs="Arial"/>
          <w:color w:val="000000" w:themeColor="text1"/>
        </w:rPr>
        <w:t>en contra de la respuesta</w:t>
      </w:r>
      <w:r w:rsidR="00E66AC9" w:rsidRPr="00917C1B">
        <w:rPr>
          <w:rFonts w:ascii="Palatino Linotype" w:hAnsi="Palatino Linotype" w:cs="Arial"/>
          <w:color w:val="000000" w:themeColor="text1"/>
        </w:rPr>
        <w:t xml:space="preserve"> a</w:t>
      </w:r>
      <w:r w:rsidRPr="00917C1B">
        <w:rPr>
          <w:rFonts w:ascii="Palatino Linotype" w:hAnsi="Palatino Linotype" w:cs="Arial"/>
          <w:color w:val="000000" w:themeColor="text1"/>
        </w:rPr>
        <w:t xml:space="preserve"> su solicitud de in</w:t>
      </w:r>
      <w:r w:rsidR="004440AC" w:rsidRPr="00917C1B">
        <w:rPr>
          <w:rFonts w:ascii="Palatino Linotype" w:hAnsi="Palatino Linotype" w:cs="Arial"/>
          <w:color w:val="000000" w:themeColor="text1"/>
        </w:rPr>
        <w:t xml:space="preserve">formación con número de folio </w:t>
      </w:r>
      <w:r w:rsidR="00BC3AAB" w:rsidRPr="00917C1B">
        <w:rPr>
          <w:rFonts w:ascii="Palatino Linotype" w:eastAsiaTheme="minorEastAsia" w:hAnsi="Palatino Linotype" w:cs="Arial"/>
          <w:b/>
          <w:color w:val="000000" w:themeColor="text1"/>
          <w:sz w:val="22"/>
          <w:szCs w:val="22"/>
          <w:lang w:val="es-MX"/>
        </w:rPr>
        <w:t>00022/PVERDE/IP/2018</w:t>
      </w:r>
      <w:r w:rsidRPr="00917C1B">
        <w:rPr>
          <w:rFonts w:ascii="Palatino Linotype" w:hAnsi="Palatino Linotype" w:cs="Arial"/>
          <w:color w:val="000000" w:themeColor="text1"/>
        </w:rPr>
        <w:t xml:space="preserve">, </w:t>
      </w:r>
      <w:r w:rsidR="004440AC" w:rsidRPr="00917C1B">
        <w:rPr>
          <w:rFonts w:ascii="Palatino Linotype" w:hAnsi="Palatino Linotype" w:cs="Arial"/>
          <w:color w:val="000000" w:themeColor="text1"/>
        </w:rPr>
        <w:t xml:space="preserve">la cual fue otorgada </w:t>
      </w:r>
      <w:r w:rsidRPr="00917C1B">
        <w:rPr>
          <w:rFonts w:ascii="Palatino Linotype" w:hAnsi="Palatino Linotype" w:cs="Arial"/>
          <w:color w:val="000000" w:themeColor="text1"/>
        </w:rPr>
        <w:t xml:space="preserve">por </w:t>
      </w:r>
      <w:r w:rsidR="00E5452C" w:rsidRPr="00917C1B">
        <w:rPr>
          <w:rFonts w:ascii="Palatino Linotype" w:hAnsi="Palatino Linotype" w:cs="Arial"/>
          <w:color w:val="000000" w:themeColor="text1"/>
        </w:rPr>
        <w:t>el</w:t>
      </w:r>
      <w:r w:rsidR="008F355E" w:rsidRPr="00917C1B">
        <w:rPr>
          <w:rFonts w:ascii="Palatino Linotype" w:hAnsi="Palatino Linotype" w:cs="Arial"/>
          <w:color w:val="000000" w:themeColor="text1"/>
        </w:rPr>
        <w:t xml:space="preserve"> </w:t>
      </w:r>
      <w:r w:rsidR="00BC3AAB" w:rsidRPr="00917C1B">
        <w:rPr>
          <w:rFonts w:ascii="Palatino Linotype" w:hAnsi="Palatino Linotype" w:cs="Arial"/>
          <w:b/>
          <w:color w:val="000000" w:themeColor="text1"/>
        </w:rPr>
        <w:t>Partido Verde Ecologista de México</w:t>
      </w:r>
      <w:r w:rsidR="008F355E" w:rsidRPr="00917C1B">
        <w:rPr>
          <w:rFonts w:ascii="Palatino Linotype" w:hAnsi="Palatino Linotype" w:cs="Arial"/>
          <w:color w:val="000000" w:themeColor="text1"/>
        </w:rPr>
        <w:t>,</w:t>
      </w:r>
      <w:r w:rsidRPr="00917C1B">
        <w:rPr>
          <w:rFonts w:ascii="Palatino Linotype" w:hAnsi="Palatino Linotype" w:cs="Arial"/>
          <w:color w:val="000000" w:themeColor="text1"/>
        </w:rPr>
        <w:t xml:space="preserve"> en lo sucesivo el </w:t>
      </w:r>
      <w:r w:rsidRPr="00917C1B">
        <w:rPr>
          <w:rFonts w:ascii="Palatino Linotype" w:hAnsi="Palatino Linotype" w:cs="Arial"/>
          <w:b/>
          <w:color w:val="000000" w:themeColor="text1"/>
        </w:rPr>
        <w:t>Sujeto Obligado</w:t>
      </w:r>
      <w:r w:rsidRPr="00917C1B">
        <w:rPr>
          <w:rFonts w:ascii="Palatino Linotype" w:hAnsi="Palatino Linotype" w:cs="Arial"/>
          <w:color w:val="000000" w:themeColor="text1"/>
        </w:rPr>
        <w:t>;</w:t>
      </w:r>
      <w:r w:rsidRPr="00917C1B">
        <w:rPr>
          <w:rFonts w:ascii="Palatino Linotype" w:hAnsi="Palatino Linotype" w:cs="Arial"/>
          <w:b/>
          <w:color w:val="000000" w:themeColor="text1"/>
        </w:rPr>
        <w:t xml:space="preserve"> </w:t>
      </w:r>
      <w:r w:rsidRPr="00917C1B">
        <w:rPr>
          <w:rFonts w:ascii="Palatino Linotype" w:hAnsi="Palatino Linotype" w:cs="Arial"/>
          <w:color w:val="000000" w:themeColor="text1"/>
        </w:rPr>
        <w:t>se procede a dictar la presente resolución, con base en lo siguiente.</w:t>
      </w:r>
    </w:p>
    <w:p w14:paraId="1A4B04B4" w14:textId="6FE3E403" w:rsidR="008E7698" w:rsidRPr="00917C1B" w:rsidRDefault="004A6EFE" w:rsidP="004A6EFE">
      <w:pPr>
        <w:pStyle w:val="Ttulo2"/>
        <w:jc w:val="center"/>
        <w:rPr>
          <w:rFonts w:ascii="Palatino Linotype" w:hAnsi="Palatino Linotype"/>
          <w:b/>
          <w:color w:val="000000" w:themeColor="text1"/>
          <w:sz w:val="24"/>
          <w:szCs w:val="24"/>
        </w:rPr>
      </w:pPr>
      <w:r w:rsidRPr="00917C1B">
        <w:rPr>
          <w:rFonts w:ascii="Palatino Linotype" w:hAnsi="Palatino Linotype"/>
          <w:b/>
          <w:color w:val="000000" w:themeColor="text1"/>
          <w:sz w:val="24"/>
          <w:szCs w:val="24"/>
        </w:rPr>
        <w:t xml:space="preserve">I. </w:t>
      </w:r>
      <w:r w:rsidR="008E7698" w:rsidRPr="00917C1B">
        <w:rPr>
          <w:rFonts w:ascii="Palatino Linotype" w:hAnsi="Palatino Linotype"/>
          <w:b/>
          <w:color w:val="000000" w:themeColor="text1"/>
          <w:sz w:val="24"/>
          <w:szCs w:val="24"/>
        </w:rPr>
        <w:t>A N T E C E D E N T E S:</w:t>
      </w:r>
    </w:p>
    <w:p w14:paraId="4B0026B6" w14:textId="07669FC2" w:rsidR="008E7698" w:rsidRPr="00917C1B" w:rsidRDefault="008E7698" w:rsidP="008E7698">
      <w:pPr>
        <w:spacing w:before="240" w:after="240" w:line="360" w:lineRule="auto"/>
        <w:jc w:val="both"/>
        <w:rPr>
          <w:rFonts w:ascii="Palatino Linotype" w:hAnsi="Palatino Linotype" w:cs="Arial"/>
          <w:b/>
          <w:color w:val="000000" w:themeColor="text1"/>
        </w:rPr>
      </w:pPr>
      <w:r w:rsidRPr="00917C1B">
        <w:rPr>
          <w:rFonts w:ascii="Palatino Linotype" w:hAnsi="Palatino Linotype" w:cs="Arial"/>
          <w:b/>
          <w:color w:val="000000" w:themeColor="text1"/>
          <w:sz w:val="28"/>
          <w:szCs w:val="28"/>
        </w:rPr>
        <w:t>1. Solicitud de acceso a la información.</w:t>
      </w:r>
      <w:r w:rsidRPr="00917C1B">
        <w:rPr>
          <w:rFonts w:ascii="Palatino Linotype" w:hAnsi="Palatino Linotype" w:cs="Arial"/>
          <w:b/>
          <w:color w:val="000000" w:themeColor="text1"/>
        </w:rPr>
        <w:t xml:space="preserve"> </w:t>
      </w:r>
      <w:r w:rsidRPr="00917C1B">
        <w:rPr>
          <w:rFonts w:ascii="Palatino Linotype" w:hAnsi="Palatino Linotype" w:cs="Arial"/>
          <w:color w:val="000000" w:themeColor="text1"/>
        </w:rPr>
        <w:t>Con</w:t>
      </w:r>
      <w:r w:rsidR="004440AC" w:rsidRPr="00917C1B">
        <w:rPr>
          <w:rFonts w:ascii="Palatino Linotype" w:hAnsi="Palatino Linotype" w:cs="Arial"/>
          <w:color w:val="000000" w:themeColor="text1"/>
        </w:rPr>
        <w:t xml:space="preserve"> fecha </w:t>
      </w:r>
      <w:r w:rsidR="00BC3AAB" w:rsidRPr="00917C1B">
        <w:rPr>
          <w:rFonts w:ascii="Palatino Linotype" w:hAnsi="Palatino Linotype" w:cs="Arial"/>
          <w:color w:val="000000" w:themeColor="text1"/>
        </w:rPr>
        <w:t>veintis</w:t>
      </w:r>
      <w:r w:rsidR="00140FFE" w:rsidRPr="00917C1B">
        <w:rPr>
          <w:rFonts w:ascii="Palatino Linotype" w:hAnsi="Palatino Linotype" w:cs="Arial"/>
          <w:color w:val="000000" w:themeColor="text1"/>
        </w:rPr>
        <w:t>iete</w:t>
      </w:r>
      <w:r w:rsidR="00BC3AAB" w:rsidRPr="00917C1B">
        <w:rPr>
          <w:rFonts w:ascii="Palatino Linotype" w:hAnsi="Palatino Linotype" w:cs="Arial"/>
          <w:color w:val="000000" w:themeColor="text1"/>
        </w:rPr>
        <w:t xml:space="preserve"> de junio</w:t>
      </w:r>
      <w:r w:rsidR="009D502B" w:rsidRPr="00917C1B">
        <w:rPr>
          <w:rFonts w:ascii="Palatino Linotype" w:hAnsi="Palatino Linotype" w:cs="Arial"/>
          <w:color w:val="000000" w:themeColor="text1"/>
        </w:rPr>
        <w:t xml:space="preserve"> </w:t>
      </w:r>
      <w:r w:rsidRPr="00917C1B">
        <w:rPr>
          <w:rFonts w:ascii="Palatino Linotype" w:hAnsi="Palatino Linotype" w:cs="Arial"/>
          <w:color w:val="000000" w:themeColor="text1"/>
        </w:rPr>
        <w:t xml:space="preserve">de dos mil </w:t>
      </w:r>
      <w:r w:rsidR="00682656" w:rsidRPr="00917C1B">
        <w:rPr>
          <w:rFonts w:ascii="Palatino Linotype" w:hAnsi="Palatino Linotype" w:cs="Arial"/>
          <w:color w:val="000000" w:themeColor="text1"/>
        </w:rPr>
        <w:t>dieci</w:t>
      </w:r>
      <w:r w:rsidR="00327357" w:rsidRPr="00917C1B">
        <w:rPr>
          <w:rFonts w:ascii="Palatino Linotype" w:hAnsi="Palatino Linotype" w:cs="Arial"/>
          <w:color w:val="000000" w:themeColor="text1"/>
        </w:rPr>
        <w:t>ocho</w:t>
      </w:r>
      <w:r w:rsidR="00682656" w:rsidRPr="00917C1B">
        <w:rPr>
          <w:rFonts w:ascii="Palatino Linotype" w:hAnsi="Palatino Linotype" w:cs="Arial"/>
          <w:color w:val="000000" w:themeColor="text1"/>
        </w:rPr>
        <w:t xml:space="preserve">, </w:t>
      </w:r>
      <w:r w:rsidR="00BC3AAB" w:rsidRPr="00917C1B">
        <w:rPr>
          <w:rFonts w:ascii="Palatino Linotype" w:hAnsi="Palatino Linotype" w:cs="Arial"/>
          <w:color w:val="000000" w:themeColor="text1"/>
        </w:rPr>
        <w:t>el</w:t>
      </w:r>
      <w:r w:rsidRPr="00917C1B">
        <w:rPr>
          <w:rFonts w:ascii="Palatino Linotype" w:hAnsi="Palatino Linotype" w:cs="Arial"/>
          <w:color w:val="000000" w:themeColor="text1"/>
        </w:rPr>
        <w:t xml:space="preserve"> ahora </w:t>
      </w:r>
      <w:r w:rsidR="00DE7F9A" w:rsidRPr="00917C1B">
        <w:rPr>
          <w:rFonts w:ascii="Palatino Linotype" w:hAnsi="Palatino Linotype" w:cs="Arial"/>
          <w:b/>
          <w:i/>
          <w:color w:val="000000" w:themeColor="text1"/>
        </w:rPr>
        <w:t>Recurrente</w:t>
      </w:r>
      <w:r w:rsidRPr="00917C1B">
        <w:rPr>
          <w:rFonts w:ascii="Palatino Linotype" w:hAnsi="Palatino Linotype" w:cs="Arial"/>
          <w:color w:val="000000" w:themeColor="text1"/>
        </w:rPr>
        <w:t xml:space="preserve"> formuló solicitud de acceso a </w:t>
      </w:r>
      <w:r w:rsidR="00DF1223" w:rsidRPr="00917C1B">
        <w:rPr>
          <w:rFonts w:ascii="Palatino Linotype" w:hAnsi="Palatino Linotype" w:cs="Arial"/>
          <w:color w:val="000000" w:themeColor="text1"/>
        </w:rPr>
        <w:t xml:space="preserve">la </w:t>
      </w:r>
      <w:r w:rsidRPr="00917C1B">
        <w:rPr>
          <w:rFonts w:ascii="Palatino Linotype" w:hAnsi="Palatino Linotype" w:cs="Arial"/>
          <w:color w:val="000000" w:themeColor="text1"/>
        </w:rPr>
        <w:t xml:space="preserve">información pública al </w:t>
      </w:r>
      <w:r w:rsidRPr="00917C1B">
        <w:rPr>
          <w:rFonts w:ascii="Palatino Linotype" w:hAnsi="Palatino Linotype" w:cs="Arial"/>
          <w:b/>
          <w:color w:val="000000" w:themeColor="text1"/>
        </w:rPr>
        <w:t>Sujeto Obligado</w:t>
      </w:r>
      <w:r w:rsidRPr="00917C1B">
        <w:rPr>
          <w:rFonts w:ascii="Palatino Linotype" w:hAnsi="Palatino Linotype" w:cs="Arial"/>
          <w:color w:val="000000" w:themeColor="text1"/>
        </w:rPr>
        <w:t xml:space="preserve"> a través del Sistema de Acceso a la Información Mexiquense, en adelante </w:t>
      </w:r>
      <w:r w:rsidRPr="00917C1B">
        <w:rPr>
          <w:rFonts w:ascii="Palatino Linotype" w:hAnsi="Palatino Linotype" w:cs="Arial"/>
          <w:b/>
          <w:color w:val="000000" w:themeColor="text1"/>
        </w:rPr>
        <w:t>SAIMEX,</w:t>
      </w:r>
      <w:r w:rsidRPr="00917C1B">
        <w:rPr>
          <w:rFonts w:ascii="Palatino Linotype" w:hAnsi="Palatino Linotype" w:cs="Arial"/>
          <w:color w:val="000000" w:themeColor="text1"/>
        </w:rPr>
        <w:t xml:space="preserve"> </w:t>
      </w:r>
      <w:r w:rsidR="00BC3AAB" w:rsidRPr="00917C1B">
        <w:rPr>
          <w:rFonts w:ascii="Palatino Linotype" w:hAnsi="Palatino Linotype" w:cs="Arial"/>
          <w:color w:val="000000" w:themeColor="text1"/>
        </w:rPr>
        <w:t>requiriendo</w:t>
      </w:r>
      <w:r w:rsidRPr="00917C1B">
        <w:rPr>
          <w:rFonts w:ascii="Palatino Linotype" w:hAnsi="Palatino Linotype" w:cs="Arial"/>
          <w:color w:val="000000" w:themeColor="text1"/>
        </w:rPr>
        <w:t xml:space="preserve"> lo siguiente:</w:t>
      </w:r>
    </w:p>
    <w:p w14:paraId="3F4E6C5F" w14:textId="728B90CF" w:rsidR="00293DE5" w:rsidRPr="00917C1B" w:rsidRDefault="00293DE5" w:rsidP="008F355E">
      <w:pPr>
        <w:spacing w:before="240" w:after="240" w:line="360" w:lineRule="auto"/>
        <w:ind w:left="851" w:right="902"/>
        <w:jc w:val="both"/>
        <w:rPr>
          <w:rFonts w:ascii="Palatino Linotype" w:hAnsi="Palatino Linotype" w:cs="Arial"/>
          <w:b/>
          <w:i/>
          <w:color w:val="000000" w:themeColor="text1"/>
        </w:rPr>
      </w:pPr>
      <w:r w:rsidRPr="00917C1B">
        <w:rPr>
          <w:rFonts w:ascii="Palatino Linotype" w:eastAsiaTheme="minorEastAsia" w:hAnsi="Palatino Linotype" w:cs="Arial"/>
          <w:i/>
          <w:color w:val="000000" w:themeColor="text1"/>
          <w:lang w:val="es-MX"/>
        </w:rPr>
        <w:t>“</w:t>
      </w:r>
      <w:r w:rsidR="00BC3AAB" w:rsidRPr="00917C1B">
        <w:rPr>
          <w:rFonts w:ascii="Palatino Linotype" w:hAnsi="Palatino Linotype"/>
          <w:i/>
          <w:color w:val="000000" w:themeColor="text1"/>
        </w:rPr>
        <w:t>Padrón de militantes y simpatizantes en el municipio de Temascalcingo Plataforma Electoral para el municipio de Temascalcingo Evidencia del cumplimiento de los requisitos de elegibilidad de los candidatos propietarios y suplentes integrantes de la palnilla al Ayuntamiento de Temascalcingo</w:t>
      </w:r>
      <w:r w:rsidR="004F5243" w:rsidRPr="00917C1B">
        <w:rPr>
          <w:rFonts w:ascii="Palatino Linotype" w:hAnsi="Palatino Linotype" w:cs="Arial"/>
          <w:i/>
          <w:color w:val="000000" w:themeColor="text1"/>
        </w:rPr>
        <w:t>”</w:t>
      </w:r>
      <w:r w:rsidR="00C673D1" w:rsidRPr="00917C1B">
        <w:rPr>
          <w:rFonts w:ascii="Palatino Linotype" w:hAnsi="Palatino Linotype" w:cs="Arial"/>
          <w:color w:val="000000" w:themeColor="text1"/>
          <w:sz w:val="16"/>
          <w:szCs w:val="16"/>
        </w:rPr>
        <w:t>(sic)</w:t>
      </w:r>
    </w:p>
    <w:p w14:paraId="649BFEDD" w14:textId="0D781E76" w:rsidR="00293DE5" w:rsidRPr="00917C1B" w:rsidRDefault="008F355E" w:rsidP="008E7698">
      <w:pPr>
        <w:spacing w:before="240" w:after="240" w:line="360" w:lineRule="auto"/>
        <w:jc w:val="both"/>
        <w:rPr>
          <w:rFonts w:ascii="Palatino Linotype" w:hAnsi="Palatino Linotype" w:cs="Arial"/>
          <w:b/>
          <w:color w:val="000000" w:themeColor="text1"/>
        </w:rPr>
      </w:pPr>
      <w:r w:rsidRPr="00917C1B">
        <w:rPr>
          <w:rFonts w:ascii="Palatino Linotype" w:hAnsi="Palatino Linotype" w:cs="Arial"/>
          <w:color w:val="000000" w:themeColor="text1"/>
        </w:rPr>
        <w:t>El</w:t>
      </w:r>
      <w:r w:rsidR="00293DE5" w:rsidRPr="00917C1B">
        <w:rPr>
          <w:rFonts w:ascii="Palatino Linotype" w:hAnsi="Palatino Linotype" w:cs="Arial"/>
          <w:color w:val="000000" w:themeColor="text1"/>
        </w:rPr>
        <w:t xml:space="preserve"> solicitante indicó como modalidad de entrega el</w:t>
      </w:r>
      <w:r w:rsidR="00293DE5" w:rsidRPr="00917C1B">
        <w:rPr>
          <w:rFonts w:ascii="Palatino Linotype" w:hAnsi="Palatino Linotype" w:cs="Arial"/>
          <w:b/>
          <w:color w:val="000000" w:themeColor="text1"/>
        </w:rPr>
        <w:t xml:space="preserve"> SAIMEX</w:t>
      </w:r>
      <w:r w:rsidR="00451F5B" w:rsidRPr="00917C1B">
        <w:rPr>
          <w:rFonts w:ascii="Palatino Linotype" w:hAnsi="Palatino Linotype" w:cs="Arial"/>
          <w:b/>
          <w:color w:val="000000" w:themeColor="text1"/>
        </w:rPr>
        <w:t>.</w:t>
      </w:r>
    </w:p>
    <w:p w14:paraId="486A14B9" w14:textId="37F8C9C5" w:rsidR="008E7698" w:rsidRPr="00917C1B" w:rsidRDefault="008E7698" w:rsidP="008E7698">
      <w:pPr>
        <w:spacing w:before="240" w:after="240" w:line="360" w:lineRule="auto"/>
        <w:jc w:val="both"/>
        <w:rPr>
          <w:rFonts w:ascii="Palatino Linotype" w:hAnsi="Palatino Linotype" w:cs="Arial"/>
          <w:color w:val="000000" w:themeColor="text1"/>
        </w:rPr>
      </w:pPr>
      <w:r w:rsidRPr="00917C1B">
        <w:rPr>
          <w:rFonts w:ascii="Palatino Linotype" w:hAnsi="Palatino Linotype" w:cs="Arial"/>
          <w:b/>
          <w:color w:val="000000" w:themeColor="text1"/>
          <w:sz w:val="28"/>
          <w:szCs w:val="28"/>
        </w:rPr>
        <w:lastRenderedPageBreak/>
        <w:t xml:space="preserve">2. </w:t>
      </w:r>
      <w:r w:rsidR="008F355E" w:rsidRPr="00917C1B">
        <w:rPr>
          <w:rFonts w:ascii="Palatino Linotype" w:hAnsi="Palatino Linotype" w:cs="Arial"/>
          <w:b/>
          <w:color w:val="000000" w:themeColor="text1"/>
          <w:sz w:val="28"/>
          <w:szCs w:val="28"/>
        </w:rPr>
        <w:t>Respuesta</w:t>
      </w:r>
      <w:r w:rsidRPr="00917C1B">
        <w:rPr>
          <w:rFonts w:ascii="Palatino Linotype" w:hAnsi="Palatino Linotype" w:cs="Arial"/>
          <w:b/>
          <w:color w:val="000000" w:themeColor="text1"/>
          <w:sz w:val="28"/>
          <w:szCs w:val="28"/>
        </w:rPr>
        <w:t>.</w:t>
      </w:r>
      <w:r w:rsidRPr="00917C1B">
        <w:rPr>
          <w:rFonts w:ascii="Palatino Linotype" w:hAnsi="Palatino Linotype" w:cs="Arial"/>
          <w:b/>
          <w:color w:val="000000" w:themeColor="text1"/>
        </w:rPr>
        <w:t xml:space="preserve"> </w:t>
      </w:r>
      <w:r w:rsidRPr="00917C1B">
        <w:rPr>
          <w:rFonts w:ascii="Palatino Linotype" w:hAnsi="Palatino Linotype" w:cs="Arial"/>
          <w:color w:val="000000" w:themeColor="text1"/>
        </w:rPr>
        <w:t>Con fecha</w:t>
      </w:r>
      <w:r w:rsidR="00D53645" w:rsidRPr="00917C1B">
        <w:rPr>
          <w:rFonts w:ascii="Palatino Linotype" w:hAnsi="Palatino Linotype" w:cs="Arial"/>
          <w:color w:val="000000" w:themeColor="text1"/>
        </w:rPr>
        <w:t xml:space="preserve"> </w:t>
      </w:r>
      <w:r w:rsidR="00BC3AAB" w:rsidRPr="00917C1B">
        <w:rPr>
          <w:rFonts w:ascii="Palatino Linotype" w:hAnsi="Palatino Linotype" w:cs="Arial"/>
          <w:color w:val="000000" w:themeColor="text1"/>
        </w:rPr>
        <w:t>dieciséis de julio</w:t>
      </w:r>
      <w:r w:rsidR="00E5452C" w:rsidRPr="00917C1B">
        <w:rPr>
          <w:rFonts w:ascii="Palatino Linotype" w:hAnsi="Palatino Linotype" w:cs="Arial"/>
          <w:color w:val="000000" w:themeColor="text1"/>
        </w:rPr>
        <w:t xml:space="preserve"> </w:t>
      </w:r>
      <w:r w:rsidR="00327357" w:rsidRPr="00917C1B">
        <w:rPr>
          <w:rFonts w:ascii="Palatino Linotype" w:hAnsi="Palatino Linotype" w:cs="Arial"/>
          <w:color w:val="000000" w:themeColor="text1"/>
        </w:rPr>
        <w:t>del año en curso</w:t>
      </w:r>
      <w:r w:rsidR="00E5452C" w:rsidRPr="00917C1B">
        <w:rPr>
          <w:rFonts w:ascii="Palatino Linotype" w:hAnsi="Palatino Linotype" w:cs="Arial"/>
          <w:color w:val="000000" w:themeColor="text1"/>
        </w:rPr>
        <w:t>,</w:t>
      </w:r>
      <w:r w:rsidR="00D53645" w:rsidRPr="00917C1B">
        <w:rPr>
          <w:rFonts w:ascii="Palatino Linotype" w:hAnsi="Palatino Linotype" w:cs="Arial"/>
          <w:color w:val="000000" w:themeColor="text1"/>
        </w:rPr>
        <w:t xml:space="preserve"> </w:t>
      </w:r>
      <w:r w:rsidRPr="00917C1B">
        <w:rPr>
          <w:rFonts w:ascii="Palatino Linotype" w:hAnsi="Palatino Linotype" w:cs="Arial"/>
          <w:color w:val="000000" w:themeColor="text1"/>
        </w:rPr>
        <w:t xml:space="preserve">a través del </w:t>
      </w:r>
      <w:r w:rsidR="00E5452C" w:rsidRPr="00917C1B">
        <w:rPr>
          <w:rFonts w:ascii="Palatino Linotype" w:hAnsi="Palatino Linotype" w:cs="Arial"/>
          <w:color w:val="000000" w:themeColor="text1"/>
        </w:rPr>
        <w:t xml:space="preserve">sistema electrónico </w:t>
      </w:r>
      <w:r w:rsidRPr="00917C1B">
        <w:rPr>
          <w:rFonts w:ascii="Palatino Linotype" w:hAnsi="Palatino Linotype" w:cs="Arial"/>
          <w:color w:val="000000" w:themeColor="text1"/>
        </w:rPr>
        <w:t xml:space="preserve">SAIMEX, </w:t>
      </w:r>
      <w:r w:rsidR="00E5452C" w:rsidRPr="00917C1B">
        <w:rPr>
          <w:rFonts w:ascii="Palatino Linotype" w:hAnsi="Palatino Linotype" w:cs="Arial"/>
          <w:color w:val="000000" w:themeColor="text1"/>
        </w:rPr>
        <w:t xml:space="preserve">el </w:t>
      </w:r>
      <w:r w:rsidR="00E5452C" w:rsidRPr="00917C1B">
        <w:rPr>
          <w:rFonts w:ascii="Palatino Linotype" w:hAnsi="Palatino Linotype" w:cs="Arial"/>
          <w:b/>
          <w:color w:val="000000" w:themeColor="text1"/>
        </w:rPr>
        <w:t xml:space="preserve">Sujeto Obligado </w:t>
      </w:r>
      <w:r w:rsidR="008F355E" w:rsidRPr="00917C1B">
        <w:rPr>
          <w:rFonts w:ascii="Palatino Linotype" w:hAnsi="Palatino Linotype" w:cs="Arial"/>
          <w:color w:val="000000" w:themeColor="text1"/>
        </w:rPr>
        <w:t xml:space="preserve">notificó </w:t>
      </w:r>
      <w:r w:rsidR="00E5452C" w:rsidRPr="00917C1B">
        <w:rPr>
          <w:rFonts w:ascii="Palatino Linotype" w:hAnsi="Palatino Linotype" w:cs="Arial"/>
          <w:color w:val="000000" w:themeColor="text1"/>
        </w:rPr>
        <w:t>a</w:t>
      </w:r>
      <w:r w:rsidR="00361B13" w:rsidRPr="00917C1B">
        <w:rPr>
          <w:rFonts w:ascii="Palatino Linotype" w:hAnsi="Palatino Linotype" w:cs="Arial"/>
          <w:color w:val="000000" w:themeColor="text1"/>
        </w:rPr>
        <w:t xml:space="preserve"> </w:t>
      </w:r>
      <w:r w:rsidR="00E5452C" w:rsidRPr="00917C1B">
        <w:rPr>
          <w:rFonts w:ascii="Palatino Linotype" w:hAnsi="Palatino Linotype" w:cs="Arial"/>
          <w:color w:val="000000" w:themeColor="text1"/>
        </w:rPr>
        <w:t>l</w:t>
      </w:r>
      <w:r w:rsidR="00361B13" w:rsidRPr="00917C1B">
        <w:rPr>
          <w:rFonts w:ascii="Palatino Linotype" w:hAnsi="Palatino Linotype" w:cs="Arial"/>
          <w:color w:val="000000" w:themeColor="text1"/>
        </w:rPr>
        <w:t>a</w:t>
      </w:r>
      <w:r w:rsidR="00E5452C" w:rsidRPr="00917C1B">
        <w:rPr>
          <w:rFonts w:ascii="Palatino Linotype" w:hAnsi="Palatino Linotype" w:cs="Arial"/>
          <w:color w:val="000000" w:themeColor="text1"/>
        </w:rPr>
        <w:t xml:space="preserve"> particular la respuesta siguiente</w:t>
      </w:r>
      <w:r w:rsidR="008F355E" w:rsidRPr="00917C1B">
        <w:rPr>
          <w:rFonts w:ascii="Palatino Linotype" w:hAnsi="Palatino Linotype" w:cs="Arial"/>
          <w:color w:val="000000" w:themeColor="text1"/>
        </w:rPr>
        <w:t>:</w:t>
      </w:r>
    </w:p>
    <w:p w14:paraId="224399FE" w14:textId="4AC0F5AC" w:rsidR="00E5452C" w:rsidRPr="00917C1B" w:rsidRDefault="00E5452C" w:rsidP="00E5452C">
      <w:pPr>
        <w:spacing w:before="240" w:after="240" w:line="360" w:lineRule="auto"/>
        <w:ind w:left="851" w:right="900"/>
        <w:jc w:val="both"/>
        <w:rPr>
          <w:rFonts w:ascii="Palatino Linotype" w:hAnsi="Palatino Linotype" w:cs="Arial"/>
          <w:color w:val="000000" w:themeColor="text1"/>
          <w:sz w:val="20"/>
        </w:rPr>
      </w:pPr>
      <w:r w:rsidRPr="00917C1B">
        <w:rPr>
          <w:rFonts w:ascii="Palatino Linotype" w:hAnsi="Palatino Linotype"/>
          <w:i/>
          <w:color w:val="000000" w:themeColor="text1"/>
        </w:rPr>
        <w:t>“</w:t>
      </w:r>
      <w:r w:rsidR="009D502B" w:rsidRPr="00917C1B">
        <w:rPr>
          <w:rFonts w:ascii="Palatino Linotype" w:hAnsi="Palatino Linotype"/>
          <w:i/>
          <w:color w:val="000000" w:themeColor="text1"/>
        </w:rPr>
        <w:t>…</w:t>
      </w:r>
      <w:r w:rsidR="00BC3AAB" w:rsidRPr="00917C1B">
        <w:rPr>
          <w:rFonts w:ascii="Palatino Linotype" w:hAnsi="Palatino Linotype"/>
          <w:i/>
          <w:color w:val="000000" w:themeColor="text1"/>
        </w:rPr>
        <w:t>El padrón de afiliados o militantes, será entregado como anexo; también podrá consultarlo en el siguiente link: http://afiliados.pvem-email.org.mx/ Con respecto a la Plataforma Electoral se le informa que no se realizan de forma individual, sin embargo, será anexada a la presente respuesta la plataforma electoral municipal. Además, podrá consultarlas en la página http://www.ieem.org.mx/ o en el siguiente link: http://www.ieem.org.mx/2018/PLATAFORMAS-2018/pvem.html Los requisitos de elegibilidad que se atendieron para los candidatos propietarios y suplentes integrantes de la planilla para el municipio de Temascalcingo, son aquellos en base a lo establecido en los artículos 16, 17, 18 y 19 del Código Electoral del Estado de México y los artículos 55, 56, 57, 58, 59, 60, 61 y 62 de los Estatutos del Partido Verde Ecologista de México; mismos que podrá ser consultados en la Base Quinta de la convocatoria para el proceso electoral 2017-2018, la cual será anexada. Sin otro particular, le envío un cordial saludo.</w:t>
      </w:r>
      <w:r w:rsidRPr="00917C1B">
        <w:rPr>
          <w:rFonts w:ascii="Palatino Linotype" w:hAnsi="Palatino Linotype"/>
          <w:i/>
          <w:color w:val="000000" w:themeColor="text1"/>
        </w:rPr>
        <w:t xml:space="preserve">” </w:t>
      </w:r>
      <w:r w:rsidRPr="00917C1B">
        <w:rPr>
          <w:rFonts w:ascii="Palatino Linotype" w:hAnsi="Palatino Linotype"/>
          <w:color w:val="000000" w:themeColor="text1"/>
          <w:sz w:val="20"/>
        </w:rPr>
        <w:t>(sic)</w:t>
      </w:r>
    </w:p>
    <w:p w14:paraId="252DBE44" w14:textId="111754E0" w:rsidR="00415F1B" w:rsidRPr="00917C1B" w:rsidRDefault="00415F1B" w:rsidP="00415F1B">
      <w:pPr>
        <w:spacing w:before="240" w:after="240" w:line="360" w:lineRule="auto"/>
        <w:jc w:val="both"/>
        <w:rPr>
          <w:rFonts w:ascii="Palatino Linotype" w:hAnsi="Palatino Linotype"/>
          <w:color w:val="000000" w:themeColor="text1"/>
        </w:rPr>
      </w:pPr>
      <w:r w:rsidRPr="00917C1B">
        <w:rPr>
          <w:rFonts w:ascii="Palatino Linotype" w:hAnsi="Palatino Linotype" w:cs="Arial"/>
          <w:color w:val="000000" w:themeColor="text1"/>
        </w:rPr>
        <w:t xml:space="preserve">El </w:t>
      </w:r>
      <w:r w:rsidRPr="00917C1B">
        <w:rPr>
          <w:rFonts w:ascii="Palatino Linotype" w:hAnsi="Palatino Linotype" w:cs="Arial"/>
          <w:b/>
          <w:color w:val="000000" w:themeColor="text1"/>
        </w:rPr>
        <w:t xml:space="preserve">Sujeto Obligado </w:t>
      </w:r>
      <w:r w:rsidRPr="00917C1B">
        <w:rPr>
          <w:rFonts w:ascii="Palatino Linotype" w:hAnsi="Palatino Linotype" w:cs="Arial"/>
          <w:color w:val="000000" w:themeColor="text1"/>
        </w:rPr>
        <w:t xml:space="preserve">anexo los archivos </w:t>
      </w:r>
      <w:hyperlink r:id="rId8" w:tgtFrame="_blank" w:history="1">
        <w:r w:rsidRPr="00917C1B">
          <w:rPr>
            <w:rStyle w:val="Hipervnculo"/>
            <w:rFonts w:ascii="Palatino Linotype" w:hAnsi="Palatino Linotype" w:cs="Arial"/>
            <w:b/>
            <w:bCs/>
            <w:color w:val="000000" w:themeColor="text1"/>
            <w:u w:val="none"/>
          </w:rPr>
          <w:t>TEMASCALCINGO.pdf</w:t>
        </w:r>
      </w:hyperlink>
      <w:r w:rsidRPr="00917C1B">
        <w:rPr>
          <w:rFonts w:ascii="Palatino Linotype" w:hAnsi="Palatino Linotype"/>
          <w:b/>
          <w:color w:val="000000" w:themeColor="text1"/>
        </w:rPr>
        <w:t xml:space="preserve">, </w:t>
      </w:r>
      <w:hyperlink r:id="rId9" w:tgtFrame="_blank" w:history="1">
        <w:r w:rsidRPr="00917C1B">
          <w:rPr>
            <w:rStyle w:val="Hipervnculo"/>
            <w:rFonts w:ascii="Palatino Linotype" w:hAnsi="Palatino Linotype" w:cs="Arial"/>
            <w:b/>
            <w:bCs/>
            <w:color w:val="000000" w:themeColor="text1"/>
            <w:u w:val="none"/>
          </w:rPr>
          <w:t>27 de diciembre 2017 convocatoria.jpg</w:t>
        </w:r>
      </w:hyperlink>
      <w:r w:rsidRPr="00917C1B">
        <w:rPr>
          <w:rFonts w:ascii="Palatino Linotype" w:hAnsi="Palatino Linotype"/>
          <w:b/>
          <w:color w:val="000000" w:themeColor="text1"/>
        </w:rPr>
        <w:t xml:space="preserve">, </w:t>
      </w:r>
      <w:hyperlink r:id="rId10" w:tgtFrame="_blank" w:history="1">
        <w:r w:rsidRPr="00917C1B">
          <w:rPr>
            <w:rStyle w:val="Hipervnculo"/>
            <w:rFonts w:ascii="Palatino Linotype" w:hAnsi="Palatino Linotype" w:cs="Arial"/>
            <w:b/>
            <w:bCs/>
            <w:color w:val="000000" w:themeColor="text1"/>
            <w:u w:val="none"/>
          </w:rPr>
          <w:t>respuesta SOLCITUD 22.pdf</w:t>
        </w:r>
      </w:hyperlink>
      <w:r w:rsidRPr="00917C1B">
        <w:rPr>
          <w:rFonts w:ascii="Palatino Linotype" w:hAnsi="Palatino Linotype"/>
          <w:b/>
          <w:color w:val="000000" w:themeColor="text1"/>
        </w:rPr>
        <w:t xml:space="preserve"> </w:t>
      </w:r>
      <w:r w:rsidRPr="00917C1B">
        <w:rPr>
          <w:rFonts w:ascii="Palatino Linotype" w:hAnsi="Palatino Linotype"/>
          <w:color w:val="000000" w:themeColor="text1"/>
        </w:rPr>
        <w:t>y</w:t>
      </w:r>
      <w:r w:rsidRPr="00917C1B">
        <w:rPr>
          <w:rFonts w:ascii="Palatino Linotype" w:hAnsi="Palatino Linotype"/>
          <w:b/>
          <w:color w:val="000000" w:themeColor="text1"/>
        </w:rPr>
        <w:t xml:space="preserve"> </w:t>
      </w:r>
      <w:hyperlink r:id="rId11" w:tgtFrame="_blank" w:history="1">
        <w:r w:rsidRPr="00917C1B">
          <w:rPr>
            <w:rStyle w:val="Hipervnculo"/>
            <w:rFonts w:ascii="Palatino Linotype" w:hAnsi="Palatino Linotype" w:cs="Arial"/>
            <w:b/>
            <w:bCs/>
            <w:color w:val="000000" w:themeColor="text1"/>
            <w:u w:val="none"/>
          </w:rPr>
          <w:t>5_Plataforma_Municipal_PVEM_2018.pdf</w:t>
        </w:r>
      </w:hyperlink>
      <w:hyperlink r:id="rId12" w:tgtFrame="_blank" w:history="1"/>
      <w:r w:rsidRPr="00917C1B">
        <w:rPr>
          <w:rFonts w:ascii="Palatino Linotype" w:hAnsi="Palatino Linotype"/>
          <w:color w:val="000000" w:themeColor="text1"/>
        </w:rPr>
        <w:t xml:space="preserve">, al ser del conocimiento de las partes, máxime que serán analizados en el apartado correspondiente. </w:t>
      </w:r>
    </w:p>
    <w:p w14:paraId="7056C445" w14:textId="272CC31D" w:rsidR="008E7698" w:rsidRPr="00917C1B" w:rsidRDefault="008F355E" w:rsidP="008F4C62">
      <w:pPr>
        <w:spacing w:before="240" w:after="240" w:line="360" w:lineRule="auto"/>
        <w:jc w:val="both"/>
        <w:rPr>
          <w:rFonts w:ascii="Palatino Linotype" w:hAnsi="Palatino Linotype" w:cs="Arial"/>
          <w:color w:val="000000" w:themeColor="text1"/>
        </w:rPr>
      </w:pPr>
      <w:r w:rsidRPr="00917C1B">
        <w:rPr>
          <w:rFonts w:ascii="Palatino Linotype" w:hAnsi="Palatino Linotype" w:cs="Arial"/>
          <w:b/>
          <w:color w:val="000000" w:themeColor="text1"/>
          <w:sz w:val="28"/>
          <w:szCs w:val="28"/>
        </w:rPr>
        <w:lastRenderedPageBreak/>
        <w:t>3</w:t>
      </w:r>
      <w:r w:rsidR="008E7698" w:rsidRPr="00917C1B">
        <w:rPr>
          <w:rFonts w:ascii="Palatino Linotype" w:hAnsi="Palatino Linotype" w:cs="Arial"/>
          <w:b/>
          <w:color w:val="000000" w:themeColor="text1"/>
          <w:sz w:val="28"/>
          <w:szCs w:val="28"/>
        </w:rPr>
        <w:t>. Recurso de revisión.</w:t>
      </w:r>
      <w:r w:rsidR="008E7698" w:rsidRPr="00917C1B">
        <w:rPr>
          <w:rFonts w:ascii="Palatino Linotype" w:hAnsi="Palatino Linotype" w:cs="Arial"/>
          <w:b/>
          <w:color w:val="000000" w:themeColor="text1"/>
        </w:rPr>
        <w:t xml:space="preserve"> </w:t>
      </w:r>
      <w:r w:rsidR="008E7698" w:rsidRPr="00917C1B">
        <w:rPr>
          <w:rFonts w:ascii="Palatino Linotype" w:hAnsi="Palatino Linotype" w:cs="Arial"/>
          <w:color w:val="000000" w:themeColor="text1"/>
        </w:rPr>
        <w:t>El recurso de revisión se interpuso a través del SAIMEX con fecha</w:t>
      </w:r>
      <w:r w:rsidR="00FC3695" w:rsidRPr="00917C1B">
        <w:rPr>
          <w:rFonts w:ascii="Palatino Linotype" w:hAnsi="Palatino Linotype" w:cs="Arial"/>
          <w:color w:val="000000" w:themeColor="text1"/>
        </w:rPr>
        <w:t xml:space="preserve"> </w:t>
      </w:r>
      <w:r w:rsidR="007F7866" w:rsidRPr="00917C1B">
        <w:rPr>
          <w:rFonts w:ascii="Palatino Linotype" w:hAnsi="Palatino Linotype" w:cs="Arial"/>
          <w:color w:val="000000" w:themeColor="text1"/>
        </w:rPr>
        <w:t>treinta de julio</w:t>
      </w:r>
      <w:r w:rsidR="009F704F" w:rsidRPr="00917C1B">
        <w:rPr>
          <w:rFonts w:ascii="Palatino Linotype" w:hAnsi="Palatino Linotype" w:cs="Arial"/>
          <w:color w:val="000000" w:themeColor="text1"/>
        </w:rPr>
        <w:t xml:space="preserve"> </w:t>
      </w:r>
      <w:r w:rsidR="00327357" w:rsidRPr="00917C1B">
        <w:rPr>
          <w:rFonts w:ascii="Palatino Linotype" w:hAnsi="Palatino Linotype" w:cs="Arial"/>
          <w:color w:val="000000" w:themeColor="text1"/>
        </w:rPr>
        <w:t>de la presente anualidad</w:t>
      </w:r>
      <w:r w:rsidR="00437D10" w:rsidRPr="00917C1B">
        <w:rPr>
          <w:rFonts w:ascii="Palatino Linotype" w:hAnsi="Palatino Linotype" w:cs="Arial"/>
          <w:color w:val="000000" w:themeColor="text1"/>
        </w:rPr>
        <w:t xml:space="preserve">, </w:t>
      </w:r>
      <w:r w:rsidR="008E7698" w:rsidRPr="00917C1B">
        <w:rPr>
          <w:rFonts w:ascii="Palatino Linotype" w:hAnsi="Palatino Linotype" w:cs="Arial"/>
          <w:color w:val="000000" w:themeColor="text1"/>
        </w:rPr>
        <w:t>por parte del solicitante de información, quien expresó las siguientes manifestaciones:</w:t>
      </w:r>
    </w:p>
    <w:p w14:paraId="4BB47E28" w14:textId="77777777" w:rsidR="008E7698" w:rsidRPr="00917C1B" w:rsidRDefault="008E7698" w:rsidP="00AF299E">
      <w:pPr>
        <w:spacing w:before="240" w:after="240" w:line="360" w:lineRule="auto"/>
        <w:ind w:left="567"/>
        <w:rPr>
          <w:rFonts w:ascii="Palatino Linotype" w:hAnsi="Palatino Linotype" w:cs="Arial"/>
          <w:b/>
          <w:color w:val="000000" w:themeColor="text1"/>
        </w:rPr>
      </w:pPr>
      <w:r w:rsidRPr="00917C1B">
        <w:rPr>
          <w:rFonts w:ascii="Palatino Linotype" w:hAnsi="Palatino Linotype" w:cs="Arial"/>
          <w:b/>
          <w:color w:val="000000" w:themeColor="text1"/>
        </w:rPr>
        <w:t>a) Acto impugnado.</w:t>
      </w:r>
    </w:p>
    <w:p w14:paraId="1F63D101" w14:textId="1020FF7A" w:rsidR="00FC3695" w:rsidRPr="00917C1B" w:rsidRDefault="009B08DD" w:rsidP="00104E08">
      <w:pPr>
        <w:spacing w:before="240" w:after="240" w:line="360" w:lineRule="auto"/>
        <w:ind w:left="992" w:right="1043"/>
        <w:jc w:val="both"/>
        <w:rPr>
          <w:rFonts w:ascii="Palatino Linotype" w:hAnsi="Palatino Linotype" w:cs="Arial"/>
          <w:color w:val="000000" w:themeColor="text1"/>
        </w:rPr>
      </w:pPr>
      <w:r w:rsidRPr="00917C1B">
        <w:rPr>
          <w:rFonts w:ascii="Palatino Linotype" w:hAnsi="Palatino Linotype"/>
          <w:i/>
          <w:color w:val="000000" w:themeColor="text1"/>
        </w:rPr>
        <w:t>“</w:t>
      </w:r>
      <w:r w:rsidR="007F7866" w:rsidRPr="00917C1B">
        <w:rPr>
          <w:rFonts w:ascii="Palatino Linotype" w:hAnsi="Palatino Linotype"/>
          <w:i/>
          <w:color w:val="000000" w:themeColor="text1"/>
        </w:rPr>
        <w:t>Repuesta a la solicitud</w:t>
      </w:r>
      <w:r w:rsidRPr="00917C1B">
        <w:rPr>
          <w:rFonts w:ascii="Palatino Linotype" w:hAnsi="Palatino Linotype"/>
          <w:i/>
          <w:color w:val="000000" w:themeColor="text1"/>
        </w:rPr>
        <w:t>”</w:t>
      </w:r>
      <w:r w:rsidRPr="00917C1B">
        <w:rPr>
          <w:rFonts w:ascii="Palatino Linotype" w:hAnsi="Palatino Linotype" w:cs="Arial"/>
          <w:i/>
          <w:color w:val="000000" w:themeColor="text1"/>
        </w:rPr>
        <w:t xml:space="preserve"> </w:t>
      </w:r>
      <w:r w:rsidR="009F704F" w:rsidRPr="00917C1B">
        <w:rPr>
          <w:rFonts w:ascii="Palatino Linotype" w:hAnsi="Palatino Linotype" w:cs="Arial"/>
          <w:color w:val="000000" w:themeColor="text1"/>
        </w:rPr>
        <w:t>(sic)</w:t>
      </w:r>
    </w:p>
    <w:p w14:paraId="70C0742E" w14:textId="78F3676F" w:rsidR="008E7698" w:rsidRPr="00917C1B" w:rsidRDefault="008E7698" w:rsidP="00AF299E">
      <w:pPr>
        <w:spacing w:before="240" w:after="240" w:line="360" w:lineRule="auto"/>
        <w:ind w:left="567"/>
        <w:jc w:val="both"/>
        <w:rPr>
          <w:rFonts w:ascii="Palatino Linotype" w:hAnsi="Palatino Linotype" w:cs="Arial"/>
          <w:b/>
          <w:color w:val="000000" w:themeColor="text1"/>
        </w:rPr>
      </w:pPr>
      <w:r w:rsidRPr="00917C1B">
        <w:rPr>
          <w:rFonts w:ascii="Palatino Linotype" w:hAnsi="Palatino Linotype" w:cs="Arial"/>
          <w:b/>
          <w:color w:val="000000" w:themeColor="text1"/>
        </w:rPr>
        <w:t>b) Motivos de inconformidad.</w:t>
      </w:r>
    </w:p>
    <w:p w14:paraId="07A25EE7" w14:textId="3CB50D5E" w:rsidR="00186B63" w:rsidRPr="00917C1B" w:rsidRDefault="009B08DD" w:rsidP="007F7866">
      <w:pPr>
        <w:spacing w:before="240" w:after="240" w:line="360" w:lineRule="auto"/>
        <w:ind w:left="851" w:right="902"/>
        <w:jc w:val="both"/>
        <w:rPr>
          <w:rFonts w:ascii="Palatino Linotype" w:hAnsi="Palatino Linotype" w:cs="Arial"/>
          <w:i/>
          <w:color w:val="000000" w:themeColor="text1"/>
        </w:rPr>
      </w:pPr>
      <w:r w:rsidRPr="00917C1B">
        <w:rPr>
          <w:rFonts w:ascii="Palatino Linotype" w:hAnsi="Palatino Linotype"/>
          <w:i/>
          <w:color w:val="000000" w:themeColor="text1"/>
        </w:rPr>
        <w:t>“</w:t>
      </w:r>
      <w:r w:rsidR="007F7866" w:rsidRPr="00917C1B">
        <w:rPr>
          <w:rFonts w:ascii="Palatino Linotype" w:hAnsi="Palatino Linotype"/>
          <w:i/>
          <w:color w:val="000000" w:themeColor="text1"/>
          <w:lang w:val="es-MX" w:eastAsia="es-MX"/>
        </w:rPr>
        <w:t>Es insuficiente la respuesta del partido verde no en la plataforma electoral señala que es la municipal y el texto del documentyo corresponde a la plataforma legislativa, el documento que anexa con el nombre TEMASCALCINGO, no indica a que se refiere, la imagen que anexa no se puede visualizar correctamente. no entrega el padrón de militantes, entrego un enlace que es un buscador.</w:t>
      </w:r>
      <w:r w:rsidRPr="00917C1B">
        <w:rPr>
          <w:rFonts w:ascii="Palatino Linotype" w:hAnsi="Palatino Linotype"/>
          <w:i/>
          <w:color w:val="000000" w:themeColor="text1"/>
        </w:rPr>
        <w:t>”</w:t>
      </w:r>
      <w:r w:rsidRPr="00917C1B">
        <w:rPr>
          <w:rFonts w:ascii="Palatino Linotype" w:hAnsi="Palatino Linotype" w:cs="Arial"/>
          <w:i/>
          <w:color w:val="000000" w:themeColor="text1"/>
        </w:rPr>
        <w:t xml:space="preserve"> </w:t>
      </w:r>
      <w:r w:rsidR="009F704F" w:rsidRPr="00917C1B">
        <w:rPr>
          <w:rFonts w:ascii="Palatino Linotype" w:hAnsi="Palatino Linotype" w:cs="Arial"/>
          <w:i/>
          <w:color w:val="000000" w:themeColor="text1"/>
        </w:rPr>
        <w:t>(sic)</w:t>
      </w:r>
    </w:p>
    <w:p w14:paraId="1D62F603" w14:textId="31865DCA" w:rsidR="00D41D70" w:rsidRPr="00917C1B" w:rsidRDefault="005F4C5D" w:rsidP="00AF299E">
      <w:pPr>
        <w:spacing w:before="240" w:after="240" w:line="360" w:lineRule="auto"/>
        <w:jc w:val="both"/>
        <w:rPr>
          <w:rFonts w:ascii="Palatino Linotype" w:hAnsi="Palatino Linotype" w:cs="Arial"/>
          <w:color w:val="000000" w:themeColor="text1"/>
        </w:rPr>
      </w:pPr>
      <w:r w:rsidRPr="00917C1B">
        <w:rPr>
          <w:rFonts w:ascii="Palatino Linotype" w:hAnsi="Palatino Linotype" w:cs="Arial"/>
          <w:b/>
          <w:color w:val="000000" w:themeColor="text1"/>
          <w:sz w:val="28"/>
          <w:szCs w:val="28"/>
        </w:rPr>
        <w:t>4</w:t>
      </w:r>
      <w:r w:rsidR="008E7698" w:rsidRPr="00917C1B">
        <w:rPr>
          <w:rFonts w:ascii="Palatino Linotype" w:hAnsi="Palatino Linotype" w:cs="Arial"/>
          <w:b/>
          <w:color w:val="000000" w:themeColor="text1"/>
          <w:sz w:val="28"/>
          <w:szCs w:val="28"/>
        </w:rPr>
        <w:t xml:space="preserve">. </w:t>
      </w:r>
      <w:r w:rsidR="00D41D70" w:rsidRPr="00917C1B">
        <w:rPr>
          <w:rFonts w:ascii="Palatino Linotype" w:eastAsia="Calibri" w:hAnsi="Palatino Linotype" w:cs="Arial"/>
          <w:b/>
          <w:color w:val="000000" w:themeColor="text1"/>
          <w:sz w:val="28"/>
          <w:szCs w:val="28"/>
        </w:rPr>
        <w:t xml:space="preserve">Turno. </w:t>
      </w:r>
      <w:r w:rsidR="00D41D70" w:rsidRPr="00917C1B">
        <w:rPr>
          <w:rFonts w:ascii="Palatino Linotype" w:eastAsia="Calibri" w:hAnsi="Palatino Linotype" w:cs="Arial"/>
          <w:color w:val="000000" w:themeColor="text1"/>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917C1B">
        <w:rPr>
          <w:rFonts w:ascii="Palatino Linotype" w:hAnsi="Palatino Linotype" w:cs="Arial"/>
          <w:color w:val="000000" w:themeColor="text1"/>
        </w:rPr>
        <w:t>por razón de turno fue asignado al</w:t>
      </w:r>
      <w:r w:rsidR="00D41D70" w:rsidRPr="00917C1B">
        <w:rPr>
          <w:rFonts w:ascii="Palatino Linotype" w:eastAsia="Calibri" w:hAnsi="Palatino Linotype" w:cs="Arial"/>
          <w:color w:val="000000" w:themeColor="text1"/>
        </w:rPr>
        <w:t xml:space="preserve"> Comisionado </w:t>
      </w:r>
      <w:r w:rsidR="00D41D70" w:rsidRPr="00917C1B">
        <w:rPr>
          <w:rFonts w:ascii="Palatino Linotype" w:eastAsia="Calibri" w:hAnsi="Palatino Linotype" w:cs="Arial"/>
          <w:b/>
          <w:color w:val="000000" w:themeColor="text1"/>
        </w:rPr>
        <w:t>Javier Martínez Cruz</w:t>
      </w:r>
      <w:r w:rsidR="00D41D70" w:rsidRPr="00917C1B">
        <w:rPr>
          <w:rFonts w:ascii="Palatino Linotype" w:hAnsi="Palatino Linotype" w:cs="Arial"/>
          <w:color w:val="000000" w:themeColor="text1"/>
        </w:rPr>
        <w:t xml:space="preserve"> para su análisis, estudio, elaboración del proyecto y </w:t>
      </w:r>
      <w:r w:rsidR="00D41D70" w:rsidRPr="00917C1B">
        <w:rPr>
          <w:rFonts w:ascii="Palatino Linotype" w:eastAsia="Calibri" w:hAnsi="Palatino Linotype" w:cs="Arial"/>
          <w:color w:val="000000" w:themeColor="text1"/>
        </w:rPr>
        <w:t>presentación ante el Pleno de este Instituto.</w:t>
      </w:r>
    </w:p>
    <w:p w14:paraId="64E6B459" w14:textId="311FDD73" w:rsidR="00D41D70" w:rsidRPr="00917C1B" w:rsidRDefault="005F4C5D" w:rsidP="00184FBA">
      <w:pPr>
        <w:spacing w:before="240" w:after="240" w:line="360" w:lineRule="auto"/>
        <w:jc w:val="both"/>
        <w:rPr>
          <w:rFonts w:cs="Arial"/>
          <w:color w:val="000000" w:themeColor="text1"/>
        </w:rPr>
      </w:pPr>
      <w:r w:rsidRPr="00917C1B">
        <w:rPr>
          <w:rFonts w:ascii="Palatino Linotype" w:hAnsi="Palatino Linotype" w:cs="Arial"/>
          <w:b/>
          <w:color w:val="000000" w:themeColor="text1"/>
          <w:sz w:val="28"/>
          <w:szCs w:val="28"/>
        </w:rPr>
        <w:t>5</w:t>
      </w:r>
      <w:r w:rsidR="00D41D70" w:rsidRPr="00917C1B">
        <w:rPr>
          <w:rFonts w:ascii="Palatino Linotype" w:hAnsi="Palatino Linotype" w:cs="Arial"/>
          <w:b/>
          <w:color w:val="000000" w:themeColor="text1"/>
          <w:sz w:val="28"/>
          <w:szCs w:val="28"/>
        </w:rPr>
        <w:t xml:space="preserve">. Admisión. </w:t>
      </w:r>
      <w:r w:rsidR="00D41D70" w:rsidRPr="00917C1B">
        <w:rPr>
          <w:rFonts w:ascii="Palatino Linotype" w:hAnsi="Palatino Linotype" w:cs="Arial"/>
          <w:color w:val="000000" w:themeColor="text1"/>
        </w:rPr>
        <w:t xml:space="preserve">Mediante auto de fecha </w:t>
      </w:r>
      <w:r w:rsidR="007F7866" w:rsidRPr="00917C1B">
        <w:rPr>
          <w:rFonts w:ascii="Palatino Linotype" w:hAnsi="Palatino Linotype" w:cs="Arial"/>
          <w:color w:val="000000" w:themeColor="text1"/>
        </w:rPr>
        <w:t>tres de agosto</w:t>
      </w:r>
      <w:r w:rsidR="00D41D70" w:rsidRPr="00917C1B">
        <w:rPr>
          <w:rFonts w:ascii="Palatino Linotype" w:hAnsi="Palatino Linotype" w:cs="Arial"/>
          <w:color w:val="000000" w:themeColor="text1"/>
        </w:rPr>
        <w:t xml:space="preserve"> de</w:t>
      </w:r>
      <w:r w:rsidR="00047F41" w:rsidRPr="00917C1B">
        <w:rPr>
          <w:rFonts w:ascii="Palatino Linotype" w:hAnsi="Palatino Linotype" w:cs="Arial"/>
          <w:color w:val="000000" w:themeColor="text1"/>
        </w:rPr>
        <w:t>l</w:t>
      </w:r>
      <w:r w:rsidR="00D41D70" w:rsidRPr="00917C1B">
        <w:rPr>
          <w:rFonts w:ascii="Palatino Linotype" w:hAnsi="Palatino Linotype" w:cs="Arial"/>
          <w:color w:val="000000" w:themeColor="text1"/>
        </w:rPr>
        <w:t xml:space="preserve"> dos mil dieci</w:t>
      </w:r>
      <w:r w:rsidR="002A5EA5" w:rsidRPr="00917C1B">
        <w:rPr>
          <w:rFonts w:ascii="Palatino Linotype" w:hAnsi="Palatino Linotype" w:cs="Arial"/>
          <w:color w:val="000000" w:themeColor="text1"/>
        </w:rPr>
        <w:t>ocho</w:t>
      </w:r>
      <w:r w:rsidR="00D41D70" w:rsidRPr="00917C1B">
        <w:rPr>
          <w:rFonts w:ascii="Palatino Linotype" w:hAnsi="Palatino Linotype" w:cs="Arial"/>
          <w:color w:val="000000" w:themeColor="text1"/>
        </w:rPr>
        <w:t xml:space="preserve">, este Órgano Garante, admitió a trámite el recurso de revisión respectivo, </w:t>
      </w:r>
      <w:r w:rsidR="00BD000E" w:rsidRPr="00917C1B">
        <w:rPr>
          <w:rFonts w:ascii="Palatino Linotype" w:hAnsi="Palatino Linotype" w:cs="Arial"/>
          <w:color w:val="000000" w:themeColor="text1"/>
        </w:rPr>
        <w:t xml:space="preserve">poniéndose </w:t>
      </w:r>
      <w:r w:rsidR="00D41D70" w:rsidRPr="00917C1B">
        <w:rPr>
          <w:rFonts w:ascii="Palatino Linotype" w:hAnsi="Palatino Linotype" w:cs="Arial"/>
          <w:color w:val="000000" w:themeColor="text1"/>
        </w:rPr>
        <w:t xml:space="preserve">a disposición de las partes, para que un plazo no mayor a siete días </w:t>
      </w:r>
      <w:r w:rsidR="00857279" w:rsidRPr="00917C1B">
        <w:rPr>
          <w:rFonts w:ascii="Palatino Linotype" w:hAnsi="Palatino Linotype" w:cs="Arial"/>
          <w:color w:val="000000" w:themeColor="text1"/>
        </w:rPr>
        <w:t xml:space="preserve">hábiles </w:t>
      </w:r>
      <w:r w:rsidR="00D41D70" w:rsidRPr="00917C1B">
        <w:rPr>
          <w:rFonts w:ascii="Palatino Linotype" w:hAnsi="Palatino Linotype" w:cs="Arial"/>
          <w:color w:val="000000" w:themeColor="text1"/>
        </w:rPr>
        <w:t>manifestaran lo que a su derecho corresponda</w:t>
      </w:r>
      <w:r w:rsidR="00BD000E" w:rsidRPr="00917C1B">
        <w:rPr>
          <w:rFonts w:ascii="Palatino Linotype" w:hAnsi="Palatino Linotype" w:cs="Arial"/>
          <w:color w:val="000000" w:themeColor="text1"/>
        </w:rPr>
        <w:t xml:space="preserve">, a efecto de ofrecer pruebas, informe justificado y alegatos, lo anterior con fundamento en el artículo 185 fracciones I, II y IV de la Ley de Transparencia y Acceso a la Información </w:t>
      </w:r>
      <w:r w:rsidR="00D50580" w:rsidRPr="00917C1B">
        <w:rPr>
          <w:rFonts w:ascii="Palatino Linotype" w:hAnsi="Palatino Linotype" w:cs="Arial"/>
          <w:color w:val="000000" w:themeColor="text1"/>
        </w:rPr>
        <w:t>Pública</w:t>
      </w:r>
      <w:r w:rsidR="00BD000E" w:rsidRPr="00917C1B">
        <w:rPr>
          <w:rFonts w:ascii="Palatino Linotype" w:hAnsi="Palatino Linotype" w:cs="Arial"/>
          <w:color w:val="000000" w:themeColor="text1"/>
        </w:rPr>
        <w:t xml:space="preserve"> del </w:t>
      </w:r>
      <w:r w:rsidR="00104E08" w:rsidRPr="00917C1B">
        <w:rPr>
          <w:rFonts w:ascii="Palatino Linotype" w:hAnsi="Palatino Linotype" w:cs="Arial"/>
          <w:color w:val="000000" w:themeColor="text1"/>
        </w:rPr>
        <w:t>E</w:t>
      </w:r>
      <w:r w:rsidR="00BD000E" w:rsidRPr="00917C1B">
        <w:rPr>
          <w:rFonts w:ascii="Palatino Linotype" w:hAnsi="Palatino Linotype" w:cs="Arial"/>
          <w:color w:val="000000" w:themeColor="text1"/>
        </w:rPr>
        <w:t>stado de México y Municipios.</w:t>
      </w:r>
      <w:r w:rsidR="00D41D70" w:rsidRPr="00917C1B">
        <w:rPr>
          <w:rFonts w:ascii="Palatino Linotype" w:hAnsi="Palatino Linotype" w:cs="Arial"/>
          <w:color w:val="000000" w:themeColor="text1"/>
        </w:rPr>
        <w:t xml:space="preserve"> </w:t>
      </w:r>
    </w:p>
    <w:p w14:paraId="690CCCB3" w14:textId="65D048AD" w:rsidR="009F4D23" w:rsidRPr="00917C1B" w:rsidRDefault="005F4C5D" w:rsidP="002A5EA5">
      <w:pPr>
        <w:spacing w:before="240" w:after="240" w:line="360" w:lineRule="auto"/>
        <w:jc w:val="both"/>
        <w:rPr>
          <w:rFonts w:ascii="Palatino Linotype" w:eastAsia="Calibri" w:hAnsi="Palatino Linotype" w:cs="Arial"/>
          <w:b/>
          <w:i/>
          <w:color w:val="000000" w:themeColor="text1"/>
        </w:rPr>
      </w:pPr>
      <w:r w:rsidRPr="00917C1B">
        <w:rPr>
          <w:rFonts w:ascii="Palatino Linotype" w:hAnsi="Palatino Linotype" w:cs="Arial"/>
          <w:b/>
          <w:color w:val="000000" w:themeColor="text1"/>
          <w:sz w:val="28"/>
          <w:szCs w:val="28"/>
        </w:rPr>
        <w:t>6</w:t>
      </w:r>
      <w:r w:rsidR="004E4987" w:rsidRPr="00917C1B">
        <w:rPr>
          <w:rFonts w:ascii="Palatino Linotype" w:hAnsi="Palatino Linotype" w:cs="Arial"/>
          <w:b/>
          <w:color w:val="000000" w:themeColor="text1"/>
          <w:sz w:val="28"/>
          <w:szCs w:val="28"/>
        </w:rPr>
        <w:t xml:space="preserve">. </w:t>
      </w:r>
      <w:r w:rsidR="00E954B7" w:rsidRPr="00917C1B">
        <w:rPr>
          <w:rFonts w:ascii="Palatino Linotype" w:hAnsi="Palatino Linotype" w:cs="Arial"/>
          <w:b/>
          <w:color w:val="000000" w:themeColor="text1"/>
          <w:sz w:val="28"/>
          <w:szCs w:val="28"/>
        </w:rPr>
        <w:t>Manifestaciones.</w:t>
      </w:r>
      <w:r w:rsidR="00E954B7" w:rsidRPr="00917C1B">
        <w:rPr>
          <w:color w:val="000000" w:themeColor="text1"/>
        </w:rPr>
        <w:t xml:space="preserve"> </w:t>
      </w:r>
      <w:r w:rsidR="009B08DD" w:rsidRPr="00917C1B">
        <w:rPr>
          <w:rFonts w:ascii="Palatino Linotype" w:hAnsi="Palatino Linotype"/>
          <w:color w:val="000000" w:themeColor="text1"/>
        </w:rPr>
        <w:t>De las constancias del expediente electrónico del</w:t>
      </w:r>
      <w:r w:rsidR="009B08DD" w:rsidRPr="00917C1B">
        <w:rPr>
          <w:rFonts w:ascii="Palatino Linotype" w:hAnsi="Palatino Linotype" w:cs="Arial"/>
          <w:b/>
          <w:color w:val="000000" w:themeColor="text1"/>
        </w:rPr>
        <w:t xml:space="preserve"> SAIMEX</w:t>
      </w:r>
      <w:r w:rsidR="009B08DD" w:rsidRPr="00917C1B">
        <w:rPr>
          <w:rFonts w:ascii="Palatino Linotype" w:hAnsi="Palatino Linotype"/>
          <w:color w:val="000000" w:themeColor="text1"/>
        </w:rPr>
        <w:t xml:space="preserve">, se observa que </w:t>
      </w:r>
      <w:r w:rsidR="009B08DD" w:rsidRPr="00917C1B">
        <w:rPr>
          <w:rFonts w:ascii="Palatino Linotype" w:hAnsi="Palatino Linotype" w:cs="Arial"/>
          <w:color w:val="000000" w:themeColor="text1"/>
        </w:rPr>
        <w:t xml:space="preserve">el </w:t>
      </w:r>
      <w:r w:rsidR="009B08DD" w:rsidRPr="00917C1B">
        <w:rPr>
          <w:rFonts w:ascii="Palatino Linotype" w:hAnsi="Palatino Linotype" w:cs="Arial"/>
          <w:b/>
          <w:color w:val="000000" w:themeColor="text1"/>
        </w:rPr>
        <w:t>Sujeto Obligado</w:t>
      </w:r>
      <w:r w:rsidR="009B08DD" w:rsidRPr="00917C1B">
        <w:rPr>
          <w:rFonts w:ascii="Palatino Linotype" w:hAnsi="Palatino Linotype" w:cs="Arial"/>
          <w:color w:val="000000" w:themeColor="text1"/>
        </w:rPr>
        <w:t xml:space="preserve"> </w:t>
      </w:r>
      <w:r w:rsidR="00D65DA3" w:rsidRPr="00917C1B">
        <w:rPr>
          <w:rFonts w:ascii="Palatino Linotype" w:hAnsi="Palatino Linotype" w:cs="Arial"/>
          <w:color w:val="000000" w:themeColor="text1"/>
        </w:rPr>
        <w:t xml:space="preserve">en fecha </w:t>
      </w:r>
      <w:r w:rsidR="007F7866" w:rsidRPr="00917C1B">
        <w:rPr>
          <w:rFonts w:ascii="Palatino Linotype" w:hAnsi="Palatino Linotype" w:cs="Arial"/>
          <w:color w:val="000000" w:themeColor="text1"/>
        </w:rPr>
        <w:t>trece de agosto</w:t>
      </w:r>
      <w:r w:rsidR="00D65DA3" w:rsidRPr="00917C1B">
        <w:rPr>
          <w:rFonts w:ascii="Palatino Linotype" w:hAnsi="Palatino Linotype" w:cs="Arial"/>
          <w:color w:val="000000" w:themeColor="text1"/>
        </w:rPr>
        <w:t xml:space="preserve"> del año en curso, rindió su informe justificado mediante el archivo </w:t>
      </w:r>
      <w:r w:rsidR="007F7866" w:rsidRPr="00917C1B">
        <w:rPr>
          <w:rFonts w:ascii="Palatino Linotype" w:hAnsi="Palatino Linotype" w:cs="Arial"/>
          <w:b/>
          <w:color w:val="000000" w:themeColor="text1"/>
        </w:rPr>
        <w:t>MANIFESTACIONES 02724-INFOEM-IP-RR-2018.pdf</w:t>
      </w:r>
      <w:r w:rsidR="00D65DA3" w:rsidRPr="00917C1B">
        <w:rPr>
          <w:rFonts w:ascii="Palatino Linotype" w:hAnsi="Palatino Linotype" w:cs="Arial"/>
          <w:b/>
          <w:color w:val="000000" w:themeColor="text1"/>
        </w:rPr>
        <w:t xml:space="preserve">, </w:t>
      </w:r>
      <w:r w:rsidR="00D65DA3" w:rsidRPr="00917C1B">
        <w:rPr>
          <w:rFonts w:ascii="Palatino Linotype" w:hAnsi="Palatino Linotype" w:cs="Arial"/>
          <w:color w:val="000000" w:themeColor="text1"/>
        </w:rPr>
        <w:t>a través del cual ratificó su respuesta primigenia, por lo que determinó no hacer del conocimiento del particular;</w:t>
      </w:r>
      <w:r w:rsidR="00D65DA3" w:rsidRPr="00917C1B">
        <w:rPr>
          <w:rFonts w:ascii="Palatino Linotype" w:hAnsi="Palatino Linotype" w:cs="Arial"/>
          <w:b/>
          <w:i/>
          <w:color w:val="000000" w:themeColor="text1"/>
        </w:rPr>
        <w:t xml:space="preserve"> </w:t>
      </w:r>
      <w:r w:rsidR="007F7866" w:rsidRPr="00917C1B">
        <w:rPr>
          <w:rFonts w:ascii="Palatino Linotype" w:hAnsi="Palatino Linotype" w:cs="Arial"/>
          <w:color w:val="000000" w:themeColor="text1"/>
        </w:rPr>
        <w:t>quien</w:t>
      </w:r>
      <w:r w:rsidR="00D65DA3" w:rsidRPr="00917C1B">
        <w:rPr>
          <w:rFonts w:ascii="Palatino Linotype" w:hAnsi="Palatino Linotype" w:cs="Arial"/>
          <w:color w:val="000000" w:themeColor="text1"/>
        </w:rPr>
        <w:t xml:space="preserve"> fue </w:t>
      </w:r>
      <w:r w:rsidR="00041731" w:rsidRPr="00917C1B">
        <w:rPr>
          <w:rFonts w:ascii="Palatino Linotype" w:eastAsia="Calibri" w:hAnsi="Palatino Linotype" w:cs="Arial"/>
          <w:color w:val="000000" w:themeColor="text1"/>
        </w:rPr>
        <w:t>omis</w:t>
      </w:r>
      <w:r w:rsidR="00D65DA3" w:rsidRPr="00917C1B">
        <w:rPr>
          <w:rFonts w:ascii="Palatino Linotype" w:eastAsia="Calibri" w:hAnsi="Palatino Linotype" w:cs="Arial"/>
          <w:color w:val="000000" w:themeColor="text1"/>
        </w:rPr>
        <w:t>o</w:t>
      </w:r>
      <w:r w:rsidR="009F4D23" w:rsidRPr="00917C1B">
        <w:rPr>
          <w:rFonts w:ascii="Palatino Linotype" w:eastAsia="Calibri" w:hAnsi="Palatino Linotype" w:cs="Arial"/>
          <w:color w:val="000000" w:themeColor="text1"/>
        </w:rPr>
        <w:t xml:space="preserve"> en</w:t>
      </w:r>
      <w:r w:rsidR="007F7866" w:rsidRPr="00917C1B">
        <w:rPr>
          <w:rFonts w:ascii="Palatino Linotype" w:eastAsia="Calibri" w:hAnsi="Palatino Linotype" w:cs="Arial"/>
          <w:color w:val="000000" w:themeColor="text1"/>
        </w:rPr>
        <w:t xml:space="preserve"> realizar manifestación alguna, en el periodo establecido para ello, en el artículo 185 fracción II de la Ley de Transparencia y Acceso a la Información Pública del Estado de México y Municipios.</w:t>
      </w:r>
    </w:p>
    <w:p w14:paraId="5126E0CC" w14:textId="6E2DC3BF" w:rsidR="006031FE" w:rsidRPr="00917C1B" w:rsidRDefault="005F4C5D" w:rsidP="009B08DD">
      <w:pPr>
        <w:spacing w:before="240" w:after="240" w:line="360" w:lineRule="auto"/>
        <w:jc w:val="both"/>
        <w:rPr>
          <w:rFonts w:ascii="Palatino Linotype" w:eastAsia="Calibri" w:hAnsi="Palatino Linotype" w:cs="Arial"/>
          <w:b/>
          <w:color w:val="000000" w:themeColor="text1"/>
          <w:sz w:val="28"/>
          <w:szCs w:val="28"/>
        </w:rPr>
      </w:pPr>
      <w:r w:rsidRPr="00917C1B">
        <w:rPr>
          <w:rFonts w:ascii="Palatino Linotype" w:eastAsia="Calibri" w:hAnsi="Palatino Linotype" w:cs="Arial"/>
          <w:b/>
          <w:color w:val="000000" w:themeColor="text1"/>
          <w:sz w:val="28"/>
          <w:szCs w:val="28"/>
        </w:rPr>
        <w:t>7</w:t>
      </w:r>
      <w:r w:rsidR="008E7698" w:rsidRPr="00917C1B">
        <w:rPr>
          <w:rFonts w:ascii="Palatino Linotype" w:eastAsia="Calibri" w:hAnsi="Palatino Linotype" w:cs="Arial"/>
          <w:b/>
          <w:color w:val="000000" w:themeColor="text1"/>
          <w:sz w:val="28"/>
          <w:szCs w:val="28"/>
        </w:rPr>
        <w:t xml:space="preserve">. </w:t>
      </w:r>
      <w:r w:rsidR="006747B5" w:rsidRPr="00917C1B">
        <w:rPr>
          <w:rFonts w:ascii="Palatino Linotype" w:eastAsia="Calibri" w:hAnsi="Palatino Linotype" w:cs="Arial"/>
          <w:b/>
          <w:color w:val="000000" w:themeColor="text1"/>
          <w:sz w:val="28"/>
          <w:szCs w:val="28"/>
        </w:rPr>
        <w:t xml:space="preserve">Cierre de Instrucción. </w:t>
      </w:r>
      <w:r w:rsidR="00DA0B77" w:rsidRPr="00917C1B">
        <w:rPr>
          <w:rFonts w:ascii="Palatino Linotype" w:eastAsia="Calibri" w:hAnsi="Palatino Linotype" w:cs="Arial"/>
          <w:color w:val="000000" w:themeColor="text1"/>
          <w:szCs w:val="28"/>
        </w:rPr>
        <w:t xml:space="preserve">En fecha </w:t>
      </w:r>
      <w:r w:rsidR="00ED2C3C" w:rsidRPr="00917C1B">
        <w:rPr>
          <w:rFonts w:ascii="Palatino Linotype" w:hAnsi="Palatino Linotype"/>
          <w:color w:val="000000" w:themeColor="text1"/>
        </w:rPr>
        <w:t>once de septiembre</w:t>
      </w:r>
      <w:r w:rsidR="00873B3E" w:rsidRPr="00917C1B">
        <w:rPr>
          <w:rFonts w:ascii="Palatino Linotype" w:hAnsi="Palatino Linotype"/>
          <w:color w:val="000000" w:themeColor="text1"/>
        </w:rPr>
        <w:t xml:space="preserve"> d</w:t>
      </w:r>
      <w:r w:rsidR="00DA0B77" w:rsidRPr="00917C1B">
        <w:rPr>
          <w:rFonts w:ascii="Palatino Linotype" w:hAnsi="Palatino Linotype"/>
          <w:color w:val="000000" w:themeColor="text1"/>
        </w:rPr>
        <w:t>el dos mil dieci</w:t>
      </w:r>
      <w:r w:rsidR="00815752" w:rsidRPr="00917C1B">
        <w:rPr>
          <w:rFonts w:ascii="Palatino Linotype" w:hAnsi="Palatino Linotype"/>
          <w:color w:val="000000" w:themeColor="text1"/>
        </w:rPr>
        <w:t>ocho</w:t>
      </w:r>
      <w:r w:rsidR="00DA0B77" w:rsidRPr="00917C1B">
        <w:rPr>
          <w:rFonts w:ascii="Palatino Linotype" w:hAnsi="Palatino Linotype"/>
          <w:color w:val="000000" w:themeColor="text1"/>
        </w:rPr>
        <w:t xml:space="preserve">, se emitió el acuerdo por medio del cual se declaró cerrada la instrucción, pasando el expediente a resolución, </w:t>
      </w:r>
      <w:r w:rsidR="00D65DA3" w:rsidRPr="00917C1B">
        <w:rPr>
          <w:rFonts w:ascii="Palatino Linotype" w:hAnsi="Palatino Linotype"/>
          <w:color w:val="000000" w:themeColor="text1"/>
        </w:rPr>
        <w:t xml:space="preserve">en razón de que fue debidamente substanciado el expediente y no existiendo diligencia pendiente de desahogo, </w:t>
      </w:r>
      <w:r w:rsidR="00DA0B77" w:rsidRPr="00917C1B">
        <w:rPr>
          <w:rFonts w:ascii="Palatino Linotype" w:hAnsi="Palatino Linotype"/>
          <w:color w:val="000000" w:themeColor="text1"/>
        </w:rPr>
        <w:t xml:space="preserve">en términos del </w:t>
      </w:r>
      <w:r w:rsidR="006031FE" w:rsidRPr="00917C1B">
        <w:rPr>
          <w:rFonts w:ascii="Palatino Linotype" w:hAnsi="Palatino Linotype"/>
          <w:color w:val="000000" w:themeColor="text1"/>
        </w:rPr>
        <w:t>artículo 185 fracci</w:t>
      </w:r>
      <w:r w:rsidR="00DA0B77" w:rsidRPr="00917C1B">
        <w:rPr>
          <w:rFonts w:ascii="Palatino Linotype" w:hAnsi="Palatino Linotype"/>
          <w:color w:val="000000" w:themeColor="text1"/>
        </w:rPr>
        <w:t>ones</w:t>
      </w:r>
      <w:r w:rsidR="006031FE" w:rsidRPr="00917C1B">
        <w:rPr>
          <w:rFonts w:ascii="Palatino Linotype" w:hAnsi="Palatino Linotype"/>
          <w:color w:val="000000" w:themeColor="text1"/>
        </w:rPr>
        <w:t xml:space="preserve"> VI</w:t>
      </w:r>
      <w:r w:rsidR="00DA0B77" w:rsidRPr="00917C1B">
        <w:rPr>
          <w:rFonts w:ascii="Palatino Linotype" w:hAnsi="Palatino Linotype"/>
          <w:color w:val="000000" w:themeColor="text1"/>
        </w:rPr>
        <w:t xml:space="preserve"> y VIII</w:t>
      </w:r>
      <w:r w:rsidR="006031FE" w:rsidRPr="00917C1B">
        <w:rPr>
          <w:rFonts w:ascii="Palatino Linotype" w:hAnsi="Palatino Linotype"/>
          <w:color w:val="000000" w:themeColor="text1"/>
        </w:rPr>
        <w:t xml:space="preserve"> de la Ley de Transparencia y Acceso a la Información Pública del Estado de México y Municipios</w:t>
      </w:r>
      <w:r w:rsidR="009F19E6" w:rsidRPr="00917C1B">
        <w:rPr>
          <w:rFonts w:ascii="Palatino Linotype" w:hAnsi="Palatino Linotype"/>
          <w:color w:val="000000" w:themeColor="text1"/>
        </w:rPr>
        <w:t>,</w:t>
      </w:r>
      <w:r w:rsidR="006031FE" w:rsidRPr="00917C1B">
        <w:rPr>
          <w:rFonts w:ascii="Palatino Linotype" w:hAnsi="Palatino Linotype"/>
          <w:color w:val="000000" w:themeColor="text1"/>
        </w:rPr>
        <w:t xml:space="preserve"> </w:t>
      </w:r>
      <w:r w:rsidR="00DA0B77" w:rsidRPr="00917C1B">
        <w:rPr>
          <w:rFonts w:ascii="Palatino Linotype" w:hAnsi="Palatino Linotype"/>
          <w:color w:val="000000" w:themeColor="text1"/>
        </w:rPr>
        <w:t>el cual fue notificado a las partes en la misma fecha</w:t>
      </w:r>
      <w:r w:rsidR="006031FE" w:rsidRPr="00917C1B">
        <w:rPr>
          <w:rFonts w:ascii="Palatino Linotype" w:hAnsi="Palatino Linotype"/>
          <w:color w:val="000000" w:themeColor="text1"/>
        </w:rPr>
        <w:t xml:space="preserve">. </w:t>
      </w:r>
      <w:r w:rsidR="006031FE" w:rsidRPr="00917C1B">
        <w:rPr>
          <w:rFonts w:ascii="Palatino Linotype" w:eastAsia="Calibri" w:hAnsi="Palatino Linotype" w:cs="Arial"/>
          <w:b/>
          <w:color w:val="000000" w:themeColor="text1"/>
          <w:sz w:val="28"/>
          <w:szCs w:val="28"/>
        </w:rPr>
        <w:t xml:space="preserve"> </w:t>
      </w:r>
    </w:p>
    <w:p w14:paraId="6F9BFBF9" w14:textId="77777777" w:rsidR="009F4D23" w:rsidRPr="00917C1B" w:rsidRDefault="009F4D23" w:rsidP="004A6EFE">
      <w:pPr>
        <w:pStyle w:val="Ttulo2"/>
        <w:jc w:val="center"/>
        <w:rPr>
          <w:rFonts w:ascii="Palatino Linotype" w:hAnsi="Palatino Linotype"/>
          <w:b/>
          <w:color w:val="000000" w:themeColor="text1"/>
          <w:sz w:val="24"/>
          <w:szCs w:val="24"/>
        </w:rPr>
      </w:pPr>
    </w:p>
    <w:p w14:paraId="4E1E75B1" w14:textId="77777777" w:rsidR="009F4D23" w:rsidRPr="00917C1B" w:rsidRDefault="009F4D23" w:rsidP="004A6EFE">
      <w:pPr>
        <w:pStyle w:val="Ttulo2"/>
        <w:jc w:val="center"/>
        <w:rPr>
          <w:rFonts w:ascii="Palatino Linotype" w:hAnsi="Palatino Linotype"/>
          <w:b/>
          <w:color w:val="000000" w:themeColor="text1"/>
          <w:sz w:val="24"/>
          <w:szCs w:val="24"/>
        </w:rPr>
      </w:pPr>
    </w:p>
    <w:p w14:paraId="7CD5D137" w14:textId="10283084" w:rsidR="008E7698" w:rsidRPr="00917C1B" w:rsidRDefault="004A6EFE" w:rsidP="004A6EFE">
      <w:pPr>
        <w:pStyle w:val="Ttulo2"/>
        <w:jc w:val="center"/>
        <w:rPr>
          <w:rFonts w:ascii="Palatino Linotype" w:hAnsi="Palatino Linotype"/>
          <w:b/>
          <w:color w:val="000000" w:themeColor="text1"/>
          <w:sz w:val="24"/>
          <w:szCs w:val="24"/>
        </w:rPr>
      </w:pPr>
      <w:r w:rsidRPr="00917C1B">
        <w:rPr>
          <w:rFonts w:ascii="Palatino Linotype" w:hAnsi="Palatino Linotype"/>
          <w:b/>
          <w:color w:val="000000" w:themeColor="text1"/>
          <w:sz w:val="24"/>
          <w:szCs w:val="24"/>
        </w:rPr>
        <w:t xml:space="preserve">II. </w:t>
      </w:r>
      <w:r w:rsidR="008E7698" w:rsidRPr="00917C1B">
        <w:rPr>
          <w:rFonts w:ascii="Palatino Linotype" w:hAnsi="Palatino Linotype"/>
          <w:b/>
          <w:color w:val="000000" w:themeColor="text1"/>
          <w:sz w:val="24"/>
          <w:szCs w:val="24"/>
        </w:rPr>
        <w:t>C O N S I D E R A N D O</w:t>
      </w:r>
      <w:r w:rsidR="00DA0B77" w:rsidRPr="00917C1B">
        <w:rPr>
          <w:rFonts w:ascii="Palatino Linotype" w:hAnsi="Palatino Linotype"/>
          <w:b/>
          <w:color w:val="000000" w:themeColor="text1"/>
          <w:sz w:val="24"/>
          <w:szCs w:val="24"/>
        </w:rPr>
        <w:t xml:space="preserve"> S</w:t>
      </w:r>
      <w:r w:rsidR="008E7698" w:rsidRPr="00917C1B">
        <w:rPr>
          <w:rFonts w:ascii="Palatino Linotype" w:hAnsi="Palatino Linotype"/>
          <w:b/>
          <w:color w:val="000000" w:themeColor="text1"/>
          <w:sz w:val="24"/>
          <w:szCs w:val="24"/>
        </w:rPr>
        <w:t>:</w:t>
      </w:r>
    </w:p>
    <w:p w14:paraId="445D27E5" w14:textId="77777777" w:rsidR="002339A2" w:rsidRPr="00917C1B" w:rsidRDefault="00516E6A" w:rsidP="008E7698">
      <w:pPr>
        <w:spacing w:before="240" w:after="240" w:line="360" w:lineRule="auto"/>
        <w:jc w:val="both"/>
        <w:rPr>
          <w:rFonts w:ascii="Palatino Linotype" w:hAnsi="Palatino Linotype" w:cs="Arial"/>
          <w:b/>
          <w:color w:val="000000" w:themeColor="text1"/>
        </w:rPr>
      </w:pPr>
      <w:r w:rsidRPr="00917C1B">
        <w:rPr>
          <w:rFonts w:ascii="Palatino Linotype" w:hAnsi="Palatino Linotype" w:cs="Arial"/>
          <w:b/>
          <w:color w:val="000000" w:themeColor="text1"/>
          <w:sz w:val="28"/>
          <w:szCs w:val="28"/>
        </w:rPr>
        <w:t>PRIMERO</w:t>
      </w:r>
      <w:r w:rsidR="008E7698" w:rsidRPr="00917C1B">
        <w:rPr>
          <w:rFonts w:ascii="Palatino Linotype" w:hAnsi="Palatino Linotype" w:cs="Arial"/>
          <w:b/>
          <w:color w:val="000000" w:themeColor="text1"/>
          <w:sz w:val="28"/>
          <w:szCs w:val="28"/>
        </w:rPr>
        <w:t>. Competencia</w:t>
      </w:r>
      <w:r w:rsidR="008E7698" w:rsidRPr="00917C1B">
        <w:rPr>
          <w:rFonts w:ascii="Palatino Linotype" w:hAnsi="Palatino Linotype" w:cs="Arial"/>
          <w:b/>
          <w:color w:val="000000" w:themeColor="text1"/>
        </w:rPr>
        <w:t xml:space="preserve">. </w:t>
      </w:r>
    </w:p>
    <w:p w14:paraId="0B1FAD6B" w14:textId="5ED5A7FE" w:rsidR="00A5404F" w:rsidRPr="00917C1B" w:rsidRDefault="00A5404F" w:rsidP="008E7698">
      <w:pPr>
        <w:spacing w:before="240" w:after="240" w:line="360" w:lineRule="auto"/>
        <w:jc w:val="both"/>
        <w:rPr>
          <w:rFonts w:ascii="Palatino Linotype" w:hAnsi="Palatino Linotype" w:cs="Arial"/>
          <w:b/>
          <w:color w:val="000000" w:themeColor="text1"/>
        </w:rPr>
      </w:pPr>
      <w:r w:rsidRPr="00917C1B">
        <w:rPr>
          <w:rFonts w:ascii="Palatino Linotype" w:hAnsi="Palatino Linotype"/>
          <w:color w:val="000000" w:themeColor="text1"/>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917C1B">
        <w:rPr>
          <w:rFonts w:ascii="Palatino Linotype" w:hAnsi="Palatino Linotype"/>
          <w:color w:val="000000" w:themeColor="text1"/>
          <w:shd w:val="clear" w:color="auto" w:fill="FFFFFF"/>
        </w:rPr>
        <w:t>Recurrente</w:t>
      </w:r>
      <w:r w:rsidRPr="00917C1B">
        <w:rPr>
          <w:rFonts w:ascii="Palatino Linotype" w:hAnsi="Palatino Linotype"/>
          <w:color w:val="000000" w:themeColor="text1"/>
          <w:shd w:val="clear" w:color="auto" w:fill="FFFFFF"/>
        </w:rPr>
        <w:t>, conforme a lo dispuesto en los artículos 6, apartado A de la Constitución Política de los Estados Unidos Mexican</w:t>
      </w:r>
      <w:r w:rsidR="00326DF2" w:rsidRPr="00917C1B">
        <w:rPr>
          <w:rFonts w:ascii="Palatino Linotype" w:hAnsi="Palatino Linotype"/>
          <w:color w:val="000000" w:themeColor="text1"/>
          <w:shd w:val="clear" w:color="auto" w:fill="FFFFFF"/>
        </w:rPr>
        <w:t>os; 5, párrafos vigésimo, vigésimo primero y vigésimo segundo</w:t>
      </w:r>
      <w:r w:rsidR="00077347" w:rsidRPr="00917C1B">
        <w:rPr>
          <w:rFonts w:ascii="Palatino Linotype" w:hAnsi="Palatino Linotype"/>
          <w:color w:val="000000" w:themeColor="text1"/>
          <w:shd w:val="clear" w:color="auto" w:fill="FFFFFF"/>
        </w:rPr>
        <w:t xml:space="preserve"> </w:t>
      </w:r>
      <w:r w:rsidR="00D371C6" w:rsidRPr="00917C1B">
        <w:rPr>
          <w:rFonts w:ascii="Palatino Linotype" w:hAnsi="Palatino Linotype"/>
          <w:color w:val="000000" w:themeColor="text1"/>
          <w:shd w:val="clear" w:color="auto" w:fill="FFFFFF"/>
        </w:rPr>
        <w:t xml:space="preserve">fracción IV y V </w:t>
      </w:r>
      <w:r w:rsidRPr="00917C1B">
        <w:rPr>
          <w:rFonts w:ascii="Palatino Linotype" w:hAnsi="Palatino Linotype"/>
          <w:color w:val="000000" w:themeColor="text1"/>
          <w:shd w:val="clear" w:color="auto" w:fill="FFFFFF"/>
        </w:rPr>
        <w:t>de la Constitución Política del Estado Libre y Soberano de México; 1,</w:t>
      </w:r>
      <w:r w:rsidR="00551BA4" w:rsidRPr="00917C1B">
        <w:rPr>
          <w:rFonts w:ascii="Palatino Linotype" w:hAnsi="Palatino Linotype"/>
          <w:color w:val="000000" w:themeColor="text1"/>
          <w:shd w:val="clear" w:color="auto" w:fill="FFFFFF"/>
        </w:rPr>
        <w:t xml:space="preserve"> </w:t>
      </w:r>
      <w:r w:rsidR="00E34890" w:rsidRPr="00917C1B">
        <w:rPr>
          <w:rFonts w:ascii="Palatino Linotype" w:hAnsi="Palatino Linotype"/>
          <w:color w:val="000000" w:themeColor="text1"/>
          <w:shd w:val="clear" w:color="auto" w:fill="FFFFFF"/>
        </w:rPr>
        <w:t>2, fracción II</w:t>
      </w:r>
      <w:r w:rsidR="00551BA4" w:rsidRPr="00917C1B">
        <w:rPr>
          <w:rFonts w:ascii="Palatino Linotype" w:hAnsi="Palatino Linotype"/>
          <w:color w:val="000000" w:themeColor="text1"/>
          <w:shd w:val="clear" w:color="auto" w:fill="FFFFFF"/>
        </w:rPr>
        <w:t>;</w:t>
      </w:r>
      <w:r w:rsidR="00E34890" w:rsidRPr="00917C1B">
        <w:rPr>
          <w:rFonts w:ascii="Palatino Linotype" w:hAnsi="Palatino Linotype"/>
          <w:color w:val="000000" w:themeColor="text1"/>
          <w:shd w:val="clear" w:color="auto" w:fill="FFFFFF"/>
        </w:rPr>
        <w:t xml:space="preserve"> 13, </w:t>
      </w:r>
      <w:r w:rsidRPr="00917C1B">
        <w:rPr>
          <w:rFonts w:ascii="Palatino Linotype" w:hAnsi="Palatino Linotype"/>
          <w:color w:val="000000" w:themeColor="text1"/>
          <w:shd w:val="clear" w:color="auto" w:fill="FFFFFF"/>
        </w:rPr>
        <w:t xml:space="preserve"> 29, 36, fracciones I</w:t>
      </w:r>
      <w:r w:rsidR="005A232E" w:rsidRPr="00917C1B">
        <w:rPr>
          <w:rFonts w:ascii="Palatino Linotype" w:hAnsi="Palatino Linotype"/>
          <w:color w:val="000000" w:themeColor="text1"/>
          <w:shd w:val="clear" w:color="auto" w:fill="FFFFFF"/>
        </w:rPr>
        <w:t xml:space="preserve"> y II;</w:t>
      </w:r>
      <w:r w:rsidRPr="00917C1B">
        <w:rPr>
          <w:rFonts w:ascii="Palatino Linotype" w:hAnsi="Palatino Linotype"/>
          <w:color w:val="000000" w:themeColor="text1"/>
          <w:shd w:val="clear" w:color="auto" w:fill="FFFFFF"/>
        </w:rPr>
        <w:t xml:space="preserve"> 176,</w:t>
      </w:r>
      <w:r w:rsidR="004D5FEF" w:rsidRPr="00917C1B">
        <w:rPr>
          <w:rFonts w:ascii="Palatino Linotype" w:hAnsi="Palatino Linotype"/>
          <w:color w:val="000000" w:themeColor="text1"/>
          <w:shd w:val="clear" w:color="auto" w:fill="FFFFFF"/>
        </w:rPr>
        <w:t xml:space="preserve"> 178,</w:t>
      </w:r>
      <w:r w:rsidRPr="00917C1B">
        <w:rPr>
          <w:rFonts w:ascii="Palatino Linotype" w:hAnsi="Palatino Linotype"/>
          <w:color w:val="000000" w:themeColor="text1"/>
          <w:shd w:val="clear" w:color="auto" w:fill="FFFFFF"/>
        </w:rPr>
        <w:t xml:space="preserve"> 179, </w:t>
      </w:r>
      <w:r w:rsidR="004D5FEF" w:rsidRPr="00917C1B">
        <w:rPr>
          <w:rFonts w:ascii="Palatino Linotype" w:hAnsi="Palatino Linotype"/>
          <w:color w:val="000000" w:themeColor="text1"/>
          <w:shd w:val="clear" w:color="auto" w:fill="FFFFFF"/>
        </w:rPr>
        <w:t xml:space="preserve">181 párrafo 3 y </w:t>
      </w:r>
      <w:r w:rsidRPr="00917C1B">
        <w:rPr>
          <w:rFonts w:ascii="Palatino Linotype" w:hAnsi="Palatino Linotype"/>
          <w:color w:val="000000" w:themeColor="text1"/>
          <w:shd w:val="clear" w:color="auto" w:fill="FFFFFF"/>
        </w:rPr>
        <w:t>185</w:t>
      </w:r>
      <w:r w:rsidR="004D5FEF" w:rsidRPr="00917C1B">
        <w:rPr>
          <w:rFonts w:ascii="Palatino Linotype" w:hAnsi="Palatino Linotype"/>
          <w:color w:val="000000" w:themeColor="text1"/>
          <w:shd w:val="clear" w:color="auto" w:fill="FFFFFF"/>
        </w:rPr>
        <w:t xml:space="preserve"> </w:t>
      </w:r>
      <w:r w:rsidRPr="00917C1B">
        <w:rPr>
          <w:rFonts w:ascii="Palatino Linotype" w:hAnsi="Palatino Linotype"/>
          <w:color w:val="000000" w:themeColor="text1"/>
          <w:shd w:val="clear" w:color="auto" w:fill="FFFFFF"/>
        </w:rPr>
        <w:t xml:space="preserve">de la Ley Transparencia y Acceso a la Información Pública </w:t>
      </w:r>
      <w:r w:rsidR="0010152C" w:rsidRPr="00917C1B">
        <w:rPr>
          <w:rFonts w:ascii="Palatino Linotype" w:hAnsi="Palatino Linotype"/>
          <w:color w:val="000000" w:themeColor="text1"/>
          <w:shd w:val="clear" w:color="auto" w:fill="FFFFFF"/>
        </w:rPr>
        <w:t>del Estado de México y Municipios</w:t>
      </w:r>
      <w:r w:rsidR="002C7992" w:rsidRPr="00917C1B">
        <w:rPr>
          <w:rFonts w:ascii="Palatino Linotype" w:hAnsi="Palatino Linotype"/>
          <w:color w:val="000000" w:themeColor="text1"/>
          <w:shd w:val="clear" w:color="auto" w:fill="FFFFFF"/>
        </w:rPr>
        <w:t>;</w:t>
      </w:r>
      <w:r w:rsidRPr="00917C1B">
        <w:rPr>
          <w:rFonts w:ascii="Palatino Linotype" w:hAnsi="Palatino Linotype"/>
          <w:color w:val="000000" w:themeColor="text1"/>
          <w:shd w:val="clear" w:color="auto" w:fill="FFFFFF"/>
        </w:rPr>
        <w:t xml:space="preserve"> </w:t>
      </w:r>
      <w:r w:rsidR="00E54F16" w:rsidRPr="00917C1B">
        <w:rPr>
          <w:rFonts w:ascii="Palatino Linotype" w:hAnsi="Palatino Linotype" w:cs="Arial"/>
          <w:color w:val="000000" w:themeColor="text1"/>
        </w:rPr>
        <w:t xml:space="preserve">9 fracciones I, XXIV y 11 </w:t>
      </w:r>
      <w:r w:rsidRPr="00917C1B">
        <w:rPr>
          <w:rFonts w:ascii="Palatino Linotype" w:hAnsi="Palatino Linotype"/>
          <w:color w:val="000000" w:themeColor="text1"/>
          <w:shd w:val="clear" w:color="auto" w:fill="FFFFFF"/>
        </w:rPr>
        <w:t>del Reglamento Interior del Instituto de Transparencia, Acceso a la Información Pública y Protección de Datos Personales del Estado de México y Municipios.</w:t>
      </w:r>
    </w:p>
    <w:p w14:paraId="12541B47" w14:textId="77777777" w:rsidR="00D65DA3" w:rsidRPr="00917C1B" w:rsidRDefault="00D65DA3" w:rsidP="00D65DA3">
      <w:pPr>
        <w:spacing w:before="240" w:after="240" w:line="360" w:lineRule="auto"/>
        <w:jc w:val="both"/>
        <w:rPr>
          <w:rFonts w:ascii="Palatino Linotype" w:hAnsi="Palatino Linotype" w:cs="Arial"/>
          <w:color w:val="000000" w:themeColor="text1"/>
        </w:rPr>
      </w:pPr>
      <w:r w:rsidRPr="00917C1B">
        <w:rPr>
          <w:rFonts w:ascii="Palatino Linotype" w:hAnsi="Palatino Linotype" w:cs="Arial"/>
          <w:b/>
          <w:color w:val="000000" w:themeColor="text1"/>
          <w:sz w:val="28"/>
          <w:szCs w:val="28"/>
        </w:rPr>
        <w:t>SEGUNDO. Oportunidad y Procediblidad del Recurso de Revisión.</w:t>
      </w:r>
      <w:r w:rsidRPr="00917C1B">
        <w:rPr>
          <w:rFonts w:ascii="Palatino Linotype" w:hAnsi="Palatino Linotype" w:cs="Arial"/>
          <w:b/>
          <w:color w:val="000000" w:themeColor="text1"/>
        </w:rPr>
        <w:t xml:space="preserve"> </w:t>
      </w:r>
      <w:r w:rsidRPr="00917C1B">
        <w:rPr>
          <w:rFonts w:ascii="Palatino Linotype" w:hAnsi="Palatino Linotype" w:cs="Arial"/>
          <w:color w:val="000000" w:themeColor="text1"/>
        </w:rPr>
        <w:t xml:space="preserve">Previo al estudio del fondo del asunto, se procede a analizar los requisitos de oportunidad y procedibilidad que debe reunir el recurso de revisión interpuesto, previstos en los artículos </w:t>
      </w:r>
      <w:r w:rsidRPr="00917C1B">
        <w:rPr>
          <w:rFonts w:ascii="Palatino Linotype" w:hAnsi="Palatino Linotype" w:cs="Arial"/>
          <w:color w:val="000000" w:themeColor="text1"/>
          <w:lang w:val="es-MX"/>
        </w:rPr>
        <w:t>178 y 180 de la Ley de Transparencia y Acceso a la Información Pública del Estado de México y Municipios</w:t>
      </w:r>
      <w:r w:rsidRPr="00917C1B">
        <w:rPr>
          <w:rFonts w:ascii="Palatino Linotype" w:hAnsi="Palatino Linotype" w:cs="Arial"/>
          <w:color w:val="000000" w:themeColor="text1"/>
          <w:lang w:val="es-MX" w:eastAsia="es-MX"/>
        </w:rPr>
        <w:t xml:space="preserve">. </w:t>
      </w:r>
    </w:p>
    <w:p w14:paraId="3FA7369A" w14:textId="71B74F54" w:rsidR="00D65DA3" w:rsidRPr="00917C1B" w:rsidRDefault="00D65DA3" w:rsidP="00D65DA3">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El recurso de revisión fue interpuesto dentro del plazo de quince días hábiles previsto en el artículo 178 de la </w:t>
      </w:r>
      <w:r w:rsidRPr="00917C1B">
        <w:rPr>
          <w:rFonts w:ascii="Palatino Linotype" w:hAnsi="Palatino Linotype" w:cs="Arial"/>
          <w:color w:val="000000" w:themeColor="text1"/>
          <w:lang w:val="es-MX"/>
        </w:rPr>
        <w:t xml:space="preserve">Ley de Transparencia y Acceso a la Información Pública del Estado de México y Municipios, </w:t>
      </w:r>
      <w:r w:rsidRPr="00917C1B">
        <w:rPr>
          <w:rFonts w:ascii="Palatino Linotype" w:hAnsi="Palatino Linotype" w:cs="Arial"/>
          <w:color w:val="000000" w:themeColor="text1"/>
        </w:rPr>
        <w:t xml:space="preserve">contados a partir de la fecha en que el Sujeto Obligado emitió la respuesta, toda vez que ésta fue pronunciada el día </w:t>
      </w:r>
      <w:r w:rsidR="00905288" w:rsidRPr="00917C1B">
        <w:rPr>
          <w:rFonts w:ascii="Palatino Linotype" w:hAnsi="Palatino Linotype" w:cs="Arial"/>
          <w:color w:val="000000" w:themeColor="text1"/>
        </w:rPr>
        <w:t>dieciséis de julio</w:t>
      </w:r>
      <w:r w:rsidRPr="00917C1B">
        <w:rPr>
          <w:rFonts w:ascii="Palatino Linotype" w:hAnsi="Palatino Linotype" w:cs="Arial"/>
          <w:color w:val="000000" w:themeColor="text1"/>
        </w:rPr>
        <w:t xml:space="preserve"> de dos mil dieciocho, mientras que el </w:t>
      </w:r>
      <w:r w:rsidRPr="00917C1B">
        <w:rPr>
          <w:rFonts w:ascii="Palatino Linotype" w:hAnsi="Palatino Linotype" w:cs="Arial"/>
          <w:b/>
          <w:i/>
          <w:color w:val="000000" w:themeColor="text1"/>
        </w:rPr>
        <w:t>Recurrente</w:t>
      </w:r>
      <w:r w:rsidRPr="00917C1B">
        <w:rPr>
          <w:rFonts w:ascii="Palatino Linotype" w:hAnsi="Palatino Linotype" w:cs="Arial"/>
          <w:color w:val="000000" w:themeColor="text1"/>
        </w:rPr>
        <w:t xml:space="preserve"> interpuso el recurso de revisión el </w:t>
      </w:r>
      <w:r w:rsidR="00905288" w:rsidRPr="00917C1B">
        <w:rPr>
          <w:rFonts w:ascii="Palatino Linotype" w:hAnsi="Palatino Linotype" w:cs="Arial"/>
          <w:color w:val="000000" w:themeColor="text1"/>
        </w:rPr>
        <w:t>treinta de julio</w:t>
      </w:r>
      <w:r w:rsidRPr="00917C1B">
        <w:rPr>
          <w:rFonts w:ascii="Palatino Linotype" w:hAnsi="Palatino Linotype" w:cs="Arial"/>
          <w:color w:val="000000" w:themeColor="text1"/>
        </w:rPr>
        <w:t xml:space="preserve"> del mismo año.</w:t>
      </w:r>
    </w:p>
    <w:p w14:paraId="0CE69A8C" w14:textId="77777777" w:rsidR="00D65DA3" w:rsidRPr="00917C1B" w:rsidRDefault="00D65DA3" w:rsidP="00D65DA3">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En ese sentido, al considerar la fecha en que se formuló la solicitud y la fecha en la que respondió a ésta el </w:t>
      </w:r>
      <w:r w:rsidRPr="00917C1B">
        <w:rPr>
          <w:rFonts w:ascii="Palatino Linotype" w:hAnsi="Palatino Linotype" w:cs="Arial"/>
          <w:b/>
          <w:color w:val="000000" w:themeColor="text1"/>
        </w:rPr>
        <w:t>Sujeto Obligado</w:t>
      </w:r>
      <w:r w:rsidRPr="00917C1B">
        <w:rPr>
          <w:rFonts w:ascii="Palatino Linotype" w:hAnsi="Palatino Linotype" w:cs="Arial"/>
          <w:color w:val="000000" w:themeColor="text1"/>
        </w:rPr>
        <w:t>; así como, en la que se interpuso el recurso de revisión, éste se encuentra dentro de los márgenes temporales previstos en el citado precepto legal.</w:t>
      </w:r>
    </w:p>
    <w:p w14:paraId="1490494F" w14:textId="77777777" w:rsidR="00F86996" w:rsidRPr="00917C1B" w:rsidRDefault="00F86996" w:rsidP="00F86996">
      <w:pPr>
        <w:spacing w:before="240" w:after="240" w:line="360" w:lineRule="auto"/>
        <w:jc w:val="both"/>
        <w:rPr>
          <w:rStyle w:val="normaltextrun"/>
          <w:rFonts w:ascii="Palatino Linotype" w:hAnsi="Palatino Linotype" w:cs="Segoe UI"/>
          <w:color w:val="000000" w:themeColor="text1"/>
        </w:rPr>
      </w:pPr>
      <w:r w:rsidRPr="00917C1B">
        <w:rPr>
          <w:rFonts w:ascii="Palatino Linotype" w:hAnsi="Palatino Linotype" w:cs="Arial"/>
          <w:color w:val="000000" w:themeColor="text1"/>
        </w:rPr>
        <w:t>Así también, por cuanto hace a la procedibilidad del recurso de revisión una vez realizado el análisis del formato de interposición</w:t>
      </w:r>
      <w:r w:rsidRPr="00917C1B">
        <w:rPr>
          <w:rStyle w:val="normaltextrun"/>
          <w:rFonts w:ascii="Palatino Linotype" w:hAnsi="Palatino Linotype" w:cs="Segoe UI"/>
          <w:color w:val="000000" w:themeColor="text1"/>
        </w:rPr>
        <w:t xml:space="preserve"> del recurso, se advierte que el artículo 180 de la</w:t>
      </w:r>
      <w:r w:rsidRPr="00917C1B">
        <w:rPr>
          <w:rStyle w:val="apple-converted-space"/>
          <w:rFonts w:ascii="Palatino Linotype" w:eastAsiaTheme="minorHAnsi" w:hAnsi="Palatino Linotype" w:cs="Segoe UI"/>
          <w:color w:val="000000" w:themeColor="text1"/>
        </w:rPr>
        <w:t> </w:t>
      </w:r>
      <w:r w:rsidRPr="00917C1B">
        <w:rPr>
          <w:rStyle w:val="normaltextrun"/>
          <w:rFonts w:ascii="Palatino Linotype" w:hAnsi="Palatino Linotype" w:cs="Segoe UI"/>
          <w:color w:val="000000" w:themeColor="text1"/>
        </w:rPr>
        <w:t>Ley de Transparencia y Acceso a la Información Pública del Estado de México y Municipios, establece los siguientes elementos formales para la presentación del recurso:</w:t>
      </w:r>
    </w:p>
    <w:p w14:paraId="7E5928A6"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b/>
          <w:i/>
          <w:color w:val="000000" w:themeColor="text1"/>
          <w:sz w:val="20"/>
        </w:rPr>
        <w:t>“Artículo 180.</w:t>
      </w:r>
      <w:r w:rsidRPr="00917C1B">
        <w:rPr>
          <w:rFonts w:ascii="Palatino Linotype" w:hAnsi="Palatino Linotype" w:cs="Arial"/>
          <w:i/>
          <w:color w:val="000000" w:themeColor="text1"/>
          <w:sz w:val="20"/>
        </w:rPr>
        <w:t xml:space="preserve"> El recurso de revisión contendrá: </w:t>
      </w:r>
    </w:p>
    <w:p w14:paraId="19AB421A" w14:textId="77777777" w:rsidR="00F86996" w:rsidRPr="00917C1B" w:rsidRDefault="00F86996" w:rsidP="00F86996">
      <w:pPr>
        <w:autoSpaceDE w:val="0"/>
        <w:autoSpaceDN w:val="0"/>
        <w:adjustRightInd w:val="0"/>
        <w:spacing w:after="120"/>
        <w:ind w:left="1134"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w:t>
      </w:r>
    </w:p>
    <w:p w14:paraId="730D532E" w14:textId="77777777" w:rsidR="00F86996" w:rsidRPr="00917C1B" w:rsidRDefault="00F86996" w:rsidP="00F86996">
      <w:pPr>
        <w:autoSpaceDE w:val="0"/>
        <w:autoSpaceDN w:val="0"/>
        <w:adjustRightInd w:val="0"/>
        <w:spacing w:after="120"/>
        <w:ind w:left="1134"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II. El nombre del solicitante que recurre o de su representante y, en su caso, del tercero interesado, así como la dirección o medio que señale para recibir notificaciones; </w:t>
      </w:r>
    </w:p>
    <w:p w14:paraId="7A0C7381"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w:t>
      </w:r>
    </w:p>
    <w:p w14:paraId="1458647C" w14:textId="4AB81818"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En caso de que el recurso se interponga de manera electrónica no será indispensable que contengan los requisitos establecidos en las fracciones II, IV, VII y VIII.”</w:t>
      </w:r>
    </w:p>
    <w:p w14:paraId="1E13B1A8" w14:textId="77777777" w:rsidR="00F86996" w:rsidRPr="00917C1B" w:rsidRDefault="00F86996" w:rsidP="00F86996">
      <w:pPr>
        <w:spacing w:before="240" w:after="240" w:line="360" w:lineRule="auto"/>
        <w:jc w:val="both"/>
        <w:rPr>
          <w:rStyle w:val="normaltextrun"/>
          <w:rFonts w:ascii="Palatino Linotype" w:hAnsi="Palatino Linotype" w:cs="Segoe UI"/>
          <w:color w:val="000000" w:themeColor="text1"/>
        </w:rPr>
      </w:pPr>
      <w:r w:rsidRPr="00917C1B">
        <w:rPr>
          <w:rStyle w:val="normaltextrun"/>
          <w:rFonts w:ascii="Palatino Linotype" w:hAnsi="Palatino Linotype" w:cs="Segoe UI"/>
          <w:color w:val="000000" w:themeColor="text1"/>
        </w:rPr>
        <w:t>Por su parte, el artículo 181 del citado ordenamiento dispone, que:</w:t>
      </w:r>
    </w:p>
    <w:p w14:paraId="74932DE1"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b/>
          <w:i/>
          <w:color w:val="000000" w:themeColor="text1"/>
          <w:sz w:val="20"/>
          <w:szCs w:val="20"/>
        </w:rPr>
        <w:t>“Artículo 181.</w:t>
      </w:r>
      <w:r w:rsidRPr="00917C1B">
        <w:rPr>
          <w:rFonts w:ascii="Palatino Linotype" w:hAnsi="Palatino Linotype" w:cs="Arial"/>
          <w:i/>
          <w:color w:val="000000" w:themeColor="text1"/>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4D540540"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2B5A5379"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43412006"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34766291" w14:textId="77777777" w:rsidR="00F86996" w:rsidRPr="00917C1B" w:rsidRDefault="00F86996" w:rsidP="00F86996">
      <w:pPr>
        <w:spacing w:after="120"/>
        <w:ind w:left="851" w:right="902"/>
        <w:jc w:val="both"/>
        <w:rPr>
          <w:rStyle w:val="normaltextrun"/>
          <w:rFonts w:ascii="Palatino Linotype" w:hAnsi="Palatino Linotype" w:cs="Segoe UI"/>
          <w:color w:val="000000" w:themeColor="text1"/>
          <w:sz w:val="20"/>
          <w:szCs w:val="20"/>
        </w:rPr>
      </w:pPr>
      <w:r w:rsidRPr="00917C1B">
        <w:rPr>
          <w:rFonts w:ascii="Palatino Linotype" w:hAnsi="Palatino Linotype" w:cs="Arial"/>
          <w:i/>
          <w:color w:val="000000" w:themeColor="text1"/>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3CB02D17"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4DBEB215" w14:textId="469CD3AD"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Sobre el particular, de la revisión al expediente electrónico del SAIMEX se desprende que la parte solicitante, en ejercicio de su derecho de acceso a la información pública, y ahora recurrente, proporcionó un nombre pero sin señalar los apellidos que permitirían hacerlo identificable, por ende no se tiene el nombre de la persona, ni se tiene la certeza sobre su identidad, lo que en estricto sentido provoca que no se colmen los requisitos establecidos en el citado artículo 180 de la Ley de Transparencia.</w:t>
      </w:r>
    </w:p>
    <w:p w14:paraId="27C2AA98"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 xml:space="preserve">Empero lo anterior, debe destacarse que el artículo 15 de </w:t>
      </w:r>
      <w:r w:rsidRPr="00917C1B">
        <w:rPr>
          <w:rFonts w:ascii="Palatino Linotype" w:hAnsi="Palatino Linotype" w:cs="Arial"/>
          <w:color w:val="000000" w:themeColor="text1"/>
          <w:lang w:val="es-MX"/>
        </w:rPr>
        <w:t xml:space="preserve">Ley de Transparencia y Acceso a la Información Pública del Estado de México y Municipios </w:t>
      </w:r>
      <w:r w:rsidRPr="00917C1B">
        <w:rPr>
          <w:rFonts w:ascii="Palatino Linotype" w:hAnsi="Palatino Linotype" w:cs="Arial"/>
          <w:iCs/>
          <w:color w:val="000000" w:themeColor="text1"/>
        </w:rPr>
        <w:t xml:space="preserve">prevé que </w:t>
      </w:r>
      <w:r w:rsidRPr="00917C1B">
        <w:rPr>
          <w:rFonts w:ascii="Palatino Linotype" w:hAnsi="Palatino Linotype" w:cs="Arial"/>
          <w:color w:val="000000" w:themeColor="text1"/>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917C1B">
        <w:rPr>
          <w:rFonts w:ascii="Palatino Linotype" w:hAnsi="Palatino Linotype" w:cs="Arial"/>
          <w:i/>
          <w:color w:val="000000" w:themeColor="text1"/>
        </w:rPr>
        <w:t>sine qua non</w:t>
      </w:r>
      <w:r w:rsidRPr="00917C1B">
        <w:rPr>
          <w:rFonts w:ascii="Palatino Linotype" w:hAnsi="Palatino Linotype" w:cs="Arial"/>
          <w:color w:val="000000" w:themeColor="text1"/>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72175053"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Correlativo a ello, cabe mencionar que los artículos 6, apartado A, fracciones I, II, III y IV de la Constitución Política de los Estados Unidos Mexicanos y 5 vigésimo, vigésimo primero y vigésimo segundo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3716875"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0C0FDFD"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w:t>
      </w:r>
    </w:p>
    <w:p w14:paraId="76DC9033"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 Para efectos de lo dispuesto en el presente artículo se observará lo siguiente: </w:t>
      </w:r>
    </w:p>
    <w:p w14:paraId="0694E4B3"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A. Para el ejercicio del derecho de acceso a la información, la Federación, los Estados y el Distrito Federal, en el ámbito de sus respectivas competencias, se regirán por los siguientes principios y bases: </w:t>
      </w:r>
    </w:p>
    <w:p w14:paraId="1916575C"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221DF8"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II. La información que se refiere a la vida privada y los datos personales será protegida en los términos y con las excepciones que fijen las leyes. </w:t>
      </w:r>
    </w:p>
    <w:p w14:paraId="7CE479BF"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III. Toda persona, sin necesidad de acreditar interés alguno o justificar su utilización, tendrá acceso gratuito a la información pública, a sus datos personales o a la rectificación de éstos. </w:t>
      </w:r>
    </w:p>
    <w:p w14:paraId="641F9F9A"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IV. Se establecerán mecanismos de acceso a la información y procedimientos de revisión expeditos que se sustanciarán ante los organismos autónomos especializados e imparciales que establece esta Constitución.” </w:t>
      </w:r>
    </w:p>
    <w:p w14:paraId="2C3AC3AB"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65714019"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w:t>
      </w:r>
    </w:p>
    <w:p w14:paraId="44B4FC23"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39AA9F"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Este derecho se regirá por los principios y bases siguientes:</w:t>
      </w:r>
    </w:p>
    <w:p w14:paraId="355382C9"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CD1795"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w:t>
      </w:r>
    </w:p>
    <w:p w14:paraId="5A0EA2AB"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 III. Toda persona, sin necesidad de acreditar interés alguno o justificar su utilización, tendrá acceso gratuito a la información pública, a sus datos personales o a la rectificación de éstos;</w:t>
      </w:r>
    </w:p>
    <w:p w14:paraId="7E835767"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w:t>
      </w:r>
    </w:p>
    <w:p w14:paraId="0FBD1018" w14:textId="77777777" w:rsidR="00F86996" w:rsidRPr="00917C1B" w:rsidRDefault="00F86996" w:rsidP="00F86996">
      <w:pPr>
        <w:autoSpaceDE w:val="0"/>
        <w:autoSpaceDN w:val="0"/>
        <w:adjustRightInd w:val="0"/>
        <w:spacing w:after="120"/>
        <w:ind w:left="851" w:right="900"/>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31F1DFE"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Por otra parte, del contenido del artículo 1 de la Constitución Política de los Estados Unidos Mexicanos, se destaca lo siguiente:</w:t>
      </w:r>
    </w:p>
    <w:p w14:paraId="3BCE78BC"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AFA8781"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Las normas relativas a los derechos humanos se interpretarán de conformidad con esta Constitución y con los tratados internacionales de la materia favoreciendo en todo tiempo a las personas la protección más amplia.</w:t>
      </w:r>
    </w:p>
    <w:p w14:paraId="782D5D71"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0"/>
        </w:rPr>
      </w:pPr>
      <w:r w:rsidRPr="00917C1B">
        <w:rPr>
          <w:rFonts w:ascii="Palatino Linotype" w:hAnsi="Palatino Linotype" w:cs="Arial"/>
          <w:i/>
          <w:color w:val="000000" w:themeColor="text1"/>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F66A25F"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F700D20"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Robustece lo anterior, el Criterio 6/2014 del entonces Instituto Federal de Acceso a la Información y Protección de Datos, el cual se reproduce para una mayor referencia:</w:t>
      </w:r>
    </w:p>
    <w:p w14:paraId="28B44CC8" w14:textId="77777777" w:rsidR="00F86996" w:rsidRPr="00917C1B" w:rsidRDefault="00F86996" w:rsidP="00F86996">
      <w:pPr>
        <w:autoSpaceDE w:val="0"/>
        <w:autoSpaceDN w:val="0"/>
        <w:adjustRightInd w:val="0"/>
        <w:spacing w:after="120"/>
        <w:ind w:left="851" w:right="902"/>
        <w:jc w:val="both"/>
        <w:rPr>
          <w:rFonts w:ascii="Palatino Linotype" w:hAnsi="Palatino Linotype" w:cs="Arial"/>
          <w:i/>
          <w:color w:val="000000" w:themeColor="text1"/>
          <w:sz w:val="22"/>
        </w:rPr>
      </w:pPr>
      <w:r w:rsidRPr="00917C1B">
        <w:rPr>
          <w:rFonts w:ascii="Palatino Linotype" w:hAnsi="Palatino Linotype" w:cs="Arial"/>
          <w:i/>
          <w:color w:val="000000" w:themeColor="text1"/>
          <w:sz w:val="20"/>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7F26B6D"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A0FF51D"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13B1C12" w14:textId="77777777" w:rsidR="00F86996" w:rsidRPr="00917C1B" w:rsidRDefault="00F86996" w:rsidP="00F86996">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05C3B638" w14:textId="59DAFC04" w:rsidR="00D65DA3" w:rsidRPr="00917C1B" w:rsidRDefault="00D65DA3" w:rsidP="00D65DA3">
      <w:pPr>
        <w:spacing w:before="240" w:after="240" w:line="360" w:lineRule="auto"/>
        <w:jc w:val="both"/>
        <w:rPr>
          <w:rFonts w:ascii="Segoe UI" w:hAnsi="Segoe UI" w:cs="Segoe UI"/>
          <w:color w:val="000000" w:themeColor="text1"/>
        </w:rPr>
      </w:pPr>
      <w:r w:rsidRPr="00917C1B">
        <w:rPr>
          <w:rStyle w:val="normaltextrun"/>
          <w:rFonts w:ascii="Palatino Linotype" w:hAnsi="Palatino Linotype" w:cs="Segoe UI"/>
          <w:color w:val="000000" w:themeColor="text1"/>
        </w:rPr>
        <w:t>Dentro de este marco, es necesario insertar lo dispuesto por los artículos 176 y</w:t>
      </w:r>
      <w:r w:rsidRPr="00917C1B">
        <w:rPr>
          <w:rStyle w:val="apple-converted-space"/>
          <w:rFonts w:ascii="Palatino Linotype" w:eastAsiaTheme="minorHAnsi" w:hAnsi="Palatino Linotype" w:cs="Segoe UI"/>
          <w:color w:val="000000" w:themeColor="text1"/>
        </w:rPr>
        <w:t xml:space="preserve"> 179 </w:t>
      </w:r>
      <w:r w:rsidR="00F86996" w:rsidRPr="00917C1B">
        <w:rPr>
          <w:rStyle w:val="apple-converted-space"/>
          <w:rFonts w:ascii="Palatino Linotype" w:eastAsiaTheme="minorHAnsi" w:hAnsi="Palatino Linotype" w:cs="Segoe UI"/>
          <w:color w:val="000000" w:themeColor="text1"/>
        </w:rPr>
        <w:t>fraccio</w:t>
      </w:r>
      <w:r w:rsidRPr="00917C1B">
        <w:rPr>
          <w:rStyle w:val="apple-converted-space"/>
          <w:rFonts w:ascii="Palatino Linotype" w:eastAsiaTheme="minorHAnsi" w:hAnsi="Palatino Linotype" w:cs="Segoe UI"/>
          <w:color w:val="000000" w:themeColor="text1"/>
        </w:rPr>
        <w:t>n</w:t>
      </w:r>
      <w:r w:rsidR="00F86996" w:rsidRPr="00917C1B">
        <w:rPr>
          <w:rStyle w:val="apple-converted-space"/>
          <w:rFonts w:ascii="Palatino Linotype" w:eastAsiaTheme="minorHAnsi" w:hAnsi="Palatino Linotype" w:cs="Segoe UI"/>
          <w:color w:val="000000" w:themeColor="text1"/>
        </w:rPr>
        <w:t>es</w:t>
      </w:r>
      <w:r w:rsidRPr="00917C1B">
        <w:rPr>
          <w:rStyle w:val="apple-converted-space"/>
          <w:rFonts w:ascii="Palatino Linotype" w:eastAsiaTheme="minorHAnsi" w:hAnsi="Palatino Linotype" w:cs="Segoe UI"/>
          <w:color w:val="000000" w:themeColor="text1"/>
        </w:rPr>
        <w:t xml:space="preserve"> </w:t>
      </w:r>
      <w:r w:rsidR="00F86996" w:rsidRPr="00917C1B">
        <w:rPr>
          <w:rStyle w:val="apple-converted-space"/>
          <w:rFonts w:ascii="Palatino Linotype" w:eastAsiaTheme="minorHAnsi" w:hAnsi="Palatino Linotype" w:cs="Segoe UI"/>
          <w:color w:val="000000" w:themeColor="text1"/>
        </w:rPr>
        <w:t xml:space="preserve">V y </w:t>
      </w:r>
      <w:r w:rsidRPr="00917C1B">
        <w:rPr>
          <w:rStyle w:val="apple-converted-space"/>
          <w:rFonts w:ascii="Palatino Linotype" w:eastAsiaTheme="minorHAnsi" w:hAnsi="Palatino Linotype" w:cs="Segoe UI"/>
          <w:color w:val="000000" w:themeColor="text1"/>
        </w:rPr>
        <w:t>V</w:t>
      </w:r>
      <w:r w:rsidR="00C120C6" w:rsidRPr="00917C1B">
        <w:rPr>
          <w:rStyle w:val="apple-converted-space"/>
          <w:rFonts w:ascii="Palatino Linotype" w:eastAsiaTheme="minorHAnsi" w:hAnsi="Palatino Linotype" w:cs="Segoe UI"/>
          <w:color w:val="000000" w:themeColor="text1"/>
        </w:rPr>
        <w:t>I</w:t>
      </w:r>
      <w:r w:rsidRPr="00917C1B">
        <w:rPr>
          <w:rStyle w:val="apple-converted-space"/>
          <w:rFonts w:ascii="Palatino Linotype" w:eastAsiaTheme="minorHAnsi" w:hAnsi="Palatino Linotype" w:cs="Segoe UI"/>
          <w:color w:val="000000" w:themeColor="text1"/>
        </w:rPr>
        <w:t xml:space="preserve"> </w:t>
      </w:r>
      <w:r w:rsidRPr="00917C1B">
        <w:rPr>
          <w:rStyle w:val="normaltextrun"/>
          <w:rFonts w:ascii="Palatino Linotype" w:hAnsi="Palatino Linotype" w:cs="Segoe UI"/>
          <w:color w:val="000000" w:themeColor="text1"/>
        </w:rPr>
        <w:t>del ordenamiento legal citado, que establecen los supuestos en que puede interponerse el recurso de revisión:</w:t>
      </w:r>
    </w:p>
    <w:p w14:paraId="40322F27" w14:textId="77777777" w:rsidR="00D65DA3" w:rsidRPr="00917C1B" w:rsidRDefault="00D65DA3" w:rsidP="00D65DA3">
      <w:pPr>
        <w:autoSpaceDE w:val="0"/>
        <w:autoSpaceDN w:val="0"/>
        <w:adjustRightInd w:val="0"/>
        <w:spacing w:after="120"/>
        <w:ind w:left="851" w:right="902"/>
        <w:jc w:val="both"/>
        <w:rPr>
          <w:rStyle w:val="normaltextrun"/>
          <w:rFonts w:ascii="Palatino Linotype" w:hAnsi="Palatino Linotype" w:cs="Segoe UI"/>
          <w:bCs/>
          <w:i/>
          <w:color w:val="000000" w:themeColor="text1"/>
          <w:sz w:val="20"/>
          <w:szCs w:val="22"/>
        </w:rPr>
      </w:pPr>
      <w:r w:rsidRPr="00917C1B">
        <w:rPr>
          <w:rStyle w:val="normaltextrun"/>
          <w:rFonts w:ascii="Palatino Linotype" w:hAnsi="Palatino Linotype" w:cs="Segoe UI"/>
          <w:b/>
          <w:bCs/>
          <w:i/>
          <w:iCs/>
          <w:color w:val="000000" w:themeColor="text1"/>
          <w:sz w:val="20"/>
          <w:szCs w:val="22"/>
        </w:rPr>
        <w:t>“</w:t>
      </w:r>
      <w:r w:rsidRPr="00917C1B">
        <w:rPr>
          <w:rStyle w:val="normaltextrun"/>
          <w:rFonts w:ascii="Palatino Linotype" w:hAnsi="Palatino Linotype" w:cs="Segoe UI"/>
          <w:b/>
          <w:bCs/>
          <w:i/>
          <w:color w:val="000000" w:themeColor="text1"/>
          <w:sz w:val="20"/>
          <w:szCs w:val="22"/>
        </w:rPr>
        <w:t xml:space="preserve">Artículo 176. </w:t>
      </w:r>
      <w:r w:rsidRPr="00917C1B">
        <w:rPr>
          <w:rStyle w:val="normaltextrun"/>
          <w:rFonts w:ascii="Palatino Linotype" w:hAnsi="Palatino Linotype" w:cs="Segoe UI"/>
          <w:bCs/>
          <w:i/>
          <w:color w:val="000000" w:themeColor="text1"/>
          <w:sz w:val="20"/>
          <w:szCs w:val="22"/>
        </w:rPr>
        <w:t>El recurso de revisión  es la garantía secundaria mediante la cual se pretende reparar cualquier posible afectación al derecho de acceso a la información pública en términos del presente y siguiente Capítulo.</w:t>
      </w:r>
    </w:p>
    <w:p w14:paraId="6047B678" w14:textId="77777777" w:rsidR="00D65DA3" w:rsidRPr="00917C1B" w:rsidRDefault="00D65DA3" w:rsidP="00D65DA3">
      <w:pPr>
        <w:autoSpaceDE w:val="0"/>
        <w:autoSpaceDN w:val="0"/>
        <w:adjustRightInd w:val="0"/>
        <w:spacing w:after="120"/>
        <w:ind w:left="851" w:right="902"/>
        <w:jc w:val="both"/>
        <w:rPr>
          <w:rStyle w:val="eop"/>
          <w:rFonts w:ascii="Palatino Linotype" w:eastAsiaTheme="majorEastAsia" w:hAnsi="Palatino Linotype" w:cs="Segoe UI"/>
          <w:i/>
          <w:color w:val="000000" w:themeColor="text1"/>
          <w:sz w:val="20"/>
          <w:szCs w:val="20"/>
        </w:rPr>
      </w:pPr>
      <w:r w:rsidRPr="00917C1B">
        <w:rPr>
          <w:rStyle w:val="normaltextrun"/>
          <w:rFonts w:ascii="Palatino Linotype" w:hAnsi="Palatino Linotype" w:cs="Segoe UI"/>
          <w:b/>
          <w:bCs/>
          <w:i/>
          <w:color w:val="000000" w:themeColor="text1"/>
          <w:sz w:val="20"/>
          <w:szCs w:val="22"/>
        </w:rPr>
        <w:t>Artículo 179</w:t>
      </w:r>
      <w:r w:rsidRPr="00917C1B">
        <w:rPr>
          <w:rStyle w:val="normaltextrun"/>
          <w:rFonts w:ascii="Palatino Linotype" w:hAnsi="Palatino Linotype" w:cs="Segoe UI"/>
          <w:b/>
          <w:bCs/>
          <w:color w:val="000000" w:themeColor="text1"/>
          <w:sz w:val="20"/>
          <w:szCs w:val="22"/>
        </w:rPr>
        <w:t>.-</w:t>
      </w:r>
      <w:r w:rsidRPr="00917C1B">
        <w:rPr>
          <w:rFonts w:ascii="Bookman Old Style" w:eastAsiaTheme="minorEastAsia" w:hAnsi="Bookman Old Style" w:cs="Bookman Old Style"/>
          <w:color w:val="000000" w:themeColor="text1"/>
          <w:sz w:val="18"/>
          <w:szCs w:val="20"/>
          <w:lang w:val="es-MX"/>
        </w:rPr>
        <w:t xml:space="preserve"> </w:t>
      </w:r>
      <w:r w:rsidRPr="00917C1B">
        <w:rPr>
          <w:rFonts w:ascii="Palatino Linotype" w:eastAsiaTheme="minorEastAsia" w:hAnsi="Palatino Linotype" w:cs="Bookman Old Style"/>
          <w:i/>
          <w:color w:val="000000" w:themeColor="text1"/>
          <w:sz w:val="20"/>
          <w:szCs w:val="20"/>
          <w:lang w:val="es-MX"/>
        </w:rPr>
        <w:t>El recurso de revisión es un medio de protección que la Ley otorga a los particulares, para hacer valer su derecho de acceso a la información pública, y procederá en contra de las siguientes causas:</w:t>
      </w:r>
    </w:p>
    <w:p w14:paraId="3A30087D" w14:textId="77777777" w:rsidR="00D65DA3" w:rsidRPr="00917C1B" w:rsidRDefault="00D65DA3" w:rsidP="00D65DA3">
      <w:pPr>
        <w:autoSpaceDE w:val="0"/>
        <w:autoSpaceDN w:val="0"/>
        <w:adjustRightInd w:val="0"/>
        <w:spacing w:before="120" w:after="120" w:line="360" w:lineRule="auto"/>
        <w:ind w:left="1134" w:right="941"/>
        <w:rPr>
          <w:rFonts w:ascii="Palatino Linotype" w:eastAsiaTheme="minorEastAsia" w:hAnsi="Palatino Linotype" w:cs="Bookman Old Style,Bold"/>
          <w:b/>
          <w:bCs/>
          <w:i/>
          <w:color w:val="000000" w:themeColor="text1"/>
          <w:sz w:val="22"/>
          <w:szCs w:val="20"/>
          <w:lang w:val="es-MX"/>
        </w:rPr>
      </w:pPr>
      <w:r w:rsidRPr="00917C1B">
        <w:rPr>
          <w:rFonts w:ascii="Palatino Linotype" w:eastAsiaTheme="minorEastAsia" w:hAnsi="Palatino Linotype" w:cs="Bookman Old Style,Bold"/>
          <w:b/>
          <w:bCs/>
          <w:i/>
          <w:color w:val="000000" w:themeColor="text1"/>
          <w:sz w:val="22"/>
          <w:szCs w:val="20"/>
          <w:lang w:val="es-MX"/>
        </w:rPr>
        <w:t>…</w:t>
      </w:r>
    </w:p>
    <w:p w14:paraId="10469DB1" w14:textId="77777777" w:rsidR="00F86996" w:rsidRPr="00917C1B" w:rsidRDefault="00F86996" w:rsidP="00F86996">
      <w:pPr>
        <w:pStyle w:val="paragraph"/>
        <w:spacing w:before="120" w:beforeAutospacing="0" w:after="120" w:afterAutospacing="0" w:line="360" w:lineRule="auto"/>
        <w:ind w:left="1134" w:right="1041"/>
        <w:jc w:val="both"/>
        <w:textAlignment w:val="baseline"/>
        <w:rPr>
          <w:rStyle w:val="eop"/>
          <w:rFonts w:ascii="Palatino Linotype" w:eastAsiaTheme="majorEastAsia" w:hAnsi="Palatino Linotype" w:cs="Segoe UI"/>
          <w:b/>
          <w:i/>
          <w:color w:val="000000" w:themeColor="text1"/>
          <w:sz w:val="22"/>
          <w:szCs w:val="22"/>
        </w:rPr>
      </w:pPr>
      <w:r w:rsidRPr="00917C1B">
        <w:rPr>
          <w:rStyle w:val="eop"/>
          <w:rFonts w:ascii="Palatino Linotype" w:eastAsiaTheme="majorEastAsia" w:hAnsi="Palatino Linotype" w:cs="Segoe UI"/>
          <w:b/>
          <w:i/>
          <w:color w:val="000000" w:themeColor="text1"/>
          <w:sz w:val="22"/>
          <w:szCs w:val="22"/>
        </w:rPr>
        <w:t>V. La entrega de información incompleta;</w:t>
      </w:r>
    </w:p>
    <w:p w14:paraId="5FC276A7" w14:textId="13B35E69" w:rsidR="00D65DA3" w:rsidRPr="00917C1B" w:rsidRDefault="00F86996" w:rsidP="00C120C6">
      <w:pPr>
        <w:autoSpaceDE w:val="0"/>
        <w:autoSpaceDN w:val="0"/>
        <w:adjustRightInd w:val="0"/>
        <w:spacing w:before="120" w:after="120" w:line="360" w:lineRule="auto"/>
        <w:ind w:left="1134" w:right="941"/>
        <w:jc w:val="both"/>
        <w:rPr>
          <w:rFonts w:ascii="Palatino Linotype" w:eastAsiaTheme="minorEastAsia" w:hAnsi="Palatino Linotype" w:cs="Bookman Old Style"/>
          <w:b/>
          <w:i/>
          <w:color w:val="000000" w:themeColor="text1"/>
          <w:sz w:val="22"/>
          <w:szCs w:val="20"/>
        </w:rPr>
      </w:pPr>
      <w:r w:rsidRPr="00917C1B">
        <w:rPr>
          <w:rFonts w:ascii="Palatino Linotype" w:eastAsiaTheme="minorEastAsia" w:hAnsi="Palatino Linotype" w:cs="Bookman Old Style,Bold"/>
          <w:b/>
          <w:bCs/>
          <w:i/>
          <w:color w:val="000000" w:themeColor="text1"/>
          <w:sz w:val="22"/>
          <w:szCs w:val="22"/>
          <w:lang w:val="es-MX"/>
        </w:rPr>
        <w:t xml:space="preserve">VI. </w:t>
      </w:r>
      <w:r w:rsidRPr="00917C1B">
        <w:rPr>
          <w:rFonts w:ascii="Palatino Linotype" w:eastAsiaTheme="minorEastAsia" w:hAnsi="Palatino Linotype" w:cs="Bookman Old Style"/>
          <w:b/>
          <w:i/>
          <w:color w:val="000000" w:themeColor="text1"/>
          <w:sz w:val="22"/>
          <w:szCs w:val="22"/>
          <w:lang w:val="es-MX"/>
        </w:rPr>
        <w:t>La entrega de información que no corresponda con lo solicitado;…</w:t>
      </w:r>
      <w:r w:rsidR="00D65DA3" w:rsidRPr="00917C1B">
        <w:rPr>
          <w:rFonts w:ascii="Palatino Linotype" w:eastAsiaTheme="minorEastAsia" w:hAnsi="Palatino Linotype" w:cs="Bookman Old Style"/>
          <w:b/>
          <w:i/>
          <w:color w:val="000000" w:themeColor="text1"/>
          <w:sz w:val="22"/>
          <w:szCs w:val="20"/>
        </w:rPr>
        <w:t>”</w:t>
      </w:r>
    </w:p>
    <w:p w14:paraId="424EDD4D" w14:textId="77777777" w:rsidR="00D65DA3" w:rsidRPr="00917C1B" w:rsidRDefault="00D65DA3" w:rsidP="00D65DA3">
      <w:pPr>
        <w:spacing w:before="240" w:after="240" w:line="360" w:lineRule="auto"/>
        <w:jc w:val="both"/>
        <w:rPr>
          <w:rFonts w:ascii="Palatino Linotype" w:hAnsi="Palatino Linotype" w:cs="Arial"/>
          <w:color w:val="000000" w:themeColor="text1"/>
          <w:lang w:val="es-MX"/>
        </w:rPr>
      </w:pPr>
      <w:r w:rsidRPr="00917C1B">
        <w:rPr>
          <w:rFonts w:ascii="Palatino Linotype" w:hAnsi="Palatino Linotype" w:cs="Arial"/>
          <w:color w:val="000000" w:themeColor="text1"/>
        </w:rPr>
        <w:t xml:space="preserve">Asimismo, tras la revisión del escrito de interposición, se concluye la acreditación plena de todos y cada uno de los elementos formales exigidos por el artículo 180 de la </w:t>
      </w:r>
      <w:r w:rsidRPr="00917C1B">
        <w:rPr>
          <w:rFonts w:ascii="Palatino Linotype" w:hAnsi="Palatino Linotype" w:cs="Arial"/>
          <w:color w:val="000000" w:themeColor="text1"/>
          <w:lang w:val="es-MX"/>
        </w:rPr>
        <w:t>Ley de Transparencia y Acceso a la Información Pública del Estado de México y Municipios, y en consecuencia resulta conforme a derecho entrar al estudio de fondo y resolver el presente medio de impugnación.</w:t>
      </w:r>
    </w:p>
    <w:p w14:paraId="40581C02" w14:textId="77777777" w:rsidR="00D65DA3" w:rsidRPr="00917C1B" w:rsidRDefault="00D65DA3" w:rsidP="00D65DA3">
      <w:pPr>
        <w:spacing w:before="240" w:after="240" w:line="360" w:lineRule="auto"/>
        <w:jc w:val="both"/>
        <w:rPr>
          <w:rFonts w:ascii="Palatino Linotype" w:hAnsi="Palatino Linotype"/>
          <w:b/>
          <w:color w:val="000000" w:themeColor="text1"/>
        </w:rPr>
      </w:pPr>
      <w:r w:rsidRPr="00917C1B">
        <w:rPr>
          <w:rFonts w:ascii="Palatino Linotype" w:hAnsi="Palatino Linotype"/>
          <w:b/>
          <w:color w:val="000000" w:themeColor="text1"/>
          <w:sz w:val="28"/>
          <w:szCs w:val="28"/>
        </w:rPr>
        <w:t>TERCERO. Materia de la revisión</w:t>
      </w:r>
      <w:r w:rsidRPr="00917C1B">
        <w:rPr>
          <w:rFonts w:ascii="Palatino Linotype" w:hAnsi="Palatino Linotype"/>
          <w:b/>
          <w:color w:val="000000" w:themeColor="text1"/>
        </w:rPr>
        <w:t>.</w:t>
      </w:r>
    </w:p>
    <w:p w14:paraId="0F37477B" w14:textId="77777777" w:rsidR="00D65DA3" w:rsidRPr="00917C1B" w:rsidRDefault="00D65DA3" w:rsidP="00D65DA3">
      <w:pPr>
        <w:autoSpaceDE w:val="0"/>
        <w:autoSpaceDN w:val="0"/>
        <w:adjustRightInd w:val="0"/>
        <w:spacing w:line="360" w:lineRule="auto"/>
        <w:jc w:val="both"/>
        <w:rPr>
          <w:rFonts w:ascii="Palatino Linotype" w:hAnsi="Palatino Linotype" w:cs="Arial"/>
          <w:color w:val="000000" w:themeColor="text1"/>
        </w:rPr>
      </w:pPr>
      <w:r w:rsidRPr="00917C1B">
        <w:rPr>
          <w:rFonts w:ascii="Palatino Linotype" w:hAnsi="Palatino Linotype"/>
          <w:color w:val="000000" w:themeColor="text1"/>
        </w:rPr>
        <w:t xml:space="preserve">Formuladas las precisiones que anteceden, este Órgano Garante procede a analizar el contenido de la respuesta impugnada de conformidad con el agravio formulado por el </w:t>
      </w:r>
      <w:r w:rsidRPr="00917C1B">
        <w:rPr>
          <w:rFonts w:ascii="Palatino Linotype" w:hAnsi="Palatino Linotype" w:cs="Arial"/>
          <w:b/>
          <w:i/>
          <w:color w:val="000000" w:themeColor="text1"/>
        </w:rPr>
        <w:t xml:space="preserve">Recurrente, </w:t>
      </w:r>
      <w:r w:rsidRPr="00917C1B">
        <w:rPr>
          <w:rFonts w:ascii="Palatino Linotype" w:hAnsi="Palatino Linotype" w:cs="Arial"/>
          <w:color w:val="000000" w:themeColor="text1"/>
        </w:rPr>
        <w:t>con la finalidad de determinar si la misma contravino las disposiciones y principios normativos que hacen operante el ejercicio del derecho de acceso a la información pública y, sí en consecuencia, se transgredió este derecho del particular.</w:t>
      </w:r>
    </w:p>
    <w:p w14:paraId="56BDE97D" w14:textId="77777777" w:rsidR="00D65DA3" w:rsidRPr="00917C1B" w:rsidRDefault="00D65DA3" w:rsidP="00D65DA3">
      <w:pPr>
        <w:spacing w:before="240" w:after="240" w:line="360" w:lineRule="auto"/>
        <w:jc w:val="both"/>
        <w:rPr>
          <w:rFonts w:ascii="Palatino Linotype" w:hAnsi="Palatino Linotype"/>
          <w:b/>
          <w:color w:val="000000" w:themeColor="text1"/>
          <w:sz w:val="28"/>
          <w:szCs w:val="28"/>
        </w:rPr>
      </w:pPr>
    </w:p>
    <w:p w14:paraId="4EB335E7" w14:textId="77777777" w:rsidR="00D65DA3" w:rsidRPr="00917C1B" w:rsidRDefault="00D65DA3" w:rsidP="00D65DA3">
      <w:pPr>
        <w:spacing w:before="240" w:after="240" w:line="360" w:lineRule="auto"/>
        <w:jc w:val="both"/>
        <w:rPr>
          <w:rFonts w:ascii="Palatino Linotype" w:hAnsi="Palatino Linotype"/>
          <w:b/>
          <w:color w:val="000000" w:themeColor="text1"/>
          <w:sz w:val="28"/>
          <w:szCs w:val="28"/>
        </w:rPr>
      </w:pPr>
      <w:r w:rsidRPr="00917C1B">
        <w:rPr>
          <w:rFonts w:ascii="Palatino Linotype" w:hAnsi="Palatino Linotype"/>
          <w:b/>
          <w:color w:val="000000" w:themeColor="text1"/>
          <w:sz w:val="28"/>
          <w:szCs w:val="28"/>
        </w:rPr>
        <w:t>CUARTO. Estudio del asunto.</w:t>
      </w:r>
    </w:p>
    <w:p w14:paraId="70507E0D" w14:textId="0D4FD987" w:rsidR="00BE20CB" w:rsidRPr="00917C1B" w:rsidRDefault="00C120C6" w:rsidP="006742F8">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E</w:t>
      </w:r>
      <w:r w:rsidR="00BE20CB" w:rsidRPr="00917C1B">
        <w:rPr>
          <w:rFonts w:ascii="Palatino Linotype" w:hAnsi="Palatino Linotype"/>
          <w:color w:val="000000" w:themeColor="text1"/>
        </w:rPr>
        <w:t>n el p</w:t>
      </w:r>
      <w:r w:rsidR="00190D5D" w:rsidRPr="00917C1B">
        <w:rPr>
          <w:rFonts w:ascii="Palatino Linotype" w:hAnsi="Palatino Linotype"/>
          <w:color w:val="000000" w:themeColor="text1"/>
        </w:rPr>
        <w:t>resente considerando se abordará</w:t>
      </w:r>
      <w:r w:rsidR="00BE20CB" w:rsidRPr="00917C1B">
        <w:rPr>
          <w:rFonts w:ascii="Palatino Linotype" w:hAnsi="Palatino Linotype"/>
          <w:color w:val="000000" w:themeColor="text1"/>
        </w:rPr>
        <w:t xml:space="preserve"> el marco normativo que rige la materia de la solicitud de acceso a la información, que constituye el objeto del rec</w:t>
      </w:r>
      <w:r w:rsidR="005139AD" w:rsidRPr="00917C1B">
        <w:rPr>
          <w:rFonts w:ascii="Palatino Linotype" w:hAnsi="Palatino Linotype"/>
          <w:color w:val="000000" w:themeColor="text1"/>
        </w:rPr>
        <w:t>urso de revisión que se analiza, por lo que resulta fundamental hace</w:t>
      </w:r>
      <w:r w:rsidR="00190D5D" w:rsidRPr="00917C1B">
        <w:rPr>
          <w:rFonts w:ascii="Palatino Linotype" w:hAnsi="Palatino Linotype"/>
          <w:color w:val="000000" w:themeColor="text1"/>
        </w:rPr>
        <w:t>r</w:t>
      </w:r>
      <w:r w:rsidR="005139AD" w:rsidRPr="00917C1B">
        <w:rPr>
          <w:rFonts w:ascii="Palatino Linotype" w:hAnsi="Palatino Linotype"/>
          <w:color w:val="000000" w:themeColor="text1"/>
        </w:rPr>
        <w:t xml:space="preserve"> referencia a los requerimientos señalados en ella, que básicamente </w:t>
      </w:r>
      <w:r w:rsidR="00C450E9" w:rsidRPr="00917C1B">
        <w:rPr>
          <w:rFonts w:ascii="Palatino Linotype" w:hAnsi="Palatino Linotype"/>
          <w:color w:val="000000" w:themeColor="text1"/>
        </w:rPr>
        <w:t>consisten</w:t>
      </w:r>
      <w:r w:rsidR="005139AD" w:rsidRPr="00917C1B">
        <w:rPr>
          <w:rFonts w:ascii="Palatino Linotype" w:hAnsi="Palatino Linotype"/>
          <w:color w:val="000000" w:themeColor="text1"/>
        </w:rPr>
        <w:t xml:space="preserve"> en lo siguiente</w:t>
      </w:r>
      <w:r w:rsidR="000274AD" w:rsidRPr="00917C1B">
        <w:rPr>
          <w:rFonts w:ascii="Palatino Linotype" w:hAnsi="Palatino Linotype"/>
          <w:color w:val="000000" w:themeColor="text1"/>
        </w:rPr>
        <w:t>, del Municipio de Temascalcingo</w:t>
      </w:r>
      <w:r w:rsidR="005139AD" w:rsidRPr="00917C1B">
        <w:rPr>
          <w:rFonts w:ascii="Palatino Linotype" w:hAnsi="Palatino Linotype"/>
          <w:color w:val="000000" w:themeColor="text1"/>
        </w:rPr>
        <w:t>:</w:t>
      </w:r>
    </w:p>
    <w:p w14:paraId="59745EBB" w14:textId="54179520" w:rsidR="00BE20CB" w:rsidRPr="00917C1B" w:rsidRDefault="00BE20CB" w:rsidP="00BE20CB">
      <w:pPr>
        <w:pStyle w:val="Prrafodelista"/>
        <w:numPr>
          <w:ilvl w:val="0"/>
          <w:numId w:val="39"/>
        </w:num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Padrón de militantes y simpatizantes. </w:t>
      </w:r>
    </w:p>
    <w:p w14:paraId="6E046B09" w14:textId="77777777" w:rsidR="00BE20CB" w:rsidRPr="00917C1B" w:rsidRDefault="00BE20CB" w:rsidP="00BE20CB">
      <w:pPr>
        <w:pStyle w:val="Prrafodelista"/>
        <w:numPr>
          <w:ilvl w:val="0"/>
          <w:numId w:val="39"/>
        </w:num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Plataforma Electoral. </w:t>
      </w:r>
    </w:p>
    <w:p w14:paraId="3088985E" w14:textId="4C7D22A5" w:rsidR="00BE20CB" w:rsidRPr="00917C1B" w:rsidRDefault="00BE20CB" w:rsidP="00BE20CB">
      <w:pPr>
        <w:pStyle w:val="Prrafodelista"/>
        <w:numPr>
          <w:ilvl w:val="0"/>
          <w:numId w:val="39"/>
        </w:num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Evidencia del cumplimiento de los requisitos de elegibilidad de los candidatos propietarios y suplentes integrantes de la planilla. </w:t>
      </w:r>
    </w:p>
    <w:p w14:paraId="65511B73" w14:textId="4C0CCB68" w:rsidR="00660877" w:rsidRPr="00917C1B" w:rsidRDefault="005139AD" w:rsidP="006742F8">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En ese contexto es indispensable remitirnos en primer lugar al contenido de la </w:t>
      </w:r>
      <w:r w:rsidR="00660877" w:rsidRPr="00917C1B">
        <w:rPr>
          <w:rFonts w:ascii="Palatino Linotype" w:hAnsi="Palatino Linotype"/>
          <w:color w:val="000000" w:themeColor="text1"/>
        </w:rPr>
        <w:t xml:space="preserve">Ley General de Partidos Políticos, que </w:t>
      </w:r>
      <w:r w:rsidRPr="00917C1B">
        <w:rPr>
          <w:rFonts w:ascii="Palatino Linotype" w:hAnsi="Palatino Linotype"/>
          <w:color w:val="000000" w:themeColor="text1"/>
        </w:rPr>
        <w:t xml:space="preserve">entre otras cosas </w:t>
      </w:r>
      <w:r w:rsidR="00660877" w:rsidRPr="00917C1B">
        <w:rPr>
          <w:rFonts w:ascii="Palatino Linotype" w:hAnsi="Palatino Linotype"/>
          <w:color w:val="000000" w:themeColor="text1"/>
        </w:rPr>
        <w:t>señala a la letra lo siguiente:</w:t>
      </w:r>
    </w:p>
    <w:p w14:paraId="76106780" w14:textId="23DFFBC2" w:rsidR="00660877" w:rsidRPr="00917C1B" w:rsidRDefault="008A7CAC" w:rsidP="008A7CAC">
      <w:pPr>
        <w:spacing w:after="120"/>
        <w:ind w:left="851" w:right="902"/>
        <w:jc w:val="both"/>
        <w:rPr>
          <w:rFonts w:ascii="Palatino Linotype" w:hAnsi="Palatino Linotype"/>
          <w:b/>
          <w:i/>
          <w:color w:val="000000" w:themeColor="text1"/>
          <w:sz w:val="20"/>
          <w:szCs w:val="20"/>
        </w:rPr>
      </w:pPr>
      <w:r w:rsidRPr="00917C1B">
        <w:rPr>
          <w:rFonts w:ascii="Palatino Linotype" w:hAnsi="Palatino Linotype"/>
          <w:b/>
          <w:i/>
          <w:color w:val="000000" w:themeColor="text1"/>
          <w:sz w:val="20"/>
          <w:szCs w:val="20"/>
        </w:rPr>
        <w:t>“</w:t>
      </w:r>
      <w:r w:rsidR="00660877" w:rsidRPr="00917C1B">
        <w:rPr>
          <w:rFonts w:ascii="Palatino Linotype" w:hAnsi="Palatino Linotype"/>
          <w:b/>
          <w:i/>
          <w:color w:val="000000" w:themeColor="text1"/>
          <w:sz w:val="20"/>
          <w:szCs w:val="20"/>
        </w:rPr>
        <w:t xml:space="preserve">Artículo 30. </w:t>
      </w:r>
    </w:p>
    <w:p w14:paraId="68AB8C16" w14:textId="6E5F85EC" w:rsidR="00660877" w:rsidRPr="00917C1B" w:rsidRDefault="00660877" w:rsidP="008A7CAC">
      <w:pPr>
        <w:spacing w:after="12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1. Se considera información pública de los partidos políticos:</w:t>
      </w:r>
    </w:p>
    <w:p w14:paraId="61A19935" w14:textId="11F981F9" w:rsidR="00660877" w:rsidRPr="00917C1B" w:rsidRDefault="00660877" w:rsidP="008A7CAC">
      <w:pPr>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w:t>
      </w:r>
    </w:p>
    <w:p w14:paraId="12A65437" w14:textId="40AC0971" w:rsidR="00660877" w:rsidRPr="00917C1B" w:rsidRDefault="00660877" w:rsidP="008A7CAC">
      <w:pPr>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d) El padrón de sus militantes, conteniendo exclusivamente el apellido paterno, materno, nombre o nombres, fecha de afiliación y entidad de residencia;</w:t>
      </w:r>
    </w:p>
    <w:p w14:paraId="22F2FA7C" w14:textId="4C18702F" w:rsidR="00660877" w:rsidRPr="00917C1B" w:rsidRDefault="00660877" w:rsidP="008A7CAC">
      <w:pPr>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w:t>
      </w:r>
    </w:p>
    <w:p w14:paraId="4D1F7D58" w14:textId="6EBAD53A" w:rsidR="00660877" w:rsidRPr="00917C1B" w:rsidRDefault="00660877" w:rsidP="008A7CAC">
      <w:pPr>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h) Las plataformas electorales y programas de gobierno que registren ante el Instituto;</w:t>
      </w:r>
    </w:p>
    <w:p w14:paraId="1092F56E" w14:textId="127C66CE" w:rsidR="00660877" w:rsidRPr="00917C1B" w:rsidRDefault="00660877" w:rsidP="008A7CAC">
      <w:pPr>
        <w:spacing w:after="120"/>
        <w:ind w:left="851" w:right="902"/>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44. 1.</w:t>
      </w:r>
      <w:r w:rsidRPr="00917C1B">
        <w:rPr>
          <w:rFonts w:ascii="Palatino Linotype" w:hAnsi="Palatino Linotype"/>
          <w:i/>
          <w:color w:val="000000" w:themeColor="text1"/>
          <w:sz w:val="20"/>
          <w:szCs w:val="20"/>
        </w:rPr>
        <w:t xml:space="preserve"> Los procedimientos internos para la integración de los órganos internos de los partidos políticos y para la postulación de candidatos a cargos de elección popular, estarán a cargo del órgano previsto en el inciso d) del párrafo 1 del artículo anterior y se desarrollarán con base en los lineamientos básicos siguientes:</w:t>
      </w:r>
    </w:p>
    <w:p w14:paraId="498099F1" w14:textId="1B96E806" w:rsidR="00660877" w:rsidRPr="00917C1B" w:rsidRDefault="00660877" w:rsidP="008A7CAC">
      <w:pPr>
        <w:spacing w:after="12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w:t>
      </w:r>
    </w:p>
    <w:p w14:paraId="616FDDA5" w14:textId="37C89277" w:rsidR="00660877" w:rsidRPr="00917C1B" w:rsidRDefault="00660877" w:rsidP="008A7CAC">
      <w:pPr>
        <w:spacing w:after="12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II. Requisitos de elegibilidad, entre los que se podrán incluir los relativos a la identificación de los precandidatos o candidatos con los programas, principios e ideas del partido y otros requisitos, siempre y cuando no vulneren el contenido esencial del derecho a ser votado;</w:t>
      </w:r>
      <w:r w:rsidR="008A7CAC" w:rsidRPr="00917C1B">
        <w:rPr>
          <w:rFonts w:ascii="Palatino Linotype" w:hAnsi="Palatino Linotype"/>
          <w:i/>
          <w:color w:val="000000" w:themeColor="text1"/>
          <w:sz w:val="20"/>
          <w:szCs w:val="20"/>
        </w:rPr>
        <w:t>…”</w:t>
      </w:r>
    </w:p>
    <w:p w14:paraId="05B57D7D" w14:textId="26336814" w:rsidR="00422D12" w:rsidRPr="00917C1B" w:rsidRDefault="005139AD" w:rsidP="006742F8">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Texto jurídico del que s</w:t>
      </w:r>
      <w:r w:rsidR="00017570" w:rsidRPr="00917C1B">
        <w:rPr>
          <w:rFonts w:ascii="Palatino Linotype" w:hAnsi="Palatino Linotype"/>
          <w:color w:val="000000" w:themeColor="text1"/>
        </w:rPr>
        <w:t>e advierte</w:t>
      </w:r>
      <w:r w:rsidRPr="00917C1B">
        <w:rPr>
          <w:rFonts w:ascii="Palatino Linotype" w:hAnsi="Palatino Linotype"/>
          <w:color w:val="000000" w:themeColor="text1"/>
        </w:rPr>
        <w:t>,</w:t>
      </w:r>
      <w:r w:rsidR="00017570" w:rsidRPr="00917C1B">
        <w:rPr>
          <w:rFonts w:ascii="Palatino Linotype" w:hAnsi="Palatino Linotype"/>
          <w:color w:val="000000" w:themeColor="text1"/>
        </w:rPr>
        <w:t xml:space="preserve"> que es considerada información pública de los partidos políticos</w:t>
      </w:r>
      <w:r w:rsidRPr="00917C1B">
        <w:rPr>
          <w:rFonts w:ascii="Palatino Linotype" w:hAnsi="Palatino Linotype"/>
          <w:color w:val="000000" w:themeColor="text1"/>
        </w:rPr>
        <w:t>,</w:t>
      </w:r>
      <w:r w:rsidR="00017570" w:rsidRPr="00917C1B">
        <w:rPr>
          <w:rFonts w:ascii="Palatino Linotype" w:hAnsi="Palatino Linotype"/>
          <w:color w:val="000000" w:themeColor="text1"/>
        </w:rPr>
        <w:t xml:space="preserve"> el padrón de sus militantes</w:t>
      </w:r>
      <w:r w:rsidR="00422D12" w:rsidRPr="00917C1B">
        <w:rPr>
          <w:rFonts w:ascii="Palatino Linotype" w:hAnsi="Palatino Linotype"/>
          <w:color w:val="000000" w:themeColor="text1"/>
        </w:rPr>
        <w:t xml:space="preserve"> y las plataformas electorales, además de que el requisito de elegibilidad, es uno de los lineamientos básicos para la postulación de cargos de elección popular.</w:t>
      </w:r>
    </w:p>
    <w:p w14:paraId="4C7E113B" w14:textId="4779C686" w:rsidR="006F0473" w:rsidRPr="00917C1B" w:rsidRDefault="006F0473" w:rsidP="006742F8">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Una </w:t>
      </w:r>
      <w:r w:rsidR="006B13A8" w:rsidRPr="00917C1B">
        <w:rPr>
          <w:rFonts w:ascii="Palatino Linotype" w:hAnsi="Palatino Linotype"/>
          <w:color w:val="000000" w:themeColor="text1"/>
        </w:rPr>
        <w:t>vez precisado los requerimientos planteados por el particular y el ordenamiento legal que de manera general los contempla</w:t>
      </w:r>
      <w:r w:rsidR="00437C7B" w:rsidRPr="00917C1B">
        <w:rPr>
          <w:rFonts w:ascii="Palatino Linotype" w:hAnsi="Palatino Linotype"/>
          <w:color w:val="000000" w:themeColor="text1"/>
        </w:rPr>
        <w:t>,</w:t>
      </w:r>
      <w:r w:rsidR="006B13A8" w:rsidRPr="00917C1B">
        <w:rPr>
          <w:rFonts w:ascii="Palatino Linotype" w:hAnsi="Palatino Linotype"/>
          <w:color w:val="000000" w:themeColor="text1"/>
        </w:rPr>
        <w:t xml:space="preserve"> conviene recordar que el </w:t>
      </w:r>
      <w:r w:rsidR="006B13A8" w:rsidRPr="00917C1B">
        <w:rPr>
          <w:rFonts w:ascii="Palatino Linotype" w:hAnsi="Palatino Linotype"/>
          <w:b/>
          <w:color w:val="000000" w:themeColor="text1"/>
        </w:rPr>
        <w:t>Sujeto Obligado</w:t>
      </w:r>
      <w:r w:rsidR="006B13A8" w:rsidRPr="00917C1B">
        <w:rPr>
          <w:rFonts w:ascii="Palatino Linotype" w:hAnsi="Palatino Linotype"/>
          <w:color w:val="000000" w:themeColor="text1"/>
        </w:rPr>
        <w:t xml:space="preserve"> manifestó, lo siguiente:</w:t>
      </w:r>
    </w:p>
    <w:tbl>
      <w:tblPr>
        <w:tblStyle w:val="Tablaconcuadrcula"/>
        <w:tblW w:w="0" w:type="auto"/>
        <w:tblLook w:val="04A0" w:firstRow="1" w:lastRow="0" w:firstColumn="1" w:lastColumn="0" w:noHBand="0" w:noVBand="1"/>
      </w:tblPr>
      <w:tblGrid>
        <w:gridCol w:w="2960"/>
        <w:gridCol w:w="5868"/>
      </w:tblGrid>
      <w:tr w:rsidR="00917C1B" w:rsidRPr="00917C1B" w14:paraId="7ADE67D3" w14:textId="77777777" w:rsidTr="006B13A8">
        <w:tc>
          <w:tcPr>
            <w:tcW w:w="4414" w:type="dxa"/>
          </w:tcPr>
          <w:p w14:paraId="30BB52DB" w14:textId="25C4896E" w:rsidR="006B13A8" w:rsidRPr="00917C1B" w:rsidRDefault="006B13A8" w:rsidP="006B13A8">
            <w:pPr>
              <w:spacing w:after="120"/>
              <w:jc w:val="center"/>
              <w:rPr>
                <w:rFonts w:ascii="Palatino Linotype" w:hAnsi="Palatino Linotype"/>
                <w:b/>
                <w:color w:val="000000" w:themeColor="text1"/>
                <w:sz w:val="20"/>
                <w:szCs w:val="20"/>
              </w:rPr>
            </w:pPr>
            <w:r w:rsidRPr="00917C1B">
              <w:rPr>
                <w:rFonts w:ascii="Palatino Linotype" w:hAnsi="Palatino Linotype"/>
                <w:b/>
                <w:color w:val="000000" w:themeColor="text1"/>
                <w:sz w:val="20"/>
                <w:szCs w:val="20"/>
              </w:rPr>
              <w:t>Requerimiento</w:t>
            </w:r>
          </w:p>
        </w:tc>
        <w:tc>
          <w:tcPr>
            <w:tcW w:w="4414" w:type="dxa"/>
          </w:tcPr>
          <w:p w14:paraId="1D665BD9" w14:textId="7FD90152" w:rsidR="006B13A8" w:rsidRPr="00917C1B" w:rsidRDefault="006B13A8" w:rsidP="006B13A8">
            <w:pPr>
              <w:spacing w:after="120"/>
              <w:jc w:val="center"/>
              <w:rPr>
                <w:rFonts w:ascii="Palatino Linotype" w:hAnsi="Palatino Linotype"/>
                <w:b/>
                <w:color w:val="000000" w:themeColor="text1"/>
                <w:sz w:val="20"/>
                <w:szCs w:val="20"/>
              </w:rPr>
            </w:pPr>
            <w:r w:rsidRPr="00917C1B">
              <w:rPr>
                <w:rFonts w:ascii="Palatino Linotype" w:hAnsi="Palatino Linotype"/>
                <w:b/>
                <w:color w:val="000000" w:themeColor="text1"/>
                <w:sz w:val="20"/>
                <w:szCs w:val="20"/>
              </w:rPr>
              <w:t xml:space="preserve">Respuesta </w:t>
            </w:r>
          </w:p>
        </w:tc>
      </w:tr>
      <w:tr w:rsidR="00917C1B" w:rsidRPr="00917C1B" w14:paraId="75B75024" w14:textId="77777777" w:rsidTr="006B13A8">
        <w:tc>
          <w:tcPr>
            <w:tcW w:w="4414" w:type="dxa"/>
          </w:tcPr>
          <w:p w14:paraId="4141FB3E" w14:textId="13F1F129" w:rsidR="006B13A8" w:rsidRPr="00917C1B" w:rsidRDefault="006B13A8" w:rsidP="006B13A8">
            <w:pPr>
              <w:spacing w:after="120"/>
              <w:jc w:val="both"/>
              <w:rPr>
                <w:rFonts w:ascii="Palatino Linotype" w:hAnsi="Palatino Linotype"/>
                <w:color w:val="000000" w:themeColor="text1"/>
                <w:sz w:val="20"/>
                <w:szCs w:val="20"/>
              </w:rPr>
            </w:pPr>
            <w:r w:rsidRPr="00917C1B">
              <w:rPr>
                <w:rFonts w:ascii="Palatino Linotype" w:hAnsi="Palatino Linotype"/>
                <w:color w:val="000000" w:themeColor="text1"/>
              </w:rPr>
              <w:t>El padrón de afiliados o militantes</w:t>
            </w:r>
          </w:p>
        </w:tc>
        <w:tc>
          <w:tcPr>
            <w:tcW w:w="4414" w:type="dxa"/>
          </w:tcPr>
          <w:p w14:paraId="1B506174" w14:textId="2DB96711" w:rsidR="006B13A8" w:rsidRPr="00917C1B" w:rsidRDefault="006B13A8" w:rsidP="006B13A8">
            <w:pPr>
              <w:spacing w:after="120"/>
              <w:jc w:val="both"/>
              <w:rPr>
                <w:rFonts w:ascii="Palatino Linotype" w:hAnsi="Palatino Linotype"/>
                <w:color w:val="000000" w:themeColor="text1"/>
              </w:rPr>
            </w:pPr>
            <w:r w:rsidRPr="00917C1B">
              <w:rPr>
                <w:rFonts w:ascii="Palatino Linotype" w:hAnsi="Palatino Linotype"/>
                <w:noProof/>
                <w:color w:val="000000" w:themeColor="text1"/>
                <w:lang w:val="es-MX" w:eastAsia="es-MX"/>
              </w:rPr>
              <w:drawing>
                <wp:inline distT="0" distB="0" distL="0" distR="0" wp14:anchorId="3CB3D416" wp14:editId="46FCD11F">
                  <wp:extent cx="3196590" cy="890473"/>
                  <wp:effectExtent l="0" t="0" r="381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2184" cy="892031"/>
                          </a:xfrm>
                          <a:prstGeom prst="rect">
                            <a:avLst/>
                          </a:prstGeom>
                        </pic:spPr>
                      </pic:pic>
                    </a:graphicData>
                  </a:graphic>
                </wp:inline>
              </w:drawing>
            </w:r>
            <w:r w:rsidRPr="00917C1B">
              <w:rPr>
                <w:rFonts w:ascii="Palatino Linotype" w:hAnsi="Palatino Linotype"/>
                <w:color w:val="000000" w:themeColor="text1"/>
              </w:rPr>
              <w:t xml:space="preserve">También podrá consultarlo en el siguiente link: http://afiliados.pvem-email.org.mx/ </w:t>
            </w:r>
          </w:p>
        </w:tc>
      </w:tr>
      <w:tr w:rsidR="00917C1B" w:rsidRPr="00917C1B" w14:paraId="6EB3D1DD" w14:textId="77777777" w:rsidTr="006B13A8">
        <w:tc>
          <w:tcPr>
            <w:tcW w:w="4414" w:type="dxa"/>
          </w:tcPr>
          <w:p w14:paraId="148A6D57" w14:textId="64445F10" w:rsidR="006B13A8" w:rsidRPr="00917C1B" w:rsidRDefault="006B13A8" w:rsidP="006B13A8">
            <w:pPr>
              <w:spacing w:after="120"/>
              <w:jc w:val="both"/>
              <w:rPr>
                <w:rFonts w:ascii="Palatino Linotype" w:hAnsi="Palatino Linotype"/>
                <w:color w:val="000000" w:themeColor="text1"/>
                <w:sz w:val="20"/>
                <w:szCs w:val="20"/>
              </w:rPr>
            </w:pPr>
            <w:r w:rsidRPr="00917C1B">
              <w:rPr>
                <w:rFonts w:ascii="Palatino Linotype" w:hAnsi="Palatino Linotype"/>
                <w:color w:val="000000" w:themeColor="text1"/>
              </w:rPr>
              <w:t xml:space="preserve">Plataforma Electoral </w:t>
            </w:r>
          </w:p>
        </w:tc>
        <w:tc>
          <w:tcPr>
            <w:tcW w:w="4414" w:type="dxa"/>
          </w:tcPr>
          <w:p w14:paraId="1D916A9D" w14:textId="3AF0A282" w:rsidR="006B13A8" w:rsidRPr="00917C1B" w:rsidRDefault="006B13A8" w:rsidP="006B13A8">
            <w:pPr>
              <w:spacing w:after="120"/>
              <w:jc w:val="both"/>
              <w:rPr>
                <w:rFonts w:ascii="Palatino Linotype" w:hAnsi="Palatino Linotype"/>
                <w:color w:val="000000" w:themeColor="text1"/>
                <w:sz w:val="20"/>
                <w:szCs w:val="20"/>
              </w:rPr>
            </w:pPr>
            <w:r w:rsidRPr="00917C1B">
              <w:rPr>
                <w:rFonts w:ascii="Palatino Linotype" w:hAnsi="Palatino Linotype"/>
                <w:noProof/>
                <w:color w:val="000000" w:themeColor="text1"/>
                <w:lang w:val="es-MX" w:eastAsia="es-MX"/>
              </w:rPr>
              <w:drawing>
                <wp:inline distT="0" distB="0" distL="0" distR="0" wp14:anchorId="3C972301" wp14:editId="640D1DE0">
                  <wp:extent cx="3589465" cy="17849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3519" cy="1791974"/>
                          </a:xfrm>
                          <a:prstGeom prst="rect">
                            <a:avLst/>
                          </a:prstGeom>
                        </pic:spPr>
                      </pic:pic>
                    </a:graphicData>
                  </a:graphic>
                </wp:inline>
              </w:drawing>
            </w:r>
            <w:r w:rsidRPr="00917C1B">
              <w:rPr>
                <w:rFonts w:ascii="Palatino Linotype" w:hAnsi="Palatino Linotype"/>
                <w:color w:val="000000" w:themeColor="text1"/>
              </w:rPr>
              <w:t xml:space="preserve">Además, podrá consultarlas en la página http://www.ieem.org.mx/ o en el siguiente link: http://www.ieem.org.mx/2018/PLATAFORMAS-2018/pvem.html </w:t>
            </w:r>
          </w:p>
        </w:tc>
      </w:tr>
      <w:tr w:rsidR="00917C1B" w:rsidRPr="00917C1B" w14:paraId="1AE76BD2" w14:textId="77777777" w:rsidTr="006B13A8">
        <w:tc>
          <w:tcPr>
            <w:tcW w:w="4414" w:type="dxa"/>
          </w:tcPr>
          <w:p w14:paraId="0386FA68" w14:textId="76343AEE" w:rsidR="006B13A8" w:rsidRPr="00917C1B" w:rsidRDefault="006B13A8" w:rsidP="006B13A8">
            <w:pPr>
              <w:spacing w:after="120"/>
              <w:jc w:val="both"/>
              <w:rPr>
                <w:rFonts w:ascii="Palatino Linotype" w:hAnsi="Palatino Linotype"/>
                <w:color w:val="000000" w:themeColor="text1"/>
                <w:sz w:val="20"/>
                <w:szCs w:val="20"/>
              </w:rPr>
            </w:pPr>
            <w:r w:rsidRPr="00917C1B">
              <w:rPr>
                <w:rFonts w:ascii="Palatino Linotype" w:hAnsi="Palatino Linotype"/>
                <w:color w:val="000000" w:themeColor="text1"/>
              </w:rPr>
              <w:t xml:space="preserve">Requisitos de elegibilidad </w:t>
            </w:r>
          </w:p>
        </w:tc>
        <w:tc>
          <w:tcPr>
            <w:tcW w:w="4414" w:type="dxa"/>
          </w:tcPr>
          <w:p w14:paraId="79116692" w14:textId="77777777" w:rsidR="008A2EE5" w:rsidRPr="00917C1B" w:rsidRDefault="008A2EE5" w:rsidP="008A2EE5">
            <w:pPr>
              <w:spacing w:after="120"/>
              <w:jc w:val="center"/>
              <w:rPr>
                <w:rFonts w:ascii="Palatino Linotype" w:hAnsi="Palatino Linotype"/>
                <w:color w:val="000000" w:themeColor="text1"/>
              </w:rPr>
            </w:pPr>
            <w:r w:rsidRPr="00917C1B">
              <w:rPr>
                <w:rFonts w:ascii="Palatino Linotype" w:hAnsi="Palatino Linotype"/>
                <w:noProof/>
                <w:color w:val="000000" w:themeColor="text1"/>
                <w:lang w:val="es-MX" w:eastAsia="es-MX"/>
              </w:rPr>
              <w:drawing>
                <wp:inline distT="0" distB="0" distL="0" distR="0" wp14:anchorId="3B353B6E" wp14:editId="7B0139C0">
                  <wp:extent cx="2743200" cy="17788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2449" cy="1784865"/>
                          </a:xfrm>
                          <a:prstGeom prst="rect">
                            <a:avLst/>
                          </a:prstGeom>
                        </pic:spPr>
                      </pic:pic>
                    </a:graphicData>
                  </a:graphic>
                </wp:inline>
              </w:drawing>
            </w:r>
          </w:p>
          <w:p w14:paraId="6C4129A4" w14:textId="2B98D791" w:rsidR="006B13A8" w:rsidRPr="00917C1B" w:rsidRDefault="006B13A8" w:rsidP="006B13A8">
            <w:pPr>
              <w:spacing w:after="120"/>
              <w:jc w:val="both"/>
              <w:rPr>
                <w:rFonts w:ascii="Palatino Linotype" w:hAnsi="Palatino Linotype"/>
                <w:color w:val="000000" w:themeColor="text1"/>
                <w:sz w:val="20"/>
                <w:szCs w:val="20"/>
              </w:rPr>
            </w:pPr>
            <w:r w:rsidRPr="00917C1B">
              <w:rPr>
                <w:rFonts w:ascii="Palatino Linotype" w:hAnsi="Palatino Linotype"/>
                <w:color w:val="000000" w:themeColor="text1"/>
              </w:rPr>
              <w:t>Aquellos establecidos en los artículos 16, 17, 18 y 19 del Código Electoral del Estado de México y los artículos 55, 56, 57, 58, 59, 60, 61 y 62 de los Estatutos del Partido Verde Ecologista de México; mismos que podrá ser consultados en la Base Quinta de la convocatoria para el proceso electoral 2017-2018.</w:t>
            </w:r>
          </w:p>
        </w:tc>
      </w:tr>
    </w:tbl>
    <w:p w14:paraId="3A543AB2" w14:textId="7E7C8D02" w:rsidR="00907CE7" w:rsidRPr="00917C1B" w:rsidRDefault="008A2EE5" w:rsidP="00961914">
      <w:pPr>
        <w:shd w:val="clear" w:color="auto" w:fill="FFFFFF"/>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Respuesta, que el particular impugnó </w:t>
      </w:r>
      <w:r w:rsidR="00F86D56" w:rsidRPr="00917C1B">
        <w:rPr>
          <w:rFonts w:ascii="Palatino Linotype" w:hAnsi="Palatino Linotype"/>
          <w:color w:val="000000" w:themeColor="text1"/>
        </w:rPr>
        <w:t xml:space="preserve">por considerarla insuficiente, </w:t>
      </w:r>
      <w:r w:rsidR="00907CE7" w:rsidRPr="00917C1B">
        <w:rPr>
          <w:rFonts w:ascii="Palatino Linotype" w:hAnsi="Palatino Linotype"/>
          <w:color w:val="000000" w:themeColor="text1"/>
        </w:rPr>
        <w:t>además de indicar que se le entregó la plataforma legislativa y no la municipal, que el documento entregado bajo el archivo TEMASCALCINGO no indica a que se refiere y que la imagen anexada no se puede visualizar correctamente.</w:t>
      </w:r>
    </w:p>
    <w:p w14:paraId="633613F6" w14:textId="22F23DC8" w:rsidR="001E628D" w:rsidRPr="00917C1B" w:rsidRDefault="001E628D" w:rsidP="006742F8">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Expuestas las posturas de las partes, este Órgano Garante procede al análisis de la controversia plateada, por lo que es necesario señalar que de conformidad con lo previsto en el artículo 1</w:t>
      </w:r>
      <w:r w:rsidR="004B5E7B" w:rsidRPr="00917C1B">
        <w:rPr>
          <w:rFonts w:ascii="Palatino Linotype" w:hAnsi="Palatino Linotype"/>
          <w:color w:val="000000" w:themeColor="text1"/>
        </w:rPr>
        <w:t>60</w:t>
      </w:r>
      <w:r w:rsidRPr="00917C1B">
        <w:rPr>
          <w:rFonts w:ascii="Palatino Linotype" w:hAnsi="Palatino Linotype"/>
          <w:color w:val="000000" w:themeColor="text1"/>
        </w:rPr>
        <w:t xml:space="preserve"> de la Ley de Transparencia y Acceso a la Información Pública del Estado de México y Municipios, los sujetos obligados deben otorgar acceso a los documentos que se encuentren en sus archivos o que estén obligados a documentar de acuerdo con sus facultades, competencia o funciones en el formato en que el solicitante manifieste, de entre aquellos formatos existentes; mientras que el diverso 1</w:t>
      </w:r>
      <w:r w:rsidR="004B5E7B" w:rsidRPr="00917C1B">
        <w:rPr>
          <w:rFonts w:ascii="Palatino Linotype" w:hAnsi="Palatino Linotype"/>
          <w:color w:val="000000" w:themeColor="text1"/>
        </w:rPr>
        <w:t>61</w:t>
      </w:r>
      <w:r w:rsidRPr="00917C1B">
        <w:rPr>
          <w:rFonts w:ascii="Palatino Linotype" w:hAnsi="Palatino Linotype"/>
          <w:color w:val="000000" w:themeColor="text1"/>
        </w:rPr>
        <w:t xml:space="preserve">, establece que cuando la información requerida por el solicitante ya esté disponible al público en medios impresos, tales como libros, compendios, trípticos, registros públicos, en formatos electrónicos disponibles en internet o en cualquier otro medio, se le hará saber por el </w:t>
      </w:r>
      <w:r w:rsidR="00A55A29" w:rsidRPr="00917C1B">
        <w:rPr>
          <w:rFonts w:ascii="Palatino Linotype" w:hAnsi="Palatino Linotype"/>
          <w:color w:val="000000" w:themeColor="text1"/>
        </w:rPr>
        <w:t xml:space="preserve">medio </w:t>
      </w:r>
      <w:r w:rsidRPr="00917C1B">
        <w:rPr>
          <w:rFonts w:ascii="Palatino Linotype" w:hAnsi="Palatino Linotype"/>
          <w:color w:val="000000" w:themeColor="text1"/>
        </w:rPr>
        <w:t>requerido, la fuente, lugar y forma en que se puede consultar, reproducir o adquirir en un plazo no mayor a cinco días.</w:t>
      </w:r>
    </w:p>
    <w:p w14:paraId="7EE10477" w14:textId="42C6F3B2" w:rsidR="002456F7" w:rsidRPr="00917C1B" w:rsidRDefault="002456F7" w:rsidP="002456F7">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Ahora bien, en lo relativo al requerimiento enmarcado en el numeral 1 de esta resolución, el particular solicitó el padrón de militantes y simpatizantes, </w:t>
      </w:r>
      <w:r w:rsidR="005A1207" w:rsidRPr="00917C1B">
        <w:rPr>
          <w:rFonts w:ascii="Palatino Linotype" w:hAnsi="Palatino Linotype"/>
          <w:color w:val="000000" w:themeColor="text1"/>
        </w:rPr>
        <w:t>d</w:t>
      </w:r>
      <w:r w:rsidRPr="00917C1B">
        <w:rPr>
          <w:rFonts w:ascii="Palatino Linotype" w:hAnsi="Palatino Linotype"/>
          <w:color w:val="000000" w:themeColor="text1"/>
        </w:rPr>
        <w:t xml:space="preserve">el Partido Verde Ecologista de México, respondió bajo el pronunciamiento de que </w:t>
      </w:r>
      <w:r w:rsidR="00466B89" w:rsidRPr="00917C1B">
        <w:rPr>
          <w:rFonts w:ascii="Palatino Linotype" w:hAnsi="Palatino Linotype"/>
          <w:color w:val="000000" w:themeColor="text1"/>
        </w:rPr>
        <w:t xml:space="preserve">el </w:t>
      </w:r>
      <w:r w:rsidRPr="00917C1B">
        <w:rPr>
          <w:rFonts w:ascii="Palatino Linotype" w:hAnsi="Palatino Linotype"/>
          <w:color w:val="000000" w:themeColor="text1"/>
        </w:rPr>
        <w:t xml:space="preserve">padrón de afiliados o militantes sería entregado como anexo, además de indicar que la información podía ser consultada en la </w:t>
      </w:r>
      <w:r w:rsidR="00F33CDA" w:rsidRPr="00917C1B">
        <w:rPr>
          <w:rFonts w:ascii="Palatino Linotype" w:hAnsi="Palatino Linotype"/>
          <w:color w:val="000000" w:themeColor="text1"/>
        </w:rPr>
        <w:t xml:space="preserve">siguiente </w:t>
      </w:r>
      <w:r w:rsidRPr="00917C1B">
        <w:rPr>
          <w:rFonts w:ascii="Palatino Linotype" w:hAnsi="Palatino Linotype"/>
          <w:color w:val="000000" w:themeColor="text1"/>
        </w:rPr>
        <w:t xml:space="preserve">liga electrónica </w:t>
      </w:r>
      <w:hyperlink r:id="rId16" w:history="1">
        <w:r w:rsidRPr="00917C1B">
          <w:rPr>
            <w:rStyle w:val="Hipervnculo"/>
            <w:rFonts w:ascii="Palatino Linotype" w:hAnsi="Palatino Linotype"/>
            <w:color w:val="000000" w:themeColor="text1"/>
          </w:rPr>
          <w:t>http://afiliados.pvem-email.org.mx/</w:t>
        </w:r>
      </w:hyperlink>
      <w:r w:rsidRPr="00917C1B">
        <w:rPr>
          <w:rFonts w:ascii="Palatino Linotype" w:hAnsi="Palatino Linotype"/>
          <w:color w:val="000000" w:themeColor="text1"/>
        </w:rPr>
        <w:t xml:space="preserve">. </w:t>
      </w:r>
    </w:p>
    <w:p w14:paraId="7A7F15F5" w14:textId="19B7E090" w:rsidR="00CB4F09" w:rsidRPr="00917C1B" w:rsidRDefault="002456F7" w:rsidP="00430B4B">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Bajo el requerimiento planteado</w:t>
      </w:r>
      <w:r w:rsidR="004E3867" w:rsidRPr="00917C1B">
        <w:rPr>
          <w:rFonts w:ascii="Palatino Linotype" w:hAnsi="Palatino Linotype"/>
          <w:color w:val="000000" w:themeColor="text1"/>
        </w:rPr>
        <w:t>,</w:t>
      </w:r>
      <w:r w:rsidRPr="00917C1B">
        <w:rPr>
          <w:rFonts w:ascii="Palatino Linotype" w:hAnsi="Palatino Linotype"/>
          <w:color w:val="000000" w:themeColor="text1"/>
        </w:rPr>
        <w:t xml:space="preserve"> </w:t>
      </w:r>
      <w:r w:rsidR="00CB4F09" w:rsidRPr="00917C1B">
        <w:rPr>
          <w:rFonts w:ascii="Palatino Linotype" w:hAnsi="Palatino Linotype"/>
          <w:color w:val="000000" w:themeColor="text1"/>
        </w:rPr>
        <w:t>resulta necesario decir</w:t>
      </w:r>
      <w:r w:rsidRPr="00917C1B">
        <w:rPr>
          <w:rFonts w:ascii="Palatino Linotype" w:hAnsi="Palatino Linotype"/>
          <w:color w:val="000000" w:themeColor="text1"/>
        </w:rPr>
        <w:t xml:space="preserve"> en primer lugar</w:t>
      </w:r>
      <w:r w:rsidR="00CB4F09" w:rsidRPr="00917C1B">
        <w:rPr>
          <w:rFonts w:ascii="Palatino Linotype" w:hAnsi="Palatino Linotype"/>
          <w:color w:val="000000" w:themeColor="text1"/>
        </w:rPr>
        <w:t>, que es un derecho político-electoral de los ciudadanos mexicanos, con relación a los partidos políticos, asociarse o reunirse pacíficamente para tomar parte en los asuntos políticos del país, por lo que</w:t>
      </w:r>
      <w:r w:rsidR="001C450F" w:rsidRPr="00917C1B">
        <w:rPr>
          <w:rFonts w:ascii="Palatino Linotype" w:hAnsi="Palatino Linotype"/>
          <w:color w:val="000000" w:themeColor="text1"/>
        </w:rPr>
        <w:t>,</w:t>
      </w:r>
      <w:r w:rsidR="00CB4F09" w:rsidRPr="00917C1B">
        <w:rPr>
          <w:rFonts w:ascii="Palatino Linotype" w:hAnsi="Palatino Linotype"/>
          <w:color w:val="000000" w:themeColor="text1"/>
        </w:rPr>
        <w:t xml:space="preserve"> es su facultad afiliarse libre e individualmente a ellos, teniendo la calidad que establezca la ley y los estatutos de cada partido </w:t>
      </w:r>
      <w:r w:rsidR="001C450F" w:rsidRPr="00917C1B">
        <w:rPr>
          <w:rFonts w:ascii="Palatino Linotype" w:hAnsi="Palatino Linotype"/>
          <w:color w:val="000000" w:themeColor="text1"/>
        </w:rPr>
        <w:t>político</w:t>
      </w:r>
      <w:r w:rsidR="00CB4F09" w:rsidRPr="00917C1B">
        <w:rPr>
          <w:rStyle w:val="Refdenotaalpie"/>
          <w:rFonts w:ascii="Palatino Linotype" w:hAnsi="Palatino Linotype"/>
          <w:color w:val="000000" w:themeColor="text1"/>
        </w:rPr>
        <w:footnoteReference w:id="1"/>
      </w:r>
      <w:r w:rsidR="001C450F" w:rsidRPr="00917C1B">
        <w:rPr>
          <w:rFonts w:ascii="Palatino Linotype" w:hAnsi="Palatino Linotype"/>
          <w:color w:val="000000" w:themeColor="text1"/>
        </w:rPr>
        <w:t>.</w:t>
      </w:r>
    </w:p>
    <w:p w14:paraId="693B4268" w14:textId="233D2A75" w:rsidR="001172D8" w:rsidRPr="00917C1B" w:rsidRDefault="001172D8" w:rsidP="00430B4B">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Derecho de afiliación que</w:t>
      </w:r>
      <w:r w:rsidR="004E3867" w:rsidRPr="00917C1B">
        <w:rPr>
          <w:rFonts w:ascii="Palatino Linotype" w:hAnsi="Palatino Linotype"/>
          <w:color w:val="000000" w:themeColor="text1"/>
        </w:rPr>
        <w:t>,</w:t>
      </w:r>
      <w:r w:rsidRPr="00917C1B">
        <w:rPr>
          <w:rFonts w:ascii="Palatino Linotype" w:hAnsi="Palatino Linotype"/>
          <w:color w:val="000000" w:themeColor="text1"/>
        </w:rPr>
        <w:t xml:space="preserve"> es exclusivo de los ciudadanos mexicanos de conformidad con el párrafo segundo del artículo 3 de la Ley General de Partidos Políticos, bajo los conceptos de afiliado o militante</w:t>
      </w:r>
      <w:r w:rsidR="00170218" w:rsidRPr="00917C1B">
        <w:rPr>
          <w:rStyle w:val="Refdenotaalpie"/>
          <w:rFonts w:ascii="Palatino Linotype" w:hAnsi="Palatino Linotype"/>
          <w:color w:val="000000" w:themeColor="text1"/>
        </w:rPr>
        <w:footnoteReference w:id="2"/>
      </w:r>
      <w:r w:rsidRPr="00917C1B">
        <w:rPr>
          <w:rFonts w:ascii="Palatino Linotype" w:hAnsi="Palatino Linotype"/>
          <w:color w:val="000000" w:themeColor="text1"/>
        </w:rPr>
        <w:t xml:space="preserve">, entendidos éstos, como el ciudadano que en pleno goce y ejercicio de sus derechos político electorales se registra libre, voluntaria e individualmente a un partido político en los términos que para esos efectos disponga </w:t>
      </w:r>
      <w:r w:rsidR="004E3867" w:rsidRPr="00917C1B">
        <w:rPr>
          <w:rFonts w:ascii="Palatino Linotype" w:hAnsi="Palatino Linotype"/>
          <w:color w:val="000000" w:themeColor="text1"/>
        </w:rPr>
        <w:t>cada</w:t>
      </w:r>
      <w:r w:rsidRPr="00917C1B">
        <w:rPr>
          <w:rFonts w:ascii="Palatino Linotype" w:hAnsi="Palatino Linotype"/>
          <w:color w:val="000000" w:themeColor="text1"/>
        </w:rPr>
        <w:t xml:space="preserve"> partido en </w:t>
      </w:r>
      <w:r w:rsidR="004E3867" w:rsidRPr="00917C1B">
        <w:rPr>
          <w:rFonts w:ascii="Palatino Linotype" w:hAnsi="Palatino Linotype"/>
          <w:color w:val="000000" w:themeColor="text1"/>
        </w:rPr>
        <w:t xml:space="preserve">su </w:t>
      </w:r>
      <w:r w:rsidRPr="00917C1B">
        <w:rPr>
          <w:rFonts w:ascii="Palatino Linotype" w:hAnsi="Palatino Linotype"/>
          <w:color w:val="000000" w:themeColor="text1"/>
        </w:rPr>
        <w:t>normatividad interna, independientemente de su denominación, actividad y grado de participación</w:t>
      </w:r>
      <w:r w:rsidRPr="00917C1B">
        <w:rPr>
          <w:rStyle w:val="Refdenotaalpie"/>
          <w:rFonts w:ascii="Palatino Linotype" w:hAnsi="Palatino Linotype"/>
          <w:color w:val="000000" w:themeColor="text1"/>
        </w:rPr>
        <w:footnoteReference w:id="3"/>
      </w:r>
      <w:r w:rsidR="001737E0" w:rsidRPr="00917C1B">
        <w:rPr>
          <w:rFonts w:ascii="Palatino Linotype" w:hAnsi="Palatino Linotype"/>
          <w:color w:val="000000" w:themeColor="text1"/>
        </w:rPr>
        <w:t>;</w:t>
      </w:r>
      <w:r w:rsidR="00AA3543" w:rsidRPr="00917C1B">
        <w:rPr>
          <w:rFonts w:ascii="Palatino Linotype" w:hAnsi="Palatino Linotype"/>
          <w:color w:val="000000" w:themeColor="text1"/>
        </w:rPr>
        <w:t xml:space="preserve"> </w:t>
      </w:r>
      <w:r w:rsidR="001737E0" w:rsidRPr="00917C1B">
        <w:rPr>
          <w:rFonts w:ascii="Palatino Linotype" w:hAnsi="Palatino Linotype"/>
          <w:color w:val="000000" w:themeColor="text1"/>
        </w:rPr>
        <w:t>d</w:t>
      </w:r>
      <w:r w:rsidR="00AA3543" w:rsidRPr="00917C1B">
        <w:rPr>
          <w:rFonts w:ascii="Palatino Linotype" w:hAnsi="Palatino Linotype"/>
          <w:color w:val="000000" w:themeColor="text1"/>
        </w:rPr>
        <w:t xml:space="preserve">erecho que </w:t>
      </w:r>
      <w:r w:rsidR="001737E0" w:rsidRPr="00917C1B">
        <w:rPr>
          <w:rFonts w:ascii="Palatino Linotype" w:hAnsi="Palatino Linotype"/>
          <w:color w:val="000000" w:themeColor="text1"/>
        </w:rPr>
        <w:t xml:space="preserve">automáticamente se relaciona </w:t>
      </w:r>
      <w:r w:rsidR="00AA3543" w:rsidRPr="00917C1B">
        <w:rPr>
          <w:rFonts w:ascii="Palatino Linotype" w:hAnsi="Palatino Linotype"/>
          <w:color w:val="000000" w:themeColor="text1"/>
        </w:rPr>
        <w:t xml:space="preserve">con la libertad de asociación política consagrada en el párrafo primero del artículo 16 de la Convención Americana de los Derechos Humanos, el cual </w:t>
      </w:r>
      <w:r w:rsidR="001737E0" w:rsidRPr="00917C1B">
        <w:rPr>
          <w:rFonts w:ascii="Palatino Linotype" w:hAnsi="Palatino Linotype"/>
          <w:color w:val="000000" w:themeColor="text1"/>
        </w:rPr>
        <w:t xml:space="preserve">a su vez, </w:t>
      </w:r>
      <w:r w:rsidR="00AA3543" w:rsidRPr="00917C1B">
        <w:rPr>
          <w:rFonts w:ascii="Palatino Linotype" w:hAnsi="Palatino Linotype"/>
          <w:color w:val="000000" w:themeColor="text1"/>
        </w:rPr>
        <w:t>se encuentra íntimamente ligado con los derechos de votar y ser votado, que tienen como función principal promover la democracia representativa y la participación política de los ciudadanos.</w:t>
      </w:r>
      <w:r w:rsidR="00005389" w:rsidRPr="00917C1B">
        <w:rPr>
          <w:rFonts w:ascii="Palatino Linotype" w:hAnsi="Palatino Linotype"/>
          <w:color w:val="000000" w:themeColor="text1"/>
        </w:rPr>
        <w:t xml:space="preserve"> Sirve de sustento las tesis 25/2002 del Tribunal Electoral del Poder Judicial de la Federación, que es de rubro y texto siguiente:</w:t>
      </w:r>
    </w:p>
    <w:p w14:paraId="15ED6FC2" w14:textId="4BD8EF4F" w:rsidR="00005389" w:rsidRPr="00917C1B" w:rsidRDefault="00005389" w:rsidP="00005389">
      <w:pPr>
        <w:autoSpaceDE w:val="0"/>
        <w:autoSpaceDN w:val="0"/>
        <w:adjustRightInd w:val="0"/>
        <w:spacing w:after="120"/>
        <w:ind w:left="851" w:right="902"/>
        <w:jc w:val="both"/>
        <w:rPr>
          <w:rFonts w:ascii="Palatino Linotype" w:hAnsi="Palatino Linotype"/>
          <w:i/>
          <w:color w:val="000000" w:themeColor="text1"/>
          <w:sz w:val="16"/>
          <w:szCs w:val="16"/>
        </w:rPr>
      </w:pPr>
      <w:bookmarkStart w:id="1" w:name="TEXTO_25/2002"/>
      <w:r w:rsidRPr="00917C1B">
        <w:rPr>
          <w:rFonts w:ascii="Palatino Linotype" w:hAnsi="Palatino Linotype"/>
          <w:b/>
          <w:bCs/>
          <w:i/>
          <w:color w:val="000000" w:themeColor="text1"/>
          <w:sz w:val="16"/>
          <w:szCs w:val="16"/>
        </w:rPr>
        <w:t>“</w:t>
      </w:r>
      <w:hyperlink r:id="rId17" w:anchor="25/2002" w:history="1">
        <w:r w:rsidRPr="00917C1B">
          <w:rPr>
            <w:rStyle w:val="Hipervnculo"/>
            <w:rFonts w:ascii="Palatino Linotype" w:hAnsi="Palatino Linotype" w:cs="Arial"/>
            <w:b/>
            <w:bCs/>
            <w:i/>
            <w:color w:val="000000" w:themeColor="text1"/>
            <w:sz w:val="16"/>
            <w:szCs w:val="16"/>
            <w:u w:val="none"/>
          </w:rPr>
          <w:t>DERECHO DE ASOCIACIÓN EN MATERIA POLÍTICO-ELECTORAL. BASE DE LA FORMACIÓN DE LOS PARTIDOS POLÍTICOS Y AGRUPACIONES POLÍTICAS. </w:t>
        </w:r>
      </w:hyperlink>
      <w:bookmarkEnd w:id="1"/>
      <w:r w:rsidRPr="00917C1B">
        <w:rPr>
          <w:rFonts w:ascii="Palatino Linotype" w:hAnsi="Palatino Linotype" w:cs="Arial"/>
          <w:i/>
          <w:color w:val="000000" w:themeColor="text1"/>
          <w:sz w:val="16"/>
          <w:szCs w:val="16"/>
        </w:rPr>
        <w:t>El derecho de asociación en materia político-electoral es un derecho fundamental consagrado en el artículo 35, fracción III, de la Constitución Política de los Estados Unidos Mexicanos que propicia el pluralismo político y la participación de la ciudadanía en la formación del gobierno. La libertad de asociación, que subyace a ese derecho, constituye una </w:t>
      </w:r>
      <w:r w:rsidRPr="00917C1B">
        <w:rPr>
          <w:rFonts w:ascii="Palatino Linotype" w:hAnsi="Palatino Linotype" w:cs="Arial"/>
          <w:i/>
          <w:iCs/>
          <w:color w:val="000000" w:themeColor="text1"/>
          <w:sz w:val="16"/>
          <w:szCs w:val="16"/>
        </w:rPr>
        <w:t>conditio sine qua non</w:t>
      </w:r>
      <w:r w:rsidRPr="00917C1B">
        <w:rPr>
          <w:rFonts w:ascii="Palatino Linotype" w:hAnsi="Palatino Linotype" w:cs="Arial"/>
          <w:i/>
          <w:color w:val="000000" w:themeColor="text1"/>
          <w:sz w:val="16"/>
          <w:szCs w:val="16"/>
        </w:rPr>
        <w:t> de todo Estado constitucional democrático de derecho, pues sin la existencia de este derecho fundamental o la falta de garantías constitucionales que lo tutelen, no sólo se impediría la formación de partidos políticos y de asociaciones de diversos signos ideológicos, sino que el mismo principio constitucional de sufragio universal, establecido en forma expresa en el artículo 41, fracción I, párrafo segundo, de la Constitución federal, quedaría socavado; por lo tanto, el derecho de asociación en materia político-electoral está en la base de la formación de los partidos políticos y asociaciones políticas. Sobre el particular, es necesario dejar establecido que todo ciudadano mexicano tiene derecho a asociarse individual y libremente para tomar parte en forma pacífica en los asuntos políticos del país; específicamente, es derecho de los ciudadanos mexicanos constituir partidos políticos nacionales y agrupaciones políticas, en conformidad con lo dispuesto en los artículos 9o.; 35, fracción III; 41, fracciones I, párrafo segundo, </w:t>
      </w:r>
      <w:r w:rsidRPr="00917C1B">
        <w:rPr>
          <w:rFonts w:ascii="Palatino Linotype" w:hAnsi="Palatino Linotype" w:cs="Arial"/>
          <w:i/>
          <w:iCs/>
          <w:color w:val="000000" w:themeColor="text1"/>
          <w:sz w:val="16"/>
          <w:szCs w:val="16"/>
        </w:rPr>
        <w:t>in fine</w:t>
      </w:r>
      <w:r w:rsidRPr="00917C1B">
        <w:rPr>
          <w:rFonts w:ascii="Palatino Linotype" w:hAnsi="Palatino Linotype" w:cs="Arial"/>
          <w:i/>
          <w:color w:val="000000" w:themeColor="text1"/>
          <w:sz w:val="16"/>
          <w:szCs w:val="16"/>
        </w:rPr>
        <w:t>, y IV; y 99, fracción V, de la Constitución federal, así como 5o., párrafo 1, del Código Federal de Instituciones y Procedimientos Electorales. Así, en ejercicio del derecho de asociación en materia político-electoral, los ciudadanos pueden formar partidos políticos y agrupaciones políticas, cumpliendo con los requisitos que se establecen en la ley. El ejercicio de la libertad de asociación en materia política prevista en el artículo 9o. constitucional está sujeta a varias limitaciones y una condicionante: las primeras están dadas por el hecho de que su ejercicio sea pacífico y con un objeto lícito, mientras que la última circunscribe su realización a los sujetos que tengan la calidad de ciudadanos mexicanos, lo cual es acorde con lo previsto en el artículo 33 de la Constitución federal. Asimismo, si el ejercicio de esa libertad política se realiza a través de los partidos políticos, debe cumplirse con las formas específicas que se regulen legalmente para permitir su intervención en el proceso electoral.</w:t>
      </w:r>
    </w:p>
    <w:p w14:paraId="275F1AFF" w14:textId="5310B60B" w:rsidR="003F2D82" w:rsidRPr="00917C1B" w:rsidRDefault="00005389" w:rsidP="003F2D82">
      <w:pPr>
        <w:autoSpaceDE w:val="0"/>
        <w:autoSpaceDN w:val="0"/>
        <w:adjustRightInd w:val="0"/>
        <w:spacing w:before="240" w:after="240" w:line="360" w:lineRule="auto"/>
        <w:ind w:right="49"/>
        <w:jc w:val="both"/>
        <w:rPr>
          <w:rFonts w:ascii="Palatino Linotype" w:hAnsi="Palatino Linotype"/>
          <w:color w:val="000000" w:themeColor="text1"/>
        </w:rPr>
      </w:pPr>
      <w:r w:rsidRPr="00917C1B">
        <w:rPr>
          <w:rFonts w:ascii="Palatino Linotype" w:hAnsi="Palatino Linotype"/>
          <w:color w:val="000000" w:themeColor="text1"/>
        </w:rPr>
        <w:t>Ahora bien, de</w:t>
      </w:r>
      <w:r w:rsidR="003F2D82" w:rsidRPr="00917C1B">
        <w:rPr>
          <w:rFonts w:ascii="Palatino Linotype" w:hAnsi="Palatino Linotype"/>
          <w:color w:val="000000" w:themeColor="text1"/>
        </w:rPr>
        <w:t xml:space="preserve"> los artículos 25 y 34 </w:t>
      </w:r>
      <w:r w:rsidRPr="00917C1B">
        <w:rPr>
          <w:rFonts w:ascii="Palatino Linotype" w:hAnsi="Palatino Linotype"/>
          <w:color w:val="000000" w:themeColor="text1"/>
        </w:rPr>
        <w:t>de la referida L</w:t>
      </w:r>
      <w:r w:rsidR="003F2D82" w:rsidRPr="00917C1B">
        <w:rPr>
          <w:rFonts w:ascii="Palatino Linotype" w:hAnsi="Palatino Linotype"/>
          <w:color w:val="000000" w:themeColor="text1"/>
        </w:rPr>
        <w:t xml:space="preserve">ey, se advierte de manera general, entre otras obligaciones la de cumplir </w:t>
      </w:r>
      <w:r w:rsidRPr="00917C1B">
        <w:rPr>
          <w:rFonts w:ascii="Palatino Linotype" w:hAnsi="Palatino Linotype"/>
          <w:color w:val="000000" w:themeColor="text1"/>
        </w:rPr>
        <w:t>las</w:t>
      </w:r>
      <w:r w:rsidR="003F2D82" w:rsidRPr="00917C1B">
        <w:rPr>
          <w:rFonts w:ascii="Palatino Linotype" w:hAnsi="Palatino Linotype"/>
          <w:color w:val="000000" w:themeColor="text1"/>
        </w:rPr>
        <w:t xml:space="preserve"> normas de afiliación, bajo los requisitos y mecanismos previamente establecidos para la libre y voluntaria afiliación de los ciudadanos. </w:t>
      </w:r>
    </w:p>
    <w:p w14:paraId="65D5A9D2" w14:textId="3C4C38E9" w:rsidR="00F20F39" w:rsidRPr="00917C1B" w:rsidRDefault="00F20F39" w:rsidP="003F2D82">
      <w:pPr>
        <w:autoSpaceDE w:val="0"/>
        <w:autoSpaceDN w:val="0"/>
        <w:adjustRightInd w:val="0"/>
        <w:spacing w:before="240" w:after="240" w:line="360" w:lineRule="auto"/>
        <w:ind w:right="49"/>
        <w:jc w:val="both"/>
        <w:rPr>
          <w:rFonts w:ascii="Palatino Linotype" w:hAnsi="Palatino Linotype"/>
          <w:iCs/>
          <w:color w:val="000000" w:themeColor="text1"/>
        </w:rPr>
      </w:pPr>
      <w:r w:rsidRPr="00917C1B">
        <w:rPr>
          <w:rFonts w:ascii="Palatino Linotype" w:hAnsi="Palatino Linotype"/>
          <w:color w:val="000000" w:themeColor="text1"/>
        </w:rPr>
        <w:t xml:space="preserve">Bajo dichos preceptos </w:t>
      </w:r>
      <w:r w:rsidR="00C93ECB" w:rsidRPr="00917C1B">
        <w:rPr>
          <w:rFonts w:ascii="Palatino Linotype" w:hAnsi="Palatino Linotype"/>
          <w:color w:val="000000" w:themeColor="text1"/>
        </w:rPr>
        <w:t>jurídicos</w:t>
      </w:r>
      <w:r w:rsidR="00642353" w:rsidRPr="00917C1B">
        <w:rPr>
          <w:rFonts w:ascii="Palatino Linotype" w:hAnsi="Palatino Linotype"/>
          <w:color w:val="000000" w:themeColor="text1"/>
        </w:rPr>
        <w:t xml:space="preserve">, </w:t>
      </w:r>
      <w:r w:rsidR="001C450F" w:rsidRPr="00917C1B">
        <w:rPr>
          <w:rFonts w:ascii="Palatino Linotype" w:hAnsi="Palatino Linotype"/>
          <w:color w:val="000000" w:themeColor="text1"/>
        </w:rPr>
        <w:t xml:space="preserve">los </w:t>
      </w:r>
      <w:r w:rsidR="001C450F" w:rsidRPr="00917C1B">
        <w:rPr>
          <w:rFonts w:ascii="Palatino Linotype" w:hAnsi="Palatino Linotype"/>
          <w:i/>
          <w:iCs/>
          <w:color w:val="000000" w:themeColor="text1"/>
        </w:rPr>
        <w:t xml:space="preserve">Estatutos del Partido Verde Ecologista de México, </w:t>
      </w:r>
      <w:r w:rsidRPr="00917C1B">
        <w:rPr>
          <w:rFonts w:ascii="Palatino Linotype" w:hAnsi="Palatino Linotype"/>
          <w:iCs/>
          <w:color w:val="000000" w:themeColor="text1"/>
        </w:rPr>
        <w:t>establecen en su artículo 2, que el Partido está abierto para todos los mexicanos que de forma individual, personal, intransferible, libre y pacifica deseen afiliarse bajo la modalidad de militante, adherente o simpatizante, siempre que se interesen, respeten y acepten la Declaración de Principios, el Programa de Acción y los Estatutos.</w:t>
      </w:r>
    </w:p>
    <w:p w14:paraId="7AC389D0" w14:textId="3A97223D" w:rsidR="001C450F" w:rsidRPr="00917C1B" w:rsidRDefault="00C93ECB" w:rsidP="003F2D82">
      <w:pPr>
        <w:autoSpaceDE w:val="0"/>
        <w:autoSpaceDN w:val="0"/>
        <w:adjustRightInd w:val="0"/>
        <w:spacing w:before="240" w:after="240" w:line="360" w:lineRule="auto"/>
        <w:ind w:right="49"/>
        <w:jc w:val="both"/>
        <w:rPr>
          <w:rFonts w:ascii="Palatino Linotype" w:hAnsi="Palatino Linotype"/>
          <w:i/>
          <w:iCs/>
          <w:color w:val="000000" w:themeColor="text1"/>
        </w:rPr>
      </w:pPr>
      <w:r w:rsidRPr="00917C1B">
        <w:rPr>
          <w:rFonts w:ascii="Palatino Linotype" w:hAnsi="Palatino Linotype"/>
          <w:iCs/>
          <w:color w:val="000000" w:themeColor="text1"/>
        </w:rPr>
        <w:t xml:space="preserve">Ordenamiento legal que establece que tienen la calidad de </w:t>
      </w:r>
      <w:r w:rsidR="001C450F" w:rsidRPr="00917C1B">
        <w:rPr>
          <w:rFonts w:ascii="Palatino Linotype" w:hAnsi="Palatino Linotype"/>
          <w:iCs/>
          <w:color w:val="000000" w:themeColor="text1"/>
        </w:rPr>
        <w:t xml:space="preserve">militantes, los </w:t>
      </w:r>
      <w:r w:rsidR="001C450F" w:rsidRPr="00917C1B">
        <w:rPr>
          <w:rFonts w:ascii="Palatino Linotype" w:hAnsi="Palatino Linotype"/>
          <w:i/>
          <w:color w:val="000000" w:themeColor="text1"/>
        </w:rPr>
        <w:t>ciudadanos que se valoran como el principal activo del Partido Verde Ecologista de México; con el compromiso y la participación en la toma de decisiones, que contribuyen a definir el proyecto verde ecologista mexicano</w:t>
      </w:r>
      <w:r w:rsidR="001C450F" w:rsidRPr="00917C1B">
        <w:rPr>
          <w:rFonts w:ascii="Palatino Linotype" w:hAnsi="Palatino Linotype"/>
          <w:color w:val="000000" w:themeColor="text1"/>
        </w:rPr>
        <w:t xml:space="preserve">; </w:t>
      </w:r>
      <w:r w:rsidRPr="00917C1B">
        <w:rPr>
          <w:rFonts w:ascii="Palatino Linotype" w:hAnsi="Palatino Linotype"/>
          <w:color w:val="000000" w:themeColor="text1"/>
        </w:rPr>
        <w:t xml:space="preserve">mientras que los simpatizantes, </w:t>
      </w:r>
      <w:r w:rsidR="001C450F" w:rsidRPr="00917C1B">
        <w:rPr>
          <w:rFonts w:ascii="Palatino Linotype" w:hAnsi="Palatino Linotype"/>
          <w:i/>
          <w:color w:val="000000" w:themeColor="text1"/>
        </w:rPr>
        <w:t>son los mexicanos que mantienen una voluntad activa de colaboración y se inscriben voluntariamente en un registro del correspondiente ámbito territorial; para recibir información de actividades, reuniones y participación en programas.</w:t>
      </w:r>
    </w:p>
    <w:p w14:paraId="14050621" w14:textId="07F321DD" w:rsidR="001C450F" w:rsidRPr="00917C1B" w:rsidRDefault="00005389" w:rsidP="00430B4B">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Sin embargo, cabe precisar que </w:t>
      </w:r>
      <w:r w:rsidR="001C450F" w:rsidRPr="00917C1B">
        <w:rPr>
          <w:rFonts w:ascii="Palatino Linotype" w:hAnsi="Palatino Linotype"/>
          <w:color w:val="000000" w:themeColor="text1"/>
        </w:rPr>
        <w:t xml:space="preserve">de conformidad con </w:t>
      </w:r>
      <w:r w:rsidR="009C4EC3" w:rsidRPr="00917C1B">
        <w:rPr>
          <w:rFonts w:ascii="Palatino Linotype" w:hAnsi="Palatino Linotype"/>
          <w:color w:val="000000" w:themeColor="text1"/>
        </w:rPr>
        <w:t xml:space="preserve">el Capítulo II de </w:t>
      </w:r>
      <w:r w:rsidR="001C450F" w:rsidRPr="00917C1B">
        <w:rPr>
          <w:rFonts w:ascii="Palatino Linotype" w:hAnsi="Palatino Linotype"/>
          <w:color w:val="000000" w:themeColor="text1"/>
        </w:rPr>
        <w:t xml:space="preserve">los Lineamientos para la Verificación de los Padrones de Afiliados de los Partidos Políticos Naciones para la Conservación de su Registro y su Publicidad, así como para el Ejercicio de los Derechos de Acceso, Rectificación, Cancelación y Oposición de los Datos Personales en Posesión de Sujetos Obligados del Instituto Nacional Electoral, </w:t>
      </w:r>
      <w:r w:rsidR="00C73ABE" w:rsidRPr="00917C1B">
        <w:rPr>
          <w:rFonts w:ascii="Palatino Linotype" w:hAnsi="Palatino Linotype"/>
          <w:color w:val="000000" w:themeColor="text1"/>
        </w:rPr>
        <w:t xml:space="preserve">los afiliados (independientemente de la denominación de cada Partido) deberán cumplir con </w:t>
      </w:r>
      <w:r w:rsidR="009C4EC3" w:rsidRPr="00917C1B">
        <w:rPr>
          <w:rFonts w:ascii="Palatino Linotype" w:hAnsi="Palatino Linotype"/>
          <w:color w:val="000000" w:themeColor="text1"/>
        </w:rPr>
        <w:t>los requisitos siguientes:</w:t>
      </w:r>
    </w:p>
    <w:p w14:paraId="357E2A36" w14:textId="77777777" w:rsidR="009C4EC3" w:rsidRPr="00917C1B" w:rsidRDefault="009C4EC3" w:rsidP="009C4EC3">
      <w:pPr>
        <w:autoSpaceDE w:val="0"/>
        <w:autoSpaceDN w:val="0"/>
        <w:adjustRightInd w:val="0"/>
        <w:spacing w:after="120"/>
        <w:ind w:left="851" w:right="902"/>
        <w:jc w:val="both"/>
        <w:rPr>
          <w:rFonts w:ascii="Palatino Linotype" w:hAnsi="Palatino Linotype"/>
          <w:b/>
          <w:i/>
          <w:color w:val="000000" w:themeColor="text1"/>
          <w:sz w:val="20"/>
          <w:szCs w:val="20"/>
        </w:rPr>
      </w:pPr>
      <w:r w:rsidRPr="00917C1B">
        <w:rPr>
          <w:rFonts w:ascii="Palatino Linotype" w:hAnsi="Palatino Linotype"/>
          <w:b/>
          <w:i/>
          <w:color w:val="000000" w:themeColor="text1"/>
          <w:sz w:val="20"/>
          <w:szCs w:val="20"/>
        </w:rPr>
        <w:t xml:space="preserve">“Sexto </w:t>
      </w:r>
    </w:p>
    <w:p w14:paraId="067D191B" w14:textId="77777777" w:rsidR="009C4EC3" w:rsidRPr="00917C1B" w:rsidRDefault="009C4EC3" w:rsidP="009C4EC3">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Afiliados</w:t>
      </w:r>
      <w:r w:rsidRPr="00917C1B">
        <w:rPr>
          <w:rFonts w:ascii="Palatino Linotype" w:hAnsi="Palatino Linotype"/>
          <w:i/>
          <w:color w:val="000000" w:themeColor="text1"/>
          <w:sz w:val="20"/>
          <w:szCs w:val="20"/>
        </w:rPr>
        <w:t xml:space="preserve"> </w:t>
      </w:r>
    </w:p>
    <w:p w14:paraId="0668AF61" w14:textId="77777777" w:rsidR="009C4EC3" w:rsidRPr="00917C1B" w:rsidRDefault="009C4EC3" w:rsidP="009C4EC3">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1. Para los efectos de los presentes Lineamientos e independientemente de la manera en que se les denomine en los Estatutos de cada PPN, su actividad y grado de participación, los afiliados, ya sea varón o mujer, deberán cumplir con los requisitos siguientes: </w:t>
      </w:r>
    </w:p>
    <w:p w14:paraId="5A0E0721" w14:textId="77777777" w:rsidR="009C4EC3" w:rsidRPr="00917C1B" w:rsidRDefault="009C4EC3" w:rsidP="009C4EC3">
      <w:pPr>
        <w:autoSpaceDE w:val="0"/>
        <w:autoSpaceDN w:val="0"/>
        <w:adjustRightInd w:val="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a) Tener la calidad de mexicano (a);</w:t>
      </w:r>
    </w:p>
    <w:p w14:paraId="0176602F" w14:textId="77777777" w:rsidR="009C4EC3" w:rsidRPr="00917C1B" w:rsidRDefault="009C4EC3" w:rsidP="009C4EC3">
      <w:pPr>
        <w:autoSpaceDE w:val="0"/>
        <w:autoSpaceDN w:val="0"/>
        <w:adjustRightInd w:val="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b) Ser mayor de dieciocho años; </w:t>
      </w:r>
    </w:p>
    <w:p w14:paraId="78A63C4F" w14:textId="77777777" w:rsidR="009C4EC3" w:rsidRPr="00917C1B" w:rsidRDefault="009C4EC3" w:rsidP="009C4EC3">
      <w:pPr>
        <w:autoSpaceDE w:val="0"/>
        <w:autoSpaceDN w:val="0"/>
        <w:adjustRightInd w:val="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c) Tener un modo honesto de vivir; </w:t>
      </w:r>
    </w:p>
    <w:p w14:paraId="5C7F6197" w14:textId="77777777" w:rsidR="009C4EC3" w:rsidRPr="00917C1B" w:rsidRDefault="009C4EC3" w:rsidP="009C4EC3">
      <w:pPr>
        <w:autoSpaceDE w:val="0"/>
        <w:autoSpaceDN w:val="0"/>
        <w:adjustRightInd w:val="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d) Contar con credencial para votar; </w:t>
      </w:r>
    </w:p>
    <w:p w14:paraId="482272AB" w14:textId="77777777" w:rsidR="009C4EC3" w:rsidRPr="00917C1B" w:rsidRDefault="009C4EC3" w:rsidP="009C4EC3">
      <w:pPr>
        <w:autoSpaceDE w:val="0"/>
        <w:autoSpaceDN w:val="0"/>
        <w:adjustRightInd w:val="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e) Encontrarse inscrito en el padrón electoral federal; </w:t>
      </w:r>
    </w:p>
    <w:p w14:paraId="4C968EB4" w14:textId="77777777" w:rsidR="009C4EC3" w:rsidRPr="00917C1B" w:rsidRDefault="009C4EC3" w:rsidP="009C4EC3">
      <w:pPr>
        <w:autoSpaceDE w:val="0"/>
        <w:autoSpaceDN w:val="0"/>
        <w:adjustRightInd w:val="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f) Haber solicitado su afiliación libre, voluntaria e individual a algún PPN y cumplir con el procedimiento de afiliación establecido en sus Estatutos; y </w:t>
      </w:r>
    </w:p>
    <w:p w14:paraId="0A89F8E1" w14:textId="46ED706C" w:rsidR="009C4EC3" w:rsidRPr="00917C1B" w:rsidRDefault="009C4EC3" w:rsidP="009C4EC3">
      <w:pPr>
        <w:autoSpaceDE w:val="0"/>
        <w:autoSpaceDN w:val="0"/>
        <w:adjustRightInd w:val="0"/>
        <w:ind w:left="1134" w:right="902"/>
        <w:jc w:val="both"/>
        <w:rPr>
          <w:rFonts w:ascii="Palatino Linotype" w:hAnsi="Palatino Linotype"/>
          <w:i/>
          <w:color w:val="000000" w:themeColor="text1"/>
          <w:sz w:val="20"/>
          <w:szCs w:val="20"/>
          <w:u w:val="single"/>
        </w:rPr>
      </w:pPr>
      <w:r w:rsidRPr="00917C1B">
        <w:rPr>
          <w:rFonts w:ascii="Palatino Linotype" w:hAnsi="Palatino Linotype"/>
          <w:i/>
          <w:color w:val="000000" w:themeColor="text1"/>
          <w:sz w:val="20"/>
          <w:szCs w:val="20"/>
          <w:u w:val="single"/>
        </w:rPr>
        <w:t>g) Contar con derechos y obligaciones establecidos en la norma estatutaria.</w:t>
      </w:r>
    </w:p>
    <w:p w14:paraId="7E3A9011" w14:textId="4F4C3552" w:rsidR="009C4EC3" w:rsidRPr="00917C1B" w:rsidRDefault="009C4EC3" w:rsidP="009C4EC3">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2. Para los efectos de la constitución y conservación del registro legal de un PPN, </w:t>
      </w:r>
      <w:r w:rsidRPr="00917C1B">
        <w:rPr>
          <w:rFonts w:ascii="Palatino Linotype" w:hAnsi="Palatino Linotype"/>
          <w:i/>
          <w:color w:val="000000" w:themeColor="text1"/>
          <w:sz w:val="20"/>
          <w:szCs w:val="20"/>
          <w:u w:val="single"/>
        </w:rPr>
        <w:t>sólo serán considerados aquellos afiliados que cumplan con los requisitos establecidos en el párrafo anterior, sin menoscabo del derecho de asociación de los ciudadanos consagrado en el artículo 9° Constitucional</w:t>
      </w:r>
      <w:r w:rsidRPr="00917C1B">
        <w:rPr>
          <w:rFonts w:ascii="Palatino Linotype" w:hAnsi="Palatino Linotype"/>
          <w:i/>
          <w:color w:val="000000" w:themeColor="text1"/>
          <w:sz w:val="20"/>
          <w:szCs w:val="20"/>
        </w:rPr>
        <w:t>, ni de los derechos y obligaciones establecidos en la normatividad partidaria.</w:t>
      </w:r>
    </w:p>
    <w:p w14:paraId="77932D7F" w14:textId="5593258B" w:rsidR="00304A3A" w:rsidRPr="00917C1B" w:rsidRDefault="00005389" w:rsidP="00304A3A">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Luego entonces,</w:t>
      </w:r>
      <w:r w:rsidR="00304A3A" w:rsidRPr="00917C1B">
        <w:rPr>
          <w:rFonts w:ascii="Palatino Linotype" w:hAnsi="Palatino Linotype"/>
          <w:color w:val="000000" w:themeColor="text1"/>
        </w:rPr>
        <w:t xml:space="preserve"> es una prerrogativa individual, personal, intransferible, libre y pacífica de los gobernados participar en forma personal y voluntaria en el ejercicio de las actividades consagradas en el artículo 35 de la Constitución Política de los Estados Unidos Mexicanos</w:t>
      </w:r>
      <w:r w:rsidR="00304A3A" w:rsidRPr="00917C1B">
        <w:rPr>
          <w:rStyle w:val="Refdenotaalpie"/>
          <w:rFonts w:ascii="Palatino Linotype" w:hAnsi="Palatino Linotype"/>
          <w:color w:val="000000" w:themeColor="text1"/>
        </w:rPr>
        <w:footnoteReference w:id="4"/>
      </w:r>
      <w:r w:rsidR="00EE5C32" w:rsidRPr="00917C1B">
        <w:rPr>
          <w:rFonts w:ascii="Palatino Linotype" w:hAnsi="Palatino Linotype"/>
          <w:color w:val="000000" w:themeColor="text1"/>
        </w:rPr>
        <w:t xml:space="preserve"> que faculta al titular del derecho fundamental de afiliación político-electoral para </w:t>
      </w:r>
      <w:r w:rsidR="00EA7162" w:rsidRPr="00917C1B">
        <w:rPr>
          <w:rFonts w:ascii="Palatino Linotype" w:hAnsi="Palatino Linotype"/>
          <w:color w:val="000000" w:themeColor="text1"/>
        </w:rPr>
        <w:t>registrarse</w:t>
      </w:r>
      <w:r w:rsidR="00EE5C32" w:rsidRPr="00917C1B">
        <w:rPr>
          <w:rFonts w:ascii="Palatino Linotype" w:hAnsi="Palatino Linotype"/>
          <w:color w:val="000000" w:themeColor="text1"/>
        </w:rPr>
        <w:t xml:space="preserve"> o no a un determinado político, conservar o ratificar su afiliación o, incluso, desafiliarse. Derecho que no es absoluto, debido a que su ejercicio está sujeto a la condicionante consistente en que sólo los ciudadanos mexicanos podrán afiliarse, además de que deberán cumplirse las formas específicas</w:t>
      </w:r>
      <w:r w:rsidR="00D85F9E" w:rsidRPr="00917C1B">
        <w:rPr>
          <w:rStyle w:val="Refdenotaalpie"/>
          <w:rFonts w:ascii="Palatino Linotype" w:hAnsi="Palatino Linotype"/>
          <w:color w:val="000000" w:themeColor="text1"/>
        </w:rPr>
        <w:footnoteReference w:id="5"/>
      </w:r>
      <w:r w:rsidR="00EE5C32" w:rsidRPr="00917C1B">
        <w:rPr>
          <w:rFonts w:ascii="Palatino Linotype" w:hAnsi="Palatino Linotype"/>
          <w:color w:val="000000" w:themeColor="text1"/>
        </w:rPr>
        <w:t>, tales como las trascritas;</w:t>
      </w:r>
      <w:r w:rsidR="00304A3A" w:rsidRPr="00917C1B">
        <w:rPr>
          <w:rFonts w:ascii="Palatino Linotype" w:hAnsi="Palatino Linotype"/>
          <w:color w:val="000000" w:themeColor="text1"/>
        </w:rPr>
        <w:t xml:space="preserve"> entre los que se encuentran, contar con derechos y obligaciones establecidos en la norma estatutaria, caso contrario no serán considerados afiliados por el Instituto Nacional Electoral.</w:t>
      </w:r>
    </w:p>
    <w:p w14:paraId="5D994291" w14:textId="286E4FFB" w:rsidR="00304A3A" w:rsidRPr="00917C1B" w:rsidRDefault="00304A3A" w:rsidP="00304A3A">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En relación directa con lo anterior, los Estatutos del Partido Verde </w:t>
      </w:r>
      <w:r w:rsidR="0063118F" w:rsidRPr="00917C1B">
        <w:rPr>
          <w:rFonts w:ascii="Palatino Linotype" w:hAnsi="Palatino Linotype"/>
          <w:color w:val="000000" w:themeColor="text1"/>
        </w:rPr>
        <w:t>E</w:t>
      </w:r>
      <w:r w:rsidRPr="00917C1B">
        <w:rPr>
          <w:rFonts w:ascii="Palatino Linotype" w:hAnsi="Palatino Linotype"/>
          <w:color w:val="000000" w:themeColor="text1"/>
        </w:rPr>
        <w:t>cologista, establecen como de</w:t>
      </w:r>
      <w:r w:rsidR="00EE5C32" w:rsidRPr="00917C1B">
        <w:rPr>
          <w:rFonts w:ascii="Palatino Linotype" w:hAnsi="Palatino Linotype"/>
          <w:color w:val="000000" w:themeColor="text1"/>
        </w:rPr>
        <w:t>rechos y</w:t>
      </w:r>
      <w:r w:rsidRPr="00917C1B">
        <w:rPr>
          <w:rFonts w:ascii="Palatino Linotype" w:hAnsi="Palatino Linotype"/>
          <w:color w:val="000000" w:themeColor="text1"/>
        </w:rPr>
        <w:t xml:space="preserve"> obligaciones de los militantes, los siguientes:</w:t>
      </w:r>
    </w:p>
    <w:p w14:paraId="22651E16" w14:textId="36DAC49F" w:rsidR="00304A3A" w:rsidRPr="00917C1B" w:rsidRDefault="00304A3A" w:rsidP="00304A3A">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7.-</w:t>
      </w:r>
      <w:r w:rsidRPr="00917C1B">
        <w:rPr>
          <w:rFonts w:ascii="Palatino Linotype" w:hAnsi="Palatino Linotype"/>
          <w:i/>
          <w:color w:val="000000" w:themeColor="text1"/>
          <w:sz w:val="20"/>
          <w:szCs w:val="20"/>
        </w:rPr>
        <w:t xml:space="preserve"> Son derechos y obligaciones de los militantes del Partido Verde Ecologista de México, los consignados en las siguientes bases:</w:t>
      </w:r>
    </w:p>
    <w:p w14:paraId="768B3312" w14:textId="74F90AB7" w:rsidR="00304A3A" w:rsidRPr="00917C1B" w:rsidRDefault="00304A3A" w:rsidP="00304A3A">
      <w:pPr>
        <w:autoSpaceDE w:val="0"/>
        <w:autoSpaceDN w:val="0"/>
        <w:adjustRightInd w:val="0"/>
        <w:spacing w:after="12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Primera.- Serán derechos y prerrogativas de los militantes:</w:t>
      </w:r>
    </w:p>
    <w:p w14:paraId="08701D37"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 Poder ser electo delegado a la Asamblea Nacional y participar en la Asamblea Estatal, previo cumplimiento de las disposiciones legales y estatutarias; </w:t>
      </w:r>
    </w:p>
    <w:p w14:paraId="13ED2354"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II.- Poder ser electo como Consejero al Consejo Político Nacional, previo cumplimiento de las disposiciones legales y estatutarias; </w:t>
      </w:r>
    </w:p>
    <w:p w14:paraId="0A7EF398"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III.- Poder ser electo o designado para ocupar cargos en los órganos de dirección del Partido en sus diferentes niveles, previo cumplimiento de las disposiciones legales y estatutarias; </w:t>
      </w:r>
    </w:p>
    <w:p w14:paraId="7F997711"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IV.- Participar en la toma de decisiones del Partido, incorporándose a los organismos correspondientes por sí o representado por delegados, de conformidad a lo dispuesto en los presentes Estatutos; </w:t>
      </w:r>
    </w:p>
    <w:p w14:paraId="00AF6AEC"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 Poder participar en los procesos internos de selección de candidatos para ser postulado por el Partido Verde Ecologista de México a cargos de elección popular, previo cumplimiento de las disposiciones legales y estatutarias; </w:t>
      </w:r>
    </w:p>
    <w:p w14:paraId="3EDC727D"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VI.- Ejercer el derecho de audiencia ante las instancias correspondientes de dirección del Partido; </w:t>
      </w:r>
    </w:p>
    <w:p w14:paraId="4F93C46C"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VII.- Inconformarse ante las Comisiones de Honor y Justicia que correspondan, conforme a lo señalado por los presentes Estatutos; </w:t>
      </w:r>
    </w:p>
    <w:p w14:paraId="1146639D"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VIII.- Participar en acciones ecologistas, fijar sus propios programas y objetivos, acordes con los principios básicos del Partido y los presentes Estatutos; </w:t>
      </w:r>
    </w:p>
    <w:p w14:paraId="3E0C2B92"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IX.- Hacer uso de la libertad de expresión oral y escrita al interior del Partido sin más límites que el pleno respeto a sus integrantes y a la cohesión del mismo, de conformidad a los presentes Estatutos; y </w:t>
      </w:r>
    </w:p>
    <w:p w14:paraId="658FAB99"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X.- Acceder a la información inherente al Partido, sin más límite que lo que se establece en el presente Estatuto. </w:t>
      </w:r>
    </w:p>
    <w:p w14:paraId="14AF570D" w14:textId="77777777" w:rsidR="00304A3A" w:rsidRPr="00917C1B" w:rsidRDefault="00304A3A" w:rsidP="00304A3A">
      <w:pPr>
        <w:autoSpaceDE w:val="0"/>
        <w:autoSpaceDN w:val="0"/>
        <w:adjustRightInd w:val="0"/>
        <w:spacing w:after="12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Segunda.- Serán obligaciones y deberes de los militantes: </w:t>
      </w:r>
    </w:p>
    <w:p w14:paraId="2482AA0A"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 Conocer, cumplir, acatar y promover los Documentos Básicos del Partido; </w:t>
      </w:r>
    </w:p>
    <w:p w14:paraId="0401980B"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II.- Participar en la construcción de una nación democrática, libre, igualitaria, transparente y en el cambio, de actitudes en vías de un mejor orden político y social que incluya una sana relación con el medio ambiente y que privilegie el desarrollo sustentable; </w:t>
      </w:r>
    </w:p>
    <w:p w14:paraId="4D0BE938"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III.- Conservar y mantener vigente su constancia de militante del Partido Verde Ecologista de México; </w:t>
      </w:r>
    </w:p>
    <w:p w14:paraId="3C804FAA"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IV.- Colaborar en todas las comisiones generales o especiales, que expresamente se les encomiende por las instancias y órganos estatutarios; </w:t>
      </w:r>
    </w:p>
    <w:p w14:paraId="548CCC17"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 Respetar la estructura estatutaria del Partido, sus decisiones y Resoluciones; </w:t>
      </w:r>
    </w:p>
    <w:p w14:paraId="648FB669"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VI.- Apoyar en las campañas político electorales a los candidatos del Partido Verde Ecologista de México; </w:t>
      </w:r>
    </w:p>
    <w:p w14:paraId="0F89C6CF"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VII.- Votar en las elecciones constitucionales; </w:t>
      </w:r>
    </w:p>
    <w:p w14:paraId="1F4AE323"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VIII.- Abstenerse de realizar cualquier acto que vaya en detrimento del Partido Verde Ecologista de México, de los presentes Estatutos, Declaración de Principios y Programa de Acción, de sus órganos estatutarios, militantes, adherentes o simpatizantes; </w:t>
      </w:r>
    </w:p>
    <w:p w14:paraId="566EE5DD"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IX.- Cubrir sus cuotas puntualmente al Partido Verde Ecologista de México conforme al Capítulo de Afiliación de los presentes Estatutos; </w:t>
      </w:r>
    </w:p>
    <w:p w14:paraId="6632F139"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X.- Desarrollar un comportamiento ecologista ejemplar; </w:t>
      </w:r>
    </w:p>
    <w:p w14:paraId="4C5723BB"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XI.- Acudir sin excepción a la Comisión de Honor y Justicia correspondiente para dirimir demandas internas, en las cuales se otorguen las garantías de legalidad, audiencia y se respeten los procedimientos preestablecidos, sin menoscabo de posteriormente acudir ante las instancias constitucionales y legales; </w:t>
      </w:r>
    </w:p>
    <w:p w14:paraId="6E19A7AF" w14:textId="77777777" w:rsidR="00304A3A" w:rsidRPr="00917C1B" w:rsidRDefault="00304A3A" w:rsidP="00304A3A">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XII.- Cumplir a cabalidad con los presentes Estatutos para que le pueda ser reconocido en correspondencia sus derechos y prerrogativas; y </w:t>
      </w:r>
    </w:p>
    <w:p w14:paraId="73B0A340" w14:textId="77777777" w:rsidR="00EE5C32" w:rsidRPr="00917C1B" w:rsidRDefault="00304A3A" w:rsidP="00EE5C32">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XIII.- De conformidad con lo previsto por la fracción III, que antecede, todos los militantes deberán ratificar su militancia en el proceso que para tal efecto podrá convocar en todo el país el Consejo Político Nacional previo a la celebración de procedimientos internos, debiendo recibir una nueva credencial que acredite su calidad de militante. </w:t>
      </w:r>
    </w:p>
    <w:p w14:paraId="111D1102" w14:textId="75983A76" w:rsidR="00304A3A" w:rsidRPr="00917C1B" w:rsidRDefault="00304A3A" w:rsidP="00EE5C32">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Los militantes del Partido Verde Ecologista de México tienen como, responsabilidad el actuar en nombre del Partido para defender pacíficamente los derechos ciudadanos y el medio ambiente.</w:t>
      </w:r>
      <w:r w:rsidR="00EE5C32" w:rsidRPr="00917C1B">
        <w:rPr>
          <w:rFonts w:ascii="Palatino Linotype" w:hAnsi="Palatino Linotype"/>
          <w:i/>
          <w:color w:val="000000" w:themeColor="text1"/>
          <w:sz w:val="20"/>
          <w:szCs w:val="20"/>
        </w:rPr>
        <w:t>”</w:t>
      </w:r>
    </w:p>
    <w:p w14:paraId="43813760" w14:textId="72632BE2" w:rsidR="00D87264" w:rsidRPr="00917C1B" w:rsidRDefault="00D87264" w:rsidP="00D87264">
      <w:pPr>
        <w:autoSpaceDE w:val="0"/>
        <w:autoSpaceDN w:val="0"/>
        <w:adjustRightInd w:val="0"/>
        <w:spacing w:before="240" w:after="240" w:line="360" w:lineRule="auto"/>
        <w:jc w:val="both"/>
        <w:rPr>
          <w:rFonts w:ascii="Palatino Linotype" w:hAnsi="Palatino Linotype"/>
          <w:b/>
          <w:color w:val="000000" w:themeColor="text1"/>
        </w:rPr>
      </w:pPr>
      <w:r w:rsidRPr="00917C1B">
        <w:rPr>
          <w:rFonts w:ascii="Palatino Linotype" w:hAnsi="Palatino Linotype"/>
          <w:color w:val="000000" w:themeColor="text1"/>
        </w:rPr>
        <w:t xml:space="preserve">Del artículo citado, se desprende que los militantes tienen derechos, </w:t>
      </w:r>
      <w:r w:rsidR="00856A62" w:rsidRPr="00917C1B">
        <w:rPr>
          <w:rFonts w:ascii="Palatino Linotype" w:hAnsi="Palatino Linotype"/>
          <w:color w:val="000000" w:themeColor="text1"/>
        </w:rPr>
        <w:t>prerrogativas</w:t>
      </w:r>
      <w:r w:rsidRPr="00917C1B">
        <w:rPr>
          <w:rFonts w:ascii="Palatino Linotype" w:hAnsi="Palatino Linotype"/>
          <w:color w:val="000000" w:themeColor="text1"/>
        </w:rPr>
        <w:t>, obligaciones y deberes cumplir</w:t>
      </w:r>
      <w:r w:rsidR="00897A56" w:rsidRPr="00917C1B">
        <w:rPr>
          <w:rFonts w:ascii="Palatino Linotype" w:hAnsi="Palatino Linotype"/>
          <w:color w:val="000000" w:themeColor="text1"/>
        </w:rPr>
        <w:t>, lo que les da la calidad de afiliados para efectos del Instituto Nacional Electoral.</w:t>
      </w:r>
    </w:p>
    <w:p w14:paraId="3152D57C" w14:textId="4F3638B0" w:rsidR="00D87264" w:rsidRPr="00917C1B" w:rsidRDefault="00D87264" w:rsidP="00D87264">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En lo que respecta al padrón de militantes o afiliados</w:t>
      </w:r>
      <w:r w:rsidRPr="00917C1B">
        <w:rPr>
          <w:rStyle w:val="Refdenotaalpie"/>
          <w:rFonts w:ascii="Palatino Linotype" w:hAnsi="Palatino Linotype"/>
          <w:color w:val="000000" w:themeColor="text1"/>
        </w:rPr>
        <w:footnoteReference w:id="6"/>
      </w:r>
      <w:r w:rsidRPr="00917C1B">
        <w:rPr>
          <w:rFonts w:ascii="Palatino Linotype" w:hAnsi="Palatino Linotype"/>
          <w:color w:val="000000" w:themeColor="text1"/>
        </w:rPr>
        <w:t>, se trata de información que los partidos políticos están obligados a publicar de conformidad con los LINEAMIENTOS PARA LA VERIFICACIÓN DE LOS PADRONES DE AFILIADOS DE LOS PARTIDOS POLÍTICOS NACIONALES PARA LA CONSERVACIÓN DE SU REGISTRO Y SU PUBLICIDAD, ASÍ COMO PARA EL EJERCICIO DE LOS DERECHOS DE ACCESO, RECTIFICACIÓN, CANCELACIÓN Y OPOSICIÓN DE LOS DATOS PERSONALES EN POSESIÓN DEL INSTITUTO NACIONAL ELECTORAL, según se puede leer enseguida:</w:t>
      </w:r>
    </w:p>
    <w:p w14:paraId="51D4C53F" w14:textId="77777777" w:rsidR="00D87264" w:rsidRPr="00917C1B" w:rsidRDefault="00D87264" w:rsidP="00D87264">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“Quinto</w:t>
      </w:r>
      <w:r w:rsidRPr="00917C1B">
        <w:rPr>
          <w:rFonts w:ascii="Palatino Linotype" w:hAnsi="Palatino Linotype"/>
          <w:i/>
          <w:color w:val="000000" w:themeColor="text1"/>
          <w:sz w:val="20"/>
          <w:szCs w:val="20"/>
        </w:rPr>
        <w:t xml:space="preserve"> </w:t>
      </w:r>
    </w:p>
    <w:p w14:paraId="6A9FDB80" w14:textId="77777777" w:rsidR="00D87264" w:rsidRPr="00917C1B" w:rsidRDefault="00D87264" w:rsidP="00D87264">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De las Obligaciones</w:t>
      </w:r>
    </w:p>
    <w:p w14:paraId="11B4A0A2" w14:textId="77777777" w:rsidR="00D87264" w:rsidRPr="00917C1B" w:rsidRDefault="00D87264" w:rsidP="00D87264">
      <w:pPr>
        <w:autoSpaceDE w:val="0"/>
        <w:autoSpaceDN w:val="0"/>
        <w:adjustRightInd w:val="0"/>
        <w:spacing w:after="12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w:t>
      </w:r>
    </w:p>
    <w:p w14:paraId="5983263D" w14:textId="77777777" w:rsidR="00D87264" w:rsidRPr="00917C1B" w:rsidRDefault="00D87264" w:rsidP="00D87264">
      <w:pPr>
        <w:autoSpaceDE w:val="0"/>
        <w:autoSpaceDN w:val="0"/>
        <w:adjustRightInd w:val="0"/>
        <w:spacing w:after="120"/>
        <w:ind w:left="1134"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2. Los PPN tendrán las obligaciones siguientes:</w:t>
      </w:r>
    </w:p>
    <w:p w14:paraId="175EE5A1" w14:textId="77777777" w:rsidR="00D87264" w:rsidRPr="00917C1B" w:rsidRDefault="00D87264" w:rsidP="00D87264">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w:t>
      </w:r>
    </w:p>
    <w:p w14:paraId="2E9C0172" w14:textId="77777777" w:rsidR="00D87264" w:rsidRPr="00917C1B" w:rsidRDefault="00D87264" w:rsidP="00D87264">
      <w:pPr>
        <w:autoSpaceDE w:val="0"/>
        <w:autoSpaceDN w:val="0"/>
        <w:adjustRightInd w:val="0"/>
        <w:spacing w:after="120"/>
        <w:ind w:left="1418" w:right="902"/>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d) Actualizar su padrón de afiliados en su página de internet al menos, de manera trimestral de acuerdo a las obligaciones de los PPN en materia de transparencia;…”</w:t>
      </w:r>
    </w:p>
    <w:p w14:paraId="31F02F7B" w14:textId="77777777" w:rsidR="00D87264" w:rsidRPr="00917C1B" w:rsidRDefault="00D87264" w:rsidP="00D87264">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De la disposición citada, se desprende que los partidos políticos nacionales, deberán actualizar su padrón de afiliados, en este caso de militantes por lo menos cada tres meses, que contenga el nombre, fecha de afiliación y entidad. Sirve de sustento la Jurisprudencia 4/2009/ del Tribunal Electoral del Poder Judicial de la Federación, que reza así:</w:t>
      </w:r>
    </w:p>
    <w:p w14:paraId="665A5CF2" w14:textId="77777777" w:rsidR="00D87264" w:rsidRPr="00917C1B" w:rsidRDefault="00D87264" w:rsidP="00D87264">
      <w:pPr>
        <w:autoSpaceDE w:val="0"/>
        <w:autoSpaceDN w:val="0"/>
        <w:adjustRightInd w:val="0"/>
        <w:spacing w:after="120"/>
        <w:ind w:left="851" w:right="902"/>
        <w:jc w:val="both"/>
        <w:rPr>
          <w:rFonts w:ascii="Palatino Linotype" w:hAnsi="Palatino Linotype"/>
          <w:i/>
          <w:color w:val="000000" w:themeColor="text1"/>
          <w:sz w:val="20"/>
          <w:szCs w:val="20"/>
        </w:rPr>
      </w:pPr>
      <w:bookmarkStart w:id="2" w:name="TEXTO_04/2009"/>
      <w:r w:rsidRPr="00917C1B">
        <w:rPr>
          <w:rFonts w:ascii="Palatino Linotype" w:hAnsi="Palatino Linotype"/>
          <w:b/>
          <w:bCs/>
          <w:i/>
          <w:color w:val="000000" w:themeColor="text1"/>
          <w:sz w:val="20"/>
          <w:szCs w:val="20"/>
        </w:rPr>
        <w:t>“</w:t>
      </w:r>
      <w:hyperlink r:id="rId18" w:anchor="04/2009" w:history="1">
        <w:r w:rsidRPr="00917C1B">
          <w:rPr>
            <w:rStyle w:val="Hipervnculo"/>
            <w:rFonts w:ascii="Palatino Linotype" w:hAnsi="Palatino Linotype" w:cs="Arial"/>
            <w:b/>
            <w:bCs/>
            <w:i/>
            <w:color w:val="000000" w:themeColor="text1"/>
            <w:sz w:val="20"/>
            <w:szCs w:val="20"/>
            <w:u w:val="none"/>
          </w:rPr>
          <w:t>INFORMACIÓN PÚBLICA. SE CONSIDERA COMO TAL LA CONCERNIENTE AL NOMBRE PROPIO RELACIONADO CON LA ENTIDAD FEDERATIVA O MUNICIPIO DE LOS MIEMBROS DE UN PARTIDO POLÍTICO.—</w:t>
        </w:r>
      </w:hyperlink>
      <w:bookmarkEnd w:id="2"/>
      <w:r w:rsidRPr="00917C1B">
        <w:rPr>
          <w:rFonts w:ascii="Palatino Linotype" w:hAnsi="Palatino Linotype" w:cs="Arial"/>
          <w:i/>
          <w:color w:val="000000" w:themeColor="text1"/>
          <w:sz w:val="20"/>
          <w:szCs w:val="20"/>
        </w:rPr>
        <w:t>De la interpretación sistemática de los artículos 6º, fracción I, de la Constitución Política de los Estados Unidos Mexicanos; 3º, fracciones II y VI, 18 y 19 de la Ley Federal de Transparencia y Acceso a la Información Pública Gubernamental, así como 41 al 44 del Código Federal de Instituciones y Procedimientos Electorales, realizada acorde con el principio de máxima publicidad, se desprende que es información pública la que los partidos políticos proporcionen al Instituto Federal Electoral o que éste genere respecto de aquéllos, con excepción de la confidencial, esto es, aquella que contiene datos de las personas que conciernan a su vida íntima o privada, o que generen su identificación por parte de terceros, como sería el domicilio. Así, la información del padrón de afiliados y militantes de los institutos políticos, en tanto contenga sólo el nombre de aquéllos y la entidad federativa o municipio al que pertenecen, se considera de carácter público,</w:t>
      </w:r>
      <w:r w:rsidRPr="00917C1B">
        <w:rPr>
          <w:rFonts w:ascii="Palatino Linotype" w:hAnsi="Palatino Linotype" w:cs="Arial"/>
          <w:b/>
          <w:bCs/>
          <w:i/>
          <w:color w:val="000000" w:themeColor="text1"/>
          <w:sz w:val="20"/>
          <w:szCs w:val="20"/>
        </w:rPr>
        <w:t> </w:t>
      </w:r>
      <w:r w:rsidRPr="00917C1B">
        <w:rPr>
          <w:rFonts w:ascii="Palatino Linotype" w:hAnsi="Palatino Linotype" w:cs="Arial"/>
          <w:i/>
          <w:color w:val="000000" w:themeColor="text1"/>
          <w:sz w:val="20"/>
          <w:szCs w:val="20"/>
        </w:rPr>
        <w:t>porque aun cuando el nombre de una persona es un referente que lo identifica ante los demás, su difusión de manera aislada, como miembro de un partido político, no revela algún aspecto de su vida íntima o privada, ni siquiera asociado con la entidad federativa o municipio al que pertenece, ya que estos últimos datos son uno de los elementos que componen el concepto domicilio, el cual se integra también con el número, calle, colonia, municipio o delegación, ciudad y código postal, además que, por su generalidad no constituyen datos que revelen de manera fehaciente la identificación de una persona.”</w:t>
      </w:r>
    </w:p>
    <w:p w14:paraId="33AC92E5" w14:textId="77777777" w:rsidR="00D87264" w:rsidRPr="00917C1B" w:rsidRDefault="00D87264" w:rsidP="00D87264">
      <w:pPr>
        <w:autoSpaceDE w:val="0"/>
        <w:autoSpaceDN w:val="0"/>
        <w:adjustRightInd w:val="0"/>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Bajo esa tesitura, es menester precisar que el </w:t>
      </w:r>
      <w:r w:rsidRPr="00917C1B">
        <w:rPr>
          <w:rFonts w:ascii="Palatino Linotype" w:hAnsi="Palatino Linotype"/>
          <w:b/>
          <w:color w:val="000000" w:themeColor="text1"/>
        </w:rPr>
        <w:t xml:space="preserve">Sujeto Obligado </w:t>
      </w:r>
      <w:r w:rsidRPr="00917C1B">
        <w:rPr>
          <w:rFonts w:ascii="Palatino Linotype" w:hAnsi="Palatino Linotype"/>
          <w:color w:val="000000" w:themeColor="text1"/>
        </w:rPr>
        <w:t xml:space="preserve">informó al particular que la información solicitada se encontraba disponible para su consulta en el </w:t>
      </w:r>
      <w:r w:rsidRPr="00917C1B">
        <w:rPr>
          <w:rFonts w:ascii="Palatino Linotype" w:hAnsi="Palatino Linotype"/>
          <w:i/>
          <w:color w:val="000000" w:themeColor="text1"/>
        </w:rPr>
        <w:t xml:space="preserve">link </w:t>
      </w:r>
      <w:hyperlink r:id="rId19" w:history="1">
        <w:r w:rsidRPr="00917C1B">
          <w:rPr>
            <w:rStyle w:val="Hipervnculo"/>
            <w:rFonts w:ascii="Palatino Linotype" w:hAnsi="Palatino Linotype"/>
            <w:color w:val="000000" w:themeColor="text1"/>
          </w:rPr>
          <w:t>http://afiliados.pvem-email.org.mx/</w:t>
        </w:r>
      </w:hyperlink>
      <w:r w:rsidRPr="00917C1B">
        <w:rPr>
          <w:rFonts w:ascii="Palatino Linotype" w:hAnsi="Palatino Linotype"/>
          <w:i/>
          <w:color w:val="000000" w:themeColor="text1"/>
        </w:rPr>
        <w:t xml:space="preserve">. </w:t>
      </w:r>
      <w:r w:rsidRPr="00917C1B">
        <w:rPr>
          <w:rFonts w:ascii="Palatino Linotype" w:hAnsi="Palatino Linotype"/>
          <w:color w:val="000000" w:themeColor="text1"/>
        </w:rPr>
        <w:t>En ese sentido, esta Ponencia consulto el vínculo electrónico proporcionado, donde se obtuvo lo siguiente:</w:t>
      </w:r>
    </w:p>
    <w:p w14:paraId="7E8C3301" w14:textId="5070F104" w:rsidR="00D87264" w:rsidRPr="00917C1B" w:rsidRDefault="008111E2" w:rsidP="00D87264">
      <w:pPr>
        <w:autoSpaceDE w:val="0"/>
        <w:autoSpaceDN w:val="0"/>
        <w:adjustRightInd w:val="0"/>
        <w:spacing w:before="240" w:after="240" w:line="360" w:lineRule="auto"/>
        <w:jc w:val="center"/>
        <w:rPr>
          <w:rFonts w:ascii="Palatino Linotype" w:hAnsi="Palatino Linotype"/>
          <w:color w:val="000000" w:themeColor="text1"/>
        </w:rPr>
      </w:pPr>
      <w:r w:rsidRPr="00917C1B">
        <w:rPr>
          <w:rFonts w:ascii="Palatino Linotype" w:hAnsi="Palatino Linotype"/>
          <w:noProof/>
          <w:color w:val="000000" w:themeColor="text1"/>
          <w:lang w:val="es-MX" w:eastAsia="es-MX"/>
        </w:rPr>
        <w:drawing>
          <wp:inline distT="0" distB="0" distL="0" distR="0" wp14:anchorId="17DB07B6" wp14:editId="4006CA7A">
            <wp:extent cx="4152900" cy="28422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2061" cy="2848530"/>
                    </a:xfrm>
                    <a:prstGeom prst="rect">
                      <a:avLst/>
                    </a:prstGeom>
                  </pic:spPr>
                </pic:pic>
              </a:graphicData>
            </a:graphic>
          </wp:inline>
        </w:drawing>
      </w:r>
    </w:p>
    <w:p w14:paraId="14E6EF28" w14:textId="37FD139A" w:rsidR="00D87264" w:rsidRPr="00917C1B" w:rsidRDefault="00D87264" w:rsidP="008111E2">
      <w:pPr>
        <w:spacing w:before="240" w:after="240" w:line="360" w:lineRule="auto"/>
        <w:ind w:right="49"/>
        <w:jc w:val="both"/>
        <w:rPr>
          <w:rFonts w:ascii="Palatino Linotype" w:hAnsi="Palatino Linotype"/>
          <w:color w:val="000000" w:themeColor="text1"/>
        </w:rPr>
      </w:pPr>
      <w:r w:rsidRPr="00917C1B">
        <w:rPr>
          <w:rFonts w:ascii="Palatino Linotype" w:hAnsi="Palatino Linotype"/>
          <w:color w:val="000000" w:themeColor="text1"/>
        </w:rPr>
        <w:t xml:space="preserve">Al respecto, se advierte que la liga electrónica proporcionada por el </w:t>
      </w:r>
      <w:r w:rsidRPr="00917C1B">
        <w:rPr>
          <w:rFonts w:ascii="Palatino Linotype" w:hAnsi="Palatino Linotype"/>
          <w:b/>
          <w:color w:val="000000" w:themeColor="text1"/>
        </w:rPr>
        <w:t xml:space="preserve">Sujeto Obligado </w:t>
      </w:r>
      <w:r w:rsidRPr="00917C1B">
        <w:rPr>
          <w:rFonts w:ascii="Palatino Linotype" w:hAnsi="Palatino Linotype"/>
          <w:color w:val="000000" w:themeColor="text1"/>
        </w:rPr>
        <w:t>accede a una página que se intitula “Buscador de Afiliados del Partido Verde Ecologista de México”, tal como lo</w:t>
      </w:r>
      <w:r w:rsidR="008111E2" w:rsidRPr="00917C1B">
        <w:rPr>
          <w:rFonts w:ascii="Palatino Linotype" w:hAnsi="Palatino Linotype"/>
          <w:color w:val="000000" w:themeColor="text1"/>
        </w:rPr>
        <w:t xml:space="preserve"> argumentó el particular, sin embargo, tras indicar el Municipio del que se solicitó la información, se obtiene el nombre, entidad, municipio y distrito de los afiliados</w:t>
      </w:r>
      <w:r w:rsidRPr="00917C1B">
        <w:rPr>
          <w:rFonts w:ascii="Palatino Linotype" w:hAnsi="Palatino Linotype"/>
          <w:color w:val="000000" w:themeColor="text1"/>
        </w:rPr>
        <w:t>, según se corrobora en la siguiente captura de pantalla:</w:t>
      </w:r>
    </w:p>
    <w:p w14:paraId="7A718527" w14:textId="77777777" w:rsidR="00D87264" w:rsidRPr="00917C1B" w:rsidRDefault="00D87264" w:rsidP="00D87264">
      <w:pPr>
        <w:autoSpaceDE w:val="0"/>
        <w:autoSpaceDN w:val="0"/>
        <w:adjustRightInd w:val="0"/>
        <w:spacing w:before="240" w:after="240" w:line="360" w:lineRule="auto"/>
        <w:jc w:val="center"/>
        <w:rPr>
          <w:rFonts w:ascii="Palatino Linotype" w:hAnsi="Palatino Linotype"/>
          <w:color w:val="000000" w:themeColor="text1"/>
        </w:rPr>
      </w:pPr>
      <w:r w:rsidRPr="00917C1B">
        <w:rPr>
          <w:rFonts w:ascii="Palatino Linotype" w:hAnsi="Palatino Linotype"/>
          <w:noProof/>
          <w:color w:val="000000" w:themeColor="text1"/>
          <w:lang w:val="es-MX" w:eastAsia="es-MX"/>
        </w:rPr>
        <w:drawing>
          <wp:inline distT="0" distB="0" distL="0" distR="0" wp14:anchorId="60583610" wp14:editId="331EE080">
            <wp:extent cx="3196590" cy="890473"/>
            <wp:effectExtent l="0" t="0" r="381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2184" cy="892031"/>
                    </a:xfrm>
                    <a:prstGeom prst="rect">
                      <a:avLst/>
                    </a:prstGeom>
                  </pic:spPr>
                </pic:pic>
              </a:graphicData>
            </a:graphic>
          </wp:inline>
        </w:drawing>
      </w:r>
    </w:p>
    <w:p w14:paraId="700E2F23" w14:textId="46461628" w:rsidR="00D87264" w:rsidRPr="00917C1B" w:rsidRDefault="008111E2" w:rsidP="00D87264">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P</w:t>
      </w:r>
      <w:r w:rsidR="00D87264" w:rsidRPr="00917C1B">
        <w:rPr>
          <w:rFonts w:ascii="Palatino Linotype" w:hAnsi="Palatino Linotype"/>
          <w:color w:val="000000" w:themeColor="text1"/>
        </w:rPr>
        <w:t>or ende, el motivo de inconformidad en lo relativo al padrón de militantes</w:t>
      </w:r>
      <w:r w:rsidR="00D87264" w:rsidRPr="00917C1B">
        <w:rPr>
          <w:rStyle w:val="Refdenotaalpie"/>
          <w:rFonts w:ascii="Palatino Linotype" w:hAnsi="Palatino Linotype"/>
          <w:color w:val="000000" w:themeColor="text1"/>
        </w:rPr>
        <w:footnoteReference w:id="7"/>
      </w:r>
      <w:r w:rsidR="00D87264" w:rsidRPr="00917C1B">
        <w:rPr>
          <w:rFonts w:ascii="Palatino Linotype" w:hAnsi="Palatino Linotype"/>
          <w:color w:val="000000" w:themeColor="text1"/>
        </w:rPr>
        <w:t xml:space="preserve"> deviene infundado, toda vez que si bien </w:t>
      </w:r>
      <w:r w:rsidR="00686076" w:rsidRPr="00917C1B">
        <w:rPr>
          <w:rFonts w:ascii="Palatino Linotype" w:hAnsi="Palatino Linotype"/>
          <w:color w:val="000000" w:themeColor="text1"/>
        </w:rPr>
        <w:t xml:space="preserve">el documento </w:t>
      </w:r>
      <w:r w:rsidR="00D87264" w:rsidRPr="00917C1B">
        <w:rPr>
          <w:rFonts w:ascii="Palatino Linotype" w:hAnsi="Palatino Linotype"/>
          <w:color w:val="000000" w:themeColor="text1"/>
        </w:rPr>
        <w:t xml:space="preserve">no indica a que padrón se refiere, </w:t>
      </w:r>
      <w:r w:rsidR="00686076" w:rsidRPr="00917C1B">
        <w:rPr>
          <w:rFonts w:ascii="Palatino Linotype" w:hAnsi="Palatino Linotype"/>
          <w:color w:val="000000" w:themeColor="text1"/>
        </w:rPr>
        <w:t xml:space="preserve">al consultar la liga electrónica señalada en respuesta se obtiene que hace referencia al padrón de afiliados o militantes, por lo que no resulta procedente ordenar su entrega. </w:t>
      </w:r>
    </w:p>
    <w:p w14:paraId="362DFF68" w14:textId="77777777" w:rsidR="008D6D78" w:rsidRPr="00917C1B" w:rsidRDefault="008D6D78" w:rsidP="008D6D78">
      <w:pPr>
        <w:autoSpaceDE w:val="0"/>
        <w:autoSpaceDN w:val="0"/>
        <w:adjustRightInd w:val="0"/>
        <w:spacing w:before="240" w:after="240" w:line="360" w:lineRule="auto"/>
        <w:ind w:right="-91"/>
        <w:jc w:val="both"/>
        <w:rPr>
          <w:rFonts w:ascii="Palatino Linotype" w:hAnsi="Palatino Linotype"/>
          <w:color w:val="000000" w:themeColor="text1"/>
        </w:rPr>
      </w:pPr>
      <w:r w:rsidRPr="00917C1B">
        <w:rPr>
          <w:rFonts w:ascii="Palatino Linotype" w:hAnsi="Palatino Linotype"/>
          <w:color w:val="000000" w:themeColor="text1"/>
        </w:rPr>
        <w:t>Máxime, que la propia Ley de Transparencia y Acceso a la Información Pública del Estado de México y Municipios, dispone en su artículo 100 fracción I, que los partidos políticos nacionales acreditados para participar en elecciones locales y los partidos locales, deberán poner a disposición del público el padrón de afiliados o militantes de los partidos políticos estatales, que contendrá exclusivamente: apellidos, nombre o nombres, fechas de afiliación y entidad de residencia; en relación directa con ello,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 siguiente:</w:t>
      </w:r>
    </w:p>
    <w:p w14:paraId="1DABFADF" w14:textId="77777777" w:rsidR="008D6D78" w:rsidRPr="00917C1B" w:rsidRDefault="008D6D78" w:rsidP="008D6D78">
      <w:pPr>
        <w:autoSpaceDE w:val="0"/>
        <w:autoSpaceDN w:val="0"/>
        <w:adjustRightInd w:val="0"/>
        <w:spacing w:after="120"/>
        <w:ind w:left="851" w:right="902"/>
        <w:jc w:val="both"/>
        <w:rPr>
          <w:rFonts w:ascii="Palatino Linotype" w:hAnsi="Palatino Linotype"/>
          <w:color w:val="000000" w:themeColor="text1"/>
        </w:rPr>
      </w:pPr>
      <w:r w:rsidRPr="00917C1B">
        <w:rPr>
          <w:rFonts w:ascii="Arial" w:hAnsi="Arial" w:cs="Arial"/>
          <w:b/>
          <w:bCs/>
          <w:i/>
          <w:iCs/>
          <w:caps/>
          <w:color w:val="000000" w:themeColor="text1"/>
          <w:sz w:val="18"/>
          <w:szCs w:val="18"/>
        </w:rPr>
        <w:t>“I</w:t>
      </w:r>
      <w:r w:rsidRPr="00917C1B">
        <w:rPr>
          <w:rFonts w:ascii="Palatino Linotype" w:hAnsi="Palatino Linotype" w:cs="Arial"/>
          <w:b/>
          <w:bCs/>
          <w:i/>
          <w:iCs/>
          <w:caps/>
          <w:color w:val="000000" w:themeColor="text1"/>
          <w:sz w:val="20"/>
          <w:szCs w:val="20"/>
        </w:rPr>
        <w:t>.</w:t>
      </w:r>
      <w:r w:rsidRPr="00917C1B">
        <w:rPr>
          <w:rFonts w:ascii="Palatino Linotype" w:hAnsi="Palatino Linotype" w:cs="Arial"/>
          <w:i/>
          <w:caps/>
          <w:color w:val="000000" w:themeColor="text1"/>
          <w:sz w:val="20"/>
          <w:szCs w:val="20"/>
        </w:rPr>
        <w:t xml:space="preserve"> </w:t>
      </w:r>
      <w:r w:rsidRPr="00917C1B">
        <w:rPr>
          <w:rFonts w:ascii="Palatino Linotype" w:hAnsi="Palatino Linotype" w:cs="Arial"/>
          <w:b/>
          <w:bCs/>
          <w:i/>
          <w:iCs/>
          <w:caps/>
          <w:color w:val="000000" w:themeColor="text1"/>
          <w:sz w:val="20"/>
          <w:szCs w:val="20"/>
        </w:rPr>
        <w:t>EL PADRÓN DE AFILIADOS O MILITANTES DE LOS PARTIDOS POLÍTICOS, QUE CONTENDRÁ, EXCLUSIVAMENTE: APELLIDOS, NOMBRE O NOMBRES, FECHA DE AFILIACIÓN Y ENTIDAD DE RESIDENCIA</w:t>
      </w:r>
    </w:p>
    <w:p w14:paraId="69C3F86D" w14:textId="77777777" w:rsidR="008D6D78" w:rsidRPr="00917C1B" w:rsidRDefault="008D6D78" w:rsidP="008D6D78">
      <w:pPr>
        <w:shd w:val="clear" w:color="auto" w:fill="FFFFFF"/>
        <w:spacing w:after="120"/>
        <w:ind w:left="851" w:right="902"/>
        <w:jc w:val="both"/>
        <w:rPr>
          <w:rFonts w:ascii="Palatino Linotype" w:hAnsi="Palatino Linotype"/>
          <w:i/>
          <w:color w:val="000000" w:themeColor="text1"/>
          <w:sz w:val="20"/>
          <w:szCs w:val="20"/>
        </w:rPr>
      </w:pPr>
      <w:r w:rsidRPr="00917C1B">
        <w:rPr>
          <w:rFonts w:ascii="Palatino Linotype" w:hAnsi="Palatino Linotype" w:cs="Arial"/>
          <w:i/>
          <w:color w:val="000000" w:themeColor="text1"/>
          <w:sz w:val="20"/>
          <w:szCs w:val="20"/>
        </w:rPr>
        <w:t>La difusión del padrón de militantes en formato de datos abiertos permitirá a cualquier interesado realizar búsquedas para, por ejemplo, revisar el cumplimiento de requisitos de elegibilidad para ocupar cargos públicos en los casos en que los interesados no puedan tener una militancia partidista por un tiempo mínimo anterior.</w:t>
      </w:r>
    </w:p>
    <w:p w14:paraId="1E1E6F60" w14:textId="77777777" w:rsidR="008D6D78" w:rsidRPr="00917C1B" w:rsidRDefault="008D6D78" w:rsidP="008D6D78">
      <w:pPr>
        <w:shd w:val="clear" w:color="auto" w:fill="FFFFFF"/>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A mayor regularidad en la actualización del padrón habrá más elementos de transparencia en el funcionamiento interno de los partidos, así como en su toma de decisiones al celebrarse asambleas o realizar consultas a la militancia. Algunos procedimientos internos de los cuales la actualización de su padrón de afiliados es un requisito, tal como la elección de sus dirigencias, podrán ser solicitados por cualquier partido político para que le sean autorizados por la autoridad electoral correspondiente, de acuerdo con el inciso ff) del apartado 1 del artículo 44 de la Ley General de Instituciones y Procedimientos Electorales.</w:t>
      </w:r>
    </w:p>
    <w:p w14:paraId="10A3806F" w14:textId="77777777" w:rsidR="008D6D78" w:rsidRPr="00917C1B" w:rsidRDefault="008D6D78" w:rsidP="008D6D78">
      <w:pPr>
        <w:shd w:val="clear" w:color="auto" w:fill="FFFFFF"/>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En el apartado 2 del artículo 10 de la Ley General de Partidos Políticos se señala que para obtener el registro como partido político nacional debe contarse con tres mil militantes en cuando menos 20 entidades federativas o bien tener trescientos militantes en doscientos distritos electorales; este número de militantes nunca podrá ser inferior al 0.26% del padrón electoral que haya sido utilizado en la elección federal ordinaria inmediata anterior. En el caso de los partidos políticos locales, lo que se requiere es contar con una militancia de al menos dos terceras partes de los municipios o demarcaciones territoriales de la entidad, y nunca tener menos militantes que el 0.26% del padrón electoral utilizado en la elección estatal ordinaria inmediata anterior.</w:t>
      </w:r>
    </w:p>
    <w:p w14:paraId="6B82CB88" w14:textId="77777777" w:rsidR="008D6D78" w:rsidRPr="00917C1B" w:rsidRDefault="008D6D78" w:rsidP="008D6D78">
      <w:pPr>
        <w:shd w:val="clear" w:color="auto" w:fill="FFFFFF"/>
        <w:ind w:left="851" w:right="902"/>
        <w:jc w:val="both"/>
        <w:rPr>
          <w:rFonts w:ascii="Palatino Linotype" w:hAnsi="Palatino Linotype"/>
          <w:i/>
          <w:color w:val="000000" w:themeColor="text1"/>
          <w:sz w:val="20"/>
          <w:szCs w:val="20"/>
        </w:rPr>
      </w:pPr>
      <w:r w:rsidRPr="00917C1B">
        <w:rPr>
          <w:rFonts w:ascii="Palatino Linotype" w:hAnsi="Palatino Linotype" w:cs="Arial"/>
          <w:i/>
          <w:color w:val="000000" w:themeColor="text1"/>
          <w:sz w:val="20"/>
          <w:szCs w:val="20"/>
        </w:rPr>
        <w:t>La facultad de la autoridad electoral de revisar los padrones de afiliados o militantes para determinar si los partidos políticos (nacionales y locales) cumplen con el requisito mínimo para continuar con el registro, es una función que debe realizarse permanentemente.</w:t>
      </w:r>
    </w:p>
    <w:p w14:paraId="13C71CDD" w14:textId="77777777" w:rsidR="008D6D78" w:rsidRPr="00917C1B" w:rsidRDefault="008D6D78" w:rsidP="008D6D78">
      <w:pPr>
        <w:shd w:val="clear" w:color="auto" w:fill="FFFFFF"/>
        <w:ind w:left="851" w:right="902"/>
        <w:jc w:val="both"/>
        <w:rPr>
          <w:rFonts w:ascii="Palatino Linotype" w:hAnsi="Palatino Linotype"/>
          <w:i/>
          <w:color w:val="000000" w:themeColor="text1"/>
          <w:sz w:val="20"/>
          <w:szCs w:val="20"/>
        </w:rPr>
      </w:pPr>
      <w:r w:rsidRPr="00917C1B">
        <w:rPr>
          <w:rFonts w:ascii="Palatino Linotype" w:hAnsi="Palatino Linotype" w:cs="Arial"/>
          <w:i/>
          <w:color w:val="000000" w:themeColor="text1"/>
          <w:sz w:val="20"/>
          <w:szCs w:val="20"/>
        </w:rPr>
        <w:t>En el caso de las agrupaciones políticas nacionales, éstas deben acreditar que sus miembros están inscritos en el padrón electoral, conforme a los criterios definidos por el Tribunal Electoral del Poder Judicial de la Federación (tesis XI, 2002), por lo que su padrón o lista de asociados deberá indicar, al igual que las de los partidos políticos, la entidad federativa en la que residan aquellos, los cuales deberán proceder de cuando menos siete entidades federativas distintas. Dicha lista de asociados debe presentarse por única vez al momento de la solicitud de registro, al igual que el padrón de ciudadanos que apoyen el registro de una candidatura independiente, cuyos postulantes deben cumplir con el requisito de presentar ante la autoridad electoral un mínimo de firmas de apoyo ciudadano, de acuerdo al cargo y con corte de lista nominal de electores al 31 de agosto del año previo al de la elección. El artículo 371 de la Ley General de Instituciones y Procedimientos Electorales indica el número de firmas que deberán contener las cédulas de respaldo de los aspirantes a obtener alguno de los siguientes cargos de elección popular:…”</w:t>
      </w:r>
    </w:p>
    <w:p w14:paraId="6B334939" w14:textId="492280D0" w:rsidR="00D87264" w:rsidRPr="00917C1B" w:rsidRDefault="00897A56" w:rsidP="00D87264">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Máxime</w:t>
      </w:r>
      <w:r w:rsidR="00D87264" w:rsidRPr="00917C1B">
        <w:rPr>
          <w:rFonts w:ascii="Palatino Linotype" w:hAnsi="Palatino Linotype"/>
          <w:color w:val="000000" w:themeColor="text1"/>
        </w:rPr>
        <w:t>, este Instituto no está facultado para dudar de la veracidad</w:t>
      </w:r>
      <w:r w:rsidR="00D87264" w:rsidRPr="00917C1B">
        <w:rPr>
          <w:rStyle w:val="Refdenotaalpie"/>
          <w:rFonts w:ascii="Palatino Linotype" w:hAnsi="Palatino Linotype"/>
          <w:color w:val="000000" w:themeColor="text1"/>
        </w:rPr>
        <w:footnoteReference w:id="8"/>
      </w:r>
      <w:r w:rsidR="00D87264" w:rsidRPr="00917C1B">
        <w:rPr>
          <w:rFonts w:ascii="Palatino Linotype" w:hAnsi="Palatino Linotype"/>
          <w:color w:val="000000" w:themeColor="text1"/>
        </w:rPr>
        <w:t xml:space="preserve"> de la información entregada, al suponer la presunción de veracidad</w:t>
      </w:r>
      <w:r w:rsidR="00D87264" w:rsidRPr="00917C1B">
        <w:rPr>
          <w:rStyle w:val="Refdenotaalpie"/>
          <w:rFonts w:ascii="Palatino Linotype" w:hAnsi="Palatino Linotype"/>
          <w:color w:val="000000" w:themeColor="text1"/>
        </w:rPr>
        <w:footnoteReference w:id="9"/>
      </w:r>
      <w:r w:rsidR="00D87264" w:rsidRPr="00917C1B">
        <w:rPr>
          <w:rFonts w:ascii="Palatino Linotype" w:hAnsi="Palatino Linotype"/>
          <w:color w:val="000000" w:themeColor="text1"/>
        </w:rPr>
        <w:t xml:space="preserve"> una declaración </w:t>
      </w:r>
      <w:r w:rsidR="00D87264" w:rsidRPr="00917C1B">
        <w:rPr>
          <w:rFonts w:ascii="Palatino Linotype" w:hAnsi="Palatino Linotype"/>
          <w:i/>
          <w:color w:val="000000" w:themeColor="text1"/>
        </w:rPr>
        <w:t xml:space="preserve">iurus tantum, </w:t>
      </w:r>
      <w:r w:rsidR="00D87264" w:rsidRPr="00917C1B">
        <w:rPr>
          <w:rFonts w:ascii="Palatino Linotype" w:hAnsi="Palatino Linotype"/>
          <w:color w:val="000000" w:themeColor="text1"/>
        </w:rPr>
        <w:t>al admitir prueba en contra; también lo es, que es deber de este Órgano Garante proveer lo necesario para garantizar a toda persona el derecho de acceso a la información pública a través de procedimientos sencillos, expeditos, oportunos y gratuitos que atiendan los principios de certeza, eficacia, máxima publicidad y transparencia.</w:t>
      </w:r>
    </w:p>
    <w:p w14:paraId="17DA44BB" w14:textId="220FAC4C" w:rsidR="002E0416" w:rsidRPr="00917C1B" w:rsidRDefault="00897A56" w:rsidP="002E0416">
      <w:pPr>
        <w:autoSpaceDE w:val="0"/>
        <w:autoSpaceDN w:val="0"/>
        <w:adjustRightInd w:val="0"/>
        <w:spacing w:before="240" w:after="240" w:line="360" w:lineRule="auto"/>
        <w:ind w:right="-91"/>
        <w:jc w:val="both"/>
        <w:rPr>
          <w:rFonts w:ascii="Palatino Linotype" w:hAnsi="Palatino Linotype"/>
          <w:color w:val="000000" w:themeColor="text1"/>
        </w:rPr>
      </w:pPr>
      <w:r w:rsidRPr="00917C1B">
        <w:rPr>
          <w:rFonts w:ascii="Palatino Linotype" w:hAnsi="Palatino Linotype"/>
          <w:color w:val="000000" w:themeColor="text1"/>
        </w:rPr>
        <w:t>E</w:t>
      </w:r>
      <w:r w:rsidR="002E0416" w:rsidRPr="00917C1B">
        <w:rPr>
          <w:rFonts w:ascii="Palatino Linotype" w:hAnsi="Palatino Linotype"/>
          <w:color w:val="000000" w:themeColor="text1"/>
        </w:rPr>
        <w:t>n lo relativo a l</w:t>
      </w:r>
      <w:r w:rsidR="00EE5C32" w:rsidRPr="00917C1B">
        <w:rPr>
          <w:rFonts w:ascii="Palatino Linotype" w:hAnsi="Palatino Linotype"/>
          <w:color w:val="000000" w:themeColor="text1"/>
        </w:rPr>
        <w:t>os simpatizantes,</w:t>
      </w:r>
      <w:r w:rsidR="002E0416" w:rsidRPr="00917C1B">
        <w:rPr>
          <w:rFonts w:ascii="Palatino Linotype" w:hAnsi="Palatino Linotype"/>
          <w:color w:val="000000" w:themeColor="text1"/>
        </w:rPr>
        <w:t xml:space="preserve"> l</w:t>
      </w:r>
      <w:r w:rsidR="00692986" w:rsidRPr="00917C1B">
        <w:rPr>
          <w:rFonts w:ascii="Palatino Linotype" w:hAnsi="Palatino Linotype"/>
          <w:color w:val="000000" w:themeColor="text1"/>
        </w:rPr>
        <w:t>os</w:t>
      </w:r>
      <w:r w:rsidR="002E0416" w:rsidRPr="00917C1B">
        <w:rPr>
          <w:rFonts w:ascii="Palatino Linotype" w:hAnsi="Palatino Linotype"/>
          <w:color w:val="000000" w:themeColor="text1"/>
        </w:rPr>
        <w:t xml:space="preserve"> </w:t>
      </w:r>
      <w:r w:rsidR="00692986" w:rsidRPr="00917C1B">
        <w:rPr>
          <w:rFonts w:ascii="Palatino Linotype" w:hAnsi="Palatino Linotype"/>
          <w:color w:val="000000" w:themeColor="text1"/>
        </w:rPr>
        <w:t xml:space="preserve">Estatutos del Partido Verde </w:t>
      </w:r>
      <w:r w:rsidR="00EE5C32" w:rsidRPr="00917C1B">
        <w:rPr>
          <w:rFonts w:ascii="Palatino Linotype" w:hAnsi="Palatino Linotype"/>
          <w:color w:val="000000" w:themeColor="text1"/>
        </w:rPr>
        <w:t xml:space="preserve">no contempla precepto jurídico que regule lo relativo a derechos y obligaciones de éstos, lo que </w:t>
      </w:r>
      <w:r w:rsidR="002E0416" w:rsidRPr="00917C1B">
        <w:rPr>
          <w:rFonts w:ascii="Palatino Linotype" w:hAnsi="Palatino Linotype"/>
          <w:color w:val="000000" w:themeColor="text1"/>
        </w:rPr>
        <w:t xml:space="preserve">redundada que ante la falta de reglamentación en este sentido, para efectos de la </w:t>
      </w:r>
      <w:r w:rsidR="00EA7162" w:rsidRPr="00917C1B">
        <w:rPr>
          <w:rFonts w:ascii="Palatino Linotype" w:hAnsi="Palatino Linotype"/>
          <w:color w:val="000000" w:themeColor="text1"/>
        </w:rPr>
        <w:t>C</w:t>
      </w:r>
      <w:r w:rsidR="002E0416" w:rsidRPr="00917C1B">
        <w:rPr>
          <w:rFonts w:ascii="Palatino Linotype" w:hAnsi="Palatino Linotype"/>
          <w:color w:val="000000" w:themeColor="text1"/>
        </w:rPr>
        <w:t xml:space="preserve">onstitución y conservación del registro de los partidos políticos, </w:t>
      </w:r>
      <w:r w:rsidR="005C0D89" w:rsidRPr="00917C1B">
        <w:rPr>
          <w:rFonts w:ascii="Palatino Linotype" w:hAnsi="Palatino Linotype"/>
          <w:color w:val="000000" w:themeColor="text1"/>
        </w:rPr>
        <w:t xml:space="preserve">no </w:t>
      </w:r>
      <w:r w:rsidR="002E0416" w:rsidRPr="00917C1B">
        <w:rPr>
          <w:rFonts w:ascii="Palatino Linotype" w:hAnsi="Palatino Linotype"/>
          <w:color w:val="000000" w:themeColor="text1"/>
        </w:rPr>
        <w:t>son considerados afiliados, sin menoscabo del derecho de asociación de los ciudadanos</w:t>
      </w:r>
      <w:r w:rsidR="00D00138" w:rsidRPr="00917C1B">
        <w:rPr>
          <w:rFonts w:ascii="Palatino Linotype" w:hAnsi="Palatino Linotype"/>
          <w:color w:val="000000" w:themeColor="text1"/>
        </w:rPr>
        <w:t>,</w:t>
      </w:r>
      <w:r w:rsidR="002E0416" w:rsidRPr="00917C1B">
        <w:rPr>
          <w:rFonts w:ascii="Palatino Linotype" w:hAnsi="Palatino Linotype"/>
          <w:color w:val="000000" w:themeColor="text1"/>
        </w:rPr>
        <w:t xml:space="preserve"> consagrado en el artículo 9° Constitucional, </w:t>
      </w:r>
      <w:r w:rsidR="005C0D89" w:rsidRPr="00917C1B">
        <w:rPr>
          <w:rFonts w:ascii="Palatino Linotype" w:hAnsi="Palatino Linotype"/>
          <w:color w:val="000000" w:themeColor="text1"/>
        </w:rPr>
        <w:t>ante la falta</w:t>
      </w:r>
      <w:r w:rsidR="002E0416" w:rsidRPr="00917C1B">
        <w:rPr>
          <w:rFonts w:ascii="Palatino Linotype" w:hAnsi="Palatino Linotype"/>
          <w:color w:val="000000" w:themeColor="text1"/>
        </w:rPr>
        <w:t xml:space="preserve"> derechos y</w:t>
      </w:r>
      <w:r w:rsidR="005C0D89" w:rsidRPr="00917C1B">
        <w:rPr>
          <w:rFonts w:ascii="Palatino Linotype" w:hAnsi="Palatino Linotype"/>
          <w:color w:val="000000" w:themeColor="text1"/>
        </w:rPr>
        <w:t xml:space="preserve"> obligaciones establecidos en los Estatutos de referencia</w:t>
      </w:r>
      <w:r w:rsidR="00C575E4" w:rsidRPr="00917C1B">
        <w:rPr>
          <w:rStyle w:val="Refdenotaalpie"/>
          <w:rFonts w:ascii="Palatino Linotype" w:hAnsi="Palatino Linotype"/>
          <w:color w:val="000000" w:themeColor="text1"/>
        </w:rPr>
        <w:footnoteReference w:id="10"/>
      </w:r>
      <w:r w:rsidR="005C0D89" w:rsidRPr="00917C1B">
        <w:rPr>
          <w:rFonts w:ascii="Palatino Linotype" w:hAnsi="Palatino Linotype"/>
          <w:color w:val="000000" w:themeColor="text1"/>
        </w:rPr>
        <w:t xml:space="preserve">. </w:t>
      </w:r>
    </w:p>
    <w:p w14:paraId="5E20F9CC" w14:textId="3EFA1805" w:rsidR="005C0D89" w:rsidRPr="00917C1B" w:rsidRDefault="005C0D89" w:rsidP="002E0416">
      <w:pPr>
        <w:autoSpaceDE w:val="0"/>
        <w:autoSpaceDN w:val="0"/>
        <w:adjustRightInd w:val="0"/>
        <w:spacing w:before="240" w:after="240" w:line="360" w:lineRule="auto"/>
        <w:ind w:right="-91"/>
        <w:jc w:val="both"/>
        <w:rPr>
          <w:rFonts w:ascii="Palatino Linotype" w:hAnsi="Palatino Linotype"/>
          <w:color w:val="000000" w:themeColor="text1"/>
        </w:rPr>
      </w:pPr>
      <w:r w:rsidRPr="00917C1B">
        <w:rPr>
          <w:rFonts w:ascii="Palatino Linotype" w:hAnsi="Palatino Linotype"/>
          <w:color w:val="000000" w:themeColor="text1"/>
        </w:rPr>
        <w:t xml:space="preserve">Por </w:t>
      </w:r>
      <w:r w:rsidR="00567B04" w:rsidRPr="00917C1B">
        <w:rPr>
          <w:rFonts w:ascii="Palatino Linotype" w:hAnsi="Palatino Linotype"/>
          <w:color w:val="000000" w:themeColor="text1"/>
        </w:rPr>
        <w:t>ende, se opone la publicación del padrón de simpatizantes</w:t>
      </w:r>
      <w:r w:rsidR="00325130" w:rsidRPr="00917C1B">
        <w:rPr>
          <w:rFonts w:ascii="Palatino Linotype" w:hAnsi="Palatino Linotype"/>
          <w:color w:val="000000" w:themeColor="text1"/>
        </w:rPr>
        <w:t xml:space="preserve"> o bien denominado </w:t>
      </w:r>
      <w:r w:rsidR="00325130" w:rsidRPr="00917C1B">
        <w:rPr>
          <w:rFonts w:ascii="Palatino Linotype" w:hAnsi="Palatino Linotype"/>
          <w:i/>
          <w:color w:val="000000" w:themeColor="text1"/>
        </w:rPr>
        <w:t>registro de simpatizantes</w:t>
      </w:r>
      <w:r w:rsidR="00567B04" w:rsidRPr="00917C1B">
        <w:rPr>
          <w:rStyle w:val="Refdenotaalpie"/>
          <w:rFonts w:ascii="Palatino Linotype" w:hAnsi="Palatino Linotype"/>
          <w:color w:val="000000" w:themeColor="text1"/>
        </w:rPr>
        <w:footnoteReference w:id="11"/>
      </w:r>
      <w:r w:rsidR="00325130" w:rsidRPr="00917C1B">
        <w:rPr>
          <w:rFonts w:ascii="Palatino Linotype" w:hAnsi="Palatino Linotype"/>
          <w:i/>
          <w:color w:val="000000" w:themeColor="text1"/>
        </w:rPr>
        <w:t>,</w:t>
      </w:r>
      <w:r w:rsidR="00567B04" w:rsidRPr="00917C1B">
        <w:rPr>
          <w:rFonts w:ascii="Palatino Linotype" w:hAnsi="Palatino Linotype"/>
          <w:color w:val="000000" w:themeColor="text1"/>
        </w:rPr>
        <w:t xml:space="preserve"> al no ser indicativo de que los partidos políticos reúnen el número de afiliados necesario para mantener su registro, </w:t>
      </w:r>
      <w:r w:rsidR="003131E0" w:rsidRPr="00917C1B">
        <w:rPr>
          <w:rFonts w:ascii="Palatino Linotype" w:hAnsi="Palatino Linotype"/>
          <w:color w:val="000000" w:themeColor="text1"/>
        </w:rPr>
        <w:t>dicho de otro modo, el documento en cuestión no contribuye a alcanzar ningún fin constitucional legítimo y podría inhibir la participación ciudadana, al afectar el derecho a la privacidad de las personas que dan su apoyo, por lo que no se justifica su publicación. Sirve de apoyo por analogía las Tesis IV/2015 del Tribunal Electoral del Poder Judicial de la Federación, que es del texto y rubro siguiente:</w:t>
      </w:r>
    </w:p>
    <w:p w14:paraId="5ECD63BC" w14:textId="443B2832" w:rsidR="003131E0" w:rsidRPr="00917C1B" w:rsidRDefault="003131E0" w:rsidP="003131E0">
      <w:pPr>
        <w:autoSpaceDE w:val="0"/>
        <w:autoSpaceDN w:val="0"/>
        <w:adjustRightInd w:val="0"/>
        <w:spacing w:after="120"/>
        <w:ind w:left="851" w:right="902"/>
        <w:jc w:val="both"/>
        <w:rPr>
          <w:rFonts w:ascii="Palatino Linotype" w:hAnsi="Palatino Linotype"/>
          <w:i/>
          <w:color w:val="000000" w:themeColor="text1"/>
          <w:sz w:val="20"/>
          <w:szCs w:val="20"/>
        </w:rPr>
      </w:pPr>
      <w:r w:rsidRPr="00917C1B">
        <w:rPr>
          <w:rStyle w:val="Textoennegrita"/>
          <w:rFonts w:ascii="Palatino Linotype" w:hAnsi="Palatino Linotype"/>
          <w:i/>
          <w:color w:val="000000" w:themeColor="text1"/>
          <w:sz w:val="20"/>
          <w:szCs w:val="20"/>
          <w:shd w:val="clear" w:color="auto" w:fill="FFFFFF"/>
        </w:rPr>
        <w:t>“CANDIDATURAS INDEPENDIENTES. ES EXCESIVO, INNECESARIO Y DESPROPORCIONADO PUBLICAR LA LISTA CON DATOS PERSONALES DE LOS CIUDADANOS QUE APOYEN A UN ASPIRANTE.- </w:t>
      </w:r>
      <w:r w:rsidRPr="00917C1B">
        <w:rPr>
          <w:rFonts w:ascii="Palatino Linotype" w:hAnsi="Palatino Linotype"/>
          <w:i/>
          <w:color w:val="000000" w:themeColor="text1"/>
          <w:sz w:val="20"/>
          <w:szCs w:val="20"/>
          <w:shd w:val="clear" w:color="auto" w:fill="FFFFFF"/>
        </w:rPr>
        <w:t>De los artículos 1º, 6º, párrafo cuarto, apartado A, fracción II y 16, párrafo segundo, de la Constitución Política de los Estados Unidos Mexicanos; 11, párrafo segundo y 32 de la Convención Americana sobre Derechos Humanos; quinto de la Declaración Americana de Derechos y Deberes del Hombre; 18 y 21 de la Ley Federal de Transparencia y Acceso a la Información Pública Gubernamental; se advierte que el derecho a la privacidad supone la existencia de un ámbito reservado, personal y privado frente al conocimiento y actividad de los demás; y si bien este derecho no tiene un carácter absoluto, las limitaciones a su ejercicio habrán de estar debidamente justificadas, ser proporcionales y no arbitrarias. En ese sentido, establecer la publicidad del nombre completo, distrito electoral de residencia y opinión política de las y los ciudadanos que apoyen la postulación de alguna </w:t>
      </w:r>
      <w:r w:rsidRPr="00917C1B">
        <w:rPr>
          <w:rStyle w:val="Textoennegrita"/>
          <w:rFonts w:ascii="Palatino Linotype" w:hAnsi="Palatino Linotype"/>
          <w:i/>
          <w:color w:val="000000" w:themeColor="text1"/>
          <w:sz w:val="20"/>
          <w:szCs w:val="20"/>
          <w:shd w:val="clear" w:color="auto" w:fill="FFFFFF"/>
        </w:rPr>
        <w:t>candidatura independiente</w:t>
      </w:r>
      <w:r w:rsidRPr="00917C1B">
        <w:rPr>
          <w:rFonts w:ascii="Palatino Linotype" w:hAnsi="Palatino Linotype"/>
          <w:i/>
          <w:color w:val="000000" w:themeColor="text1"/>
          <w:sz w:val="20"/>
          <w:szCs w:val="20"/>
          <w:shd w:val="clear" w:color="auto" w:fill="FFFFFF"/>
        </w:rPr>
        <w:t>, resulta una medida excesiva, pues no contribuye a alcanzar ningún fin constitucional legítimo y sí podría inhibir la participación ciudadana; a su vez, innecesaria, pues la verificación del respaldo que obtenga quien aspira a una </w:t>
      </w:r>
      <w:r w:rsidRPr="00917C1B">
        <w:rPr>
          <w:rStyle w:val="Textoennegrita"/>
          <w:rFonts w:ascii="Palatino Linotype" w:hAnsi="Palatino Linotype"/>
          <w:i/>
          <w:color w:val="000000" w:themeColor="text1"/>
          <w:sz w:val="20"/>
          <w:szCs w:val="20"/>
          <w:shd w:val="clear" w:color="auto" w:fill="FFFFFF"/>
        </w:rPr>
        <w:t>candidatura independiente</w:t>
      </w:r>
      <w:r w:rsidRPr="00917C1B">
        <w:rPr>
          <w:rFonts w:ascii="Palatino Linotype" w:hAnsi="Palatino Linotype"/>
          <w:i/>
          <w:color w:val="000000" w:themeColor="text1"/>
          <w:sz w:val="20"/>
          <w:szCs w:val="20"/>
          <w:shd w:val="clear" w:color="auto" w:fill="FFFFFF"/>
        </w:rPr>
        <w:t> corresponde a la propia autoridad administrativa electoral, sin que sea necesaria la publicidad de los datos personales en comento; y desproporcionada, pues se genera una afectación al derecho a la privacidad de las personas que dan su apoyo, cuando éste no significa por sí mismo una promesa de voto, por lo que no se justifica la publicidad y subsecuente vinculación con el posible </w:t>
      </w:r>
      <w:r w:rsidRPr="00917C1B">
        <w:rPr>
          <w:rStyle w:val="Textoennegrita"/>
          <w:rFonts w:ascii="Palatino Linotype" w:hAnsi="Palatino Linotype"/>
          <w:i/>
          <w:color w:val="000000" w:themeColor="text1"/>
          <w:sz w:val="20"/>
          <w:szCs w:val="20"/>
          <w:shd w:val="clear" w:color="auto" w:fill="FFFFFF"/>
        </w:rPr>
        <w:t>candidato independiente</w:t>
      </w:r>
      <w:r w:rsidRPr="00917C1B">
        <w:rPr>
          <w:rFonts w:ascii="Palatino Linotype" w:hAnsi="Palatino Linotype"/>
          <w:i/>
          <w:color w:val="000000" w:themeColor="text1"/>
          <w:sz w:val="20"/>
          <w:szCs w:val="20"/>
          <w:shd w:val="clear" w:color="auto" w:fill="FFFFFF"/>
        </w:rPr>
        <w:t>.”</w:t>
      </w:r>
    </w:p>
    <w:p w14:paraId="2F1A8295" w14:textId="20E761D2" w:rsidR="00754FAC" w:rsidRPr="00917C1B" w:rsidRDefault="008D6D78" w:rsidP="008D6D78">
      <w:pPr>
        <w:autoSpaceDE w:val="0"/>
        <w:autoSpaceDN w:val="0"/>
        <w:adjustRightInd w:val="0"/>
        <w:spacing w:before="240" w:after="240" w:line="360" w:lineRule="auto"/>
        <w:ind w:right="-91"/>
        <w:jc w:val="both"/>
        <w:rPr>
          <w:rFonts w:ascii="Palatino Linotype" w:hAnsi="Palatino Linotype"/>
          <w:color w:val="000000" w:themeColor="text1"/>
        </w:rPr>
      </w:pPr>
      <w:r w:rsidRPr="00917C1B">
        <w:rPr>
          <w:rFonts w:ascii="Palatino Linotype" w:hAnsi="Palatino Linotype"/>
          <w:color w:val="000000" w:themeColor="text1"/>
        </w:rPr>
        <w:t>No obstante, que la misma no forma parte de información que los partidos políticos deban poner a disposición de los particulares en términos del artículo 100 de la</w:t>
      </w:r>
      <w:r w:rsidR="001C1A2F" w:rsidRPr="00917C1B">
        <w:rPr>
          <w:rFonts w:ascii="Palatino Linotype" w:hAnsi="Palatino Linotype"/>
          <w:color w:val="000000" w:themeColor="text1"/>
        </w:rPr>
        <w:t xml:space="preserve"> Ley de Transparencia y Acceso a la Información Pública del Estado de México y Municipios, </w:t>
      </w:r>
      <w:r w:rsidRPr="00917C1B">
        <w:rPr>
          <w:rFonts w:ascii="Palatino Linotype" w:hAnsi="Palatino Linotype"/>
          <w:color w:val="000000" w:themeColor="text1"/>
        </w:rPr>
        <w:t>e</w:t>
      </w:r>
      <w:r w:rsidR="00C575E4" w:rsidRPr="00917C1B">
        <w:rPr>
          <w:rFonts w:ascii="Palatino Linotype" w:hAnsi="Palatino Linotype"/>
          <w:color w:val="000000" w:themeColor="text1"/>
        </w:rPr>
        <w:t xml:space="preserve">n el entendido de que si bien, los simpatizantes participan en la vida activa del </w:t>
      </w:r>
      <w:r w:rsidR="00C575E4" w:rsidRPr="00917C1B">
        <w:rPr>
          <w:rFonts w:ascii="Palatino Linotype" w:hAnsi="Palatino Linotype"/>
          <w:b/>
          <w:color w:val="000000" w:themeColor="text1"/>
        </w:rPr>
        <w:t xml:space="preserve">Sujeto Obligado </w:t>
      </w:r>
      <w:r w:rsidR="00C575E4" w:rsidRPr="00917C1B">
        <w:rPr>
          <w:rFonts w:ascii="Palatino Linotype" w:hAnsi="Palatino Linotype"/>
          <w:color w:val="000000" w:themeColor="text1"/>
        </w:rPr>
        <w:t>no así, en las actividades propias de éste, en virtud de que no están reconocidos en su organización y funcionamiento, además de que estatutariamente no tienen derechos y obligaciones como los militantes o adherentes que materializan y hacen efectivos los principios partidarios</w:t>
      </w:r>
      <w:r w:rsidR="00754FAC" w:rsidRPr="00917C1B">
        <w:rPr>
          <w:rFonts w:ascii="Palatino Linotype" w:hAnsi="Palatino Linotype"/>
          <w:color w:val="000000" w:themeColor="text1"/>
        </w:rPr>
        <w:t>.</w:t>
      </w:r>
    </w:p>
    <w:p w14:paraId="67A084F0" w14:textId="77777777" w:rsidR="008D6D78" w:rsidRPr="00917C1B" w:rsidRDefault="008D6D78" w:rsidP="008D6D78">
      <w:pPr>
        <w:shd w:val="clear" w:color="auto" w:fill="FFFFFF"/>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De lo que se desprende, que el padrón de simpatizantes no es información que el </w:t>
      </w:r>
      <w:r w:rsidRPr="00917C1B">
        <w:rPr>
          <w:rFonts w:ascii="Palatino Linotype" w:hAnsi="Palatino Linotype"/>
          <w:b/>
          <w:color w:val="000000" w:themeColor="text1"/>
        </w:rPr>
        <w:t xml:space="preserve">Sujeto Obligado </w:t>
      </w:r>
      <w:r w:rsidRPr="00917C1B">
        <w:rPr>
          <w:rFonts w:ascii="Palatino Linotype" w:hAnsi="Palatino Linotype"/>
          <w:color w:val="000000" w:themeColor="text1"/>
        </w:rPr>
        <w:t>deba entregar, al no ser un documento que permita determinar a las autoridades electorales que los partidos cuentan con el número mínimo de miembros exigido por la normatividad para que conserven su registro, o para que los partidos o las mismas autoridades verifiquen que sus simpatizantes apoyan únicamente su ideología y principios del instituto político, por lo que dicha información no se traslada del ámbito privado al público, al no existir razón legal para hacerlo público, y si actualizada hipótesis para clasificar la información como confidencial.</w:t>
      </w:r>
    </w:p>
    <w:p w14:paraId="6809B174" w14:textId="51CCBF78" w:rsidR="00C575E4" w:rsidRPr="00917C1B" w:rsidRDefault="00754FAC" w:rsidP="00170218">
      <w:pPr>
        <w:shd w:val="clear" w:color="auto" w:fill="FFFFFF"/>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L</w:t>
      </w:r>
      <w:r w:rsidR="00C575E4" w:rsidRPr="00917C1B">
        <w:rPr>
          <w:rFonts w:ascii="Palatino Linotype" w:hAnsi="Palatino Linotype"/>
          <w:color w:val="000000" w:themeColor="text1"/>
        </w:rPr>
        <w:t>o que se traduce en un deber de estricta confidencialidad</w:t>
      </w:r>
      <w:r w:rsidRPr="00917C1B">
        <w:rPr>
          <w:rFonts w:ascii="Palatino Linotype" w:hAnsi="Palatino Linotype"/>
          <w:color w:val="000000" w:themeColor="text1"/>
        </w:rPr>
        <w:t xml:space="preserve"> inherente al</w:t>
      </w:r>
      <w:r w:rsidR="00C575E4" w:rsidRPr="00917C1B">
        <w:rPr>
          <w:rFonts w:ascii="Palatino Linotype" w:hAnsi="Palatino Linotype"/>
          <w:color w:val="000000" w:themeColor="text1"/>
        </w:rPr>
        <w:t xml:space="preserve"> Partido Verde Ecologista de México</w:t>
      </w:r>
      <w:r w:rsidRPr="00917C1B">
        <w:rPr>
          <w:rFonts w:ascii="Palatino Linotype" w:hAnsi="Palatino Linotype"/>
          <w:color w:val="000000" w:themeColor="text1"/>
        </w:rPr>
        <w:t>, al encontrarse o</w:t>
      </w:r>
      <w:r w:rsidR="00C575E4" w:rsidRPr="00917C1B">
        <w:rPr>
          <w:rFonts w:ascii="Palatino Linotype" w:hAnsi="Palatino Linotype"/>
          <w:color w:val="000000" w:themeColor="text1"/>
        </w:rPr>
        <w:t>bliga</w:t>
      </w:r>
      <w:r w:rsidRPr="00917C1B">
        <w:rPr>
          <w:rFonts w:ascii="Palatino Linotype" w:hAnsi="Palatino Linotype"/>
          <w:color w:val="000000" w:themeColor="text1"/>
        </w:rPr>
        <w:t>do</w:t>
      </w:r>
      <w:r w:rsidR="00C575E4" w:rsidRPr="00917C1B">
        <w:rPr>
          <w:rFonts w:ascii="Palatino Linotype" w:hAnsi="Palatino Linotype"/>
          <w:color w:val="000000" w:themeColor="text1"/>
        </w:rPr>
        <w:t xml:space="preserve"> a cuidar el padrón de simpatizantes, de tal forma que sólo pueda manejarlo</w:t>
      </w:r>
      <w:r w:rsidR="009B167F" w:rsidRPr="00917C1B">
        <w:rPr>
          <w:rFonts w:ascii="Palatino Linotype" w:hAnsi="Palatino Linotype"/>
          <w:color w:val="000000" w:themeColor="text1"/>
        </w:rPr>
        <w:t xml:space="preserve"> el mismo, con la finalidad de garantizar el derecho constitucional a la protección de datos personales</w:t>
      </w:r>
      <w:r w:rsidR="009B167F" w:rsidRPr="00917C1B">
        <w:rPr>
          <w:rStyle w:val="Refdenotaalpie"/>
          <w:rFonts w:ascii="Palatino Linotype" w:hAnsi="Palatino Linotype"/>
          <w:color w:val="000000" w:themeColor="text1"/>
        </w:rPr>
        <w:footnoteReference w:id="12"/>
      </w:r>
      <w:r w:rsidR="00D63848" w:rsidRPr="00917C1B">
        <w:rPr>
          <w:rFonts w:ascii="Palatino Linotype" w:hAnsi="Palatino Linotype"/>
          <w:color w:val="000000" w:themeColor="text1"/>
        </w:rPr>
        <w:t>.</w:t>
      </w:r>
    </w:p>
    <w:p w14:paraId="16BCF95D" w14:textId="77777777" w:rsidR="00D83DEF" w:rsidRPr="00917C1B" w:rsidRDefault="00D63848" w:rsidP="00170218">
      <w:pPr>
        <w:shd w:val="clear" w:color="auto" w:fill="FFFFFF"/>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Toda vez que de lo contrario, se afectarían los derechos de confidencialidad e intimidad del que gozan todas las personas en la protección de sus datos personales</w:t>
      </w:r>
      <w:r w:rsidR="00D83DEF" w:rsidRPr="00917C1B">
        <w:rPr>
          <w:rFonts w:ascii="Palatino Linotype" w:hAnsi="Palatino Linotype"/>
          <w:color w:val="000000" w:themeColor="text1"/>
        </w:rPr>
        <w:t>,</w:t>
      </w:r>
      <w:r w:rsidRPr="00917C1B">
        <w:rPr>
          <w:rFonts w:ascii="Palatino Linotype" w:hAnsi="Palatino Linotype"/>
          <w:color w:val="000000" w:themeColor="text1"/>
        </w:rPr>
        <w:t xml:space="preserve"> tutela</w:t>
      </w:r>
      <w:r w:rsidR="00D83DEF" w:rsidRPr="00917C1B">
        <w:rPr>
          <w:rFonts w:ascii="Palatino Linotype" w:hAnsi="Palatino Linotype"/>
          <w:color w:val="000000" w:themeColor="text1"/>
        </w:rPr>
        <w:t>do</w:t>
      </w:r>
      <w:r w:rsidRPr="00917C1B">
        <w:rPr>
          <w:rFonts w:ascii="Palatino Linotype" w:hAnsi="Palatino Linotype"/>
          <w:color w:val="000000" w:themeColor="text1"/>
        </w:rPr>
        <w:t xml:space="preserve"> en el </w:t>
      </w:r>
      <w:r w:rsidR="00D83DEF" w:rsidRPr="00917C1B">
        <w:rPr>
          <w:rFonts w:ascii="Palatino Linotype" w:hAnsi="Palatino Linotype"/>
          <w:color w:val="000000" w:themeColor="text1"/>
        </w:rPr>
        <w:t>artículo</w:t>
      </w:r>
      <w:r w:rsidRPr="00917C1B">
        <w:rPr>
          <w:rFonts w:ascii="Palatino Linotype" w:hAnsi="Palatino Linotype"/>
          <w:color w:val="000000" w:themeColor="text1"/>
        </w:rPr>
        <w:t xml:space="preserve"> 16 Constitucional</w:t>
      </w:r>
      <w:r w:rsidR="00D83DEF" w:rsidRPr="00917C1B">
        <w:rPr>
          <w:rFonts w:ascii="Palatino Linotype" w:hAnsi="Palatino Linotype"/>
          <w:color w:val="000000" w:themeColor="text1"/>
        </w:rPr>
        <w:t>, que dispone que nadie puede ser molestado en su persona, familia, domicilio, papeles o posesiones, sino es mediante mandamiento escrito por autoridad competente; así como el que, toda persona tiene derecho al acceso, rectificación, cancelación y oposición de sus datos personales.</w:t>
      </w:r>
    </w:p>
    <w:p w14:paraId="62492ACB" w14:textId="65E6534B" w:rsidR="00914B34" w:rsidRPr="00917C1B" w:rsidRDefault="00D83DEF" w:rsidP="00170218">
      <w:pPr>
        <w:shd w:val="clear" w:color="auto" w:fill="FFFFFF"/>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En relación directa con ello, el artículo 17 párrafo primero del Pacto Internacional de los Derechos Civiles y Políticos, prevé</w:t>
      </w:r>
      <w:r w:rsidR="00914B34" w:rsidRPr="00917C1B">
        <w:rPr>
          <w:rFonts w:ascii="Palatino Linotype" w:hAnsi="Palatino Linotype"/>
          <w:color w:val="000000" w:themeColor="text1"/>
        </w:rPr>
        <w:t xml:space="preserve"> que ninguna persona será objeto de injerencias arbitrarias o ilegales en su vida privada, familia, domicilio o correspondencia, ni de ataques que afecten su honra y/o reputación, por lo que en la especie no se actualiza alguna excepción que implique la entrega del padrón de simpatizantes y sí la obligación de evitar que terceras personas atenten contra la intimidad de una persona física identificada o identificable</w:t>
      </w:r>
      <w:r w:rsidR="00A237B7" w:rsidRPr="00917C1B">
        <w:rPr>
          <w:rFonts w:ascii="Palatino Linotype" w:hAnsi="Palatino Linotype"/>
          <w:color w:val="000000" w:themeColor="text1"/>
        </w:rPr>
        <w:t>, por lo que debe quedar excluido del conocimiento ajeno.</w:t>
      </w:r>
    </w:p>
    <w:p w14:paraId="736EAD72" w14:textId="7CE63D90" w:rsidR="00D63848" w:rsidRPr="00917C1B" w:rsidRDefault="00914B34" w:rsidP="00170218">
      <w:pPr>
        <w:shd w:val="clear" w:color="auto" w:fill="FFFFFF"/>
        <w:spacing w:before="240" w:after="240" w:line="360" w:lineRule="auto"/>
        <w:jc w:val="both"/>
        <w:rPr>
          <w:rFonts w:ascii="Palatino Linotype" w:hAnsi="Palatino Linotype"/>
          <w:i/>
          <w:color w:val="000000" w:themeColor="text1"/>
        </w:rPr>
      </w:pPr>
      <w:r w:rsidRPr="00917C1B">
        <w:rPr>
          <w:rFonts w:ascii="Palatino Linotype" w:hAnsi="Palatino Linotype"/>
          <w:color w:val="000000" w:themeColor="text1"/>
        </w:rPr>
        <w:t xml:space="preserve">En esta premisa, </w:t>
      </w:r>
      <w:r w:rsidR="00A237B7" w:rsidRPr="00917C1B">
        <w:rPr>
          <w:rFonts w:ascii="Palatino Linotype" w:hAnsi="Palatino Linotype"/>
          <w:color w:val="000000" w:themeColor="text1"/>
        </w:rPr>
        <w:t>se entiende por datos personales, la</w:t>
      </w:r>
      <w:r w:rsidR="00A237B7" w:rsidRPr="00917C1B">
        <w:rPr>
          <w:color w:val="000000" w:themeColor="text1"/>
        </w:rPr>
        <w:t xml:space="preserve"> </w:t>
      </w:r>
      <w:r w:rsidR="00A237B7" w:rsidRPr="00917C1B">
        <w:rPr>
          <w:rFonts w:ascii="Palatino Linotype" w:hAnsi="Palatino Linotype"/>
          <w:i/>
          <w:color w:val="000000" w:themeColor="text1"/>
        </w:rPr>
        <w:t>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0A5F464B" w14:textId="50A5AB41" w:rsidR="00C12E1F" w:rsidRPr="00917C1B" w:rsidRDefault="00F835E6" w:rsidP="00C12E1F">
      <w:pPr>
        <w:autoSpaceDE w:val="0"/>
        <w:autoSpaceDN w:val="0"/>
        <w:adjustRightInd w:val="0"/>
        <w:spacing w:before="240" w:after="240" w:line="360" w:lineRule="auto"/>
        <w:ind w:right="-91"/>
        <w:jc w:val="both"/>
        <w:rPr>
          <w:rFonts w:ascii="Palatino Linotype" w:eastAsia="Arial Unicode MS" w:hAnsi="Palatino Linotype" w:cs="Arial"/>
          <w:color w:val="000000" w:themeColor="text1"/>
        </w:rPr>
      </w:pPr>
      <w:r w:rsidRPr="00917C1B">
        <w:rPr>
          <w:rFonts w:ascii="Palatino Linotype" w:hAnsi="Palatino Linotype"/>
          <w:color w:val="000000" w:themeColor="text1"/>
        </w:rPr>
        <w:t xml:space="preserve">Entre los datos que enunciativamente pudieran encontrarse inmersos en el </w:t>
      </w:r>
      <w:r w:rsidR="0018195F" w:rsidRPr="00917C1B">
        <w:rPr>
          <w:rFonts w:ascii="Palatino Linotype" w:hAnsi="Palatino Linotype"/>
          <w:color w:val="000000" w:themeColor="text1"/>
        </w:rPr>
        <w:t xml:space="preserve">padrón de simpatizantes, </w:t>
      </w:r>
      <w:r w:rsidRPr="00917C1B">
        <w:rPr>
          <w:rFonts w:ascii="Palatino Linotype" w:hAnsi="Palatino Linotype"/>
          <w:color w:val="000000" w:themeColor="text1"/>
        </w:rPr>
        <w:t xml:space="preserve">es el </w:t>
      </w:r>
      <w:r w:rsidR="0018195F" w:rsidRPr="00917C1B">
        <w:rPr>
          <w:rFonts w:ascii="Palatino Linotype" w:hAnsi="Palatino Linotype"/>
          <w:color w:val="000000" w:themeColor="text1"/>
        </w:rPr>
        <w:t>nombr</w:t>
      </w:r>
      <w:r w:rsidRPr="00917C1B">
        <w:rPr>
          <w:rFonts w:ascii="Palatino Linotype" w:hAnsi="Palatino Linotype"/>
          <w:color w:val="000000" w:themeColor="text1"/>
        </w:rPr>
        <w:t>e, domicilio, clave de elector; en lo relativo al primero, debe c</w:t>
      </w:r>
      <w:r w:rsidR="00C12E1F" w:rsidRPr="00917C1B">
        <w:rPr>
          <w:rFonts w:ascii="Palatino Linotype" w:eastAsia="Arial Unicode MS" w:hAnsi="Palatino Linotype" w:cs="Arial"/>
          <w:color w:val="000000" w:themeColor="text1"/>
        </w:rPr>
        <w:t xml:space="preserve">onsiderarse que la publicación del </w:t>
      </w:r>
      <w:r w:rsidRPr="00917C1B">
        <w:rPr>
          <w:rFonts w:ascii="Palatino Linotype" w:eastAsia="Arial Unicode MS" w:hAnsi="Palatino Linotype" w:cs="Arial"/>
          <w:color w:val="000000" w:themeColor="text1"/>
        </w:rPr>
        <w:t>éste</w:t>
      </w:r>
      <w:r w:rsidR="00C12E1F" w:rsidRPr="00917C1B">
        <w:rPr>
          <w:rFonts w:ascii="Palatino Linotype" w:eastAsia="Arial Unicode MS" w:hAnsi="Palatino Linotype" w:cs="Arial"/>
          <w:color w:val="000000" w:themeColor="text1"/>
        </w:rPr>
        <w:t xml:space="preserve"> implica un daño o menoscabo a la privacidad o intimidad de sus titulares, en virtud de que este cumple una función de identificación y diferenciación de las personas en una colectividad, por lo que su acceso debe ser restringido</w:t>
      </w:r>
      <w:r w:rsidR="008A446F" w:rsidRPr="00917C1B">
        <w:rPr>
          <w:rFonts w:ascii="Palatino Linotype" w:eastAsia="Arial Unicode MS" w:hAnsi="Palatino Linotype" w:cs="Arial"/>
          <w:color w:val="000000" w:themeColor="text1"/>
        </w:rPr>
        <w:t>.</w:t>
      </w:r>
      <w:r w:rsidR="00C12E1F" w:rsidRPr="00917C1B">
        <w:rPr>
          <w:rFonts w:ascii="Palatino Linotype" w:eastAsia="Arial Unicode MS" w:hAnsi="Palatino Linotype" w:cs="Arial"/>
          <w:color w:val="000000" w:themeColor="text1"/>
        </w:rPr>
        <w:t xml:space="preserve"> </w:t>
      </w:r>
    </w:p>
    <w:p w14:paraId="04184FAA" w14:textId="77777777" w:rsidR="00C12E1F" w:rsidRPr="00917C1B" w:rsidRDefault="00C12E1F" w:rsidP="00C12E1F">
      <w:pPr>
        <w:autoSpaceDE w:val="0"/>
        <w:autoSpaceDN w:val="0"/>
        <w:adjustRightInd w:val="0"/>
        <w:spacing w:before="240" w:after="240" w:line="360" w:lineRule="auto"/>
        <w:ind w:right="-91"/>
        <w:jc w:val="both"/>
        <w:rPr>
          <w:rFonts w:ascii="Palatino Linotype" w:hAnsi="Palatino Linotype" w:cs="Arial"/>
          <w:color w:val="000000" w:themeColor="text1"/>
          <w:lang w:eastAsia="es-MX"/>
        </w:rPr>
      </w:pPr>
      <w:r w:rsidRPr="00917C1B">
        <w:rPr>
          <w:rFonts w:ascii="Palatino Linotype" w:eastAsia="Arial Unicode MS" w:hAnsi="Palatino Linotype" w:cs="Arial"/>
          <w:color w:val="000000" w:themeColor="text1"/>
        </w:rPr>
        <w:t xml:space="preserve">El </w:t>
      </w:r>
      <w:r w:rsidRPr="00917C1B">
        <w:rPr>
          <w:rFonts w:ascii="Palatino Linotype" w:hAnsi="Palatino Linotype" w:cs="Arial"/>
          <w:b/>
          <w:color w:val="000000" w:themeColor="text1"/>
        </w:rPr>
        <w:t xml:space="preserve">Domicilio </w:t>
      </w:r>
      <w:r w:rsidRPr="00917C1B">
        <w:rPr>
          <w:rFonts w:ascii="Palatino Linotype" w:hAnsi="Palatino Linotype" w:cs="Arial"/>
          <w:color w:val="000000" w:themeColor="text1"/>
        </w:rPr>
        <w:t xml:space="preserve">por corresponder al </w:t>
      </w:r>
      <w:r w:rsidRPr="00917C1B">
        <w:rPr>
          <w:rFonts w:ascii="Palatino Linotype" w:hAnsi="Palatino Linotype" w:cs="Arial"/>
          <w:i/>
          <w:color w:val="000000" w:themeColor="text1"/>
          <w:lang w:val="es-MX" w:eastAsia="es-MX"/>
        </w:rPr>
        <w:t xml:space="preserve">lugar donde reside </w:t>
      </w:r>
      <w:r w:rsidRPr="00917C1B">
        <w:rPr>
          <w:rFonts w:ascii="Palatino Linotype" w:hAnsi="Palatino Linotype" w:cs="Arial"/>
          <w:color w:val="000000" w:themeColor="text1"/>
          <w:lang w:val="es-MX" w:eastAsia="es-MX"/>
        </w:rPr>
        <w:t xml:space="preserve">una persona </w:t>
      </w:r>
      <w:r w:rsidRPr="00917C1B">
        <w:rPr>
          <w:rFonts w:ascii="Palatino Linotype" w:hAnsi="Palatino Linotype" w:cs="Arial"/>
          <w:i/>
          <w:color w:val="000000" w:themeColor="text1"/>
          <w:lang w:val="es-MX" w:eastAsia="es-MX"/>
        </w:rPr>
        <w:t xml:space="preserve">con el propósito de establecerse en él, </w:t>
      </w:r>
      <w:r w:rsidRPr="00917C1B">
        <w:rPr>
          <w:rFonts w:ascii="Palatino Linotype" w:hAnsi="Palatino Linotype" w:cs="Arial"/>
          <w:color w:val="000000" w:themeColor="text1"/>
          <w:lang w:val="es-MX" w:eastAsia="es-MX"/>
        </w:rPr>
        <w:t>esto es así de conformidad con lo</w:t>
      </w:r>
      <w:r w:rsidRPr="00917C1B">
        <w:rPr>
          <w:rFonts w:ascii="Palatino Linotype" w:hAnsi="Palatino Linotype" w:cs="Arial"/>
          <w:color w:val="000000" w:themeColor="text1"/>
        </w:rPr>
        <w:t>dispuesto por el artículo 2.17</w:t>
      </w:r>
      <w:r w:rsidRPr="00917C1B">
        <w:rPr>
          <w:rFonts w:ascii="Palatino Linotype" w:hAnsi="Palatino Linotype" w:cs="Arial"/>
          <w:color w:val="000000" w:themeColor="text1"/>
          <w:lang w:eastAsia="es-MX"/>
        </w:rPr>
        <w:t xml:space="preserve"> del Código Civil del Estado de México, </w:t>
      </w:r>
      <w:r w:rsidRPr="00917C1B">
        <w:rPr>
          <w:rFonts w:ascii="Palatino Linotype" w:hAnsi="Palatino Linotype" w:cs="Arial"/>
          <w:color w:val="000000" w:themeColor="text1"/>
          <w:lang w:val="es-MX" w:eastAsia="es-MX"/>
        </w:rPr>
        <w:t>por tanto, el domicilio de una persona física, así como los datos de localización, actualizan el supuesto de confidencialidad, debido a que el otorgarlos transgrede el ámbito privado de una persona y puede conllevar a actos de molestia.</w:t>
      </w:r>
    </w:p>
    <w:p w14:paraId="33B4EAE0" w14:textId="77777777" w:rsidR="00C12E1F" w:rsidRPr="00917C1B" w:rsidRDefault="00C12E1F" w:rsidP="00C12E1F">
      <w:pPr>
        <w:widowControl w:val="0"/>
        <w:autoSpaceDE w:val="0"/>
        <w:autoSpaceDN w:val="0"/>
        <w:adjustRightInd w:val="0"/>
        <w:spacing w:before="240" w:after="240" w:line="360" w:lineRule="auto"/>
        <w:jc w:val="both"/>
        <w:rPr>
          <w:rFonts w:ascii="Palatino Linotype" w:hAnsi="Palatino Linotype" w:cs="Arial"/>
          <w:color w:val="000000" w:themeColor="text1"/>
          <w:shd w:val="clear" w:color="auto" w:fill="FFFFFF"/>
        </w:rPr>
      </w:pPr>
      <w:r w:rsidRPr="00917C1B">
        <w:rPr>
          <w:rFonts w:ascii="Palatino Linotype" w:eastAsia="Arial Unicode MS" w:hAnsi="Palatino Linotype" w:cs="Arial"/>
          <w:color w:val="000000" w:themeColor="text1"/>
        </w:rPr>
        <w:t xml:space="preserve">Mientras que la </w:t>
      </w:r>
      <w:r w:rsidRPr="00917C1B">
        <w:rPr>
          <w:rFonts w:ascii="Palatino Linotype" w:eastAsia="Arial Unicode MS" w:hAnsi="Palatino Linotype" w:cs="Arial"/>
          <w:b/>
          <w:color w:val="000000" w:themeColor="text1"/>
        </w:rPr>
        <w:t>clave de elector</w:t>
      </w:r>
      <w:r w:rsidRPr="00917C1B">
        <w:rPr>
          <w:rFonts w:ascii="Palatino Linotype" w:eastAsia="Arial Unicode MS" w:hAnsi="Palatino Linotype" w:cs="Arial"/>
          <w:color w:val="000000" w:themeColor="text1"/>
        </w:rPr>
        <w:t xml:space="preserve"> se conforma </w:t>
      </w:r>
      <w:r w:rsidRPr="00917C1B">
        <w:rPr>
          <w:rFonts w:ascii="Palatino Linotype" w:hAnsi="Palatino Linotype" w:cs="Arial"/>
          <w:i/>
          <w:color w:val="000000" w:themeColor="text1"/>
          <w:shd w:val="clear" w:color="auto" w:fill="FFFFFF"/>
        </w:rPr>
        <w:t>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r w:rsidRPr="00917C1B">
        <w:rPr>
          <w:rStyle w:val="Refdenotaalpie"/>
          <w:rFonts w:ascii="Palatino Linotype" w:hAnsi="Palatino Linotype" w:cs="Arial"/>
          <w:i/>
          <w:color w:val="000000" w:themeColor="text1"/>
          <w:shd w:val="clear" w:color="auto" w:fill="FFFFFF"/>
        </w:rPr>
        <w:footnoteReference w:id="13"/>
      </w:r>
      <w:r w:rsidRPr="00917C1B">
        <w:rPr>
          <w:rFonts w:ascii="Palatino Linotype" w:hAnsi="Palatino Linotype" w:cs="Arial"/>
          <w:i/>
          <w:color w:val="000000" w:themeColor="text1"/>
          <w:shd w:val="clear" w:color="auto" w:fill="FFFFFF"/>
        </w:rPr>
        <w:t xml:space="preserve">. </w:t>
      </w:r>
      <w:r w:rsidRPr="00917C1B">
        <w:rPr>
          <w:rFonts w:ascii="Palatino Linotype" w:hAnsi="Palatino Linotype" w:cs="Arial"/>
          <w:color w:val="000000" w:themeColor="text1"/>
          <w:shd w:val="clear" w:color="auto" w:fill="FFFFFF"/>
        </w:rPr>
        <w:t>De manera que la revelación de este divulgaría datos personales que atañen exclusivamente al individuo, que los hacen vulnerable frente a terceros.</w:t>
      </w:r>
    </w:p>
    <w:p w14:paraId="588C40F1" w14:textId="3B595B07" w:rsidR="0018195F" w:rsidRPr="00917C1B" w:rsidRDefault="0018195F" w:rsidP="0018195F">
      <w:pPr>
        <w:autoSpaceDE w:val="0"/>
        <w:autoSpaceDN w:val="0"/>
        <w:adjustRightInd w:val="0"/>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lang w:eastAsia="es-MX"/>
        </w:rPr>
        <w:t xml:space="preserve">Datos que como se ha dicho deben ser clasificados como confidenciales por tratarse de información privada, toda vez que los datos personales son irrenunciables, intransferibles e indelegables, por tanto los sujetos obligados no deben hacer entrega de éstos a persona ajena a su titular, </w:t>
      </w:r>
      <w:r w:rsidRPr="00917C1B">
        <w:rPr>
          <w:rFonts w:ascii="Palatino Linotype" w:hAnsi="Palatino Linotype" w:cs="Arial"/>
          <w:color w:val="000000" w:themeColor="text1"/>
        </w:rPr>
        <w:t>sobre todo cuando traiga implícito que se ponga en riesgo la vida o integridad de una persona.</w:t>
      </w:r>
    </w:p>
    <w:p w14:paraId="17A43B10" w14:textId="77777777" w:rsidR="0018195F" w:rsidRPr="00917C1B" w:rsidRDefault="0018195F" w:rsidP="0018195F">
      <w:pPr>
        <w:spacing w:before="240" w:after="360" w:line="360" w:lineRule="auto"/>
        <w:jc w:val="both"/>
        <w:rPr>
          <w:rFonts w:ascii="Palatino Linotype" w:eastAsiaTheme="minorHAnsi" w:hAnsi="Palatino Linotype" w:cstheme="minorBidi"/>
          <w:color w:val="000000" w:themeColor="text1"/>
          <w:lang w:val="es-MX" w:eastAsia="en-US"/>
        </w:rPr>
      </w:pPr>
      <w:r w:rsidRPr="00917C1B">
        <w:rPr>
          <w:rFonts w:ascii="Palatino Linotype" w:eastAsiaTheme="minorHAnsi" w:hAnsi="Palatino Linotype" w:cstheme="minorBidi"/>
          <w:color w:val="000000" w:themeColor="text1"/>
          <w:lang w:val="es-MX" w:eastAsia="en-US"/>
        </w:rPr>
        <w:t>Sirven de sustento a lo anterior las tesis jurisprudenciales emitidas por la Suprema corte de Justicia de la Nación, que son del literal siguiente:</w:t>
      </w:r>
    </w:p>
    <w:p w14:paraId="127AA2AB" w14:textId="77777777" w:rsidR="0018195F" w:rsidRPr="00917C1B" w:rsidRDefault="0018195F" w:rsidP="0018195F">
      <w:pPr>
        <w:spacing w:before="120" w:after="120"/>
        <w:ind w:left="851" w:right="760"/>
        <w:jc w:val="both"/>
        <w:rPr>
          <w:rFonts w:ascii="Palatino Linotype" w:eastAsiaTheme="minorHAnsi" w:hAnsi="Palatino Linotype" w:cstheme="minorBidi"/>
          <w:b/>
          <w:i/>
          <w:color w:val="000000" w:themeColor="text1"/>
          <w:sz w:val="20"/>
          <w:szCs w:val="20"/>
          <w:lang w:val="es-MX" w:eastAsia="en-US"/>
        </w:rPr>
      </w:pPr>
      <w:r w:rsidRPr="00917C1B">
        <w:rPr>
          <w:rFonts w:ascii="Palatino Linotype" w:eastAsiaTheme="minorHAnsi" w:hAnsi="Palatino Linotype" w:cstheme="minorBidi"/>
          <w:b/>
          <w:i/>
          <w:color w:val="000000" w:themeColor="text1"/>
          <w:sz w:val="20"/>
          <w:szCs w:val="20"/>
          <w:lang w:val="es-MX" w:eastAsia="en-US"/>
        </w:rPr>
        <w:t xml:space="preserve">“DERECHO A LA INFORMACIÓN. SU EJERCICIO SE ENCUENTRA LIMITADO TANTO POR LOS INTERESES NACIONALES Y DE LA SOCIEDAD, COMO POR LOS DERECHOS DE TERCEROS. </w:t>
      </w:r>
      <w:r w:rsidRPr="00917C1B">
        <w:rPr>
          <w:rFonts w:ascii="Palatino Linotype" w:eastAsiaTheme="minorHAnsi" w:hAnsi="Palatino Linotype" w:cstheme="minorBidi"/>
          <w:i/>
          <w:color w:val="000000" w:themeColor="text1"/>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17C1B">
        <w:rPr>
          <w:rFonts w:ascii="Palatino Linotype" w:eastAsiaTheme="minorHAnsi" w:hAnsi="Palatino Linotype" w:cstheme="minorBidi"/>
          <w:b/>
          <w:i/>
          <w:color w:val="000000" w:themeColor="text1"/>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917C1B">
        <w:rPr>
          <w:rFonts w:ascii="Palatino Linotype" w:eastAsiaTheme="minorHAnsi" w:hAnsi="Palatino Linotype" w:cstheme="minorBidi"/>
          <w:i/>
          <w:color w:val="000000" w:themeColor="text1"/>
          <w:sz w:val="20"/>
          <w:szCs w:val="20"/>
          <w:lang w:val="es-MX" w:eastAsia="en-US"/>
        </w:rPr>
        <w:t xml:space="preserve"> por lo que hace al interés social, se cuenta con normas que tienden a proteger la averiguación de los delitos, la salud y la moral públicas, </w:t>
      </w:r>
      <w:r w:rsidRPr="00917C1B">
        <w:rPr>
          <w:rFonts w:ascii="Palatino Linotype" w:eastAsiaTheme="minorHAnsi" w:hAnsi="Palatino Linotype" w:cstheme="minorBidi"/>
          <w:b/>
          <w:i/>
          <w:color w:val="000000" w:themeColor="text1"/>
          <w:sz w:val="20"/>
          <w:szCs w:val="20"/>
          <w:lang w:val="es-MX" w:eastAsia="en-US"/>
        </w:rPr>
        <w:t>mientras que por lo que respecta a la protección de la persona existen normas que protegen el derecho a la vida o a la privacidad de los gobernados.</w:t>
      </w:r>
      <w:r w:rsidRPr="00917C1B">
        <w:rPr>
          <w:rFonts w:ascii="Palatino Linotype" w:eastAsiaTheme="minorHAnsi" w:hAnsi="Palatino Linotype" w:cstheme="minorBidi"/>
          <w:i/>
          <w:color w:val="000000" w:themeColor="text1"/>
          <w:sz w:val="20"/>
          <w:szCs w:val="20"/>
          <w:lang w:val="es-MX" w:eastAsia="en-US"/>
        </w:rPr>
        <w:t>”</w:t>
      </w:r>
    </w:p>
    <w:p w14:paraId="05BF2309" w14:textId="77777777" w:rsidR="0018195F" w:rsidRPr="00917C1B" w:rsidRDefault="0018195F" w:rsidP="0018195F">
      <w:pPr>
        <w:spacing w:before="120" w:after="120"/>
        <w:ind w:left="851" w:right="760"/>
        <w:jc w:val="both"/>
        <w:rPr>
          <w:rFonts w:ascii="Palatino Linotype" w:eastAsiaTheme="minorHAnsi" w:hAnsi="Palatino Linotype" w:cstheme="minorBidi"/>
          <w:i/>
          <w:color w:val="000000" w:themeColor="text1"/>
          <w:sz w:val="20"/>
          <w:szCs w:val="20"/>
          <w:lang w:val="es-MX" w:eastAsia="en-US"/>
        </w:rPr>
      </w:pPr>
    </w:p>
    <w:p w14:paraId="10AFCA7E" w14:textId="77777777" w:rsidR="0018195F" w:rsidRPr="00917C1B" w:rsidRDefault="0018195F" w:rsidP="0018195F">
      <w:pPr>
        <w:spacing w:before="120" w:after="120"/>
        <w:ind w:left="851" w:right="760"/>
        <w:jc w:val="both"/>
        <w:rPr>
          <w:rFonts w:ascii="Palatino Linotype" w:eastAsiaTheme="minorHAnsi" w:hAnsi="Palatino Linotype" w:cstheme="minorBidi"/>
          <w:i/>
          <w:color w:val="000000" w:themeColor="text1"/>
          <w:sz w:val="20"/>
          <w:szCs w:val="20"/>
          <w:lang w:val="es-MX" w:eastAsia="en-US"/>
        </w:rPr>
      </w:pPr>
      <w:r w:rsidRPr="00917C1B">
        <w:rPr>
          <w:rFonts w:ascii="Palatino Linotype" w:eastAsiaTheme="minorHAnsi" w:hAnsi="Palatino Linotype" w:cstheme="minorBidi"/>
          <w:b/>
          <w:i/>
          <w:color w:val="000000" w:themeColor="text1"/>
          <w:sz w:val="20"/>
          <w:szCs w:val="20"/>
          <w:lang w:val="es-MX" w:eastAsia="en-US"/>
        </w:rPr>
        <w:t>“TRANSPARENCIA Y ACCESO A LA INFORMACIÓN PÚBLICA GUBERNAMENTAL. EL ARTÍCULO 14, FRACCIÓN I, DE LA LEY FEDERAL RELATIVA, NO VIOLA LA GARANTÍA DE ACCESO A LA INFORMACIÓN.</w:t>
      </w:r>
      <w:r w:rsidRPr="00917C1B">
        <w:rPr>
          <w:rFonts w:ascii="Palatino Linotype" w:eastAsiaTheme="minorHAnsi" w:hAnsi="Palatino Linotype" w:cstheme="minorBidi"/>
          <w:i/>
          <w:color w:val="000000" w:themeColor="text1"/>
          <w:sz w:val="20"/>
          <w:szCs w:val="20"/>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17C1B">
        <w:rPr>
          <w:rFonts w:ascii="Palatino Linotype" w:eastAsiaTheme="minorHAnsi" w:hAnsi="Palatino Linotype" w:cstheme="minorBidi"/>
          <w:b/>
          <w:i/>
          <w:color w:val="000000" w:themeColor="text1"/>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17C1B">
        <w:rPr>
          <w:rFonts w:ascii="Palatino Linotype" w:eastAsiaTheme="minorHAnsi" w:hAnsi="Palatino Linotype" w:cstheme="minorBidi"/>
          <w:i/>
          <w:color w:val="000000" w:themeColor="text1"/>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D265F2F" w14:textId="1FF56EF5" w:rsidR="00B401E2" w:rsidRPr="00917C1B" w:rsidRDefault="00AC26A0" w:rsidP="00A237B7">
      <w:pPr>
        <w:spacing w:before="240" w:after="240" w:line="360" w:lineRule="auto"/>
        <w:ind w:right="51"/>
        <w:jc w:val="both"/>
        <w:rPr>
          <w:rFonts w:ascii="Palatino Linotype" w:hAnsi="Palatino Linotype"/>
          <w:color w:val="000000" w:themeColor="text1"/>
        </w:rPr>
      </w:pPr>
      <w:r w:rsidRPr="00917C1B">
        <w:rPr>
          <w:rFonts w:ascii="Palatino Linotype" w:hAnsi="Palatino Linotype"/>
          <w:color w:val="000000" w:themeColor="text1"/>
        </w:rPr>
        <w:t xml:space="preserve">No obstante, que la misma naturaleza del registro de simpatizantes responde a información confidencial, en el entendido de que no tiene influencia directa con los asuntos públicos, sino se trata de la libertad de asociación que tienen los gobernados en el régimen democrático </w:t>
      </w:r>
      <w:r w:rsidR="00325130" w:rsidRPr="00917C1B">
        <w:rPr>
          <w:rFonts w:ascii="Palatino Linotype" w:hAnsi="Palatino Linotype"/>
          <w:color w:val="000000" w:themeColor="text1"/>
        </w:rPr>
        <w:t xml:space="preserve">en el que vivimos, bajo </w:t>
      </w:r>
      <w:r w:rsidRPr="00917C1B">
        <w:rPr>
          <w:rFonts w:ascii="Palatino Linotype" w:hAnsi="Palatino Linotype"/>
          <w:color w:val="000000" w:themeColor="text1"/>
        </w:rPr>
        <w:t>la participación ciudadana</w:t>
      </w:r>
      <w:r w:rsidR="00325130" w:rsidRPr="00917C1B">
        <w:rPr>
          <w:rFonts w:ascii="Palatino Linotype" w:hAnsi="Palatino Linotype"/>
          <w:color w:val="000000" w:themeColor="text1"/>
        </w:rPr>
        <w:t>, que es sustancial en la toma de decisiones, mediante el involucramiento de los ciudadanos en los partidos políticos, sin que i</w:t>
      </w:r>
      <w:r w:rsidR="00B401E2" w:rsidRPr="00917C1B">
        <w:rPr>
          <w:rFonts w:ascii="Palatino Linotype" w:hAnsi="Palatino Linotype"/>
          <w:color w:val="000000" w:themeColor="text1"/>
        </w:rPr>
        <w:t xml:space="preserve">mplique derechos u obligaciones, por lo que no queda acreditado el </w:t>
      </w:r>
      <w:r w:rsidR="00B401E2" w:rsidRPr="00917C1B">
        <w:rPr>
          <w:rFonts w:ascii="Palatino Linotype" w:eastAsiaTheme="minorEastAsia" w:hAnsi="Palatino Linotype" w:cs="Arial"/>
          <w:color w:val="000000" w:themeColor="text1"/>
          <w:lang w:val="es-MX"/>
        </w:rPr>
        <w:t>interés público para revelarlo.</w:t>
      </w:r>
    </w:p>
    <w:p w14:paraId="46C8B528" w14:textId="05B8932B" w:rsidR="00A237B7" w:rsidRPr="00917C1B" w:rsidRDefault="00A237B7" w:rsidP="00A237B7">
      <w:pPr>
        <w:spacing w:before="240" w:after="240" w:line="360" w:lineRule="auto"/>
        <w:ind w:right="51"/>
        <w:jc w:val="both"/>
        <w:rPr>
          <w:rFonts w:ascii="Palatino Linotype" w:hAnsi="Palatino Linotype" w:cs="Arial"/>
          <w:bCs/>
          <w:iCs/>
          <w:color w:val="000000" w:themeColor="text1"/>
          <w:lang w:val="es-MX" w:eastAsia="es-MX"/>
        </w:rPr>
      </w:pPr>
      <w:r w:rsidRPr="00917C1B">
        <w:rPr>
          <w:rFonts w:ascii="Palatino Linotype" w:hAnsi="Palatino Linotype"/>
          <w:color w:val="000000" w:themeColor="text1"/>
        </w:rPr>
        <w:t>Así, en cuanto a la clasificación</w:t>
      </w:r>
      <w:r w:rsidR="00F835E6" w:rsidRPr="00917C1B">
        <w:rPr>
          <w:rFonts w:ascii="Palatino Linotype" w:hAnsi="Palatino Linotype"/>
          <w:color w:val="000000" w:themeColor="text1"/>
        </w:rPr>
        <w:t>,</w:t>
      </w:r>
      <w:r w:rsidRPr="00917C1B">
        <w:rPr>
          <w:rFonts w:ascii="Palatino Linotype" w:hAnsi="Palatino Linotype"/>
          <w:color w:val="000000" w:themeColor="text1"/>
        </w:rPr>
        <w:t xml:space="preserve"> los</w:t>
      </w:r>
      <w:r w:rsidRPr="00917C1B">
        <w:rPr>
          <w:rFonts w:ascii="Palatino Linotype" w:hAnsi="Palatino Linotype"/>
          <w:i/>
          <w:color w:val="000000" w:themeColor="text1"/>
        </w:rPr>
        <w:t xml:space="preserve"> </w:t>
      </w:r>
      <w:r w:rsidRPr="00917C1B">
        <w:rPr>
          <w:rFonts w:ascii="Palatino Linotype" w:hAnsi="Palatino Linotype"/>
          <w:color w:val="000000" w:themeColor="text1"/>
          <w:lang w:val="es-MX" w:eastAsia="en-US"/>
        </w:rPr>
        <w:t>artículos 122, 131, 132, 135, 137, 148, fracción IV y 149 de la multicitada Ley de Transparencia,</w:t>
      </w:r>
      <w:r w:rsidRPr="00917C1B">
        <w:rPr>
          <w:rFonts w:ascii="Palatino Linotype" w:hAnsi="Palatino Linotype" w:cs="Arial"/>
          <w:bCs/>
          <w:iCs/>
          <w:color w:val="000000" w:themeColor="text1"/>
          <w:lang w:val="es-MX" w:eastAsia="es-MX"/>
        </w:rPr>
        <w:t xml:space="preserve"> establecen lo que es del texto </w:t>
      </w:r>
      <w:r w:rsidR="00F835E6" w:rsidRPr="00917C1B">
        <w:rPr>
          <w:rFonts w:ascii="Palatino Linotype" w:hAnsi="Palatino Linotype" w:cs="Arial"/>
          <w:bCs/>
          <w:iCs/>
          <w:color w:val="000000" w:themeColor="text1"/>
          <w:lang w:val="es-MX" w:eastAsia="es-MX"/>
        </w:rPr>
        <w:t xml:space="preserve">literal </w:t>
      </w:r>
      <w:r w:rsidRPr="00917C1B">
        <w:rPr>
          <w:rFonts w:ascii="Palatino Linotype" w:hAnsi="Palatino Linotype" w:cs="Arial"/>
          <w:bCs/>
          <w:iCs/>
          <w:color w:val="000000" w:themeColor="text1"/>
          <w:lang w:val="es-MX" w:eastAsia="es-MX"/>
        </w:rPr>
        <w:t>siguiente:</w:t>
      </w:r>
    </w:p>
    <w:p w14:paraId="09770079" w14:textId="2AAA01A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122.</w:t>
      </w:r>
      <w:r w:rsidRPr="00917C1B">
        <w:rPr>
          <w:rFonts w:ascii="Palatino Linotype" w:hAnsi="Palatino Linotype"/>
          <w:i/>
          <w:color w:val="000000" w:themeColor="text1"/>
          <w:sz w:val="20"/>
          <w:szCs w:val="20"/>
        </w:rPr>
        <w:t xml:space="preserve"> La clasificación es el proceso mediante el cual el sujeto obligado determina que la información en su poder actualiza alguno de los supuestos de reserva o confidencialidad, de conformidad con lo dispuesto en el presente título. </w:t>
      </w:r>
    </w:p>
    <w:p w14:paraId="3559CB2B"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Los supuestos de reserva o confidencialidad previstos en las leyes deberán ser acordes con las bases, principios y disposiciones establecidos en la Ley General y, en ningún caso, podrán contravenirla. </w:t>
      </w:r>
    </w:p>
    <w:p w14:paraId="50D406B7"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Los titulares de las áreas de los sujetos obligados serán los responsables de clasificar la información, de conformidad con lo dispuesto en la presente Ley y demás disposiciones jurídicas aplicables. </w:t>
      </w:r>
    </w:p>
    <w:p w14:paraId="71126901"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128.</w:t>
      </w:r>
      <w:r w:rsidRPr="00917C1B">
        <w:rPr>
          <w:rFonts w:ascii="Palatino Linotype" w:hAnsi="Palatino Linotype"/>
          <w:i/>
          <w:color w:val="000000" w:themeColor="text1"/>
          <w:sz w:val="20"/>
          <w:szCs w:val="20"/>
        </w:rPr>
        <w:t xml:space="preserve"> En los casos en que se niegue el acceso a la información, por actualizarse alguno de los supuestos de clasificación, el Comité de Transparencia deberá confirmar, modificar o revocar la decisión. </w:t>
      </w:r>
    </w:p>
    <w:p w14:paraId="14D7F5D8" w14:textId="6CF260D3"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w:t>
      </w:r>
    </w:p>
    <w:p w14:paraId="3BFF2275"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131.</w:t>
      </w:r>
      <w:r w:rsidRPr="00917C1B">
        <w:rPr>
          <w:rFonts w:ascii="Palatino Linotype" w:hAnsi="Palatino Linotype"/>
          <w:i/>
          <w:color w:val="000000" w:themeColor="text1"/>
          <w:sz w:val="20"/>
          <w:szCs w:val="20"/>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w:t>
      </w:r>
    </w:p>
    <w:p w14:paraId="45D9A4D1"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132.</w:t>
      </w:r>
      <w:r w:rsidRPr="00917C1B">
        <w:rPr>
          <w:rFonts w:ascii="Palatino Linotype" w:hAnsi="Palatino Linotype"/>
          <w:i/>
          <w:color w:val="000000" w:themeColor="text1"/>
          <w:sz w:val="20"/>
          <w:szCs w:val="20"/>
        </w:rPr>
        <w:t xml:space="preserve"> La clasificación de la información se llevará a cabo en el momento en que: </w:t>
      </w:r>
    </w:p>
    <w:p w14:paraId="4994B640" w14:textId="77777777" w:rsidR="00A237B7" w:rsidRPr="00917C1B" w:rsidRDefault="00A237B7" w:rsidP="00A237B7">
      <w:pPr>
        <w:shd w:val="clear" w:color="auto" w:fill="FFFFFF"/>
        <w:tabs>
          <w:tab w:val="left" w:pos="709"/>
        </w:tabs>
        <w:spacing w:after="120"/>
        <w:ind w:left="1134" w:right="900"/>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 xml:space="preserve">I. Se reciba una solicitud de acceso a la información; </w:t>
      </w:r>
    </w:p>
    <w:p w14:paraId="1F8049A7" w14:textId="352EEF23" w:rsidR="00A237B7" w:rsidRPr="00917C1B" w:rsidRDefault="00A237B7" w:rsidP="00A237B7">
      <w:pPr>
        <w:shd w:val="clear" w:color="auto" w:fill="FFFFFF"/>
        <w:tabs>
          <w:tab w:val="left" w:pos="709"/>
        </w:tabs>
        <w:spacing w:after="120"/>
        <w:ind w:left="1134" w:right="900"/>
        <w:jc w:val="both"/>
        <w:rPr>
          <w:rFonts w:ascii="Palatino Linotype" w:hAnsi="Palatino Linotype" w:cs="Arial"/>
          <w:bCs/>
          <w:i/>
          <w:color w:val="000000" w:themeColor="text1"/>
          <w:sz w:val="20"/>
          <w:szCs w:val="20"/>
          <w:lang w:val="es-MX" w:eastAsia="es-MX"/>
        </w:rPr>
      </w:pPr>
      <w:r w:rsidRPr="00917C1B">
        <w:rPr>
          <w:rFonts w:ascii="Palatino Linotype" w:hAnsi="Palatino Linotype"/>
          <w:i/>
          <w:color w:val="000000" w:themeColor="text1"/>
          <w:sz w:val="20"/>
          <w:szCs w:val="20"/>
        </w:rPr>
        <w:t>II. Se determine mediante resolución de autoridad competente; o …</w:t>
      </w:r>
    </w:p>
    <w:p w14:paraId="179650AE"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135.</w:t>
      </w:r>
      <w:r w:rsidRPr="00917C1B">
        <w:rPr>
          <w:rFonts w:ascii="Palatino Linotype" w:hAnsi="Palatino Linotype"/>
          <w:i/>
          <w:color w:val="000000" w:themeColor="text1"/>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CA1E1D9"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137.</w:t>
      </w:r>
      <w:r w:rsidRPr="00917C1B">
        <w:rPr>
          <w:rFonts w:ascii="Palatino Linotype" w:hAnsi="Palatino Linotype"/>
          <w:i/>
          <w:color w:val="000000" w:themeColor="text1"/>
          <w:sz w:val="20"/>
          <w:szCs w:val="2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5B92867"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148.</w:t>
      </w:r>
      <w:r w:rsidRPr="00917C1B">
        <w:rPr>
          <w:rFonts w:ascii="Palatino Linotype" w:hAnsi="Palatino Linotype"/>
          <w:i/>
          <w:color w:val="000000" w:themeColor="text1"/>
          <w:sz w:val="20"/>
          <w:szCs w:val="20"/>
        </w:rPr>
        <w:t xml:space="preserve"> No se requerirá el consentimiento del titular de la información confidencial cuando: </w:t>
      </w:r>
    </w:p>
    <w:p w14:paraId="20C7E59E" w14:textId="77777777" w:rsidR="00FF22D0" w:rsidRPr="00917C1B" w:rsidRDefault="00FF22D0" w:rsidP="00FF22D0">
      <w:pPr>
        <w:shd w:val="clear" w:color="auto" w:fill="FFFFFF"/>
        <w:tabs>
          <w:tab w:val="left" w:pos="709"/>
        </w:tabs>
        <w:spacing w:after="120"/>
        <w:ind w:left="1134" w:right="900"/>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w:t>
      </w:r>
    </w:p>
    <w:p w14:paraId="25C181C0" w14:textId="006E7936" w:rsidR="00A237B7" w:rsidRPr="00917C1B" w:rsidRDefault="00A237B7" w:rsidP="00FF22D0">
      <w:pPr>
        <w:shd w:val="clear" w:color="auto" w:fill="FFFFFF"/>
        <w:tabs>
          <w:tab w:val="left" w:pos="709"/>
        </w:tabs>
        <w:spacing w:after="120"/>
        <w:ind w:left="1134" w:right="900"/>
        <w:jc w:val="both"/>
        <w:rPr>
          <w:rFonts w:ascii="Palatino Linotype" w:hAnsi="Palatino Linotype" w:cs="Arial"/>
          <w:bCs/>
          <w:i/>
          <w:color w:val="000000" w:themeColor="text1"/>
          <w:sz w:val="20"/>
          <w:szCs w:val="20"/>
          <w:lang w:val="es-MX" w:eastAsia="es-MX"/>
        </w:rPr>
      </w:pPr>
      <w:r w:rsidRPr="00917C1B">
        <w:rPr>
          <w:rFonts w:ascii="Palatino Linotype" w:hAnsi="Palatino Linotype"/>
          <w:i/>
          <w:color w:val="000000" w:themeColor="text1"/>
          <w:sz w:val="20"/>
          <w:szCs w:val="20"/>
        </w:rPr>
        <w:t>IV. Por razones de seguridad pública, o para proteger los derechos de terceros, se requiera su publicación; o</w:t>
      </w:r>
      <w:r w:rsidR="00FF22D0" w:rsidRPr="00917C1B">
        <w:rPr>
          <w:rFonts w:ascii="Palatino Linotype" w:hAnsi="Palatino Linotype"/>
          <w:i/>
          <w:color w:val="000000" w:themeColor="text1"/>
          <w:sz w:val="20"/>
          <w:szCs w:val="20"/>
        </w:rPr>
        <w:t xml:space="preserve"> </w:t>
      </w:r>
      <w:r w:rsidRPr="00917C1B">
        <w:rPr>
          <w:rFonts w:ascii="Palatino Linotype" w:hAnsi="Palatino Linotype" w:cs="Arial"/>
          <w:bCs/>
          <w:i/>
          <w:color w:val="000000" w:themeColor="text1"/>
          <w:sz w:val="20"/>
          <w:szCs w:val="20"/>
          <w:lang w:val="es-MX" w:eastAsia="es-MX"/>
        </w:rPr>
        <w:t>…</w:t>
      </w:r>
    </w:p>
    <w:p w14:paraId="0B9B6271"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i/>
          <w:color w:val="000000" w:themeColor="text1"/>
          <w:sz w:val="20"/>
          <w:szCs w:val="20"/>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14:paraId="631C4BA9" w14:textId="2836114E" w:rsidR="00A237B7" w:rsidRPr="00917C1B" w:rsidRDefault="00A237B7" w:rsidP="00A237B7">
      <w:pPr>
        <w:shd w:val="clear" w:color="auto" w:fill="FFFFFF"/>
        <w:tabs>
          <w:tab w:val="left" w:pos="709"/>
        </w:tabs>
        <w:spacing w:after="120"/>
        <w:ind w:left="851" w:right="900"/>
        <w:jc w:val="both"/>
        <w:rPr>
          <w:rFonts w:ascii="Palatino Linotype" w:hAnsi="Palatino Linotype"/>
          <w:i/>
          <w:color w:val="000000" w:themeColor="text1"/>
          <w:sz w:val="20"/>
          <w:szCs w:val="20"/>
        </w:rPr>
      </w:pPr>
      <w:r w:rsidRPr="00917C1B">
        <w:rPr>
          <w:rFonts w:ascii="Palatino Linotype" w:hAnsi="Palatino Linotype"/>
          <w:b/>
          <w:i/>
          <w:color w:val="000000" w:themeColor="text1"/>
          <w:sz w:val="20"/>
          <w:szCs w:val="20"/>
        </w:rPr>
        <w:t>Artículo 149.</w:t>
      </w:r>
      <w:r w:rsidRPr="00917C1B">
        <w:rPr>
          <w:rFonts w:ascii="Palatino Linotype" w:hAnsi="Palatino Linotype"/>
          <w:i/>
          <w:color w:val="000000" w:themeColor="text1"/>
          <w:sz w:val="20"/>
          <w:szCs w:val="20"/>
        </w:rPr>
        <w:t xml:space="preserve"> El acuerdo que clasifique la información como confidencial deberá contener un razonamiento lógico en el que demuestre que la información se encuentra en alguna o algunas de las hipótesis previstas en la presente Ley.</w:t>
      </w:r>
      <w:r w:rsidR="00FF22D0" w:rsidRPr="00917C1B">
        <w:rPr>
          <w:rFonts w:ascii="Palatino Linotype" w:hAnsi="Palatino Linotype"/>
          <w:i/>
          <w:color w:val="000000" w:themeColor="text1"/>
          <w:sz w:val="20"/>
          <w:szCs w:val="20"/>
        </w:rPr>
        <w:t>”</w:t>
      </w:r>
    </w:p>
    <w:p w14:paraId="090857D1" w14:textId="7E84DC04" w:rsidR="00FF22D0" w:rsidRPr="00917C1B" w:rsidRDefault="00FF22D0" w:rsidP="00FF22D0">
      <w:pPr>
        <w:shd w:val="clear" w:color="auto" w:fill="FFFFFF"/>
        <w:tabs>
          <w:tab w:val="left" w:pos="709"/>
        </w:tabs>
        <w:spacing w:before="240" w:after="240" w:line="360" w:lineRule="auto"/>
        <w:ind w:right="51"/>
        <w:jc w:val="both"/>
        <w:rPr>
          <w:rFonts w:ascii="Palatino Linotype" w:hAnsi="Palatino Linotype" w:cs="Arial"/>
          <w:color w:val="000000" w:themeColor="text1"/>
        </w:rPr>
      </w:pPr>
      <w:r w:rsidRPr="00917C1B">
        <w:rPr>
          <w:rFonts w:ascii="Palatino Linotype" w:hAnsi="Palatino Linotype" w:cs="Arial"/>
          <w:color w:val="000000" w:themeColor="text1"/>
        </w:rPr>
        <w:t xml:space="preserve">Mientras que los </w:t>
      </w:r>
      <w:r w:rsidRPr="00917C1B">
        <w:rPr>
          <w:rFonts w:ascii="Palatino Linotype" w:hAnsi="Palatino Linotype"/>
          <w:color w:val="000000" w:themeColor="text1"/>
          <w:lang w:val="es-MX" w:eastAsia="en-US"/>
        </w:rPr>
        <w:t xml:space="preserve">numerales Cuarto, Quinto, Octavo y Trigésimo Octavo de los </w:t>
      </w:r>
      <w:r w:rsidRPr="00917C1B">
        <w:rPr>
          <w:rFonts w:ascii="Palatino Linotype" w:hAnsi="Palatino Linotype" w:cs="Arial"/>
          <w:color w:val="000000" w:themeColor="text1"/>
        </w:rPr>
        <w:t xml:space="preserve">Lineamientos Generales en materia de Clasificación y Desclasificación de la Información, así como para la elaboración de versiones públicas, </w:t>
      </w:r>
      <w:r w:rsidRPr="00917C1B">
        <w:rPr>
          <w:rFonts w:ascii="Palatino Linotype" w:hAnsi="Palatino Linotype" w:cs="Arial"/>
          <w:bCs/>
          <w:iCs/>
          <w:color w:val="000000" w:themeColor="text1"/>
          <w:lang w:eastAsia="es-MX"/>
        </w:rPr>
        <w:t xml:space="preserve">expedidos por el </w:t>
      </w:r>
      <w:r w:rsidRPr="00917C1B">
        <w:rPr>
          <w:rFonts w:ascii="Palatino Linotype" w:hAnsi="Palatino Linotype" w:cs="Arial"/>
          <w:bCs/>
          <w:iCs/>
          <w:color w:val="000000" w:themeColor="text1"/>
          <w:lang w:val="es-MX" w:eastAsia="es-MX"/>
        </w:rPr>
        <w:t>Consejo Nacional del Sistema Nacional de Transparencia, Acceso a la Información Pública y Protección de Datos Personales, disponen lo que reza así:</w:t>
      </w:r>
    </w:p>
    <w:p w14:paraId="4EF84BC9" w14:textId="6A98EA80" w:rsidR="00A237B7" w:rsidRPr="00917C1B" w:rsidRDefault="00A237B7" w:rsidP="00A237B7">
      <w:pPr>
        <w:shd w:val="clear" w:color="auto" w:fill="FFFFFF"/>
        <w:tabs>
          <w:tab w:val="left" w:pos="709"/>
        </w:tabs>
        <w:spacing w:after="120"/>
        <w:ind w:left="851"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bCs/>
          <w:i/>
          <w:color w:val="000000" w:themeColor="text1"/>
          <w:sz w:val="20"/>
          <w:szCs w:val="20"/>
          <w:lang w:val="es-MX" w:eastAsia="es-MX"/>
        </w:rPr>
        <w:t>“</w:t>
      </w:r>
      <w:r w:rsidRPr="00917C1B">
        <w:rPr>
          <w:rFonts w:ascii="Palatino Linotype" w:hAnsi="Palatino Linotype" w:cs="Arial"/>
          <w:b/>
          <w:bCs/>
          <w:i/>
          <w:color w:val="000000" w:themeColor="text1"/>
          <w:sz w:val="20"/>
          <w:szCs w:val="20"/>
          <w:lang w:val="es-MX" w:eastAsia="es-MX"/>
        </w:rPr>
        <w:t>Cuarto.</w:t>
      </w:r>
      <w:r w:rsidRPr="00917C1B">
        <w:rPr>
          <w:rFonts w:ascii="Palatino Linotype" w:hAnsi="Palatino Linotype" w:cs="Arial"/>
          <w:b/>
          <w:i/>
          <w:color w:val="000000" w:themeColor="text1"/>
          <w:sz w:val="20"/>
          <w:szCs w:val="20"/>
          <w:lang w:val="es-MX" w:eastAsia="es-MX"/>
        </w:rPr>
        <w:t> </w:t>
      </w:r>
      <w:r w:rsidRPr="00917C1B">
        <w:rPr>
          <w:rFonts w:ascii="Palatino Linotype" w:hAnsi="Palatino Linotype" w:cs="Arial"/>
          <w:i/>
          <w:color w:val="000000" w:themeColor="text1"/>
          <w:sz w:val="20"/>
          <w:szCs w:val="20"/>
          <w:lang w:val="es-MX"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E05FA74" w14:textId="1AB877C8" w:rsidR="00A237B7" w:rsidRPr="00917C1B" w:rsidRDefault="00A237B7" w:rsidP="00A237B7">
      <w:pPr>
        <w:shd w:val="clear" w:color="auto" w:fill="FFFFFF"/>
        <w:tabs>
          <w:tab w:val="left" w:pos="709"/>
        </w:tabs>
        <w:spacing w:after="120"/>
        <w:ind w:left="851"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i/>
          <w:color w:val="000000" w:themeColor="text1"/>
          <w:sz w:val="20"/>
          <w:szCs w:val="20"/>
          <w:lang w:val="es-MX" w:eastAsia="es-MX"/>
        </w:rPr>
        <w:t>Los sujetos obligados deberán aplicar, de manera estricta, las excepciones al derecho de acceso a la información y sólo podrán invocarlas cuando acrediten su procedencia</w:t>
      </w:r>
      <w:r w:rsidR="00FF22D0" w:rsidRPr="00917C1B">
        <w:rPr>
          <w:rFonts w:ascii="Palatino Linotype" w:hAnsi="Palatino Linotype" w:cs="Arial"/>
          <w:i/>
          <w:color w:val="000000" w:themeColor="text1"/>
          <w:sz w:val="20"/>
          <w:szCs w:val="20"/>
          <w:lang w:val="es-MX" w:eastAsia="es-MX"/>
        </w:rPr>
        <w:t>…</w:t>
      </w:r>
    </w:p>
    <w:p w14:paraId="6665ED16"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b/>
          <w:bCs/>
          <w:i/>
          <w:color w:val="000000" w:themeColor="text1"/>
          <w:sz w:val="20"/>
          <w:szCs w:val="20"/>
          <w:lang w:val="es-MX" w:eastAsia="es-MX"/>
        </w:rPr>
        <w:t>Quinto.</w:t>
      </w:r>
      <w:r w:rsidRPr="00917C1B">
        <w:rPr>
          <w:rFonts w:ascii="Palatino Linotype" w:hAnsi="Palatino Linotype" w:cs="Arial"/>
          <w:i/>
          <w:color w:val="000000" w:themeColor="text1"/>
          <w:sz w:val="20"/>
          <w:szCs w:val="20"/>
          <w:lang w:val="es-MX" w:eastAsia="es-MX"/>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4540A0"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b/>
          <w:bCs/>
          <w:i/>
          <w:color w:val="000000" w:themeColor="text1"/>
          <w:sz w:val="20"/>
          <w:szCs w:val="20"/>
          <w:lang w:val="es-MX" w:eastAsia="es-MX"/>
        </w:rPr>
        <w:t>Octavo.</w:t>
      </w:r>
      <w:r w:rsidRPr="00917C1B">
        <w:rPr>
          <w:rFonts w:ascii="Palatino Linotype" w:hAnsi="Palatino Linotype" w:cs="Arial"/>
          <w:bCs/>
          <w:i/>
          <w:color w:val="000000" w:themeColor="text1"/>
          <w:sz w:val="20"/>
          <w:szCs w:val="20"/>
          <w:lang w:val="es-MX" w:eastAsia="es-MX"/>
        </w:rPr>
        <w:t> </w:t>
      </w:r>
      <w:r w:rsidRPr="00917C1B">
        <w:rPr>
          <w:rFonts w:ascii="Palatino Linotype" w:hAnsi="Palatino Linotype" w:cs="Arial"/>
          <w:i/>
          <w:color w:val="000000" w:themeColor="text1"/>
          <w:sz w:val="20"/>
          <w:szCs w:val="20"/>
          <w:lang w:val="es-MX" w:eastAsia="es-MX"/>
        </w:rPr>
        <w:t>Para fundar la clasificación de la información se debe señalar el artículo, fracción, inciso, párrafo o numeral de la ley o tratado internacional suscrito por el Estado mexicano que expresamente le otorga el carácter de reservada o confidencial.</w:t>
      </w:r>
    </w:p>
    <w:p w14:paraId="305A225F" w14:textId="2868617E" w:rsidR="00A237B7" w:rsidRPr="00917C1B" w:rsidRDefault="00A237B7" w:rsidP="00FF22D0">
      <w:pPr>
        <w:shd w:val="clear" w:color="auto" w:fill="FFFFFF"/>
        <w:tabs>
          <w:tab w:val="left" w:pos="709"/>
        </w:tabs>
        <w:spacing w:after="120"/>
        <w:ind w:left="851" w:right="900"/>
        <w:jc w:val="both"/>
        <w:rPr>
          <w:rFonts w:ascii="Palatino Linotype" w:hAnsi="Palatino Linotype" w:cs="Arial"/>
          <w:bCs/>
          <w:i/>
          <w:color w:val="000000" w:themeColor="text1"/>
          <w:sz w:val="20"/>
          <w:szCs w:val="20"/>
          <w:lang w:val="es-MX" w:eastAsia="es-MX"/>
        </w:rPr>
      </w:pPr>
      <w:r w:rsidRPr="00917C1B">
        <w:rPr>
          <w:rFonts w:ascii="Palatino Linotype" w:hAnsi="Palatino Linotype" w:cs="Arial"/>
          <w:i/>
          <w:color w:val="000000" w:themeColor="text1"/>
          <w:sz w:val="20"/>
          <w:szCs w:val="20"/>
          <w:lang w:val="es-MX" w:eastAsia="es-MX"/>
        </w:rPr>
        <w:t>Para motivar la clasificación se deberán señalar las razones o circunstancias especiales que lo llevaron a concluir que el caso particular se ajusta al supuesto previsto por la norma legal invocada como fundamento</w:t>
      </w:r>
      <w:r w:rsidR="00FF22D0" w:rsidRPr="00917C1B">
        <w:rPr>
          <w:rFonts w:ascii="Palatino Linotype" w:hAnsi="Palatino Linotype" w:cs="Arial"/>
          <w:i/>
          <w:color w:val="000000" w:themeColor="text1"/>
          <w:sz w:val="20"/>
          <w:szCs w:val="20"/>
          <w:lang w:val="es-MX" w:eastAsia="es-MX"/>
        </w:rPr>
        <w:t>…</w:t>
      </w:r>
    </w:p>
    <w:p w14:paraId="0CE5523C"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b/>
          <w:bCs/>
          <w:i/>
          <w:color w:val="000000" w:themeColor="text1"/>
          <w:sz w:val="20"/>
          <w:szCs w:val="20"/>
          <w:lang w:val="es-MX" w:eastAsia="es-MX"/>
        </w:rPr>
        <w:t>Trigésimo octavo.</w:t>
      </w:r>
      <w:r w:rsidRPr="00917C1B">
        <w:rPr>
          <w:rFonts w:ascii="Palatino Linotype" w:hAnsi="Palatino Linotype" w:cs="Arial"/>
          <w:bCs/>
          <w:i/>
          <w:color w:val="000000" w:themeColor="text1"/>
          <w:sz w:val="20"/>
          <w:szCs w:val="20"/>
          <w:lang w:val="es-MX" w:eastAsia="es-MX"/>
        </w:rPr>
        <w:t> </w:t>
      </w:r>
      <w:r w:rsidRPr="00917C1B">
        <w:rPr>
          <w:rFonts w:ascii="Palatino Linotype" w:hAnsi="Palatino Linotype" w:cs="Arial"/>
          <w:i/>
          <w:color w:val="000000" w:themeColor="text1"/>
          <w:sz w:val="20"/>
          <w:szCs w:val="20"/>
          <w:lang w:val="es-MX" w:eastAsia="es-MX"/>
        </w:rPr>
        <w:t>Se considera información confidencial:</w:t>
      </w:r>
    </w:p>
    <w:p w14:paraId="5490725B" w14:textId="77777777" w:rsidR="00A237B7" w:rsidRPr="00917C1B" w:rsidRDefault="00A237B7" w:rsidP="00FF22D0">
      <w:pPr>
        <w:shd w:val="clear" w:color="auto" w:fill="FFFFFF"/>
        <w:tabs>
          <w:tab w:val="left" w:pos="709"/>
        </w:tabs>
        <w:spacing w:after="120"/>
        <w:ind w:left="1134"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bCs/>
          <w:i/>
          <w:color w:val="000000" w:themeColor="text1"/>
          <w:sz w:val="20"/>
          <w:szCs w:val="20"/>
          <w:lang w:val="es-MX" w:eastAsia="es-MX"/>
        </w:rPr>
        <w:t>I.</w:t>
      </w:r>
      <w:r w:rsidRPr="00917C1B">
        <w:rPr>
          <w:rFonts w:ascii="Palatino Linotype" w:hAnsi="Palatino Linotype" w:cs="Arial"/>
          <w:i/>
          <w:color w:val="000000" w:themeColor="text1"/>
          <w:sz w:val="20"/>
          <w:szCs w:val="20"/>
          <w:lang w:val="es-MX" w:eastAsia="es-MX"/>
        </w:rPr>
        <w:t>        Los datos personales en los términos de la norma aplicable;</w:t>
      </w:r>
    </w:p>
    <w:p w14:paraId="447FED7E" w14:textId="77777777" w:rsidR="00A237B7" w:rsidRPr="00917C1B" w:rsidRDefault="00A237B7" w:rsidP="00FF22D0">
      <w:pPr>
        <w:shd w:val="clear" w:color="auto" w:fill="FFFFFF"/>
        <w:tabs>
          <w:tab w:val="left" w:pos="709"/>
        </w:tabs>
        <w:spacing w:after="120"/>
        <w:ind w:left="1134"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bCs/>
          <w:i/>
          <w:color w:val="000000" w:themeColor="text1"/>
          <w:sz w:val="20"/>
          <w:szCs w:val="20"/>
          <w:lang w:val="es-MX" w:eastAsia="es-MX"/>
        </w:rPr>
        <w:t>II.</w:t>
      </w:r>
      <w:r w:rsidRPr="00917C1B">
        <w:rPr>
          <w:rFonts w:ascii="Palatino Linotype" w:hAnsi="Palatino Linotype" w:cs="Arial"/>
          <w:i/>
          <w:color w:val="000000" w:themeColor="text1"/>
          <w:sz w:val="20"/>
          <w:szCs w:val="20"/>
          <w:lang w:val="es-MX" w:eastAsia="es-MX"/>
        </w:rPr>
        <w:t>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AC6CBD8" w14:textId="77777777" w:rsidR="00A237B7" w:rsidRPr="00917C1B" w:rsidRDefault="00A237B7" w:rsidP="00FF22D0">
      <w:pPr>
        <w:shd w:val="clear" w:color="auto" w:fill="FFFFFF"/>
        <w:tabs>
          <w:tab w:val="left" w:pos="709"/>
        </w:tabs>
        <w:spacing w:after="120"/>
        <w:ind w:left="1134"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bCs/>
          <w:i/>
          <w:color w:val="000000" w:themeColor="text1"/>
          <w:sz w:val="20"/>
          <w:szCs w:val="20"/>
          <w:lang w:val="es-MX" w:eastAsia="es-MX"/>
        </w:rPr>
        <w:t>III.</w:t>
      </w:r>
      <w:r w:rsidRPr="00917C1B">
        <w:rPr>
          <w:rFonts w:ascii="Palatino Linotype" w:hAnsi="Palatino Linotype" w:cs="Arial"/>
          <w:i/>
          <w:color w:val="000000" w:themeColor="text1"/>
          <w:sz w:val="20"/>
          <w:szCs w:val="20"/>
          <w:lang w:val="es-MX" w:eastAsia="es-MX"/>
        </w:rPr>
        <w:t>  …</w:t>
      </w:r>
    </w:p>
    <w:p w14:paraId="37870BD7" w14:textId="77777777" w:rsidR="00A237B7" w:rsidRPr="00917C1B" w:rsidRDefault="00A237B7" w:rsidP="00A237B7">
      <w:pPr>
        <w:shd w:val="clear" w:color="auto" w:fill="FFFFFF"/>
        <w:tabs>
          <w:tab w:val="left" w:pos="709"/>
        </w:tabs>
        <w:spacing w:after="120"/>
        <w:ind w:left="851" w:right="900"/>
        <w:jc w:val="both"/>
        <w:rPr>
          <w:rFonts w:ascii="Palatino Linotype" w:hAnsi="Palatino Linotype" w:cs="Arial"/>
          <w:i/>
          <w:color w:val="000000" w:themeColor="text1"/>
          <w:sz w:val="20"/>
          <w:szCs w:val="20"/>
          <w:lang w:val="es-MX" w:eastAsia="es-MX"/>
        </w:rPr>
      </w:pPr>
      <w:r w:rsidRPr="00917C1B">
        <w:rPr>
          <w:rFonts w:ascii="Palatino Linotype" w:hAnsi="Palatino Linotype" w:cs="Arial"/>
          <w:i/>
          <w:color w:val="000000" w:themeColor="text1"/>
          <w:sz w:val="20"/>
          <w:szCs w:val="20"/>
          <w:lang w:val="es-MX" w:eastAsia="es-MX"/>
        </w:rPr>
        <w:t>La información confidencial no estará sujeta a temporalidad alguna y sólo podrán tener acceso a ella los titulares de la misma, sus representantes y los servidores públicos facultados para ello.”</w:t>
      </w:r>
    </w:p>
    <w:p w14:paraId="7640B6A7" w14:textId="5D8A1A42" w:rsidR="00FF22D0" w:rsidRPr="00917C1B" w:rsidRDefault="00FF22D0" w:rsidP="00FF22D0">
      <w:pPr>
        <w:spacing w:before="240" w:after="240" w:line="360" w:lineRule="auto"/>
        <w:ind w:right="49"/>
        <w:jc w:val="both"/>
        <w:rPr>
          <w:rFonts w:ascii="Palatino Linotype" w:hAnsi="Palatino Linotype" w:cs="Arial"/>
          <w:bCs/>
          <w:color w:val="000000" w:themeColor="text1"/>
        </w:rPr>
      </w:pPr>
      <w:r w:rsidRPr="00917C1B">
        <w:rPr>
          <w:rFonts w:ascii="Palatino Linotype" w:hAnsi="Palatino Linotype"/>
          <w:color w:val="000000" w:themeColor="text1"/>
        </w:rPr>
        <w:t xml:space="preserve">Del marco jurídico referido puede desprenderse que </w:t>
      </w:r>
      <w:r w:rsidRPr="00917C1B">
        <w:rPr>
          <w:rFonts w:ascii="Palatino Linotype" w:hAnsi="Palatino Linotype" w:cs="Arial"/>
          <w:color w:val="000000" w:themeColor="text1"/>
        </w:rPr>
        <w:t xml:space="preserve">la clasificación, es el proceso mediante el cual los sujetos obligados determinan que la información en su poder actualiza alguno de los supuestos de reserva o confidencialidad, que culmina con el acuerdo emitido por el Comité de Transparencia, en el que se deberá confirmar, modificar o revocar la decisión del titular de la Unidad Administrativa, con el </w:t>
      </w:r>
      <w:r w:rsidRPr="00917C1B">
        <w:rPr>
          <w:rFonts w:ascii="Palatino Linotype" w:hAnsi="Palatino Linotype"/>
          <w:color w:val="000000" w:themeColor="text1"/>
        </w:rPr>
        <w:t>propósito primordial de que los particulares conozcan de manera completa las condiciones y circunstancias que determinaron negar el acceso a la información; a través de la adecuada fundamentación y motivación de la clasificación de información</w:t>
      </w:r>
      <w:r w:rsidRPr="00917C1B">
        <w:rPr>
          <w:rFonts w:ascii="Palatino Linotype" w:hAnsi="Palatino Linotype" w:cs="Arial"/>
          <w:bCs/>
          <w:color w:val="000000" w:themeColor="text1"/>
        </w:rPr>
        <w:t xml:space="preserve">, de tal manera que permita al particular </w:t>
      </w:r>
      <w:r w:rsidR="007523EF" w:rsidRPr="00917C1B">
        <w:rPr>
          <w:rFonts w:ascii="Palatino Linotype" w:hAnsi="Palatino Linotype" w:cs="Arial"/>
          <w:bCs/>
          <w:color w:val="000000" w:themeColor="text1"/>
        </w:rPr>
        <w:t>tener los elementos que sustentan</w:t>
      </w:r>
      <w:r w:rsidRPr="00917C1B">
        <w:rPr>
          <w:rFonts w:ascii="Palatino Linotype" w:hAnsi="Palatino Linotype" w:cs="Arial"/>
          <w:bCs/>
          <w:color w:val="000000" w:themeColor="text1"/>
        </w:rPr>
        <w:t xml:space="preserve"> </w:t>
      </w:r>
      <w:r w:rsidR="007523EF" w:rsidRPr="00917C1B">
        <w:rPr>
          <w:rFonts w:ascii="Palatino Linotype" w:hAnsi="Palatino Linotype" w:cs="Arial"/>
          <w:bCs/>
          <w:color w:val="000000" w:themeColor="text1"/>
        </w:rPr>
        <w:t>la</w:t>
      </w:r>
      <w:r w:rsidRPr="00917C1B">
        <w:rPr>
          <w:rFonts w:ascii="Palatino Linotype" w:hAnsi="Palatino Linotype" w:cs="Arial"/>
          <w:bCs/>
          <w:color w:val="000000" w:themeColor="text1"/>
        </w:rPr>
        <w:t xml:space="preserve"> clasificación. </w:t>
      </w:r>
    </w:p>
    <w:p w14:paraId="1058323D" w14:textId="1BBBE0EF" w:rsidR="00FF22D0" w:rsidRPr="00917C1B" w:rsidRDefault="00FF22D0" w:rsidP="00FF22D0">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En términos de lo anterior, </w:t>
      </w:r>
      <w:r w:rsidR="007523EF" w:rsidRPr="00917C1B">
        <w:rPr>
          <w:rFonts w:ascii="Palatino Linotype" w:hAnsi="Palatino Linotype" w:cs="Arial"/>
          <w:color w:val="000000" w:themeColor="text1"/>
        </w:rPr>
        <w:t>la</w:t>
      </w:r>
      <w:r w:rsidRPr="00917C1B">
        <w:rPr>
          <w:rFonts w:ascii="Palatino Linotype" w:hAnsi="Palatino Linotype" w:cs="Arial"/>
          <w:color w:val="000000" w:themeColor="text1"/>
        </w:rPr>
        <w:t xml:space="preserve"> </w:t>
      </w:r>
      <w:r w:rsidR="007523EF" w:rsidRPr="00917C1B">
        <w:rPr>
          <w:rFonts w:ascii="Palatino Linotype" w:hAnsi="Palatino Linotype" w:cs="Arial"/>
          <w:color w:val="000000" w:themeColor="text1"/>
        </w:rPr>
        <w:t>c</w:t>
      </w:r>
      <w:r w:rsidRPr="00917C1B">
        <w:rPr>
          <w:rFonts w:ascii="Palatino Linotype" w:hAnsi="Palatino Linotype" w:cs="Arial"/>
          <w:color w:val="000000" w:themeColor="text1"/>
        </w:rPr>
        <w:t xml:space="preserve">lasificación de </w:t>
      </w:r>
      <w:r w:rsidR="001534EF" w:rsidRPr="00917C1B">
        <w:rPr>
          <w:rFonts w:ascii="Palatino Linotype" w:hAnsi="Palatino Linotype" w:cs="Arial"/>
          <w:color w:val="000000" w:themeColor="text1"/>
        </w:rPr>
        <w:t>información</w:t>
      </w:r>
      <w:r w:rsidRPr="00917C1B">
        <w:rPr>
          <w:rFonts w:ascii="Palatino Linotype" w:hAnsi="Palatino Linotype" w:cs="Arial"/>
          <w:color w:val="000000" w:themeColor="text1"/>
        </w:rPr>
        <w:t xml:space="preserve"> </w:t>
      </w:r>
      <w:r w:rsidR="00307FEB" w:rsidRPr="00917C1B">
        <w:rPr>
          <w:rFonts w:ascii="Palatino Linotype" w:hAnsi="Palatino Linotype" w:cs="Arial"/>
          <w:color w:val="000000" w:themeColor="text1"/>
        </w:rPr>
        <w:t xml:space="preserve">no es un procedimiento aislado, sino una prerrogativa establecida básicamente en la Constitución Política de los Estados Unidos Mexicanos, en la Ley de Transparencia y Acceso a la Información Pública del Estado de México y Municipios, en la Ley de Protección de Datos Personales en Posesión de Sujetos Obligados del Estado de México y Municipios y en los Lineamientos Generales en materia de Clasificación y Desclasificación de la Información, así como para la elaboración de versiones públicas, al ser un derecho fundamental reconocido a nivel nacional e internacional </w:t>
      </w:r>
      <w:r w:rsidRPr="00917C1B">
        <w:rPr>
          <w:rFonts w:ascii="Palatino Linotype" w:hAnsi="Palatino Linotype" w:cs="Arial"/>
          <w:color w:val="000000" w:themeColor="text1"/>
        </w:rPr>
        <w:t xml:space="preserve">en las normas jurídicas que aseguran su reconocimiento y efectiva </w:t>
      </w:r>
      <w:r w:rsidR="00307FEB" w:rsidRPr="00917C1B">
        <w:rPr>
          <w:rFonts w:ascii="Palatino Linotype" w:hAnsi="Palatino Linotype" w:cs="Arial"/>
          <w:color w:val="000000" w:themeColor="text1"/>
        </w:rPr>
        <w:t>protección.</w:t>
      </w:r>
    </w:p>
    <w:p w14:paraId="0DC015AE" w14:textId="751CE8E4" w:rsidR="00307FEB" w:rsidRPr="00917C1B" w:rsidRDefault="00307FEB" w:rsidP="00FF22D0">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Por lo que es deber concluir, que el </w:t>
      </w:r>
      <w:r w:rsidRPr="00917C1B">
        <w:rPr>
          <w:rFonts w:ascii="Palatino Linotype" w:hAnsi="Palatino Linotype" w:cs="Arial"/>
          <w:b/>
          <w:color w:val="000000" w:themeColor="text1"/>
        </w:rPr>
        <w:t xml:space="preserve">Sujeto Obligado </w:t>
      </w:r>
      <w:r w:rsidRPr="00917C1B">
        <w:rPr>
          <w:rFonts w:ascii="Palatino Linotype" w:hAnsi="Palatino Linotype" w:cs="Arial"/>
          <w:color w:val="000000" w:themeColor="text1"/>
        </w:rPr>
        <w:t>deberá garantizar la protección de los datos personales contenidos en su padrón de simpatizantes, mediante el acuerdo que clasifique como información confidencial</w:t>
      </w:r>
      <w:r w:rsidR="008A4197" w:rsidRPr="00917C1B">
        <w:rPr>
          <w:rFonts w:ascii="Palatino Linotype" w:hAnsi="Palatino Linotype" w:cs="Arial"/>
          <w:color w:val="000000" w:themeColor="text1"/>
        </w:rPr>
        <w:t>,</w:t>
      </w:r>
      <w:r w:rsidRPr="00917C1B">
        <w:rPr>
          <w:rFonts w:ascii="Palatino Linotype" w:hAnsi="Palatino Linotype" w:cs="Arial"/>
          <w:color w:val="000000" w:themeColor="text1"/>
        </w:rPr>
        <w:t xml:space="preserve"> emitido por su Comité de Transparencia debidamente fundado y motivado</w:t>
      </w:r>
      <w:r w:rsidRPr="00917C1B">
        <w:rPr>
          <w:rStyle w:val="Refdenotaalpie"/>
          <w:rFonts w:ascii="Palatino Linotype" w:hAnsi="Palatino Linotype" w:cs="Arial"/>
          <w:color w:val="000000" w:themeColor="text1"/>
        </w:rPr>
        <w:footnoteReference w:id="14"/>
      </w:r>
      <w:r w:rsidRPr="00917C1B">
        <w:rPr>
          <w:rFonts w:ascii="Palatino Linotype" w:hAnsi="Palatino Linotype" w:cs="Arial"/>
          <w:color w:val="000000" w:themeColor="text1"/>
        </w:rPr>
        <w:t>.</w:t>
      </w:r>
    </w:p>
    <w:p w14:paraId="512B58A9" w14:textId="4D393608" w:rsidR="006338D2" w:rsidRPr="00917C1B" w:rsidRDefault="007137B9" w:rsidP="006338D2">
      <w:pPr>
        <w:spacing w:before="240" w:after="240" w:line="360" w:lineRule="auto"/>
        <w:jc w:val="both"/>
        <w:rPr>
          <w:rStyle w:val="Hipervnculo"/>
          <w:rFonts w:ascii="Palatino Linotype" w:hAnsi="Palatino Linotype"/>
          <w:color w:val="000000" w:themeColor="text1"/>
          <w:u w:val="none"/>
        </w:rPr>
      </w:pPr>
      <w:r w:rsidRPr="00917C1B">
        <w:rPr>
          <w:rFonts w:ascii="Palatino Linotype" w:hAnsi="Palatino Linotype"/>
          <w:color w:val="000000" w:themeColor="text1"/>
        </w:rPr>
        <w:t xml:space="preserve">Con respecto, a la Plataforma Electoral </w:t>
      </w:r>
      <w:r w:rsidR="001B7E56" w:rsidRPr="00917C1B">
        <w:rPr>
          <w:rFonts w:ascii="Palatino Linotype" w:hAnsi="Palatino Linotype"/>
          <w:color w:val="000000" w:themeColor="text1"/>
        </w:rPr>
        <w:t xml:space="preserve">enlistada bajo el numeral 2 de esta resolución, el </w:t>
      </w:r>
      <w:r w:rsidR="001B7E56" w:rsidRPr="00917C1B">
        <w:rPr>
          <w:rFonts w:ascii="Palatino Linotype" w:hAnsi="Palatino Linotype"/>
          <w:b/>
          <w:color w:val="000000" w:themeColor="text1"/>
        </w:rPr>
        <w:t xml:space="preserve">Sujeto Obligado </w:t>
      </w:r>
      <w:r w:rsidRPr="00917C1B">
        <w:rPr>
          <w:rFonts w:ascii="Palatino Linotype" w:hAnsi="Palatino Linotype"/>
          <w:color w:val="000000" w:themeColor="text1"/>
        </w:rPr>
        <w:t xml:space="preserve">informó que la misma no se realiza en lo individual, </w:t>
      </w:r>
      <w:r w:rsidR="00547228" w:rsidRPr="00917C1B">
        <w:rPr>
          <w:rFonts w:ascii="Palatino Linotype" w:hAnsi="Palatino Linotype"/>
          <w:color w:val="000000" w:themeColor="text1"/>
        </w:rPr>
        <w:t>pero que</w:t>
      </w:r>
      <w:r w:rsidRPr="00917C1B">
        <w:rPr>
          <w:rFonts w:ascii="Palatino Linotype" w:hAnsi="Palatino Linotype"/>
          <w:color w:val="000000" w:themeColor="text1"/>
        </w:rPr>
        <w:t xml:space="preserve"> </w:t>
      </w:r>
      <w:r w:rsidR="00DD36C5" w:rsidRPr="00917C1B">
        <w:rPr>
          <w:rFonts w:ascii="Palatino Linotype" w:hAnsi="Palatino Linotype"/>
          <w:color w:val="000000" w:themeColor="text1"/>
        </w:rPr>
        <w:t xml:space="preserve">se </w:t>
      </w:r>
      <w:r w:rsidRPr="00917C1B">
        <w:rPr>
          <w:rFonts w:ascii="Palatino Linotype" w:hAnsi="Palatino Linotype"/>
          <w:color w:val="000000" w:themeColor="text1"/>
        </w:rPr>
        <w:t xml:space="preserve">enviaba la plataforma electoral municipal que podía </w:t>
      </w:r>
      <w:r w:rsidR="006338D2" w:rsidRPr="00917C1B">
        <w:rPr>
          <w:rFonts w:ascii="Palatino Linotype" w:hAnsi="Palatino Linotype"/>
          <w:color w:val="000000" w:themeColor="text1"/>
        </w:rPr>
        <w:t xml:space="preserve">ser consultada en la página </w:t>
      </w:r>
      <w:hyperlink r:id="rId21" w:history="1">
        <w:r w:rsidR="006338D2" w:rsidRPr="00917C1B">
          <w:rPr>
            <w:rStyle w:val="Hipervnculo"/>
            <w:rFonts w:ascii="Palatino Linotype" w:hAnsi="Palatino Linotype"/>
            <w:color w:val="000000" w:themeColor="text1"/>
          </w:rPr>
          <w:t>http://www.ieem.org.mx/</w:t>
        </w:r>
      </w:hyperlink>
      <w:r w:rsidR="006338D2" w:rsidRPr="00917C1B">
        <w:rPr>
          <w:rFonts w:ascii="Palatino Linotype" w:hAnsi="Palatino Linotype"/>
          <w:color w:val="000000" w:themeColor="text1"/>
        </w:rPr>
        <w:t xml:space="preserve"> o en el </w:t>
      </w:r>
      <w:r w:rsidR="006338D2" w:rsidRPr="00917C1B">
        <w:rPr>
          <w:rFonts w:ascii="Palatino Linotype" w:hAnsi="Palatino Linotype"/>
          <w:i/>
          <w:color w:val="000000" w:themeColor="text1"/>
        </w:rPr>
        <w:t>link</w:t>
      </w:r>
      <w:r w:rsidR="006338D2" w:rsidRPr="00917C1B">
        <w:rPr>
          <w:rFonts w:ascii="Palatino Linotype" w:hAnsi="Palatino Linotype"/>
          <w:color w:val="000000" w:themeColor="text1"/>
        </w:rPr>
        <w:t xml:space="preserve">: </w:t>
      </w:r>
      <w:hyperlink r:id="rId22" w:history="1">
        <w:r w:rsidR="006338D2" w:rsidRPr="00917C1B">
          <w:rPr>
            <w:rStyle w:val="Hipervnculo"/>
            <w:rFonts w:ascii="Palatino Linotype" w:hAnsi="Palatino Linotype"/>
            <w:color w:val="000000" w:themeColor="text1"/>
          </w:rPr>
          <w:t>http://www.ieem.org.mx/2018/PLATAFORMAS-2018/pvem.html</w:t>
        </w:r>
      </w:hyperlink>
      <w:r w:rsidR="006338D2" w:rsidRPr="00917C1B">
        <w:rPr>
          <w:rFonts w:ascii="Palatino Linotype" w:hAnsi="Palatino Linotype"/>
          <w:color w:val="000000" w:themeColor="text1"/>
        </w:rPr>
        <w:t xml:space="preserve">, </w:t>
      </w:r>
      <w:r w:rsidR="006338D2" w:rsidRPr="00917C1B">
        <w:rPr>
          <w:rStyle w:val="Hipervnculo"/>
          <w:rFonts w:ascii="Palatino Linotype" w:hAnsi="Palatino Linotype"/>
          <w:color w:val="000000" w:themeColor="text1"/>
          <w:u w:val="none"/>
        </w:rPr>
        <w:t>los cuales esta Ponencia tuvo a bien consultar, localizando lo siguiente:</w:t>
      </w:r>
    </w:p>
    <w:p w14:paraId="4A1B13D2" w14:textId="0BD42C9E" w:rsidR="00C127A5" w:rsidRPr="00917C1B" w:rsidRDefault="00917C1B" w:rsidP="006338D2">
      <w:pPr>
        <w:spacing w:before="240" w:after="240" w:line="360" w:lineRule="auto"/>
        <w:jc w:val="both"/>
        <w:rPr>
          <w:rStyle w:val="Hipervnculo"/>
          <w:rFonts w:ascii="Palatino Linotype" w:hAnsi="Palatino Linotype"/>
          <w:color w:val="000000" w:themeColor="text1"/>
          <w:u w:val="none"/>
        </w:rPr>
      </w:pPr>
      <w:hyperlink r:id="rId23" w:history="1">
        <w:r w:rsidR="00C127A5" w:rsidRPr="00917C1B">
          <w:rPr>
            <w:rStyle w:val="Hipervnculo"/>
            <w:rFonts w:ascii="Palatino Linotype" w:hAnsi="Palatino Linotype"/>
            <w:color w:val="000000" w:themeColor="text1"/>
          </w:rPr>
          <w:t>http://www.ieem.org.mx/</w:t>
        </w:r>
      </w:hyperlink>
    </w:p>
    <w:p w14:paraId="67EF4B58" w14:textId="24A694C8" w:rsidR="006338D2" w:rsidRPr="00917C1B" w:rsidRDefault="006338D2" w:rsidP="006338D2">
      <w:pPr>
        <w:spacing w:before="240" w:after="240" w:line="360" w:lineRule="auto"/>
        <w:jc w:val="center"/>
        <w:rPr>
          <w:rStyle w:val="Hipervnculo"/>
          <w:rFonts w:ascii="Palatino Linotype" w:hAnsi="Palatino Linotype"/>
          <w:color w:val="000000" w:themeColor="text1"/>
          <w:u w:val="none"/>
        </w:rPr>
      </w:pPr>
      <w:r w:rsidRPr="00917C1B">
        <w:rPr>
          <w:rStyle w:val="Hipervnculo"/>
          <w:rFonts w:ascii="Palatino Linotype" w:hAnsi="Palatino Linotype"/>
          <w:noProof/>
          <w:color w:val="000000" w:themeColor="text1"/>
          <w:u w:val="none"/>
          <w:lang w:val="es-MX" w:eastAsia="es-MX"/>
        </w:rPr>
        <w:drawing>
          <wp:inline distT="0" distB="0" distL="0" distR="0" wp14:anchorId="25A683D7" wp14:editId="5ABDBA37">
            <wp:extent cx="5106035" cy="2042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8554" cy="2059165"/>
                    </a:xfrm>
                    <a:prstGeom prst="rect">
                      <a:avLst/>
                    </a:prstGeom>
                  </pic:spPr>
                </pic:pic>
              </a:graphicData>
            </a:graphic>
          </wp:inline>
        </w:drawing>
      </w:r>
    </w:p>
    <w:p w14:paraId="2546BB05" w14:textId="788B68B3" w:rsidR="00C127A5" w:rsidRPr="00917C1B" w:rsidRDefault="00C127A5" w:rsidP="00C127A5">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No satisface el derecho de acceso a la información, al contravenir lo previsto en el artículo 161 de la Ley de la Materia, toda vez que el acceder a dicha página implica que el particular realice una búsqueda en toda la información publicada en la plataforma.</w:t>
      </w:r>
    </w:p>
    <w:p w14:paraId="7F86FC56" w14:textId="18629058" w:rsidR="00C127A5" w:rsidRPr="00917C1B" w:rsidRDefault="00917C1B" w:rsidP="00C127A5">
      <w:pPr>
        <w:spacing w:before="240" w:after="240" w:line="360" w:lineRule="auto"/>
        <w:jc w:val="both"/>
        <w:rPr>
          <w:rStyle w:val="Hipervnculo"/>
          <w:rFonts w:ascii="Palatino Linotype" w:hAnsi="Palatino Linotype"/>
          <w:color w:val="000000" w:themeColor="text1"/>
          <w:u w:val="none"/>
        </w:rPr>
      </w:pPr>
      <w:hyperlink r:id="rId25" w:history="1">
        <w:r w:rsidR="00C127A5" w:rsidRPr="00917C1B">
          <w:rPr>
            <w:rStyle w:val="Hipervnculo"/>
            <w:rFonts w:ascii="Palatino Linotype" w:hAnsi="Palatino Linotype"/>
            <w:color w:val="000000" w:themeColor="text1"/>
          </w:rPr>
          <w:t>http://www.ieem.org.mx/2018/PLATAFORMAS-2018/pvem.html</w:t>
        </w:r>
      </w:hyperlink>
    </w:p>
    <w:p w14:paraId="58315C65" w14:textId="040611E7" w:rsidR="003E0711" w:rsidRPr="00917C1B" w:rsidRDefault="00C127A5" w:rsidP="006338D2">
      <w:pPr>
        <w:spacing w:before="240" w:after="240" w:line="360" w:lineRule="auto"/>
        <w:jc w:val="center"/>
        <w:rPr>
          <w:rFonts w:ascii="Palatino Linotype" w:hAnsi="Palatino Linotype"/>
          <w:color w:val="000000" w:themeColor="text1"/>
        </w:rPr>
      </w:pPr>
      <w:r w:rsidRPr="00917C1B">
        <w:rPr>
          <w:rFonts w:ascii="Palatino Linotype" w:hAnsi="Palatino Linotype"/>
          <w:noProof/>
          <w:color w:val="000000" w:themeColor="text1"/>
          <w:lang w:val="es-MX" w:eastAsia="es-MX"/>
        </w:rPr>
        <w:drawing>
          <wp:inline distT="0" distB="0" distL="0" distR="0" wp14:anchorId="77E971F4" wp14:editId="6AF9465E">
            <wp:extent cx="5280660" cy="2729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7197" cy="2732609"/>
                    </a:xfrm>
                    <a:prstGeom prst="rect">
                      <a:avLst/>
                    </a:prstGeom>
                  </pic:spPr>
                </pic:pic>
              </a:graphicData>
            </a:graphic>
          </wp:inline>
        </w:drawing>
      </w:r>
    </w:p>
    <w:p w14:paraId="0568950B" w14:textId="1DC12252" w:rsidR="00EC3146" w:rsidRPr="00917C1B" w:rsidRDefault="00C127A5" w:rsidP="005F6B24">
      <w:pPr>
        <w:autoSpaceDE w:val="0"/>
        <w:autoSpaceDN w:val="0"/>
        <w:adjustRightInd w:val="0"/>
        <w:spacing w:before="240" w:after="360"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Respuesta que primeramente atiende los dispuesto en el artículo 161 en relación directa con el </w:t>
      </w:r>
      <w:r w:rsidR="009A7971" w:rsidRPr="00917C1B">
        <w:rPr>
          <w:rFonts w:ascii="Palatino Linotype" w:hAnsi="Palatino Linotype"/>
          <w:color w:val="000000" w:themeColor="text1"/>
        </w:rPr>
        <w:t>166</w:t>
      </w:r>
      <w:r w:rsidRPr="00917C1B">
        <w:rPr>
          <w:rFonts w:ascii="Palatino Linotype" w:hAnsi="Palatino Linotype"/>
          <w:color w:val="000000" w:themeColor="text1"/>
        </w:rPr>
        <w:t xml:space="preserve"> de la Ley de Transparencia y Acceso a la Información Pública del Estado de México y Municipios</w:t>
      </w:r>
      <w:r w:rsidR="009A7971" w:rsidRPr="00917C1B">
        <w:rPr>
          <w:rFonts w:ascii="Palatino Linotype" w:hAnsi="Palatino Linotype"/>
          <w:color w:val="000000" w:themeColor="text1"/>
        </w:rPr>
        <w:t xml:space="preserve">, </w:t>
      </w:r>
      <w:r w:rsidR="005F6B24" w:rsidRPr="00917C1B">
        <w:rPr>
          <w:rFonts w:ascii="Palatino Linotype" w:hAnsi="Palatino Linotype"/>
          <w:color w:val="000000" w:themeColor="text1"/>
        </w:rPr>
        <w:t>que de manera sucinta disponen que cuando la información solicitada se encuentre disponible en medios impresos tales como formatos electrónicos disponibles en internet se le hará saber por el medio requerido la fuente, lugar y la forma en que puede consultar, reproducir o adquirir dicha información, de manera precisa y concreta; y al acceder a dicha página se puede consulta</w:t>
      </w:r>
      <w:r w:rsidR="002B58B2" w:rsidRPr="00917C1B">
        <w:rPr>
          <w:rFonts w:ascii="Palatino Linotype" w:hAnsi="Palatino Linotype"/>
          <w:color w:val="000000" w:themeColor="text1"/>
        </w:rPr>
        <w:t>r de forma inmediata</w:t>
      </w:r>
      <w:r w:rsidR="005F6B24" w:rsidRPr="00917C1B">
        <w:rPr>
          <w:rFonts w:ascii="Palatino Linotype" w:hAnsi="Palatino Linotype"/>
          <w:color w:val="000000" w:themeColor="text1"/>
        </w:rPr>
        <w:t xml:space="preserve"> la Plataforma Electoral Municipal.</w:t>
      </w:r>
      <w:r w:rsidR="002B58B2" w:rsidRPr="00917C1B">
        <w:rPr>
          <w:rFonts w:ascii="Palatino Linotype" w:hAnsi="Palatino Linotype"/>
          <w:color w:val="000000" w:themeColor="text1"/>
        </w:rPr>
        <w:t xml:space="preserve"> </w:t>
      </w:r>
    </w:p>
    <w:p w14:paraId="06228276" w14:textId="54CCF596" w:rsidR="0096576D" w:rsidRPr="00917C1B" w:rsidRDefault="005F6B24" w:rsidP="005F6B24">
      <w:pPr>
        <w:autoSpaceDE w:val="0"/>
        <w:autoSpaceDN w:val="0"/>
        <w:adjustRightInd w:val="0"/>
        <w:spacing w:before="240" w:after="360" w:line="360" w:lineRule="auto"/>
        <w:jc w:val="both"/>
        <w:rPr>
          <w:rFonts w:ascii="Palatino Linotype" w:hAnsi="Palatino Linotype" w:cs="Arial"/>
          <w:color w:val="000000" w:themeColor="text1"/>
          <w:lang w:eastAsia="es-MX"/>
        </w:rPr>
      </w:pPr>
      <w:r w:rsidRPr="00917C1B">
        <w:rPr>
          <w:rFonts w:ascii="Palatino Linotype" w:hAnsi="Palatino Linotype"/>
          <w:color w:val="000000" w:themeColor="text1"/>
        </w:rPr>
        <w:t xml:space="preserve">Misma que si bien, tiene como encabezado Plataforma Electoral Legislativa 2018, no quiere decir que la misma corresponda a la Plataforma Legislativa 2018, toda vez que del documento enviado por el </w:t>
      </w:r>
      <w:r w:rsidRPr="00917C1B">
        <w:rPr>
          <w:rFonts w:ascii="Palatino Linotype" w:hAnsi="Palatino Linotype"/>
          <w:b/>
          <w:color w:val="000000" w:themeColor="text1"/>
        </w:rPr>
        <w:t xml:space="preserve">Sujeto Obligado, </w:t>
      </w:r>
      <w:r w:rsidRPr="00917C1B">
        <w:rPr>
          <w:rFonts w:ascii="Palatino Linotype" w:hAnsi="Palatino Linotype"/>
          <w:color w:val="000000" w:themeColor="text1"/>
        </w:rPr>
        <w:t xml:space="preserve">así como de la consulta en la liga electrónica referida se tiene que la misma </w:t>
      </w:r>
      <w:r w:rsidR="00C127A5" w:rsidRPr="00917C1B">
        <w:rPr>
          <w:rFonts w:ascii="Palatino Linotype" w:hAnsi="Palatino Linotype"/>
          <w:color w:val="000000" w:themeColor="text1"/>
        </w:rPr>
        <w:t>da cuenta de la</w:t>
      </w:r>
      <w:r w:rsidRPr="00917C1B">
        <w:rPr>
          <w:rFonts w:ascii="Palatino Linotype" w:hAnsi="Palatino Linotype"/>
          <w:color w:val="000000" w:themeColor="text1"/>
        </w:rPr>
        <w:t xml:space="preserve"> plataforma municipal; máxime, que en la misma liga se puede consultar la Legislativa y si bien lo textos son similares, no quiere decir que el Partido Verde Ecologista no entregó la plataforma solicitada, no obstante que como ya fue dicho este Instituto no está facultado para dudar de la veracidad de la información proporcionada. Toda vez que de conformidad con lo dispuesto en el art</w:t>
      </w:r>
      <w:r w:rsidR="0096576D" w:rsidRPr="00917C1B">
        <w:rPr>
          <w:rFonts w:ascii="Palatino Linotype" w:hAnsi="Palatino Linotype" w:cs="Arial"/>
          <w:color w:val="000000" w:themeColor="text1"/>
          <w:lang w:eastAsia="es-MX"/>
        </w:rPr>
        <w:t xml:space="preserve">ículo 12 de la Ley de Transparencia y Acceso a la Información Pública del Estado de México y Municipios, </w:t>
      </w:r>
      <w:r w:rsidR="0096576D" w:rsidRPr="00917C1B">
        <w:rPr>
          <w:rFonts w:ascii="Palatino Linotype" w:eastAsiaTheme="minorHAnsi" w:hAnsi="Palatino Linotype" w:cs="Bookman Old Style"/>
          <w:color w:val="000000" w:themeColor="text1"/>
          <w:lang w:val="es-MX" w:eastAsia="en-US"/>
        </w:rPr>
        <w:t>los sujetos obligados sólo proporcionarán la información pública que se les requiera y que obre en sus archivos y en el estado en que ésta se encuentre.</w:t>
      </w:r>
      <w:r w:rsidR="0096576D" w:rsidRPr="00917C1B">
        <w:rPr>
          <w:rFonts w:ascii="Palatino Linotype" w:hAnsi="Palatino Linotype" w:cs="Arial"/>
          <w:color w:val="000000" w:themeColor="text1"/>
          <w:lang w:eastAsia="es-MX"/>
        </w:rPr>
        <w:t xml:space="preserve"> </w:t>
      </w:r>
      <w:r w:rsidR="0096576D" w:rsidRPr="00917C1B">
        <w:rPr>
          <w:rFonts w:ascii="Palatino Linotype" w:eastAsiaTheme="minorHAnsi" w:hAnsi="Palatino Linotype" w:cs="Bookman Old Style"/>
          <w:color w:val="000000" w:themeColor="text1"/>
          <w:lang w:val="es-MX" w:eastAsia="en-US"/>
        </w:rPr>
        <w:t>La obligación de proporcionar información no comprende el procesamiento de la misma, ni el presentarla conforme al interés del solicitante; no estarán obligados a generarla, resumirla, efectuar cálculos o practicar investigaciones.</w:t>
      </w:r>
    </w:p>
    <w:p w14:paraId="74F394B3" w14:textId="77777777" w:rsidR="0096576D" w:rsidRPr="00917C1B" w:rsidRDefault="0096576D" w:rsidP="0096576D">
      <w:pPr>
        <w:autoSpaceDE w:val="0"/>
        <w:autoSpaceDN w:val="0"/>
        <w:adjustRightInd w:val="0"/>
        <w:spacing w:line="360" w:lineRule="auto"/>
        <w:jc w:val="both"/>
        <w:rPr>
          <w:rFonts w:ascii="Palatino Linotype" w:hAnsi="Palatino Linotype" w:cs="Arial"/>
          <w:color w:val="000000" w:themeColor="text1"/>
          <w:sz w:val="4"/>
          <w:lang w:eastAsia="es-MX"/>
        </w:rPr>
      </w:pPr>
    </w:p>
    <w:p w14:paraId="3F9C7AD5" w14:textId="77777777" w:rsidR="0096576D" w:rsidRPr="00917C1B" w:rsidRDefault="0096576D" w:rsidP="0096576D">
      <w:pPr>
        <w:spacing w:after="200" w:line="360" w:lineRule="auto"/>
        <w:jc w:val="both"/>
        <w:rPr>
          <w:rFonts w:ascii="Arial" w:hAnsi="Arial" w:cs="Arial"/>
          <w:color w:val="000000" w:themeColor="text1"/>
          <w:szCs w:val="19"/>
          <w:lang w:val="es-MX" w:eastAsia="es-MX"/>
        </w:rPr>
      </w:pPr>
      <w:r w:rsidRPr="00917C1B">
        <w:rPr>
          <w:rFonts w:ascii="Palatino Linotype" w:hAnsi="Palatino Linotype" w:cs="Arial"/>
          <w:color w:val="000000" w:themeColor="text1"/>
          <w:szCs w:val="19"/>
          <w:lang w:eastAsia="es-MX"/>
        </w:rPr>
        <w:t>Como apoyo a lo anterior, es aplicable por analogía el Criterio 09-10, emitido por el Pleno del entonces Instituto Federal de Acceso a la Información y Protección de Datos, que dice:</w:t>
      </w:r>
    </w:p>
    <w:p w14:paraId="7121151E" w14:textId="77777777" w:rsidR="0096576D" w:rsidRPr="00917C1B" w:rsidRDefault="0096576D" w:rsidP="0096576D">
      <w:pPr>
        <w:shd w:val="clear" w:color="auto" w:fill="FFFFFF"/>
        <w:tabs>
          <w:tab w:val="left" w:pos="8647"/>
        </w:tabs>
        <w:spacing w:before="240" w:after="240"/>
        <w:ind w:left="567" w:right="-29"/>
        <w:jc w:val="both"/>
        <w:rPr>
          <w:rFonts w:ascii="Palatino Linotype" w:hAnsi="Palatino Linotype" w:cs="Arial"/>
          <w:i/>
          <w:iCs/>
          <w:color w:val="000000" w:themeColor="text1"/>
          <w:sz w:val="20"/>
          <w:szCs w:val="22"/>
          <w:lang w:eastAsia="es-MX"/>
        </w:rPr>
      </w:pPr>
      <w:r w:rsidRPr="00917C1B">
        <w:rPr>
          <w:rFonts w:ascii="Palatino Linotype" w:hAnsi="Palatino Linotype" w:cs="Arial"/>
          <w:b/>
          <w:bCs/>
          <w:i/>
          <w:iCs/>
          <w:color w:val="000000" w:themeColor="text1"/>
          <w:sz w:val="20"/>
          <w:szCs w:val="22"/>
          <w:lang w:eastAsia="es-MX"/>
        </w:rPr>
        <w:t>“Las dependencias y entidades no están obligadas a generar documentos ad hoc para responder una solicitud de acceso a la información. </w:t>
      </w:r>
      <w:r w:rsidRPr="00917C1B">
        <w:rPr>
          <w:rFonts w:ascii="Palatino Linotype" w:hAnsi="Palatino Linotype" w:cs="Arial"/>
          <w:i/>
          <w:iCs/>
          <w:color w:val="000000" w:themeColor="text1"/>
          <w:sz w:val="20"/>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D3414A4" w14:textId="77777777" w:rsidR="0096576D" w:rsidRPr="00917C1B" w:rsidRDefault="0096576D" w:rsidP="0096576D">
      <w:pPr>
        <w:shd w:val="clear" w:color="auto" w:fill="FFFFFF"/>
        <w:spacing w:before="240" w:after="240" w:line="360" w:lineRule="auto"/>
        <w:jc w:val="both"/>
        <w:rPr>
          <w:rFonts w:ascii="Palatino Linotype" w:hAnsi="Palatino Linotype" w:cs="Arial"/>
          <w:color w:val="000000" w:themeColor="text1"/>
          <w:szCs w:val="19"/>
          <w:lang w:eastAsia="es-MX"/>
        </w:rPr>
      </w:pPr>
      <w:r w:rsidRPr="00917C1B">
        <w:rPr>
          <w:rFonts w:ascii="Palatino Linotype" w:hAnsi="Palatino Linotype" w:cs="Arial"/>
          <w:color w:val="000000" w:themeColor="text1"/>
          <w:szCs w:val="19"/>
          <w:lang w:eastAsia="es-MX"/>
        </w:rPr>
        <w:t>En efecto, el derecho de acceso a la información es un derecho de acceso a documentos; por lo que, se estima que la naturaleza de los artículos de la legislación en la materia versa en ese acceso al documento </w:t>
      </w:r>
      <w:r w:rsidRPr="00917C1B">
        <w:rPr>
          <w:rFonts w:ascii="Palatino Linotype" w:hAnsi="Palatino Linotype" w:cs="Arial"/>
          <w:i/>
          <w:iCs/>
          <w:color w:val="000000" w:themeColor="text1"/>
          <w:szCs w:val="19"/>
          <w:lang w:eastAsia="es-MX"/>
        </w:rPr>
        <w:t>per se</w:t>
      </w:r>
      <w:r w:rsidRPr="00917C1B">
        <w:rPr>
          <w:rFonts w:ascii="Palatino Linotype" w:hAnsi="Palatino Linotype" w:cs="Arial"/>
          <w:color w:val="000000" w:themeColor="text1"/>
          <w:szCs w:val="19"/>
          <w:lang w:eastAsia="es-MX"/>
        </w:rPr>
        <w:t>.</w:t>
      </w:r>
    </w:p>
    <w:p w14:paraId="25CF95EE" w14:textId="6DABBD2F" w:rsidR="00DD36C5" w:rsidRPr="00917C1B" w:rsidRDefault="00DD36C5" w:rsidP="0096576D">
      <w:pPr>
        <w:shd w:val="clear" w:color="auto" w:fill="FFFFFF"/>
        <w:spacing w:before="240" w:after="240" w:line="360" w:lineRule="auto"/>
        <w:jc w:val="both"/>
        <w:rPr>
          <w:rFonts w:ascii="Palatino Linotype" w:hAnsi="Palatino Linotype" w:cs="Arial"/>
          <w:color w:val="000000" w:themeColor="text1"/>
          <w:szCs w:val="19"/>
          <w:lang w:eastAsia="es-MX"/>
        </w:rPr>
      </w:pPr>
      <w:r w:rsidRPr="00917C1B">
        <w:rPr>
          <w:rFonts w:ascii="Palatino Linotype" w:hAnsi="Palatino Linotype" w:cs="Arial"/>
          <w:color w:val="000000" w:themeColor="text1"/>
          <w:szCs w:val="19"/>
          <w:lang w:eastAsia="es-MX"/>
        </w:rPr>
        <w:t xml:space="preserve">Ante los argumentos planteados no resulta procedente ordenar la Plataforma Electoral Municipal por considerar este Pleno que la información entregada cumple con los presupuestos de las Ley de la Materia, al otorgar acceso el </w:t>
      </w:r>
      <w:r w:rsidRPr="00917C1B">
        <w:rPr>
          <w:rFonts w:ascii="Palatino Linotype" w:hAnsi="Palatino Linotype" w:cs="Arial"/>
          <w:b/>
          <w:color w:val="000000" w:themeColor="text1"/>
          <w:szCs w:val="19"/>
          <w:lang w:eastAsia="es-MX"/>
        </w:rPr>
        <w:t xml:space="preserve">Sujeto Obligado </w:t>
      </w:r>
      <w:r w:rsidRPr="00917C1B">
        <w:rPr>
          <w:rFonts w:ascii="Palatino Linotype" w:hAnsi="Palatino Linotype" w:cs="Arial"/>
          <w:color w:val="000000" w:themeColor="text1"/>
          <w:szCs w:val="19"/>
          <w:lang w:eastAsia="es-MX"/>
        </w:rPr>
        <w:t xml:space="preserve">al documento que fue solicitado por el hoy </w:t>
      </w:r>
      <w:r w:rsidRPr="00917C1B">
        <w:rPr>
          <w:rFonts w:ascii="Palatino Linotype" w:hAnsi="Palatino Linotype" w:cs="Arial"/>
          <w:b/>
          <w:i/>
          <w:color w:val="000000" w:themeColor="text1"/>
          <w:szCs w:val="19"/>
          <w:lang w:eastAsia="es-MX"/>
        </w:rPr>
        <w:t xml:space="preserve">Recurrente </w:t>
      </w:r>
      <w:r w:rsidRPr="00917C1B">
        <w:rPr>
          <w:rFonts w:ascii="Palatino Linotype" w:hAnsi="Palatino Linotype" w:cs="Arial"/>
          <w:color w:val="000000" w:themeColor="text1"/>
          <w:szCs w:val="19"/>
          <w:lang w:eastAsia="es-MX"/>
        </w:rPr>
        <w:t>y que obra en sus archivos.</w:t>
      </w:r>
    </w:p>
    <w:p w14:paraId="4CF05DAE" w14:textId="06005085" w:rsidR="008E0844" w:rsidRPr="00917C1B" w:rsidRDefault="00DA1B7F" w:rsidP="0096576D">
      <w:pPr>
        <w:shd w:val="clear" w:color="auto" w:fill="FFFFFF"/>
        <w:spacing w:before="240" w:after="240" w:line="360" w:lineRule="auto"/>
        <w:jc w:val="both"/>
        <w:rPr>
          <w:rFonts w:ascii="Palatino Linotype" w:hAnsi="Palatino Linotype" w:cs="Arial"/>
          <w:bCs/>
          <w:color w:val="000000" w:themeColor="text1"/>
        </w:rPr>
      </w:pPr>
      <w:r w:rsidRPr="00917C1B">
        <w:rPr>
          <w:rFonts w:ascii="Palatino Linotype" w:hAnsi="Palatino Linotype" w:cs="Arial"/>
          <w:color w:val="000000" w:themeColor="text1"/>
          <w:szCs w:val="19"/>
          <w:lang w:eastAsia="es-MX"/>
        </w:rPr>
        <w:t xml:space="preserve">Por último, bajo el numeral 3 de la presente resolución, se determinó que el particular requirió la evidencia del cumplimiento de los requisitos de elegibilidad de los candidatos propietarios y suplentes integrantes de la planilla, que el Partido Verde Ecologista de México tuvo a bien atender, bajo el archivo denominado </w:t>
      </w:r>
      <w:hyperlink r:id="rId27" w:tgtFrame="_blank" w:history="1">
        <w:r w:rsidRPr="00917C1B">
          <w:rPr>
            <w:rStyle w:val="Hipervnculo"/>
            <w:rFonts w:ascii="Palatino Linotype" w:hAnsi="Palatino Linotype" w:cs="Arial"/>
            <w:b/>
            <w:bCs/>
            <w:color w:val="000000" w:themeColor="text1"/>
            <w:u w:val="none"/>
          </w:rPr>
          <w:t>27 de diciembre 2017 convocatoria.jpg</w:t>
        </w:r>
      </w:hyperlink>
      <w:r w:rsidRPr="00917C1B">
        <w:rPr>
          <w:rFonts w:ascii="Palatino Linotype" w:hAnsi="Palatino Linotype" w:cs="Arial"/>
          <w:b/>
          <w:bCs/>
          <w:color w:val="000000" w:themeColor="text1"/>
        </w:rPr>
        <w:t xml:space="preserve">, </w:t>
      </w:r>
      <w:r w:rsidRPr="00917C1B">
        <w:rPr>
          <w:rFonts w:ascii="Palatino Linotype" w:hAnsi="Palatino Linotype" w:cs="Arial"/>
          <w:bCs/>
          <w:color w:val="000000" w:themeColor="text1"/>
        </w:rPr>
        <w:t>que contiene la imagen que se inserta enseguida:</w:t>
      </w:r>
    </w:p>
    <w:p w14:paraId="2DDCADB2" w14:textId="7709BA91" w:rsidR="00DA1B7F" w:rsidRPr="00917C1B" w:rsidRDefault="00DA1B7F" w:rsidP="0096576D">
      <w:pPr>
        <w:shd w:val="clear" w:color="auto" w:fill="FFFFFF"/>
        <w:spacing w:before="240" w:after="240" w:line="360" w:lineRule="auto"/>
        <w:jc w:val="both"/>
        <w:rPr>
          <w:rFonts w:ascii="Palatino Linotype" w:hAnsi="Palatino Linotype" w:cs="Arial"/>
          <w:color w:val="000000" w:themeColor="text1"/>
          <w:lang w:eastAsia="es-MX"/>
        </w:rPr>
      </w:pPr>
      <w:r w:rsidRPr="00917C1B">
        <w:rPr>
          <w:rFonts w:ascii="Palatino Linotype" w:hAnsi="Palatino Linotype" w:cs="Arial"/>
          <w:noProof/>
          <w:color w:val="000000" w:themeColor="text1"/>
          <w:lang w:val="es-MX" w:eastAsia="es-MX"/>
        </w:rPr>
        <w:drawing>
          <wp:inline distT="0" distB="0" distL="0" distR="0" wp14:anchorId="4B47472F" wp14:editId="0882AF51">
            <wp:extent cx="5611008" cy="4258269"/>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1008" cy="4258269"/>
                    </a:xfrm>
                    <a:prstGeom prst="rect">
                      <a:avLst/>
                    </a:prstGeom>
                  </pic:spPr>
                </pic:pic>
              </a:graphicData>
            </a:graphic>
          </wp:inline>
        </w:drawing>
      </w:r>
    </w:p>
    <w:p w14:paraId="4C379028" w14:textId="1F60443A" w:rsidR="00AC590D" w:rsidRPr="00917C1B" w:rsidRDefault="00AC590D" w:rsidP="00AC590D">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Documento que contravino el particular al indicar que la imagen no se puede visualizar correctamente, no obstante que no hizo manifestación directa contra los requisitos de elegibilidad, pero derivado de que el motivo de agravio sustancial es la insuficiencia de la respuesta; es que se considera suficiente para que este Instituto supla la deficiencia en el recurso de revisión y se analicen la respuesta del Sujeto Obligado en relación con el punto en análisis, ello con sustento en los artículos 13 y 181 tercer párrafo de la Ley de Transparencia y Acceso a la Información Pública del Estado de México y Municipios, los cuales a la letra refieren:</w:t>
      </w:r>
    </w:p>
    <w:p w14:paraId="543B99FA" w14:textId="77777777" w:rsidR="00AC590D" w:rsidRPr="00917C1B" w:rsidRDefault="00AC590D" w:rsidP="00AC590D">
      <w:pPr>
        <w:autoSpaceDE w:val="0"/>
        <w:autoSpaceDN w:val="0"/>
        <w:adjustRightInd w:val="0"/>
        <w:spacing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w:t>
      </w:r>
      <w:r w:rsidRPr="00917C1B">
        <w:rPr>
          <w:rFonts w:ascii="Palatino Linotype" w:hAnsi="Palatino Linotype" w:cs="Arial"/>
          <w:b/>
          <w:i/>
          <w:color w:val="000000" w:themeColor="text1"/>
          <w:sz w:val="20"/>
          <w:szCs w:val="20"/>
        </w:rPr>
        <w:t>Artículo 13.</w:t>
      </w:r>
      <w:r w:rsidRPr="00917C1B">
        <w:rPr>
          <w:rFonts w:ascii="Palatino Linotype" w:hAnsi="Palatino Linotype" w:cs="Arial"/>
          <w:i/>
          <w:color w:val="000000" w:themeColor="text1"/>
          <w:sz w:val="20"/>
          <w:szCs w:val="20"/>
        </w:rPr>
        <w:t xml:space="preserve"> El Instituto, en el ámbito de sus atribuciones, deberá suplir cualquier deficiencia para garantizar el ejercicio del derecho de acceso a la información.</w:t>
      </w:r>
    </w:p>
    <w:p w14:paraId="6464F060" w14:textId="20A6880A" w:rsidR="00AC590D" w:rsidRPr="00917C1B" w:rsidRDefault="00AC590D" w:rsidP="00AC590D">
      <w:pPr>
        <w:autoSpaceDE w:val="0"/>
        <w:autoSpaceDN w:val="0"/>
        <w:adjustRightInd w:val="0"/>
        <w:spacing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b/>
          <w:i/>
          <w:color w:val="000000" w:themeColor="text1"/>
          <w:sz w:val="20"/>
          <w:szCs w:val="20"/>
        </w:rPr>
        <w:t>Artículo 181.</w:t>
      </w:r>
      <w:r w:rsidRPr="00917C1B">
        <w:rPr>
          <w:rFonts w:ascii="Palatino Linotype" w:hAnsi="Palatino Linotype" w:cs="Arial"/>
          <w:i/>
          <w:color w:val="000000" w:themeColor="text1"/>
          <w:sz w:val="20"/>
          <w:szCs w:val="20"/>
        </w:rPr>
        <w:t xml:space="preserve"> …Durante el procedimiento deberá aplicarse la suplencia de la queja a favor del recurrente, sin cambiar los hechos expuestos, asegurándose de que las partes puedan presentar, de manera oral o escrita, los argumentos que funden y motiven sus pretensiones.”</w:t>
      </w:r>
    </w:p>
    <w:p w14:paraId="0F66866B" w14:textId="01EE406B" w:rsidR="00AC590D" w:rsidRPr="00917C1B" w:rsidRDefault="00AC590D" w:rsidP="00AC590D">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rPr>
        <w:t xml:space="preserve">De los numerales transcritos, se desprende que es deber de este Instituto suplir cualquier deficiencia para garantizar el derecho de acceso a la información pública a favor del recurrente, sin que se cambien los hechos que fuera expuestos por éste; lo cual, encuentra sustento en la jurisprudencia emitida por la Suprema Corte de Justicia de la Nación que a continuación se inserta: </w:t>
      </w:r>
    </w:p>
    <w:p w14:paraId="276A1A3C" w14:textId="113FDEE5" w:rsidR="00AC590D" w:rsidRPr="00917C1B" w:rsidRDefault="00AC590D" w:rsidP="00AC590D">
      <w:pPr>
        <w:autoSpaceDE w:val="0"/>
        <w:autoSpaceDN w:val="0"/>
        <w:adjustRightInd w:val="0"/>
        <w:ind w:left="851" w:right="900"/>
        <w:jc w:val="both"/>
        <w:rPr>
          <w:rFonts w:ascii="Palatino Linotype" w:hAnsi="Palatino Linotype" w:cs="Arial"/>
          <w:i/>
          <w:color w:val="000000" w:themeColor="text1"/>
          <w:sz w:val="20"/>
          <w:szCs w:val="20"/>
        </w:rPr>
      </w:pPr>
      <w:r w:rsidRPr="00917C1B">
        <w:rPr>
          <w:rFonts w:ascii="Palatino Linotype" w:hAnsi="Palatino Linotype" w:cs="Arial"/>
          <w:b/>
          <w:i/>
          <w:color w:val="000000" w:themeColor="text1"/>
          <w:sz w:val="20"/>
          <w:szCs w:val="20"/>
        </w:rPr>
        <w:t xml:space="preserve">“SUPLENCIA DE LA QUEJA DEFICIENTE. DEBE HACERSE A PARTIR DE LOS CONCEPTOS DE VIOLACIÓN O, EN SU CASO, DE LOS AGRAVIOS EXPRESADOS, POR LO TANTO NO ES ILIMITADA. </w:t>
      </w:r>
      <w:r w:rsidRPr="00917C1B">
        <w:rPr>
          <w:rFonts w:ascii="Palatino Linotype" w:hAnsi="Palatino Linotype" w:cs="Arial"/>
          <w:i/>
          <w:color w:val="000000" w:themeColor="text1"/>
          <w:sz w:val="20"/>
          <w:szCs w:val="20"/>
        </w:rPr>
        <w:t>El artículo 76 bis de la Ley de Amparo señala que la suplencia de la queja deficiente se entiende referida a los conceptos de violación y, en su caso, a los agravios, es decir, a la materia misma del juicio de garantías, por lo que debe considerarse que dicho precepto limita el ámbito de aplicación de tal figura a las cuestiones relacionadas con el fondo del asunto, de ahí que dicha suplencia no sea aplicable a la procedencia del juicio de amparo. En ese tenor, a excepción de la materia penal, el órgano de control constitucional no puede libremente realizar el examen del precepto legal reclamado o de la resolución recurrida, sino que debe hacerlo a partir de lo expresado en los conceptos de violación o, en su caso, en los agravios, de manera que sin la existencia de un mínimo razonamiento expresado en la demanda, esto es, sin la elemental causa de pedir, el juzgador no se encuentra en aptitud de resolver si el acto reclamado es o no violatorio de garantías, porque la suplencia de la queja deficiente es una institución procesal que si bien fue establecida con la finalidad de hacer prevalecer las garantías que otorga la Constitución Federal, no deja de estar sujeta a los requisitos previstos al efecto, tanto en la Ley Fundamental como en la Ley de Amparo.”</w:t>
      </w:r>
    </w:p>
    <w:p w14:paraId="186D1CFC" w14:textId="7DAEF11A" w:rsidR="00DA1B7F" w:rsidRPr="00917C1B" w:rsidRDefault="00DA1B7F" w:rsidP="00DA1B7F">
      <w:pPr>
        <w:spacing w:before="240" w:after="36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En este sentido, es importante señalar que </w:t>
      </w:r>
      <w:r w:rsidR="00A86A81" w:rsidRPr="00917C1B">
        <w:rPr>
          <w:rFonts w:ascii="Palatino Linotype" w:hAnsi="Palatino Linotype" w:cs="Arial"/>
          <w:color w:val="000000" w:themeColor="text1"/>
        </w:rPr>
        <w:t xml:space="preserve">en razón de lo prescrito en los artículos 88 y 89 de la Ley de Transparencia y Acceso a la Información Pública del Estado de México y Municipios, los sujetos obligados </w:t>
      </w:r>
      <w:r w:rsidRPr="00917C1B">
        <w:rPr>
          <w:rFonts w:ascii="Palatino Linotype" w:hAnsi="Palatino Linotype" w:cs="Arial"/>
          <w:color w:val="000000" w:themeColor="text1"/>
        </w:rPr>
        <w:t>al momento de dar atención a las solicitudes, deben cerciorarse de poner la información a disposición de las personas los medios necesarios para que éstas puedan obtener la información pública de manera directa y sencilla</w:t>
      </w:r>
      <w:r w:rsidR="00A86A81" w:rsidRPr="00917C1B">
        <w:rPr>
          <w:rFonts w:ascii="Palatino Linotype" w:hAnsi="Palatino Linotype" w:cs="Arial"/>
          <w:color w:val="000000" w:themeColor="text1"/>
        </w:rPr>
        <w:t>, tal y como se puede leer enseguida:</w:t>
      </w:r>
    </w:p>
    <w:p w14:paraId="2CFDADE4" w14:textId="77777777" w:rsidR="00DA1B7F" w:rsidRPr="00917C1B" w:rsidRDefault="00DA1B7F" w:rsidP="00A86A81">
      <w:pPr>
        <w:spacing w:after="120"/>
        <w:ind w:left="851" w:right="900"/>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w:t>
      </w:r>
      <w:r w:rsidRPr="00917C1B">
        <w:rPr>
          <w:rFonts w:ascii="Palatino Linotype" w:hAnsi="Palatino Linotype" w:cs="Arial"/>
          <w:b/>
          <w:i/>
          <w:color w:val="000000" w:themeColor="text1"/>
          <w:sz w:val="20"/>
          <w:szCs w:val="20"/>
        </w:rPr>
        <w:t>Artículo 88.-</w:t>
      </w:r>
      <w:r w:rsidRPr="00917C1B">
        <w:rPr>
          <w:rFonts w:ascii="Palatino Linotype" w:hAnsi="Palatino Linotype" w:cs="Arial"/>
          <w:i/>
          <w:color w:val="000000" w:themeColor="text1"/>
          <w:sz w:val="20"/>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1B04BC1A" w14:textId="36D835A1" w:rsidR="00DA1B7F" w:rsidRPr="00917C1B" w:rsidRDefault="00DA1B7F" w:rsidP="00A86A81">
      <w:pPr>
        <w:spacing w:after="120"/>
        <w:ind w:left="851" w:right="900"/>
        <w:jc w:val="both"/>
        <w:rPr>
          <w:rFonts w:ascii="Palatino Linotype" w:hAnsi="Palatino Linotype" w:cs="Arial"/>
          <w:i/>
          <w:color w:val="000000" w:themeColor="text1"/>
          <w:sz w:val="20"/>
          <w:szCs w:val="20"/>
        </w:rPr>
      </w:pPr>
      <w:r w:rsidRPr="00917C1B">
        <w:rPr>
          <w:rFonts w:ascii="Palatino Linotype" w:hAnsi="Palatino Linotype" w:cs="Arial"/>
          <w:b/>
          <w:i/>
          <w:color w:val="000000" w:themeColor="text1"/>
          <w:sz w:val="20"/>
          <w:szCs w:val="20"/>
        </w:rPr>
        <w:t xml:space="preserve">Artículo 89.- </w:t>
      </w:r>
      <w:r w:rsidRPr="00917C1B">
        <w:rPr>
          <w:rFonts w:ascii="Palatino Linotype" w:hAnsi="Palatino Linotype" w:cs="Arial"/>
          <w:i/>
          <w:color w:val="000000" w:themeColor="text1"/>
          <w:sz w:val="20"/>
          <w:szCs w:val="20"/>
        </w:rPr>
        <w:t>Los sujetos obligados pondrán a disposición de las personas interesadas los medios necesarios a su alcance para que éstas puedan obtener la información, de manera directa y sencilla. Las unidades de transparencia deberán proporcionar apoyo a los usuarios que lo requieran y dar asistencia respecto de los trámites y servicios que presten.”</w:t>
      </w:r>
    </w:p>
    <w:p w14:paraId="1FB0F4BC" w14:textId="430C354C" w:rsidR="00DA1B7F" w:rsidRPr="00917C1B" w:rsidRDefault="00DA1B7F" w:rsidP="00A86A81">
      <w:pPr>
        <w:spacing w:before="240" w:after="240" w:line="360" w:lineRule="auto"/>
        <w:jc w:val="both"/>
        <w:rPr>
          <w:rFonts w:ascii="Palatino Linotype" w:hAnsi="Palatino Linotype" w:cs="Arial"/>
          <w:i/>
          <w:color w:val="000000" w:themeColor="text1"/>
        </w:rPr>
      </w:pPr>
      <w:r w:rsidRPr="00917C1B">
        <w:rPr>
          <w:rFonts w:ascii="Palatino Linotype" w:hAnsi="Palatino Linotype" w:cs="Arial"/>
          <w:color w:val="000000" w:themeColor="text1"/>
        </w:rPr>
        <w:t xml:space="preserve">En virtud de lo anterior, es claro que el </w:t>
      </w:r>
      <w:r w:rsidRPr="00917C1B">
        <w:rPr>
          <w:rFonts w:ascii="Palatino Linotype" w:hAnsi="Palatino Linotype" w:cs="Arial"/>
          <w:b/>
          <w:color w:val="000000" w:themeColor="text1"/>
        </w:rPr>
        <w:t>Sujeto Obligado</w:t>
      </w:r>
      <w:r w:rsidRPr="00917C1B">
        <w:rPr>
          <w:rFonts w:ascii="Palatino Linotype" w:hAnsi="Palatino Linotype" w:cs="Arial"/>
          <w:color w:val="000000" w:themeColor="text1"/>
        </w:rPr>
        <w:t xml:space="preserve">, al entregar información que no es posible su visualización a simple vista, no está garantizando el derecho de acceso a la información, pues no pone en práctica políticas y programas de acceso a la información que se apeguen a un criterio de publicidad y precisión, ya que la documentación tal y como fue entregada al particular no facilita su acceso, ni permite que el solicitante la obtenga de manera directa y sencilla; razones por las cuales el </w:t>
      </w:r>
      <w:r w:rsidR="00A86A81" w:rsidRPr="00917C1B">
        <w:rPr>
          <w:rFonts w:ascii="Palatino Linotype" w:hAnsi="Palatino Linotype" w:cs="Arial"/>
          <w:color w:val="000000" w:themeColor="text1"/>
        </w:rPr>
        <w:t>Partido Verde</w:t>
      </w:r>
      <w:r w:rsidRPr="00917C1B">
        <w:rPr>
          <w:rFonts w:ascii="Palatino Linotype" w:hAnsi="Palatino Linotype" w:cs="Arial"/>
          <w:color w:val="000000" w:themeColor="text1"/>
        </w:rPr>
        <w:t xml:space="preserve"> no atiende a los artículos 1, 4, 88 y 89 de la Ley de Transparencia y Acceso a la Información Pública del Estado de México y Municipios</w:t>
      </w:r>
      <w:r w:rsidR="00AC590D" w:rsidRPr="00917C1B">
        <w:rPr>
          <w:rFonts w:ascii="Palatino Linotype" w:hAnsi="Palatino Linotype" w:cs="Arial"/>
          <w:color w:val="000000" w:themeColor="text1"/>
        </w:rPr>
        <w:t xml:space="preserve"> y resulta procedente o</w:t>
      </w:r>
      <w:r w:rsidR="00C62DB1" w:rsidRPr="00917C1B">
        <w:rPr>
          <w:rFonts w:ascii="Palatino Linotype" w:hAnsi="Palatino Linotype" w:cs="Arial"/>
          <w:color w:val="000000" w:themeColor="text1"/>
        </w:rPr>
        <w:t>rdenar su entrega, en virtud de que asumió que administra, genera o posee la informaci</w:t>
      </w:r>
      <w:r w:rsidR="00405797" w:rsidRPr="00917C1B">
        <w:rPr>
          <w:rFonts w:ascii="Palatino Linotype" w:hAnsi="Palatino Linotype" w:cs="Arial"/>
          <w:color w:val="000000" w:themeColor="text1"/>
        </w:rPr>
        <w:t xml:space="preserve">ón, que si bien no es la convocatoria en sí misma, aceptó que los militantes, adherentes y simpatizante acreditados en el Padrón Nacional de Afiliados interesados en participar en el proceso electoral 2017-2018 debían ajustarse a las fracciones de la base Quinta de la </w:t>
      </w:r>
      <w:r w:rsidR="00405797" w:rsidRPr="00917C1B">
        <w:rPr>
          <w:rFonts w:ascii="Palatino Linotype" w:hAnsi="Palatino Linotype" w:cs="Arial"/>
          <w:i/>
          <w:color w:val="000000" w:themeColor="text1"/>
        </w:rPr>
        <w:t>Convocatoria a los Militantes, Adherentes y Simpatizantes del Partido Verde Ecologista de México en el Estado de México.</w:t>
      </w:r>
    </w:p>
    <w:p w14:paraId="70130F87" w14:textId="77777777" w:rsidR="00B94C6C" w:rsidRPr="00917C1B" w:rsidRDefault="00B94C6C" w:rsidP="00B94C6C">
      <w:pPr>
        <w:spacing w:before="100" w:beforeAutospacing="1" w:after="100" w:afterAutospacing="1" w:line="360" w:lineRule="auto"/>
        <w:jc w:val="both"/>
        <w:rPr>
          <w:rFonts w:ascii="Palatino Linotype" w:hAnsi="Palatino Linotype"/>
          <w:color w:val="000000" w:themeColor="text1"/>
        </w:rPr>
      </w:pPr>
      <w:r w:rsidRPr="00917C1B">
        <w:rPr>
          <w:rFonts w:ascii="Palatino Linotype" w:hAnsi="Palatino Linotype"/>
          <w:color w:val="000000" w:themeColor="text1"/>
        </w:rPr>
        <w:t xml:space="preserve">Asimismo, se identifica que no se precisa el periodo por el que requiere la información, por lo que de acuerdo a la fecha en que se presentó la solicitud de información -el veintisiete de junio de dos mil dieciocho-, se precisa que la información que el </w:t>
      </w:r>
      <w:r w:rsidRPr="00917C1B">
        <w:rPr>
          <w:rFonts w:ascii="Palatino Linotype" w:hAnsi="Palatino Linotype"/>
          <w:b/>
          <w:color w:val="000000" w:themeColor="text1"/>
        </w:rPr>
        <w:t>Sujeto Obligado</w:t>
      </w:r>
      <w:r w:rsidRPr="00917C1B">
        <w:rPr>
          <w:rFonts w:ascii="Palatino Linotype" w:hAnsi="Palatino Linotype"/>
          <w:color w:val="000000" w:themeColor="text1"/>
        </w:rPr>
        <w:t xml:space="preserve"> proporcione deberá corresponder al proceso electoral 2017-2018</w:t>
      </w:r>
      <w:r w:rsidRPr="00917C1B">
        <w:rPr>
          <w:rStyle w:val="Refdenotaalpie"/>
          <w:rFonts w:ascii="Palatino Linotype" w:hAnsi="Palatino Linotype"/>
          <w:color w:val="000000" w:themeColor="text1"/>
        </w:rPr>
        <w:footnoteReference w:id="15"/>
      </w:r>
      <w:r w:rsidRPr="00917C1B">
        <w:rPr>
          <w:rFonts w:ascii="Palatino Linotype" w:hAnsi="Palatino Linotype"/>
          <w:color w:val="000000" w:themeColor="text1"/>
        </w:rPr>
        <w:t>, con apoyo en el criterio 09/13 de los emitidos por el entonces IFAI, que se lee como se inserta enseguida:</w:t>
      </w:r>
    </w:p>
    <w:p w14:paraId="264797CE" w14:textId="77777777" w:rsidR="00B94C6C" w:rsidRPr="00917C1B" w:rsidRDefault="00B94C6C" w:rsidP="00B94C6C">
      <w:pPr>
        <w:spacing w:after="120"/>
        <w:ind w:left="851" w:right="900"/>
        <w:jc w:val="both"/>
        <w:rPr>
          <w:rFonts w:ascii="Palatino Linotype" w:hAnsi="Palatino Linotype" w:cs="Segoe UI"/>
          <w:iCs/>
          <w:color w:val="000000" w:themeColor="text1"/>
          <w:sz w:val="20"/>
          <w:szCs w:val="20"/>
        </w:rPr>
      </w:pPr>
      <w:r w:rsidRPr="00917C1B">
        <w:rPr>
          <w:rFonts w:ascii="Palatino Linotype" w:hAnsi="Palatino Linotype"/>
          <w:b/>
          <w:i/>
          <w:color w:val="000000" w:themeColor="text1"/>
          <w:sz w:val="20"/>
          <w:szCs w:val="20"/>
        </w:rPr>
        <w:t>“Periodo de búsqueda de la información, cuando no se precisa en la solicitud de información.</w:t>
      </w:r>
      <w:r w:rsidRPr="00917C1B">
        <w:rPr>
          <w:rFonts w:ascii="Palatino Linotype" w:hAnsi="Palatino Linotype"/>
          <w:i/>
          <w:color w:val="000000" w:themeColor="text1"/>
          <w:sz w:val="20"/>
          <w:szCs w:val="20"/>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42DE6BAD" w14:textId="362ED989" w:rsidR="00783270" w:rsidRPr="00917C1B" w:rsidRDefault="00783270" w:rsidP="005F6B24">
      <w:pPr>
        <w:spacing w:before="240" w:after="240" w:line="360" w:lineRule="auto"/>
        <w:jc w:val="both"/>
        <w:rPr>
          <w:rFonts w:ascii="Palatino Linotype" w:hAnsi="Palatino Linotype"/>
          <w:b/>
          <w:color w:val="000000" w:themeColor="text1"/>
          <w:sz w:val="28"/>
          <w:szCs w:val="28"/>
        </w:rPr>
      </w:pPr>
      <w:r w:rsidRPr="00917C1B">
        <w:rPr>
          <w:rFonts w:ascii="Palatino Linotype" w:hAnsi="Palatino Linotype"/>
          <w:b/>
          <w:color w:val="000000" w:themeColor="text1"/>
          <w:sz w:val="28"/>
          <w:szCs w:val="28"/>
        </w:rPr>
        <w:t>Quinto. Versión Pública.</w:t>
      </w:r>
    </w:p>
    <w:p w14:paraId="05080531" w14:textId="77777777" w:rsidR="00783270" w:rsidRPr="00917C1B" w:rsidRDefault="00783270" w:rsidP="00783270">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FBBDCE1"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“Artículo 3. Para los efectos de la presente Ley se entenderá por:</w:t>
      </w:r>
    </w:p>
    <w:p w14:paraId="0515606F"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w:t>
      </w:r>
    </w:p>
    <w:p w14:paraId="20213ABF"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 xml:space="preserve">IX. Datos personales: La información concerniente a una persona, identificada o identificable según lo dispuesto por la Ley de Protección de Datos Personales del Estado de México; </w:t>
      </w:r>
    </w:p>
    <w:p w14:paraId="35D7829C"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XX. Información clasificada: Aquella considerada por la presente Ley como reservada o confidencial;</w:t>
      </w:r>
    </w:p>
    <w:p w14:paraId="27BA709E"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7F1DFD"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XLV. Versión pública: Documento en el que se elimine, suprime o borra la información clasificada como reservada o confidencial para permitir su acceso.</w:t>
      </w:r>
    </w:p>
    <w:p w14:paraId="45AE3C6A"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w:t>
      </w:r>
    </w:p>
    <w:p w14:paraId="48508F9D"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Artículo 91. El acceso a la información pública será restringido excepcionalmente, cuando ésta sea clasificada como reservada o confidencial.</w:t>
      </w:r>
    </w:p>
    <w:p w14:paraId="55A26375"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Artículo 132. La clasificación de la información se llevará a cabo en el momento en que:</w:t>
      </w:r>
    </w:p>
    <w:p w14:paraId="51CE6F25"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I. Se reciba una solicitud de acceso a la información;</w:t>
      </w:r>
    </w:p>
    <w:p w14:paraId="778AD101"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II. Se determine mediante resolución de autoridad competente; o</w:t>
      </w:r>
    </w:p>
    <w:p w14:paraId="23810927"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III. Se generen versiones públicas para dar cumplimiento a las obligaciones de transparencia previstas en esta Ley.</w:t>
      </w:r>
    </w:p>
    <w:p w14:paraId="2848E553"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w:t>
      </w:r>
    </w:p>
    <w:p w14:paraId="0F9277EC"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Artículo 143. Para los efectos de esta Ley se considera información confidencial, la clasificada como tal, de manera permanente, por su naturaleza, cuando:</w:t>
      </w:r>
    </w:p>
    <w:p w14:paraId="010F5940"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I. Se refiera a la información privada y los datos personales concernientes a una persona física o jurídico colectiva identificada o identificable;</w:t>
      </w:r>
    </w:p>
    <w:p w14:paraId="44DFAEC9"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54413A3F"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III. La que presenten los particulares a los sujetos obligados, de conformidad con lo dispuesto por las leyes o los tratados internacionales.</w:t>
      </w:r>
    </w:p>
    <w:p w14:paraId="65647766"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La información confidencial no estará sujeta a temporalidad alguna y sólo podrán tener acceso a ella los titulares de la misma, sus representantes y los servidores públicos facultados para ello.</w:t>
      </w:r>
    </w:p>
    <w:p w14:paraId="5A456F33" w14:textId="77777777" w:rsidR="00783270" w:rsidRPr="00917C1B" w:rsidRDefault="00783270" w:rsidP="00783270">
      <w:pPr>
        <w:spacing w:before="120" w:after="120"/>
        <w:ind w:left="851" w:right="902"/>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No se considerará confidencial la información que se encuentre en los registros públicos o en fuentes de acceso público, ni tampoco la que sea considerada por la presente ley como información pública.”</w:t>
      </w:r>
    </w:p>
    <w:p w14:paraId="070FEA39" w14:textId="77777777" w:rsidR="00783270" w:rsidRPr="00917C1B" w:rsidRDefault="00783270" w:rsidP="00783270">
      <w:pPr>
        <w:spacing w:before="240" w:after="240" w:line="360" w:lineRule="auto"/>
        <w:jc w:val="both"/>
        <w:rPr>
          <w:rFonts w:ascii="Palatino Linotype" w:hAnsi="Palatino Linotype" w:cs="Arial"/>
          <w:color w:val="000000" w:themeColor="text1"/>
          <w:sz w:val="22"/>
        </w:rPr>
      </w:pPr>
      <w:r w:rsidRPr="00917C1B">
        <w:rPr>
          <w:rFonts w:ascii="Palatino Linotype" w:hAnsi="Palatino Linotype" w:cs="Arial"/>
          <w:color w:val="000000" w:themeColor="text1"/>
        </w:rPr>
        <w:t>Esto en el entendido de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38 de la Ley de Protección de Datos Personales en Posesión de Sujetos Obligados del Estado de México y Municipios.</w:t>
      </w:r>
    </w:p>
    <w:p w14:paraId="08993D57" w14:textId="77777777" w:rsidR="00783270" w:rsidRPr="00917C1B" w:rsidRDefault="00783270" w:rsidP="00783270">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9D2E1A8" w14:textId="77777777" w:rsidR="00783270" w:rsidRPr="00917C1B" w:rsidRDefault="00783270" w:rsidP="00783270">
      <w:pPr>
        <w:pStyle w:val="Sinespaciado"/>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Así, los Criterios para la Clasificación de la Información Pública de las Dependencias, Organismos Auxiliares y Fideicomisos Públicos de la Administración Pública del Estado de México, emitidos por este Instituto, señalan con claridad cuáles son aquellos datos personales que deben ser clasificados al momento de la elaboración de las versiones públicas. </w:t>
      </w:r>
    </w:p>
    <w:p w14:paraId="2A27ECEF" w14:textId="27019B96" w:rsidR="00783270" w:rsidRPr="00917C1B" w:rsidRDefault="00783270" w:rsidP="00783270">
      <w:pPr>
        <w:pStyle w:val="Sinespaciado"/>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En el caso específico, en la documentación en la cual podría constar la información solicitada, podría advertirse información confidencial que haga identificada o identificable a una persona, la cual de manera enunciativa más no limitativa podría ser el </w:t>
      </w:r>
      <w:r w:rsidRPr="00917C1B">
        <w:rPr>
          <w:rFonts w:ascii="Palatino Linotype" w:hAnsi="Palatino Linotype" w:cs="Arial"/>
          <w:b/>
          <w:color w:val="000000" w:themeColor="text1"/>
        </w:rPr>
        <w:t xml:space="preserve">domicilio, lugar de nacimiento, </w:t>
      </w:r>
      <w:r w:rsidRPr="00917C1B">
        <w:rPr>
          <w:rFonts w:ascii="Palatino Linotype" w:hAnsi="Palatino Linotype" w:cs="Arial"/>
          <w:b/>
          <w:color w:val="000000" w:themeColor="text1"/>
          <w:lang w:eastAsia="es-MX"/>
        </w:rPr>
        <w:t>fecha de nacimiento, edad, sexo</w:t>
      </w:r>
      <w:r w:rsidRPr="00917C1B">
        <w:rPr>
          <w:rFonts w:ascii="Palatino Linotype" w:hAnsi="Palatino Linotype" w:cs="Arial"/>
          <w:color w:val="000000" w:themeColor="text1"/>
        </w:rPr>
        <w:t xml:space="preserve"> </w:t>
      </w:r>
      <w:r w:rsidRPr="00917C1B">
        <w:rPr>
          <w:rFonts w:ascii="Palatino Linotype" w:hAnsi="Palatino Linotype" w:cs="Arial"/>
          <w:b/>
          <w:color w:val="000000" w:themeColor="text1"/>
        </w:rPr>
        <w:t>Registro Federal de Contribuyentes</w:t>
      </w:r>
      <w:r w:rsidRPr="00917C1B">
        <w:rPr>
          <w:rFonts w:ascii="Palatino Linotype" w:hAnsi="Palatino Linotype" w:cs="Arial"/>
          <w:color w:val="000000" w:themeColor="text1"/>
        </w:rPr>
        <w:t xml:space="preserve"> (RFC), la </w:t>
      </w:r>
      <w:r w:rsidRPr="00917C1B">
        <w:rPr>
          <w:rFonts w:ascii="Palatino Linotype" w:hAnsi="Palatino Linotype" w:cs="Arial"/>
          <w:b/>
          <w:color w:val="000000" w:themeColor="text1"/>
        </w:rPr>
        <w:t>Clave Única de Registro de Población</w:t>
      </w:r>
      <w:r w:rsidRPr="00917C1B">
        <w:rPr>
          <w:rFonts w:ascii="Palatino Linotype" w:hAnsi="Palatino Linotype" w:cs="Arial"/>
          <w:color w:val="000000" w:themeColor="text1"/>
        </w:rPr>
        <w:t xml:space="preserve"> (CURP); los cuales, deben testarse al momento de la elaboración de versiones públicas.</w:t>
      </w:r>
    </w:p>
    <w:p w14:paraId="3E5C1E7C" w14:textId="77777777" w:rsidR="00783270" w:rsidRPr="00917C1B" w:rsidRDefault="00783270" w:rsidP="00783270">
      <w:pPr>
        <w:autoSpaceDE w:val="0"/>
        <w:autoSpaceDN w:val="0"/>
        <w:adjustRightInd w:val="0"/>
        <w:spacing w:before="240" w:after="240" w:line="360" w:lineRule="auto"/>
        <w:ind w:right="-91"/>
        <w:jc w:val="both"/>
        <w:rPr>
          <w:rFonts w:ascii="Palatino Linotype" w:hAnsi="Palatino Linotype" w:cs="Arial"/>
          <w:i/>
          <w:color w:val="000000" w:themeColor="text1"/>
          <w:lang w:eastAsia="es-MX"/>
        </w:rPr>
      </w:pPr>
      <w:r w:rsidRPr="00917C1B">
        <w:rPr>
          <w:rFonts w:ascii="Palatino Linotype" w:hAnsi="Palatino Linotype" w:cs="Arial"/>
          <w:color w:val="000000" w:themeColor="text1"/>
        </w:rPr>
        <w:t>Por lo que respecta al domicilio de una persona física (domicilio particular),</w:t>
      </w:r>
      <w:r w:rsidRPr="00917C1B">
        <w:rPr>
          <w:rFonts w:ascii="Palatino Linotype" w:hAnsi="Palatino Linotype" w:cs="Arial"/>
          <w:b/>
          <w:color w:val="000000" w:themeColor="text1"/>
        </w:rPr>
        <w:t xml:space="preserve"> </w:t>
      </w:r>
      <w:r w:rsidRPr="00917C1B">
        <w:rPr>
          <w:rFonts w:ascii="Palatino Linotype" w:hAnsi="Palatino Linotype" w:cs="Arial"/>
          <w:color w:val="000000" w:themeColor="text1"/>
        </w:rPr>
        <w:t>conforme a lo dispuesto por el artículo 2.17</w:t>
      </w:r>
      <w:r w:rsidRPr="00917C1B">
        <w:rPr>
          <w:rFonts w:ascii="Palatino Linotype" w:hAnsi="Palatino Linotype" w:cs="Arial"/>
          <w:color w:val="000000" w:themeColor="text1"/>
          <w:lang w:eastAsia="es-MX"/>
        </w:rPr>
        <w:t xml:space="preserve"> del Código Civil del Estado de México, éste “</w:t>
      </w:r>
      <w:r w:rsidRPr="00917C1B">
        <w:rPr>
          <w:rFonts w:ascii="Palatino Linotype" w:hAnsi="Palatino Linotype" w:cs="Arial"/>
          <w:i/>
          <w:color w:val="000000" w:themeColor="text1"/>
          <w:lang w:val="es-MX" w:eastAsia="es-MX"/>
        </w:rPr>
        <w:t>es el lugar donde reside con el propósito de establecerse en él; a falta de éste, el lugar en que tiene el principal asiento de sus negocios; y a falta de uno y otro, el lugar en que se halle”</w:t>
      </w:r>
    </w:p>
    <w:p w14:paraId="6F0A4573" w14:textId="77777777" w:rsidR="00783270" w:rsidRPr="00917C1B" w:rsidRDefault="00783270" w:rsidP="00783270">
      <w:pPr>
        <w:spacing w:before="240" w:after="240" w:line="360" w:lineRule="auto"/>
        <w:ind w:right="-91"/>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En ese sentido, el dato sobre el domicilio particular si es información de carácter confidencial, en términos de lo dispuesto por la fracción I del artículo 143 de la Ley de la materia,</w:t>
      </w:r>
      <w:r w:rsidRPr="00917C1B">
        <w:rPr>
          <w:rFonts w:ascii="Palatino Linotype" w:hAnsi="Palatino Linotype" w:cs="Arial"/>
          <w:bCs/>
          <w:color w:val="000000" w:themeColor="text1"/>
          <w:lang w:eastAsia="es-MX"/>
        </w:rPr>
        <w:t xml:space="preserve"> así como el artículo 4, fracciones VII y VIII de </w:t>
      </w:r>
      <w:r w:rsidRPr="00917C1B">
        <w:rPr>
          <w:rFonts w:ascii="Palatino Linotype" w:hAnsi="Palatino Linotype" w:cs="Arial"/>
          <w:color w:val="000000" w:themeColor="text1"/>
        </w:rPr>
        <w:t>la Ley de Protección de Datos Personales del Estado de México,</w:t>
      </w:r>
      <w:r w:rsidRPr="00917C1B">
        <w:rPr>
          <w:rFonts w:ascii="Palatino Linotype" w:hAnsi="Palatino Linotype" w:cs="Arial"/>
          <w:color w:val="000000" w:themeColor="text1"/>
          <w:lang w:eastAsia="es-MX"/>
        </w:rPr>
        <w:t xml:space="preserve"> en virtud de que constituye información que incide en la intimidad de un individuo identificado.</w:t>
      </w:r>
    </w:p>
    <w:p w14:paraId="781734C6" w14:textId="77777777" w:rsidR="00783270" w:rsidRPr="00917C1B" w:rsidRDefault="00783270" w:rsidP="00783270">
      <w:pPr>
        <w:autoSpaceDE w:val="0"/>
        <w:autoSpaceDN w:val="0"/>
        <w:adjustRightInd w:val="0"/>
        <w:spacing w:before="240" w:after="240" w:line="360" w:lineRule="auto"/>
        <w:ind w:right="-91"/>
        <w:jc w:val="both"/>
        <w:rPr>
          <w:rFonts w:ascii="Palatino Linotype" w:hAnsi="Palatino Linotype" w:cs="Arial"/>
          <w:i/>
          <w:color w:val="000000" w:themeColor="text1"/>
          <w:lang w:eastAsia="es-MX"/>
        </w:rPr>
      </w:pPr>
      <w:r w:rsidRPr="00917C1B">
        <w:rPr>
          <w:rFonts w:ascii="Palatino Linotype" w:hAnsi="Palatino Linotype" w:cs="Arial"/>
          <w:color w:val="000000" w:themeColor="text1"/>
        </w:rPr>
        <w:t>Ahora bien, por lo que se refiere al lugar de nacimiento,</w:t>
      </w:r>
      <w:r w:rsidRPr="00917C1B">
        <w:rPr>
          <w:rFonts w:ascii="Palatino Linotype" w:hAnsi="Palatino Linotype" w:cs="Arial"/>
          <w:color w:val="000000" w:themeColor="text1"/>
          <w:lang w:eastAsia="es-MX"/>
        </w:rPr>
        <w:t xml:space="preserve"> cabe señalar que conforme al Diccionario Jurídico Mexicano la nacionalidad es “</w:t>
      </w:r>
      <w:r w:rsidRPr="00917C1B">
        <w:rPr>
          <w:rFonts w:ascii="Palatino Linotype" w:hAnsi="Palatino Linotype" w:cs="Arial"/>
          <w:i/>
          <w:color w:val="000000" w:themeColor="text1"/>
          <w:lang w:eastAsia="es-MX"/>
        </w:rPr>
        <w:t>es el atributo jurídico que señala al individuo como miembro del pueblo constitutivo de un Estado. Es el vínculo legal que relaciona al individuo con un Estado”</w:t>
      </w:r>
      <w:r w:rsidRPr="00917C1B">
        <w:rPr>
          <w:rStyle w:val="Refdenotaalpie"/>
          <w:rFonts w:ascii="Palatino Linotype" w:hAnsi="Palatino Linotype" w:cs="Arial"/>
          <w:color w:val="000000" w:themeColor="text1"/>
          <w:lang w:eastAsia="es-MX"/>
        </w:rPr>
        <w:footnoteReference w:id="16"/>
      </w:r>
    </w:p>
    <w:p w14:paraId="2D5094A1" w14:textId="77777777" w:rsidR="00783270" w:rsidRPr="00917C1B" w:rsidRDefault="00783270" w:rsidP="00783270">
      <w:pPr>
        <w:autoSpaceDE w:val="0"/>
        <w:autoSpaceDN w:val="0"/>
        <w:adjustRightInd w:val="0"/>
        <w:spacing w:before="240" w:after="240" w:line="360" w:lineRule="auto"/>
        <w:ind w:right="-91"/>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En tal virtud, se estima que el lugar de nacimiento de una persona, también debe considerarse como un dato personal, puesto que la difusión de dicho dato revelaría el estado o país del cual es originario un individuo; esto es, otorgar acceso a dicha información permitiría relacionar a una persona física identificada con su origen geográfico o territorial.</w:t>
      </w:r>
    </w:p>
    <w:p w14:paraId="0762B258" w14:textId="77777777" w:rsidR="00783270" w:rsidRPr="00917C1B" w:rsidRDefault="00783270" w:rsidP="00783270">
      <w:pPr>
        <w:autoSpaceDE w:val="0"/>
        <w:autoSpaceDN w:val="0"/>
        <w:adjustRightInd w:val="0"/>
        <w:spacing w:before="240" w:after="240" w:line="360" w:lineRule="auto"/>
        <w:ind w:right="-91"/>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Por lo anterior, el lugar de nacimiento debe ser clasificado como confidencial conforme a lo dispuesto en el artículo 143, fracción I de la Ley de Transparencia aludida en relación con lo dispuesto en el artículo</w:t>
      </w:r>
      <w:r w:rsidRPr="00917C1B">
        <w:rPr>
          <w:rFonts w:ascii="Palatino Linotype" w:hAnsi="Palatino Linotype" w:cs="Arial"/>
          <w:bCs/>
          <w:color w:val="000000" w:themeColor="text1"/>
          <w:lang w:eastAsia="es-MX"/>
        </w:rPr>
        <w:t xml:space="preserve"> 4 fracciones VII y VIII de </w:t>
      </w:r>
      <w:r w:rsidRPr="00917C1B">
        <w:rPr>
          <w:rFonts w:ascii="Palatino Linotype" w:hAnsi="Palatino Linotype" w:cs="Arial"/>
          <w:color w:val="000000" w:themeColor="text1"/>
        </w:rPr>
        <w:t>la Ley de Protección de Datos Personales del Estado de México,</w:t>
      </w:r>
      <w:r w:rsidRPr="00917C1B">
        <w:rPr>
          <w:rFonts w:ascii="Palatino Linotype" w:hAnsi="Palatino Linotype" w:cs="Arial"/>
          <w:color w:val="000000" w:themeColor="text1"/>
          <w:lang w:eastAsia="es-MX"/>
        </w:rPr>
        <w:t xml:space="preserve"> toda vez que de otorgar acceso a dicha información permitiría relacionar a una persona física identificada con su origen, máxime que constituye información que incide en la intimidad de un individuo identificado.</w:t>
      </w:r>
    </w:p>
    <w:p w14:paraId="706082E1" w14:textId="77777777" w:rsidR="00783270" w:rsidRPr="00917C1B" w:rsidRDefault="00783270" w:rsidP="00783270">
      <w:pPr>
        <w:autoSpaceDE w:val="0"/>
        <w:autoSpaceDN w:val="0"/>
        <w:adjustRightInd w:val="0"/>
        <w:spacing w:before="240" w:after="240" w:line="360" w:lineRule="auto"/>
        <w:ind w:right="-91"/>
        <w:jc w:val="both"/>
        <w:rPr>
          <w:rFonts w:ascii="Palatino Linotype" w:hAnsi="Palatino Linotype" w:cs="Arial"/>
          <w:color w:val="000000" w:themeColor="text1"/>
        </w:rPr>
      </w:pPr>
      <w:r w:rsidRPr="00917C1B">
        <w:rPr>
          <w:rFonts w:ascii="Palatino Linotype" w:hAnsi="Palatino Linotype" w:cs="Arial"/>
          <w:color w:val="000000" w:themeColor="text1"/>
          <w:lang w:eastAsia="es-MX"/>
        </w:rPr>
        <w:t>Ahora bien, respecto a la fecha de nacimiento, edad, estatura y sexo se considera que son datos que inciden en la esfera privada de los particulares, ya que se trata de características físicas que permiten la identificación de un individuo; que de igual forma se considera como clasificada conforme a lo dispuesto en el artículo 143, fracción I de la Ley de Transparencia aludida en relación con lo dispuesto en el artículo</w:t>
      </w:r>
      <w:r w:rsidRPr="00917C1B">
        <w:rPr>
          <w:rFonts w:ascii="Palatino Linotype" w:hAnsi="Palatino Linotype" w:cs="Arial"/>
          <w:bCs/>
          <w:color w:val="000000" w:themeColor="text1"/>
          <w:lang w:eastAsia="es-MX"/>
        </w:rPr>
        <w:t xml:space="preserve"> 4, fracciones VII y VIII de </w:t>
      </w:r>
      <w:r w:rsidRPr="00917C1B">
        <w:rPr>
          <w:rFonts w:ascii="Palatino Linotype" w:hAnsi="Palatino Linotype" w:cs="Arial"/>
          <w:color w:val="000000" w:themeColor="text1"/>
        </w:rPr>
        <w:t>la Ley de Protección de Datos Personales del Estado de México.</w:t>
      </w:r>
    </w:p>
    <w:p w14:paraId="4189D252" w14:textId="77777777" w:rsidR="00783270" w:rsidRPr="00917C1B" w:rsidRDefault="00783270" w:rsidP="00783270">
      <w:pPr>
        <w:autoSpaceDE w:val="0"/>
        <w:autoSpaceDN w:val="0"/>
        <w:adjustRightInd w:val="0"/>
        <w:spacing w:before="240" w:after="240" w:line="360" w:lineRule="auto"/>
        <w:ind w:right="-91"/>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Aunado a lo anterior, se considera que de la definición establecida por la Ley, se infiere que la fecha de nacimiento de cualquier persona, podría encuadrar dentro de aquella “</w:t>
      </w:r>
      <w:r w:rsidRPr="00917C1B">
        <w:rPr>
          <w:rFonts w:ascii="Palatino Linotype" w:hAnsi="Palatino Linotype" w:cs="Arial"/>
          <w:i/>
          <w:color w:val="000000" w:themeColor="text1"/>
          <w:lang w:eastAsia="es-MX"/>
        </w:rPr>
        <w:t>información análoga que afecta su intimidad”.</w:t>
      </w:r>
      <w:r w:rsidRPr="00917C1B">
        <w:rPr>
          <w:rFonts w:ascii="Palatino Linotype" w:hAnsi="Palatino Linotype" w:cs="Arial"/>
          <w:color w:val="000000" w:themeColor="text1"/>
          <w:lang w:eastAsia="es-MX"/>
        </w:rPr>
        <w:t xml:space="preserve"> Si bien la fecha de nacimiento de una persona, por sí misma, no proporciona más elementos que la base sobre la cual se puede determinar la edad actual de un individuo, ese dato incide directamente en su ámbito privado y por ende, en su intimidad; por lo que se considera que la fecha de nacimiento de una persona es un dato personal, toda vez que se refiere a información que incide en la intimidad de un individuo identificado o identificable.</w:t>
      </w:r>
    </w:p>
    <w:p w14:paraId="5F5672DF" w14:textId="77777777" w:rsidR="00783270" w:rsidRPr="00917C1B" w:rsidRDefault="00783270" w:rsidP="00783270">
      <w:pPr>
        <w:autoSpaceDE w:val="0"/>
        <w:autoSpaceDN w:val="0"/>
        <w:adjustRightInd w:val="0"/>
        <w:spacing w:before="240" w:after="240" w:line="360" w:lineRule="auto"/>
        <w:ind w:right="-91"/>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Sin ser óbice de lo anterior, cabe precisar que tratándose de la información relativa a la edad, si es el caso que la función a desempeñar tiene como requisito para el ingreso al servicio público cumplir con cierta edad ésta tendrá el carácter de público, ya que el interés de conocer que se acreditó con dicho requisito resulta mayor al interés de protegerlo como un dato personal.</w:t>
      </w:r>
    </w:p>
    <w:p w14:paraId="0D0FC4EA" w14:textId="77777777" w:rsidR="00783270" w:rsidRPr="00917C1B" w:rsidRDefault="00783270" w:rsidP="00783270">
      <w:pPr>
        <w:autoSpaceDE w:val="0"/>
        <w:autoSpaceDN w:val="0"/>
        <w:adjustRightInd w:val="0"/>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lang w:eastAsia="es-MX"/>
        </w:rPr>
        <w:t>En cuanto al RFC, este constituye un dato personal, ya que para su obtención es necesario acreditar ante la autoridad fiscal previamente la identidad de la persona, su fecha de nacimiento, entre otros aspectos.</w:t>
      </w:r>
    </w:p>
    <w:p w14:paraId="3101EEAB" w14:textId="77777777" w:rsidR="00783270" w:rsidRPr="00917C1B" w:rsidRDefault="00783270" w:rsidP="00783270">
      <w:pPr>
        <w:spacing w:before="240" w:after="240" w:line="360" w:lineRule="auto"/>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22DEFA9" w14:textId="5ED9C4C8" w:rsidR="00783270" w:rsidRPr="00917C1B" w:rsidRDefault="00783270" w:rsidP="00783270">
      <w:pPr>
        <w:spacing w:before="240" w:after="240" w:line="360" w:lineRule="auto"/>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Lo anterior es compartido por el entonces Instituto Federal de Acceso a la Información Pública y Protección de Datos Personales (IFAI</w:t>
      </w:r>
      <w:r w:rsidR="00DD699C" w:rsidRPr="00917C1B">
        <w:rPr>
          <w:rFonts w:ascii="Palatino Linotype" w:hAnsi="Palatino Linotype" w:cs="Arial"/>
          <w:color w:val="000000" w:themeColor="text1"/>
          <w:lang w:eastAsia="es-MX"/>
        </w:rPr>
        <w:t>) a través del Criterio 1</w:t>
      </w:r>
      <w:r w:rsidRPr="00917C1B">
        <w:rPr>
          <w:rFonts w:ascii="Palatino Linotype" w:hAnsi="Palatino Linotype" w:cs="Arial"/>
          <w:color w:val="000000" w:themeColor="text1"/>
          <w:lang w:eastAsia="es-MX"/>
        </w:rPr>
        <w:t>9/</w:t>
      </w:r>
      <w:r w:rsidR="00DD699C" w:rsidRPr="00917C1B">
        <w:rPr>
          <w:rFonts w:ascii="Palatino Linotype" w:hAnsi="Palatino Linotype" w:cs="Arial"/>
          <w:color w:val="000000" w:themeColor="text1"/>
          <w:lang w:eastAsia="es-MX"/>
        </w:rPr>
        <w:t>17</w:t>
      </w:r>
      <w:r w:rsidRPr="00917C1B">
        <w:rPr>
          <w:rFonts w:ascii="Palatino Linotype" w:hAnsi="Palatino Linotype" w:cs="Arial"/>
          <w:color w:val="000000" w:themeColor="text1"/>
          <w:lang w:eastAsia="es-MX"/>
        </w:rPr>
        <w:t>, el cual es del tenor literal siguiente:</w:t>
      </w:r>
    </w:p>
    <w:p w14:paraId="2750028F" w14:textId="62F22FEF" w:rsidR="00783270" w:rsidRPr="00917C1B" w:rsidRDefault="00783270" w:rsidP="00DD699C">
      <w:pPr>
        <w:spacing w:after="120"/>
        <w:ind w:left="851" w:right="1043"/>
        <w:jc w:val="both"/>
        <w:rPr>
          <w:rFonts w:ascii="Palatino Linotype" w:hAnsi="Palatino Linotype" w:cs="Arial"/>
          <w:i/>
          <w:color w:val="000000" w:themeColor="text1"/>
          <w:sz w:val="20"/>
          <w:szCs w:val="20"/>
          <w:lang w:val="es-MX"/>
        </w:rPr>
      </w:pPr>
      <w:r w:rsidRPr="00917C1B">
        <w:rPr>
          <w:rFonts w:ascii="Palatino Linotype" w:hAnsi="Palatino Linotype" w:cs="Arial"/>
          <w:b/>
          <w:bCs/>
          <w:i/>
          <w:color w:val="000000" w:themeColor="text1"/>
          <w:sz w:val="20"/>
          <w:szCs w:val="20"/>
        </w:rPr>
        <w:t>“</w:t>
      </w:r>
      <w:r w:rsidR="00DD699C" w:rsidRPr="00917C1B">
        <w:rPr>
          <w:rFonts w:ascii="Palatino Linotype" w:hAnsi="Palatino Linotype" w:cs="Arial"/>
          <w:b/>
          <w:bCs/>
          <w:i/>
          <w:color w:val="000000" w:themeColor="text1"/>
          <w:sz w:val="20"/>
          <w:szCs w:val="20"/>
        </w:rPr>
        <w:t xml:space="preserve">Registro Federal de Contribuyentes (RFC) de personas físicas. </w:t>
      </w:r>
      <w:r w:rsidR="00DD699C" w:rsidRPr="00917C1B">
        <w:rPr>
          <w:rFonts w:ascii="Palatino Linotype" w:hAnsi="Palatino Linotype" w:cs="Arial"/>
          <w:bCs/>
          <w:i/>
          <w:color w:val="000000" w:themeColor="text1"/>
          <w:sz w:val="20"/>
          <w:szCs w:val="20"/>
        </w:rPr>
        <w:t>E</w:t>
      </w:r>
      <w:r w:rsidR="00DD699C" w:rsidRPr="00917C1B">
        <w:rPr>
          <w:rFonts w:ascii="Palatino Linotype" w:hAnsi="Palatino Linotype" w:cs="Arial"/>
          <w:i/>
          <w:color w:val="000000" w:themeColor="text1"/>
          <w:sz w:val="20"/>
          <w:szCs w:val="20"/>
        </w:rPr>
        <w:t>l RFC es una clave de carácter fiscal, única e irrepetible, que permite identificar al titular, su edad y fecha de nacimiento, por lo que es un dato personal de carácter confidencial.</w:t>
      </w:r>
      <w:r w:rsidRPr="00917C1B">
        <w:rPr>
          <w:rFonts w:ascii="Palatino Linotype" w:hAnsi="Palatino Linotype" w:cs="Arial"/>
          <w:bCs/>
          <w:i/>
          <w:color w:val="000000" w:themeColor="text1"/>
          <w:sz w:val="20"/>
          <w:szCs w:val="20"/>
        </w:rPr>
        <w:t>” (Sic)</w:t>
      </w:r>
    </w:p>
    <w:p w14:paraId="771BDA97" w14:textId="613C0F6D" w:rsidR="00783270" w:rsidRPr="00917C1B" w:rsidRDefault="00783270" w:rsidP="00783270">
      <w:pPr>
        <w:pStyle w:val="Sinespaciado"/>
        <w:spacing w:before="240" w:after="240" w:line="360" w:lineRule="auto"/>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w:t>
      </w:r>
      <w:r w:rsidR="00DD699C" w:rsidRPr="00917C1B">
        <w:rPr>
          <w:rFonts w:ascii="Palatino Linotype" w:hAnsi="Palatino Linotype" w:cs="Arial"/>
          <w:color w:val="000000" w:themeColor="text1"/>
          <w:lang w:eastAsia="es-MX"/>
        </w:rPr>
        <w:t>.</w:t>
      </w:r>
    </w:p>
    <w:p w14:paraId="029DD310" w14:textId="77777777" w:rsidR="00783270" w:rsidRPr="00917C1B" w:rsidRDefault="00783270" w:rsidP="00783270">
      <w:pPr>
        <w:pStyle w:val="Sinespaciado"/>
        <w:spacing w:before="240" w:after="240" w:line="360" w:lineRule="auto"/>
        <w:jc w:val="both"/>
        <w:rPr>
          <w:rFonts w:ascii="Palatino Linotype" w:eastAsia="Calibri" w:hAnsi="Palatino Linotype" w:cs="Arial"/>
          <w:color w:val="000000" w:themeColor="text1"/>
          <w:lang w:eastAsia="es-MX"/>
        </w:rPr>
      </w:pPr>
      <w:r w:rsidRPr="00917C1B">
        <w:rPr>
          <w:rFonts w:ascii="Palatino Linotype" w:hAnsi="Palatino Linotype" w:cs="Arial"/>
          <w:color w:val="000000" w:themeColor="text1"/>
          <w:lang w:eastAsia="es-MX"/>
        </w:rPr>
        <w:t xml:space="preserve">En cuanto al </w:t>
      </w:r>
      <w:r w:rsidRPr="00917C1B">
        <w:rPr>
          <w:rFonts w:ascii="Palatino Linotype" w:hAnsi="Palatino Linotype" w:cs="Arial"/>
          <w:color w:val="000000" w:themeColor="text1"/>
        </w:rPr>
        <w:t xml:space="preserve">CURP, en virtud de que éste se </w:t>
      </w:r>
      <w:r w:rsidRPr="00917C1B">
        <w:rPr>
          <w:rFonts w:ascii="Palatino Linotype" w:eastAsia="Calibri" w:hAnsi="Palatino Linotype" w:cs="Arial"/>
          <w:color w:val="000000" w:themeColor="text1"/>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BB6B831" w14:textId="083095DC" w:rsidR="00783270" w:rsidRPr="00917C1B" w:rsidRDefault="00783270" w:rsidP="00783270">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 xml:space="preserve">Argumento que es compartido por el ahora </w:t>
      </w:r>
      <w:r w:rsidRPr="00917C1B">
        <w:rPr>
          <w:rFonts w:ascii="Palatino Linotype" w:hAnsi="Palatino Linotype" w:cs="Arial"/>
          <w:color w:val="000000" w:themeColor="text1"/>
          <w:lang w:eastAsia="es-MX"/>
        </w:rPr>
        <w:t>Instituto Federal de Acceso a la Información Pública y Protección de Datos Personales (IFAI</w:t>
      </w:r>
      <w:r w:rsidRPr="00917C1B">
        <w:rPr>
          <w:rFonts w:ascii="Palatino Linotype" w:hAnsi="Palatino Linotype" w:cs="Arial"/>
          <w:b/>
          <w:color w:val="000000" w:themeColor="text1"/>
          <w:lang w:eastAsia="es-MX"/>
        </w:rPr>
        <w:t>)</w:t>
      </w:r>
      <w:r w:rsidRPr="00917C1B">
        <w:rPr>
          <w:rStyle w:val="Textoennegrita"/>
          <w:rFonts w:ascii="Palatino Linotype" w:hAnsi="Palatino Linotype" w:cs="Arial"/>
          <w:color w:val="000000" w:themeColor="text1"/>
        </w:rPr>
        <w:t xml:space="preserve">, conforme al </w:t>
      </w:r>
      <w:r w:rsidRPr="00917C1B">
        <w:rPr>
          <w:rFonts w:ascii="Palatino Linotype" w:hAnsi="Palatino Linotype" w:cs="Arial"/>
          <w:color w:val="000000" w:themeColor="text1"/>
        </w:rPr>
        <w:t xml:space="preserve">criterio número </w:t>
      </w:r>
      <w:r w:rsidR="00DD699C" w:rsidRPr="00917C1B">
        <w:rPr>
          <w:rFonts w:ascii="Palatino Linotype" w:hAnsi="Palatino Linotype" w:cs="Arial"/>
          <w:color w:val="000000" w:themeColor="text1"/>
        </w:rPr>
        <w:t>18/17</w:t>
      </w:r>
      <w:r w:rsidRPr="00917C1B">
        <w:rPr>
          <w:rFonts w:ascii="Palatino Linotype" w:hAnsi="Palatino Linotype" w:cs="Arial"/>
          <w:color w:val="000000" w:themeColor="text1"/>
        </w:rPr>
        <w:t xml:space="preserve">, el cual refiere: </w:t>
      </w:r>
    </w:p>
    <w:p w14:paraId="47C993DD" w14:textId="2513E34C" w:rsidR="00783270" w:rsidRPr="00917C1B" w:rsidRDefault="00783270" w:rsidP="00DD699C">
      <w:pPr>
        <w:pStyle w:val="Default"/>
        <w:spacing w:after="120"/>
        <w:ind w:left="851" w:right="900"/>
        <w:jc w:val="both"/>
        <w:rPr>
          <w:rFonts w:ascii="Palatino Linotype" w:eastAsia="Times New Roman" w:hAnsi="Palatino Linotype"/>
          <w:i/>
          <w:color w:val="000000" w:themeColor="text1"/>
          <w:sz w:val="20"/>
          <w:szCs w:val="20"/>
          <w:lang w:eastAsia="es-MX"/>
        </w:rPr>
      </w:pPr>
      <w:r w:rsidRPr="00917C1B">
        <w:rPr>
          <w:rFonts w:ascii="Palatino Linotype" w:eastAsia="Times New Roman" w:hAnsi="Palatino Linotype"/>
          <w:b/>
          <w:bCs/>
          <w:i/>
          <w:color w:val="000000" w:themeColor="text1"/>
          <w:sz w:val="20"/>
          <w:szCs w:val="20"/>
          <w:lang w:eastAsia="es-MX"/>
        </w:rPr>
        <w:t>“</w:t>
      </w:r>
      <w:r w:rsidR="00DD699C" w:rsidRPr="00917C1B">
        <w:rPr>
          <w:rFonts w:ascii="Palatino Linotype" w:hAnsi="Palatino Linotype"/>
          <w:b/>
          <w:bCs/>
          <w:i/>
          <w:color w:val="000000" w:themeColor="text1"/>
          <w:sz w:val="20"/>
          <w:szCs w:val="20"/>
        </w:rPr>
        <w:t xml:space="preserve">Clave Única de Registro de Población (CURP). </w:t>
      </w:r>
      <w:r w:rsidR="00DD699C" w:rsidRPr="00917C1B">
        <w:rPr>
          <w:rFonts w:ascii="Palatino Linotype" w:hAnsi="Palatino Linotype"/>
          <w:bCs/>
          <w:i/>
          <w:color w:val="000000" w:themeColor="text1"/>
          <w:sz w:val="20"/>
          <w:szCs w:val="20"/>
        </w:rPr>
        <w:t xml:space="preserve">La </w:t>
      </w:r>
      <w:r w:rsidR="00DD699C" w:rsidRPr="00917C1B">
        <w:rPr>
          <w:rFonts w:ascii="Palatino Linotype" w:hAnsi="Palatino Linotype"/>
          <w:i/>
          <w:color w:val="000000" w:themeColor="text1"/>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917C1B">
        <w:rPr>
          <w:rFonts w:ascii="Palatino Linotype" w:eastAsia="Times New Roman" w:hAnsi="Palatino Linotype"/>
          <w:i/>
          <w:color w:val="000000" w:themeColor="text1"/>
          <w:sz w:val="20"/>
          <w:szCs w:val="20"/>
          <w:lang w:eastAsia="es-MX"/>
        </w:rPr>
        <w:t xml:space="preserve"> (Sic)</w:t>
      </w:r>
    </w:p>
    <w:p w14:paraId="15456487" w14:textId="77777777" w:rsidR="00783270" w:rsidRPr="00917C1B" w:rsidRDefault="00783270" w:rsidP="00783270">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11E739F" w14:textId="26DE36DB" w:rsidR="00783270" w:rsidRPr="00917C1B" w:rsidRDefault="00783270" w:rsidP="00DD699C">
      <w:pPr>
        <w:pStyle w:val="Prrafodelista"/>
        <w:spacing w:before="240" w:after="240" w:line="360" w:lineRule="auto"/>
        <w:ind w:left="0"/>
        <w:jc w:val="both"/>
        <w:rPr>
          <w:rFonts w:ascii="Palatino Linotype" w:hAnsi="Palatino Linotype" w:cs="Arial"/>
          <w:color w:val="000000" w:themeColor="text1"/>
        </w:rPr>
      </w:pPr>
      <w:r w:rsidRPr="00917C1B">
        <w:rPr>
          <w:rFonts w:ascii="Palatino Linotype" w:hAnsi="Palatino Linotype" w:cs="Arial"/>
          <w:color w:val="000000" w:themeColor="text1"/>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8467187" w14:textId="77777777" w:rsidR="00783270" w:rsidRPr="00917C1B" w:rsidRDefault="00783270" w:rsidP="00783270">
      <w:pPr>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417E2EEB" w14:textId="77777777" w:rsidR="00783270" w:rsidRPr="00917C1B" w:rsidRDefault="00783270" w:rsidP="00783270">
      <w:pPr>
        <w:spacing w:before="240" w:after="360" w:line="360" w:lineRule="auto"/>
        <w:jc w:val="both"/>
        <w:rPr>
          <w:rFonts w:ascii="Palatino Linotype" w:hAnsi="Palatino Linotype" w:cs="Arial"/>
          <w:bCs/>
          <w:iCs/>
          <w:color w:val="000000" w:themeColor="text1"/>
          <w:lang w:val="es-MX" w:eastAsia="es-MX"/>
        </w:rPr>
      </w:pPr>
      <w:r w:rsidRPr="00917C1B">
        <w:rPr>
          <w:rFonts w:ascii="Palatino Linotype" w:hAnsi="Palatino Linotype" w:cs="Arial"/>
          <w:color w:val="000000" w:themeColor="text1"/>
        </w:rPr>
        <w:t xml:space="preserve">Asimismo, deberá observar lo que para tal efecto señalen los </w:t>
      </w:r>
      <w:r w:rsidRPr="00917C1B">
        <w:rPr>
          <w:rFonts w:ascii="Palatino Linotype" w:hAnsi="Palatino Linotype" w:cs="Arial"/>
          <w:bCs/>
          <w:iCs/>
          <w:color w:val="000000" w:themeColor="text1"/>
          <w:lang w:eastAsia="es-MX"/>
        </w:rPr>
        <w:t xml:space="preserve">Lineamientos Generales en Materia de Clasificación y Desclasificación de la Información, así como para la elaboración de Versiones Públicas, que fueron expedidos por el </w:t>
      </w:r>
      <w:r w:rsidRPr="00917C1B">
        <w:rPr>
          <w:rFonts w:ascii="Palatino Linotype" w:hAnsi="Palatino Linotype" w:cs="Arial"/>
          <w:bCs/>
          <w:iCs/>
          <w:color w:val="000000" w:themeColor="text1"/>
          <w:lang w:val="es-MX" w:eastAsia="es-MX"/>
        </w:rPr>
        <w:t>Consejo Nacional del Sistema Nacional de Transparencia, Acceso a la Información Pública y Protección de Datos Personales, que dicen:</w:t>
      </w:r>
    </w:p>
    <w:p w14:paraId="20DAD659" w14:textId="77777777" w:rsidR="00783270" w:rsidRPr="00917C1B" w:rsidRDefault="00783270" w:rsidP="00DD699C">
      <w:pPr>
        <w:spacing w:after="360"/>
        <w:ind w:left="851" w:right="900"/>
        <w:jc w:val="both"/>
        <w:rPr>
          <w:rFonts w:ascii="Arial" w:hAnsi="Arial" w:cs="Arial"/>
          <w:color w:val="000000" w:themeColor="text1"/>
          <w:sz w:val="20"/>
          <w:szCs w:val="20"/>
          <w:lang w:val="es-MX" w:eastAsia="es-MX"/>
        </w:rPr>
      </w:pPr>
      <w:r w:rsidRPr="00917C1B">
        <w:rPr>
          <w:rFonts w:ascii="Palatino Linotype" w:hAnsi="Palatino Linotype" w:cs="Arial"/>
          <w:bCs/>
          <w:iCs/>
          <w:color w:val="000000" w:themeColor="text1"/>
          <w:sz w:val="20"/>
          <w:szCs w:val="20"/>
          <w:lang w:eastAsia="es-MX"/>
        </w:rPr>
        <w:t xml:space="preserve"> </w:t>
      </w:r>
      <w:r w:rsidRPr="00917C1B">
        <w:rPr>
          <w:rFonts w:ascii="Palatino Linotype" w:hAnsi="Palatino Linotype" w:cs="Arial"/>
          <w:b/>
          <w:bCs/>
          <w:i/>
          <w:iCs/>
          <w:color w:val="000000" w:themeColor="text1"/>
          <w:sz w:val="20"/>
          <w:szCs w:val="20"/>
          <w:lang w:val="es-MX" w:eastAsia="es-MX"/>
        </w:rPr>
        <w:t>“Cuarto.</w:t>
      </w:r>
      <w:r w:rsidRPr="00917C1B">
        <w:rPr>
          <w:rFonts w:ascii="Palatino Linotype" w:hAnsi="Palatino Linotype" w:cs="Arial"/>
          <w:i/>
          <w:iCs/>
          <w:color w:val="000000" w:themeColor="text1"/>
          <w:sz w:val="20"/>
          <w:szCs w:val="20"/>
          <w:lang w:val="es-MX" w:eastAsia="es-MX"/>
        </w:rPr>
        <w:t> </w:t>
      </w:r>
      <w:r w:rsidRPr="00917C1B">
        <w:rPr>
          <w:rFonts w:ascii="Palatino Linotype" w:hAnsi="Palatino Linotype" w:cs="Arial"/>
          <w:i/>
          <w:iCs/>
          <w:color w:val="000000" w:themeColor="text1"/>
          <w:sz w:val="20"/>
          <w:szCs w:val="20"/>
          <w:u w:val="single"/>
          <w:lang w:val="es-MX"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17C1B">
        <w:rPr>
          <w:rFonts w:ascii="Palatino Linotype" w:hAnsi="Palatino Linotype" w:cs="Arial"/>
          <w:i/>
          <w:iCs/>
          <w:color w:val="000000" w:themeColor="text1"/>
          <w:sz w:val="20"/>
          <w:szCs w:val="20"/>
          <w:lang w:val="es-MX" w:eastAsia="es-MX"/>
        </w:rPr>
        <w:t>, en tanto estas últimas no contravengan lo dispuesto en la Ley General.</w:t>
      </w:r>
    </w:p>
    <w:p w14:paraId="065DDA2B" w14:textId="77777777" w:rsidR="00783270" w:rsidRPr="00917C1B" w:rsidRDefault="00783270" w:rsidP="00DD699C">
      <w:pPr>
        <w:shd w:val="clear" w:color="auto" w:fill="FFFFFF"/>
        <w:spacing w:before="240" w:after="240"/>
        <w:ind w:left="851" w:right="900"/>
        <w:jc w:val="both"/>
        <w:rPr>
          <w:rFonts w:ascii="Arial" w:hAnsi="Arial" w:cs="Arial"/>
          <w:color w:val="000000" w:themeColor="text1"/>
          <w:sz w:val="20"/>
          <w:szCs w:val="20"/>
          <w:lang w:val="es-MX" w:eastAsia="es-MX"/>
        </w:rPr>
      </w:pPr>
      <w:r w:rsidRPr="00917C1B">
        <w:rPr>
          <w:rFonts w:ascii="Palatino Linotype" w:hAnsi="Palatino Linotype" w:cs="Arial"/>
          <w:i/>
          <w:iCs/>
          <w:color w:val="000000" w:themeColor="text1"/>
          <w:sz w:val="20"/>
          <w:szCs w:val="20"/>
          <w:lang w:val="es-MX" w:eastAsia="es-MX"/>
        </w:rPr>
        <w:t>Los sujetos obligados deberán aplicar, de manera estricta, las excepciones al derecho de acceso a la información y sólo podrán invocarlas cuando acrediten su procedencia.</w:t>
      </w:r>
    </w:p>
    <w:p w14:paraId="5987622F" w14:textId="77777777" w:rsidR="00783270" w:rsidRPr="00917C1B" w:rsidRDefault="00783270" w:rsidP="00DD699C">
      <w:pPr>
        <w:shd w:val="clear" w:color="auto" w:fill="FFFFFF"/>
        <w:spacing w:before="240" w:after="240"/>
        <w:ind w:left="851" w:right="900"/>
        <w:jc w:val="both"/>
        <w:rPr>
          <w:rFonts w:ascii="Arial" w:hAnsi="Arial" w:cs="Arial"/>
          <w:color w:val="000000" w:themeColor="text1"/>
          <w:sz w:val="20"/>
          <w:szCs w:val="20"/>
          <w:lang w:val="es-MX" w:eastAsia="es-MX"/>
        </w:rPr>
      </w:pPr>
      <w:r w:rsidRPr="00917C1B">
        <w:rPr>
          <w:rFonts w:ascii="Palatino Linotype" w:hAnsi="Palatino Linotype" w:cs="Arial"/>
          <w:i/>
          <w:iCs/>
          <w:color w:val="000000" w:themeColor="text1"/>
          <w:sz w:val="20"/>
          <w:szCs w:val="20"/>
          <w:lang w:val="es-MX" w:eastAsia="es-MX"/>
        </w:rPr>
        <w:t>…</w:t>
      </w:r>
    </w:p>
    <w:p w14:paraId="39CE989D" w14:textId="77777777" w:rsidR="00783270" w:rsidRPr="00917C1B" w:rsidRDefault="00783270" w:rsidP="00DD699C">
      <w:pPr>
        <w:shd w:val="clear" w:color="auto" w:fill="FFFFFF"/>
        <w:spacing w:before="240" w:after="240"/>
        <w:ind w:left="851" w:right="900"/>
        <w:jc w:val="both"/>
        <w:rPr>
          <w:rFonts w:ascii="Arial" w:hAnsi="Arial" w:cs="Arial"/>
          <w:color w:val="000000" w:themeColor="text1"/>
          <w:sz w:val="20"/>
          <w:szCs w:val="20"/>
          <w:lang w:val="es-MX" w:eastAsia="es-MX"/>
        </w:rPr>
      </w:pPr>
      <w:r w:rsidRPr="00917C1B">
        <w:rPr>
          <w:rFonts w:ascii="Palatino Linotype" w:hAnsi="Palatino Linotype" w:cs="Arial"/>
          <w:b/>
          <w:bCs/>
          <w:i/>
          <w:iCs/>
          <w:color w:val="000000" w:themeColor="text1"/>
          <w:sz w:val="20"/>
          <w:szCs w:val="20"/>
          <w:lang w:val="es-MX" w:eastAsia="es-MX"/>
        </w:rPr>
        <w:t>Quinto.</w:t>
      </w:r>
      <w:r w:rsidRPr="00917C1B">
        <w:rPr>
          <w:rFonts w:ascii="Palatino Linotype" w:hAnsi="Palatino Linotype" w:cs="Arial"/>
          <w:i/>
          <w:iCs/>
          <w:color w:val="000000" w:themeColor="text1"/>
          <w:sz w:val="20"/>
          <w:szCs w:val="20"/>
          <w:lang w:val="es-MX" w:eastAsia="es-MX"/>
        </w:rPr>
        <w:t> </w:t>
      </w:r>
      <w:r w:rsidRPr="00917C1B">
        <w:rPr>
          <w:rFonts w:ascii="Palatino Linotype" w:hAnsi="Palatino Linotype" w:cs="Arial"/>
          <w:i/>
          <w:iCs/>
          <w:color w:val="000000" w:themeColor="text1"/>
          <w:sz w:val="20"/>
          <w:szCs w:val="20"/>
          <w:u w:val="single"/>
          <w:lang w:val="es-MX" w:eastAsia="es-MX"/>
        </w:rPr>
        <w:t>La carga de la prueba para justificar toda negativa de acceso a la información, por actualizarse cualquiera de los supuestos de clasificación previstos en la Ley General</w:t>
      </w:r>
      <w:r w:rsidRPr="00917C1B">
        <w:rPr>
          <w:rFonts w:ascii="Palatino Linotype" w:hAnsi="Palatino Linotype" w:cs="Arial"/>
          <w:i/>
          <w:iCs/>
          <w:color w:val="000000" w:themeColor="text1"/>
          <w:sz w:val="20"/>
          <w:szCs w:val="20"/>
          <w:lang w:val="es-MX" w:eastAsia="es-MX"/>
        </w:rPr>
        <w:t>, la Ley Federal </w:t>
      </w:r>
      <w:r w:rsidRPr="00917C1B">
        <w:rPr>
          <w:rFonts w:ascii="Palatino Linotype" w:hAnsi="Palatino Linotype" w:cs="Arial"/>
          <w:i/>
          <w:iCs/>
          <w:color w:val="000000" w:themeColor="text1"/>
          <w:sz w:val="20"/>
          <w:szCs w:val="20"/>
          <w:u w:val="single"/>
          <w:lang w:val="es-MX"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17C1B">
        <w:rPr>
          <w:rFonts w:ascii="Palatino Linotype" w:hAnsi="Palatino Linotype" w:cs="Arial"/>
          <w:i/>
          <w:iCs/>
          <w:color w:val="000000" w:themeColor="text1"/>
          <w:sz w:val="20"/>
          <w:szCs w:val="20"/>
          <w:lang w:val="es-MX" w:eastAsia="es-MX"/>
        </w:rPr>
        <w:t>, observando lo dispuesto en la Ley General y las demás disposiciones aplicables en la materia.</w:t>
      </w:r>
    </w:p>
    <w:p w14:paraId="45C19C52" w14:textId="77777777" w:rsidR="00783270" w:rsidRPr="00917C1B" w:rsidRDefault="00783270" w:rsidP="00DD699C">
      <w:pPr>
        <w:shd w:val="clear" w:color="auto" w:fill="FFFFFF"/>
        <w:spacing w:before="240" w:after="240"/>
        <w:ind w:left="851" w:right="900"/>
        <w:jc w:val="both"/>
        <w:rPr>
          <w:rFonts w:ascii="Arial" w:hAnsi="Arial" w:cs="Arial"/>
          <w:color w:val="000000" w:themeColor="text1"/>
          <w:sz w:val="20"/>
          <w:szCs w:val="20"/>
          <w:lang w:val="es-MX" w:eastAsia="es-MX"/>
        </w:rPr>
      </w:pPr>
      <w:r w:rsidRPr="00917C1B">
        <w:rPr>
          <w:rFonts w:ascii="Palatino Linotype" w:hAnsi="Palatino Linotype" w:cs="Arial"/>
          <w:b/>
          <w:bCs/>
          <w:i/>
          <w:iCs/>
          <w:color w:val="000000" w:themeColor="text1"/>
          <w:sz w:val="20"/>
          <w:szCs w:val="20"/>
          <w:lang w:val="es-MX" w:eastAsia="es-MX"/>
        </w:rPr>
        <w:t>Octavo. </w:t>
      </w:r>
      <w:r w:rsidRPr="00917C1B">
        <w:rPr>
          <w:rFonts w:ascii="Palatino Linotype" w:hAnsi="Palatino Linotype" w:cs="Arial"/>
          <w:bCs/>
          <w:i/>
          <w:iCs/>
          <w:color w:val="000000" w:themeColor="text1"/>
          <w:sz w:val="20"/>
          <w:szCs w:val="20"/>
          <w:u w:val="single"/>
          <w:lang w:val="es-MX"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17C1B">
        <w:rPr>
          <w:rFonts w:ascii="Palatino Linotype" w:hAnsi="Palatino Linotype" w:cs="Arial"/>
          <w:i/>
          <w:iCs/>
          <w:color w:val="000000" w:themeColor="text1"/>
          <w:sz w:val="20"/>
          <w:szCs w:val="20"/>
          <w:lang w:val="es-MX" w:eastAsia="es-MX"/>
        </w:rPr>
        <w:t>.</w:t>
      </w:r>
    </w:p>
    <w:p w14:paraId="2F96D519" w14:textId="77777777" w:rsidR="00783270" w:rsidRPr="00917C1B" w:rsidRDefault="00783270" w:rsidP="00DD699C">
      <w:pPr>
        <w:shd w:val="clear" w:color="auto" w:fill="FFFFFF"/>
        <w:spacing w:before="240" w:after="240"/>
        <w:ind w:left="851" w:right="900"/>
        <w:jc w:val="both"/>
        <w:rPr>
          <w:rFonts w:ascii="Arial" w:hAnsi="Arial" w:cs="Arial"/>
          <w:color w:val="000000" w:themeColor="text1"/>
          <w:sz w:val="20"/>
          <w:szCs w:val="20"/>
          <w:lang w:val="es-MX" w:eastAsia="es-MX"/>
        </w:rPr>
      </w:pPr>
      <w:r w:rsidRPr="00917C1B">
        <w:rPr>
          <w:rFonts w:ascii="Palatino Linotype" w:hAnsi="Palatino Linotype" w:cs="Arial"/>
          <w:bCs/>
          <w:i/>
          <w:iCs/>
          <w:color w:val="000000" w:themeColor="text1"/>
          <w:sz w:val="20"/>
          <w:szCs w:val="20"/>
          <w:u w:val="single"/>
          <w:lang w:val="es-MX" w:eastAsia="es-MX"/>
        </w:rPr>
        <w:t>Para motivar la clasificación se deberán señalar las razones o circunstancias especiales que lo llevaron a concluir que el caso particular se ajusta al supuesto previsto por la norma legal invocada como fundamento.</w:t>
      </w:r>
      <w:r w:rsidRPr="00917C1B">
        <w:rPr>
          <w:rFonts w:ascii="Palatino Linotype" w:hAnsi="Palatino Linotype" w:cs="Arial"/>
          <w:i/>
          <w:iCs/>
          <w:color w:val="000000" w:themeColor="text1"/>
          <w:sz w:val="20"/>
          <w:szCs w:val="20"/>
          <w:lang w:val="es-MX" w:eastAsia="es-MX"/>
        </w:rPr>
        <w:t>” (Sic)</w:t>
      </w:r>
    </w:p>
    <w:p w14:paraId="2ECE1C1C" w14:textId="18FE5A27" w:rsidR="005F6B24" w:rsidRPr="00917C1B" w:rsidRDefault="005F6B24" w:rsidP="005F6B24">
      <w:pPr>
        <w:spacing w:before="240" w:after="240" w:line="360" w:lineRule="auto"/>
        <w:jc w:val="both"/>
        <w:rPr>
          <w:rFonts w:ascii="Palatino Linotype" w:hAnsi="Palatino Linotype"/>
          <w:color w:val="000000" w:themeColor="text1"/>
        </w:rPr>
      </w:pPr>
      <w:r w:rsidRPr="00917C1B">
        <w:rPr>
          <w:rFonts w:ascii="Palatino Linotype" w:hAnsi="Palatino Linotype"/>
          <w:color w:val="000000" w:themeColor="text1"/>
        </w:rPr>
        <w:t>En términos de lo expuesto se estima que los agravios del particular son parcialmente fundado</w:t>
      </w:r>
      <w:r w:rsidR="00B54A38" w:rsidRPr="00917C1B">
        <w:rPr>
          <w:rFonts w:ascii="Palatino Linotype" w:hAnsi="Palatino Linotype"/>
          <w:color w:val="000000" w:themeColor="text1"/>
        </w:rPr>
        <w:t>s</w:t>
      </w:r>
      <w:r w:rsidRPr="00917C1B">
        <w:rPr>
          <w:rFonts w:ascii="Palatino Linotype" w:hAnsi="Palatino Linotype"/>
          <w:color w:val="000000" w:themeColor="text1"/>
        </w:rPr>
        <w:t xml:space="preserve">, lo que conlleva a modificar la respuesta del </w:t>
      </w:r>
      <w:r w:rsidRPr="00917C1B">
        <w:rPr>
          <w:rFonts w:ascii="Palatino Linotype" w:hAnsi="Palatino Linotype"/>
          <w:b/>
          <w:color w:val="000000" w:themeColor="text1"/>
        </w:rPr>
        <w:t xml:space="preserve">Sujeto Obligado, </w:t>
      </w:r>
      <w:r w:rsidR="00B54A38" w:rsidRPr="00917C1B">
        <w:rPr>
          <w:rFonts w:ascii="Palatino Linotype" w:hAnsi="Palatino Linotype"/>
          <w:color w:val="000000" w:themeColor="text1"/>
        </w:rPr>
        <w:t xml:space="preserve">a efecto de que entregue el soporte documental </w:t>
      </w:r>
      <w:r w:rsidR="009564BB" w:rsidRPr="00917C1B">
        <w:rPr>
          <w:rFonts w:ascii="Palatino Linotype" w:hAnsi="Palatino Linotype"/>
          <w:color w:val="000000" w:themeColor="text1"/>
        </w:rPr>
        <w:t>que contenga,</w:t>
      </w:r>
      <w:r w:rsidR="00B54A38" w:rsidRPr="00917C1B">
        <w:rPr>
          <w:rFonts w:ascii="Palatino Linotype" w:hAnsi="Palatino Linotype"/>
          <w:color w:val="000000" w:themeColor="text1"/>
        </w:rPr>
        <w:t xml:space="preserve"> </w:t>
      </w:r>
      <w:r w:rsidR="00C12E1F" w:rsidRPr="00917C1B">
        <w:rPr>
          <w:rFonts w:ascii="Palatino Linotype" w:hAnsi="Palatino Linotype"/>
          <w:color w:val="000000" w:themeColor="text1"/>
        </w:rPr>
        <w:t>el acuerdo de clasificación de información confidencial del registro de simpatizantes</w:t>
      </w:r>
      <w:r w:rsidR="00C62DB1" w:rsidRPr="00917C1B">
        <w:rPr>
          <w:rFonts w:ascii="Palatino Linotype" w:hAnsi="Palatino Linotype"/>
          <w:color w:val="000000" w:themeColor="text1"/>
        </w:rPr>
        <w:t xml:space="preserve"> y el documento donde conste la evidencia del cumplimiento de requisitos de elegibilidad.</w:t>
      </w:r>
    </w:p>
    <w:p w14:paraId="1B9A02FB" w14:textId="77777777" w:rsidR="007F7203" w:rsidRPr="00917C1B" w:rsidRDefault="007F7203" w:rsidP="007F7203">
      <w:pPr>
        <w:shd w:val="clear" w:color="auto" w:fill="FFFFFF"/>
        <w:spacing w:before="240" w:after="240" w:line="360" w:lineRule="auto"/>
        <w:jc w:val="both"/>
        <w:rPr>
          <w:rFonts w:ascii="Palatino Linotype" w:hAnsi="Palatino Linotype" w:cs="Arial"/>
          <w:color w:val="000000" w:themeColor="text1"/>
          <w:lang w:eastAsia="es-MX"/>
        </w:rPr>
      </w:pPr>
      <w:r w:rsidRPr="00917C1B">
        <w:rPr>
          <w:rFonts w:ascii="Palatino Linotype" w:hAnsi="Palatino Linotype" w:cs="Arial"/>
          <w:color w:val="000000" w:themeColor="text1"/>
          <w:lang w:eastAsia="es-MX"/>
        </w:rPr>
        <w:t>Así,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14:paraId="7E711825" w14:textId="77777777" w:rsidR="007F7203" w:rsidRPr="00917C1B" w:rsidRDefault="007F7203" w:rsidP="007F7203">
      <w:pPr>
        <w:pStyle w:val="Prrafodelista"/>
        <w:spacing w:before="240" w:after="240" w:line="360" w:lineRule="auto"/>
        <w:ind w:left="0"/>
        <w:jc w:val="center"/>
        <w:rPr>
          <w:rFonts w:ascii="Palatino Linotype" w:hAnsi="Palatino Linotype" w:cs="Arial"/>
          <w:b/>
          <w:color w:val="000000" w:themeColor="text1"/>
        </w:rPr>
      </w:pPr>
      <w:r w:rsidRPr="00917C1B">
        <w:rPr>
          <w:rFonts w:ascii="Palatino Linotype" w:hAnsi="Palatino Linotype" w:cs="Arial"/>
          <w:b/>
          <w:color w:val="000000" w:themeColor="text1"/>
        </w:rPr>
        <w:t>R E S U E L V E</w:t>
      </w:r>
    </w:p>
    <w:p w14:paraId="6C89C483" w14:textId="4F3F346B" w:rsidR="0007645E" w:rsidRPr="00917C1B" w:rsidRDefault="0007645E" w:rsidP="0007645E">
      <w:pPr>
        <w:autoSpaceDE w:val="0"/>
        <w:autoSpaceDN w:val="0"/>
        <w:adjustRightInd w:val="0"/>
        <w:spacing w:before="240" w:after="240" w:line="360" w:lineRule="auto"/>
        <w:jc w:val="both"/>
        <w:rPr>
          <w:rFonts w:ascii="Palatino Linotype" w:hAnsi="Palatino Linotype" w:cs="Arial"/>
          <w:color w:val="000000" w:themeColor="text1"/>
        </w:rPr>
      </w:pPr>
      <w:r w:rsidRPr="00917C1B">
        <w:rPr>
          <w:rFonts w:ascii="Palatino Linotype" w:hAnsi="Palatino Linotype" w:cs="Arial"/>
          <w:b/>
          <w:color w:val="000000" w:themeColor="text1"/>
          <w:sz w:val="28"/>
        </w:rPr>
        <w:t>PRIMERO</w:t>
      </w:r>
      <w:r w:rsidRPr="00917C1B">
        <w:rPr>
          <w:rFonts w:ascii="Palatino Linotype" w:hAnsi="Palatino Linotype" w:cs="Arial"/>
          <w:color w:val="000000" w:themeColor="text1"/>
          <w:sz w:val="28"/>
        </w:rPr>
        <w:t xml:space="preserve">. </w:t>
      </w:r>
      <w:r w:rsidRPr="00917C1B">
        <w:rPr>
          <w:rFonts w:ascii="Palatino Linotype" w:hAnsi="Palatino Linotype" w:cs="Arial"/>
          <w:color w:val="000000" w:themeColor="text1"/>
        </w:rPr>
        <w:t xml:space="preserve">Resultan parcialmente fundados los motivos de inconformidad planteados por el </w:t>
      </w:r>
      <w:r w:rsidRPr="00917C1B">
        <w:rPr>
          <w:rFonts w:ascii="Palatino Linotype" w:hAnsi="Palatino Linotype" w:cs="Arial"/>
          <w:b/>
          <w:i/>
          <w:color w:val="000000" w:themeColor="text1"/>
        </w:rPr>
        <w:t xml:space="preserve">Recurrente </w:t>
      </w:r>
      <w:r w:rsidRPr="00917C1B">
        <w:rPr>
          <w:rFonts w:ascii="Palatino Linotype" w:hAnsi="Palatino Linotype" w:cs="Arial"/>
          <w:color w:val="000000" w:themeColor="text1"/>
        </w:rPr>
        <w:t xml:space="preserve">en términos del Considerando CUARTO de la presente resolución, por lo que se determina </w:t>
      </w:r>
      <w:r w:rsidRPr="00917C1B">
        <w:rPr>
          <w:rFonts w:ascii="Palatino Linotype" w:hAnsi="Palatino Linotype" w:cs="Arial"/>
          <w:b/>
          <w:color w:val="000000" w:themeColor="text1"/>
        </w:rPr>
        <w:t>MODIFICAR</w:t>
      </w:r>
      <w:r w:rsidRPr="00917C1B">
        <w:rPr>
          <w:rFonts w:ascii="Palatino Linotype" w:hAnsi="Palatino Linotype" w:cs="Arial"/>
          <w:color w:val="000000" w:themeColor="text1"/>
        </w:rPr>
        <w:t xml:space="preserve"> la respuesta emitida por el Partido Verde Ecologista de México.</w:t>
      </w:r>
    </w:p>
    <w:p w14:paraId="7C44CE39" w14:textId="0C6D0574" w:rsidR="0007645E" w:rsidRPr="00917C1B" w:rsidRDefault="0007645E" w:rsidP="0007645E">
      <w:pPr>
        <w:autoSpaceDE w:val="0"/>
        <w:autoSpaceDN w:val="0"/>
        <w:adjustRightInd w:val="0"/>
        <w:spacing w:before="240" w:after="240" w:line="360" w:lineRule="auto"/>
        <w:jc w:val="both"/>
        <w:rPr>
          <w:rFonts w:ascii="Palatino Linotype" w:hAnsi="Palatino Linotype" w:cs="Arial"/>
          <w:color w:val="000000" w:themeColor="text1"/>
        </w:rPr>
      </w:pPr>
      <w:r w:rsidRPr="00917C1B">
        <w:rPr>
          <w:rFonts w:ascii="Palatino Linotype" w:hAnsi="Palatino Linotype" w:cs="Arial"/>
          <w:b/>
          <w:color w:val="000000" w:themeColor="text1"/>
          <w:sz w:val="28"/>
        </w:rPr>
        <w:t xml:space="preserve">SEGUNDO. </w:t>
      </w:r>
      <w:r w:rsidRPr="00917C1B">
        <w:rPr>
          <w:rFonts w:ascii="Palatino Linotype" w:hAnsi="Palatino Linotype" w:cs="Arial"/>
          <w:color w:val="000000" w:themeColor="text1"/>
        </w:rPr>
        <w:t>Se</w:t>
      </w:r>
      <w:r w:rsidRPr="00917C1B">
        <w:rPr>
          <w:rFonts w:ascii="Palatino Linotype" w:hAnsi="Palatino Linotype" w:cs="Arial"/>
          <w:b/>
          <w:color w:val="000000" w:themeColor="text1"/>
        </w:rPr>
        <w:t xml:space="preserve"> ORDENA </w:t>
      </w:r>
      <w:r w:rsidRPr="00917C1B">
        <w:rPr>
          <w:rFonts w:ascii="Palatino Linotype" w:hAnsi="Palatino Linotype" w:cs="Arial"/>
          <w:color w:val="000000" w:themeColor="text1"/>
        </w:rPr>
        <w:t xml:space="preserve">al </w:t>
      </w:r>
      <w:r w:rsidRPr="00917C1B">
        <w:rPr>
          <w:rFonts w:ascii="Palatino Linotype" w:hAnsi="Palatino Linotype" w:cs="Arial"/>
          <w:b/>
          <w:color w:val="000000" w:themeColor="text1"/>
        </w:rPr>
        <w:t xml:space="preserve">Partido Verde Ecologista de México, </w:t>
      </w:r>
      <w:r w:rsidRPr="00917C1B">
        <w:rPr>
          <w:rFonts w:ascii="Palatino Linotype" w:hAnsi="Palatino Linotype" w:cs="Arial"/>
          <w:color w:val="000000" w:themeColor="text1"/>
        </w:rPr>
        <w:t xml:space="preserve">Sujeto Obligado, atienda la solicitud de información número </w:t>
      </w:r>
      <w:r w:rsidRPr="00917C1B">
        <w:rPr>
          <w:rFonts w:ascii="Palatino Linotype" w:hAnsi="Palatino Linotype" w:cs="Arial"/>
          <w:b/>
          <w:color w:val="000000" w:themeColor="text1"/>
        </w:rPr>
        <w:t>00022/PVERDE/IP/2018</w:t>
      </w:r>
      <w:r w:rsidRPr="00917C1B">
        <w:rPr>
          <w:rFonts w:ascii="Palatino Linotype" w:hAnsi="Palatino Linotype"/>
          <w:bCs/>
          <w:color w:val="000000" w:themeColor="text1"/>
        </w:rPr>
        <w:t xml:space="preserve">, y </w:t>
      </w:r>
      <w:r w:rsidRPr="00917C1B">
        <w:rPr>
          <w:rFonts w:ascii="Palatino Linotype" w:hAnsi="Palatino Linotype" w:cs="Arial"/>
          <w:color w:val="000000" w:themeColor="text1"/>
        </w:rPr>
        <w:t>haga entrega vía SAIMEX, en términos de</w:t>
      </w:r>
      <w:r w:rsidR="002B1E97" w:rsidRPr="00917C1B">
        <w:rPr>
          <w:rFonts w:ascii="Palatino Linotype" w:hAnsi="Palatino Linotype" w:cs="Arial"/>
          <w:color w:val="000000" w:themeColor="text1"/>
        </w:rPr>
        <w:t xml:space="preserve"> </w:t>
      </w:r>
      <w:r w:rsidRPr="00917C1B">
        <w:rPr>
          <w:rFonts w:ascii="Palatino Linotype" w:hAnsi="Palatino Linotype" w:cs="Arial"/>
          <w:color w:val="000000" w:themeColor="text1"/>
        </w:rPr>
        <w:t>l</w:t>
      </w:r>
      <w:r w:rsidR="002B1E97" w:rsidRPr="00917C1B">
        <w:rPr>
          <w:rFonts w:ascii="Palatino Linotype" w:hAnsi="Palatino Linotype" w:cs="Arial"/>
          <w:color w:val="000000" w:themeColor="text1"/>
        </w:rPr>
        <w:t>os</w:t>
      </w:r>
      <w:r w:rsidRPr="00917C1B">
        <w:rPr>
          <w:rFonts w:ascii="Palatino Linotype" w:hAnsi="Palatino Linotype" w:cs="Arial"/>
          <w:color w:val="000000" w:themeColor="text1"/>
        </w:rPr>
        <w:t xml:space="preserve"> Considerando</w:t>
      </w:r>
      <w:r w:rsidR="002B1E97" w:rsidRPr="00917C1B">
        <w:rPr>
          <w:rFonts w:ascii="Palatino Linotype" w:hAnsi="Palatino Linotype" w:cs="Arial"/>
          <w:color w:val="000000" w:themeColor="text1"/>
        </w:rPr>
        <w:t>s</w:t>
      </w:r>
      <w:r w:rsidRPr="00917C1B">
        <w:rPr>
          <w:rFonts w:ascii="Palatino Linotype" w:hAnsi="Palatino Linotype" w:cs="Arial"/>
          <w:color w:val="000000" w:themeColor="text1"/>
        </w:rPr>
        <w:t xml:space="preserve"> CUARTO</w:t>
      </w:r>
      <w:r w:rsidR="001B55C5" w:rsidRPr="00917C1B">
        <w:rPr>
          <w:rFonts w:ascii="Palatino Linotype" w:hAnsi="Palatino Linotype" w:cs="Arial"/>
          <w:color w:val="000000" w:themeColor="text1"/>
        </w:rPr>
        <w:t xml:space="preserve"> y QUINTO</w:t>
      </w:r>
      <w:r w:rsidRPr="00917C1B">
        <w:rPr>
          <w:rFonts w:ascii="Palatino Linotype" w:hAnsi="Palatino Linotype" w:cs="Arial"/>
          <w:color w:val="000000" w:themeColor="text1"/>
        </w:rPr>
        <w:t xml:space="preserve"> de esta resolución, de</w:t>
      </w:r>
      <w:r w:rsidR="00896B0F" w:rsidRPr="00917C1B">
        <w:rPr>
          <w:rFonts w:ascii="Palatino Linotype" w:hAnsi="Palatino Linotype" w:cs="Arial"/>
          <w:color w:val="000000" w:themeColor="text1"/>
        </w:rPr>
        <w:t>l documento o documento donde conste</w:t>
      </w:r>
      <w:r w:rsidR="0035401A" w:rsidRPr="00917C1B">
        <w:rPr>
          <w:rFonts w:ascii="Palatino Linotype" w:hAnsi="Palatino Linotype" w:cs="Arial"/>
          <w:color w:val="000000" w:themeColor="text1"/>
        </w:rPr>
        <w:t>,</w:t>
      </w:r>
      <w:r w:rsidR="00896B0F" w:rsidRPr="00917C1B">
        <w:rPr>
          <w:rFonts w:ascii="Palatino Linotype" w:hAnsi="Palatino Linotype" w:cs="Arial"/>
          <w:color w:val="000000" w:themeColor="text1"/>
        </w:rPr>
        <w:t xml:space="preserve"> del Municipio de Temascalcingo,</w:t>
      </w:r>
      <w:r w:rsidR="00FD3114" w:rsidRPr="00917C1B">
        <w:rPr>
          <w:rFonts w:ascii="Palatino Linotype" w:hAnsi="Palatino Linotype" w:cs="Arial"/>
          <w:color w:val="000000" w:themeColor="text1"/>
        </w:rPr>
        <w:t xml:space="preserve"> lo siguiente</w:t>
      </w:r>
      <w:r w:rsidRPr="00917C1B">
        <w:rPr>
          <w:rFonts w:ascii="Palatino Linotype" w:hAnsi="Palatino Linotype" w:cs="Arial"/>
          <w:color w:val="000000" w:themeColor="text1"/>
        </w:rPr>
        <w:t>:</w:t>
      </w:r>
    </w:p>
    <w:p w14:paraId="7488F01B" w14:textId="494AC2EB" w:rsidR="00896B0F" w:rsidRPr="00917C1B" w:rsidRDefault="009039C9" w:rsidP="00896B0F">
      <w:pPr>
        <w:pStyle w:val="Prrafodelista"/>
        <w:numPr>
          <w:ilvl w:val="0"/>
          <w:numId w:val="46"/>
        </w:numPr>
        <w:spacing w:before="240" w:after="240" w:line="360" w:lineRule="auto"/>
        <w:jc w:val="both"/>
        <w:rPr>
          <w:rFonts w:ascii="Palatino Linotype" w:hAnsi="Palatino Linotype"/>
          <w:b/>
          <w:color w:val="000000" w:themeColor="text1"/>
        </w:rPr>
      </w:pPr>
      <w:r w:rsidRPr="00917C1B">
        <w:rPr>
          <w:rFonts w:ascii="Palatino Linotype" w:hAnsi="Palatino Linotype" w:cs="Arial"/>
          <w:b/>
          <w:color w:val="000000" w:themeColor="text1"/>
        </w:rPr>
        <w:t xml:space="preserve">De ser </w:t>
      </w:r>
      <w:r w:rsidR="00193202" w:rsidRPr="00917C1B">
        <w:rPr>
          <w:rFonts w:ascii="Palatino Linotype" w:hAnsi="Palatino Linotype" w:cs="Arial"/>
          <w:b/>
          <w:color w:val="000000" w:themeColor="text1"/>
        </w:rPr>
        <w:t>procedente</w:t>
      </w:r>
      <w:r w:rsidRPr="00917C1B">
        <w:rPr>
          <w:rFonts w:ascii="Palatino Linotype" w:hAnsi="Palatino Linotype" w:cs="Arial"/>
          <w:b/>
          <w:color w:val="000000" w:themeColor="text1"/>
        </w:rPr>
        <w:t xml:space="preserve"> en</w:t>
      </w:r>
      <w:r w:rsidR="00FE7A96" w:rsidRPr="00917C1B">
        <w:rPr>
          <w:rFonts w:ascii="Palatino Linotype" w:hAnsi="Palatino Linotype" w:cs="Arial"/>
          <w:b/>
          <w:color w:val="000000" w:themeColor="text1"/>
        </w:rPr>
        <w:t xml:space="preserve"> versión pública</w:t>
      </w:r>
      <w:r w:rsidRPr="00917C1B">
        <w:rPr>
          <w:rFonts w:ascii="Palatino Linotype" w:hAnsi="Palatino Linotype" w:cs="Arial"/>
          <w:b/>
          <w:color w:val="000000" w:themeColor="text1"/>
        </w:rPr>
        <w:t>, la evidencia</w:t>
      </w:r>
      <w:r w:rsidR="00FE7A96" w:rsidRPr="00917C1B">
        <w:rPr>
          <w:rFonts w:ascii="Palatino Linotype" w:hAnsi="Palatino Linotype"/>
          <w:b/>
          <w:color w:val="000000" w:themeColor="text1"/>
        </w:rPr>
        <w:t xml:space="preserve"> </w:t>
      </w:r>
      <w:r w:rsidR="00896B0F" w:rsidRPr="00917C1B">
        <w:rPr>
          <w:rFonts w:ascii="Palatino Linotype" w:hAnsi="Palatino Linotype"/>
          <w:b/>
          <w:color w:val="000000" w:themeColor="text1"/>
        </w:rPr>
        <w:t>del cumplimiento de los requisitos de elegibilidad de los candidatos propietarios y suplentes</w:t>
      </w:r>
      <w:r w:rsidR="00B94C6C" w:rsidRPr="00917C1B">
        <w:rPr>
          <w:rFonts w:ascii="Palatino Linotype" w:hAnsi="Palatino Linotype"/>
          <w:b/>
          <w:color w:val="000000" w:themeColor="text1"/>
        </w:rPr>
        <w:t>,</w:t>
      </w:r>
      <w:r w:rsidR="00896B0F" w:rsidRPr="00917C1B">
        <w:rPr>
          <w:rFonts w:ascii="Palatino Linotype" w:hAnsi="Palatino Linotype"/>
          <w:b/>
          <w:color w:val="000000" w:themeColor="text1"/>
        </w:rPr>
        <w:t xml:space="preserve"> integrantes de la planilla al Ayuntamiento</w:t>
      </w:r>
      <w:r w:rsidR="00FE7A96" w:rsidRPr="00917C1B">
        <w:rPr>
          <w:rFonts w:ascii="Palatino Linotype" w:hAnsi="Palatino Linotype"/>
          <w:b/>
          <w:color w:val="000000" w:themeColor="text1"/>
        </w:rPr>
        <w:t>,</w:t>
      </w:r>
      <w:r w:rsidR="00B94C6C" w:rsidRPr="00917C1B">
        <w:rPr>
          <w:rFonts w:ascii="Palatino Linotype" w:hAnsi="Palatino Linotype"/>
          <w:b/>
          <w:color w:val="000000" w:themeColor="text1"/>
        </w:rPr>
        <w:t xml:space="preserve"> en el proceso electoral 2017-2018</w:t>
      </w:r>
      <w:r w:rsidR="00896B0F" w:rsidRPr="00917C1B">
        <w:rPr>
          <w:rFonts w:ascii="Palatino Linotype" w:hAnsi="Palatino Linotype"/>
          <w:b/>
          <w:color w:val="000000" w:themeColor="text1"/>
        </w:rPr>
        <w:t xml:space="preserve">. </w:t>
      </w:r>
    </w:p>
    <w:p w14:paraId="76A84BA0" w14:textId="79E9875F" w:rsidR="0007645E" w:rsidRPr="00917C1B" w:rsidRDefault="00FD3114" w:rsidP="0007645E">
      <w:pPr>
        <w:pStyle w:val="Prrafodelista"/>
        <w:numPr>
          <w:ilvl w:val="0"/>
          <w:numId w:val="46"/>
        </w:numPr>
        <w:autoSpaceDE w:val="0"/>
        <w:autoSpaceDN w:val="0"/>
        <w:adjustRightInd w:val="0"/>
        <w:spacing w:before="240" w:after="240" w:line="360" w:lineRule="auto"/>
        <w:jc w:val="both"/>
        <w:rPr>
          <w:rFonts w:ascii="Palatino Linotype" w:hAnsi="Palatino Linotype" w:cs="Arial"/>
          <w:b/>
          <w:color w:val="000000" w:themeColor="text1"/>
        </w:rPr>
      </w:pPr>
      <w:r w:rsidRPr="00917C1B">
        <w:rPr>
          <w:rFonts w:ascii="Palatino Linotype" w:hAnsi="Palatino Linotype"/>
          <w:b/>
          <w:color w:val="000000" w:themeColor="text1"/>
        </w:rPr>
        <w:t>Acuerdo q</w:t>
      </w:r>
      <w:r w:rsidR="00EC1FD0" w:rsidRPr="00917C1B">
        <w:rPr>
          <w:rFonts w:ascii="Palatino Linotype" w:hAnsi="Palatino Linotype"/>
          <w:b/>
          <w:color w:val="000000" w:themeColor="text1"/>
        </w:rPr>
        <w:t>ue Clasifique</w:t>
      </w:r>
      <w:r w:rsidRPr="00917C1B">
        <w:rPr>
          <w:rFonts w:ascii="Palatino Linotype" w:hAnsi="Palatino Linotype"/>
          <w:b/>
          <w:color w:val="000000" w:themeColor="text1"/>
        </w:rPr>
        <w:t xml:space="preserve"> e</w:t>
      </w:r>
      <w:r w:rsidR="00DD36C5" w:rsidRPr="00917C1B">
        <w:rPr>
          <w:rFonts w:ascii="Palatino Linotype" w:hAnsi="Palatino Linotype"/>
          <w:b/>
          <w:color w:val="000000" w:themeColor="text1"/>
        </w:rPr>
        <w:t>l r</w:t>
      </w:r>
      <w:r w:rsidR="0007645E" w:rsidRPr="00917C1B">
        <w:rPr>
          <w:rFonts w:ascii="Palatino Linotype" w:hAnsi="Palatino Linotype"/>
          <w:b/>
          <w:color w:val="000000" w:themeColor="text1"/>
        </w:rPr>
        <w:t>egistro de simpatizantes</w:t>
      </w:r>
      <w:r w:rsidRPr="00917C1B">
        <w:rPr>
          <w:rFonts w:ascii="Palatino Linotype" w:hAnsi="Palatino Linotype"/>
          <w:b/>
          <w:color w:val="000000" w:themeColor="text1"/>
        </w:rPr>
        <w:t xml:space="preserve"> como Información Confidencial, emitido por el Comité de Transparencia </w:t>
      </w:r>
      <w:r w:rsidRPr="00917C1B">
        <w:rPr>
          <w:rFonts w:ascii="Palatino Linotype" w:hAnsi="Palatino Linotype" w:cs="Arial"/>
          <w:b/>
          <w:color w:val="000000" w:themeColor="text1"/>
        </w:rPr>
        <w:t>en términos de la Ley de Transparencia y Acceso a la Información Pública del Estado de México y Municipios, en el que funde y motive las razones por las que se restringió la información.</w:t>
      </w:r>
    </w:p>
    <w:p w14:paraId="56E97801" w14:textId="7D2D18AF" w:rsidR="00663963" w:rsidRPr="00917C1B" w:rsidRDefault="00663963" w:rsidP="00663963">
      <w:pPr>
        <w:tabs>
          <w:tab w:val="left" w:pos="8080"/>
        </w:tabs>
        <w:autoSpaceDE w:val="0"/>
        <w:autoSpaceDN w:val="0"/>
        <w:adjustRightInd w:val="0"/>
        <w:spacing w:before="240" w:after="360" w:line="360" w:lineRule="auto"/>
        <w:jc w:val="both"/>
        <w:rPr>
          <w:rFonts w:ascii="Palatino Linotype" w:hAnsi="Palatino Linotype" w:cs="Arial"/>
          <w:i/>
          <w:color w:val="000000" w:themeColor="text1"/>
          <w:sz w:val="20"/>
          <w:szCs w:val="20"/>
        </w:rPr>
      </w:pPr>
      <w:r w:rsidRPr="00917C1B">
        <w:rPr>
          <w:rFonts w:ascii="Palatino Linotype" w:hAnsi="Palatino Linotype" w:cs="Arial"/>
          <w:i/>
          <w:color w:val="000000" w:themeColor="text1"/>
          <w:sz w:val="20"/>
          <w:szCs w:val="20"/>
        </w:rPr>
        <w:t xml:space="preserve">Para la entrega en versión pública de ser el caso respecto del numeral 1,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917C1B">
        <w:rPr>
          <w:rFonts w:ascii="Palatino Linotype" w:hAnsi="Palatino Linotype" w:cs="Arial"/>
          <w:b/>
          <w:i/>
          <w:color w:val="000000" w:themeColor="text1"/>
          <w:sz w:val="20"/>
          <w:szCs w:val="20"/>
        </w:rPr>
        <w:t>Recurrente</w:t>
      </w:r>
      <w:r w:rsidRPr="00917C1B">
        <w:rPr>
          <w:rFonts w:ascii="Palatino Linotype" w:hAnsi="Palatino Linotype" w:cs="Arial"/>
          <w:i/>
          <w:color w:val="000000" w:themeColor="text1"/>
          <w:sz w:val="20"/>
          <w:szCs w:val="20"/>
        </w:rPr>
        <w:t>.</w:t>
      </w:r>
    </w:p>
    <w:p w14:paraId="6781C8C7" w14:textId="77777777" w:rsidR="00663963" w:rsidRPr="00917C1B" w:rsidRDefault="00663963" w:rsidP="00663963">
      <w:pPr>
        <w:autoSpaceDE w:val="0"/>
        <w:autoSpaceDN w:val="0"/>
        <w:adjustRightInd w:val="0"/>
        <w:spacing w:before="240" w:after="240" w:line="360" w:lineRule="auto"/>
        <w:ind w:left="360"/>
        <w:jc w:val="both"/>
        <w:rPr>
          <w:rFonts w:ascii="Palatino Linotype" w:hAnsi="Palatino Linotype" w:cs="Arial"/>
          <w:b/>
          <w:color w:val="000000" w:themeColor="text1"/>
        </w:rPr>
      </w:pPr>
    </w:p>
    <w:p w14:paraId="54510FD0" w14:textId="77777777" w:rsidR="0007645E" w:rsidRPr="00917C1B" w:rsidRDefault="0007645E" w:rsidP="0007645E">
      <w:pPr>
        <w:spacing w:before="240" w:after="240" w:line="360" w:lineRule="auto"/>
        <w:ind w:right="-93"/>
        <w:jc w:val="both"/>
        <w:rPr>
          <w:rFonts w:ascii="Palatino Linotype" w:hAnsi="Palatino Linotype"/>
          <w:color w:val="000000" w:themeColor="text1"/>
          <w:shd w:val="clear" w:color="auto" w:fill="FFFFFF"/>
        </w:rPr>
      </w:pPr>
      <w:r w:rsidRPr="00917C1B">
        <w:rPr>
          <w:rFonts w:ascii="Palatino Linotype" w:hAnsi="Palatino Linotype" w:cs="Arial"/>
          <w:b/>
          <w:color w:val="000000" w:themeColor="text1"/>
          <w:sz w:val="28"/>
        </w:rPr>
        <w:t>TERCERO.</w:t>
      </w:r>
      <w:r w:rsidRPr="00917C1B">
        <w:rPr>
          <w:rFonts w:ascii="Palatino Linotype" w:hAnsi="Palatino Linotype" w:cs="Arial"/>
          <w:b/>
          <w:color w:val="000000" w:themeColor="text1"/>
        </w:rPr>
        <w:t xml:space="preserve"> </w:t>
      </w:r>
      <w:r w:rsidRPr="00917C1B">
        <w:rPr>
          <w:rFonts w:ascii="Palatino Linotype" w:hAnsi="Palatino Linotype" w:cs="Arial"/>
          <w:b/>
          <w:bCs/>
          <w:color w:val="000000" w:themeColor="text1"/>
          <w:szCs w:val="28"/>
          <w:shd w:val="clear" w:color="auto" w:fill="FFFFFF"/>
        </w:rPr>
        <w:t>NOTIFÍQUESE</w:t>
      </w:r>
      <w:r w:rsidRPr="00917C1B">
        <w:rPr>
          <w:rFonts w:ascii="Palatino Linotype" w:hAnsi="Palatino Linotype" w:cs="Arial"/>
          <w:b/>
          <w:bCs/>
          <w:i/>
          <w:iCs/>
          <w:color w:val="000000" w:themeColor="text1"/>
          <w:shd w:val="clear" w:color="auto" w:fill="FFFFFF"/>
        </w:rPr>
        <w:t> </w:t>
      </w:r>
      <w:r w:rsidRPr="00917C1B">
        <w:rPr>
          <w:rFonts w:ascii="Palatino Linotype" w:hAnsi="Palatino Linotype"/>
          <w:color w:val="000000" w:themeColor="text1"/>
          <w:shd w:val="clear" w:color="auto" w:fill="FFFFFF"/>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55F8647" w14:textId="77777777" w:rsidR="0044440A" w:rsidRPr="00917C1B" w:rsidRDefault="0007645E" w:rsidP="0044440A">
      <w:pPr>
        <w:spacing w:before="240" w:after="240" w:line="360" w:lineRule="auto"/>
        <w:jc w:val="both"/>
        <w:rPr>
          <w:rFonts w:ascii="Palatino Linotype" w:eastAsia="Calibri" w:hAnsi="Palatino Linotype" w:cs="Arial"/>
          <w:color w:val="000000" w:themeColor="text1"/>
        </w:rPr>
      </w:pPr>
      <w:r w:rsidRPr="00917C1B">
        <w:rPr>
          <w:rFonts w:ascii="Palatino Linotype" w:hAnsi="Palatino Linotype" w:cs="Arial"/>
          <w:b/>
          <w:color w:val="000000" w:themeColor="text1"/>
          <w:sz w:val="28"/>
        </w:rPr>
        <w:t>CUARTO.</w:t>
      </w:r>
      <w:r w:rsidRPr="00917C1B">
        <w:rPr>
          <w:rFonts w:ascii="Palatino Linotype" w:hAnsi="Palatino Linotype" w:cs="Arial"/>
          <w:b/>
          <w:color w:val="000000" w:themeColor="text1"/>
        </w:rPr>
        <w:t xml:space="preserve"> </w:t>
      </w:r>
      <w:r w:rsidR="0044440A" w:rsidRPr="00917C1B">
        <w:rPr>
          <w:rFonts w:ascii="Palatino Linotype" w:hAnsi="Palatino Linotype" w:cs="Arial"/>
          <w:b/>
          <w:color w:val="000000" w:themeColor="text1"/>
          <w:lang w:val="es-MX" w:eastAsia="es-MX"/>
        </w:rPr>
        <w:t xml:space="preserve">Notifíquese, </w:t>
      </w:r>
      <w:r w:rsidR="0044440A" w:rsidRPr="00917C1B">
        <w:rPr>
          <w:rFonts w:ascii="Palatino Linotype" w:hAnsi="Palatino Linotype" w:cs="Arial"/>
          <w:color w:val="000000" w:themeColor="text1"/>
          <w:lang w:val="es-MX" w:eastAsia="es-MX"/>
        </w:rPr>
        <w:t xml:space="preserve">al recurrente </w:t>
      </w:r>
      <w:r w:rsidR="0044440A" w:rsidRPr="00917C1B">
        <w:rPr>
          <w:rFonts w:ascii="Palatino Linotype" w:hAnsi="Palatino Linotype"/>
          <w:color w:val="000000" w:themeColor="text1"/>
        </w:rPr>
        <w:t>la presente resolución, así como, que de conformidad con lo establecido en el artículo 159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14:paraId="44D87854" w14:textId="48AD8F4E" w:rsidR="0007645E" w:rsidRPr="00917C1B" w:rsidRDefault="0007645E" w:rsidP="0007645E">
      <w:pPr>
        <w:autoSpaceDE w:val="0"/>
        <w:autoSpaceDN w:val="0"/>
        <w:adjustRightInd w:val="0"/>
        <w:spacing w:before="240" w:after="240" w:line="360" w:lineRule="auto"/>
        <w:jc w:val="both"/>
        <w:rPr>
          <w:rFonts w:ascii="Palatino Linotype" w:hAnsi="Palatino Linotype" w:cs="Arial"/>
          <w:color w:val="000000" w:themeColor="text1"/>
          <w:lang w:val="es-MX" w:eastAsia="es-MX"/>
        </w:rPr>
      </w:pPr>
    </w:p>
    <w:p w14:paraId="73015D1A" w14:textId="7506E49F" w:rsidR="008E7698" w:rsidRPr="00917C1B" w:rsidRDefault="00026D94" w:rsidP="009D2860">
      <w:pPr>
        <w:autoSpaceDE w:val="0"/>
        <w:autoSpaceDN w:val="0"/>
        <w:adjustRightInd w:val="0"/>
        <w:spacing w:before="240" w:after="240" w:line="360" w:lineRule="auto"/>
        <w:jc w:val="both"/>
        <w:rPr>
          <w:rFonts w:ascii="Palatino Linotype" w:hAnsi="Palatino Linotype" w:cs="Arial"/>
          <w:color w:val="000000" w:themeColor="text1"/>
        </w:rPr>
      </w:pPr>
      <w:r w:rsidRPr="00917C1B">
        <w:rPr>
          <w:rFonts w:ascii="Palatino Linotype" w:hAnsi="Palatino Linotype" w:cs="Arial"/>
          <w:color w:val="000000" w:themeColor="text1"/>
        </w:rPr>
        <w:t>ASÍ LO RESUELVE, POR UNANIMIDAD DE VOTOS EL PLENO DEL</w:t>
      </w:r>
      <w:r w:rsidRPr="00917C1B">
        <w:rPr>
          <w:rFonts w:ascii="Palatino Linotype" w:eastAsia="Arial Unicode MS" w:hAnsi="Palatino Linotype" w:cs="Arial"/>
          <w:color w:val="000000" w:themeColor="text1"/>
        </w:rPr>
        <w:t xml:space="preserve"> INSTITUTO DE TRANSPARENCIA, ACCESO A LA INFORMACIÓN PÚBLICA Y PROTECCIÓN DE DATOS PERSONALES DEL ESTADO DE MÉXICO Y MUNICIPIOS</w:t>
      </w:r>
      <w:r w:rsidRPr="00917C1B">
        <w:rPr>
          <w:rFonts w:ascii="Palatino Linotype" w:hAnsi="Palatino Linotype" w:cs="Arial"/>
          <w:color w:val="000000" w:themeColor="text1"/>
        </w:rPr>
        <w:t>, CONFORMADO POR LOS COMISIONADOS</w:t>
      </w:r>
      <w:r w:rsidR="002441D0" w:rsidRPr="00917C1B">
        <w:rPr>
          <w:rFonts w:ascii="Palatino Linotype" w:hAnsi="Palatino Linotype" w:cs="Arial"/>
          <w:color w:val="000000" w:themeColor="text1"/>
        </w:rPr>
        <w:t xml:space="preserve"> ZULEMA MARTÍNEZ SÁNCHEZ</w:t>
      </w:r>
      <w:r w:rsidR="00EF35FA" w:rsidRPr="00917C1B">
        <w:rPr>
          <w:rFonts w:ascii="Palatino Linotype" w:hAnsi="Palatino Linotype" w:cs="Arial"/>
          <w:color w:val="000000" w:themeColor="text1"/>
        </w:rPr>
        <w:t>; EVA ABAID YAPUR</w:t>
      </w:r>
      <w:r w:rsidRPr="00917C1B">
        <w:rPr>
          <w:rFonts w:ascii="Palatino Linotype" w:hAnsi="Palatino Linotype" w:cs="Arial"/>
          <w:color w:val="000000" w:themeColor="text1"/>
        </w:rPr>
        <w:t>; JOSÉ GUADALUPE LUNA HERNÁNDEZ</w:t>
      </w:r>
      <w:r w:rsidR="008E0C11" w:rsidRPr="00917C1B">
        <w:rPr>
          <w:rFonts w:ascii="Palatino Linotype" w:hAnsi="Palatino Linotype" w:cs="Arial"/>
          <w:color w:val="000000" w:themeColor="text1"/>
        </w:rPr>
        <w:t xml:space="preserve">; </w:t>
      </w:r>
      <w:r w:rsidRPr="00917C1B">
        <w:rPr>
          <w:rFonts w:ascii="Palatino Linotype" w:hAnsi="Palatino Linotype" w:cs="Arial"/>
          <w:color w:val="000000" w:themeColor="text1"/>
        </w:rPr>
        <w:t>JAVIER MARTÍNEZ CRUZ</w:t>
      </w:r>
      <w:r w:rsidR="008E0C11" w:rsidRPr="00917C1B">
        <w:rPr>
          <w:rFonts w:ascii="Palatino Linotype" w:hAnsi="Palatino Linotype" w:cs="Arial"/>
          <w:color w:val="000000" w:themeColor="text1"/>
        </w:rPr>
        <w:t xml:space="preserve"> Y LUIS GUSTAVO PARRA NORIEGA</w:t>
      </w:r>
      <w:r w:rsidRPr="00917C1B">
        <w:rPr>
          <w:rFonts w:ascii="Palatino Linotype" w:hAnsi="Palatino Linotype" w:cs="Arial"/>
          <w:color w:val="000000" w:themeColor="text1"/>
        </w:rPr>
        <w:t xml:space="preserve">; EN LA </w:t>
      </w:r>
      <w:r w:rsidR="008E0C11" w:rsidRPr="00917C1B">
        <w:rPr>
          <w:rFonts w:ascii="Palatino Linotype" w:hAnsi="Palatino Linotype" w:cs="Arial"/>
          <w:color w:val="000000" w:themeColor="text1"/>
        </w:rPr>
        <w:t>TRIGÉSIMA QUINTA</w:t>
      </w:r>
      <w:r w:rsidRPr="00917C1B">
        <w:rPr>
          <w:rFonts w:ascii="Palatino Linotype" w:hAnsi="Palatino Linotype" w:cs="Arial"/>
          <w:color w:val="000000" w:themeColor="text1"/>
        </w:rPr>
        <w:t xml:space="preserve"> SESIÓN ORDINARIA CELEBRADA EL </w:t>
      </w:r>
      <w:r w:rsidR="004F55EC" w:rsidRPr="00917C1B">
        <w:rPr>
          <w:rFonts w:ascii="Palatino Linotype" w:hAnsi="Palatino Linotype" w:cs="Arial"/>
          <w:color w:val="000000" w:themeColor="text1"/>
        </w:rPr>
        <w:t>VEINTISÉIS</w:t>
      </w:r>
      <w:r w:rsidR="008E0C11" w:rsidRPr="00917C1B">
        <w:rPr>
          <w:rFonts w:ascii="Palatino Linotype" w:hAnsi="Palatino Linotype" w:cs="Arial"/>
          <w:color w:val="000000" w:themeColor="text1"/>
        </w:rPr>
        <w:t xml:space="preserve"> DE SEPTIEMBRE</w:t>
      </w:r>
      <w:r w:rsidRPr="00917C1B">
        <w:rPr>
          <w:rFonts w:ascii="Palatino Linotype" w:hAnsi="Palatino Linotype" w:cs="Arial"/>
          <w:color w:val="000000" w:themeColor="text1"/>
        </w:rPr>
        <w:t xml:space="preserve"> DEL DOS MIL DIECI</w:t>
      </w:r>
      <w:r w:rsidR="002441D0" w:rsidRPr="00917C1B">
        <w:rPr>
          <w:rFonts w:ascii="Palatino Linotype" w:hAnsi="Palatino Linotype" w:cs="Arial"/>
          <w:color w:val="000000" w:themeColor="text1"/>
        </w:rPr>
        <w:t>OCHO</w:t>
      </w:r>
      <w:r w:rsidRPr="00917C1B">
        <w:rPr>
          <w:rFonts w:ascii="Palatino Linotype" w:hAnsi="Palatino Linotype" w:cs="Arial"/>
          <w:color w:val="000000" w:themeColor="text1"/>
        </w:rPr>
        <w:t xml:space="preserve">, ANTE </w:t>
      </w:r>
      <w:r w:rsidR="00850491" w:rsidRPr="00917C1B">
        <w:rPr>
          <w:rFonts w:ascii="Palatino Linotype" w:hAnsi="Palatino Linotype" w:cs="Arial"/>
          <w:color w:val="000000" w:themeColor="text1"/>
        </w:rPr>
        <w:t>EL</w:t>
      </w:r>
      <w:r w:rsidRPr="00917C1B">
        <w:rPr>
          <w:rFonts w:ascii="Palatino Linotype" w:hAnsi="Palatino Linotype" w:cs="Arial"/>
          <w:color w:val="000000" w:themeColor="text1"/>
        </w:rPr>
        <w:t xml:space="preserve"> SECRETARI</w:t>
      </w:r>
      <w:r w:rsidR="007D336B" w:rsidRPr="00917C1B">
        <w:rPr>
          <w:rFonts w:ascii="Palatino Linotype" w:hAnsi="Palatino Linotype" w:cs="Arial"/>
          <w:color w:val="000000" w:themeColor="text1"/>
        </w:rPr>
        <w:t>O</w:t>
      </w:r>
      <w:r w:rsidRPr="00917C1B">
        <w:rPr>
          <w:rFonts w:ascii="Palatino Linotype" w:hAnsi="Palatino Linotype" w:cs="Arial"/>
          <w:color w:val="000000" w:themeColor="text1"/>
        </w:rPr>
        <w:t xml:space="preserve"> TÉCNIC</w:t>
      </w:r>
      <w:r w:rsidR="007D336B" w:rsidRPr="00917C1B">
        <w:rPr>
          <w:rFonts w:ascii="Palatino Linotype" w:hAnsi="Palatino Linotype" w:cs="Arial"/>
          <w:color w:val="000000" w:themeColor="text1"/>
        </w:rPr>
        <w:t>O</w:t>
      </w:r>
      <w:r w:rsidRPr="00917C1B">
        <w:rPr>
          <w:rFonts w:ascii="Palatino Linotype" w:hAnsi="Palatino Linotype" w:cs="Arial"/>
          <w:color w:val="000000" w:themeColor="text1"/>
        </w:rPr>
        <w:t xml:space="preserve"> DEL PLENO, </w:t>
      </w:r>
      <w:r w:rsidR="007D336B" w:rsidRPr="00917C1B">
        <w:rPr>
          <w:rFonts w:ascii="Palatino Linotype" w:hAnsi="Palatino Linotype" w:cs="Arial"/>
          <w:color w:val="000000" w:themeColor="text1"/>
        </w:rPr>
        <w:t>ALEXIS TAPIA RAMÍREZ</w:t>
      </w:r>
      <w:r w:rsidRPr="00917C1B">
        <w:rPr>
          <w:rFonts w:ascii="Palatino Linotype" w:hAnsi="Palatino Linotype" w:cs="Arial"/>
          <w:color w:val="000000" w:themeColor="text1"/>
        </w:rPr>
        <w:t>.</w:t>
      </w:r>
    </w:p>
    <w:p w14:paraId="6B45AF41" w14:textId="77777777" w:rsidR="008E0C11" w:rsidRPr="00917C1B" w:rsidRDefault="008E0C11" w:rsidP="009D2860">
      <w:pPr>
        <w:autoSpaceDE w:val="0"/>
        <w:autoSpaceDN w:val="0"/>
        <w:adjustRightInd w:val="0"/>
        <w:spacing w:before="240" w:after="240" w:line="360" w:lineRule="auto"/>
        <w:jc w:val="both"/>
        <w:rPr>
          <w:rFonts w:ascii="Palatino Linotype" w:hAnsi="Palatino Linotype" w:cs="Arial"/>
          <w:color w:val="000000" w:themeColor="text1"/>
        </w:rPr>
      </w:pPr>
    </w:p>
    <w:p w14:paraId="6B614BF1" w14:textId="77777777" w:rsidR="008E0C11" w:rsidRPr="00917C1B" w:rsidRDefault="008E0C11" w:rsidP="009D2860">
      <w:pPr>
        <w:autoSpaceDE w:val="0"/>
        <w:autoSpaceDN w:val="0"/>
        <w:adjustRightInd w:val="0"/>
        <w:spacing w:before="240" w:after="240" w:line="360" w:lineRule="auto"/>
        <w:jc w:val="both"/>
        <w:rPr>
          <w:rFonts w:ascii="Palatino Linotype" w:hAnsi="Palatino Linotype" w:cs="Arial"/>
          <w:color w:val="000000" w:themeColor="text1"/>
        </w:rPr>
      </w:pPr>
    </w:p>
    <w:tbl>
      <w:tblPr>
        <w:tblStyle w:val="Tablaconcuadrcula"/>
        <w:tblW w:w="88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28"/>
      </w:tblGrid>
      <w:tr w:rsidR="00917C1B" w:rsidRPr="00917C1B" w14:paraId="301B1D64" w14:textId="77777777" w:rsidTr="00073D9A">
        <w:trPr>
          <w:trHeight w:val="2063"/>
        </w:trPr>
        <w:tc>
          <w:tcPr>
            <w:tcW w:w="8839" w:type="dxa"/>
            <w:gridSpan w:val="2"/>
          </w:tcPr>
          <w:p w14:paraId="162D6DC2" w14:textId="77777777" w:rsidR="002D5B89" w:rsidRPr="00917C1B" w:rsidRDefault="002D5B89" w:rsidP="00073D9A">
            <w:pPr>
              <w:jc w:val="center"/>
              <w:rPr>
                <w:rFonts w:ascii="Palatino Linotype" w:hAnsi="Palatino Linotype"/>
                <w:color w:val="000000" w:themeColor="text1"/>
              </w:rPr>
            </w:pPr>
            <w:r w:rsidRPr="00917C1B">
              <w:rPr>
                <w:rFonts w:ascii="Palatino Linotype" w:hAnsi="Palatino Linotype"/>
                <w:b/>
                <w:color w:val="000000" w:themeColor="text1"/>
                <w:sz w:val="28"/>
                <w:szCs w:val="28"/>
              </w:rPr>
              <w:t>Zulema Martínez Sánchez</w:t>
            </w:r>
            <w:r w:rsidRPr="00917C1B">
              <w:rPr>
                <w:rFonts w:ascii="Palatino Linotype" w:hAnsi="Palatino Linotype"/>
                <w:color w:val="000000" w:themeColor="text1"/>
              </w:rPr>
              <w:t xml:space="preserve"> </w:t>
            </w:r>
          </w:p>
          <w:p w14:paraId="67D8786D" w14:textId="77777777"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Comisionada Presidenta</w:t>
            </w:r>
          </w:p>
          <w:p w14:paraId="7690E7D7" w14:textId="54F09AE7"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(Rúbrica)</w:t>
            </w:r>
          </w:p>
        </w:tc>
      </w:tr>
      <w:tr w:rsidR="00917C1B" w:rsidRPr="00917C1B" w14:paraId="5D2F0CCC" w14:textId="77777777" w:rsidTr="00073D9A">
        <w:trPr>
          <w:trHeight w:val="2063"/>
        </w:trPr>
        <w:tc>
          <w:tcPr>
            <w:tcW w:w="4111" w:type="dxa"/>
          </w:tcPr>
          <w:p w14:paraId="1B434997" w14:textId="77777777" w:rsidR="002D5B89" w:rsidRPr="00917C1B" w:rsidRDefault="002D5B89" w:rsidP="00073D9A">
            <w:pPr>
              <w:jc w:val="center"/>
              <w:rPr>
                <w:rFonts w:ascii="Palatino Linotype" w:hAnsi="Palatino Linotype"/>
                <w:b/>
                <w:color w:val="000000" w:themeColor="text1"/>
                <w:sz w:val="28"/>
                <w:szCs w:val="28"/>
              </w:rPr>
            </w:pPr>
          </w:p>
          <w:p w14:paraId="7F6AEB89" w14:textId="77777777" w:rsidR="002D5B89" w:rsidRPr="00917C1B" w:rsidRDefault="002D5B89" w:rsidP="00073D9A">
            <w:pPr>
              <w:jc w:val="center"/>
              <w:rPr>
                <w:rFonts w:ascii="Palatino Linotype" w:hAnsi="Palatino Linotype"/>
                <w:b/>
                <w:color w:val="000000" w:themeColor="text1"/>
                <w:sz w:val="28"/>
                <w:szCs w:val="28"/>
              </w:rPr>
            </w:pPr>
          </w:p>
          <w:p w14:paraId="43DAE420" w14:textId="77777777" w:rsidR="002D5B89" w:rsidRPr="00917C1B" w:rsidRDefault="002D5B89" w:rsidP="00073D9A">
            <w:pPr>
              <w:jc w:val="center"/>
              <w:rPr>
                <w:rFonts w:ascii="Palatino Linotype" w:hAnsi="Palatino Linotype"/>
                <w:b/>
                <w:color w:val="000000" w:themeColor="text1"/>
                <w:sz w:val="28"/>
                <w:szCs w:val="28"/>
              </w:rPr>
            </w:pPr>
          </w:p>
          <w:p w14:paraId="3F6E751E" w14:textId="77777777" w:rsidR="002D5B89" w:rsidRPr="00917C1B" w:rsidRDefault="002D5B89" w:rsidP="00073D9A">
            <w:pPr>
              <w:jc w:val="center"/>
              <w:rPr>
                <w:rFonts w:ascii="Palatino Linotype" w:hAnsi="Palatino Linotype"/>
                <w:b/>
                <w:color w:val="000000" w:themeColor="text1"/>
                <w:szCs w:val="28"/>
              </w:rPr>
            </w:pPr>
          </w:p>
          <w:p w14:paraId="0B8FE368" w14:textId="77777777" w:rsidR="002D5B89" w:rsidRPr="00917C1B" w:rsidRDefault="002D5B89" w:rsidP="00073D9A">
            <w:pPr>
              <w:jc w:val="center"/>
              <w:rPr>
                <w:rFonts w:ascii="Palatino Linotype" w:hAnsi="Palatino Linotype"/>
                <w:b/>
                <w:color w:val="000000" w:themeColor="text1"/>
                <w:sz w:val="28"/>
                <w:szCs w:val="28"/>
              </w:rPr>
            </w:pPr>
            <w:r w:rsidRPr="00917C1B">
              <w:rPr>
                <w:rFonts w:ascii="Palatino Linotype" w:hAnsi="Palatino Linotype"/>
                <w:b/>
                <w:color w:val="000000" w:themeColor="text1"/>
                <w:sz w:val="28"/>
                <w:szCs w:val="28"/>
              </w:rPr>
              <w:t>Eva Abaid Yapur</w:t>
            </w:r>
          </w:p>
          <w:p w14:paraId="2A13C8A7" w14:textId="77777777"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Comisionada</w:t>
            </w:r>
          </w:p>
          <w:p w14:paraId="5405672A" w14:textId="401A443C"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(Rúbrica)</w:t>
            </w:r>
          </w:p>
        </w:tc>
        <w:tc>
          <w:tcPr>
            <w:tcW w:w="4728" w:type="dxa"/>
          </w:tcPr>
          <w:p w14:paraId="6E538E72" w14:textId="77777777" w:rsidR="002D5B89" w:rsidRPr="00917C1B" w:rsidRDefault="002D5B89" w:rsidP="00073D9A">
            <w:pPr>
              <w:jc w:val="center"/>
              <w:rPr>
                <w:rFonts w:ascii="Palatino Linotype" w:hAnsi="Palatino Linotype"/>
                <w:b/>
                <w:color w:val="000000" w:themeColor="text1"/>
              </w:rPr>
            </w:pPr>
          </w:p>
          <w:p w14:paraId="168CA39A" w14:textId="77777777" w:rsidR="002D5B89" w:rsidRPr="00917C1B" w:rsidRDefault="002D5B89" w:rsidP="00073D9A">
            <w:pPr>
              <w:jc w:val="center"/>
              <w:rPr>
                <w:rFonts w:ascii="Palatino Linotype" w:hAnsi="Palatino Linotype"/>
                <w:b/>
                <w:color w:val="000000" w:themeColor="text1"/>
                <w:sz w:val="28"/>
                <w:szCs w:val="28"/>
              </w:rPr>
            </w:pPr>
          </w:p>
          <w:p w14:paraId="2C6D0BE9" w14:textId="77777777" w:rsidR="002D5B89" w:rsidRPr="00917C1B" w:rsidRDefault="002D5B89" w:rsidP="00073D9A">
            <w:pPr>
              <w:jc w:val="center"/>
              <w:rPr>
                <w:rFonts w:ascii="Palatino Linotype" w:hAnsi="Palatino Linotype"/>
                <w:b/>
                <w:color w:val="000000" w:themeColor="text1"/>
                <w:sz w:val="28"/>
                <w:szCs w:val="28"/>
              </w:rPr>
            </w:pPr>
          </w:p>
          <w:p w14:paraId="6E6EAFA0" w14:textId="77777777" w:rsidR="002D5B89" w:rsidRPr="00917C1B" w:rsidRDefault="002D5B89" w:rsidP="00073D9A">
            <w:pPr>
              <w:jc w:val="center"/>
              <w:rPr>
                <w:rFonts w:ascii="Palatino Linotype" w:hAnsi="Palatino Linotype"/>
                <w:b/>
                <w:color w:val="000000" w:themeColor="text1"/>
                <w:sz w:val="28"/>
                <w:szCs w:val="28"/>
              </w:rPr>
            </w:pPr>
          </w:p>
          <w:p w14:paraId="27547FFE" w14:textId="77777777" w:rsidR="002D5B89" w:rsidRPr="00917C1B" w:rsidRDefault="002D5B89" w:rsidP="00073D9A">
            <w:pPr>
              <w:jc w:val="center"/>
              <w:rPr>
                <w:rFonts w:ascii="Palatino Linotype" w:hAnsi="Palatino Linotype"/>
                <w:b/>
                <w:color w:val="000000" w:themeColor="text1"/>
                <w:sz w:val="28"/>
                <w:szCs w:val="28"/>
              </w:rPr>
            </w:pPr>
            <w:r w:rsidRPr="00917C1B">
              <w:rPr>
                <w:rFonts w:ascii="Palatino Linotype" w:hAnsi="Palatino Linotype"/>
                <w:b/>
                <w:color w:val="000000" w:themeColor="text1"/>
                <w:sz w:val="28"/>
                <w:szCs w:val="28"/>
              </w:rPr>
              <w:t>José Guadalupe Luna Hernández</w:t>
            </w:r>
          </w:p>
          <w:p w14:paraId="6FBEF848" w14:textId="77777777"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Comisionado</w:t>
            </w:r>
          </w:p>
          <w:p w14:paraId="0C47C72A" w14:textId="4AB8880A"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(Rúbrica)</w:t>
            </w:r>
          </w:p>
          <w:p w14:paraId="38B0440A" w14:textId="77777777" w:rsidR="002D5B89" w:rsidRPr="00917C1B" w:rsidRDefault="002D5B89" w:rsidP="00073D9A">
            <w:pPr>
              <w:jc w:val="center"/>
              <w:rPr>
                <w:rFonts w:ascii="Palatino Linotype" w:hAnsi="Palatino Linotype"/>
                <w:color w:val="000000" w:themeColor="text1"/>
              </w:rPr>
            </w:pPr>
          </w:p>
        </w:tc>
      </w:tr>
      <w:tr w:rsidR="00917C1B" w:rsidRPr="00917C1B" w14:paraId="190A037B" w14:textId="77777777" w:rsidTr="00073D9A">
        <w:trPr>
          <w:trHeight w:val="2063"/>
        </w:trPr>
        <w:tc>
          <w:tcPr>
            <w:tcW w:w="4111" w:type="dxa"/>
          </w:tcPr>
          <w:p w14:paraId="710ACDCA" w14:textId="77777777" w:rsidR="002D5B89" w:rsidRPr="00917C1B" w:rsidRDefault="002D5B89" w:rsidP="00073D9A">
            <w:pPr>
              <w:jc w:val="center"/>
              <w:rPr>
                <w:rFonts w:ascii="Palatino Linotype" w:hAnsi="Palatino Linotype"/>
                <w:b/>
                <w:color w:val="000000" w:themeColor="text1"/>
                <w:sz w:val="28"/>
                <w:szCs w:val="28"/>
              </w:rPr>
            </w:pPr>
          </w:p>
          <w:p w14:paraId="4685BCDD" w14:textId="77777777" w:rsidR="002D5B89" w:rsidRPr="00917C1B" w:rsidRDefault="002D5B89" w:rsidP="00073D9A">
            <w:pPr>
              <w:jc w:val="center"/>
              <w:rPr>
                <w:rFonts w:ascii="Palatino Linotype" w:hAnsi="Palatino Linotype"/>
                <w:b/>
                <w:color w:val="000000" w:themeColor="text1"/>
                <w:sz w:val="28"/>
                <w:szCs w:val="28"/>
              </w:rPr>
            </w:pPr>
          </w:p>
          <w:p w14:paraId="13AB3524" w14:textId="77777777" w:rsidR="002D5B89" w:rsidRPr="00917C1B" w:rsidRDefault="002D5B89" w:rsidP="00073D9A">
            <w:pPr>
              <w:jc w:val="center"/>
              <w:rPr>
                <w:rFonts w:ascii="Palatino Linotype" w:hAnsi="Palatino Linotype"/>
                <w:b/>
                <w:color w:val="000000" w:themeColor="text1"/>
                <w:sz w:val="28"/>
                <w:szCs w:val="28"/>
              </w:rPr>
            </w:pPr>
          </w:p>
          <w:p w14:paraId="2A226B2A" w14:textId="77777777" w:rsidR="002D5B89" w:rsidRPr="00917C1B" w:rsidRDefault="002D5B89" w:rsidP="00073D9A">
            <w:pPr>
              <w:jc w:val="center"/>
              <w:rPr>
                <w:rFonts w:ascii="Palatino Linotype" w:hAnsi="Palatino Linotype"/>
                <w:b/>
                <w:color w:val="000000" w:themeColor="text1"/>
                <w:sz w:val="28"/>
                <w:szCs w:val="28"/>
              </w:rPr>
            </w:pPr>
          </w:p>
          <w:p w14:paraId="0575EFDF" w14:textId="77777777" w:rsidR="002D5B89" w:rsidRPr="00917C1B" w:rsidRDefault="002D5B89" w:rsidP="00073D9A">
            <w:pPr>
              <w:jc w:val="center"/>
              <w:rPr>
                <w:rFonts w:ascii="Palatino Linotype" w:hAnsi="Palatino Linotype"/>
                <w:b/>
                <w:color w:val="000000" w:themeColor="text1"/>
                <w:sz w:val="28"/>
                <w:szCs w:val="28"/>
              </w:rPr>
            </w:pPr>
            <w:r w:rsidRPr="00917C1B">
              <w:rPr>
                <w:rFonts w:ascii="Palatino Linotype" w:hAnsi="Palatino Linotype"/>
                <w:b/>
                <w:color w:val="000000" w:themeColor="text1"/>
                <w:sz w:val="28"/>
                <w:szCs w:val="28"/>
              </w:rPr>
              <w:t>Javier Martínez Cruz</w:t>
            </w:r>
          </w:p>
          <w:p w14:paraId="187FE7AD" w14:textId="77777777"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Comisionado</w:t>
            </w:r>
          </w:p>
          <w:p w14:paraId="7DE78B05" w14:textId="2447C419" w:rsidR="002D5B89" w:rsidRPr="00917C1B" w:rsidRDefault="002D5B89" w:rsidP="00073D9A">
            <w:pPr>
              <w:jc w:val="center"/>
              <w:rPr>
                <w:rFonts w:ascii="Palatino Linotype" w:hAnsi="Palatino Linotype"/>
                <w:b/>
                <w:color w:val="000000" w:themeColor="text1"/>
                <w:sz w:val="28"/>
                <w:szCs w:val="28"/>
              </w:rPr>
            </w:pPr>
            <w:r w:rsidRPr="00917C1B">
              <w:rPr>
                <w:rFonts w:ascii="Palatino Linotype" w:hAnsi="Palatino Linotype"/>
                <w:color w:val="000000" w:themeColor="text1"/>
              </w:rPr>
              <w:t>(Rúbrica)</w:t>
            </w:r>
          </w:p>
        </w:tc>
        <w:tc>
          <w:tcPr>
            <w:tcW w:w="4728" w:type="dxa"/>
          </w:tcPr>
          <w:p w14:paraId="36CD4158" w14:textId="77777777" w:rsidR="002D5B89" w:rsidRPr="00917C1B" w:rsidRDefault="002D5B89" w:rsidP="00073D9A">
            <w:pPr>
              <w:jc w:val="center"/>
              <w:rPr>
                <w:rFonts w:ascii="Palatino Linotype" w:hAnsi="Palatino Linotype"/>
                <w:b/>
                <w:color w:val="000000" w:themeColor="text1"/>
                <w:sz w:val="28"/>
                <w:szCs w:val="28"/>
              </w:rPr>
            </w:pPr>
          </w:p>
          <w:p w14:paraId="7B5090A0" w14:textId="77777777" w:rsidR="002D5B89" w:rsidRPr="00917C1B" w:rsidRDefault="002D5B89" w:rsidP="00073D9A">
            <w:pPr>
              <w:jc w:val="center"/>
              <w:rPr>
                <w:rFonts w:ascii="Palatino Linotype" w:hAnsi="Palatino Linotype"/>
                <w:b/>
                <w:color w:val="000000" w:themeColor="text1"/>
                <w:sz w:val="28"/>
                <w:szCs w:val="28"/>
              </w:rPr>
            </w:pPr>
          </w:p>
          <w:p w14:paraId="5CC94B26" w14:textId="77777777" w:rsidR="002D5B89" w:rsidRPr="00917C1B" w:rsidRDefault="002D5B89" w:rsidP="00073D9A">
            <w:pPr>
              <w:jc w:val="center"/>
              <w:rPr>
                <w:rFonts w:ascii="Palatino Linotype" w:hAnsi="Palatino Linotype"/>
                <w:b/>
                <w:color w:val="000000" w:themeColor="text1"/>
                <w:sz w:val="28"/>
                <w:szCs w:val="28"/>
              </w:rPr>
            </w:pPr>
          </w:p>
          <w:p w14:paraId="3154E8EA" w14:textId="77777777" w:rsidR="002D5B89" w:rsidRPr="00917C1B" w:rsidRDefault="002D5B89" w:rsidP="00073D9A">
            <w:pPr>
              <w:jc w:val="center"/>
              <w:rPr>
                <w:rFonts w:ascii="Palatino Linotype" w:hAnsi="Palatino Linotype"/>
                <w:b/>
                <w:color w:val="000000" w:themeColor="text1"/>
                <w:sz w:val="28"/>
                <w:szCs w:val="28"/>
              </w:rPr>
            </w:pPr>
          </w:p>
          <w:p w14:paraId="2178395E" w14:textId="77777777" w:rsidR="002D5B89" w:rsidRPr="00917C1B" w:rsidRDefault="002D5B89" w:rsidP="00073D9A">
            <w:pPr>
              <w:jc w:val="center"/>
              <w:rPr>
                <w:rFonts w:ascii="Palatino Linotype" w:hAnsi="Palatino Linotype"/>
                <w:b/>
                <w:color w:val="000000" w:themeColor="text1"/>
                <w:sz w:val="28"/>
                <w:szCs w:val="28"/>
              </w:rPr>
            </w:pPr>
            <w:r w:rsidRPr="00917C1B">
              <w:rPr>
                <w:rFonts w:ascii="Palatino Linotype" w:hAnsi="Palatino Linotype"/>
                <w:b/>
                <w:color w:val="000000" w:themeColor="text1"/>
                <w:sz w:val="28"/>
                <w:szCs w:val="28"/>
              </w:rPr>
              <w:t>Luis Gustavo Parra Noriega</w:t>
            </w:r>
          </w:p>
          <w:p w14:paraId="1C3D9541" w14:textId="77777777"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Comisionado</w:t>
            </w:r>
          </w:p>
          <w:p w14:paraId="0193AABF" w14:textId="703AAC1A" w:rsidR="002D5B89" w:rsidRPr="00917C1B" w:rsidRDefault="002D5B89" w:rsidP="00073D9A">
            <w:pPr>
              <w:jc w:val="center"/>
              <w:rPr>
                <w:rFonts w:ascii="Palatino Linotype" w:hAnsi="Palatino Linotype"/>
                <w:b/>
                <w:color w:val="000000" w:themeColor="text1"/>
              </w:rPr>
            </w:pPr>
            <w:r w:rsidRPr="00917C1B">
              <w:rPr>
                <w:rFonts w:ascii="Palatino Linotype" w:hAnsi="Palatino Linotype"/>
                <w:color w:val="000000" w:themeColor="text1"/>
              </w:rPr>
              <w:t>(Rúbrica)</w:t>
            </w:r>
          </w:p>
        </w:tc>
      </w:tr>
      <w:tr w:rsidR="00917C1B" w:rsidRPr="00917C1B" w14:paraId="56885061" w14:textId="77777777" w:rsidTr="00073D9A">
        <w:trPr>
          <w:trHeight w:val="2063"/>
        </w:trPr>
        <w:tc>
          <w:tcPr>
            <w:tcW w:w="8839" w:type="dxa"/>
            <w:gridSpan w:val="2"/>
          </w:tcPr>
          <w:p w14:paraId="303451F7" w14:textId="77777777" w:rsidR="002D5B89" w:rsidRPr="00917C1B" w:rsidRDefault="002D5B89" w:rsidP="00073D9A">
            <w:pPr>
              <w:jc w:val="center"/>
              <w:rPr>
                <w:rFonts w:ascii="Palatino Linotype" w:hAnsi="Palatino Linotype"/>
                <w:b/>
                <w:color w:val="000000" w:themeColor="text1"/>
                <w:sz w:val="28"/>
                <w:szCs w:val="28"/>
              </w:rPr>
            </w:pPr>
          </w:p>
          <w:p w14:paraId="62392C42" w14:textId="77777777" w:rsidR="002D5B89" w:rsidRPr="00917C1B" w:rsidRDefault="002D5B89" w:rsidP="00073D9A">
            <w:pPr>
              <w:jc w:val="center"/>
              <w:rPr>
                <w:rFonts w:ascii="Palatino Linotype" w:hAnsi="Palatino Linotype"/>
                <w:b/>
                <w:color w:val="000000" w:themeColor="text1"/>
                <w:sz w:val="28"/>
                <w:szCs w:val="28"/>
              </w:rPr>
            </w:pPr>
          </w:p>
          <w:p w14:paraId="4663D906" w14:textId="77777777" w:rsidR="002D5B89" w:rsidRPr="00917C1B" w:rsidRDefault="002D5B89" w:rsidP="00073D9A">
            <w:pPr>
              <w:jc w:val="center"/>
              <w:rPr>
                <w:rFonts w:ascii="Palatino Linotype" w:hAnsi="Palatino Linotype"/>
                <w:b/>
                <w:color w:val="000000" w:themeColor="text1"/>
                <w:sz w:val="28"/>
                <w:szCs w:val="28"/>
              </w:rPr>
            </w:pPr>
          </w:p>
          <w:p w14:paraId="7F8992B1" w14:textId="77777777" w:rsidR="002D5B89" w:rsidRPr="00917C1B" w:rsidRDefault="002D5B89" w:rsidP="00073D9A">
            <w:pPr>
              <w:jc w:val="center"/>
              <w:rPr>
                <w:rFonts w:ascii="Palatino Linotype" w:hAnsi="Palatino Linotype"/>
                <w:b/>
                <w:color w:val="000000" w:themeColor="text1"/>
                <w:sz w:val="28"/>
                <w:szCs w:val="28"/>
              </w:rPr>
            </w:pPr>
          </w:p>
          <w:p w14:paraId="5BCD967F" w14:textId="77777777" w:rsidR="002D5B89" w:rsidRPr="00917C1B" w:rsidRDefault="002D5B89" w:rsidP="00073D9A">
            <w:pPr>
              <w:jc w:val="center"/>
              <w:rPr>
                <w:rFonts w:ascii="Palatino Linotype" w:hAnsi="Palatino Linotype"/>
                <w:b/>
                <w:color w:val="000000" w:themeColor="text1"/>
                <w:sz w:val="28"/>
                <w:szCs w:val="28"/>
              </w:rPr>
            </w:pPr>
            <w:r w:rsidRPr="00917C1B">
              <w:rPr>
                <w:rFonts w:ascii="Palatino Linotype" w:hAnsi="Palatino Linotype"/>
                <w:b/>
                <w:color w:val="000000" w:themeColor="text1"/>
                <w:sz w:val="28"/>
                <w:szCs w:val="28"/>
              </w:rPr>
              <w:t>Alexis Tapia Ramírez</w:t>
            </w:r>
          </w:p>
          <w:p w14:paraId="79136C43" w14:textId="77777777" w:rsidR="002D5B89" w:rsidRPr="00917C1B" w:rsidRDefault="002D5B89" w:rsidP="00073D9A">
            <w:pPr>
              <w:jc w:val="center"/>
              <w:rPr>
                <w:rFonts w:ascii="Palatino Linotype" w:hAnsi="Palatino Linotype"/>
                <w:color w:val="000000" w:themeColor="text1"/>
              </w:rPr>
            </w:pPr>
            <w:r w:rsidRPr="00917C1B">
              <w:rPr>
                <w:rFonts w:ascii="Palatino Linotype" w:hAnsi="Palatino Linotype"/>
                <w:color w:val="000000" w:themeColor="text1"/>
              </w:rPr>
              <w:t>Secretario Técnico del Pleno</w:t>
            </w:r>
          </w:p>
          <w:p w14:paraId="792D3648" w14:textId="15E9440E" w:rsidR="002D5B89" w:rsidRPr="00917C1B" w:rsidRDefault="002D5B89" w:rsidP="00073D9A">
            <w:pPr>
              <w:jc w:val="center"/>
              <w:rPr>
                <w:rFonts w:ascii="Palatino Linotype" w:hAnsi="Palatino Linotype"/>
                <w:b/>
                <w:color w:val="000000" w:themeColor="text1"/>
                <w:sz w:val="28"/>
                <w:szCs w:val="28"/>
              </w:rPr>
            </w:pPr>
            <w:r w:rsidRPr="00917C1B">
              <w:rPr>
                <w:rFonts w:ascii="Palatino Linotype" w:hAnsi="Palatino Linotype"/>
                <w:color w:val="000000" w:themeColor="text1"/>
              </w:rPr>
              <w:t>(Rúbrica)</w:t>
            </w:r>
          </w:p>
        </w:tc>
      </w:tr>
      <w:tr w:rsidR="00917C1B" w:rsidRPr="00917C1B" w14:paraId="4C9CEBF7" w14:textId="77777777" w:rsidTr="00073D9A">
        <w:tblPrEx>
          <w:jc w:val="center"/>
          <w:tblInd w:w="0" w:type="dxa"/>
        </w:tblPrEx>
        <w:trPr>
          <w:gridAfter w:val="1"/>
          <w:wAfter w:w="4728" w:type="dxa"/>
          <w:trHeight w:val="793"/>
          <w:jc w:val="center"/>
        </w:trPr>
        <w:tc>
          <w:tcPr>
            <w:tcW w:w="4111" w:type="dxa"/>
          </w:tcPr>
          <w:p w14:paraId="46808C8E" w14:textId="77777777" w:rsidR="002D5B89" w:rsidRPr="00917C1B" w:rsidRDefault="002D5B89" w:rsidP="00073D9A">
            <w:pPr>
              <w:jc w:val="center"/>
              <w:rPr>
                <w:rFonts w:ascii="Palatino Linotype" w:hAnsi="Palatino Linotype"/>
                <w:color w:val="000000" w:themeColor="text1"/>
              </w:rPr>
            </w:pPr>
          </w:p>
        </w:tc>
      </w:tr>
      <w:tr w:rsidR="00917C1B" w:rsidRPr="00917C1B" w14:paraId="3B6D9FEF" w14:textId="77777777" w:rsidTr="00073D9A">
        <w:tblPrEx>
          <w:jc w:val="center"/>
          <w:tblInd w:w="0" w:type="dxa"/>
        </w:tblPrEx>
        <w:trPr>
          <w:gridAfter w:val="1"/>
          <w:wAfter w:w="4728" w:type="dxa"/>
          <w:trHeight w:val="68"/>
          <w:jc w:val="center"/>
        </w:trPr>
        <w:tc>
          <w:tcPr>
            <w:tcW w:w="4111" w:type="dxa"/>
          </w:tcPr>
          <w:p w14:paraId="3B154E67" w14:textId="77777777" w:rsidR="002D5B89" w:rsidRPr="00917C1B" w:rsidRDefault="002D5B89" w:rsidP="00073D9A">
            <w:pPr>
              <w:jc w:val="center"/>
              <w:rPr>
                <w:rFonts w:ascii="Palatino Linotype" w:hAnsi="Palatino Linotype"/>
                <w:color w:val="000000" w:themeColor="text1"/>
              </w:rPr>
            </w:pPr>
          </w:p>
        </w:tc>
      </w:tr>
    </w:tbl>
    <w:p w14:paraId="7D2A109B" w14:textId="0D348FA0" w:rsidR="0085736B" w:rsidRPr="00917C1B" w:rsidRDefault="008E7698" w:rsidP="0085736B">
      <w:pPr>
        <w:spacing w:before="240" w:after="240"/>
        <w:jc w:val="both"/>
        <w:rPr>
          <w:rFonts w:ascii="Palatino Linotype" w:hAnsi="Palatino Linotype" w:cs="Arial"/>
          <w:color w:val="000000" w:themeColor="text1"/>
          <w:sz w:val="16"/>
        </w:rPr>
      </w:pPr>
      <w:r w:rsidRPr="00917C1B">
        <w:rPr>
          <w:rFonts w:ascii="Palatino Linotype" w:hAnsi="Palatino Linotype" w:cs="Arial"/>
          <w:color w:val="000000" w:themeColor="text1"/>
          <w:sz w:val="16"/>
        </w:rPr>
        <w:t>Esta hoja</w:t>
      </w:r>
      <w:r w:rsidR="001306E4" w:rsidRPr="00917C1B">
        <w:rPr>
          <w:rFonts w:ascii="Palatino Linotype" w:hAnsi="Palatino Linotype" w:cs="Arial"/>
          <w:color w:val="000000" w:themeColor="text1"/>
          <w:sz w:val="16"/>
        </w:rPr>
        <w:t xml:space="preserve"> corresponde a la resolución de </w:t>
      </w:r>
      <w:r w:rsidR="008E0C11" w:rsidRPr="00917C1B">
        <w:rPr>
          <w:rFonts w:ascii="Palatino Linotype" w:hAnsi="Palatino Linotype" w:cs="Arial"/>
          <w:color w:val="000000" w:themeColor="text1"/>
          <w:sz w:val="16"/>
        </w:rPr>
        <w:t>veintiséis de septiembre</w:t>
      </w:r>
      <w:r w:rsidRPr="00917C1B">
        <w:rPr>
          <w:rFonts w:ascii="Palatino Linotype" w:hAnsi="Palatino Linotype" w:cs="Arial"/>
          <w:color w:val="000000" w:themeColor="text1"/>
          <w:sz w:val="16"/>
        </w:rPr>
        <w:t xml:space="preserve"> de</w:t>
      </w:r>
      <w:r w:rsidR="00686279" w:rsidRPr="00917C1B">
        <w:rPr>
          <w:rFonts w:ascii="Palatino Linotype" w:hAnsi="Palatino Linotype" w:cs="Arial"/>
          <w:color w:val="000000" w:themeColor="text1"/>
          <w:sz w:val="16"/>
        </w:rPr>
        <w:t>l</w:t>
      </w:r>
      <w:r w:rsidRPr="00917C1B">
        <w:rPr>
          <w:rFonts w:ascii="Palatino Linotype" w:hAnsi="Palatino Linotype" w:cs="Arial"/>
          <w:color w:val="000000" w:themeColor="text1"/>
          <w:sz w:val="16"/>
        </w:rPr>
        <w:t xml:space="preserve"> dos mil </w:t>
      </w:r>
      <w:r w:rsidR="001306E4" w:rsidRPr="00917C1B">
        <w:rPr>
          <w:rFonts w:ascii="Palatino Linotype" w:hAnsi="Palatino Linotype" w:cs="Arial"/>
          <w:color w:val="000000" w:themeColor="text1"/>
          <w:sz w:val="16"/>
        </w:rPr>
        <w:t>dieci</w:t>
      </w:r>
      <w:r w:rsidR="002441D0" w:rsidRPr="00917C1B">
        <w:rPr>
          <w:rFonts w:ascii="Palatino Linotype" w:hAnsi="Palatino Linotype" w:cs="Arial"/>
          <w:color w:val="000000" w:themeColor="text1"/>
          <w:sz w:val="16"/>
        </w:rPr>
        <w:t>ocho</w:t>
      </w:r>
      <w:r w:rsidRPr="00917C1B">
        <w:rPr>
          <w:rFonts w:ascii="Palatino Linotype" w:hAnsi="Palatino Linotype" w:cs="Arial"/>
          <w:color w:val="000000" w:themeColor="text1"/>
          <w:sz w:val="16"/>
        </w:rPr>
        <w:t xml:space="preserve">, emitida en el recurso de revisión </w:t>
      </w:r>
      <w:r w:rsidR="00BC3AAB" w:rsidRPr="00917C1B">
        <w:rPr>
          <w:rFonts w:ascii="Palatino Linotype" w:hAnsi="Palatino Linotype" w:cs="Arial"/>
          <w:bCs/>
          <w:color w:val="000000" w:themeColor="text1"/>
          <w:sz w:val="16"/>
        </w:rPr>
        <w:t>02724/INFOEM</w:t>
      </w:r>
      <w:r w:rsidR="00437D10" w:rsidRPr="00917C1B">
        <w:rPr>
          <w:rFonts w:ascii="Palatino Linotype" w:hAnsi="Palatino Linotype" w:cs="Arial"/>
          <w:bCs/>
          <w:color w:val="000000" w:themeColor="text1"/>
          <w:sz w:val="16"/>
        </w:rPr>
        <w:t>/IP/RR/2018</w:t>
      </w:r>
      <w:r w:rsidRPr="00917C1B">
        <w:rPr>
          <w:rFonts w:ascii="Palatino Linotype" w:hAnsi="Palatino Linotype" w:cs="Arial"/>
          <w:color w:val="000000" w:themeColor="text1"/>
          <w:sz w:val="16"/>
        </w:rPr>
        <w:t>.</w:t>
      </w:r>
      <w:r w:rsidR="0085736B" w:rsidRPr="00917C1B">
        <w:rPr>
          <w:rFonts w:ascii="Palatino Linotype" w:hAnsi="Palatino Linotype" w:cs="Arial"/>
          <w:color w:val="000000" w:themeColor="text1"/>
          <w:sz w:val="16"/>
        </w:rPr>
        <w:t xml:space="preserve"> </w:t>
      </w:r>
    </w:p>
    <w:sectPr w:rsidR="0085736B" w:rsidRPr="00917C1B" w:rsidSect="009F07F4">
      <w:headerReference w:type="even" r:id="rId29"/>
      <w:headerReference w:type="default" r:id="rId30"/>
      <w:footerReference w:type="even" r:id="rId31"/>
      <w:footerReference w:type="default" r:id="rId32"/>
      <w:headerReference w:type="first" r:id="rId33"/>
      <w:footerReference w:type="first" r:id="rId3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87B23" w14:textId="77777777" w:rsidR="00BC0B62" w:rsidRDefault="00BC0B62" w:rsidP="00C80F8C">
      <w:r>
        <w:separator/>
      </w:r>
    </w:p>
  </w:endnote>
  <w:endnote w:type="continuationSeparator" w:id="0">
    <w:p w14:paraId="48489608" w14:textId="77777777" w:rsidR="00BC0B62" w:rsidRDefault="00BC0B6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77040" w14:textId="77777777" w:rsidR="00917C1B" w:rsidRDefault="00917C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307FEB" w:rsidRDefault="00307FE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17C1B">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17C1B">
      <w:rPr>
        <w:rFonts w:ascii="Arial" w:hAnsi="Arial" w:cs="Arial"/>
        <w:b/>
        <w:bCs/>
        <w:noProof/>
        <w:sz w:val="20"/>
        <w:szCs w:val="20"/>
      </w:rPr>
      <w:t>56</w:t>
    </w:r>
    <w:r>
      <w:rPr>
        <w:rFonts w:ascii="Arial" w:hAnsi="Arial" w:cs="Arial"/>
        <w:b/>
        <w:bCs/>
        <w:sz w:val="20"/>
        <w:szCs w:val="20"/>
      </w:rPr>
      <w:fldChar w:fldCharType="end"/>
    </w:r>
  </w:p>
  <w:p w14:paraId="1192A578" w14:textId="77777777" w:rsidR="00307FEB" w:rsidRDefault="00307FEB" w:rsidP="00935A0D">
    <w:pPr>
      <w:pStyle w:val="Piedepgina"/>
      <w:rPr>
        <w:rFonts w:ascii="Times New Roman" w:hAnsi="Times New Roman" w:cs="Times New Roman"/>
      </w:rPr>
    </w:pPr>
  </w:p>
  <w:p w14:paraId="14A770F8" w14:textId="77777777" w:rsidR="00307FEB" w:rsidRDefault="00307FEB"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307FEB" w:rsidRDefault="00307FE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17C1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17C1B">
      <w:rPr>
        <w:rFonts w:ascii="Arial" w:hAnsi="Arial" w:cs="Arial"/>
        <w:b/>
        <w:bCs/>
        <w:noProof/>
        <w:sz w:val="20"/>
        <w:szCs w:val="20"/>
      </w:rPr>
      <w:t>56</w:t>
    </w:r>
    <w:r>
      <w:rPr>
        <w:rFonts w:ascii="Arial" w:hAnsi="Arial" w:cs="Arial"/>
        <w:b/>
        <w:bCs/>
        <w:sz w:val="20"/>
        <w:szCs w:val="20"/>
      </w:rPr>
      <w:fldChar w:fldCharType="end"/>
    </w:r>
  </w:p>
  <w:p w14:paraId="5D98ABD5" w14:textId="77777777" w:rsidR="00307FEB" w:rsidRDefault="00307F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DCD41" w14:textId="77777777" w:rsidR="00BC0B62" w:rsidRDefault="00BC0B62" w:rsidP="00C80F8C">
      <w:r>
        <w:separator/>
      </w:r>
    </w:p>
  </w:footnote>
  <w:footnote w:type="continuationSeparator" w:id="0">
    <w:p w14:paraId="505CD10F" w14:textId="77777777" w:rsidR="00BC0B62" w:rsidRDefault="00BC0B62" w:rsidP="00C80F8C">
      <w:r>
        <w:continuationSeparator/>
      </w:r>
    </w:p>
  </w:footnote>
  <w:footnote w:id="1">
    <w:p w14:paraId="5E153F5E" w14:textId="3018856A" w:rsidR="00307FEB" w:rsidRPr="00CB4F09" w:rsidRDefault="00307FEB" w:rsidP="00170218">
      <w:pPr>
        <w:pStyle w:val="Textonotapie"/>
        <w:rPr>
          <w:rFonts w:ascii="Palatino Linotype" w:hAnsi="Palatino Linotype"/>
          <w:sz w:val="16"/>
          <w:szCs w:val="16"/>
        </w:rPr>
      </w:pPr>
      <w:r>
        <w:rPr>
          <w:rStyle w:val="Refdenotaalpie"/>
        </w:rPr>
        <w:footnoteRef/>
      </w:r>
      <w:r>
        <w:t xml:space="preserve"> </w:t>
      </w:r>
      <w:r w:rsidRPr="00CB4F09">
        <w:rPr>
          <w:rFonts w:ascii="Palatino Linotype" w:hAnsi="Palatino Linotype"/>
          <w:i/>
          <w:sz w:val="16"/>
          <w:szCs w:val="16"/>
        </w:rPr>
        <w:t xml:space="preserve">Cfr. </w:t>
      </w:r>
      <w:r w:rsidRPr="00CB4F09">
        <w:rPr>
          <w:rFonts w:ascii="Palatino Linotype" w:hAnsi="Palatino Linotype"/>
          <w:sz w:val="16"/>
          <w:szCs w:val="16"/>
        </w:rPr>
        <w:t>Artículo 2 numeral 1, inciso a) y b) de la Ley General de Partidos Políticos.</w:t>
      </w:r>
    </w:p>
  </w:footnote>
  <w:footnote w:id="2">
    <w:p w14:paraId="3F4298DE" w14:textId="62C3B6C1" w:rsidR="00307FEB" w:rsidRPr="00170218" w:rsidRDefault="00307FEB" w:rsidP="00170218">
      <w:pPr>
        <w:pStyle w:val="NormalWeb"/>
        <w:spacing w:before="0" w:beforeAutospacing="0" w:after="0" w:afterAutospacing="0"/>
        <w:jc w:val="both"/>
        <w:rPr>
          <w:rFonts w:ascii="Palatino Linotype" w:hAnsi="Palatino Linotype"/>
          <w:bCs/>
          <w:sz w:val="16"/>
          <w:szCs w:val="16"/>
        </w:rPr>
      </w:pPr>
      <w:r>
        <w:rPr>
          <w:rStyle w:val="Refdenotaalpie"/>
        </w:rPr>
        <w:footnoteRef/>
      </w:r>
      <w:r>
        <w:t xml:space="preserve"> </w:t>
      </w:r>
      <w:bookmarkStart w:id="0" w:name="TEXTO_CXXI/2001"/>
      <w:r w:rsidR="00CE7C71" w:rsidRPr="00CE7C71">
        <w:rPr>
          <w:rFonts w:ascii="Palatino Linotype" w:hAnsi="Palatino Linotype"/>
          <w:i/>
          <w:sz w:val="16"/>
          <w:szCs w:val="16"/>
        </w:rPr>
        <w:t>Artículo 4. 1. Para los efectos de esta Ley, se entiende por: a) Afiliado o Militante: El ciudadano que, en pleno goce y ejercicio de sus derechos político-electorales, se registra libre, voluntaria e individualmente a un partido político en los términos que para esos efectos disponga el partido en su normatividad interna, independientemente de su denominación, actividad y grado de participación;</w:t>
      </w:r>
      <w:r w:rsidR="00CE7C71">
        <w:rPr>
          <w:rFonts w:ascii="Palatino Linotype" w:hAnsi="Palatino Linotype"/>
          <w:i/>
          <w:sz w:val="16"/>
          <w:szCs w:val="16"/>
        </w:rPr>
        <w:t xml:space="preserve">… </w:t>
      </w:r>
      <w:r w:rsidR="00CE7C71">
        <w:rPr>
          <w:rFonts w:ascii="Palatino Linotype" w:hAnsi="Palatino Linotype"/>
          <w:sz w:val="16"/>
          <w:szCs w:val="16"/>
        </w:rPr>
        <w:t xml:space="preserve">de la Ley General de Partidos </w:t>
      </w:r>
      <w:r w:rsidR="008111E2">
        <w:rPr>
          <w:rFonts w:ascii="Palatino Linotype" w:hAnsi="Palatino Linotype"/>
          <w:sz w:val="16"/>
          <w:szCs w:val="16"/>
        </w:rPr>
        <w:t>Políticos</w:t>
      </w:r>
      <w:r w:rsidR="00CE7C71">
        <w:rPr>
          <w:rFonts w:ascii="Palatino Linotype" w:hAnsi="Palatino Linotype"/>
          <w:sz w:val="16"/>
          <w:szCs w:val="16"/>
        </w:rPr>
        <w:t>.</w:t>
      </w:r>
      <w:r w:rsidR="00CE7C71">
        <w:t xml:space="preserve"> </w:t>
      </w:r>
      <w:r>
        <w:t>“</w:t>
      </w:r>
      <w:hyperlink r:id="rId1" w:anchor="CXXI/2001_" w:history="1">
        <w:r w:rsidRPr="00170218">
          <w:rPr>
            <w:rStyle w:val="Hipervnculo"/>
            <w:rFonts w:ascii="Palatino Linotype" w:hAnsi="Palatino Linotype" w:cs="Arial"/>
            <w:bCs/>
            <w:i/>
            <w:color w:val="auto"/>
            <w:sz w:val="16"/>
            <w:szCs w:val="16"/>
            <w:u w:val="none"/>
          </w:rPr>
          <w:t>MILITANTE O AFILIADO PARTIDISTA. CONCEPTO.</w:t>
        </w:r>
      </w:hyperlink>
      <w:bookmarkEnd w:id="0"/>
      <w:r w:rsidRPr="00170218">
        <w:rPr>
          <w:rFonts w:ascii="Palatino Linotype" w:hAnsi="Palatino Linotype" w:cs="Arial"/>
          <w:bCs/>
          <w:i/>
          <w:sz w:val="16"/>
          <w:szCs w:val="16"/>
        </w:rPr>
        <w:t> La acepción militante o afiliado contenida en los artículos 26, 27, 28 y 38 del Código Federal de Instituciones y Procedimientos Electorales se refiere a los ciudadanos mexicanos que formalmente pertenecen a un partido político, quienes participan en las actividades propias del mismo instituto ya sea en su organización o funcionamiento, y que estatutariamente cuentan con derechos, como el de ser designados candidatos a un puesto de elección popular, y obligaciones, como la de aportar cuotas.</w:t>
      </w:r>
      <w:r>
        <w:rPr>
          <w:rFonts w:ascii="Palatino Linotype" w:hAnsi="Palatino Linotype" w:cs="Arial"/>
          <w:bCs/>
          <w:i/>
          <w:sz w:val="16"/>
          <w:szCs w:val="16"/>
        </w:rPr>
        <w:t xml:space="preserve">” </w:t>
      </w:r>
      <w:r>
        <w:rPr>
          <w:rFonts w:ascii="Palatino Linotype" w:hAnsi="Palatino Linotype" w:cs="Arial"/>
          <w:bCs/>
          <w:sz w:val="16"/>
          <w:szCs w:val="16"/>
        </w:rPr>
        <w:t>Tribunal Electoral del Poder Judicial de la Federación.</w:t>
      </w:r>
    </w:p>
  </w:footnote>
  <w:footnote w:id="3">
    <w:p w14:paraId="2B85FF1A" w14:textId="26DAF394" w:rsidR="00307FEB" w:rsidRPr="001172D8" w:rsidRDefault="00307FEB" w:rsidP="00170218">
      <w:pPr>
        <w:pStyle w:val="Textonotapie"/>
        <w:rPr>
          <w:rFonts w:ascii="Palatino Linotype" w:hAnsi="Palatino Linotype"/>
          <w:i/>
          <w:sz w:val="16"/>
          <w:szCs w:val="16"/>
        </w:rPr>
      </w:pPr>
      <w:r>
        <w:rPr>
          <w:rStyle w:val="Refdenotaalpie"/>
        </w:rPr>
        <w:footnoteRef/>
      </w:r>
      <w:r>
        <w:t xml:space="preserve"> </w:t>
      </w:r>
      <w:r w:rsidRPr="001172D8">
        <w:rPr>
          <w:rFonts w:ascii="Palatino Linotype" w:hAnsi="Palatino Linotype"/>
          <w:i/>
          <w:sz w:val="16"/>
          <w:szCs w:val="16"/>
        </w:rPr>
        <w:t xml:space="preserve">Cfr. </w:t>
      </w:r>
      <w:r w:rsidRPr="001172D8">
        <w:rPr>
          <w:rFonts w:ascii="Palatino Linotype" w:hAnsi="Palatino Linotype"/>
          <w:sz w:val="16"/>
          <w:szCs w:val="16"/>
        </w:rPr>
        <w:t>inciso a)</w:t>
      </w:r>
      <w:r>
        <w:rPr>
          <w:rFonts w:ascii="Palatino Linotype" w:hAnsi="Palatino Linotype"/>
          <w:sz w:val="16"/>
          <w:szCs w:val="16"/>
        </w:rPr>
        <w:t>, párrafo 1 del artículo 4 Ibídem.</w:t>
      </w:r>
    </w:p>
  </w:footnote>
  <w:footnote w:id="4">
    <w:p w14:paraId="5B9BA07F" w14:textId="77777777" w:rsidR="00307FEB" w:rsidRPr="00476133" w:rsidRDefault="00307FEB" w:rsidP="00304A3A">
      <w:pPr>
        <w:pStyle w:val="Textonotapie"/>
        <w:jc w:val="both"/>
        <w:rPr>
          <w:rFonts w:ascii="Palatino Linotype" w:hAnsi="Palatino Linotype"/>
          <w:i/>
          <w:sz w:val="16"/>
          <w:szCs w:val="16"/>
        </w:rPr>
      </w:pPr>
      <w:r>
        <w:rPr>
          <w:rStyle w:val="Refdenotaalpie"/>
        </w:rPr>
        <w:footnoteRef/>
      </w:r>
      <w:r>
        <w:t xml:space="preserve"> </w:t>
      </w:r>
      <w:r w:rsidRPr="00476133">
        <w:rPr>
          <w:rFonts w:ascii="Palatino Linotype" w:hAnsi="Palatino Linotype"/>
          <w:i/>
          <w:sz w:val="16"/>
          <w:szCs w:val="16"/>
        </w:rPr>
        <w:t>Artículo 35. Son derechos del ciudadano… III. Asociarse individual y libremente para tomar parte en forma pacífica en los asuntos políticos del país;…</w:t>
      </w:r>
    </w:p>
  </w:footnote>
  <w:footnote w:id="5">
    <w:p w14:paraId="74351DC7" w14:textId="2DAF1476" w:rsidR="00307FEB" w:rsidRDefault="00307FEB" w:rsidP="00D85F9E">
      <w:pPr>
        <w:pStyle w:val="Textonotapie"/>
        <w:jc w:val="both"/>
      </w:pPr>
      <w:r>
        <w:rPr>
          <w:rStyle w:val="Refdenotaalpie"/>
        </w:rPr>
        <w:footnoteRef/>
      </w:r>
      <w:r>
        <w:t xml:space="preserve"> </w:t>
      </w:r>
      <w:r w:rsidRPr="00D85F9E">
        <w:rPr>
          <w:rFonts w:ascii="Palatino Linotype" w:hAnsi="Palatino Linotype"/>
          <w:i/>
          <w:sz w:val="16"/>
          <w:szCs w:val="16"/>
        </w:rPr>
        <w:t>“</w:t>
      </w:r>
      <w:r w:rsidRPr="00D85F9E">
        <w:rPr>
          <w:rFonts w:ascii="Palatino Linotype" w:hAnsi="Palatino Linotype"/>
          <w:b/>
          <w:i/>
          <w:sz w:val="16"/>
          <w:szCs w:val="16"/>
        </w:rPr>
        <w:t>DERECHO DE AFILIACIÓN EN MATERIA POLÍTICO-ELECTORAL. CONTENIDO Y ALCANCES.-</w:t>
      </w:r>
      <w:r w:rsidRPr="00D85F9E">
        <w:rPr>
          <w:rFonts w:ascii="Palatino Linotype" w:hAnsi="Palatino Linotype"/>
          <w:i/>
          <w:sz w:val="16"/>
          <w:szCs w:val="16"/>
        </w:rPr>
        <w:t xml:space="preserve"> El derecho de afiliación político-electoral establecido en el artículo 41, fracción I, párrafo segundo, in fine, de la Constitución Política de los Estados Unidos Mexicanos, en relación con lo dispuesto en el artículo 5o., párrafos 1 y 3, del Código Federal de Instituciones y Procedimientos Electorales, es un derecho fundamental con un contenido normativo más específico que el derecho de asociación en materia política, ya que se refiere expresamente a la prerrogativa de los ciudadanos mexicanos para asociarse libre e individualmente a los partidos políticos y a las agrupaciones políticas, y si bien el derecho de afiliación libre e individual a los partidos podría considerarse como un simple desarrollo del derecho de asociación en materia política, lo cierto es que el derecho de afiliación -en el contexto de un sistema constitucional de partidos como el establecido en el citado artículo 41 constitucional- se ha configurado como un derecho básico con caracteres propios y, por tanto, con mayor especificidad que el derecho de asociación y está garantizado jurisdiccionalmente mediante el sistema de medios de impugnación en materia electoral previsto en el artículo 41, fracción IV, primer párrafo, in fine, en relación con lo dispuesto en el artículo 99, fracción V, de la Constitución federal. Además, el derecho de afiliación comprende no sólo la potestad de formar parte de los partidos políticos y de las asociaciones políticas, sino también la prerrogativa de pertenecer a éstos con todos los derechos inherentes a tal pertenencia; en particular, el derecho fundamental de afiliación político-electoral consagrado constitucionalmente faculta a su titular para afiliarse o no libremente a un determinado partido político, conservar o ratificar su afiliación o, incluso, desafiliarse. Del mismo modo, la libertad de afiliación no es un derecho absoluto, ya que su ejercicio está sujeto a una condicionante consistente en que sólo los ciudadanos mexicanos podrán afiliarse libre e individualmente a los partidos políticos. Igualmente, si el ejercicio de la libertad de afiliación se realiza a través de los institutos políticos, debe cumplirse con las formas específicas reguladas por el legislador para permitir su intervención en el proceso electoral.</w:t>
      </w:r>
      <w:r>
        <w:rPr>
          <w:rFonts w:ascii="Palatino Linotype" w:hAnsi="Palatino Linotype"/>
          <w:i/>
          <w:sz w:val="16"/>
          <w:szCs w:val="16"/>
        </w:rPr>
        <w:t>”</w:t>
      </w:r>
    </w:p>
  </w:footnote>
  <w:footnote w:id="6">
    <w:p w14:paraId="42975C6D" w14:textId="77777777" w:rsidR="00D87264" w:rsidRPr="006E6E24" w:rsidRDefault="00D87264" w:rsidP="00D87264">
      <w:pPr>
        <w:pStyle w:val="Textonotapie"/>
        <w:jc w:val="both"/>
        <w:rPr>
          <w:rFonts w:ascii="Palatino Linotype" w:hAnsi="Palatino Linotype"/>
          <w:sz w:val="16"/>
          <w:szCs w:val="16"/>
        </w:rPr>
      </w:pPr>
      <w:r>
        <w:rPr>
          <w:rStyle w:val="Refdenotaalpie"/>
        </w:rPr>
        <w:footnoteRef/>
      </w:r>
      <w:r>
        <w:t xml:space="preserve"> “</w:t>
      </w:r>
      <w:r w:rsidRPr="006E6E24">
        <w:rPr>
          <w:rFonts w:ascii="Palatino Linotype" w:hAnsi="Palatino Linotype"/>
          <w:b/>
          <w:i/>
          <w:sz w:val="16"/>
          <w:szCs w:val="16"/>
        </w:rPr>
        <w:t xml:space="preserve">Artículo 4. 1. </w:t>
      </w:r>
      <w:r w:rsidRPr="006E6E24">
        <w:rPr>
          <w:rFonts w:ascii="Palatino Linotype" w:hAnsi="Palatino Linotype"/>
          <w:i/>
          <w:sz w:val="16"/>
          <w:szCs w:val="16"/>
        </w:rPr>
        <w:t>Para los efectos de esta Ley, se entiende por: a) Afiliado o Militante: El ciudadano que, en pleno goce y ejercicio de sus derechos político-electorales, se registra libre, voluntaria e individualmente a un partido político en los términos que para esos efectos disponga el partido en su normatividad interna, independientemente de su denominación, actividad y grado de participación;</w:t>
      </w:r>
      <w:r>
        <w:rPr>
          <w:rFonts w:ascii="Palatino Linotype" w:hAnsi="Palatino Linotype"/>
          <w:i/>
          <w:sz w:val="16"/>
          <w:szCs w:val="16"/>
        </w:rPr>
        <w:t xml:space="preserve">…” </w:t>
      </w:r>
      <w:r>
        <w:rPr>
          <w:rFonts w:ascii="Palatino Linotype" w:hAnsi="Palatino Linotype"/>
          <w:sz w:val="16"/>
          <w:szCs w:val="16"/>
        </w:rPr>
        <w:t>Ley General de Partidos Políticos.</w:t>
      </w:r>
    </w:p>
  </w:footnote>
  <w:footnote w:id="7">
    <w:p w14:paraId="43C197D7" w14:textId="77777777" w:rsidR="00D87264" w:rsidRDefault="00D87264" w:rsidP="00D87264">
      <w:pPr>
        <w:pStyle w:val="Textonotapie"/>
        <w:jc w:val="both"/>
      </w:pPr>
      <w:r>
        <w:rPr>
          <w:rStyle w:val="Refdenotaalpie"/>
        </w:rPr>
        <w:footnoteRef/>
      </w:r>
      <w:r>
        <w:t xml:space="preserve"> </w:t>
      </w:r>
      <w:r>
        <w:rPr>
          <w:rFonts w:ascii="Palatino Linotype" w:hAnsi="Palatino Linotype" w:cs="Arial"/>
          <w:b/>
          <w:bCs/>
          <w:color w:val="000000"/>
          <w:sz w:val="16"/>
          <w:szCs w:val="16"/>
        </w:rPr>
        <w:t>“</w:t>
      </w:r>
      <w:r w:rsidRPr="00326876">
        <w:rPr>
          <w:rFonts w:ascii="Palatino Linotype" w:hAnsi="Palatino Linotype" w:cs="Arial"/>
          <w:b/>
          <w:bCs/>
          <w:i/>
          <w:color w:val="000000"/>
          <w:sz w:val="16"/>
          <w:szCs w:val="16"/>
        </w:rPr>
        <w:t>INFORMACIÓN PÚBLICA. SE CONSIDERA COMO TAL LA CONCERNIENTE AL NOMBRE PROPIO RELACIONADO CON LA ENTIDAD FEDERATIVA O MUNICIPIO DE LOS MIEMBROS DE UN PARTIDO POLÍTICO</w:t>
      </w:r>
      <w:r w:rsidRPr="00326876">
        <w:rPr>
          <w:rFonts w:ascii="Palatino Linotype" w:hAnsi="Palatino Linotype" w:cs="Arial"/>
          <w:i/>
          <w:color w:val="000000"/>
          <w:sz w:val="16"/>
          <w:szCs w:val="16"/>
        </w:rPr>
        <w:t>.- De la interpretación sistemática de los artículos 6º, fracción I, de la Constitución Política de los Estados Unidos Mexicanos; 3º, fracciones II y VI, 18 y 19 de la Ley Federal de Transparencia y Acceso a la Información Pública Gubernamental, así como 41 al 44 del Código Federal de Instituciones y Procedimientos Electorales, realizada acorde con el principio de máxima publicidad, se desprende que es información pública la que los partidos políticos proporcionen al Instituto Federal Electoral o que éste genere respecto de aquéllos, con excepción de la confidencial, esto es, aquella que contiene datos de las personas que conciernan a su vida íntima o privada, o que generen su identificación por parte de terceros, como sería el domicilio. Así, la información del padrón de afiliados y militantes de los institutos políticos, en tanto contenga sólo el nombre de aquéllos y la entidad federativa o municipio al que pertenecen, se considera de carácter público, porque aun cuando el nombre de una persona es un referente que lo identifica ante los demás, su difusión de manera aislada, como miembro de un partido político, no revela algún aspecto de su vida íntima o privada, ni siquiera asociado con la entidad federativa o municipio al que pertenece, ya que estos últimos datos son uno de los elementos que componen el concepto domicilio, el cual se integra también con el número, calle, colonia, municipio o delegación, ciudad y código postal, además que, por su generalidad no constituyen datos que revelen de manera fehaciente la identificación de una persona."</w:t>
      </w:r>
    </w:p>
  </w:footnote>
  <w:footnote w:id="8">
    <w:p w14:paraId="74EAEF90" w14:textId="77777777" w:rsidR="00D87264" w:rsidRPr="00615A0C" w:rsidRDefault="00D87264" w:rsidP="00D87264">
      <w:pPr>
        <w:autoSpaceDE w:val="0"/>
        <w:autoSpaceDN w:val="0"/>
        <w:adjustRightInd w:val="0"/>
        <w:ind w:right="49"/>
        <w:jc w:val="both"/>
        <w:rPr>
          <w:rFonts w:ascii="Palatino Linotype" w:hAnsi="Palatino Linotype"/>
          <w:i/>
          <w:iCs/>
          <w:sz w:val="16"/>
          <w:szCs w:val="16"/>
        </w:rPr>
      </w:pPr>
      <w:r w:rsidRPr="00615A0C">
        <w:rPr>
          <w:rStyle w:val="Refdenotaalpie"/>
          <w:rFonts w:ascii="Palatino Linotype" w:hAnsi="Palatino Linotype"/>
          <w:sz w:val="16"/>
          <w:szCs w:val="16"/>
        </w:rPr>
        <w:footnoteRef/>
      </w:r>
      <w:r w:rsidRPr="00615A0C">
        <w:rPr>
          <w:rFonts w:ascii="Palatino Linotype" w:hAnsi="Palatino Linotype"/>
          <w:sz w:val="16"/>
          <w:szCs w:val="16"/>
        </w:rPr>
        <w:t xml:space="preserve"> </w:t>
      </w:r>
      <w:r w:rsidRPr="00615A0C">
        <w:rPr>
          <w:rFonts w:ascii="Palatino Linotype" w:hAnsi="Palatino Linotype"/>
          <w:i/>
          <w:iCs/>
          <w:sz w:val="16"/>
          <w:szCs w:val="16"/>
        </w:rPr>
        <w:t>“El Instituto Federal de Acceso a la Información y Protección de Datos </w:t>
      </w:r>
      <w:r w:rsidRPr="00615A0C">
        <w:rPr>
          <w:rFonts w:ascii="Palatino Linotype" w:hAnsi="Palatino Linotype"/>
          <w:bCs/>
          <w:i/>
          <w:iCs/>
          <w:sz w:val="16"/>
          <w:szCs w:val="16"/>
        </w:rPr>
        <w:t>no cuenta con facultades para pronunciarse respecto de la veracidad de los documentos proporcionados por los sujetos obligados.</w:t>
      </w:r>
      <w:r w:rsidRPr="00615A0C">
        <w:rPr>
          <w:rFonts w:ascii="Palatino Linotype" w:hAnsi="Palatino Linotype"/>
          <w:i/>
          <w:iCs/>
          <w:sz w:val="16"/>
          <w:szCs w:val="16"/>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footnote>
  <w:footnote w:id="9">
    <w:p w14:paraId="73F56D0F" w14:textId="77777777" w:rsidR="00D87264" w:rsidRPr="00615A0C" w:rsidRDefault="00D87264" w:rsidP="00D87264">
      <w:pPr>
        <w:jc w:val="both"/>
        <w:rPr>
          <w:rFonts w:ascii="Palatino Linotype" w:hAnsi="Palatino Linotype"/>
          <w:i/>
          <w:sz w:val="16"/>
          <w:szCs w:val="20"/>
        </w:rPr>
      </w:pPr>
      <w:r>
        <w:rPr>
          <w:rStyle w:val="Refdenotaalpie"/>
        </w:rPr>
        <w:footnoteRef/>
      </w:r>
      <w:r>
        <w:t xml:space="preserve"> </w:t>
      </w:r>
      <w:r w:rsidRPr="0042327C">
        <w:rPr>
          <w:rFonts w:ascii="Palatino Linotype" w:hAnsi="Palatino Linotype"/>
          <w:i/>
          <w:sz w:val="16"/>
          <w:szCs w:val="20"/>
        </w:rPr>
        <w:t>En Perú la Ley del Procedimiento Administrativo General LEY N° 27444 señala:</w:t>
      </w:r>
      <w:r>
        <w:rPr>
          <w:rFonts w:ascii="Palatino Linotype" w:hAnsi="Palatino Linotype"/>
          <w:i/>
          <w:sz w:val="16"/>
          <w:szCs w:val="20"/>
        </w:rPr>
        <w:t xml:space="preserve"> </w:t>
      </w:r>
      <w:r w:rsidRPr="0042327C">
        <w:rPr>
          <w:rFonts w:ascii="Palatino Linotype" w:hAnsi="Palatino Linotype"/>
          <w:i/>
          <w:sz w:val="16"/>
          <w:szCs w:val="20"/>
        </w:rPr>
        <w:t>“1.7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r>
        <w:rPr>
          <w:rFonts w:ascii="Palatino Linotype" w:hAnsi="Palatino Linotype"/>
          <w:i/>
          <w:sz w:val="16"/>
          <w:szCs w:val="20"/>
        </w:rPr>
        <w:t>”</w:t>
      </w:r>
    </w:p>
  </w:footnote>
  <w:footnote w:id="10">
    <w:p w14:paraId="4A91967A" w14:textId="1451C5F0" w:rsidR="00307FEB" w:rsidRPr="00C575E4" w:rsidRDefault="00307FEB" w:rsidP="00C575E4">
      <w:pPr>
        <w:pStyle w:val="NormalWeb"/>
        <w:spacing w:before="0" w:beforeAutospacing="0" w:after="0" w:afterAutospacing="0"/>
        <w:jc w:val="both"/>
        <w:rPr>
          <w:rFonts w:ascii="Palatino Linotype" w:hAnsi="Palatino Linotype"/>
          <w:bCs/>
          <w:i/>
          <w:sz w:val="16"/>
          <w:szCs w:val="16"/>
        </w:rPr>
      </w:pPr>
      <w:r>
        <w:rPr>
          <w:rStyle w:val="Refdenotaalpie"/>
        </w:rPr>
        <w:footnoteRef/>
      </w:r>
      <w:r>
        <w:t xml:space="preserve"> </w:t>
      </w:r>
      <w:bookmarkStart w:id="3" w:name="TEXTO_XXI/99"/>
      <w:r w:rsidRPr="00C575E4">
        <w:rPr>
          <w:rFonts w:ascii="Palatino Linotype" w:hAnsi="Palatino Linotype"/>
          <w:bCs/>
          <w:i/>
          <w:sz w:val="16"/>
          <w:szCs w:val="16"/>
        </w:rPr>
        <w:fldChar w:fldCharType="begin"/>
      </w:r>
      <w:r w:rsidRPr="00C575E4">
        <w:rPr>
          <w:rFonts w:ascii="Palatino Linotype" w:hAnsi="Palatino Linotype"/>
          <w:bCs/>
          <w:i/>
          <w:sz w:val="16"/>
          <w:szCs w:val="16"/>
        </w:rPr>
        <w:instrText xml:space="preserve"> HYPERLINK "http://www.te.gob.mx/jurisprudenciaytesis/compilacion.htm" \l "XXI/99_" </w:instrText>
      </w:r>
      <w:r w:rsidRPr="00C575E4">
        <w:rPr>
          <w:rFonts w:ascii="Palatino Linotype" w:hAnsi="Palatino Linotype"/>
          <w:bCs/>
          <w:i/>
          <w:sz w:val="16"/>
          <w:szCs w:val="16"/>
        </w:rPr>
        <w:fldChar w:fldCharType="separate"/>
      </w:r>
      <w:r w:rsidRPr="00C575E4">
        <w:rPr>
          <w:rStyle w:val="Hipervnculo"/>
          <w:rFonts w:ascii="Palatino Linotype" w:hAnsi="Palatino Linotype" w:cs="Arial"/>
          <w:bCs/>
          <w:i/>
          <w:color w:val="auto"/>
          <w:sz w:val="16"/>
          <w:szCs w:val="16"/>
          <w:u w:val="none"/>
        </w:rPr>
        <w:t>DERECHO DE AFILIACIÓN DE LOS CIUDADANOS A LOS PARTIDOS POLÍTICOS. ALCANCES.</w:t>
      </w:r>
      <w:r w:rsidRPr="00C575E4">
        <w:rPr>
          <w:rFonts w:ascii="Palatino Linotype" w:hAnsi="Palatino Linotype"/>
          <w:bCs/>
          <w:i/>
          <w:sz w:val="16"/>
          <w:szCs w:val="16"/>
        </w:rPr>
        <w:fldChar w:fldCharType="end"/>
      </w:r>
      <w:bookmarkEnd w:id="3"/>
      <w:r w:rsidRPr="00C575E4">
        <w:rPr>
          <w:rFonts w:ascii="Palatino Linotype" w:hAnsi="Palatino Linotype" w:cs="Arial"/>
          <w:bCs/>
          <w:i/>
          <w:sz w:val="16"/>
          <w:szCs w:val="16"/>
        </w:rPr>
        <w:t> Uno de los derechos que configuran el status de los ciudadanos mexicanos, es el de afiliación, entendido éste en un sentido amplio, es decir no sólo como la potestad de formar parte de los partidos políticos, sino el derecho de pertenecer a éstos con todos los derechos inherentes a tal pertenencia. Ahora bien, uno de los métodos para establecer qué tipo de derechos son inherentes al status de afiliado, es el dogmático, el cual consiste en analizar el documento que da vida al partido político del que se es afiliado. En el caso, se considera que los estatutos de un determinado partido político deben contener un catálogo de los derechos de sus miembros, a los que se considera como derechos político-electorales de los afiliados, como puede ser el derecho de ocupar cargos de dirección en el mismo, el cual puede resultar afectado por una autoridad electoral, administrativa o jurisdiccional.</w:t>
      </w:r>
    </w:p>
  </w:footnote>
  <w:footnote w:id="11">
    <w:p w14:paraId="7ED67EAE" w14:textId="33B698F4" w:rsidR="00307FEB" w:rsidRPr="00567B04" w:rsidRDefault="00307FEB" w:rsidP="00C575E4">
      <w:pPr>
        <w:autoSpaceDE w:val="0"/>
        <w:autoSpaceDN w:val="0"/>
        <w:adjustRightInd w:val="0"/>
        <w:ind w:right="49"/>
        <w:jc w:val="both"/>
        <w:rPr>
          <w:rFonts w:ascii="Palatino Linotype" w:hAnsi="Palatino Linotype"/>
          <w:sz w:val="16"/>
          <w:szCs w:val="16"/>
        </w:rPr>
      </w:pPr>
      <w:r w:rsidRPr="00567B04">
        <w:rPr>
          <w:rStyle w:val="Refdenotaalpie"/>
          <w:rFonts w:ascii="Palatino Linotype" w:hAnsi="Palatino Linotype"/>
          <w:sz w:val="16"/>
          <w:szCs w:val="16"/>
        </w:rPr>
        <w:footnoteRef/>
      </w:r>
      <w:r w:rsidRPr="00567B04">
        <w:rPr>
          <w:rFonts w:ascii="Palatino Linotype" w:hAnsi="Palatino Linotype"/>
          <w:sz w:val="16"/>
          <w:szCs w:val="16"/>
        </w:rPr>
        <w:t xml:space="preserve"> </w:t>
      </w:r>
      <w:r w:rsidRPr="00567B04">
        <w:rPr>
          <w:rFonts w:ascii="Palatino Linotype" w:hAnsi="Palatino Linotype"/>
          <w:i/>
          <w:sz w:val="16"/>
          <w:szCs w:val="16"/>
        </w:rPr>
        <w:t>Artículo 5.- Son simpatizantes los mexicanos que mantienen una voluntad activa de colaboración y se inscriben voluntariamente en el registro del Comité Ejecutivo Estatal correspondiente; para recibir información de actividades, reuniones y participación en programas. El Consejo Político Nacional custodiará, administrará y actualizará una vez al año todo lo relacionado con el Padrón Nacional de Simpatizantes.</w:t>
      </w:r>
      <w:r>
        <w:rPr>
          <w:rFonts w:ascii="Palatino Linotype" w:hAnsi="Palatino Linotype"/>
          <w:i/>
          <w:sz w:val="16"/>
          <w:szCs w:val="16"/>
        </w:rPr>
        <w:t xml:space="preserve"> </w:t>
      </w:r>
      <w:r>
        <w:rPr>
          <w:rFonts w:ascii="Palatino Linotype" w:hAnsi="Palatino Linotype"/>
          <w:sz w:val="16"/>
          <w:szCs w:val="16"/>
        </w:rPr>
        <w:t>Estatutos del Partido Verde Ecologista de México.</w:t>
      </w:r>
    </w:p>
  </w:footnote>
  <w:footnote w:id="12">
    <w:p w14:paraId="18889FDF" w14:textId="50FCB843" w:rsidR="00307FEB" w:rsidRPr="009B167F" w:rsidRDefault="00307FEB" w:rsidP="009B167F">
      <w:pPr>
        <w:pStyle w:val="Textonotapie"/>
        <w:jc w:val="both"/>
        <w:rPr>
          <w:rFonts w:ascii="Palatino Linotype" w:hAnsi="Palatino Linotype"/>
          <w:i/>
          <w:sz w:val="16"/>
          <w:szCs w:val="16"/>
        </w:rPr>
      </w:pPr>
      <w:r>
        <w:rPr>
          <w:rStyle w:val="Refdenotaalpie"/>
        </w:rPr>
        <w:footnoteRef/>
      </w:r>
      <w:r>
        <w:t xml:space="preserve"> </w:t>
      </w:r>
      <w:r w:rsidRPr="009B167F">
        <w:rPr>
          <w:rFonts w:ascii="Palatino Linotype" w:hAnsi="Palatino Linotype"/>
          <w:i/>
          <w:sz w:val="16"/>
          <w:szCs w:val="16"/>
        </w:rPr>
        <w:t xml:space="preserve">Artículo 23  fracción VII de la Ley de Transparencia y </w:t>
      </w:r>
      <w:r>
        <w:rPr>
          <w:rFonts w:ascii="Palatino Linotype" w:hAnsi="Palatino Linotype"/>
          <w:i/>
          <w:sz w:val="16"/>
          <w:szCs w:val="16"/>
        </w:rPr>
        <w:t>A</w:t>
      </w:r>
      <w:r w:rsidRPr="009B167F">
        <w:rPr>
          <w:rFonts w:ascii="Palatino Linotype" w:hAnsi="Palatino Linotype"/>
          <w:i/>
          <w:sz w:val="16"/>
          <w:szCs w:val="16"/>
        </w:rPr>
        <w:t>cceso a la Información Pública del Estado de México y Municipios</w:t>
      </w:r>
    </w:p>
  </w:footnote>
  <w:footnote w:id="13">
    <w:p w14:paraId="3EA35D1B" w14:textId="77777777" w:rsidR="00C12E1F" w:rsidRDefault="00C12E1F" w:rsidP="00C12E1F">
      <w:pPr>
        <w:pStyle w:val="Textonotapie"/>
      </w:pPr>
      <w:r>
        <w:rPr>
          <w:rFonts w:ascii="Palatino Linotype" w:hAnsi="Palatino Linotype"/>
          <w:sz w:val="16"/>
          <w:szCs w:val="16"/>
        </w:rPr>
        <w:t xml:space="preserve">8 </w:t>
      </w:r>
      <w:r w:rsidRPr="008E0D1B">
        <w:rPr>
          <w:rFonts w:ascii="Palatino Linotype" w:hAnsi="Palatino Linotype"/>
          <w:sz w:val="16"/>
          <w:szCs w:val="16"/>
        </w:rPr>
        <w:t xml:space="preserve">Numeral 29 inciso c) fracción IV del </w:t>
      </w:r>
      <w:r w:rsidRPr="008E0D1B">
        <w:rPr>
          <w:rFonts w:ascii="Palatino Linotype" w:hAnsi="Palatino Linotype" w:cs="Times"/>
          <w:sz w:val="16"/>
          <w:szCs w:val="16"/>
        </w:rPr>
        <w:t>ACUERDO del Consejo General del Instituto Federal Electoral por el que se aprueban diversas disposiciones relativas a la forma y contenido de la Lista Nominal de Electores Residentes en el Extranjero que se utilizará con motivo de la Jornada Electoral del 1 de julio de 2012.</w:t>
      </w:r>
    </w:p>
  </w:footnote>
  <w:footnote w:id="14">
    <w:p w14:paraId="49B3323B" w14:textId="1E99D0D2" w:rsidR="00307FEB" w:rsidRPr="00720682" w:rsidRDefault="00307FEB" w:rsidP="00720682">
      <w:pPr>
        <w:pStyle w:val="Textonotapie"/>
        <w:jc w:val="both"/>
        <w:rPr>
          <w:rFonts w:ascii="Palatino Linotype" w:hAnsi="Palatino Linotype"/>
          <w:i/>
          <w:sz w:val="16"/>
          <w:szCs w:val="16"/>
        </w:rPr>
      </w:pPr>
      <w:r>
        <w:rPr>
          <w:rStyle w:val="Refdenotaalpie"/>
        </w:rPr>
        <w:footnoteRef/>
      </w:r>
      <w:r>
        <w:t xml:space="preserve"> </w:t>
      </w:r>
      <w:r w:rsidR="00720682" w:rsidRPr="00720682">
        <w:rPr>
          <w:rFonts w:ascii="Palatino Linotype" w:hAnsi="Palatino Linotype"/>
          <w:i/>
          <w:sz w:val="16"/>
          <w:szCs w:val="16"/>
        </w:rPr>
        <w:t>“</w:t>
      </w:r>
      <w:r w:rsidRPr="00720682">
        <w:rPr>
          <w:rFonts w:ascii="Palatino Linotype" w:hAnsi="Palatino Linotype"/>
          <w:i/>
          <w:sz w:val="16"/>
          <w:szCs w:val="16"/>
        </w:rPr>
        <w:t>FUNDAMENTACIÓN Y MOTIVACIÓN. PARA VERIFICAR EL CUMPLIMIENTO DE ESTA EXIGENCIA EN LAS RESOLUCIONES EMITIDAS EN LOS RECURSOS DE APELACIÓN INTERPUESTOS CONTRA SENTENCIAS DE TRIBUNALES DE JUICIO ORAL, RECLAMADAS EN EL JUICIO DE AMPARO DIRECTO, BASTA CONSTATAR QUE EL TRIBUNAL RESPONSABLE ATENDIÓ AL ARTÍCULO 461, PÁRRAFO PRIMERO, DEL CÓDIGO NACIONAL DE PROCEDIMIENTOS PENALES.</w:t>
      </w:r>
      <w:r w:rsidR="00720682" w:rsidRPr="00720682">
        <w:rPr>
          <w:rFonts w:ascii="Palatino Linotype" w:hAnsi="Palatino Linotype"/>
          <w:i/>
          <w:sz w:val="16"/>
          <w:szCs w:val="16"/>
        </w:rPr>
        <w:t xml:space="preserve"> </w:t>
      </w:r>
      <w:r w:rsidRPr="00720682">
        <w:rPr>
          <w:rFonts w:ascii="Palatino Linotype" w:hAnsi="Palatino Linotype"/>
          <w:i/>
          <w:sz w:val="16"/>
          <w:szCs w:val="16"/>
        </w:rPr>
        <w:t>La fundamentación y motivación constituyen un elemento básico del derecho humano de legalidad en sentido amplio, reconocido en el artículo 16, párrafo primero, de la Constitución Política de los Estados Unidos Mexicanos, que es la esencia del régimen jurídico de todo Estado de derecho, en la medida en que se sustenta en la idea de que las autoridades sólo pueden hacer lo que la ley les permite, es decir, todo acto de autoridad debe ser expresión del derecho; tiene como finalidad evitar que la autoridad actúe arbitrariamente y, en su caso, permite que el gobernado tenga la posibilidad de defenderse, la cual alcanza a través de la exigencia de que los actos de autoridad sólo se emitan cuando se cuente con un respaldo legal y exista un motivo para ello; por tanto, su cumplimiento deriva de explicitar la observancia de las exigencias legales que se establezcan para el acto de autoridad de que se trate. En ese sentido, para verificar la debida fundamentación y motivación de las resoluciones emitidas en los recursos de apelación interpuestos contra sentencias de tribunales de juicio oral, reclamadas en el juicio de amparo directo, basta constatar que el tribunal responsable atendió al artículo 461, párrafo primero, del Código Nacional de Procedimientos Penales, en el que se establece el alcance jurídico de los recursos, a través de una regla general y su excepción; la primera, consiste en que el tribunal de alzada, al que corresponda resolver un recurso, sólo debe pronunciarse sobre los agravios expresados por los recurrentes, sin extender el examen de la decisión recurrida a cuestiones no planteadas por las partes; en tanto la excepción, se actualiza cuando el órgano jurisdiccional encuentra violaciones a derechos fundamentales que debe reparar de oficio, circunstancia que no le genera la obligación de hacer constar el análisis efectuado, cuando concluya que dichas violaciones no existen. Por ello, no debe exigirse al tribunal de apelación que reproduzca o haga suyos los diversos temas de la sentencia de primera instancia que no fueron expresamente impugnados, pues la interpretación del artículo invocado permite entender que, en sus demás aspectos, quedó firme y en sus propios términos la sentencia recurrida. Lo anterior, desde luego, no constituye un obstáculo para que en el juicio de amparo directo se emprenda el análisis que corresponda de los conceptos de violación, inclusive en suplencia de la queja, en cuanto a diversos aspectos no abordados expresamente en la sentencia de segunda instancia.</w:t>
      </w:r>
      <w:r w:rsidR="00720682">
        <w:rPr>
          <w:rFonts w:ascii="Palatino Linotype" w:hAnsi="Palatino Linotype"/>
          <w:i/>
          <w:sz w:val="16"/>
          <w:szCs w:val="16"/>
        </w:rPr>
        <w:t>”</w:t>
      </w:r>
    </w:p>
  </w:footnote>
  <w:footnote w:id="15">
    <w:p w14:paraId="40E4A623" w14:textId="4771CBF0" w:rsidR="00B94C6C" w:rsidRDefault="00B94C6C">
      <w:pPr>
        <w:pStyle w:val="Textonotapie"/>
      </w:pPr>
      <w:r>
        <w:rPr>
          <w:rStyle w:val="Refdenotaalpie"/>
        </w:rPr>
        <w:footnoteRef/>
      </w:r>
      <w:r>
        <w:t xml:space="preserve"> </w:t>
      </w:r>
      <w:r w:rsidRPr="00B94C6C">
        <w:rPr>
          <w:rFonts w:ascii="Palatino Linotype" w:hAnsi="Palatino Linotype"/>
          <w:sz w:val="16"/>
          <w:szCs w:val="16"/>
        </w:rPr>
        <w:t>Mediante el Acuerdo N°. IEEM/CG/165/2017 se determinó que el proceso electoral inició el 6 de septiembre de 2017 y concluirá a más tardar el 15 de noviembre de 2018.</w:t>
      </w:r>
    </w:p>
  </w:footnote>
  <w:footnote w:id="16">
    <w:p w14:paraId="34CAF08C" w14:textId="77777777" w:rsidR="00783270" w:rsidRDefault="00783270" w:rsidP="00783270">
      <w:pPr>
        <w:pStyle w:val="Textonotapie"/>
        <w:rPr>
          <w:rFonts w:ascii="Palatino Linotype" w:hAnsi="Palatino Linotype" w:cs="Arial"/>
          <w:sz w:val="18"/>
          <w:szCs w:val="18"/>
        </w:rPr>
      </w:pPr>
      <w:r>
        <w:rPr>
          <w:rStyle w:val="Refdenotaalpie"/>
          <w:rFonts w:ascii="Palatino Linotype" w:hAnsi="Palatino Linotype" w:cs="Arial"/>
          <w:sz w:val="16"/>
          <w:szCs w:val="18"/>
        </w:rPr>
        <w:footnoteRef/>
      </w:r>
      <w:r>
        <w:rPr>
          <w:rFonts w:ascii="Palatino Linotype" w:hAnsi="Palatino Linotype" w:cs="Arial"/>
          <w:sz w:val="16"/>
          <w:szCs w:val="18"/>
        </w:rPr>
        <w:t xml:space="preserve"> Instituto de Investigaciones Jurídicas UNAM. </w:t>
      </w:r>
      <w:r>
        <w:rPr>
          <w:rFonts w:ascii="Palatino Linotype" w:hAnsi="Palatino Linotype" w:cs="Arial"/>
          <w:i/>
          <w:sz w:val="16"/>
          <w:szCs w:val="18"/>
        </w:rPr>
        <w:t>Diccionario Jurídico Mexicano</w:t>
      </w:r>
      <w:r>
        <w:rPr>
          <w:rFonts w:ascii="Palatino Linotype" w:hAnsi="Palatino Linotype" w:cs="Arial"/>
          <w:sz w:val="16"/>
          <w:szCs w:val="18"/>
        </w:rPr>
        <w:t>. Editorial Porrúa-UNAM. México 2009. Pág. 2173.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88A3" w14:textId="77777777" w:rsidR="00917C1B" w:rsidRDefault="00917C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307FEB" w14:paraId="6B4E3B81" w14:textId="77777777" w:rsidTr="009D4854">
      <w:tc>
        <w:tcPr>
          <w:tcW w:w="2553" w:type="dxa"/>
          <w:vAlign w:val="center"/>
          <w:hideMark/>
        </w:tcPr>
        <w:p w14:paraId="0ABBC6C0" w14:textId="77777777" w:rsidR="00307FEB" w:rsidRDefault="00307FEB"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2BA8D650" w:rsidR="00307FEB" w:rsidRDefault="00307FEB" w:rsidP="00BC3AAB">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02724/INFOEM/IP/RR/2018</w:t>
          </w:r>
        </w:p>
      </w:tc>
    </w:tr>
    <w:tr w:rsidR="00307FEB" w14:paraId="31CB780F" w14:textId="77777777" w:rsidTr="009D4854">
      <w:trPr>
        <w:trHeight w:val="228"/>
      </w:trPr>
      <w:tc>
        <w:tcPr>
          <w:tcW w:w="2553" w:type="dxa"/>
          <w:vAlign w:val="center"/>
          <w:hideMark/>
        </w:tcPr>
        <w:p w14:paraId="4F49CB4A" w14:textId="6966D32E" w:rsidR="00307FEB" w:rsidRDefault="00307FEB"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F4A669F" w:rsidR="00307FEB" w:rsidRDefault="00307FEB" w:rsidP="000E1C85">
          <w:pPr>
            <w:rPr>
              <w:rFonts w:ascii="Palatino Linotype" w:hAnsi="Palatino Linotype"/>
              <w:b/>
              <w:sz w:val="22"/>
              <w:szCs w:val="22"/>
              <w:lang w:val="es-ES_tradnl"/>
            </w:rPr>
          </w:pPr>
          <w:r>
            <w:rPr>
              <w:rFonts w:ascii="Palatino Linotype" w:eastAsiaTheme="minorEastAsia" w:hAnsi="Palatino Linotype" w:cs="Arial"/>
              <w:b/>
              <w:sz w:val="22"/>
              <w:szCs w:val="22"/>
              <w:lang w:val="es-MX"/>
            </w:rPr>
            <w:t>Partido Verde Ecologista de México</w:t>
          </w:r>
        </w:p>
      </w:tc>
    </w:tr>
    <w:tr w:rsidR="00307FEB" w14:paraId="69050F56" w14:textId="77777777" w:rsidTr="009D4854">
      <w:tc>
        <w:tcPr>
          <w:tcW w:w="2553" w:type="dxa"/>
          <w:vAlign w:val="center"/>
          <w:hideMark/>
        </w:tcPr>
        <w:p w14:paraId="65C9B735" w14:textId="1BD9C7F4" w:rsidR="00307FEB" w:rsidRDefault="00307FEB"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307FEB" w:rsidRDefault="00307FEB"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307FEB" w:rsidRDefault="00307FEB" w:rsidP="006F30F8">
    <w:pPr>
      <w:pStyle w:val="Encabezado"/>
      <w:tabs>
        <w:tab w:val="clear" w:pos="4252"/>
        <w:tab w:val="clear" w:pos="8504"/>
        <w:tab w:val="left" w:pos="2326"/>
      </w:tabs>
    </w:pPr>
    <w:r>
      <w:tab/>
    </w:r>
  </w:p>
  <w:p w14:paraId="23403E59" w14:textId="77777777" w:rsidR="00307FEB" w:rsidRDefault="00307FEB" w:rsidP="006F30F8">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307FEB" w:rsidRDefault="00307FEB"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307FEB" w14:paraId="477E149B" w14:textId="77777777" w:rsidTr="00C47D1B">
      <w:tc>
        <w:tcPr>
          <w:tcW w:w="2553" w:type="dxa"/>
          <w:vAlign w:val="center"/>
          <w:hideMark/>
        </w:tcPr>
        <w:p w14:paraId="5C0586E4" w14:textId="77777777" w:rsidR="00307FEB" w:rsidRDefault="00307FEB"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4EE5B0CC" w:rsidR="00307FEB" w:rsidRPr="004440AC" w:rsidRDefault="00307FEB" w:rsidP="00BC3AAB">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02724/INFOEM/IP/RR/2018</w:t>
          </w:r>
        </w:p>
      </w:tc>
    </w:tr>
    <w:tr w:rsidR="00307FEB" w14:paraId="5B5BE21C" w14:textId="77777777" w:rsidTr="00C47D1B">
      <w:tc>
        <w:tcPr>
          <w:tcW w:w="2553" w:type="dxa"/>
          <w:vAlign w:val="center"/>
          <w:hideMark/>
        </w:tcPr>
        <w:p w14:paraId="4AE96902" w14:textId="4E063913" w:rsidR="00307FEB" w:rsidRDefault="00307FEB"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3F87639F" w:rsidR="00307FEB" w:rsidRPr="004440AC" w:rsidRDefault="009D14CF" w:rsidP="00C47D1B">
          <w:pPr>
            <w:rPr>
              <w:rFonts w:ascii="Palatino Linotype" w:hAnsi="Palatino Linotype"/>
              <w:b/>
              <w:sz w:val="22"/>
              <w:szCs w:val="22"/>
              <w:lang w:val="es-ES_tradnl"/>
            </w:rPr>
          </w:pPr>
          <w:bookmarkStart w:id="4" w:name="_GoBack"/>
          <w:r w:rsidRPr="00917C1B">
            <w:rPr>
              <w:rFonts w:ascii="Palatino Linotype" w:eastAsiaTheme="minorEastAsia" w:hAnsi="Palatino Linotype" w:cs="Arial"/>
              <w:b/>
              <w:color w:val="000000" w:themeColor="text1"/>
              <w:sz w:val="22"/>
              <w:szCs w:val="22"/>
              <w:lang w:val="es-MX"/>
            </w:rPr>
            <w:t>Xxxxx</w:t>
          </w:r>
          <w:r w:rsidR="00307FEB" w:rsidRPr="00917C1B">
            <w:rPr>
              <w:rFonts w:ascii="Palatino Linotype" w:eastAsiaTheme="minorEastAsia" w:hAnsi="Palatino Linotype" w:cs="Arial"/>
              <w:b/>
              <w:color w:val="000000" w:themeColor="text1"/>
              <w:sz w:val="22"/>
              <w:szCs w:val="22"/>
              <w:lang w:val="es-MX"/>
            </w:rPr>
            <w:t xml:space="preserve"> </w:t>
          </w:r>
          <w:r w:rsidRPr="00917C1B">
            <w:rPr>
              <w:rFonts w:ascii="Palatino Linotype" w:eastAsiaTheme="minorEastAsia" w:hAnsi="Palatino Linotype" w:cs="Arial"/>
              <w:b/>
              <w:color w:val="000000" w:themeColor="text1"/>
              <w:sz w:val="22"/>
              <w:szCs w:val="22"/>
              <w:lang w:val="es-MX"/>
            </w:rPr>
            <w:t>x</w:t>
          </w:r>
          <w:r w:rsidR="00307FEB" w:rsidRPr="00917C1B">
            <w:rPr>
              <w:rFonts w:ascii="Palatino Linotype" w:eastAsiaTheme="minorEastAsia" w:hAnsi="Palatino Linotype" w:cs="Arial"/>
              <w:b/>
              <w:color w:val="000000" w:themeColor="text1"/>
              <w:sz w:val="22"/>
              <w:szCs w:val="22"/>
              <w:lang w:val="es-MX"/>
            </w:rPr>
            <w:t xml:space="preserve"> </w:t>
          </w:r>
          <w:r w:rsidRPr="00917C1B">
            <w:rPr>
              <w:rFonts w:ascii="Palatino Linotype" w:eastAsiaTheme="minorEastAsia" w:hAnsi="Palatino Linotype" w:cs="Arial"/>
              <w:b/>
              <w:color w:val="000000" w:themeColor="text1"/>
              <w:sz w:val="22"/>
              <w:szCs w:val="22"/>
              <w:lang w:val="es-MX"/>
            </w:rPr>
            <w:t>x</w:t>
          </w:r>
          <w:bookmarkEnd w:id="4"/>
        </w:p>
      </w:tc>
    </w:tr>
    <w:tr w:rsidR="00307FEB" w14:paraId="22601A11" w14:textId="77777777" w:rsidTr="00C47D1B">
      <w:trPr>
        <w:trHeight w:val="228"/>
      </w:trPr>
      <w:tc>
        <w:tcPr>
          <w:tcW w:w="2553" w:type="dxa"/>
          <w:vAlign w:val="center"/>
          <w:hideMark/>
        </w:tcPr>
        <w:p w14:paraId="6EFE221D" w14:textId="49C5F800" w:rsidR="00307FEB" w:rsidRDefault="00307FEB"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1EFCA361" w:rsidR="00307FEB" w:rsidRPr="004440AC" w:rsidRDefault="00307FEB" w:rsidP="00437D10">
          <w:pPr>
            <w:rPr>
              <w:rFonts w:ascii="Palatino Linotype" w:hAnsi="Palatino Linotype"/>
              <w:b/>
              <w:sz w:val="22"/>
              <w:szCs w:val="22"/>
              <w:lang w:val="es-ES_tradnl"/>
            </w:rPr>
          </w:pPr>
          <w:r>
            <w:rPr>
              <w:rFonts w:ascii="Palatino Linotype" w:eastAsiaTheme="minorEastAsia" w:hAnsi="Palatino Linotype" w:cs="Arial"/>
              <w:b/>
              <w:sz w:val="22"/>
              <w:szCs w:val="22"/>
              <w:lang w:val="es-MX"/>
            </w:rPr>
            <w:t>Partido Verde Ecologista de México</w:t>
          </w:r>
        </w:p>
      </w:tc>
    </w:tr>
    <w:tr w:rsidR="00307FEB" w14:paraId="2D6C630E" w14:textId="77777777" w:rsidTr="00C47D1B">
      <w:tc>
        <w:tcPr>
          <w:tcW w:w="2553" w:type="dxa"/>
          <w:vAlign w:val="center"/>
          <w:hideMark/>
        </w:tcPr>
        <w:p w14:paraId="5BD4C6DB" w14:textId="0AEF79C2" w:rsidR="00307FEB" w:rsidRDefault="00307FEB"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307FEB" w:rsidRPr="004440AC" w:rsidRDefault="00307FEB"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307FEB" w:rsidRDefault="00307FE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50AF"/>
    <w:multiLevelType w:val="hybridMultilevel"/>
    <w:tmpl w:val="0FCA10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7A32EB"/>
    <w:multiLevelType w:val="hybridMultilevel"/>
    <w:tmpl w:val="1AC8C46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557563"/>
    <w:multiLevelType w:val="hybridMultilevel"/>
    <w:tmpl w:val="E9EEF742"/>
    <w:lvl w:ilvl="0" w:tplc="643E115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5524677"/>
    <w:multiLevelType w:val="hybridMultilevel"/>
    <w:tmpl w:val="14E01826"/>
    <w:lvl w:ilvl="0" w:tplc="839A0A00">
      <w:start w:val="1"/>
      <w:numFmt w:val="lowerLetter"/>
      <w:lvlText w:val="%1)"/>
      <w:lvlJc w:val="left"/>
      <w:pPr>
        <w:ind w:left="3621" w:hanging="360"/>
      </w:pPr>
      <w:rPr>
        <w:rFonts w:hint="default"/>
      </w:rPr>
    </w:lvl>
    <w:lvl w:ilvl="1" w:tplc="080A0019" w:tentative="1">
      <w:start w:val="1"/>
      <w:numFmt w:val="lowerLetter"/>
      <w:lvlText w:val="%2."/>
      <w:lvlJc w:val="left"/>
      <w:pPr>
        <w:ind w:left="3621" w:hanging="360"/>
      </w:pPr>
    </w:lvl>
    <w:lvl w:ilvl="2" w:tplc="080A001B" w:tentative="1">
      <w:start w:val="1"/>
      <w:numFmt w:val="lowerRoman"/>
      <w:lvlText w:val="%3."/>
      <w:lvlJc w:val="right"/>
      <w:pPr>
        <w:ind w:left="4341" w:hanging="180"/>
      </w:pPr>
    </w:lvl>
    <w:lvl w:ilvl="3" w:tplc="080A000F" w:tentative="1">
      <w:start w:val="1"/>
      <w:numFmt w:val="decimal"/>
      <w:lvlText w:val="%4."/>
      <w:lvlJc w:val="left"/>
      <w:pPr>
        <w:ind w:left="5061" w:hanging="360"/>
      </w:pPr>
    </w:lvl>
    <w:lvl w:ilvl="4" w:tplc="080A0019" w:tentative="1">
      <w:start w:val="1"/>
      <w:numFmt w:val="lowerLetter"/>
      <w:lvlText w:val="%5."/>
      <w:lvlJc w:val="left"/>
      <w:pPr>
        <w:ind w:left="5781" w:hanging="360"/>
      </w:pPr>
    </w:lvl>
    <w:lvl w:ilvl="5" w:tplc="080A001B" w:tentative="1">
      <w:start w:val="1"/>
      <w:numFmt w:val="lowerRoman"/>
      <w:lvlText w:val="%6."/>
      <w:lvlJc w:val="right"/>
      <w:pPr>
        <w:ind w:left="6501" w:hanging="180"/>
      </w:pPr>
    </w:lvl>
    <w:lvl w:ilvl="6" w:tplc="080A000F" w:tentative="1">
      <w:start w:val="1"/>
      <w:numFmt w:val="decimal"/>
      <w:lvlText w:val="%7."/>
      <w:lvlJc w:val="left"/>
      <w:pPr>
        <w:ind w:left="7221" w:hanging="360"/>
      </w:pPr>
    </w:lvl>
    <w:lvl w:ilvl="7" w:tplc="080A0019" w:tentative="1">
      <w:start w:val="1"/>
      <w:numFmt w:val="lowerLetter"/>
      <w:lvlText w:val="%8."/>
      <w:lvlJc w:val="left"/>
      <w:pPr>
        <w:ind w:left="7941" w:hanging="360"/>
      </w:pPr>
    </w:lvl>
    <w:lvl w:ilvl="8" w:tplc="080A001B" w:tentative="1">
      <w:start w:val="1"/>
      <w:numFmt w:val="lowerRoman"/>
      <w:lvlText w:val="%9."/>
      <w:lvlJc w:val="right"/>
      <w:pPr>
        <w:ind w:left="8661" w:hanging="180"/>
      </w:pPr>
    </w:lvl>
  </w:abstractNum>
  <w:abstractNum w:abstractNumId="4" w15:restartNumberingAfterBreak="0">
    <w:nsid w:val="09E97007"/>
    <w:multiLevelType w:val="hybridMultilevel"/>
    <w:tmpl w:val="2E0CD8D0"/>
    <w:lvl w:ilvl="0" w:tplc="A798E246">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680A14"/>
    <w:multiLevelType w:val="hybridMultilevel"/>
    <w:tmpl w:val="E51E65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6A26EF"/>
    <w:multiLevelType w:val="hybridMultilevel"/>
    <w:tmpl w:val="EFC623AE"/>
    <w:lvl w:ilvl="0" w:tplc="080A0013">
      <w:start w:val="1"/>
      <w:numFmt w:val="upperRoman"/>
      <w:lvlText w:val="%1."/>
      <w:lvlJc w:val="right"/>
      <w:pPr>
        <w:ind w:left="780" w:hanging="360"/>
      </w:pPr>
      <w:rPr>
        <w:rFonts w:hint="default"/>
        <w:b/>
        <w:i w:val="0"/>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0F4E48A1"/>
    <w:multiLevelType w:val="hybridMultilevel"/>
    <w:tmpl w:val="6E0EA8B8"/>
    <w:lvl w:ilvl="0" w:tplc="942E294A">
      <w:start w:val="1"/>
      <w:numFmt w:val="decimal"/>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F2601D"/>
    <w:multiLevelType w:val="hybridMultilevel"/>
    <w:tmpl w:val="28128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7A69AA"/>
    <w:multiLevelType w:val="hybridMultilevel"/>
    <w:tmpl w:val="D3B8DBB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FB74C9"/>
    <w:multiLevelType w:val="hybridMultilevel"/>
    <w:tmpl w:val="E4E0F3F8"/>
    <w:lvl w:ilvl="0" w:tplc="080A000F">
      <w:start w:val="1"/>
      <w:numFmt w:val="decimal"/>
      <w:lvlText w:val="%1."/>
      <w:lvlJc w:val="left"/>
      <w:pPr>
        <w:ind w:left="720" w:hanging="360"/>
      </w:pPr>
    </w:lvl>
    <w:lvl w:ilvl="1" w:tplc="74B6DB32">
      <w:start w:val="1"/>
      <w:numFmt w:val="upperRoman"/>
      <w:lvlText w:val="%2."/>
      <w:lvlJc w:val="left"/>
      <w:pPr>
        <w:ind w:left="1800" w:hanging="72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65DAD"/>
    <w:multiLevelType w:val="hybridMultilevel"/>
    <w:tmpl w:val="883E58A4"/>
    <w:lvl w:ilvl="0" w:tplc="C21A000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0730551"/>
    <w:multiLevelType w:val="hybridMultilevel"/>
    <w:tmpl w:val="72DE164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21249C7"/>
    <w:multiLevelType w:val="hybridMultilevel"/>
    <w:tmpl w:val="B9CEA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0208CD"/>
    <w:multiLevelType w:val="hybridMultilevel"/>
    <w:tmpl w:val="ABD4687E"/>
    <w:lvl w:ilvl="0" w:tplc="6DFA73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2D21066B"/>
    <w:multiLevelType w:val="hybridMultilevel"/>
    <w:tmpl w:val="1C94A1C4"/>
    <w:lvl w:ilvl="0" w:tplc="080A000F">
      <w:start w:val="1"/>
      <w:numFmt w:val="decimal"/>
      <w:lvlText w:val="%1."/>
      <w:lvlJc w:val="left"/>
      <w:pPr>
        <w:ind w:left="720" w:hanging="360"/>
      </w:pPr>
    </w:lvl>
    <w:lvl w:ilvl="1" w:tplc="74B6DB32">
      <w:start w:val="1"/>
      <w:numFmt w:val="upperRoman"/>
      <w:lvlText w:val="%2."/>
      <w:lvlJc w:val="left"/>
      <w:pPr>
        <w:ind w:left="1800" w:hanging="72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B7440A"/>
    <w:multiLevelType w:val="hybridMultilevel"/>
    <w:tmpl w:val="DCAC4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F21E25"/>
    <w:multiLevelType w:val="hybridMultilevel"/>
    <w:tmpl w:val="219E0558"/>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 w15:restartNumberingAfterBreak="0">
    <w:nsid w:val="30113752"/>
    <w:multiLevelType w:val="hybridMultilevel"/>
    <w:tmpl w:val="F76A2C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1142F6"/>
    <w:multiLevelType w:val="hybridMultilevel"/>
    <w:tmpl w:val="1C0449BA"/>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1E09FB"/>
    <w:multiLevelType w:val="hybridMultilevel"/>
    <w:tmpl w:val="488A4FCA"/>
    <w:lvl w:ilvl="0" w:tplc="8A28831A">
      <w:start w:val="1"/>
      <w:numFmt w:val="decimal"/>
      <w:lvlText w:val="%1)"/>
      <w:lvlJc w:val="left"/>
      <w:pPr>
        <w:ind w:left="1080" w:hanging="720"/>
      </w:pPr>
      <w:rPr>
        <w:rFonts w:ascii="Arial" w:eastAsia="Calibri" w:hAnsi="Arial" w:cs="Arial"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9678A9"/>
    <w:multiLevelType w:val="hybridMultilevel"/>
    <w:tmpl w:val="7B82D0B2"/>
    <w:lvl w:ilvl="0" w:tplc="A94A0A7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A23572"/>
    <w:multiLevelType w:val="hybridMultilevel"/>
    <w:tmpl w:val="EFC623AE"/>
    <w:lvl w:ilvl="0" w:tplc="080A0013">
      <w:start w:val="1"/>
      <w:numFmt w:val="upperRoman"/>
      <w:lvlText w:val="%1."/>
      <w:lvlJc w:val="right"/>
      <w:pPr>
        <w:ind w:left="780" w:hanging="360"/>
      </w:pPr>
      <w:rPr>
        <w:rFonts w:hint="default"/>
        <w:b/>
        <w:i w:val="0"/>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377968A0"/>
    <w:multiLevelType w:val="hybridMultilevel"/>
    <w:tmpl w:val="85B4E934"/>
    <w:lvl w:ilvl="0" w:tplc="AD6C89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AF17860"/>
    <w:multiLevelType w:val="hybridMultilevel"/>
    <w:tmpl w:val="042C88B2"/>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9D6289"/>
    <w:multiLevelType w:val="hybridMultilevel"/>
    <w:tmpl w:val="E018AE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8C20B1"/>
    <w:multiLevelType w:val="hybridMultilevel"/>
    <w:tmpl w:val="D2A80F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495386"/>
    <w:multiLevelType w:val="hybridMultilevel"/>
    <w:tmpl w:val="F7FE58F6"/>
    <w:lvl w:ilvl="0" w:tplc="89FAD0F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E962FA"/>
    <w:multiLevelType w:val="hybridMultilevel"/>
    <w:tmpl w:val="E018AE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A0544C"/>
    <w:multiLevelType w:val="hybridMultilevel"/>
    <w:tmpl w:val="5686AB70"/>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9B416B"/>
    <w:multiLevelType w:val="hybridMultilevel"/>
    <w:tmpl w:val="E0EC78F6"/>
    <w:lvl w:ilvl="0" w:tplc="6DFA73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C01EF7"/>
    <w:multiLevelType w:val="hybridMultilevel"/>
    <w:tmpl w:val="360253C6"/>
    <w:lvl w:ilvl="0" w:tplc="0A12915E">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A87281"/>
    <w:multiLevelType w:val="hybridMultilevel"/>
    <w:tmpl w:val="6D68931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94D6A"/>
    <w:multiLevelType w:val="hybridMultilevel"/>
    <w:tmpl w:val="5F4665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9C3912"/>
    <w:multiLevelType w:val="hybridMultilevel"/>
    <w:tmpl w:val="2D4C2C1A"/>
    <w:lvl w:ilvl="0" w:tplc="52644142">
      <w:start w:val="1"/>
      <w:numFmt w:val="decimal"/>
      <w:lvlText w:val="%1."/>
      <w:lvlJc w:val="left"/>
      <w:pPr>
        <w:ind w:left="780" w:hanging="360"/>
      </w:pPr>
      <w:rPr>
        <w:rFonts w:hint="default"/>
        <w:b/>
        <w:i w:val="0"/>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6" w15:restartNumberingAfterBreak="0">
    <w:nsid w:val="5D34623A"/>
    <w:multiLevelType w:val="hybridMultilevel"/>
    <w:tmpl w:val="3FC008D0"/>
    <w:lvl w:ilvl="0" w:tplc="F3FA6254">
      <w:start w:val="2"/>
      <w:numFmt w:val="decimal"/>
      <w:lvlText w:val="%1."/>
      <w:lvlJc w:val="left"/>
      <w:pPr>
        <w:ind w:left="144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0D0444A"/>
    <w:multiLevelType w:val="hybridMultilevel"/>
    <w:tmpl w:val="9B349428"/>
    <w:lvl w:ilvl="0" w:tplc="91003B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39" w15:restartNumberingAfterBreak="0">
    <w:nsid w:val="62B751D5"/>
    <w:multiLevelType w:val="hybridMultilevel"/>
    <w:tmpl w:val="38125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37E218F"/>
    <w:multiLevelType w:val="hybridMultilevel"/>
    <w:tmpl w:val="63FAFFF6"/>
    <w:lvl w:ilvl="0" w:tplc="942E294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64EB4F47"/>
    <w:multiLevelType w:val="hybridMultilevel"/>
    <w:tmpl w:val="47A25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B932558"/>
    <w:multiLevelType w:val="hybridMultilevel"/>
    <w:tmpl w:val="A6F69A12"/>
    <w:lvl w:ilvl="0" w:tplc="080A000F">
      <w:start w:val="1"/>
      <w:numFmt w:val="decimal"/>
      <w:lvlText w:val="%1."/>
      <w:lvlJc w:val="left"/>
      <w:pPr>
        <w:ind w:left="720" w:hanging="360"/>
      </w:pPr>
    </w:lvl>
    <w:lvl w:ilvl="1" w:tplc="AD86755C">
      <w:start w:val="1"/>
      <w:numFmt w:val="decimal"/>
      <w:lvlText w:val="%2.-"/>
      <w:lvlJc w:val="left"/>
      <w:pPr>
        <w:ind w:left="1800" w:hanging="72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1B143E"/>
    <w:multiLevelType w:val="hybridMultilevel"/>
    <w:tmpl w:val="A6A8068A"/>
    <w:lvl w:ilvl="0" w:tplc="C00C1D54">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4" w15:restartNumberingAfterBreak="0">
    <w:nsid w:val="71EF3BDE"/>
    <w:multiLevelType w:val="hybridMultilevel"/>
    <w:tmpl w:val="C464B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3D497F"/>
    <w:multiLevelType w:val="hybridMultilevel"/>
    <w:tmpl w:val="F7285442"/>
    <w:lvl w:ilvl="0" w:tplc="7E8062C8">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193120"/>
    <w:multiLevelType w:val="hybridMultilevel"/>
    <w:tmpl w:val="79EE4598"/>
    <w:lvl w:ilvl="0" w:tplc="8560472A">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15:restartNumberingAfterBreak="0">
    <w:nsid w:val="7F2323CD"/>
    <w:multiLevelType w:val="hybridMultilevel"/>
    <w:tmpl w:val="306C2BB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34"/>
  </w:num>
  <w:num w:numId="3">
    <w:abstractNumId w:val="12"/>
  </w:num>
  <w:num w:numId="4">
    <w:abstractNumId w:val="24"/>
  </w:num>
  <w:num w:numId="5">
    <w:abstractNumId w:val="19"/>
  </w:num>
  <w:num w:numId="6">
    <w:abstractNumId w:val="40"/>
  </w:num>
  <w:num w:numId="7">
    <w:abstractNumId w:val="7"/>
  </w:num>
  <w:num w:numId="8">
    <w:abstractNumId w:val="37"/>
  </w:num>
  <w:num w:numId="9">
    <w:abstractNumId w:val="1"/>
  </w:num>
  <w:num w:numId="10">
    <w:abstractNumId w:val="44"/>
  </w:num>
  <w:num w:numId="11">
    <w:abstractNumId w:val="15"/>
  </w:num>
  <w:num w:numId="12">
    <w:abstractNumId w:val="17"/>
  </w:num>
  <w:num w:numId="13">
    <w:abstractNumId w:val="47"/>
  </w:num>
  <w:num w:numId="14">
    <w:abstractNumId w:val="23"/>
  </w:num>
  <w:num w:numId="15">
    <w:abstractNumId w:val="6"/>
  </w:num>
  <w:num w:numId="16">
    <w:abstractNumId w:val="45"/>
  </w:num>
  <w:num w:numId="17">
    <w:abstractNumId w:val="21"/>
  </w:num>
  <w:num w:numId="18">
    <w:abstractNumId w:val="26"/>
  </w:num>
  <w:num w:numId="19">
    <w:abstractNumId w:val="33"/>
  </w:num>
  <w:num w:numId="20">
    <w:abstractNumId w:val="29"/>
  </w:num>
  <w:num w:numId="21">
    <w:abstractNumId w:val="9"/>
  </w:num>
  <w:num w:numId="22">
    <w:abstractNumId w:val="39"/>
  </w:num>
  <w:num w:numId="23">
    <w:abstractNumId w:val="13"/>
  </w:num>
  <w:num w:numId="24">
    <w:abstractNumId w:val="3"/>
  </w:num>
  <w:num w:numId="25">
    <w:abstractNumId w:val="36"/>
  </w:num>
  <w:num w:numId="26">
    <w:abstractNumId w:val="4"/>
  </w:num>
  <w:num w:numId="27">
    <w:abstractNumId w:val="41"/>
  </w:num>
  <w:num w:numId="28">
    <w:abstractNumId w:val="5"/>
  </w:num>
  <w:num w:numId="29">
    <w:abstractNumId w:val="18"/>
  </w:num>
  <w:num w:numId="30">
    <w:abstractNumId w:val="14"/>
  </w:num>
  <w:num w:numId="31">
    <w:abstractNumId w:val="31"/>
  </w:num>
  <w:num w:numId="32">
    <w:abstractNumId w:val="20"/>
  </w:num>
  <w:num w:numId="33">
    <w:abstractNumId w:val="28"/>
  </w:num>
  <w:num w:numId="34">
    <w:abstractNumId w:val="11"/>
  </w:num>
  <w:num w:numId="35">
    <w:abstractNumId w:val="2"/>
  </w:num>
  <w:num w:numId="36">
    <w:abstractNumId w:val="30"/>
  </w:num>
  <w:num w:numId="37">
    <w:abstractNumId w:val="32"/>
  </w:num>
  <w:num w:numId="38">
    <w:abstractNumId w:val="43"/>
  </w:num>
  <w:num w:numId="39">
    <w:abstractNumId w:val="10"/>
  </w:num>
  <w:num w:numId="40">
    <w:abstractNumId w:val="25"/>
  </w:num>
  <w:num w:numId="41">
    <w:abstractNumId w:val="0"/>
  </w:num>
  <w:num w:numId="42">
    <w:abstractNumId w:val="8"/>
  </w:num>
  <w:num w:numId="43">
    <w:abstractNumId w:val="42"/>
  </w:num>
  <w:num w:numId="44">
    <w:abstractNumId w:val="22"/>
  </w:num>
  <w:num w:numId="45">
    <w:abstractNumId w:val="16"/>
  </w:num>
  <w:num w:numId="46">
    <w:abstractNumId w:val="27"/>
  </w:num>
  <w:num w:numId="47">
    <w:abstractNumId w:val="46"/>
  </w:num>
  <w:num w:numId="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389"/>
    <w:rsid w:val="000061F4"/>
    <w:rsid w:val="0000625E"/>
    <w:rsid w:val="000064FC"/>
    <w:rsid w:val="0000746A"/>
    <w:rsid w:val="000115F7"/>
    <w:rsid w:val="00012A5F"/>
    <w:rsid w:val="00012D1B"/>
    <w:rsid w:val="000151E0"/>
    <w:rsid w:val="000163E2"/>
    <w:rsid w:val="00017570"/>
    <w:rsid w:val="00017BE1"/>
    <w:rsid w:val="00020A18"/>
    <w:rsid w:val="00021E8D"/>
    <w:rsid w:val="000221A6"/>
    <w:rsid w:val="000239D7"/>
    <w:rsid w:val="00023C79"/>
    <w:rsid w:val="00024227"/>
    <w:rsid w:val="00024AE6"/>
    <w:rsid w:val="000252E9"/>
    <w:rsid w:val="00025532"/>
    <w:rsid w:val="00026705"/>
    <w:rsid w:val="00026D94"/>
    <w:rsid w:val="000274AD"/>
    <w:rsid w:val="00030E35"/>
    <w:rsid w:val="000314E8"/>
    <w:rsid w:val="0003369F"/>
    <w:rsid w:val="0003385D"/>
    <w:rsid w:val="00035413"/>
    <w:rsid w:val="000354B7"/>
    <w:rsid w:val="000359D8"/>
    <w:rsid w:val="00035B1B"/>
    <w:rsid w:val="00035F2E"/>
    <w:rsid w:val="00036575"/>
    <w:rsid w:val="00036B8A"/>
    <w:rsid w:val="00041731"/>
    <w:rsid w:val="00041BCD"/>
    <w:rsid w:val="000423C7"/>
    <w:rsid w:val="0004471E"/>
    <w:rsid w:val="00045FD8"/>
    <w:rsid w:val="000460E3"/>
    <w:rsid w:val="00047F41"/>
    <w:rsid w:val="00053D74"/>
    <w:rsid w:val="00054CE1"/>
    <w:rsid w:val="00055938"/>
    <w:rsid w:val="00057073"/>
    <w:rsid w:val="00060CD1"/>
    <w:rsid w:val="000646E3"/>
    <w:rsid w:val="000667E0"/>
    <w:rsid w:val="00071462"/>
    <w:rsid w:val="00071A99"/>
    <w:rsid w:val="00072D06"/>
    <w:rsid w:val="000752EF"/>
    <w:rsid w:val="00075D7A"/>
    <w:rsid w:val="0007645E"/>
    <w:rsid w:val="0007730D"/>
    <w:rsid w:val="00077347"/>
    <w:rsid w:val="00077788"/>
    <w:rsid w:val="00077C21"/>
    <w:rsid w:val="00080792"/>
    <w:rsid w:val="00080FA4"/>
    <w:rsid w:val="0008195D"/>
    <w:rsid w:val="00083058"/>
    <w:rsid w:val="0008542A"/>
    <w:rsid w:val="00085C91"/>
    <w:rsid w:val="00087498"/>
    <w:rsid w:val="00087514"/>
    <w:rsid w:val="00090EBA"/>
    <w:rsid w:val="00091682"/>
    <w:rsid w:val="00094E67"/>
    <w:rsid w:val="00097EF0"/>
    <w:rsid w:val="000A05A2"/>
    <w:rsid w:val="000A0D0B"/>
    <w:rsid w:val="000A1C9A"/>
    <w:rsid w:val="000A1E1F"/>
    <w:rsid w:val="000A351A"/>
    <w:rsid w:val="000A4EC4"/>
    <w:rsid w:val="000A515A"/>
    <w:rsid w:val="000A577A"/>
    <w:rsid w:val="000A5B28"/>
    <w:rsid w:val="000A5FEE"/>
    <w:rsid w:val="000A6651"/>
    <w:rsid w:val="000A7C0E"/>
    <w:rsid w:val="000B1437"/>
    <w:rsid w:val="000B2B61"/>
    <w:rsid w:val="000B2CE3"/>
    <w:rsid w:val="000B2FE2"/>
    <w:rsid w:val="000B3FFD"/>
    <w:rsid w:val="000B5351"/>
    <w:rsid w:val="000B7B5A"/>
    <w:rsid w:val="000C16AF"/>
    <w:rsid w:val="000C1B34"/>
    <w:rsid w:val="000C3D4F"/>
    <w:rsid w:val="000C4453"/>
    <w:rsid w:val="000C54A3"/>
    <w:rsid w:val="000C72EB"/>
    <w:rsid w:val="000C7714"/>
    <w:rsid w:val="000C77C6"/>
    <w:rsid w:val="000C7C04"/>
    <w:rsid w:val="000D0395"/>
    <w:rsid w:val="000D07EC"/>
    <w:rsid w:val="000D4D96"/>
    <w:rsid w:val="000D7676"/>
    <w:rsid w:val="000D7F38"/>
    <w:rsid w:val="000E08B8"/>
    <w:rsid w:val="000E1C85"/>
    <w:rsid w:val="000E462D"/>
    <w:rsid w:val="000E48C2"/>
    <w:rsid w:val="000E59A1"/>
    <w:rsid w:val="000F1BBF"/>
    <w:rsid w:val="000F219C"/>
    <w:rsid w:val="000F2EB3"/>
    <w:rsid w:val="000F71B5"/>
    <w:rsid w:val="000F7FE2"/>
    <w:rsid w:val="0010152C"/>
    <w:rsid w:val="00101832"/>
    <w:rsid w:val="00104E08"/>
    <w:rsid w:val="00106146"/>
    <w:rsid w:val="00107249"/>
    <w:rsid w:val="001073CC"/>
    <w:rsid w:val="00107A49"/>
    <w:rsid w:val="00107FC5"/>
    <w:rsid w:val="00110202"/>
    <w:rsid w:val="001110FC"/>
    <w:rsid w:val="00111D7F"/>
    <w:rsid w:val="00111E30"/>
    <w:rsid w:val="00112892"/>
    <w:rsid w:val="00114A77"/>
    <w:rsid w:val="00114D4B"/>
    <w:rsid w:val="00114DDF"/>
    <w:rsid w:val="00115AAD"/>
    <w:rsid w:val="001172D8"/>
    <w:rsid w:val="00124762"/>
    <w:rsid w:val="00126994"/>
    <w:rsid w:val="00127CCA"/>
    <w:rsid w:val="00130642"/>
    <w:rsid w:val="001306E4"/>
    <w:rsid w:val="00130BA7"/>
    <w:rsid w:val="00136083"/>
    <w:rsid w:val="00137107"/>
    <w:rsid w:val="00140FFE"/>
    <w:rsid w:val="00141F78"/>
    <w:rsid w:val="00143967"/>
    <w:rsid w:val="001445AB"/>
    <w:rsid w:val="00147E1D"/>
    <w:rsid w:val="00150789"/>
    <w:rsid w:val="00151D19"/>
    <w:rsid w:val="00152866"/>
    <w:rsid w:val="001534EF"/>
    <w:rsid w:val="00153F8E"/>
    <w:rsid w:val="001543BC"/>
    <w:rsid w:val="0015502B"/>
    <w:rsid w:val="0015575F"/>
    <w:rsid w:val="00161160"/>
    <w:rsid w:val="00161FC4"/>
    <w:rsid w:val="00163B98"/>
    <w:rsid w:val="00166139"/>
    <w:rsid w:val="001667F0"/>
    <w:rsid w:val="00167F89"/>
    <w:rsid w:val="001701C4"/>
    <w:rsid w:val="00170218"/>
    <w:rsid w:val="00170D88"/>
    <w:rsid w:val="00170E0A"/>
    <w:rsid w:val="00172089"/>
    <w:rsid w:val="001723BF"/>
    <w:rsid w:val="001737E0"/>
    <w:rsid w:val="0017530C"/>
    <w:rsid w:val="0017555E"/>
    <w:rsid w:val="00175974"/>
    <w:rsid w:val="00175A2B"/>
    <w:rsid w:val="00177A27"/>
    <w:rsid w:val="00181594"/>
    <w:rsid w:val="00181791"/>
    <w:rsid w:val="0018195F"/>
    <w:rsid w:val="00182E55"/>
    <w:rsid w:val="00183275"/>
    <w:rsid w:val="00184FBA"/>
    <w:rsid w:val="00186B63"/>
    <w:rsid w:val="001871B2"/>
    <w:rsid w:val="0019021E"/>
    <w:rsid w:val="00190D5D"/>
    <w:rsid w:val="001911CC"/>
    <w:rsid w:val="00191ACE"/>
    <w:rsid w:val="00193202"/>
    <w:rsid w:val="00193909"/>
    <w:rsid w:val="00196EF5"/>
    <w:rsid w:val="00197DA4"/>
    <w:rsid w:val="001A0542"/>
    <w:rsid w:val="001A05BA"/>
    <w:rsid w:val="001A0F86"/>
    <w:rsid w:val="001A1810"/>
    <w:rsid w:val="001A2131"/>
    <w:rsid w:val="001A2A37"/>
    <w:rsid w:val="001A2FF3"/>
    <w:rsid w:val="001A373A"/>
    <w:rsid w:val="001A4F68"/>
    <w:rsid w:val="001A7913"/>
    <w:rsid w:val="001B3256"/>
    <w:rsid w:val="001B3C02"/>
    <w:rsid w:val="001B5099"/>
    <w:rsid w:val="001B55C5"/>
    <w:rsid w:val="001B6BDC"/>
    <w:rsid w:val="001B6E23"/>
    <w:rsid w:val="001B7E56"/>
    <w:rsid w:val="001C085B"/>
    <w:rsid w:val="001C0C3F"/>
    <w:rsid w:val="001C1A2F"/>
    <w:rsid w:val="001C1CAE"/>
    <w:rsid w:val="001C304B"/>
    <w:rsid w:val="001C450F"/>
    <w:rsid w:val="001C51A0"/>
    <w:rsid w:val="001D0631"/>
    <w:rsid w:val="001D064E"/>
    <w:rsid w:val="001D19AB"/>
    <w:rsid w:val="001D54C7"/>
    <w:rsid w:val="001D63C6"/>
    <w:rsid w:val="001E0ACB"/>
    <w:rsid w:val="001E1C02"/>
    <w:rsid w:val="001E3846"/>
    <w:rsid w:val="001E39C4"/>
    <w:rsid w:val="001E5309"/>
    <w:rsid w:val="001E628D"/>
    <w:rsid w:val="001E64BE"/>
    <w:rsid w:val="001F1B46"/>
    <w:rsid w:val="001F1F7D"/>
    <w:rsid w:val="001F20AB"/>
    <w:rsid w:val="001F2CA8"/>
    <w:rsid w:val="001F501F"/>
    <w:rsid w:val="0020054B"/>
    <w:rsid w:val="00201E21"/>
    <w:rsid w:val="00204C2A"/>
    <w:rsid w:val="00205361"/>
    <w:rsid w:val="00212FE4"/>
    <w:rsid w:val="0021442C"/>
    <w:rsid w:val="002155B0"/>
    <w:rsid w:val="00215922"/>
    <w:rsid w:val="00220958"/>
    <w:rsid w:val="00221545"/>
    <w:rsid w:val="00221D2C"/>
    <w:rsid w:val="00222F65"/>
    <w:rsid w:val="00223D0B"/>
    <w:rsid w:val="00225852"/>
    <w:rsid w:val="00225FCB"/>
    <w:rsid w:val="002278E9"/>
    <w:rsid w:val="00231269"/>
    <w:rsid w:val="0023264F"/>
    <w:rsid w:val="00233285"/>
    <w:rsid w:val="0023380E"/>
    <w:rsid w:val="002339A2"/>
    <w:rsid w:val="00233F88"/>
    <w:rsid w:val="00235FB4"/>
    <w:rsid w:val="00236E44"/>
    <w:rsid w:val="002440EB"/>
    <w:rsid w:val="002441D0"/>
    <w:rsid w:val="00244EEF"/>
    <w:rsid w:val="002456F7"/>
    <w:rsid w:val="00250629"/>
    <w:rsid w:val="00251066"/>
    <w:rsid w:val="00251C63"/>
    <w:rsid w:val="002529ED"/>
    <w:rsid w:val="0025386B"/>
    <w:rsid w:val="002556CA"/>
    <w:rsid w:val="00255E4E"/>
    <w:rsid w:val="00256193"/>
    <w:rsid w:val="00257AA8"/>
    <w:rsid w:val="0026164E"/>
    <w:rsid w:val="0026271B"/>
    <w:rsid w:val="002629E7"/>
    <w:rsid w:val="002657BB"/>
    <w:rsid w:val="0026683E"/>
    <w:rsid w:val="00267A6D"/>
    <w:rsid w:val="00275D75"/>
    <w:rsid w:val="00276F2E"/>
    <w:rsid w:val="0027702B"/>
    <w:rsid w:val="00277C3C"/>
    <w:rsid w:val="00277F70"/>
    <w:rsid w:val="002817BA"/>
    <w:rsid w:val="00281EF2"/>
    <w:rsid w:val="00283308"/>
    <w:rsid w:val="002856DC"/>
    <w:rsid w:val="0028632C"/>
    <w:rsid w:val="00286DC8"/>
    <w:rsid w:val="00290007"/>
    <w:rsid w:val="00290C42"/>
    <w:rsid w:val="00291A1A"/>
    <w:rsid w:val="002937C6"/>
    <w:rsid w:val="00293DE5"/>
    <w:rsid w:val="00295078"/>
    <w:rsid w:val="00295C72"/>
    <w:rsid w:val="00295DE7"/>
    <w:rsid w:val="00297AB0"/>
    <w:rsid w:val="002A0448"/>
    <w:rsid w:val="002A3A7A"/>
    <w:rsid w:val="002A43B0"/>
    <w:rsid w:val="002A57B5"/>
    <w:rsid w:val="002A5EA5"/>
    <w:rsid w:val="002A68A9"/>
    <w:rsid w:val="002A6C8E"/>
    <w:rsid w:val="002A6CC7"/>
    <w:rsid w:val="002B092D"/>
    <w:rsid w:val="002B0A1D"/>
    <w:rsid w:val="002B0EF8"/>
    <w:rsid w:val="002B1708"/>
    <w:rsid w:val="002B1E97"/>
    <w:rsid w:val="002B393B"/>
    <w:rsid w:val="002B45EF"/>
    <w:rsid w:val="002B4950"/>
    <w:rsid w:val="002B58B2"/>
    <w:rsid w:val="002B62AF"/>
    <w:rsid w:val="002B7622"/>
    <w:rsid w:val="002C0C63"/>
    <w:rsid w:val="002C0F55"/>
    <w:rsid w:val="002C0F5C"/>
    <w:rsid w:val="002C4011"/>
    <w:rsid w:val="002C4537"/>
    <w:rsid w:val="002C4BC2"/>
    <w:rsid w:val="002C4EBB"/>
    <w:rsid w:val="002C4F45"/>
    <w:rsid w:val="002C6154"/>
    <w:rsid w:val="002C77E4"/>
    <w:rsid w:val="002C7992"/>
    <w:rsid w:val="002D07B6"/>
    <w:rsid w:val="002D2486"/>
    <w:rsid w:val="002D46BF"/>
    <w:rsid w:val="002D508B"/>
    <w:rsid w:val="002D5B89"/>
    <w:rsid w:val="002E0416"/>
    <w:rsid w:val="002E1D63"/>
    <w:rsid w:val="002E4EC0"/>
    <w:rsid w:val="002E5744"/>
    <w:rsid w:val="002E6172"/>
    <w:rsid w:val="002E6B74"/>
    <w:rsid w:val="002F1C4D"/>
    <w:rsid w:val="002F2653"/>
    <w:rsid w:val="002F2FB4"/>
    <w:rsid w:val="002F3A84"/>
    <w:rsid w:val="002F3B79"/>
    <w:rsid w:val="002F411A"/>
    <w:rsid w:val="002F5A90"/>
    <w:rsid w:val="002F700E"/>
    <w:rsid w:val="002F78E8"/>
    <w:rsid w:val="003002F7"/>
    <w:rsid w:val="003003CF"/>
    <w:rsid w:val="00302787"/>
    <w:rsid w:val="00302C06"/>
    <w:rsid w:val="00302FBC"/>
    <w:rsid w:val="00304A3A"/>
    <w:rsid w:val="00305480"/>
    <w:rsid w:val="00306B09"/>
    <w:rsid w:val="00306D3D"/>
    <w:rsid w:val="0030711C"/>
    <w:rsid w:val="00307186"/>
    <w:rsid w:val="00307275"/>
    <w:rsid w:val="00307FEB"/>
    <w:rsid w:val="0031046F"/>
    <w:rsid w:val="0031090D"/>
    <w:rsid w:val="003131E0"/>
    <w:rsid w:val="00313AFB"/>
    <w:rsid w:val="00314023"/>
    <w:rsid w:val="00314587"/>
    <w:rsid w:val="003156AE"/>
    <w:rsid w:val="00315891"/>
    <w:rsid w:val="00316240"/>
    <w:rsid w:val="00321D72"/>
    <w:rsid w:val="00322AE2"/>
    <w:rsid w:val="00323623"/>
    <w:rsid w:val="00323995"/>
    <w:rsid w:val="00323CFF"/>
    <w:rsid w:val="00325130"/>
    <w:rsid w:val="00326876"/>
    <w:rsid w:val="00326DF2"/>
    <w:rsid w:val="00327357"/>
    <w:rsid w:val="0033030C"/>
    <w:rsid w:val="003339C3"/>
    <w:rsid w:val="00333C7C"/>
    <w:rsid w:val="003349F4"/>
    <w:rsid w:val="00335047"/>
    <w:rsid w:val="0033544E"/>
    <w:rsid w:val="003404F0"/>
    <w:rsid w:val="00340B86"/>
    <w:rsid w:val="0034164E"/>
    <w:rsid w:val="00342AE7"/>
    <w:rsid w:val="00345425"/>
    <w:rsid w:val="00345D3E"/>
    <w:rsid w:val="00347274"/>
    <w:rsid w:val="00347F1F"/>
    <w:rsid w:val="00351CB7"/>
    <w:rsid w:val="00352FCD"/>
    <w:rsid w:val="003537DE"/>
    <w:rsid w:val="0035401A"/>
    <w:rsid w:val="003541CA"/>
    <w:rsid w:val="003543B2"/>
    <w:rsid w:val="003555AA"/>
    <w:rsid w:val="003557C1"/>
    <w:rsid w:val="00355B75"/>
    <w:rsid w:val="0035716F"/>
    <w:rsid w:val="0036086E"/>
    <w:rsid w:val="00361B13"/>
    <w:rsid w:val="003633DD"/>
    <w:rsid w:val="003655C3"/>
    <w:rsid w:val="00365AA7"/>
    <w:rsid w:val="00366C6B"/>
    <w:rsid w:val="00367CE5"/>
    <w:rsid w:val="0037225D"/>
    <w:rsid w:val="003729E8"/>
    <w:rsid w:val="00374C7D"/>
    <w:rsid w:val="00374F4D"/>
    <w:rsid w:val="003756E8"/>
    <w:rsid w:val="00375BB0"/>
    <w:rsid w:val="00377B34"/>
    <w:rsid w:val="00382014"/>
    <w:rsid w:val="003868B7"/>
    <w:rsid w:val="003A11DD"/>
    <w:rsid w:val="003A1869"/>
    <w:rsid w:val="003A19EE"/>
    <w:rsid w:val="003A2B96"/>
    <w:rsid w:val="003A5891"/>
    <w:rsid w:val="003A5A6E"/>
    <w:rsid w:val="003A6186"/>
    <w:rsid w:val="003A7A6D"/>
    <w:rsid w:val="003A7E31"/>
    <w:rsid w:val="003B62A2"/>
    <w:rsid w:val="003B6A7C"/>
    <w:rsid w:val="003B72E9"/>
    <w:rsid w:val="003C4A79"/>
    <w:rsid w:val="003C5460"/>
    <w:rsid w:val="003C55F5"/>
    <w:rsid w:val="003C5A54"/>
    <w:rsid w:val="003D1883"/>
    <w:rsid w:val="003D18A4"/>
    <w:rsid w:val="003D1ED1"/>
    <w:rsid w:val="003D489B"/>
    <w:rsid w:val="003D48A3"/>
    <w:rsid w:val="003D61B0"/>
    <w:rsid w:val="003E0711"/>
    <w:rsid w:val="003E0A67"/>
    <w:rsid w:val="003E0BFB"/>
    <w:rsid w:val="003E5DB7"/>
    <w:rsid w:val="003E5F18"/>
    <w:rsid w:val="003E6D0E"/>
    <w:rsid w:val="003F09F0"/>
    <w:rsid w:val="003F2BA9"/>
    <w:rsid w:val="003F2D82"/>
    <w:rsid w:val="003F3041"/>
    <w:rsid w:val="003F3A6C"/>
    <w:rsid w:val="003F52C2"/>
    <w:rsid w:val="003F58C3"/>
    <w:rsid w:val="003F5CBA"/>
    <w:rsid w:val="003F61FF"/>
    <w:rsid w:val="003F733C"/>
    <w:rsid w:val="003F7346"/>
    <w:rsid w:val="0040233B"/>
    <w:rsid w:val="00404666"/>
    <w:rsid w:val="004053FB"/>
    <w:rsid w:val="00405797"/>
    <w:rsid w:val="00405A99"/>
    <w:rsid w:val="00410650"/>
    <w:rsid w:val="004106C1"/>
    <w:rsid w:val="004126F7"/>
    <w:rsid w:val="004140B9"/>
    <w:rsid w:val="00414AE6"/>
    <w:rsid w:val="00414EE8"/>
    <w:rsid w:val="00415F1B"/>
    <w:rsid w:val="0042006D"/>
    <w:rsid w:val="00422D12"/>
    <w:rsid w:val="00422DF8"/>
    <w:rsid w:val="0042327C"/>
    <w:rsid w:val="00423786"/>
    <w:rsid w:val="00423D1D"/>
    <w:rsid w:val="00424241"/>
    <w:rsid w:val="00425620"/>
    <w:rsid w:val="00430B4B"/>
    <w:rsid w:val="00431E02"/>
    <w:rsid w:val="0043317E"/>
    <w:rsid w:val="00433345"/>
    <w:rsid w:val="00434033"/>
    <w:rsid w:val="00434264"/>
    <w:rsid w:val="0043442A"/>
    <w:rsid w:val="00436503"/>
    <w:rsid w:val="0043669C"/>
    <w:rsid w:val="0043670A"/>
    <w:rsid w:val="00437337"/>
    <w:rsid w:val="00437C7B"/>
    <w:rsid w:val="00437D10"/>
    <w:rsid w:val="00441BF3"/>
    <w:rsid w:val="00442357"/>
    <w:rsid w:val="004436ED"/>
    <w:rsid w:val="00443FE0"/>
    <w:rsid w:val="004440AC"/>
    <w:rsid w:val="004443A2"/>
    <w:rsid w:val="0044440A"/>
    <w:rsid w:val="00444919"/>
    <w:rsid w:val="0044547C"/>
    <w:rsid w:val="00446BB3"/>
    <w:rsid w:val="00446C36"/>
    <w:rsid w:val="00450869"/>
    <w:rsid w:val="00450F57"/>
    <w:rsid w:val="00451E4C"/>
    <w:rsid w:val="00451F5B"/>
    <w:rsid w:val="00453028"/>
    <w:rsid w:val="00453918"/>
    <w:rsid w:val="00455768"/>
    <w:rsid w:val="00456E2C"/>
    <w:rsid w:val="00457077"/>
    <w:rsid w:val="00457FC7"/>
    <w:rsid w:val="00461796"/>
    <w:rsid w:val="00461A0A"/>
    <w:rsid w:val="00461B3D"/>
    <w:rsid w:val="00462197"/>
    <w:rsid w:val="00462417"/>
    <w:rsid w:val="004645F5"/>
    <w:rsid w:val="00464624"/>
    <w:rsid w:val="00465E62"/>
    <w:rsid w:val="0046692B"/>
    <w:rsid w:val="00466B89"/>
    <w:rsid w:val="00467700"/>
    <w:rsid w:val="004677F9"/>
    <w:rsid w:val="004716B0"/>
    <w:rsid w:val="004716C4"/>
    <w:rsid w:val="00472460"/>
    <w:rsid w:val="00476133"/>
    <w:rsid w:val="004763B5"/>
    <w:rsid w:val="00476A24"/>
    <w:rsid w:val="0047775E"/>
    <w:rsid w:val="00482683"/>
    <w:rsid w:val="00482731"/>
    <w:rsid w:val="0048286C"/>
    <w:rsid w:val="00483A0F"/>
    <w:rsid w:val="00484625"/>
    <w:rsid w:val="0048589D"/>
    <w:rsid w:val="004879E2"/>
    <w:rsid w:val="00487F15"/>
    <w:rsid w:val="004912A0"/>
    <w:rsid w:val="004928DE"/>
    <w:rsid w:val="00493E2F"/>
    <w:rsid w:val="00494CB5"/>
    <w:rsid w:val="004954D8"/>
    <w:rsid w:val="0049576C"/>
    <w:rsid w:val="004A0EA8"/>
    <w:rsid w:val="004A14D9"/>
    <w:rsid w:val="004A21F6"/>
    <w:rsid w:val="004A4B61"/>
    <w:rsid w:val="004A6EFE"/>
    <w:rsid w:val="004A79C5"/>
    <w:rsid w:val="004B1858"/>
    <w:rsid w:val="004B2540"/>
    <w:rsid w:val="004B3D11"/>
    <w:rsid w:val="004B455B"/>
    <w:rsid w:val="004B58C3"/>
    <w:rsid w:val="004B5E7B"/>
    <w:rsid w:val="004B675F"/>
    <w:rsid w:val="004B72C5"/>
    <w:rsid w:val="004B7A1B"/>
    <w:rsid w:val="004C08BF"/>
    <w:rsid w:val="004C3804"/>
    <w:rsid w:val="004C3F96"/>
    <w:rsid w:val="004C45A2"/>
    <w:rsid w:val="004C56DE"/>
    <w:rsid w:val="004C7629"/>
    <w:rsid w:val="004C7701"/>
    <w:rsid w:val="004D088F"/>
    <w:rsid w:val="004D0A26"/>
    <w:rsid w:val="004D0EE4"/>
    <w:rsid w:val="004D482C"/>
    <w:rsid w:val="004D5AC0"/>
    <w:rsid w:val="004D5FEF"/>
    <w:rsid w:val="004D764F"/>
    <w:rsid w:val="004E1EBF"/>
    <w:rsid w:val="004E27AD"/>
    <w:rsid w:val="004E37B6"/>
    <w:rsid w:val="004E3867"/>
    <w:rsid w:val="004E4987"/>
    <w:rsid w:val="004E585B"/>
    <w:rsid w:val="004F227C"/>
    <w:rsid w:val="004F2CC0"/>
    <w:rsid w:val="004F3B64"/>
    <w:rsid w:val="004F5243"/>
    <w:rsid w:val="004F55EC"/>
    <w:rsid w:val="00501721"/>
    <w:rsid w:val="00503053"/>
    <w:rsid w:val="00505B26"/>
    <w:rsid w:val="0050606E"/>
    <w:rsid w:val="00507449"/>
    <w:rsid w:val="00511092"/>
    <w:rsid w:val="00511602"/>
    <w:rsid w:val="005119CD"/>
    <w:rsid w:val="005139AD"/>
    <w:rsid w:val="005164B6"/>
    <w:rsid w:val="00516E6A"/>
    <w:rsid w:val="005206C8"/>
    <w:rsid w:val="005218EA"/>
    <w:rsid w:val="00521EE1"/>
    <w:rsid w:val="00523390"/>
    <w:rsid w:val="00523435"/>
    <w:rsid w:val="0052414D"/>
    <w:rsid w:val="00525A5B"/>
    <w:rsid w:val="0052638D"/>
    <w:rsid w:val="0053002A"/>
    <w:rsid w:val="00531ABD"/>
    <w:rsid w:val="00535560"/>
    <w:rsid w:val="00541397"/>
    <w:rsid w:val="005413A9"/>
    <w:rsid w:val="00542306"/>
    <w:rsid w:val="00542D8A"/>
    <w:rsid w:val="00544117"/>
    <w:rsid w:val="005445E7"/>
    <w:rsid w:val="00544E0A"/>
    <w:rsid w:val="00547228"/>
    <w:rsid w:val="00551BA4"/>
    <w:rsid w:val="00552D59"/>
    <w:rsid w:val="00555595"/>
    <w:rsid w:val="005556E4"/>
    <w:rsid w:val="00557314"/>
    <w:rsid w:val="00561158"/>
    <w:rsid w:val="005624EC"/>
    <w:rsid w:val="0056316F"/>
    <w:rsid w:val="00564711"/>
    <w:rsid w:val="00565483"/>
    <w:rsid w:val="0056588E"/>
    <w:rsid w:val="00567401"/>
    <w:rsid w:val="00567B04"/>
    <w:rsid w:val="00571391"/>
    <w:rsid w:val="00571F2C"/>
    <w:rsid w:val="00573949"/>
    <w:rsid w:val="00573ECF"/>
    <w:rsid w:val="00577287"/>
    <w:rsid w:val="00577553"/>
    <w:rsid w:val="005777E0"/>
    <w:rsid w:val="0058269D"/>
    <w:rsid w:val="0058439D"/>
    <w:rsid w:val="00585149"/>
    <w:rsid w:val="00585C24"/>
    <w:rsid w:val="0058743A"/>
    <w:rsid w:val="005875A9"/>
    <w:rsid w:val="005921E5"/>
    <w:rsid w:val="00592755"/>
    <w:rsid w:val="00593DB7"/>
    <w:rsid w:val="00594366"/>
    <w:rsid w:val="00594BC5"/>
    <w:rsid w:val="005954E9"/>
    <w:rsid w:val="005A0040"/>
    <w:rsid w:val="005A119B"/>
    <w:rsid w:val="005A1207"/>
    <w:rsid w:val="005A232E"/>
    <w:rsid w:val="005A6845"/>
    <w:rsid w:val="005A72F3"/>
    <w:rsid w:val="005A7C3F"/>
    <w:rsid w:val="005B087C"/>
    <w:rsid w:val="005B112F"/>
    <w:rsid w:val="005B1FED"/>
    <w:rsid w:val="005B570A"/>
    <w:rsid w:val="005B6938"/>
    <w:rsid w:val="005B6F32"/>
    <w:rsid w:val="005B7350"/>
    <w:rsid w:val="005C0D89"/>
    <w:rsid w:val="005C5799"/>
    <w:rsid w:val="005C5929"/>
    <w:rsid w:val="005D1DF5"/>
    <w:rsid w:val="005D45A0"/>
    <w:rsid w:val="005D6415"/>
    <w:rsid w:val="005D7248"/>
    <w:rsid w:val="005E0300"/>
    <w:rsid w:val="005E15A3"/>
    <w:rsid w:val="005E35A0"/>
    <w:rsid w:val="005E4A3D"/>
    <w:rsid w:val="005E4F05"/>
    <w:rsid w:val="005E5859"/>
    <w:rsid w:val="005E5DC1"/>
    <w:rsid w:val="005E67EC"/>
    <w:rsid w:val="005F178D"/>
    <w:rsid w:val="005F2060"/>
    <w:rsid w:val="005F4C5D"/>
    <w:rsid w:val="005F4DCE"/>
    <w:rsid w:val="005F5725"/>
    <w:rsid w:val="005F6B24"/>
    <w:rsid w:val="00600733"/>
    <w:rsid w:val="006010BF"/>
    <w:rsid w:val="00601296"/>
    <w:rsid w:val="00601B42"/>
    <w:rsid w:val="006031FE"/>
    <w:rsid w:val="00603E10"/>
    <w:rsid w:val="006047FC"/>
    <w:rsid w:val="006048D2"/>
    <w:rsid w:val="00605233"/>
    <w:rsid w:val="006077EB"/>
    <w:rsid w:val="006079C9"/>
    <w:rsid w:val="006100A1"/>
    <w:rsid w:val="006104BE"/>
    <w:rsid w:val="00611F9E"/>
    <w:rsid w:val="00615A0C"/>
    <w:rsid w:val="0061663A"/>
    <w:rsid w:val="00623DDC"/>
    <w:rsid w:val="00623EA3"/>
    <w:rsid w:val="00624BDB"/>
    <w:rsid w:val="00625AFD"/>
    <w:rsid w:val="00625E1B"/>
    <w:rsid w:val="00627B5D"/>
    <w:rsid w:val="006302FD"/>
    <w:rsid w:val="0063118F"/>
    <w:rsid w:val="00631C13"/>
    <w:rsid w:val="0063373B"/>
    <w:rsid w:val="006338D2"/>
    <w:rsid w:val="00633AB7"/>
    <w:rsid w:val="00634485"/>
    <w:rsid w:val="006345A0"/>
    <w:rsid w:val="006354DC"/>
    <w:rsid w:val="00635EAF"/>
    <w:rsid w:val="00636313"/>
    <w:rsid w:val="00637C16"/>
    <w:rsid w:val="00642353"/>
    <w:rsid w:val="006445D2"/>
    <w:rsid w:val="0064472C"/>
    <w:rsid w:val="00645887"/>
    <w:rsid w:val="0064661F"/>
    <w:rsid w:val="00647094"/>
    <w:rsid w:val="006505D9"/>
    <w:rsid w:val="00653030"/>
    <w:rsid w:val="00655B83"/>
    <w:rsid w:val="00655F33"/>
    <w:rsid w:val="00656C59"/>
    <w:rsid w:val="00660877"/>
    <w:rsid w:val="00663963"/>
    <w:rsid w:val="00666655"/>
    <w:rsid w:val="00666C54"/>
    <w:rsid w:val="00667D3E"/>
    <w:rsid w:val="006742F8"/>
    <w:rsid w:val="006747B5"/>
    <w:rsid w:val="00675974"/>
    <w:rsid w:val="006803E8"/>
    <w:rsid w:val="00682656"/>
    <w:rsid w:val="00683EAC"/>
    <w:rsid w:val="00684EF6"/>
    <w:rsid w:val="00686076"/>
    <w:rsid w:val="00686279"/>
    <w:rsid w:val="00686A8A"/>
    <w:rsid w:val="006870C8"/>
    <w:rsid w:val="006878A4"/>
    <w:rsid w:val="00687A82"/>
    <w:rsid w:val="00692986"/>
    <w:rsid w:val="00694CB5"/>
    <w:rsid w:val="006954F2"/>
    <w:rsid w:val="006957B8"/>
    <w:rsid w:val="006A03CD"/>
    <w:rsid w:val="006A06FE"/>
    <w:rsid w:val="006A42D4"/>
    <w:rsid w:val="006A4E98"/>
    <w:rsid w:val="006A737B"/>
    <w:rsid w:val="006A77F3"/>
    <w:rsid w:val="006A7829"/>
    <w:rsid w:val="006B13A8"/>
    <w:rsid w:val="006B2A9B"/>
    <w:rsid w:val="006B2BA6"/>
    <w:rsid w:val="006B3E26"/>
    <w:rsid w:val="006B432D"/>
    <w:rsid w:val="006B4844"/>
    <w:rsid w:val="006B4A50"/>
    <w:rsid w:val="006B4B65"/>
    <w:rsid w:val="006B537E"/>
    <w:rsid w:val="006B645C"/>
    <w:rsid w:val="006C1330"/>
    <w:rsid w:val="006C1711"/>
    <w:rsid w:val="006C24A5"/>
    <w:rsid w:val="006C24CD"/>
    <w:rsid w:val="006C3292"/>
    <w:rsid w:val="006C60B5"/>
    <w:rsid w:val="006C7D68"/>
    <w:rsid w:val="006D16CB"/>
    <w:rsid w:val="006D1A5E"/>
    <w:rsid w:val="006D25FC"/>
    <w:rsid w:val="006D3F2C"/>
    <w:rsid w:val="006D64F9"/>
    <w:rsid w:val="006D7A2C"/>
    <w:rsid w:val="006E13E8"/>
    <w:rsid w:val="006E1421"/>
    <w:rsid w:val="006E34B6"/>
    <w:rsid w:val="006E4973"/>
    <w:rsid w:val="006E5FB5"/>
    <w:rsid w:val="006E6278"/>
    <w:rsid w:val="006E6389"/>
    <w:rsid w:val="006E65F1"/>
    <w:rsid w:val="006E662E"/>
    <w:rsid w:val="006E69AA"/>
    <w:rsid w:val="006E6E24"/>
    <w:rsid w:val="006F0473"/>
    <w:rsid w:val="006F1C74"/>
    <w:rsid w:val="006F30F8"/>
    <w:rsid w:val="006F3144"/>
    <w:rsid w:val="006F3CA9"/>
    <w:rsid w:val="006F5B9E"/>
    <w:rsid w:val="006F6E1B"/>
    <w:rsid w:val="006F733F"/>
    <w:rsid w:val="00700C41"/>
    <w:rsid w:val="00700D26"/>
    <w:rsid w:val="00702B26"/>
    <w:rsid w:val="00702CB3"/>
    <w:rsid w:val="00703E92"/>
    <w:rsid w:val="007061DF"/>
    <w:rsid w:val="007112A9"/>
    <w:rsid w:val="00711B09"/>
    <w:rsid w:val="00711C22"/>
    <w:rsid w:val="00712516"/>
    <w:rsid w:val="007137B9"/>
    <w:rsid w:val="0071646D"/>
    <w:rsid w:val="00716CE1"/>
    <w:rsid w:val="00720682"/>
    <w:rsid w:val="0072562F"/>
    <w:rsid w:val="00726FA5"/>
    <w:rsid w:val="00730313"/>
    <w:rsid w:val="00730BC4"/>
    <w:rsid w:val="00731D9B"/>
    <w:rsid w:val="00731F23"/>
    <w:rsid w:val="00732AE5"/>
    <w:rsid w:val="00733CB7"/>
    <w:rsid w:val="00734A8B"/>
    <w:rsid w:val="00735210"/>
    <w:rsid w:val="00735B0D"/>
    <w:rsid w:val="00736C06"/>
    <w:rsid w:val="007401BB"/>
    <w:rsid w:val="00740BCB"/>
    <w:rsid w:val="00740E5C"/>
    <w:rsid w:val="00741FEA"/>
    <w:rsid w:val="0074244D"/>
    <w:rsid w:val="007446D8"/>
    <w:rsid w:val="00744736"/>
    <w:rsid w:val="00745E5B"/>
    <w:rsid w:val="00750F05"/>
    <w:rsid w:val="00751311"/>
    <w:rsid w:val="00751E19"/>
    <w:rsid w:val="0075239A"/>
    <w:rsid w:val="007523EF"/>
    <w:rsid w:val="007545EA"/>
    <w:rsid w:val="00754FAC"/>
    <w:rsid w:val="00755299"/>
    <w:rsid w:val="00755944"/>
    <w:rsid w:val="00757444"/>
    <w:rsid w:val="00757D2A"/>
    <w:rsid w:val="00757F23"/>
    <w:rsid w:val="00764B6A"/>
    <w:rsid w:val="00766B6B"/>
    <w:rsid w:val="00767857"/>
    <w:rsid w:val="00767912"/>
    <w:rsid w:val="00770E29"/>
    <w:rsid w:val="0077203A"/>
    <w:rsid w:val="0077266E"/>
    <w:rsid w:val="00773601"/>
    <w:rsid w:val="00773EA1"/>
    <w:rsid w:val="007753ED"/>
    <w:rsid w:val="00775CB2"/>
    <w:rsid w:val="0077689F"/>
    <w:rsid w:val="00782DD9"/>
    <w:rsid w:val="007830E3"/>
    <w:rsid w:val="00783270"/>
    <w:rsid w:val="00787DB5"/>
    <w:rsid w:val="0079361A"/>
    <w:rsid w:val="00794305"/>
    <w:rsid w:val="007A02EB"/>
    <w:rsid w:val="007A11F1"/>
    <w:rsid w:val="007A35F6"/>
    <w:rsid w:val="007A4E83"/>
    <w:rsid w:val="007A5F1A"/>
    <w:rsid w:val="007A7693"/>
    <w:rsid w:val="007B5B76"/>
    <w:rsid w:val="007B7166"/>
    <w:rsid w:val="007B755C"/>
    <w:rsid w:val="007C025F"/>
    <w:rsid w:val="007C09AA"/>
    <w:rsid w:val="007C0AFD"/>
    <w:rsid w:val="007C20AF"/>
    <w:rsid w:val="007C37F3"/>
    <w:rsid w:val="007C3D29"/>
    <w:rsid w:val="007C3E67"/>
    <w:rsid w:val="007C52B5"/>
    <w:rsid w:val="007C6783"/>
    <w:rsid w:val="007C6937"/>
    <w:rsid w:val="007C6A1C"/>
    <w:rsid w:val="007C7E5A"/>
    <w:rsid w:val="007D0C6E"/>
    <w:rsid w:val="007D112D"/>
    <w:rsid w:val="007D1598"/>
    <w:rsid w:val="007D336B"/>
    <w:rsid w:val="007D5B23"/>
    <w:rsid w:val="007D72CF"/>
    <w:rsid w:val="007D7334"/>
    <w:rsid w:val="007E07A7"/>
    <w:rsid w:val="007E24F8"/>
    <w:rsid w:val="007E3963"/>
    <w:rsid w:val="007E64E0"/>
    <w:rsid w:val="007E6A21"/>
    <w:rsid w:val="007F18A3"/>
    <w:rsid w:val="007F36DE"/>
    <w:rsid w:val="007F528B"/>
    <w:rsid w:val="007F5E7A"/>
    <w:rsid w:val="007F61DA"/>
    <w:rsid w:val="007F62D5"/>
    <w:rsid w:val="007F6BF7"/>
    <w:rsid w:val="007F7203"/>
    <w:rsid w:val="007F7866"/>
    <w:rsid w:val="00800061"/>
    <w:rsid w:val="00800475"/>
    <w:rsid w:val="00800DDC"/>
    <w:rsid w:val="00801983"/>
    <w:rsid w:val="00801D34"/>
    <w:rsid w:val="00804137"/>
    <w:rsid w:val="00805A48"/>
    <w:rsid w:val="008063E2"/>
    <w:rsid w:val="00806A83"/>
    <w:rsid w:val="00807739"/>
    <w:rsid w:val="0080791A"/>
    <w:rsid w:val="008100C2"/>
    <w:rsid w:val="00810A48"/>
    <w:rsid w:val="008111E2"/>
    <w:rsid w:val="00811637"/>
    <w:rsid w:val="00814930"/>
    <w:rsid w:val="00815752"/>
    <w:rsid w:val="008207CA"/>
    <w:rsid w:val="00821F5D"/>
    <w:rsid w:val="008223A5"/>
    <w:rsid w:val="008228A2"/>
    <w:rsid w:val="008235DE"/>
    <w:rsid w:val="008254D3"/>
    <w:rsid w:val="00825CA4"/>
    <w:rsid w:val="00832DF8"/>
    <w:rsid w:val="008331EF"/>
    <w:rsid w:val="00833271"/>
    <w:rsid w:val="0083402A"/>
    <w:rsid w:val="00834C20"/>
    <w:rsid w:val="00835546"/>
    <w:rsid w:val="00835741"/>
    <w:rsid w:val="008367D9"/>
    <w:rsid w:val="00836AD8"/>
    <w:rsid w:val="00837520"/>
    <w:rsid w:val="00840982"/>
    <w:rsid w:val="00841B13"/>
    <w:rsid w:val="008422A0"/>
    <w:rsid w:val="0084270E"/>
    <w:rsid w:val="00842C37"/>
    <w:rsid w:val="008437F2"/>
    <w:rsid w:val="00843C46"/>
    <w:rsid w:val="008442E6"/>
    <w:rsid w:val="008460AE"/>
    <w:rsid w:val="00846E76"/>
    <w:rsid w:val="00850491"/>
    <w:rsid w:val="00851F8C"/>
    <w:rsid w:val="00852A38"/>
    <w:rsid w:val="008531B2"/>
    <w:rsid w:val="008540B4"/>
    <w:rsid w:val="0085526B"/>
    <w:rsid w:val="00856585"/>
    <w:rsid w:val="00856A62"/>
    <w:rsid w:val="00856F7A"/>
    <w:rsid w:val="00857279"/>
    <w:rsid w:val="0085736B"/>
    <w:rsid w:val="00857B52"/>
    <w:rsid w:val="00861B32"/>
    <w:rsid w:val="00861DD8"/>
    <w:rsid w:val="008665F8"/>
    <w:rsid w:val="00867C9A"/>
    <w:rsid w:val="008701A1"/>
    <w:rsid w:val="008718F3"/>
    <w:rsid w:val="0087246B"/>
    <w:rsid w:val="00872D3B"/>
    <w:rsid w:val="00873B3E"/>
    <w:rsid w:val="00874685"/>
    <w:rsid w:val="00874DC9"/>
    <w:rsid w:val="008750C8"/>
    <w:rsid w:val="0087561C"/>
    <w:rsid w:val="00876615"/>
    <w:rsid w:val="0088137B"/>
    <w:rsid w:val="00882131"/>
    <w:rsid w:val="008846F1"/>
    <w:rsid w:val="0088510A"/>
    <w:rsid w:val="00885CAF"/>
    <w:rsid w:val="00885CB3"/>
    <w:rsid w:val="008860BB"/>
    <w:rsid w:val="00886BFC"/>
    <w:rsid w:val="00887493"/>
    <w:rsid w:val="008900BC"/>
    <w:rsid w:val="0089164B"/>
    <w:rsid w:val="00891989"/>
    <w:rsid w:val="00892AFC"/>
    <w:rsid w:val="0089436A"/>
    <w:rsid w:val="00895C62"/>
    <w:rsid w:val="00896B0F"/>
    <w:rsid w:val="00897A56"/>
    <w:rsid w:val="008A0C05"/>
    <w:rsid w:val="008A0CFD"/>
    <w:rsid w:val="008A2018"/>
    <w:rsid w:val="008A2EE5"/>
    <w:rsid w:val="008A4197"/>
    <w:rsid w:val="008A42B0"/>
    <w:rsid w:val="008A446F"/>
    <w:rsid w:val="008A4982"/>
    <w:rsid w:val="008A6085"/>
    <w:rsid w:val="008A663F"/>
    <w:rsid w:val="008A7CAC"/>
    <w:rsid w:val="008B0803"/>
    <w:rsid w:val="008B1273"/>
    <w:rsid w:val="008B2258"/>
    <w:rsid w:val="008B36C5"/>
    <w:rsid w:val="008B542E"/>
    <w:rsid w:val="008B590E"/>
    <w:rsid w:val="008B5BE2"/>
    <w:rsid w:val="008C04B3"/>
    <w:rsid w:val="008C0694"/>
    <w:rsid w:val="008C06D5"/>
    <w:rsid w:val="008C3158"/>
    <w:rsid w:val="008C3963"/>
    <w:rsid w:val="008C4CFE"/>
    <w:rsid w:val="008D033C"/>
    <w:rsid w:val="008D0B33"/>
    <w:rsid w:val="008D0B48"/>
    <w:rsid w:val="008D0D25"/>
    <w:rsid w:val="008D1526"/>
    <w:rsid w:val="008D2273"/>
    <w:rsid w:val="008D38EE"/>
    <w:rsid w:val="008D4B2A"/>
    <w:rsid w:val="008D6D78"/>
    <w:rsid w:val="008D75E7"/>
    <w:rsid w:val="008E0844"/>
    <w:rsid w:val="008E094D"/>
    <w:rsid w:val="008E0C11"/>
    <w:rsid w:val="008E0D1B"/>
    <w:rsid w:val="008E176A"/>
    <w:rsid w:val="008E2822"/>
    <w:rsid w:val="008E2982"/>
    <w:rsid w:val="008E4713"/>
    <w:rsid w:val="008E4F15"/>
    <w:rsid w:val="008E5BC1"/>
    <w:rsid w:val="008E7698"/>
    <w:rsid w:val="008E7D11"/>
    <w:rsid w:val="008E7D60"/>
    <w:rsid w:val="008F0F17"/>
    <w:rsid w:val="008F10DA"/>
    <w:rsid w:val="008F148D"/>
    <w:rsid w:val="008F355E"/>
    <w:rsid w:val="008F4C62"/>
    <w:rsid w:val="008F4DF0"/>
    <w:rsid w:val="008F5E3B"/>
    <w:rsid w:val="008F6B38"/>
    <w:rsid w:val="008F7D25"/>
    <w:rsid w:val="00900226"/>
    <w:rsid w:val="00900C8D"/>
    <w:rsid w:val="009012C6"/>
    <w:rsid w:val="00902A1D"/>
    <w:rsid w:val="0090362D"/>
    <w:rsid w:val="009039C9"/>
    <w:rsid w:val="00903ED1"/>
    <w:rsid w:val="00905288"/>
    <w:rsid w:val="009052E1"/>
    <w:rsid w:val="00905A0D"/>
    <w:rsid w:val="0090665D"/>
    <w:rsid w:val="00907CE7"/>
    <w:rsid w:val="00911559"/>
    <w:rsid w:val="00913103"/>
    <w:rsid w:val="0091329D"/>
    <w:rsid w:val="00914B34"/>
    <w:rsid w:val="00914FDF"/>
    <w:rsid w:val="0091599A"/>
    <w:rsid w:val="00917C1B"/>
    <w:rsid w:val="00917EB1"/>
    <w:rsid w:val="00921109"/>
    <w:rsid w:val="00921436"/>
    <w:rsid w:val="009239BB"/>
    <w:rsid w:val="0092433B"/>
    <w:rsid w:val="00926B57"/>
    <w:rsid w:val="00930F79"/>
    <w:rsid w:val="00931916"/>
    <w:rsid w:val="00931EF0"/>
    <w:rsid w:val="00932CFF"/>
    <w:rsid w:val="00932F08"/>
    <w:rsid w:val="00932FB2"/>
    <w:rsid w:val="00935A0D"/>
    <w:rsid w:val="00936419"/>
    <w:rsid w:val="00937737"/>
    <w:rsid w:val="00940FFE"/>
    <w:rsid w:val="009411A0"/>
    <w:rsid w:val="00943B74"/>
    <w:rsid w:val="0094486F"/>
    <w:rsid w:val="00944CA2"/>
    <w:rsid w:val="009458C7"/>
    <w:rsid w:val="0094714C"/>
    <w:rsid w:val="009472B3"/>
    <w:rsid w:val="00947905"/>
    <w:rsid w:val="00947F35"/>
    <w:rsid w:val="009500DD"/>
    <w:rsid w:val="009511BB"/>
    <w:rsid w:val="00951598"/>
    <w:rsid w:val="00951D69"/>
    <w:rsid w:val="00952919"/>
    <w:rsid w:val="009564BB"/>
    <w:rsid w:val="009573BD"/>
    <w:rsid w:val="0096079C"/>
    <w:rsid w:val="0096089C"/>
    <w:rsid w:val="0096146C"/>
    <w:rsid w:val="00961914"/>
    <w:rsid w:val="00962E4E"/>
    <w:rsid w:val="00963A4D"/>
    <w:rsid w:val="00964E79"/>
    <w:rsid w:val="00964F37"/>
    <w:rsid w:val="0096576D"/>
    <w:rsid w:val="00966C2B"/>
    <w:rsid w:val="00967C2E"/>
    <w:rsid w:val="00971134"/>
    <w:rsid w:val="009737A5"/>
    <w:rsid w:val="0097398E"/>
    <w:rsid w:val="00974437"/>
    <w:rsid w:val="00974C38"/>
    <w:rsid w:val="00975A2A"/>
    <w:rsid w:val="00975D23"/>
    <w:rsid w:val="00975EB9"/>
    <w:rsid w:val="009763B8"/>
    <w:rsid w:val="00977454"/>
    <w:rsid w:val="00981F51"/>
    <w:rsid w:val="009837CB"/>
    <w:rsid w:val="009858EF"/>
    <w:rsid w:val="009873A0"/>
    <w:rsid w:val="0099075B"/>
    <w:rsid w:val="00990E7A"/>
    <w:rsid w:val="00991EC7"/>
    <w:rsid w:val="00992009"/>
    <w:rsid w:val="009925EC"/>
    <w:rsid w:val="009969DF"/>
    <w:rsid w:val="009A00BC"/>
    <w:rsid w:val="009A07EA"/>
    <w:rsid w:val="009A0F6D"/>
    <w:rsid w:val="009A34EE"/>
    <w:rsid w:val="009A3ADA"/>
    <w:rsid w:val="009A4BD3"/>
    <w:rsid w:val="009A52D1"/>
    <w:rsid w:val="009A78A9"/>
    <w:rsid w:val="009A7971"/>
    <w:rsid w:val="009B08DD"/>
    <w:rsid w:val="009B167F"/>
    <w:rsid w:val="009B270E"/>
    <w:rsid w:val="009B299F"/>
    <w:rsid w:val="009B29BB"/>
    <w:rsid w:val="009B3BD2"/>
    <w:rsid w:val="009B5319"/>
    <w:rsid w:val="009B55C4"/>
    <w:rsid w:val="009B6C33"/>
    <w:rsid w:val="009B6C5A"/>
    <w:rsid w:val="009B6EF8"/>
    <w:rsid w:val="009B7B7A"/>
    <w:rsid w:val="009C3731"/>
    <w:rsid w:val="009C4EC3"/>
    <w:rsid w:val="009C4FE0"/>
    <w:rsid w:val="009C5252"/>
    <w:rsid w:val="009C64B7"/>
    <w:rsid w:val="009C6A35"/>
    <w:rsid w:val="009D00FC"/>
    <w:rsid w:val="009D14CF"/>
    <w:rsid w:val="009D2860"/>
    <w:rsid w:val="009D3D61"/>
    <w:rsid w:val="009D4854"/>
    <w:rsid w:val="009D502B"/>
    <w:rsid w:val="009D5847"/>
    <w:rsid w:val="009D605C"/>
    <w:rsid w:val="009D6900"/>
    <w:rsid w:val="009D7497"/>
    <w:rsid w:val="009E03BE"/>
    <w:rsid w:val="009E0480"/>
    <w:rsid w:val="009E11BB"/>
    <w:rsid w:val="009E1E5F"/>
    <w:rsid w:val="009E2222"/>
    <w:rsid w:val="009E2235"/>
    <w:rsid w:val="009E25E5"/>
    <w:rsid w:val="009E2EEE"/>
    <w:rsid w:val="009E30D5"/>
    <w:rsid w:val="009E32EE"/>
    <w:rsid w:val="009E4D74"/>
    <w:rsid w:val="009E68BB"/>
    <w:rsid w:val="009E7036"/>
    <w:rsid w:val="009E7593"/>
    <w:rsid w:val="009F07F4"/>
    <w:rsid w:val="009F19E6"/>
    <w:rsid w:val="009F4D23"/>
    <w:rsid w:val="009F5A6F"/>
    <w:rsid w:val="009F704F"/>
    <w:rsid w:val="009F7F18"/>
    <w:rsid w:val="00A00110"/>
    <w:rsid w:val="00A00BC6"/>
    <w:rsid w:val="00A014EE"/>
    <w:rsid w:val="00A037CB"/>
    <w:rsid w:val="00A0469A"/>
    <w:rsid w:val="00A075F7"/>
    <w:rsid w:val="00A11324"/>
    <w:rsid w:val="00A13008"/>
    <w:rsid w:val="00A14237"/>
    <w:rsid w:val="00A14429"/>
    <w:rsid w:val="00A15FFD"/>
    <w:rsid w:val="00A17875"/>
    <w:rsid w:val="00A17D0D"/>
    <w:rsid w:val="00A20F7B"/>
    <w:rsid w:val="00A2300C"/>
    <w:rsid w:val="00A234AD"/>
    <w:rsid w:val="00A23533"/>
    <w:rsid w:val="00A237B7"/>
    <w:rsid w:val="00A25070"/>
    <w:rsid w:val="00A25AF8"/>
    <w:rsid w:val="00A27150"/>
    <w:rsid w:val="00A32A88"/>
    <w:rsid w:val="00A35622"/>
    <w:rsid w:val="00A36ED5"/>
    <w:rsid w:val="00A40ECF"/>
    <w:rsid w:val="00A41054"/>
    <w:rsid w:val="00A41E44"/>
    <w:rsid w:val="00A42D27"/>
    <w:rsid w:val="00A43472"/>
    <w:rsid w:val="00A43B64"/>
    <w:rsid w:val="00A4679F"/>
    <w:rsid w:val="00A47132"/>
    <w:rsid w:val="00A47C9E"/>
    <w:rsid w:val="00A51D2C"/>
    <w:rsid w:val="00A51F8F"/>
    <w:rsid w:val="00A52C18"/>
    <w:rsid w:val="00A5404F"/>
    <w:rsid w:val="00A55A29"/>
    <w:rsid w:val="00A55D42"/>
    <w:rsid w:val="00A55E21"/>
    <w:rsid w:val="00A56DA3"/>
    <w:rsid w:val="00A57AFC"/>
    <w:rsid w:val="00A6004F"/>
    <w:rsid w:val="00A6220A"/>
    <w:rsid w:val="00A67754"/>
    <w:rsid w:val="00A717E4"/>
    <w:rsid w:val="00A744CF"/>
    <w:rsid w:val="00A76FB1"/>
    <w:rsid w:val="00A81140"/>
    <w:rsid w:val="00A86A81"/>
    <w:rsid w:val="00A8711C"/>
    <w:rsid w:val="00A900E2"/>
    <w:rsid w:val="00A92027"/>
    <w:rsid w:val="00A93B3D"/>
    <w:rsid w:val="00A93EC1"/>
    <w:rsid w:val="00A94713"/>
    <w:rsid w:val="00A949F0"/>
    <w:rsid w:val="00A95947"/>
    <w:rsid w:val="00A96BC3"/>
    <w:rsid w:val="00A96EE6"/>
    <w:rsid w:val="00A97959"/>
    <w:rsid w:val="00AA19A7"/>
    <w:rsid w:val="00AA2C2B"/>
    <w:rsid w:val="00AA3543"/>
    <w:rsid w:val="00AA37FC"/>
    <w:rsid w:val="00AA44B0"/>
    <w:rsid w:val="00AA4B65"/>
    <w:rsid w:val="00AA57EF"/>
    <w:rsid w:val="00AA5F5D"/>
    <w:rsid w:val="00AA61FB"/>
    <w:rsid w:val="00AB13E5"/>
    <w:rsid w:val="00AB3F5E"/>
    <w:rsid w:val="00AB4396"/>
    <w:rsid w:val="00AB6036"/>
    <w:rsid w:val="00AB61CC"/>
    <w:rsid w:val="00AB66F0"/>
    <w:rsid w:val="00AB7491"/>
    <w:rsid w:val="00AC17F2"/>
    <w:rsid w:val="00AC20D8"/>
    <w:rsid w:val="00AC26A0"/>
    <w:rsid w:val="00AC2D4B"/>
    <w:rsid w:val="00AC3EA4"/>
    <w:rsid w:val="00AC46E5"/>
    <w:rsid w:val="00AC590D"/>
    <w:rsid w:val="00AC6E31"/>
    <w:rsid w:val="00AC74AC"/>
    <w:rsid w:val="00AD1D3D"/>
    <w:rsid w:val="00AD5C04"/>
    <w:rsid w:val="00AE013D"/>
    <w:rsid w:val="00AE34E5"/>
    <w:rsid w:val="00AE45EA"/>
    <w:rsid w:val="00AE5B7C"/>
    <w:rsid w:val="00AF16F8"/>
    <w:rsid w:val="00AF200E"/>
    <w:rsid w:val="00AF203D"/>
    <w:rsid w:val="00AF299E"/>
    <w:rsid w:val="00AF2AD6"/>
    <w:rsid w:val="00AF4BD7"/>
    <w:rsid w:val="00AF55A6"/>
    <w:rsid w:val="00AF65A0"/>
    <w:rsid w:val="00B0060F"/>
    <w:rsid w:val="00B03CE2"/>
    <w:rsid w:val="00B05E33"/>
    <w:rsid w:val="00B06BA1"/>
    <w:rsid w:val="00B11E6A"/>
    <w:rsid w:val="00B1522A"/>
    <w:rsid w:val="00B169F5"/>
    <w:rsid w:val="00B16FF2"/>
    <w:rsid w:val="00B21982"/>
    <w:rsid w:val="00B25866"/>
    <w:rsid w:val="00B25A6F"/>
    <w:rsid w:val="00B25BC6"/>
    <w:rsid w:val="00B322FC"/>
    <w:rsid w:val="00B33C2F"/>
    <w:rsid w:val="00B35432"/>
    <w:rsid w:val="00B373AD"/>
    <w:rsid w:val="00B401E2"/>
    <w:rsid w:val="00B41343"/>
    <w:rsid w:val="00B4134E"/>
    <w:rsid w:val="00B41683"/>
    <w:rsid w:val="00B42B2D"/>
    <w:rsid w:val="00B441CE"/>
    <w:rsid w:val="00B44DA3"/>
    <w:rsid w:val="00B5061D"/>
    <w:rsid w:val="00B5114C"/>
    <w:rsid w:val="00B518F7"/>
    <w:rsid w:val="00B51A2C"/>
    <w:rsid w:val="00B52026"/>
    <w:rsid w:val="00B5328A"/>
    <w:rsid w:val="00B54A38"/>
    <w:rsid w:val="00B5510F"/>
    <w:rsid w:val="00B57587"/>
    <w:rsid w:val="00B61DD1"/>
    <w:rsid w:val="00B623CE"/>
    <w:rsid w:val="00B63188"/>
    <w:rsid w:val="00B64BF6"/>
    <w:rsid w:val="00B662AD"/>
    <w:rsid w:val="00B722A7"/>
    <w:rsid w:val="00B72ACE"/>
    <w:rsid w:val="00B7332C"/>
    <w:rsid w:val="00B73BC0"/>
    <w:rsid w:val="00B76358"/>
    <w:rsid w:val="00B82000"/>
    <w:rsid w:val="00B84265"/>
    <w:rsid w:val="00B85D36"/>
    <w:rsid w:val="00B86E05"/>
    <w:rsid w:val="00B90CBE"/>
    <w:rsid w:val="00B91560"/>
    <w:rsid w:val="00B91A02"/>
    <w:rsid w:val="00B91C28"/>
    <w:rsid w:val="00B92B46"/>
    <w:rsid w:val="00B92E1C"/>
    <w:rsid w:val="00B94C6C"/>
    <w:rsid w:val="00B96729"/>
    <w:rsid w:val="00BA00A9"/>
    <w:rsid w:val="00BA0426"/>
    <w:rsid w:val="00BA1B7A"/>
    <w:rsid w:val="00BA2EE9"/>
    <w:rsid w:val="00BA3674"/>
    <w:rsid w:val="00BA36A5"/>
    <w:rsid w:val="00BA69F4"/>
    <w:rsid w:val="00BA7F80"/>
    <w:rsid w:val="00BB09F4"/>
    <w:rsid w:val="00BB0CC2"/>
    <w:rsid w:val="00BB1A72"/>
    <w:rsid w:val="00BB2701"/>
    <w:rsid w:val="00BB37FC"/>
    <w:rsid w:val="00BB4B26"/>
    <w:rsid w:val="00BB6202"/>
    <w:rsid w:val="00BB7698"/>
    <w:rsid w:val="00BB78FC"/>
    <w:rsid w:val="00BC0B62"/>
    <w:rsid w:val="00BC15AB"/>
    <w:rsid w:val="00BC250E"/>
    <w:rsid w:val="00BC30AA"/>
    <w:rsid w:val="00BC3AAB"/>
    <w:rsid w:val="00BC3FE1"/>
    <w:rsid w:val="00BC63BC"/>
    <w:rsid w:val="00BC6602"/>
    <w:rsid w:val="00BC6991"/>
    <w:rsid w:val="00BC7267"/>
    <w:rsid w:val="00BD000E"/>
    <w:rsid w:val="00BD0947"/>
    <w:rsid w:val="00BD1191"/>
    <w:rsid w:val="00BD1625"/>
    <w:rsid w:val="00BD18F1"/>
    <w:rsid w:val="00BD1943"/>
    <w:rsid w:val="00BD1BDB"/>
    <w:rsid w:val="00BD24F0"/>
    <w:rsid w:val="00BD3667"/>
    <w:rsid w:val="00BD3AD2"/>
    <w:rsid w:val="00BD428D"/>
    <w:rsid w:val="00BD690E"/>
    <w:rsid w:val="00BD6BED"/>
    <w:rsid w:val="00BD7133"/>
    <w:rsid w:val="00BD7483"/>
    <w:rsid w:val="00BE097D"/>
    <w:rsid w:val="00BE0E74"/>
    <w:rsid w:val="00BE20CB"/>
    <w:rsid w:val="00BE226E"/>
    <w:rsid w:val="00BE298B"/>
    <w:rsid w:val="00BE3B2F"/>
    <w:rsid w:val="00BE67A1"/>
    <w:rsid w:val="00BE732D"/>
    <w:rsid w:val="00BF0748"/>
    <w:rsid w:val="00BF330A"/>
    <w:rsid w:val="00BF42CF"/>
    <w:rsid w:val="00BF469C"/>
    <w:rsid w:val="00BF6B39"/>
    <w:rsid w:val="00C0130F"/>
    <w:rsid w:val="00C0590E"/>
    <w:rsid w:val="00C06929"/>
    <w:rsid w:val="00C07FA9"/>
    <w:rsid w:val="00C1122F"/>
    <w:rsid w:val="00C120C6"/>
    <w:rsid w:val="00C127A5"/>
    <w:rsid w:val="00C12C0F"/>
    <w:rsid w:val="00C12E1F"/>
    <w:rsid w:val="00C134E5"/>
    <w:rsid w:val="00C13832"/>
    <w:rsid w:val="00C16490"/>
    <w:rsid w:val="00C17535"/>
    <w:rsid w:val="00C1778D"/>
    <w:rsid w:val="00C20E42"/>
    <w:rsid w:val="00C22635"/>
    <w:rsid w:val="00C22842"/>
    <w:rsid w:val="00C23048"/>
    <w:rsid w:val="00C23621"/>
    <w:rsid w:val="00C23792"/>
    <w:rsid w:val="00C265CC"/>
    <w:rsid w:val="00C273AE"/>
    <w:rsid w:val="00C27C61"/>
    <w:rsid w:val="00C3109F"/>
    <w:rsid w:val="00C400E5"/>
    <w:rsid w:val="00C4201F"/>
    <w:rsid w:val="00C4317A"/>
    <w:rsid w:val="00C450E9"/>
    <w:rsid w:val="00C45222"/>
    <w:rsid w:val="00C46981"/>
    <w:rsid w:val="00C472F7"/>
    <w:rsid w:val="00C47D1B"/>
    <w:rsid w:val="00C503FF"/>
    <w:rsid w:val="00C505E8"/>
    <w:rsid w:val="00C50DEA"/>
    <w:rsid w:val="00C515D8"/>
    <w:rsid w:val="00C51B23"/>
    <w:rsid w:val="00C53782"/>
    <w:rsid w:val="00C53E72"/>
    <w:rsid w:val="00C546A6"/>
    <w:rsid w:val="00C54BE5"/>
    <w:rsid w:val="00C56A45"/>
    <w:rsid w:val="00C57553"/>
    <w:rsid w:val="00C575E4"/>
    <w:rsid w:val="00C6012D"/>
    <w:rsid w:val="00C61018"/>
    <w:rsid w:val="00C61355"/>
    <w:rsid w:val="00C62DB1"/>
    <w:rsid w:val="00C636D0"/>
    <w:rsid w:val="00C63DAC"/>
    <w:rsid w:val="00C66CFB"/>
    <w:rsid w:val="00C673D1"/>
    <w:rsid w:val="00C716E5"/>
    <w:rsid w:val="00C731DC"/>
    <w:rsid w:val="00C73907"/>
    <w:rsid w:val="00C73ABE"/>
    <w:rsid w:val="00C74C5A"/>
    <w:rsid w:val="00C77CD0"/>
    <w:rsid w:val="00C80153"/>
    <w:rsid w:val="00C8083C"/>
    <w:rsid w:val="00C80F64"/>
    <w:rsid w:val="00C80F8C"/>
    <w:rsid w:val="00C8162E"/>
    <w:rsid w:val="00C81D68"/>
    <w:rsid w:val="00C824DA"/>
    <w:rsid w:val="00C828BE"/>
    <w:rsid w:val="00C82C57"/>
    <w:rsid w:val="00C8343C"/>
    <w:rsid w:val="00C84585"/>
    <w:rsid w:val="00C85EAE"/>
    <w:rsid w:val="00C866A8"/>
    <w:rsid w:val="00C87926"/>
    <w:rsid w:val="00C90A72"/>
    <w:rsid w:val="00C91A3F"/>
    <w:rsid w:val="00C92091"/>
    <w:rsid w:val="00C92FA3"/>
    <w:rsid w:val="00C93ECB"/>
    <w:rsid w:val="00C94EA7"/>
    <w:rsid w:val="00C95E47"/>
    <w:rsid w:val="00C9699D"/>
    <w:rsid w:val="00C9775A"/>
    <w:rsid w:val="00C97E22"/>
    <w:rsid w:val="00CA30DF"/>
    <w:rsid w:val="00CA456C"/>
    <w:rsid w:val="00CA460D"/>
    <w:rsid w:val="00CA4E53"/>
    <w:rsid w:val="00CA66DF"/>
    <w:rsid w:val="00CA7476"/>
    <w:rsid w:val="00CA7C1E"/>
    <w:rsid w:val="00CA7FE3"/>
    <w:rsid w:val="00CB2A57"/>
    <w:rsid w:val="00CB4F09"/>
    <w:rsid w:val="00CB63FB"/>
    <w:rsid w:val="00CB6D69"/>
    <w:rsid w:val="00CC0C5D"/>
    <w:rsid w:val="00CC0EE1"/>
    <w:rsid w:val="00CC1D42"/>
    <w:rsid w:val="00CC22DD"/>
    <w:rsid w:val="00CC2BF2"/>
    <w:rsid w:val="00CC30A8"/>
    <w:rsid w:val="00CC3C9F"/>
    <w:rsid w:val="00CC4A8B"/>
    <w:rsid w:val="00CC599A"/>
    <w:rsid w:val="00CC5E23"/>
    <w:rsid w:val="00CC77E3"/>
    <w:rsid w:val="00CD1596"/>
    <w:rsid w:val="00CD2AE3"/>
    <w:rsid w:val="00CD4A97"/>
    <w:rsid w:val="00CD57CA"/>
    <w:rsid w:val="00CD6519"/>
    <w:rsid w:val="00CD7C46"/>
    <w:rsid w:val="00CD7E25"/>
    <w:rsid w:val="00CE1592"/>
    <w:rsid w:val="00CE4301"/>
    <w:rsid w:val="00CE46FC"/>
    <w:rsid w:val="00CE4AA8"/>
    <w:rsid w:val="00CE657B"/>
    <w:rsid w:val="00CE7C71"/>
    <w:rsid w:val="00CF2046"/>
    <w:rsid w:val="00CF3A3D"/>
    <w:rsid w:val="00CF67F8"/>
    <w:rsid w:val="00CF6971"/>
    <w:rsid w:val="00CF6B0F"/>
    <w:rsid w:val="00D00138"/>
    <w:rsid w:val="00D01EDC"/>
    <w:rsid w:val="00D0248E"/>
    <w:rsid w:val="00D027E3"/>
    <w:rsid w:val="00D035FA"/>
    <w:rsid w:val="00D07F0D"/>
    <w:rsid w:val="00D11533"/>
    <w:rsid w:val="00D11F5B"/>
    <w:rsid w:val="00D1234E"/>
    <w:rsid w:val="00D12E08"/>
    <w:rsid w:val="00D14D6E"/>
    <w:rsid w:val="00D15398"/>
    <w:rsid w:val="00D1585E"/>
    <w:rsid w:val="00D16EAC"/>
    <w:rsid w:val="00D17DCA"/>
    <w:rsid w:val="00D21482"/>
    <w:rsid w:val="00D236C3"/>
    <w:rsid w:val="00D24764"/>
    <w:rsid w:val="00D24A5F"/>
    <w:rsid w:val="00D269B7"/>
    <w:rsid w:val="00D278A7"/>
    <w:rsid w:val="00D31B06"/>
    <w:rsid w:val="00D31BFC"/>
    <w:rsid w:val="00D32B38"/>
    <w:rsid w:val="00D33B5C"/>
    <w:rsid w:val="00D358B3"/>
    <w:rsid w:val="00D35C16"/>
    <w:rsid w:val="00D371C6"/>
    <w:rsid w:val="00D372B2"/>
    <w:rsid w:val="00D4136B"/>
    <w:rsid w:val="00D41D70"/>
    <w:rsid w:val="00D42123"/>
    <w:rsid w:val="00D42175"/>
    <w:rsid w:val="00D42497"/>
    <w:rsid w:val="00D47351"/>
    <w:rsid w:val="00D47A9E"/>
    <w:rsid w:val="00D50580"/>
    <w:rsid w:val="00D50CDF"/>
    <w:rsid w:val="00D518E8"/>
    <w:rsid w:val="00D5257F"/>
    <w:rsid w:val="00D5288E"/>
    <w:rsid w:val="00D53645"/>
    <w:rsid w:val="00D547F7"/>
    <w:rsid w:val="00D5723A"/>
    <w:rsid w:val="00D63848"/>
    <w:rsid w:val="00D649B8"/>
    <w:rsid w:val="00D65DA3"/>
    <w:rsid w:val="00D66740"/>
    <w:rsid w:val="00D7015C"/>
    <w:rsid w:val="00D70B6F"/>
    <w:rsid w:val="00D71585"/>
    <w:rsid w:val="00D72B26"/>
    <w:rsid w:val="00D7492A"/>
    <w:rsid w:val="00D75214"/>
    <w:rsid w:val="00D77B71"/>
    <w:rsid w:val="00D802F8"/>
    <w:rsid w:val="00D83CE5"/>
    <w:rsid w:val="00D83DEF"/>
    <w:rsid w:val="00D85F9E"/>
    <w:rsid w:val="00D87264"/>
    <w:rsid w:val="00D90475"/>
    <w:rsid w:val="00D9148A"/>
    <w:rsid w:val="00D91FB9"/>
    <w:rsid w:val="00D950A6"/>
    <w:rsid w:val="00D950EC"/>
    <w:rsid w:val="00D956AA"/>
    <w:rsid w:val="00D95EF8"/>
    <w:rsid w:val="00DA0B14"/>
    <w:rsid w:val="00DA0B77"/>
    <w:rsid w:val="00DA1B7F"/>
    <w:rsid w:val="00DA299A"/>
    <w:rsid w:val="00DA4C11"/>
    <w:rsid w:val="00DA63C9"/>
    <w:rsid w:val="00DA6E68"/>
    <w:rsid w:val="00DB25BC"/>
    <w:rsid w:val="00DB2606"/>
    <w:rsid w:val="00DC10E2"/>
    <w:rsid w:val="00DC18A8"/>
    <w:rsid w:val="00DC215D"/>
    <w:rsid w:val="00DC3E83"/>
    <w:rsid w:val="00DC6415"/>
    <w:rsid w:val="00DC752F"/>
    <w:rsid w:val="00DD0FEA"/>
    <w:rsid w:val="00DD1B85"/>
    <w:rsid w:val="00DD324F"/>
    <w:rsid w:val="00DD36C5"/>
    <w:rsid w:val="00DD36E9"/>
    <w:rsid w:val="00DD43B7"/>
    <w:rsid w:val="00DD4EA2"/>
    <w:rsid w:val="00DD699C"/>
    <w:rsid w:val="00DD6C50"/>
    <w:rsid w:val="00DD747F"/>
    <w:rsid w:val="00DE03DC"/>
    <w:rsid w:val="00DE0BC1"/>
    <w:rsid w:val="00DE1591"/>
    <w:rsid w:val="00DE1D18"/>
    <w:rsid w:val="00DE3136"/>
    <w:rsid w:val="00DE3D5F"/>
    <w:rsid w:val="00DE5725"/>
    <w:rsid w:val="00DE71E4"/>
    <w:rsid w:val="00DE7834"/>
    <w:rsid w:val="00DE7F9A"/>
    <w:rsid w:val="00DF0AB0"/>
    <w:rsid w:val="00DF0B40"/>
    <w:rsid w:val="00DF0D44"/>
    <w:rsid w:val="00DF10AC"/>
    <w:rsid w:val="00DF1223"/>
    <w:rsid w:val="00DF134A"/>
    <w:rsid w:val="00DF13C0"/>
    <w:rsid w:val="00DF20A4"/>
    <w:rsid w:val="00DF20D1"/>
    <w:rsid w:val="00DF3014"/>
    <w:rsid w:val="00DF3CE0"/>
    <w:rsid w:val="00E01862"/>
    <w:rsid w:val="00E0197E"/>
    <w:rsid w:val="00E020A1"/>
    <w:rsid w:val="00E023C9"/>
    <w:rsid w:val="00E02A38"/>
    <w:rsid w:val="00E03758"/>
    <w:rsid w:val="00E05C70"/>
    <w:rsid w:val="00E07911"/>
    <w:rsid w:val="00E128D2"/>
    <w:rsid w:val="00E1303E"/>
    <w:rsid w:val="00E136DD"/>
    <w:rsid w:val="00E13E29"/>
    <w:rsid w:val="00E143B4"/>
    <w:rsid w:val="00E14AB2"/>
    <w:rsid w:val="00E16244"/>
    <w:rsid w:val="00E162C7"/>
    <w:rsid w:val="00E16369"/>
    <w:rsid w:val="00E16AC1"/>
    <w:rsid w:val="00E2007F"/>
    <w:rsid w:val="00E207FE"/>
    <w:rsid w:val="00E209C5"/>
    <w:rsid w:val="00E20B6F"/>
    <w:rsid w:val="00E21052"/>
    <w:rsid w:val="00E21313"/>
    <w:rsid w:val="00E2306B"/>
    <w:rsid w:val="00E2538E"/>
    <w:rsid w:val="00E256D6"/>
    <w:rsid w:val="00E30119"/>
    <w:rsid w:val="00E33369"/>
    <w:rsid w:val="00E34890"/>
    <w:rsid w:val="00E36E31"/>
    <w:rsid w:val="00E36F5E"/>
    <w:rsid w:val="00E4041D"/>
    <w:rsid w:val="00E41A85"/>
    <w:rsid w:val="00E423B1"/>
    <w:rsid w:val="00E430A9"/>
    <w:rsid w:val="00E441B9"/>
    <w:rsid w:val="00E45F6B"/>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6AC9"/>
    <w:rsid w:val="00E66CA0"/>
    <w:rsid w:val="00E71476"/>
    <w:rsid w:val="00E7373D"/>
    <w:rsid w:val="00E74EB3"/>
    <w:rsid w:val="00E805C5"/>
    <w:rsid w:val="00E81221"/>
    <w:rsid w:val="00E8169E"/>
    <w:rsid w:val="00E82030"/>
    <w:rsid w:val="00E82A53"/>
    <w:rsid w:val="00E83AF0"/>
    <w:rsid w:val="00E85BA8"/>
    <w:rsid w:val="00E86E4F"/>
    <w:rsid w:val="00E87ACA"/>
    <w:rsid w:val="00E906D5"/>
    <w:rsid w:val="00E954B7"/>
    <w:rsid w:val="00E95D22"/>
    <w:rsid w:val="00EA4CD3"/>
    <w:rsid w:val="00EA6925"/>
    <w:rsid w:val="00EA6C50"/>
    <w:rsid w:val="00EA6D71"/>
    <w:rsid w:val="00EA7162"/>
    <w:rsid w:val="00EB1551"/>
    <w:rsid w:val="00EB1965"/>
    <w:rsid w:val="00EB29D3"/>
    <w:rsid w:val="00EB32A5"/>
    <w:rsid w:val="00EB3E96"/>
    <w:rsid w:val="00EB4AF6"/>
    <w:rsid w:val="00EB57EC"/>
    <w:rsid w:val="00EB5BD5"/>
    <w:rsid w:val="00EB648C"/>
    <w:rsid w:val="00EC0103"/>
    <w:rsid w:val="00EC1FD0"/>
    <w:rsid w:val="00EC3146"/>
    <w:rsid w:val="00EC35B4"/>
    <w:rsid w:val="00EC692E"/>
    <w:rsid w:val="00ED2C3C"/>
    <w:rsid w:val="00ED3020"/>
    <w:rsid w:val="00ED4629"/>
    <w:rsid w:val="00ED4E84"/>
    <w:rsid w:val="00ED6A67"/>
    <w:rsid w:val="00ED7CAF"/>
    <w:rsid w:val="00ED7D9E"/>
    <w:rsid w:val="00EE1379"/>
    <w:rsid w:val="00EE2C63"/>
    <w:rsid w:val="00EE5C32"/>
    <w:rsid w:val="00EF00D9"/>
    <w:rsid w:val="00EF079E"/>
    <w:rsid w:val="00EF07E6"/>
    <w:rsid w:val="00EF0E89"/>
    <w:rsid w:val="00EF35FA"/>
    <w:rsid w:val="00EF3FA7"/>
    <w:rsid w:val="00EF4435"/>
    <w:rsid w:val="00EF45C3"/>
    <w:rsid w:val="00EF6D71"/>
    <w:rsid w:val="00F00AB6"/>
    <w:rsid w:val="00F00CD5"/>
    <w:rsid w:val="00F00D29"/>
    <w:rsid w:val="00F01081"/>
    <w:rsid w:val="00F02049"/>
    <w:rsid w:val="00F0373D"/>
    <w:rsid w:val="00F04F66"/>
    <w:rsid w:val="00F06568"/>
    <w:rsid w:val="00F069F1"/>
    <w:rsid w:val="00F0717D"/>
    <w:rsid w:val="00F11950"/>
    <w:rsid w:val="00F12A0E"/>
    <w:rsid w:val="00F13D8D"/>
    <w:rsid w:val="00F16720"/>
    <w:rsid w:val="00F172EE"/>
    <w:rsid w:val="00F179D8"/>
    <w:rsid w:val="00F20045"/>
    <w:rsid w:val="00F20655"/>
    <w:rsid w:val="00F2098F"/>
    <w:rsid w:val="00F20F39"/>
    <w:rsid w:val="00F23DD7"/>
    <w:rsid w:val="00F252AC"/>
    <w:rsid w:val="00F25EC1"/>
    <w:rsid w:val="00F300EF"/>
    <w:rsid w:val="00F301C6"/>
    <w:rsid w:val="00F30F7B"/>
    <w:rsid w:val="00F322EA"/>
    <w:rsid w:val="00F32BCB"/>
    <w:rsid w:val="00F3329C"/>
    <w:rsid w:val="00F33CDA"/>
    <w:rsid w:val="00F37C44"/>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3C1F"/>
    <w:rsid w:val="00F669E5"/>
    <w:rsid w:val="00F702B4"/>
    <w:rsid w:val="00F706F1"/>
    <w:rsid w:val="00F70E4A"/>
    <w:rsid w:val="00F743AF"/>
    <w:rsid w:val="00F75810"/>
    <w:rsid w:val="00F80496"/>
    <w:rsid w:val="00F80729"/>
    <w:rsid w:val="00F80996"/>
    <w:rsid w:val="00F811E9"/>
    <w:rsid w:val="00F81DCD"/>
    <w:rsid w:val="00F82380"/>
    <w:rsid w:val="00F835E6"/>
    <w:rsid w:val="00F84BAA"/>
    <w:rsid w:val="00F84D35"/>
    <w:rsid w:val="00F86996"/>
    <w:rsid w:val="00F86D56"/>
    <w:rsid w:val="00F8725D"/>
    <w:rsid w:val="00F87384"/>
    <w:rsid w:val="00F907B2"/>
    <w:rsid w:val="00F92058"/>
    <w:rsid w:val="00F923A7"/>
    <w:rsid w:val="00F930A4"/>
    <w:rsid w:val="00F944D7"/>
    <w:rsid w:val="00F953A3"/>
    <w:rsid w:val="00F97F78"/>
    <w:rsid w:val="00FA17C7"/>
    <w:rsid w:val="00FA2526"/>
    <w:rsid w:val="00FA43A4"/>
    <w:rsid w:val="00FA499D"/>
    <w:rsid w:val="00FA5129"/>
    <w:rsid w:val="00FA62D8"/>
    <w:rsid w:val="00FA7275"/>
    <w:rsid w:val="00FA7B5A"/>
    <w:rsid w:val="00FA7FF8"/>
    <w:rsid w:val="00FB1D39"/>
    <w:rsid w:val="00FB3A38"/>
    <w:rsid w:val="00FB48D6"/>
    <w:rsid w:val="00FB52E0"/>
    <w:rsid w:val="00FB59B6"/>
    <w:rsid w:val="00FC12AD"/>
    <w:rsid w:val="00FC17E0"/>
    <w:rsid w:val="00FC3122"/>
    <w:rsid w:val="00FC3695"/>
    <w:rsid w:val="00FC5F9B"/>
    <w:rsid w:val="00FC687B"/>
    <w:rsid w:val="00FC698F"/>
    <w:rsid w:val="00FD0471"/>
    <w:rsid w:val="00FD1DE6"/>
    <w:rsid w:val="00FD3114"/>
    <w:rsid w:val="00FD344E"/>
    <w:rsid w:val="00FD66EF"/>
    <w:rsid w:val="00FD6EAB"/>
    <w:rsid w:val="00FD7CD2"/>
    <w:rsid w:val="00FE021A"/>
    <w:rsid w:val="00FE1A69"/>
    <w:rsid w:val="00FE1B57"/>
    <w:rsid w:val="00FE1F79"/>
    <w:rsid w:val="00FE43BA"/>
    <w:rsid w:val="00FE5006"/>
    <w:rsid w:val="00FE517E"/>
    <w:rsid w:val="00FE5219"/>
    <w:rsid w:val="00FE612F"/>
    <w:rsid w:val="00FE6C02"/>
    <w:rsid w:val="00FE71F9"/>
    <w:rsid w:val="00FE7A96"/>
    <w:rsid w:val="00FF0383"/>
    <w:rsid w:val="00FF0FB1"/>
    <w:rsid w:val="00FF22D0"/>
    <w:rsid w:val="00FF49E6"/>
    <w:rsid w:val="00FF5688"/>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2E2CC17A-958C-4CE4-9C17-005B49F0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A61F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character" w:styleId="Hipervnculovisitado">
    <w:name w:val="FollowedHyperlink"/>
    <w:basedOn w:val="Fuentedeprrafopredeter"/>
    <w:uiPriority w:val="99"/>
    <w:semiHidden/>
    <w:unhideWhenUsed/>
    <w:rsid w:val="00F86D56"/>
    <w:rPr>
      <w:color w:val="800080" w:themeColor="followedHyperlink"/>
      <w:u w:val="single"/>
    </w:rPr>
  </w:style>
  <w:style w:type="character" w:customStyle="1" w:styleId="Ttulo3Car">
    <w:name w:val="Título 3 Car"/>
    <w:basedOn w:val="Fuentedeprrafopredeter"/>
    <w:link w:val="Ttulo3"/>
    <w:uiPriority w:val="9"/>
    <w:semiHidden/>
    <w:rsid w:val="00AA61FB"/>
    <w:rPr>
      <w:rFonts w:asciiTheme="majorHAnsi" w:eastAsiaTheme="majorEastAsia" w:hAnsiTheme="majorHAnsi" w:cstheme="majorBidi"/>
      <w:color w:val="243F60" w:themeColor="accent1" w:themeShade="7F"/>
      <w:lang w:val="es-ES"/>
    </w:rPr>
  </w:style>
  <w:style w:type="character" w:customStyle="1" w:styleId="liststyle1078482225level1">
    <w:name w:val="liststyle_1078482225_level_1"/>
    <w:basedOn w:val="Fuentedeprrafopredeter"/>
    <w:rsid w:val="00AA61FB"/>
  </w:style>
  <w:style w:type="table" w:styleId="Tabladelista1clara-nfasis1">
    <w:name w:val="List Table 1 Light Accent 1"/>
    <w:basedOn w:val="Tablanormal"/>
    <w:uiPriority w:val="46"/>
    <w:rsid w:val="00FF22D0"/>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751">
      <w:bodyDiv w:val="1"/>
      <w:marLeft w:val="0"/>
      <w:marRight w:val="0"/>
      <w:marTop w:val="0"/>
      <w:marBottom w:val="0"/>
      <w:divBdr>
        <w:top w:val="none" w:sz="0" w:space="0" w:color="auto"/>
        <w:left w:val="none" w:sz="0" w:space="0" w:color="auto"/>
        <w:bottom w:val="none" w:sz="0" w:space="0" w:color="auto"/>
        <w:right w:val="none" w:sz="0" w:space="0" w:color="auto"/>
      </w:divBdr>
      <w:divsChild>
        <w:div w:id="249043825">
          <w:marLeft w:val="0"/>
          <w:marRight w:val="0"/>
          <w:marTop w:val="0"/>
          <w:marBottom w:val="101"/>
          <w:divBdr>
            <w:top w:val="none" w:sz="0" w:space="0" w:color="auto"/>
            <w:left w:val="none" w:sz="0" w:space="0" w:color="auto"/>
            <w:bottom w:val="none" w:sz="0" w:space="0" w:color="auto"/>
            <w:right w:val="none" w:sz="0" w:space="0" w:color="auto"/>
          </w:divBdr>
        </w:div>
        <w:div w:id="1412772027">
          <w:marLeft w:val="0"/>
          <w:marRight w:val="0"/>
          <w:marTop w:val="0"/>
          <w:marBottom w:val="101"/>
          <w:divBdr>
            <w:top w:val="none" w:sz="0" w:space="0" w:color="auto"/>
            <w:left w:val="none" w:sz="0" w:space="0" w:color="auto"/>
            <w:bottom w:val="none" w:sz="0" w:space="0" w:color="auto"/>
            <w:right w:val="none" w:sz="0" w:space="0" w:color="auto"/>
          </w:divBdr>
        </w:div>
        <w:div w:id="414396613">
          <w:marLeft w:val="0"/>
          <w:marRight w:val="0"/>
          <w:marTop w:val="0"/>
          <w:marBottom w:val="101"/>
          <w:divBdr>
            <w:top w:val="none" w:sz="0" w:space="0" w:color="auto"/>
            <w:left w:val="none" w:sz="0" w:space="0" w:color="auto"/>
            <w:bottom w:val="none" w:sz="0" w:space="0" w:color="auto"/>
            <w:right w:val="none" w:sz="0" w:space="0" w:color="auto"/>
          </w:divBdr>
        </w:div>
        <w:div w:id="2050453735">
          <w:marLeft w:val="0"/>
          <w:marRight w:val="0"/>
          <w:marTop w:val="0"/>
          <w:marBottom w:val="101"/>
          <w:divBdr>
            <w:top w:val="none" w:sz="0" w:space="0" w:color="auto"/>
            <w:left w:val="none" w:sz="0" w:space="0" w:color="auto"/>
            <w:bottom w:val="none" w:sz="0" w:space="0" w:color="auto"/>
            <w:right w:val="none" w:sz="0" w:space="0" w:color="auto"/>
          </w:divBdr>
        </w:div>
        <w:div w:id="1714378015">
          <w:marLeft w:val="0"/>
          <w:marRight w:val="0"/>
          <w:marTop w:val="0"/>
          <w:marBottom w:val="101"/>
          <w:divBdr>
            <w:top w:val="none" w:sz="0" w:space="0" w:color="auto"/>
            <w:left w:val="none" w:sz="0" w:space="0" w:color="auto"/>
            <w:bottom w:val="none" w:sz="0" w:space="0" w:color="auto"/>
            <w:right w:val="none" w:sz="0" w:space="0" w:color="auto"/>
          </w:divBdr>
        </w:div>
        <w:div w:id="728305698">
          <w:marLeft w:val="720"/>
          <w:marRight w:val="0"/>
          <w:marTop w:val="0"/>
          <w:marBottom w:val="101"/>
          <w:divBdr>
            <w:top w:val="none" w:sz="0" w:space="0" w:color="auto"/>
            <w:left w:val="none" w:sz="0" w:space="0" w:color="auto"/>
            <w:bottom w:val="none" w:sz="0" w:space="0" w:color="auto"/>
            <w:right w:val="none" w:sz="0" w:space="0" w:color="auto"/>
          </w:divBdr>
        </w:div>
        <w:div w:id="1801000657">
          <w:marLeft w:val="720"/>
          <w:marRight w:val="0"/>
          <w:marTop w:val="0"/>
          <w:marBottom w:val="101"/>
          <w:divBdr>
            <w:top w:val="none" w:sz="0" w:space="0" w:color="auto"/>
            <w:left w:val="none" w:sz="0" w:space="0" w:color="auto"/>
            <w:bottom w:val="none" w:sz="0" w:space="0" w:color="auto"/>
            <w:right w:val="none" w:sz="0" w:space="0" w:color="auto"/>
          </w:divBdr>
        </w:div>
        <w:div w:id="1471752964">
          <w:marLeft w:val="720"/>
          <w:marRight w:val="0"/>
          <w:marTop w:val="0"/>
          <w:marBottom w:val="101"/>
          <w:divBdr>
            <w:top w:val="none" w:sz="0" w:space="0" w:color="auto"/>
            <w:left w:val="none" w:sz="0" w:space="0" w:color="auto"/>
            <w:bottom w:val="none" w:sz="0" w:space="0" w:color="auto"/>
            <w:right w:val="none" w:sz="0" w:space="0" w:color="auto"/>
          </w:divBdr>
        </w:div>
        <w:div w:id="986012627">
          <w:marLeft w:val="720"/>
          <w:marRight w:val="0"/>
          <w:marTop w:val="0"/>
          <w:marBottom w:val="101"/>
          <w:divBdr>
            <w:top w:val="none" w:sz="0" w:space="0" w:color="auto"/>
            <w:left w:val="none" w:sz="0" w:space="0" w:color="auto"/>
            <w:bottom w:val="none" w:sz="0" w:space="0" w:color="auto"/>
            <w:right w:val="none" w:sz="0" w:space="0" w:color="auto"/>
          </w:divBdr>
        </w:div>
        <w:div w:id="1548687975">
          <w:marLeft w:val="0"/>
          <w:marRight w:val="0"/>
          <w:marTop w:val="0"/>
          <w:marBottom w:val="101"/>
          <w:divBdr>
            <w:top w:val="none" w:sz="0" w:space="0" w:color="auto"/>
            <w:left w:val="none" w:sz="0" w:space="0" w:color="auto"/>
            <w:bottom w:val="none" w:sz="0" w:space="0" w:color="auto"/>
            <w:right w:val="none" w:sz="0" w:space="0" w:color="auto"/>
          </w:divBdr>
        </w:div>
        <w:div w:id="1839533972">
          <w:marLeft w:val="0"/>
          <w:marRight w:val="0"/>
          <w:marTop w:val="0"/>
          <w:marBottom w:val="101"/>
          <w:divBdr>
            <w:top w:val="none" w:sz="0" w:space="0" w:color="auto"/>
            <w:left w:val="none" w:sz="0" w:space="0" w:color="auto"/>
            <w:bottom w:val="none" w:sz="0" w:space="0" w:color="auto"/>
            <w:right w:val="none" w:sz="0" w:space="0" w:color="auto"/>
          </w:divBdr>
        </w:div>
        <w:div w:id="684333018">
          <w:marLeft w:val="0"/>
          <w:marRight w:val="0"/>
          <w:marTop w:val="0"/>
          <w:marBottom w:val="101"/>
          <w:divBdr>
            <w:top w:val="none" w:sz="0" w:space="0" w:color="auto"/>
            <w:left w:val="none" w:sz="0" w:space="0" w:color="auto"/>
            <w:bottom w:val="none" w:sz="0" w:space="0" w:color="auto"/>
            <w:right w:val="none" w:sz="0" w:space="0" w:color="auto"/>
          </w:divBdr>
        </w:div>
        <w:div w:id="430782609">
          <w:marLeft w:val="0"/>
          <w:marRight w:val="0"/>
          <w:marTop w:val="0"/>
          <w:marBottom w:val="101"/>
          <w:divBdr>
            <w:top w:val="none" w:sz="0" w:space="0" w:color="auto"/>
            <w:left w:val="none" w:sz="0" w:space="0" w:color="auto"/>
            <w:bottom w:val="none" w:sz="0" w:space="0" w:color="auto"/>
            <w:right w:val="none" w:sz="0" w:space="0" w:color="auto"/>
          </w:divBdr>
        </w:div>
        <w:div w:id="829559889">
          <w:marLeft w:val="0"/>
          <w:marRight w:val="0"/>
          <w:marTop w:val="0"/>
          <w:marBottom w:val="101"/>
          <w:divBdr>
            <w:top w:val="none" w:sz="0" w:space="0" w:color="auto"/>
            <w:left w:val="none" w:sz="0" w:space="0" w:color="auto"/>
            <w:bottom w:val="none" w:sz="0" w:space="0" w:color="auto"/>
            <w:right w:val="none" w:sz="0" w:space="0" w:color="auto"/>
          </w:divBdr>
        </w:div>
      </w:divsChild>
    </w:div>
    <w:div w:id="5289954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866405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19184413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98129460">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1472436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278689046">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3573561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2603109">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7738.page" TargetMode="External"/><Relationship Id="rId13" Type="http://schemas.openxmlformats.org/officeDocument/2006/relationships/image" Target="media/image1.png"/><Relationship Id="rId18" Type="http://schemas.openxmlformats.org/officeDocument/2006/relationships/hyperlink" Target="http://www.te.gob.mx/jurisprudenciaytesis/compilacion.ht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ieem.org.mx/"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aimex.org.mx/saimex/solicitud/downloadAttach/359478.page" TargetMode="External"/><Relationship Id="rId17" Type="http://schemas.openxmlformats.org/officeDocument/2006/relationships/hyperlink" Target="http://www.te.gob.mx/jurisprudenciaytesis/compilacion.htm" TargetMode="External"/><Relationship Id="rId25" Type="http://schemas.openxmlformats.org/officeDocument/2006/relationships/hyperlink" Target="http://www.ieem.org.mx/2018/PLATAFORMAS-2018/pvem.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afiliados.pvem-email.org.mx/"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7741.page"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ieem.org.mx/"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www.saimex.org.mx/saimex/solicitud/downloadAttach/557740.page" TargetMode="External"/><Relationship Id="rId19" Type="http://schemas.openxmlformats.org/officeDocument/2006/relationships/hyperlink" Target="http://afiliados.pvem-email.org.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557739.page" TargetMode="External"/><Relationship Id="rId14" Type="http://schemas.openxmlformats.org/officeDocument/2006/relationships/image" Target="media/image2.png"/><Relationship Id="rId22" Type="http://schemas.openxmlformats.org/officeDocument/2006/relationships/hyperlink" Target="http://www.ieem.org.mx/2018/PLATAFORMAS-2018/pvem.html" TargetMode="External"/><Relationship Id="rId27" Type="http://schemas.openxmlformats.org/officeDocument/2006/relationships/hyperlink" Target="https://www.saimex.org.mx/saimex/solicitud/downloadAttach/557739.page" TargetMode="External"/><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e.gob.mx/jurisprudenciaytesis/compilacion.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47741-050C-4DC3-BFB9-308CAA27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56</Pages>
  <Words>15171</Words>
  <Characters>83442</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111</cp:revision>
  <cp:lastPrinted>2018-09-20T23:00:00Z</cp:lastPrinted>
  <dcterms:created xsi:type="dcterms:W3CDTF">2018-09-06T19:53:00Z</dcterms:created>
  <dcterms:modified xsi:type="dcterms:W3CDTF">2018-11-14T02:31:00Z</dcterms:modified>
</cp:coreProperties>
</file>