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13C" w:rsidRPr="00A4197A" w:rsidRDefault="00F1213C" w:rsidP="00F1213C">
      <w:pPr>
        <w:spacing w:after="160" w:line="360" w:lineRule="auto"/>
        <w:jc w:val="both"/>
        <w:rPr>
          <w:rFonts w:ascii="Palatino Linotype" w:hAnsi="Palatino Linotype"/>
        </w:rPr>
      </w:pPr>
      <w:r w:rsidRPr="00A4197A">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diecisiete de octubre de dos mil dieciocho.</w:t>
      </w:r>
    </w:p>
    <w:p w:rsidR="00F1213C" w:rsidRPr="00A4197A" w:rsidRDefault="00F1213C" w:rsidP="00F1213C">
      <w:pPr>
        <w:spacing w:before="120" w:after="120" w:line="360" w:lineRule="auto"/>
        <w:jc w:val="both"/>
        <w:rPr>
          <w:rFonts w:ascii="Palatino Linotype" w:hAnsi="Palatino Linotype"/>
        </w:rPr>
      </w:pPr>
      <w:r w:rsidRPr="00A4197A">
        <w:rPr>
          <w:rFonts w:ascii="Palatino Linotype" w:hAnsi="Palatino Linotype"/>
          <w:b/>
        </w:rPr>
        <w:t>VISTO</w:t>
      </w:r>
      <w:r w:rsidRPr="00A4197A">
        <w:rPr>
          <w:rFonts w:ascii="Palatino Linotype" w:hAnsi="Palatino Linotype"/>
        </w:rPr>
        <w:t xml:space="preserve"> el expediente formado con motivo del recurso de revisión </w:t>
      </w:r>
      <w:r w:rsidRPr="00A4197A">
        <w:rPr>
          <w:rFonts w:ascii="Palatino Linotype" w:hAnsi="Palatino Linotype"/>
          <w:b/>
        </w:rPr>
        <w:t>02852/INFOEM/IP/RR/2018</w:t>
      </w:r>
      <w:r w:rsidRPr="00A4197A">
        <w:rPr>
          <w:rFonts w:ascii="Palatino Linotype" w:hAnsi="Palatino Linotype"/>
        </w:rPr>
        <w:t>, promovido por</w:t>
      </w:r>
      <w:r w:rsidRPr="00A4197A">
        <w:rPr>
          <w:rFonts w:ascii="Palatino Linotype" w:hAnsi="Palatino Linotype" w:cs="Arial"/>
        </w:rPr>
        <w:t xml:space="preserve"> el </w:t>
      </w:r>
      <w:r w:rsidRPr="00A4197A">
        <w:rPr>
          <w:rFonts w:ascii="Palatino Linotype" w:hAnsi="Palatino Linotype" w:cs="Arial"/>
          <w:b/>
        </w:rPr>
        <w:t xml:space="preserve">C. </w:t>
      </w:r>
      <w:r w:rsidR="00596523" w:rsidRPr="00596523">
        <w:rPr>
          <w:rFonts w:ascii="Palatino Linotype" w:hAnsi="Palatino Linotype"/>
          <w:b/>
        </w:rPr>
        <w:t>XXXXXX XXXXXXX X</w:t>
      </w:r>
      <w:r w:rsidRPr="00A4197A">
        <w:rPr>
          <w:rFonts w:ascii="Palatino Linotype" w:hAnsi="Palatino Linotype" w:cs="Arial"/>
          <w:b/>
        </w:rPr>
        <w:t xml:space="preserve">, </w:t>
      </w:r>
      <w:r w:rsidRPr="00A4197A">
        <w:rPr>
          <w:rFonts w:ascii="Palatino Linotype" w:hAnsi="Palatino Linotype" w:cs="Arial"/>
        </w:rPr>
        <w:t>en lo sucesivo</w:t>
      </w:r>
      <w:r w:rsidRPr="00A4197A">
        <w:rPr>
          <w:rFonts w:ascii="Palatino Linotype" w:hAnsi="Palatino Linotype" w:cs="Arial"/>
          <w:b/>
        </w:rPr>
        <w:t xml:space="preserve"> EL RECURRENTE,</w:t>
      </w:r>
      <w:r w:rsidRPr="00A4197A">
        <w:rPr>
          <w:rFonts w:ascii="Palatino Linotype" w:hAnsi="Palatino Linotype"/>
        </w:rPr>
        <w:t xml:space="preserve"> en contra de la respuesta emitida por el </w:t>
      </w:r>
      <w:r w:rsidRPr="00A4197A">
        <w:rPr>
          <w:rFonts w:ascii="Palatino Linotype" w:hAnsi="Palatino Linotype"/>
          <w:b/>
        </w:rPr>
        <w:t>Instituto Electoral del Estado de México</w:t>
      </w:r>
      <w:r w:rsidRPr="00A4197A">
        <w:rPr>
          <w:rFonts w:ascii="Palatino Linotype" w:hAnsi="Palatino Linotype"/>
        </w:rPr>
        <w:t xml:space="preserve">, en lo sucesivo </w:t>
      </w:r>
      <w:r w:rsidRPr="00A4197A">
        <w:rPr>
          <w:rFonts w:ascii="Palatino Linotype" w:hAnsi="Palatino Linotype"/>
          <w:b/>
        </w:rPr>
        <w:t>EL SUJETO OBLIGADO</w:t>
      </w:r>
      <w:r w:rsidRPr="00A4197A">
        <w:rPr>
          <w:rFonts w:ascii="Palatino Linotype" w:hAnsi="Palatino Linotype"/>
        </w:rPr>
        <w:t xml:space="preserve">, se procede a dictar la presente resolución con base en lo siguiente: </w:t>
      </w:r>
    </w:p>
    <w:p w:rsidR="00F1213C" w:rsidRPr="00A4197A" w:rsidRDefault="00F1213C" w:rsidP="00F1213C">
      <w:pPr>
        <w:spacing w:before="120" w:line="360" w:lineRule="auto"/>
        <w:jc w:val="center"/>
        <w:rPr>
          <w:rFonts w:ascii="Palatino Linotype" w:hAnsi="Palatino Linotype"/>
          <w:b/>
          <w:bCs/>
          <w:spacing w:val="40"/>
          <w:sz w:val="28"/>
        </w:rPr>
      </w:pPr>
      <w:r w:rsidRPr="00A4197A">
        <w:rPr>
          <w:rFonts w:ascii="Palatino Linotype" w:hAnsi="Palatino Linotype"/>
          <w:b/>
          <w:bCs/>
          <w:spacing w:val="40"/>
          <w:sz w:val="28"/>
        </w:rPr>
        <w:t>RESULTANDO</w:t>
      </w:r>
    </w:p>
    <w:p w:rsidR="00F1213C" w:rsidRPr="00A4197A" w:rsidRDefault="00F1213C" w:rsidP="00F1213C">
      <w:pPr>
        <w:pStyle w:val="Prrafodelista"/>
        <w:tabs>
          <w:tab w:val="left" w:pos="567"/>
        </w:tabs>
        <w:spacing w:before="80" w:after="120" w:line="360" w:lineRule="auto"/>
        <w:ind w:left="0"/>
        <w:jc w:val="both"/>
        <w:rPr>
          <w:rFonts w:ascii="Palatino Linotype" w:hAnsi="Palatino Linotype" w:cs="Arial"/>
        </w:rPr>
      </w:pPr>
      <w:r w:rsidRPr="00A4197A">
        <w:rPr>
          <w:rFonts w:ascii="Palatino Linotype" w:hAnsi="Palatino Linotype"/>
          <w:b/>
          <w:sz w:val="28"/>
          <w:szCs w:val="28"/>
        </w:rPr>
        <w:t xml:space="preserve">I. </w:t>
      </w:r>
      <w:r w:rsidRPr="00A4197A">
        <w:rPr>
          <w:rFonts w:ascii="Palatino Linotype" w:hAnsi="Palatino Linotype"/>
        </w:rPr>
        <w:t xml:space="preserve">En fecha tres de agosto de dos mil dieciocho, </w:t>
      </w:r>
      <w:r w:rsidRPr="00A4197A">
        <w:rPr>
          <w:rFonts w:ascii="Palatino Linotype" w:hAnsi="Palatino Linotype"/>
          <w:b/>
        </w:rPr>
        <w:t>EL RECURRENTE</w:t>
      </w:r>
      <w:r w:rsidRPr="00A4197A">
        <w:rPr>
          <w:rFonts w:ascii="Palatino Linotype" w:hAnsi="Palatino Linotype"/>
        </w:rPr>
        <w:t xml:space="preserve"> presentó a través del </w:t>
      </w:r>
      <w:r w:rsidRPr="00A4197A">
        <w:rPr>
          <w:rFonts w:ascii="Palatino Linotype" w:hAnsi="Palatino Linotype" w:cs="Arial"/>
        </w:rPr>
        <w:t>Sistema</w:t>
      </w:r>
      <w:r w:rsidRPr="00A4197A">
        <w:rPr>
          <w:rFonts w:ascii="Palatino Linotype" w:hAnsi="Palatino Linotype"/>
        </w:rPr>
        <w:t xml:space="preserve"> de Acceso a la Información Mexiquense, en lo subsecuente </w:t>
      </w:r>
      <w:r w:rsidRPr="00A4197A">
        <w:rPr>
          <w:rFonts w:ascii="Palatino Linotype" w:hAnsi="Palatino Linotype"/>
          <w:b/>
        </w:rPr>
        <w:t>EL SAIMEX</w:t>
      </w:r>
      <w:r w:rsidRPr="00A4197A">
        <w:rPr>
          <w:rFonts w:ascii="Palatino Linotype" w:hAnsi="Palatino Linotype"/>
        </w:rPr>
        <w:t xml:space="preserve"> ante </w:t>
      </w:r>
      <w:r w:rsidRPr="00A4197A">
        <w:rPr>
          <w:rFonts w:ascii="Palatino Linotype" w:hAnsi="Palatino Linotype"/>
          <w:b/>
        </w:rPr>
        <w:t>EL SUJETO OBLIGADO</w:t>
      </w:r>
      <w:r w:rsidRPr="00A4197A">
        <w:rPr>
          <w:rFonts w:ascii="Palatino Linotype" w:hAnsi="Palatino Linotype"/>
        </w:rPr>
        <w:t xml:space="preserve">, la solicitud de acceso a la información pública, a la que se le asignó el número </w:t>
      </w:r>
      <w:r w:rsidRPr="00A4197A">
        <w:rPr>
          <w:rFonts w:ascii="Palatino Linotype" w:hAnsi="Palatino Linotype"/>
          <w:b/>
          <w:bCs/>
        </w:rPr>
        <w:t>00889/IEEM/IP/2018</w:t>
      </w:r>
      <w:r w:rsidRPr="00A4197A">
        <w:rPr>
          <w:rFonts w:ascii="Palatino Linotype" w:hAnsi="Palatino Linotype"/>
        </w:rPr>
        <w:t>, mediante la cual requirió lo que a continuación se transcribe:</w:t>
      </w:r>
    </w:p>
    <w:p w:rsidR="00F1213C" w:rsidRPr="00A4197A" w:rsidRDefault="00F1213C" w:rsidP="00F1213C">
      <w:pPr>
        <w:spacing w:before="120" w:after="120"/>
        <w:ind w:left="851" w:right="899"/>
        <w:jc w:val="both"/>
        <w:rPr>
          <w:rFonts w:ascii="Palatino Linotype" w:hAnsi="Palatino Linotype"/>
          <w:sz w:val="22"/>
          <w:szCs w:val="22"/>
        </w:rPr>
      </w:pPr>
      <w:r w:rsidRPr="00A4197A">
        <w:rPr>
          <w:rFonts w:ascii="Palatino Linotype" w:hAnsi="Palatino Linotype" w:cs="Arial"/>
          <w:i/>
          <w:sz w:val="22"/>
          <w:szCs w:val="22"/>
        </w:rPr>
        <w:t xml:space="preserve">“SOLICITO A LOS INTEGRANTES DEL CONSEJO GENERAL EL PROCEDIMIENTO PARA LA REMOCIÓN DE CONSEJEROS, PUES SIEMPRE QUE SE PIDE REMOVER A CONSEJEROS, EL CONSEJO GENERAL DECLARA IMPROCEDENTES LAS SOLICITUDES. AGRADEZCO SU PRONTA RESPUESTA.” </w:t>
      </w:r>
      <w:r w:rsidRPr="00A4197A">
        <w:rPr>
          <w:rFonts w:ascii="Palatino Linotype" w:hAnsi="Palatino Linotype"/>
          <w:sz w:val="22"/>
          <w:szCs w:val="22"/>
        </w:rPr>
        <w:t>(Sic).</w:t>
      </w:r>
    </w:p>
    <w:p w:rsidR="00F1213C" w:rsidRPr="00A4197A" w:rsidRDefault="00F1213C" w:rsidP="00F1213C">
      <w:pPr>
        <w:spacing w:before="100" w:beforeAutospacing="1" w:after="100" w:afterAutospacing="1"/>
        <w:ind w:right="902"/>
        <w:jc w:val="both"/>
        <w:rPr>
          <w:rFonts w:ascii="Palatino Linotype" w:hAnsi="Palatino Linotype" w:cs="Arial"/>
        </w:rPr>
      </w:pPr>
      <w:r w:rsidRPr="00A4197A">
        <w:rPr>
          <w:rFonts w:ascii="Palatino Linotype" w:hAnsi="Palatino Linotype" w:cs="Arial"/>
          <w:b/>
        </w:rPr>
        <w:t>MODALIDAD DE ENTREGA:</w:t>
      </w:r>
      <w:r w:rsidRPr="00A4197A">
        <w:rPr>
          <w:rFonts w:ascii="Palatino Linotype" w:hAnsi="Palatino Linotype" w:cs="Arial"/>
        </w:rPr>
        <w:t xml:space="preserve"> Vía SAIMEX</w:t>
      </w:r>
    </w:p>
    <w:p w:rsidR="00F1213C" w:rsidRPr="00A4197A" w:rsidRDefault="00F1213C" w:rsidP="00F1213C">
      <w:pPr>
        <w:pStyle w:val="Prrafodelista"/>
        <w:spacing w:line="360" w:lineRule="auto"/>
        <w:ind w:left="0"/>
        <w:jc w:val="both"/>
        <w:rPr>
          <w:rFonts w:ascii="Palatino Linotype" w:hAnsi="Palatino Linotype"/>
        </w:rPr>
      </w:pPr>
      <w:r w:rsidRPr="00A4197A">
        <w:rPr>
          <w:rFonts w:ascii="Palatino Linotype" w:hAnsi="Palatino Linotype"/>
          <w:b/>
          <w:sz w:val="28"/>
          <w:szCs w:val="28"/>
        </w:rPr>
        <w:t>II.</w:t>
      </w:r>
      <w:r w:rsidRPr="00A4197A">
        <w:rPr>
          <w:rFonts w:ascii="Palatino Linotype" w:hAnsi="Palatino Linotype"/>
        </w:rPr>
        <w:t xml:space="preserve"> Con base en el detalle de seguimiento del</w:t>
      </w:r>
      <w:r w:rsidRPr="00A4197A">
        <w:rPr>
          <w:rFonts w:ascii="Palatino Linotype" w:hAnsi="Palatino Linotype"/>
          <w:b/>
        </w:rPr>
        <w:t xml:space="preserve"> SAIMEX</w:t>
      </w:r>
      <w:r w:rsidRPr="00A4197A">
        <w:rPr>
          <w:rFonts w:ascii="Palatino Linotype" w:hAnsi="Palatino Linotype"/>
        </w:rPr>
        <w:t>, se advierte que en fecha seis de agosto de dos mil dieciocho, la Unidad de Transparencia del</w:t>
      </w:r>
      <w:r w:rsidRPr="00A4197A">
        <w:rPr>
          <w:rFonts w:ascii="Palatino Linotype" w:hAnsi="Palatino Linotype"/>
          <w:b/>
        </w:rPr>
        <w:t xml:space="preserve"> SUJETO OBLIGADO</w:t>
      </w:r>
      <w:r w:rsidRPr="00A4197A">
        <w:rPr>
          <w:rFonts w:ascii="Palatino Linotype" w:hAnsi="Palatino Linotype"/>
        </w:rPr>
        <w:t xml:space="preserve"> turnó mediante requerimiento, el contenido de la solicitud de información al Servidor </w:t>
      </w:r>
      <w:r w:rsidRPr="00A4197A">
        <w:rPr>
          <w:rFonts w:ascii="Palatino Linotype" w:hAnsi="Palatino Linotype"/>
        </w:rPr>
        <w:lastRenderedPageBreak/>
        <w:t>Público Habilitado que consider</w:t>
      </w:r>
      <w:r w:rsidR="004F0089" w:rsidRPr="00A4197A">
        <w:rPr>
          <w:rFonts w:ascii="Palatino Linotype" w:hAnsi="Palatino Linotype"/>
        </w:rPr>
        <w:t>ó</w:t>
      </w:r>
      <w:r w:rsidRPr="00A4197A">
        <w:rPr>
          <w:rFonts w:ascii="Palatino Linotype" w:hAnsi="Palatino Linotype"/>
        </w:rPr>
        <w:t xml:space="preserve"> competente, tal y como se desprende de la imagen siguiente:</w:t>
      </w:r>
    </w:p>
    <w:p w:rsidR="00F1213C" w:rsidRPr="00A4197A" w:rsidRDefault="00F1213C" w:rsidP="00F1213C">
      <w:pPr>
        <w:pStyle w:val="Prrafodelista"/>
        <w:spacing w:line="360" w:lineRule="auto"/>
        <w:ind w:left="0"/>
        <w:jc w:val="center"/>
        <w:rPr>
          <w:rFonts w:ascii="Palatino Linotype" w:hAnsi="Palatino Linotype"/>
        </w:rPr>
      </w:pPr>
      <w:r w:rsidRPr="00A4197A">
        <w:rPr>
          <w:noProof/>
          <w:lang w:eastAsia="es-MX"/>
        </w:rPr>
        <mc:AlternateContent>
          <mc:Choice Requires="wps">
            <w:drawing>
              <wp:anchor distT="0" distB="0" distL="114300" distR="114300" simplePos="0" relativeHeight="251660288" behindDoc="0" locked="0" layoutInCell="1" allowOverlap="1" wp14:anchorId="3CEAC9D4" wp14:editId="164DA9ED">
                <wp:simplePos x="0" y="0"/>
                <wp:positionH relativeFrom="column">
                  <wp:posOffset>729615</wp:posOffset>
                </wp:positionH>
                <wp:positionV relativeFrom="paragraph">
                  <wp:posOffset>27305</wp:posOffset>
                </wp:positionV>
                <wp:extent cx="1219200" cy="584200"/>
                <wp:effectExtent l="0" t="0" r="19050" b="25400"/>
                <wp:wrapNone/>
                <wp:docPr id="5" name="Rectángulo 5"/>
                <wp:cNvGraphicFramePr/>
                <a:graphic xmlns:a="http://schemas.openxmlformats.org/drawingml/2006/main">
                  <a:graphicData uri="http://schemas.microsoft.com/office/word/2010/wordprocessingShape">
                    <wps:wsp>
                      <wps:cNvSpPr/>
                      <wps:spPr>
                        <a:xfrm>
                          <a:off x="0" y="0"/>
                          <a:ext cx="1219200" cy="5842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7E689" id="Rectángulo 5" o:spid="_x0000_s1026" style="position:absolute;margin-left:57.45pt;margin-top:2.15pt;width:96pt;height: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" filled="f" strokecolor="red" strokeweight="1.5pt"/>
            </w:pict>
          </mc:Fallback>
        </mc:AlternateContent>
      </w:r>
      <w:r w:rsidRPr="00A4197A">
        <w:rPr>
          <w:noProof/>
          <w:lang w:eastAsia="es-MX"/>
        </w:rPr>
        <w:drawing>
          <wp:inline distT="0" distB="0" distL="0" distR="0" wp14:anchorId="4A315679" wp14:editId="61CF3839">
            <wp:extent cx="5372100" cy="7175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24" t="40538" r="2423" b="44066"/>
                    <a:stretch/>
                  </pic:blipFill>
                  <pic:spPr bwMode="auto">
                    <a:xfrm>
                      <a:off x="0" y="0"/>
                      <a:ext cx="5372100" cy="717550"/>
                    </a:xfrm>
                    <a:prstGeom prst="rect">
                      <a:avLst/>
                    </a:prstGeom>
                    <a:ln>
                      <a:noFill/>
                    </a:ln>
                    <a:extLst>
                      <a:ext uri="{53640926-AAD7-44D8-BBD7-CCE9431645EC}">
                        <a14:shadowObscured xmlns:a14="http://schemas.microsoft.com/office/drawing/2010/main"/>
                      </a:ext>
                    </a:extLst>
                  </pic:spPr>
                </pic:pic>
              </a:graphicData>
            </a:graphic>
          </wp:inline>
        </w:drawing>
      </w:r>
    </w:p>
    <w:p w:rsidR="00F1213C" w:rsidRPr="00A4197A" w:rsidRDefault="00F1213C" w:rsidP="00F1213C">
      <w:pPr>
        <w:pStyle w:val="Prrafodelista"/>
        <w:tabs>
          <w:tab w:val="left" w:pos="567"/>
        </w:tabs>
        <w:spacing w:before="160" w:after="200" w:line="360" w:lineRule="auto"/>
        <w:ind w:left="0"/>
        <w:jc w:val="both"/>
        <w:rPr>
          <w:rFonts w:ascii="Palatino Linotype" w:hAnsi="Palatino Linotype" w:cs="Arial"/>
        </w:rPr>
      </w:pPr>
      <w:r w:rsidRPr="00A4197A">
        <w:rPr>
          <w:rFonts w:ascii="Palatino Linotype" w:hAnsi="Palatino Linotype" w:cs="Arial"/>
          <w:b/>
          <w:sz w:val="28"/>
          <w:szCs w:val="28"/>
        </w:rPr>
        <w:t>III.</w:t>
      </w:r>
      <w:r w:rsidRPr="00A4197A">
        <w:rPr>
          <w:rFonts w:ascii="Palatino Linotype" w:hAnsi="Palatino Linotype" w:cs="Arial"/>
          <w:szCs w:val="20"/>
        </w:rPr>
        <w:t xml:space="preserve"> De las </w:t>
      </w:r>
      <w:r w:rsidRPr="00A4197A">
        <w:rPr>
          <w:rFonts w:ascii="Palatino Linotype" w:hAnsi="Palatino Linotype"/>
        </w:rPr>
        <w:t>constancias</w:t>
      </w:r>
      <w:r w:rsidRPr="00A4197A">
        <w:rPr>
          <w:rFonts w:ascii="Palatino Linotype" w:hAnsi="Palatino Linotype" w:cs="Arial"/>
          <w:szCs w:val="20"/>
        </w:rPr>
        <w:t xml:space="preserve"> que obran en el expediente electrónico del </w:t>
      </w:r>
      <w:r w:rsidRPr="00A4197A">
        <w:rPr>
          <w:rFonts w:ascii="Palatino Linotype" w:hAnsi="Palatino Linotype" w:cs="Arial"/>
          <w:b/>
          <w:szCs w:val="20"/>
        </w:rPr>
        <w:t>SAIMEX</w:t>
      </w:r>
      <w:r w:rsidRPr="00A4197A">
        <w:rPr>
          <w:rFonts w:ascii="Palatino Linotype" w:hAnsi="Palatino Linotype" w:cs="Arial"/>
          <w:szCs w:val="20"/>
        </w:rPr>
        <w:t xml:space="preserve">, se advierte </w:t>
      </w:r>
      <w:r w:rsidRPr="00A4197A">
        <w:rPr>
          <w:rFonts w:ascii="Palatino Linotype" w:hAnsi="Palatino Linotype"/>
        </w:rPr>
        <w:t>que</w:t>
      </w:r>
      <w:r w:rsidRPr="00A4197A">
        <w:rPr>
          <w:rFonts w:ascii="Palatino Linotype" w:hAnsi="Palatino Linotype" w:cs="Arial"/>
        </w:rPr>
        <w:t xml:space="preserve"> en fecha </w:t>
      </w:r>
      <w:r w:rsidR="00702760" w:rsidRPr="00A4197A">
        <w:rPr>
          <w:rFonts w:ascii="Palatino Linotype" w:hAnsi="Palatino Linotype" w:cs="Arial"/>
        </w:rPr>
        <w:t xml:space="preserve">diez de agosto </w:t>
      </w:r>
      <w:r w:rsidRPr="00A4197A">
        <w:rPr>
          <w:rFonts w:ascii="Palatino Linotype" w:hAnsi="Palatino Linotype" w:cs="Arial"/>
        </w:rPr>
        <w:t>de dos mil dieciocho</w:t>
      </w:r>
      <w:r w:rsidRPr="00A4197A">
        <w:rPr>
          <w:rFonts w:ascii="Palatino Linotype" w:hAnsi="Palatino Linotype"/>
        </w:rPr>
        <w:t>,</w:t>
      </w:r>
      <w:r w:rsidRPr="00A4197A">
        <w:rPr>
          <w:rFonts w:ascii="Palatino Linotype" w:hAnsi="Palatino Linotype" w:cs="Arial"/>
        </w:rPr>
        <w:t xml:space="preserve"> </w:t>
      </w:r>
      <w:r w:rsidRPr="00A4197A">
        <w:rPr>
          <w:rFonts w:ascii="Palatino Linotype" w:hAnsi="Palatino Linotype" w:cs="Arial"/>
          <w:b/>
        </w:rPr>
        <w:t>EL SUJETO OBLIGADO</w:t>
      </w:r>
      <w:r w:rsidRPr="00A4197A">
        <w:rPr>
          <w:rFonts w:ascii="Palatino Linotype" w:hAnsi="Palatino Linotype" w:cs="Arial"/>
        </w:rPr>
        <w:t xml:space="preserve"> dio respuesta a la </w:t>
      </w:r>
      <w:r w:rsidRPr="00A4197A">
        <w:rPr>
          <w:rFonts w:ascii="Palatino Linotype" w:hAnsi="Palatino Linotype"/>
        </w:rPr>
        <w:t>solicitud</w:t>
      </w:r>
      <w:r w:rsidRPr="00A4197A">
        <w:rPr>
          <w:rFonts w:ascii="Palatino Linotype" w:hAnsi="Palatino Linotype" w:cs="Arial"/>
        </w:rPr>
        <w:t xml:space="preserve"> de </w:t>
      </w:r>
      <w:r w:rsidRPr="00A4197A">
        <w:rPr>
          <w:rFonts w:ascii="Palatino Linotype" w:hAnsi="Palatino Linotype"/>
        </w:rPr>
        <w:t>acceso</w:t>
      </w:r>
      <w:r w:rsidRPr="00A4197A">
        <w:rPr>
          <w:rFonts w:ascii="Palatino Linotype" w:hAnsi="Palatino Linotype" w:cs="Arial"/>
        </w:rPr>
        <w:t xml:space="preserve"> a la información pública requerida por </w:t>
      </w:r>
      <w:r w:rsidR="00702760" w:rsidRPr="00A4197A">
        <w:rPr>
          <w:rFonts w:ascii="Palatino Linotype" w:hAnsi="Palatino Linotype" w:cs="Arial"/>
          <w:b/>
        </w:rPr>
        <w:t>EL</w:t>
      </w:r>
      <w:r w:rsidRPr="00A4197A">
        <w:rPr>
          <w:rFonts w:ascii="Palatino Linotype" w:hAnsi="Palatino Linotype" w:cs="Arial"/>
          <w:b/>
        </w:rPr>
        <w:t xml:space="preserve"> RECURRENTE</w:t>
      </w:r>
      <w:r w:rsidRPr="00A4197A">
        <w:rPr>
          <w:rFonts w:ascii="Palatino Linotype" w:hAnsi="Palatino Linotype" w:cs="Arial"/>
        </w:rPr>
        <w:t xml:space="preserve">, </w:t>
      </w:r>
      <w:r w:rsidR="00702760" w:rsidRPr="00A4197A">
        <w:rPr>
          <w:rFonts w:ascii="Palatino Linotype" w:hAnsi="Palatino Linotype" w:cs="Arial"/>
        </w:rPr>
        <w:t xml:space="preserve">en </w:t>
      </w:r>
      <w:r w:rsidRPr="00A4197A">
        <w:rPr>
          <w:rFonts w:ascii="Palatino Linotype" w:hAnsi="Palatino Linotype" w:cs="Arial"/>
        </w:rPr>
        <w:t>la cual señala lo siguiente:</w:t>
      </w:r>
    </w:p>
    <w:p w:rsidR="00702760" w:rsidRPr="00A4197A" w:rsidRDefault="00702760" w:rsidP="00702760">
      <w:pPr>
        <w:pStyle w:val="Prrafodelista"/>
        <w:tabs>
          <w:tab w:val="left" w:pos="567"/>
        </w:tabs>
        <w:spacing w:before="160" w:after="200" w:line="360" w:lineRule="auto"/>
        <w:ind w:left="0"/>
        <w:jc w:val="center"/>
        <w:rPr>
          <w:rFonts w:ascii="Palatino Linotype" w:hAnsi="Palatino Linotype" w:cs="Arial"/>
        </w:rPr>
      </w:pPr>
      <w:bookmarkStart w:id="0" w:name="_GoBack"/>
      <w:r w:rsidRPr="00A4197A">
        <w:rPr>
          <w:noProof/>
          <w:lang w:eastAsia="es-MX"/>
        </w:rPr>
        <w:drawing>
          <wp:inline distT="0" distB="0" distL="0" distR="0" wp14:anchorId="31BE759F" wp14:editId="67A0B685">
            <wp:extent cx="4191990" cy="4588976"/>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21" t="14762" r="33056" b="5588"/>
                    <a:stretch/>
                  </pic:blipFill>
                  <pic:spPr bwMode="auto">
                    <a:xfrm>
                      <a:off x="0" y="0"/>
                      <a:ext cx="4237017" cy="4638267"/>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1213C" w:rsidRPr="00A4197A" w:rsidRDefault="00F1213C" w:rsidP="00F1213C">
      <w:pPr>
        <w:pStyle w:val="Prrafodelista"/>
        <w:tabs>
          <w:tab w:val="left" w:pos="567"/>
        </w:tabs>
        <w:spacing w:before="200" w:after="200" w:line="360" w:lineRule="auto"/>
        <w:ind w:left="0"/>
        <w:jc w:val="both"/>
        <w:rPr>
          <w:rFonts w:ascii="Palatino Linotype" w:hAnsi="Palatino Linotype" w:cs="Arial"/>
        </w:rPr>
      </w:pPr>
      <w:r w:rsidRPr="00A4197A">
        <w:rPr>
          <w:rFonts w:ascii="Palatino Linotype" w:hAnsi="Palatino Linotype" w:cs="Arial"/>
          <w:b/>
          <w:sz w:val="28"/>
          <w:szCs w:val="28"/>
        </w:rPr>
        <w:lastRenderedPageBreak/>
        <w:t>IV.</w:t>
      </w:r>
      <w:r w:rsidRPr="00A4197A">
        <w:rPr>
          <w:rFonts w:ascii="Palatino Linotype" w:hAnsi="Palatino Linotype" w:cs="Arial"/>
        </w:rPr>
        <w:t xml:space="preserve"> Inconforme</w:t>
      </w:r>
      <w:r w:rsidRPr="00A4197A">
        <w:rPr>
          <w:rFonts w:ascii="Palatino Linotype" w:hAnsi="Palatino Linotype"/>
        </w:rPr>
        <w:t xml:space="preserve"> con la </w:t>
      </w:r>
      <w:r w:rsidRPr="00A4197A">
        <w:rPr>
          <w:rFonts w:ascii="Palatino Linotype" w:hAnsi="Palatino Linotype" w:cs="Arial"/>
        </w:rPr>
        <w:t xml:space="preserve">respuesta </w:t>
      </w:r>
      <w:r w:rsidRPr="00A4197A">
        <w:rPr>
          <w:rFonts w:ascii="Palatino Linotype" w:hAnsi="Palatino Linotype"/>
        </w:rPr>
        <w:t xml:space="preserve">del </w:t>
      </w:r>
      <w:r w:rsidRPr="00A4197A">
        <w:rPr>
          <w:rFonts w:ascii="Palatino Linotype" w:hAnsi="Palatino Linotype"/>
          <w:b/>
        </w:rPr>
        <w:t>SUJETO OBLIGADO</w:t>
      </w:r>
      <w:r w:rsidRPr="00A4197A">
        <w:rPr>
          <w:rFonts w:ascii="Palatino Linotype" w:hAnsi="Palatino Linotype"/>
        </w:rPr>
        <w:t xml:space="preserve">, el </w:t>
      </w:r>
      <w:r w:rsidR="00702760" w:rsidRPr="00A4197A">
        <w:rPr>
          <w:rFonts w:ascii="Palatino Linotype" w:hAnsi="Palatino Linotype" w:cs="Arial"/>
        </w:rPr>
        <w:t xml:space="preserve">diez de agosto </w:t>
      </w:r>
      <w:r w:rsidRPr="00A4197A">
        <w:rPr>
          <w:rFonts w:ascii="Palatino Linotype" w:hAnsi="Palatino Linotype"/>
        </w:rPr>
        <w:t xml:space="preserve">de dos mil dieciocho, </w:t>
      </w:r>
      <w:r w:rsidR="00702760" w:rsidRPr="00A4197A">
        <w:rPr>
          <w:rFonts w:ascii="Palatino Linotype" w:hAnsi="Palatino Linotype"/>
          <w:b/>
        </w:rPr>
        <w:t>EL</w:t>
      </w:r>
      <w:r w:rsidRPr="00A4197A">
        <w:rPr>
          <w:rFonts w:ascii="Palatino Linotype" w:hAnsi="Palatino Linotype"/>
          <w:b/>
        </w:rPr>
        <w:t xml:space="preserve"> RECURRENTE</w:t>
      </w:r>
      <w:r w:rsidRPr="00A4197A">
        <w:rPr>
          <w:rFonts w:ascii="Palatino Linotype" w:hAnsi="Palatino Linotype"/>
        </w:rPr>
        <w:t xml:space="preserve"> mediante </w:t>
      </w:r>
      <w:r w:rsidRPr="00A4197A">
        <w:rPr>
          <w:rFonts w:ascii="Palatino Linotype" w:hAnsi="Palatino Linotype"/>
          <w:b/>
        </w:rPr>
        <w:t xml:space="preserve">EL SAIMEX </w:t>
      </w:r>
      <w:r w:rsidRPr="00A4197A">
        <w:rPr>
          <w:rFonts w:ascii="Palatino Linotype" w:hAnsi="Palatino Linotype"/>
        </w:rPr>
        <w:t xml:space="preserve">interpuso el recurso de revisión objeto del </w:t>
      </w:r>
      <w:r w:rsidRPr="00A4197A">
        <w:rPr>
          <w:rFonts w:ascii="Palatino Linotype" w:hAnsi="Palatino Linotype" w:cs="Arial"/>
        </w:rPr>
        <w:t>presente</w:t>
      </w:r>
      <w:r w:rsidRPr="00A4197A">
        <w:rPr>
          <w:rFonts w:ascii="Palatino Linotype" w:hAnsi="Palatino Linotype"/>
        </w:rPr>
        <w:t xml:space="preserve"> estudio, al que se le asignó el </w:t>
      </w:r>
      <w:r w:rsidRPr="00A4197A">
        <w:rPr>
          <w:rFonts w:ascii="Palatino Linotype" w:hAnsi="Palatino Linotype" w:cs="Arial"/>
        </w:rPr>
        <w:t xml:space="preserve">número </w:t>
      </w:r>
      <w:r w:rsidR="00702760" w:rsidRPr="00A4197A">
        <w:rPr>
          <w:rFonts w:ascii="Palatino Linotype" w:hAnsi="Palatino Linotype" w:cs="Arial"/>
          <w:b/>
          <w:bCs/>
          <w:lang w:val="es-ES_tradnl"/>
        </w:rPr>
        <w:t>02852</w:t>
      </w:r>
      <w:r w:rsidRPr="00A4197A">
        <w:rPr>
          <w:rFonts w:ascii="Palatino Linotype" w:hAnsi="Palatino Linotype" w:cs="Arial"/>
          <w:b/>
          <w:bCs/>
          <w:lang w:val="es-ES_tradnl"/>
        </w:rPr>
        <w:t>/INFOEM/IP/RR/2018</w:t>
      </w:r>
      <w:r w:rsidRPr="00A4197A">
        <w:rPr>
          <w:rFonts w:ascii="Palatino Linotype" w:hAnsi="Palatino Linotype" w:cs="Arial"/>
        </w:rPr>
        <w:t>, en el que señaló en acto impugnado lo siguiente :</w:t>
      </w:r>
    </w:p>
    <w:p w:rsidR="00F1213C" w:rsidRPr="00A4197A" w:rsidRDefault="00F1213C" w:rsidP="00702760">
      <w:pPr>
        <w:spacing w:before="200" w:after="200"/>
        <w:ind w:left="851" w:right="899"/>
        <w:jc w:val="both"/>
        <w:rPr>
          <w:rFonts w:ascii="Palatino Linotype" w:hAnsi="Palatino Linotype" w:cs="Arial"/>
          <w:i/>
          <w:sz w:val="22"/>
          <w:szCs w:val="22"/>
        </w:rPr>
      </w:pPr>
      <w:r w:rsidRPr="00A4197A">
        <w:rPr>
          <w:rFonts w:ascii="Palatino Linotype" w:hAnsi="Palatino Linotype" w:cs="Arial"/>
          <w:i/>
          <w:sz w:val="22"/>
          <w:szCs w:val="22"/>
          <w:lang w:eastAsia="es-MX"/>
        </w:rPr>
        <w:t>“</w:t>
      </w:r>
      <w:r w:rsidR="00702760" w:rsidRPr="00A4197A">
        <w:rPr>
          <w:rFonts w:ascii="Palatino Linotype" w:hAnsi="Palatino Linotype" w:cs="Arial"/>
          <w:i/>
          <w:sz w:val="22"/>
          <w:szCs w:val="22"/>
        </w:rPr>
        <w:t>SE RECIBIÓ LA INFORMACIÓN INCOMPLETA.</w:t>
      </w:r>
      <w:r w:rsidRPr="00A4197A">
        <w:rPr>
          <w:rFonts w:ascii="Palatino Linotype" w:hAnsi="Palatino Linotype" w:cs="Arial"/>
          <w:i/>
          <w:sz w:val="22"/>
          <w:szCs w:val="22"/>
          <w:lang w:eastAsia="es-MX"/>
        </w:rPr>
        <w:t xml:space="preserve">” </w:t>
      </w:r>
      <w:r w:rsidRPr="00A4197A">
        <w:rPr>
          <w:rFonts w:ascii="Palatino Linotype" w:hAnsi="Palatino Linotype" w:cs="Arial"/>
          <w:sz w:val="22"/>
          <w:szCs w:val="22"/>
          <w:lang w:eastAsia="es-MX"/>
        </w:rPr>
        <w:t>(Sic)</w:t>
      </w:r>
    </w:p>
    <w:p w:rsidR="00F1213C" w:rsidRPr="00A4197A" w:rsidRDefault="00F1213C" w:rsidP="00F1213C">
      <w:pPr>
        <w:spacing w:line="360" w:lineRule="auto"/>
        <w:jc w:val="both"/>
        <w:rPr>
          <w:rFonts w:ascii="Palatino Linotype" w:hAnsi="Palatino Linotype" w:cs="Arial"/>
        </w:rPr>
      </w:pPr>
      <w:r w:rsidRPr="00A4197A">
        <w:rPr>
          <w:rFonts w:ascii="Palatino Linotype" w:hAnsi="Palatino Linotype" w:cs="Arial"/>
        </w:rPr>
        <w:t xml:space="preserve">Asimismo, como razones o motivos de inconformidad:  </w:t>
      </w:r>
    </w:p>
    <w:p w:rsidR="00F1213C" w:rsidRPr="00A4197A" w:rsidRDefault="00F1213C" w:rsidP="00702760">
      <w:pPr>
        <w:ind w:left="851" w:right="902"/>
        <w:jc w:val="both"/>
        <w:rPr>
          <w:rFonts w:ascii="Palatino Linotype" w:hAnsi="Palatino Linotype"/>
          <w:i/>
          <w:sz w:val="22"/>
          <w:szCs w:val="22"/>
          <w:lang w:eastAsia="es-MX"/>
        </w:rPr>
      </w:pPr>
      <w:r w:rsidRPr="00A4197A">
        <w:rPr>
          <w:rFonts w:ascii="Palatino Linotype" w:hAnsi="Palatino Linotype"/>
          <w:i/>
          <w:sz w:val="22"/>
          <w:szCs w:val="22"/>
          <w:lang w:eastAsia="es-MX"/>
        </w:rPr>
        <w:t>“</w:t>
      </w:r>
      <w:r w:rsidR="00702760" w:rsidRPr="00A4197A">
        <w:rPr>
          <w:rFonts w:ascii="Palatino Linotype" w:hAnsi="Palatino Linotype"/>
          <w:i/>
          <w:sz w:val="22"/>
          <w:szCs w:val="22"/>
          <w:lang w:eastAsia="es-MX"/>
        </w:rPr>
        <w:t>EN LA RESPUESTA EL SECRETARIO EJECUTIVO DEL IEEM FRANCISCO JAVIER LÓPEZ CORRAL PRECISA EL SUSTENTO LEGAL PARA LA REMOCIÓN DE CONSEJEROS ELECTORALES, NO ASÍ EL PROCEDIMIENTO PARA LA REMOCIÓN DE CONSEJEROS, UNA COSA ES EL SUSTENTO JURÍDICO QUE ES EL ARTÍCULO 233 DEL CÓDIGO ELECTORAL DEL ESTADO DE MÉXICO COMO BIEN SEÑALA EL SEÑOR LÓPEZ CORRAL Y, OTRA COSA MUY DISTINTA EL PROCEDIMIENTO OBJETO DE LA PRESENTE SOLICITUD. AGRADECERÍA A LOS MIEMBROS DEL INFOEM REVOQUEN LA RESPUESTA Y ORDENEN LA ENTREGA DE LO SOLICITADO</w:t>
      </w:r>
      <w:r w:rsidRPr="00A4197A">
        <w:rPr>
          <w:rFonts w:ascii="Palatino Linotype" w:hAnsi="Palatino Linotype"/>
          <w:i/>
          <w:sz w:val="22"/>
          <w:szCs w:val="22"/>
          <w:lang w:eastAsia="es-MX"/>
        </w:rPr>
        <w:t>.” (Sic)</w:t>
      </w:r>
    </w:p>
    <w:p w:rsidR="00F1213C" w:rsidRPr="00A4197A" w:rsidRDefault="00F1213C" w:rsidP="00702760">
      <w:pPr>
        <w:pStyle w:val="Default"/>
        <w:spacing w:before="100" w:beforeAutospacing="1" w:after="100" w:afterAutospacing="1" w:line="360" w:lineRule="auto"/>
        <w:ind w:right="51"/>
        <w:jc w:val="both"/>
        <w:rPr>
          <w:rFonts w:ascii="Palatino Linotype" w:hAnsi="Palatino Linotype"/>
          <w:lang w:val="es-ES_tradnl"/>
        </w:rPr>
      </w:pPr>
      <w:r w:rsidRPr="00A4197A">
        <w:rPr>
          <w:rFonts w:ascii="Palatino Linotype" w:hAnsi="Palatino Linotype"/>
          <w:b/>
          <w:sz w:val="28"/>
          <w:szCs w:val="28"/>
        </w:rPr>
        <w:t>V.</w:t>
      </w:r>
      <w:r w:rsidRPr="00A4197A">
        <w:rPr>
          <w:rFonts w:ascii="Palatino Linotype" w:hAnsi="Palatino Linotype"/>
        </w:rPr>
        <w:t xml:space="preserve"> En fecha </w:t>
      </w:r>
      <w:r w:rsidR="00702760" w:rsidRPr="00A4197A">
        <w:rPr>
          <w:rFonts w:ascii="Palatino Linotype" w:hAnsi="Palatino Linotype"/>
        </w:rPr>
        <w:t xml:space="preserve">diez de agosto </w:t>
      </w:r>
      <w:r w:rsidRPr="00A4197A">
        <w:rPr>
          <w:rFonts w:ascii="Palatino Linotype" w:hAnsi="Palatino Linotype"/>
        </w:rPr>
        <w:t xml:space="preserve">de dos mil dieciocho, el </w:t>
      </w:r>
      <w:r w:rsidRPr="00A4197A">
        <w:rPr>
          <w:rFonts w:ascii="Palatino Linotype" w:hAnsi="Palatino Linotype"/>
          <w:lang w:val="es-ES_tradnl"/>
        </w:rPr>
        <w:t>recurso de que</w:t>
      </w:r>
      <w:r w:rsidRPr="00A4197A">
        <w:rPr>
          <w:rFonts w:ascii="Palatino Linotype" w:hAnsi="Palatino Linotype"/>
        </w:rPr>
        <w:t xml:space="preserve"> se trata</w:t>
      </w:r>
      <w:r w:rsidRPr="00A4197A">
        <w:rPr>
          <w:rFonts w:ascii="Palatino Linotype" w:hAnsi="Palatino Linotype"/>
          <w:lang w:val="es-ES_tradnl"/>
        </w:rPr>
        <w:t xml:space="preserve"> se envió </w:t>
      </w:r>
      <w:r w:rsidRPr="00A4197A">
        <w:rPr>
          <w:rFonts w:ascii="Palatino Linotype" w:hAnsi="Palatino Linotype"/>
        </w:rPr>
        <w:t>electrónicamente</w:t>
      </w:r>
      <w:r w:rsidRPr="00A4197A">
        <w:rPr>
          <w:rFonts w:ascii="Palatino Linotype" w:hAnsi="Palatino Linotype"/>
          <w:lang w:val="es-ES_tradnl"/>
        </w:rPr>
        <w:t xml:space="preserve"> </w:t>
      </w:r>
      <w:r w:rsidRPr="00A4197A">
        <w:rPr>
          <w:rFonts w:ascii="Palatino Linotype" w:hAnsi="Palatino Linotype"/>
        </w:rPr>
        <w:t>al</w:t>
      </w:r>
      <w:r w:rsidRPr="00A4197A">
        <w:rPr>
          <w:rFonts w:ascii="Palatino Linotype" w:hAnsi="Palatino Linotype"/>
          <w:lang w:val="es-ES_tradnl"/>
        </w:rPr>
        <w:t xml:space="preserve"> </w:t>
      </w:r>
      <w:r w:rsidRPr="00A4197A">
        <w:rPr>
          <w:rFonts w:ascii="Palatino Linotype" w:hAnsi="Palatino Linotype"/>
        </w:rPr>
        <w:t>Instituto</w:t>
      </w:r>
      <w:r w:rsidRPr="00A4197A">
        <w:rPr>
          <w:rFonts w:ascii="Palatino Linotype" w:hAnsi="Palatino Linotype"/>
          <w:lang w:val="es-ES_tradnl"/>
        </w:rPr>
        <w:t xml:space="preserve"> de </w:t>
      </w:r>
      <w:r w:rsidRPr="00A4197A">
        <w:rPr>
          <w:rFonts w:ascii="Palatino Linotype" w:eastAsia="Arial Unicode MS" w:hAnsi="Palatino Linotype"/>
        </w:rPr>
        <w:t>Transparencia</w:t>
      </w:r>
      <w:r w:rsidRPr="00A4197A">
        <w:rPr>
          <w:rFonts w:ascii="Palatino Linotype" w:hAnsi="Palatino Linotype"/>
          <w:lang w:val="es-ES_tradnl"/>
        </w:rPr>
        <w:t xml:space="preserve">, Acceso a la Información Pública y </w:t>
      </w:r>
      <w:r w:rsidRPr="00A4197A">
        <w:rPr>
          <w:rFonts w:ascii="Palatino Linotype" w:hAnsi="Palatino Linotype"/>
        </w:rPr>
        <w:t>Protección</w:t>
      </w:r>
      <w:r w:rsidRPr="00A4197A">
        <w:rPr>
          <w:rFonts w:ascii="Palatino Linotype" w:hAnsi="Palatino Linotype"/>
          <w:lang w:val="es-ES_tradnl"/>
        </w:rPr>
        <w:t xml:space="preserve"> </w:t>
      </w:r>
      <w:r w:rsidRPr="00A4197A">
        <w:rPr>
          <w:rFonts w:ascii="Palatino Linotype" w:hAnsi="Palatino Linotype"/>
        </w:rPr>
        <w:t>de</w:t>
      </w:r>
      <w:r w:rsidRPr="00A4197A">
        <w:rPr>
          <w:rFonts w:ascii="Palatino Linotype" w:hAnsi="Palatino Linotype"/>
          <w:lang w:val="es-ES_tradnl"/>
        </w:rPr>
        <w:t xml:space="preserve"> </w:t>
      </w:r>
      <w:r w:rsidRPr="00A4197A">
        <w:rPr>
          <w:rFonts w:ascii="Palatino Linotype" w:hAnsi="Palatino Linotype"/>
        </w:rPr>
        <w:t>Datos</w:t>
      </w:r>
      <w:r w:rsidRPr="00A4197A">
        <w:rPr>
          <w:rFonts w:ascii="Palatino Linotype" w:hAnsi="Palatino Linotype"/>
          <w:lang w:val="es-ES_tradnl"/>
        </w:rPr>
        <w:t xml:space="preserve"> </w:t>
      </w:r>
      <w:r w:rsidRPr="00A4197A">
        <w:rPr>
          <w:rFonts w:ascii="Palatino Linotype" w:hAnsi="Palatino Linotype"/>
        </w:rPr>
        <w:t>Personales</w:t>
      </w:r>
      <w:r w:rsidRPr="00A4197A">
        <w:rPr>
          <w:rFonts w:ascii="Palatino Linotype" w:hAnsi="Palatino Linotype"/>
          <w:lang w:val="es-ES_tradnl"/>
        </w:rPr>
        <w:t xml:space="preserve"> del Estado de México y Municipios y con fundamento en el </w:t>
      </w:r>
      <w:r w:rsidRPr="00A4197A">
        <w:rPr>
          <w:rFonts w:ascii="Palatino Linotype" w:hAnsi="Palatino Linotype"/>
        </w:rPr>
        <w:t>artículo</w:t>
      </w:r>
      <w:r w:rsidRPr="00A4197A">
        <w:rPr>
          <w:rFonts w:ascii="Palatino Linotype" w:hAnsi="Palatino Linotype"/>
          <w:lang w:val="es-ES_tradnl"/>
        </w:rPr>
        <w:t xml:space="preserve"> 185</w:t>
      </w:r>
      <w:r w:rsidR="00702760" w:rsidRPr="00A4197A">
        <w:rPr>
          <w:rFonts w:ascii="Palatino Linotype" w:hAnsi="Palatino Linotype"/>
          <w:lang w:val="es-ES_tradnl"/>
        </w:rPr>
        <w:t>,</w:t>
      </w:r>
      <w:r w:rsidRPr="00A4197A">
        <w:rPr>
          <w:rFonts w:ascii="Palatino Linotype" w:hAnsi="Palatino Linotype"/>
          <w:lang w:val="es-ES_tradnl"/>
        </w:rPr>
        <w:t xml:space="preserve"> </w:t>
      </w:r>
      <w:r w:rsidRPr="00A4197A">
        <w:rPr>
          <w:rFonts w:ascii="Palatino Linotype" w:hAnsi="Palatino Linotype"/>
        </w:rPr>
        <w:t>fracción</w:t>
      </w:r>
      <w:r w:rsidRPr="00A4197A">
        <w:rPr>
          <w:rFonts w:ascii="Palatino Linotype" w:hAnsi="Palatino Linotype"/>
          <w:lang w:val="es-ES_tradnl"/>
        </w:rPr>
        <w:t xml:space="preserve"> I de la </w:t>
      </w:r>
      <w:r w:rsidRPr="00A4197A">
        <w:rPr>
          <w:rFonts w:ascii="Palatino Linotype" w:hAnsi="Palatino Linotype"/>
        </w:rPr>
        <w:t>Ley de Transparencia y Acceso a la Información Pública del Estado de México y Municipios</w:t>
      </w:r>
      <w:r w:rsidRPr="00A4197A">
        <w:rPr>
          <w:rFonts w:ascii="Palatino Linotype" w:hAnsi="Palatino Linotype"/>
          <w:lang w:val="es-ES_tradnl"/>
        </w:rPr>
        <w:t>, se turnó, a través del</w:t>
      </w:r>
      <w:r w:rsidRPr="00A4197A">
        <w:rPr>
          <w:rFonts w:ascii="Palatino Linotype" w:eastAsia="Arial Unicode MS" w:hAnsi="Palatino Linotype"/>
          <w:lang w:val="es-ES_tradnl"/>
        </w:rPr>
        <w:t xml:space="preserve"> </w:t>
      </w:r>
      <w:r w:rsidRPr="00A4197A">
        <w:rPr>
          <w:rFonts w:ascii="Palatino Linotype" w:eastAsia="Arial Unicode MS" w:hAnsi="Palatino Linotype"/>
          <w:b/>
          <w:lang w:val="es-ES_tradnl"/>
        </w:rPr>
        <w:t>SAIMEX</w:t>
      </w:r>
      <w:r w:rsidRPr="00A4197A">
        <w:rPr>
          <w:rFonts w:ascii="Palatino Linotype" w:hAnsi="Palatino Linotype"/>
        </w:rPr>
        <w:t xml:space="preserve">, a la </w:t>
      </w:r>
      <w:r w:rsidRPr="00A4197A">
        <w:rPr>
          <w:rFonts w:ascii="Palatino Linotype" w:hAnsi="Palatino Linotype"/>
          <w:lang w:val="es-ES_tradnl"/>
        </w:rPr>
        <w:t xml:space="preserve">Comisionada </w:t>
      </w:r>
      <w:r w:rsidRPr="00A4197A">
        <w:rPr>
          <w:rFonts w:ascii="Palatino Linotype" w:hAnsi="Palatino Linotype"/>
          <w:b/>
          <w:lang w:val="es-ES_tradnl"/>
        </w:rPr>
        <w:t>EVA ABAID YAPUR</w:t>
      </w:r>
      <w:r w:rsidRPr="00A4197A">
        <w:rPr>
          <w:rFonts w:ascii="Palatino Linotype" w:hAnsi="Palatino Linotype"/>
          <w:lang w:val="es-ES_tradnl"/>
        </w:rPr>
        <w:t>, a efecto de que decretara su admisión o desechamiento.</w:t>
      </w:r>
    </w:p>
    <w:p w:rsidR="00F1213C" w:rsidRPr="00A4197A" w:rsidRDefault="00F1213C" w:rsidP="00F1213C">
      <w:pPr>
        <w:pStyle w:val="Prrafodelista"/>
        <w:tabs>
          <w:tab w:val="left" w:pos="567"/>
        </w:tabs>
        <w:spacing w:before="240" w:after="240" w:line="360" w:lineRule="auto"/>
        <w:ind w:left="0"/>
        <w:jc w:val="both"/>
        <w:rPr>
          <w:rFonts w:ascii="Palatino Linotype" w:hAnsi="Palatino Linotype" w:cs="Arial"/>
        </w:rPr>
      </w:pPr>
      <w:r w:rsidRPr="00A4197A">
        <w:rPr>
          <w:rFonts w:ascii="Palatino Linotype" w:hAnsi="Palatino Linotype" w:cs="Arial"/>
          <w:b/>
          <w:sz w:val="28"/>
          <w:szCs w:val="28"/>
        </w:rPr>
        <w:t>VI.</w:t>
      </w:r>
      <w:r w:rsidRPr="00A4197A">
        <w:rPr>
          <w:rFonts w:ascii="Palatino Linotype" w:hAnsi="Palatino Linotype" w:cs="Arial"/>
        </w:rPr>
        <w:t xml:space="preserve"> En fecha </w:t>
      </w:r>
      <w:r w:rsidR="00702760" w:rsidRPr="00A4197A">
        <w:rPr>
          <w:rFonts w:ascii="Palatino Linotype" w:hAnsi="Palatino Linotype" w:cs="Arial"/>
        </w:rPr>
        <w:t xml:space="preserve">dieciséis de agosto </w:t>
      </w:r>
      <w:r w:rsidRPr="00A4197A">
        <w:rPr>
          <w:rFonts w:ascii="Palatino Linotype" w:hAnsi="Palatino Linotype"/>
        </w:rPr>
        <w:t>de dos mil dieciocho</w:t>
      </w:r>
      <w:r w:rsidRPr="00A4197A">
        <w:rPr>
          <w:rFonts w:ascii="Palatino Linotype" w:hAnsi="Palatino Linotype" w:cs="Arial"/>
        </w:rPr>
        <w:t>, atento a lo dispuesto en el artículo 185</w:t>
      </w:r>
      <w:r w:rsidR="00702760" w:rsidRPr="00A4197A">
        <w:rPr>
          <w:rFonts w:ascii="Palatino Linotype" w:hAnsi="Palatino Linotype" w:cs="Arial"/>
        </w:rPr>
        <w:t>,</w:t>
      </w:r>
      <w:r w:rsidRPr="00A4197A">
        <w:rPr>
          <w:rFonts w:ascii="Palatino Linotype" w:hAnsi="Palatino Linotype" w:cs="Arial"/>
        </w:rPr>
        <w:t xml:space="preserve"> fracciones I, II y IV de la </w:t>
      </w:r>
      <w:r w:rsidRPr="00A4197A">
        <w:rPr>
          <w:rFonts w:ascii="Palatino Linotype" w:hAnsi="Palatino Linotype"/>
        </w:rPr>
        <w:t>Ley de Transparencia y Acceso a la Información Pública del Estado de México y Municipios, se a</w:t>
      </w:r>
      <w:r w:rsidRPr="00A4197A">
        <w:rPr>
          <w:rFonts w:ascii="Palatino Linotype" w:hAnsi="Palatino Linotype" w:cs="Arial"/>
        </w:rPr>
        <w:t xml:space="preserve">cordó la admisión a trámite del referido </w:t>
      </w:r>
      <w:r w:rsidRPr="00A4197A">
        <w:rPr>
          <w:rFonts w:ascii="Palatino Linotype" w:hAnsi="Palatino Linotype" w:cs="Arial"/>
        </w:rPr>
        <w:lastRenderedPageBreak/>
        <w:t xml:space="preserve">recurso de </w:t>
      </w:r>
      <w:r w:rsidRPr="00A4197A">
        <w:rPr>
          <w:rFonts w:ascii="Palatino Linotype" w:hAnsi="Palatino Linotype" w:cs="Arial"/>
          <w:lang w:val="es-ES_tradnl"/>
        </w:rPr>
        <w:t>revisión</w:t>
      </w:r>
      <w:r w:rsidRPr="00A4197A">
        <w:rPr>
          <w:rFonts w:ascii="Palatino Linotype" w:hAnsi="Palatino Linotype" w:cs="Arial"/>
        </w:rPr>
        <w:t xml:space="preserve">, así como la integración del expediente respectivo, mismo que se puso a disposición de las partes, para que en el plazo máximo de siete días hábiles, </w:t>
      </w:r>
      <w:r w:rsidR="00702760" w:rsidRPr="00A4197A">
        <w:rPr>
          <w:rFonts w:ascii="Palatino Linotype" w:hAnsi="Palatino Linotype" w:cs="Arial"/>
          <w:b/>
        </w:rPr>
        <w:t xml:space="preserve">EL </w:t>
      </w:r>
      <w:r w:rsidRPr="00A4197A">
        <w:rPr>
          <w:rFonts w:ascii="Palatino Linotype" w:hAnsi="Palatino Linotype" w:cs="Arial"/>
          <w:b/>
        </w:rPr>
        <w:t>RECURRENTE</w:t>
      </w:r>
      <w:r w:rsidRPr="00A4197A">
        <w:rPr>
          <w:rFonts w:ascii="Palatino Linotype" w:hAnsi="Palatino Linotype" w:cs="Arial"/>
        </w:rPr>
        <w:t xml:space="preserve"> realizara manifestaciones, alegatos y ofreciera las pruebas que a su derecho </w:t>
      </w:r>
      <w:r w:rsidRPr="00A4197A">
        <w:rPr>
          <w:rFonts w:ascii="Palatino Linotype" w:hAnsi="Palatino Linotype" w:cs="Arial"/>
          <w:lang w:val="es-ES_tradnl"/>
        </w:rPr>
        <w:t>conviniera</w:t>
      </w:r>
      <w:r w:rsidRPr="00A4197A">
        <w:rPr>
          <w:rFonts w:ascii="Palatino Linotype" w:hAnsi="Palatino Linotype" w:cs="Arial"/>
        </w:rPr>
        <w:t xml:space="preserve"> y, en el caso del</w:t>
      </w:r>
      <w:r w:rsidRPr="00A4197A">
        <w:rPr>
          <w:rFonts w:ascii="Palatino Linotype" w:hAnsi="Palatino Linotype" w:cs="Arial"/>
          <w:b/>
        </w:rPr>
        <w:t xml:space="preserve"> SUJETO OBLIGADO</w:t>
      </w:r>
      <w:r w:rsidRPr="00A4197A">
        <w:rPr>
          <w:rFonts w:ascii="Palatino Linotype" w:hAnsi="Palatino Linotype" w:cs="Arial"/>
        </w:rPr>
        <w:t>, para que exhibiera el Informe Justificado correspondiente.</w:t>
      </w:r>
    </w:p>
    <w:p w:rsidR="00F1213C" w:rsidRPr="00A4197A" w:rsidRDefault="00F1213C" w:rsidP="00F1213C">
      <w:pPr>
        <w:pStyle w:val="Prrafodelista"/>
        <w:spacing w:before="200" w:after="200" w:line="360" w:lineRule="auto"/>
        <w:ind w:left="0"/>
        <w:jc w:val="both"/>
        <w:rPr>
          <w:rFonts w:ascii="Palatino Linotype" w:hAnsi="Palatino Linotype"/>
          <w:color w:val="000000"/>
        </w:rPr>
      </w:pPr>
      <w:r w:rsidRPr="00A4197A">
        <w:rPr>
          <w:rFonts w:ascii="Palatino Linotype" w:hAnsi="Palatino Linotype" w:cs="Arial"/>
          <w:b/>
          <w:sz w:val="28"/>
          <w:szCs w:val="28"/>
        </w:rPr>
        <w:t>VII.</w:t>
      </w:r>
      <w:r w:rsidRPr="00A4197A">
        <w:rPr>
          <w:rFonts w:ascii="Palatino Linotype" w:hAnsi="Palatino Linotype" w:cs="Arial"/>
        </w:rPr>
        <w:t xml:space="preserve"> De</w:t>
      </w:r>
      <w:r w:rsidRPr="00A4197A">
        <w:rPr>
          <w:rFonts w:ascii="Palatino Linotype" w:hAnsi="Palatino Linotype" w:cs="Arial"/>
          <w:lang w:val="es-ES_tradnl"/>
        </w:rPr>
        <w:t xml:space="preserve"> las </w:t>
      </w:r>
      <w:r w:rsidRPr="00A4197A">
        <w:rPr>
          <w:rFonts w:ascii="Palatino Linotype" w:hAnsi="Palatino Linotype" w:cs="Arial"/>
        </w:rPr>
        <w:t>constancias</w:t>
      </w:r>
      <w:r w:rsidRPr="00A4197A">
        <w:rPr>
          <w:rFonts w:ascii="Palatino Linotype" w:hAnsi="Palatino Linotype" w:cs="Arial"/>
          <w:lang w:val="es-ES_tradnl"/>
        </w:rPr>
        <w:t xml:space="preserve"> que obran en el </w:t>
      </w:r>
      <w:r w:rsidRPr="00A4197A">
        <w:rPr>
          <w:rFonts w:ascii="Palatino Linotype" w:hAnsi="Palatino Linotype" w:cs="Arial"/>
          <w:b/>
          <w:lang w:val="es-ES_tradnl"/>
        </w:rPr>
        <w:t>SAIMEX</w:t>
      </w:r>
      <w:r w:rsidRPr="00A4197A">
        <w:rPr>
          <w:rFonts w:ascii="Palatino Linotype" w:hAnsi="Palatino Linotype" w:cs="Arial"/>
          <w:lang w:val="es-ES_tradnl"/>
        </w:rPr>
        <w:t>, se advierte que</w:t>
      </w:r>
      <w:r w:rsidRPr="00A4197A">
        <w:rPr>
          <w:rFonts w:ascii="Palatino Linotype" w:hAnsi="Palatino Linotype" w:cs="Arial"/>
          <w:b/>
          <w:lang w:val="es-ES_tradnl"/>
        </w:rPr>
        <w:t xml:space="preserve"> </w:t>
      </w:r>
      <w:r w:rsidR="00702760" w:rsidRPr="00A4197A">
        <w:rPr>
          <w:rFonts w:ascii="Palatino Linotype" w:hAnsi="Palatino Linotype" w:cs="Arial"/>
          <w:b/>
        </w:rPr>
        <w:t>EL</w:t>
      </w:r>
      <w:r w:rsidRPr="00A4197A">
        <w:rPr>
          <w:rFonts w:ascii="Palatino Linotype" w:hAnsi="Palatino Linotype" w:cs="Arial"/>
          <w:b/>
        </w:rPr>
        <w:t xml:space="preserve"> RECURRENTE</w:t>
      </w:r>
      <w:r w:rsidRPr="00A4197A">
        <w:rPr>
          <w:rFonts w:ascii="Palatino Linotype" w:hAnsi="Palatino Linotype" w:cs="Arial"/>
        </w:rPr>
        <w:t xml:space="preserve"> omitió presentar manifestaciones y alegatos, así como ofrecer los medios de prueba que a su derecho convinieran. Por su parte, en fecha </w:t>
      </w:r>
      <w:r w:rsidR="00702760" w:rsidRPr="00A4197A">
        <w:rPr>
          <w:rFonts w:ascii="Palatino Linotype" w:hAnsi="Palatino Linotype" w:cs="Arial"/>
        </w:rPr>
        <w:t xml:space="preserve">veintidós de agosto </w:t>
      </w:r>
      <w:r w:rsidRPr="00A4197A">
        <w:rPr>
          <w:rFonts w:ascii="Palatino Linotype" w:hAnsi="Palatino Linotype" w:cs="Arial"/>
        </w:rPr>
        <w:t xml:space="preserve">dos mil dieciocho, </w:t>
      </w:r>
      <w:r w:rsidRPr="00A4197A">
        <w:rPr>
          <w:rFonts w:ascii="Palatino Linotype" w:hAnsi="Palatino Linotype" w:cs="Arial"/>
          <w:b/>
        </w:rPr>
        <w:t xml:space="preserve">EL SUJETO OBLIGADO </w:t>
      </w:r>
      <w:r w:rsidRPr="00A4197A">
        <w:rPr>
          <w:rFonts w:ascii="Palatino Linotype" w:hAnsi="Palatino Linotype" w:cs="Arial"/>
        </w:rPr>
        <w:t xml:space="preserve">exhibió el Informe Justificado, adjuntando el archivo electrónico denominado </w:t>
      </w:r>
      <w:r w:rsidR="00702760" w:rsidRPr="00A4197A">
        <w:rPr>
          <w:rFonts w:ascii="Palatino Linotype" w:hAnsi="Palatino Linotype" w:cs="Arial"/>
          <w:b/>
        </w:rPr>
        <w:t>INFORME JUSTIFICADO RR 2852-2018.pdf</w:t>
      </w:r>
      <w:r w:rsidRPr="00A4197A">
        <w:rPr>
          <w:rFonts w:ascii="Palatino Linotype" w:hAnsi="Palatino Linotype" w:cs="Arial"/>
          <w:b/>
        </w:rPr>
        <w:t xml:space="preserve">, </w:t>
      </w:r>
      <w:r w:rsidRPr="00A4197A">
        <w:rPr>
          <w:rFonts w:ascii="Palatino Linotype" w:hAnsi="Palatino Linotype" w:cs="Arial"/>
        </w:rPr>
        <w:t>tal y como se aprecia a continuación:</w:t>
      </w:r>
    </w:p>
    <w:p w:rsidR="00F1213C" w:rsidRPr="00A4197A" w:rsidRDefault="00702760" w:rsidP="00702760">
      <w:pPr>
        <w:pStyle w:val="Prrafodelista"/>
        <w:spacing w:before="200" w:after="200" w:line="360" w:lineRule="auto"/>
        <w:ind w:left="0"/>
        <w:jc w:val="center"/>
        <w:rPr>
          <w:rFonts w:ascii="Palatino Linotype" w:hAnsi="Palatino Linotype"/>
          <w:color w:val="000000"/>
        </w:rPr>
      </w:pPr>
      <w:r w:rsidRPr="00A4197A">
        <w:rPr>
          <w:noProof/>
          <w:lang w:eastAsia="es-MX"/>
        </w:rPr>
        <w:drawing>
          <wp:inline distT="0" distB="0" distL="0" distR="0" wp14:anchorId="6F565BFB" wp14:editId="3EA89945">
            <wp:extent cx="5068842" cy="15589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32" t="28976" r="20856" b="37307"/>
                    <a:stretch/>
                  </pic:blipFill>
                  <pic:spPr bwMode="auto">
                    <a:xfrm>
                      <a:off x="0" y="0"/>
                      <a:ext cx="5129884" cy="1577699"/>
                    </a:xfrm>
                    <a:prstGeom prst="rect">
                      <a:avLst/>
                    </a:prstGeom>
                    <a:ln>
                      <a:noFill/>
                    </a:ln>
                    <a:extLst>
                      <a:ext uri="{53640926-AAD7-44D8-BBD7-CCE9431645EC}">
                        <a14:shadowObscured xmlns:a14="http://schemas.microsoft.com/office/drawing/2010/main"/>
                      </a:ext>
                    </a:extLst>
                  </pic:spPr>
                </pic:pic>
              </a:graphicData>
            </a:graphic>
          </wp:inline>
        </w:drawing>
      </w:r>
    </w:p>
    <w:p w:rsidR="004D1794" w:rsidRPr="00A4197A" w:rsidRDefault="004D1794" w:rsidP="00F1213C">
      <w:pPr>
        <w:pStyle w:val="Prrafodelista"/>
        <w:spacing w:before="200" w:after="200" w:line="360" w:lineRule="auto"/>
        <w:ind w:left="0"/>
        <w:jc w:val="both"/>
        <w:rPr>
          <w:rFonts w:ascii="Palatino Linotype" w:hAnsi="Palatino Linotype" w:cs="Arial"/>
        </w:rPr>
      </w:pPr>
      <w:r w:rsidRPr="00A4197A">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simplePos x="0" y="0"/>
                <wp:positionH relativeFrom="column">
                  <wp:posOffset>66829</wp:posOffset>
                </wp:positionH>
                <wp:positionV relativeFrom="paragraph">
                  <wp:posOffset>1161863</wp:posOffset>
                </wp:positionV>
                <wp:extent cx="5734821" cy="914400"/>
                <wp:effectExtent l="0" t="0" r="37465" b="19050"/>
                <wp:wrapNone/>
                <wp:docPr id="6" name="Conector recto 6"/>
                <wp:cNvGraphicFramePr/>
                <a:graphic xmlns:a="http://schemas.openxmlformats.org/drawingml/2006/main">
                  <a:graphicData uri="http://schemas.microsoft.com/office/word/2010/wordprocessingShape">
                    <wps:wsp>
                      <wps:cNvCnPr/>
                      <wps:spPr>
                        <a:xfrm>
                          <a:off x="0" y="0"/>
                          <a:ext cx="5734821" cy="9144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70D8F" id="Conector recto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91.5pt" to="456.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" strokecolor="#5b9bd5 [3204]" strokeweight="1pt">
                <v:stroke joinstyle="miter"/>
              </v:line>
            </w:pict>
          </mc:Fallback>
        </mc:AlternateContent>
      </w:r>
      <w:r w:rsidRPr="00A4197A">
        <w:rPr>
          <w:rFonts w:ascii="Palatino Linotype" w:hAnsi="Palatino Linotype" w:cs="Arial"/>
        </w:rPr>
        <w:t xml:space="preserve">Debido a que, </w:t>
      </w:r>
      <w:r w:rsidRPr="00A4197A">
        <w:rPr>
          <w:rFonts w:ascii="Palatino Linotype" w:hAnsi="Palatino Linotype" w:cs="Arial"/>
          <w:b/>
        </w:rPr>
        <w:t xml:space="preserve">EL SUJETO OBLIGADO </w:t>
      </w:r>
      <w:r w:rsidR="004F0089" w:rsidRPr="00A4197A">
        <w:rPr>
          <w:rFonts w:ascii="Palatino Linotype" w:hAnsi="Palatino Linotype" w:cs="Arial"/>
        </w:rPr>
        <w:t>medularmente ratificó</w:t>
      </w:r>
      <w:r w:rsidRPr="00A4197A">
        <w:rPr>
          <w:rFonts w:ascii="Palatino Linotype" w:hAnsi="Palatino Linotype" w:cs="Arial"/>
        </w:rPr>
        <w:t xml:space="preserve"> su respuesta, es que no fue puesto a la vista del solicitante, pues no se actualiz</w:t>
      </w:r>
      <w:r w:rsidR="004F0089" w:rsidRPr="00A4197A">
        <w:rPr>
          <w:rFonts w:ascii="Palatino Linotype" w:hAnsi="Palatino Linotype" w:cs="Arial"/>
        </w:rPr>
        <w:t>ó</w:t>
      </w:r>
      <w:r w:rsidRPr="00A4197A">
        <w:rPr>
          <w:rFonts w:ascii="Palatino Linotype" w:hAnsi="Palatino Linotype" w:cs="Arial"/>
        </w:rPr>
        <w:t xml:space="preserve"> el supuesto previsto en la fracción III del artículo 185 de la Ley de la materia; por lo que, a fin de que sea del conocimiento de las partes, se inserta a continuación:</w:t>
      </w:r>
    </w:p>
    <w:p w:rsidR="004D1794" w:rsidRPr="00A4197A" w:rsidRDefault="004D1794" w:rsidP="004D1794">
      <w:pPr>
        <w:pStyle w:val="Prrafodelista"/>
        <w:spacing w:before="200" w:after="200" w:line="360" w:lineRule="auto"/>
        <w:ind w:left="0"/>
        <w:jc w:val="center"/>
        <w:rPr>
          <w:rFonts w:ascii="Palatino Linotype" w:hAnsi="Palatino Linotype" w:cs="Arial"/>
        </w:rPr>
      </w:pPr>
      <w:r w:rsidRPr="00A4197A">
        <w:rPr>
          <w:noProof/>
          <w:lang w:eastAsia="es-MX"/>
        </w:rPr>
        <w:lastRenderedPageBreak/>
        <w:drawing>
          <wp:inline distT="0" distB="0" distL="0" distR="0" wp14:anchorId="58A62C82" wp14:editId="406293F3">
            <wp:extent cx="4065237" cy="5254831"/>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01" t="12575" r="33365" b="16340"/>
                    <a:stretch/>
                  </pic:blipFill>
                  <pic:spPr bwMode="auto">
                    <a:xfrm>
                      <a:off x="0" y="0"/>
                      <a:ext cx="4116150" cy="5320642"/>
                    </a:xfrm>
                    <a:prstGeom prst="rect">
                      <a:avLst/>
                    </a:prstGeom>
                    <a:ln>
                      <a:noFill/>
                    </a:ln>
                    <a:extLst>
                      <a:ext uri="{53640926-AAD7-44D8-BBD7-CCE9431645EC}">
                        <a14:shadowObscured xmlns:a14="http://schemas.microsoft.com/office/drawing/2010/main"/>
                      </a:ext>
                    </a:extLst>
                  </pic:spPr>
                </pic:pic>
              </a:graphicData>
            </a:graphic>
          </wp:inline>
        </w:drawing>
      </w:r>
    </w:p>
    <w:p w:rsidR="004D1794" w:rsidRPr="00A4197A" w:rsidRDefault="004D1794" w:rsidP="004D1794">
      <w:pPr>
        <w:pStyle w:val="Prrafodelista"/>
        <w:spacing w:before="200" w:after="200" w:line="360" w:lineRule="auto"/>
        <w:ind w:left="0"/>
        <w:jc w:val="center"/>
        <w:rPr>
          <w:rFonts w:ascii="Palatino Linotype" w:hAnsi="Palatino Linotype" w:cs="Arial"/>
        </w:rPr>
      </w:pPr>
      <w:r w:rsidRPr="00A4197A">
        <w:rPr>
          <w:noProof/>
          <w:lang w:eastAsia="es-MX"/>
        </w:rPr>
        <w:drawing>
          <wp:inline distT="0" distB="0" distL="0" distR="0" wp14:anchorId="7F219584" wp14:editId="7308037D">
            <wp:extent cx="4144722" cy="2012867"/>
            <wp:effectExtent l="0" t="0" r="825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90" t="7836" r="32851" b="61724"/>
                    <a:stretch/>
                  </pic:blipFill>
                  <pic:spPr bwMode="auto">
                    <a:xfrm>
                      <a:off x="0" y="0"/>
                      <a:ext cx="4173263" cy="2026728"/>
                    </a:xfrm>
                    <a:prstGeom prst="rect">
                      <a:avLst/>
                    </a:prstGeom>
                    <a:ln>
                      <a:noFill/>
                    </a:ln>
                    <a:extLst>
                      <a:ext uri="{53640926-AAD7-44D8-BBD7-CCE9431645EC}">
                        <a14:shadowObscured xmlns:a14="http://schemas.microsoft.com/office/drawing/2010/main"/>
                      </a:ext>
                    </a:extLst>
                  </pic:spPr>
                </pic:pic>
              </a:graphicData>
            </a:graphic>
          </wp:inline>
        </w:drawing>
      </w:r>
    </w:p>
    <w:p w:rsidR="004D1794" w:rsidRPr="00A4197A" w:rsidRDefault="004D1794" w:rsidP="004D1794">
      <w:pPr>
        <w:pStyle w:val="Prrafodelista"/>
        <w:spacing w:before="200" w:after="200" w:line="360" w:lineRule="auto"/>
        <w:ind w:left="0"/>
        <w:jc w:val="center"/>
        <w:rPr>
          <w:rFonts w:ascii="Palatino Linotype" w:hAnsi="Palatino Linotype" w:cs="Arial"/>
        </w:rPr>
      </w:pPr>
      <w:r w:rsidRPr="00A4197A">
        <w:rPr>
          <w:noProof/>
          <w:lang w:eastAsia="es-MX"/>
        </w:rPr>
        <w:lastRenderedPageBreak/>
        <w:drawing>
          <wp:inline distT="0" distB="0" distL="0" distR="0" wp14:anchorId="101D9301" wp14:editId="23B2C22A">
            <wp:extent cx="5455655" cy="694706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13" t="12939" r="33671" b="11422"/>
                    <a:stretch/>
                  </pic:blipFill>
                  <pic:spPr bwMode="auto">
                    <a:xfrm>
                      <a:off x="0" y="0"/>
                      <a:ext cx="5479167" cy="6977004"/>
                    </a:xfrm>
                    <a:prstGeom prst="rect">
                      <a:avLst/>
                    </a:prstGeom>
                    <a:noFill/>
                    <a:ln>
                      <a:noFill/>
                    </a:ln>
                    <a:extLst>
                      <a:ext uri="{53640926-AAD7-44D8-BBD7-CCE9431645EC}">
                        <a14:shadowObscured xmlns:a14="http://schemas.microsoft.com/office/drawing/2010/main"/>
                      </a:ext>
                    </a:extLst>
                  </pic:spPr>
                </pic:pic>
              </a:graphicData>
            </a:graphic>
          </wp:inline>
        </w:drawing>
      </w:r>
    </w:p>
    <w:p w:rsidR="004D1794" w:rsidRPr="00A4197A" w:rsidRDefault="004D1794" w:rsidP="004D1794">
      <w:pPr>
        <w:pStyle w:val="Prrafodelista"/>
        <w:spacing w:before="200" w:after="200" w:line="360" w:lineRule="auto"/>
        <w:ind w:left="0"/>
        <w:jc w:val="center"/>
        <w:rPr>
          <w:rFonts w:ascii="Palatino Linotype" w:hAnsi="Palatino Linotype" w:cs="Arial"/>
        </w:rPr>
      </w:pPr>
      <w:r w:rsidRPr="00A4197A">
        <w:rPr>
          <w:noProof/>
          <w:lang w:eastAsia="es-MX"/>
        </w:rPr>
        <w:lastRenderedPageBreak/>
        <w:drawing>
          <wp:inline distT="0" distB="0" distL="0" distR="0" wp14:anchorId="3F0E19F7" wp14:editId="321C37CB">
            <wp:extent cx="4891955" cy="6988628"/>
            <wp:effectExtent l="0" t="0" r="4445"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17" t="8383" r="32953" b="17979"/>
                    <a:stretch/>
                  </pic:blipFill>
                  <pic:spPr bwMode="auto">
                    <a:xfrm>
                      <a:off x="0" y="0"/>
                      <a:ext cx="4914956" cy="7021487"/>
                    </a:xfrm>
                    <a:prstGeom prst="rect">
                      <a:avLst/>
                    </a:prstGeom>
                    <a:ln>
                      <a:noFill/>
                    </a:ln>
                    <a:extLst>
                      <a:ext uri="{53640926-AAD7-44D8-BBD7-CCE9431645EC}">
                        <a14:shadowObscured xmlns:a14="http://schemas.microsoft.com/office/drawing/2010/main"/>
                      </a:ext>
                    </a:extLst>
                  </pic:spPr>
                </pic:pic>
              </a:graphicData>
            </a:graphic>
          </wp:inline>
        </w:drawing>
      </w:r>
    </w:p>
    <w:p w:rsidR="00832502" w:rsidRPr="00A4197A" w:rsidRDefault="00832502" w:rsidP="004D1794">
      <w:pPr>
        <w:pStyle w:val="Prrafodelista"/>
        <w:spacing w:before="200" w:after="200" w:line="360" w:lineRule="auto"/>
        <w:ind w:left="0"/>
        <w:jc w:val="center"/>
        <w:rPr>
          <w:rFonts w:ascii="Palatino Linotype" w:hAnsi="Palatino Linotype" w:cs="Arial"/>
        </w:rPr>
      </w:pPr>
      <w:r w:rsidRPr="00A4197A">
        <w:rPr>
          <w:noProof/>
          <w:lang w:eastAsia="es-MX"/>
        </w:rPr>
        <w:lastRenderedPageBreak/>
        <w:drawing>
          <wp:inline distT="0" distB="0" distL="0" distR="0" wp14:anchorId="15AA95E9" wp14:editId="0771E223">
            <wp:extent cx="5339080" cy="743395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89" t="12939" r="33568" b="12523"/>
                    <a:stretch/>
                  </pic:blipFill>
                  <pic:spPr bwMode="auto">
                    <a:xfrm>
                      <a:off x="0" y="0"/>
                      <a:ext cx="5370188" cy="7477267"/>
                    </a:xfrm>
                    <a:prstGeom prst="rect">
                      <a:avLst/>
                    </a:prstGeom>
                    <a:ln>
                      <a:noFill/>
                    </a:ln>
                    <a:extLst>
                      <a:ext uri="{53640926-AAD7-44D8-BBD7-CCE9431645EC}">
                        <a14:shadowObscured xmlns:a14="http://schemas.microsoft.com/office/drawing/2010/main"/>
                      </a:ext>
                    </a:extLst>
                  </pic:spPr>
                </pic:pic>
              </a:graphicData>
            </a:graphic>
          </wp:inline>
        </w:drawing>
      </w:r>
    </w:p>
    <w:p w:rsidR="00832502" w:rsidRPr="00A4197A" w:rsidRDefault="00832502" w:rsidP="004D1794">
      <w:pPr>
        <w:pStyle w:val="Prrafodelista"/>
        <w:spacing w:before="200" w:after="200" w:line="360" w:lineRule="auto"/>
        <w:ind w:left="0"/>
        <w:jc w:val="center"/>
        <w:rPr>
          <w:rFonts w:ascii="Palatino Linotype" w:hAnsi="Palatino Linotype" w:cs="Arial"/>
        </w:rPr>
      </w:pPr>
      <w:r w:rsidRPr="00A4197A">
        <w:rPr>
          <w:noProof/>
          <w:lang w:eastAsia="es-MX"/>
        </w:rPr>
        <w:lastRenderedPageBreak/>
        <w:drawing>
          <wp:inline distT="0" distB="0" distL="0" distR="0" wp14:anchorId="26611B53" wp14:editId="7C991D91">
            <wp:extent cx="5274310" cy="7309262"/>
            <wp:effectExtent l="0" t="0" r="254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196" t="8383" r="33466" b="17614"/>
                    <a:stretch/>
                  </pic:blipFill>
                  <pic:spPr bwMode="auto">
                    <a:xfrm>
                      <a:off x="0" y="0"/>
                      <a:ext cx="5294320" cy="7336993"/>
                    </a:xfrm>
                    <a:prstGeom prst="rect">
                      <a:avLst/>
                    </a:prstGeom>
                    <a:ln>
                      <a:noFill/>
                    </a:ln>
                    <a:extLst>
                      <a:ext uri="{53640926-AAD7-44D8-BBD7-CCE9431645EC}">
                        <a14:shadowObscured xmlns:a14="http://schemas.microsoft.com/office/drawing/2010/main"/>
                      </a:ext>
                    </a:extLst>
                  </pic:spPr>
                </pic:pic>
              </a:graphicData>
            </a:graphic>
          </wp:inline>
        </w:drawing>
      </w:r>
    </w:p>
    <w:p w:rsidR="00832502" w:rsidRPr="00A4197A" w:rsidRDefault="00832502" w:rsidP="004D1794">
      <w:pPr>
        <w:pStyle w:val="Prrafodelista"/>
        <w:spacing w:before="200" w:after="200" w:line="360" w:lineRule="auto"/>
        <w:ind w:left="0"/>
        <w:jc w:val="center"/>
        <w:rPr>
          <w:rFonts w:ascii="Palatino Linotype" w:hAnsi="Palatino Linotype" w:cs="Arial"/>
        </w:rPr>
      </w:pPr>
      <w:r w:rsidRPr="00A4197A">
        <w:rPr>
          <w:noProof/>
          <w:lang w:eastAsia="es-MX"/>
        </w:rPr>
        <w:lastRenderedPageBreak/>
        <w:drawing>
          <wp:inline distT="0" distB="0" distL="0" distR="0" wp14:anchorId="01603545" wp14:editId="04432DED">
            <wp:extent cx="5238750" cy="7101444"/>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09" t="14032" r="33466" b="13065"/>
                    <a:stretch/>
                  </pic:blipFill>
                  <pic:spPr bwMode="auto">
                    <a:xfrm>
                      <a:off x="0" y="0"/>
                      <a:ext cx="5266095" cy="7138512"/>
                    </a:xfrm>
                    <a:prstGeom prst="rect">
                      <a:avLst/>
                    </a:prstGeom>
                    <a:ln>
                      <a:noFill/>
                    </a:ln>
                    <a:extLst>
                      <a:ext uri="{53640926-AAD7-44D8-BBD7-CCE9431645EC}">
                        <a14:shadowObscured xmlns:a14="http://schemas.microsoft.com/office/drawing/2010/main"/>
                      </a:ext>
                    </a:extLst>
                  </pic:spPr>
                </pic:pic>
              </a:graphicData>
            </a:graphic>
          </wp:inline>
        </w:drawing>
      </w:r>
    </w:p>
    <w:p w:rsidR="00832502" w:rsidRPr="00A4197A" w:rsidRDefault="00832502" w:rsidP="004D1794">
      <w:pPr>
        <w:pStyle w:val="Prrafodelista"/>
        <w:spacing w:before="200" w:after="200" w:line="360" w:lineRule="auto"/>
        <w:ind w:left="0"/>
        <w:jc w:val="center"/>
        <w:rPr>
          <w:rFonts w:ascii="Palatino Linotype" w:hAnsi="Palatino Linotype" w:cs="Arial"/>
        </w:rPr>
      </w:pPr>
      <w:r w:rsidRPr="00A4197A">
        <w:rPr>
          <w:noProof/>
          <w:lang w:eastAsia="es-MX"/>
        </w:rPr>
        <w:lastRenderedPageBreak/>
        <w:drawing>
          <wp:inline distT="0" distB="0" distL="0" distR="0" wp14:anchorId="53BB3E93" wp14:editId="2CFB7FA9">
            <wp:extent cx="5435600" cy="7065818"/>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192" t="9294" r="33568" b="17444"/>
                    <a:stretch/>
                  </pic:blipFill>
                  <pic:spPr bwMode="auto">
                    <a:xfrm>
                      <a:off x="0" y="0"/>
                      <a:ext cx="5459324" cy="7096657"/>
                    </a:xfrm>
                    <a:prstGeom prst="rect">
                      <a:avLst/>
                    </a:prstGeom>
                    <a:ln>
                      <a:noFill/>
                    </a:ln>
                    <a:extLst>
                      <a:ext uri="{53640926-AAD7-44D8-BBD7-CCE9431645EC}">
                        <a14:shadowObscured xmlns:a14="http://schemas.microsoft.com/office/drawing/2010/main"/>
                      </a:ext>
                    </a:extLst>
                  </pic:spPr>
                </pic:pic>
              </a:graphicData>
            </a:graphic>
          </wp:inline>
        </w:drawing>
      </w:r>
    </w:p>
    <w:p w:rsidR="00832502" w:rsidRPr="00A4197A" w:rsidRDefault="00832502" w:rsidP="004D1794">
      <w:pPr>
        <w:pStyle w:val="Prrafodelista"/>
        <w:spacing w:before="200" w:after="200" w:line="360" w:lineRule="auto"/>
        <w:ind w:left="0"/>
        <w:jc w:val="center"/>
        <w:rPr>
          <w:rFonts w:ascii="Palatino Linotype" w:hAnsi="Palatino Linotype" w:cs="Arial"/>
        </w:rPr>
      </w:pPr>
      <w:r w:rsidRPr="00A4197A">
        <w:rPr>
          <w:noProof/>
          <w:lang w:eastAsia="es-MX"/>
        </w:rPr>
        <w:lastRenderedPageBreak/>
        <w:drawing>
          <wp:inline distT="0" distB="0" distL="0" distR="0" wp14:anchorId="7CACB342" wp14:editId="56E782EB">
            <wp:extent cx="3960421" cy="5449525"/>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223" t="14579" r="33261" b="13785"/>
                    <a:stretch/>
                  </pic:blipFill>
                  <pic:spPr bwMode="auto">
                    <a:xfrm>
                      <a:off x="0" y="0"/>
                      <a:ext cx="3983459" cy="5481226"/>
                    </a:xfrm>
                    <a:prstGeom prst="rect">
                      <a:avLst/>
                    </a:prstGeom>
                    <a:ln>
                      <a:noFill/>
                    </a:ln>
                    <a:extLst>
                      <a:ext uri="{53640926-AAD7-44D8-BBD7-CCE9431645EC}">
                        <a14:shadowObscured xmlns:a14="http://schemas.microsoft.com/office/drawing/2010/main"/>
                      </a:ext>
                    </a:extLst>
                  </pic:spPr>
                </pic:pic>
              </a:graphicData>
            </a:graphic>
          </wp:inline>
        </w:drawing>
      </w:r>
    </w:p>
    <w:p w:rsidR="00832502" w:rsidRPr="00A4197A" w:rsidRDefault="00832502" w:rsidP="004D1794">
      <w:pPr>
        <w:pStyle w:val="Prrafodelista"/>
        <w:spacing w:before="200" w:after="200" w:line="360" w:lineRule="auto"/>
        <w:ind w:left="0"/>
        <w:jc w:val="center"/>
        <w:rPr>
          <w:rFonts w:ascii="Palatino Linotype" w:hAnsi="Palatino Linotype" w:cs="Arial"/>
        </w:rPr>
      </w:pPr>
      <w:r w:rsidRPr="00A4197A">
        <w:rPr>
          <w:noProof/>
          <w:lang w:eastAsia="es-MX"/>
        </w:rPr>
        <w:drawing>
          <wp:inline distT="0" distB="0" distL="0" distR="0" wp14:anchorId="6B838A8C" wp14:editId="21FB796D">
            <wp:extent cx="3339867" cy="14487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197" t="19864" r="33056" b="53342"/>
                    <a:stretch/>
                  </pic:blipFill>
                  <pic:spPr bwMode="auto">
                    <a:xfrm>
                      <a:off x="0" y="0"/>
                      <a:ext cx="3354200" cy="1455008"/>
                    </a:xfrm>
                    <a:prstGeom prst="rect">
                      <a:avLst/>
                    </a:prstGeom>
                    <a:ln>
                      <a:noFill/>
                    </a:ln>
                    <a:extLst>
                      <a:ext uri="{53640926-AAD7-44D8-BBD7-CCE9431645EC}">
                        <a14:shadowObscured xmlns:a14="http://schemas.microsoft.com/office/drawing/2010/main"/>
                      </a:ext>
                    </a:extLst>
                  </pic:spPr>
                </pic:pic>
              </a:graphicData>
            </a:graphic>
          </wp:inline>
        </w:drawing>
      </w:r>
    </w:p>
    <w:p w:rsidR="00F1213C" w:rsidRPr="00A4197A" w:rsidRDefault="00F1213C" w:rsidP="00F1213C">
      <w:pPr>
        <w:pStyle w:val="Prrafodelista"/>
        <w:tabs>
          <w:tab w:val="left" w:pos="567"/>
        </w:tabs>
        <w:spacing w:before="200" w:after="120" w:line="360" w:lineRule="auto"/>
        <w:ind w:left="0"/>
        <w:jc w:val="both"/>
        <w:rPr>
          <w:rFonts w:ascii="Palatino Linotype" w:hAnsi="Palatino Linotype" w:cs="Arial"/>
        </w:rPr>
      </w:pPr>
      <w:r w:rsidRPr="00A4197A">
        <w:rPr>
          <w:rFonts w:ascii="Palatino Linotype" w:hAnsi="Palatino Linotype" w:cs="Arial"/>
          <w:b/>
          <w:sz w:val="28"/>
          <w:szCs w:val="28"/>
        </w:rPr>
        <w:lastRenderedPageBreak/>
        <w:t>VIII.</w:t>
      </w:r>
      <w:r w:rsidRPr="00A4197A">
        <w:rPr>
          <w:rFonts w:ascii="Palatino Linotype" w:hAnsi="Palatino Linotype" w:cs="Arial"/>
        </w:rPr>
        <w:t xml:space="preserve"> Una vez analizado el estado procesal que guarda el expediente, en fecha </w:t>
      </w:r>
      <w:r w:rsidR="00832502" w:rsidRPr="00A4197A">
        <w:rPr>
          <w:rFonts w:ascii="Palatino Linotype" w:hAnsi="Palatino Linotype" w:cs="Arial"/>
        </w:rPr>
        <w:t xml:space="preserve">veintinueve de agosto </w:t>
      </w:r>
      <w:r w:rsidRPr="00A4197A">
        <w:rPr>
          <w:rFonts w:ascii="Palatino Linotype" w:hAnsi="Palatino Linotype"/>
        </w:rPr>
        <w:t>de dos mil dieciocho</w:t>
      </w:r>
      <w:r w:rsidRPr="00A4197A">
        <w:rPr>
          <w:rFonts w:ascii="Palatino Linotype" w:hAnsi="Palatino Linotype" w:cs="Arial"/>
        </w:rPr>
        <w:t xml:space="preserve">, la Comisionada Ponente acordó el cierre de instrucción, así </w:t>
      </w:r>
      <w:r w:rsidRPr="00A4197A">
        <w:rPr>
          <w:rFonts w:ascii="Palatino Linotype" w:hAnsi="Palatino Linotype" w:cs="Arial"/>
          <w:lang w:val="es-ES_tradnl"/>
        </w:rPr>
        <w:t>como</w:t>
      </w:r>
      <w:r w:rsidRPr="00A4197A">
        <w:rPr>
          <w:rFonts w:ascii="Palatino Linotype" w:hAnsi="Palatino Linotype" w:cs="Arial"/>
        </w:rPr>
        <w:t xml:space="preserve"> la remisión del mismo a efecto </w:t>
      </w:r>
      <w:r w:rsidRPr="00A4197A">
        <w:rPr>
          <w:rFonts w:ascii="Palatino Linotype" w:hAnsi="Palatino Linotype" w:cs="Arial"/>
          <w:lang w:val="es-ES_tradnl"/>
        </w:rPr>
        <w:t>de</w:t>
      </w:r>
      <w:r w:rsidRPr="00A4197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F1213C" w:rsidRPr="00A4197A" w:rsidRDefault="00F1213C" w:rsidP="00F1213C">
      <w:pPr>
        <w:spacing w:before="100" w:beforeAutospacing="1" w:after="100" w:afterAutospacing="1" w:line="360" w:lineRule="auto"/>
        <w:jc w:val="both"/>
        <w:rPr>
          <w:rFonts w:ascii="Palatino Linotype" w:hAnsi="Palatino Linotype" w:cs="Arial"/>
        </w:rPr>
      </w:pPr>
      <w:r w:rsidRPr="00A4197A">
        <w:rPr>
          <w:rFonts w:ascii="Palatino Linotype" w:hAnsi="Palatino Linotype" w:cs="Arial"/>
          <w:b/>
          <w:sz w:val="28"/>
          <w:szCs w:val="28"/>
        </w:rPr>
        <w:t>IX.</w:t>
      </w:r>
      <w:r w:rsidR="00832502" w:rsidRPr="00A4197A">
        <w:rPr>
          <w:rFonts w:ascii="Palatino Linotype" w:hAnsi="Palatino Linotype" w:cs="Arial"/>
        </w:rPr>
        <w:t xml:space="preserve"> En fecha veintisiete de septiembre </w:t>
      </w:r>
      <w:r w:rsidRPr="00A4197A">
        <w:rPr>
          <w:rFonts w:ascii="Palatino Linotype" w:hAnsi="Palatino Linotype" w:cs="Arial"/>
        </w:rPr>
        <w:t>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F1213C" w:rsidRPr="00A4197A" w:rsidRDefault="00F1213C" w:rsidP="00F1213C">
      <w:pPr>
        <w:spacing w:before="120" w:after="120" w:line="360" w:lineRule="auto"/>
        <w:jc w:val="center"/>
        <w:rPr>
          <w:rFonts w:ascii="Palatino Linotype" w:hAnsi="Palatino Linotype"/>
          <w:b/>
          <w:bCs/>
          <w:spacing w:val="40"/>
          <w:sz w:val="28"/>
        </w:rPr>
      </w:pPr>
      <w:r w:rsidRPr="00A4197A">
        <w:rPr>
          <w:rFonts w:ascii="Palatino Linotype" w:hAnsi="Palatino Linotype"/>
          <w:b/>
          <w:bCs/>
          <w:spacing w:val="40"/>
          <w:sz w:val="28"/>
        </w:rPr>
        <w:t>CONSIDERANDO</w:t>
      </w:r>
    </w:p>
    <w:p w:rsidR="00F1213C" w:rsidRPr="00A4197A" w:rsidRDefault="00F1213C" w:rsidP="00F1213C">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r w:rsidRPr="00A4197A">
        <w:rPr>
          <w:rFonts w:ascii="Palatino Linotype" w:hAnsi="Palatino Linotype"/>
          <w:b/>
          <w:sz w:val="28"/>
          <w:szCs w:val="28"/>
        </w:rPr>
        <w:t>PRIMERO.</w:t>
      </w:r>
      <w:r w:rsidRPr="00A4197A">
        <w:rPr>
          <w:rFonts w:ascii="Palatino Linotype" w:hAnsi="Palatino Linotype"/>
        </w:rPr>
        <w:t xml:space="preserve"> </w:t>
      </w:r>
      <w:r w:rsidRPr="00A4197A">
        <w:rPr>
          <w:rFonts w:ascii="Palatino Linotype" w:hAnsi="Palatino Linotype"/>
          <w:b/>
        </w:rPr>
        <w:t>Competencia</w:t>
      </w:r>
      <w:r w:rsidRPr="00A4197A">
        <w:rPr>
          <w:rFonts w:ascii="Palatino Linotype" w:hAnsi="Palatino Linotype"/>
        </w:rPr>
        <w:t>.</w:t>
      </w:r>
      <w:r w:rsidRPr="00A4197A">
        <w:rPr>
          <w:rFonts w:ascii="Palatino Linotype" w:hAnsi="Palatino Linotype"/>
          <w:b/>
        </w:rPr>
        <w:t xml:space="preserve"> </w:t>
      </w:r>
      <w:r w:rsidRPr="00A4197A">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w:t>
      </w:r>
      <w:r w:rsidR="00832502" w:rsidRPr="00A4197A">
        <w:rPr>
          <w:rFonts w:ascii="Palatino Linotype" w:hAnsi="Palatino Linotype"/>
        </w:rPr>
        <w:t>,</w:t>
      </w:r>
      <w:r w:rsidRPr="00A4197A">
        <w:rPr>
          <w:rFonts w:ascii="Palatino Linotype" w:hAnsi="Palatino Linotype"/>
        </w:rPr>
        <w:t xml:space="preserve"> párrafos vigésimo, vigésimo primero y vigésimo segundo</w:t>
      </w:r>
      <w:r w:rsidR="00832502" w:rsidRPr="00A4197A">
        <w:rPr>
          <w:rFonts w:ascii="Palatino Linotype" w:hAnsi="Palatino Linotype"/>
        </w:rPr>
        <w:t>,</w:t>
      </w:r>
      <w:r w:rsidRPr="00A4197A">
        <w:rPr>
          <w:rFonts w:ascii="Palatino Linotype" w:hAnsi="Palatino Linotype"/>
        </w:rPr>
        <w:t xml:space="preserve"> fracciones IV y V de la Constitución Política del Estado Libre y Soberano de México; 2</w:t>
      </w:r>
      <w:r w:rsidR="00832502" w:rsidRPr="00A4197A">
        <w:rPr>
          <w:rFonts w:ascii="Palatino Linotype" w:hAnsi="Palatino Linotype"/>
        </w:rPr>
        <w:t>,</w:t>
      </w:r>
      <w:r w:rsidRPr="00A4197A">
        <w:rPr>
          <w:rFonts w:ascii="Palatino Linotype" w:hAnsi="Palatino Linotype"/>
        </w:rPr>
        <w:t xml:space="preserve"> fracción II, 13, 29, 36</w:t>
      </w:r>
      <w:r w:rsidR="00832502" w:rsidRPr="00A4197A">
        <w:rPr>
          <w:rFonts w:ascii="Palatino Linotype" w:hAnsi="Palatino Linotype"/>
        </w:rPr>
        <w:t>,</w:t>
      </w:r>
      <w:r w:rsidRPr="00A4197A">
        <w:rPr>
          <w:rFonts w:ascii="Palatino Linotype" w:hAnsi="Palatino Linotype"/>
        </w:rPr>
        <w:t xml:space="preserve"> fracciones I y II, 176, 178, 179, 181</w:t>
      </w:r>
      <w:r w:rsidR="00832502" w:rsidRPr="00A4197A">
        <w:rPr>
          <w:rFonts w:ascii="Palatino Linotype" w:hAnsi="Palatino Linotype"/>
        </w:rPr>
        <w:t>,</w:t>
      </w:r>
      <w:r w:rsidRPr="00A4197A">
        <w:rPr>
          <w:rFonts w:ascii="Palatino Linotype" w:hAnsi="Palatino Linotype"/>
        </w:rPr>
        <w:t xml:space="preserve"> párrafo tercero y 185 de la Ley de Transparencia y Acceso a la Información Pública del Estado de México y Municipios; y 9</w:t>
      </w:r>
      <w:r w:rsidR="00832502" w:rsidRPr="00A4197A">
        <w:rPr>
          <w:rFonts w:ascii="Palatino Linotype" w:hAnsi="Palatino Linotype"/>
        </w:rPr>
        <w:t>,</w:t>
      </w:r>
      <w:r w:rsidRPr="00A4197A">
        <w:rPr>
          <w:rFonts w:ascii="Palatino Linotype" w:hAnsi="Palatino Linotype"/>
        </w:rPr>
        <w:t xml:space="preserve"> fracciones I y XXIV y 11 del Reglamento Interior del Instituto de Transparencia, Acceso a la Información Pública y Protección de Datos Personales del Estado de México y Municipios</w:t>
      </w:r>
      <w:r w:rsidRPr="00A4197A">
        <w:rPr>
          <w:rFonts w:ascii="Palatino Linotype" w:hAnsi="Palatino Linotype" w:cs="Arial"/>
        </w:rPr>
        <w:t>.</w:t>
      </w:r>
    </w:p>
    <w:p w:rsidR="00F1213C" w:rsidRPr="00A4197A" w:rsidRDefault="00F1213C" w:rsidP="00F1213C">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lang w:val="es-ES_tradnl"/>
        </w:rPr>
      </w:pPr>
      <w:r w:rsidRPr="00A4197A">
        <w:rPr>
          <w:rFonts w:ascii="Palatino Linotype" w:hAnsi="Palatino Linotype" w:cs="Arial"/>
          <w:b/>
          <w:sz w:val="28"/>
          <w:szCs w:val="28"/>
        </w:rPr>
        <w:lastRenderedPageBreak/>
        <w:t>SEGUNDO.</w:t>
      </w:r>
      <w:r w:rsidRPr="00A4197A">
        <w:rPr>
          <w:rFonts w:ascii="Palatino Linotype" w:hAnsi="Palatino Linotype" w:cs="Arial"/>
          <w:b/>
        </w:rPr>
        <w:t xml:space="preserve"> Interés.</w:t>
      </w:r>
      <w:r w:rsidRPr="00A4197A">
        <w:rPr>
          <w:rFonts w:ascii="Palatino Linotype" w:hAnsi="Palatino Linotype" w:cs="Arial"/>
        </w:rPr>
        <w:t xml:space="preserve"> El recurso de revisión fue </w:t>
      </w:r>
      <w:r w:rsidRPr="00A4197A">
        <w:rPr>
          <w:rFonts w:ascii="Palatino Linotype" w:hAnsi="Palatino Linotype"/>
        </w:rPr>
        <w:t>interpuesto</w:t>
      </w:r>
      <w:r w:rsidRPr="00A4197A">
        <w:rPr>
          <w:rFonts w:ascii="Palatino Linotype" w:hAnsi="Palatino Linotype" w:cs="Arial"/>
        </w:rPr>
        <w:t xml:space="preserve"> por parte legítima en atención a que fue </w:t>
      </w:r>
      <w:r w:rsidRPr="00A4197A">
        <w:rPr>
          <w:rFonts w:ascii="Palatino Linotype" w:hAnsi="Palatino Linotype"/>
        </w:rPr>
        <w:t>presentado</w:t>
      </w:r>
      <w:r w:rsidRPr="00A4197A">
        <w:rPr>
          <w:rFonts w:ascii="Palatino Linotype" w:hAnsi="Palatino Linotype" w:cs="Arial"/>
        </w:rPr>
        <w:t xml:space="preserve"> por </w:t>
      </w:r>
      <w:r w:rsidR="00000941" w:rsidRPr="00A4197A">
        <w:rPr>
          <w:rFonts w:ascii="Palatino Linotype" w:hAnsi="Palatino Linotype" w:cs="Arial"/>
          <w:b/>
        </w:rPr>
        <w:t>EL</w:t>
      </w:r>
      <w:r w:rsidRPr="00A4197A">
        <w:rPr>
          <w:rFonts w:ascii="Palatino Linotype" w:hAnsi="Palatino Linotype" w:cs="Arial"/>
          <w:b/>
        </w:rPr>
        <w:t xml:space="preserve"> RECURRENTE</w:t>
      </w:r>
      <w:r w:rsidRPr="00A4197A">
        <w:rPr>
          <w:rFonts w:ascii="Palatino Linotype" w:hAnsi="Palatino Linotype" w:cs="Arial"/>
          <w:snapToGrid w:val="0"/>
        </w:rPr>
        <w:t xml:space="preserve">, </w:t>
      </w:r>
      <w:r w:rsidRPr="00A4197A">
        <w:rPr>
          <w:rFonts w:ascii="Palatino Linotype" w:hAnsi="Palatino Linotype" w:cs="Arial"/>
        </w:rPr>
        <w:t>quien</w:t>
      </w:r>
      <w:r w:rsidRPr="00A4197A">
        <w:rPr>
          <w:rFonts w:ascii="Palatino Linotype" w:hAnsi="Palatino Linotype" w:cs="Arial"/>
          <w:snapToGrid w:val="0"/>
        </w:rPr>
        <w:t xml:space="preserve"> </w:t>
      </w:r>
      <w:r w:rsidRPr="00A4197A">
        <w:rPr>
          <w:rFonts w:ascii="Palatino Linotype" w:hAnsi="Palatino Linotype"/>
        </w:rPr>
        <w:t>formuló</w:t>
      </w:r>
      <w:r w:rsidRPr="00A4197A">
        <w:rPr>
          <w:rFonts w:ascii="Palatino Linotype" w:hAnsi="Palatino Linotype" w:cs="Arial"/>
          <w:snapToGrid w:val="0"/>
        </w:rPr>
        <w:t xml:space="preserve"> la </w:t>
      </w:r>
      <w:r w:rsidRPr="00A4197A">
        <w:rPr>
          <w:rFonts w:ascii="Palatino Linotype" w:hAnsi="Palatino Linotype" w:cs="Arial"/>
        </w:rPr>
        <w:t>solicitud</w:t>
      </w:r>
      <w:r w:rsidRPr="00A4197A">
        <w:rPr>
          <w:rFonts w:ascii="Palatino Linotype" w:hAnsi="Palatino Linotype" w:cs="Arial"/>
          <w:snapToGrid w:val="0"/>
        </w:rPr>
        <w:t xml:space="preserve"> de información pública </w:t>
      </w:r>
      <w:r w:rsidRPr="00A4197A">
        <w:rPr>
          <w:rFonts w:ascii="Palatino Linotype" w:hAnsi="Palatino Linotype"/>
        </w:rPr>
        <w:t>número</w:t>
      </w:r>
      <w:r w:rsidRPr="00A4197A">
        <w:rPr>
          <w:rFonts w:ascii="Palatino Linotype" w:hAnsi="Palatino Linotype" w:cs="Arial"/>
          <w:snapToGrid w:val="0"/>
        </w:rPr>
        <w:t xml:space="preserve"> </w:t>
      </w:r>
      <w:r w:rsidR="00000941" w:rsidRPr="00A4197A">
        <w:rPr>
          <w:rFonts w:ascii="Palatino Linotype" w:hAnsi="Palatino Linotype"/>
          <w:b/>
          <w:bCs/>
        </w:rPr>
        <w:t>00889/IEEM</w:t>
      </w:r>
      <w:r w:rsidRPr="00A4197A">
        <w:rPr>
          <w:rFonts w:ascii="Palatino Linotype" w:hAnsi="Palatino Linotype"/>
          <w:b/>
          <w:bCs/>
        </w:rPr>
        <w:t>/IP/2018</w:t>
      </w:r>
      <w:r w:rsidRPr="00A4197A">
        <w:rPr>
          <w:rFonts w:ascii="Palatino Linotype" w:hAnsi="Palatino Linotype" w:cs="Arial"/>
          <w:lang w:val="es-ES_tradnl"/>
        </w:rPr>
        <w:t>.</w:t>
      </w:r>
    </w:p>
    <w:p w:rsidR="00F1213C" w:rsidRPr="00A4197A" w:rsidRDefault="00F1213C" w:rsidP="00F1213C">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lang w:val="es-ES_tradnl"/>
        </w:rPr>
      </w:pPr>
      <w:r w:rsidRPr="00A4197A">
        <w:rPr>
          <w:rFonts w:ascii="Palatino Linotype" w:hAnsi="Palatino Linotype" w:cs="Arial"/>
          <w:b/>
          <w:sz w:val="28"/>
          <w:szCs w:val="28"/>
        </w:rPr>
        <w:t>TERCERO.</w:t>
      </w:r>
      <w:r w:rsidRPr="00A4197A">
        <w:rPr>
          <w:rFonts w:ascii="Palatino Linotype" w:hAnsi="Palatino Linotype" w:cs="Arial"/>
          <w:b/>
        </w:rPr>
        <w:t xml:space="preserve"> Oportunidad. </w:t>
      </w:r>
      <w:r w:rsidRPr="00A4197A">
        <w:rPr>
          <w:rFonts w:ascii="Palatino Linotype" w:hAnsi="Palatino Linotype" w:cs="Arial"/>
        </w:rPr>
        <w:t xml:space="preserve">El recurso de revisión fue interpuesto dentro del plazo de quince días hábiles </w:t>
      </w:r>
      <w:r w:rsidRPr="00A4197A">
        <w:rPr>
          <w:rFonts w:ascii="Palatino Linotype" w:hAnsi="Palatino Linotype"/>
        </w:rPr>
        <w:t>contados</w:t>
      </w:r>
      <w:r w:rsidRPr="00A4197A">
        <w:rPr>
          <w:rFonts w:ascii="Palatino Linotype" w:hAnsi="Palatino Linotype" w:cs="Arial"/>
        </w:rPr>
        <w:t xml:space="preserve"> a </w:t>
      </w:r>
      <w:r w:rsidRPr="00A4197A">
        <w:rPr>
          <w:rFonts w:ascii="Palatino Linotype" w:hAnsi="Palatino Linotype"/>
        </w:rPr>
        <w:t>partir</w:t>
      </w:r>
      <w:r w:rsidRPr="00A4197A">
        <w:rPr>
          <w:rFonts w:ascii="Palatino Linotype" w:hAnsi="Palatino Linotype" w:cs="Arial"/>
        </w:rPr>
        <w:t xml:space="preserve"> del día siguiente al que </w:t>
      </w:r>
      <w:r w:rsidR="00000941" w:rsidRPr="00A4197A">
        <w:rPr>
          <w:rFonts w:ascii="Palatino Linotype" w:hAnsi="Palatino Linotype" w:cs="Arial"/>
          <w:b/>
          <w:bCs/>
        </w:rPr>
        <w:t>EL</w:t>
      </w:r>
      <w:r w:rsidRPr="00A4197A">
        <w:rPr>
          <w:rFonts w:ascii="Palatino Linotype" w:hAnsi="Palatino Linotype" w:cs="Arial"/>
          <w:b/>
          <w:bCs/>
        </w:rPr>
        <w:t xml:space="preserve"> RECURRENTE </w:t>
      </w:r>
      <w:r w:rsidRPr="00A4197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F1213C" w:rsidRPr="00A4197A" w:rsidRDefault="00F1213C" w:rsidP="00D44A4B">
      <w:pPr>
        <w:ind w:left="851" w:right="902"/>
        <w:jc w:val="both"/>
        <w:rPr>
          <w:rFonts w:ascii="Palatino Linotype" w:hAnsi="Palatino Linotype" w:cs="Arial"/>
          <w:i/>
          <w:sz w:val="22"/>
          <w:szCs w:val="22"/>
        </w:rPr>
      </w:pPr>
      <w:r w:rsidRPr="00A4197A">
        <w:rPr>
          <w:rFonts w:ascii="Palatino Linotype" w:hAnsi="Palatino Linotype" w:cs="Arial"/>
          <w:i/>
          <w:sz w:val="22"/>
          <w:szCs w:val="22"/>
        </w:rPr>
        <w:t>“</w:t>
      </w:r>
      <w:r w:rsidRPr="00A4197A">
        <w:rPr>
          <w:rFonts w:ascii="Palatino Linotype" w:hAnsi="Palatino Linotype" w:cs="Arial"/>
          <w:b/>
          <w:i/>
          <w:sz w:val="22"/>
          <w:szCs w:val="22"/>
        </w:rPr>
        <w:t>Artículo 178.</w:t>
      </w:r>
      <w:r w:rsidRPr="00A4197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1213C" w:rsidRPr="00A4197A" w:rsidRDefault="00F1213C" w:rsidP="00D44A4B">
      <w:pPr>
        <w:ind w:left="851" w:right="902"/>
        <w:jc w:val="both"/>
        <w:rPr>
          <w:rFonts w:ascii="Palatino Linotype" w:hAnsi="Palatino Linotype" w:cs="Arial"/>
          <w:i/>
          <w:sz w:val="22"/>
          <w:szCs w:val="22"/>
        </w:rPr>
      </w:pPr>
      <w:r w:rsidRPr="00A4197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1213C" w:rsidRPr="00A4197A" w:rsidRDefault="00F1213C" w:rsidP="00D44A4B">
      <w:pPr>
        <w:ind w:left="851" w:right="902"/>
        <w:jc w:val="both"/>
        <w:rPr>
          <w:rFonts w:ascii="Palatino Linotype" w:hAnsi="Palatino Linotype" w:cs="Arial"/>
          <w:i/>
          <w:sz w:val="22"/>
          <w:szCs w:val="22"/>
        </w:rPr>
      </w:pPr>
      <w:r w:rsidRPr="00A4197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4197A">
        <w:rPr>
          <w:rFonts w:ascii="Palatino Linotype" w:hAnsi="Palatino Linotype" w:cs="Arial"/>
          <w:i/>
          <w:sz w:val="22"/>
          <w:szCs w:val="22"/>
          <w:lang w:eastAsia="es-MX"/>
        </w:rPr>
        <w:t>siguiente</w:t>
      </w:r>
      <w:r w:rsidRPr="00A4197A">
        <w:rPr>
          <w:rFonts w:ascii="Palatino Linotype" w:hAnsi="Palatino Linotype" w:cs="Arial"/>
          <w:i/>
          <w:sz w:val="22"/>
          <w:szCs w:val="22"/>
        </w:rPr>
        <w:t xml:space="preserve"> de haberlo recibido.”</w:t>
      </w:r>
    </w:p>
    <w:p w:rsidR="00F1213C" w:rsidRPr="00A4197A" w:rsidRDefault="00F1213C" w:rsidP="00000941">
      <w:pPr>
        <w:spacing w:before="100" w:beforeAutospacing="1" w:after="100" w:afterAutospacing="1" w:line="360" w:lineRule="auto"/>
        <w:jc w:val="both"/>
        <w:rPr>
          <w:rFonts w:ascii="Palatino Linotype" w:hAnsi="Palatino Linotype" w:cs="Arial"/>
        </w:rPr>
      </w:pPr>
      <w:r w:rsidRPr="00A4197A">
        <w:rPr>
          <w:rFonts w:ascii="Palatino Linotype" w:hAnsi="Palatino Linotype" w:cs="Arial"/>
        </w:rPr>
        <w:t xml:space="preserve">En esa tesitura, atendiendo a que </w:t>
      </w:r>
      <w:r w:rsidRPr="00A4197A">
        <w:rPr>
          <w:rFonts w:ascii="Palatino Linotype" w:hAnsi="Palatino Linotype" w:cs="Arial"/>
          <w:b/>
        </w:rPr>
        <w:t>EL SUJETO OBLIGADO</w:t>
      </w:r>
      <w:r w:rsidRPr="00A4197A">
        <w:rPr>
          <w:rFonts w:ascii="Palatino Linotype" w:hAnsi="Palatino Linotype" w:cs="Arial"/>
        </w:rPr>
        <w:t xml:space="preserve"> notificó la respuesta a la solicitud de información pública el día </w:t>
      </w:r>
      <w:r w:rsidR="00000941" w:rsidRPr="00A4197A">
        <w:rPr>
          <w:rFonts w:ascii="Palatino Linotype" w:hAnsi="Palatino Linotype" w:cs="Arial"/>
          <w:b/>
        </w:rPr>
        <w:t xml:space="preserve">diez de agosto </w:t>
      </w:r>
      <w:r w:rsidRPr="00A4197A">
        <w:rPr>
          <w:rFonts w:ascii="Palatino Linotype" w:hAnsi="Palatino Linotype" w:cs="Arial"/>
          <w:b/>
        </w:rPr>
        <w:t>de dos mil dieciocho</w:t>
      </w:r>
      <w:r w:rsidRPr="00A4197A">
        <w:rPr>
          <w:rFonts w:ascii="Palatino Linotype" w:hAnsi="Palatino Linotype" w:cs="Arial"/>
        </w:rPr>
        <w:t>; así, el plazo de quince días hábiles que el artículo 178 de la Ley de la materia otorga al</w:t>
      </w:r>
      <w:r w:rsidRPr="00A4197A">
        <w:rPr>
          <w:rFonts w:ascii="Palatino Linotype" w:hAnsi="Palatino Linotype" w:cs="Arial"/>
          <w:b/>
        </w:rPr>
        <w:t xml:space="preserve"> RECURRENTE </w:t>
      </w:r>
      <w:r w:rsidRPr="00A4197A">
        <w:rPr>
          <w:rFonts w:ascii="Palatino Linotype" w:hAnsi="Palatino Linotype" w:cs="Arial"/>
        </w:rPr>
        <w:t xml:space="preserve">para presentar el recurso de revisión, transcurrió del </w:t>
      </w:r>
      <w:r w:rsidR="00000941" w:rsidRPr="00A4197A">
        <w:rPr>
          <w:rFonts w:ascii="Palatino Linotype" w:hAnsi="Palatino Linotype" w:cs="Arial"/>
          <w:b/>
        </w:rPr>
        <w:t xml:space="preserve">trece al treinta y uno de agosto </w:t>
      </w:r>
      <w:r w:rsidRPr="00A4197A">
        <w:rPr>
          <w:rFonts w:ascii="Palatino Linotype" w:hAnsi="Palatino Linotype" w:cs="Arial"/>
          <w:b/>
        </w:rPr>
        <w:t>de dos mil dieciocho</w:t>
      </w:r>
      <w:r w:rsidRPr="00A4197A">
        <w:rPr>
          <w:rFonts w:ascii="Palatino Linotype" w:hAnsi="Palatino Linotype" w:cs="Arial"/>
        </w:rPr>
        <w:t xml:space="preserve">, sin contemplar en el cómputo los días </w:t>
      </w:r>
      <w:r w:rsidR="00000941" w:rsidRPr="00A4197A">
        <w:rPr>
          <w:rFonts w:ascii="Palatino Linotype" w:hAnsi="Palatino Linotype" w:cs="Arial"/>
        </w:rPr>
        <w:t>once, doce, dieciocho, diecinueve, veinticinco y veintiséis de agosto de dos mil dieciocho</w:t>
      </w:r>
      <w:r w:rsidRPr="00A4197A">
        <w:rPr>
          <w:rFonts w:ascii="Palatino Linotype" w:hAnsi="Palatino Linotype" w:cs="Arial"/>
        </w:rPr>
        <w:t xml:space="preserve">, por corresponder a sábados y domingos, considerados como días inhábiles, en términos </w:t>
      </w:r>
      <w:r w:rsidR="008D3E8E" w:rsidRPr="00A4197A">
        <w:rPr>
          <w:rFonts w:ascii="Palatino Linotype" w:hAnsi="Palatino Linotype" w:cs="Arial"/>
        </w:rPr>
        <w:lastRenderedPageBreak/>
        <w:t xml:space="preserve">del artículo 3, </w:t>
      </w:r>
      <w:r w:rsidRPr="00A4197A">
        <w:rPr>
          <w:rFonts w:ascii="Palatino Linotype" w:hAnsi="Palatino Linotype" w:cs="Arial"/>
        </w:rPr>
        <w:t xml:space="preserve">fracción X de la </w:t>
      </w:r>
      <w:r w:rsidRPr="00A4197A">
        <w:rPr>
          <w:rFonts w:ascii="Palatino Linotype" w:hAnsi="Palatino Linotype"/>
        </w:rPr>
        <w:t xml:space="preserve">Ley de Transparencia y Acceso a la Información Pública del Estado de México y Municipios. </w:t>
      </w:r>
    </w:p>
    <w:p w:rsidR="00000941" w:rsidRPr="00A4197A" w:rsidRDefault="00000941" w:rsidP="00000941">
      <w:pPr>
        <w:spacing w:before="100" w:beforeAutospacing="1" w:after="100" w:afterAutospacing="1" w:line="360" w:lineRule="auto"/>
        <w:jc w:val="both"/>
        <w:rPr>
          <w:rFonts w:ascii="Palatino Linotype" w:hAnsi="Palatino Linotype" w:cs="Arial"/>
        </w:rPr>
      </w:pPr>
      <w:r w:rsidRPr="00A4197A">
        <w:rPr>
          <w:rFonts w:ascii="Palatino Linotype" w:hAnsi="Palatino Linotype" w:cs="Arial"/>
        </w:rPr>
        <w:t xml:space="preserve">Si bien es cierto que, </w:t>
      </w:r>
      <w:r w:rsidRPr="00A4197A">
        <w:rPr>
          <w:rFonts w:ascii="Palatino Linotype" w:hAnsi="Palatino Linotype" w:cs="Arial"/>
          <w:b/>
          <w:color w:val="000000"/>
        </w:rPr>
        <w:t>EL RECURRENTE</w:t>
      </w:r>
      <w:r w:rsidRPr="00A4197A">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A4197A">
        <w:rPr>
          <w:rFonts w:ascii="Palatino Linotype" w:hAnsi="Palatino Linotype" w:cs="Arial"/>
          <w:b/>
          <w:color w:val="000000"/>
        </w:rPr>
        <w:t>EL RECURRENTE</w:t>
      </w:r>
      <w:r w:rsidRPr="00A4197A">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000941" w:rsidRPr="00A4197A" w:rsidRDefault="00000941" w:rsidP="00000941">
      <w:pPr>
        <w:spacing w:before="100" w:beforeAutospacing="1" w:after="100" w:afterAutospacing="1" w:line="360" w:lineRule="auto"/>
        <w:jc w:val="both"/>
        <w:rPr>
          <w:rFonts w:ascii="Palatino Linotype" w:hAnsi="Palatino Linotype" w:cs="Arial"/>
        </w:rPr>
      </w:pPr>
      <w:r w:rsidRPr="00A4197A">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000941" w:rsidRPr="00A4197A" w:rsidRDefault="00000941" w:rsidP="00000941">
      <w:pPr>
        <w:pStyle w:val="Prrafodelista"/>
        <w:ind w:left="851" w:right="902"/>
        <w:jc w:val="both"/>
        <w:rPr>
          <w:rFonts w:ascii="Palatino Linotype" w:hAnsi="Palatino Linotype" w:cs="Arial"/>
          <w:b/>
          <w:i/>
          <w:sz w:val="22"/>
          <w:szCs w:val="22"/>
        </w:rPr>
      </w:pPr>
      <w:r w:rsidRPr="00A4197A">
        <w:rPr>
          <w:rFonts w:ascii="Palatino Linotype" w:hAnsi="Palatino Linotype" w:cs="Arial"/>
          <w:i/>
          <w:sz w:val="22"/>
          <w:szCs w:val="22"/>
        </w:rPr>
        <w:t>“</w:t>
      </w:r>
      <w:r w:rsidRPr="00A4197A">
        <w:rPr>
          <w:rFonts w:ascii="Palatino Linotype" w:hAnsi="Palatino Linotype" w:cs="Arial"/>
          <w:b/>
          <w:i/>
          <w:sz w:val="22"/>
          <w:szCs w:val="22"/>
        </w:rPr>
        <w:t xml:space="preserve">RECURSO DE RECLAMACIÓN. SU INTERPOSICIÓN NO ES EXTEMPORÁNEA SI SE </w:t>
      </w:r>
      <w:r w:rsidRPr="00A4197A">
        <w:rPr>
          <w:rFonts w:ascii="Palatino Linotype" w:hAnsi="Palatino Linotype" w:cs="Arial"/>
          <w:b/>
          <w:i/>
          <w:color w:val="000000"/>
          <w:sz w:val="22"/>
          <w:szCs w:val="22"/>
        </w:rPr>
        <w:t>REALIZA</w:t>
      </w:r>
      <w:r w:rsidRPr="00A4197A">
        <w:rPr>
          <w:rFonts w:ascii="Palatino Linotype" w:hAnsi="Palatino Linotype" w:cs="Arial"/>
          <w:b/>
          <w:i/>
          <w:sz w:val="22"/>
          <w:szCs w:val="22"/>
        </w:rPr>
        <w:t xml:space="preserve"> ANTES DE QUE INICIE EL PLAZO PARA HACERLO.</w:t>
      </w:r>
    </w:p>
    <w:p w:rsidR="00000941" w:rsidRPr="00A4197A" w:rsidRDefault="00000941" w:rsidP="00000941">
      <w:pPr>
        <w:pStyle w:val="Prrafodelista"/>
        <w:ind w:left="851" w:right="902"/>
        <w:jc w:val="both"/>
        <w:rPr>
          <w:rFonts w:ascii="Palatino Linotype" w:hAnsi="Palatino Linotype" w:cs="Arial"/>
          <w:i/>
          <w:sz w:val="22"/>
          <w:szCs w:val="22"/>
        </w:rPr>
      </w:pPr>
      <w:r w:rsidRPr="00A4197A">
        <w:rPr>
          <w:rFonts w:ascii="Palatino Linotype" w:hAnsi="Palatino Linotype" w:cs="Arial"/>
          <w:i/>
          <w:sz w:val="22"/>
          <w:szCs w:val="22"/>
        </w:rPr>
        <w:t xml:space="preserve">Conforme al artículo 104, párrafo segundo, de la Ley de Amparo, el recurso de reclamación podrá interponerse por </w:t>
      </w:r>
      <w:r w:rsidRPr="00A4197A">
        <w:rPr>
          <w:rFonts w:ascii="Palatino Linotype" w:hAnsi="Palatino Linotype" w:cs="Arial"/>
          <w:i/>
          <w:color w:val="000000"/>
          <w:sz w:val="22"/>
          <w:szCs w:val="22"/>
        </w:rPr>
        <w:t>cualquiera</w:t>
      </w:r>
      <w:r w:rsidRPr="00A4197A">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w:t>
      </w:r>
      <w:r w:rsidRPr="00A4197A">
        <w:rPr>
          <w:rFonts w:ascii="Palatino Linotype" w:hAnsi="Palatino Linotype" w:cs="Arial"/>
          <w:i/>
          <w:sz w:val="22"/>
          <w:szCs w:val="22"/>
        </w:rPr>
        <w:lastRenderedPageBreak/>
        <w:t>se interpone antes de que inicie el plazo para hacerlo, su presentación no es extemporánea.</w:t>
      </w:r>
    </w:p>
    <w:p w:rsidR="00000941" w:rsidRPr="00A4197A" w:rsidRDefault="00000941" w:rsidP="00000941">
      <w:pPr>
        <w:pStyle w:val="Prrafodelista"/>
        <w:ind w:left="851" w:right="902"/>
        <w:jc w:val="both"/>
        <w:rPr>
          <w:rFonts w:ascii="Palatino Linotype" w:hAnsi="Palatino Linotype" w:cs="Arial"/>
          <w:i/>
          <w:sz w:val="22"/>
          <w:szCs w:val="22"/>
        </w:rPr>
      </w:pPr>
      <w:r w:rsidRPr="00A4197A">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000941" w:rsidRPr="00A4197A" w:rsidRDefault="00000941" w:rsidP="00000941">
      <w:pPr>
        <w:pStyle w:val="Prrafodelista"/>
        <w:ind w:left="851" w:right="902"/>
        <w:jc w:val="both"/>
        <w:rPr>
          <w:rFonts w:ascii="Palatino Linotype" w:hAnsi="Palatino Linotype" w:cs="Arial"/>
          <w:i/>
          <w:sz w:val="22"/>
          <w:szCs w:val="22"/>
        </w:rPr>
      </w:pPr>
      <w:r w:rsidRPr="00A4197A">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000941" w:rsidRPr="00A4197A" w:rsidRDefault="00000941" w:rsidP="00000941">
      <w:pPr>
        <w:pStyle w:val="Prrafodelista"/>
        <w:ind w:left="851" w:right="902"/>
        <w:jc w:val="both"/>
        <w:rPr>
          <w:rFonts w:ascii="Palatino Linotype" w:hAnsi="Palatino Linotype" w:cs="Arial"/>
          <w:i/>
          <w:sz w:val="22"/>
          <w:szCs w:val="22"/>
        </w:rPr>
      </w:pPr>
      <w:r w:rsidRPr="00A4197A">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000941" w:rsidRPr="00A4197A" w:rsidRDefault="00000941" w:rsidP="00000941">
      <w:pPr>
        <w:pStyle w:val="Prrafodelista"/>
        <w:ind w:left="851" w:right="902"/>
        <w:jc w:val="both"/>
        <w:rPr>
          <w:rFonts w:ascii="Palatino Linotype" w:hAnsi="Palatino Linotype" w:cs="Arial"/>
          <w:i/>
          <w:sz w:val="22"/>
          <w:szCs w:val="22"/>
        </w:rPr>
      </w:pPr>
      <w:r w:rsidRPr="00A4197A">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000941" w:rsidRPr="00A4197A" w:rsidRDefault="00000941" w:rsidP="00000941">
      <w:pPr>
        <w:pStyle w:val="Prrafodelista"/>
        <w:ind w:left="851" w:right="902"/>
        <w:jc w:val="both"/>
        <w:rPr>
          <w:rFonts w:ascii="Palatino Linotype" w:hAnsi="Palatino Linotype" w:cs="Arial"/>
          <w:i/>
          <w:sz w:val="22"/>
          <w:szCs w:val="22"/>
        </w:rPr>
      </w:pPr>
      <w:r w:rsidRPr="00A4197A">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000941" w:rsidRPr="00A4197A" w:rsidRDefault="00000941" w:rsidP="00000941">
      <w:pPr>
        <w:pStyle w:val="Prrafodelista"/>
        <w:ind w:left="851" w:right="902"/>
        <w:jc w:val="both"/>
        <w:rPr>
          <w:rFonts w:ascii="Palatino Linotype" w:hAnsi="Palatino Linotype" w:cs="Arial"/>
          <w:i/>
          <w:sz w:val="22"/>
          <w:szCs w:val="22"/>
        </w:rPr>
      </w:pPr>
      <w:r w:rsidRPr="00A4197A">
        <w:rPr>
          <w:rFonts w:ascii="Palatino Linotype" w:hAnsi="Palatino Linotype" w:cs="Arial"/>
          <w:i/>
          <w:sz w:val="22"/>
          <w:szCs w:val="22"/>
        </w:rPr>
        <w:t>Tesis de jurisprudencia 41/2015 (10a.). Aprobada por la Primera Sala de este Alto Tribunal, en sesión privada de veintisiete de mayo de dos mil quince.</w:t>
      </w:r>
    </w:p>
    <w:p w:rsidR="00000941" w:rsidRPr="00A4197A" w:rsidRDefault="00000941" w:rsidP="00000941">
      <w:pPr>
        <w:pStyle w:val="Prrafodelista"/>
        <w:ind w:left="851" w:right="902"/>
        <w:jc w:val="both"/>
        <w:rPr>
          <w:rFonts w:ascii="Palatino Linotype" w:hAnsi="Palatino Linotype" w:cs="Arial"/>
          <w:i/>
          <w:sz w:val="22"/>
          <w:szCs w:val="22"/>
        </w:rPr>
      </w:pPr>
      <w:r w:rsidRPr="00A4197A">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000941" w:rsidRPr="00A4197A" w:rsidRDefault="00000941" w:rsidP="00000941">
      <w:pPr>
        <w:spacing w:before="100" w:beforeAutospacing="1" w:after="100" w:afterAutospacing="1" w:line="360" w:lineRule="auto"/>
        <w:jc w:val="both"/>
        <w:rPr>
          <w:rFonts w:ascii="Palatino Linotype" w:hAnsi="Palatino Linotype" w:cs="Arial"/>
        </w:rPr>
      </w:pPr>
      <w:r w:rsidRPr="00A4197A">
        <w:rPr>
          <w:rFonts w:ascii="Palatino Linotype" w:hAnsi="Palatino Linotype" w:cs="Arial"/>
        </w:rPr>
        <w:t>En ese tenor, si el recurso de revisión que nos ocupa, se interpuso el día</w:t>
      </w:r>
      <w:r w:rsidRPr="00A4197A">
        <w:rPr>
          <w:rFonts w:ascii="Palatino Linotype" w:hAnsi="Palatino Linotype" w:cs="Arial"/>
          <w:b/>
        </w:rPr>
        <w:t xml:space="preserve"> diez de agosto de dos mil dieciocho</w:t>
      </w:r>
      <w:r w:rsidRPr="00A4197A">
        <w:rPr>
          <w:rFonts w:ascii="Palatino Linotype" w:hAnsi="Palatino Linotype" w:cs="Arial"/>
        </w:rPr>
        <w:t>, éste se encuentra dentro de los márgenes temporales previstos en el precepto legal señalado en el párrafo anterior y, por tanto, su interposición se considera oportuna.</w:t>
      </w:r>
    </w:p>
    <w:p w:rsidR="00F1213C" w:rsidRPr="00A4197A" w:rsidRDefault="00F1213C" w:rsidP="00F1213C">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A4197A">
        <w:rPr>
          <w:rFonts w:ascii="Palatino Linotype" w:hAnsi="Palatino Linotype" w:cs="Arial"/>
          <w:b/>
          <w:sz w:val="28"/>
          <w:szCs w:val="28"/>
        </w:rPr>
        <w:lastRenderedPageBreak/>
        <w:t>CUARTO.</w:t>
      </w:r>
      <w:r w:rsidRPr="00A4197A">
        <w:rPr>
          <w:rFonts w:ascii="Palatino Linotype" w:hAnsi="Palatino Linotype" w:cs="Arial"/>
          <w:b/>
          <w:szCs w:val="28"/>
        </w:rPr>
        <w:t xml:space="preserve"> Procedibilidad. </w:t>
      </w:r>
      <w:r w:rsidRPr="00A4197A">
        <w:rPr>
          <w:rFonts w:ascii="Palatino Linotype" w:hAnsi="Palatino Linotype" w:cs="Arial"/>
        </w:rPr>
        <w:t xml:space="preserve">Del análisis efectuado, se advierte la procedibilidad del presente recurso de revisión, en razón de acreditación </w:t>
      </w:r>
      <w:r w:rsidRPr="00A4197A">
        <w:rPr>
          <w:rFonts w:ascii="Palatino Linotype" w:hAnsi="Palatino Linotype" w:cs="Arial"/>
          <w:snapToGrid w:val="0"/>
        </w:rPr>
        <w:t>plena</w:t>
      </w:r>
      <w:r w:rsidRPr="00A4197A">
        <w:rPr>
          <w:rFonts w:ascii="Palatino Linotype" w:hAnsi="Palatino Linotype" w:cs="Arial"/>
        </w:rPr>
        <w:t xml:space="preserve"> de todos y cada uno de los elementos formales exigidos por el artículo 180 de la Ley de Transparencia y Acceso a la Información</w:t>
      </w:r>
      <w:r w:rsidRPr="00A4197A">
        <w:rPr>
          <w:rFonts w:ascii="Palatino Linotype" w:hAnsi="Palatino Linotype"/>
        </w:rPr>
        <w:t xml:space="preserve"> Pública del Estado de México y Municipios, en atención a que fue presentado mediante el formato visible en </w:t>
      </w:r>
      <w:r w:rsidRPr="00A4197A">
        <w:rPr>
          <w:rFonts w:ascii="Palatino Linotype" w:hAnsi="Palatino Linotype"/>
          <w:b/>
        </w:rPr>
        <w:t>EL SAIMEX</w:t>
      </w:r>
      <w:r w:rsidRPr="00A4197A">
        <w:rPr>
          <w:rFonts w:ascii="Palatino Linotype" w:hAnsi="Palatino Linotype"/>
        </w:rPr>
        <w:t>.</w:t>
      </w:r>
    </w:p>
    <w:p w:rsidR="00D6237C" w:rsidRPr="00A4197A" w:rsidRDefault="00D6237C" w:rsidP="00D44A4B">
      <w:pPr>
        <w:spacing w:before="100" w:beforeAutospacing="1" w:after="100" w:afterAutospacing="1" w:line="360" w:lineRule="auto"/>
        <w:jc w:val="both"/>
        <w:rPr>
          <w:rFonts w:ascii="Palatino Linotype" w:hAnsi="Palatino Linotype"/>
          <w:b/>
          <w:sz w:val="28"/>
          <w:szCs w:val="28"/>
        </w:rPr>
      </w:pPr>
      <w:r w:rsidRPr="00A4197A">
        <w:rPr>
          <w:rFonts w:ascii="Palatino Linotype" w:hAnsi="Palatino Linotype" w:cs="Arial"/>
          <w:b/>
          <w:sz w:val="28"/>
          <w:szCs w:val="28"/>
        </w:rPr>
        <w:t>QUINTO</w:t>
      </w:r>
      <w:r w:rsidRPr="00A4197A">
        <w:rPr>
          <w:rFonts w:ascii="Palatino Linotype" w:hAnsi="Palatino Linotype" w:cs="Arial"/>
          <w:b/>
        </w:rPr>
        <w:t xml:space="preserve">. </w:t>
      </w:r>
      <w:r w:rsidRPr="00A4197A">
        <w:rPr>
          <w:rFonts w:ascii="Palatino Linotype" w:hAnsi="Palatino Linotype" w:cs="Arial"/>
          <w:b/>
          <w:color w:val="000000" w:themeColor="text1"/>
        </w:rPr>
        <w:t>Análisis de causal de sobreseimiento.</w:t>
      </w:r>
      <w:r w:rsidRPr="00A4197A">
        <w:rPr>
          <w:rFonts w:ascii="Palatino Linotype" w:hAnsi="Palatino Linotype" w:cs="Arial"/>
          <w:color w:val="000000" w:themeColor="text1"/>
        </w:rPr>
        <w:t xml:space="preserve"> </w:t>
      </w:r>
      <w:r w:rsidRPr="00A4197A">
        <w:rPr>
          <w:rFonts w:ascii="Palatino Linotype" w:hAnsi="Palatino Linotype"/>
          <w:color w:val="000000" w:themeColor="text1"/>
        </w:rPr>
        <w:t xml:space="preserve">En este contexto este Órgano Colegiado advierte que en el caso, se actualiza la causal de sobreseimiento prevista en la fracción V del artículo 192 </w:t>
      </w:r>
      <w:r w:rsidRPr="00A4197A">
        <w:rPr>
          <w:rFonts w:ascii="Palatino Linotype" w:hAnsi="Palatino Linotype" w:cs="Arial"/>
          <w:lang w:val="es-ES_tradnl"/>
        </w:rPr>
        <w:t xml:space="preserve">de la </w:t>
      </w:r>
      <w:r w:rsidRPr="00A4197A">
        <w:rPr>
          <w:rFonts w:ascii="Palatino Linotype" w:hAnsi="Palatino Linotype"/>
        </w:rPr>
        <w:t xml:space="preserve">Ley de Transparencia y Acceso a la Información Pública del Estado de México y Municipios, </w:t>
      </w:r>
      <w:r w:rsidRPr="00A4197A">
        <w:rPr>
          <w:rFonts w:ascii="Palatino Linotype" w:hAnsi="Palatino Linotype"/>
          <w:color w:val="000000" w:themeColor="text1"/>
        </w:rPr>
        <w:t>que dispone lo siguiente:</w:t>
      </w:r>
    </w:p>
    <w:p w:rsidR="005277E6" w:rsidRPr="00A4197A" w:rsidRDefault="005277E6" w:rsidP="005277E6">
      <w:pPr>
        <w:ind w:left="851" w:right="899"/>
        <w:jc w:val="both"/>
        <w:rPr>
          <w:rFonts w:ascii="Palatino Linotype" w:hAnsi="Palatino Linotype" w:cs="Arial"/>
          <w:i/>
          <w:sz w:val="22"/>
          <w:szCs w:val="22"/>
        </w:rPr>
      </w:pPr>
      <w:r w:rsidRPr="00A4197A">
        <w:rPr>
          <w:rFonts w:ascii="Palatino Linotype" w:hAnsi="Palatino Linotype" w:cs="Arial"/>
          <w:i/>
          <w:sz w:val="22"/>
          <w:szCs w:val="22"/>
        </w:rPr>
        <w:t>“</w:t>
      </w:r>
      <w:r w:rsidRPr="00A4197A">
        <w:rPr>
          <w:rFonts w:ascii="Palatino Linotype" w:hAnsi="Palatino Linotype" w:cs="Arial"/>
          <w:b/>
          <w:i/>
          <w:sz w:val="22"/>
          <w:szCs w:val="22"/>
        </w:rPr>
        <w:t>Artículo 192</w:t>
      </w:r>
      <w:r w:rsidRPr="00A4197A">
        <w:rPr>
          <w:rFonts w:ascii="Palatino Linotype" w:hAnsi="Palatino Linotype" w:cs="Arial"/>
          <w:i/>
          <w:sz w:val="22"/>
          <w:szCs w:val="22"/>
        </w:rPr>
        <w:t>. El recurso será sobreseído, en todo o en parte, cuando una vez admitido, se actualicen alguno de los siguientes supuestos:</w:t>
      </w:r>
    </w:p>
    <w:p w:rsidR="005277E6" w:rsidRPr="00A4197A" w:rsidRDefault="005277E6" w:rsidP="005277E6">
      <w:pPr>
        <w:ind w:left="851" w:right="899"/>
        <w:jc w:val="both"/>
        <w:rPr>
          <w:rFonts w:ascii="Palatino Linotype" w:hAnsi="Palatino Linotype" w:cs="Arial"/>
          <w:i/>
          <w:sz w:val="22"/>
          <w:szCs w:val="22"/>
        </w:rPr>
      </w:pPr>
      <w:r w:rsidRPr="00A4197A">
        <w:rPr>
          <w:rFonts w:ascii="Palatino Linotype" w:hAnsi="Palatino Linotype" w:cs="Arial"/>
          <w:i/>
          <w:sz w:val="22"/>
          <w:szCs w:val="22"/>
        </w:rPr>
        <w:t>(…)</w:t>
      </w:r>
    </w:p>
    <w:p w:rsidR="005277E6" w:rsidRPr="00A4197A" w:rsidRDefault="005277E6" w:rsidP="005277E6">
      <w:pPr>
        <w:ind w:left="851" w:right="899"/>
        <w:jc w:val="both"/>
        <w:rPr>
          <w:rFonts w:ascii="Palatino Linotype" w:hAnsi="Palatino Linotype" w:cs="Arial"/>
          <w:b/>
          <w:i/>
          <w:sz w:val="22"/>
          <w:szCs w:val="22"/>
        </w:rPr>
      </w:pPr>
      <w:r w:rsidRPr="00A4197A">
        <w:rPr>
          <w:rFonts w:ascii="Palatino Linotype" w:hAnsi="Palatino Linotype" w:cs="Arial"/>
          <w:b/>
          <w:i/>
          <w:sz w:val="22"/>
          <w:szCs w:val="22"/>
        </w:rPr>
        <w:t>V. Cuando por cualquier motivo quede sin materia el recurso.”</w:t>
      </w:r>
    </w:p>
    <w:p w:rsidR="005277E6" w:rsidRPr="00A4197A" w:rsidRDefault="004F0089" w:rsidP="005277E6">
      <w:pPr>
        <w:spacing w:line="360" w:lineRule="auto"/>
        <w:ind w:left="851" w:right="1134"/>
        <w:jc w:val="both"/>
        <w:rPr>
          <w:rFonts w:ascii="Palatino Linotype" w:hAnsi="Palatino Linotype" w:cs="Arial"/>
          <w:i/>
          <w:sz w:val="22"/>
          <w:szCs w:val="22"/>
        </w:rPr>
      </w:pPr>
      <w:r w:rsidRPr="00A4197A">
        <w:rPr>
          <w:rFonts w:ascii="Palatino Linotype" w:hAnsi="Palatino Linotype" w:cs="Arial"/>
          <w:i/>
          <w:sz w:val="22"/>
          <w:szCs w:val="22"/>
        </w:rPr>
        <w:t>(Énfasis añadido)</w:t>
      </w:r>
    </w:p>
    <w:p w:rsidR="005277E6" w:rsidRPr="00A4197A" w:rsidRDefault="005277E6" w:rsidP="005277E6">
      <w:pPr>
        <w:spacing w:line="360" w:lineRule="auto"/>
        <w:jc w:val="both"/>
        <w:rPr>
          <w:rFonts w:ascii="Palatino Linotype" w:hAnsi="Palatino Linotype" w:cs="Arial"/>
        </w:rPr>
      </w:pPr>
      <w:r w:rsidRPr="00A4197A">
        <w:rPr>
          <w:rFonts w:ascii="Palatino Linotype" w:hAnsi="Palatino Linotype" w:cs="Arial"/>
        </w:rPr>
        <w:t>Luego, conforme a la transcripción que antecede se advierte como causal de sobreseimiento que, una vez admitido el recurso de revisión, por cualquier causa o motivo quede sin materia el mismo. Es decir, el presente recurso de revisión ha quedado sin materia debido a que, conforme al análisis efectuado por este Órgano Autónomo, se advierte lo siguiente.</w:t>
      </w:r>
    </w:p>
    <w:p w:rsidR="00D44A4B" w:rsidRPr="00A4197A" w:rsidRDefault="005277E6" w:rsidP="004F008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lang w:val="es-ES_tradnl"/>
        </w:rPr>
      </w:pPr>
      <w:r w:rsidRPr="00A4197A">
        <w:rPr>
          <w:rFonts w:ascii="Palatino Linotype" w:hAnsi="Palatino Linotype" w:cs="Arial"/>
        </w:rPr>
        <w:t xml:space="preserve">Primeramente, debemos recordar que </w:t>
      </w:r>
      <w:r w:rsidRPr="00A4197A">
        <w:rPr>
          <w:rFonts w:ascii="Palatino Linotype" w:hAnsi="Palatino Linotype" w:cs="Arial"/>
          <w:b/>
        </w:rPr>
        <w:t xml:space="preserve">EL RECURRENTE </w:t>
      </w:r>
      <w:r w:rsidRPr="00A4197A">
        <w:rPr>
          <w:rFonts w:ascii="Palatino Linotype" w:hAnsi="Palatino Linotype"/>
          <w:color w:val="000000"/>
        </w:rPr>
        <w:t xml:space="preserve">requirió del </w:t>
      </w:r>
      <w:r w:rsidRPr="00A4197A">
        <w:rPr>
          <w:rFonts w:ascii="Palatino Linotype" w:hAnsi="Palatino Linotype"/>
          <w:b/>
          <w:lang w:val="es-ES_tradnl"/>
        </w:rPr>
        <w:t>SUJETO OBLIGADO</w:t>
      </w:r>
      <w:r w:rsidRPr="00A4197A">
        <w:rPr>
          <w:rFonts w:ascii="Palatino Linotype" w:hAnsi="Palatino Linotype"/>
          <w:lang w:val="es-ES_tradnl"/>
        </w:rPr>
        <w:t xml:space="preserve"> conocer el</w:t>
      </w:r>
      <w:r w:rsidR="00D44A4B" w:rsidRPr="00A4197A">
        <w:rPr>
          <w:rFonts w:ascii="Palatino Linotype" w:hAnsi="Palatino Linotype"/>
          <w:lang w:val="es-ES_tradnl"/>
        </w:rPr>
        <w:t xml:space="preserve"> procedimiento para la remoción de Consejeros.</w:t>
      </w:r>
    </w:p>
    <w:p w:rsidR="00D44A4B" w:rsidRPr="00A4197A" w:rsidRDefault="005277E6" w:rsidP="00D44A4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4197A">
        <w:rPr>
          <w:rFonts w:ascii="Palatino Linotype" w:hAnsi="Palatino Linotype" w:cs="Arial"/>
        </w:rPr>
        <w:t xml:space="preserve">Atento a ello, el titular de la Unidad de Transparencia y Acceso a la Información Pública, </w:t>
      </w:r>
      <w:r w:rsidR="00D44A4B" w:rsidRPr="00A4197A">
        <w:rPr>
          <w:rFonts w:ascii="Palatino Linotype" w:hAnsi="Palatino Linotype" w:cs="Arial"/>
        </w:rPr>
        <w:t xml:space="preserve">hizo del conocimiento del particular la respuesta del Servidor Público Habilitado de la Secretaría Ejecutiva, en la cual refirió que de manera general se </w:t>
      </w:r>
      <w:r w:rsidR="00D44A4B" w:rsidRPr="00A4197A">
        <w:rPr>
          <w:rFonts w:ascii="Palatino Linotype" w:hAnsi="Palatino Linotype" w:cs="Arial"/>
        </w:rPr>
        <w:lastRenderedPageBreak/>
        <w:t>aplicaba el procedimiento establecido en el artículo 233 del Código Electoral del Estado de México</w:t>
      </w:r>
      <w:r w:rsidR="00C23537" w:rsidRPr="00A4197A">
        <w:rPr>
          <w:rFonts w:ascii="Palatino Linotype" w:hAnsi="Palatino Linotype" w:cs="Arial"/>
        </w:rPr>
        <w:t xml:space="preserve"> y en estricto apego al derecho de garantía de audiencia.</w:t>
      </w:r>
    </w:p>
    <w:p w:rsidR="00C23537" w:rsidRPr="00A4197A" w:rsidRDefault="00662F5C" w:rsidP="00F1213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4197A">
        <w:rPr>
          <w:rFonts w:ascii="Palatino Linotype" w:hAnsi="Palatino Linotype" w:cs="Arial"/>
        </w:rPr>
        <w:t xml:space="preserve">Inconforme con la respuesta citada, </w:t>
      </w:r>
      <w:r w:rsidRPr="00A4197A">
        <w:rPr>
          <w:rFonts w:ascii="Palatino Linotype" w:hAnsi="Palatino Linotype" w:cs="Arial"/>
          <w:b/>
        </w:rPr>
        <w:t>EL</w:t>
      </w:r>
      <w:r w:rsidRPr="00A4197A">
        <w:rPr>
          <w:rFonts w:ascii="Palatino Linotype" w:hAnsi="Palatino Linotype" w:cs="Arial"/>
          <w:b/>
          <w:lang w:eastAsia="es-MX"/>
        </w:rPr>
        <w:t xml:space="preserve"> RECURRENTE</w:t>
      </w:r>
      <w:r w:rsidRPr="00A4197A">
        <w:rPr>
          <w:rFonts w:ascii="Palatino Linotype" w:hAnsi="Palatino Linotype" w:cs="Arial"/>
        </w:rPr>
        <w:t xml:space="preserve"> señaló como acto impugnado y razones o motivos de inconformidad lo establecido en el Resultando IV, de la presente resolución; mientras que en Informe Justificado, </w:t>
      </w:r>
      <w:r w:rsidRPr="00A4197A">
        <w:rPr>
          <w:rFonts w:ascii="Palatino Linotype" w:hAnsi="Palatino Linotype" w:cs="Arial"/>
          <w:b/>
        </w:rPr>
        <w:t xml:space="preserve">EL SUJETO OBLIGADO </w:t>
      </w:r>
      <w:r w:rsidRPr="00A4197A">
        <w:rPr>
          <w:rFonts w:ascii="Palatino Linotype" w:hAnsi="Palatino Linotype" w:cs="Arial"/>
        </w:rPr>
        <w:t>ratificó su respuesta.</w:t>
      </w:r>
    </w:p>
    <w:p w:rsidR="004019A4" w:rsidRPr="00A4197A" w:rsidRDefault="00662F5C" w:rsidP="00703E65">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A4197A">
        <w:rPr>
          <w:rFonts w:ascii="Palatino Linotype" w:hAnsi="Palatino Linotype"/>
          <w:color w:val="000000" w:themeColor="text1"/>
        </w:rPr>
        <w:t>Atento a lo anterior, este Órgano Garante procedió al estudio de la solicitud de información así como de la respuesta, encontrando</w:t>
      </w:r>
      <w:r w:rsidR="00703E65" w:rsidRPr="00A4197A">
        <w:rPr>
          <w:rFonts w:ascii="Palatino Linotype" w:hAnsi="Palatino Linotype"/>
          <w:color w:val="000000" w:themeColor="text1"/>
        </w:rPr>
        <w:t xml:space="preserve"> por una parte que </w:t>
      </w:r>
      <w:r w:rsidRPr="00A4197A">
        <w:rPr>
          <w:rFonts w:ascii="Palatino Linotype" w:hAnsi="Palatino Linotype"/>
          <w:color w:val="000000" w:themeColor="text1"/>
        </w:rPr>
        <w:t xml:space="preserve">el particular fue omiso en </w:t>
      </w:r>
      <w:r w:rsidR="004019A4" w:rsidRPr="00A4197A">
        <w:rPr>
          <w:rFonts w:ascii="Palatino Linotype" w:hAnsi="Palatino Linotype"/>
          <w:color w:val="000000" w:themeColor="text1"/>
        </w:rPr>
        <w:t>precisar a qué Consejeros se refiere o de cuales pretende conocer el procedimiento de remoción</w:t>
      </w:r>
      <w:r w:rsidR="00703E65" w:rsidRPr="00A4197A">
        <w:rPr>
          <w:rFonts w:ascii="Palatino Linotype" w:hAnsi="Palatino Linotype"/>
          <w:color w:val="000000" w:themeColor="text1"/>
        </w:rPr>
        <w:t xml:space="preserve"> así como, q</w:t>
      </w:r>
      <w:r w:rsidR="004019A4" w:rsidRPr="00A4197A">
        <w:rPr>
          <w:rFonts w:ascii="Palatino Linotype" w:hAnsi="Palatino Linotype"/>
          <w:color w:val="000000" w:themeColor="text1"/>
        </w:rPr>
        <w:t>ue</w:t>
      </w:r>
      <w:r w:rsidR="00703E65" w:rsidRPr="00A4197A">
        <w:rPr>
          <w:rFonts w:ascii="Palatino Linotype" w:hAnsi="Palatino Linotype"/>
          <w:color w:val="000000" w:themeColor="text1"/>
        </w:rPr>
        <w:t xml:space="preserve"> de </w:t>
      </w:r>
      <w:r w:rsidR="004019A4" w:rsidRPr="00A4197A">
        <w:rPr>
          <w:rFonts w:ascii="Palatino Linotype" w:hAnsi="Palatino Linotype"/>
          <w:color w:val="000000" w:themeColor="text1"/>
        </w:rPr>
        <w:t xml:space="preserve">la respuesta del </w:t>
      </w:r>
      <w:r w:rsidR="004019A4" w:rsidRPr="00A4197A">
        <w:rPr>
          <w:rFonts w:ascii="Palatino Linotype" w:hAnsi="Palatino Linotype"/>
          <w:b/>
          <w:color w:val="000000" w:themeColor="text1"/>
        </w:rPr>
        <w:t xml:space="preserve">SUJETO OBLIGADO </w:t>
      </w:r>
      <w:r w:rsidR="00703E65" w:rsidRPr="00A4197A">
        <w:rPr>
          <w:rFonts w:ascii="Palatino Linotype" w:hAnsi="Palatino Linotype"/>
          <w:color w:val="000000" w:themeColor="text1"/>
        </w:rPr>
        <w:t xml:space="preserve">tampoco se advierte que precise dicha situación, refiriendo únicamente </w:t>
      </w:r>
      <w:r w:rsidR="004019A4" w:rsidRPr="00A4197A">
        <w:rPr>
          <w:rFonts w:ascii="Palatino Linotype" w:hAnsi="Palatino Linotype"/>
          <w:color w:val="000000" w:themeColor="text1"/>
        </w:rPr>
        <w:t xml:space="preserve"> el fundamento legal tal como lo señaló el particular en sus razones o motivos de inconformidad.</w:t>
      </w:r>
    </w:p>
    <w:p w:rsidR="0030584F" w:rsidRPr="00A4197A" w:rsidRDefault="00210FEC" w:rsidP="00703E65">
      <w:pPr>
        <w:widowControl w:val="0"/>
        <w:autoSpaceDE w:val="0"/>
        <w:autoSpaceDN w:val="0"/>
        <w:adjustRightInd w:val="0"/>
        <w:spacing w:before="100" w:beforeAutospacing="1" w:after="100" w:afterAutospacing="1" w:line="360" w:lineRule="auto"/>
        <w:jc w:val="both"/>
        <w:rPr>
          <w:rFonts w:ascii="Palatino Linotype" w:hAnsi="Palatino Linotype"/>
          <w:color w:val="000000" w:themeColor="text1"/>
        </w:rPr>
      </w:pPr>
      <w:r w:rsidRPr="00A4197A">
        <w:rPr>
          <w:rFonts w:ascii="Palatino Linotype" w:hAnsi="Palatino Linotype"/>
          <w:color w:val="000000" w:themeColor="text1"/>
        </w:rPr>
        <w:t xml:space="preserve">En ese tenor, antes de seguir con el análisis de la respuesta, conviene precisar que </w:t>
      </w:r>
      <w:r w:rsidR="0030584F" w:rsidRPr="00A4197A">
        <w:rPr>
          <w:rFonts w:ascii="Palatino Linotype" w:hAnsi="Palatino Linotype"/>
          <w:color w:val="000000" w:themeColor="text1"/>
        </w:rPr>
        <w:t>el Instituto Electoral del Estado de México, si bien de conformidad con la Constitución Política del Estado Libre y Soberano de México</w:t>
      </w:r>
      <w:r w:rsidR="00F14970" w:rsidRPr="00A4197A">
        <w:rPr>
          <w:rStyle w:val="Refdenotaalpie"/>
          <w:rFonts w:ascii="Palatino Linotype" w:hAnsi="Palatino Linotype"/>
          <w:color w:val="000000" w:themeColor="text1"/>
        </w:rPr>
        <w:footnoteReference w:id="1"/>
      </w:r>
      <w:r w:rsidR="0030584F" w:rsidRPr="00A4197A">
        <w:rPr>
          <w:rFonts w:ascii="Palatino Linotype" w:hAnsi="Palatino Linotype"/>
          <w:color w:val="000000" w:themeColor="text1"/>
        </w:rPr>
        <w:t xml:space="preserve">, y el Código Electoral del Estado de </w:t>
      </w:r>
      <w:r w:rsidR="0030584F" w:rsidRPr="00A4197A">
        <w:rPr>
          <w:rFonts w:ascii="Palatino Linotype" w:hAnsi="Palatino Linotype"/>
          <w:color w:val="000000" w:themeColor="text1"/>
        </w:rPr>
        <w:lastRenderedPageBreak/>
        <w:t>México</w:t>
      </w:r>
      <w:r w:rsidR="00CF2507" w:rsidRPr="00A4197A">
        <w:rPr>
          <w:rStyle w:val="Refdenotaalpie"/>
          <w:rFonts w:ascii="Palatino Linotype" w:hAnsi="Palatino Linotype"/>
          <w:color w:val="000000" w:themeColor="text1"/>
        </w:rPr>
        <w:footnoteReference w:id="2"/>
      </w:r>
      <w:r w:rsidR="0030584F" w:rsidRPr="00A4197A">
        <w:rPr>
          <w:rFonts w:ascii="Palatino Linotype" w:hAnsi="Palatino Linotype"/>
          <w:color w:val="000000" w:themeColor="text1"/>
        </w:rPr>
        <w:t xml:space="preserve"> es un Organismo Público Autónomo, lo cierto es que, tanto para la integración como para la Remoción de los Consejeros Electorales debe tomar en cuenta lo establecido en la Ley General de Instituciones y Procedimientos Electorales y en el Reglamento del Instituto Nacional Electoral para la Designación y Sanción de las y los Consejeros Presidentes y las y los Consejeros Electorales de los Organismos públicos Electorales</w:t>
      </w:r>
      <w:r w:rsidR="00DF0370" w:rsidRPr="00A4197A">
        <w:rPr>
          <w:rFonts w:ascii="Palatino Linotype" w:hAnsi="Palatino Linotype"/>
          <w:color w:val="000000" w:themeColor="text1"/>
        </w:rPr>
        <w:t>.</w:t>
      </w:r>
    </w:p>
    <w:p w:rsidR="00703E65" w:rsidRPr="00A4197A" w:rsidRDefault="00B76015" w:rsidP="00703E65">
      <w:pPr>
        <w:widowControl w:val="0"/>
        <w:autoSpaceDE w:val="0"/>
        <w:autoSpaceDN w:val="0"/>
        <w:adjustRightInd w:val="0"/>
        <w:spacing w:line="360" w:lineRule="auto"/>
        <w:jc w:val="both"/>
        <w:rPr>
          <w:rFonts w:ascii="Palatino Linotype" w:hAnsi="Palatino Linotype"/>
          <w:color w:val="000000" w:themeColor="text1"/>
        </w:rPr>
      </w:pPr>
      <w:r w:rsidRPr="00A4197A">
        <w:rPr>
          <w:rFonts w:ascii="Palatino Linotype" w:hAnsi="Palatino Linotype"/>
          <w:color w:val="000000" w:themeColor="text1"/>
        </w:rPr>
        <w:t xml:space="preserve">Precisado lo anterior, </w:t>
      </w:r>
      <w:r w:rsidR="005B3E0C" w:rsidRPr="00A4197A">
        <w:rPr>
          <w:rFonts w:ascii="Palatino Linotype" w:hAnsi="Palatino Linotype"/>
          <w:color w:val="000000" w:themeColor="text1"/>
        </w:rPr>
        <w:t xml:space="preserve">es necesario señalar lo que establece la Ley General de Instituciones y </w:t>
      </w:r>
      <w:r w:rsidR="00DF0370" w:rsidRPr="00A4197A">
        <w:rPr>
          <w:rFonts w:ascii="Palatino Linotype" w:hAnsi="Palatino Linotype"/>
          <w:color w:val="000000" w:themeColor="text1"/>
        </w:rPr>
        <w:t xml:space="preserve">Procedimientos Electorales, </w:t>
      </w:r>
      <w:r w:rsidR="005B3E0C" w:rsidRPr="00A4197A">
        <w:rPr>
          <w:rFonts w:ascii="Palatino Linotype" w:hAnsi="Palatino Linotype"/>
          <w:color w:val="000000" w:themeColor="text1"/>
        </w:rPr>
        <w:t>en su numeral 102 que a continuación se transcribe:</w:t>
      </w:r>
    </w:p>
    <w:p w:rsidR="005B3E0C" w:rsidRPr="00A4197A" w:rsidRDefault="005B3E0C" w:rsidP="005B3E0C">
      <w:pPr>
        <w:widowControl w:val="0"/>
        <w:autoSpaceDE w:val="0"/>
        <w:autoSpaceDN w:val="0"/>
        <w:adjustRightInd w:val="0"/>
        <w:ind w:left="851" w:right="899"/>
        <w:jc w:val="both"/>
        <w:rPr>
          <w:rFonts w:ascii="Palatino Linotype" w:hAnsi="Palatino Linotype"/>
          <w:b/>
          <w:i/>
          <w:color w:val="000000" w:themeColor="text1"/>
          <w:sz w:val="22"/>
          <w:szCs w:val="22"/>
        </w:rPr>
      </w:pPr>
      <w:r w:rsidRPr="00A4197A">
        <w:rPr>
          <w:rFonts w:ascii="Palatino Linotype" w:hAnsi="Palatino Linotype"/>
          <w:b/>
          <w:i/>
          <w:color w:val="000000" w:themeColor="text1"/>
          <w:sz w:val="22"/>
          <w:szCs w:val="22"/>
        </w:rPr>
        <w:t xml:space="preserve">“Artículo 102. </w:t>
      </w:r>
    </w:p>
    <w:p w:rsidR="005B3E0C" w:rsidRPr="00A4197A" w:rsidRDefault="005B3E0C" w:rsidP="005B3E0C">
      <w:pPr>
        <w:widowControl w:val="0"/>
        <w:autoSpaceDE w:val="0"/>
        <w:autoSpaceDN w:val="0"/>
        <w:adjustRightInd w:val="0"/>
        <w:ind w:left="851" w:right="899"/>
        <w:jc w:val="both"/>
        <w:rPr>
          <w:rFonts w:ascii="Palatino Linotype" w:hAnsi="Palatino Linotype"/>
          <w:b/>
          <w:i/>
          <w:color w:val="000000" w:themeColor="text1"/>
          <w:sz w:val="22"/>
          <w:szCs w:val="22"/>
        </w:rPr>
      </w:pPr>
      <w:r w:rsidRPr="00A4197A">
        <w:rPr>
          <w:rFonts w:ascii="Palatino Linotype" w:hAnsi="Palatino Linotype"/>
          <w:i/>
          <w:color w:val="000000" w:themeColor="text1"/>
          <w:sz w:val="22"/>
          <w:szCs w:val="22"/>
        </w:rPr>
        <w:t xml:space="preserve">1. </w:t>
      </w:r>
      <w:r w:rsidRPr="00A4197A">
        <w:rPr>
          <w:rFonts w:ascii="Palatino Linotype" w:hAnsi="Palatino Linotype"/>
          <w:b/>
          <w:i/>
          <w:color w:val="000000" w:themeColor="text1"/>
          <w:sz w:val="22"/>
          <w:szCs w:val="22"/>
        </w:rPr>
        <w:t>Los Consejeros Electorales de los Organismos Públicos Locales estarán sujetos al régimen de responsabilidades de los servidores públicos previsto en el Título Cuarto de la Constitución.</w:t>
      </w:r>
    </w:p>
    <w:p w:rsidR="005B3E0C" w:rsidRPr="00A4197A" w:rsidRDefault="005B3E0C" w:rsidP="005B3E0C">
      <w:pPr>
        <w:widowControl w:val="0"/>
        <w:autoSpaceDE w:val="0"/>
        <w:autoSpaceDN w:val="0"/>
        <w:adjustRightInd w:val="0"/>
        <w:ind w:left="851" w:right="899"/>
        <w:jc w:val="both"/>
        <w:rPr>
          <w:rFonts w:ascii="Palatino Linotype" w:hAnsi="Palatino Linotype"/>
          <w:b/>
          <w:i/>
          <w:color w:val="000000" w:themeColor="text1"/>
          <w:sz w:val="22"/>
          <w:szCs w:val="22"/>
        </w:rPr>
      </w:pPr>
      <w:r w:rsidRPr="00A4197A">
        <w:rPr>
          <w:rFonts w:ascii="Palatino Linotype" w:hAnsi="Palatino Linotype"/>
          <w:i/>
          <w:color w:val="000000" w:themeColor="text1"/>
          <w:sz w:val="22"/>
          <w:szCs w:val="22"/>
        </w:rPr>
        <w:t xml:space="preserve">2. Los Consejeros Electorales de los Organismos Públicos Locales </w:t>
      </w:r>
      <w:r w:rsidRPr="00A4197A">
        <w:rPr>
          <w:rFonts w:ascii="Palatino Linotype" w:hAnsi="Palatino Linotype"/>
          <w:b/>
          <w:i/>
          <w:color w:val="000000" w:themeColor="text1"/>
          <w:sz w:val="22"/>
          <w:szCs w:val="22"/>
        </w:rPr>
        <w:t>podrán ser removidos por el Consejo General, por incurrir en alguna de las siguientes causas graves:</w:t>
      </w:r>
    </w:p>
    <w:p w:rsidR="005B3E0C" w:rsidRPr="00A4197A" w:rsidRDefault="005B3E0C" w:rsidP="005B3E0C">
      <w:pPr>
        <w:widowControl w:val="0"/>
        <w:autoSpaceDE w:val="0"/>
        <w:autoSpaceDN w:val="0"/>
        <w:adjustRightInd w:val="0"/>
        <w:ind w:left="851" w:right="899"/>
        <w:jc w:val="both"/>
        <w:rPr>
          <w:rFonts w:ascii="Palatino Linotype" w:hAnsi="Palatino Linotype"/>
          <w:i/>
          <w:color w:val="000000" w:themeColor="text1"/>
          <w:sz w:val="22"/>
          <w:szCs w:val="22"/>
        </w:rPr>
      </w:pPr>
      <w:r w:rsidRPr="00A4197A">
        <w:rPr>
          <w:rFonts w:ascii="Palatino Linotype" w:hAnsi="Palatino Linotype"/>
          <w:i/>
          <w:color w:val="000000" w:themeColor="text1"/>
          <w:sz w:val="22"/>
          <w:szCs w:val="22"/>
        </w:rPr>
        <w:t>a) Realizar conductas que atenten contra la independencia e imparcialidad de la función electoral, o cualquier acción que genere o implique subordinación respecto de terceros;</w:t>
      </w:r>
    </w:p>
    <w:p w:rsidR="005B3E0C" w:rsidRPr="00A4197A" w:rsidRDefault="005B3E0C" w:rsidP="005B3E0C">
      <w:pPr>
        <w:widowControl w:val="0"/>
        <w:autoSpaceDE w:val="0"/>
        <w:autoSpaceDN w:val="0"/>
        <w:adjustRightInd w:val="0"/>
        <w:ind w:left="851" w:right="899"/>
        <w:jc w:val="both"/>
        <w:rPr>
          <w:rFonts w:ascii="Palatino Linotype" w:hAnsi="Palatino Linotype"/>
          <w:i/>
          <w:color w:val="000000" w:themeColor="text1"/>
          <w:sz w:val="22"/>
          <w:szCs w:val="22"/>
        </w:rPr>
      </w:pPr>
      <w:r w:rsidRPr="00A4197A">
        <w:rPr>
          <w:rFonts w:ascii="Palatino Linotype" w:hAnsi="Palatino Linotype"/>
          <w:i/>
          <w:color w:val="000000" w:themeColor="text1"/>
          <w:sz w:val="22"/>
          <w:szCs w:val="22"/>
        </w:rPr>
        <w:t xml:space="preserve">b) Tener notoria negligencia, ineptitud o descuido en el desempeño de las funciones o labores que deban realizar; </w:t>
      </w:r>
    </w:p>
    <w:p w:rsidR="005B3E0C" w:rsidRPr="00A4197A" w:rsidRDefault="005B3E0C" w:rsidP="005B3E0C">
      <w:pPr>
        <w:widowControl w:val="0"/>
        <w:autoSpaceDE w:val="0"/>
        <w:autoSpaceDN w:val="0"/>
        <w:adjustRightInd w:val="0"/>
        <w:ind w:left="851" w:right="899"/>
        <w:jc w:val="both"/>
        <w:rPr>
          <w:rFonts w:ascii="Palatino Linotype" w:hAnsi="Palatino Linotype"/>
          <w:i/>
          <w:color w:val="000000" w:themeColor="text1"/>
          <w:sz w:val="22"/>
          <w:szCs w:val="22"/>
        </w:rPr>
      </w:pPr>
      <w:r w:rsidRPr="00A4197A">
        <w:rPr>
          <w:rFonts w:ascii="Palatino Linotype" w:hAnsi="Palatino Linotype"/>
          <w:i/>
          <w:color w:val="000000" w:themeColor="text1"/>
          <w:sz w:val="22"/>
          <w:szCs w:val="22"/>
        </w:rPr>
        <w:lastRenderedPageBreak/>
        <w:t xml:space="preserve">c) Conocer de algún asunto o participar en algún acto para el cual se encuentren impedidos; </w:t>
      </w:r>
    </w:p>
    <w:p w:rsidR="005B3E0C" w:rsidRPr="00A4197A" w:rsidRDefault="005B3E0C" w:rsidP="005B3E0C">
      <w:pPr>
        <w:widowControl w:val="0"/>
        <w:autoSpaceDE w:val="0"/>
        <w:autoSpaceDN w:val="0"/>
        <w:adjustRightInd w:val="0"/>
        <w:ind w:left="851" w:right="899"/>
        <w:jc w:val="both"/>
        <w:rPr>
          <w:rFonts w:ascii="Palatino Linotype" w:hAnsi="Palatino Linotype"/>
          <w:i/>
          <w:color w:val="000000" w:themeColor="text1"/>
          <w:sz w:val="22"/>
          <w:szCs w:val="22"/>
        </w:rPr>
      </w:pPr>
      <w:r w:rsidRPr="00A4197A">
        <w:rPr>
          <w:rFonts w:ascii="Palatino Linotype" w:hAnsi="Palatino Linotype"/>
          <w:i/>
          <w:color w:val="000000" w:themeColor="text1"/>
          <w:sz w:val="22"/>
          <w:szCs w:val="22"/>
        </w:rPr>
        <w:t xml:space="preserve">d) Realizar nombramientos, promociones o ratificaciones infringiendo las disposiciones generales correspondientes; </w:t>
      </w:r>
    </w:p>
    <w:p w:rsidR="005B3E0C" w:rsidRPr="00A4197A" w:rsidRDefault="005B3E0C" w:rsidP="005B3E0C">
      <w:pPr>
        <w:widowControl w:val="0"/>
        <w:autoSpaceDE w:val="0"/>
        <w:autoSpaceDN w:val="0"/>
        <w:adjustRightInd w:val="0"/>
        <w:ind w:left="851" w:right="899"/>
        <w:jc w:val="both"/>
        <w:rPr>
          <w:rFonts w:ascii="Palatino Linotype" w:hAnsi="Palatino Linotype"/>
          <w:i/>
          <w:color w:val="000000" w:themeColor="text1"/>
          <w:sz w:val="22"/>
          <w:szCs w:val="22"/>
        </w:rPr>
      </w:pPr>
      <w:r w:rsidRPr="00A4197A">
        <w:rPr>
          <w:rFonts w:ascii="Palatino Linotype" w:hAnsi="Palatino Linotype"/>
          <w:i/>
          <w:color w:val="000000" w:themeColor="text1"/>
          <w:sz w:val="22"/>
          <w:szCs w:val="22"/>
        </w:rPr>
        <w:t xml:space="preserve">e) Emitir opinión pública que implique prejuzgar sobre un asunto de su conocimiento y no haberse excusado del mismo; </w:t>
      </w:r>
    </w:p>
    <w:p w:rsidR="005B3E0C" w:rsidRPr="00A4197A" w:rsidRDefault="005B3E0C" w:rsidP="005B3E0C">
      <w:pPr>
        <w:widowControl w:val="0"/>
        <w:autoSpaceDE w:val="0"/>
        <w:autoSpaceDN w:val="0"/>
        <w:adjustRightInd w:val="0"/>
        <w:ind w:left="851" w:right="899"/>
        <w:jc w:val="both"/>
        <w:rPr>
          <w:rFonts w:ascii="Palatino Linotype" w:hAnsi="Palatino Linotype"/>
          <w:i/>
          <w:color w:val="000000" w:themeColor="text1"/>
          <w:sz w:val="22"/>
          <w:szCs w:val="22"/>
        </w:rPr>
      </w:pPr>
      <w:r w:rsidRPr="00A4197A">
        <w:rPr>
          <w:rFonts w:ascii="Palatino Linotype" w:hAnsi="Palatino Linotype"/>
          <w:i/>
          <w:color w:val="000000" w:themeColor="text1"/>
          <w:sz w:val="22"/>
          <w:szCs w:val="22"/>
        </w:rPr>
        <w:t xml:space="preserve">f) Dejar de desempeñar injustificadamente las funciones o las labores que tenga a su cargo, y </w:t>
      </w:r>
    </w:p>
    <w:p w:rsidR="005B3E0C" w:rsidRPr="00A4197A" w:rsidRDefault="005B3E0C" w:rsidP="005B3E0C">
      <w:pPr>
        <w:widowControl w:val="0"/>
        <w:autoSpaceDE w:val="0"/>
        <w:autoSpaceDN w:val="0"/>
        <w:adjustRightInd w:val="0"/>
        <w:ind w:left="851" w:right="899"/>
        <w:jc w:val="both"/>
        <w:rPr>
          <w:rFonts w:ascii="Palatino Linotype" w:hAnsi="Palatino Linotype"/>
          <w:i/>
          <w:color w:val="000000" w:themeColor="text1"/>
          <w:sz w:val="22"/>
          <w:szCs w:val="22"/>
        </w:rPr>
      </w:pPr>
      <w:r w:rsidRPr="00A4197A">
        <w:rPr>
          <w:rFonts w:ascii="Palatino Linotype" w:hAnsi="Palatino Linotype"/>
          <w:i/>
          <w:color w:val="000000" w:themeColor="text1"/>
          <w:sz w:val="22"/>
          <w:szCs w:val="22"/>
        </w:rPr>
        <w:t>g) Violar de manera grave o reiterada las reglas, lineamientos, criterios y formatos que emita el Instituto en términos de la Base V, Apartado B), inciso a), numeral 5 del artículo 41 de la Constitución. Para los efectos de este inciso se considera violación grave, aquélla que dañe los principios rectores de la elección de que se trate.</w:t>
      </w:r>
      <w:r w:rsidR="004F0089" w:rsidRPr="00A4197A">
        <w:rPr>
          <w:rFonts w:ascii="Palatino Linotype" w:hAnsi="Palatino Linotype"/>
          <w:i/>
          <w:color w:val="000000" w:themeColor="text1"/>
          <w:sz w:val="22"/>
          <w:szCs w:val="22"/>
        </w:rPr>
        <w:t>”</w:t>
      </w:r>
    </w:p>
    <w:p w:rsidR="004F0089" w:rsidRPr="00A4197A" w:rsidRDefault="004F0089" w:rsidP="005B3E0C">
      <w:pPr>
        <w:widowControl w:val="0"/>
        <w:autoSpaceDE w:val="0"/>
        <w:autoSpaceDN w:val="0"/>
        <w:adjustRightInd w:val="0"/>
        <w:ind w:left="851" w:right="899"/>
        <w:jc w:val="both"/>
        <w:rPr>
          <w:rFonts w:ascii="Palatino Linotype" w:hAnsi="Palatino Linotype"/>
          <w:i/>
          <w:color w:val="000000" w:themeColor="text1"/>
          <w:sz w:val="22"/>
          <w:szCs w:val="22"/>
        </w:rPr>
      </w:pPr>
      <w:r w:rsidRPr="00A4197A">
        <w:rPr>
          <w:rFonts w:ascii="Palatino Linotype" w:hAnsi="Palatino Linotype"/>
          <w:i/>
          <w:color w:val="000000" w:themeColor="text1"/>
          <w:sz w:val="22"/>
          <w:szCs w:val="22"/>
        </w:rPr>
        <w:t>(Énfasis añadido)</w:t>
      </w:r>
    </w:p>
    <w:p w:rsidR="00662F5C" w:rsidRPr="00A4197A" w:rsidRDefault="002415FE" w:rsidP="00F1213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4197A">
        <w:rPr>
          <w:rFonts w:ascii="Palatino Linotype" w:hAnsi="Palatino Linotype" w:cs="Arial"/>
        </w:rPr>
        <w:t xml:space="preserve">Luego entonces, si se considera que algunos de los Consejeros Electorales </w:t>
      </w:r>
      <w:r w:rsidR="004F0089" w:rsidRPr="00A4197A">
        <w:rPr>
          <w:rFonts w:ascii="Palatino Linotype" w:hAnsi="Palatino Linotype" w:cs="Arial"/>
        </w:rPr>
        <w:t>h</w:t>
      </w:r>
      <w:r w:rsidRPr="00A4197A">
        <w:rPr>
          <w:rFonts w:ascii="Palatino Linotype" w:hAnsi="Palatino Linotype" w:cs="Arial"/>
        </w:rPr>
        <w:t>a incurrido en alguna de las faltas graves que señala el artículo antes citado, lo procedente es que el Secretario Ejecutivo del Instituto a través de la Unidad Técnica de lo Contencioso Electoral, tenga conocimiento de los hechos y en caso de considerar que existen elementos de prueba notificará al Consejero Electoral de que se trate, en dicha notificación deberá expresarse el lugar, día y hora en que tendrá verificativo la audiencia, los actos u omisiones que se le imputan y que deberá comparecer asistido de un defensor, tal como lo prevé el artículo 103 de la Ley en comento, que a la letra reza:</w:t>
      </w:r>
    </w:p>
    <w:p w:rsidR="002415FE" w:rsidRPr="00A4197A" w:rsidRDefault="004F0089" w:rsidP="002415FE">
      <w:pPr>
        <w:widowControl w:val="0"/>
        <w:autoSpaceDE w:val="0"/>
        <w:autoSpaceDN w:val="0"/>
        <w:adjustRightInd w:val="0"/>
        <w:ind w:left="851" w:right="899"/>
        <w:jc w:val="both"/>
        <w:rPr>
          <w:rFonts w:ascii="Palatino Linotype" w:hAnsi="Palatino Linotype"/>
          <w:i/>
          <w:sz w:val="22"/>
          <w:szCs w:val="22"/>
        </w:rPr>
      </w:pPr>
      <w:r w:rsidRPr="00A4197A">
        <w:rPr>
          <w:rFonts w:ascii="Palatino Linotype" w:hAnsi="Palatino Linotype"/>
          <w:b/>
          <w:i/>
          <w:sz w:val="22"/>
          <w:szCs w:val="22"/>
        </w:rPr>
        <w:t>“</w:t>
      </w:r>
      <w:r w:rsidR="002415FE" w:rsidRPr="00A4197A">
        <w:rPr>
          <w:rFonts w:ascii="Palatino Linotype" w:hAnsi="Palatino Linotype"/>
          <w:b/>
          <w:i/>
          <w:sz w:val="22"/>
          <w:szCs w:val="22"/>
        </w:rPr>
        <w:t>Artículo 103.</w:t>
      </w:r>
      <w:r w:rsidR="002415FE" w:rsidRPr="00A4197A">
        <w:rPr>
          <w:rFonts w:ascii="Palatino Linotype" w:hAnsi="Palatino Linotype"/>
          <w:i/>
          <w:sz w:val="22"/>
          <w:szCs w:val="22"/>
        </w:rPr>
        <w:t xml:space="preserve"> </w:t>
      </w:r>
    </w:p>
    <w:p w:rsidR="002415FE" w:rsidRPr="00A4197A" w:rsidRDefault="002415FE" w:rsidP="002415FE">
      <w:pPr>
        <w:widowControl w:val="0"/>
        <w:autoSpaceDE w:val="0"/>
        <w:autoSpaceDN w:val="0"/>
        <w:adjustRightInd w:val="0"/>
        <w:ind w:left="851" w:right="899"/>
        <w:jc w:val="both"/>
        <w:rPr>
          <w:rFonts w:ascii="Palatino Linotype" w:hAnsi="Palatino Linotype"/>
          <w:b/>
          <w:i/>
          <w:sz w:val="22"/>
          <w:szCs w:val="22"/>
        </w:rPr>
      </w:pPr>
      <w:r w:rsidRPr="00A4197A">
        <w:rPr>
          <w:rFonts w:ascii="Palatino Linotype" w:hAnsi="Palatino Linotype"/>
          <w:i/>
          <w:sz w:val="22"/>
          <w:szCs w:val="22"/>
        </w:rPr>
        <w:t xml:space="preserve">1. </w:t>
      </w:r>
      <w:r w:rsidRPr="00A4197A">
        <w:rPr>
          <w:rFonts w:ascii="Palatino Linotype" w:hAnsi="Palatino Linotype"/>
          <w:b/>
          <w:i/>
          <w:sz w:val="22"/>
          <w:szCs w:val="22"/>
        </w:rPr>
        <w:t xml:space="preserve">El Secretario Ejecutivo del Instituto, a través de la Unidad Técnica de lo Contencioso Electoral, cuando tenga conocimiento de hechos que actualicen alguna de las causas de procedencia de la remoción y considere que existen elementos de prueba, notificará el consejero local electoral de que se trate. </w:t>
      </w:r>
    </w:p>
    <w:p w:rsidR="00606D20" w:rsidRPr="00A4197A" w:rsidRDefault="002415FE" w:rsidP="002415FE">
      <w:pPr>
        <w:widowControl w:val="0"/>
        <w:autoSpaceDE w:val="0"/>
        <w:autoSpaceDN w:val="0"/>
        <w:adjustRightInd w:val="0"/>
        <w:ind w:left="851" w:right="899"/>
        <w:jc w:val="both"/>
        <w:rPr>
          <w:rFonts w:ascii="Palatino Linotype" w:hAnsi="Palatino Linotype"/>
          <w:i/>
          <w:sz w:val="22"/>
          <w:szCs w:val="22"/>
        </w:rPr>
      </w:pPr>
      <w:r w:rsidRPr="00A4197A">
        <w:rPr>
          <w:rFonts w:ascii="Palatino Linotype" w:hAnsi="Palatino Linotype"/>
          <w:i/>
          <w:sz w:val="22"/>
          <w:szCs w:val="22"/>
        </w:rPr>
        <w:t xml:space="preserve">2. </w:t>
      </w:r>
      <w:r w:rsidRPr="00A4197A">
        <w:rPr>
          <w:rFonts w:ascii="Palatino Linotype" w:hAnsi="Palatino Linotype"/>
          <w:b/>
          <w:i/>
          <w:sz w:val="22"/>
          <w:szCs w:val="22"/>
        </w:rPr>
        <w:t>En la notificación deberá expresarse</w:t>
      </w:r>
      <w:r w:rsidRPr="00A4197A">
        <w:rPr>
          <w:rFonts w:ascii="Palatino Linotype" w:hAnsi="Palatino Linotype"/>
          <w:i/>
          <w:sz w:val="22"/>
          <w:szCs w:val="22"/>
        </w:rPr>
        <w:t xml:space="preserve"> el </w:t>
      </w:r>
      <w:r w:rsidRPr="00A4197A">
        <w:rPr>
          <w:rFonts w:ascii="Palatino Linotype" w:hAnsi="Palatino Linotype"/>
          <w:b/>
          <w:i/>
          <w:sz w:val="22"/>
          <w:szCs w:val="22"/>
        </w:rPr>
        <w:t>lugar, día y hora</w:t>
      </w:r>
      <w:r w:rsidRPr="00A4197A">
        <w:rPr>
          <w:rFonts w:ascii="Palatino Linotype" w:hAnsi="Palatino Linotype"/>
          <w:i/>
          <w:sz w:val="22"/>
          <w:szCs w:val="22"/>
        </w:rPr>
        <w:t xml:space="preserve"> en que tendrá verificativo la audiencia; los </w:t>
      </w:r>
      <w:r w:rsidRPr="00A4197A">
        <w:rPr>
          <w:rFonts w:ascii="Palatino Linotype" w:hAnsi="Palatino Linotype"/>
          <w:b/>
          <w:i/>
          <w:sz w:val="22"/>
          <w:szCs w:val="22"/>
        </w:rPr>
        <w:t>actos u omisiones</w:t>
      </w:r>
      <w:r w:rsidRPr="00A4197A">
        <w:rPr>
          <w:rFonts w:ascii="Palatino Linotype" w:hAnsi="Palatino Linotype"/>
          <w:i/>
          <w:sz w:val="22"/>
          <w:szCs w:val="22"/>
        </w:rPr>
        <w:t xml:space="preserve"> que se le imputen, las </w:t>
      </w:r>
      <w:r w:rsidRPr="00A4197A">
        <w:rPr>
          <w:rFonts w:ascii="Palatino Linotype" w:hAnsi="Palatino Linotype"/>
          <w:b/>
          <w:i/>
          <w:sz w:val="22"/>
          <w:szCs w:val="22"/>
        </w:rPr>
        <w:t>consecuencias posibles y el derecho de éste a comparecer asistido de un defensor</w:t>
      </w:r>
      <w:r w:rsidRPr="00A4197A">
        <w:rPr>
          <w:rFonts w:ascii="Palatino Linotype" w:hAnsi="Palatino Linotype"/>
          <w:i/>
          <w:sz w:val="22"/>
          <w:szCs w:val="22"/>
        </w:rPr>
        <w:t xml:space="preserve">. La </w:t>
      </w:r>
      <w:r w:rsidRPr="00A4197A">
        <w:rPr>
          <w:rFonts w:ascii="Palatino Linotype" w:hAnsi="Palatino Linotype"/>
          <w:b/>
          <w:i/>
          <w:sz w:val="22"/>
          <w:szCs w:val="22"/>
        </w:rPr>
        <w:t>notificación</w:t>
      </w:r>
      <w:r w:rsidRPr="00A4197A">
        <w:rPr>
          <w:rFonts w:ascii="Palatino Linotype" w:hAnsi="Palatino Linotype"/>
          <w:i/>
          <w:sz w:val="22"/>
          <w:szCs w:val="22"/>
        </w:rPr>
        <w:t xml:space="preserve"> a que se refiere este párrafo se practicará de manera </w:t>
      </w:r>
      <w:r w:rsidRPr="00A4197A">
        <w:rPr>
          <w:rFonts w:ascii="Palatino Linotype" w:hAnsi="Palatino Linotype"/>
          <w:b/>
          <w:i/>
          <w:sz w:val="22"/>
          <w:szCs w:val="22"/>
        </w:rPr>
        <w:lastRenderedPageBreak/>
        <w:t>personal</w:t>
      </w:r>
      <w:r w:rsidRPr="00A4197A">
        <w:rPr>
          <w:rFonts w:ascii="Palatino Linotype" w:hAnsi="Palatino Linotype"/>
          <w:i/>
          <w:sz w:val="22"/>
          <w:szCs w:val="22"/>
        </w:rPr>
        <w:t xml:space="preserve">. </w:t>
      </w:r>
      <w:r w:rsidRPr="00A4197A">
        <w:rPr>
          <w:rFonts w:ascii="Palatino Linotype" w:hAnsi="Palatino Linotype"/>
          <w:b/>
          <w:i/>
          <w:sz w:val="22"/>
          <w:szCs w:val="22"/>
        </w:rPr>
        <w:t>Entre la fecha de la citación y la de la audiencia deberá mediar un plazo no menor de cinco ni mayor de quince días.</w:t>
      </w:r>
      <w:r w:rsidRPr="00A4197A">
        <w:rPr>
          <w:rFonts w:ascii="Palatino Linotype" w:hAnsi="Palatino Linotype"/>
          <w:i/>
          <w:sz w:val="22"/>
          <w:szCs w:val="22"/>
        </w:rPr>
        <w:t xml:space="preserve"> </w:t>
      </w:r>
    </w:p>
    <w:p w:rsidR="00606D20" w:rsidRPr="00A4197A" w:rsidRDefault="002415FE" w:rsidP="002415FE">
      <w:pPr>
        <w:widowControl w:val="0"/>
        <w:autoSpaceDE w:val="0"/>
        <w:autoSpaceDN w:val="0"/>
        <w:adjustRightInd w:val="0"/>
        <w:ind w:left="851" w:right="899"/>
        <w:jc w:val="both"/>
        <w:rPr>
          <w:rFonts w:ascii="Palatino Linotype" w:hAnsi="Palatino Linotype"/>
          <w:i/>
          <w:sz w:val="22"/>
          <w:szCs w:val="22"/>
        </w:rPr>
      </w:pPr>
      <w:r w:rsidRPr="00A4197A">
        <w:rPr>
          <w:rFonts w:ascii="Palatino Linotype" w:hAnsi="Palatino Linotype"/>
          <w:i/>
          <w:sz w:val="22"/>
          <w:szCs w:val="22"/>
        </w:rPr>
        <w:t xml:space="preserve">3. Concluida la audiencia, </w:t>
      </w:r>
      <w:r w:rsidRPr="00A4197A">
        <w:rPr>
          <w:rFonts w:ascii="Palatino Linotype" w:hAnsi="Palatino Linotype"/>
          <w:b/>
          <w:i/>
          <w:sz w:val="22"/>
          <w:szCs w:val="22"/>
        </w:rPr>
        <w:t>se concederá al Consejero Electoral un plazo de diez días para que ofrezca los elementos de prueba que estime pertinentes y que tengan relación con los hechos que se le atribuyen.</w:t>
      </w:r>
    </w:p>
    <w:p w:rsidR="00606D20" w:rsidRPr="00A4197A" w:rsidRDefault="002415FE" w:rsidP="002415FE">
      <w:pPr>
        <w:widowControl w:val="0"/>
        <w:autoSpaceDE w:val="0"/>
        <w:autoSpaceDN w:val="0"/>
        <w:adjustRightInd w:val="0"/>
        <w:ind w:left="851" w:right="899"/>
        <w:jc w:val="both"/>
        <w:rPr>
          <w:rFonts w:ascii="Palatino Linotype" w:hAnsi="Palatino Linotype"/>
          <w:b/>
          <w:i/>
          <w:sz w:val="22"/>
          <w:szCs w:val="22"/>
        </w:rPr>
      </w:pPr>
      <w:r w:rsidRPr="00A4197A">
        <w:rPr>
          <w:rFonts w:ascii="Palatino Linotype" w:hAnsi="Palatino Linotype"/>
          <w:i/>
          <w:sz w:val="22"/>
          <w:szCs w:val="22"/>
        </w:rPr>
        <w:t xml:space="preserve">4. </w:t>
      </w:r>
      <w:r w:rsidRPr="00A4197A">
        <w:rPr>
          <w:rFonts w:ascii="Palatino Linotype" w:hAnsi="Palatino Linotype"/>
          <w:b/>
          <w:i/>
          <w:sz w:val="22"/>
          <w:szCs w:val="22"/>
        </w:rPr>
        <w:t>Desahogadas las pruebas</w:t>
      </w:r>
      <w:r w:rsidRPr="00A4197A">
        <w:rPr>
          <w:rFonts w:ascii="Palatino Linotype" w:hAnsi="Palatino Linotype"/>
          <w:i/>
          <w:sz w:val="22"/>
          <w:szCs w:val="22"/>
        </w:rPr>
        <w:t xml:space="preserve"> que fueren admitidas, </w:t>
      </w:r>
      <w:r w:rsidRPr="00A4197A">
        <w:rPr>
          <w:rFonts w:ascii="Palatino Linotype" w:hAnsi="Palatino Linotype"/>
          <w:b/>
          <w:i/>
          <w:sz w:val="22"/>
          <w:szCs w:val="22"/>
        </w:rPr>
        <w:t xml:space="preserve">el Secretario Ejecutivo, dentro de los veinte días siguientes someterá el dictamen con proyecto de resolución al Consejo General del Instituto. </w:t>
      </w:r>
    </w:p>
    <w:p w:rsidR="002415FE" w:rsidRPr="00A4197A" w:rsidRDefault="002415FE" w:rsidP="002415FE">
      <w:pPr>
        <w:widowControl w:val="0"/>
        <w:autoSpaceDE w:val="0"/>
        <w:autoSpaceDN w:val="0"/>
        <w:adjustRightInd w:val="0"/>
        <w:ind w:left="851" w:right="899"/>
        <w:jc w:val="both"/>
        <w:rPr>
          <w:rFonts w:ascii="Palatino Linotype" w:hAnsi="Palatino Linotype"/>
          <w:i/>
          <w:sz w:val="22"/>
          <w:szCs w:val="22"/>
        </w:rPr>
      </w:pPr>
      <w:r w:rsidRPr="00A4197A">
        <w:rPr>
          <w:rFonts w:ascii="Palatino Linotype" w:hAnsi="Palatino Linotype"/>
          <w:i/>
          <w:sz w:val="22"/>
          <w:szCs w:val="22"/>
        </w:rPr>
        <w:t xml:space="preserve">5. </w:t>
      </w:r>
      <w:r w:rsidRPr="00A4197A">
        <w:rPr>
          <w:rFonts w:ascii="Palatino Linotype" w:hAnsi="Palatino Linotype"/>
          <w:b/>
          <w:i/>
          <w:sz w:val="22"/>
          <w:szCs w:val="22"/>
        </w:rPr>
        <w:t>La remoción requerirá de ocho votos del Consejo General del Instituto, el cual deberá notificar la resolución correspondiente y ejecutar la remoción</w:t>
      </w:r>
      <w:r w:rsidRPr="00A4197A">
        <w:rPr>
          <w:rFonts w:ascii="Palatino Linotype" w:hAnsi="Palatino Linotype"/>
          <w:i/>
          <w:sz w:val="22"/>
          <w:szCs w:val="22"/>
        </w:rPr>
        <w:t>, sin perjuicio de cualquier otra sanción a que hubiere lugar de conformidad con las disposiciones jurídicas aplicables.</w:t>
      </w:r>
      <w:r w:rsidR="004F0089" w:rsidRPr="00A4197A">
        <w:rPr>
          <w:rFonts w:ascii="Palatino Linotype" w:hAnsi="Palatino Linotype"/>
          <w:i/>
          <w:sz w:val="22"/>
          <w:szCs w:val="22"/>
        </w:rPr>
        <w:t>”</w:t>
      </w:r>
    </w:p>
    <w:p w:rsidR="004F0089" w:rsidRPr="00A4197A" w:rsidRDefault="004F0089" w:rsidP="002415FE">
      <w:pPr>
        <w:widowControl w:val="0"/>
        <w:autoSpaceDE w:val="0"/>
        <w:autoSpaceDN w:val="0"/>
        <w:adjustRightInd w:val="0"/>
        <w:ind w:left="851" w:right="899"/>
        <w:jc w:val="both"/>
        <w:rPr>
          <w:rFonts w:ascii="Palatino Linotype" w:hAnsi="Palatino Linotype" w:cs="Arial"/>
          <w:i/>
          <w:sz w:val="22"/>
          <w:szCs w:val="22"/>
        </w:rPr>
      </w:pPr>
      <w:r w:rsidRPr="00A4197A">
        <w:rPr>
          <w:rFonts w:ascii="Palatino Linotype" w:hAnsi="Palatino Linotype"/>
          <w:i/>
          <w:sz w:val="22"/>
          <w:szCs w:val="22"/>
        </w:rPr>
        <w:t>(Énfasis añadido)</w:t>
      </w:r>
    </w:p>
    <w:p w:rsidR="00606D20" w:rsidRPr="00A4197A" w:rsidRDefault="00606D20" w:rsidP="00F1213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4197A">
        <w:rPr>
          <w:rFonts w:ascii="Palatino Linotype" w:hAnsi="Palatino Linotype" w:cs="Arial"/>
        </w:rPr>
        <w:t>Bajo ese orden de ideas, conviene traer a contexto lo establecido en el Reglamento del Instituto Nacional Electoral para la Designación y Sanción de las y los Consejeros Presidentes y las y los Consejeros Electorales de los Organismos Publicas Locales</w:t>
      </w:r>
      <w:r w:rsidR="00A00412" w:rsidRPr="00A4197A">
        <w:rPr>
          <w:rFonts w:ascii="Palatino Linotype" w:hAnsi="Palatino Linotype" w:cs="Arial"/>
        </w:rPr>
        <w:t xml:space="preserve"> Electorales, cuyo objeto es regular las atribuciones conferidas por la Constitución Política de los Estados Unidos Mexicanos y por la Ley General de Instituciones y Procedimientos Electorales al Instituto Nacional Electoral, relativas a la selección, designación y sanción de las y los Consejeros Electorales de los Organismos públicos locales.</w:t>
      </w:r>
    </w:p>
    <w:p w:rsidR="00A00412" w:rsidRPr="00A4197A" w:rsidRDefault="00A00412" w:rsidP="00F1213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4197A">
        <w:rPr>
          <w:rFonts w:ascii="Palatino Linotype" w:hAnsi="Palatino Linotype" w:cs="Arial"/>
        </w:rPr>
        <w:t xml:space="preserve">Dicho Reglamento, prevé que sólo el Consejo General del Instituto Nacional Electoral </w:t>
      </w:r>
      <w:r w:rsidR="00556A59" w:rsidRPr="00A4197A">
        <w:rPr>
          <w:rFonts w:ascii="Palatino Linotype" w:hAnsi="Palatino Linotype" w:cs="Arial"/>
        </w:rPr>
        <w:t>será la autoridad facultada para designar y en su caso sancionar a las y los  Consejeros Presidentes y las y los Consejeros Electorales de los Organismos públicos locales, tal como lo señala el artículo 4 del ordenamiento legal en comento que a continuación se inserta:</w:t>
      </w:r>
    </w:p>
    <w:p w:rsidR="00556A59" w:rsidRPr="00A4197A" w:rsidRDefault="004F0089" w:rsidP="00556A59">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w:t>
      </w:r>
      <w:r w:rsidR="00556A59" w:rsidRPr="00A4197A">
        <w:rPr>
          <w:rFonts w:ascii="Palatino Linotype" w:hAnsi="Palatino Linotype" w:cs="Arial"/>
          <w:b/>
          <w:bCs/>
          <w:i/>
          <w:color w:val="2F2F2F"/>
          <w:sz w:val="22"/>
          <w:szCs w:val="22"/>
          <w:lang w:eastAsia="es-MX"/>
        </w:rPr>
        <w:t>Artículo 4</w:t>
      </w:r>
    </w:p>
    <w:p w:rsidR="00556A59" w:rsidRPr="00A4197A" w:rsidRDefault="00556A59" w:rsidP="00556A59">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 xml:space="preserve">1. </w:t>
      </w:r>
      <w:r w:rsidRPr="00A4197A">
        <w:rPr>
          <w:rFonts w:ascii="Palatino Linotype" w:hAnsi="Palatino Linotype" w:cs="Arial"/>
          <w:b/>
          <w:i/>
          <w:color w:val="2F2F2F"/>
          <w:sz w:val="22"/>
          <w:szCs w:val="22"/>
          <w:lang w:eastAsia="es-MX"/>
        </w:rPr>
        <w:t xml:space="preserve">El Consejo General del Instituto Nacional Electoral es la autoridad facultada para designar y, en su caso sancionar a las y los Consejeros </w:t>
      </w:r>
      <w:r w:rsidRPr="00A4197A">
        <w:rPr>
          <w:rFonts w:ascii="Palatino Linotype" w:hAnsi="Palatino Linotype" w:cs="Arial"/>
          <w:b/>
          <w:i/>
          <w:color w:val="2F2F2F"/>
          <w:sz w:val="22"/>
          <w:szCs w:val="22"/>
          <w:lang w:eastAsia="es-MX"/>
        </w:rPr>
        <w:lastRenderedPageBreak/>
        <w:t>Presidentes y las y los Consejeros Electorales de los Organismos Públicos Locales Electorales.</w:t>
      </w:r>
    </w:p>
    <w:p w:rsidR="00556A59" w:rsidRPr="00A4197A" w:rsidRDefault="00556A59" w:rsidP="00556A59">
      <w:pPr>
        <w:widowControl w:val="0"/>
        <w:autoSpaceDE w:val="0"/>
        <w:autoSpaceDN w:val="0"/>
        <w:adjustRightInd w:val="0"/>
        <w:ind w:left="851" w:right="899"/>
        <w:jc w:val="both"/>
        <w:rPr>
          <w:rFonts w:ascii="Palatino Linotype" w:hAnsi="Palatino Linotype" w:cs="Arial"/>
          <w:b/>
          <w:i/>
          <w:color w:val="2F2F2F"/>
          <w:sz w:val="22"/>
          <w:szCs w:val="22"/>
          <w:shd w:val="clear" w:color="auto" w:fill="FFFFFF"/>
        </w:rPr>
      </w:pPr>
      <w:r w:rsidRPr="00A4197A">
        <w:rPr>
          <w:rFonts w:ascii="Palatino Linotype" w:hAnsi="Palatino Linotype" w:cs="Arial"/>
          <w:b/>
          <w:bCs/>
          <w:i/>
          <w:color w:val="2F2F2F"/>
          <w:sz w:val="22"/>
          <w:szCs w:val="22"/>
          <w:shd w:val="clear" w:color="auto" w:fill="FFFFFF"/>
        </w:rPr>
        <w:t xml:space="preserve">2. </w:t>
      </w:r>
      <w:r w:rsidRPr="00A4197A">
        <w:rPr>
          <w:rFonts w:ascii="Palatino Linotype" w:hAnsi="Palatino Linotype" w:cs="Arial"/>
          <w:b/>
          <w:i/>
          <w:color w:val="2F2F2F"/>
          <w:sz w:val="22"/>
          <w:szCs w:val="22"/>
          <w:shd w:val="clear" w:color="auto" w:fill="FFFFFF"/>
        </w:rPr>
        <w:t>Para el cumplimiento de las atribuciones previstas en el presente Reglamento, el Consejo General del Instituto Nacional Electoral se auxiliará de los siguientes órganos:</w:t>
      </w:r>
    </w:p>
    <w:p w:rsidR="00556A59" w:rsidRPr="00A4197A" w:rsidRDefault="00556A59" w:rsidP="00556A59">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a)   La Comisión de Vinculación con los Organismos Públicos Locales;</w:t>
      </w:r>
    </w:p>
    <w:p w:rsidR="00556A59" w:rsidRPr="00A4197A" w:rsidRDefault="00556A59" w:rsidP="00556A59">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b)   La Secretaría Ejecutiva;</w:t>
      </w:r>
    </w:p>
    <w:p w:rsidR="00556A59" w:rsidRPr="00A4197A" w:rsidRDefault="00556A59" w:rsidP="00556A59">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c)   Las Direcciones Ejecutivas y Unidades Técnicas del Instituto;</w:t>
      </w:r>
    </w:p>
    <w:p w:rsidR="00556A59" w:rsidRPr="00A4197A" w:rsidRDefault="00556A59" w:rsidP="00556A59">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i/>
          <w:color w:val="2F2F2F"/>
          <w:sz w:val="22"/>
          <w:szCs w:val="22"/>
          <w:lang w:eastAsia="es-MX"/>
        </w:rPr>
        <w:t>d)   La Unidad Técnica de lo Contencioso Electoral;</w:t>
      </w:r>
    </w:p>
    <w:p w:rsidR="00556A59" w:rsidRPr="00A4197A" w:rsidRDefault="00556A59" w:rsidP="00556A59">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e)   La Unidad Técnica de Vinculación con los Organismos Públicos Locales;</w:t>
      </w:r>
    </w:p>
    <w:p w:rsidR="00556A59" w:rsidRPr="00A4197A" w:rsidRDefault="00556A59" w:rsidP="00556A59">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f)    La Oficialía Electoral;</w:t>
      </w:r>
    </w:p>
    <w:p w:rsidR="00556A59" w:rsidRPr="00A4197A" w:rsidRDefault="00556A59" w:rsidP="00556A59">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g)   Los Organismos Públicos Locales Electorales, y</w:t>
      </w:r>
    </w:p>
    <w:p w:rsidR="00556A59" w:rsidRPr="00A4197A" w:rsidRDefault="00556A59" w:rsidP="00556A59">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h)   Las Juntas Ejecutivas Locales y Distritales.</w:t>
      </w:r>
      <w:r w:rsidR="004F0089" w:rsidRPr="00A4197A">
        <w:rPr>
          <w:rFonts w:ascii="Palatino Linotype" w:hAnsi="Palatino Linotype" w:cs="Arial"/>
          <w:i/>
          <w:color w:val="2F2F2F"/>
          <w:sz w:val="22"/>
          <w:szCs w:val="22"/>
          <w:lang w:eastAsia="es-MX"/>
        </w:rPr>
        <w:t>”</w:t>
      </w:r>
    </w:p>
    <w:p w:rsidR="004F0089" w:rsidRPr="00A4197A" w:rsidRDefault="004F0089" w:rsidP="00556A59">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(Énfasis añadido)</w:t>
      </w:r>
    </w:p>
    <w:p w:rsidR="00556A59" w:rsidRPr="00A4197A" w:rsidRDefault="00A14621" w:rsidP="00F1213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4197A">
        <w:rPr>
          <w:rFonts w:ascii="Palatino Linotype" w:hAnsi="Palatino Linotype" w:cs="Arial"/>
        </w:rPr>
        <w:t>Tal y como se dijo en líneas anteriores, las y los Consejeros Electorales de los Organismos públicos podrán ser removidos por el Consejo General al incurrir en alguna de las causas graves señalas en el artículo 102 de la Ley General de Instituciones y Procedimientos Electorales y en ese mismo tenor, el procedimiento bajo el cual se puede llegar a la remoción de los Consejeros Electorales, es el siguiente:</w:t>
      </w:r>
    </w:p>
    <w:p w:rsidR="00A14621" w:rsidRPr="00A4197A" w:rsidRDefault="004F0089"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w:t>
      </w:r>
      <w:r w:rsidR="00A14621" w:rsidRPr="00A4197A">
        <w:rPr>
          <w:rFonts w:ascii="Palatino Linotype" w:hAnsi="Palatino Linotype" w:cs="Arial"/>
          <w:b/>
          <w:bCs/>
          <w:i/>
          <w:color w:val="2F2F2F"/>
          <w:sz w:val="22"/>
          <w:szCs w:val="22"/>
          <w:lang w:eastAsia="es-MX"/>
        </w:rPr>
        <w:t>Artículo 39</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Conforme a lo previsto en el artículo 103 de la Ley General</w:t>
      </w:r>
      <w:r w:rsidRPr="00A4197A">
        <w:rPr>
          <w:rFonts w:ascii="Palatino Linotype" w:hAnsi="Palatino Linotype" w:cs="Arial"/>
          <w:i/>
          <w:color w:val="2F2F2F"/>
          <w:sz w:val="22"/>
          <w:szCs w:val="22"/>
          <w:lang w:eastAsia="es-MX"/>
        </w:rPr>
        <w:t xml:space="preserve">, </w:t>
      </w:r>
      <w:r w:rsidRPr="00A4197A">
        <w:rPr>
          <w:rFonts w:ascii="Palatino Linotype" w:hAnsi="Palatino Linotype" w:cs="Arial"/>
          <w:b/>
          <w:i/>
          <w:color w:val="2F2F2F"/>
          <w:sz w:val="22"/>
          <w:szCs w:val="22"/>
          <w:lang w:eastAsia="es-MX"/>
        </w:rPr>
        <w:t>el Secretario Ejecutivo, a través de la Unidad de lo Contencioso, cuando tenga conocimiento de hechos que pudieran actualizar alguna falta y considere que existen elementos de prueba, instrumentará el procedimiento establecido</w:t>
      </w:r>
      <w:r w:rsidRPr="00A4197A">
        <w:rPr>
          <w:rFonts w:ascii="Palatino Linotype" w:hAnsi="Palatino Linotype" w:cs="Arial"/>
          <w:i/>
          <w:color w:val="2F2F2F"/>
          <w:sz w:val="22"/>
          <w:szCs w:val="22"/>
          <w:lang w:eastAsia="es-MX"/>
        </w:rPr>
        <w:t xml:space="preserve"> en el presente ordenamiento.</w:t>
      </w:r>
    </w:p>
    <w:p w:rsidR="00A14621" w:rsidRPr="00A4197A" w:rsidRDefault="00A14621"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La autoridad que reciba una queja o denuncia de responsabilidad en contra de una Consejera o un Consejero Presidente o de una Consejera o Consejero Electoral de un Organismo Público que se refiera o de la que se desprendan conductas de las establecidas en el artículo 102, párrafo 2 de la Ley General y 37, numeral 2 del presente Reglamento, lo comunicará a la brevedad posible a la Secretaría Ejecutiva con la documentación soporte, para que determine lo conducente.</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3.</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En cualquier etapa del procedimiento, la Unidad de lo Contencioso dará vista de la denuncia a la autoridad que corresponda,</w:t>
      </w:r>
      <w:r w:rsidRPr="00A4197A">
        <w:rPr>
          <w:rFonts w:ascii="Palatino Linotype" w:hAnsi="Palatino Linotype" w:cs="Arial"/>
          <w:i/>
          <w:color w:val="2F2F2F"/>
          <w:sz w:val="22"/>
          <w:szCs w:val="22"/>
          <w:lang w:eastAsia="es-MX"/>
        </w:rPr>
        <w:t xml:space="preserve"> respecto de aquellos hechos que pudieran configurar alguna causa de responsabilidad distinta de las </w:t>
      </w:r>
      <w:r w:rsidRPr="00A4197A">
        <w:rPr>
          <w:rFonts w:ascii="Palatino Linotype" w:hAnsi="Palatino Linotype" w:cs="Arial"/>
          <w:i/>
          <w:color w:val="2F2F2F"/>
          <w:sz w:val="22"/>
          <w:szCs w:val="22"/>
          <w:lang w:eastAsia="es-MX"/>
        </w:rPr>
        <w:lastRenderedPageBreak/>
        <w:t>señaladas en el artículo 102, párrafo 2 de la Ley General y 37, numeral 2, del presente Reglamento.</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       Además, en cualquier caso, recibida una queja o denuncia, la Secretaría Ejecutiva informará de inmediato vía correo electrónico a los integrantes del Consejo General, con independencia del cumplimiento de lo establecido en el artículo 48, numeral 2 de este Reglamento.</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40</w:t>
      </w:r>
    </w:p>
    <w:p w:rsidR="00A14621" w:rsidRPr="00A4197A" w:rsidRDefault="00A14621"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El procedimiento se podrá iniciar de oficio o a instancia de parte.</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I.</w:t>
      </w:r>
      <w:r w:rsidRPr="00A4197A">
        <w:rPr>
          <w:rFonts w:ascii="Palatino Linotype" w:hAnsi="Palatino Linotype" w:cs="Arial"/>
          <w:i/>
          <w:color w:val="2F2F2F"/>
          <w:sz w:val="22"/>
          <w:szCs w:val="22"/>
          <w:lang w:eastAsia="es-MX"/>
        </w:rPr>
        <w:t xml:space="preserve">    Se iniciará </w:t>
      </w:r>
      <w:r w:rsidRPr="00A4197A">
        <w:rPr>
          <w:rFonts w:ascii="Palatino Linotype" w:hAnsi="Palatino Linotype" w:cs="Arial"/>
          <w:b/>
          <w:i/>
          <w:color w:val="2F2F2F"/>
          <w:sz w:val="22"/>
          <w:szCs w:val="22"/>
          <w:lang w:eastAsia="es-MX"/>
        </w:rPr>
        <w:t>de oficio cuando cualquier órgano, instancia o funcionario del Instituto tenga conocimiento de que la o el Consejero Presidente y/o algún o algunos de las o los Consejeros Electorales de los Organismos Públicos pudieron haber incurrido en alguna de las faltas descritas</w:t>
      </w:r>
      <w:r w:rsidRPr="00A4197A">
        <w:rPr>
          <w:rFonts w:ascii="Palatino Linotype" w:hAnsi="Palatino Linotype" w:cs="Arial"/>
          <w:i/>
          <w:color w:val="2F2F2F"/>
          <w:sz w:val="22"/>
          <w:szCs w:val="22"/>
          <w:lang w:eastAsia="es-MX"/>
        </w:rPr>
        <w:t xml:space="preserve"> en el artículo 102 de la Ley General y 37, numeral 2 del presente Reglamento.</w:t>
      </w:r>
    </w:p>
    <w:p w:rsidR="00A14621" w:rsidRPr="00A4197A" w:rsidRDefault="00A14621"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II.</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Iniciará a petición de parte cuando la queja o denuncia sea presentada por cualquier partido político o persona física o moral.</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III.</w:t>
      </w:r>
      <w:r w:rsidRPr="00A4197A">
        <w:rPr>
          <w:rFonts w:ascii="Palatino Linotype" w:hAnsi="Palatino Linotype" w:cs="Arial"/>
          <w:i/>
          <w:color w:val="2F2F2F"/>
          <w:sz w:val="22"/>
          <w:szCs w:val="22"/>
          <w:lang w:eastAsia="es-MX"/>
        </w:rPr>
        <w:t>   Los partidos políticos deberán presentar su queja o denuncia por escrito, a través de sus</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representantes debidamente acreditados ante los órganos electorales del Instituto o de los Organismos Públicos.</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IV.</w:t>
      </w:r>
      <w:r w:rsidRPr="00A4197A">
        <w:rPr>
          <w:rFonts w:ascii="Palatino Linotype" w:hAnsi="Palatino Linotype" w:cs="Arial"/>
          <w:i/>
          <w:color w:val="2F2F2F"/>
          <w:sz w:val="22"/>
          <w:szCs w:val="22"/>
          <w:lang w:eastAsia="es-MX"/>
        </w:rPr>
        <w:t>  Las personas morales deberán presentar su queja o denuncia por escrito, por medio de sus representantes, en términos de la legislación aplicable.</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41</w:t>
      </w:r>
    </w:p>
    <w:p w:rsidR="00A14621" w:rsidRPr="00A4197A" w:rsidRDefault="00A14621"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El escrito inicial de queja o denuncia deberá cumplir con los requisitos siguientes:</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w:t>
      </w:r>
      <w:r w:rsidRPr="00A4197A">
        <w:rPr>
          <w:rFonts w:ascii="Palatino Linotype" w:hAnsi="Palatino Linotype" w:cs="Arial"/>
          <w:i/>
          <w:color w:val="2F2F2F"/>
          <w:sz w:val="22"/>
          <w:szCs w:val="22"/>
          <w:lang w:eastAsia="es-MX"/>
        </w:rPr>
        <w:t>   Nombre del quejoso o denunciante;</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b)</w:t>
      </w:r>
      <w:r w:rsidRPr="00A4197A">
        <w:rPr>
          <w:rFonts w:ascii="Palatino Linotype" w:hAnsi="Palatino Linotype" w:cs="Arial"/>
          <w:i/>
          <w:color w:val="2F2F2F"/>
          <w:sz w:val="22"/>
          <w:szCs w:val="22"/>
          <w:lang w:eastAsia="es-MX"/>
        </w:rPr>
        <w:t>   Domicilio para oír y recibir notificaciones y, en su caso, la persona autorizada para tal efecto;</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c)</w:t>
      </w:r>
      <w:r w:rsidRPr="00A4197A">
        <w:rPr>
          <w:rFonts w:ascii="Palatino Linotype" w:hAnsi="Palatino Linotype" w:cs="Arial"/>
          <w:i/>
          <w:color w:val="2F2F2F"/>
          <w:sz w:val="22"/>
          <w:szCs w:val="22"/>
          <w:lang w:eastAsia="es-MX"/>
        </w:rPr>
        <w:t>   Los documentos necesarios e idóneos para identificarse o acreditar la personería. Este último requisito no será exigible tratándose de los integrantes del Consejo General, de los Consejos o Juntas Ejecutivas Locales o Distritales del Instituto;</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d)</w:t>
      </w:r>
      <w:r w:rsidRPr="00A4197A">
        <w:rPr>
          <w:rFonts w:ascii="Palatino Linotype" w:hAnsi="Palatino Linotype" w:cs="Arial"/>
          <w:i/>
          <w:color w:val="2F2F2F"/>
          <w:sz w:val="22"/>
          <w:szCs w:val="22"/>
          <w:lang w:eastAsia="es-MX"/>
        </w:rPr>
        <w:t>   Narración clara y expresa de los hechos en que basa la queja o denuncia, así como los preceptos presuntamente violados;</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e)</w:t>
      </w:r>
      <w:r w:rsidRPr="00A4197A">
        <w:rPr>
          <w:rFonts w:ascii="Palatino Linotype" w:hAnsi="Palatino Linotype" w:cs="Arial"/>
          <w:i/>
          <w:color w:val="2F2F2F"/>
          <w:sz w:val="22"/>
          <w:szCs w:val="22"/>
          <w:lang w:eastAsia="es-MX"/>
        </w:rPr>
        <w:t>   Ofrecer y aportar las pruebas con que cuente o, en su caso, mencionar las que habrán de requerirse, siempre que el denunciante o quejoso acredite que las solicitó por escrito al órgano competente, por lo menos cinco días previos a la presentación de la queja o denuncia y no le hubieren sido entregadas;</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f)</w:t>
      </w:r>
      <w:r w:rsidRPr="00A4197A">
        <w:rPr>
          <w:rFonts w:ascii="Palatino Linotype" w:hAnsi="Palatino Linotype" w:cs="Arial"/>
          <w:i/>
          <w:color w:val="2F2F2F"/>
          <w:sz w:val="22"/>
          <w:szCs w:val="22"/>
          <w:lang w:eastAsia="es-MX"/>
        </w:rPr>
        <w:t>    La relación de las pruebas con cada uno de los hechos narrados en su escrito de queja o denuncia; y</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g)</w:t>
      </w:r>
      <w:r w:rsidRPr="00A4197A">
        <w:rPr>
          <w:rFonts w:ascii="Palatino Linotype" w:hAnsi="Palatino Linotype" w:cs="Arial"/>
          <w:i/>
          <w:color w:val="2F2F2F"/>
          <w:sz w:val="22"/>
          <w:szCs w:val="22"/>
          <w:lang w:eastAsia="es-MX"/>
        </w:rPr>
        <w:t>   Firma autógrafa o huella dactilar.</w:t>
      </w:r>
    </w:p>
    <w:p w:rsidR="00A14621" w:rsidRPr="00A4197A" w:rsidRDefault="00A14621"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lastRenderedPageBreak/>
        <w:t>2.</w:t>
      </w:r>
      <w:r w:rsidRPr="00A4197A">
        <w:rPr>
          <w:rFonts w:ascii="Palatino Linotype" w:hAnsi="Palatino Linotype" w:cs="Arial"/>
          <w:i/>
          <w:color w:val="2F2F2F"/>
          <w:sz w:val="22"/>
          <w:szCs w:val="22"/>
          <w:lang w:eastAsia="es-MX"/>
        </w:rPr>
        <w:t xml:space="preserve">     La Unidad de lo Contencioso </w:t>
      </w:r>
      <w:r w:rsidRPr="00A4197A">
        <w:rPr>
          <w:rFonts w:ascii="Palatino Linotype" w:hAnsi="Palatino Linotype" w:cs="Arial"/>
          <w:b/>
          <w:i/>
          <w:color w:val="2F2F2F"/>
          <w:sz w:val="22"/>
          <w:szCs w:val="22"/>
          <w:lang w:eastAsia="es-MX"/>
        </w:rPr>
        <w:t>no admitirá y ordenará el no inicio de procedimiento, sin prevención alguna, sobre aquellas denuncias o quejas anónimas, que incumplan con lo previsto en el inciso g) del numeral 1 de este artículo.</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3.</w:t>
      </w:r>
      <w:r w:rsidRPr="00A4197A">
        <w:rPr>
          <w:rFonts w:ascii="Palatino Linotype" w:hAnsi="Palatino Linotype" w:cs="Arial"/>
          <w:i/>
          <w:color w:val="2F2F2F"/>
          <w:sz w:val="22"/>
          <w:szCs w:val="22"/>
          <w:lang w:eastAsia="es-MX"/>
        </w:rPr>
        <w:t>     Para la determinación descrita en el numeral que antecede, la Unidad de lo Contencioso, contará con un plazo de diez días hábiles contados a partir de la recepción de la queja o denuncia.</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42</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Ante la omisión de los requisitos establecidos en los incisos c), d), e) y f) del artículo anterior, la Unidad de lo Contencioso prevendrá a la o el denunciant</w:t>
      </w:r>
      <w:r w:rsidRPr="00A4197A">
        <w:rPr>
          <w:rFonts w:ascii="Palatino Linotype" w:hAnsi="Palatino Linotype" w:cs="Arial"/>
          <w:i/>
          <w:color w:val="2F2F2F"/>
          <w:sz w:val="22"/>
          <w:szCs w:val="22"/>
          <w:lang w:eastAsia="es-MX"/>
        </w:rPr>
        <w:t>e para que en un plazo improrrogable de tres días hábiles, contados a partir de su notificación, los subsane o aclare las circunstancias de modo, tiempo y lugar. En caso de no hacerlo, se tendrá por no presentada la queja o denuncia.</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Lo señalado en el párrafo que antecede resulta aplicable para el caso de que, aun habiendo dado contestación a la prevención formulada, la misma sea insuficiente o verse sobre cuestiones distintas a la información solicitada.</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3.</w:t>
      </w:r>
      <w:r w:rsidRPr="00A4197A">
        <w:rPr>
          <w:rFonts w:ascii="Palatino Linotype" w:hAnsi="Palatino Linotype" w:cs="Arial"/>
          <w:i/>
          <w:color w:val="2F2F2F"/>
          <w:sz w:val="22"/>
          <w:szCs w:val="22"/>
          <w:lang w:eastAsia="es-MX"/>
        </w:rPr>
        <w:t>     Ante la omisión del requisito establecido en el inciso b) del artículo anterior, se prevendrá al quejoso o denunciante, para que en el mismo plazo de tres días hábiles, señale domicilio para oír y recibir notificaciones, con el apercibimiento que de no hacerlo, las subsecuentes notificaciones se harán por estrados, aún las de carácter personal.</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43</w:t>
      </w:r>
    </w:p>
    <w:p w:rsidR="00A14621" w:rsidRPr="00A4197A" w:rsidRDefault="00A14621"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La queja o denuncia será improcedente y se desechará, cuando:</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I.</w:t>
      </w:r>
      <w:r w:rsidRPr="00A4197A">
        <w:rPr>
          <w:rFonts w:ascii="Palatino Linotype" w:hAnsi="Palatino Linotype" w:cs="Arial"/>
          <w:i/>
          <w:color w:val="2F2F2F"/>
          <w:sz w:val="22"/>
          <w:szCs w:val="22"/>
          <w:lang w:eastAsia="es-MX"/>
        </w:rPr>
        <w:t>     El denunciado no tenga el carácter de Consejera o Consejero Presidente, o Consejera o Consejero Electoral de un Organismo Público;</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II.</w:t>
      </w:r>
      <w:r w:rsidRPr="00A4197A">
        <w:rPr>
          <w:rFonts w:ascii="Palatino Linotype" w:hAnsi="Palatino Linotype" w:cs="Arial"/>
          <w:i/>
          <w:color w:val="2F2F2F"/>
          <w:sz w:val="22"/>
          <w:szCs w:val="22"/>
          <w:lang w:eastAsia="es-MX"/>
        </w:rPr>
        <w:t>     Resulte frívola, entendiéndose como tal:</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w:t>
      </w:r>
      <w:r w:rsidRPr="00A4197A">
        <w:rPr>
          <w:rFonts w:ascii="Palatino Linotype" w:hAnsi="Palatino Linotype" w:cs="Arial"/>
          <w:i/>
          <w:color w:val="2F2F2F"/>
          <w:sz w:val="22"/>
          <w:szCs w:val="22"/>
          <w:lang w:eastAsia="es-MX"/>
        </w:rPr>
        <w:t>   La demanda o promoción en la cual se formulen pretensiones que no se pueden alcanzar jurídicamente, por ser notorio y evidente que no se encuentran al amparo del Derecho;</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b)</w:t>
      </w:r>
      <w:r w:rsidRPr="00A4197A">
        <w:rPr>
          <w:rFonts w:ascii="Palatino Linotype" w:hAnsi="Palatino Linotype" w:cs="Arial"/>
          <w:i/>
          <w:color w:val="2F2F2F"/>
          <w:sz w:val="22"/>
          <w:szCs w:val="22"/>
          <w:lang w:eastAsia="es-MX"/>
        </w:rPr>
        <w:t>   Aquellas que refieran hechos que resulten falsos o inexistentes de la solo lectura cuidadosa del escrito y no se presenten las pruebas mínimas para acreditar su veracidad, y</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c)</w:t>
      </w:r>
      <w:r w:rsidRPr="00A4197A">
        <w:rPr>
          <w:rFonts w:ascii="Palatino Linotype" w:hAnsi="Palatino Linotype" w:cs="Arial"/>
          <w:i/>
          <w:color w:val="2F2F2F"/>
          <w:sz w:val="22"/>
          <w:szCs w:val="22"/>
          <w:lang w:eastAsia="es-MX"/>
        </w:rPr>
        <w:t>   Aquellas que únicamente se fundamenten en notas de opinión periodística o de carácter noticioso, que generalicen una situación, sin que por otro medio se pueda acreditar su veracidad.</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      Cuando se determiné la frivolidad de una queja, analizado el caso concreto, se dará vista a la</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Secretaría Ejecutiva para que inicie el procedimiento administrativo sancionador, en términos de la Ley General.</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lastRenderedPageBreak/>
        <w:t>III.</w:t>
      </w:r>
      <w:r w:rsidRPr="00A4197A">
        <w:rPr>
          <w:rFonts w:ascii="Palatino Linotype" w:hAnsi="Palatino Linotype" w:cs="Arial"/>
          <w:i/>
          <w:color w:val="2F2F2F"/>
          <w:sz w:val="22"/>
          <w:szCs w:val="22"/>
          <w:lang w:eastAsia="es-MX"/>
        </w:rPr>
        <w:t>    Por actos o hechos imputados a una misma persona, que hayan sido materia de otra queja o denuncia ante el Instituto, y en cuyo caso exista una resolución definitiva;</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IV.</w:t>
      </w:r>
      <w:r w:rsidRPr="00A4197A">
        <w:rPr>
          <w:rFonts w:ascii="Palatino Linotype" w:hAnsi="Palatino Linotype" w:cs="Arial"/>
          <w:i/>
          <w:color w:val="2F2F2F"/>
          <w:sz w:val="22"/>
          <w:szCs w:val="22"/>
          <w:lang w:eastAsia="es-MX"/>
        </w:rPr>
        <w:t>   Los actos, hechos u omisiones denunciados no constituyan alguna de las faltas previstas en el artículo 102 de la Ley General y 37, numeral 2 del presente Reglamento;</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V.</w:t>
      </w:r>
      <w:r w:rsidRPr="00A4197A">
        <w:rPr>
          <w:rFonts w:ascii="Palatino Linotype" w:hAnsi="Palatino Linotype" w:cs="Arial"/>
          <w:i/>
          <w:color w:val="2F2F2F"/>
          <w:sz w:val="22"/>
          <w:szCs w:val="22"/>
          <w:lang w:eastAsia="es-MX"/>
        </w:rPr>
        <w:t>    Cuando se actualice la prescripción de los actos, hechos u omisiones materia de la denuncia;</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VI.</w:t>
      </w:r>
      <w:r w:rsidRPr="00A4197A">
        <w:rPr>
          <w:rFonts w:ascii="Palatino Linotype" w:hAnsi="Palatino Linotype" w:cs="Arial"/>
          <w:i/>
          <w:color w:val="2F2F2F"/>
          <w:sz w:val="22"/>
          <w:szCs w:val="22"/>
          <w:lang w:eastAsia="es-MX"/>
        </w:rPr>
        <w:t>   Cuando la conducta denunciada emane de criterios de interpretación jurídica de preceptos legales.</w:t>
      </w:r>
    </w:p>
    <w:p w:rsidR="00A14621" w:rsidRPr="00A4197A" w:rsidRDefault="00A14621"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bCs/>
          <w:i/>
          <w:color w:val="2F2F2F"/>
          <w:sz w:val="22"/>
          <w:szCs w:val="22"/>
          <w:lang w:eastAsia="es-MX"/>
        </w:rPr>
        <w:t>.</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Procede el sobreseimiento de la queja o denuncia, cuando:</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w:t>
      </w:r>
      <w:r w:rsidRPr="00A4197A">
        <w:rPr>
          <w:rFonts w:ascii="Palatino Linotype" w:hAnsi="Palatino Linotype" w:cs="Arial"/>
          <w:i/>
          <w:color w:val="2F2F2F"/>
          <w:sz w:val="22"/>
          <w:szCs w:val="22"/>
          <w:lang w:eastAsia="es-MX"/>
        </w:rPr>
        <w:t>   Habiendo sido admitida la queja o denuncia, sobrevenga alguna causal de improcedencia, o</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b)</w:t>
      </w:r>
      <w:r w:rsidRPr="00A4197A">
        <w:rPr>
          <w:rFonts w:ascii="Palatino Linotype" w:hAnsi="Palatino Linotype" w:cs="Arial"/>
          <w:i/>
          <w:color w:val="2F2F2F"/>
          <w:sz w:val="22"/>
          <w:szCs w:val="22"/>
          <w:lang w:eastAsia="es-MX"/>
        </w:rPr>
        <w:t>   Fallezca la persona a la que se le atribuye la conducta denunciada.</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c)</w:t>
      </w:r>
      <w:r w:rsidRPr="00A4197A">
        <w:rPr>
          <w:rFonts w:ascii="Palatino Linotype" w:hAnsi="Palatino Linotype" w:cs="Arial"/>
          <w:i/>
          <w:color w:val="2F2F2F"/>
          <w:sz w:val="22"/>
          <w:szCs w:val="22"/>
          <w:lang w:eastAsia="es-MX"/>
        </w:rPr>
        <w:t>   El denunciante presente escrito de desistimiento, siempre y cuando lo exhiba antes de la aprobación del proyecto por parte del Consejo General y que, a juicio de dicha autoridad, no se trate de la imputación de hechos graves, ni se vulneren los principios rectores de la función electoral.</w:t>
      </w:r>
    </w:p>
    <w:p w:rsidR="00A14621" w:rsidRPr="00A4197A" w:rsidRDefault="00A14621"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3.</w:t>
      </w:r>
      <w:r w:rsidRPr="00A4197A">
        <w:rPr>
          <w:rFonts w:ascii="Palatino Linotype" w:hAnsi="Palatino Linotype" w:cs="Arial"/>
          <w:i/>
          <w:color w:val="2F2F2F"/>
          <w:sz w:val="22"/>
          <w:szCs w:val="22"/>
          <w:lang w:eastAsia="es-MX"/>
        </w:rPr>
        <w:t>     Cuando se actualice alguna causa de improcedencia o sobreseimiento de la queja, la Unidad de lo Contencioso, dentro de los diez días hábiles contados a partir de la recepción de la queja o de haberse agotado el plazo para subsanar los apercibimientos a que hubiere lugar, deberá elaborar el proyecto respectivo y someterlo a la consideración del Consejo General en la siguiente sesión que celebre.</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44</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El ejercicio de la acción respecto de los actos o hechos objeto del presente</w:t>
      </w:r>
      <w:r w:rsidRPr="00A4197A">
        <w:rPr>
          <w:rFonts w:ascii="Palatino Linotype" w:hAnsi="Palatino Linotype" w:cs="Arial"/>
          <w:i/>
          <w:color w:val="2F2F2F"/>
          <w:sz w:val="22"/>
          <w:szCs w:val="22"/>
          <w:lang w:eastAsia="es-MX"/>
        </w:rPr>
        <w:t xml:space="preserve"> </w:t>
      </w:r>
      <w:r w:rsidRPr="00A4197A">
        <w:rPr>
          <w:rFonts w:ascii="Palatino Linotype" w:hAnsi="Palatino Linotype" w:cs="Arial"/>
          <w:b/>
          <w:i/>
          <w:color w:val="2F2F2F"/>
          <w:sz w:val="22"/>
          <w:szCs w:val="22"/>
          <w:lang w:eastAsia="es-MX"/>
        </w:rPr>
        <w:t>procedimiento prescribe en un plazo de cinco años, atendiendo a lo siguiente:</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w:t>
      </w:r>
      <w:r w:rsidRPr="00A4197A">
        <w:rPr>
          <w:rFonts w:ascii="Palatino Linotype" w:hAnsi="Palatino Linotype" w:cs="Arial"/>
          <w:i/>
          <w:color w:val="2F2F2F"/>
          <w:sz w:val="22"/>
          <w:szCs w:val="22"/>
          <w:lang w:eastAsia="es-MX"/>
        </w:rPr>
        <w:t>   Se computarán a partir de la fecha en que ocurrieron los hechos presuntamente irregulares; cuando se tuvo conocimiento de los mismos, o bien, tratándose de actos continuados a partir de la fecha en que cesó su comisión; y</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b)</w:t>
      </w:r>
      <w:r w:rsidRPr="00A4197A">
        <w:rPr>
          <w:rFonts w:ascii="Palatino Linotype" w:hAnsi="Palatino Linotype" w:cs="Arial"/>
          <w:i/>
          <w:color w:val="2F2F2F"/>
          <w:sz w:val="22"/>
          <w:szCs w:val="22"/>
          <w:lang w:eastAsia="es-MX"/>
        </w:rPr>
        <w:t>   Se interrumpirá al iniciarse el procedimiento previsto en este ordenamiento.</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45</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Para el cómputo de plazos se estará a las reglas siguientes: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w:t>
      </w:r>
      <w:r w:rsidRPr="00A4197A">
        <w:rPr>
          <w:rFonts w:ascii="Palatino Linotype" w:hAnsi="Palatino Linotype" w:cs="Arial"/>
          <w:i/>
          <w:color w:val="2F2F2F"/>
          <w:sz w:val="22"/>
          <w:szCs w:val="22"/>
          <w:lang w:eastAsia="es-MX"/>
        </w:rPr>
        <w:t>   Serán hábiles, todos los días excepto sábados, domingos e inhábiles en términos de ley y aquellos en que el Instituto suspenda sus actividades;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b)</w:t>
      </w:r>
      <w:r w:rsidRPr="00A4197A">
        <w:rPr>
          <w:rFonts w:ascii="Palatino Linotype" w:hAnsi="Palatino Linotype" w:cs="Arial"/>
          <w:i/>
          <w:color w:val="2F2F2F"/>
          <w:sz w:val="22"/>
          <w:szCs w:val="22"/>
          <w:lang w:eastAsia="es-MX"/>
        </w:rPr>
        <w:t>   Serán horas hábiles las que medien entre las nueve y las dieciocho horas;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c)</w:t>
      </w:r>
      <w:r w:rsidRPr="00A4197A">
        <w:rPr>
          <w:rFonts w:ascii="Palatino Linotype" w:hAnsi="Palatino Linotype" w:cs="Arial"/>
          <w:i/>
          <w:color w:val="2F2F2F"/>
          <w:sz w:val="22"/>
          <w:szCs w:val="22"/>
          <w:lang w:eastAsia="es-MX"/>
        </w:rPr>
        <w:t>   Si la emisión de un acto procesal entraña su cumplimiento en un plazo de días, su notificación surtirá efectos el mismo día en que se practique y el plazo comenzará a correr al día siguiente, y</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d)</w:t>
      </w:r>
      <w:r w:rsidRPr="00A4197A">
        <w:rPr>
          <w:rFonts w:ascii="Palatino Linotype" w:hAnsi="Palatino Linotype" w:cs="Arial"/>
          <w:i/>
          <w:color w:val="2F2F2F"/>
          <w:sz w:val="22"/>
          <w:szCs w:val="22"/>
          <w:lang w:eastAsia="es-MX"/>
        </w:rPr>
        <w:t>   Si la emisión de un acto procesal entraña su cumplimento en horas, el plazo comenzará a correr desde que se practique la notificación respectiva.</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lastRenderedPageBreak/>
        <w:t>Artículo 46</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En el presente procedimiento serán admitidos como medios de prueba los siguientes: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w:t>
      </w:r>
      <w:r w:rsidRPr="00A4197A">
        <w:rPr>
          <w:rFonts w:ascii="Palatino Linotype" w:hAnsi="Palatino Linotype" w:cs="Arial"/>
          <w:i/>
          <w:color w:val="2F2F2F"/>
          <w:sz w:val="22"/>
          <w:szCs w:val="22"/>
          <w:lang w:eastAsia="es-MX"/>
        </w:rPr>
        <w:t>   Documentales públicas;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b)</w:t>
      </w:r>
      <w:r w:rsidRPr="00A4197A">
        <w:rPr>
          <w:rFonts w:ascii="Palatino Linotype" w:hAnsi="Palatino Linotype" w:cs="Arial"/>
          <w:i/>
          <w:color w:val="2F2F2F"/>
          <w:sz w:val="22"/>
          <w:szCs w:val="22"/>
          <w:lang w:eastAsia="es-MX"/>
        </w:rPr>
        <w:t>   Documentales privadas;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c)</w:t>
      </w:r>
      <w:r w:rsidRPr="00A4197A">
        <w:rPr>
          <w:rFonts w:ascii="Palatino Linotype" w:hAnsi="Palatino Linotype" w:cs="Arial"/>
          <w:i/>
          <w:color w:val="2F2F2F"/>
          <w:sz w:val="22"/>
          <w:szCs w:val="22"/>
          <w:lang w:eastAsia="es-MX"/>
        </w:rPr>
        <w:t>   Testimoniales;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d)</w:t>
      </w:r>
      <w:r w:rsidRPr="00A4197A">
        <w:rPr>
          <w:rFonts w:ascii="Palatino Linotype" w:hAnsi="Palatino Linotype" w:cs="Arial"/>
          <w:i/>
          <w:color w:val="2F2F2F"/>
          <w:sz w:val="22"/>
          <w:szCs w:val="22"/>
          <w:lang w:eastAsia="es-MX"/>
        </w:rPr>
        <w:t>   Técnicas;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e)</w:t>
      </w:r>
      <w:r w:rsidRPr="00A4197A">
        <w:rPr>
          <w:rFonts w:ascii="Palatino Linotype" w:hAnsi="Palatino Linotype" w:cs="Arial"/>
          <w:i/>
          <w:color w:val="2F2F2F"/>
          <w:sz w:val="22"/>
          <w:szCs w:val="22"/>
          <w:lang w:eastAsia="es-MX"/>
        </w:rPr>
        <w:t>   Presuncional legal y humana; y</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f)</w:t>
      </w:r>
      <w:r w:rsidRPr="00A4197A">
        <w:rPr>
          <w:rFonts w:ascii="Palatino Linotype" w:hAnsi="Palatino Linotype" w:cs="Arial"/>
          <w:i/>
          <w:color w:val="2F2F2F"/>
          <w:sz w:val="22"/>
          <w:szCs w:val="22"/>
          <w:lang w:eastAsia="es-MX"/>
        </w:rPr>
        <w:t>    La instrumental de actuaciones.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La prueba testimonial únicamente será admitida cuando se ofrezca en acta levantada ante fedatario público o funcionario que cuente con esa atribución, que la haya recibido directamente de los declarantes, siempre que estos últimos queden debidamente identificados y se asiente la razón de su</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dicho.</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3.</w:t>
      </w:r>
      <w:r w:rsidRPr="00A4197A">
        <w:rPr>
          <w:rFonts w:ascii="Palatino Linotype" w:hAnsi="Palatino Linotype" w:cs="Arial"/>
          <w:i/>
          <w:color w:val="2F2F2F"/>
          <w:sz w:val="22"/>
          <w:szCs w:val="22"/>
          <w:lang w:eastAsia="es-MX"/>
        </w:rPr>
        <w:t>     Tendrán valor probatorio pleno las diligencias realizadas por la Oficialía Electoral en las que sea necesario dar fe pública acerca de actos o hechos a fin de contar con elementos para mejor proveer o resolver, así como aquellas llevadas a cabo por la Unidad de lo Contencioso, derivadas de la instrucción de los procedimientos de sanción de Consejeros de un Organismo Público.</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4.</w:t>
      </w:r>
      <w:r w:rsidRPr="00A4197A">
        <w:rPr>
          <w:rFonts w:ascii="Palatino Linotype" w:hAnsi="Palatino Linotype" w:cs="Arial"/>
          <w:i/>
          <w:color w:val="2F2F2F"/>
          <w:sz w:val="22"/>
          <w:szCs w:val="22"/>
          <w:lang w:eastAsia="es-MX"/>
        </w:rPr>
        <w:t>     Las pruebas técnicas deberán precisar las circunstancias de modo, tiempo y lugar; queda a cargo del oferente proporcionar los medios para su desahogo.</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5.</w:t>
      </w:r>
      <w:r w:rsidRPr="00A4197A">
        <w:rPr>
          <w:rFonts w:ascii="Palatino Linotype" w:hAnsi="Palatino Linotype" w:cs="Arial"/>
          <w:i/>
          <w:color w:val="2F2F2F"/>
          <w:sz w:val="22"/>
          <w:szCs w:val="22"/>
          <w:lang w:eastAsia="es-MX"/>
        </w:rPr>
        <w:t>     Las pruebas admitidas y desahogadas serán valoradas en conjunto, atendiendo a las reglas de la lógica, la sana crítica y a las máximas de la experiencia, con el objeto de que produzcan convicción sobre los hechos denunciados.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6.</w:t>
      </w:r>
      <w:r w:rsidRPr="00A4197A">
        <w:rPr>
          <w:rFonts w:ascii="Palatino Linotype" w:hAnsi="Palatino Linotype" w:cs="Arial"/>
          <w:i/>
          <w:color w:val="2F2F2F"/>
          <w:sz w:val="22"/>
          <w:szCs w:val="22"/>
          <w:lang w:eastAsia="es-MX"/>
        </w:rPr>
        <w:t>     Las partes podrán aportar pruebas supervenientes hasta antes del cierre de la instrucción.</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7.</w:t>
      </w:r>
      <w:r w:rsidRPr="00A4197A">
        <w:rPr>
          <w:rFonts w:ascii="Palatino Linotype" w:hAnsi="Palatino Linotype" w:cs="Arial"/>
          <w:i/>
          <w:color w:val="2F2F2F"/>
          <w:sz w:val="22"/>
          <w:szCs w:val="22"/>
          <w:lang w:eastAsia="es-MX"/>
        </w:rPr>
        <w:t>     Se entiende por pruebas supervenientes los medios de convicción ofrecidos después del plazo legal en que deban aportarse, pero que el oferente no pudo aportar por desconocerlos, por existir obstáculos que no estaban a su alcance superar o porque se generaron después del plazo legal en que debían aportarse.</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8.</w:t>
      </w:r>
      <w:r w:rsidRPr="00A4197A">
        <w:rPr>
          <w:rFonts w:ascii="Palatino Linotype" w:hAnsi="Palatino Linotype" w:cs="Arial"/>
          <w:i/>
          <w:color w:val="2F2F2F"/>
          <w:sz w:val="22"/>
          <w:szCs w:val="22"/>
          <w:lang w:eastAsia="es-MX"/>
        </w:rPr>
        <w:t>     Admitida una prueba superveniente, se dará vista al quejoso o denunciado, según corresponda, para que en el plazo de cinco días manifieste lo que a su derecho convenga.</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47</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La Secretaría Ejecutiva, a través de la Unidad de lo Contencioso, llevará a cabo la investigación de los hechos denunciados,</w:t>
      </w:r>
      <w:r w:rsidRPr="00A4197A">
        <w:rPr>
          <w:rFonts w:ascii="Palatino Linotype" w:hAnsi="Palatino Linotype" w:cs="Arial"/>
          <w:i/>
          <w:color w:val="2F2F2F"/>
          <w:sz w:val="22"/>
          <w:szCs w:val="22"/>
          <w:lang w:eastAsia="es-MX"/>
        </w:rPr>
        <w:t xml:space="preserve"> con apego a los siguientes principios: legalidad, profesionalismo, congruencia, exhaustividad, concentración de actuaciones, idoneidad, eficacia, expeditez, mínima intervención y proporcionalidad.</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 xml:space="preserve">La Secretaría Ejecutiva, a través de la Unidad de lo Contencioso, podrá ordenar la realización de diligencias y agregar al expediente cualquier </w:t>
      </w:r>
      <w:r w:rsidRPr="00A4197A">
        <w:rPr>
          <w:rFonts w:ascii="Palatino Linotype" w:hAnsi="Palatino Linotype" w:cs="Arial"/>
          <w:b/>
          <w:i/>
          <w:color w:val="2F2F2F"/>
          <w:sz w:val="22"/>
          <w:szCs w:val="22"/>
          <w:lang w:eastAsia="es-MX"/>
        </w:rPr>
        <w:lastRenderedPageBreak/>
        <w:t>elemento probatorio a su alcance, con la finalidad de determinar la veracidad de los hechos denunciados.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3.</w:t>
      </w:r>
      <w:r w:rsidRPr="00A4197A">
        <w:rPr>
          <w:rFonts w:ascii="Palatino Linotype" w:hAnsi="Palatino Linotype" w:cs="Arial"/>
          <w:i/>
          <w:color w:val="2F2F2F"/>
          <w:sz w:val="22"/>
          <w:szCs w:val="22"/>
          <w:lang w:eastAsia="es-MX"/>
        </w:rPr>
        <w:t>     Las diligencias podrán ordenarse, previo acuerdo debidamente fundado y motivado que emita la Unidad de lo Contencioso, en las etapas siguientes:</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a)</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Previo a resolver sobre la admisión, si del análisis de las constancias aportadas por el denunciante se advierte la necesidad de efectuar diligencias preliminares de investigación.</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b)</w:t>
      </w:r>
      <w:r w:rsidRPr="00A4197A">
        <w:rPr>
          <w:rFonts w:ascii="Palatino Linotype" w:hAnsi="Palatino Linotype" w:cs="Arial"/>
          <w:i/>
          <w:color w:val="2F2F2F"/>
          <w:sz w:val="22"/>
          <w:szCs w:val="22"/>
          <w:lang w:eastAsia="es-MX"/>
        </w:rPr>
        <w:t>   Posterior a la audiencia de desahogo de pruebas si no se advierten elementos suficientes para resolver o se adviertan otros que se estimen determinantes para el esclarecimiento de los hechos denunciados.</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4.</w:t>
      </w:r>
      <w:r w:rsidRPr="00A4197A">
        <w:rPr>
          <w:rFonts w:ascii="Palatino Linotype" w:hAnsi="Palatino Linotype" w:cs="Arial"/>
          <w:i/>
          <w:color w:val="2F2F2F"/>
          <w:sz w:val="22"/>
          <w:szCs w:val="22"/>
          <w:lang w:eastAsia="es-MX"/>
        </w:rPr>
        <w:t xml:space="preserve">     En ambos supuestos, </w:t>
      </w:r>
      <w:r w:rsidRPr="00A4197A">
        <w:rPr>
          <w:rFonts w:ascii="Palatino Linotype" w:hAnsi="Palatino Linotype" w:cs="Arial"/>
          <w:b/>
          <w:i/>
          <w:color w:val="2F2F2F"/>
          <w:sz w:val="22"/>
          <w:szCs w:val="22"/>
          <w:lang w:eastAsia="es-MX"/>
        </w:rPr>
        <w:t>la Unidad de lo Contencioso, contará con un plazo máximo de investigación de treinta días naturales, contados a partir del dictado de la determinación que la ordene. Dicho plazo podrá ser ampliado hasta por un periodo igual, de manera excepcional y por una sola ocasión, previo acuerdo debidamente fundado y motivado.</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5.</w:t>
      </w:r>
      <w:r w:rsidRPr="00A4197A">
        <w:rPr>
          <w:rFonts w:ascii="Palatino Linotype" w:hAnsi="Palatino Linotype" w:cs="Arial"/>
          <w:i/>
          <w:color w:val="2F2F2F"/>
          <w:sz w:val="22"/>
          <w:szCs w:val="22"/>
          <w:lang w:eastAsia="es-MX"/>
        </w:rPr>
        <w:t>     Si con motivo de la investigación la Unidad de lo Contencioso advierte la Comisión de infracciones diversas ordenará la vista a la autoridad competente.</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48</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La queja o denuncia podrá ser presentada ante cualquier órgano del Instituto, quien la remitirá de inmediato sin trámite adicional alguno a la Secretaría Ejecutiva, con el objeto de que se examine junto con las pruebas aportadas a través de la Unidad de lo Contencioso.</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Recibida la queja o denuncia, el Secretario Ejecutivo por conducto de la Unidad de lo Contencioso le asignará número de expediente</w:t>
      </w:r>
      <w:r w:rsidRPr="00A4197A">
        <w:rPr>
          <w:rFonts w:ascii="Palatino Linotype" w:hAnsi="Palatino Linotype" w:cs="Arial"/>
          <w:i/>
          <w:color w:val="2F2F2F"/>
          <w:sz w:val="22"/>
          <w:szCs w:val="22"/>
          <w:lang w:eastAsia="es-MX"/>
        </w:rPr>
        <w:t>. Asimismo, se llevará un registro de las denuncias que reciba, informando de su presentación al Consejo General.</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49</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La Unidad de lo Contencioso contará con un plazo de diez días hábiles para emitir el acuerdo de admisión o propuesta de desechamiento, contados a partir del día en que se reciba la queja o denuncia.</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En el supuesto de que la Unidad de lo Contencioso hubiera emitido una prevención, se tomarán en cuenta los mismos plazos para dictar el acuerdo de admisión o desechamiento a que se refiere el párrafo anterior, los que se computarán a partir del día siguiente en que se hubiera dado respuesta a</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i/>
          <w:color w:val="2F2F2F"/>
          <w:sz w:val="22"/>
          <w:szCs w:val="22"/>
          <w:lang w:eastAsia="es-MX"/>
        </w:rPr>
        <w:t>la prevención por parte del denunciante, o bien, cuando hubiera fenecido el plazo sin que se hubiera dado respuesta a la prevención.</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3.</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 xml:space="preserve">Si del análisis a las constancias aportadas por el denunciante se advierte la necesidad de efectuar diligencias preliminares de investigación antes de resolver sobre su admisión o desechamiento, la Unidad de lo Contencioso, dictará a través de un acuerdo las medidas pertinentes para llevarlas a cabo, </w:t>
      </w:r>
      <w:r w:rsidRPr="00A4197A">
        <w:rPr>
          <w:rFonts w:ascii="Palatino Linotype" w:hAnsi="Palatino Linotype" w:cs="Arial"/>
          <w:b/>
          <w:i/>
          <w:color w:val="2F2F2F"/>
          <w:sz w:val="22"/>
          <w:szCs w:val="22"/>
          <w:lang w:eastAsia="es-MX"/>
        </w:rPr>
        <w:lastRenderedPageBreak/>
        <w:t>debiendo justificar su necesidad y oportunidad.</w:t>
      </w:r>
      <w:r w:rsidRPr="00A4197A">
        <w:rPr>
          <w:rFonts w:ascii="Palatino Linotype" w:hAnsi="Palatino Linotype" w:cs="Arial"/>
          <w:i/>
          <w:color w:val="2F2F2F"/>
          <w:sz w:val="22"/>
          <w:szCs w:val="22"/>
          <w:lang w:eastAsia="es-MX"/>
        </w:rPr>
        <w:t xml:space="preserve"> En este caso, el plazo para la admisión o desechamiento se computará a partir de la conclusión de las diligencias mencionadas.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50</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Las notificaciones se harán a más tardar dentro de los tres días hábiles siguientes al que se dicten los acuerdos o resoluciones que las motiven, y surtirán efectos el día que se practiquen.</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Las notificaciones podrán hacerse de forma personal, por cédula, por oficio, por estrados o por correo electrónico a través del sistema que para tales efectos disponga el Instituto, conforme a lo dispuesto en el Reglamento de Quejas.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3.</w:t>
      </w:r>
      <w:r w:rsidRPr="00A4197A">
        <w:rPr>
          <w:rFonts w:ascii="Palatino Linotype" w:hAnsi="Palatino Linotype" w:cs="Arial"/>
          <w:i/>
          <w:color w:val="2F2F2F"/>
          <w:sz w:val="22"/>
          <w:szCs w:val="22"/>
          <w:lang w:eastAsia="es-MX"/>
        </w:rPr>
        <w:t>     Las notificaciones se harán en días y horas hábiles. De toda notificación se levantará la razón correspondiente, la cual se glosará al expediente respectivo.</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51</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Admitida la denuncia, la Unidad de lo Contencioso, emplazará personalmente a la Consejera o Consejero Presidente, al Consejero o Consejera Electoral denunciado para que comparezca a una audiencia, notificándole mediante acuerdo el lugar, día y hora en que tendrá verificativo; los actos u omisiones que se le imputan, las consecuencias posibles y su derecho a comparecer asistido de un defensor.</w:t>
      </w:r>
      <w:r w:rsidRPr="00A4197A">
        <w:rPr>
          <w:rFonts w:ascii="Palatino Linotype" w:hAnsi="Palatino Linotype" w:cs="Arial"/>
          <w:i/>
          <w:color w:val="2F2F2F"/>
          <w:sz w:val="22"/>
          <w:szCs w:val="22"/>
          <w:lang w:eastAsia="es-MX"/>
        </w:rPr>
        <w:t xml:space="preserve"> Para ello, deberá </w:t>
      </w:r>
      <w:r w:rsidRPr="00A4197A">
        <w:rPr>
          <w:rFonts w:ascii="Palatino Linotype" w:hAnsi="Palatino Linotype" w:cs="Arial"/>
          <w:b/>
          <w:i/>
          <w:color w:val="2F2F2F"/>
          <w:sz w:val="22"/>
          <w:szCs w:val="22"/>
          <w:lang w:eastAsia="es-MX"/>
        </w:rPr>
        <w:t>correr traslado con copia simple de la denuncia presentada</w:t>
      </w:r>
      <w:r w:rsidRPr="00A4197A">
        <w:rPr>
          <w:rFonts w:ascii="Palatino Linotype" w:hAnsi="Palatino Linotype" w:cs="Arial"/>
          <w:i/>
          <w:color w:val="2F2F2F"/>
          <w:sz w:val="22"/>
          <w:szCs w:val="22"/>
          <w:lang w:eastAsia="es-MX"/>
        </w:rPr>
        <w:t xml:space="preserve"> en su contra, así como de todas las constancias del expediente integrado con motivo de la queja o denuncia.</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La Consejera o el Consejero Presidente o Consejero Electoral denunciado podrá dar contestación a la queja o denuncia por escrito, el cual deberá ser presentado a más tardar el día y hora señalada para la celebración de la audiencia.</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52</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El escrito de contestación a la queja o denuncia deberá contener nombre y firma autógrafa de la Consejera o el Consejero Presidente, o de la o el Consejero Electoral denunciado y referirse exclusivamente a los hechos motivo de la denuncia.</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53</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 xml:space="preserve">La audiencia se llevará a cabo de manera ininterrumpida, en forma oral, y será conducida por el titular de la Unidad de lo Contencioso o por el personal que éste previamente designe, </w:t>
      </w:r>
      <w:r w:rsidRPr="00A4197A">
        <w:rPr>
          <w:rFonts w:ascii="Palatino Linotype" w:hAnsi="Palatino Linotype" w:cs="Arial"/>
          <w:i/>
          <w:color w:val="2F2F2F"/>
          <w:sz w:val="22"/>
          <w:szCs w:val="22"/>
          <w:lang w:eastAsia="es-MX"/>
        </w:rPr>
        <w:t>debiéndose </w:t>
      </w:r>
      <w:r w:rsidRPr="00A4197A">
        <w:rPr>
          <w:rFonts w:ascii="Palatino Linotype" w:hAnsi="Palatino Linotype" w:cs="Arial"/>
          <w:b/>
          <w:i/>
          <w:color w:val="2F2F2F"/>
          <w:sz w:val="22"/>
          <w:szCs w:val="22"/>
          <w:lang w:eastAsia="es-MX"/>
        </w:rPr>
        <w:t>levantar constancia de su desarrollo, en la que firmarán los que en ella intervinieron</w:t>
      </w:r>
      <w:r w:rsidRPr="00A4197A">
        <w:rPr>
          <w:rFonts w:ascii="Palatino Linotype" w:hAnsi="Palatino Linotype" w:cs="Arial"/>
          <w:i/>
          <w:color w:val="2F2F2F"/>
          <w:sz w:val="22"/>
          <w:szCs w:val="22"/>
          <w:lang w:eastAsia="es-MX"/>
        </w:rPr>
        <w:t>. La inasistencia de la o el Consejero Presidente o de la o el Consejero Electoral denunciado no será obstáculo para su realización.</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 xml:space="preserve">La o el Consejero Presidente o la o el Consejero Electoral denunciado podrá comparecer a la audiencia por medio de representantes o apoderados, </w:t>
      </w:r>
      <w:r w:rsidRPr="00A4197A">
        <w:rPr>
          <w:rFonts w:ascii="Palatino Linotype" w:hAnsi="Palatino Linotype" w:cs="Arial"/>
          <w:b/>
          <w:i/>
          <w:color w:val="2F2F2F"/>
          <w:sz w:val="22"/>
          <w:szCs w:val="22"/>
          <w:lang w:eastAsia="es-MX"/>
        </w:rPr>
        <w:lastRenderedPageBreak/>
        <w:t>quienes deberán presentar los documentos que los acrediten al inicio de la audiencia y en el acta se asentará razón de esa circunstancia.</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3.</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Abierta la audiencia se dará el uso de la voz a la Consejera o Consejero Electoral denunciado o a su defensor para que responda a la queja o denuncia refiriéndose a todos y cada uno de los hechos que se le imputan, afirmándolos o negándolos, expresando los que ignore por no ser propios, o narrándolos como crea que tuvieron lugar. Dicha contestación podrá realizarse por escrito o de forma verbal.</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54</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Al término de la audiencia, se abrirá el periodo de ofrecimiento de pruebas, para lo cual se otorgará al Consejero Electoral denunciado diez días hábiles para que ofrezca por escrito los medios de convicción que estime pertinentes</w:t>
      </w:r>
      <w:r w:rsidRPr="00A4197A">
        <w:rPr>
          <w:rFonts w:ascii="Palatino Linotype" w:hAnsi="Palatino Linotype" w:cs="Arial"/>
          <w:i/>
          <w:color w:val="2F2F2F"/>
          <w:sz w:val="22"/>
          <w:szCs w:val="22"/>
          <w:lang w:eastAsia="es-MX"/>
        </w:rPr>
        <w:t xml:space="preserve"> y que tengan relación con los hechos que se le imputan.</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La Unidad de lo Contencioso podrá solicitar por oficio al Vocal Ejecutivo de la Junta Local de la entidad federativa correspondiente, la realización de diligencias que sean necesarias para la debida sustanciación del procedimiento.</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3.</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Concluida la etapa de ofrecimiento de pruebas, la Unidad de lo Contencioso procederá a dictar, dentro del término de tres días hábiles, el acuerdo de admisión de pruebas, y en su caso dictará las medidas para su preparación, y en su oportunidad ordenará la celebración de una audiencia para el desahogo de aquellas</w:t>
      </w:r>
      <w:r w:rsidRPr="00A4197A">
        <w:rPr>
          <w:rFonts w:ascii="Palatino Linotype" w:hAnsi="Palatino Linotype" w:cs="Arial"/>
          <w:i/>
          <w:color w:val="2F2F2F"/>
          <w:sz w:val="22"/>
          <w:szCs w:val="22"/>
          <w:lang w:eastAsia="es-MX"/>
        </w:rPr>
        <w:t xml:space="preserve"> </w:t>
      </w:r>
      <w:r w:rsidRPr="00A4197A">
        <w:rPr>
          <w:rFonts w:ascii="Palatino Linotype" w:hAnsi="Palatino Linotype" w:cs="Arial"/>
          <w:b/>
          <w:i/>
          <w:color w:val="2F2F2F"/>
          <w:sz w:val="22"/>
          <w:szCs w:val="22"/>
          <w:lang w:eastAsia="es-MX"/>
        </w:rPr>
        <w:t>que lo requieran</w:t>
      </w:r>
      <w:r w:rsidRPr="00A4197A">
        <w:rPr>
          <w:rFonts w:ascii="Palatino Linotype" w:hAnsi="Palatino Linotype" w:cs="Arial"/>
          <w:i/>
          <w:color w:val="2F2F2F"/>
          <w:sz w:val="22"/>
          <w:szCs w:val="22"/>
          <w:lang w:eastAsia="es-MX"/>
        </w:rPr>
        <w:t>, debiendo citarse a las partes.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4.</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La audiencia será pública, tendrá lugar en la sede, día y hora en la que fue convocada,</w:t>
      </w:r>
      <w:r w:rsidRPr="00A4197A">
        <w:rPr>
          <w:rFonts w:ascii="Palatino Linotype" w:hAnsi="Palatino Linotype" w:cs="Arial"/>
          <w:i/>
          <w:color w:val="2F2F2F"/>
          <w:sz w:val="22"/>
          <w:szCs w:val="22"/>
          <w:lang w:eastAsia="es-MX"/>
        </w:rPr>
        <w:t> entre la fecha del acuerdo que la ordene y la audiencia deberá mediar un plazo no menor de cinco ni mayor de quince días hábiles contados a partir de la legal notificación de las partes.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5.</w:t>
      </w:r>
      <w:r w:rsidRPr="00A4197A">
        <w:rPr>
          <w:rFonts w:ascii="Palatino Linotype" w:hAnsi="Palatino Linotype" w:cs="Arial"/>
          <w:i/>
          <w:color w:val="2F2F2F"/>
          <w:sz w:val="22"/>
          <w:szCs w:val="22"/>
          <w:lang w:eastAsia="es-MX"/>
        </w:rPr>
        <w:t>     Para el desahogo y valoración de las pruebas se observarán, en lo conducente, las reglas previstas en el Reglamento de Quejas.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55</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Celebrada la audiencia de desahogo de pruebas que, en su caso se realice, o una vez desahogadas todas y cada una de las pruebas que fueron admitidas, la autoridad sustanciadora dará vista a las partes para que en el plazo de cinco días hábiles formulen por escrito los alegatos</w:t>
      </w:r>
      <w:r w:rsidRPr="00A4197A">
        <w:rPr>
          <w:rFonts w:ascii="Palatino Linotype" w:hAnsi="Palatino Linotype" w:cs="Arial"/>
          <w:i/>
          <w:color w:val="2F2F2F"/>
          <w:sz w:val="22"/>
          <w:szCs w:val="22"/>
          <w:lang w:eastAsia="es-MX"/>
        </w:rPr>
        <w:t xml:space="preserve"> que consideren pertinentes</w:t>
      </w:r>
      <w:r w:rsidRPr="00A4197A">
        <w:rPr>
          <w:rFonts w:ascii="Palatino Linotype" w:hAnsi="Palatino Linotype" w:cs="Arial"/>
          <w:b/>
          <w:i/>
          <w:color w:val="2F2F2F"/>
          <w:sz w:val="22"/>
          <w:szCs w:val="22"/>
          <w:lang w:eastAsia="es-MX"/>
        </w:rPr>
        <w:t>. Hecho lo anterior, declarará cerrada la instrucción, y contará con diez días hábiles para elaborar el dictamen con proyecto de resolución, q</w:t>
      </w:r>
      <w:r w:rsidRPr="00A4197A">
        <w:rPr>
          <w:rFonts w:ascii="Palatino Linotype" w:hAnsi="Palatino Linotype" w:cs="Arial"/>
          <w:i/>
          <w:color w:val="2F2F2F"/>
          <w:sz w:val="22"/>
          <w:szCs w:val="22"/>
          <w:lang w:eastAsia="es-MX"/>
        </w:rPr>
        <w:t>ue será puesto a consideración del Consejo General a más tardar dentro de los diez días hábiles siguientes.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bCs/>
          <w:i/>
          <w:color w:val="2F2F2F"/>
          <w:sz w:val="22"/>
          <w:szCs w:val="22"/>
          <w:lang w:eastAsia="es-MX"/>
        </w:rPr>
        <w:t>.</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De todas las actuaciones que se realicen en los procedimientos de sanción se dejará constancia, la que deberá contener invariablemente la firma del o los funcionarios que en ellas intervengan</w:t>
      </w:r>
      <w:r w:rsidRPr="00A4197A">
        <w:rPr>
          <w:rFonts w:ascii="Palatino Linotype" w:hAnsi="Palatino Linotype" w:cs="Arial"/>
          <w:i/>
          <w:color w:val="2F2F2F"/>
          <w:sz w:val="22"/>
          <w:szCs w:val="22"/>
          <w:lang w:eastAsia="es-MX"/>
        </w:rPr>
        <w:t>.</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lastRenderedPageBreak/>
        <w:t>Artículo 56</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Cuando se acredite alguna infracción por parte de las o los Consejeros Electorales denunciados, el Consejo General deberá calificarla, dependiendo de las circunstancias particulares del caso, como levísima, leve o grave y, en caso del último supuesto, precisar si se trata de una gravedad ordinaria, especial o mayor.</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Para la calificación de la infracción, se tomarán en cuenta los elementos objetivos y subjetivos</w:t>
      </w:r>
      <w:r w:rsidRPr="00A4197A">
        <w:rPr>
          <w:rFonts w:ascii="Palatino Linotype" w:hAnsi="Palatino Linotype" w:cs="Arial"/>
          <w:i/>
          <w:color w:val="2F2F2F"/>
          <w:sz w:val="22"/>
          <w:szCs w:val="22"/>
          <w:lang w:eastAsia="es-MX"/>
        </w:rPr>
        <w:t xml:space="preserve"> que concurrieron en la infracción, como:</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a)</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Tipo de infracción, es decir, si se trató de acción u omisión;</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b)</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Bien jurídico tutelado</w:t>
      </w:r>
      <w:r w:rsidRPr="00A4197A">
        <w:rPr>
          <w:rFonts w:ascii="Palatino Linotype" w:hAnsi="Palatino Linotype" w:cs="Arial"/>
          <w:i/>
          <w:color w:val="2F2F2F"/>
          <w:sz w:val="22"/>
          <w:szCs w:val="22"/>
          <w:lang w:eastAsia="es-MX"/>
        </w:rPr>
        <w:t>, entendiéndose como la trascendencia de la norma violada;</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c)</w:t>
      </w:r>
      <w:r w:rsidRPr="00A4197A">
        <w:rPr>
          <w:rFonts w:ascii="Palatino Linotype" w:hAnsi="Palatino Linotype" w:cs="Arial"/>
          <w:i/>
          <w:color w:val="2F2F2F"/>
          <w:sz w:val="22"/>
          <w:szCs w:val="22"/>
          <w:lang w:eastAsia="es-MX"/>
        </w:rPr>
        <w:t>   Singularidad o pluralidad de la falta cometida;</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d)</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Circunstancias de tiempo, modo y lugar; y</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e)</w:t>
      </w:r>
      <w:r w:rsidRPr="00A4197A">
        <w:rPr>
          <w:rFonts w:ascii="Palatino Linotype" w:hAnsi="Palatino Linotype" w:cs="Arial"/>
          <w:i/>
          <w:color w:val="2F2F2F"/>
          <w:sz w:val="22"/>
          <w:szCs w:val="22"/>
          <w:lang w:eastAsia="es-MX"/>
        </w:rPr>
        <w:t>   Las condiciones externas y los medios de ejecución.</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57</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Una vez determinada la calificación de la falta, se impondrá la sanción correspondiente, de entre las siguientes: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w:t>
      </w:r>
      <w:r w:rsidRPr="00A4197A">
        <w:rPr>
          <w:rFonts w:ascii="Palatino Linotype" w:hAnsi="Palatino Linotype" w:cs="Arial"/>
          <w:i/>
          <w:color w:val="2F2F2F"/>
          <w:sz w:val="22"/>
          <w:szCs w:val="22"/>
          <w:lang w:eastAsia="es-MX"/>
        </w:rPr>
        <w:t>   Amonestación pública;</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b)</w:t>
      </w:r>
      <w:r w:rsidRPr="00A4197A">
        <w:rPr>
          <w:rFonts w:ascii="Palatino Linotype" w:hAnsi="Palatino Linotype" w:cs="Arial"/>
          <w:i/>
          <w:color w:val="2F2F2F"/>
          <w:sz w:val="22"/>
          <w:szCs w:val="22"/>
          <w:lang w:eastAsia="es-MX"/>
        </w:rPr>
        <w:t>   Sanción económica;</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c)</w:t>
      </w:r>
      <w:r w:rsidRPr="00A4197A">
        <w:rPr>
          <w:rFonts w:ascii="Palatino Linotype" w:hAnsi="Palatino Linotype" w:cs="Arial"/>
          <w:i/>
          <w:color w:val="2F2F2F"/>
          <w:sz w:val="22"/>
          <w:szCs w:val="22"/>
          <w:lang w:eastAsia="es-MX"/>
        </w:rPr>
        <w:t>   Suspensión del cargo por un periodo no menor de tres días ni mayor a noventa días naturales sin goce de sueldo; y</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d</w:t>
      </w:r>
      <w:r w:rsidRPr="00A4197A">
        <w:rPr>
          <w:rFonts w:ascii="Palatino Linotype" w:hAnsi="Palatino Linotype" w:cs="Arial"/>
          <w:bCs/>
          <w:i/>
          <w:color w:val="2F2F2F"/>
          <w:sz w:val="22"/>
          <w:szCs w:val="22"/>
          <w:lang w:eastAsia="es-MX"/>
        </w:rPr>
        <w:t>)</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Remoción.</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2.</w:t>
      </w:r>
      <w:r w:rsidRPr="00A4197A">
        <w:rPr>
          <w:rFonts w:ascii="Palatino Linotype" w:hAnsi="Palatino Linotype" w:cs="Arial"/>
          <w:i/>
          <w:color w:val="2F2F2F"/>
          <w:sz w:val="22"/>
          <w:szCs w:val="22"/>
          <w:lang w:eastAsia="es-MX"/>
        </w:rPr>
        <w:t>     Procede la imposición de sanciones económicas cuando la acreditación de la falta produzca beneficios o lucro, o se causen daños o perjuicios, las cuales podrán ser de hasta tres tantos de los beneficios o lucro obtenidos o de los daños o perjuicios causados. En ningún caso la sanción económica que se imponga podrá ser menor o igual al monto de los beneficios o lucro obtenidos o de los daños o perjuicios causados.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58</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Para la imposición de la sanción correspondiente, se deberán tomar en cuenta, por lo menos, los siguientes elementos:</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w:t>
      </w:r>
      <w:r w:rsidRPr="00A4197A">
        <w:rPr>
          <w:rFonts w:ascii="Palatino Linotype" w:hAnsi="Palatino Linotype" w:cs="Arial"/>
          <w:i/>
          <w:color w:val="2F2F2F"/>
          <w:sz w:val="22"/>
          <w:szCs w:val="22"/>
          <w:lang w:eastAsia="es-MX"/>
        </w:rPr>
        <w:t>   La calificación de la falta;</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b)</w:t>
      </w:r>
      <w:r w:rsidRPr="00A4197A">
        <w:rPr>
          <w:rFonts w:ascii="Palatino Linotype" w:hAnsi="Palatino Linotype" w:cs="Arial"/>
          <w:i/>
          <w:color w:val="2F2F2F"/>
          <w:sz w:val="22"/>
          <w:szCs w:val="22"/>
          <w:lang w:eastAsia="es-MX"/>
        </w:rPr>
        <w:t>   Los antecedentes del denunciado;</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c)</w:t>
      </w:r>
      <w:r w:rsidRPr="00A4197A">
        <w:rPr>
          <w:rFonts w:ascii="Palatino Linotype" w:hAnsi="Palatino Linotype" w:cs="Arial"/>
          <w:i/>
          <w:color w:val="2F2F2F"/>
          <w:sz w:val="22"/>
          <w:szCs w:val="22"/>
          <w:lang w:eastAsia="es-MX"/>
        </w:rPr>
        <w:t>   Intencionalidad dolosa o culposa;</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d)</w:t>
      </w:r>
      <w:r w:rsidRPr="00A4197A">
        <w:rPr>
          <w:rFonts w:ascii="Palatino Linotype" w:hAnsi="Palatino Linotype" w:cs="Arial"/>
          <w:i/>
          <w:color w:val="2F2F2F"/>
          <w:sz w:val="22"/>
          <w:szCs w:val="22"/>
          <w:lang w:eastAsia="es-MX"/>
        </w:rPr>
        <w:t>   La reincidencia; y,</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e)</w:t>
      </w:r>
      <w:r w:rsidRPr="00A4197A">
        <w:rPr>
          <w:rFonts w:ascii="Palatino Linotype" w:hAnsi="Palatino Linotype" w:cs="Arial"/>
          <w:i/>
          <w:color w:val="2F2F2F"/>
          <w:sz w:val="22"/>
          <w:szCs w:val="22"/>
          <w:lang w:eastAsia="es-MX"/>
        </w:rPr>
        <w:t>   En su caso, las circunstancias socioeconómicas del denunciado, así como el monto del beneficio, daño o perjuicio causado.</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Artículo 59</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1.</w:t>
      </w:r>
      <w:r w:rsidRPr="00A4197A">
        <w:rPr>
          <w:rFonts w:ascii="Palatino Linotype" w:hAnsi="Palatino Linotype" w:cs="Arial"/>
          <w:i/>
          <w:color w:val="2F2F2F"/>
          <w:sz w:val="22"/>
          <w:szCs w:val="22"/>
          <w:lang w:eastAsia="es-MX"/>
        </w:rPr>
        <w:t>     Para que proceda la imposición de sanciones diversas a la remoción, se requerirá la mayoría simple de la votación de los integrantes del Consejo General con derecho a voto.</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lastRenderedPageBreak/>
        <w:t>2.</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Para que proceda la remoción de la o el Consejero Electoral denunciado, se requiere de al menos ocho votos de los integrantes del Consejo General con derecho a voto.</w:t>
      </w:r>
    </w:p>
    <w:p w:rsidR="005526C5" w:rsidRPr="00A4197A" w:rsidRDefault="005526C5" w:rsidP="005526C5">
      <w:pPr>
        <w:shd w:val="clear" w:color="auto" w:fill="FFFFFF"/>
        <w:ind w:left="851" w:right="899"/>
        <w:jc w:val="both"/>
        <w:rPr>
          <w:rFonts w:ascii="Palatino Linotype" w:hAnsi="Palatino Linotype" w:cs="Arial"/>
          <w:b/>
          <w:i/>
          <w:color w:val="2F2F2F"/>
          <w:sz w:val="22"/>
          <w:szCs w:val="22"/>
          <w:lang w:eastAsia="es-MX"/>
        </w:rPr>
      </w:pPr>
      <w:r w:rsidRPr="00A4197A">
        <w:rPr>
          <w:rFonts w:ascii="Palatino Linotype" w:hAnsi="Palatino Linotype" w:cs="Arial"/>
          <w:b/>
          <w:bCs/>
          <w:i/>
          <w:color w:val="2F2F2F"/>
          <w:sz w:val="22"/>
          <w:szCs w:val="22"/>
          <w:lang w:eastAsia="es-MX"/>
        </w:rPr>
        <w:t>3.</w:t>
      </w:r>
      <w:r w:rsidRPr="00A4197A">
        <w:rPr>
          <w:rFonts w:ascii="Palatino Linotype" w:hAnsi="Palatino Linotype" w:cs="Arial"/>
          <w:i/>
          <w:color w:val="2F2F2F"/>
          <w:sz w:val="22"/>
          <w:szCs w:val="22"/>
          <w:lang w:eastAsia="es-MX"/>
        </w:rPr>
        <w:t>     </w:t>
      </w:r>
      <w:r w:rsidRPr="00A4197A">
        <w:rPr>
          <w:rFonts w:ascii="Palatino Linotype" w:hAnsi="Palatino Linotype" w:cs="Arial"/>
          <w:b/>
          <w:i/>
          <w:color w:val="2F2F2F"/>
          <w:sz w:val="22"/>
          <w:szCs w:val="22"/>
          <w:lang w:eastAsia="es-MX"/>
        </w:rPr>
        <w:t>Si se resolviera la remoción, el propio Consejo General deberá ejecutar la separación del cargo de Consejero Electoral y declarar la vacante en el Organismo Público correspondiente.</w:t>
      </w:r>
    </w:p>
    <w:p w:rsidR="005526C5" w:rsidRPr="00A4197A" w:rsidRDefault="005526C5" w:rsidP="005526C5">
      <w:pPr>
        <w:shd w:val="clear" w:color="auto" w:fill="FFFFFF"/>
        <w:ind w:left="851" w:right="899"/>
        <w:jc w:val="both"/>
        <w:rPr>
          <w:rFonts w:ascii="Palatino Linotype" w:hAnsi="Palatino Linotype" w:cs="Arial"/>
          <w:i/>
          <w:color w:val="2F2F2F"/>
          <w:sz w:val="22"/>
          <w:szCs w:val="22"/>
          <w:lang w:eastAsia="es-MX"/>
        </w:rPr>
      </w:pPr>
      <w:r w:rsidRPr="00A4197A">
        <w:rPr>
          <w:rFonts w:ascii="Palatino Linotype" w:hAnsi="Palatino Linotype" w:cs="Arial"/>
          <w:b/>
          <w:bCs/>
          <w:i/>
          <w:color w:val="2F2F2F"/>
          <w:sz w:val="22"/>
          <w:szCs w:val="22"/>
          <w:lang w:eastAsia="es-MX"/>
        </w:rPr>
        <w:t>4.</w:t>
      </w:r>
      <w:r w:rsidRPr="00A4197A">
        <w:rPr>
          <w:rFonts w:ascii="Palatino Linotype" w:hAnsi="Palatino Linotype" w:cs="Arial"/>
          <w:i/>
          <w:color w:val="2F2F2F"/>
          <w:sz w:val="22"/>
          <w:szCs w:val="22"/>
          <w:lang w:eastAsia="es-MX"/>
        </w:rPr>
        <w:t>     En el supuesto anterior, se deberá proveer lo necesario para la debida integración del Organismo Público, atendiendo a lo dispuesto en el artículo 116, fracción IV, inciso c), párrafo segundo de la Constitución, 100 y 101 de la Ley General y el presente Reglamento.</w:t>
      </w:r>
      <w:r w:rsidR="004F0089" w:rsidRPr="00A4197A">
        <w:rPr>
          <w:rFonts w:ascii="Palatino Linotype" w:hAnsi="Palatino Linotype" w:cs="Arial"/>
          <w:i/>
          <w:color w:val="2F2F2F"/>
          <w:sz w:val="22"/>
          <w:szCs w:val="22"/>
          <w:lang w:eastAsia="es-MX"/>
        </w:rPr>
        <w:t>”</w:t>
      </w:r>
    </w:p>
    <w:p w:rsidR="004F0089" w:rsidRPr="00A4197A" w:rsidRDefault="004F0089" w:rsidP="005526C5">
      <w:pPr>
        <w:shd w:val="clear" w:color="auto" w:fill="FFFFFF"/>
        <w:ind w:left="851" w:right="899"/>
        <w:jc w:val="both"/>
        <w:rPr>
          <w:rFonts w:ascii="Arial" w:hAnsi="Arial" w:cs="Arial"/>
          <w:color w:val="2F2F2F"/>
          <w:sz w:val="18"/>
          <w:szCs w:val="18"/>
          <w:lang w:eastAsia="es-MX"/>
        </w:rPr>
      </w:pPr>
      <w:r w:rsidRPr="00A4197A">
        <w:rPr>
          <w:rFonts w:ascii="Palatino Linotype" w:hAnsi="Palatino Linotype" w:cs="Arial"/>
          <w:bCs/>
          <w:i/>
          <w:color w:val="2F2F2F"/>
          <w:sz w:val="22"/>
          <w:szCs w:val="22"/>
          <w:lang w:eastAsia="es-MX"/>
        </w:rPr>
        <w:t>(Énfasis añadido)</w:t>
      </w:r>
    </w:p>
    <w:p w:rsidR="00895566" w:rsidRPr="00A4197A" w:rsidRDefault="00FA6366" w:rsidP="0030584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4197A">
        <w:rPr>
          <w:rFonts w:ascii="Palatino Linotype" w:hAnsi="Palatino Linotype" w:cs="Arial"/>
        </w:rPr>
        <w:t>Así, el procedimiento transcrito, es el correspondiente para la remoción de los Consejeros Electorales que integran el Consejo General de l</w:t>
      </w:r>
      <w:r w:rsidR="00895566" w:rsidRPr="00A4197A">
        <w:rPr>
          <w:rFonts w:ascii="Palatino Linotype" w:hAnsi="Palatino Linotype" w:cs="Arial"/>
        </w:rPr>
        <w:t xml:space="preserve">os Organismos Públicos Locales, </w:t>
      </w:r>
      <w:r w:rsidRPr="00A4197A">
        <w:rPr>
          <w:rFonts w:ascii="Palatino Linotype" w:hAnsi="Palatino Linotype" w:cs="Arial"/>
        </w:rPr>
        <w:t>mismo que fu</w:t>
      </w:r>
      <w:r w:rsidR="00895566" w:rsidRPr="00A4197A">
        <w:rPr>
          <w:rFonts w:ascii="Palatino Linotype" w:hAnsi="Palatino Linotype" w:cs="Arial"/>
        </w:rPr>
        <w:t>e solicitado por el particular y que de conformidad con lo establecido en el artículo 32, numeral 2, inciso b) de la Ley General de Instituciones y Procedimientos Electorales, el Instituto</w:t>
      </w:r>
      <w:r w:rsidR="00821DE7" w:rsidRPr="00A4197A">
        <w:rPr>
          <w:rFonts w:ascii="Palatino Linotype" w:hAnsi="Palatino Linotype" w:cs="Arial"/>
        </w:rPr>
        <w:t xml:space="preserve"> Nacional Electoral, </w:t>
      </w:r>
      <w:r w:rsidR="00895566" w:rsidRPr="00A4197A">
        <w:rPr>
          <w:rFonts w:ascii="Palatino Linotype" w:hAnsi="Palatino Linotype" w:cs="Arial"/>
        </w:rPr>
        <w:t xml:space="preserve">tendrá entre sus atribuciones la elección y remoción de Consejeros Presidentes y Consejeros Electorales de los Organismos Públicos Locales, tal como lo es </w:t>
      </w:r>
      <w:r w:rsidR="00895566" w:rsidRPr="00A4197A">
        <w:rPr>
          <w:rFonts w:ascii="Palatino Linotype" w:hAnsi="Palatino Linotype" w:cs="Arial"/>
          <w:b/>
        </w:rPr>
        <w:t xml:space="preserve">EL SUJETO OBLIGADO, </w:t>
      </w:r>
      <w:r w:rsidR="00895566" w:rsidRPr="00A4197A">
        <w:rPr>
          <w:rFonts w:ascii="Palatino Linotype" w:hAnsi="Palatino Linotype" w:cs="Arial"/>
        </w:rPr>
        <w:t>sirviendo de sustento a lo dicho la transcripción del numeral en comento:</w:t>
      </w:r>
    </w:p>
    <w:p w:rsidR="00895566" w:rsidRPr="00A4197A" w:rsidRDefault="00895566" w:rsidP="00895566">
      <w:pPr>
        <w:widowControl w:val="0"/>
        <w:autoSpaceDE w:val="0"/>
        <w:autoSpaceDN w:val="0"/>
        <w:adjustRightInd w:val="0"/>
        <w:ind w:left="851" w:right="902"/>
        <w:jc w:val="both"/>
        <w:rPr>
          <w:rFonts w:ascii="Palatino Linotype" w:hAnsi="Palatino Linotype"/>
          <w:i/>
          <w:sz w:val="22"/>
          <w:szCs w:val="22"/>
        </w:rPr>
      </w:pPr>
      <w:r w:rsidRPr="00A4197A">
        <w:rPr>
          <w:rFonts w:ascii="Palatino Linotype" w:hAnsi="Palatino Linotype"/>
          <w:i/>
          <w:sz w:val="22"/>
          <w:szCs w:val="22"/>
        </w:rPr>
        <w:t>“</w:t>
      </w:r>
      <w:r w:rsidRPr="00A4197A">
        <w:rPr>
          <w:rFonts w:ascii="Palatino Linotype" w:hAnsi="Palatino Linotype"/>
          <w:b/>
          <w:i/>
          <w:sz w:val="22"/>
          <w:szCs w:val="22"/>
        </w:rPr>
        <w:t>Artículo 32.</w:t>
      </w:r>
      <w:r w:rsidRPr="00A4197A">
        <w:rPr>
          <w:rFonts w:ascii="Palatino Linotype" w:hAnsi="Palatino Linotype"/>
          <w:i/>
          <w:sz w:val="22"/>
          <w:szCs w:val="22"/>
        </w:rPr>
        <w:t xml:space="preserve"> </w:t>
      </w:r>
    </w:p>
    <w:p w:rsidR="00895566" w:rsidRPr="00A4197A" w:rsidRDefault="00895566" w:rsidP="00895566">
      <w:pPr>
        <w:widowControl w:val="0"/>
        <w:autoSpaceDE w:val="0"/>
        <w:autoSpaceDN w:val="0"/>
        <w:adjustRightInd w:val="0"/>
        <w:ind w:left="851" w:right="902"/>
        <w:jc w:val="both"/>
        <w:rPr>
          <w:rFonts w:ascii="Palatino Linotype" w:hAnsi="Palatino Linotype"/>
          <w:i/>
          <w:sz w:val="22"/>
          <w:szCs w:val="22"/>
        </w:rPr>
      </w:pPr>
      <w:r w:rsidRPr="00A4197A">
        <w:rPr>
          <w:rFonts w:ascii="Palatino Linotype" w:hAnsi="Palatino Linotype"/>
          <w:i/>
          <w:sz w:val="22"/>
          <w:szCs w:val="22"/>
        </w:rPr>
        <w:t>…</w:t>
      </w:r>
    </w:p>
    <w:p w:rsidR="00895566" w:rsidRPr="00A4197A" w:rsidRDefault="00895566" w:rsidP="00895566">
      <w:pPr>
        <w:widowControl w:val="0"/>
        <w:autoSpaceDE w:val="0"/>
        <w:autoSpaceDN w:val="0"/>
        <w:adjustRightInd w:val="0"/>
        <w:ind w:left="851" w:right="902"/>
        <w:jc w:val="both"/>
        <w:rPr>
          <w:rFonts w:ascii="Palatino Linotype" w:hAnsi="Palatino Linotype" w:cs="Arial"/>
          <w:b/>
          <w:i/>
          <w:sz w:val="22"/>
          <w:szCs w:val="22"/>
        </w:rPr>
      </w:pPr>
      <w:r w:rsidRPr="00A4197A">
        <w:rPr>
          <w:rFonts w:ascii="Palatino Linotype" w:hAnsi="Palatino Linotype"/>
          <w:b/>
          <w:i/>
          <w:sz w:val="22"/>
          <w:szCs w:val="22"/>
        </w:rPr>
        <w:t>2. Además de las anteriores, el Instituto, en los términos que establece esta Ley, contará con las siguientes atribuciones:</w:t>
      </w:r>
    </w:p>
    <w:p w:rsidR="00895566" w:rsidRPr="00A4197A" w:rsidRDefault="00895566" w:rsidP="00895566">
      <w:pPr>
        <w:widowControl w:val="0"/>
        <w:autoSpaceDE w:val="0"/>
        <w:autoSpaceDN w:val="0"/>
        <w:adjustRightInd w:val="0"/>
        <w:ind w:left="851" w:right="902"/>
        <w:jc w:val="both"/>
        <w:rPr>
          <w:rFonts w:ascii="Palatino Linotype" w:hAnsi="Palatino Linotype"/>
          <w:i/>
          <w:sz w:val="22"/>
          <w:szCs w:val="22"/>
        </w:rPr>
      </w:pPr>
      <w:r w:rsidRPr="00A4197A">
        <w:rPr>
          <w:rFonts w:ascii="Palatino Linotype" w:hAnsi="Palatino Linotype"/>
          <w:i/>
          <w:sz w:val="22"/>
          <w:szCs w:val="22"/>
        </w:rPr>
        <w:t>…</w:t>
      </w:r>
    </w:p>
    <w:p w:rsidR="00895566" w:rsidRPr="00A4197A" w:rsidRDefault="00895566" w:rsidP="00895566">
      <w:pPr>
        <w:widowControl w:val="0"/>
        <w:autoSpaceDE w:val="0"/>
        <w:autoSpaceDN w:val="0"/>
        <w:adjustRightInd w:val="0"/>
        <w:ind w:left="851" w:right="902"/>
        <w:jc w:val="both"/>
        <w:rPr>
          <w:rFonts w:ascii="Palatino Linotype" w:hAnsi="Palatino Linotype"/>
          <w:b/>
          <w:i/>
          <w:sz w:val="22"/>
          <w:szCs w:val="22"/>
        </w:rPr>
      </w:pPr>
      <w:r w:rsidRPr="00A4197A">
        <w:rPr>
          <w:rFonts w:ascii="Palatino Linotype" w:hAnsi="Palatino Linotype"/>
          <w:b/>
          <w:i/>
          <w:sz w:val="22"/>
          <w:szCs w:val="22"/>
        </w:rPr>
        <w:t>b) La elección y remoción del Consejero Presidente y los Consejeros Electorales de los Organismos Públicos Locales;”</w:t>
      </w:r>
    </w:p>
    <w:p w:rsidR="00895566" w:rsidRPr="00A4197A" w:rsidRDefault="00895566" w:rsidP="00895566">
      <w:pPr>
        <w:widowControl w:val="0"/>
        <w:autoSpaceDE w:val="0"/>
        <w:autoSpaceDN w:val="0"/>
        <w:adjustRightInd w:val="0"/>
        <w:ind w:left="851" w:right="902"/>
        <w:jc w:val="both"/>
        <w:rPr>
          <w:rFonts w:ascii="Palatino Linotype" w:hAnsi="Palatino Linotype" w:cs="Arial"/>
          <w:i/>
          <w:sz w:val="22"/>
          <w:szCs w:val="22"/>
        </w:rPr>
      </w:pPr>
      <w:r w:rsidRPr="00A4197A">
        <w:rPr>
          <w:rFonts w:ascii="Palatino Linotype" w:hAnsi="Palatino Linotype"/>
          <w:i/>
          <w:sz w:val="22"/>
          <w:szCs w:val="22"/>
        </w:rPr>
        <w:t>(Énfasis añadido)</w:t>
      </w:r>
    </w:p>
    <w:p w:rsidR="00B57F03" w:rsidRPr="00A4197A" w:rsidRDefault="00895566" w:rsidP="0030584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4197A">
        <w:rPr>
          <w:rFonts w:ascii="Palatino Linotype" w:hAnsi="Palatino Linotype" w:cs="Arial"/>
        </w:rPr>
        <w:t xml:space="preserve">Finalmente, </w:t>
      </w:r>
      <w:r w:rsidR="000A6AB1" w:rsidRPr="00A4197A">
        <w:rPr>
          <w:rFonts w:ascii="Palatino Linotype" w:hAnsi="Palatino Linotype" w:cs="Arial"/>
        </w:rPr>
        <w:t xml:space="preserve">no pasa desapercibido que el procedimiento para la remoción de </w:t>
      </w:r>
      <w:r w:rsidR="000A6AB1" w:rsidRPr="00A4197A">
        <w:rPr>
          <w:rFonts w:ascii="Palatino Linotype" w:hAnsi="Palatino Linotype"/>
          <w:color w:val="000000" w:themeColor="text1"/>
        </w:rPr>
        <w:t>Consejeros Electorales Distritales y Municipales</w:t>
      </w:r>
      <w:r w:rsidR="000A6AB1" w:rsidRPr="00A4197A">
        <w:rPr>
          <w:rStyle w:val="Refdenotaalpie"/>
          <w:rFonts w:ascii="Palatino Linotype" w:hAnsi="Palatino Linotype"/>
          <w:color w:val="000000" w:themeColor="text1"/>
        </w:rPr>
        <w:footnoteReference w:id="3"/>
      </w:r>
      <w:r w:rsidR="000A6AB1" w:rsidRPr="00A4197A">
        <w:rPr>
          <w:rFonts w:ascii="Palatino Linotype" w:hAnsi="Palatino Linotype" w:cs="Arial"/>
        </w:rPr>
        <w:t xml:space="preserve">, se encuentra establecido en el </w:t>
      </w:r>
      <w:r w:rsidR="000A6AB1" w:rsidRPr="00A4197A">
        <w:rPr>
          <w:rFonts w:ascii="Palatino Linotype" w:hAnsi="Palatino Linotype" w:cs="Arial"/>
        </w:rPr>
        <w:lastRenderedPageBreak/>
        <w:t xml:space="preserve">artículo 233 del Código Electoral del Estado de México, tal como lo señaló </w:t>
      </w:r>
      <w:r w:rsidR="000A6AB1" w:rsidRPr="00A4197A">
        <w:rPr>
          <w:rFonts w:ascii="Palatino Linotype" w:hAnsi="Palatino Linotype" w:cs="Arial"/>
          <w:b/>
        </w:rPr>
        <w:t xml:space="preserve">EL SUJETO OBLIGADO </w:t>
      </w:r>
      <w:r w:rsidR="000A6AB1" w:rsidRPr="00A4197A">
        <w:rPr>
          <w:rFonts w:ascii="Palatino Linotype" w:hAnsi="Palatino Linotype" w:cs="Arial"/>
        </w:rPr>
        <w:t>desde su respuesta, mismos que</w:t>
      </w:r>
      <w:r w:rsidR="000A6AB1" w:rsidRPr="00A4197A">
        <w:rPr>
          <w:rFonts w:ascii="Palatino Linotype" w:hAnsi="Palatino Linotype"/>
          <w:color w:val="000000" w:themeColor="text1"/>
        </w:rPr>
        <w:t xml:space="preserve">, únicamente entran en funciones para los procesos electorales que les correspondan; </w:t>
      </w:r>
      <w:r w:rsidR="00FA6366" w:rsidRPr="00A4197A">
        <w:rPr>
          <w:rFonts w:ascii="Palatino Linotype" w:hAnsi="Palatino Linotype" w:cs="Arial"/>
        </w:rPr>
        <w:t>por lo que, en ese sentido,</w:t>
      </w:r>
      <w:r w:rsidRPr="00A4197A">
        <w:rPr>
          <w:rFonts w:ascii="Palatino Linotype" w:hAnsi="Palatino Linotype" w:cs="Arial"/>
        </w:rPr>
        <w:t xml:space="preserve"> </w:t>
      </w:r>
      <w:r w:rsidR="00FA6366" w:rsidRPr="00A4197A">
        <w:rPr>
          <w:rFonts w:ascii="Palatino Linotype" w:hAnsi="Palatino Linotype" w:cs="Arial"/>
        </w:rPr>
        <w:t>este Instituto determina, de conformidad con los artículos 186</w:t>
      </w:r>
      <w:r w:rsidR="004F0089" w:rsidRPr="00A4197A">
        <w:rPr>
          <w:rFonts w:ascii="Palatino Linotype" w:hAnsi="Palatino Linotype" w:cs="Arial"/>
        </w:rPr>
        <w:t>,</w:t>
      </w:r>
      <w:r w:rsidR="00FA6366" w:rsidRPr="00A4197A">
        <w:rPr>
          <w:rFonts w:ascii="Palatino Linotype" w:hAnsi="Palatino Linotype" w:cs="Arial"/>
        </w:rPr>
        <w:t xml:space="preserve"> fracción I y 192</w:t>
      </w:r>
      <w:r w:rsidR="004F0089" w:rsidRPr="00A4197A">
        <w:rPr>
          <w:rFonts w:ascii="Palatino Linotype" w:hAnsi="Palatino Linotype" w:cs="Arial"/>
        </w:rPr>
        <w:t>,</w:t>
      </w:r>
      <w:r w:rsidR="00FA6366" w:rsidRPr="00A4197A">
        <w:rPr>
          <w:rFonts w:ascii="Palatino Linotype" w:hAnsi="Palatino Linotype" w:cs="Arial"/>
        </w:rPr>
        <w:t xml:space="preserve"> fracción V de la Ley de Transparencia y Acceso a la Información Pública del Estado de México y Municipios, </w:t>
      </w:r>
      <w:r w:rsidR="00FA6366" w:rsidRPr="00A4197A">
        <w:rPr>
          <w:rFonts w:ascii="Palatino Linotype" w:hAnsi="Palatino Linotype" w:cs="Arial"/>
          <w:b/>
        </w:rPr>
        <w:t xml:space="preserve">SOBRESEER </w:t>
      </w:r>
      <w:r w:rsidR="00FA6366" w:rsidRPr="00A4197A">
        <w:rPr>
          <w:rFonts w:ascii="Palatino Linotype" w:hAnsi="Palatino Linotype" w:cs="Arial"/>
        </w:rPr>
        <w:t xml:space="preserve">el presente recurso, al quedar sin materia, </w:t>
      </w:r>
      <w:r w:rsidR="004F0089" w:rsidRPr="00A4197A">
        <w:rPr>
          <w:rFonts w:ascii="Palatino Linotype" w:hAnsi="Palatino Linotype" w:cs="Arial"/>
        </w:rPr>
        <w:t>ya que a</w:t>
      </w:r>
      <w:r w:rsidR="00FA6366" w:rsidRPr="00A4197A">
        <w:rPr>
          <w:rFonts w:ascii="Palatino Linotype" w:hAnsi="Palatino Linotype" w:cs="Arial"/>
        </w:rPr>
        <w:t xml:space="preserve"> fin de evitar el retraso en el </w:t>
      </w:r>
      <w:r w:rsidR="00B57F03" w:rsidRPr="00A4197A">
        <w:rPr>
          <w:rFonts w:ascii="Palatino Linotype" w:hAnsi="Palatino Linotype" w:cs="Arial"/>
        </w:rPr>
        <w:t xml:space="preserve">ejercicio de dicho derecho de </w:t>
      </w:r>
      <w:r w:rsidR="00FA6366" w:rsidRPr="00A4197A">
        <w:rPr>
          <w:rFonts w:ascii="Palatino Linotype" w:hAnsi="Palatino Linotype" w:cs="Arial"/>
        </w:rPr>
        <w:t xml:space="preserve">acceso a la información pública es </w:t>
      </w:r>
      <w:r w:rsidR="00B57F03" w:rsidRPr="00A4197A">
        <w:rPr>
          <w:rFonts w:ascii="Palatino Linotype" w:hAnsi="Palatino Linotype" w:cs="Arial"/>
        </w:rPr>
        <w:t xml:space="preserve">por lo que </w:t>
      </w:r>
      <w:r w:rsidR="00FA6366" w:rsidRPr="00A4197A">
        <w:rPr>
          <w:rFonts w:ascii="Palatino Linotype" w:hAnsi="Palatino Linotype" w:cs="Arial"/>
        </w:rPr>
        <w:t xml:space="preserve">resulta ocioso ordenar la entrega de información </w:t>
      </w:r>
      <w:r w:rsidR="00B57F03" w:rsidRPr="00A4197A">
        <w:rPr>
          <w:rFonts w:ascii="Palatino Linotype" w:hAnsi="Palatino Linotype" w:cs="Arial"/>
        </w:rPr>
        <w:t>o bien el orientar a diverso Sujeto Obligado, toda vez que,</w:t>
      </w:r>
      <w:r w:rsidR="008D3E8E" w:rsidRPr="00A4197A">
        <w:rPr>
          <w:rFonts w:ascii="Palatino Linotype" w:hAnsi="Palatino Linotype" w:cs="Arial"/>
        </w:rPr>
        <w:t xml:space="preserve"> derivado del análisis </w:t>
      </w:r>
      <w:r w:rsidR="00B57F03" w:rsidRPr="00A4197A">
        <w:rPr>
          <w:rFonts w:ascii="Palatino Linotype" w:hAnsi="Palatino Linotype" w:cs="Arial"/>
        </w:rPr>
        <w:t xml:space="preserve">se hizo del conocimiento lo requerido por </w:t>
      </w:r>
      <w:r w:rsidR="004F0089" w:rsidRPr="00A4197A">
        <w:rPr>
          <w:rFonts w:ascii="Palatino Linotype" w:hAnsi="Palatino Linotype" w:cs="Arial"/>
          <w:b/>
        </w:rPr>
        <w:t xml:space="preserve">EL RECURRENTE, </w:t>
      </w:r>
      <w:r w:rsidR="004F0089" w:rsidRPr="00A4197A">
        <w:rPr>
          <w:rFonts w:ascii="Palatino Linotype" w:hAnsi="Palatino Linotype" w:cs="Arial"/>
        </w:rPr>
        <w:t>de conformidad con los principios que rigen el derecho de acceso a la información pública, establecidos en el artículo 9 de la Ley de la materia, específicamente los de eficacia y objetividad.</w:t>
      </w:r>
    </w:p>
    <w:p w:rsidR="00B57F03" w:rsidRPr="00A4197A" w:rsidRDefault="00B57F03" w:rsidP="00B57F03">
      <w:pPr>
        <w:spacing w:line="360" w:lineRule="auto"/>
        <w:contextualSpacing/>
        <w:jc w:val="both"/>
        <w:rPr>
          <w:rFonts w:ascii="Palatino Linotype" w:eastAsia="Calibri" w:hAnsi="Palatino Linotype" w:cs="Arial"/>
        </w:rPr>
      </w:pPr>
      <w:r w:rsidRPr="00A4197A">
        <w:rPr>
          <w:rFonts w:ascii="Palatino Linotype" w:eastAsia="Calibri" w:hAnsi="Palatino Linotype" w:cs="Arial"/>
        </w:rPr>
        <w:t xml:space="preserve">Finalmente, cabe precisar que esta Ponencia no se pronuncia acerca del acto impugnado o razones o motivos de inconformidad, pues como quedó asentado en </w:t>
      </w:r>
      <w:r w:rsidRPr="00A4197A">
        <w:rPr>
          <w:rFonts w:ascii="Palatino Linotype" w:eastAsia="Calibri" w:hAnsi="Palatino Linotype" w:cs="Arial"/>
        </w:rPr>
        <w:lastRenderedPageBreak/>
        <w:t xml:space="preserve">líneas anteriores, el presente ocurso ha quedado sin materia, lo que impide estudiar y pronunciarse al respecto. </w:t>
      </w:r>
    </w:p>
    <w:p w:rsidR="00B57F03" w:rsidRPr="00A4197A" w:rsidRDefault="00B57F03" w:rsidP="00B57F03">
      <w:pPr>
        <w:spacing w:before="100" w:beforeAutospacing="1" w:after="100" w:afterAutospacing="1" w:line="360" w:lineRule="auto"/>
        <w:jc w:val="both"/>
        <w:rPr>
          <w:rFonts w:ascii="Palatino Linotype" w:eastAsia="Calibri" w:hAnsi="Palatino Linotype"/>
        </w:rPr>
      </w:pPr>
      <w:r w:rsidRPr="00A4197A">
        <w:rPr>
          <w:rFonts w:ascii="Palatino Linotype" w:eastAsia="Batang" w:hAnsi="Palatino Linotype" w:cs="Arial"/>
        </w:rPr>
        <w:t xml:space="preserve">Por analogía, se cita la Tesis emitida por el </w:t>
      </w:r>
      <w:r w:rsidRPr="00A4197A">
        <w:rPr>
          <w:rFonts w:ascii="Palatino Linotype" w:eastAsia="Batang" w:hAnsi="Palatino Linotype" w:cs="Arial"/>
          <w:lang w:val="es-AR"/>
        </w:rPr>
        <w:t>Séptimo Tribunal Colegiado en Materia Civil del Primer Circuito que en su literalidad, establece lo siguiente:</w:t>
      </w:r>
    </w:p>
    <w:p w:rsidR="00B57F03" w:rsidRPr="00A4197A" w:rsidRDefault="00B57F03" w:rsidP="00B57F03">
      <w:pPr>
        <w:ind w:left="851" w:right="900"/>
        <w:contextualSpacing/>
        <w:jc w:val="both"/>
        <w:rPr>
          <w:rFonts w:ascii="Palatino Linotype" w:eastAsia="Calibri" w:hAnsi="Palatino Linotype"/>
          <w:sz w:val="22"/>
          <w:szCs w:val="22"/>
        </w:rPr>
      </w:pPr>
      <w:r w:rsidRPr="00A4197A">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rsidR="00B57F03" w:rsidRPr="00A4197A" w:rsidRDefault="00B57F03" w:rsidP="00B57F03">
      <w:pPr>
        <w:autoSpaceDE w:val="0"/>
        <w:autoSpaceDN w:val="0"/>
        <w:adjustRightInd w:val="0"/>
        <w:ind w:left="851" w:right="900"/>
        <w:contextualSpacing/>
        <w:jc w:val="both"/>
        <w:rPr>
          <w:rFonts w:ascii="Palatino Linotype" w:eastAsia="Batang" w:hAnsi="Palatino Linotype" w:cs="Arial"/>
          <w:i/>
          <w:sz w:val="22"/>
          <w:szCs w:val="22"/>
          <w:lang w:val="es-AR"/>
        </w:rPr>
      </w:pPr>
      <w:r w:rsidRPr="00A4197A">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B57F03" w:rsidRPr="00A4197A" w:rsidRDefault="00B57F03" w:rsidP="00B57F03">
      <w:pPr>
        <w:autoSpaceDE w:val="0"/>
        <w:autoSpaceDN w:val="0"/>
        <w:adjustRightInd w:val="0"/>
        <w:ind w:left="851" w:right="900"/>
        <w:contextualSpacing/>
        <w:jc w:val="both"/>
        <w:rPr>
          <w:rFonts w:ascii="Palatino Linotype" w:eastAsia="Batang" w:hAnsi="Palatino Linotype" w:cs="Arial"/>
          <w:i/>
          <w:sz w:val="22"/>
          <w:szCs w:val="22"/>
          <w:lang w:val="es-AR"/>
        </w:rPr>
      </w:pPr>
      <w:r w:rsidRPr="00A4197A">
        <w:rPr>
          <w:rFonts w:ascii="Palatino Linotype" w:eastAsia="Batang" w:hAnsi="Palatino Linotype" w:cs="Arial"/>
          <w:i/>
          <w:sz w:val="22"/>
          <w:szCs w:val="22"/>
          <w:lang w:val="es-AR"/>
        </w:rPr>
        <w:t>SÉPTIMO TRIBUNAL COLEGIADO EN MATERIA CIVIL DEL PRIMER CIRCUITO.</w:t>
      </w:r>
    </w:p>
    <w:p w:rsidR="00B57F03" w:rsidRPr="00A4197A" w:rsidRDefault="00B57F03" w:rsidP="00B57F03">
      <w:pPr>
        <w:autoSpaceDE w:val="0"/>
        <w:autoSpaceDN w:val="0"/>
        <w:adjustRightInd w:val="0"/>
        <w:ind w:left="851" w:right="900"/>
        <w:contextualSpacing/>
        <w:jc w:val="both"/>
        <w:rPr>
          <w:rFonts w:ascii="Palatino Linotype" w:eastAsia="Batang" w:hAnsi="Palatino Linotype" w:cs="Arial"/>
          <w:i/>
          <w:sz w:val="22"/>
          <w:szCs w:val="22"/>
          <w:lang w:val="es-AR"/>
        </w:rPr>
      </w:pPr>
      <w:r w:rsidRPr="00A4197A">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rsidR="00F1213C" w:rsidRPr="00A4197A" w:rsidRDefault="00F1213C" w:rsidP="00F1213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A4197A">
        <w:rPr>
          <w:rFonts w:ascii="Palatino Linotype" w:eastAsia="Calibri" w:hAnsi="Palatino Linotype" w:cs="Arial"/>
        </w:rPr>
        <w:t xml:space="preserve">Así, con </w:t>
      </w:r>
      <w:r w:rsidRPr="00A4197A">
        <w:rPr>
          <w:rFonts w:ascii="Palatino Linotype" w:hAnsi="Palatino Linotype" w:cs="Arial"/>
        </w:rPr>
        <w:t>fundamento</w:t>
      </w:r>
      <w:r w:rsidRPr="00A4197A">
        <w:rPr>
          <w:rFonts w:ascii="Palatino Linotype" w:eastAsia="Calibri" w:hAnsi="Palatino Linotype" w:cs="Arial"/>
        </w:rPr>
        <w:t xml:space="preserve"> en lo prescrito en los artículos 5</w:t>
      </w:r>
      <w:r w:rsidR="00B57F03" w:rsidRPr="00A4197A">
        <w:rPr>
          <w:rFonts w:ascii="Palatino Linotype" w:eastAsia="Calibri" w:hAnsi="Palatino Linotype" w:cs="Arial"/>
        </w:rPr>
        <w:t>,</w:t>
      </w:r>
      <w:r w:rsidRPr="00A4197A">
        <w:rPr>
          <w:rFonts w:ascii="Palatino Linotype" w:eastAsia="Calibri" w:hAnsi="Palatino Linotype" w:cs="Arial"/>
        </w:rPr>
        <w:t xml:space="preserve"> </w:t>
      </w:r>
      <w:r w:rsidRPr="00A4197A">
        <w:rPr>
          <w:rFonts w:ascii="Palatino Linotype" w:hAnsi="Palatino Linotype"/>
        </w:rPr>
        <w:t>párrafos vigésimo, vigésimo primero y vigésimo segundo</w:t>
      </w:r>
      <w:r w:rsidR="00B57F03" w:rsidRPr="00A4197A">
        <w:rPr>
          <w:rFonts w:ascii="Palatino Linotype" w:hAnsi="Palatino Linotype"/>
        </w:rPr>
        <w:t>,</w:t>
      </w:r>
      <w:r w:rsidRPr="00A4197A">
        <w:rPr>
          <w:rFonts w:ascii="Palatino Linotype" w:hAnsi="Palatino Linotype"/>
        </w:rPr>
        <w:t xml:space="preserve"> fracciones IV y V</w:t>
      </w:r>
      <w:r w:rsidRPr="00A4197A">
        <w:rPr>
          <w:rFonts w:ascii="Palatino Linotype" w:eastAsia="Calibri" w:hAnsi="Palatino Linotype" w:cs="Arial"/>
        </w:rPr>
        <w:t xml:space="preserve"> de la Constitución Política del Estado Libre y Soberano de México; </w:t>
      </w:r>
      <w:r w:rsidRPr="00A4197A">
        <w:rPr>
          <w:rFonts w:ascii="Palatino Linotype" w:hAnsi="Palatino Linotype"/>
        </w:rPr>
        <w:t>2</w:t>
      </w:r>
      <w:r w:rsidR="00B57F03" w:rsidRPr="00A4197A">
        <w:rPr>
          <w:rFonts w:ascii="Palatino Linotype" w:hAnsi="Palatino Linotype"/>
        </w:rPr>
        <w:t>,</w:t>
      </w:r>
      <w:r w:rsidRPr="00A4197A">
        <w:rPr>
          <w:rFonts w:ascii="Palatino Linotype" w:hAnsi="Palatino Linotype"/>
        </w:rPr>
        <w:t xml:space="preserve"> fracción II, 9, </w:t>
      </w:r>
      <w:r w:rsidRPr="00A4197A">
        <w:rPr>
          <w:rFonts w:ascii="Palatino Linotype" w:hAnsi="Palatino Linotype" w:cs="Arial"/>
          <w:lang w:val="es-ES_tradnl"/>
        </w:rPr>
        <w:t>29</w:t>
      </w:r>
      <w:r w:rsidRPr="00A4197A">
        <w:rPr>
          <w:rFonts w:ascii="Palatino Linotype" w:hAnsi="Palatino Linotype"/>
        </w:rPr>
        <w:t>, 36</w:t>
      </w:r>
      <w:r w:rsidR="00B57F03" w:rsidRPr="00A4197A">
        <w:rPr>
          <w:rFonts w:ascii="Palatino Linotype" w:hAnsi="Palatino Linotype"/>
        </w:rPr>
        <w:t>,</w:t>
      </w:r>
      <w:r w:rsidRPr="00A4197A">
        <w:rPr>
          <w:rFonts w:ascii="Palatino Linotype" w:hAnsi="Palatino Linotype"/>
        </w:rPr>
        <w:t xml:space="preserve"> fracciones I y II, 176, 178, 179, 181, 185</w:t>
      </w:r>
      <w:r w:rsidR="00B57F03" w:rsidRPr="00A4197A">
        <w:rPr>
          <w:rFonts w:ascii="Palatino Linotype" w:hAnsi="Palatino Linotype"/>
        </w:rPr>
        <w:t>,</w:t>
      </w:r>
      <w:r w:rsidRPr="00A4197A">
        <w:rPr>
          <w:rFonts w:ascii="Palatino Linotype" w:hAnsi="Palatino Linotype"/>
        </w:rPr>
        <w:t xml:space="preserve"> fracción I, 186 y 188</w:t>
      </w:r>
      <w:r w:rsidRPr="00A4197A">
        <w:rPr>
          <w:rFonts w:ascii="Palatino Linotype" w:eastAsia="Calibri" w:hAnsi="Palatino Linotype" w:cs="Arial"/>
        </w:rPr>
        <w:t xml:space="preserve"> de la Ley de Transparencia y Acceso a la Información Pública del Estado de México y Municipios, este Pleno:</w:t>
      </w:r>
    </w:p>
    <w:p w:rsidR="00F1213C" w:rsidRPr="00A4197A" w:rsidRDefault="00F1213C" w:rsidP="00F1213C">
      <w:pPr>
        <w:spacing w:before="100" w:beforeAutospacing="1" w:after="100" w:afterAutospacing="1" w:line="360" w:lineRule="auto"/>
        <w:jc w:val="center"/>
        <w:rPr>
          <w:rFonts w:ascii="Palatino Linotype" w:hAnsi="Palatino Linotype" w:cs="Arial"/>
          <w:b/>
          <w:bCs/>
          <w:spacing w:val="20"/>
          <w:sz w:val="28"/>
          <w:szCs w:val="28"/>
          <w:lang w:val="es-ES_tradnl"/>
        </w:rPr>
      </w:pPr>
      <w:r w:rsidRPr="00A4197A">
        <w:rPr>
          <w:rFonts w:ascii="Palatino Linotype" w:hAnsi="Palatino Linotype" w:cs="Arial"/>
          <w:b/>
          <w:bCs/>
          <w:spacing w:val="20"/>
          <w:sz w:val="28"/>
          <w:szCs w:val="28"/>
          <w:lang w:val="es-ES_tradnl"/>
        </w:rPr>
        <w:t>RESUELVE</w:t>
      </w:r>
    </w:p>
    <w:p w:rsidR="00B57F03" w:rsidRPr="00A4197A" w:rsidRDefault="00B57F03" w:rsidP="00B57F0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4197A">
        <w:rPr>
          <w:rFonts w:ascii="Palatino Linotype" w:hAnsi="Palatino Linotype" w:cs="Arial"/>
          <w:b/>
          <w:sz w:val="28"/>
          <w:szCs w:val="28"/>
        </w:rPr>
        <w:t>PRIMERO.</w:t>
      </w:r>
      <w:r w:rsidRPr="00A4197A">
        <w:rPr>
          <w:rFonts w:ascii="Palatino Linotype" w:hAnsi="Palatino Linotype" w:cs="Arial"/>
        </w:rPr>
        <w:t xml:space="preserve"> </w:t>
      </w:r>
      <w:r w:rsidRPr="00A4197A">
        <w:rPr>
          <w:rFonts w:ascii="Palatino Linotype" w:hAnsi="Palatino Linotype" w:cs="Arial"/>
          <w:lang w:val="es-ES_tradnl"/>
        </w:rPr>
        <w:t xml:space="preserve">Se </w:t>
      </w:r>
      <w:r w:rsidRPr="00A4197A">
        <w:rPr>
          <w:rFonts w:ascii="Palatino Linotype" w:hAnsi="Palatino Linotype" w:cs="Arial"/>
          <w:b/>
          <w:lang w:val="es-ES_tradnl"/>
        </w:rPr>
        <w:t xml:space="preserve">SOBRESEE </w:t>
      </w:r>
      <w:r w:rsidRPr="00A4197A">
        <w:rPr>
          <w:rFonts w:ascii="Palatino Linotype" w:hAnsi="Palatino Linotype" w:cs="Arial"/>
          <w:lang w:val="es-ES_tradnl"/>
        </w:rPr>
        <w:t>el recurso de revisión</w:t>
      </w:r>
      <w:r w:rsidRPr="00A4197A">
        <w:rPr>
          <w:rFonts w:ascii="Palatino Linotype" w:hAnsi="Palatino Linotype" w:cs="Arial"/>
          <w:b/>
          <w:lang w:val="es-ES_tradnl"/>
        </w:rPr>
        <w:t xml:space="preserve"> </w:t>
      </w:r>
      <w:r w:rsidRPr="00A4197A">
        <w:rPr>
          <w:rFonts w:ascii="Palatino Linotype" w:hAnsi="Palatino Linotype" w:cs="Arial"/>
        </w:rPr>
        <w:t xml:space="preserve">02852/INFOEM/IP/RR/2018 </w:t>
      </w:r>
      <w:r w:rsidRPr="00A4197A">
        <w:rPr>
          <w:rFonts w:ascii="Palatino Linotype" w:hAnsi="Palatino Linotype" w:cs="Arial"/>
          <w:b/>
          <w:lang w:val="es-ES_tradnl"/>
        </w:rPr>
        <w:t>por quedarse sin materia</w:t>
      </w:r>
      <w:r w:rsidRPr="00A4197A">
        <w:rPr>
          <w:rFonts w:ascii="Palatino Linotype" w:hAnsi="Palatino Linotype" w:cs="Arial"/>
          <w:lang w:val="es-ES_tradnl"/>
        </w:rPr>
        <w:t xml:space="preserve"> en términos del Considerando QUINTO de la presente </w:t>
      </w:r>
      <w:r w:rsidRPr="00A4197A">
        <w:rPr>
          <w:rFonts w:ascii="Palatino Linotype" w:hAnsi="Palatino Linotype" w:cs="Arial"/>
          <w:lang w:val="es-ES_tradnl"/>
        </w:rPr>
        <w:lastRenderedPageBreak/>
        <w:t>resolución.</w:t>
      </w:r>
    </w:p>
    <w:p w:rsidR="00B57F03" w:rsidRPr="00A4197A" w:rsidRDefault="00B57F03" w:rsidP="00B57F0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4197A">
        <w:rPr>
          <w:rFonts w:ascii="Palatino Linotype" w:hAnsi="Palatino Linotype" w:cs="Arial"/>
          <w:b/>
          <w:sz w:val="28"/>
          <w:szCs w:val="28"/>
          <w:lang w:val="es-ES_tradnl"/>
        </w:rPr>
        <w:t>SEGUNDO.</w:t>
      </w:r>
      <w:r w:rsidRPr="00A4197A">
        <w:rPr>
          <w:rFonts w:ascii="Palatino Linotype" w:hAnsi="Palatino Linotype" w:cs="Arial"/>
          <w:b/>
          <w:lang w:val="es-ES_tradnl"/>
        </w:rPr>
        <w:t xml:space="preserve"> Notifíquese</w:t>
      </w:r>
      <w:r w:rsidRPr="00A4197A">
        <w:rPr>
          <w:rFonts w:ascii="Palatino Linotype" w:hAnsi="Palatino Linotype" w:cs="Arial"/>
          <w:lang w:val="es-ES_tradnl"/>
        </w:rPr>
        <w:t xml:space="preserve"> la presente resolución al Titular de la Unidad de Transparencia del </w:t>
      </w:r>
      <w:r w:rsidRPr="00A4197A">
        <w:rPr>
          <w:rFonts w:ascii="Palatino Linotype" w:hAnsi="Palatino Linotype" w:cs="Arial"/>
          <w:b/>
          <w:lang w:val="es-ES_tradnl"/>
        </w:rPr>
        <w:t>SUJETO OBLIGADO</w:t>
      </w:r>
      <w:r w:rsidRPr="00A4197A">
        <w:rPr>
          <w:rFonts w:ascii="Palatino Linotype" w:hAnsi="Palatino Linotype" w:cs="Arial"/>
          <w:lang w:val="es-ES_tradnl"/>
        </w:rPr>
        <w:t xml:space="preserve"> para su conocimiento.</w:t>
      </w:r>
    </w:p>
    <w:p w:rsidR="00B57F03" w:rsidRPr="00A4197A" w:rsidRDefault="00B57F03" w:rsidP="00B57F03">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A4197A">
        <w:rPr>
          <w:rFonts w:ascii="Palatino Linotype" w:hAnsi="Palatino Linotype"/>
          <w:b/>
          <w:sz w:val="28"/>
          <w:szCs w:val="28"/>
          <w:lang w:eastAsia="es-ES_tradnl"/>
        </w:rPr>
        <w:t>TERCERO.</w:t>
      </w:r>
      <w:r w:rsidRPr="00A4197A">
        <w:rPr>
          <w:rFonts w:ascii="Palatino Linotype" w:hAnsi="Palatino Linotype"/>
          <w:b/>
          <w:szCs w:val="17"/>
          <w:lang w:eastAsia="es-ES_tradnl"/>
        </w:rPr>
        <w:t xml:space="preserve"> Notifíquese</w:t>
      </w:r>
      <w:r w:rsidRPr="00A4197A">
        <w:rPr>
          <w:rFonts w:ascii="Palatino Linotype" w:hAnsi="Palatino Linotype"/>
          <w:szCs w:val="17"/>
          <w:lang w:eastAsia="es-ES_tradnl"/>
        </w:rPr>
        <w:t xml:space="preserve"> a</w:t>
      </w:r>
      <w:r w:rsidRPr="00A4197A">
        <w:rPr>
          <w:rFonts w:ascii="Palatino Linotype" w:hAnsi="Palatino Linotype"/>
          <w:b/>
          <w:szCs w:val="17"/>
          <w:lang w:eastAsia="es-ES_tradnl"/>
        </w:rPr>
        <w:t xml:space="preserve"> EL RECURRENTE</w:t>
      </w:r>
      <w:r w:rsidRPr="00A4197A">
        <w:rPr>
          <w:rFonts w:ascii="Palatino Linotype" w:hAnsi="Palatino Linotype"/>
          <w:szCs w:val="17"/>
          <w:lang w:eastAsia="es-ES_tradnl"/>
        </w:rPr>
        <w:t xml:space="preserve"> la presente resolución.</w:t>
      </w:r>
    </w:p>
    <w:p w:rsidR="00B57F03" w:rsidRPr="000F4CA7" w:rsidRDefault="00B57F03" w:rsidP="00B57F03">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A4197A">
        <w:rPr>
          <w:rFonts w:ascii="Palatino Linotype" w:hAnsi="Palatino Linotype"/>
          <w:b/>
          <w:sz w:val="28"/>
          <w:szCs w:val="28"/>
          <w:lang w:eastAsia="es-ES_tradnl"/>
        </w:rPr>
        <w:t>CUARTO.</w:t>
      </w:r>
      <w:r w:rsidRPr="00A4197A">
        <w:rPr>
          <w:rFonts w:ascii="Palatino Linotype" w:hAnsi="Palatino Linotype"/>
          <w:b/>
          <w:szCs w:val="17"/>
          <w:lang w:eastAsia="es-ES_tradnl"/>
        </w:rPr>
        <w:t xml:space="preserve"> Hágase</w:t>
      </w:r>
      <w:r w:rsidRPr="00A4197A">
        <w:rPr>
          <w:rFonts w:ascii="Palatino Linotype" w:hAnsi="Palatino Linotype"/>
          <w:szCs w:val="17"/>
          <w:lang w:eastAsia="es-ES_tradnl"/>
        </w:rPr>
        <w:t xml:space="preserve"> </w:t>
      </w:r>
      <w:r w:rsidRPr="00A4197A">
        <w:rPr>
          <w:rFonts w:ascii="Palatino Linotype" w:hAnsi="Palatino Linotype"/>
          <w:b/>
          <w:szCs w:val="17"/>
          <w:lang w:eastAsia="es-ES_tradnl"/>
        </w:rPr>
        <w:t>del conocimiento</w:t>
      </w:r>
      <w:r w:rsidRPr="00A4197A">
        <w:rPr>
          <w:rFonts w:ascii="Palatino Linotype" w:hAnsi="Palatino Linotype"/>
          <w:szCs w:val="17"/>
          <w:lang w:eastAsia="es-ES_tradnl"/>
        </w:rPr>
        <w:t xml:space="preserve"> de</w:t>
      </w:r>
      <w:r w:rsidRPr="00A4197A">
        <w:rPr>
          <w:rFonts w:ascii="Palatino Linotype" w:hAnsi="Palatino Linotype"/>
          <w:b/>
          <w:szCs w:val="17"/>
          <w:lang w:eastAsia="es-ES_tradnl"/>
        </w:rPr>
        <w:t>l RECURRENTE</w:t>
      </w:r>
      <w:r w:rsidRPr="00A4197A">
        <w:rPr>
          <w:rFonts w:ascii="Palatino Linotype" w:hAnsi="Palatino Linotype"/>
          <w:szCs w:val="17"/>
          <w:lang w:eastAsia="es-ES_tradnl"/>
        </w:rPr>
        <w:t xml:space="preserve">, que de conformidad </w:t>
      </w:r>
      <w:r w:rsidRPr="00A4197A">
        <w:rPr>
          <w:rFonts w:ascii="Palatino Linotype" w:hAnsi="Palatino Linotype" w:cs="Arial"/>
        </w:rPr>
        <w:t>con</w:t>
      </w:r>
      <w:r w:rsidRPr="00A4197A">
        <w:rPr>
          <w:rFonts w:ascii="Palatino Linotype" w:hAnsi="Palatino Linotype"/>
          <w:szCs w:val="17"/>
          <w:lang w:eastAsia="es-ES_tradnl"/>
        </w:rPr>
        <w:t xml:space="preserve"> lo </w:t>
      </w:r>
      <w:r w:rsidRPr="00A4197A">
        <w:rPr>
          <w:rFonts w:ascii="Palatino Linotype" w:hAnsi="Palatino Linotype" w:cs="Arial"/>
        </w:rPr>
        <w:t>establecido</w:t>
      </w:r>
      <w:r w:rsidRPr="00A4197A">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6A60F1" w:rsidRPr="00821016" w:rsidRDefault="006A60F1" w:rsidP="006A60F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37E41">
        <w:rPr>
          <w:rFonts w:ascii="Palatino Linotype" w:hAnsi="Palatino Linotype" w:cs="Arial"/>
        </w:rPr>
        <w:t>ASÍ LO RESUELVE, POR UNANIMIDAD DE VOTOS, EL PLENO DEL</w:t>
      </w:r>
      <w:r w:rsidRPr="00B37E41">
        <w:rPr>
          <w:rFonts w:ascii="Palatino Linotype" w:eastAsia="Arial Unicode MS" w:hAnsi="Palatino Linotype" w:cs="Arial"/>
        </w:rPr>
        <w:t xml:space="preserve"> INSTITUTO DE TRANSPARENCIA, ACCESO A LA INFORMACIÓN PÚBLICA Y PROTECCIÓN DE DATOS PERSONALES DEL ESTADO DE MÉXICO Y MUNICIPIOS</w:t>
      </w:r>
      <w:r w:rsidRPr="00B37E41">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B37E41">
        <w:rPr>
          <w:rFonts w:ascii="Palatino Linotype" w:hAnsi="Palatino Linotype" w:cs="Arial"/>
        </w:rPr>
        <w:t xml:space="preserve">; JAVIER MARTÍNEZ CRUZ Y LUIS GUSTAVO PARRA NORIEGA; EN LA TRIGÉSIMA OCTAVA SESIÓN ORDINARIA CELEBRADA EL </w:t>
      </w:r>
      <w:r w:rsidRPr="00B37E41">
        <w:rPr>
          <w:rFonts w:ascii="Palatino Linotype" w:hAnsi="Palatino Linotype"/>
          <w:lang w:val="es-ES_tradnl"/>
        </w:rPr>
        <w:t>DIECISIETE DE OCTUBRE DE</w:t>
      </w:r>
      <w:r w:rsidRPr="00B37E41">
        <w:rPr>
          <w:rFonts w:ascii="Palatino Linotype" w:hAnsi="Palatino Linotype" w:cs="Arial"/>
        </w:rPr>
        <w:t xml:space="preserve"> DOS MIL DIECIOCHO, ANTE EL SECRETARIO TÉCNICO DEL PLENO, </w:t>
      </w:r>
      <w:r w:rsidRPr="00B37E41">
        <w:rPr>
          <w:rFonts w:ascii="Palatino Linotype" w:hAnsi="Palatino Linotype"/>
          <w:lang w:val="es-ES_tradnl"/>
        </w:rPr>
        <w:t>ALEXIS TAPIA RAMÍREZ</w:t>
      </w:r>
      <w:r w:rsidRPr="00B37E41">
        <w:rPr>
          <w:rFonts w:ascii="Palatino Linotype" w:hAnsi="Palatino Linotype" w:cs="Arial"/>
        </w:rPr>
        <w:t>.</w:t>
      </w:r>
    </w:p>
    <w:p w:rsidR="006A60F1" w:rsidRPr="00821016" w:rsidRDefault="006A60F1" w:rsidP="006A60F1">
      <w:pPr>
        <w:widowControl w:val="0"/>
        <w:autoSpaceDE w:val="0"/>
        <w:autoSpaceDN w:val="0"/>
        <w:adjustRightInd w:val="0"/>
        <w:spacing w:before="100" w:beforeAutospacing="1" w:after="100" w:afterAutospacing="1"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B57F03" w:rsidRPr="00EF76BC" w:rsidTr="001B78AF">
        <w:trPr>
          <w:jc w:val="center"/>
        </w:trPr>
        <w:tc>
          <w:tcPr>
            <w:tcW w:w="10368" w:type="dxa"/>
            <w:gridSpan w:val="2"/>
          </w:tcPr>
          <w:p w:rsidR="00B57F03" w:rsidRPr="006A60F1" w:rsidRDefault="00B57F03" w:rsidP="001B78AF">
            <w:pPr>
              <w:jc w:val="center"/>
              <w:rPr>
                <w:rFonts w:ascii="Palatino Linotype" w:hAnsi="Palatino Linotype" w:cs="Arial"/>
                <w:b/>
              </w:rPr>
            </w:pPr>
          </w:p>
          <w:p w:rsidR="00B57F03" w:rsidRPr="00EF76BC" w:rsidRDefault="00B57F03" w:rsidP="001B78AF">
            <w:pPr>
              <w:jc w:val="center"/>
              <w:rPr>
                <w:rFonts w:ascii="Palatino Linotype" w:hAnsi="Palatino Linotype" w:cs="Arial"/>
                <w:b/>
                <w:lang w:val="es-ES_tradnl"/>
              </w:rPr>
            </w:pPr>
            <w:r w:rsidRPr="00EF76BC">
              <w:rPr>
                <w:rFonts w:ascii="Palatino Linotype" w:hAnsi="Palatino Linotype" w:cs="Arial"/>
                <w:b/>
                <w:lang w:val="es-ES_tradnl"/>
              </w:rPr>
              <w:t>Zulema Martínez Sánchez</w:t>
            </w:r>
          </w:p>
          <w:p w:rsidR="00B57F03" w:rsidRPr="00EF76BC" w:rsidRDefault="00B57F03" w:rsidP="001B78AF">
            <w:pPr>
              <w:jc w:val="center"/>
              <w:rPr>
                <w:rFonts w:ascii="Palatino Linotype" w:hAnsi="Palatino Linotype" w:cs="Arial"/>
                <w:b/>
                <w:lang w:val="es-ES_tradnl"/>
              </w:rPr>
            </w:pPr>
            <w:r w:rsidRPr="00EF76BC">
              <w:rPr>
                <w:rFonts w:ascii="Palatino Linotype" w:hAnsi="Palatino Linotype" w:cs="Arial"/>
                <w:lang w:val="es-ES_tradnl"/>
              </w:rPr>
              <w:t>Comisionada Presidenta</w:t>
            </w:r>
          </w:p>
          <w:p w:rsidR="00B57F03" w:rsidRPr="00782540" w:rsidRDefault="00B57F03" w:rsidP="001B78AF">
            <w:pPr>
              <w:jc w:val="center"/>
              <w:rPr>
                <w:rFonts w:ascii="Palatino Linotype" w:hAnsi="Palatino Linotype" w:cs="Arial"/>
                <w:b/>
                <w:color w:val="FFFFFF" w:themeColor="background1"/>
                <w:lang w:val="es-ES_tradnl"/>
              </w:rPr>
            </w:pPr>
            <w:r w:rsidRPr="00782540">
              <w:rPr>
                <w:rFonts w:ascii="Palatino Linotype" w:hAnsi="Palatino Linotype" w:cs="Arial"/>
                <w:b/>
                <w:color w:val="FFFFFF" w:themeColor="background1"/>
                <w:lang w:val="es-ES_tradnl"/>
              </w:rPr>
              <w:t xml:space="preserve">(RÚBRICA) </w:t>
            </w:r>
          </w:p>
          <w:p w:rsidR="00B57F03" w:rsidRDefault="00B57F03" w:rsidP="001B78AF">
            <w:pPr>
              <w:jc w:val="center"/>
              <w:rPr>
                <w:rFonts w:ascii="Palatino Linotype" w:hAnsi="Palatino Linotype" w:cs="Arial"/>
                <w:b/>
                <w:lang w:val="es-ES_tradnl"/>
              </w:rPr>
            </w:pPr>
          </w:p>
          <w:p w:rsidR="00B57F03" w:rsidRPr="00EF76BC" w:rsidRDefault="00B57F03" w:rsidP="001B78AF">
            <w:pPr>
              <w:jc w:val="center"/>
              <w:rPr>
                <w:rFonts w:ascii="Palatino Linotype" w:hAnsi="Palatino Linotype" w:cs="Arial"/>
                <w:b/>
                <w:lang w:val="es-ES_tradnl"/>
              </w:rPr>
            </w:pPr>
          </w:p>
        </w:tc>
      </w:tr>
      <w:tr w:rsidR="00B57F03" w:rsidRPr="00EF76BC" w:rsidTr="001B78AF">
        <w:trPr>
          <w:jc w:val="center"/>
        </w:trPr>
        <w:tc>
          <w:tcPr>
            <w:tcW w:w="5184" w:type="dxa"/>
          </w:tcPr>
          <w:p w:rsidR="006A60F1" w:rsidRDefault="006A60F1" w:rsidP="001B78AF">
            <w:pPr>
              <w:jc w:val="center"/>
              <w:rPr>
                <w:rFonts w:ascii="Palatino Linotype" w:hAnsi="Palatino Linotype" w:cs="Arial"/>
                <w:b/>
                <w:lang w:val="es-ES_tradnl"/>
              </w:rPr>
            </w:pPr>
          </w:p>
          <w:p w:rsidR="006A60F1" w:rsidRDefault="006A60F1" w:rsidP="001B78AF">
            <w:pPr>
              <w:jc w:val="center"/>
              <w:rPr>
                <w:rFonts w:ascii="Palatino Linotype" w:hAnsi="Palatino Linotype" w:cs="Arial"/>
                <w:b/>
                <w:lang w:val="es-ES_tradnl"/>
              </w:rPr>
            </w:pPr>
          </w:p>
          <w:p w:rsidR="00B57F03" w:rsidRPr="00EF76BC" w:rsidRDefault="00B57F03" w:rsidP="001B78AF">
            <w:pPr>
              <w:jc w:val="center"/>
              <w:rPr>
                <w:rFonts w:ascii="Palatino Linotype" w:hAnsi="Palatino Linotype" w:cs="Arial"/>
                <w:b/>
                <w:lang w:val="es-ES_tradnl"/>
              </w:rPr>
            </w:pPr>
            <w:r w:rsidRPr="00EF76BC">
              <w:rPr>
                <w:rFonts w:ascii="Palatino Linotype" w:hAnsi="Palatino Linotype" w:cs="Arial"/>
                <w:b/>
                <w:lang w:val="es-ES_tradnl"/>
              </w:rPr>
              <w:t>Eva Abaid Yapur</w:t>
            </w:r>
          </w:p>
          <w:p w:rsidR="00B57F03" w:rsidRPr="00EF76BC" w:rsidRDefault="00B57F03" w:rsidP="001B78AF">
            <w:pPr>
              <w:jc w:val="center"/>
              <w:rPr>
                <w:rFonts w:ascii="Palatino Linotype" w:hAnsi="Palatino Linotype" w:cs="Arial"/>
                <w:lang w:val="es-ES_tradnl"/>
              </w:rPr>
            </w:pPr>
            <w:r w:rsidRPr="00EF76BC">
              <w:rPr>
                <w:rFonts w:ascii="Palatino Linotype" w:hAnsi="Palatino Linotype" w:cs="Arial"/>
                <w:lang w:val="es-ES_tradnl"/>
              </w:rPr>
              <w:t>Comisionada</w:t>
            </w:r>
          </w:p>
          <w:p w:rsidR="00B57F03" w:rsidRPr="00EF76BC" w:rsidRDefault="00B57F03" w:rsidP="001B78AF">
            <w:pPr>
              <w:jc w:val="center"/>
              <w:rPr>
                <w:rFonts w:ascii="Palatino Linotype" w:hAnsi="Palatino Linotype" w:cs="Arial"/>
                <w:b/>
                <w:lang w:val="es-ES_tradnl"/>
              </w:rPr>
            </w:pPr>
            <w:r w:rsidRPr="00782540">
              <w:rPr>
                <w:rFonts w:ascii="Palatino Linotype" w:hAnsi="Palatino Linotype" w:cs="Arial"/>
                <w:b/>
                <w:color w:val="FFFFFF" w:themeColor="background1"/>
                <w:lang w:val="es-ES_tradnl"/>
              </w:rPr>
              <w:t>(RÚBRICA)</w:t>
            </w:r>
          </w:p>
        </w:tc>
        <w:tc>
          <w:tcPr>
            <w:tcW w:w="5184" w:type="dxa"/>
          </w:tcPr>
          <w:p w:rsidR="006A60F1" w:rsidRDefault="006A60F1" w:rsidP="001B78AF">
            <w:pPr>
              <w:jc w:val="center"/>
              <w:rPr>
                <w:rFonts w:ascii="Palatino Linotype" w:hAnsi="Palatino Linotype" w:cs="Arial"/>
                <w:b/>
                <w:lang w:val="es-ES_tradnl"/>
              </w:rPr>
            </w:pPr>
          </w:p>
          <w:p w:rsidR="006A60F1" w:rsidRDefault="006A60F1" w:rsidP="001B78AF">
            <w:pPr>
              <w:jc w:val="center"/>
              <w:rPr>
                <w:rFonts w:ascii="Palatino Linotype" w:hAnsi="Palatino Linotype" w:cs="Arial"/>
                <w:b/>
                <w:lang w:val="es-ES_tradnl"/>
              </w:rPr>
            </w:pPr>
          </w:p>
          <w:p w:rsidR="00B57F03" w:rsidRPr="00EF76BC" w:rsidRDefault="00B57F03" w:rsidP="001B78AF">
            <w:pPr>
              <w:jc w:val="center"/>
              <w:rPr>
                <w:rFonts w:ascii="Palatino Linotype" w:hAnsi="Palatino Linotype" w:cs="Arial"/>
                <w:b/>
                <w:lang w:val="es-ES_tradnl"/>
              </w:rPr>
            </w:pPr>
            <w:r w:rsidRPr="00EF76BC">
              <w:rPr>
                <w:rFonts w:ascii="Palatino Linotype" w:hAnsi="Palatino Linotype" w:cs="Arial"/>
                <w:b/>
                <w:lang w:val="es-ES_tradnl"/>
              </w:rPr>
              <w:t>José Guadalupe Luna Hernández</w:t>
            </w:r>
          </w:p>
          <w:p w:rsidR="00B57F03" w:rsidRPr="00EF76BC" w:rsidRDefault="00B57F03" w:rsidP="001B78AF">
            <w:pPr>
              <w:jc w:val="center"/>
              <w:rPr>
                <w:rFonts w:ascii="Palatino Linotype" w:hAnsi="Palatino Linotype" w:cs="Arial"/>
                <w:lang w:val="es-ES_tradnl"/>
              </w:rPr>
            </w:pPr>
            <w:r w:rsidRPr="00EF76BC">
              <w:rPr>
                <w:rFonts w:ascii="Palatino Linotype" w:hAnsi="Palatino Linotype" w:cs="Arial"/>
                <w:lang w:val="es-ES_tradnl"/>
              </w:rPr>
              <w:t>Comisionado</w:t>
            </w:r>
          </w:p>
          <w:p w:rsidR="00B57F03" w:rsidRPr="00EF76BC" w:rsidRDefault="00B57F03" w:rsidP="001B78AF">
            <w:pPr>
              <w:jc w:val="center"/>
              <w:rPr>
                <w:rFonts w:ascii="Palatino Linotype" w:hAnsi="Palatino Linotype" w:cs="Arial"/>
                <w:b/>
                <w:lang w:val="es-ES_tradnl"/>
              </w:rPr>
            </w:pPr>
            <w:r w:rsidRPr="00782540">
              <w:rPr>
                <w:rFonts w:ascii="Palatino Linotype" w:hAnsi="Palatino Linotype" w:cs="Arial"/>
                <w:b/>
                <w:color w:val="FFFFFF" w:themeColor="background1"/>
                <w:lang w:val="es-ES_tradnl"/>
              </w:rPr>
              <w:t>(RÚBRICA)</w:t>
            </w:r>
          </w:p>
        </w:tc>
      </w:tr>
      <w:tr w:rsidR="00B57F03" w:rsidRPr="00EF76BC" w:rsidTr="001B78AF">
        <w:trPr>
          <w:jc w:val="center"/>
        </w:trPr>
        <w:tc>
          <w:tcPr>
            <w:tcW w:w="5184" w:type="dxa"/>
          </w:tcPr>
          <w:p w:rsidR="00B57F03" w:rsidRDefault="00B57F03" w:rsidP="001B78AF">
            <w:pPr>
              <w:jc w:val="center"/>
              <w:rPr>
                <w:rFonts w:ascii="Palatino Linotype" w:hAnsi="Palatino Linotype" w:cs="Arial"/>
                <w:b/>
                <w:lang w:val="es-ES_tradnl"/>
              </w:rPr>
            </w:pPr>
          </w:p>
          <w:p w:rsidR="00B57F03" w:rsidRDefault="00B57F03" w:rsidP="001B78AF">
            <w:pPr>
              <w:jc w:val="center"/>
              <w:rPr>
                <w:rFonts w:ascii="Palatino Linotype" w:hAnsi="Palatino Linotype" w:cs="Arial"/>
                <w:b/>
                <w:lang w:val="es-ES_tradnl"/>
              </w:rPr>
            </w:pPr>
          </w:p>
          <w:p w:rsidR="00B57F03" w:rsidRPr="00EF76BC" w:rsidRDefault="00B57F03" w:rsidP="001B78AF">
            <w:pPr>
              <w:jc w:val="center"/>
              <w:rPr>
                <w:rFonts w:ascii="Palatino Linotype" w:hAnsi="Palatino Linotype" w:cs="Arial"/>
                <w:b/>
                <w:lang w:val="es-ES_tradnl"/>
              </w:rPr>
            </w:pPr>
          </w:p>
          <w:p w:rsidR="006A60F1" w:rsidRDefault="006A60F1" w:rsidP="001B78AF">
            <w:pPr>
              <w:jc w:val="center"/>
              <w:rPr>
                <w:rFonts w:ascii="Palatino Linotype" w:hAnsi="Palatino Linotype" w:cs="Arial"/>
                <w:b/>
                <w:lang w:val="es-ES_tradnl"/>
              </w:rPr>
            </w:pPr>
          </w:p>
          <w:p w:rsidR="006A60F1" w:rsidRDefault="006A60F1" w:rsidP="001B78AF">
            <w:pPr>
              <w:jc w:val="center"/>
              <w:rPr>
                <w:rFonts w:ascii="Palatino Linotype" w:hAnsi="Palatino Linotype" w:cs="Arial"/>
                <w:b/>
                <w:lang w:val="es-ES_tradnl"/>
              </w:rPr>
            </w:pPr>
          </w:p>
          <w:p w:rsidR="00B57F03" w:rsidRPr="00EF76BC" w:rsidRDefault="00B57F03" w:rsidP="001B78AF">
            <w:pPr>
              <w:jc w:val="center"/>
              <w:rPr>
                <w:rFonts w:ascii="Palatino Linotype" w:hAnsi="Palatino Linotype" w:cs="Arial"/>
                <w:b/>
                <w:lang w:val="es-ES_tradnl"/>
              </w:rPr>
            </w:pPr>
            <w:r w:rsidRPr="00EF76BC">
              <w:rPr>
                <w:rFonts w:ascii="Palatino Linotype" w:hAnsi="Palatino Linotype" w:cs="Arial"/>
                <w:b/>
                <w:lang w:val="es-ES_tradnl"/>
              </w:rPr>
              <w:t>Javier Martínez Cruz</w:t>
            </w:r>
          </w:p>
          <w:p w:rsidR="00B57F03" w:rsidRPr="00EF76BC" w:rsidRDefault="00B57F03" w:rsidP="001B78AF">
            <w:pPr>
              <w:jc w:val="center"/>
              <w:rPr>
                <w:rFonts w:ascii="Palatino Linotype" w:hAnsi="Palatino Linotype" w:cs="Arial"/>
                <w:lang w:val="es-ES_tradnl"/>
              </w:rPr>
            </w:pPr>
            <w:r w:rsidRPr="00EF76BC">
              <w:rPr>
                <w:rFonts w:ascii="Palatino Linotype" w:hAnsi="Palatino Linotype" w:cs="Arial"/>
                <w:lang w:val="es-ES_tradnl"/>
              </w:rPr>
              <w:t>Comisionado</w:t>
            </w:r>
          </w:p>
          <w:p w:rsidR="00B57F03" w:rsidRPr="00EF76BC" w:rsidRDefault="00B57F03" w:rsidP="001B78AF">
            <w:pPr>
              <w:jc w:val="center"/>
              <w:rPr>
                <w:rFonts w:ascii="Palatino Linotype" w:hAnsi="Palatino Linotype" w:cs="Arial"/>
                <w:b/>
                <w:lang w:val="es-ES_tradnl"/>
              </w:rPr>
            </w:pPr>
            <w:r w:rsidRPr="00782540">
              <w:rPr>
                <w:rFonts w:ascii="Palatino Linotype" w:hAnsi="Palatino Linotype" w:cs="Arial"/>
                <w:b/>
                <w:color w:val="FFFFFF" w:themeColor="background1"/>
                <w:lang w:val="es-ES_tradnl"/>
              </w:rPr>
              <w:t>(RÚBRICA)</w:t>
            </w:r>
          </w:p>
        </w:tc>
        <w:tc>
          <w:tcPr>
            <w:tcW w:w="5184" w:type="dxa"/>
          </w:tcPr>
          <w:p w:rsidR="00B57F03" w:rsidRDefault="00B57F03" w:rsidP="001B78AF">
            <w:pPr>
              <w:jc w:val="center"/>
              <w:rPr>
                <w:rFonts w:ascii="Palatino Linotype" w:hAnsi="Palatino Linotype" w:cs="Arial"/>
                <w:b/>
                <w:lang w:val="es-ES_tradnl"/>
              </w:rPr>
            </w:pPr>
          </w:p>
          <w:p w:rsidR="00B57F03" w:rsidRDefault="00B57F03" w:rsidP="001B78AF">
            <w:pPr>
              <w:jc w:val="center"/>
              <w:rPr>
                <w:rFonts w:ascii="Palatino Linotype" w:hAnsi="Palatino Linotype" w:cs="Arial"/>
                <w:b/>
                <w:lang w:val="es-ES_tradnl"/>
              </w:rPr>
            </w:pPr>
          </w:p>
          <w:p w:rsidR="00B57F03" w:rsidRPr="00EF76BC" w:rsidRDefault="00B57F03" w:rsidP="001B78AF">
            <w:pPr>
              <w:jc w:val="center"/>
              <w:rPr>
                <w:rFonts w:ascii="Palatino Linotype" w:hAnsi="Palatino Linotype" w:cs="Arial"/>
                <w:b/>
                <w:lang w:val="es-ES_tradnl"/>
              </w:rPr>
            </w:pPr>
          </w:p>
          <w:p w:rsidR="006A60F1" w:rsidRDefault="006A60F1" w:rsidP="001B78AF">
            <w:pPr>
              <w:jc w:val="center"/>
              <w:rPr>
                <w:rFonts w:ascii="Palatino Linotype" w:hAnsi="Palatino Linotype" w:cs="Arial"/>
                <w:b/>
                <w:lang w:val="es-ES_tradnl"/>
              </w:rPr>
            </w:pPr>
          </w:p>
          <w:p w:rsidR="006A60F1" w:rsidRDefault="006A60F1" w:rsidP="001B78AF">
            <w:pPr>
              <w:jc w:val="center"/>
              <w:rPr>
                <w:rFonts w:ascii="Palatino Linotype" w:hAnsi="Palatino Linotype" w:cs="Arial"/>
                <w:b/>
                <w:lang w:val="es-ES_tradnl"/>
              </w:rPr>
            </w:pPr>
          </w:p>
          <w:p w:rsidR="00B57F03" w:rsidRPr="00140337" w:rsidRDefault="00B57F03" w:rsidP="001B78AF">
            <w:pPr>
              <w:jc w:val="center"/>
              <w:rPr>
                <w:rFonts w:ascii="Palatino Linotype" w:hAnsi="Palatino Linotype" w:cs="Arial"/>
                <w:b/>
                <w:lang w:val="es-ES_tradnl"/>
              </w:rPr>
            </w:pPr>
            <w:r w:rsidRPr="00140337">
              <w:rPr>
                <w:rFonts w:ascii="Palatino Linotype" w:hAnsi="Palatino Linotype" w:cs="Arial"/>
                <w:b/>
                <w:lang w:val="es-ES_tradnl"/>
              </w:rPr>
              <w:t>Luis Gustavo Parra Noriega</w:t>
            </w:r>
          </w:p>
          <w:p w:rsidR="00B57F03" w:rsidRPr="00140337" w:rsidRDefault="00B57F03" w:rsidP="001B78AF">
            <w:pPr>
              <w:jc w:val="center"/>
              <w:rPr>
                <w:rFonts w:ascii="Palatino Linotype" w:hAnsi="Palatino Linotype" w:cs="Arial"/>
                <w:lang w:val="es-ES_tradnl"/>
              </w:rPr>
            </w:pPr>
            <w:r w:rsidRPr="00140337">
              <w:rPr>
                <w:rFonts w:ascii="Palatino Linotype" w:hAnsi="Palatino Linotype" w:cs="Arial"/>
                <w:lang w:val="es-ES_tradnl"/>
              </w:rPr>
              <w:t>Comisionado</w:t>
            </w:r>
          </w:p>
          <w:p w:rsidR="00B57F03" w:rsidRPr="00EF76BC" w:rsidRDefault="00B57F03" w:rsidP="001B78AF">
            <w:pPr>
              <w:jc w:val="center"/>
              <w:rPr>
                <w:rFonts w:ascii="Palatino Linotype" w:hAnsi="Palatino Linotype" w:cs="Arial"/>
                <w:b/>
                <w:lang w:val="es-ES_tradnl"/>
              </w:rPr>
            </w:pPr>
            <w:r w:rsidRPr="00782540">
              <w:rPr>
                <w:rFonts w:ascii="Palatino Linotype" w:hAnsi="Palatino Linotype" w:cs="Arial"/>
                <w:b/>
                <w:color w:val="FFFFFF" w:themeColor="background1"/>
                <w:lang w:val="es-ES_tradnl"/>
              </w:rPr>
              <w:t>(RÚBRICA)</w:t>
            </w:r>
          </w:p>
        </w:tc>
      </w:tr>
      <w:tr w:rsidR="00B57F03" w:rsidRPr="00EF76BC" w:rsidTr="001B78AF">
        <w:trPr>
          <w:jc w:val="center"/>
        </w:trPr>
        <w:tc>
          <w:tcPr>
            <w:tcW w:w="10368" w:type="dxa"/>
            <w:gridSpan w:val="2"/>
          </w:tcPr>
          <w:p w:rsidR="00B57F03" w:rsidRDefault="00B57F03" w:rsidP="001B78AF">
            <w:pPr>
              <w:jc w:val="center"/>
              <w:rPr>
                <w:rFonts w:ascii="Palatino Linotype" w:hAnsi="Palatino Linotype" w:cs="Arial"/>
                <w:b/>
                <w:lang w:val="es-ES_tradnl"/>
              </w:rPr>
            </w:pPr>
          </w:p>
          <w:p w:rsidR="006A60F1" w:rsidRDefault="006A60F1" w:rsidP="001B78AF">
            <w:pPr>
              <w:jc w:val="center"/>
              <w:rPr>
                <w:rFonts w:ascii="Palatino Linotype" w:hAnsi="Palatino Linotype" w:cs="Arial"/>
                <w:b/>
                <w:lang w:val="es-ES_tradnl"/>
              </w:rPr>
            </w:pPr>
          </w:p>
          <w:p w:rsidR="006A60F1" w:rsidRDefault="006A60F1" w:rsidP="001B78AF">
            <w:pPr>
              <w:jc w:val="center"/>
              <w:rPr>
                <w:rFonts w:ascii="Palatino Linotype" w:hAnsi="Palatino Linotype" w:cs="Arial"/>
                <w:b/>
                <w:lang w:val="es-ES_tradnl"/>
              </w:rPr>
            </w:pPr>
          </w:p>
          <w:p w:rsidR="006A60F1" w:rsidRDefault="006A60F1" w:rsidP="001B78AF">
            <w:pPr>
              <w:jc w:val="center"/>
              <w:rPr>
                <w:rFonts w:ascii="Palatino Linotype" w:hAnsi="Palatino Linotype" w:cs="Arial"/>
                <w:b/>
                <w:lang w:val="es-ES_tradnl"/>
              </w:rPr>
            </w:pPr>
          </w:p>
          <w:p w:rsidR="00B57F03" w:rsidRPr="00EF76BC" w:rsidRDefault="00B57F03" w:rsidP="001B78AF">
            <w:pPr>
              <w:jc w:val="center"/>
              <w:rPr>
                <w:rFonts w:ascii="Palatino Linotype" w:hAnsi="Palatino Linotype" w:cs="Arial"/>
                <w:b/>
                <w:lang w:val="es-ES_tradnl"/>
              </w:rPr>
            </w:pPr>
            <w:r>
              <w:rPr>
                <w:rFonts w:ascii="Palatino Linotype" w:hAnsi="Palatino Linotype" w:cs="Arial"/>
                <w:b/>
                <w:lang w:val="es-ES_tradnl"/>
              </w:rPr>
              <w:t>Alexis Tapia Ramírez</w:t>
            </w:r>
          </w:p>
          <w:p w:rsidR="00B57F03" w:rsidRPr="00EF76BC" w:rsidRDefault="00B57F03" w:rsidP="001B78AF">
            <w:pPr>
              <w:jc w:val="center"/>
              <w:rPr>
                <w:rFonts w:ascii="Palatino Linotype" w:hAnsi="Palatino Linotype" w:cs="Arial"/>
                <w:lang w:val="es-ES_tradnl"/>
              </w:rPr>
            </w:pPr>
            <w:r>
              <w:rPr>
                <w:rFonts w:ascii="Palatino Linotype" w:hAnsi="Palatino Linotype" w:cs="Arial"/>
                <w:lang w:val="es-ES_tradnl"/>
              </w:rPr>
              <w:t>Secretario Técnico</w:t>
            </w:r>
            <w:r w:rsidRPr="00EF76BC">
              <w:rPr>
                <w:rFonts w:ascii="Palatino Linotype" w:hAnsi="Palatino Linotype" w:cs="Arial"/>
                <w:lang w:val="es-ES_tradnl"/>
              </w:rPr>
              <w:t xml:space="preserve"> del Pleno</w:t>
            </w:r>
          </w:p>
          <w:p w:rsidR="00B57F03" w:rsidRPr="00EF76BC" w:rsidRDefault="00B57F03" w:rsidP="001B78AF">
            <w:pPr>
              <w:jc w:val="center"/>
              <w:rPr>
                <w:rFonts w:ascii="Palatino Linotype" w:hAnsi="Palatino Linotype" w:cs="Arial"/>
                <w:lang w:val="es-ES_tradnl"/>
              </w:rPr>
            </w:pPr>
            <w:r w:rsidRPr="00782540">
              <w:rPr>
                <w:rFonts w:ascii="Palatino Linotype" w:hAnsi="Palatino Linotype" w:cs="Arial"/>
                <w:b/>
                <w:color w:val="FFFFFF" w:themeColor="background1"/>
                <w:lang w:val="es-ES_tradnl"/>
              </w:rPr>
              <w:t>(RÚBRICA)</w:t>
            </w:r>
          </w:p>
        </w:tc>
      </w:tr>
      <w:tr w:rsidR="00B57F03" w:rsidRPr="00EF76BC" w:rsidTr="001B78AF">
        <w:trPr>
          <w:jc w:val="center"/>
        </w:trPr>
        <w:tc>
          <w:tcPr>
            <w:tcW w:w="5184" w:type="dxa"/>
          </w:tcPr>
          <w:p w:rsidR="00B57F03" w:rsidRPr="00EF76BC" w:rsidRDefault="00B57F03" w:rsidP="001B78AF">
            <w:pPr>
              <w:jc w:val="center"/>
              <w:rPr>
                <w:rFonts w:ascii="Palatino Linotype" w:hAnsi="Palatino Linotype" w:cs="Arial"/>
                <w:b/>
                <w:lang w:val="es-ES_tradnl"/>
              </w:rPr>
            </w:pPr>
          </w:p>
        </w:tc>
        <w:tc>
          <w:tcPr>
            <w:tcW w:w="5184" w:type="dxa"/>
          </w:tcPr>
          <w:p w:rsidR="00B57F03" w:rsidRPr="00EF76BC" w:rsidRDefault="00B57F03" w:rsidP="001B78AF">
            <w:pPr>
              <w:jc w:val="center"/>
              <w:rPr>
                <w:rFonts w:ascii="Palatino Linotype" w:hAnsi="Palatino Linotype" w:cs="Arial"/>
                <w:b/>
                <w:lang w:val="es-ES_tradnl"/>
              </w:rPr>
            </w:pPr>
          </w:p>
        </w:tc>
      </w:tr>
    </w:tbl>
    <w:p w:rsidR="006A60F1" w:rsidRDefault="006A60F1" w:rsidP="00F1213C">
      <w:pPr>
        <w:jc w:val="both"/>
        <w:rPr>
          <w:rFonts w:ascii="Palatino Linotype" w:hAnsi="Palatino Linotype"/>
          <w:sz w:val="21"/>
          <w:szCs w:val="21"/>
          <w:lang w:val="es-ES_tradnl"/>
        </w:rPr>
      </w:pPr>
    </w:p>
    <w:p w:rsidR="006A60F1" w:rsidRDefault="006A60F1" w:rsidP="00F1213C">
      <w:pPr>
        <w:jc w:val="both"/>
        <w:rPr>
          <w:rFonts w:ascii="Palatino Linotype" w:hAnsi="Palatino Linotype"/>
          <w:sz w:val="21"/>
          <w:szCs w:val="21"/>
          <w:lang w:val="es-ES_tradnl"/>
        </w:rPr>
      </w:pPr>
    </w:p>
    <w:p w:rsidR="006A60F1" w:rsidRDefault="006A60F1" w:rsidP="00F1213C">
      <w:pPr>
        <w:jc w:val="both"/>
        <w:rPr>
          <w:rFonts w:ascii="Palatino Linotype" w:hAnsi="Palatino Linotype"/>
          <w:sz w:val="21"/>
          <w:szCs w:val="21"/>
          <w:lang w:val="es-ES_tradnl"/>
        </w:rPr>
      </w:pPr>
    </w:p>
    <w:p w:rsidR="006A60F1" w:rsidRDefault="006A60F1" w:rsidP="00F1213C">
      <w:pPr>
        <w:jc w:val="both"/>
        <w:rPr>
          <w:rFonts w:ascii="Palatino Linotype" w:hAnsi="Palatino Linotype"/>
          <w:sz w:val="21"/>
          <w:szCs w:val="21"/>
          <w:lang w:val="es-ES_tradnl"/>
        </w:rPr>
      </w:pPr>
    </w:p>
    <w:p w:rsidR="006A60F1" w:rsidRDefault="006A60F1" w:rsidP="00F1213C">
      <w:pPr>
        <w:jc w:val="both"/>
        <w:rPr>
          <w:rFonts w:ascii="Palatino Linotype" w:hAnsi="Palatino Linotype"/>
          <w:sz w:val="21"/>
          <w:szCs w:val="21"/>
          <w:lang w:val="es-ES_tradnl"/>
        </w:rPr>
      </w:pPr>
    </w:p>
    <w:p w:rsidR="006A60F1" w:rsidRDefault="006A60F1" w:rsidP="00F1213C">
      <w:pPr>
        <w:jc w:val="both"/>
        <w:rPr>
          <w:rFonts w:ascii="Palatino Linotype" w:hAnsi="Palatino Linotype"/>
          <w:sz w:val="21"/>
          <w:szCs w:val="21"/>
          <w:lang w:val="es-ES_tradnl"/>
        </w:rPr>
      </w:pPr>
    </w:p>
    <w:p w:rsidR="00F1213C" w:rsidRPr="00103B70" w:rsidRDefault="00F1213C" w:rsidP="00F1213C">
      <w:pPr>
        <w:jc w:val="both"/>
        <w:rPr>
          <w:rFonts w:ascii="Palatino Linotype" w:hAnsi="Palatino Linotype"/>
          <w:sz w:val="21"/>
          <w:szCs w:val="21"/>
          <w:lang w:val="es-ES_tradnl"/>
        </w:rPr>
      </w:pPr>
      <w:r w:rsidRPr="00103B70">
        <w:rPr>
          <w:rFonts w:ascii="Palatino Linotype" w:hAnsi="Palatino Linotype"/>
          <w:sz w:val="21"/>
          <w:szCs w:val="21"/>
          <w:lang w:val="es-ES_tradnl"/>
        </w:rPr>
        <w:t>Esta hoja correspon</w:t>
      </w:r>
      <w:r>
        <w:rPr>
          <w:rFonts w:ascii="Palatino Linotype" w:hAnsi="Palatino Linotype"/>
          <w:sz w:val="21"/>
          <w:szCs w:val="21"/>
          <w:lang w:val="es-ES_tradnl"/>
        </w:rPr>
        <w:t xml:space="preserve">de a la resolución de fecha </w:t>
      </w:r>
      <w:r w:rsidR="00B57F03">
        <w:rPr>
          <w:rFonts w:ascii="Palatino Linotype" w:hAnsi="Palatino Linotype"/>
          <w:sz w:val="21"/>
          <w:szCs w:val="21"/>
          <w:lang w:val="es-ES_tradnl"/>
        </w:rPr>
        <w:t>diecisiete de octubre</w:t>
      </w:r>
      <w:r>
        <w:rPr>
          <w:rFonts w:ascii="Palatino Linotype" w:hAnsi="Palatino Linotype"/>
          <w:sz w:val="21"/>
          <w:szCs w:val="21"/>
          <w:lang w:val="es-ES_tradnl"/>
        </w:rPr>
        <w:t xml:space="preserve"> </w:t>
      </w:r>
      <w:r w:rsidRPr="00103B70">
        <w:rPr>
          <w:rFonts w:ascii="Palatino Linotype" w:hAnsi="Palatino Linotype"/>
          <w:sz w:val="21"/>
          <w:szCs w:val="21"/>
          <w:lang w:val="es-ES_tradnl"/>
        </w:rPr>
        <w:t xml:space="preserve">de dos mil dieciocho, emitida en el </w:t>
      </w:r>
      <w:r w:rsidR="00B57F03">
        <w:rPr>
          <w:rFonts w:ascii="Palatino Linotype" w:hAnsi="Palatino Linotype"/>
          <w:sz w:val="21"/>
          <w:szCs w:val="21"/>
          <w:lang w:val="es-ES_tradnl"/>
        </w:rPr>
        <w:t>recurso de revisión número 02852</w:t>
      </w:r>
      <w:r w:rsidRPr="00103B70">
        <w:rPr>
          <w:rFonts w:ascii="Palatino Linotype" w:hAnsi="Palatino Linotype"/>
          <w:sz w:val="21"/>
          <w:szCs w:val="21"/>
          <w:lang w:val="es-ES_tradnl"/>
        </w:rPr>
        <w:t>/INFOEM/IP/RR/2018.</w:t>
      </w:r>
    </w:p>
    <w:p w:rsidR="00C23B43" w:rsidRDefault="00B57F03" w:rsidP="00B57F03">
      <w:pPr>
        <w:widowControl w:val="0"/>
        <w:autoSpaceDE w:val="0"/>
        <w:autoSpaceDN w:val="0"/>
        <w:adjustRightInd w:val="0"/>
        <w:spacing w:before="160" w:after="160" w:line="360" w:lineRule="auto"/>
        <w:jc w:val="both"/>
      </w:pPr>
      <w:r>
        <w:rPr>
          <w:rFonts w:ascii="Palatino Linotype" w:hAnsi="Palatino Linotype"/>
          <w:sz w:val="21"/>
          <w:szCs w:val="21"/>
          <w:lang w:val="es-ES_tradnl"/>
        </w:rPr>
        <w:t>YSM</w:t>
      </w:r>
      <w:r w:rsidR="00F1213C">
        <w:rPr>
          <w:rFonts w:ascii="Palatino Linotype" w:hAnsi="Palatino Linotype"/>
          <w:sz w:val="21"/>
          <w:szCs w:val="21"/>
          <w:lang w:val="es-ES_tradnl"/>
        </w:rPr>
        <w:t>/</w:t>
      </w:r>
      <w:r w:rsidR="00F1213C" w:rsidRPr="00103B70">
        <w:rPr>
          <w:rFonts w:ascii="Palatino Linotype" w:hAnsi="Palatino Linotype"/>
          <w:sz w:val="21"/>
          <w:szCs w:val="21"/>
          <w:lang w:val="es-ES_tradnl"/>
        </w:rPr>
        <w:t>AMV</w:t>
      </w:r>
    </w:p>
    <w:sectPr w:rsidR="00C23B43" w:rsidSect="005526C5">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B11" w:rsidRDefault="00022B11" w:rsidP="00F1213C">
      <w:r>
        <w:separator/>
      </w:r>
    </w:p>
  </w:endnote>
  <w:endnote w:type="continuationSeparator" w:id="0">
    <w:p w:rsidR="00022B11" w:rsidRDefault="00022B11" w:rsidP="00F12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6C5" w:rsidRPr="00A2780F" w:rsidRDefault="005526C5" w:rsidP="005526C5">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96523">
      <w:rPr>
        <w:rFonts w:ascii="Arial" w:hAnsi="Arial" w:cs="Arial"/>
        <w:b/>
        <w:bCs/>
        <w:noProof/>
        <w:sz w:val="20"/>
        <w:szCs w:val="20"/>
      </w:rPr>
      <w:t>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96523">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6C5" w:rsidRDefault="005526C5" w:rsidP="005526C5">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9652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96523">
      <w:rPr>
        <w:rFonts w:ascii="Arial" w:hAnsi="Arial" w:cs="Arial"/>
        <w:b/>
        <w:bCs/>
        <w:noProof/>
        <w:sz w:val="20"/>
        <w:szCs w:val="20"/>
      </w:rPr>
      <w:t>35</w:t>
    </w:r>
    <w:r w:rsidRPr="00986599">
      <w:rPr>
        <w:rFonts w:ascii="Arial" w:hAnsi="Arial" w:cs="Arial"/>
        <w:b/>
        <w:bCs/>
        <w:sz w:val="20"/>
        <w:szCs w:val="20"/>
      </w:rPr>
      <w:fldChar w:fldCharType="end"/>
    </w:r>
  </w:p>
  <w:p w:rsidR="005526C5" w:rsidRPr="00070856" w:rsidRDefault="005526C5" w:rsidP="005526C5">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B11" w:rsidRDefault="00022B11" w:rsidP="00F1213C">
      <w:r>
        <w:separator/>
      </w:r>
    </w:p>
  </w:footnote>
  <w:footnote w:type="continuationSeparator" w:id="0">
    <w:p w:rsidR="00022B11" w:rsidRDefault="00022B11" w:rsidP="00F1213C">
      <w:r>
        <w:continuationSeparator/>
      </w:r>
    </w:p>
  </w:footnote>
  <w:footnote w:id="1">
    <w:p w:rsidR="00F14970" w:rsidRPr="00F14970" w:rsidRDefault="00F14970" w:rsidP="00F14970">
      <w:pPr>
        <w:pStyle w:val="Textonotapie"/>
        <w:jc w:val="both"/>
        <w:rPr>
          <w:rFonts w:ascii="Palatino Linotype" w:hAnsi="Palatino Linotype"/>
          <w:sz w:val="16"/>
          <w:szCs w:val="16"/>
        </w:rPr>
      </w:pPr>
      <w:r>
        <w:rPr>
          <w:rStyle w:val="Refdenotaalpie"/>
        </w:rPr>
        <w:footnoteRef/>
      </w:r>
      <w:r>
        <w:t xml:space="preserve"> </w:t>
      </w:r>
      <w:r w:rsidRPr="00F14970">
        <w:rPr>
          <w:rFonts w:ascii="Palatino Linotype" w:hAnsi="Palatino Linotype"/>
          <w:b/>
          <w:sz w:val="16"/>
          <w:szCs w:val="16"/>
        </w:rPr>
        <w:t>Artículo 11.-</w:t>
      </w:r>
      <w:r w:rsidRPr="00F14970">
        <w:rPr>
          <w:rFonts w:ascii="Palatino Linotype" w:hAnsi="Palatino Linotype"/>
          <w:sz w:val="16"/>
          <w:szCs w:val="16"/>
        </w:rPr>
        <w:t xml:space="preserve"> </w:t>
      </w:r>
      <w:r w:rsidRPr="00F14970">
        <w:rPr>
          <w:rFonts w:ascii="Palatino Linotype" w:hAnsi="Palatino Linotype"/>
          <w:b/>
          <w:sz w:val="16"/>
          <w:szCs w:val="16"/>
        </w:rPr>
        <w:t>La organización, desarrollo y vigilancia de los procesos electorales para las elecciones de Gobernador, Diputados a la Legislatura del Estado y miembros de Ayuntamientos es una función que se realiza a través del Instituto Nacional Electoral y el Organismo Público Electoral del Estado de México, denominado Instituto Electoral del Estado de México, dotado de personalidad jurídica y patrimonio propios, éste contará con un Órgano de Dirección Superior, integrado por un Consejero Presidente y seis Consejeros Electorales, con derecho a voz y voto, designados por el Consejo General del Instituto Nacional Electoral.</w:t>
      </w:r>
      <w:r w:rsidRPr="00F14970">
        <w:rPr>
          <w:rFonts w:ascii="Palatino Linotype" w:hAnsi="Palatino Linotype"/>
          <w:sz w:val="16"/>
          <w:szCs w:val="16"/>
        </w:rPr>
        <w:t xml:space="preserve"> Asimismo, se integrará con un representante de cada partido político y un Secretario Ejecutivo, quienes asistirán con voz, pero sin voto. En el ejercicio de esta función, la certeza, imparcialidad, independencia, legalidad, máxima publicidad y objetividad serán principios rectores.</w:t>
      </w:r>
    </w:p>
    <w:p w:rsidR="00F14970" w:rsidRPr="00CF2507" w:rsidRDefault="00F14970" w:rsidP="00F14970">
      <w:pPr>
        <w:pStyle w:val="Textonotapie"/>
        <w:jc w:val="both"/>
        <w:rPr>
          <w:rFonts w:ascii="Palatino Linotype" w:hAnsi="Palatino Linotype"/>
          <w:b/>
          <w:sz w:val="16"/>
          <w:szCs w:val="16"/>
        </w:rPr>
      </w:pPr>
      <w:r w:rsidRPr="00CF2507">
        <w:rPr>
          <w:rFonts w:ascii="Palatino Linotype" w:hAnsi="Palatino Linotype"/>
          <w:b/>
          <w:sz w:val="16"/>
          <w:szCs w:val="16"/>
        </w:rPr>
        <w:t>El Instituto Electoral del Estado de México será autoridad en la materia, independiente en sus decisiones y funcionamiento, y profesional en su desempeño; contará en su estructura con órganos de dirección, ejecutivos, técnicos, operativos y de vigilancia.</w:t>
      </w:r>
    </w:p>
    <w:p w:rsidR="00F14970" w:rsidRDefault="00F14970" w:rsidP="00F14970">
      <w:pPr>
        <w:pStyle w:val="Textonotapie"/>
        <w:jc w:val="both"/>
        <w:rPr>
          <w:rFonts w:ascii="Palatino Linotype" w:hAnsi="Palatino Linotype"/>
          <w:sz w:val="16"/>
          <w:szCs w:val="16"/>
        </w:rPr>
      </w:pPr>
      <w:r w:rsidRPr="00F14970">
        <w:rPr>
          <w:rFonts w:ascii="Palatino Linotype" w:hAnsi="Palatino Linotype"/>
          <w:sz w:val="16"/>
          <w:szCs w:val="16"/>
        </w:rPr>
        <w:t>El Secretario Ejecutivo será nombrado por el Consejo General del Instituto Electoral del Estado de México en la forma y términos que señale la ley, durará en su cargo seis años y fungirá como Secretario del Consejo General.</w:t>
      </w:r>
    </w:p>
    <w:p w:rsidR="00CF2507" w:rsidRPr="00F14970" w:rsidRDefault="00CF2507" w:rsidP="00F14970">
      <w:pPr>
        <w:pStyle w:val="Textonotapie"/>
        <w:jc w:val="both"/>
        <w:rPr>
          <w:rFonts w:ascii="Palatino Linotype" w:hAnsi="Palatino Linotype"/>
          <w:sz w:val="16"/>
          <w:szCs w:val="16"/>
        </w:rPr>
      </w:pPr>
      <w:r>
        <w:rPr>
          <w:rFonts w:ascii="Palatino Linotype" w:hAnsi="Palatino Linotype"/>
          <w:sz w:val="16"/>
          <w:szCs w:val="16"/>
        </w:rPr>
        <w:t>…</w:t>
      </w:r>
    </w:p>
    <w:p w:rsidR="00F14970" w:rsidRPr="00CF2507" w:rsidRDefault="00F14970" w:rsidP="00CF2507">
      <w:pPr>
        <w:pStyle w:val="Textonotapie"/>
        <w:jc w:val="both"/>
        <w:rPr>
          <w:rFonts w:ascii="Palatino Linotype" w:hAnsi="Palatino Linotype"/>
          <w:sz w:val="16"/>
          <w:szCs w:val="16"/>
        </w:rPr>
      </w:pPr>
      <w:r w:rsidRPr="00CF2507">
        <w:rPr>
          <w:rFonts w:ascii="Palatino Linotype" w:hAnsi="Palatino Linotype"/>
          <w:b/>
          <w:sz w:val="16"/>
          <w:szCs w:val="16"/>
        </w:rPr>
        <w:t>El Consejero Presidente y los Consejeros Electorales durarán en su cargo siete años y no podrán ser reelectos</w:t>
      </w:r>
      <w:r w:rsidRPr="00CF2507">
        <w:rPr>
          <w:rFonts w:ascii="Palatino Linotype" w:hAnsi="Palatino Linotype"/>
          <w:sz w:val="16"/>
          <w:szCs w:val="16"/>
        </w:rPr>
        <w:t xml:space="preserve">. Durante su ejercicio no podrán tener otro empleo, cargo o comisión, con excepción de los no remunerados en actividades docentes, científicas, culturales, de investigación o de beneficencia. </w:t>
      </w:r>
      <w:r w:rsidRPr="00CF2507">
        <w:rPr>
          <w:rFonts w:ascii="Palatino Linotype" w:hAnsi="Palatino Linotype"/>
          <w:b/>
          <w:sz w:val="16"/>
          <w:szCs w:val="16"/>
        </w:rPr>
        <w:t>Tampoco podrán asumir un cargo público en los órganos emanados de las elecciones en cuya organización y desarrollo hubieren participado, ni ser postulados para un cargo de elección popular o asumir un cargo de dirigencia partidista, durante los dos años posteriores al término de su encargo</w:t>
      </w:r>
      <w:r w:rsidR="00CF2507">
        <w:rPr>
          <w:rFonts w:ascii="Palatino Linotype" w:hAnsi="Palatino Linotype"/>
          <w:b/>
          <w:sz w:val="16"/>
          <w:szCs w:val="16"/>
        </w:rPr>
        <w:t>.</w:t>
      </w:r>
    </w:p>
    <w:p w:rsidR="00F14970" w:rsidRPr="00CF2507" w:rsidRDefault="00CF2507" w:rsidP="00CF2507">
      <w:pPr>
        <w:pStyle w:val="Textonotapie"/>
        <w:jc w:val="both"/>
        <w:rPr>
          <w:rFonts w:ascii="Palatino Linotype" w:hAnsi="Palatino Linotype"/>
          <w:sz w:val="16"/>
          <w:szCs w:val="16"/>
        </w:rPr>
      </w:pPr>
      <w:r>
        <w:rPr>
          <w:rFonts w:ascii="Palatino Linotype" w:hAnsi="Palatino Linotype"/>
          <w:sz w:val="16"/>
          <w:szCs w:val="16"/>
        </w:rPr>
        <w:t>…</w:t>
      </w:r>
    </w:p>
    <w:p w:rsidR="00F14970" w:rsidRPr="00CF2507" w:rsidRDefault="00F14970" w:rsidP="00CF2507">
      <w:pPr>
        <w:pStyle w:val="Textonotapie"/>
        <w:jc w:val="both"/>
        <w:rPr>
          <w:rFonts w:ascii="Palatino Linotype" w:hAnsi="Palatino Linotype"/>
          <w:b/>
          <w:sz w:val="16"/>
          <w:szCs w:val="16"/>
        </w:rPr>
      </w:pPr>
      <w:r w:rsidRPr="00CF2507">
        <w:rPr>
          <w:rFonts w:ascii="Palatino Linotype" w:hAnsi="Palatino Linotype"/>
          <w:b/>
          <w:sz w:val="16"/>
          <w:szCs w:val="16"/>
        </w:rPr>
        <w:t>El Consejero Presidente y los Consejeros Electorales, cuando no haya proceso electoral, estarán obligados a realizar tareas de investigación, docencia y difusión de la materia electoral, de participación ciudadana y de educación cívica</w:t>
      </w:r>
      <w:r w:rsidR="00CF2507">
        <w:rPr>
          <w:rFonts w:ascii="Palatino Linotype" w:hAnsi="Palatino Linotype"/>
          <w:b/>
          <w:sz w:val="16"/>
          <w:szCs w:val="16"/>
        </w:rPr>
        <w:t>.</w:t>
      </w:r>
    </w:p>
    <w:p w:rsidR="00CF2507" w:rsidRDefault="00CF2507" w:rsidP="00CF2507">
      <w:pPr>
        <w:pStyle w:val="Textonotapie"/>
        <w:jc w:val="both"/>
        <w:rPr>
          <w:rFonts w:ascii="Palatino Linotype" w:hAnsi="Palatino Linotype"/>
          <w:sz w:val="16"/>
          <w:szCs w:val="16"/>
        </w:rPr>
      </w:pPr>
      <w:r>
        <w:rPr>
          <w:rFonts w:ascii="Palatino Linotype" w:hAnsi="Palatino Linotype"/>
          <w:sz w:val="16"/>
          <w:szCs w:val="16"/>
        </w:rPr>
        <w:t>…</w:t>
      </w:r>
    </w:p>
    <w:p w:rsidR="00F14970" w:rsidRPr="00CF2507" w:rsidRDefault="00F14970" w:rsidP="00CF2507">
      <w:pPr>
        <w:pStyle w:val="Textonotapie"/>
        <w:jc w:val="both"/>
        <w:rPr>
          <w:rFonts w:ascii="Palatino Linotype" w:hAnsi="Palatino Linotype"/>
          <w:b/>
          <w:sz w:val="16"/>
          <w:szCs w:val="16"/>
        </w:rPr>
      </w:pPr>
      <w:r w:rsidRPr="00CF2507">
        <w:rPr>
          <w:rFonts w:ascii="Palatino Linotype" w:hAnsi="Palatino Linotype"/>
          <w:b/>
          <w:sz w:val="16"/>
          <w:szCs w:val="16"/>
        </w:rPr>
        <w:t>Las leyes determinarán los regímenes laboral y de responsabilidades de los servidores públicos del Instituto Electoral del Estado de México.</w:t>
      </w:r>
    </w:p>
    <w:p w:rsidR="00F14970" w:rsidRPr="00CF2507" w:rsidRDefault="00CF2507" w:rsidP="00CF2507">
      <w:pPr>
        <w:pStyle w:val="Textonotapie"/>
        <w:jc w:val="both"/>
        <w:rPr>
          <w:rFonts w:ascii="Palatino Linotype" w:hAnsi="Palatino Linotype"/>
          <w:sz w:val="16"/>
          <w:szCs w:val="16"/>
        </w:rPr>
      </w:pPr>
      <w:r>
        <w:rPr>
          <w:rFonts w:ascii="Palatino Linotype" w:hAnsi="Palatino Linotype"/>
          <w:sz w:val="16"/>
          <w:szCs w:val="16"/>
        </w:rPr>
        <w:t>…</w:t>
      </w:r>
    </w:p>
    <w:p w:rsidR="00F14970" w:rsidRPr="00CF2507" w:rsidRDefault="00F14970" w:rsidP="00CF2507">
      <w:pPr>
        <w:pStyle w:val="Textonotapie"/>
        <w:jc w:val="both"/>
        <w:rPr>
          <w:rFonts w:ascii="Palatino Linotype" w:hAnsi="Palatino Linotype"/>
          <w:sz w:val="16"/>
          <w:szCs w:val="16"/>
        </w:rPr>
      </w:pPr>
      <w:r w:rsidRPr="00CF2507">
        <w:rPr>
          <w:rFonts w:ascii="Palatino Linotype" w:hAnsi="Palatino Linotype"/>
          <w:b/>
          <w:sz w:val="16"/>
          <w:szCs w:val="16"/>
        </w:rPr>
        <w:t>Asimismo, se faculta al Instituto Electoral del Estado de México a celebrar convenios con los ayuntamientos del Estado de México para la organización, desarrollo y vigilancia de las elecciones de autoridades auxiliares municipales. A petición de los partidos políticos locales y con cargo a sus prerrogativas, en los términos que establezca la ley, podrá organizar las elecciones de sus dirigentes.</w:t>
      </w:r>
    </w:p>
  </w:footnote>
  <w:footnote w:id="2">
    <w:p w:rsidR="00CF2507" w:rsidRPr="00CF2507" w:rsidRDefault="00CF2507">
      <w:pPr>
        <w:pStyle w:val="Textonotapie"/>
        <w:rPr>
          <w:rFonts w:ascii="Palatino Linotype" w:hAnsi="Palatino Linotype"/>
          <w:sz w:val="16"/>
          <w:szCs w:val="16"/>
        </w:rPr>
      </w:pPr>
      <w:r>
        <w:rPr>
          <w:rStyle w:val="Refdenotaalpie"/>
        </w:rPr>
        <w:footnoteRef/>
      </w:r>
      <w:r>
        <w:t xml:space="preserve"> </w:t>
      </w:r>
      <w:r w:rsidRPr="00CF2507">
        <w:rPr>
          <w:rFonts w:ascii="Palatino Linotype" w:hAnsi="Palatino Linotype"/>
          <w:b/>
          <w:sz w:val="16"/>
          <w:szCs w:val="16"/>
        </w:rPr>
        <w:t xml:space="preserve">Artículo 169. </w:t>
      </w:r>
      <w:r w:rsidRPr="00CF2507">
        <w:rPr>
          <w:rFonts w:ascii="Palatino Linotype" w:hAnsi="Palatino Linotype"/>
          <w:sz w:val="16"/>
          <w:szCs w:val="16"/>
        </w:rPr>
        <w:t xml:space="preserve">El </w:t>
      </w:r>
      <w:r w:rsidRPr="00CF2507">
        <w:rPr>
          <w:rFonts w:ascii="Palatino Linotype" w:hAnsi="Palatino Linotype"/>
          <w:b/>
          <w:sz w:val="16"/>
          <w:szCs w:val="16"/>
        </w:rPr>
        <w:t>Instituto se regirá para su organización, funcionamiento y control por las disposiciones constitucionales relativas, las que emita el Instituto Nacional Electoral, las que le resulten aplicables y las de este Código.</w:t>
      </w:r>
    </w:p>
  </w:footnote>
  <w:footnote w:id="3">
    <w:p w:rsidR="000A6AB1" w:rsidRPr="00B76015" w:rsidRDefault="000A6AB1" w:rsidP="000A6AB1">
      <w:pPr>
        <w:widowControl w:val="0"/>
        <w:autoSpaceDE w:val="0"/>
        <w:autoSpaceDN w:val="0"/>
        <w:adjustRightInd w:val="0"/>
        <w:jc w:val="both"/>
        <w:rPr>
          <w:b/>
        </w:rPr>
      </w:pPr>
      <w:r>
        <w:rPr>
          <w:rStyle w:val="Refdenotaalpie"/>
        </w:rPr>
        <w:footnoteRef/>
      </w:r>
      <w:r>
        <w:t xml:space="preserve"> </w:t>
      </w:r>
      <w:r w:rsidRPr="00B76015">
        <w:rPr>
          <w:rFonts w:ascii="Palatino Linotype" w:hAnsi="Palatino Linotype"/>
          <w:b/>
          <w:sz w:val="16"/>
          <w:szCs w:val="16"/>
        </w:rPr>
        <w:t>Código Electoral del Estado de México.</w:t>
      </w:r>
    </w:p>
    <w:p w:rsidR="000A6AB1" w:rsidRPr="00B76015" w:rsidRDefault="000A6AB1" w:rsidP="000A6AB1">
      <w:pPr>
        <w:widowControl w:val="0"/>
        <w:autoSpaceDE w:val="0"/>
        <w:autoSpaceDN w:val="0"/>
        <w:adjustRightInd w:val="0"/>
        <w:jc w:val="both"/>
        <w:rPr>
          <w:rFonts w:ascii="Palatino Linotype" w:hAnsi="Palatino Linotype"/>
          <w:sz w:val="16"/>
          <w:szCs w:val="16"/>
        </w:rPr>
      </w:pPr>
      <w:r w:rsidRPr="00B76015">
        <w:rPr>
          <w:rFonts w:ascii="Palatino Linotype" w:hAnsi="Palatino Linotype"/>
          <w:b/>
          <w:sz w:val="16"/>
          <w:szCs w:val="16"/>
        </w:rPr>
        <w:t>Artículo 208.</w:t>
      </w:r>
      <w:r w:rsidRPr="00B76015">
        <w:rPr>
          <w:rFonts w:ascii="Palatino Linotype" w:hAnsi="Palatino Linotype"/>
          <w:sz w:val="16"/>
          <w:szCs w:val="16"/>
        </w:rPr>
        <w:t xml:space="preserve"> </w:t>
      </w:r>
      <w:r w:rsidRPr="00B76015">
        <w:rPr>
          <w:rFonts w:ascii="Palatino Linotype" w:hAnsi="Palatino Linotype"/>
          <w:b/>
          <w:sz w:val="16"/>
          <w:szCs w:val="16"/>
        </w:rPr>
        <w:t>Los consejos distritales electorales funcionarán durante el proceso para la elección de diputados y para la de Gobernador del Estado,</w:t>
      </w:r>
      <w:r w:rsidRPr="00B76015">
        <w:rPr>
          <w:rFonts w:ascii="Palatino Linotype" w:hAnsi="Palatino Linotype"/>
          <w:sz w:val="16"/>
          <w:szCs w:val="16"/>
        </w:rPr>
        <w:t xml:space="preserve"> y se integrarán con los siguientes</w:t>
      </w:r>
      <w:r>
        <w:t xml:space="preserve"> </w:t>
      </w:r>
      <w:r w:rsidRPr="00B76015">
        <w:rPr>
          <w:rFonts w:ascii="Palatino Linotype" w:hAnsi="Palatino Linotype"/>
          <w:sz w:val="16"/>
          <w:szCs w:val="16"/>
        </w:rPr>
        <w:t>miembros:</w:t>
      </w:r>
    </w:p>
    <w:p w:rsidR="000A6AB1" w:rsidRPr="00B76015" w:rsidRDefault="000A6AB1" w:rsidP="000A6AB1">
      <w:pPr>
        <w:widowControl w:val="0"/>
        <w:autoSpaceDE w:val="0"/>
        <w:autoSpaceDN w:val="0"/>
        <w:adjustRightInd w:val="0"/>
        <w:jc w:val="both"/>
        <w:rPr>
          <w:rFonts w:ascii="Palatino Linotype" w:hAnsi="Palatino Linotype"/>
          <w:sz w:val="16"/>
          <w:szCs w:val="16"/>
        </w:rPr>
      </w:pPr>
      <w:r w:rsidRPr="00B76015">
        <w:rPr>
          <w:rFonts w:ascii="Palatino Linotype" w:hAnsi="Palatino Linotype"/>
          <w:sz w:val="16"/>
          <w:szCs w:val="16"/>
        </w:rPr>
        <w:t>I. Dos Consejeros que serán el Vocal Ejecutivo y el Vocal de Organización Electoral de la Junta Distrital correspondiente. Fungirá como presidente del Consejo el Vocal Ejecutivo con derecho a voz y voto y, en caso de empate, con voto de calidad; y como secretario del Consejo, el Vocal de Organización Electoral, con voz y sin voto, quien auxiliará al presidente en sus funciones y lo suplirá en sus ausencias.</w:t>
      </w:r>
    </w:p>
    <w:p w:rsidR="000A6AB1" w:rsidRPr="00B76015" w:rsidRDefault="000A6AB1" w:rsidP="000A6AB1">
      <w:pPr>
        <w:widowControl w:val="0"/>
        <w:autoSpaceDE w:val="0"/>
        <w:autoSpaceDN w:val="0"/>
        <w:adjustRightInd w:val="0"/>
        <w:jc w:val="both"/>
        <w:rPr>
          <w:rFonts w:ascii="Palatino Linotype" w:hAnsi="Palatino Linotype"/>
          <w:sz w:val="16"/>
          <w:szCs w:val="16"/>
        </w:rPr>
      </w:pPr>
      <w:r w:rsidRPr="00B76015">
        <w:rPr>
          <w:rFonts w:ascii="Palatino Linotype" w:hAnsi="Palatino Linotype"/>
          <w:sz w:val="16"/>
          <w:szCs w:val="16"/>
        </w:rPr>
        <w:t>El Secretario del Consejo Distrital será suplido en sus ausencias temporales por el funcionario que designe el propio Consejo Distrital</w:t>
      </w:r>
    </w:p>
    <w:p w:rsidR="000A6AB1" w:rsidRPr="00B76015" w:rsidRDefault="000A6AB1" w:rsidP="000A6AB1">
      <w:pPr>
        <w:widowControl w:val="0"/>
        <w:autoSpaceDE w:val="0"/>
        <w:autoSpaceDN w:val="0"/>
        <w:adjustRightInd w:val="0"/>
        <w:jc w:val="both"/>
        <w:rPr>
          <w:rFonts w:ascii="Palatino Linotype" w:hAnsi="Palatino Linotype"/>
          <w:sz w:val="16"/>
          <w:szCs w:val="16"/>
        </w:rPr>
      </w:pPr>
      <w:r w:rsidRPr="00B76015">
        <w:rPr>
          <w:rFonts w:ascii="Palatino Linotype" w:hAnsi="Palatino Linotype"/>
          <w:sz w:val="16"/>
          <w:szCs w:val="16"/>
        </w:rPr>
        <w:t>II. Seis Consejeros Electorales, con voz y voto, electos en los términos señalados en este Código.</w:t>
      </w:r>
    </w:p>
    <w:p w:rsidR="000A6AB1" w:rsidRPr="00B76015" w:rsidRDefault="000A6AB1" w:rsidP="000A6AB1">
      <w:pPr>
        <w:widowControl w:val="0"/>
        <w:autoSpaceDE w:val="0"/>
        <w:autoSpaceDN w:val="0"/>
        <w:adjustRightInd w:val="0"/>
        <w:jc w:val="both"/>
        <w:rPr>
          <w:rFonts w:ascii="Palatino Linotype" w:hAnsi="Palatino Linotype" w:cs="Arial"/>
          <w:sz w:val="16"/>
          <w:szCs w:val="16"/>
        </w:rPr>
      </w:pPr>
      <w:r w:rsidRPr="00B76015">
        <w:rPr>
          <w:rFonts w:ascii="Palatino Linotype" w:hAnsi="Palatino Linotype"/>
          <w:sz w:val="16"/>
          <w:szCs w:val="16"/>
        </w:rPr>
        <w:t>III. Un representante de cada uno de los partidos políticos con registro, quienes tendrán derecho a voz y sin voto.</w:t>
      </w:r>
    </w:p>
    <w:p w:rsidR="000A6AB1" w:rsidRPr="00B76015" w:rsidRDefault="000A6AB1" w:rsidP="000A6AB1">
      <w:pPr>
        <w:widowControl w:val="0"/>
        <w:autoSpaceDE w:val="0"/>
        <w:autoSpaceDN w:val="0"/>
        <w:adjustRightInd w:val="0"/>
        <w:jc w:val="both"/>
        <w:rPr>
          <w:rFonts w:ascii="Palatino Linotype" w:hAnsi="Palatino Linotype"/>
          <w:sz w:val="16"/>
          <w:szCs w:val="16"/>
        </w:rPr>
      </w:pPr>
      <w:r w:rsidRPr="00B76015">
        <w:rPr>
          <w:rFonts w:ascii="Palatino Linotype" w:hAnsi="Palatino Linotype"/>
          <w:b/>
          <w:sz w:val="16"/>
          <w:szCs w:val="16"/>
        </w:rPr>
        <w:t>Artículo 217.</w:t>
      </w:r>
      <w:r w:rsidRPr="00B76015">
        <w:rPr>
          <w:rFonts w:ascii="Palatino Linotype" w:hAnsi="Palatino Linotype"/>
          <w:sz w:val="16"/>
          <w:szCs w:val="16"/>
        </w:rPr>
        <w:t xml:space="preserve"> </w:t>
      </w:r>
      <w:r w:rsidRPr="00B76015">
        <w:rPr>
          <w:rFonts w:ascii="Palatino Linotype" w:hAnsi="Palatino Linotype"/>
          <w:b/>
          <w:sz w:val="16"/>
          <w:szCs w:val="16"/>
        </w:rPr>
        <w:t xml:space="preserve">Los consejos municipales electorales funcionarán durante el proceso para la elección de ayuntamientos </w:t>
      </w:r>
      <w:r w:rsidRPr="00B76015">
        <w:rPr>
          <w:rFonts w:ascii="Palatino Linotype" w:hAnsi="Palatino Linotype"/>
          <w:sz w:val="16"/>
          <w:szCs w:val="16"/>
        </w:rPr>
        <w:t xml:space="preserve">y se integrarán con los miembros siguientes: </w:t>
      </w:r>
    </w:p>
    <w:p w:rsidR="000A6AB1" w:rsidRDefault="000A6AB1" w:rsidP="000A6AB1">
      <w:pPr>
        <w:widowControl w:val="0"/>
        <w:autoSpaceDE w:val="0"/>
        <w:autoSpaceDN w:val="0"/>
        <w:adjustRightInd w:val="0"/>
        <w:jc w:val="both"/>
        <w:rPr>
          <w:rFonts w:ascii="Palatino Linotype" w:hAnsi="Palatino Linotype"/>
          <w:sz w:val="16"/>
          <w:szCs w:val="16"/>
        </w:rPr>
      </w:pPr>
      <w:r w:rsidRPr="00B76015">
        <w:rPr>
          <w:rFonts w:ascii="Palatino Linotype" w:hAnsi="Palatino Linotype"/>
          <w:sz w:val="16"/>
          <w:szCs w:val="16"/>
        </w:rPr>
        <w:t xml:space="preserve">I. Dos Consejeros que serán el Vocal Ejecutivo y el Vocal de Organización Electoral de la Junta Municipal correspondiente. Fungirá como presidente del Consejo el Vocal Ejecutivo, con derecho a voz y voto y, en caso de empate, con voto de calidad; y como secretario del Consejo, el Vocal de Organización Electoral, con voz y sin voto, quien auxiliará al presidente en sus funciones y lo suplirá en sus ausencias. </w:t>
      </w:r>
    </w:p>
    <w:p w:rsidR="000A6AB1" w:rsidRDefault="000A6AB1" w:rsidP="000A6AB1">
      <w:pPr>
        <w:widowControl w:val="0"/>
        <w:autoSpaceDE w:val="0"/>
        <w:autoSpaceDN w:val="0"/>
        <w:adjustRightInd w:val="0"/>
        <w:jc w:val="both"/>
        <w:rPr>
          <w:rFonts w:ascii="Palatino Linotype" w:hAnsi="Palatino Linotype"/>
          <w:sz w:val="16"/>
          <w:szCs w:val="16"/>
        </w:rPr>
      </w:pPr>
      <w:r w:rsidRPr="00B76015">
        <w:rPr>
          <w:rFonts w:ascii="Palatino Linotype" w:hAnsi="Palatino Linotype"/>
          <w:sz w:val="16"/>
          <w:szCs w:val="16"/>
        </w:rPr>
        <w:t xml:space="preserve">II. Seis Consejeros Electorales con voz y voto. </w:t>
      </w:r>
    </w:p>
    <w:p w:rsidR="000A6AB1" w:rsidRPr="00B76015" w:rsidRDefault="000A6AB1" w:rsidP="000A6AB1">
      <w:pPr>
        <w:widowControl w:val="0"/>
        <w:autoSpaceDE w:val="0"/>
        <w:autoSpaceDN w:val="0"/>
        <w:adjustRightInd w:val="0"/>
        <w:jc w:val="both"/>
        <w:rPr>
          <w:rFonts w:ascii="Palatino Linotype" w:hAnsi="Palatino Linotype"/>
          <w:sz w:val="16"/>
          <w:szCs w:val="16"/>
        </w:rPr>
      </w:pPr>
      <w:r w:rsidRPr="00B76015">
        <w:rPr>
          <w:rFonts w:ascii="Palatino Linotype" w:hAnsi="Palatino Linotype"/>
          <w:sz w:val="16"/>
          <w:szCs w:val="16"/>
        </w:rPr>
        <w:t>III. Un representante de cada uno de los partidos políticos con registro, quienes tendrán voz y no voto.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6C5" w:rsidRPr="00354355" w:rsidRDefault="005526C5" w:rsidP="005526C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5526C5" w:rsidRPr="008F2CCC" w:rsidTr="005526C5">
      <w:tc>
        <w:tcPr>
          <w:tcW w:w="3828" w:type="dxa"/>
        </w:tcPr>
        <w:p w:rsidR="005526C5" w:rsidRPr="008F2CCC" w:rsidRDefault="005526C5" w:rsidP="005526C5">
          <w:pPr>
            <w:rPr>
              <w:rFonts w:ascii="Palatino Linotype" w:hAnsi="Palatino Linotype"/>
              <w:b/>
              <w:sz w:val="22"/>
              <w:szCs w:val="22"/>
              <w:lang w:val="es-ES_tradnl"/>
            </w:rPr>
          </w:pPr>
        </w:p>
      </w:tc>
      <w:tc>
        <w:tcPr>
          <w:tcW w:w="2551" w:type="dxa"/>
          <w:shd w:val="clear" w:color="auto" w:fill="auto"/>
        </w:tcPr>
        <w:p w:rsidR="005526C5" w:rsidRPr="00664658" w:rsidRDefault="005526C5" w:rsidP="005526C5">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5526C5" w:rsidRPr="00664658" w:rsidRDefault="005526C5" w:rsidP="005526C5">
          <w:pPr>
            <w:jc w:val="both"/>
            <w:rPr>
              <w:rFonts w:ascii="Palatino Linotype" w:hAnsi="Palatino Linotype"/>
              <w:b/>
              <w:sz w:val="22"/>
              <w:szCs w:val="22"/>
              <w:lang w:val="es-ES_tradnl"/>
            </w:rPr>
          </w:pPr>
          <w:r>
            <w:rPr>
              <w:rFonts w:ascii="Palatino Linotype" w:hAnsi="Palatino Linotype"/>
              <w:b/>
              <w:sz w:val="22"/>
              <w:szCs w:val="22"/>
              <w:lang w:val="es-ES_tradnl"/>
            </w:rPr>
            <w:t>02852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5526C5" w:rsidRPr="008F2CCC" w:rsidTr="005526C5">
      <w:tc>
        <w:tcPr>
          <w:tcW w:w="3828" w:type="dxa"/>
        </w:tcPr>
        <w:p w:rsidR="005526C5" w:rsidRPr="008F2CCC" w:rsidRDefault="005526C5" w:rsidP="005526C5">
          <w:pPr>
            <w:rPr>
              <w:rFonts w:ascii="Palatino Linotype" w:hAnsi="Palatino Linotype"/>
              <w:b/>
              <w:sz w:val="22"/>
              <w:szCs w:val="22"/>
              <w:lang w:val="es-ES_tradnl"/>
            </w:rPr>
          </w:pPr>
        </w:p>
      </w:tc>
      <w:tc>
        <w:tcPr>
          <w:tcW w:w="2551" w:type="dxa"/>
          <w:shd w:val="clear" w:color="auto" w:fill="auto"/>
        </w:tcPr>
        <w:p w:rsidR="005526C5" w:rsidRPr="00664658" w:rsidRDefault="005526C5" w:rsidP="005526C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5526C5" w:rsidRPr="00DC41C8" w:rsidRDefault="005526C5" w:rsidP="005526C5">
          <w:pPr>
            <w:jc w:val="both"/>
            <w:rPr>
              <w:rFonts w:ascii="Palatino Linotype" w:hAnsi="Palatino Linotype"/>
              <w:b/>
              <w:sz w:val="22"/>
              <w:szCs w:val="22"/>
            </w:rPr>
          </w:pPr>
          <w:r>
            <w:rPr>
              <w:rFonts w:ascii="Palatino Linotype" w:hAnsi="Palatino Linotype"/>
              <w:b/>
              <w:sz w:val="22"/>
              <w:szCs w:val="22"/>
            </w:rPr>
            <w:t>Instituto Electoral del Estado de México</w:t>
          </w:r>
        </w:p>
      </w:tc>
    </w:tr>
    <w:tr w:rsidR="005526C5" w:rsidRPr="008F2CCC" w:rsidTr="005526C5">
      <w:trPr>
        <w:trHeight w:val="228"/>
      </w:trPr>
      <w:tc>
        <w:tcPr>
          <w:tcW w:w="3828" w:type="dxa"/>
        </w:tcPr>
        <w:p w:rsidR="005526C5" w:rsidRPr="008F2CCC" w:rsidRDefault="005526C5" w:rsidP="005526C5">
          <w:pPr>
            <w:rPr>
              <w:rFonts w:ascii="Palatino Linotype" w:hAnsi="Palatino Linotype"/>
              <w:b/>
              <w:sz w:val="22"/>
              <w:szCs w:val="22"/>
              <w:lang w:val="es-ES_tradnl"/>
            </w:rPr>
          </w:pPr>
        </w:p>
      </w:tc>
      <w:tc>
        <w:tcPr>
          <w:tcW w:w="2551" w:type="dxa"/>
          <w:shd w:val="clear" w:color="auto" w:fill="auto"/>
        </w:tcPr>
        <w:p w:rsidR="005526C5" w:rsidRPr="00664658" w:rsidRDefault="005526C5" w:rsidP="005526C5">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5526C5" w:rsidRPr="00664658" w:rsidRDefault="005526C5" w:rsidP="005526C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526C5" w:rsidRPr="00354355" w:rsidRDefault="005526C5" w:rsidP="005526C5">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6C5" w:rsidRPr="00B8513C" w:rsidRDefault="005526C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5526C5" w:rsidRPr="008F2CCC" w:rsidTr="005526C5">
      <w:tc>
        <w:tcPr>
          <w:tcW w:w="3828" w:type="dxa"/>
          <w:vMerge w:val="restart"/>
        </w:tcPr>
        <w:p w:rsidR="005526C5" w:rsidRPr="008F2CCC" w:rsidRDefault="005526C5" w:rsidP="005526C5">
          <w:pPr>
            <w:rPr>
              <w:rFonts w:ascii="Palatino Linotype" w:hAnsi="Palatino Linotype"/>
              <w:b/>
              <w:sz w:val="22"/>
              <w:szCs w:val="22"/>
              <w:lang w:val="es-ES_tradnl"/>
            </w:rPr>
          </w:pPr>
        </w:p>
      </w:tc>
      <w:tc>
        <w:tcPr>
          <w:tcW w:w="2551" w:type="dxa"/>
          <w:shd w:val="clear" w:color="auto" w:fill="auto"/>
        </w:tcPr>
        <w:p w:rsidR="005526C5" w:rsidRPr="008F2CCC" w:rsidRDefault="005526C5" w:rsidP="005526C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5526C5" w:rsidRPr="008F2CCC" w:rsidRDefault="005526C5" w:rsidP="00F1213C">
          <w:pPr>
            <w:jc w:val="both"/>
            <w:rPr>
              <w:rFonts w:ascii="Palatino Linotype" w:hAnsi="Palatino Linotype"/>
              <w:b/>
              <w:sz w:val="22"/>
              <w:szCs w:val="22"/>
              <w:lang w:val="es-ES_tradnl"/>
            </w:rPr>
          </w:pPr>
          <w:r>
            <w:rPr>
              <w:rFonts w:ascii="Palatino Linotype" w:hAnsi="Palatino Linotype"/>
              <w:b/>
              <w:sz w:val="22"/>
              <w:szCs w:val="22"/>
              <w:lang w:val="es-ES_tradnl"/>
            </w:rPr>
            <w:t>02852/INFOEM/IP/RR/2018</w:t>
          </w:r>
        </w:p>
      </w:tc>
    </w:tr>
    <w:tr w:rsidR="005526C5" w:rsidRPr="008F2CCC" w:rsidTr="005526C5">
      <w:tc>
        <w:tcPr>
          <w:tcW w:w="3828" w:type="dxa"/>
          <w:vMerge/>
        </w:tcPr>
        <w:p w:rsidR="005526C5" w:rsidRPr="008F2CCC" w:rsidRDefault="005526C5" w:rsidP="005526C5">
          <w:pPr>
            <w:rPr>
              <w:rFonts w:ascii="Palatino Linotype" w:hAnsi="Palatino Linotype"/>
              <w:b/>
              <w:sz w:val="22"/>
              <w:szCs w:val="22"/>
              <w:lang w:val="es-ES_tradnl"/>
            </w:rPr>
          </w:pPr>
        </w:p>
      </w:tc>
      <w:tc>
        <w:tcPr>
          <w:tcW w:w="2551" w:type="dxa"/>
          <w:shd w:val="clear" w:color="auto" w:fill="auto"/>
        </w:tcPr>
        <w:p w:rsidR="005526C5" w:rsidRPr="008F2CCC" w:rsidRDefault="005526C5" w:rsidP="005526C5">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5526C5" w:rsidRPr="008F2CCC" w:rsidRDefault="00596523" w:rsidP="00596523">
          <w:pPr>
            <w:jc w:val="both"/>
            <w:rPr>
              <w:rFonts w:ascii="Palatino Linotype" w:hAnsi="Palatino Linotype"/>
              <w:b/>
              <w:sz w:val="22"/>
              <w:szCs w:val="22"/>
              <w:lang w:val="es-ES_tradnl"/>
            </w:rPr>
          </w:pPr>
          <w:r>
            <w:rPr>
              <w:rFonts w:ascii="Palatino Linotype" w:hAnsi="Palatino Linotype"/>
              <w:b/>
              <w:sz w:val="22"/>
              <w:szCs w:val="22"/>
            </w:rPr>
            <w:t xml:space="preserve">XXXXXX XXXXXXX X </w:t>
          </w:r>
        </w:p>
      </w:tc>
    </w:tr>
    <w:tr w:rsidR="005526C5" w:rsidRPr="008F2CCC" w:rsidTr="005526C5">
      <w:trPr>
        <w:trHeight w:val="228"/>
      </w:trPr>
      <w:tc>
        <w:tcPr>
          <w:tcW w:w="3828" w:type="dxa"/>
          <w:vMerge/>
        </w:tcPr>
        <w:p w:rsidR="005526C5" w:rsidRPr="008F2CCC" w:rsidRDefault="005526C5" w:rsidP="005526C5">
          <w:pPr>
            <w:rPr>
              <w:rFonts w:ascii="Palatino Linotype" w:hAnsi="Palatino Linotype"/>
              <w:b/>
              <w:sz w:val="22"/>
              <w:szCs w:val="22"/>
              <w:lang w:val="es-ES_tradnl"/>
            </w:rPr>
          </w:pPr>
        </w:p>
      </w:tc>
      <w:tc>
        <w:tcPr>
          <w:tcW w:w="2551" w:type="dxa"/>
          <w:shd w:val="clear" w:color="auto" w:fill="auto"/>
        </w:tcPr>
        <w:p w:rsidR="005526C5" w:rsidRPr="008F2CCC" w:rsidRDefault="005526C5" w:rsidP="005526C5">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5526C5" w:rsidRPr="00DC41C8" w:rsidRDefault="005526C5" w:rsidP="005526C5">
          <w:pPr>
            <w:jc w:val="both"/>
            <w:rPr>
              <w:rFonts w:ascii="Palatino Linotype" w:hAnsi="Palatino Linotype"/>
              <w:b/>
              <w:sz w:val="22"/>
              <w:szCs w:val="22"/>
            </w:rPr>
          </w:pPr>
          <w:r>
            <w:rPr>
              <w:rFonts w:ascii="Palatino Linotype" w:hAnsi="Palatino Linotype"/>
              <w:b/>
              <w:sz w:val="22"/>
              <w:szCs w:val="22"/>
            </w:rPr>
            <w:t>Instituto Electoral del Estado de México</w:t>
          </w:r>
        </w:p>
      </w:tc>
    </w:tr>
    <w:tr w:rsidR="005526C5" w:rsidRPr="008F2CCC" w:rsidTr="005526C5">
      <w:tc>
        <w:tcPr>
          <w:tcW w:w="3828" w:type="dxa"/>
          <w:vMerge/>
        </w:tcPr>
        <w:p w:rsidR="005526C5" w:rsidRPr="008F2CCC" w:rsidRDefault="005526C5" w:rsidP="005526C5">
          <w:pPr>
            <w:rPr>
              <w:rFonts w:ascii="Palatino Linotype" w:hAnsi="Palatino Linotype"/>
              <w:b/>
              <w:sz w:val="22"/>
              <w:szCs w:val="22"/>
              <w:lang w:val="es-ES_tradnl"/>
            </w:rPr>
          </w:pPr>
        </w:p>
      </w:tc>
      <w:tc>
        <w:tcPr>
          <w:tcW w:w="2551" w:type="dxa"/>
          <w:shd w:val="clear" w:color="auto" w:fill="auto"/>
        </w:tcPr>
        <w:p w:rsidR="005526C5" w:rsidRPr="008F2CCC" w:rsidRDefault="005526C5" w:rsidP="005526C5">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5526C5" w:rsidRPr="008F2CCC" w:rsidRDefault="005526C5" w:rsidP="005526C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5526C5" w:rsidRPr="00AF2340" w:rsidRDefault="005526C5" w:rsidP="005526C5">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5">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4402919"/>
    <w:multiLevelType w:val="hybridMultilevel"/>
    <w:tmpl w:val="7C3A54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0CC04C3"/>
    <w:multiLevelType w:val="hybridMultilevel"/>
    <w:tmpl w:val="7C3A54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5">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6">
    <w:nsid w:val="47467BA4"/>
    <w:multiLevelType w:val="hybridMultilevel"/>
    <w:tmpl w:val="120A6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1">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5">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5"/>
  </w:num>
  <w:num w:numId="3">
    <w:abstractNumId w:val="22"/>
  </w:num>
  <w:num w:numId="4">
    <w:abstractNumId w:val="6"/>
  </w:num>
  <w:num w:numId="5">
    <w:abstractNumId w:val="2"/>
  </w:num>
  <w:num w:numId="6">
    <w:abstractNumId w:val="21"/>
  </w:num>
  <w:num w:numId="7">
    <w:abstractNumId w:val="23"/>
  </w:num>
  <w:num w:numId="8">
    <w:abstractNumId w:val="8"/>
  </w:num>
  <w:num w:numId="9">
    <w:abstractNumId w:val="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3"/>
  </w:num>
  <w:num w:numId="14">
    <w:abstractNumId w:val="9"/>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
  </w:num>
  <w:num w:numId="19">
    <w:abstractNumId w:val="11"/>
  </w:num>
  <w:num w:numId="20">
    <w:abstractNumId w:val="18"/>
  </w:num>
  <w:num w:numId="21">
    <w:abstractNumId w:val="4"/>
  </w:num>
  <w:num w:numId="22">
    <w:abstractNumId w:val="17"/>
  </w:num>
  <w:num w:numId="23">
    <w:abstractNumId w:val="14"/>
  </w:num>
  <w:num w:numId="24">
    <w:abstractNumId w:val="10"/>
  </w:num>
  <w:num w:numId="25">
    <w:abstractNumId w:val="0"/>
  </w:num>
  <w:num w:numId="26">
    <w:abstractNumId w:val="24"/>
  </w:num>
  <w:num w:numId="27">
    <w:abstractNumId w:val="19"/>
  </w:num>
  <w:num w:numId="28">
    <w:abstractNumId w:val="7"/>
  </w:num>
  <w:num w:numId="29">
    <w:abstractNumId w:val="1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13C"/>
    <w:rsid w:val="00000941"/>
    <w:rsid w:val="00007A12"/>
    <w:rsid w:val="00022B11"/>
    <w:rsid w:val="000A6AB1"/>
    <w:rsid w:val="00105998"/>
    <w:rsid w:val="001A133C"/>
    <w:rsid w:val="00210FEC"/>
    <w:rsid w:val="0021146D"/>
    <w:rsid w:val="002415FE"/>
    <w:rsid w:val="00280FCB"/>
    <w:rsid w:val="0030584F"/>
    <w:rsid w:val="004019A4"/>
    <w:rsid w:val="00443387"/>
    <w:rsid w:val="004D1794"/>
    <w:rsid w:val="004F0089"/>
    <w:rsid w:val="00507D46"/>
    <w:rsid w:val="00527514"/>
    <w:rsid w:val="005277E6"/>
    <w:rsid w:val="005526C5"/>
    <w:rsid w:val="00556A59"/>
    <w:rsid w:val="00596523"/>
    <w:rsid w:val="005B3E0C"/>
    <w:rsid w:val="00606D20"/>
    <w:rsid w:val="00623107"/>
    <w:rsid w:val="00662F5C"/>
    <w:rsid w:val="006A60F1"/>
    <w:rsid w:val="00702760"/>
    <w:rsid w:val="00703E65"/>
    <w:rsid w:val="00730235"/>
    <w:rsid w:val="00782540"/>
    <w:rsid w:val="00813665"/>
    <w:rsid w:val="00821DE7"/>
    <w:rsid w:val="00832502"/>
    <w:rsid w:val="00895566"/>
    <w:rsid w:val="008D3E8E"/>
    <w:rsid w:val="00A00412"/>
    <w:rsid w:val="00A07149"/>
    <w:rsid w:val="00A14621"/>
    <w:rsid w:val="00A4197A"/>
    <w:rsid w:val="00A63585"/>
    <w:rsid w:val="00A66B3D"/>
    <w:rsid w:val="00A8030C"/>
    <w:rsid w:val="00B37E41"/>
    <w:rsid w:val="00B57F03"/>
    <w:rsid w:val="00B76015"/>
    <w:rsid w:val="00B84C53"/>
    <w:rsid w:val="00C23537"/>
    <w:rsid w:val="00C23B43"/>
    <w:rsid w:val="00C419D1"/>
    <w:rsid w:val="00C9714C"/>
    <w:rsid w:val="00CF2507"/>
    <w:rsid w:val="00D44A4B"/>
    <w:rsid w:val="00D6237C"/>
    <w:rsid w:val="00DF0370"/>
    <w:rsid w:val="00E16454"/>
    <w:rsid w:val="00EB73A6"/>
    <w:rsid w:val="00F1213C"/>
    <w:rsid w:val="00F14970"/>
    <w:rsid w:val="00F14D43"/>
    <w:rsid w:val="00F80BD0"/>
    <w:rsid w:val="00FA6366"/>
    <w:rsid w:val="00FF04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1E4B68-AACE-4CBE-897A-81BF25834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13C"/>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F1213C"/>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F1213C"/>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F1213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1213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F1213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F1213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213C"/>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F1213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1213C"/>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F1213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F1213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F1213C"/>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F1213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1213C"/>
    <w:rPr>
      <w:rFonts w:eastAsiaTheme="minorEastAsia"/>
      <w:sz w:val="24"/>
      <w:szCs w:val="24"/>
      <w:lang w:val="es-ES_tradnl" w:eastAsia="es-ES"/>
    </w:rPr>
  </w:style>
  <w:style w:type="paragraph" w:styleId="Piedepgina">
    <w:name w:val="footer"/>
    <w:basedOn w:val="Normal"/>
    <w:link w:val="PiedepginaCar"/>
    <w:uiPriority w:val="99"/>
    <w:unhideWhenUsed/>
    <w:rsid w:val="00F1213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1213C"/>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F1213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F1213C"/>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1213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1213C"/>
    <w:rPr>
      <w:rFonts w:ascii="Times New Roman" w:eastAsia="Times New Roman" w:hAnsi="Times New Roman" w:cs="Times New Roman"/>
      <w:sz w:val="24"/>
      <w:szCs w:val="24"/>
      <w:lang w:eastAsia="es-ES"/>
    </w:rPr>
  </w:style>
  <w:style w:type="character" w:styleId="Hipervnculo">
    <w:name w:val="Hyperlink"/>
    <w:uiPriority w:val="99"/>
    <w:unhideWhenUsed/>
    <w:rsid w:val="00F1213C"/>
    <w:rPr>
      <w:strike w:val="0"/>
      <w:dstrike w:val="0"/>
      <w:color w:val="035899"/>
      <w:u w:val="none"/>
      <w:effect w:val="none"/>
    </w:rPr>
  </w:style>
  <w:style w:type="paragraph" w:styleId="NormalWeb">
    <w:name w:val="Normal (Web)"/>
    <w:basedOn w:val="Normal"/>
    <w:uiPriority w:val="99"/>
    <w:rsid w:val="00F1213C"/>
    <w:pPr>
      <w:spacing w:before="100" w:beforeAutospacing="1" w:after="100" w:afterAutospacing="1"/>
    </w:pPr>
  </w:style>
  <w:style w:type="character" w:styleId="Textoennegrita">
    <w:name w:val="Strong"/>
    <w:uiPriority w:val="22"/>
    <w:qFormat/>
    <w:rsid w:val="00F1213C"/>
    <w:rPr>
      <w:b/>
      <w:bCs/>
    </w:rPr>
  </w:style>
  <w:style w:type="character" w:styleId="Hipervnculovisitado">
    <w:name w:val="FollowedHyperlink"/>
    <w:basedOn w:val="Fuentedeprrafopredeter"/>
    <w:uiPriority w:val="99"/>
    <w:semiHidden/>
    <w:unhideWhenUsed/>
    <w:rsid w:val="00F1213C"/>
    <w:rPr>
      <w:color w:val="954F72" w:themeColor="followedHyperlink"/>
      <w:u w:val="single"/>
    </w:rPr>
  </w:style>
  <w:style w:type="paragraph" w:styleId="Textoindependiente2">
    <w:name w:val="Body Text 2"/>
    <w:basedOn w:val="Normal"/>
    <w:link w:val="Textoindependiente2Car"/>
    <w:uiPriority w:val="99"/>
    <w:unhideWhenUsed/>
    <w:rsid w:val="00F1213C"/>
    <w:pPr>
      <w:spacing w:after="120" w:line="480" w:lineRule="auto"/>
    </w:pPr>
  </w:style>
  <w:style w:type="character" w:customStyle="1" w:styleId="Textoindependiente2Car">
    <w:name w:val="Texto independiente 2 Car"/>
    <w:basedOn w:val="Fuentedeprrafopredeter"/>
    <w:link w:val="Textoindependiente2"/>
    <w:uiPriority w:val="99"/>
    <w:rsid w:val="00F1213C"/>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F1213C"/>
    <w:rPr>
      <w:sz w:val="16"/>
      <w:szCs w:val="16"/>
    </w:rPr>
  </w:style>
  <w:style w:type="character" w:customStyle="1" w:styleId="apple-converted-space">
    <w:name w:val="apple-converted-space"/>
    <w:basedOn w:val="Fuentedeprrafopredeter"/>
    <w:rsid w:val="00F1213C"/>
  </w:style>
  <w:style w:type="paragraph" w:customStyle="1" w:styleId="Default">
    <w:name w:val="Default"/>
    <w:rsid w:val="00F1213C"/>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F1213C"/>
    <w:pPr>
      <w:ind w:left="708"/>
    </w:pPr>
  </w:style>
  <w:style w:type="character" w:customStyle="1" w:styleId="Listavistosa-nfasis1Car">
    <w:name w:val="Lista vistosa - Énfasis 1 Car"/>
    <w:link w:val="Listavistosa-nfasis11"/>
    <w:uiPriority w:val="34"/>
    <w:locked/>
    <w:rsid w:val="00F1213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F1213C"/>
    <w:pPr>
      <w:spacing w:after="101" w:line="216" w:lineRule="exact"/>
      <w:ind w:firstLine="288"/>
      <w:jc w:val="both"/>
    </w:pPr>
    <w:rPr>
      <w:rFonts w:ascii="Arial" w:hAnsi="Arial" w:cs="Arial"/>
      <w:sz w:val="18"/>
      <w:szCs w:val="18"/>
    </w:rPr>
  </w:style>
  <w:style w:type="character" w:customStyle="1" w:styleId="apple-style-span">
    <w:name w:val="apple-style-span"/>
    <w:rsid w:val="00F1213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1213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1213C"/>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F1213C"/>
    <w:rPr>
      <w:vertAlign w:val="superscript"/>
    </w:rPr>
  </w:style>
  <w:style w:type="paragraph" w:styleId="Sinespaciado">
    <w:name w:val="No Spacing"/>
    <w:aliases w:val="Francesa"/>
    <w:link w:val="SinespaciadoCar"/>
    <w:qFormat/>
    <w:rsid w:val="00F1213C"/>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F1213C"/>
    <w:rPr>
      <w:rFonts w:ascii="Courier New" w:hAnsi="Courier New"/>
      <w:sz w:val="20"/>
      <w:szCs w:val="20"/>
    </w:rPr>
  </w:style>
  <w:style w:type="character" w:customStyle="1" w:styleId="TextosinformatoCar">
    <w:name w:val="Texto sin formato Car"/>
    <w:basedOn w:val="Fuentedeprrafopredeter"/>
    <w:link w:val="Textosinformato"/>
    <w:rsid w:val="00F1213C"/>
    <w:rPr>
      <w:rFonts w:ascii="Courier New" w:eastAsia="Times New Roman" w:hAnsi="Courier New" w:cs="Times New Roman"/>
      <w:sz w:val="20"/>
      <w:szCs w:val="20"/>
      <w:lang w:eastAsia="es-ES"/>
    </w:rPr>
  </w:style>
  <w:style w:type="paragraph" w:customStyle="1" w:styleId="Standard">
    <w:name w:val="Standard"/>
    <w:rsid w:val="00F1213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1213C"/>
    <w:rPr>
      <w:rFonts w:ascii="Arial" w:hAnsi="Arial" w:cs="Arial" w:hint="default"/>
      <w:b/>
      <w:bCs/>
      <w:sz w:val="18"/>
      <w:szCs w:val="18"/>
    </w:rPr>
  </w:style>
  <w:style w:type="paragraph" w:customStyle="1" w:styleId="Pa2">
    <w:name w:val="Pa2"/>
    <w:basedOn w:val="Normal"/>
    <w:next w:val="Normal"/>
    <w:uiPriority w:val="99"/>
    <w:rsid w:val="00F1213C"/>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F1213C"/>
  </w:style>
  <w:style w:type="paragraph" w:customStyle="1" w:styleId="q">
    <w:name w:val="q"/>
    <w:basedOn w:val="Normal"/>
    <w:rsid w:val="00F1213C"/>
    <w:pPr>
      <w:spacing w:before="100" w:beforeAutospacing="1" w:after="100" w:afterAutospacing="1"/>
    </w:pPr>
    <w:rPr>
      <w:lang w:eastAsia="es-MX"/>
    </w:rPr>
  </w:style>
  <w:style w:type="character" w:customStyle="1" w:styleId="d">
    <w:name w:val="d"/>
    <w:basedOn w:val="Fuentedeprrafopredeter"/>
    <w:rsid w:val="00F1213C"/>
  </w:style>
  <w:style w:type="character" w:customStyle="1" w:styleId="b">
    <w:name w:val="b"/>
    <w:basedOn w:val="Fuentedeprrafopredeter"/>
    <w:rsid w:val="00F1213C"/>
  </w:style>
  <w:style w:type="character" w:customStyle="1" w:styleId="k">
    <w:name w:val="k"/>
    <w:basedOn w:val="Fuentedeprrafopredeter"/>
    <w:rsid w:val="00F1213C"/>
  </w:style>
  <w:style w:type="character" w:customStyle="1" w:styleId="h">
    <w:name w:val="h"/>
    <w:basedOn w:val="Fuentedeprrafopredeter"/>
    <w:rsid w:val="00F1213C"/>
  </w:style>
  <w:style w:type="character" w:styleId="CitaHTML">
    <w:name w:val="HTML Cite"/>
    <w:uiPriority w:val="99"/>
    <w:semiHidden/>
    <w:unhideWhenUsed/>
    <w:rsid w:val="00F1213C"/>
    <w:rPr>
      <w:i/>
      <w:iCs/>
    </w:rPr>
  </w:style>
  <w:style w:type="paragraph" w:customStyle="1" w:styleId="RSCGnotaalpie">
    <w:name w:val="RSCG nota al pie"/>
    <w:basedOn w:val="Normal"/>
    <w:uiPriority w:val="99"/>
    <w:qFormat/>
    <w:rsid w:val="00F1213C"/>
    <w:pPr>
      <w:spacing w:after="120"/>
      <w:jc w:val="both"/>
    </w:pPr>
    <w:rPr>
      <w:rFonts w:ascii="Palatino" w:hAnsi="Palatino" w:cstheme="minorBidi"/>
      <w:sz w:val="22"/>
      <w:szCs w:val="22"/>
      <w:lang w:eastAsia="en-US"/>
    </w:rPr>
  </w:style>
  <w:style w:type="character" w:customStyle="1" w:styleId="lbl-encabezado-blanco2">
    <w:name w:val="lbl-encabezado-blanco2"/>
    <w:rsid w:val="00F1213C"/>
    <w:rPr>
      <w:color w:val="FFFFFF"/>
    </w:rPr>
  </w:style>
  <w:style w:type="character" w:customStyle="1" w:styleId="TextoCar">
    <w:name w:val="Texto Car"/>
    <w:link w:val="Texto"/>
    <w:locked/>
    <w:rsid w:val="00F1213C"/>
    <w:rPr>
      <w:rFonts w:ascii="Arial" w:eastAsia="Times New Roman" w:hAnsi="Arial" w:cs="Arial"/>
      <w:sz w:val="18"/>
      <w:szCs w:val="18"/>
      <w:lang w:eastAsia="es-ES"/>
    </w:rPr>
  </w:style>
  <w:style w:type="paragraph" w:customStyle="1" w:styleId="ANOTACION">
    <w:name w:val="ANOTACION"/>
    <w:basedOn w:val="Normal"/>
    <w:link w:val="ANOTACIONCar"/>
    <w:rsid w:val="00F1213C"/>
    <w:pPr>
      <w:spacing w:before="101" w:after="101"/>
      <w:jc w:val="center"/>
    </w:pPr>
    <w:rPr>
      <w:b/>
      <w:sz w:val="18"/>
      <w:szCs w:val="18"/>
    </w:rPr>
  </w:style>
  <w:style w:type="character" w:customStyle="1" w:styleId="ANOTACIONCar">
    <w:name w:val="ANOTACION Car"/>
    <w:link w:val="ANOTACION"/>
    <w:locked/>
    <w:rsid w:val="00F1213C"/>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F12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F1213C"/>
    <w:rPr>
      <w:i/>
      <w:iCs/>
    </w:rPr>
  </w:style>
  <w:style w:type="character" w:customStyle="1" w:styleId="SinespaciadoCar">
    <w:name w:val="Sin espaciado Car"/>
    <w:aliases w:val="Francesa Car"/>
    <w:link w:val="Sinespaciado"/>
    <w:locked/>
    <w:rsid w:val="00F1213C"/>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F1213C"/>
  </w:style>
  <w:style w:type="paragraph" w:styleId="Textocomentario">
    <w:name w:val="annotation text"/>
    <w:basedOn w:val="Normal"/>
    <w:link w:val="TextocomentarioCar"/>
    <w:uiPriority w:val="99"/>
    <w:semiHidden/>
    <w:unhideWhenUsed/>
    <w:rsid w:val="00F1213C"/>
    <w:rPr>
      <w:sz w:val="20"/>
      <w:szCs w:val="20"/>
    </w:rPr>
  </w:style>
  <w:style w:type="character" w:customStyle="1" w:styleId="TextocomentarioCar">
    <w:name w:val="Texto comentario Car"/>
    <w:basedOn w:val="Fuentedeprrafopredeter"/>
    <w:link w:val="Textocomentario"/>
    <w:uiPriority w:val="99"/>
    <w:semiHidden/>
    <w:rsid w:val="00F1213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1213C"/>
    <w:rPr>
      <w:b/>
      <w:bCs/>
    </w:rPr>
  </w:style>
  <w:style w:type="character" w:customStyle="1" w:styleId="AsuntodelcomentarioCar">
    <w:name w:val="Asunto del comentario Car"/>
    <w:basedOn w:val="TextocomentarioCar"/>
    <w:link w:val="Asuntodelcomentario"/>
    <w:uiPriority w:val="99"/>
    <w:semiHidden/>
    <w:rsid w:val="00F1213C"/>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F1213C"/>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F1213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F1213C"/>
  </w:style>
  <w:style w:type="character" w:customStyle="1" w:styleId="Ninguno">
    <w:name w:val="Ninguno"/>
    <w:rsid w:val="00F1213C"/>
    <w:rPr>
      <w:lang w:val="es-ES_tradnl"/>
    </w:rPr>
  </w:style>
  <w:style w:type="paragraph" w:customStyle="1" w:styleId="Cuerpo">
    <w:name w:val="Cuerpo"/>
    <w:rsid w:val="00F1213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F1213C"/>
    <w:pPr>
      <w:numPr>
        <w:numId w:val="4"/>
      </w:numPr>
    </w:pPr>
  </w:style>
  <w:style w:type="numbering" w:customStyle="1" w:styleId="Estiloimportado1">
    <w:name w:val="Estilo importado 1"/>
    <w:rsid w:val="00F1213C"/>
    <w:pPr>
      <w:numPr>
        <w:numId w:val="5"/>
      </w:numPr>
    </w:pPr>
  </w:style>
  <w:style w:type="character" w:customStyle="1" w:styleId="normaltextrun">
    <w:name w:val="normaltextrun"/>
    <w:basedOn w:val="Fuentedeprrafopredeter"/>
    <w:rsid w:val="00F1213C"/>
  </w:style>
  <w:style w:type="paragraph" w:customStyle="1" w:styleId="INCISO">
    <w:name w:val="INCISO"/>
    <w:basedOn w:val="Normal"/>
    <w:rsid w:val="00F1213C"/>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F1213C"/>
    <w:pPr>
      <w:spacing w:before="100" w:beforeAutospacing="1" w:after="100" w:afterAutospacing="1"/>
    </w:pPr>
    <w:rPr>
      <w:lang w:eastAsia="es-MX"/>
    </w:rPr>
  </w:style>
  <w:style w:type="paragraph" w:customStyle="1" w:styleId="j">
    <w:name w:val="j"/>
    <w:basedOn w:val="Normal"/>
    <w:rsid w:val="00F1213C"/>
    <w:pPr>
      <w:spacing w:before="100" w:beforeAutospacing="1" w:after="100" w:afterAutospacing="1"/>
    </w:pPr>
    <w:rPr>
      <w:lang w:eastAsia="es-MX"/>
    </w:rPr>
  </w:style>
  <w:style w:type="character" w:customStyle="1" w:styleId="nacep">
    <w:name w:val="n_acep"/>
    <w:basedOn w:val="Fuentedeprrafopredeter"/>
    <w:rsid w:val="00F1213C"/>
  </w:style>
  <w:style w:type="paragraph" w:customStyle="1" w:styleId="m5212863947045306324gmail-msonormal">
    <w:name w:val="m_5212863947045306324gmail-msonormal"/>
    <w:basedOn w:val="Normal"/>
    <w:rsid w:val="00F1213C"/>
    <w:pPr>
      <w:spacing w:before="100" w:beforeAutospacing="1" w:after="100" w:afterAutospacing="1"/>
    </w:pPr>
    <w:rPr>
      <w:lang w:eastAsia="es-MX"/>
    </w:rPr>
  </w:style>
  <w:style w:type="character" w:customStyle="1" w:styleId="user-highlighted-active">
    <w:name w:val="user-highlighted-active"/>
    <w:basedOn w:val="Fuentedeprrafopredeter"/>
    <w:rsid w:val="00F1213C"/>
  </w:style>
  <w:style w:type="paragraph" w:styleId="Lista">
    <w:name w:val="List"/>
    <w:basedOn w:val="Normal"/>
    <w:uiPriority w:val="99"/>
    <w:unhideWhenUsed/>
    <w:rsid w:val="00F1213C"/>
    <w:pPr>
      <w:ind w:left="283" w:hanging="283"/>
      <w:contextualSpacing/>
    </w:pPr>
    <w:rPr>
      <w:lang w:val="es-ES"/>
    </w:rPr>
  </w:style>
  <w:style w:type="paragraph" w:styleId="Lista2">
    <w:name w:val="List 2"/>
    <w:basedOn w:val="Normal"/>
    <w:uiPriority w:val="99"/>
    <w:unhideWhenUsed/>
    <w:rsid w:val="00F1213C"/>
    <w:pPr>
      <w:ind w:left="566" w:hanging="283"/>
      <w:contextualSpacing/>
    </w:pPr>
    <w:rPr>
      <w:lang w:val="es-ES"/>
    </w:rPr>
  </w:style>
  <w:style w:type="paragraph" w:styleId="Lista3">
    <w:name w:val="List 3"/>
    <w:basedOn w:val="Normal"/>
    <w:uiPriority w:val="99"/>
    <w:unhideWhenUsed/>
    <w:rsid w:val="00F1213C"/>
    <w:pPr>
      <w:ind w:left="849" w:hanging="283"/>
      <w:contextualSpacing/>
    </w:pPr>
    <w:rPr>
      <w:lang w:val="es-ES"/>
    </w:rPr>
  </w:style>
  <w:style w:type="paragraph" w:styleId="Textoindependiente">
    <w:name w:val="Body Text"/>
    <w:basedOn w:val="Normal"/>
    <w:link w:val="TextoindependienteCar"/>
    <w:uiPriority w:val="99"/>
    <w:unhideWhenUsed/>
    <w:rsid w:val="00F1213C"/>
    <w:pPr>
      <w:spacing w:after="120"/>
    </w:pPr>
    <w:rPr>
      <w:lang w:val="es-ES"/>
    </w:rPr>
  </w:style>
  <w:style w:type="character" w:customStyle="1" w:styleId="TextoindependienteCar">
    <w:name w:val="Texto independiente Car"/>
    <w:basedOn w:val="Fuentedeprrafopredeter"/>
    <w:link w:val="Textoindependiente"/>
    <w:uiPriority w:val="99"/>
    <w:rsid w:val="00F1213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F1213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1213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F1213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1213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F1213C"/>
  </w:style>
  <w:style w:type="character" w:customStyle="1" w:styleId="titulorubrolgt">
    <w:name w:val="titulorubrolgt"/>
    <w:basedOn w:val="Fuentedeprrafopredeter"/>
    <w:rsid w:val="00F1213C"/>
  </w:style>
  <w:style w:type="paragraph" w:customStyle="1" w:styleId="Text">
    <w:name w:val="Text"/>
    <w:basedOn w:val="Normal"/>
    <w:link w:val="TextChar"/>
    <w:rsid w:val="00F1213C"/>
    <w:pPr>
      <w:spacing w:after="240"/>
    </w:pPr>
    <w:rPr>
      <w:szCs w:val="20"/>
      <w:lang w:val="en-US" w:eastAsia="en-US"/>
    </w:rPr>
  </w:style>
  <w:style w:type="character" w:customStyle="1" w:styleId="TextChar">
    <w:name w:val="Text Char"/>
    <w:link w:val="Text"/>
    <w:locked/>
    <w:rsid w:val="00F1213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F1213C"/>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83342">
      <w:bodyDiv w:val="1"/>
      <w:marLeft w:val="0"/>
      <w:marRight w:val="0"/>
      <w:marTop w:val="0"/>
      <w:marBottom w:val="0"/>
      <w:divBdr>
        <w:top w:val="none" w:sz="0" w:space="0" w:color="auto"/>
        <w:left w:val="none" w:sz="0" w:space="0" w:color="auto"/>
        <w:bottom w:val="none" w:sz="0" w:space="0" w:color="auto"/>
        <w:right w:val="none" w:sz="0" w:space="0" w:color="auto"/>
      </w:divBdr>
      <w:divsChild>
        <w:div w:id="73476804">
          <w:marLeft w:val="0"/>
          <w:marRight w:val="0"/>
          <w:marTop w:val="0"/>
          <w:marBottom w:val="101"/>
          <w:divBdr>
            <w:top w:val="none" w:sz="0" w:space="0" w:color="auto"/>
            <w:left w:val="none" w:sz="0" w:space="0" w:color="auto"/>
            <w:bottom w:val="none" w:sz="0" w:space="0" w:color="auto"/>
            <w:right w:val="none" w:sz="0" w:space="0" w:color="auto"/>
          </w:divBdr>
        </w:div>
        <w:div w:id="800423061">
          <w:marLeft w:val="720"/>
          <w:marRight w:val="0"/>
          <w:marTop w:val="0"/>
          <w:marBottom w:val="101"/>
          <w:divBdr>
            <w:top w:val="none" w:sz="0" w:space="0" w:color="auto"/>
            <w:left w:val="none" w:sz="0" w:space="0" w:color="auto"/>
            <w:bottom w:val="none" w:sz="0" w:space="0" w:color="auto"/>
            <w:right w:val="none" w:sz="0" w:space="0" w:color="auto"/>
          </w:divBdr>
        </w:div>
        <w:div w:id="2086028410">
          <w:marLeft w:val="720"/>
          <w:marRight w:val="0"/>
          <w:marTop w:val="0"/>
          <w:marBottom w:val="101"/>
          <w:divBdr>
            <w:top w:val="none" w:sz="0" w:space="0" w:color="auto"/>
            <w:left w:val="none" w:sz="0" w:space="0" w:color="auto"/>
            <w:bottom w:val="none" w:sz="0" w:space="0" w:color="auto"/>
            <w:right w:val="none" w:sz="0" w:space="0" w:color="auto"/>
          </w:divBdr>
        </w:div>
        <w:div w:id="698120049">
          <w:marLeft w:val="1080"/>
          <w:marRight w:val="0"/>
          <w:marTop w:val="0"/>
          <w:marBottom w:val="101"/>
          <w:divBdr>
            <w:top w:val="none" w:sz="0" w:space="0" w:color="auto"/>
            <w:left w:val="none" w:sz="0" w:space="0" w:color="auto"/>
            <w:bottom w:val="none" w:sz="0" w:space="0" w:color="auto"/>
            <w:right w:val="none" w:sz="0" w:space="0" w:color="auto"/>
          </w:divBdr>
        </w:div>
        <w:div w:id="1750421610">
          <w:marLeft w:val="1080"/>
          <w:marRight w:val="0"/>
          <w:marTop w:val="0"/>
          <w:marBottom w:val="101"/>
          <w:divBdr>
            <w:top w:val="none" w:sz="0" w:space="0" w:color="auto"/>
            <w:left w:val="none" w:sz="0" w:space="0" w:color="auto"/>
            <w:bottom w:val="none" w:sz="0" w:space="0" w:color="auto"/>
            <w:right w:val="none" w:sz="0" w:space="0" w:color="auto"/>
          </w:divBdr>
        </w:div>
        <w:div w:id="504175796">
          <w:marLeft w:val="1080"/>
          <w:marRight w:val="0"/>
          <w:marTop w:val="0"/>
          <w:marBottom w:val="101"/>
          <w:divBdr>
            <w:top w:val="none" w:sz="0" w:space="0" w:color="auto"/>
            <w:left w:val="none" w:sz="0" w:space="0" w:color="auto"/>
            <w:bottom w:val="none" w:sz="0" w:space="0" w:color="auto"/>
            <w:right w:val="none" w:sz="0" w:space="0" w:color="auto"/>
          </w:divBdr>
        </w:div>
        <w:div w:id="755631905">
          <w:marLeft w:val="1080"/>
          <w:marRight w:val="0"/>
          <w:marTop w:val="0"/>
          <w:marBottom w:val="101"/>
          <w:divBdr>
            <w:top w:val="none" w:sz="0" w:space="0" w:color="auto"/>
            <w:left w:val="none" w:sz="0" w:space="0" w:color="auto"/>
            <w:bottom w:val="none" w:sz="0" w:space="0" w:color="auto"/>
            <w:right w:val="none" w:sz="0" w:space="0" w:color="auto"/>
          </w:divBdr>
        </w:div>
        <w:div w:id="5446531">
          <w:marLeft w:val="1080"/>
          <w:marRight w:val="0"/>
          <w:marTop w:val="0"/>
          <w:marBottom w:val="101"/>
          <w:divBdr>
            <w:top w:val="none" w:sz="0" w:space="0" w:color="auto"/>
            <w:left w:val="none" w:sz="0" w:space="0" w:color="auto"/>
            <w:bottom w:val="none" w:sz="0" w:space="0" w:color="auto"/>
            <w:right w:val="none" w:sz="0" w:space="0" w:color="auto"/>
          </w:divBdr>
        </w:div>
      </w:divsChild>
    </w:div>
    <w:div w:id="262156484">
      <w:bodyDiv w:val="1"/>
      <w:marLeft w:val="0"/>
      <w:marRight w:val="0"/>
      <w:marTop w:val="0"/>
      <w:marBottom w:val="0"/>
      <w:divBdr>
        <w:top w:val="none" w:sz="0" w:space="0" w:color="auto"/>
        <w:left w:val="none" w:sz="0" w:space="0" w:color="auto"/>
        <w:bottom w:val="none" w:sz="0" w:space="0" w:color="auto"/>
        <w:right w:val="none" w:sz="0" w:space="0" w:color="auto"/>
      </w:divBdr>
      <w:divsChild>
        <w:div w:id="172228770">
          <w:marLeft w:val="0"/>
          <w:marRight w:val="0"/>
          <w:marTop w:val="0"/>
          <w:marBottom w:val="101"/>
          <w:divBdr>
            <w:top w:val="none" w:sz="0" w:space="0" w:color="auto"/>
            <w:left w:val="none" w:sz="0" w:space="0" w:color="auto"/>
            <w:bottom w:val="none" w:sz="0" w:space="0" w:color="auto"/>
            <w:right w:val="none" w:sz="0" w:space="0" w:color="auto"/>
          </w:divBdr>
        </w:div>
        <w:div w:id="1037462982">
          <w:marLeft w:val="0"/>
          <w:marRight w:val="0"/>
          <w:marTop w:val="0"/>
          <w:marBottom w:val="101"/>
          <w:divBdr>
            <w:top w:val="none" w:sz="0" w:space="0" w:color="auto"/>
            <w:left w:val="none" w:sz="0" w:space="0" w:color="auto"/>
            <w:bottom w:val="none" w:sz="0" w:space="0" w:color="auto"/>
            <w:right w:val="none" w:sz="0" w:space="0" w:color="auto"/>
          </w:divBdr>
        </w:div>
        <w:div w:id="1545092943">
          <w:marLeft w:val="1080"/>
          <w:marRight w:val="0"/>
          <w:marTop w:val="0"/>
          <w:marBottom w:val="101"/>
          <w:divBdr>
            <w:top w:val="none" w:sz="0" w:space="0" w:color="auto"/>
            <w:left w:val="none" w:sz="0" w:space="0" w:color="auto"/>
            <w:bottom w:val="none" w:sz="0" w:space="0" w:color="auto"/>
            <w:right w:val="none" w:sz="0" w:space="0" w:color="auto"/>
          </w:divBdr>
        </w:div>
        <w:div w:id="1701275810">
          <w:marLeft w:val="1080"/>
          <w:marRight w:val="0"/>
          <w:marTop w:val="0"/>
          <w:marBottom w:val="101"/>
          <w:divBdr>
            <w:top w:val="none" w:sz="0" w:space="0" w:color="auto"/>
            <w:left w:val="none" w:sz="0" w:space="0" w:color="auto"/>
            <w:bottom w:val="none" w:sz="0" w:space="0" w:color="auto"/>
            <w:right w:val="none" w:sz="0" w:space="0" w:color="auto"/>
          </w:divBdr>
        </w:div>
        <w:div w:id="888225650">
          <w:marLeft w:val="1080"/>
          <w:marRight w:val="0"/>
          <w:marTop w:val="0"/>
          <w:marBottom w:val="101"/>
          <w:divBdr>
            <w:top w:val="none" w:sz="0" w:space="0" w:color="auto"/>
            <w:left w:val="none" w:sz="0" w:space="0" w:color="auto"/>
            <w:bottom w:val="none" w:sz="0" w:space="0" w:color="auto"/>
            <w:right w:val="none" w:sz="0" w:space="0" w:color="auto"/>
          </w:divBdr>
        </w:div>
        <w:div w:id="170490624">
          <w:marLeft w:val="1080"/>
          <w:marRight w:val="0"/>
          <w:marTop w:val="0"/>
          <w:marBottom w:val="101"/>
          <w:divBdr>
            <w:top w:val="none" w:sz="0" w:space="0" w:color="auto"/>
            <w:left w:val="none" w:sz="0" w:space="0" w:color="auto"/>
            <w:bottom w:val="none" w:sz="0" w:space="0" w:color="auto"/>
            <w:right w:val="none" w:sz="0" w:space="0" w:color="auto"/>
          </w:divBdr>
        </w:div>
        <w:div w:id="1841701382">
          <w:marLeft w:val="1080"/>
          <w:marRight w:val="0"/>
          <w:marTop w:val="0"/>
          <w:marBottom w:val="101"/>
          <w:divBdr>
            <w:top w:val="none" w:sz="0" w:space="0" w:color="auto"/>
            <w:left w:val="none" w:sz="0" w:space="0" w:color="auto"/>
            <w:bottom w:val="none" w:sz="0" w:space="0" w:color="auto"/>
            <w:right w:val="none" w:sz="0" w:space="0" w:color="auto"/>
          </w:divBdr>
        </w:div>
        <w:div w:id="1073241922">
          <w:marLeft w:val="1080"/>
          <w:marRight w:val="0"/>
          <w:marTop w:val="0"/>
          <w:marBottom w:val="101"/>
          <w:divBdr>
            <w:top w:val="none" w:sz="0" w:space="0" w:color="auto"/>
            <w:left w:val="none" w:sz="0" w:space="0" w:color="auto"/>
            <w:bottom w:val="none" w:sz="0" w:space="0" w:color="auto"/>
            <w:right w:val="none" w:sz="0" w:space="0" w:color="auto"/>
          </w:divBdr>
        </w:div>
      </w:divsChild>
    </w:div>
    <w:div w:id="352729034">
      <w:bodyDiv w:val="1"/>
      <w:marLeft w:val="0"/>
      <w:marRight w:val="0"/>
      <w:marTop w:val="0"/>
      <w:marBottom w:val="0"/>
      <w:divBdr>
        <w:top w:val="none" w:sz="0" w:space="0" w:color="auto"/>
        <w:left w:val="none" w:sz="0" w:space="0" w:color="auto"/>
        <w:bottom w:val="none" w:sz="0" w:space="0" w:color="auto"/>
        <w:right w:val="none" w:sz="0" w:space="0" w:color="auto"/>
      </w:divBdr>
      <w:divsChild>
        <w:div w:id="1498184575">
          <w:marLeft w:val="0"/>
          <w:marRight w:val="0"/>
          <w:marTop w:val="0"/>
          <w:marBottom w:val="101"/>
          <w:divBdr>
            <w:top w:val="none" w:sz="0" w:space="0" w:color="auto"/>
            <w:left w:val="none" w:sz="0" w:space="0" w:color="auto"/>
            <w:bottom w:val="none" w:sz="0" w:space="0" w:color="auto"/>
            <w:right w:val="none" w:sz="0" w:space="0" w:color="auto"/>
          </w:divBdr>
        </w:div>
        <w:div w:id="1885023888">
          <w:marLeft w:val="720"/>
          <w:marRight w:val="0"/>
          <w:marTop w:val="0"/>
          <w:marBottom w:val="101"/>
          <w:divBdr>
            <w:top w:val="none" w:sz="0" w:space="0" w:color="auto"/>
            <w:left w:val="none" w:sz="0" w:space="0" w:color="auto"/>
            <w:bottom w:val="none" w:sz="0" w:space="0" w:color="auto"/>
            <w:right w:val="none" w:sz="0" w:space="0" w:color="auto"/>
          </w:divBdr>
        </w:div>
        <w:div w:id="1765879348">
          <w:marLeft w:val="720"/>
          <w:marRight w:val="0"/>
          <w:marTop w:val="0"/>
          <w:marBottom w:val="101"/>
          <w:divBdr>
            <w:top w:val="none" w:sz="0" w:space="0" w:color="auto"/>
            <w:left w:val="none" w:sz="0" w:space="0" w:color="auto"/>
            <w:bottom w:val="none" w:sz="0" w:space="0" w:color="auto"/>
            <w:right w:val="none" w:sz="0" w:space="0" w:color="auto"/>
          </w:divBdr>
        </w:div>
        <w:div w:id="203450452">
          <w:marLeft w:val="720"/>
          <w:marRight w:val="0"/>
          <w:marTop w:val="0"/>
          <w:marBottom w:val="101"/>
          <w:divBdr>
            <w:top w:val="none" w:sz="0" w:space="0" w:color="auto"/>
            <w:left w:val="none" w:sz="0" w:space="0" w:color="auto"/>
            <w:bottom w:val="none" w:sz="0" w:space="0" w:color="auto"/>
            <w:right w:val="none" w:sz="0" w:space="0" w:color="auto"/>
          </w:divBdr>
        </w:div>
        <w:div w:id="197011513">
          <w:marLeft w:val="720"/>
          <w:marRight w:val="0"/>
          <w:marTop w:val="0"/>
          <w:marBottom w:val="101"/>
          <w:divBdr>
            <w:top w:val="none" w:sz="0" w:space="0" w:color="auto"/>
            <w:left w:val="none" w:sz="0" w:space="0" w:color="auto"/>
            <w:bottom w:val="none" w:sz="0" w:space="0" w:color="auto"/>
            <w:right w:val="none" w:sz="0" w:space="0" w:color="auto"/>
          </w:divBdr>
        </w:div>
      </w:divsChild>
    </w:div>
    <w:div w:id="441999573">
      <w:bodyDiv w:val="1"/>
      <w:marLeft w:val="0"/>
      <w:marRight w:val="0"/>
      <w:marTop w:val="0"/>
      <w:marBottom w:val="0"/>
      <w:divBdr>
        <w:top w:val="none" w:sz="0" w:space="0" w:color="auto"/>
        <w:left w:val="none" w:sz="0" w:space="0" w:color="auto"/>
        <w:bottom w:val="none" w:sz="0" w:space="0" w:color="auto"/>
        <w:right w:val="none" w:sz="0" w:space="0" w:color="auto"/>
      </w:divBdr>
      <w:divsChild>
        <w:div w:id="2128310722">
          <w:marLeft w:val="0"/>
          <w:marRight w:val="0"/>
          <w:marTop w:val="0"/>
          <w:marBottom w:val="101"/>
          <w:divBdr>
            <w:top w:val="none" w:sz="0" w:space="0" w:color="auto"/>
            <w:left w:val="none" w:sz="0" w:space="0" w:color="auto"/>
            <w:bottom w:val="none" w:sz="0" w:space="0" w:color="auto"/>
            <w:right w:val="none" w:sz="0" w:space="0" w:color="auto"/>
          </w:divBdr>
        </w:div>
        <w:div w:id="1017737760">
          <w:marLeft w:val="720"/>
          <w:marRight w:val="0"/>
          <w:marTop w:val="0"/>
          <w:marBottom w:val="101"/>
          <w:divBdr>
            <w:top w:val="none" w:sz="0" w:space="0" w:color="auto"/>
            <w:left w:val="none" w:sz="0" w:space="0" w:color="auto"/>
            <w:bottom w:val="none" w:sz="0" w:space="0" w:color="auto"/>
            <w:right w:val="none" w:sz="0" w:space="0" w:color="auto"/>
          </w:divBdr>
        </w:div>
        <w:div w:id="1491630607">
          <w:marLeft w:val="720"/>
          <w:marRight w:val="0"/>
          <w:marTop w:val="0"/>
          <w:marBottom w:val="101"/>
          <w:divBdr>
            <w:top w:val="none" w:sz="0" w:space="0" w:color="auto"/>
            <w:left w:val="none" w:sz="0" w:space="0" w:color="auto"/>
            <w:bottom w:val="none" w:sz="0" w:space="0" w:color="auto"/>
            <w:right w:val="none" w:sz="0" w:space="0" w:color="auto"/>
          </w:divBdr>
        </w:div>
        <w:div w:id="749084164">
          <w:marLeft w:val="720"/>
          <w:marRight w:val="0"/>
          <w:marTop w:val="0"/>
          <w:marBottom w:val="101"/>
          <w:divBdr>
            <w:top w:val="none" w:sz="0" w:space="0" w:color="auto"/>
            <w:left w:val="none" w:sz="0" w:space="0" w:color="auto"/>
            <w:bottom w:val="none" w:sz="0" w:space="0" w:color="auto"/>
            <w:right w:val="none" w:sz="0" w:space="0" w:color="auto"/>
          </w:divBdr>
        </w:div>
        <w:div w:id="65806636">
          <w:marLeft w:val="720"/>
          <w:marRight w:val="0"/>
          <w:marTop w:val="0"/>
          <w:marBottom w:val="101"/>
          <w:divBdr>
            <w:top w:val="none" w:sz="0" w:space="0" w:color="auto"/>
            <w:left w:val="none" w:sz="0" w:space="0" w:color="auto"/>
            <w:bottom w:val="none" w:sz="0" w:space="0" w:color="auto"/>
            <w:right w:val="none" w:sz="0" w:space="0" w:color="auto"/>
          </w:divBdr>
        </w:div>
      </w:divsChild>
    </w:div>
    <w:div w:id="525414063">
      <w:bodyDiv w:val="1"/>
      <w:marLeft w:val="0"/>
      <w:marRight w:val="0"/>
      <w:marTop w:val="0"/>
      <w:marBottom w:val="0"/>
      <w:divBdr>
        <w:top w:val="none" w:sz="0" w:space="0" w:color="auto"/>
        <w:left w:val="none" w:sz="0" w:space="0" w:color="auto"/>
        <w:bottom w:val="none" w:sz="0" w:space="0" w:color="auto"/>
        <w:right w:val="none" w:sz="0" w:space="0" w:color="auto"/>
      </w:divBdr>
      <w:divsChild>
        <w:div w:id="1325858994">
          <w:marLeft w:val="0"/>
          <w:marRight w:val="0"/>
          <w:marTop w:val="0"/>
          <w:marBottom w:val="101"/>
          <w:divBdr>
            <w:top w:val="none" w:sz="0" w:space="0" w:color="auto"/>
            <w:left w:val="none" w:sz="0" w:space="0" w:color="auto"/>
            <w:bottom w:val="none" w:sz="0" w:space="0" w:color="auto"/>
            <w:right w:val="none" w:sz="0" w:space="0" w:color="auto"/>
          </w:divBdr>
        </w:div>
        <w:div w:id="999431422">
          <w:marLeft w:val="720"/>
          <w:marRight w:val="0"/>
          <w:marTop w:val="0"/>
          <w:marBottom w:val="101"/>
          <w:divBdr>
            <w:top w:val="none" w:sz="0" w:space="0" w:color="auto"/>
            <w:left w:val="none" w:sz="0" w:space="0" w:color="auto"/>
            <w:bottom w:val="none" w:sz="0" w:space="0" w:color="auto"/>
            <w:right w:val="none" w:sz="0" w:space="0" w:color="auto"/>
          </w:divBdr>
        </w:div>
        <w:div w:id="1215462993">
          <w:marLeft w:val="720"/>
          <w:marRight w:val="0"/>
          <w:marTop w:val="0"/>
          <w:marBottom w:val="101"/>
          <w:divBdr>
            <w:top w:val="none" w:sz="0" w:space="0" w:color="auto"/>
            <w:left w:val="none" w:sz="0" w:space="0" w:color="auto"/>
            <w:bottom w:val="none" w:sz="0" w:space="0" w:color="auto"/>
            <w:right w:val="none" w:sz="0" w:space="0" w:color="auto"/>
          </w:divBdr>
        </w:div>
        <w:div w:id="703209663">
          <w:marLeft w:val="720"/>
          <w:marRight w:val="0"/>
          <w:marTop w:val="0"/>
          <w:marBottom w:val="101"/>
          <w:divBdr>
            <w:top w:val="none" w:sz="0" w:space="0" w:color="auto"/>
            <w:left w:val="none" w:sz="0" w:space="0" w:color="auto"/>
            <w:bottom w:val="none" w:sz="0" w:space="0" w:color="auto"/>
            <w:right w:val="none" w:sz="0" w:space="0" w:color="auto"/>
          </w:divBdr>
        </w:div>
        <w:div w:id="1175071869">
          <w:marLeft w:val="1080"/>
          <w:marRight w:val="0"/>
          <w:marTop w:val="0"/>
          <w:marBottom w:val="101"/>
          <w:divBdr>
            <w:top w:val="none" w:sz="0" w:space="0" w:color="auto"/>
            <w:left w:val="none" w:sz="0" w:space="0" w:color="auto"/>
            <w:bottom w:val="none" w:sz="0" w:space="0" w:color="auto"/>
            <w:right w:val="none" w:sz="0" w:space="0" w:color="auto"/>
          </w:divBdr>
        </w:div>
        <w:div w:id="1238324816">
          <w:marLeft w:val="1080"/>
          <w:marRight w:val="0"/>
          <w:marTop w:val="0"/>
          <w:marBottom w:val="101"/>
          <w:divBdr>
            <w:top w:val="none" w:sz="0" w:space="0" w:color="auto"/>
            <w:left w:val="none" w:sz="0" w:space="0" w:color="auto"/>
            <w:bottom w:val="none" w:sz="0" w:space="0" w:color="auto"/>
            <w:right w:val="none" w:sz="0" w:space="0" w:color="auto"/>
          </w:divBdr>
        </w:div>
        <w:div w:id="1354722089">
          <w:marLeft w:val="1080"/>
          <w:marRight w:val="0"/>
          <w:marTop w:val="0"/>
          <w:marBottom w:val="101"/>
          <w:divBdr>
            <w:top w:val="none" w:sz="0" w:space="0" w:color="auto"/>
            <w:left w:val="none" w:sz="0" w:space="0" w:color="auto"/>
            <w:bottom w:val="none" w:sz="0" w:space="0" w:color="auto"/>
            <w:right w:val="none" w:sz="0" w:space="0" w:color="auto"/>
          </w:divBdr>
        </w:div>
        <w:div w:id="1023167270">
          <w:marLeft w:val="1080"/>
          <w:marRight w:val="0"/>
          <w:marTop w:val="0"/>
          <w:marBottom w:val="101"/>
          <w:divBdr>
            <w:top w:val="none" w:sz="0" w:space="0" w:color="auto"/>
            <w:left w:val="none" w:sz="0" w:space="0" w:color="auto"/>
            <w:bottom w:val="none" w:sz="0" w:space="0" w:color="auto"/>
            <w:right w:val="none" w:sz="0" w:space="0" w:color="auto"/>
          </w:divBdr>
        </w:div>
        <w:div w:id="275720131">
          <w:marLeft w:val="1080"/>
          <w:marRight w:val="0"/>
          <w:marTop w:val="0"/>
          <w:marBottom w:val="101"/>
          <w:divBdr>
            <w:top w:val="none" w:sz="0" w:space="0" w:color="auto"/>
            <w:left w:val="none" w:sz="0" w:space="0" w:color="auto"/>
            <w:bottom w:val="none" w:sz="0" w:space="0" w:color="auto"/>
            <w:right w:val="none" w:sz="0" w:space="0" w:color="auto"/>
          </w:divBdr>
        </w:div>
        <w:div w:id="99885314">
          <w:marLeft w:val="720"/>
          <w:marRight w:val="0"/>
          <w:marTop w:val="0"/>
          <w:marBottom w:val="101"/>
          <w:divBdr>
            <w:top w:val="none" w:sz="0" w:space="0" w:color="auto"/>
            <w:left w:val="none" w:sz="0" w:space="0" w:color="auto"/>
            <w:bottom w:val="none" w:sz="0" w:space="0" w:color="auto"/>
            <w:right w:val="none" w:sz="0" w:space="0" w:color="auto"/>
          </w:divBdr>
        </w:div>
        <w:div w:id="1532719582">
          <w:marLeft w:val="720"/>
          <w:marRight w:val="0"/>
          <w:marTop w:val="0"/>
          <w:marBottom w:val="101"/>
          <w:divBdr>
            <w:top w:val="none" w:sz="0" w:space="0" w:color="auto"/>
            <w:left w:val="none" w:sz="0" w:space="0" w:color="auto"/>
            <w:bottom w:val="none" w:sz="0" w:space="0" w:color="auto"/>
            <w:right w:val="none" w:sz="0" w:space="0" w:color="auto"/>
          </w:divBdr>
        </w:div>
        <w:div w:id="1942561964">
          <w:marLeft w:val="720"/>
          <w:marRight w:val="0"/>
          <w:marTop w:val="0"/>
          <w:marBottom w:val="101"/>
          <w:divBdr>
            <w:top w:val="none" w:sz="0" w:space="0" w:color="auto"/>
            <w:left w:val="none" w:sz="0" w:space="0" w:color="auto"/>
            <w:bottom w:val="none" w:sz="0" w:space="0" w:color="auto"/>
            <w:right w:val="none" w:sz="0" w:space="0" w:color="auto"/>
          </w:divBdr>
        </w:div>
        <w:div w:id="1927223007">
          <w:marLeft w:val="720"/>
          <w:marRight w:val="0"/>
          <w:marTop w:val="0"/>
          <w:marBottom w:val="101"/>
          <w:divBdr>
            <w:top w:val="none" w:sz="0" w:space="0" w:color="auto"/>
            <w:left w:val="none" w:sz="0" w:space="0" w:color="auto"/>
            <w:bottom w:val="none" w:sz="0" w:space="0" w:color="auto"/>
            <w:right w:val="none" w:sz="0" w:space="0" w:color="auto"/>
          </w:divBdr>
        </w:div>
        <w:div w:id="1890998262">
          <w:marLeft w:val="720"/>
          <w:marRight w:val="0"/>
          <w:marTop w:val="0"/>
          <w:marBottom w:val="101"/>
          <w:divBdr>
            <w:top w:val="none" w:sz="0" w:space="0" w:color="auto"/>
            <w:left w:val="none" w:sz="0" w:space="0" w:color="auto"/>
            <w:bottom w:val="none" w:sz="0" w:space="0" w:color="auto"/>
            <w:right w:val="none" w:sz="0" w:space="0" w:color="auto"/>
          </w:divBdr>
        </w:div>
        <w:div w:id="331302963">
          <w:marLeft w:val="1080"/>
          <w:marRight w:val="0"/>
          <w:marTop w:val="0"/>
          <w:marBottom w:val="101"/>
          <w:divBdr>
            <w:top w:val="none" w:sz="0" w:space="0" w:color="auto"/>
            <w:left w:val="none" w:sz="0" w:space="0" w:color="auto"/>
            <w:bottom w:val="none" w:sz="0" w:space="0" w:color="auto"/>
            <w:right w:val="none" w:sz="0" w:space="0" w:color="auto"/>
          </w:divBdr>
        </w:div>
        <w:div w:id="1985692491">
          <w:marLeft w:val="1080"/>
          <w:marRight w:val="0"/>
          <w:marTop w:val="0"/>
          <w:marBottom w:val="101"/>
          <w:divBdr>
            <w:top w:val="none" w:sz="0" w:space="0" w:color="auto"/>
            <w:left w:val="none" w:sz="0" w:space="0" w:color="auto"/>
            <w:bottom w:val="none" w:sz="0" w:space="0" w:color="auto"/>
            <w:right w:val="none" w:sz="0" w:space="0" w:color="auto"/>
          </w:divBdr>
        </w:div>
        <w:div w:id="574510902">
          <w:marLeft w:val="1080"/>
          <w:marRight w:val="0"/>
          <w:marTop w:val="0"/>
          <w:marBottom w:val="101"/>
          <w:divBdr>
            <w:top w:val="none" w:sz="0" w:space="0" w:color="auto"/>
            <w:left w:val="none" w:sz="0" w:space="0" w:color="auto"/>
            <w:bottom w:val="none" w:sz="0" w:space="0" w:color="auto"/>
            <w:right w:val="none" w:sz="0" w:space="0" w:color="auto"/>
          </w:divBdr>
        </w:div>
        <w:div w:id="1190879576">
          <w:marLeft w:val="720"/>
          <w:marRight w:val="0"/>
          <w:marTop w:val="0"/>
          <w:marBottom w:val="101"/>
          <w:divBdr>
            <w:top w:val="none" w:sz="0" w:space="0" w:color="auto"/>
            <w:left w:val="none" w:sz="0" w:space="0" w:color="auto"/>
            <w:bottom w:val="none" w:sz="0" w:space="0" w:color="auto"/>
            <w:right w:val="none" w:sz="0" w:space="0" w:color="auto"/>
          </w:divBdr>
        </w:div>
      </w:divsChild>
    </w:div>
    <w:div w:id="530262225">
      <w:bodyDiv w:val="1"/>
      <w:marLeft w:val="0"/>
      <w:marRight w:val="0"/>
      <w:marTop w:val="0"/>
      <w:marBottom w:val="0"/>
      <w:divBdr>
        <w:top w:val="none" w:sz="0" w:space="0" w:color="auto"/>
        <w:left w:val="none" w:sz="0" w:space="0" w:color="auto"/>
        <w:bottom w:val="none" w:sz="0" w:space="0" w:color="auto"/>
        <w:right w:val="none" w:sz="0" w:space="0" w:color="auto"/>
      </w:divBdr>
      <w:divsChild>
        <w:div w:id="508568380">
          <w:marLeft w:val="0"/>
          <w:marRight w:val="0"/>
          <w:marTop w:val="0"/>
          <w:marBottom w:val="101"/>
          <w:divBdr>
            <w:top w:val="none" w:sz="0" w:space="0" w:color="auto"/>
            <w:left w:val="none" w:sz="0" w:space="0" w:color="auto"/>
            <w:bottom w:val="none" w:sz="0" w:space="0" w:color="auto"/>
            <w:right w:val="none" w:sz="0" w:space="0" w:color="auto"/>
          </w:divBdr>
        </w:div>
        <w:div w:id="1398212599">
          <w:marLeft w:val="720"/>
          <w:marRight w:val="0"/>
          <w:marTop w:val="0"/>
          <w:marBottom w:val="101"/>
          <w:divBdr>
            <w:top w:val="none" w:sz="0" w:space="0" w:color="auto"/>
            <w:left w:val="none" w:sz="0" w:space="0" w:color="auto"/>
            <w:bottom w:val="none" w:sz="0" w:space="0" w:color="auto"/>
            <w:right w:val="none" w:sz="0" w:space="0" w:color="auto"/>
          </w:divBdr>
        </w:div>
      </w:divsChild>
    </w:div>
    <w:div w:id="769618054">
      <w:bodyDiv w:val="1"/>
      <w:marLeft w:val="0"/>
      <w:marRight w:val="0"/>
      <w:marTop w:val="0"/>
      <w:marBottom w:val="0"/>
      <w:divBdr>
        <w:top w:val="none" w:sz="0" w:space="0" w:color="auto"/>
        <w:left w:val="none" w:sz="0" w:space="0" w:color="auto"/>
        <w:bottom w:val="none" w:sz="0" w:space="0" w:color="auto"/>
        <w:right w:val="none" w:sz="0" w:space="0" w:color="auto"/>
      </w:divBdr>
      <w:divsChild>
        <w:div w:id="1948537082">
          <w:marLeft w:val="0"/>
          <w:marRight w:val="0"/>
          <w:marTop w:val="0"/>
          <w:marBottom w:val="101"/>
          <w:divBdr>
            <w:top w:val="none" w:sz="0" w:space="0" w:color="auto"/>
            <w:left w:val="none" w:sz="0" w:space="0" w:color="auto"/>
            <w:bottom w:val="none" w:sz="0" w:space="0" w:color="auto"/>
            <w:right w:val="none" w:sz="0" w:space="0" w:color="auto"/>
          </w:divBdr>
        </w:div>
        <w:div w:id="401175857">
          <w:marLeft w:val="720"/>
          <w:marRight w:val="0"/>
          <w:marTop w:val="0"/>
          <w:marBottom w:val="101"/>
          <w:divBdr>
            <w:top w:val="none" w:sz="0" w:space="0" w:color="auto"/>
            <w:left w:val="none" w:sz="0" w:space="0" w:color="auto"/>
            <w:bottom w:val="none" w:sz="0" w:space="0" w:color="auto"/>
            <w:right w:val="none" w:sz="0" w:space="0" w:color="auto"/>
          </w:divBdr>
        </w:div>
        <w:div w:id="104275608">
          <w:marLeft w:val="1080"/>
          <w:marRight w:val="0"/>
          <w:marTop w:val="0"/>
          <w:marBottom w:val="101"/>
          <w:divBdr>
            <w:top w:val="none" w:sz="0" w:space="0" w:color="auto"/>
            <w:left w:val="none" w:sz="0" w:space="0" w:color="auto"/>
            <w:bottom w:val="none" w:sz="0" w:space="0" w:color="auto"/>
            <w:right w:val="none" w:sz="0" w:space="0" w:color="auto"/>
          </w:divBdr>
        </w:div>
        <w:div w:id="1147479268">
          <w:marLeft w:val="1080"/>
          <w:marRight w:val="0"/>
          <w:marTop w:val="0"/>
          <w:marBottom w:val="101"/>
          <w:divBdr>
            <w:top w:val="none" w:sz="0" w:space="0" w:color="auto"/>
            <w:left w:val="none" w:sz="0" w:space="0" w:color="auto"/>
            <w:bottom w:val="none" w:sz="0" w:space="0" w:color="auto"/>
            <w:right w:val="none" w:sz="0" w:space="0" w:color="auto"/>
          </w:divBdr>
        </w:div>
        <w:div w:id="1426804242">
          <w:marLeft w:val="1080"/>
          <w:marRight w:val="0"/>
          <w:marTop w:val="0"/>
          <w:marBottom w:val="101"/>
          <w:divBdr>
            <w:top w:val="none" w:sz="0" w:space="0" w:color="auto"/>
            <w:left w:val="none" w:sz="0" w:space="0" w:color="auto"/>
            <w:bottom w:val="none" w:sz="0" w:space="0" w:color="auto"/>
            <w:right w:val="none" w:sz="0" w:space="0" w:color="auto"/>
          </w:divBdr>
        </w:div>
        <w:div w:id="944192475">
          <w:marLeft w:val="1080"/>
          <w:marRight w:val="0"/>
          <w:marTop w:val="0"/>
          <w:marBottom w:val="101"/>
          <w:divBdr>
            <w:top w:val="none" w:sz="0" w:space="0" w:color="auto"/>
            <w:left w:val="none" w:sz="0" w:space="0" w:color="auto"/>
            <w:bottom w:val="none" w:sz="0" w:space="0" w:color="auto"/>
            <w:right w:val="none" w:sz="0" w:space="0" w:color="auto"/>
          </w:divBdr>
        </w:div>
        <w:div w:id="1505702302">
          <w:marLeft w:val="1080"/>
          <w:marRight w:val="0"/>
          <w:marTop w:val="0"/>
          <w:marBottom w:val="101"/>
          <w:divBdr>
            <w:top w:val="none" w:sz="0" w:space="0" w:color="auto"/>
            <w:left w:val="none" w:sz="0" w:space="0" w:color="auto"/>
            <w:bottom w:val="none" w:sz="0" w:space="0" w:color="auto"/>
            <w:right w:val="none" w:sz="0" w:space="0" w:color="auto"/>
          </w:divBdr>
        </w:div>
        <w:div w:id="359747017">
          <w:marLeft w:val="1080"/>
          <w:marRight w:val="0"/>
          <w:marTop w:val="0"/>
          <w:marBottom w:val="101"/>
          <w:divBdr>
            <w:top w:val="none" w:sz="0" w:space="0" w:color="auto"/>
            <w:left w:val="none" w:sz="0" w:space="0" w:color="auto"/>
            <w:bottom w:val="none" w:sz="0" w:space="0" w:color="auto"/>
            <w:right w:val="none" w:sz="0" w:space="0" w:color="auto"/>
          </w:divBdr>
        </w:div>
        <w:div w:id="779185783">
          <w:marLeft w:val="720"/>
          <w:marRight w:val="0"/>
          <w:marTop w:val="0"/>
          <w:marBottom w:val="101"/>
          <w:divBdr>
            <w:top w:val="none" w:sz="0" w:space="0" w:color="auto"/>
            <w:left w:val="none" w:sz="0" w:space="0" w:color="auto"/>
            <w:bottom w:val="none" w:sz="0" w:space="0" w:color="auto"/>
            <w:right w:val="none" w:sz="0" w:space="0" w:color="auto"/>
          </w:divBdr>
        </w:div>
        <w:div w:id="1687901068">
          <w:marLeft w:val="720"/>
          <w:marRight w:val="0"/>
          <w:marTop w:val="0"/>
          <w:marBottom w:val="101"/>
          <w:divBdr>
            <w:top w:val="none" w:sz="0" w:space="0" w:color="auto"/>
            <w:left w:val="none" w:sz="0" w:space="0" w:color="auto"/>
            <w:bottom w:val="none" w:sz="0" w:space="0" w:color="auto"/>
            <w:right w:val="none" w:sz="0" w:space="0" w:color="auto"/>
          </w:divBdr>
        </w:div>
        <w:div w:id="1048797439">
          <w:marLeft w:val="720"/>
          <w:marRight w:val="0"/>
          <w:marTop w:val="0"/>
          <w:marBottom w:val="101"/>
          <w:divBdr>
            <w:top w:val="none" w:sz="0" w:space="0" w:color="auto"/>
            <w:left w:val="none" w:sz="0" w:space="0" w:color="auto"/>
            <w:bottom w:val="none" w:sz="0" w:space="0" w:color="auto"/>
            <w:right w:val="none" w:sz="0" w:space="0" w:color="auto"/>
          </w:divBdr>
        </w:div>
        <w:div w:id="971330174">
          <w:marLeft w:val="720"/>
          <w:marRight w:val="0"/>
          <w:marTop w:val="0"/>
          <w:marBottom w:val="101"/>
          <w:divBdr>
            <w:top w:val="none" w:sz="0" w:space="0" w:color="auto"/>
            <w:left w:val="none" w:sz="0" w:space="0" w:color="auto"/>
            <w:bottom w:val="none" w:sz="0" w:space="0" w:color="auto"/>
            <w:right w:val="none" w:sz="0" w:space="0" w:color="auto"/>
          </w:divBdr>
        </w:div>
        <w:div w:id="1481576253">
          <w:marLeft w:val="720"/>
          <w:marRight w:val="0"/>
          <w:marTop w:val="0"/>
          <w:marBottom w:val="101"/>
          <w:divBdr>
            <w:top w:val="none" w:sz="0" w:space="0" w:color="auto"/>
            <w:left w:val="none" w:sz="0" w:space="0" w:color="auto"/>
            <w:bottom w:val="none" w:sz="0" w:space="0" w:color="auto"/>
            <w:right w:val="none" w:sz="0" w:space="0" w:color="auto"/>
          </w:divBdr>
        </w:div>
        <w:div w:id="518198053">
          <w:marLeft w:val="720"/>
          <w:marRight w:val="0"/>
          <w:marTop w:val="0"/>
          <w:marBottom w:val="101"/>
          <w:divBdr>
            <w:top w:val="none" w:sz="0" w:space="0" w:color="auto"/>
            <w:left w:val="none" w:sz="0" w:space="0" w:color="auto"/>
            <w:bottom w:val="none" w:sz="0" w:space="0" w:color="auto"/>
            <w:right w:val="none" w:sz="0" w:space="0" w:color="auto"/>
          </w:divBdr>
        </w:div>
        <w:div w:id="1970628001">
          <w:marLeft w:val="720"/>
          <w:marRight w:val="0"/>
          <w:marTop w:val="0"/>
          <w:marBottom w:val="101"/>
          <w:divBdr>
            <w:top w:val="none" w:sz="0" w:space="0" w:color="auto"/>
            <w:left w:val="none" w:sz="0" w:space="0" w:color="auto"/>
            <w:bottom w:val="none" w:sz="0" w:space="0" w:color="auto"/>
            <w:right w:val="none" w:sz="0" w:space="0" w:color="auto"/>
          </w:divBdr>
        </w:div>
        <w:div w:id="2052146609">
          <w:marLeft w:val="720"/>
          <w:marRight w:val="0"/>
          <w:marTop w:val="0"/>
          <w:marBottom w:val="101"/>
          <w:divBdr>
            <w:top w:val="none" w:sz="0" w:space="0" w:color="auto"/>
            <w:left w:val="none" w:sz="0" w:space="0" w:color="auto"/>
            <w:bottom w:val="none" w:sz="0" w:space="0" w:color="auto"/>
            <w:right w:val="none" w:sz="0" w:space="0" w:color="auto"/>
          </w:divBdr>
        </w:div>
      </w:divsChild>
    </w:div>
    <w:div w:id="845363083">
      <w:bodyDiv w:val="1"/>
      <w:marLeft w:val="0"/>
      <w:marRight w:val="0"/>
      <w:marTop w:val="0"/>
      <w:marBottom w:val="0"/>
      <w:divBdr>
        <w:top w:val="none" w:sz="0" w:space="0" w:color="auto"/>
        <w:left w:val="none" w:sz="0" w:space="0" w:color="auto"/>
        <w:bottom w:val="none" w:sz="0" w:space="0" w:color="auto"/>
        <w:right w:val="none" w:sz="0" w:space="0" w:color="auto"/>
      </w:divBdr>
      <w:divsChild>
        <w:div w:id="890578768">
          <w:marLeft w:val="0"/>
          <w:marRight w:val="0"/>
          <w:marTop w:val="0"/>
          <w:marBottom w:val="101"/>
          <w:divBdr>
            <w:top w:val="none" w:sz="0" w:space="0" w:color="auto"/>
            <w:left w:val="none" w:sz="0" w:space="0" w:color="auto"/>
            <w:bottom w:val="none" w:sz="0" w:space="0" w:color="auto"/>
            <w:right w:val="none" w:sz="0" w:space="0" w:color="auto"/>
          </w:divBdr>
        </w:div>
        <w:div w:id="961618205">
          <w:marLeft w:val="720"/>
          <w:marRight w:val="0"/>
          <w:marTop w:val="0"/>
          <w:marBottom w:val="101"/>
          <w:divBdr>
            <w:top w:val="none" w:sz="0" w:space="0" w:color="auto"/>
            <w:left w:val="none" w:sz="0" w:space="0" w:color="auto"/>
            <w:bottom w:val="none" w:sz="0" w:space="0" w:color="auto"/>
            <w:right w:val="none" w:sz="0" w:space="0" w:color="auto"/>
          </w:divBdr>
        </w:div>
        <w:div w:id="1796096136">
          <w:marLeft w:val="1080"/>
          <w:marRight w:val="0"/>
          <w:marTop w:val="0"/>
          <w:marBottom w:val="101"/>
          <w:divBdr>
            <w:top w:val="none" w:sz="0" w:space="0" w:color="auto"/>
            <w:left w:val="none" w:sz="0" w:space="0" w:color="auto"/>
            <w:bottom w:val="none" w:sz="0" w:space="0" w:color="auto"/>
            <w:right w:val="none" w:sz="0" w:space="0" w:color="auto"/>
          </w:divBdr>
        </w:div>
        <w:div w:id="904801404">
          <w:marLeft w:val="1080"/>
          <w:marRight w:val="0"/>
          <w:marTop w:val="0"/>
          <w:marBottom w:val="101"/>
          <w:divBdr>
            <w:top w:val="none" w:sz="0" w:space="0" w:color="auto"/>
            <w:left w:val="none" w:sz="0" w:space="0" w:color="auto"/>
            <w:bottom w:val="none" w:sz="0" w:space="0" w:color="auto"/>
            <w:right w:val="none" w:sz="0" w:space="0" w:color="auto"/>
          </w:divBdr>
        </w:div>
        <w:div w:id="767235914">
          <w:marLeft w:val="1080"/>
          <w:marRight w:val="0"/>
          <w:marTop w:val="0"/>
          <w:marBottom w:val="101"/>
          <w:divBdr>
            <w:top w:val="none" w:sz="0" w:space="0" w:color="auto"/>
            <w:left w:val="none" w:sz="0" w:space="0" w:color="auto"/>
            <w:bottom w:val="none" w:sz="0" w:space="0" w:color="auto"/>
            <w:right w:val="none" w:sz="0" w:space="0" w:color="auto"/>
          </w:divBdr>
        </w:div>
        <w:div w:id="2093116248">
          <w:marLeft w:val="1080"/>
          <w:marRight w:val="0"/>
          <w:marTop w:val="0"/>
          <w:marBottom w:val="101"/>
          <w:divBdr>
            <w:top w:val="none" w:sz="0" w:space="0" w:color="auto"/>
            <w:left w:val="none" w:sz="0" w:space="0" w:color="auto"/>
            <w:bottom w:val="none" w:sz="0" w:space="0" w:color="auto"/>
            <w:right w:val="none" w:sz="0" w:space="0" w:color="auto"/>
          </w:divBdr>
        </w:div>
      </w:divsChild>
    </w:div>
    <w:div w:id="917590673">
      <w:bodyDiv w:val="1"/>
      <w:marLeft w:val="0"/>
      <w:marRight w:val="0"/>
      <w:marTop w:val="0"/>
      <w:marBottom w:val="0"/>
      <w:divBdr>
        <w:top w:val="none" w:sz="0" w:space="0" w:color="auto"/>
        <w:left w:val="none" w:sz="0" w:space="0" w:color="auto"/>
        <w:bottom w:val="none" w:sz="0" w:space="0" w:color="auto"/>
        <w:right w:val="none" w:sz="0" w:space="0" w:color="auto"/>
      </w:divBdr>
      <w:divsChild>
        <w:div w:id="916717741">
          <w:marLeft w:val="0"/>
          <w:marRight w:val="0"/>
          <w:marTop w:val="0"/>
          <w:marBottom w:val="101"/>
          <w:divBdr>
            <w:top w:val="none" w:sz="0" w:space="0" w:color="auto"/>
            <w:left w:val="none" w:sz="0" w:space="0" w:color="auto"/>
            <w:bottom w:val="none" w:sz="0" w:space="0" w:color="auto"/>
            <w:right w:val="none" w:sz="0" w:space="0" w:color="auto"/>
          </w:divBdr>
        </w:div>
        <w:div w:id="68161943">
          <w:marLeft w:val="720"/>
          <w:marRight w:val="0"/>
          <w:marTop w:val="0"/>
          <w:marBottom w:val="101"/>
          <w:divBdr>
            <w:top w:val="none" w:sz="0" w:space="0" w:color="auto"/>
            <w:left w:val="none" w:sz="0" w:space="0" w:color="auto"/>
            <w:bottom w:val="none" w:sz="0" w:space="0" w:color="auto"/>
            <w:right w:val="none" w:sz="0" w:space="0" w:color="auto"/>
          </w:divBdr>
        </w:div>
        <w:div w:id="1436829307">
          <w:marLeft w:val="1080"/>
          <w:marRight w:val="0"/>
          <w:marTop w:val="0"/>
          <w:marBottom w:val="101"/>
          <w:divBdr>
            <w:top w:val="none" w:sz="0" w:space="0" w:color="auto"/>
            <w:left w:val="none" w:sz="0" w:space="0" w:color="auto"/>
            <w:bottom w:val="none" w:sz="0" w:space="0" w:color="auto"/>
            <w:right w:val="none" w:sz="0" w:space="0" w:color="auto"/>
          </w:divBdr>
        </w:div>
        <w:div w:id="1935897351">
          <w:marLeft w:val="1080"/>
          <w:marRight w:val="0"/>
          <w:marTop w:val="0"/>
          <w:marBottom w:val="101"/>
          <w:divBdr>
            <w:top w:val="none" w:sz="0" w:space="0" w:color="auto"/>
            <w:left w:val="none" w:sz="0" w:space="0" w:color="auto"/>
            <w:bottom w:val="none" w:sz="0" w:space="0" w:color="auto"/>
            <w:right w:val="none" w:sz="0" w:space="0" w:color="auto"/>
          </w:divBdr>
        </w:div>
        <w:div w:id="265040806">
          <w:marLeft w:val="1080"/>
          <w:marRight w:val="0"/>
          <w:marTop w:val="0"/>
          <w:marBottom w:val="101"/>
          <w:divBdr>
            <w:top w:val="none" w:sz="0" w:space="0" w:color="auto"/>
            <w:left w:val="none" w:sz="0" w:space="0" w:color="auto"/>
            <w:bottom w:val="none" w:sz="0" w:space="0" w:color="auto"/>
            <w:right w:val="none" w:sz="0" w:space="0" w:color="auto"/>
          </w:divBdr>
        </w:div>
        <w:div w:id="217278186">
          <w:marLeft w:val="1080"/>
          <w:marRight w:val="0"/>
          <w:marTop w:val="0"/>
          <w:marBottom w:val="101"/>
          <w:divBdr>
            <w:top w:val="none" w:sz="0" w:space="0" w:color="auto"/>
            <w:left w:val="none" w:sz="0" w:space="0" w:color="auto"/>
            <w:bottom w:val="none" w:sz="0" w:space="0" w:color="auto"/>
            <w:right w:val="none" w:sz="0" w:space="0" w:color="auto"/>
          </w:divBdr>
        </w:div>
        <w:div w:id="1030183764">
          <w:marLeft w:val="1080"/>
          <w:marRight w:val="0"/>
          <w:marTop w:val="0"/>
          <w:marBottom w:val="101"/>
          <w:divBdr>
            <w:top w:val="none" w:sz="0" w:space="0" w:color="auto"/>
            <w:left w:val="none" w:sz="0" w:space="0" w:color="auto"/>
            <w:bottom w:val="none" w:sz="0" w:space="0" w:color="auto"/>
            <w:right w:val="none" w:sz="0" w:space="0" w:color="auto"/>
          </w:divBdr>
        </w:div>
      </w:divsChild>
    </w:div>
    <w:div w:id="987444350">
      <w:bodyDiv w:val="1"/>
      <w:marLeft w:val="0"/>
      <w:marRight w:val="0"/>
      <w:marTop w:val="0"/>
      <w:marBottom w:val="0"/>
      <w:divBdr>
        <w:top w:val="none" w:sz="0" w:space="0" w:color="auto"/>
        <w:left w:val="none" w:sz="0" w:space="0" w:color="auto"/>
        <w:bottom w:val="none" w:sz="0" w:space="0" w:color="auto"/>
        <w:right w:val="none" w:sz="0" w:space="0" w:color="auto"/>
      </w:divBdr>
      <w:divsChild>
        <w:div w:id="981344687">
          <w:marLeft w:val="0"/>
          <w:marRight w:val="0"/>
          <w:marTop w:val="0"/>
          <w:marBottom w:val="101"/>
          <w:divBdr>
            <w:top w:val="none" w:sz="0" w:space="0" w:color="auto"/>
            <w:left w:val="none" w:sz="0" w:space="0" w:color="auto"/>
            <w:bottom w:val="none" w:sz="0" w:space="0" w:color="auto"/>
            <w:right w:val="none" w:sz="0" w:space="0" w:color="auto"/>
          </w:divBdr>
        </w:div>
        <w:div w:id="1373380971">
          <w:marLeft w:val="720"/>
          <w:marRight w:val="0"/>
          <w:marTop w:val="0"/>
          <w:marBottom w:val="101"/>
          <w:divBdr>
            <w:top w:val="none" w:sz="0" w:space="0" w:color="auto"/>
            <w:left w:val="none" w:sz="0" w:space="0" w:color="auto"/>
            <w:bottom w:val="none" w:sz="0" w:space="0" w:color="auto"/>
            <w:right w:val="none" w:sz="0" w:space="0" w:color="auto"/>
          </w:divBdr>
        </w:div>
        <w:div w:id="583491974">
          <w:marLeft w:val="1080"/>
          <w:marRight w:val="0"/>
          <w:marTop w:val="0"/>
          <w:marBottom w:val="101"/>
          <w:divBdr>
            <w:top w:val="none" w:sz="0" w:space="0" w:color="auto"/>
            <w:left w:val="none" w:sz="0" w:space="0" w:color="auto"/>
            <w:bottom w:val="none" w:sz="0" w:space="0" w:color="auto"/>
            <w:right w:val="none" w:sz="0" w:space="0" w:color="auto"/>
          </w:divBdr>
        </w:div>
        <w:div w:id="1719429668">
          <w:marLeft w:val="1080"/>
          <w:marRight w:val="0"/>
          <w:marTop w:val="0"/>
          <w:marBottom w:val="101"/>
          <w:divBdr>
            <w:top w:val="none" w:sz="0" w:space="0" w:color="auto"/>
            <w:left w:val="none" w:sz="0" w:space="0" w:color="auto"/>
            <w:bottom w:val="none" w:sz="0" w:space="0" w:color="auto"/>
            <w:right w:val="none" w:sz="0" w:space="0" w:color="auto"/>
          </w:divBdr>
        </w:div>
        <w:div w:id="356082877">
          <w:marLeft w:val="1080"/>
          <w:marRight w:val="0"/>
          <w:marTop w:val="0"/>
          <w:marBottom w:val="101"/>
          <w:divBdr>
            <w:top w:val="none" w:sz="0" w:space="0" w:color="auto"/>
            <w:left w:val="none" w:sz="0" w:space="0" w:color="auto"/>
            <w:bottom w:val="none" w:sz="0" w:space="0" w:color="auto"/>
            <w:right w:val="none" w:sz="0" w:space="0" w:color="auto"/>
          </w:divBdr>
        </w:div>
        <w:div w:id="1326937351">
          <w:marLeft w:val="1080"/>
          <w:marRight w:val="0"/>
          <w:marTop w:val="0"/>
          <w:marBottom w:val="101"/>
          <w:divBdr>
            <w:top w:val="none" w:sz="0" w:space="0" w:color="auto"/>
            <w:left w:val="none" w:sz="0" w:space="0" w:color="auto"/>
            <w:bottom w:val="none" w:sz="0" w:space="0" w:color="auto"/>
            <w:right w:val="none" w:sz="0" w:space="0" w:color="auto"/>
          </w:divBdr>
        </w:div>
        <w:div w:id="817108798">
          <w:marLeft w:val="720"/>
          <w:marRight w:val="0"/>
          <w:marTop w:val="0"/>
          <w:marBottom w:val="101"/>
          <w:divBdr>
            <w:top w:val="none" w:sz="0" w:space="0" w:color="auto"/>
            <w:left w:val="none" w:sz="0" w:space="0" w:color="auto"/>
            <w:bottom w:val="none" w:sz="0" w:space="0" w:color="auto"/>
            <w:right w:val="none" w:sz="0" w:space="0" w:color="auto"/>
          </w:divBdr>
        </w:div>
      </w:divsChild>
    </w:div>
    <w:div w:id="1182401845">
      <w:bodyDiv w:val="1"/>
      <w:marLeft w:val="0"/>
      <w:marRight w:val="0"/>
      <w:marTop w:val="0"/>
      <w:marBottom w:val="0"/>
      <w:divBdr>
        <w:top w:val="none" w:sz="0" w:space="0" w:color="auto"/>
        <w:left w:val="none" w:sz="0" w:space="0" w:color="auto"/>
        <w:bottom w:val="none" w:sz="0" w:space="0" w:color="auto"/>
        <w:right w:val="none" w:sz="0" w:space="0" w:color="auto"/>
      </w:divBdr>
      <w:divsChild>
        <w:div w:id="1333995535">
          <w:marLeft w:val="0"/>
          <w:marRight w:val="0"/>
          <w:marTop w:val="0"/>
          <w:marBottom w:val="101"/>
          <w:divBdr>
            <w:top w:val="none" w:sz="0" w:space="0" w:color="auto"/>
            <w:left w:val="none" w:sz="0" w:space="0" w:color="auto"/>
            <w:bottom w:val="none" w:sz="0" w:space="0" w:color="auto"/>
            <w:right w:val="none" w:sz="0" w:space="0" w:color="auto"/>
          </w:divBdr>
        </w:div>
        <w:div w:id="1711224983">
          <w:marLeft w:val="720"/>
          <w:marRight w:val="0"/>
          <w:marTop w:val="0"/>
          <w:marBottom w:val="101"/>
          <w:divBdr>
            <w:top w:val="none" w:sz="0" w:space="0" w:color="auto"/>
            <w:left w:val="none" w:sz="0" w:space="0" w:color="auto"/>
            <w:bottom w:val="none" w:sz="0" w:space="0" w:color="auto"/>
            <w:right w:val="none" w:sz="0" w:space="0" w:color="auto"/>
          </w:divBdr>
        </w:div>
        <w:div w:id="42412152">
          <w:marLeft w:val="1080"/>
          <w:marRight w:val="0"/>
          <w:marTop w:val="0"/>
          <w:marBottom w:val="101"/>
          <w:divBdr>
            <w:top w:val="none" w:sz="0" w:space="0" w:color="auto"/>
            <w:left w:val="none" w:sz="0" w:space="0" w:color="auto"/>
            <w:bottom w:val="none" w:sz="0" w:space="0" w:color="auto"/>
            <w:right w:val="none" w:sz="0" w:space="0" w:color="auto"/>
          </w:divBdr>
        </w:div>
        <w:div w:id="92211368">
          <w:marLeft w:val="1080"/>
          <w:marRight w:val="0"/>
          <w:marTop w:val="0"/>
          <w:marBottom w:val="101"/>
          <w:divBdr>
            <w:top w:val="none" w:sz="0" w:space="0" w:color="auto"/>
            <w:left w:val="none" w:sz="0" w:space="0" w:color="auto"/>
            <w:bottom w:val="none" w:sz="0" w:space="0" w:color="auto"/>
            <w:right w:val="none" w:sz="0" w:space="0" w:color="auto"/>
          </w:divBdr>
        </w:div>
        <w:div w:id="397827455">
          <w:marLeft w:val="1080"/>
          <w:marRight w:val="0"/>
          <w:marTop w:val="0"/>
          <w:marBottom w:val="101"/>
          <w:divBdr>
            <w:top w:val="none" w:sz="0" w:space="0" w:color="auto"/>
            <w:left w:val="none" w:sz="0" w:space="0" w:color="auto"/>
            <w:bottom w:val="none" w:sz="0" w:space="0" w:color="auto"/>
            <w:right w:val="none" w:sz="0" w:space="0" w:color="auto"/>
          </w:divBdr>
        </w:div>
        <w:div w:id="1878199586">
          <w:marLeft w:val="1080"/>
          <w:marRight w:val="0"/>
          <w:marTop w:val="0"/>
          <w:marBottom w:val="101"/>
          <w:divBdr>
            <w:top w:val="none" w:sz="0" w:space="0" w:color="auto"/>
            <w:left w:val="none" w:sz="0" w:space="0" w:color="auto"/>
            <w:bottom w:val="none" w:sz="0" w:space="0" w:color="auto"/>
            <w:right w:val="none" w:sz="0" w:space="0" w:color="auto"/>
          </w:divBdr>
        </w:div>
        <w:div w:id="1402681776">
          <w:marLeft w:val="1080"/>
          <w:marRight w:val="0"/>
          <w:marTop w:val="0"/>
          <w:marBottom w:val="101"/>
          <w:divBdr>
            <w:top w:val="none" w:sz="0" w:space="0" w:color="auto"/>
            <w:left w:val="none" w:sz="0" w:space="0" w:color="auto"/>
            <w:bottom w:val="none" w:sz="0" w:space="0" w:color="auto"/>
            <w:right w:val="none" w:sz="0" w:space="0" w:color="auto"/>
          </w:divBdr>
        </w:div>
        <w:div w:id="465246008">
          <w:marLeft w:val="1080"/>
          <w:marRight w:val="0"/>
          <w:marTop w:val="0"/>
          <w:marBottom w:val="101"/>
          <w:divBdr>
            <w:top w:val="none" w:sz="0" w:space="0" w:color="auto"/>
            <w:left w:val="none" w:sz="0" w:space="0" w:color="auto"/>
            <w:bottom w:val="none" w:sz="0" w:space="0" w:color="auto"/>
            <w:right w:val="none" w:sz="0" w:space="0" w:color="auto"/>
          </w:divBdr>
        </w:div>
        <w:div w:id="1265185675">
          <w:marLeft w:val="1080"/>
          <w:marRight w:val="0"/>
          <w:marTop w:val="0"/>
          <w:marBottom w:val="101"/>
          <w:divBdr>
            <w:top w:val="none" w:sz="0" w:space="0" w:color="auto"/>
            <w:left w:val="none" w:sz="0" w:space="0" w:color="auto"/>
            <w:bottom w:val="none" w:sz="0" w:space="0" w:color="auto"/>
            <w:right w:val="none" w:sz="0" w:space="0" w:color="auto"/>
          </w:divBdr>
        </w:div>
        <w:div w:id="1802504479">
          <w:marLeft w:val="720"/>
          <w:marRight w:val="0"/>
          <w:marTop w:val="0"/>
          <w:marBottom w:val="101"/>
          <w:divBdr>
            <w:top w:val="none" w:sz="0" w:space="0" w:color="auto"/>
            <w:left w:val="none" w:sz="0" w:space="0" w:color="auto"/>
            <w:bottom w:val="none" w:sz="0" w:space="0" w:color="auto"/>
            <w:right w:val="none" w:sz="0" w:space="0" w:color="auto"/>
          </w:divBdr>
        </w:div>
        <w:div w:id="1867791833">
          <w:marLeft w:val="720"/>
          <w:marRight w:val="0"/>
          <w:marTop w:val="0"/>
          <w:marBottom w:val="101"/>
          <w:divBdr>
            <w:top w:val="none" w:sz="0" w:space="0" w:color="auto"/>
            <w:left w:val="none" w:sz="0" w:space="0" w:color="auto"/>
            <w:bottom w:val="none" w:sz="0" w:space="0" w:color="auto"/>
            <w:right w:val="none" w:sz="0" w:space="0" w:color="auto"/>
          </w:divBdr>
        </w:div>
      </w:divsChild>
    </w:div>
    <w:div w:id="1268348209">
      <w:bodyDiv w:val="1"/>
      <w:marLeft w:val="0"/>
      <w:marRight w:val="0"/>
      <w:marTop w:val="0"/>
      <w:marBottom w:val="0"/>
      <w:divBdr>
        <w:top w:val="none" w:sz="0" w:space="0" w:color="auto"/>
        <w:left w:val="none" w:sz="0" w:space="0" w:color="auto"/>
        <w:bottom w:val="none" w:sz="0" w:space="0" w:color="auto"/>
        <w:right w:val="none" w:sz="0" w:space="0" w:color="auto"/>
      </w:divBdr>
      <w:divsChild>
        <w:div w:id="838615135">
          <w:marLeft w:val="0"/>
          <w:marRight w:val="0"/>
          <w:marTop w:val="0"/>
          <w:marBottom w:val="101"/>
          <w:divBdr>
            <w:top w:val="none" w:sz="0" w:space="0" w:color="auto"/>
            <w:left w:val="none" w:sz="0" w:space="0" w:color="auto"/>
            <w:bottom w:val="none" w:sz="0" w:space="0" w:color="auto"/>
            <w:right w:val="none" w:sz="0" w:space="0" w:color="auto"/>
          </w:divBdr>
        </w:div>
        <w:div w:id="418449141">
          <w:marLeft w:val="720"/>
          <w:marRight w:val="0"/>
          <w:marTop w:val="0"/>
          <w:marBottom w:val="101"/>
          <w:divBdr>
            <w:top w:val="none" w:sz="0" w:space="0" w:color="auto"/>
            <w:left w:val="none" w:sz="0" w:space="0" w:color="auto"/>
            <w:bottom w:val="none" w:sz="0" w:space="0" w:color="auto"/>
            <w:right w:val="none" w:sz="0" w:space="0" w:color="auto"/>
          </w:divBdr>
        </w:div>
        <w:div w:id="1717660841">
          <w:marLeft w:val="720"/>
          <w:marRight w:val="0"/>
          <w:marTop w:val="0"/>
          <w:marBottom w:val="101"/>
          <w:divBdr>
            <w:top w:val="none" w:sz="0" w:space="0" w:color="auto"/>
            <w:left w:val="none" w:sz="0" w:space="0" w:color="auto"/>
            <w:bottom w:val="none" w:sz="0" w:space="0" w:color="auto"/>
            <w:right w:val="none" w:sz="0" w:space="0" w:color="auto"/>
          </w:divBdr>
        </w:div>
        <w:div w:id="1165052442">
          <w:marLeft w:val="720"/>
          <w:marRight w:val="0"/>
          <w:marTop w:val="0"/>
          <w:marBottom w:val="101"/>
          <w:divBdr>
            <w:top w:val="none" w:sz="0" w:space="0" w:color="auto"/>
            <w:left w:val="none" w:sz="0" w:space="0" w:color="auto"/>
            <w:bottom w:val="none" w:sz="0" w:space="0" w:color="auto"/>
            <w:right w:val="none" w:sz="0" w:space="0" w:color="auto"/>
          </w:divBdr>
        </w:div>
        <w:div w:id="1423988916">
          <w:marLeft w:val="1080"/>
          <w:marRight w:val="0"/>
          <w:marTop w:val="0"/>
          <w:marBottom w:val="101"/>
          <w:divBdr>
            <w:top w:val="none" w:sz="0" w:space="0" w:color="auto"/>
            <w:left w:val="none" w:sz="0" w:space="0" w:color="auto"/>
            <w:bottom w:val="none" w:sz="0" w:space="0" w:color="auto"/>
            <w:right w:val="none" w:sz="0" w:space="0" w:color="auto"/>
          </w:divBdr>
        </w:div>
        <w:div w:id="190342117">
          <w:marLeft w:val="1080"/>
          <w:marRight w:val="0"/>
          <w:marTop w:val="0"/>
          <w:marBottom w:val="101"/>
          <w:divBdr>
            <w:top w:val="none" w:sz="0" w:space="0" w:color="auto"/>
            <w:left w:val="none" w:sz="0" w:space="0" w:color="auto"/>
            <w:bottom w:val="none" w:sz="0" w:space="0" w:color="auto"/>
            <w:right w:val="none" w:sz="0" w:space="0" w:color="auto"/>
          </w:divBdr>
        </w:div>
        <w:div w:id="1554541159">
          <w:marLeft w:val="720"/>
          <w:marRight w:val="0"/>
          <w:marTop w:val="0"/>
          <w:marBottom w:val="101"/>
          <w:divBdr>
            <w:top w:val="none" w:sz="0" w:space="0" w:color="auto"/>
            <w:left w:val="none" w:sz="0" w:space="0" w:color="auto"/>
            <w:bottom w:val="none" w:sz="0" w:space="0" w:color="auto"/>
            <w:right w:val="none" w:sz="0" w:space="0" w:color="auto"/>
          </w:divBdr>
        </w:div>
        <w:div w:id="416441083">
          <w:marLeft w:val="720"/>
          <w:marRight w:val="0"/>
          <w:marTop w:val="0"/>
          <w:marBottom w:val="101"/>
          <w:divBdr>
            <w:top w:val="none" w:sz="0" w:space="0" w:color="auto"/>
            <w:left w:val="none" w:sz="0" w:space="0" w:color="auto"/>
            <w:bottom w:val="none" w:sz="0" w:space="0" w:color="auto"/>
            <w:right w:val="none" w:sz="0" w:space="0" w:color="auto"/>
          </w:divBdr>
        </w:div>
      </w:divsChild>
    </w:div>
    <w:div w:id="1350446578">
      <w:bodyDiv w:val="1"/>
      <w:marLeft w:val="0"/>
      <w:marRight w:val="0"/>
      <w:marTop w:val="0"/>
      <w:marBottom w:val="0"/>
      <w:divBdr>
        <w:top w:val="none" w:sz="0" w:space="0" w:color="auto"/>
        <w:left w:val="none" w:sz="0" w:space="0" w:color="auto"/>
        <w:bottom w:val="none" w:sz="0" w:space="0" w:color="auto"/>
        <w:right w:val="none" w:sz="0" w:space="0" w:color="auto"/>
      </w:divBdr>
      <w:divsChild>
        <w:div w:id="638727801">
          <w:marLeft w:val="0"/>
          <w:marRight w:val="0"/>
          <w:marTop w:val="0"/>
          <w:marBottom w:val="101"/>
          <w:divBdr>
            <w:top w:val="none" w:sz="0" w:space="0" w:color="auto"/>
            <w:left w:val="none" w:sz="0" w:space="0" w:color="auto"/>
            <w:bottom w:val="none" w:sz="0" w:space="0" w:color="auto"/>
            <w:right w:val="none" w:sz="0" w:space="0" w:color="auto"/>
          </w:divBdr>
        </w:div>
        <w:div w:id="1178694066">
          <w:marLeft w:val="720"/>
          <w:marRight w:val="0"/>
          <w:marTop w:val="0"/>
          <w:marBottom w:val="101"/>
          <w:divBdr>
            <w:top w:val="none" w:sz="0" w:space="0" w:color="auto"/>
            <w:left w:val="none" w:sz="0" w:space="0" w:color="auto"/>
            <w:bottom w:val="none" w:sz="0" w:space="0" w:color="auto"/>
            <w:right w:val="none" w:sz="0" w:space="0" w:color="auto"/>
          </w:divBdr>
        </w:div>
      </w:divsChild>
    </w:div>
    <w:div w:id="1352950957">
      <w:bodyDiv w:val="1"/>
      <w:marLeft w:val="0"/>
      <w:marRight w:val="0"/>
      <w:marTop w:val="0"/>
      <w:marBottom w:val="0"/>
      <w:divBdr>
        <w:top w:val="none" w:sz="0" w:space="0" w:color="auto"/>
        <w:left w:val="none" w:sz="0" w:space="0" w:color="auto"/>
        <w:bottom w:val="none" w:sz="0" w:space="0" w:color="auto"/>
        <w:right w:val="none" w:sz="0" w:space="0" w:color="auto"/>
      </w:divBdr>
      <w:divsChild>
        <w:div w:id="822741113">
          <w:marLeft w:val="0"/>
          <w:marRight w:val="0"/>
          <w:marTop w:val="0"/>
          <w:marBottom w:val="101"/>
          <w:divBdr>
            <w:top w:val="none" w:sz="0" w:space="0" w:color="auto"/>
            <w:left w:val="none" w:sz="0" w:space="0" w:color="auto"/>
            <w:bottom w:val="none" w:sz="0" w:space="0" w:color="auto"/>
            <w:right w:val="none" w:sz="0" w:space="0" w:color="auto"/>
          </w:divBdr>
        </w:div>
        <w:div w:id="24331621">
          <w:marLeft w:val="720"/>
          <w:marRight w:val="0"/>
          <w:marTop w:val="0"/>
          <w:marBottom w:val="101"/>
          <w:divBdr>
            <w:top w:val="none" w:sz="0" w:space="0" w:color="auto"/>
            <w:left w:val="none" w:sz="0" w:space="0" w:color="auto"/>
            <w:bottom w:val="none" w:sz="0" w:space="0" w:color="auto"/>
            <w:right w:val="none" w:sz="0" w:space="0" w:color="auto"/>
          </w:divBdr>
        </w:div>
        <w:div w:id="1599633119">
          <w:marLeft w:val="720"/>
          <w:marRight w:val="0"/>
          <w:marTop w:val="0"/>
          <w:marBottom w:val="101"/>
          <w:divBdr>
            <w:top w:val="none" w:sz="0" w:space="0" w:color="auto"/>
            <w:left w:val="none" w:sz="0" w:space="0" w:color="auto"/>
            <w:bottom w:val="none" w:sz="0" w:space="0" w:color="auto"/>
            <w:right w:val="none" w:sz="0" w:space="0" w:color="auto"/>
          </w:divBdr>
        </w:div>
        <w:div w:id="1655983785">
          <w:marLeft w:val="720"/>
          <w:marRight w:val="0"/>
          <w:marTop w:val="0"/>
          <w:marBottom w:val="101"/>
          <w:divBdr>
            <w:top w:val="none" w:sz="0" w:space="0" w:color="auto"/>
            <w:left w:val="none" w:sz="0" w:space="0" w:color="auto"/>
            <w:bottom w:val="none" w:sz="0" w:space="0" w:color="auto"/>
            <w:right w:val="none" w:sz="0" w:space="0" w:color="auto"/>
          </w:divBdr>
        </w:div>
        <w:div w:id="1508667345">
          <w:marLeft w:val="720"/>
          <w:marRight w:val="0"/>
          <w:marTop w:val="0"/>
          <w:marBottom w:val="101"/>
          <w:divBdr>
            <w:top w:val="none" w:sz="0" w:space="0" w:color="auto"/>
            <w:left w:val="none" w:sz="0" w:space="0" w:color="auto"/>
            <w:bottom w:val="none" w:sz="0" w:space="0" w:color="auto"/>
            <w:right w:val="none" w:sz="0" w:space="0" w:color="auto"/>
          </w:divBdr>
        </w:div>
      </w:divsChild>
    </w:div>
    <w:div w:id="1431857193">
      <w:bodyDiv w:val="1"/>
      <w:marLeft w:val="0"/>
      <w:marRight w:val="0"/>
      <w:marTop w:val="0"/>
      <w:marBottom w:val="0"/>
      <w:divBdr>
        <w:top w:val="none" w:sz="0" w:space="0" w:color="auto"/>
        <w:left w:val="none" w:sz="0" w:space="0" w:color="auto"/>
        <w:bottom w:val="none" w:sz="0" w:space="0" w:color="auto"/>
        <w:right w:val="none" w:sz="0" w:space="0" w:color="auto"/>
      </w:divBdr>
      <w:divsChild>
        <w:div w:id="333538736">
          <w:marLeft w:val="0"/>
          <w:marRight w:val="0"/>
          <w:marTop w:val="0"/>
          <w:marBottom w:val="101"/>
          <w:divBdr>
            <w:top w:val="none" w:sz="0" w:space="0" w:color="auto"/>
            <w:left w:val="none" w:sz="0" w:space="0" w:color="auto"/>
            <w:bottom w:val="none" w:sz="0" w:space="0" w:color="auto"/>
            <w:right w:val="none" w:sz="0" w:space="0" w:color="auto"/>
          </w:divBdr>
        </w:div>
        <w:div w:id="921766840">
          <w:marLeft w:val="720"/>
          <w:marRight w:val="0"/>
          <w:marTop w:val="0"/>
          <w:marBottom w:val="101"/>
          <w:divBdr>
            <w:top w:val="none" w:sz="0" w:space="0" w:color="auto"/>
            <w:left w:val="none" w:sz="0" w:space="0" w:color="auto"/>
            <w:bottom w:val="none" w:sz="0" w:space="0" w:color="auto"/>
            <w:right w:val="none" w:sz="0" w:space="0" w:color="auto"/>
          </w:divBdr>
        </w:div>
        <w:div w:id="210849240">
          <w:marLeft w:val="720"/>
          <w:marRight w:val="0"/>
          <w:marTop w:val="0"/>
          <w:marBottom w:val="101"/>
          <w:divBdr>
            <w:top w:val="none" w:sz="0" w:space="0" w:color="auto"/>
            <w:left w:val="none" w:sz="0" w:space="0" w:color="auto"/>
            <w:bottom w:val="none" w:sz="0" w:space="0" w:color="auto"/>
            <w:right w:val="none" w:sz="0" w:space="0" w:color="auto"/>
          </w:divBdr>
        </w:div>
        <w:div w:id="1959946500">
          <w:marLeft w:val="720"/>
          <w:marRight w:val="0"/>
          <w:marTop w:val="0"/>
          <w:marBottom w:val="101"/>
          <w:divBdr>
            <w:top w:val="none" w:sz="0" w:space="0" w:color="auto"/>
            <w:left w:val="none" w:sz="0" w:space="0" w:color="auto"/>
            <w:bottom w:val="none" w:sz="0" w:space="0" w:color="auto"/>
            <w:right w:val="none" w:sz="0" w:space="0" w:color="auto"/>
          </w:divBdr>
        </w:div>
      </w:divsChild>
    </w:div>
    <w:div w:id="1545023885">
      <w:bodyDiv w:val="1"/>
      <w:marLeft w:val="0"/>
      <w:marRight w:val="0"/>
      <w:marTop w:val="0"/>
      <w:marBottom w:val="0"/>
      <w:divBdr>
        <w:top w:val="none" w:sz="0" w:space="0" w:color="auto"/>
        <w:left w:val="none" w:sz="0" w:space="0" w:color="auto"/>
        <w:bottom w:val="none" w:sz="0" w:space="0" w:color="auto"/>
        <w:right w:val="none" w:sz="0" w:space="0" w:color="auto"/>
      </w:divBdr>
      <w:divsChild>
        <w:div w:id="186145447">
          <w:marLeft w:val="0"/>
          <w:marRight w:val="0"/>
          <w:marTop w:val="0"/>
          <w:marBottom w:val="101"/>
          <w:divBdr>
            <w:top w:val="none" w:sz="0" w:space="0" w:color="auto"/>
            <w:left w:val="none" w:sz="0" w:space="0" w:color="auto"/>
            <w:bottom w:val="none" w:sz="0" w:space="0" w:color="auto"/>
            <w:right w:val="none" w:sz="0" w:space="0" w:color="auto"/>
          </w:divBdr>
        </w:div>
        <w:div w:id="1346324069">
          <w:marLeft w:val="720"/>
          <w:marRight w:val="0"/>
          <w:marTop w:val="0"/>
          <w:marBottom w:val="101"/>
          <w:divBdr>
            <w:top w:val="none" w:sz="0" w:space="0" w:color="auto"/>
            <w:left w:val="none" w:sz="0" w:space="0" w:color="auto"/>
            <w:bottom w:val="none" w:sz="0" w:space="0" w:color="auto"/>
            <w:right w:val="none" w:sz="0" w:space="0" w:color="auto"/>
          </w:divBdr>
        </w:div>
        <w:div w:id="1047535754">
          <w:marLeft w:val="720"/>
          <w:marRight w:val="0"/>
          <w:marTop w:val="0"/>
          <w:marBottom w:val="101"/>
          <w:divBdr>
            <w:top w:val="none" w:sz="0" w:space="0" w:color="auto"/>
            <w:left w:val="none" w:sz="0" w:space="0" w:color="auto"/>
            <w:bottom w:val="none" w:sz="0" w:space="0" w:color="auto"/>
            <w:right w:val="none" w:sz="0" w:space="0" w:color="auto"/>
          </w:divBdr>
        </w:div>
      </w:divsChild>
    </w:div>
    <w:div w:id="1676686996">
      <w:bodyDiv w:val="1"/>
      <w:marLeft w:val="0"/>
      <w:marRight w:val="0"/>
      <w:marTop w:val="0"/>
      <w:marBottom w:val="0"/>
      <w:divBdr>
        <w:top w:val="none" w:sz="0" w:space="0" w:color="auto"/>
        <w:left w:val="none" w:sz="0" w:space="0" w:color="auto"/>
        <w:bottom w:val="none" w:sz="0" w:space="0" w:color="auto"/>
        <w:right w:val="none" w:sz="0" w:space="0" w:color="auto"/>
      </w:divBdr>
      <w:divsChild>
        <w:div w:id="1196499599">
          <w:marLeft w:val="0"/>
          <w:marRight w:val="0"/>
          <w:marTop w:val="0"/>
          <w:marBottom w:val="101"/>
          <w:divBdr>
            <w:top w:val="none" w:sz="0" w:space="0" w:color="auto"/>
            <w:left w:val="none" w:sz="0" w:space="0" w:color="auto"/>
            <w:bottom w:val="none" w:sz="0" w:space="0" w:color="auto"/>
            <w:right w:val="none" w:sz="0" w:space="0" w:color="auto"/>
          </w:divBdr>
        </w:div>
        <w:div w:id="1475485723">
          <w:marLeft w:val="720"/>
          <w:marRight w:val="0"/>
          <w:marTop w:val="0"/>
          <w:marBottom w:val="101"/>
          <w:divBdr>
            <w:top w:val="none" w:sz="0" w:space="0" w:color="auto"/>
            <w:left w:val="none" w:sz="0" w:space="0" w:color="auto"/>
            <w:bottom w:val="none" w:sz="0" w:space="0" w:color="auto"/>
            <w:right w:val="none" w:sz="0" w:space="0" w:color="auto"/>
          </w:divBdr>
        </w:div>
        <w:div w:id="924072431">
          <w:marLeft w:val="720"/>
          <w:marRight w:val="0"/>
          <w:marTop w:val="0"/>
          <w:marBottom w:val="101"/>
          <w:divBdr>
            <w:top w:val="none" w:sz="0" w:space="0" w:color="auto"/>
            <w:left w:val="none" w:sz="0" w:space="0" w:color="auto"/>
            <w:bottom w:val="none" w:sz="0" w:space="0" w:color="auto"/>
            <w:right w:val="none" w:sz="0" w:space="0" w:color="auto"/>
          </w:divBdr>
        </w:div>
        <w:div w:id="462425248">
          <w:marLeft w:val="720"/>
          <w:marRight w:val="0"/>
          <w:marTop w:val="0"/>
          <w:marBottom w:val="101"/>
          <w:divBdr>
            <w:top w:val="none" w:sz="0" w:space="0" w:color="auto"/>
            <w:left w:val="none" w:sz="0" w:space="0" w:color="auto"/>
            <w:bottom w:val="none" w:sz="0" w:space="0" w:color="auto"/>
            <w:right w:val="none" w:sz="0" w:space="0" w:color="auto"/>
          </w:divBdr>
        </w:div>
        <w:div w:id="1866409356">
          <w:marLeft w:val="720"/>
          <w:marRight w:val="0"/>
          <w:marTop w:val="0"/>
          <w:marBottom w:val="101"/>
          <w:divBdr>
            <w:top w:val="none" w:sz="0" w:space="0" w:color="auto"/>
            <w:left w:val="none" w:sz="0" w:space="0" w:color="auto"/>
            <w:bottom w:val="none" w:sz="0" w:space="0" w:color="auto"/>
            <w:right w:val="none" w:sz="0" w:space="0" w:color="auto"/>
          </w:divBdr>
        </w:div>
        <w:div w:id="1911227517">
          <w:marLeft w:val="720"/>
          <w:marRight w:val="0"/>
          <w:marTop w:val="0"/>
          <w:marBottom w:val="101"/>
          <w:divBdr>
            <w:top w:val="none" w:sz="0" w:space="0" w:color="auto"/>
            <w:left w:val="none" w:sz="0" w:space="0" w:color="auto"/>
            <w:bottom w:val="none" w:sz="0" w:space="0" w:color="auto"/>
            <w:right w:val="none" w:sz="0" w:space="0" w:color="auto"/>
          </w:divBdr>
        </w:div>
        <w:div w:id="891429766">
          <w:marLeft w:val="720"/>
          <w:marRight w:val="0"/>
          <w:marTop w:val="0"/>
          <w:marBottom w:val="101"/>
          <w:divBdr>
            <w:top w:val="none" w:sz="0" w:space="0" w:color="auto"/>
            <w:left w:val="none" w:sz="0" w:space="0" w:color="auto"/>
            <w:bottom w:val="none" w:sz="0" w:space="0" w:color="auto"/>
            <w:right w:val="none" w:sz="0" w:space="0" w:color="auto"/>
          </w:divBdr>
        </w:div>
      </w:divsChild>
    </w:div>
    <w:div w:id="1780031663">
      <w:bodyDiv w:val="1"/>
      <w:marLeft w:val="0"/>
      <w:marRight w:val="0"/>
      <w:marTop w:val="0"/>
      <w:marBottom w:val="0"/>
      <w:divBdr>
        <w:top w:val="none" w:sz="0" w:space="0" w:color="auto"/>
        <w:left w:val="none" w:sz="0" w:space="0" w:color="auto"/>
        <w:bottom w:val="none" w:sz="0" w:space="0" w:color="auto"/>
        <w:right w:val="none" w:sz="0" w:space="0" w:color="auto"/>
      </w:divBdr>
      <w:divsChild>
        <w:div w:id="1096290784">
          <w:marLeft w:val="1080"/>
          <w:marRight w:val="0"/>
          <w:marTop w:val="0"/>
          <w:marBottom w:val="101"/>
          <w:divBdr>
            <w:top w:val="none" w:sz="0" w:space="0" w:color="auto"/>
            <w:left w:val="none" w:sz="0" w:space="0" w:color="auto"/>
            <w:bottom w:val="none" w:sz="0" w:space="0" w:color="auto"/>
            <w:right w:val="none" w:sz="0" w:space="0" w:color="auto"/>
          </w:divBdr>
        </w:div>
        <w:div w:id="1439374341">
          <w:marLeft w:val="1080"/>
          <w:marRight w:val="0"/>
          <w:marTop w:val="0"/>
          <w:marBottom w:val="101"/>
          <w:divBdr>
            <w:top w:val="none" w:sz="0" w:space="0" w:color="auto"/>
            <w:left w:val="none" w:sz="0" w:space="0" w:color="auto"/>
            <w:bottom w:val="none" w:sz="0" w:space="0" w:color="auto"/>
            <w:right w:val="none" w:sz="0" w:space="0" w:color="auto"/>
          </w:divBdr>
        </w:div>
        <w:div w:id="236792177">
          <w:marLeft w:val="1080"/>
          <w:marRight w:val="0"/>
          <w:marTop w:val="0"/>
          <w:marBottom w:val="101"/>
          <w:divBdr>
            <w:top w:val="none" w:sz="0" w:space="0" w:color="auto"/>
            <w:left w:val="none" w:sz="0" w:space="0" w:color="auto"/>
            <w:bottom w:val="none" w:sz="0" w:space="0" w:color="auto"/>
            <w:right w:val="none" w:sz="0" w:space="0" w:color="auto"/>
          </w:divBdr>
        </w:div>
        <w:div w:id="1837110557">
          <w:marLeft w:val="1080"/>
          <w:marRight w:val="0"/>
          <w:marTop w:val="0"/>
          <w:marBottom w:val="101"/>
          <w:divBdr>
            <w:top w:val="none" w:sz="0" w:space="0" w:color="auto"/>
            <w:left w:val="none" w:sz="0" w:space="0" w:color="auto"/>
            <w:bottom w:val="none" w:sz="0" w:space="0" w:color="auto"/>
            <w:right w:val="none" w:sz="0" w:space="0" w:color="auto"/>
          </w:divBdr>
        </w:div>
        <w:div w:id="2007632273">
          <w:marLeft w:val="1080"/>
          <w:marRight w:val="0"/>
          <w:marTop w:val="0"/>
          <w:marBottom w:val="101"/>
          <w:divBdr>
            <w:top w:val="none" w:sz="0" w:space="0" w:color="auto"/>
            <w:left w:val="none" w:sz="0" w:space="0" w:color="auto"/>
            <w:bottom w:val="none" w:sz="0" w:space="0" w:color="auto"/>
            <w:right w:val="none" w:sz="0" w:space="0" w:color="auto"/>
          </w:divBdr>
        </w:div>
        <w:div w:id="2134790597">
          <w:marLeft w:val="1080"/>
          <w:marRight w:val="0"/>
          <w:marTop w:val="0"/>
          <w:marBottom w:val="101"/>
          <w:divBdr>
            <w:top w:val="none" w:sz="0" w:space="0" w:color="auto"/>
            <w:left w:val="none" w:sz="0" w:space="0" w:color="auto"/>
            <w:bottom w:val="none" w:sz="0" w:space="0" w:color="auto"/>
            <w:right w:val="none" w:sz="0" w:space="0" w:color="auto"/>
          </w:divBdr>
        </w:div>
        <w:div w:id="178811048">
          <w:marLeft w:val="1080"/>
          <w:marRight w:val="0"/>
          <w:marTop w:val="0"/>
          <w:marBottom w:val="101"/>
          <w:divBdr>
            <w:top w:val="none" w:sz="0" w:space="0" w:color="auto"/>
            <w:left w:val="none" w:sz="0" w:space="0" w:color="auto"/>
            <w:bottom w:val="none" w:sz="0" w:space="0" w:color="auto"/>
            <w:right w:val="none" w:sz="0" w:space="0" w:color="auto"/>
          </w:divBdr>
        </w:div>
        <w:div w:id="267155424">
          <w:marLeft w:val="1080"/>
          <w:marRight w:val="0"/>
          <w:marTop w:val="0"/>
          <w:marBottom w:val="101"/>
          <w:divBdr>
            <w:top w:val="none" w:sz="0" w:space="0" w:color="auto"/>
            <w:left w:val="none" w:sz="0" w:space="0" w:color="auto"/>
            <w:bottom w:val="none" w:sz="0" w:space="0" w:color="auto"/>
            <w:right w:val="none" w:sz="0" w:space="0" w:color="auto"/>
          </w:divBdr>
        </w:div>
      </w:divsChild>
    </w:div>
    <w:div w:id="1849827941">
      <w:bodyDiv w:val="1"/>
      <w:marLeft w:val="0"/>
      <w:marRight w:val="0"/>
      <w:marTop w:val="0"/>
      <w:marBottom w:val="0"/>
      <w:divBdr>
        <w:top w:val="none" w:sz="0" w:space="0" w:color="auto"/>
        <w:left w:val="none" w:sz="0" w:space="0" w:color="auto"/>
        <w:bottom w:val="none" w:sz="0" w:space="0" w:color="auto"/>
        <w:right w:val="none" w:sz="0" w:space="0" w:color="auto"/>
      </w:divBdr>
      <w:divsChild>
        <w:div w:id="2138254933">
          <w:marLeft w:val="0"/>
          <w:marRight w:val="0"/>
          <w:marTop w:val="0"/>
          <w:marBottom w:val="101"/>
          <w:divBdr>
            <w:top w:val="none" w:sz="0" w:space="0" w:color="auto"/>
            <w:left w:val="none" w:sz="0" w:space="0" w:color="auto"/>
            <w:bottom w:val="none" w:sz="0" w:space="0" w:color="auto"/>
            <w:right w:val="none" w:sz="0" w:space="0" w:color="auto"/>
          </w:divBdr>
        </w:div>
        <w:div w:id="419714370">
          <w:marLeft w:val="720"/>
          <w:marRight w:val="0"/>
          <w:marTop w:val="0"/>
          <w:marBottom w:val="101"/>
          <w:divBdr>
            <w:top w:val="none" w:sz="0" w:space="0" w:color="auto"/>
            <w:left w:val="none" w:sz="0" w:space="0" w:color="auto"/>
            <w:bottom w:val="none" w:sz="0" w:space="0" w:color="auto"/>
            <w:right w:val="none" w:sz="0" w:space="0" w:color="auto"/>
          </w:divBdr>
        </w:div>
        <w:div w:id="1745755393">
          <w:marLeft w:val="1080"/>
          <w:marRight w:val="0"/>
          <w:marTop w:val="0"/>
          <w:marBottom w:val="101"/>
          <w:divBdr>
            <w:top w:val="none" w:sz="0" w:space="0" w:color="auto"/>
            <w:left w:val="none" w:sz="0" w:space="0" w:color="auto"/>
            <w:bottom w:val="none" w:sz="0" w:space="0" w:color="auto"/>
            <w:right w:val="none" w:sz="0" w:space="0" w:color="auto"/>
          </w:divBdr>
        </w:div>
        <w:div w:id="903371932">
          <w:marLeft w:val="1080"/>
          <w:marRight w:val="0"/>
          <w:marTop w:val="0"/>
          <w:marBottom w:val="101"/>
          <w:divBdr>
            <w:top w:val="none" w:sz="0" w:space="0" w:color="auto"/>
            <w:left w:val="none" w:sz="0" w:space="0" w:color="auto"/>
            <w:bottom w:val="none" w:sz="0" w:space="0" w:color="auto"/>
            <w:right w:val="none" w:sz="0" w:space="0" w:color="auto"/>
          </w:divBdr>
        </w:div>
      </w:divsChild>
    </w:div>
    <w:div w:id="1868983203">
      <w:bodyDiv w:val="1"/>
      <w:marLeft w:val="0"/>
      <w:marRight w:val="0"/>
      <w:marTop w:val="0"/>
      <w:marBottom w:val="0"/>
      <w:divBdr>
        <w:top w:val="none" w:sz="0" w:space="0" w:color="auto"/>
        <w:left w:val="none" w:sz="0" w:space="0" w:color="auto"/>
        <w:bottom w:val="none" w:sz="0" w:space="0" w:color="auto"/>
        <w:right w:val="none" w:sz="0" w:space="0" w:color="auto"/>
      </w:divBdr>
      <w:divsChild>
        <w:div w:id="1051272428">
          <w:marLeft w:val="0"/>
          <w:marRight w:val="0"/>
          <w:marTop w:val="0"/>
          <w:marBottom w:val="101"/>
          <w:divBdr>
            <w:top w:val="none" w:sz="0" w:space="0" w:color="auto"/>
            <w:left w:val="none" w:sz="0" w:space="0" w:color="auto"/>
            <w:bottom w:val="none" w:sz="0" w:space="0" w:color="auto"/>
            <w:right w:val="none" w:sz="0" w:space="0" w:color="auto"/>
          </w:divBdr>
        </w:div>
        <w:div w:id="1912500370">
          <w:marLeft w:val="720"/>
          <w:marRight w:val="0"/>
          <w:marTop w:val="0"/>
          <w:marBottom w:val="101"/>
          <w:divBdr>
            <w:top w:val="none" w:sz="0" w:space="0" w:color="auto"/>
            <w:left w:val="none" w:sz="0" w:space="0" w:color="auto"/>
            <w:bottom w:val="none" w:sz="0" w:space="0" w:color="auto"/>
            <w:right w:val="none" w:sz="0" w:space="0" w:color="auto"/>
          </w:divBdr>
        </w:div>
        <w:div w:id="1099524039">
          <w:marLeft w:val="720"/>
          <w:marRight w:val="0"/>
          <w:marTop w:val="0"/>
          <w:marBottom w:val="101"/>
          <w:divBdr>
            <w:top w:val="none" w:sz="0" w:space="0" w:color="auto"/>
            <w:left w:val="none" w:sz="0" w:space="0" w:color="auto"/>
            <w:bottom w:val="none" w:sz="0" w:space="0" w:color="auto"/>
            <w:right w:val="none" w:sz="0" w:space="0" w:color="auto"/>
          </w:divBdr>
        </w:div>
      </w:divsChild>
    </w:div>
    <w:div w:id="1942836825">
      <w:bodyDiv w:val="1"/>
      <w:marLeft w:val="0"/>
      <w:marRight w:val="0"/>
      <w:marTop w:val="0"/>
      <w:marBottom w:val="0"/>
      <w:divBdr>
        <w:top w:val="none" w:sz="0" w:space="0" w:color="auto"/>
        <w:left w:val="none" w:sz="0" w:space="0" w:color="auto"/>
        <w:bottom w:val="none" w:sz="0" w:space="0" w:color="auto"/>
        <w:right w:val="none" w:sz="0" w:space="0" w:color="auto"/>
      </w:divBdr>
      <w:divsChild>
        <w:div w:id="1282150603">
          <w:marLeft w:val="0"/>
          <w:marRight w:val="0"/>
          <w:marTop w:val="0"/>
          <w:marBottom w:val="101"/>
          <w:divBdr>
            <w:top w:val="none" w:sz="0" w:space="0" w:color="auto"/>
            <w:left w:val="none" w:sz="0" w:space="0" w:color="auto"/>
            <w:bottom w:val="none" w:sz="0" w:space="0" w:color="auto"/>
            <w:right w:val="none" w:sz="0" w:space="0" w:color="auto"/>
          </w:divBdr>
        </w:div>
        <w:div w:id="1250963049">
          <w:marLeft w:val="720"/>
          <w:marRight w:val="0"/>
          <w:marTop w:val="0"/>
          <w:marBottom w:val="101"/>
          <w:divBdr>
            <w:top w:val="none" w:sz="0" w:space="0" w:color="auto"/>
            <w:left w:val="none" w:sz="0" w:space="0" w:color="auto"/>
            <w:bottom w:val="none" w:sz="0" w:space="0" w:color="auto"/>
            <w:right w:val="none" w:sz="0" w:space="0" w:color="auto"/>
          </w:divBdr>
        </w:div>
        <w:div w:id="300769342">
          <w:marLeft w:val="720"/>
          <w:marRight w:val="0"/>
          <w:marTop w:val="0"/>
          <w:marBottom w:val="101"/>
          <w:divBdr>
            <w:top w:val="none" w:sz="0" w:space="0" w:color="auto"/>
            <w:left w:val="none" w:sz="0" w:space="0" w:color="auto"/>
            <w:bottom w:val="none" w:sz="0" w:space="0" w:color="auto"/>
            <w:right w:val="none" w:sz="0" w:space="0" w:color="auto"/>
          </w:divBdr>
        </w:div>
        <w:div w:id="1346440843">
          <w:marLeft w:val="720"/>
          <w:marRight w:val="0"/>
          <w:marTop w:val="0"/>
          <w:marBottom w:val="101"/>
          <w:divBdr>
            <w:top w:val="none" w:sz="0" w:space="0" w:color="auto"/>
            <w:left w:val="none" w:sz="0" w:space="0" w:color="auto"/>
            <w:bottom w:val="none" w:sz="0" w:space="0" w:color="auto"/>
            <w:right w:val="none" w:sz="0" w:space="0" w:color="auto"/>
          </w:divBdr>
        </w:div>
      </w:divsChild>
    </w:div>
    <w:div w:id="2049063672">
      <w:bodyDiv w:val="1"/>
      <w:marLeft w:val="0"/>
      <w:marRight w:val="0"/>
      <w:marTop w:val="0"/>
      <w:marBottom w:val="0"/>
      <w:divBdr>
        <w:top w:val="none" w:sz="0" w:space="0" w:color="auto"/>
        <w:left w:val="none" w:sz="0" w:space="0" w:color="auto"/>
        <w:bottom w:val="none" w:sz="0" w:space="0" w:color="auto"/>
        <w:right w:val="none" w:sz="0" w:space="0" w:color="auto"/>
      </w:divBdr>
      <w:divsChild>
        <w:div w:id="540748667">
          <w:marLeft w:val="0"/>
          <w:marRight w:val="0"/>
          <w:marTop w:val="0"/>
          <w:marBottom w:val="101"/>
          <w:divBdr>
            <w:top w:val="none" w:sz="0" w:space="0" w:color="auto"/>
            <w:left w:val="none" w:sz="0" w:space="0" w:color="auto"/>
            <w:bottom w:val="none" w:sz="0" w:space="0" w:color="auto"/>
            <w:right w:val="none" w:sz="0" w:space="0" w:color="auto"/>
          </w:divBdr>
        </w:div>
        <w:div w:id="562640036">
          <w:marLeft w:val="720"/>
          <w:marRight w:val="0"/>
          <w:marTop w:val="0"/>
          <w:marBottom w:val="101"/>
          <w:divBdr>
            <w:top w:val="none" w:sz="0" w:space="0" w:color="auto"/>
            <w:left w:val="none" w:sz="0" w:space="0" w:color="auto"/>
            <w:bottom w:val="none" w:sz="0" w:space="0" w:color="auto"/>
            <w:right w:val="none" w:sz="0" w:space="0" w:color="auto"/>
          </w:divBdr>
        </w:div>
        <w:div w:id="29695214">
          <w:marLeft w:val="720"/>
          <w:marRight w:val="0"/>
          <w:marTop w:val="0"/>
          <w:marBottom w:val="101"/>
          <w:divBdr>
            <w:top w:val="none" w:sz="0" w:space="0" w:color="auto"/>
            <w:left w:val="none" w:sz="0" w:space="0" w:color="auto"/>
            <w:bottom w:val="none" w:sz="0" w:space="0" w:color="auto"/>
            <w:right w:val="none" w:sz="0" w:space="0" w:color="auto"/>
          </w:divBdr>
        </w:div>
      </w:divsChild>
    </w:div>
    <w:div w:id="2121298707">
      <w:bodyDiv w:val="1"/>
      <w:marLeft w:val="0"/>
      <w:marRight w:val="0"/>
      <w:marTop w:val="0"/>
      <w:marBottom w:val="0"/>
      <w:divBdr>
        <w:top w:val="none" w:sz="0" w:space="0" w:color="auto"/>
        <w:left w:val="none" w:sz="0" w:space="0" w:color="auto"/>
        <w:bottom w:val="none" w:sz="0" w:space="0" w:color="auto"/>
        <w:right w:val="none" w:sz="0" w:space="0" w:color="auto"/>
      </w:divBdr>
      <w:divsChild>
        <w:div w:id="243609949">
          <w:marLeft w:val="0"/>
          <w:marRight w:val="0"/>
          <w:marTop w:val="0"/>
          <w:marBottom w:val="101"/>
          <w:divBdr>
            <w:top w:val="none" w:sz="0" w:space="0" w:color="auto"/>
            <w:left w:val="none" w:sz="0" w:space="0" w:color="auto"/>
            <w:bottom w:val="none" w:sz="0" w:space="0" w:color="auto"/>
            <w:right w:val="none" w:sz="0" w:space="0" w:color="auto"/>
          </w:divBdr>
        </w:div>
        <w:div w:id="1300453584">
          <w:marLeft w:val="720"/>
          <w:marRight w:val="0"/>
          <w:marTop w:val="0"/>
          <w:marBottom w:val="101"/>
          <w:divBdr>
            <w:top w:val="none" w:sz="0" w:space="0" w:color="auto"/>
            <w:left w:val="none" w:sz="0" w:space="0" w:color="auto"/>
            <w:bottom w:val="none" w:sz="0" w:space="0" w:color="auto"/>
            <w:right w:val="none" w:sz="0" w:space="0" w:color="auto"/>
          </w:divBdr>
        </w:div>
        <w:div w:id="1025403885">
          <w:marLeft w:val="720"/>
          <w:marRight w:val="0"/>
          <w:marTop w:val="0"/>
          <w:marBottom w:val="101"/>
          <w:divBdr>
            <w:top w:val="none" w:sz="0" w:space="0" w:color="auto"/>
            <w:left w:val="none" w:sz="0" w:space="0" w:color="auto"/>
            <w:bottom w:val="none" w:sz="0" w:space="0" w:color="auto"/>
            <w:right w:val="none" w:sz="0" w:space="0" w:color="auto"/>
          </w:divBdr>
        </w:div>
        <w:div w:id="419718364">
          <w:marLeft w:val="72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E528F-529F-413A-9A6B-3B6DCFA7B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7496</Words>
  <Characters>41234</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2018-10-29T16:32:00Z</cp:lastPrinted>
  <dcterms:created xsi:type="dcterms:W3CDTF">2018-10-12T02:16:00Z</dcterms:created>
  <dcterms:modified xsi:type="dcterms:W3CDTF">2018-11-14T03:17:00Z</dcterms:modified>
</cp:coreProperties>
</file>