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7F7D62">
        <w:rPr>
          <w:rFonts w:ascii="Palatino Linotype" w:eastAsia="Times New Roman" w:hAnsi="Palatino Linotype" w:cs="Arial"/>
          <w:color w:val="000000"/>
          <w:sz w:val="24"/>
          <w:szCs w:val="24"/>
          <w:lang w:eastAsia="es-MX"/>
        </w:rPr>
        <w:t>diecisiete</w:t>
      </w:r>
      <w:r w:rsidR="00D92EF1">
        <w:rPr>
          <w:rFonts w:ascii="Palatino Linotype" w:eastAsia="Times New Roman" w:hAnsi="Palatino Linotype" w:cs="Arial"/>
          <w:color w:val="000000"/>
          <w:sz w:val="24"/>
          <w:szCs w:val="24"/>
          <w:lang w:eastAsia="es-MX"/>
        </w:rPr>
        <w:t xml:space="preserve"> de octubre</w:t>
      </w:r>
      <w:r w:rsidRPr="005A4030">
        <w:rPr>
          <w:rFonts w:ascii="Palatino Linotype" w:eastAsia="Times New Roman" w:hAnsi="Palatino Linotype" w:cs="Arial"/>
          <w:color w:val="000000"/>
          <w:sz w:val="24"/>
          <w:szCs w:val="24"/>
          <w:lang w:eastAsia="es-MX"/>
        </w:rPr>
        <w:t xml:space="preserve"> de dos mil dieciocho.</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D92EF1" w:rsidRPr="00D92EF1">
        <w:rPr>
          <w:rFonts w:ascii="Palatino Linotype" w:hAnsi="Palatino Linotype" w:cs="Arial"/>
          <w:b/>
          <w:bCs/>
          <w:sz w:val="24"/>
          <w:lang w:eastAsia="es-MX"/>
        </w:rPr>
        <w:t>03070/INFOEM/IP/RR/2018</w:t>
      </w:r>
      <w:r w:rsidRPr="009B1B26">
        <w:rPr>
          <w:rFonts w:ascii="Palatino Linotype" w:hAnsi="Palatino Linotype" w:cs="Arial"/>
          <w:sz w:val="24"/>
        </w:rPr>
        <w:t xml:space="preserve">, interpuesto por el </w:t>
      </w:r>
      <w:r w:rsidRPr="009B1B26">
        <w:rPr>
          <w:rFonts w:ascii="Palatino Linotype" w:hAnsi="Palatino Linotype" w:cs="Arial"/>
          <w:b/>
          <w:sz w:val="24"/>
          <w:szCs w:val="24"/>
        </w:rPr>
        <w:t xml:space="preserve">C. </w:t>
      </w:r>
      <w:r w:rsidR="00EE6E5A">
        <w:rPr>
          <w:rFonts w:ascii="Palatino Linotype" w:hAnsi="Palatino Linotype" w:cs="Arial"/>
          <w:b/>
          <w:sz w:val="24"/>
          <w:szCs w:val="24"/>
        </w:rPr>
        <w:t>XXXXXXXXXXXXXXXX</w:t>
      </w:r>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Pr="009B1B26">
        <w:rPr>
          <w:rFonts w:ascii="Palatino Linotype" w:hAnsi="Palatino Linotype" w:cs="Arial"/>
          <w:sz w:val="24"/>
        </w:rPr>
        <w:t xml:space="preserve">, en contra de la respuesta del </w:t>
      </w:r>
      <w:r w:rsidR="00D92EF1" w:rsidRPr="00D92EF1">
        <w:rPr>
          <w:rFonts w:ascii="Palatino Linotype" w:hAnsi="Palatino Linotype" w:cs="Arial"/>
          <w:b/>
          <w:sz w:val="24"/>
        </w:rPr>
        <w:t>Poder Legislativo</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D92EF1">
        <w:rPr>
          <w:rFonts w:ascii="Palatino Linotype" w:hAnsi="Palatino Linotype" w:cs="Arial"/>
          <w:sz w:val="24"/>
        </w:rPr>
        <w:t>diecinueve de julio</w:t>
      </w:r>
      <w:r w:rsidR="00FD06E7">
        <w:rPr>
          <w:rFonts w:ascii="Palatino Linotype" w:hAnsi="Palatino Linotype" w:cs="Arial"/>
          <w:sz w:val="24"/>
        </w:rPr>
        <w:t xml:space="preserve"> de dos mil dieciocho</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w:t>
      </w:r>
      <w:r w:rsidR="00D92EF1" w:rsidRPr="00D92EF1">
        <w:t xml:space="preserve"> </w:t>
      </w:r>
      <w:r w:rsidR="00D92EF1" w:rsidRPr="00D92EF1">
        <w:rPr>
          <w:rFonts w:ascii="Palatino Linotype" w:hAnsi="Palatino Linotype" w:cs="Arial"/>
          <w:sz w:val="24"/>
        </w:rPr>
        <w:t>sin embar</w:t>
      </w:r>
      <w:r w:rsidR="00D92EF1">
        <w:rPr>
          <w:rFonts w:ascii="Palatino Linotype" w:hAnsi="Palatino Linotype" w:cs="Arial"/>
          <w:sz w:val="24"/>
        </w:rPr>
        <w:t>go, debido a que fue interpuesta</w:t>
      </w:r>
      <w:r w:rsidR="00D92EF1" w:rsidRPr="00D92EF1">
        <w:rPr>
          <w:rFonts w:ascii="Palatino Linotype" w:hAnsi="Palatino Linotype" w:cs="Arial"/>
          <w:sz w:val="24"/>
        </w:rPr>
        <w:t xml:space="preserve"> en días inhábiles, dicha solicitud fue registrada en el sistema electrónico en fecha treinta de julio del dos mil dieciocho</w:t>
      </w:r>
      <w:r w:rsidR="00D92EF1">
        <w:rPr>
          <w:rFonts w:ascii="Palatino Linotype" w:hAnsi="Palatino Linotype" w:cs="Arial"/>
          <w:sz w:val="24"/>
        </w:rPr>
        <w:t xml:space="preserve">, </w:t>
      </w:r>
      <w:r>
        <w:rPr>
          <w:rFonts w:ascii="Palatino Linotype" w:hAnsi="Palatino Linotype" w:cs="Arial"/>
          <w:sz w:val="24"/>
        </w:rPr>
        <w:t>bajo el número de expediente</w:t>
      </w:r>
      <w:r>
        <w:rPr>
          <w:rFonts w:ascii="Palatino Linotype" w:hAnsi="Palatino Linotype" w:cs="Arial"/>
          <w:b/>
          <w:sz w:val="24"/>
        </w:rPr>
        <w:t xml:space="preserve"> </w:t>
      </w:r>
      <w:r w:rsidR="00D92EF1" w:rsidRPr="00D92EF1">
        <w:rPr>
          <w:rFonts w:ascii="Palatino Linotype" w:hAnsi="Palatino Linotype" w:cs="Arial"/>
          <w:b/>
          <w:sz w:val="24"/>
        </w:rPr>
        <w:t>00332/PLEGISLA/IP/2018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FD06E7" w:rsidRDefault="00FD06E7" w:rsidP="00FD06E7">
      <w:pPr>
        <w:spacing w:after="0" w:line="360" w:lineRule="auto"/>
        <w:jc w:val="both"/>
        <w:rPr>
          <w:rFonts w:ascii="Palatino Linotype" w:hAnsi="Palatino Linotype" w:cs="Arial"/>
          <w:sz w:val="24"/>
        </w:rPr>
      </w:pPr>
    </w:p>
    <w:p w:rsidR="00480084" w:rsidRDefault="00480084" w:rsidP="00FD06E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D92EF1" w:rsidRPr="00D92EF1">
        <w:rPr>
          <w:rFonts w:ascii="Palatino Linotype" w:eastAsia="Times New Roman" w:hAnsi="Palatino Linotype" w:cs="Times New Roman"/>
          <w:i/>
          <w:lang w:val="es-ES_tradnl" w:eastAsia="es-ES"/>
        </w:rPr>
        <w:t xml:space="preserve">De los procedimientos iniciados al C. Pedro Luna Vargas Presidente Municipal de Coyotepec y en los que se le hayan aplicado algún tipo de sanción; requiero la lista donde se incluya: descripción de la queja, quejoso, medida de apremio, descripción de </w:t>
      </w:r>
      <w:r w:rsidR="00D92EF1" w:rsidRPr="00D92EF1">
        <w:rPr>
          <w:rFonts w:ascii="Palatino Linotype" w:eastAsia="Times New Roman" w:hAnsi="Palatino Linotype" w:cs="Times New Roman"/>
          <w:i/>
          <w:lang w:val="es-ES_tradnl" w:eastAsia="es-ES"/>
        </w:rPr>
        <w:lastRenderedPageBreak/>
        <w:t>sanción, cantidad de multa, resarcitorio, etc.; que se le haya aplicado al C. Pedro Luna Vargas Presidente Municipal de Coyotepec en los años de 2016, 2017 y lo que va de 2018.</w:t>
      </w:r>
      <w:r w:rsidRPr="00DE246E">
        <w:rPr>
          <w:rFonts w:ascii="Palatino Linotype" w:eastAsia="Times New Roman" w:hAnsi="Palatino Linotype" w:cs="Times New Roman"/>
          <w:i/>
          <w:lang w:val="es-ES_tradnl" w:eastAsia="es-ES"/>
        </w:rPr>
        <w:t>” [Sic]</w:t>
      </w:r>
    </w:p>
    <w:p w:rsidR="00FD06E7" w:rsidRPr="00DE246E" w:rsidRDefault="00FD06E7" w:rsidP="00FD06E7">
      <w:pPr>
        <w:spacing w:after="0"/>
        <w:ind w:left="851" w:right="850"/>
        <w:jc w:val="both"/>
        <w:rPr>
          <w:rFonts w:ascii="Palatino Linotype" w:eastAsia="Times New Roman" w:hAnsi="Palatino Linotype" w:cs="Times New Roman"/>
          <w:i/>
          <w:lang w:val="es-ES_tradnl" w:eastAsia="es-ES"/>
        </w:rPr>
      </w:pPr>
    </w:p>
    <w:p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480084" w:rsidRDefault="00480084" w:rsidP="00480084">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F41D40">
        <w:rPr>
          <w:rFonts w:ascii="Palatino Linotype" w:hAnsi="Palatino Linotype" w:cs="Arial"/>
          <w:sz w:val="24"/>
        </w:rPr>
        <w:t>diecisiete de agosto</w:t>
      </w:r>
      <w:r w:rsidR="00FE12EC">
        <w:rPr>
          <w:rFonts w:ascii="Palatino Linotype" w:hAnsi="Palatino Linotype" w:cs="Arial"/>
          <w:sz w:val="24"/>
        </w:rPr>
        <w:t xml:space="preserve"> de dos mil dieciocho</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rsidR="00F41D40" w:rsidRPr="00F41D40" w:rsidRDefault="00FE12EC" w:rsidP="00F41D40">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F41D40" w:rsidRPr="00F41D40">
        <w:rPr>
          <w:rFonts w:ascii="Palatino Linotype" w:hAnsi="Palatino Linotype" w:cs="Arial"/>
          <w:i/>
          <w:noProof/>
          <w:szCs w:val="24"/>
          <w:lang w:eastAsia="es-MX"/>
        </w:rPr>
        <w:t>Metepec, México a 17 de Agosto de 2018</w:t>
      </w:r>
    </w:p>
    <w:p w:rsidR="00F41D40" w:rsidRPr="00F41D40" w:rsidRDefault="00F41D40" w:rsidP="00F41D40">
      <w:pPr>
        <w:spacing w:after="0" w:line="240" w:lineRule="auto"/>
        <w:ind w:left="567" w:right="567"/>
        <w:jc w:val="right"/>
        <w:rPr>
          <w:rFonts w:ascii="Palatino Linotype" w:hAnsi="Palatino Linotype" w:cs="Arial"/>
          <w:i/>
          <w:noProof/>
          <w:szCs w:val="24"/>
          <w:lang w:eastAsia="es-MX"/>
        </w:rPr>
      </w:pPr>
      <w:r w:rsidRPr="00F41D40">
        <w:rPr>
          <w:rFonts w:ascii="Palatino Linotype" w:hAnsi="Palatino Linotype" w:cs="Arial"/>
          <w:i/>
          <w:noProof/>
          <w:szCs w:val="24"/>
          <w:lang w:eastAsia="es-MX"/>
        </w:rPr>
        <w:t xml:space="preserve">Nombre del solicitante: </w:t>
      </w:r>
      <w:r w:rsidR="00EE6E5A">
        <w:rPr>
          <w:rFonts w:ascii="Palatino Linotype" w:hAnsi="Palatino Linotype" w:cs="Arial"/>
          <w:i/>
          <w:noProof/>
          <w:szCs w:val="24"/>
          <w:lang w:eastAsia="es-MX"/>
        </w:rPr>
        <w:t>XXXXXXXXXXXXXXXX</w:t>
      </w:r>
    </w:p>
    <w:p w:rsidR="00F41D40" w:rsidRPr="00F41D40" w:rsidRDefault="00F41D40" w:rsidP="00F41D40">
      <w:pPr>
        <w:spacing w:after="240" w:line="240" w:lineRule="auto"/>
        <w:ind w:left="567" w:right="567"/>
        <w:jc w:val="right"/>
        <w:rPr>
          <w:rFonts w:ascii="Palatino Linotype" w:hAnsi="Palatino Linotype" w:cs="Arial"/>
          <w:i/>
          <w:noProof/>
          <w:szCs w:val="24"/>
          <w:lang w:eastAsia="es-MX"/>
        </w:rPr>
      </w:pPr>
      <w:r w:rsidRPr="00F41D40">
        <w:rPr>
          <w:rFonts w:ascii="Palatino Linotype" w:hAnsi="Palatino Linotype" w:cs="Arial"/>
          <w:i/>
          <w:noProof/>
          <w:szCs w:val="24"/>
          <w:lang w:eastAsia="es-MX"/>
        </w:rPr>
        <w:t>Folio de la solicitud: 00332/PLEGISLA/IP/2018</w:t>
      </w:r>
    </w:p>
    <w:p w:rsidR="00F41D40" w:rsidRDefault="00F41D40" w:rsidP="00F41D40">
      <w:pPr>
        <w:spacing w:after="0" w:line="240" w:lineRule="auto"/>
        <w:ind w:left="567" w:right="567"/>
        <w:jc w:val="both"/>
        <w:rPr>
          <w:rFonts w:ascii="Palatino Linotype" w:hAnsi="Palatino Linotype" w:cs="Arial"/>
          <w:i/>
          <w:noProof/>
          <w:szCs w:val="24"/>
          <w:lang w:eastAsia="es-MX"/>
        </w:rPr>
      </w:pPr>
      <w:r w:rsidRPr="00F41D40">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41D40" w:rsidRPr="00F41D40" w:rsidRDefault="00F41D40" w:rsidP="00F41D40">
      <w:pPr>
        <w:spacing w:after="0" w:line="240" w:lineRule="auto"/>
        <w:ind w:left="567" w:right="567"/>
        <w:rPr>
          <w:rFonts w:ascii="Palatino Linotype" w:hAnsi="Palatino Linotype" w:cs="Arial"/>
          <w:i/>
          <w:noProof/>
          <w:szCs w:val="24"/>
          <w:lang w:eastAsia="es-MX"/>
        </w:rPr>
      </w:pPr>
    </w:p>
    <w:p w:rsidR="00F41D40" w:rsidRDefault="00F41D40" w:rsidP="00F41D40">
      <w:pPr>
        <w:spacing w:after="0" w:line="240" w:lineRule="auto"/>
        <w:ind w:left="567" w:right="567"/>
        <w:jc w:val="both"/>
        <w:rPr>
          <w:rFonts w:ascii="Palatino Linotype" w:hAnsi="Palatino Linotype" w:cs="Arial"/>
          <w:i/>
          <w:noProof/>
          <w:szCs w:val="24"/>
          <w:lang w:eastAsia="es-MX"/>
        </w:rPr>
      </w:pPr>
      <w:r w:rsidRPr="00F41D40">
        <w:rPr>
          <w:rFonts w:ascii="Palatino Linotype" w:hAnsi="Palatino Linotype" w:cs="Arial"/>
          <w:i/>
          <w:noProof/>
          <w:szCs w:val="24"/>
          <w:lang w:eastAsia="es-MX"/>
        </w:rPr>
        <w:t>Respuesta a la solicitud de información recibida, con número de folio 00332/PLEGISLA/IP/2018 Mtro. Jesús Felipe Borja Coronel Titular de la Unidad de Información del</w:t>
      </w:r>
      <w:r w:rsidRPr="00F41D40">
        <w:rPr>
          <w:rFonts w:ascii="Palatino Linotype" w:hAnsi="Palatino Linotype" w:cs="Arial"/>
          <w:i/>
          <w:noProof/>
          <w:szCs w:val="24"/>
          <w:lang w:eastAsia="es-MX"/>
        </w:rPr>
        <w:tab/>
        <w:t>Poder Legislativo del Estado de México P r e s e n t e Con fundamento en los artículos 3 fracción XXXIX, 11, 12, 23 fracción II y 59 fracciones I, II, III y VI de la Ley de Transparencia y Acceso a la Información Pública del Estado de México y Municipios, en atención al oficio UIPL/0881/2018, por el cual remite la solicitud número 0332/PLEGISLA/IP/2018, presentada a través del Sistema de Acceso a la Información Mexiquense (SAIMEX), administrado por el Instituto de Transparencia y Acceso a la Información Pública del Estado de México y Municipios, se emite respuesta.</w:t>
      </w:r>
    </w:p>
    <w:p w:rsidR="00F41D40" w:rsidRPr="00F41D40" w:rsidRDefault="00F41D40" w:rsidP="00F41D40">
      <w:pPr>
        <w:spacing w:after="0" w:line="240" w:lineRule="auto"/>
        <w:ind w:left="567" w:right="567"/>
        <w:rPr>
          <w:rFonts w:ascii="Palatino Linotype" w:hAnsi="Palatino Linotype" w:cs="Arial"/>
          <w:i/>
          <w:noProof/>
          <w:szCs w:val="24"/>
          <w:lang w:eastAsia="es-MX"/>
        </w:rPr>
      </w:pPr>
    </w:p>
    <w:p w:rsidR="00F41D40" w:rsidRPr="00F41D40" w:rsidRDefault="00F41D40" w:rsidP="00F41D40">
      <w:pPr>
        <w:spacing w:after="0" w:line="240" w:lineRule="auto"/>
        <w:ind w:left="567" w:right="567"/>
        <w:rPr>
          <w:rFonts w:ascii="Palatino Linotype" w:hAnsi="Palatino Linotype" w:cs="Arial"/>
          <w:i/>
          <w:noProof/>
          <w:szCs w:val="24"/>
          <w:lang w:eastAsia="es-MX"/>
        </w:rPr>
      </w:pPr>
      <w:r w:rsidRPr="00F41D40">
        <w:rPr>
          <w:rFonts w:ascii="Palatino Linotype" w:hAnsi="Palatino Linotype" w:cs="Arial"/>
          <w:i/>
          <w:noProof/>
          <w:szCs w:val="24"/>
          <w:lang w:eastAsia="es-MX"/>
        </w:rPr>
        <w:t>ATENTAMENTE</w:t>
      </w:r>
    </w:p>
    <w:p w:rsidR="00FE12EC" w:rsidRPr="00155762" w:rsidRDefault="00F41D40" w:rsidP="00F41D40">
      <w:pPr>
        <w:spacing w:after="0" w:line="240" w:lineRule="auto"/>
        <w:ind w:left="567" w:right="567"/>
        <w:rPr>
          <w:rFonts w:ascii="Palatino Linotype" w:hAnsi="Palatino Linotype" w:cs="Arial"/>
          <w:i/>
          <w:szCs w:val="24"/>
        </w:rPr>
      </w:pPr>
      <w:r w:rsidRPr="00F41D40">
        <w:rPr>
          <w:rFonts w:ascii="Palatino Linotype" w:hAnsi="Palatino Linotype" w:cs="Arial"/>
          <w:i/>
          <w:noProof/>
          <w:szCs w:val="24"/>
          <w:lang w:eastAsia="es-MX"/>
        </w:rPr>
        <w:t>Jesús Felipe Borja Coronel</w:t>
      </w:r>
      <w:r w:rsidR="00FE12EC">
        <w:rPr>
          <w:rFonts w:ascii="Palatino Linotype" w:hAnsi="Palatino Linotype" w:cs="Arial"/>
          <w:i/>
          <w:noProof/>
          <w:szCs w:val="24"/>
          <w:lang w:eastAsia="es-MX"/>
        </w:rPr>
        <w:t>” (sic)</w:t>
      </w:r>
    </w:p>
    <w:p w:rsidR="00480084" w:rsidRDefault="00480084" w:rsidP="00480084">
      <w:pPr>
        <w:spacing w:before="240" w:line="360" w:lineRule="auto"/>
        <w:jc w:val="both"/>
        <w:rPr>
          <w:rFonts w:ascii="Palatino Linotype" w:hAnsi="Palatino Linotype" w:cs="Arial"/>
          <w:b/>
          <w:sz w:val="28"/>
        </w:rPr>
      </w:pPr>
    </w:p>
    <w:p w:rsidR="00F41D40" w:rsidRPr="00F41D40" w:rsidRDefault="00F41D40"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Adjuntando para tal efecto los archivos electrónicos “</w:t>
      </w:r>
      <w:r w:rsidRPr="00F41D40">
        <w:rPr>
          <w:rFonts w:ascii="Palatino Linotype" w:hAnsi="Palatino Linotype"/>
          <w:b/>
          <w:sz w:val="24"/>
          <w:szCs w:val="24"/>
        </w:rPr>
        <w:t>Respuesta_Sol_332_2018.pdf</w:t>
      </w:r>
      <w:r>
        <w:rPr>
          <w:rFonts w:ascii="Palatino Linotype" w:hAnsi="Palatino Linotype" w:cs="Arial"/>
          <w:sz w:val="24"/>
          <w:szCs w:val="24"/>
        </w:rPr>
        <w:t>”, “</w:t>
      </w:r>
      <w:r w:rsidRPr="00F41D40">
        <w:rPr>
          <w:rFonts w:ascii="Palatino Linotype" w:hAnsi="Palatino Linotype" w:cs="Arial"/>
          <w:b/>
          <w:sz w:val="24"/>
          <w:szCs w:val="24"/>
        </w:rPr>
        <w:t>332-PLEGISLA-IP-2018.pdf</w:t>
      </w:r>
      <w:r>
        <w:rPr>
          <w:rFonts w:ascii="Palatino Linotype" w:hAnsi="Palatino Linotype" w:cs="Arial"/>
          <w:sz w:val="24"/>
          <w:szCs w:val="24"/>
        </w:rPr>
        <w:t>” y “</w:t>
      </w:r>
      <w:r w:rsidRPr="00F41D40">
        <w:rPr>
          <w:rFonts w:ascii="Palatino Linotype" w:hAnsi="Palatino Linotype" w:cs="Arial"/>
          <w:b/>
          <w:sz w:val="24"/>
          <w:szCs w:val="24"/>
        </w:rPr>
        <w:t>332 respuesta 001.pdf</w:t>
      </w:r>
      <w:r>
        <w:rPr>
          <w:rFonts w:ascii="Palatino Linotype" w:hAnsi="Palatino Linotype" w:cs="Arial"/>
          <w:sz w:val="24"/>
          <w:szCs w:val="24"/>
        </w:rPr>
        <w:t xml:space="preserve">”; los cuales no se insertan en el presente apartado por ser del conocimiento de las partes, sin embargo, habrá de hacerse el análisis y estudio correspondiente en párrafos posteriores. </w:t>
      </w:r>
    </w:p>
    <w:p w:rsidR="00F41D40" w:rsidRDefault="00F41D40" w:rsidP="00480084">
      <w:pPr>
        <w:spacing w:before="240" w:line="360" w:lineRule="auto"/>
        <w:jc w:val="both"/>
        <w:rPr>
          <w:rFonts w:ascii="Palatino Linotype" w:hAnsi="Palatino Linotype" w:cs="Arial"/>
          <w:b/>
          <w:sz w:val="28"/>
        </w:rPr>
      </w:pPr>
    </w:p>
    <w:p w:rsidR="00480084" w:rsidRPr="00441A94" w:rsidRDefault="00480084" w:rsidP="00480084">
      <w:pPr>
        <w:spacing w:before="240" w:line="360" w:lineRule="auto"/>
        <w:jc w:val="both"/>
        <w:rPr>
          <w:rFonts w:ascii="Palatino Linotype" w:hAnsi="Palatino Linotype" w:cs="Arial"/>
          <w:b/>
          <w:sz w:val="28"/>
        </w:rPr>
      </w:pPr>
      <w:r w:rsidRPr="00AE76F5">
        <w:rPr>
          <w:rFonts w:ascii="Palatino Linotype" w:hAnsi="Palatino Linotype" w:cs="Arial"/>
          <w:b/>
          <w:sz w:val="28"/>
        </w:rPr>
        <w:t xml:space="preserve">TERCERO. </w:t>
      </w:r>
      <w:r w:rsidRPr="00AE76F5">
        <w:rPr>
          <w:rFonts w:ascii="Palatino Linotype" w:hAnsi="Palatino Linotype"/>
          <w:b/>
          <w:sz w:val="28"/>
        </w:rPr>
        <w:t>Del recurso de revisión.</w:t>
      </w:r>
    </w:p>
    <w:p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por El Sujeto O</w:t>
      </w:r>
      <w:r w:rsidRPr="00441A94">
        <w:rPr>
          <w:rFonts w:ascii="Palatino Linotype" w:hAnsi="Palatino Linotype" w:cs="Arial"/>
          <w:sz w:val="24"/>
          <w:szCs w:val="24"/>
        </w:rPr>
        <w:t xml:space="preserve">bligado,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B04C04">
        <w:rPr>
          <w:rFonts w:ascii="Palatino Linotype" w:hAnsi="Palatino Linotype" w:cs="Arial"/>
          <w:sz w:val="24"/>
          <w:szCs w:val="24"/>
        </w:rPr>
        <w:t>veintiséis</w:t>
      </w:r>
      <w:r w:rsidR="008D51BF">
        <w:rPr>
          <w:rFonts w:ascii="Palatino Linotype" w:hAnsi="Palatino Linotype" w:cs="Arial"/>
          <w:sz w:val="24"/>
          <w:szCs w:val="24"/>
        </w:rPr>
        <w:t xml:space="preserve"> de agosto</w:t>
      </w:r>
      <w:r w:rsidR="00090203">
        <w:rPr>
          <w:rFonts w:ascii="Palatino Linotype" w:hAnsi="Palatino Linotype" w:cs="Arial"/>
          <w:sz w:val="24"/>
          <w:szCs w:val="24"/>
        </w:rPr>
        <w:t xml:space="preserve"> de dos mil dieciocho</w:t>
      </w:r>
      <w:r w:rsidRPr="00441A94">
        <w:rPr>
          <w:rFonts w:ascii="Palatino Linotype" w:hAnsi="Palatino Linotype" w:cs="Arial"/>
          <w:sz w:val="24"/>
          <w:szCs w:val="24"/>
        </w:rPr>
        <w:t>, el cual</w:t>
      </w:r>
      <w:r w:rsidR="00EE55A9">
        <w:rPr>
          <w:rFonts w:ascii="Palatino Linotype" w:hAnsi="Palatino Linotype" w:cs="Arial"/>
          <w:sz w:val="24"/>
          <w:szCs w:val="24"/>
        </w:rPr>
        <w:t xml:space="preserve"> al interponerse en día inhábil</w:t>
      </w:r>
      <w:r w:rsidRPr="00441A94">
        <w:rPr>
          <w:rFonts w:ascii="Palatino Linotype" w:hAnsi="Palatino Linotype" w:cs="Arial"/>
          <w:sz w:val="24"/>
          <w:szCs w:val="24"/>
        </w:rPr>
        <w:t xml:space="preserve">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en el sistema electrónico</w:t>
      </w:r>
      <w:r w:rsidR="00EE55A9">
        <w:rPr>
          <w:rFonts w:ascii="Palatino Linotype" w:hAnsi="Palatino Linotype" w:cs="Arial"/>
          <w:sz w:val="24"/>
          <w:szCs w:val="24"/>
        </w:rPr>
        <w:t xml:space="preserve"> en fecha veintisiete del mismo mes y año,</w:t>
      </w:r>
      <w:r w:rsidRPr="0096643B">
        <w:rPr>
          <w:rFonts w:ascii="Palatino Linotype" w:hAnsi="Palatino Linotype" w:cs="Arial"/>
          <w:sz w:val="24"/>
          <w:szCs w:val="24"/>
        </w:rPr>
        <w:t xml:space="preserve"> con el expediente número </w:t>
      </w:r>
      <w:r w:rsidR="008D51BF" w:rsidRPr="008D51BF">
        <w:rPr>
          <w:rFonts w:ascii="Palatino Linotype" w:hAnsi="Palatino Linotype" w:cs="Arial"/>
          <w:b/>
          <w:bCs/>
          <w:sz w:val="24"/>
          <w:szCs w:val="24"/>
          <w:lang w:eastAsia="es-MX"/>
        </w:rPr>
        <w:t>03070/INFOEM/IP/RR/2018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8D51BF" w:rsidRPr="008D51BF">
        <w:rPr>
          <w:rFonts w:ascii="Palatino Linotype" w:hAnsi="Palatino Linotype" w:cs="Arial"/>
          <w:i/>
        </w:rPr>
        <w:t>00332/PLEGISLA/IP/2018</w:t>
      </w:r>
      <w:r w:rsidRPr="00B15A94">
        <w:rPr>
          <w:rFonts w:ascii="Palatino Linotype" w:hAnsi="Palatino Linotype" w:cs="Arial"/>
          <w:i/>
        </w:rPr>
        <w:t>"[sic]</w:t>
      </w:r>
    </w:p>
    <w:p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8D51BF" w:rsidRPr="008D51BF">
        <w:rPr>
          <w:rFonts w:ascii="Palatino Linotype" w:hAnsi="Palatino Linotype" w:cs="Arial"/>
          <w:i/>
        </w:rPr>
        <w:t>No se me proporciono la información completa que solicite.</w:t>
      </w:r>
      <w:r w:rsidRPr="004469D5">
        <w:rPr>
          <w:rFonts w:ascii="Palatino Linotype" w:hAnsi="Palatino Linotype" w:cs="Arial"/>
          <w:i/>
        </w:rPr>
        <w:t>” [sic]</w:t>
      </w:r>
    </w:p>
    <w:p w:rsidR="00480084" w:rsidRDefault="00480084" w:rsidP="00480084">
      <w:pPr>
        <w:spacing w:before="240" w:line="360" w:lineRule="auto"/>
        <w:jc w:val="both"/>
        <w:rPr>
          <w:rFonts w:ascii="Palatino Linotype" w:hAnsi="Palatino Linotype"/>
          <w:color w:val="000000"/>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w:t>
      </w:r>
      <w:r>
        <w:rPr>
          <w:rFonts w:ascii="Palatino Linotype" w:hAnsi="Palatino Linotype" w:cs="Arial"/>
          <w:sz w:val="24"/>
          <w:szCs w:val="24"/>
        </w:rPr>
        <w:lastRenderedPageBreak/>
        <w:t xml:space="preserve">México y Municipios, del cual recayó acuerdo de admisión en fecha </w:t>
      </w:r>
      <w:r w:rsidR="008D51BF">
        <w:rPr>
          <w:rFonts w:ascii="Palatino Linotype" w:hAnsi="Palatino Linotype" w:cs="Arial"/>
          <w:sz w:val="24"/>
          <w:szCs w:val="24"/>
        </w:rPr>
        <w:t>treinta y uno de agosto</w:t>
      </w:r>
      <w:r w:rsidR="004610DE">
        <w:rPr>
          <w:rFonts w:ascii="Palatino Linotype" w:hAnsi="Palatino Linotype" w:cs="Arial"/>
          <w:sz w:val="24"/>
          <w:szCs w:val="24"/>
        </w:rPr>
        <w:t xml:space="preserve"> de dos mil dieciocho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p>
    <w:p w:rsidR="00480084" w:rsidRDefault="00480084"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480084" w:rsidRDefault="00480084" w:rsidP="00480084">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presentó su informe justificado en fecha </w:t>
      </w:r>
      <w:r w:rsidR="008D51BF">
        <w:rPr>
          <w:rFonts w:ascii="Palatino Linotype" w:hAnsi="Palatino Linotype" w:cs="Arial"/>
          <w:sz w:val="24"/>
          <w:szCs w:val="24"/>
        </w:rPr>
        <w:t>siete de septiembre</w:t>
      </w:r>
      <w:r>
        <w:rPr>
          <w:rFonts w:ascii="Palatino Linotype" w:hAnsi="Palatino Linotype" w:cs="Arial"/>
          <w:sz w:val="24"/>
          <w:szCs w:val="24"/>
        </w:rPr>
        <w:t xml:space="preserve"> de </w:t>
      </w:r>
      <w:r w:rsidR="004610DE">
        <w:rPr>
          <w:rFonts w:ascii="Palatino Linotype" w:hAnsi="Palatino Linotype" w:cs="Arial"/>
          <w:sz w:val="24"/>
          <w:szCs w:val="24"/>
        </w:rPr>
        <w:t>dos mil dieciocho</w:t>
      </w:r>
      <w:r>
        <w:rPr>
          <w:rFonts w:ascii="Palatino Linotype" w:hAnsi="Palatino Linotype" w:cs="Arial"/>
          <w:sz w:val="24"/>
          <w:szCs w:val="24"/>
        </w:rPr>
        <w:t xml:space="preserve">, el cual se puso a la vista del </w:t>
      </w:r>
      <w:r w:rsidR="006024C5">
        <w:rPr>
          <w:rFonts w:ascii="Palatino Linotype" w:hAnsi="Palatino Linotype" w:cs="Arial"/>
          <w:sz w:val="24"/>
          <w:szCs w:val="24"/>
        </w:rPr>
        <w:t>R</w:t>
      </w:r>
      <w:r>
        <w:rPr>
          <w:rFonts w:ascii="Palatino Linotype" w:hAnsi="Palatino Linotype" w:cs="Arial"/>
          <w:sz w:val="24"/>
          <w:szCs w:val="24"/>
        </w:rPr>
        <w:t xml:space="preserve">ecurrente para que en su caso realizara las manifestaciones que considerara pertinentes, sin que se advierta manifestación alguna, por lo que una vez trascurrido el plazo establecido para que las partes manifestaran lo que a su derecho conviniera, en fecha </w:t>
      </w:r>
      <w:r w:rsidR="008D51BF">
        <w:rPr>
          <w:rFonts w:ascii="Palatino Linotype" w:hAnsi="Palatino Linotype" w:cs="Arial"/>
          <w:sz w:val="24"/>
          <w:szCs w:val="24"/>
        </w:rPr>
        <w:t>catorce de septiembre</w:t>
      </w:r>
      <w:r>
        <w:rPr>
          <w:rFonts w:ascii="Palatino Linotype" w:hAnsi="Palatino Linotype" w:cs="Arial"/>
          <w:sz w:val="24"/>
          <w:szCs w:val="24"/>
        </w:rPr>
        <w:t xml:space="preserve"> de los corrientes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1406C8" w:rsidRDefault="001406C8" w:rsidP="00480084">
      <w:pPr>
        <w:spacing w:before="240" w:line="360" w:lineRule="auto"/>
        <w:jc w:val="both"/>
        <w:rPr>
          <w:rFonts w:ascii="Palatino Linotype" w:hAnsi="Palatino Linotype" w:cs="Arial"/>
          <w:sz w:val="24"/>
          <w:szCs w:val="24"/>
        </w:rPr>
      </w:pPr>
    </w:p>
    <w:p w:rsidR="00480084" w:rsidRPr="00552DB8" w:rsidRDefault="00480084" w:rsidP="003540FD">
      <w:pPr>
        <w:spacing w:before="240" w:after="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w:t>
      </w:r>
      <w:r w:rsidRPr="00911081">
        <w:rPr>
          <w:rFonts w:ascii="Palatino Linotype" w:hAnsi="Palatino Linotype" w:cs="Arial"/>
          <w:sz w:val="24"/>
        </w:rPr>
        <w:lastRenderedPageBreak/>
        <w:t xml:space="preserve">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480084"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rsidR="003927E5" w:rsidRDefault="008306CB" w:rsidP="002D27CC">
      <w:pPr>
        <w:pStyle w:val="Prrafodelista"/>
        <w:autoSpaceDE w:val="0"/>
        <w:autoSpaceDN w:val="0"/>
        <w:adjustRightInd w:val="0"/>
        <w:spacing w:line="360" w:lineRule="auto"/>
        <w:ind w:left="0"/>
        <w:jc w:val="both"/>
        <w:rPr>
          <w:rFonts w:ascii="Palatino Linotype" w:hAnsi="Palatino Linotype" w:cs="Arial"/>
        </w:rPr>
      </w:pPr>
      <w:r w:rsidRPr="008306CB">
        <w:rPr>
          <w:rFonts w:ascii="Palatino Linotype" w:hAnsi="Palatino Linotype" w:cs="Arial"/>
        </w:rPr>
        <w:lastRenderedPageBreak/>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3540FD">
        <w:rPr>
          <w:rFonts w:ascii="Palatino Linotype" w:hAnsi="Palatino Linotype" w:cs="Arial"/>
        </w:rPr>
        <w:t>treinta de julio</w:t>
      </w:r>
      <w:r w:rsidR="003927E5">
        <w:rPr>
          <w:rFonts w:ascii="Palatino Linotype" w:hAnsi="Palatino Linotype" w:cs="Arial"/>
        </w:rPr>
        <w:t xml:space="preserve"> de dos mil dieciocho,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solicitud de acceso a la información de folio </w:t>
      </w:r>
      <w:r w:rsidR="00E65B73" w:rsidRPr="00E65B73">
        <w:rPr>
          <w:rFonts w:ascii="Palatino Linotype" w:hAnsi="Palatino Linotype" w:cs="Arial"/>
        </w:rPr>
        <w:t>00332/PLEGISLA/IP/2018</w:t>
      </w:r>
      <w:r w:rsidR="003927E5" w:rsidRPr="003927E5">
        <w:rPr>
          <w:rFonts w:ascii="Palatino Linotype" w:hAnsi="Palatino Linotype" w:cs="Arial"/>
        </w:rPr>
        <w:t>,</w:t>
      </w:r>
      <w:r w:rsidR="00E65B73">
        <w:rPr>
          <w:rFonts w:ascii="Palatino Linotype" w:hAnsi="Palatino Linotype" w:cs="Arial"/>
        </w:rPr>
        <w:t xml:space="preserve"> en la cual requirió objetivamente lo siguiente:</w:t>
      </w:r>
    </w:p>
    <w:p w:rsidR="00E65B73" w:rsidRDefault="00E65B73" w:rsidP="002D27CC">
      <w:pPr>
        <w:pStyle w:val="Prrafodelista"/>
        <w:autoSpaceDE w:val="0"/>
        <w:autoSpaceDN w:val="0"/>
        <w:adjustRightInd w:val="0"/>
        <w:spacing w:line="360" w:lineRule="auto"/>
        <w:ind w:left="0"/>
        <w:jc w:val="both"/>
        <w:rPr>
          <w:rFonts w:ascii="Palatino Linotype" w:hAnsi="Palatino Linotype" w:cs="Arial"/>
        </w:rPr>
      </w:pPr>
    </w:p>
    <w:p w:rsidR="00E65B73" w:rsidRDefault="00E65B73" w:rsidP="00A871DD">
      <w:pPr>
        <w:pStyle w:val="Prrafodelista"/>
        <w:numPr>
          <w:ilvl w:val="0"/>
          <w:numId w:val="19"/>
        </w:numPr>
        <w:autoSpaceDE w:val="0"/>
        <w:autoSpaceDN w:val="0"/>
        <w:adjustRightInd w:val="0"/>
        <w:spacing w:line="360" w:lineRule="auto"/>
        <w:jc w:val="both"/>
        <w:rPr>
          <w:rFonts w:ascii="Palatino Linotype" w:hAnsi="Palatino Linotype" w:cs="Arial"/>
        </w:rPr>
      </w:pPr>
      <w:r>
        <w:rPr>
          <w:rFonts w:ascii="Palatino Linotype" w:hAnsi="Palatino Linotype" w:cs="Arial"/>
        </w:rPr>
        <w:t>La lista d</w:t>
      </w:r>
      <w:r w:rsidR="00A871DD">
        <w:rPr>
          <w:rFonts w:ascii="Palatino Linotype" w:hAnsi="Palatino Linotype" w:cs="Arial"/>
        </w:rPr>
        <w:t>e los procedimientos iniciados</w:t>
      </w:r>
      <w:r>
        <w:rPr>
          <w:rFonts w:ascii="Palatino Linotype" w:hAnsi="Palatino Linotype" w:cs="Arial"/>
        </w:rPr>
        <w:t xml:space="preserve"> en los que se aplicó algún tipo de sanción </w:t>
      </w:r>
      <w:r w:rsidRPr="00E65B73">
        <w:rPr>
          <w:rFonts w:ascii="Palatino Linotype" w:hAnsi="Palatino Linotype" w:cs="Arial"/>
        </w:rPr>
        <w:t>al C. Pedro Luna Vargas</w:t>
      </w:r>
      <w:r>
        <w:rPr>
          <w:rFonts w:ascii="Palatino Linotype" w:hAnsi="Palatino Linotype" w:cs="Arial"/>
        </w:rPr>
        <w:t>,</w:t>
      </w:r>
      <w:r w:rsidRPr="00E65B73">
        <w:rPr>
          <w:rFonts w:ascii="Palatino Linotype" w:hAnsi="Palatino Linotype" w:cs="Arial"/>
        </w:rPr>
        <w:t xml:space="preserve"> Presidente Municipal de Coyotepec</w:t>
      </w:r>
      <w:r>
        <w:rPr>
          <w:rFonts w:ascii="Palatino Linotype" w:hAnsi="Palatino Linotype" w:cs="Arial"/>
        </w:rPr>
        <w:t>, en el periodo que comprende del 2016 al 2018, en donde se pueda apreciar lo siguiente:</w:t>
      </w:r>
    </w:p>
    <w:p w:rsidR="00A871DD" w:rsidRPr="00A871DD" w:rsidRDefault="00A871DD" w:rsidP="00A871DD">
      <w:pPr>
        <w:pStyle w:val="Prrafodelista"/>
        <w:numPr>
          <w:ilvl w:val="1"/>
          <w:numId w:val="19"/>
        </w:numPr>
        <w:rPr>
          <w:rFonts w:ascii="Palatino Linotype" w:hAnsi="Palatino Linotype" w:cs="Arial"/>
        </w:rPr>
      </w:pPr>
      <w:r w:rsidRPr="00A871DD">
        <w:rPr>
          <w:rFonts w:ascii="Palatino Linotype" w:hAnsi="Palatino Linotype" w:cs="Arial"/>
        </w:rPr>
        <w:t>Descripción de la queja</w:t>
      </w:r>
      <w:r>
        <w:rPr>
          <w:rFonts w:ascii="Palatino Linotype" w:hAnsi="Palatino Linotype" w:cs="Arial"/>
        </w:rPr>
        <w:t>.</w:t>
      </w:r>
    </w:p>
    <w:p w:rsidR="00A871DD" w:rsidRPr="00A871DD" w:rsidRDefault="00A871DD" w:rsidP="00A871DD">
      <w:pPr>
        <w:pStyle w:val="Prrafodelista"/>
        <w:numPr>
          <w:ilvl w:val="1"/>
          <w:numId w:val="19"/>
        </w:numPr>
        <w:rPr>
          <w:rFonts w:ascii="Palatino Linotype" w:hAnsi="Palatino Linotype" w:cs="Arial"/>
        </w:rPr>
      </w:pPr>
      <w:r w:rsidRPr="00A871DD">
        <w:rPr>
          <w:rFonts w:ascii="Palatino Linotype" w:hAnsi="Palatino Linotype" w:cs="Arial"/>
        </w:rPr>
        <w:t>Quejoso</w:t>
      </w:r>
      <w:r>
        <w:rPr>
          <w:rFonts w:ascii="Palatino Linotype" w:hAnsi="Palatino Linotype" w:cs="Arial"/>
        </w:rPr>
        <w:t>.</w:t>
      </w:r>
    </w:p>
    <w:p w:rsidR="00A871DD" w:rsidRPr="00A871DD" w:rsidRDefault="00A871DD" w:rsidP="00A871DD">
      <w:pPr>
        <w:pStyle w:val="Prrafodelista"/>
        <w:numPr>
          <w:ilvl w:val="1"/>
          <w:numId w:val="19"/>
        </w:numPr>
        <w:rPr>
          <w:rFonts w:ascii="Palatino Linotype" w:hAnsi="Palatino Linotype" w:cs="Arial"/>
        </w:rPr>
      </w:pPr>
      <w:r w:rsidRPr="00A871DD">
        <w:rPr>
          <w:rFonts w:ascii="Palatino Linotype" w:hAnsi="Palatino Linotype" w:cs="Arial"/>
        </w:rPr>
        <w:t>Medida de apremio</w:t>
      </w:r>
      <w:r>
        <w:rPr>
          <w:rFonts w:ascii="Palatino Linotype" w:hAnsi="Palatino Linotype" w:cs="Arial"/>
        </w:rPr>
        <w:t>.</w:t>
      </w:r>
    </w:p>
    <w:p w:rsidR="00A871DD" w:rsidRPr="00A871DD" w:rsidRDefault="00A871DD" w:rsidP="00A871DD">
      <w:pPr>
        <w:pStyle w:val="Prrafodelista"/>
        <w:numPr>
          <w:ilvl w:val="1"/>
          <w:numId w:val="19"/>
        </w:numPr>
        <w:rPr>
          <w:rFonts w:ascii="Palatino Linotype" w:hAnsi="Palatino Linotype" w:cs="Arial"/>
        </w:rPr>
      </w:pPr>
      <w:r w:rsidRPr="00A871DD">
        <w:rPr>
          <w:rFonts w:ascii="Palatino Linotype" w:hAnsi="Palatino Linotype" w:cs="Arial"/>
        </w:rPr>
        <w:t>Descripción de la sanción</w:t>
      </w:r>
      <w:r>
        <w:rPr>
          <w:rFonts w:ascii="Palatino Linotype" w:hAnsi="Palatino Linotype" w:cs="Arial"/>
        </w:rPr>
        <w:t>.</w:t>
      </w:r>
    </w:p>
    <w:p w:rsidR="00A871DD" w:rsidRPr="00A871DD" w:rsidRDefault="00A871DD" w:rsidP="00A871DD">
      <w:pPr>
        <w:pStyle w:val="Prrafodelista"/>
        <w:numPr>
          <w:ilvl w:val="1"/>
          <w:numId w:val="19"/>
        </w:numPr>
        <w:rPr>
          <w:rFonts w:ascii="Palatino Linotype" w:hAnsi="Palatino Linotype" w:cs="Arial"/>
        </w:rPr>
      </w:pPr>
      <w:r>
        <w:rPr>
          <w:rFonts w:ascii="Palatino Linotype" w:hAnsi="Palatino Linotype" w:cs="Arial"/>
        </w:rPr>
        <w:t>Cantidad de multa.</w:t>
      </w:r>
    </w:p>
    <w:p w:rsidR="00A871DD" w:rsidRPr="00A871DD" w:rsidRDefault="00A871DD" w:rsidP="00A871DD">
      <w:pPr>
        <w:pStyle w:val="Prrafodelista"/>
        <w:numPr>
          <w:ilvl w:val="1"/>
          <w:numId w:val="19"/>
        </w:numPr>
        <w:rPr>
          <w:rFonts w:ascii="Palatino Linotype" w:hAnsi="Palatino Linotype" w:cs="Arial"/>
        </w:rPr>
      </w:pPr>
      <w:r w:rsidRPr="00A871DD">
        <w:rPr>
          <w:rFonts w:ascii="Palatino Linotype" w:hAnsi="Palatino Linotype" w:cs="Arial"/>
        </w:rPr>
        <w:t>Resarcitorio</w:t>
      </w:r>
      <w:r>
        <w:rPr>
          <w:rFonts w:ascii="Palatino Linotype" w:hAnsi="Palatino Linotype" w:cs="Arial"/>
        </w:rPr>
        <w:t>.</w:t>
      </w:r>
    </w:p>
    <w:p w:rsidR="003927E5" w:rsidRDefault="003927E5" w:rsidP="002D27CC">
      <w:pPr>
        <w:pStyle w:val="Prrafodelista"/>
        <w:autoSpaceDE w:val="0"/>
        <w:autoSpaceDN w:val="0"/>
        <w:adjustRightInd w:val="0"/>
        <w:spacing w:line="360" w:lineRule="auto"/>
        <w:ind w:left="0"/>
        <w:jc w:val="both"/>
        <w:rPr>
          <w:rFonts w:ascii="Palatino Linotype" w:hAnsi="Palatino Linotype" w:cs="Arial"/>
        </w:rPr>
      </w:pPr>
    </w:p>
    <w:p w:rsidR="00587ED9" w:rsidRDefault="00587ED9" w:rsidP="003E7373">
      <w:pPr>
        <w:pStyle w:val="Prrafodelista"/>
        <w:autoSpaceDE w:val="0"/>
        <w:autoSpaceDN w:val="0"/>
        <w:adjustRightInd w:val="0"/>
        <w:spacing w:after="240" w:line="360" w:lineRule="auto"/>
        <w:ind w:left="0"/>
        <w:jc w:val="both"/>
        <w:rPr>
          <w:rFonts w:ascii="Palatino Linotype" w:hAnsi="Palatino Linotype" w:cs="Arial"/>
        </w:rPr>
      </w:pPr>
      <w:r w:rsidRPr="00587ED9">
        <w:rPr>
          <w:rFonts w:ascii="Palatino Linotype" w:hAnsi="Palatino Linotype" w:cs="Arial"/>
        </w:rPr>
        <w:t xml:space="preserve">Atento </w:t>
      </w:r>
      <w:r w:rsidR="003E7373">
        <w:rPr>
          <w:rFonts w:ascii="Palatino Linotype" w:hAnsi="Palatino Linotype" w:cs="Arial"/>
        </w:rPr>
        <w:t xml:space="preserve">a la solicitud de información, </w:t>
      </w:r>
      <w:r w:rsidR="003E7373" w:rsidRPr="003E7373">
        <w:rPr>
          <w:rFonts w:ascii="Palatino Linotype" w:hAnsi="Palatino Linotype" w:cs="Arial"/>
          <w:b/>
        </w:rPr>
        <w:t>E</w:t>
      </w:r>
      <w:r w:rsidRPr="003E7373">
        <w:rPr>
          <w:rFonts w:ascii="Palatino Linotype" w:hAnsi="Palatino Linotype" w:cs="Arial"/>
          <w:b/>
        </w:rPr>
        <w:t>l Sujeto Obligado</w:t>
      </w:r>
      <w:r w:rsidRPr="00587ED9">
        <w:rPr>
          <w:rFonts w:ascii="Palatino Linotype" w:hAnsi="Palatino Linotype" w:cs="Arial"/>
        </w:rPr>
        <w:t xml:space="preserve"> em</w:t>
      </w:r>
      <w:r w:rsidR="003E7373">
        <w:rPr>
          <w:rFonts w:ascii="Palatino Linotype" w:hAnsi="Palatino Linotype" w:cs="Arial"/>
        </w:rPr>
        <w:t>itió su respuesta remitiendo tres</w:t>
      </w:r>
      <w:r w:rsidRPr="00587ED9">
        <w:rPr>
          <w:rFonts w:ascii="Palatino Linotype" w:hAnsi="Palatino Linotype" w:cs="Arial"/>
        </w:rPr>
        <w:t xml:space="preserve"> archivos electrónicos, en los cuales manifestó lo siguiente:</w:t>
      </w:r>
    </w:p>
    <w:p w:rsidR="003E7373" w:rsidRDefault="003E7373" w:rsidP="00D04779">
      <w:pPr>
        <w:pStyle w:val="Prrafodelista"/>
        <w:numPr>
          <w:ilvl w:val="0"/>
          <w:numId w:val="19"/>
        </w:numPr>
        <w:autoSpaceDE w:val="0"/>
        <w:autoSpaceDN w:val="0"/>
        <w:adjustRightInd w:val="0"/>
        <w:spacing w:line="360" w:lineRule="auto"/>
        <w:jc w:val="both"/>
        <w:rPr>
          <w:rFonts w:ascii="Palatino Linotype" w:hAnsi="Palatino Linotype" w:cs="Arial"/>
        </w:rPr>
      </w:pPr>
      <w:r w:rsidRPr="003E7373">
        <w:rPr>
          <w:rFonts w:ascii="Palatino Linotype" w:hAnsi="Palatino Linotype" w:cs="Arial"/>
          <w:b/>
        </w:rPr>
        <w:t>Respuesta_Sol_332_2018.pdf</w:t>
      </w:r>
      <w:r>
        <w:rPr>
          <w:rFonts w:ascii="Palatino Linotype" w:hAnsi="Palatino Linotype" w:cs="Arial"/>
          <w:b/>
        </w:rPr>
        <w:t xml:space="preserve">, </w:t>
      </w:r>
      <w:r w:rsidRPr="003E7373">
        <w:rPr>
          <w:rFonts w:ascii="Palatino Linotype" w:hAnsi="Palatino Linotype" w:cs="Arial"/>
        </w:rPr>
        <w:t>archivo electrónico que contiene el oficio CPL/AIP</w:t>
      </w:r>
      <w:r>
        <w:rPr>
          <w:rFonts w:ascii="Palatino Linotype" w:hAnsi="Palatino Linotype" w:cs="Arial"/>
        </w:rPr>
        <w:t xml:space="preserve">/097/2018, signado por María Teresa de Jesús Cruz Camarena, Servidor Público Habilitado de la Contraloría Interna del Sujeto Obligado y remitido al Mtro. Felipe Borja Coronel, Titular de la Unidad de Transparencia del Poder Legislativo, a través del cual informa que en los archivos de la Dirección de Responsabilidades Administrativas se encontró el expediente </w:t>
      </w:r>
      <w:r w:rsidR="00D04779" w:rsidRPr="00D04779">
        <w:rPr>
          <w:rFonts w:ascii="Palatino Linotype" w:hAnsi="Palatino Linotype" w:cs="Arial"/>
        </w:rPr>
        <w:t>D-204/2017, mismo que ya causó estado, y del</w:t>
      </w:r>
      <w:r w:rsidR="00D04779">
        <w:rPr>
          <w:rFonts w:ascii="Palatino Linotype" w:hAnsi="Palatino Linotype" w:cs="Arial"/>
        </w:rPr>
        <w:t xml:space="preserve"> </w:t>
      </w:r>
      <w:r w:rsidR="00D04779" w:rsidRPr="00D04779">
        <w:rPr>
          <w:rFonts w:ascii="Palatino Linotype" w:hAnsi="Palatino Linotype" w:cs="Arial"/>
        </w:rPr>
        <w:t>cual, al no encontrarse ninguno de los supuestos de información reservada</w:t>
      </w:r>
      <w:r w:rsidR="003540FD">
        <w:rPr>
          <w:rFonts w:ascii="Palatino Linotype" w:hAnsi="Palatino Linotype" w:cs="Arial"/>
        </w:rPr>
        <w:t>,</w:t>
      </w:r>
      <w:r w:rsidR="00D04779">
        <w:rPr>
          <w:rFonts w:ascii="Palatino Linotype" w:hAnsi="Palatino Linotype" w:cs="Arial"/>
        </w:rPr>
        <w:t xml:space="preserve"> </w:t>
      </w:r>
      <w:r w:rsidR="00D04779" w:rsidRPr="00D04779">
        <w:rPr>
          <w:rFonts w:ascii="Palatino Linotype" w:hAnsi="Palatino Linotype" w:cs="Arial"/>
        </w:rPr>
        <w:t>se muestra a continuación la</w:t>
      </w:r>
      <w:r w:rsidR="00D04779">
        <w:rPr>
          <w:rFonts w:ascii="Palatino Linotype" w:hAnsi="Palatino Linotype" w:cs="Arial"/>
        </w:rPr>
        <w:t xml:space="preserve"> </w:t>
      </w:r>
      <w:r w:rsidR="00D04779" w:rsidRPr="00D04779">
        <w:rPr>
          <w:rFonts w:ascii="Palatino Linotype" w:hAnsi="Palatino Linotype" w:cs="Arial"/>
        </w:rPr>
        <w:t>siguiente información:</w:t>
      </w:r>
    </w:p>
    <w:p w:rsidR="00D04779" w:rsidRPr="00D04779" w:rsidRDefault="00D04779" w:rsidP="00D04779">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extent cx="5380564" cy="1329267"/>
            <wp:effectExtent l="190500" t="190500" r="182245" b="1949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7491" cy="1330978"/>
                    </a:xfrm>
                    <a:prstGeom prst="rect">
                      <a:avLst/>
                    </a:prstGeom>
                    <a:noFill/>
                    <a:ln>
                      <a:noFill/>
                    </a:ln>
                    <a:effectLst>
                      <a:outerShdw blurRad="190500" algn="ctr" rotWithShape="0">
                        <a:prstClr val="black">
                          <a:alpha val="70000"/>
                        </a:prstClr>
                      </a:outerShdw>
                    </a:effectLst>
                  </pic:spPr>
                </pic:pic>
              </a:graphicData>
            </a:graphic>
          </wp:inline>
        </w:drawing>
      </w:r>
    </w:p>
    <w:p w:rsidR="00587ED9" w:rsidRDefault="00D04779" w:rsidP="00D04779">
      <w:pPr>
        <w:pStyle w:val="Prrafodelista"/>
        <w:spacing w:after="240" w:line="360" w:lineRule="auto"/>
        <w:ind w:left="709"/>
        <w:jc w:val="both"/>
        <w:rPr>
          <w:rFonts w:ascii="Palatino Linotype" w:hAnsi="Palatino Linotype" w:cs="Arial"/>
          <w:lang w:val="es-MX"/>
        </w:rPr>
      </w:pPr>
      <w:r>
        <w:rPr>
          <w:rFonts w:ascii="Palatino Linotype" w:hAnsi="Palatino Linotype" w:cs="Arial"/>
        </w:rPr>
        <w:t xml:space="preserve">Asimismo hace del conocimiento al particular, que existen seis expedientes de procedimientos administrativos más, </w:t>
      </w:r>
      <w:r w:rsidRPr="00D04779">
        <w:rPr>
          <w:rFonts w:ascii="Palatino Linotype" w:hAnsi="Palatino Linotype" w:cs="Arial"/>
          <w:lang w:val="es-MX"/>
        </w:rPr>
        <w:t>mismos que se encuentran Clasificados c</w:t>
      </w:r>
      <w:r>
        <w:rPr>
          <w:rFonts w:ascii="Palatino Linotype" w:hAnsi="Palatino Linotype" w:cs="Arial"/>
          <w:lang w:val="es-MX"/>
        </w:rPr>
        <w:t xml:space="preserve">omo Información Reservada en el </w:t>
      </w:r>
      <w:r w:rsidRPr="00D04779">
        <w:rPr>
          <w:rFonts w:ascii="Palatino Linotype" w:hAnsi="Palatino Linotype" w:cs="Arial"/>
          <w:lang w:val="es-MX"/>
        </w:rPr>
        <w:t>Acta número PLEGISLA/LIX/CT/02ªORD/2018, en el punto número cinco del desahogo de</w:t>
      </w:r>
      <w:r>
        <w:rPr>
          <w:rFonts w:ascii="Palatino Linotype" w:hAnsi="Palatino Linotype" w:cs="Arial"/>
          <w:lang w:val="es-MX"/>
        </w:rPr>
        <w:t xml:space="preserve"> </w:t>
      </w:r>
      <w:r w:rsidRPr="00D04779">
        <w:rPr>
          <w:rFonts w:ascii="Palatino Linotype" w:hAnsi="Palatino Linotype" w:cs="Arial"/>
          <w:lang w:val="es-MX"/>
        </w:rPr>
        <w:t xml:space="preserve">la sesión, firmado por el Comité de Transparencia </w:t>
      </w:r>
      <w:r>
        <w:rPr>
          <w:rFonts w:ascii="Palatino Linotype" w:hAnsi="Palatino Linotype" w:cs="Arial"/>
          <w:lang w:val="es-MX"/>
        </w:rPr>
        <w:t>del Sujeto Obligado, aunado a que se puede consultar en la dirección electrónica</w:t>
      </w:r>
      <w:r>
        <w:t xml:space="preserve"> </w:t>
      </w:r>
      <w:hyperlink r:id="rId9" w:history="1">
        <w:r w:rsidRPr="008247C5">
          <w:rPr>
            <w:rStyle w:val="Hipervnculo"/>
            <w:rFonts w:ascii="Palatino Linotype" w:hAnsi="Palatino Linotype" w:cs="Arial"/>
            <w:lang w:val="es-MX"/>
          </w:rPr>
          <w:t>https://www.ipomex.org.mx/ipo3/lgt/indice/cddiputados/art_92_xix/0.web</w:t>
        </w:r>
      </w:hyperlink>
      <w:r>
        <w:rPr>
          <w:rFonts w:ascii="Palatino Linotype" w:hAnsi="Palatino Linotype" w:cs="Arial"/>
          <w:lang w:val="es-MX"/>
        </w:rPr>
        <w:t xml:space="preserve"> que corresponde </w:t>
      </w:r>
      <w:r w:rsidRPr="00D04779">
        <w:rPr>
          <w:rFonts w:ascii="Palatino Linotype" w:hAnsi="Palatino Linotype" w:cs="Arial"/>
          <w:lang w:val="es-MX"/>
        </w:rPr>
        <w:t>a la publicación del índice de los expedient</w:t>
      </w:r>
      <w:r>
        <w:rPr>
          <w:rFonts w:ascii="Palatino Linotype" w:hAnsi="Palatino Linotype" w:cs="Arial"/>
          <w:lang w:val="es-MX"/>
        </w:rPr>
        <w:t>es clasificados como reservados, de igual forma remite el Acta del comité de transparencia antes referida.</w:t>
      </w:r>
    </w:p>
    <w:p w:rsidR="00D04779" w:rsidRDefault="00D04779" w:rsidP="00757240">
      <w:pPr>
        <w:pStyle w:val="Prrafodelista"/>
        <w:numPr>
          <w:ilvl w:val="0"/>
          <w:numId w:val="19"/>
        </w:numPr>
        <w:spacing w:line="360" w:lineRule="auto"/>
        <w:jc w:val="both"/>
        <w:rPr>
          <w:rFonts w:ascii="Palatino Linotype" w:hAnsi="Palatino Linotype" w:cs="Arial"/>
          <w:lang w:val="es-MX"/>
        </w:rPr>
      </w:pPr>
      <w:r w:rsidRPr="00A26BA8">
        <w:rPr>
          <w:rFonts w:ascii="Palatino Linotype" w:hAnsi="Palatino Linotype" w:cs="Arial"/>
          <w:b/>
          <w:lang w:val="es-MX"/>
        </w:rPr>
        <w:t xml:space="preserve">332-PLEGISLA-IP-2018.pdf, </w:t>
      </w:r>
      <w:r w:rsidRPr="00A26BA8">
        <w:rPr>
          <w:rFonts w:ascii="Palatino Linotype" w:hAnsi="Palatino Linotype" w:cs="Arial"/>
          <w:lang w:val="es-MX"/>
        </w:rPr>
        <w:t>archivo electrónico que contiene el oficio No. OSFEM/UAJ/SPH/148/2018, signado por la L. en D.</w:t>
      </w:r>
      <w:r w:rsidRPr="00A26BA8">
        <w:rPr>
          <w:rFonts w:ascii="Palatino Linotype" w:hAnsi="Palatino Linotype" w:cs="Arial"/>
          <w:b/>
          <w:lang w:val="es-MX"/>
        </w:rPr>
        <w:t xml:space="preserve"> </w:t>
      </w:r>
      <w:r w:rsidRPr="00A26BA8">
        <w:rPr>
          <w:rFonts w:ascii="Palatino Linotype" w:hAnsi="Palatino Linotype" w:cs="Arial"/>
          <w:lang w:val="es-MX"/>
        </w:rPr>
        <w:t xml:space="preserve">Nallely </w:t>
      </w:r>
      <w:r w:rsidR="00A26BA8" w:rsidRPr="00A26BA8">
        <w:rPr>
          <w:rFonts w:ascii="Palatino Linotype" w:hAnsi="Palatino Linotype" w:cs="Arial"/>
          <w:lang w:val="es-MX"/>
        </w:rPr>
        <w:t>Noemí</w:t>
      </w:r>
      <w:r w:rsidRPr="00A26BA8">
        <w:rPr>
          <w:rFonts w:ascii="Palatino Linotype" w:hAnsi="Palatino Linotype" w:cs="Arial"/>
          <w:lang w:val="es-MX"/>
        </w:rPr>
        <w:t xml:space="preserve"> Cruz Alonso</w:t>
      </w:r>
      <w:r w:rsidR="00A26BA8" w:rsidRPr="00A26BA8">
        <w:rPr>
          <w:rFonts w:ascii="Palatino Linotype" w:hAnsi="Palatino Linotype" w:cs="Arial"/>
          <w:lang w:val="es-MX"/>
        </w:rPr>
        <w:t>, Servidor Público Habilitado de la Unidad de Asuntos Jurídicos del Órgano Superior de Fiscalizaci</w:t>
      </w:r>
      <w:r w:rsidR="00A26BA8">
        <w:rPr>
          <w:rFonts w:ascii="Palatino Linotype" w:hAnsi="Palatino Linotype" w:cs="Arial"/>
          <w:lang w:val="es-MX"/>
        </w:rPr>
        <w:t>ón, a través del cual informa al particular de la existencia de 4 asuntos en trámite</w:t>
      </w:r>
      <w:r w:rsidR="00040F11">
        <w:rPr>
          <w:rFonts w:ascii="Palatino Linotype" w:hAnsi="Palatino Linotype" w:cs="Arial"/>
          <w:lang w:val="es-MX"/>
        </w:rPr>
        <w:t>,</w:t>
      </w:r>
      <w:r w:rsidR="00A26BA8">
        <w:rPr>
          <w:rFonts w:ascii="Palatino Linotype" w:hAnsi="Palatino Linotype" w:cs="Arial"/>
          <w:lang w:val="es-MX"/>
        </w:rPr>
        <w:t xml:space="preserve"> con relación el ente  fiscalizable y servidor público citado, con el objeto de determinar o no responsabilidades administrativas resarcitorias y por lo tanto existe imposibilidad material para </w:t>
      </w:r>
      <w:r w:rsidR="00A26BA8">
        <w:rPr>
          <w:rFonts w:ascii="Palatino Linotype" w:hAnsi="Palatino Linotype" w:cs="Arial"/>
          <w:lang w:val="es-MX"/>
        </w:rPr>
        <w:lastRenderedPageBreak/>
        <w:t>definir los conceptos requeridos, hasta en tanto no se adopte la decisión definitiva.</w:t>
      </w:r>
    </w:p>
    <w:p w:rsidR="00A26BA8" w:rsidRDefault="00A26BA8" w:rsidP="00A26BA8">
      <w:pPr>
        <w:pStyle w:val="Prrafodelista"/>
        <w:autoSpaceDE w:val="0"/>
        <w:autoSpaceDN w:val="0"/>
        <w:adjustRightInd w:val="0"/>
        <w:spacing w:line="360" w:lineRule="auto"/>
        <w:ind w:left="709"/>
        <w:jc w:val="both"/>
        <w:rPr>
          <w:rFonts w:ascii="Palatino Linotype" w:hAnsi="Palatino Linotype" w:cs="Arial"/>
        </w:rPr>
      </w:pPr>
      <w:r>
        <w:rPr>
          <w:rFonts w:ascii="Palatino Linotype" w:hAnsi="Palatino Linotype" w:cs="Arial"/>
        </w:rPr>
        <w:t>Asimismo hacer referencia a la atribución de ese Órgano técnico para imponer medios de apremio que consisten en una multa de 10 a 100 veces el valor diario de la unidad de medida y actualización vigente de lo cual se obtiene:</w:t>
      </w:r>
    </w:p>
    <w:p w:rsidR="00A26BA8" w:rsidRDefault="00A26BA8" w:rsidP="00B65996">
      <w:pPr>
        <w:pStyle w:val="Prrafodelista"/>
        <w:autoSpaceDE w:val="0"/>
        <w:autoSpaceDN w:val="0"/>
        <w:adjustRightInd w:val="0"/>
        <w:spacing w:after="240" w:line="360" w:lineRule="auto"/>
        <w:ind w:left="709"/>
        <w:jc w:val="both"/>
        <w:rPr>
          <w:rFonts w:ascii="Palatino Linotype" w:hAnsi="Palatino Linotype" w:cs="Arial"/>
        </w:rPr>
      </w:pPr>
      <w:r w:rsidRPr="00A26BA8">
        <w:rPr>
          <w:rFonts w:ascii="Palatino Linotype" w:hAnsi="Palatino Linotype" w:cs="Arial"/>
          <w:noProof/>
          <w:lang w:val="es-MX" w:eastAsia="es-MX"/>
        </w:rPr>
        <w:drawing>
          <wp:inline distT="0" distB="0" distL="0" distR="0">
            <wp:extent cx="5137184" cy="1261533"/>
            <wp:effectExtent l="190500" t="171450" r="177800" b="1676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9812" cy="1264634"/>
                    </a:xfrm>
                    <a:prstGeom prst="rect">
                      <a:avLst/>
                    </a:prstGeom>
                    <a:noFill/>
                    <a:ln>
                      <a:noFill/>
                    </a:ln>
                    <a:effectLst>
                      <a:outerShdw blurRad="190500" algn="ctr" rotWithShape="0">
                        <a:prstClr val="black">
                          <a:alpha val="70000"/>
                        </a:prstClr>
                      </a:outerShdw>
                    </a:effectLst>
                  </pic:spPr>
                </pic:pic>
              </a:graphicData>
            </a:graphic>
          </wp:inline>
        </w:drawing>
      </w:r>
    </w:p>
    <w:p w:rsidR="003927E5" w:rsidRPr="00B65996" w:rsidRDefault="00A26BA8" w:rsidP="00B65996">
      <w:pPr>
        <w:pStyle w:val="Prrafodelista"/>
        <w:numPr>
          <w:ilvl w:val="0"/>
          <w:numId w:val="19"/>
        </w:numPr>
        <w:autoSpaceDE w:val="0"/>
        <w:autoSpaceDN w:val="0"/>
        <w:adjustRightInd w:val="0"/>
        <w:spacing w:after="240" w:line="360" w:lineRule="auto"/>
        <w:ind w:left="714" w:hanging="357"/>
        <w:jc w:val="both"/>
        <w:rPr>
          <w:rFonts w:ascii="Palatino Linotype" w:hAnsi="Palatino Linotype" w:cs="Arial"/>
          <w:b/>
        </w:rPr>
      </w:pPr>
      <w:r w:rsidRPr="00A26BA8">
        <w:rPr>
          <w:rFonts w:ascii="Palatino Linotype" w:hAnsi="Palatino Linotype" w:cs="Arial"/>
          <w:b/>
        </w:rPr>
        <w:t>332 respuesta 001.pdf</w:t>
      </w:r>
      <w:r>
        <w:rPr>
          <w:rFonts w:ascii="Palatino Linotype" w:hAnsi="Palatino Linotype" w:cs="Arial"/>
          <w:b/>
        </w:rPr>
        <w:t xml:space="preserve">, </w:t>
      </w:r>
      <w:r w:rsidR="00B65996">
        <w:rPr>
          <w:rFonts w:ascii="Palatino Linotype" w:hAnsi="Palatino Linotype" w:cs="Arial"/>
        </w:rPr>
        <w:t>Oficio dirigido al solicitante de información, mediante el cual informa que remite la respuesta a la solicitud con No. 00332/PLEGISLA/IP/2018, emitida por los servidores públicos habilitados del Órgano Superior de Fiscalización  del Estado de México y de la Contraloría.</w:t>
      </w:r>
    </w:p>
    <w:p w:rsidR="00E0548C" w:rsidRDefault="00E0548C" w:rsidP="00154FB8">
      <w:pPr>
        <w:pStyle w:val="Prrafodelista"/>
        <w:autoSpaceDE w:val="0"/>
        <w:autoSpaceDN w:val="0"/>
        <w:adjustRightInd w:val="0"/>
        <w:spacing w:line="360" w:lineRule="auto"/>
        <w:ind w:left="0"/>
        <w:jc w:val="both"/>
        <w:rPr>
          <w:rFonts w:ascii="Palatino Linotype" w:hAnsi="Palatino Linotype" w:cs="Arial"/>
        </w:rPr>
      </w:pP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C7365A">
        <w:rPr>
          <w:rFonts w:ascii="Palatino Linotype" w:hAnsi="Palatino Linotype" w:cs="Arial"/>
          <w:sz w:val="24"/>
          <w:szCs w:val="24"/>
        </w:rPr>
        <w:t>veintisiete</w:t>
      </w:r>
      <w:r w:rsidR="00B65996">
        <w:rPr>
          <w:rFonts w:ascii="Palatino Linotype" w:hAnsi="Palatino Linotype" w:cs="Arial"/>
          <w:sz w:val="24"/>
          <w:szCs w:val="24"/>
        </w:rPr>
        <w:t xml:space="preserve"> de agosto</w:t>
      </w:r>
      <w:r w:rsidRPr="00696DE5">
        <w:rPr>
          <w:rFonts w:ascii="Palatino Linotype" w:hAnsi="Palatino Linotype" w:cs="Arial"/>
          <w:sz w:val="24"/>
          <w:szCs w:val="24"/>
        </w:rPr>
        <w:t xml:space="preserve">, admitiéndose el </w:t>
      </w:r>
      <w:r w:rsidR="00C7365A">
        <w:rPr>
          <w:rFonts w:ascii="Palatino Linotype" w:hAnsi="Palatino Linotype" w:cs="Arial"/>
          <w:sz w:val="24"/>
          <w:szCs w:val="24"/>
        </w:rPr>
        <w:t>treinta y uno de agosto</w:t>
      </w:r>
      <w:r w:rsidRPr="00696DE5">
        <w:rPr>
          <w:rFonts w:ascii="Palatino Linotype" w:hAnsi="Palatino Linotype" w:cs="Arial"/>
          <w:sz w:val="24"/>
          <w:szCs w:val="24"/>
        </w:rPr>
        <w:t>, ambos del año en curso. Señalando como razones o motivos de inconformidad:</w:t>
      </w:r>
    </w:p>
    <w:p w:rsidR="00696DE5" w:rsidRPr="00696DE5" w:rsidRDefault="00696DE5" w:rsidP="00696DE5">
      <w:pPr>
        <w:spacing w:after="0" w:line="360" w:lineRule="auto"/>
        <w:jc w:val="both"/>
        <w:rPr>
          <w:rFonts w:ascii="Palatino Linotype" w:hAnsi="Palatino Linotype" w:cs="Arial"/>
          <w:sz w:val="24"/>
          <w:szCs w:val="24"/>
        </w:rPr>
      </w:pPr>
    </w:p>
    <w:p w:rsidR="00696DE5" w:rsidRPr="00696DE5" w:rsidRDefault="00696DE5" w:rsidP="00696DE5">
      <w:pPr>
        <w:spacing w:after="0" w:line="360" w:lineRule="auto"/>
        <w:ind w:left="851" w:right="851"/>
        <w:jc w:val="both"/>
        <w:rPr>
          <w:rFonts w:ascii="Palatino Linotype" w:hAnsi="Palatino Linotype" w:cs="Arial"/>
          <w:i/>
        </w:rPr>
      </w:pPr>
      <w:r w:rsidRPr="00696DE5">
        <w:rPr>
          <w:rFonts w:ascii="Palatino Linotype" w:hAnsi="Palatino Linotype" w:cs="Arial"/>
          <w:i/>
        </w:rPr>
        <w:t>“</w:t>
      </w:r>
      <w:r w:rsidR="00C7365A" w:rsidRPr="00C7365A">
        <w:rPr>
          <w:rFonts w:ascii="Palatino Linotype" w:hAnsi="Palatino Linotype"/>
          <w:i/>
          <w:color w:val="000000"/>
        </w:rPr>
        <w:t>No se me proporciono la información completa que solicite.</w:t>
      </w:r>
      <w:r w:rsidRPr="00696DE5">
        <w:rPr>
          <w:rFonts w:ascii="Palatino Linotype" w:hAnsi="Palatino Linotype" w:cs="Arial"/>
          <w:i/>
        </w:rPr>
        <w:t xml:space="preserve">” </w:t>
      </w:r>
      <w:r w:rsidRPr="00696DE5">
        <w:rPr>
          <w:rFonts w:ascii="Palatino Linotype" w:hAnsi="Palatino Linotype" w:cs="Arial"/>
          <w:b/>
          <w:i/>
        </w:rPr>
        <w:t>[Sic]</w:t>
      </w:r>
    </w:p>
    <w:p w:rsidR="00B80EBB" w:rsidRDefault="00B80EBB" w:rsidP="00696DE5">
      <w:pPr>
        <w:spacing w:after="0" w:line="360" w:lineRule="auto"/>
        <w:jc w:val="both"/>
        <w:rPr>
          <w:rFonts w:ascii="Palatino Linotype" w:hAnsi="Palatino Linotype" w:cs="Arial"/>
          <w:sz w:val="24"/>
          <w:szCs w:val="24"/>
        </w:rPr>
      </w:pPr>
    </w:p>
    <w:p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w:t>
      </w:r>
      <w:r w:rsidRPr="00B80EBB">
        <w:rPr>
          <w:rFonts w:ascii="Palatino Linotype" w:hAnsi="Palatino Linotype" w:cs="Arial"/>
          <w:sz w:val="24"/>
          <w:szCs w:val="24"/>
        </w:rPr>
        <w:lastRenderedPageBreak/>
        <w:t xml:space="preserve">recurso, en el cual arguye </w:t>
      </w:r>
      <w:r w:rsidR="00C7365A">
        <w:rPr>
          <w:rFonts w:ascii="Palatino Linotype" w:hAnsi="Palatino Linotype" w:cs="Arial"/>
          <w:sz w:val="24"/>
          <w:szCs w:val="24"/>
        </w:rPr>
        <w:t>la entrega de información incompleta</w:t>
      </w:r>
      <w:r w:rsidRPr="00B80EBB">
        <w:rPr>
          <w:rFonts w:ascii="Palatino Linotype" w:hAnsi="Palatino Linotype" w:cs="Arial"/>
          <w:sz w:val="24"/>
          <w:szCs w:val="24"/>
        </w:rPr>
        <w:t xml:space="preserve"> por parte de</w:t>
      </w:r>
      <w:r w:rsidR="00453565">
        <w:rPr>
          <w:rFonts w:ascii="Palatino Linotype" w:hAnsi="Palatino Linotype" w:cs="Arial"/>
          <w:sz w:val="24"/>
          <w:szCs w:val="24"/>
        </w:rPr>
        <w:t xml:space="preserve">l </w:t>
      </w:r>
      <w:r w:rsidR="00453565" w:rsidRPr="00453565">
        <w:rPr>
          <w:rFonts w:ascii="Palatino Linotype" w:hAnsi="Palatino Linotype" w:cs="Arial"/>
          <w:b/>
          <w:sz w:val="24"/>
          <w:szCs w:val="24"/>
        </w:rPr>
        <w:t>Sujeto O</w:t>
      </w:r>
      <w:r w:rsidR="00380605" w:rsidRPr="00453565">
        <w:rPr>
          <w:rFonts w:ascii="Palatino Linotype" w:hAnsi="Palatino Linotype" w:cs="Arial"/>
          <w:b/>
          <w:sz w:val="24"/>
          <w:szCs w:val="24"/>
        </w:rPr>
        <w:t>bligado</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interposición del recurso de revisión cuando el Sujeto Obligado no hace entrega de la información</w:t>
      </w:r>
      <w:r w:rsidR="00C7365A">
        <w:rPr>
          <w:rFonts w:ascii="Palatino Linotype" w:hAnsi="Palatino Linotype" w:cs="Arial"/>
          <w:sz w:val="24"/>
          <w:szCs w:val="24"/>
        </w:rPr>
        <w:t xml:space="preserve"> en su totalidad</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B80EBB" w:rsidRPr="00B80EBB" w:rsidRDefault="00B80EBB" w:rsidP="00B80EBB">
      <w:pPr>
        <w:spacing w:after="0" w:line="360" w:lineRule="auto"/>
        <w:jc w:val="both"/>
        <w:rPr>
          <w:rFonts w:ascii="Palatino Linotype" w:hAnsi="Palatino Linotype" w:cs="Arial"/>
          <w:sz w:val="24"/>
          <w:szCs w:val="24"/>
        </w:rPr>
      </w:pPr>
    </w:p>
    <w:p w:rsidR="00F1529A" w:rsidRDefault="00B80EBB" w:rsidP="00B80EBB">
      <w:pPr>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Por otra parte, mediante informe justificado del </w:t>
      </w:r>
      <w:r w:rsidRPr="00B80EBB">
        <w:rPr>
          <w:rFonts w:ascii="Palatino Linotype" w:hAnsi="Palatino Linotype" w:cs="Arial"/>
          <w:b/>
          <w:sz w:val="24"/>
          <w:szCs w:val="24"/>
        </w:rPr>
        <w:t xml:space="preserve">Sujeto Obligado </w:t>
      </w:r>
      <w:r w:rsidR="00A9328C">
        <w:rPr>
          <w:rFonts w:ascii="Palatino Linotype" w:hAnsi="Palatino Linotype" w:cs="Arial"/>
          <w:sz w:val="24"/>
          <w:szCs w:val="24"/>
        </w:rPr>
        <w:t>remitió seis</w:t>
      </w:r>
      <w:r w:rsidRPr="00B80EBB">
        <w:rPr>
          <w:rFonts w:ascii="Palatino Linotype" w:hAnsi="Palatino Linotype" w:cs="Arial"/>
          <w:sz w:val="24"/>
          <w:szCs w:val="24"/>
        </w:rPr>
        <w:t xml:space="preserve"> archivos electrónicos de nombre y contenido siguiente:</w:t>
      </w:r>
    </w:p>
    <w:p w:rsidR="009604FD" w:rsidRDefault="009604FD" w:rsidP="00B80EBB">
      <w:pPr>
        <w:spacing w:after="0" w:line="360" w:lineRule="auto"/>
        <w:jc w:val="both"/>
        <w:rPr>
          <w:rFonts w:ascii="Palatino Linotype" w:hAnsi="Palatino Linotype" w:cs="Arial"/>
          <w:sz w:val="24"/>
          <w:szCs w:val="24"/>
        </w:rPr>
      </w:pPr>
    </w:p>
    <w:p w:rsidR="00F1529A" w:rsidRDefault="00A9328C" w:rsidP="00A9328C">
      <w:pPr>
        <w:pStyle w:val="Prrafodelista"/>
        <w:numPr>
          <w:ilvl w:val="0"/>
          <w:numId w:val="14"/>
        </w:numPr>
        <w:spacing w:line="360" w:lineRule="auto"/>
        <w:jc w:val="both"/>
        <w:rPr>
          <w:rFonts w:ascii="Palatino Linotype" w:hAnsi="Palatino Linotype" w:cs="Arial"/>
        </w:rPr>
      </w:pPr>
      <w:r w:rsidRPr="00A9328C">
        <w:rPr>
          <w:rFonts w:ascii="Palatino Linotype" w:hAnsi="Palatino Linotype" w:cs="Arial"/>
          <w:b/>
        </w:rPr>
        <w:t>CPL-AIP-109-2018.pdf</w:t>
      </w:r>
      <w:r w:rsidR="00156DEF">
        <w:rPr>
          <w:rFonts w:ascii="Palatino Linotype" w:hAnsi="Palatino Linotype" w:cs="Arial"/>
          <w:b/>
        </w:rPr>
        <w:t xml:space="preserve">, </w:t>
      </w:r>
      <w:r w:rsidR="00156DEF">
        <w:rPr>
          <w:rFonts w:ascii="Palatino Linotype" w:hAnsi="Palatino Linotype" w:cs="Arial"/>
        </w:rPr>
        <w:t>archivo mediante el cual</w:t>
      </w:r>
      <w:r>
        <w:rPr>
          <w:rFonts w:ascii="Palatino Linotype" w:hAnsi="Palatino Linotype" w:cs="Arial"/>
        </w:rPr>
        <w:t xml:space="preserve"> se confirma la respuesta entregada por el Servidor Público Habilitado de la Contraloría Interna del Sujeto Obligado</w:t>
      </w:r>
      <w:r w:rsidR="007B18A0">
        <w:rPr>
          <w:rFonts w:ascii="Palatino Linotype" w:hAnsi="Palatino Linotype" w:cs="Arial"/>
        </w:rPr>
        <w:t xml:space="preserve"> como se puede aprecia</w:t>
      </w:r>
      <w:r>
        <w:rPr>
          <w:rFonts w:ascii="Palatino Linotype" w:hAnsi="Palatino Linotype" w:cs="Arial"/>
        </w:rPr>
        <w:t>r a continuación:</w:t>
      </w:r>
    </w:p>
    <w:p w:rsidR="00A9328C" w:rsidRPr="00156DEF" w:rsidRDefault="00A9328C" w:rsidP="00D52AE5">
      <w:pPr>
        <w:pStyle w:val="Prrafodelista"/>
        <w:spacing w:after="120" w:line="360" w:lineRule="auto"/>
        <w:ind w:left="720"/>
        <w:jc w:val="both"/>
        <w:rPr>
          <w:rFonts w:ascii="Palatino Linotype" w:hAnsi="Palatino Linotype" w:cs="Arial"/>
        </w:rPr>
      </w:pPr>
      <w:r w:rsidRPr="00A9328C">
        <w:rPr>
          <w:rFonts w:ascii="Palatino Linotype" w:hAnsi="Palatino Linotype" w:cs="Arial"/>
          <w:noProof/>
          <w:lang w:val="es-MX" w:eastAsia="es-MX"/>
        </w:rPr>
        <w:drawing>
          <wp:inline distT="0" distB="0" distL="0" distR="0">
            <wp:extent cx="5105400" cy="517522"/>
            <wp:effectExtent l="190500" t="171450" r="171450" b="1689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31881" cy="520206"/>
                    </a:xfrm>
                    <a:prstGeom prst="rect">
                      <a:avLst/>
                    </a:prstGeom>
                    <a:noFill/>
                    <a:ln>
                      <a:noFill/>
                    </a:ln>
                    <a:effectLst>
                      <a:outerShdw blurRad="190500" algn="ctr" rotWithShape="0">
                        <a:prstClr val="black">
                          <a:alpha val="70000"/>
                        </a:prstClr>
                      </a:outerShdw>
                    </a:effectLst>
                  </pic:spPr>
                </pic:pic>
              </a:graphicData>
            </a:graphic>
          </wp:inline>
        </w:drawing>
      </w:r>
    </w:p>
    <w:p w:rsidR="009604FD" w:rsidRPr="007B18A0" w:rsidRDefault="007B18A0" w:rsidP="007B18A0">
      <w:pPr>
        <w:pStyle w:val="Prrafodelista"/>
        <w:numPr>
          <w:ilvl w:val="0"/>
          <w:numId w:val="14"/>
        </w:numPr>
        <w:spacing w:line="360" w:lineRule="auto"/>
        <w:jc w:val="both"/>
        <w:rPr>
          <w:rFonts w:ascii="Palatino Linotype" w:hAnsi="Palatino Linotype" w:cs="Arial"/>
          <w:b/>
        </w:rPr>
      </w:pPr>
      <w:r w:rsidRPr="007B18A0">
        <w:rPr>
          <w:rFonts w:ascii="Palatino Linotype" w:hAnsi="Palatino Linotype" w:cs="Arial"/>
          <w:b/>
        </w:rPr>
        <w:t>OSFEM-UAJ-SPH-176-2018.pdf</w:t>
      </w:r>
      <w:r w:rsidR="009604FD">
        <w:rPr>
          <w:rFonts w:ascii="Palatino Linotype" w:hAnsi="Palatino Linotype" w:cs="Arial"/>
          <w:b/>
        </w:rPr>
        <w:t xml:space="preserve">, </w:t>
      </w:r>
      <w:r w:rsidRPr="007B18A0">
        <w:rPr>
          <w:rFonts w:ascii="Palatino Linotype" w:hAnsi="Palatino Linotype" w:cs="Arial"/>
        </w:rPr>
        <w:t>archivo mediante el cual se confirma la respuesta entregada por el Servidor Público Habilitado de la Unidad de Asuntos Jurídicos del Órgano Superior de Fiscalización</w:t>
      </w:r>
      <w:r>
        <w:rPr>
          <w:rFonts w:ascii="Palatino Linotype" w:hAnsi="Palatino Linotype" w:cs="Arial"/>
        </w:rPr>
        <w:t xml:space="preserve"> como se puede aprecia</w:t>
      </w:r>
      <w:r w:rsidRPr="007B18A0">
        <w:rPr>
          <w:rFonts w:ascii="Palatino Linotype" w:hAnsi="Palatino Linotype" w:cs="Arial"/>
        </w:rPr>
        <w:t>r a continuación</w:t>
      </w:r>
      <w:r w:rsidR="00F1529A">
        <w:rPr>
          <w:rFonts w:ascii="Palatino Linotype" w:hAnsi="Palatino Linotype" w:cs="Arial"/>
        </w:rPr>
        <w:t>.</w:t>
      </w:r>
    </w:p>
    <w:p w:rsidR="007B18A0" w:rsidRPr="00F1529A" w:rsidRDefault="007B18A0" w:rsidP="007B18A0">
      <w:pPr>
        <w:pStyle w:val="Prrafodelista"/>
        <w:spacing w:line="360" w:lineRule="auto"/>
        <w:ind w:left="720"/>
        <w:jc w:val="both"/>
        <w:rPr>
          <w:rFonts w:ascii="Palatino Linotype" w:hAnsi="Palatino Linotype" w:cs="Arial"/>
          <w:b/>
        </w:rPr>
      </w:pPr>
      <w:r w:rsidRPr="007B18A0">
        <w:rPr>
          <w:rFonts w:ascii="Palatino Linotype" w:hAnsi="Palatino Linotype" w:cs="Arial"/>
          <w:b/>
          <w:noProof/>
          <w:lang w:val="es-MX" w:eastAsia="es-MX"/>
        </w:rPr>
        <w:drawing>
          <wp:inline distT="0" distB="0" distL="0" distR="0">
            <wp:extent cx="5095943" cy="466725"/>
            <wp:effectExtent l="190500" t="190500" r="180975" b="1619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4677" cy="469357"/>
                    </a:xfrm>
                    <a:prstGeom prst="rect">
                      <a:avLst/>
                    </a:prstGeom>
                    <a:noFill/>
                    <a:ln>
                      <a:noFill/>
                    </a:ln>
                    <a:effectLst>
                      <a:outerShdw blurRad="190500" algn="ctr" rotWithShape="0">
                        <a:prstClr val="black">
                          <a:alpha val="70000"/>
                        </a:prstClr>
                      </a:outerShdw>
                    </a:effectLst>
                  </pic:spPr>
                </pic:pic>
              </a:graphicData>
            </a:graphic>
          </wp:inline>
        </w:drawing>
      </w:r>
    </w:p>
    <w:p w:rsidR="006366A6" w:rsidRPr="006366A6" w:rsidRDefault="006366A6" w:rsidP="00D52AE5">
      <w:pPr>
        <w:pStyle w:val="Prrafodelista"/>
        <w:numPr>
          <w:ilvl w:val="0"/>
          <w:numId w:val="14"/>
        </w:numPr>
        <w:spacing w:after="120" w:line="360" w:lineRule="auto"/>
        <w:ind w:left="714" w:hanging="357"/>
        <w:jc w:val="both"/>
        <w:rPr>
          <w:rFonts w:ascii="Palatino Linotype" w:hAnsi="Palatino Linotype" w:cs="Arial"/>
        </w:rPr>
      </w:pPr>
      <w:r w:rsidRPr="006366A6">
        <w:rPr>
          <w:rFonts w:ascii="Palatino Linotype" w:hAnsi="Palatino Linotype" w:cs="Arial"/>
          <w:b/>
        </w:rPr>
        <w:lastRenderedPageBreak/>
        <w:t>CPL-AIP-097-2018.pdf</w:t>
      </w:r>
      <w:r>
        <w:rPr>
          <w:rFonts w:ascii="Palatino Linotype" w:hAnsi="Palatino Linotype" w:cs="Arial"/>
          <w:b/>
        </w:rPr>
        <w:t xml:space="preserve"> y </w:t>
      </w:r>
      <w:r w:rsidRPr="006366A6">
        <w:rPr>
          <w:rFonts w:ascii="Palatino Linotype" w:hAnsi="Palatino Linotype" w:cs="Arial"/>
          <w:b/>
        </w:rPr>
        <w:t>OSFEM-UAJ-SPH-148-2018.pdf</w:t>
      </w:r>
      <w:r>
        <w:rPr>
          <w:rFonts w:ascii="Palatino Linotype" w:hAnsi="Palatino Linotype" w:cs="Arial"/>
          <w:b/>
        </w:rPr>
        <w:t xml:space="preserve">, </w:t>
      </w:r>
      <w:r w:rsidRPr="006366A6">
        <w:rPr>
          <w:rFonts w:ascii="Palatino Linotype" w:hAnsi="Palatino Linotype" w:cs="Arial"/>
        </w:rPr>
        <w:t>mismos</w:t>
      </w:r>
      <w:r>
        <w:rPr>
          <w:rFonts w:ascii="Palatino Linotype" w:hAnsi="Palatino Linotype" w:cs="Arial"/>
        </w:rPr>
        <w:t xml:space="preserve"> archivos electrónicos remitidos en la respuesta primigenia del </w:t>
      </w:r>
      <w:r w:rsidRPr="006366A6">
        <w:rPr>
          <w:rFonts w:ascii="Palatino Linotype" w:hAnsi="Palatino Linotype" w:cs="Arial"/>
          <w:b/>
        </w:rPr>
        <w:t>Sujeto Obligado</w:t>
      </w:r>
      <w:r>
        <w:rPr>
          <w:rFonts w:ascii="Palatino Linotype" w:hAnsi="Palatino Linotype" w:cs="Arial"/>
        </w:rPr>
        <w:t xml:space="preserve"> correspondientes a los oficios enviados por el </w:t>
      </w:r>
      <w:r w:rsidRPr="00A26BA8">
        <w:rPr>
          <w:rFonts w:ascii="Palatino Linotype" w:hAnsi="Palatino Linotype" w:cs="Arial"/>
          <w:lang w:val="es-MX"/>
        </w:rPr>
        <w:t>Servidor Público Habilitado de la Unidad de Asuntos Jurídicos del Órgano Superior de Fiscalizaci</w:t>
      </w:r>
      <w:r>
        <w:rPr>
          <w:rFonts w:ascii="Palatino Linotype" w:hAnsi="Palatino Linotype" w:cs="Arial"/>
          <w:lang w:val="es-MX"/>
        </w:rPr>
        <w:t xml:space="preserve">ón y  el </w:t>
      </w:r>
      <w:r>
        <w:rPr>
          <w:rFonts w:ascii="Palatino Linotype" w:hAnsi="Palatino Linotype" w:cs="Arial"/>
        </w:rPr>
        <w:t>Servidor Público Habilitado de la Contraloría Interna.</w:t>
      </w:r>
    </w:p>
    <w:p w:rsidR="00F1529A" w:rsidRPr="00361B31" w:rsidRDefault="00361B31" w:rsidP="00D52AE5">
      <w:pPr>
        <w:pStyle w:val="Prrafodelista"/>
        <w:numPr>
          <w:ilvl w:val="0"/>
          <w:numId w:val="14"/>
        </w:numPr>
        <w:spacing w:after="120" w:line="360" w:lineRule="auto"/>
        <w:ind w:left="714" w:hanging="357"/>
        <w:jc w:val="both"/>
        <w:rPr>
          <w:rFonts w:ascii="Palatino Linotype" w:hAnsi="Palatino Linotype" w:cs="Arial"/>
          <w:b/>
        </w:rPr>
      </w:pPr>
      <w:r w:rsidRPr="00361B31">
        <w:rPr>
          <w:rFonts w:ascii="Palatino Linotype" w:hAnsi="Palatino Linotype" w:cs="Arial"/>
          <w:b/>
        </w:rPr>
        <w:t>2a. Sesión ordinaria 2018 CT.pdf</w:t>
      </w:r>
      <w:r w:rsidR="00E61A3B">
        <w:rPr>
          <w:rFonts w:ascii="Palatino Linotype" w:hAnsi="Palatino Linotype" w:cs="Arial"/>
          <w:b/>
        </w:rPr>
        <w:t xml:space="preserve">, </w:t>
      </w:r>
      <w:r w:rsidR="00E61A3B" w:rsidRPr="00E61A3B">
        <w:rPr>
          <w:rFonts w:ascii="Palatino Linotype" w:hAnsi="Palatino Linotype" w:cs="Arial"/>
        </w:rPr>
        <w:t>archivo que contiene</w:t>
      </w:r>
      <w:r w:rsidR="00E61A3B">
        <w:rPr>
          <w:rFonts w:ascii="Palatino Linotype" w:hAnsi="Palatino Linotype" w:cs="Arial"/>
        </w:rPr>
        <w:t xml:space="preserve"> el Acta de la </w:t>
      </w:r>
      <w:r>
        <w:rPr>
          <w:rFonts w:ascii="Palatino Linotype" w:hAnsi="Palatino Linotype" w:cs="Arial"/>
        </w:rPr>
        <w:t>segunda</w:t>
      </w:r>
      <w:r w:rsidR="00E61A3B">
        <w:rPr>
          <w:rFonts w:ascii="Palatino Linotype" w:hAnsi="Palatino Linotype" w:cs="Arial"/>
        </w:rPr>
        <w:t xml:space="preserve"> sesión ordinaria </w:t>
      </w:r>
      <w:r w:rsidR="00060799">
        <w:rPr>
          <w:rFonts w:ascii="Palatino Linotype" w:hAnsi="Palatino Linotype" w:cs="Arial"/>
        </w:rPr>
        <w:t xml:space="preserve">del Comité de Transparencia del </w:t>
      </w:r>
      <w:r>
        <w:rPr>
          <w:rFonts w:ascii="Palatino Linotype" w:hAnsi="Palatino Linotype" w:cs="Arial"/>
        </w:rPr>
        <w:t>Sujeto Obligado, remitida en la respuesta primigenia antes referida.</w:t>
      </w:r>
    </w:p>
    <w:p w:rsidR="00361B31" w:rsidRPr="00F1529A" w:rsidRDefault="00361B31" w:rsidP="00361B31">
      <w:pPr>
        <w:pStyle w:val="Prrafodelista"/>
        <w:numPr>
          <w:ilvl w:val="0"/>
          <w:numId w:val="14"/>
        </w:numPr>
        <w:spacing w:line="360" w:lineRule="auto"/>
        <w:jc w:val="both"/>
        <w:rPr>
          <w:rFonts w:ascii="Palatino Linotype" w:hAnsi="Palatino Linotype" w:cs="Arial"/>
          <w:b/>
        </w:rPr>
      </w:pPr>
      <w:r w:rsidRPr="00361B31">
        <w:rPr>
          <w:rFonts w:ascii="Palatino Linotype" w:hAnsi="Palatino Linotype" w:cs="Arial"/>
          <w:b/>
        </w:rPr>
        <w:t>RR. 3070-2018 Informe justificado.pdf</w:t>
      </w:r>
      <w:r>
        <w:rPr>
          <w:rFonts w:ascii="Palatino Linotype" w:hAnsi="Palatino Linotype" w:cs="Arial"/>
          <w:b/>
        </w:rPr>
        <w:t xml:space="preserve">, </w:t>
      </w:r>
      <w:r w:rsidRPr="00361B31">
        <w:rPr>
          <w:rFonts w:ascii="Palatino Linotype" w:hAnsi="Palatino Linotype" w:cs="Arial"/>
        </w:rPr>
        <w:t>archivo electrónico que contiene</w:t>
      </w:r>
      <w:r>
        <w:rPr>
          <w:rFonts w:ascii="Palatino Linotype" w:hAnsi="Palatino Linotype" w:cs="Arial"/>
        </w:rPr>
        <w:t xml:space="preserve"> el oficio signado por el </w:t>
      </w:r>
      <w:r w:rsidRPr="00361B31">
        <w:rPr>
          <w:rFonts w:ascii="Palatino Linotype" w:hAnsi="Palatino Linotype" w:cs="Arial"/>
        </w:rPr>
        <w:t>Mtro. Felipe Borja Coronel, Titular de la Unidad de Transparencia del Poder Legislativo</w:t>
      </w:r>
      <w:r>
        <w:rPr>
          <w:rFonts w:ascii="Palatino Linotype" w:hAnsi="Palatino Linotype" w:cs="Arial"/>
        </w:rPr>
        <w:t xml:space="preserve"> y remitido a este Instituto</w:t>
      </w:r>
      <w:r w:rsidR="00D52AE5">
        <w:rPr>
          <w:rFonts w:ascii="Palatino Linotype" w:hAnsi="Palatino Linotype" w:cs="Arial"/>
        </w:rPr>
        <w:t>,</w:t>
      </w:r>
      <w:r>
        <w:rPr>
          <w:rFonts w:ascii="Palatino Linotype" w:hAnsi="Palatino Linotype" w:cs="Arial"/>
        </w:rPr>
        <w:t xml:space="preserve"> con el propósito de rendir su informe justificado</w:t>
      </w:r>
      <w:r w:rsidR="005F3753">
        <w:rPr>
          <w:rFonts w:ascii="Palatino Linotype" w:hAnsi="Palatino Linotype" w:cs="Arial"/>
        </w:rPr>
        <w:t>, el cual contiene el compendio de la información remitida mediante los archivos electrónicos antes referidos tanto en la respuesta primigenia como en informa justificado del Sujeto Obligado.</w:t>
      </w:r>
    </w:p>
    <w:p w:rsidR="00F1529A" w:rsidRPr="009604FD" w:rsidRDefault="00F1529A" w:rsidP="00F1529A">
      <w:pPr>
        <w:pStyle w:val="Prrafodelista"/>
        <w:spacing w:line="360" w:lineRule="auto"/>
        <w:ind w:left="720"/>
        <w:jc w:val="both"/>
        <w:rPr>
          <w:rFonts w:ascii="Palatino Linotype" w:hAnsi="Palatino Linotype" w:cs="Arial"/>
          <w:b/>
        </w:rPr>
      </w:pPr>
    </w:p>
    <w:p w:rsidR="009604FD" w:rsidRPr="00B80EBB" w:rsidRDefault="00B34600" w:rsidP="00B80EBB">
      <w:pPr>
        <w:spacing w:after="0" w:line="360" w:lineRule="auto"/>
        <w:jc w:val="both"/>
        <w:rPr>
          <w:rFonts w:ascii="Palatino Linotype" w:hAnsi="Palatino Linotype" w:cs="Arial"/>
          <w:sz w:val="24"/>
          <w:szCs w:val="24"/>
        </w:rPr>
      </w:pPr>
      <w:r>
        <w:rPr>
          <w:rFonts w:ascii="Palatino Linotype" w:hAnsi="Palatino Linotype"/>
          <w:sz w:val="24"/>
          <w:szCs w:val="24"/>
          <w:lang w:eastAsia="es-MX"/>
        </w:rPr>
        <w:t xml:space="preserve">Asimismo, se puntualiza que </w:t>
      </w:r>
      <w:r>
        <w:rPr>
          <w:rFonts w:ascii="Palatino Linotype" w:hAnsi="Palatino Linotype"/>
          <w:b/>
          <w:sz w:val="24"/>
          <w:szCs w:val="24"/>
          <w:lang w:eastAsia="es-MX"/>
        </w:rPr>
        <w:t xml:space="preserve">El Recurrente </w:t>
      </w:r>
      <w:r>
        <w:rPr>
          <w:rFonts w:ascii="Palatino Linotype" w:hAnsi="Palatino Linotype"/>
          <w:sz w:val="24"/>
          <w:szCs w:val="24"/>
          <w:lang w:eastAsia="es-MX"/>
        </w:rPr>
        <w:t xml:space="preserve">no agregó medios de prueba, ni esgrimió alegatos en la etapa de instrucción. En este tenor, se decretó el cierre de </w:t>
      </w:r>
      <w:r w:rsidRPr="00970CE3">
        <w:rPr>
          <w:rFonts w:ascii="Palatino Linotype" w:hAnsi="Palatino Linotype"/>
          <w:sz w:val="24"/>
          <w:szCs w:val="24"/>
          <w:lang w:eastAsia="es-MX"/>
        </w:rPr>
        <w:t xml:space="preserve">instrucción el </w:t>
      </w:r>
      <w:r w:rsidR="00103BE7">
        <w:rPr>
          <w:rFonts w:ascii="Palatino Linotype" w:hAnsi="Palatino Linotype"/>
          <w:sz w:val="24"/>
          <w:szCs w:val="24"/>
          <w:lang w:eastAsia="es-MX"/>
        </w:rPr>
        <w:t>catorce de septiembre</w:t>
      </w:r>
      <w:r w:rsidRPr="00970CE3">
        <w:rPr>
          <w:rFonts w:ascii="Palatino Linotype" w:hAnsi="Palatino Linotype"/>
          <w:sz w:val="24"/>
          <w:szCs w:val="24"/>
          <w:lang w:eastAsia="es-MX"/>
        </w:rPr>
        <w:t xml:space="preserve"> de dos mil dieciocho.</w:t>
      </w:r>
    </w:p>
    <w:p w:rsidR="00696DE5" w:rsidRDefault="00696DE5" w:rsidP="00154FB8">
      <w:pPr>
        <w:pStyle w:val="Prrafodelista"/>
        <w:autoSpaceDE w:val="0"/>
        <w:autoSpaceDN w:val="0"/>
        <w:adjustRightInd w:val="0"/>
        <w:spacing w:line="360" w:lineRule="auto"/>
        <w:ind w:left="0"/>
        <w:jc w:val="both"/>
        <w:rPr>
          <w:rFonts w:ascii="Palatino Linotype" w:hAnsi="Palatino Linotype" w:cs="Arial"/>
        </w:rPr>
      </w:pPr>
    </w:p>
    <w:p w:rsidR="00D9518A" w:rsidRDefault="00B34600"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00D9518A" w:rsidRPr="00D9518A">
        <w:rPr>
          <w:rFonts w:ascii="Palatino Linotype" w:hAnsi="Palatino Linotype" w:cs="Arial"/>
        </w:rPr>
        <w:t xml:space="preserve">, se debe precisar, que se obvia el análisis de la competencia por parte del </w:t>
      </w:r>
      <w:r w:rsidR="00D9518A" w:rsidRPr="002D27CC">
        <w:rPr>
          <w:rFonts w:ascii="Palatino Linotype" w:hAnsi="Palatino Linotype" w:cs="Arial"/>
          <w:b/>
        </w:rPr>
        <w:t>Sujeto Obligado</w:t>
      </w:r>
      <w:r w:rsidR="00D9518A" w:rsidRPr="00D9518A">
        <w:rPr>
          <w:rFonts w:ascii="Palatino Linotype" w:hAnsi="Palatino Linotype" w:cs="Arial"/>
        </w:rPr>
        <w:t>, para generar, administrar o poseer la información solicitada, dado que éste ha asumido la misma, en razón de que en su respuesta, manifiesta que posee dicha información al</w:t>
      </w:r>
      <w:r w:rsidR="00103BE7">
        <w:rPr>
          <w:rFonts w:ascii="Palatino Linotype" w:hAnsi="Palatino Linotype" w:cs="Arial"/>
        </w:rPr>
        <w:t xml:space="preserve"> remitir los procedimientos de los cuales ya causaron estado y al</w:t>
      </w:r>
      <w:r w:rsidR="00D9518A" w:rsidRPr="00D9518A">
        <w:rPr>
          <w:rFonts w:ascii="Palatino Linotype" w:hAnsi="Palatino Linotype" w:cs="Arial"/>
        </w:rPr>
        <w:t xml:space="preserve"> determinar clasificar la información solicitada como reservada</w:t>
      </w:r>
      <w:r w:rsidR="00103BE7">
        <w:rPr>
          <w:rFonts w:ascii="Palatino Linotype" w:hAnsi="Palatino Linotype" w:cs="Arial"/>
        </w:rPr>
        <w:t xml:space="preserve"> de los procedimientos </w:t>
      </w:r>
      <w:r w:rsidR="00103BE7">
        <w:rPr>
          <w:rFonts w:ascii="Palatino Linotype" w:hAnsi="Palatino Linotype" w:cs="Arial"/>
        </w:rPr>
        <w:lastRenderedPageBreak/>
        <w:t>que se encuentran en trámite</w:t>
      </w:r>
      <w:r w:rsidR="00D9518A" w:rsidRPr="00D9518A">
        <w:rPr>
          <w:rFonts w:ascii="Palatino Linotype" w:hAnsi="Palatino Linotype" w:cs="Arial"/>
        </w:rPr>
        <w:t>; en consecuencia,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w:t>
      </w:r>
    </w:p>
    <w:p w:rsidR="00970C65" w:rsidRDefault="00970C65" w:rsidP="00154FB8">
      <w:pPr>
        <w:pStyle w:val="Prrafodelista"/>
        <w:autoSpaceDE w:val="0"/>
        <w:autoSpaceDN w:val="0"/>
        <w:adjustRightInd w:val="0"/>
        <w:spacing w:line="360" w:lineRule="auto"/>
        <w:ind w:left="0"/>
        <w:jc w:val="both"/>
        <w:rPr>
          <w:rFonts w:ascii="Palatino Linotype" w:hAnsi="Palatino Linotype" w:cs="Arial"/>
        </w:rPr>
      </w:pPr>
    </w:p>
    <w:p w:rsidR="00970C65" w:rsidRPr="00970C65" w:rsidRDefault="00B34600" w:rsidP="00970C65">
      <w:pPr>
        <w:spacing w:after="0" w:line="360" w:lineRule="auto"/>
        <w:jc w:val="both"/>
        <w:rPr>
          <w:rFonts w:ascii="Palatino Linotype" w:hAnsi="Palatino Linotype" w:cs="Arial"/>
          <w:sz w:val="24"/>
          <w:szCs w:val="24"/>
        </w:rPr>
      </w:pPr>
      <w:r>
        <w:rPr>
          <w:rFonts w:ascii="Palatino Linotype" w:hAnsi="Palatino Linotype" w:cs="Arial"/>
          <w:sz w:val="24"/>
          <w:szCs w:val="24"/>
        </w:rPr>
        <w:t>Aclarado lo anterior</w:t>
      </w:r>
      <w:r w:rsidR="00D430C7" w:rsidRPr="00D430C7">
        <w:rPr>
          <w:rFonts w:ascii="Palatino Linotype" w:hAnsi="Palatino Linotype" w:cs="Arial"/>
          <w:sz w:val="24"/>
          <w:szCs w:val="24"/>
        </w:rPr>
        <w:t xml:space="preserve">, considerando el pronunciamiento del </w:t>
      </w:r>
      <w:r w:rsidR="00D430C7" w:rsidRPr="00B34600">
        <w:rPr>
          <w:rFonts w:ascii="Palatino Linotype" w:hAnsi="Palatino Linotype" w:cs="Arial"/>
          <w:b/>
          <w:sz w:val="24"/>
          <w:szCs w:val="24"/>
        </w:rPr>
        <w:t>Sujeto Obligado</w:t>
      </w:r>
      <w:r w:rsidR="00D430C7" w:rsidRPr="00D430C7">
        <w:rPr>
          <w:rFonts w:ascii="Palatino Linotype" w:hAnsi="Palatino Linotype" w:cs="Arial"/>
          <w:sz w:val="24"/>
          <w:szCs w:val="24"/>
        </w:rPr>
        <w:t xml:space="preserve">, es importante </w:t>
      </w:r>
      <w:r w:rsidR="00970C65" w:rsidRPr="00970C65">
        <w:rPr>
          <w:rFonts w:ascii="Palatino Linotype" w:hAnsi="Palatino Linotype" w:cs="Arial"/>
          <w:sz w:val="24"/>
          <w:szCs w:val="24"/>
        </w:rPr>
        <w:t>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p>
    <w:p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lastRenderedPageBreak/>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rsidR="00970C65" w:rsidRPr="00970C65" w:rsidRDefault="00970C65" w:rsidP="00970C65">
      <w:pPr>
        <w:spacing w:before="240"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lastRenderedPageBreak/>
        <w:t>En otras palabras, este Instituto resalta que, si bien, por regla general, toda la información generada, obtenida, adquirid</w:t>
      </w:r>
      <w:r w:rsidR="00D122FA">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privada:</w:t>
      </w:r>
      <w:r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rsidR="00970C65" w:rsidRPr="00970C65" w:rsidRDefault="00970C65" w:rsidP="003379F4">
      <w:pPr>
        <w:numPr>
          <w:ilvl w:val="0"/>
          <w:numId w:val="16"/>
        </w:numPr>
        <w:spacing w:after="0" w:line="360" w:lineRule="auto"/>
        <w:jc w:val="both"/>
        <w:rPr>
          <w:rFonts w:ascii="Palatino Linotype" w:hAnsi="Palatino Linotype" w:cs="Arial"/>
          <w:sz w:val="24"/>
          <w:szCs w:val="24"/>
        </w:rPr>
      </w:pPr>
      <w:r w:rsidRPr="00970C65">
        <w:rPr>
          <w:rFonts w:ascii="Palatino Linotype" w:hAnsi="Palatino Linotype" w:cs="Arial"/>
          <w:b/>
          <w:sz w:val="24"/>
          <w:szCs w:val="24"/>
        </w:rPr>
        <w:t>Información reservada:</w:t>
      </w:r>
      <w:r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rsidR="00970C65" w:rsidRPr="00970C65" w:rsidRDefault="00970C65" w:rsidP="00970C65">
      <w:pPr>
        <w:spacing w:after="0" w:line="360" w:lineRule="auto"/>
        <w:jc w:val="both"/>
        <w:rPr>
          <w:rFonts w:ascii="Palatino Linotype" w:hAnsi="Palatino Linotype" w:cs="Arial"/>
          <w:sz w:val="24"/>
          <w:szCs w:val="24"/>
        </w:rPr>
      </w:pPr>
    </w:p>
    <w:p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De tal manera, se tiene que en el caso particular la clasificación invocada fue la de reserva, por lo que el estudio se centrará en este supuesto.</w:t>
      </w:r>
    </w:p>
    <w:p w:rsidR="0035354D" w:rsidRPr="00970C65" w:rsidRDefault="0035354D" w:rsidP="00970C65">
      <w:pPr>
        <w:spacing w:after="0" w:line="360" w:lineRule="auto"/>
        <w:jc w:val="both"/>
        <w:rPr>
          <w:rFonts w:ascii="Palatino Linotype" w:hAnsi="Palatino Linotype"/>
          <w:sz w:val="24"/>
          <w:szCs w:val="24"/>
          <w:lang w:val="es-ES" w:eastAsia="es-ES"/>
        </w:rPr>
      </w:pPr>
    </w:p>
    <w:p w:rsidR="00970C65" w:rsidRPr="00970C65" w:rsidRDefault="00D81BE8" w:rsidP="00970C65">
      <w:pPr>
        <w:spacing w:after="0" w:line="360" w:lineRule="auto"/>
        <w:jc w:val="both"/>
        <w:rPr>
          <w:rFonts w:ascii="Palatino Linotype" w:hAnsi="Palatino Linotype"/>
          <w:sz w:val="24"/>
          <w:szCs w:val="24"/>
          <w:lang w:val="es-ES"/>
        </w:rPr>
      </w:pPr>
      <w:r>
        <w:rPr>
          <w:rFonts w:ascii="Palatino Linotype" w:hAnsi="Palatino Linotype"/>
          <w:sz w:val="24"/>
          <w:szCs w:val="24"/>
          <w:lang w:val="es-ES"/>
        </w:rPr>
        <w:t>Ahora bien, al</w:t>
      </w:r>
      <w:r w:rsidR="00970C65" w:rsidRPr="00970C65">
        <w:rPr>
          <w:rFonts w:ascii="Palatino Linotype" w:hAnsi="Palatino Linotype"/>
          <w:sz w:val="24"/>
          <w:szCs w:val="24"/>
          <w:lang w:val="es-ES"/>
        </w:rPr>
        <w:t xml:space="preserve">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rsidR="00970C65" w:rsidRPr="00970C65" w:rsidRDefault="00970C65" w:rsidP="00970C65">
      <w:pPr>
        <w:spacing w:after="0" w:line="360" w:lineRule="auto"/>
        <w:jc w:val="both"/>
        <w:rPr>
          <w:rFonts w:ascii="Palatino Linotype" w:hAnsi="Palatino Linotype"/>
          <w:sz w:val="24"/>
          <w:szCs w:val="24"/>
          <w:lang w:val="es-ES"/>
        </w:rPr>
      </w:pPr>
    </w:p>
    <w:p w:rsidR="00970C65" w:rsidRPr="00970C65" w:rsidRDefault="00970C65" w:rsidP="00970C65">
      <w:pPr>
        <w:spacing w:after="0" w:line="360" w:lineRule="auto"/>
        <w:jc w:val="both"/>
        <w:rPr>
          <w:rFonts w:ascii="Palatino Linotype" w:hAnsi="Palatino Linotype"/>
          <w:sz w:val="24"/>
          <w:szCs w:val="24"/>
          <w:lang w:val="es-ES"/>
        </w:rPr>
      </w:pPr>
      <w:r w:rsidRPr="00970C65">
        <w:rPr>
          <w:rFonts w:ascii="Palatino Linotype" w:hAnsi="Palatino Linotype"/>
          <w:sz w:val="24"/>
          <w:szCs w:val="24"/>
          <w:lang w:val="es-ES"/>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rsidR="00F74ABA" w:rsidRDefault="00F74ABA" w:rsidP="00970C65">
      <w:pPr>
        <w:spacing w:after="0" w:line="360" w:lineRule="auto"/>
        <w:jc w:val="both"/>
        <w:rPr>
          <w:rFonts w:ascii="Palatino Linotype" w:hAnsi="Palatino Linotype"/>
          <w:bCs/>
          <w:sz w:val="24"/>
          <w:szCs w:val="24"/>
          <w:lang w:val="es-ES"/>
        </w:rPr>
      </w:pPr>
    </w:p>
    <w:p w:rsidR="00F74ABA" w:rsidRDefault="00F74ABA" w:rsidP="00677BCB">
      <w:pPr>
        <w:spacing w:after="0" w:line="360" w:lineRule="auto"/>
        <w:jc w:val="both"/>
        <w:rPr>
          <w:rFonts w:ascii="Palatino Linotype" w:hAnsi="Palatino Linotype"/>
          <w:bCs/>
          <w:sz w:val="24"/>
          <w:szCs w:val="24"/>
          <w:lang w:val="es-ES"/>
        </w:rPr>
      </w:pPr>
      <w:r w:rsidRPr="00F74ABA">
        <w:rPr>
          <w:rFonts w:ascii="Palatino Linotype" w:hAnsi="Palatino Linotype"/>
          <w:bCs/>
          <w:sz w:val="24"/>
          <w:szCs w:val="24"/>
          <w:lang w:val="es-ES"/>
        </w:rPr>
        <w:t xml:space="preserve">Por </w:t>
      </w:r>
      <w:r>
        <w:rPr>
          <w:rFonts w:ascii="Palatino Linotype" w:hAnsi="Palatino Linotype"/>
          <w:bCs/>
          <w:sz w:val="24"/>
          <w:szCs w:val="24"/>
          <w:lang w:val="es-ES"/>
        </w:rPr>
        <w:t>todo lo anterior</w:t>
      </w:r>
      <w:r w:rsidRPr="00F74ABA">
        <w:rPr>
          <w:rFonts w:ascii="Palatino Linotype" w:hAnsi="Palatino Linotype"/>
          <w:bCs/>
          <w:sz w:val="24"/>
          <w:szCs w:val="24"/>
          <w:lang w:val="es-ES"/>
        </w:rPr>
        <w:t xml:space="preserve">, la reserva de la información implica una clasificación, la cual debe entenderse como el proceso mediante el cual </w:t>
      </w:r>
      <w:r w:rsidRPr="000015EB">
        <w:rPr>
          <w:rFonts w:ascii="Palatino Linotype" w:hAnsi="Palatino Linotype"/>
          <w:b/>
          <w:bCs/>
          <w:sz w:val="24"/>
          <w:szCs w:val="24"/>
          <w:lang w:val="es-ES"/>
        </w:rPr>
        <w:t>El Sujeto Obligado</w:t>
      </w:r>
      <w:r w:rsidRPr="00F74ABA">
        <w:rPr>
          <w:rFonts w:ascii="Palatino Linotype" w:hAnsi="Palatino Linotype"/>
          <w:bCs/>
          <w:sz w:val="24"/>
          <w:szCs w:val="24"/>
          <w:lang w:val="es-ES"/>
        </w:rPr>
        <w:t xml:space="preserve"> determina que la información en su poder actualiza alguno de los supuestos de reserva o </w:t>
      </w:r>
      <w:r w:rsidRPr="00F74ABA">
        <w:rPr>
          <w:rFonts w:ascii="Palatino Linotype" w:hAnsi="Palatino Linotype"/>
          <w:bCs/>
          <w:sz w:val="24"/>
          <w:szCs w:val="24"/>
          <w:lang w:val="es-ES"/>
        </w:rPr>
        <w:lastRenderedPageBreak/>
        <w:t xml:space="preserve">confidencialidad, de conformidad con las normas aplicables, en tal virtud, es que analizaremos la naturaleza de la información solicitada por el hoy </w:t>
      </w:r>
      <w:r w:rsidRPr="00BC4312">
        <w:rPr>
          <w:rFonts w:ascii="Palatino Linotype" w:hAnsi="Palatino Linotype"/>
          <w:b/>
          <w:bCs/>
          <w:sz w:val="24"/>
          <w:szCs w:val="24"/>
          <w:lang w:val="es-ES"/>
        </w:rPr>
        <w:t>Recurrente</w:t>
      </w:r>
      <w:r w:rsidRPr="00F74ABA">
        <w:rPr>
          <w:rFonts w:ascii="Palatino Linotype" w:hAnsi="Palatino Linotype"/>
          <w:bCs/>
          <w:sz w:val="24"/>
          <w:szCs w:val="24"/>
          <w:lang w:val="es-ES"/>
        </w:rPr>
        <w:t xml:space="preserve"> consistente </w:t>
      </w:r>
      <w:r w:rsidR="00677BCB">
        <w:rPr>
          <w:rFonts w:ascii="Palatino Linotype" w:hAnsi="Palatino Linotype"/>
          <w:bCs/>
          <w:sz w:val="24"/>
          <w:szCs w:val="24"/>
          <w:lang w:val="es-ES"/>
        </w:rPr>
        <w:t>l</w:t>
      </w:r>
      <w:r w:rsidR="00677BCB" w:rsidRPr="00677BCB">
        <w:rPr>
          <w:rFonts w:ascii="Palatino Linotype" w:hAnsi="Palatino Linotype"/>
          <w:bCs/>
          <w:sz w:val="24"/>
          <w:szCs w:val="24"/>
          <w:lang w:val="es-ES"/>
        </w:rPr>
        <w:t>a lista de los procedimientos iniciados en los que se aplicó algún tipo de sanción al C. Pedro Luna Vargas, Presidente Municipal de Coyotepec, en el periodo que comprende del 2016 al 2018, en donde se pueda apreciar</w:t>
      </w:r>
      <w:r w:rsidR="00677BCB" w:rsidRPr="00677BCB">
        <w:t xml:space="preserve"> </w:t>
      </w:r>
      <w:r w:rsidR="00677BCB">
        <w:rPr>
          <w:rFonts w:ascii="Palatino Linotype" w:hAnsi="Palatino Linotype"/>
          <w:bCs/>
          <w:sz w:val="24"/>
          <w:szCs w:val="24"/>
          <w:lang w:val="es-ES"/>
        </w:rPr>
        <w:t>la d</w:t>
      </w:r>
      <w:r w:rsidR="00677BCB" w:rsidRPr="00677BCB">
        <w:rPr>
          <w:rFonts w:ascii="Palatino Linotype" w:hAnsi="Palatino Linotype"/>
          <w:bCs/>
          <w:sz w:val="24"/>
          <w:szCs w:val="24"/>
          <w:lang w:val="es-ES"/>
        </w:rPr>
        <w:t xml:space="preserve">escripción </w:t>
      </w:r>
      <w:r w:rsidR="00677BCB">
        <w:rPr>
          <w:rFonts w:ascii="Palatino Linotype" w:hAnsi="Palatino Linotype"/>
          <w:bCs/>
          <w:sz w:val="24"/>
          <w:szCs w:val="24"/>
          <w:lang w:val="es-ES"/>
        </w:rPr>
        <w:t>de la queja, quejoso, medida de apremio, descripción de la sanción, cantidad de multa o resarcitorio</w:t>
      </w:r>
      <w:r w:rsidRPr="00F74ABA">
        <w:rPr>
          <w:rFonts w:ascii="Palatino Linotype" w:hAnsi="Palatino Linotype"/>
          <w:bCs/>
          <w:sz w:val="24"/>
          <w:szCs w:val="24"/>
          <w:lang w:val="es-ES"/>
        </w:rPr>
        <w:t>, con el fin de determinar si actualiza una causal de reserva</w:t>
      </w:r>
      <w:r w:rsidR="00982B8C">
        <w:rPr>
          <w:rFonts w:ascii="Palatino Linotype" w:hAnsi="Palatino Linotype"/>
          <w:bCs/>
          <w:sz w:val="24"/>
          <w:szCs w:val="24"/>
          <w:lang w:val="es-ES"/>
        </w:rPr>
        <w:t>,</w:t>
      </w:r>
      <w:r w:rsidRPr="00F74ABA">
        <w:rPr>
          <w:rFonts w:ascii="Palatino Linotype" w:hAnsi="Palatino Linotype"/>
          <w:bCs/>
          <w:sz w:val="24"/>
          <w:szCs w:val="24"/>
          <w:lang w:val="es-ES"/>
        </w:rPr>
        <w:t xml:space="preserve">  como lo hizo valer </w:t>
      </w:r>
      <w:r w:rsidRPr="00D122FA">
        <w:rPr>
          <w:rFonts w:ascii="Palatino Linotype" w:hAnsi="Palatino Linotype"/>
          <w:b/>
          <w:bCs/>
          <w:sz w:val="24"/>
          <w:szCs w:val="24"/>
          <w:lang w:val="es-ES"/>
        </w:rPr>
        <w:t>El Sujeto Obligado</w:t>
      </w:r>
      <w:r w:rsidRPr="00F74ABA">
        <w:rPr>
          <w:rFonts w:ascii="Palatino Linotype" w:hAnsi="Palatino Linotype"/>
          <w:bCs/>
          <w:sz w:val="24"/>
          <w:szCs w:val="24"/>
          <w:lang w:val="es-ES"/>
        </w:rPr>
        <w:t>.</w:t>
      </w:r>
    </w:p>
    <w:p w:rsidR="00677BCB" w:rsidRDefault="00677BCB" w:rsidP="00970C65">
      <w:pPr>
        <w:spacing w:after="0" w:line="360" w:lineRule="auto"/>
        <w:jc w:val="both"/>
        <w:rPr>
          <w:rFonts w:ascii="Palatino Linotype" w:hAnsi="Palatino Linotype"/>
          <w:bCs/>
          <w:sz w:val="24"/>
          <w:szCs w:val="24"/>
          <w:lang w:val="es-ES"/>
        </w:rPr>
      </w:pPr>
    </w:p>
    <w:p w:rsidR="00677BCB" w:rsidRPr="00970C65" w:rsidRDefault="00677BCB" w:rsidP="00677BCB">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CO"/>
        </w:rPr>
        <w:t>Por lo anterior</w:t>
      </w:r>
      <w:r w:rsidRPr="00970C65">
        <w:rPr>
          <w:rFonts w:ascii="Palatino Linotype" w:eastAsia="Calibri" w:hAnsi="Palatino Linotype" w:cs="Arial"/>
          <w:sz w:val="24"/>
          <w:szCs w:val="24"/>
          <w:lang w:val="es-ES" w:eastAsia="es-CO"/>
        </w:rPr>
        <w:t xml:space="preserve">, respecto a la información clasificada como reservada la </w:t>
      </w:r>
      <w:r w:rsidRPr="00970C65">
        <w:rPr>
          <w:rFonts w:ascii="Palatino Linotype" w:eastAsia="Calibri" w:hAnsi="Palatino Linotype" w:cs="Arial"/>
          <w:sz w:val="24"/>
          <w:szCs w:val="24"/>
          <w:lang w:val="es-ES" w:eastAsia="es-ES"/>
        </w:rPr>
        <w:t>Ley de Transparencia vigente en nuestra entidad establece en su artículo 140 una serie de hipótesis en las cuales radica la posibilidad de tal clasificación de información, que son:</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970C65">
        <w:rPr>
          <w:rFonts w:ascii="Palatino Linotype" w:eastAsia="Calibri" w:hAnsi="Palatino Linotype" w:cs="Times New Roman"/>
          <w:i/>
          <w:sz w:val="24"/>
          <w:szCs w:val="24"/>
        </w:rPr>
        <w:t xml:space="preserve"> </w:t>
      </w:r>
      <w:r w:rsidRPr="0011760B">
        <w:rPr>
          <w:rFonts w:ascii="Palatino Linotype" w:eastAsia="Calibri" w:hAnsi="Palatino Linotype" w:cs="Times New Roman"/>
          <w:i/>
        </w:rPr>
        <w:t>“</w:t>
      </w:r>
      <w:r w:rsidRPr="0011760B">
        <w:rPr>
          <w:rFonts w:ascii="Palatino Linotype" w:eastAsia="Calibri" w:hAnsi="Palatino Linotype" w:cs="Times New Roman"/>
          <w:b/>
          <w:i/>
          <w:lang w:val="es-ES"/>
        </w:rPr>
        <w:t>Artículo 140.</w:t>
      </w:r>
      <w:r w:rsidRPr="0011760B">
        <w:rPr>
          <w:rFonts w:ascii="Palatino Linotype" w:eastAsia="Calibri" w:hAnsi="Palatino Linotype" w:cs="Times New Roman"/>
          <w:i/>
          <w:lang w:val="es-ES"/>
        </w:rPr>
        <w:t xml:space="preserve"> El acceso a la información pública será restringido excepcionalmente, cuando por razones de interés público, ésta sea clasificada como reservada, conforme a los criterios siguientes: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w:t>
      </w:r>
      <w:r w:rsidRPr="0011760B">
        <w:rPr>
          <w:rFonts w:ascii="Palatino Linotype" w:eastAsia="Calibri" w:hAnsi="Palatino Linotype" w:cs="Times New Roman"/>
          <w:i/>
          <w:lang w:val="es-ES"/>
        </w:rPr>
        <w:t xml:space="preserve"> Comprometa la seguridad pública y cuente con un propósito genuino y un efecto demostrable;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w:t>
      </w:r>
      <w:r w:rsidRPr="0011760B">
        <w:rPr>
          <w:rFonts w:ascii="Palatino Linotype" w:eastAsia="Calibri" w:hAnsi="Palatino Linotype" w:cs="Times New Roman"/>
          <w:i/>
          <w:lang w:val="es-ES"/>
        </w:rPr>
        <w:t xml:space="preserve"> Pueda menoscabar la conducción de las negociaciones y relaciones internacionales;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III.</w:t>
      </w:r>
      <w:r w:rsidRPr="0011760B">
        <w:rPr>
          <w:rFonts w:ascii="Palatino Linotype" w:eastAsia="Calibri" w:hAnsi="Palatino Linotype" w:cs="Times New Roman"/>
          <w:i/>
          <w:lang w:val="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IV.</w:t>
      </w:r>
      <w:r w:rsidRPr="0011760B">
        <w:rPr>
          <w:rFonts w:ascii="Palatino Linotype" w:eastAsia="Calibri" w:hAnsi="Palatino Linotype" w:cs="Times New Roman"/>
          <w:i/>
          <w:lang w:val="es-ES"/>
        </w:rPr>
        <w:t xml:space="preserve"> Ponga en riesgo la vida, la seguridad o la salud de una persona física;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w:t>
      </w:r>
      <w:r w:rsidRPr="0011760B">
        <w:rPr>
          <w:rFonts w:ascii="Palatino Linotype" w:eastAsia="Calibri" w:hAnsi="Palatino Linotype" w:cs="Times New Roman"/>
          <w:i/>
          <w:lang w:val="es-ES"/>
        </w:rPr>
        <w:t xml:space="preserve"> Aquella cuya divulgación obstruya o pueda causar un serio perjuicio a: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1.</w:t>
      </w:r>
      <w:r w:rsidRPr="0011760B">
        <w:rPr>
          <w:rFonts w:ascii="Palatino Linotype" w:eastAsia="Calibri" w:hAnsi="Palatino Linotype" w:cs="Times New Roman"/>
          <w:i/>
          <w:lang w:val="es-ES"/>
        </w:rPr>
        <w:t xml:space="preserve"> Las actividades de fiscalización, verificación, inspección, comprobación y auditoría sobre el cumplimiento de las Leyes; o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lastRenderedPageBreak/>
        <w:t>2.</w:t>
      </w:r>
      <w:r w:rsidRPr="0011760B">
        <w:rPr>
          <w:rFonts w:ascii="Palatino Linotype" w:eastAsia="Calibri" w:hAnsi="Palatino Linotype" w:cs="Times New Roman"/>
          <w:i/>
          <w:lang w:val="es-ES"/>
        </w:rPr>
        <w:t xml:space="preserve"> La recaudación de las contribuciones.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w:t>
      </w:r>
      <w:r w:rsidRPr="0011760B">
        <w:rPr>
          <w:rFonts w:ascii="Palatino Linotype" w:eastAsia="Calibri" w:hAnsi="Palatino Linotype" w:cs="Times New Roman"/>
          <w:i/>
          <w:lang w:val="es-ES"/>
        </w:rPr>
        <w:t xml:space="preserve"> Pueda causar daño u obstruya la prevención o persecución de los delitos, altere el proceso de investigación de las carpetas de investigación, </w:t>
      </w:r>
      <w:r w:rsidRPr="0028151C">
        <w:rPr>
          <w:rFonts w:ascii="Palatino Linotype" w:eastAsia="Calibri" w:hAnsi="Palatino Linotype" w:cs="Times New Roman"/>
          <w:b/>
          <w:i/>
          <w:lang w:val="es-ES"/>
        </w:rPr>
        <w:t>afecte o vulnere la conducción o los derechos del debido proceso en los procedimientos judiciales o administrativos, incluidos los de quejas, denuncias, inconformidades, responsabilidades administrativas y resarcitorias en tanto no hayan quedado firmes</w:t>
      </w:r>
      <w:r w:rsidRPr="0011760B">
        <w:rPr>
          <w:rFonts w:ascii="Palatino Linotype" w:eastAsia="Calibri" w:hAnsi="Palatino Linotype" w:cs="Times New Roman"/>
          <w:i/>
          <w:lang w:val="es-ES"/>
        </w:rPr>
        <w:t xml:space="preserve"> o afecte la administración de justicia o la seguridad de un denunciante, querellante o testigo, así como sus familias, en los términos de las disposiciones jurídicas aplicables;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VII.</w:t>
      </w:r>
      <w:r w:rsidRPr="0011760B">
        <w:rPr>
          <w:rFonts w:ascii="Palatino Linotype" w:eastAsia="Calibri" w:hAnsi="Palatino Linotype" w:cs="Times New Roman"/>
          <w:i/>
          <w:lang w:val="es-ES"/>
        </w:rPr>
        <w:t xml:space="preserve"> </w:t>
      </w:r>
      <w:r w:rsidRPr="0028151C">
        <w:rPr>
          <w:rFonts w:ascii="Palatino Linotype" w:eastAsia="Calibri" w:hAnsi="Palatino Linotype" w:cs="Times New Roman"/>
          <w:b/>
          <w:i/>
          <w:lang w:val="es-ES"/>
        </w:rPr>
        <w:t>La que contengan las opiniones, recomendaciones o puntos de vista que formen parte del proceso deliberativo de los servidores públicos, hasta en tanto sea adoptada la decisión definitiva, la cual deberá estar documentada</w:t>
      </w:r>
      <w:r w:rsidRPr="0011760B">
        <w:rPr>
          <w:rFonts w:ascii="Palatino Linotype" w:eastAsia="Calibri" w:hAnsi="Palatino Linotype" w:cs="Times New Roman"/>
          <w:i/>
          <w:lang w:val="es-ES"/>
        </w:rPr>
        <w:t xml:space="preserve">;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VIII.</w:t>
      </w:r>
      <w:r w:rsidRPr="0011760B">
        <w:rPr>
          <w:rFonts w:ascii="Palatino Linotype" w:eastAsia="Calibri" w:hAnsi="Palatino Linotype" w:cs="Times New Roman"/>
          <w:i/>
          <w:lang w:val="es-ES"/>
        </w:rPr>
        <w:t xml:space="preserve"> </w:t>
      </w:r>
      <w:r w:rsidRPr="00677BCB">
        <w:rPr>
          <w:rFonts w:ascii="Palatino Linotype" w:eastAsia="Calibri" w:hAnsi="Palatino Linotype" w:cs="Times New Roman"/>
          <w:b/>
          <w:i/>
          <w:lang w:val="es-ES"/>
        </w:rPr>
        <w:t>Vulnere la conducción de los expedientes judiciales o de los procedimientos administrativos seguidos en forma de juicio, en tanto no hayan quedado firmes</w:t>
      </w:r>
      <w:r w:rsidRPr="0011760B">
        <w:rPr>
          <w:rFonts w:ascii="Palatino Linotype" w:eastAsia="Calibri" w:hAnsi="Palatino Linotype" w:cs="Times New Roman"/>
          <w:i/>
          <w:lang w:val="es-ES"/>
        </w:rPr>
        <w:t xml:space="preserve">;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IX.</w:t>
      </w:r>
      <w:r w:rsidRPr="0011760B">
        <w:rPr>
          <w:rFonts w:ascii="Palatino Linotype" w:eastAsia="Calibri" w:hAnsi="Palatino Linotype" w:cs="Times New Roman"/>
          <w:i/>
          <w:lang w:val="es-ES"/>
        </w:rPr>
        <w:t xml:space="preserve"> Se encuentre contenida dentro de las investigaciones de hechos que la Ley señale como delitos y se tramiten ante el Ministerio Público;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b/>
          <w:i/>
          <w:lang w:val="es-ES"/>
        </w:rPr>
        <w:t>X.</w:t>
      </w:r>
      <w:r w:rsidRPr="0011760B">
        <w:rPr>
          <w:rFonts w:ascii="Palatino Linotype" w:eastAsia="Calibri" w:hAnsi="Palatino Linotype" w:cs="Times New Roman"/>
          <w:i/>
          <w:lang w:val="es-ES"/>
        </w:rPr>
        <w:t xml:space="preserve"> </w:t>
      </w:r>
      <w:r w:rsidRPr="0028151C">
        <w:rPr>
          <w:rFonts w:ascii="Palatino Linotype" w:eastAsia="Calibri" w:hAnsi="Palatino Linotype" w:cs="Times New Roman"/>
          <w:b/>
          <w:i/>
          <w:lang w:val="es-ES"/>
        </w:rPr>
        <w:t>El daño que pueda producirse con la publicación de la información sea mayor que el interés público de conocer la información de referencia, siempre que esté directamente relacionado con procesos o procedimientos administrativos</w:t>
      </w:r>
      <w:r w:rsidRPr="0011760B">
        <w:rPr>
          <w:rFonts w:ascii="Palatino Linotype" w:eastAsia="Calibri" w:hAnsi="Palatino Linotype" w:cs="Times New Roman"/>
          <w:i/>
          <w:lang w:val="es-ES"/>
        </w:rPr>
        <w:t xml:space="preserve"> o judiciales </w:t>
      </w:r>
      <w:r w:rsidRPr="0028151C">
        <w:rPr>
          <w:rFonts w:ascii="Palatino Linotype" w:eastAsia="Calibri" w:hAnsi="Palatino Linotype" w:cs="Times New Roman"/>
          <w:b/>
          <w:i/>
          <w:lang w:val="es-ES"/>
        </w:rPr>
        <w:t>que no hayan quedado firmes</w:t>
      </w:r>
      <w:r w:rsidRPr="0011760B">
        <w:rPr>
          <w:rFonts w:ascii="Palatino Linotype" w:eastAsia="Calibri" w:hAnsi="Palatino Linotype" w:cs="Times New Roman"/>
          <w:i/>
          <w:lang w:val="es-ES"/>
        </w:rPr>
        <w:t xml:space="preserve">; </w:t>
      </w:r>
    </w:p>
    <w:p w:rsidR="00677BCB" w:rsidRPr="0011760B" w:rsidRDefault="00677BCB" w:rsidP="00677BCB">
      <w:pPr>
        <w:spacing w:after="120" w:line="240" w:lineRule="auto"/>
        <w:ind w:left="851" w:right="851"/>
        <w:jc w:val="both"/>
        <w:rPr>
          <w:rFonts w:ascii="Palatino Linotype" w:eastAsia="Calibri" w:hAnsi="Palatino Linotype" w:cs="Times New Roman"/>
          <w:i/>
          <w:lang w:val="es-ES"/>
        </w:rPr>
      </w:pPr>
      <w:r w:rsidRPr="0011760B">
        <w:rPr>
          <w:rFonts w:ascii="Palatino Linotype" w:eastAsia="Calibri" w:hAnsi="Palatino Linotype" w:cs="Times New Roman"/>
          <w:i/>
          <w:lang w:val="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677BCB" w:rsidRPr="0011760B" w:rsidRDefault="00677BCB" w:rsidP="00677BCB">
      <w:pPr>
        <w:spacing w:after="120" w:line="240" w:lineRule="auto"/>
        <w:ind w:left="851" w:right="851"/>
        <w:jc w:val="both"/>
        <w:rPr>
          <w:rFonts w:ascii="Palatino Linotype" w:eastAsia="Calibri" w:hAnsi="Palatino Linotype" w:cs="Times New Roman"/>
        </w:rPr>
      </w:pPr>
      <w:r w:rsidRPr="0011760B">
        <w:rPr>
          <w:rFonts w:ascii="Palatino Linotype" w:eastAsia="Calibri" w:hAnsi="Palatino Linotype" w:cs="Times New Roman"/>
          <w:b/>
          <w:i/>
          <w:lang w:val="es-ES"/>
        </w:rPr>
        <w:t>XI.</w:t>
      </w:r>
      <w:r w:rsidRPr="0011760B">
        <w:rPr>
          <w:rFonts w:ascii="Palatino Linotype" w:eastAsia="Calibri" w:hAnsi="Palatino Linotype" w:cs="Times New Roman"/>
          <w:i/>
          <w:lang w:val="es-ES"/>
        </w:rPr>
        <w:t xml:space="preserve"> Las que por disposición expresa de una ley tengan tal carácter, siempre que sean acordes con las bases, principios y disposiciones establecidos en esta Ley y no la contravengan; así como las previstas en tratados internacionales.” (Sic)</w:t>
      </w:r>
    </w:p>
    <w:p w:rsidR="00677BCB" w:rsidRDefault="00677BCB" w:rsidP="00970C65">
      <w:pPr>
        <w:spacing w:after="0" w:line="360" w:lineRule="auto"/>
        <w:jc w:val="both"/>
        <w:rPr>
          <w:rFonts w:ascii="Palatino Linotype" w:hAnsi="Palatino Linotype"/>
          <w:bCs/>
          <w:sz w:val="24"/>
          <w:szCs w:val="24"/>
          <w:lang w:val="es-ES"/>
        </w:rPr>
      </w:pPr>
    </w:p>
    <w:p w:rsidR="00815818" w:rsidRDefault="00677BCB" w:rsidP="00970C65">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Del precepto antes referido, podemos advertir que </w:t>
      </w:r>
      <w:r w:rsidRPr="00677BCB">
        <w:rPr>
          <w:rFonts w:ascii="Palatino Linotype" w:hAnsi="Palatino Linotype"/>
          <w:bCs/>
          <w:sz w:val="24"/>
          <w:szCs w:val="24"/>
          <w:lang w:val="es-ES"/>
        </w:rPr>
        <w:t>la Ley de Transparencia vigente en nuestra entidad establece</w:t>
      </w:r>
      <w:r w:rsidR="00D00192">
        <w:rPr>
          <w:rFonts w:ascii="Palatino Linotype" w:hAnsi="Palatino Linotype"/>
          <w:bCs/>
          <w:sz w:val="24"/>
          <w:szCs w:val="24"/>
          <w:lang w:val="es-ES"/>
        </w:rPr>
        <w:t xml:space="preserve"> que</w:t>
      </w:r>
      <w:r>
        <w:rPr>
          <w:rFonts w:ascii="Palatino Linotype" w:hAnsi="Palatino Linotype"/>
          <w:bCs/>
          <w:sz w:val="24"/>
          <w:szCs w:val="24"/>
          <w:lang w:val="es-ES"/>
        </w:rPr>
        <w:t xml:space="preserve"> </w:t>
      </w:r>
      <w:r w:rsidR="00D00192">
        <w:rPr>
          <w:rFonts w:ascii="Palatino Linotype" w:hAnsi="Palatino Linotype"/>
          <w:bCs/>
          <w:sz w:val="24"/>
          <w:szCs w:val="24"/>
          <w:lang w:val="es-ES"/>
        </w:rPr>
        <w:t>la información pública será restringida excepcionalmente cuando por razones de interés público, ésta sea clasificada como reservada, estableciendo una serie de supuestos</w:t>
      </w:r>
      <w:r w:rsidR="00982B8C">
        <w:rPr>
          <w:rFonts w:ascii="Palatino Linotype" w:hAnsi="Palatino Linotype"/>
          <w:bCs/>
          <w:sz w:val="24"/>
          <w:szCs w:val="24"/>
          <w:lang w:val="es-ES"/>
        </w:rPr>
        <w:t xml:space="preserve"> entre los que se encuentran cu</w:t>
      </w:r>
      <w:r w:rsidR="00D00192">
        <w:rPr>
          <w:rFonts w:ascii="Palatino Linotype" w:hAnsi="Palatino Linotype"/>
          <w:bCs/>
          <w:sz w:val="24"/>
          <w:szCs w:val="24"/>
          <w:lang w:val="es-ES"/>
        </w:rPr>
        <w:t>a</w:t>
      </w:r>
      <w:r w:rsidR="00982B8C">
        <w:rPr>
          <w:rFonts w:ascii="Palatino Linotype" w:hAnsi="Palatino Linotype"/>
          <w:bCs/>
          <w:sz w:val="24"/>
          <w:szCs w:val="24"/>
          <w:lang w:val="es-ES"/>
        </w:rPr>
        <w:t>n</w:t>
      </w:r>
      <w:r w:rsidR="00D00192">
        <w:rPr>
          <w:rFonts w:ascii="Palatino Linotype" w:hAnsi="Palatino Linotype"/>
          <w:bCs/>
          <w:sz w:val="24"/>
          <w:szCs w:val="24"/>
          <w:lang w:val="es-ES"/>
        </w:rPr>
        <w:t xml:space="preserve">do </w:t>
      </w:r>
      <w:r w:rsidR="00D00192" w:rsidRPr="00D00192">
        <w:rPr>
          <w:rFonts w:ascii="Palatino Linotype" w:hAnsi="Palatino Linotype"/>
          <w:bCs/>
          <w:sz w:val="24"/>
          <w:szCs w:val="24"/>
          <w:lang w:val="es-ES"/>
        </w:rPr>
        <w:lastRenderedPageBreak/>
        <w:t>afecte o vulnere la conducción o los derechos del debido proceso en los procedimientos judiciales o administrativos, incluidos los de quejas, denuncias, inconformidades, responsabilidades administrativas y resarcitorias en tanto no hayan quedado firmes</w:t>
      </w:r>
      <w:r w:rsidR="00D00192">
        <w:rPr>
          <w:rFonts w:ascii="Palatino Linotype" w:hAnsi="Palatino Linotype"/>
          <w:bCs/>
          <w:sz w:val="24"/>
          <w:szCs w:val="24"/>
          <w:lang w:val="es-ES"/>
        </w:rPr>
        <w:t>, así como l</w:t>
      </w:r>
      <w:r w:rsidR="00D00192" w:rsidRPr="00D00192">
        <w:rPr>
          <w:rFonts w:ascii="Palatino Linotype" w:hAnsi="Palatino Linotype"/>
          <w:bCs/>
          <w:sz w:val="24"/>
          <w:szCs w:val="24"/>
          <w:lang w:val="es-ES"/>
        </w:rPr>
        <w:t>a</w:t>
      </w:r>
      <w:r w:rsidR="00D00192">
        <w:rPr>
          <w:rFonts w:ascii="Palatino Linotype" w:hAnsi="Palatino Linotype"/>
          <w:bCs/>
          <w:sz w:val="24"/>
          <w:szCs w:val="24"/>
          <w:lang w:val="es-ES"/>
        </w:rPr>
        <w:t>s</w:t>
      </w:r>
      <w:r w:rsidR="00D00192" w:rsidRPr="00D00192">
        <w:rPr>
          <w:rFonts w:ascii="Palatino Linotype" w:hAnsi="Palatino Linotype"/>
          <w:bCs/>
          <w:sz w:val="24"/>
          <w:szCs w:val="24"/>
          <w:lang w:val="es-ES"/>
        </w:rPr>
        <w:t xml:space="preserve"> que contengan las opiniones, recomendaciones o puntos de vista que formen parte del proceso deliberativo de los servidores públicos, hasta en tanto sea adoptada la decisión definitiva, la cual deberá estar documentada</w:t>
      </w:r>
      <w:r w:rsidR="0079021A">
        <w:rPr>
          <w:rFonts w:ascii="Palatino Linotype" w:hAnsi="Palatino Linotype"/>
          <w:bCs/>
          <w:sz w:val="24"/>
          <w:szCs w:val="24"/>
          <w:lang w:val="es-ES"/>
        </w:rPr>
        <w:t>,</w:t>
      </w:r>
      <w:r w:rsidR="00D00192">
        <w:rPr>
          <w:rFonts w:ascii="Palatino Linotype" w:hAnsi="Palatino Linotype"/>
          <w:bCs/>
          <w:sz w:val="24"/>
          <w:szCs w:val="24"/>
          <w:lang w:val="es-ES"/>
        </w:rPr>
        <w:t xml:space="preserve"> o el daño que pueda producirse con la publicación de la información sea mayor al in</w:t>
      </w:r>
      <w:r w:rsidR="00FF06C0">
        <w:rPr>
          <w:rFonts w:ascii="Palatino Linotype" w:hAnsi="Palatino Linotype"/>
          <w:bCs/>
          <w:sz w:val="24"/>
          <w:szCs w:val="24"/>
          <w:lang w:val="es-ES"/>
        </w:rPr>
        <w:t xml:space="preserve">terés público, siempre y cuando </w:t>
      </w:r>
      <w:r w:rsidR="00D00192" w:rsidRPr="00D00192">
        <w:rPr>
          <w:rFonts w:ascii="Palatino Linotype" w:hAnsi="Palatino Linotype"/>
          <w:bCs/>
          <w:sz w:val="24"/>
          <w:szCs w:val="24"/>
          <w:lang w:val="es-ES"/>
        </w:rPr>
        <w:t>esté directamente relacionado con procesos o procedimientos administrativos o judiciales que no hayan quedado firmes</w:t>
      </w:r>
      <w:r w:rsidR="00D00192">
        <w:rPr>
          <w:rFonts w:ascii="Palatino Linotype" w:hAnsi="Palatino Linotype"/>
          <w:bCs/>
          <w:sz w:val="24"/>
          <w:szCs w:val="24"/>
          <w:lang w:val="es-ES"/>
        </w:rPr>
        <w:t>.</w:t>
      </w:r>
    </w:p>
    <w:p w:rsidR="00D00192" w:rsidRDefault="00D00192" w:rsidP="00970C65">
      <w:pPr>
        <w:spacing w:after="0" w:line="360" w:lineRule="auto"/>
        <w:jc w:val="both"/>
        <w:rPr>
          <w:rFonts w:ascii="Palatino Linotype" w:hAnsi="Palatino Linotype"/>
          <w:bCs/>
          <w:sz w:val="24"/>
          <w:szCs w:val="24"/>
          <w:lang w:val="es-ES"/>
        </w:rPr>
      </w:pPr>
    </w:p>
    <w:p w:rsidR="00617DB9" w:rsidRDefault="0049483F" w:rsidP="00303848">
      <w:pPr>
        <w:pStyle w:val="Prrafodelista"/>
        <w:autoSpaceDE w:val="0"/>
        <w:autoSpaceDN w:val="0"/>
        <w:adjustRightInd w:val="0"/>
        <w:spacing w:line="360" w:lineRule="auto"/>
        <w:ind w:left="0"/>
        <w:jc w:val="both"/>
        <w:rPr>
          <w:rFonts w:ascii="Palatino Linotype" w:hAnsi="Palatino Linotype"/>
        </w:rPr>
      </w:pPr>
      <w:r w:rsidRPr="0049483F">
        <w:rPr>
          <w:rFonts w:ascii="Palatino Linotype" w:hAnsi="Palatino Linotype"/>
        </w:rPr>
        <w:t>En esa línea de ideas, es conveniente recordar que, tanto en la respu</w:t>
      </w:r>
      <w:r w:rsidR="00FF06C0">
        <w:rPr>
          <w:rFonts w:ascii="Palatino Linotype" w:hAnsi="Palatino Linotype"/>
        </w:rPr>
        <w:t>esta primigenia, como en informe</w:t>
      </w:r>
      <w:r w:rsidRPr="0049483F">
        <w:rPr>
          <w:rFonts w:ascii="Palatino Linotype" w:hAnsi="Palatino Linotype"/>
        </w:rPr>
        <w:t xml:space="preserve"> justificado, </w:t>
      </w:r>
      <w:r w:rsidRPr="00566BE1">
        <w:rPr>
          <w:rFonts w:ascii="Palatino Linotype" w:hAnsi="Palatino Linotype"/>
          <w:b/>
        </w:rPr>
        <w:t>El Sujeto Obligado</w:t>
      </w:r>
      <w:r w:rsidRPr="0049483F">
        <w:rPr>
          <w:rFonts w:ascii="Palatino Linotype" w:hAnsi="Palatino Linotype"/>
        </w:rPr>
        <w:t>, manifestó que derivado del análisis de la solicitud ésta fue turnada al Órgano Superior de Fiscalización y a la Contraloría del Poder Legislativo, mismos que respondieron</w:t>
      </w:r>
      <w:r>
        <w:rPr>
          <w:rFonts w:ascii="Palatino Linotype" w:hAnsi="Palatino Linotype"/>
        </w:rPr>
        <w:t xml:space="preserve"> en cuanto a la información susceptible de entregar, obteniendo lo siguiente:</w:t>
      </w:r>
    </w:p>
    <w:p w:rsidR="0049483F" w:rsidRDefault="0049483F" w:rsidP="00303848">
      <w:pPr>
        <w:pStyle w:val="Prrafodelista"/>
        <w:autoSpaceDE w:val="0"/>
        <w:autoSpaceDN w:val="0"/>
        <w:adjustRightInd w:val="0"/>
        <w:spacing w:line="360" w:lineRule="auto"/>
        <w:ind w:left="0"/>
        <w:jc w:val="both"/>
        <w:rPr>
          <w:rFonts w:ascii="Palatino Linotype" w:hAnsi="Palatino Linotype"/>
        </w:rPr>
      </w:pPr>
    </w:p>
    <w:p w:rsidR="0049483F" w:rsidRDefault="0049483F" w:rsidP="0030384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respecta a la respuesta emitida por la Contraloría del Poder Legislativo, remitió la información relativa al expediente D-204/2017, del cual, se entiende es el único que ya causó estado y susceptible de ser entregado, mismo </w:t>
      </w:r>
      <w:r w:rsidR="00030D5F">
        <w:rPr>
          <w:rFonts w:ascii="Palatino Linotype" w:hAnsi="Palatino Linotype"/>
        </w:rPr>
        <w:t>d</w:t>
      </w:r>
      <w:r>
        <w:rPr>
          <w:rFonts w:ascii="Palatino Linotype" w:hAnsi="Palatino Linotype"/>
        </w:rPr>
        <w:t>el que se desprende la información siguiente:</w:t>
      </w:r>
    </w:p>
    <w:p w:rsidR="00030D5F" w:rsidRDefault="00030D5F" w:rsidP="0030384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noProof/>
          <w:lang w:val="es-MX" w:eastAsia="es-MX"/>
        </w:rPr>
        <w:lastRenderedPageBreak/>
        <w:drawing>
          <wp:inline distT="0" distB="0" distL="0" distR="0" wp14:anchorId="1EFAD015" wp14:editId="170D6942">
            <wp:extent cx="5274733" cy="1303121"/>
            <wp:effectExtent l="190500" t="190500" r="193040" b="1828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4702" cy="1305584"/>
                    </a:xfrm>
                    <a:prstGeom prst="rect">
                      <a:avLst/>
                    </a:prstGeom>
                    <a:noFill/>
                    <a:ln>
                      <a:noFill/>
                    </a:ln>
                    <a:effectLst>
                      <a:outerShdw blurRad="190500" algn="ctr" rotWithShape="0">
                        <a:prstClr val="black">
                          <a:alpha val="70000"/>
                        </a:prstClr>
                      </a:outerShdw>
                    </a:effectLst>
                  </pic:spPr>
                </pic:pic>
              </a:graphicData>
            </a:graphic>
          </wp:inline>
        </w:drawing>
      </w:r>
    </w:p>
    <w:p w:rsidR="0049483F" w:rsidRDefault="00030D5F" w:rsidP="0030384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la imagen antes referida podemos advertir que al hacer un comparativo sobre los puntos requeridos por el hoy </w:t>
      </w:r>
      <w:r w:rsidRPr="00566BE1">
        <w:rPr>
          <w:rFonts w:ascii="Palatino Linotype" w:hAnsi="Palatino Linotype"/>
          <w:b/>
        </w:rPr>
        <w:t>Recurrente</w:t>
      </w:r>
      <w:r>
        <w:rPr>
          <w:rFonts w:ascii="Palatino Linotype" w:hAnsi="Palatino Linotype"/>
        </w:rPr>
        <w:t xml:space="preserve">, colma la pretensión del mismo por lo que hace al expediente susceptible de ser entregado, lo anterior derivado que del cuadro remitido por </w:t>
      </w:r>
      <w:r w:rsidRPr="00566BE1">
        <w:rPr>
          <w:rFonts w:ascii="Palatino Linotype" w:hAnsi="Palatino Linotype"/>
          <w:b/>
        </w:rPr>
        <w:t>El Sujeto Obligado</w:t>
      </w:r>
      <w:r>
        <w:rPr>
          <w:rFonts w:ascii="Palatino Linotype" w:hAnsi="Palatino Linotype"/>
        </w:rPr>
        <w:t xml:space="preserve"> se desprende la información relativa a la queja, quejoso, medida de apremio y descripción de la sanción, ya que la cantidad de multa y resarcitorio no aplican al presente supuesto, debido a que el resultado del procedimiento fue una amonestación. </w:t>
      </w:r>
    </w:p>
    <w:p w:rsidR="00030D5F" w:rsidRDefault="00030D5F" w:rsidP="00303848">
      <w:pPr>
        <w:pStyle w:val="Prrafodelista"/>
        <w:autoSpaceDE w:val="0"/>
        <w:autoSpaceDN w:val="0"/>
        <w:adjustRightInd w:val="0"/>
        <w:spacing w:line="360" w:lineRule="auto"/>
        <w:ind w:left="0"/>
        <w:jc w:val="both"/>
        <w:rPr>
          <w:rFonts w:ascii="Palatino Linotype" w:hAnsi="Palatino Linotype"/>
        </w:rPr>
      </w:pPr>
    </w:p>
    <w:p w:rsidR="00030D5F" w:rsidRDefault="00030D5F" w:rsidP="0030384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Ahora bien, por lo que respecta a la respuesta emitida por el Órgano Superior de Fiscalización</w:t>
      </w:r>
      <w:r w:rsidR="00626A04">
        <w:rPr>
          <w:rFonts w:ascii="Palatino Linotype" w:hAnsi="Palatino Linotype"/>
        </w:rPr>
        <w:t>, remitió diversos procedimientos  de los cuales</w:t>
      </w:r>
      <w:r>
        <w:rPr>
          <w:rFonts w:ascii="Palatino Linotype" w:hAnsi="Palatino Linotype"/>
        </w:rPr>
        <w:t xml:space="preserve"> </w:t>
      </w:r>
      <w:r w:rsidR="00626A04">
        <w:rPr>
          <w:rFonts w:ascii="Palatino Linotype" w:hAnsi="Palatino Linotype"/>
        </w:rPr>
        <w:t>ya causaron estado y por lo tanto son susceptibles de ser entregados, mismos de los cuales se desprende la siguiente información:</w:t>
      </w:r>
    </w:p>
    <w:p w:rsidR="00626A04" w:rsidRDefault="00626A04" w:rsidP="00303848">
      <w:pPr>
        <w:pStyle w:val="Prrafodelista"/>
        <w:autoSpaceDE w:val="0"/>
        <w:autoSpaceDN w:val="0"/>
        <w:adjustRightInd w:val="0"/>
        <w:spacing w:line="360" w:lineRule="auto"/>
        <w:ind w:left="0"/>
        <w:jc w:val="both"/>
        <w:rPr>
          <w:rFonts w:ascii="Palatino Linotype" w:hAnsi="Palatino Linotype"/>
        </w:rPr>
      </w:pPr>
      <w:r w:rsidRPr="00A26BA8">
        <w:rPr>
          <w:rFonts w:ascii="Palatino Linotype" w:hAnsi="Palatino Linotype" w:cs="Arial"/>
          <w:noProof/>
          <w:lang w:val="es-MX" w:eastAsia="es-MX"/>
        </w:rPr>
        <w:drawing>
          <wp:inline distT="0" distB="0" distL="0" distR="0" wp14:anchorId="25845DB0" wp14:editId="620AEE05">
            <wp:extent cx="5137184" cy="1261533"/>
            <wp:effectExtent l="190500" t="171450" r="177800" b="1676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9812" cy="1264634"/>
                    </a:xfrm>
                    <a:prstGeom prst="rect">
                      <a:avLst/>
                    </a:prstGeom>
                    <a:noFill/>
                    <a:ln>
                      <a:noFill/>
                    </a:ln>
                    <a:effectLst>
                      <a:outerShdw blurRad="190500" algn="ctr" rotWithShape="0">
                        <a:prstClr val="black">
                          <a:alpha val="70000"/>
                        </a:prstClr>
                      </a:outerShdw>
                    </a:effectLst>
                  </pic:spPr>
                </pic:pic>
              </a:graphicData>
            </a:graphic>
          </wp:inline>
        </w:drawing>
      </w:r>
    </w:p>
    <w:p w:rsidR="00626A04" w:rsidRDefault="00626A04" w:rsidP="0030384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De la imagen antes referida, podemos advertir en cuanto a los procedimientos que arguye </w:t>
      </w:r>
      <w:r w:rsidRPr="00566BE1">
        <w:rPr>
          <w:rFonts w:ascii="Palatino Linotype" w:hAnsi="Palatino Linotype"/>
          <w:b/>
        </w:rPr>
        <w:t>El Sujeto Obligado</w:t>
      </w:r>
      <w:r>
        <w:rPr>
          <w:rFonts w:ascii="Palatino Linotype" w:hAnsi="Palatino Linotype"/>
        </w:rPr>
        <w:t xml:space="preserve"> que ya causaron estado, no colma del todo la pretensión del hoy </w:t>
      </w:r>
      <w:r w:rsidRPr="00566BE1">
        <w:rPr>
          <w:rFonts w:ascii="Palatino Linotype" w:hAnsi="Palatino Linotype"/>
          <w:b/>
        </w:rPr>
        <w:t>Recurrente</w:t>
      </w:r>
      <w:r>
        <w:rPr>
          <w:rFonts w:ascii="Palatino Linotype" w:hAnsi="Palatino Linotype"/>
        </w:rPr>
        <w:t xml:space="preserve">, toda vez que si bien en dos de ellos hace referencia a </w:t>
      </w:r>
      <w:r w:rsidRPr="00626A04">
        <w:rPr>
          <w:rFonts w:ascii="Palatino Linotype" w:hAnsi="Palatino Linotype"/>
        </w:rPr>
        <w:t>la información relativa a la queja, quejoso, medida de apremio y descripción de la sanción</w:t>
      </w:r>
      <w:r>
        <w:rPr>
          <w:rFonts w:ascii="Palatino Linotype" w:hAnsi="Palatino Linotype"/>
        </w:rPr>
        <w:t xml:space="preserve">, se informa que el resultado es “sin efectos” y por lo tanto no aplican los puntos relativos a cantidad de la multa o resarcitorio. Situación que no se comparte con el tercer supuesto, ya que se informa que el resultado del procedimiento referido </w:t>
      </w:r>
      <w:r w:rsidR="00F03EFE">
        <w:rPr>
          <w:rFonts w:ascii="Palatino Linotype" w:hAnsi="Palatino Linotype"/>
        </w:rPr>
        <w:t>causó en la erogación de un pago, y por lo tanto no se atendió el punto petitorio referente a la cantidad de la multa o resarcitorio.</w:t>
      </w:r>
    </w:p>
    <w:p w:rsidR="00F03EFE" w:rsidRDefault="00F03EFE" w:rsidP="00303848">
      <w:pPr>
        <w:pStyle w:val="Prrafodelista"/>
        <w:autoSpaceDE w:val="0"/>
        <w:autoSpaceDN w:val="0"/>
        <w:adjustRightInd w:val="0"/>
        <w:spacing w:line="360" w:lineRule="auto"/>
        <w:ind w:left="0"/>
        <w:jc w:val="both"/>
        <w:rPr>
          <w:rFonts w:ascii="Palatino Linotype" w:hAnsi="Palatino Linotype"/>
        </w:rPr>
      </w:pPr>
    </w:p>
    <w:p w:rsidR="00F03EFE" w:rsidRDefault="00F03EFE" w:rsidP="00303848">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Por lo anterior, re</w:t>
      </w:r>
      <w:r w:rsidR="00566BE1">
        <w:rPr>
          <w:rFonts w:ascii="Palatino Linotype" w:hAnsi="Palatino Linotype"/>
        </w:rPr>
        <w:t xml:space="preserve">sulta conveniente recordar que </w:t>
      </w:r>
      <w:r w:rsidR="00566BE1" w:rsidRPr="00566BE1">
        <w:rPr>
          <w:rFonts w:ascii="Palatino Linotype" w:hAnsi="Palatino Linotype"/>
          <w:b/>
        </w:rPr>
        <w:t>E</w:t>
      </w:r>
      <w:r w:rsidRPr="00566BE1">
        <w:rPr>
          <w:rFonts w:ascii="Palatino Linotype" w:hAnsi="Palatino Linotype"/>
          <w:b/>
        </w:rPr>
        <w:t>l Sujeto Obligado</w:t>
      </w:r>
      <w:r>
        <w:rPr>
          <w:rFonts w:ascii="Palatino Linotype" w:hAnsi="Palatino Linotype"/>
        </w:rPr>
        <w:t xml:space="preserve"> refirió que es su atribución el imponer medios de apremio, que sustancialmente consisten en una multa de 10 a 100 veces el valor de la unidad de medida y actualización vigente como se puede apreciar en la imagen que a continuación se inserta:</w:t>
      </w:r>
    </w:p>
    <w:p w:rsidR="00F03EFE" w:rsidRDefault="00F03EFE" w:rsidP="00303848">
      <w:pPr>
        <w:pStyle w:val="Prrafodelista"/>
        <w:autoSpaceDE w:val="0"/>
        <w:autoSpaceDN w:val="0"/>
        <w:adjustRightInd w:val="0"/>
        <w:spacing w:line="360" w:lineRule="auto"/>
        <w:ind w:left="0"/>
        <w:jc w:val="both"/>
        <w:rPr>
          <w:rFonts w:ascii="Palatino Linotype" w:hAnsi="Palatino Linotype"/>
        </w:rPr>
      </w:pPr>
      <w:r w:rsidRPr="00F03EFE">
        <w:rPr>
          <w:rFonts w:ascii="Palatino Linotype" w:hAnsi="Palatino Linotype"/>
          <w:noProof/>
          <w:lang w:val="es-MX" w:eastAsia="es-MX"/>
        </w:rPr>
        <w:drawing>
          <wp:inline distT="0" distB="0" distL="0" distR="0">
            <wp:extent cx="5511800" cy="491413"/>
            <wp:effectExtent l="190500" t="171450" r="165100" b="1758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4430" cy="496105"/>
                    </a:xfrm>
                    <a:prstGeom prst="rect">
                      <a:avLst/>
                    </a:prstGeom>
                    <a:noFill/>
                    <a:ln>
                      <a:noFill/>
                    </a:ln>
                    <a:effectLst>
                      <a:outerShdw blurRad="190500" algn="ctr" rotWithShape="0">
                        <a:prstClr val="black">
                          <a:alpha val="70000"/>
                        </a:prstClr>
                      </a:outerShdw>
                    </a:effectLst>
                  </pic:spPr>
                </pic:pic>
              </a:graphicData>
            </a:graphic>
          </wp:inline>
        </w:drawing>
      </w:r>
    </w:p>
    <w:p w:rsidR="00303848" w:rsidRDefault="00F03EFE" w:rsidP="001E4F19">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antes expuesto, se colige que respecto del tercer supuesto de procedimientos remitidos por </w:t>
      </w:r>
      <w:r w:rsidRPr="00566BE1">
        <w:rPr>
          <w:rFonts w:ascii="Palatino Linotype" w:hAnsi="Palatino Linotype"/>
          <w:b/>
        </w:rPr>
        <w:t>El Sujeto Obligado</w:t>
      </w:r>
      <w:r>
        <w:rPr>
          <w:rFonts w:ascii="Palatino Linotype" w:hAnsi="Palatino Linotype"/>
        </w:rPr>
        <w:t>, resulta dable ordenar la entrega de la cantidad de la multa por concepto de la omisión de la presentación del cuestionario de protección civil y atlas de riesgos</w:t>
      </w:r>
      <w:r w:rsidR="00566BE1">
        <w:rPr>
          <w:rFonts w:ascii="Palatino Linotype" w:hAnsi="Palatino Linotype"/>
        </w:rPr>
        <w:t xml:space="preserve"> por parte del servidor público referido en la solicitud de información,</w:t>
      </w:r>
      <w:r>
        <w:rPr>
          <w:rFonts w:ascii="Palatino Linotype" w:hAnsi="Palatino Linotype"/>
        </w:rPr>
        <w:t xml:space="preserve"> correspondiente al periodo del dos mil diecisie</w:t>
      </w:r>
      <w:r w:rsidR="00285F1B">
        <w:rPr>
          <w:rFonts w:ascii="Palatino Linotype" w:hAnsi="Palatino Linotype"/>
        </w:rPr>
        <w:t>te, en caso de ser procedente, en versión pública.</w:t>
      </w:r>
    </w:p>
    <w:p w:rsidR="00F03EFE" w:rsidRDefault="00F03EFE" w:rsidP="001E4F19">
      <w:pPr>
        <w:pStyle w:val="Prrafodelista"/>
        <w:autoSpaceDE w:val="0"/>
        <w:autoSpaceDN w:val="0"/>
        <w:adjustRightInd w:val="0"/>
        <w:spacing w:line="360" w:lineRule="auto"/>
        <w:ind w:left="0"/>
        <w:jc w:val="both"/>
        <w:rPr>
          <w:rFonts w:ascii="Palatino Linotype" w:hAnsi="Palatino Linotype"/>
        </w:rPr>
      </w:pPr>
    </w:p>
    <w:p w:rsidR="00F03EFE" w:rsidRDefault="00F03EFE" w:rsidP="001E4F19">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rPr>
        <w:lastRenderedPageBreak/>
        <w:t>Por otro lado, respecto de la respuesta emitida</w:t>
      </w:r>
      <w:r w:rsidR="00D73B4D">
        <w:rPr>
          <w:rFonts w:ascii="Palatino Linotype" w:hAnsi="Palatino Linotype"/>
        </w:rPr>
        <w:t xml:space="preserve"> en cuanto a la información que no es susceptible de ser entregada al particular, por ser relativa a expedientes de los cuales se encuentran en trámite al encuadrar en el supuesto de procesos o procedimientos relacionados con </w:t>
      </w:r>
      <w:r w:rsidR="00D73B4D" w:rsidRPr="00D00192">
        <w:rPr>
          <w:rFonts w:ascii="Palatino Linotype" w:hAnsi="Palatino Linotype"/>
          <w:bCs/>
        </w:rPr>
        <w:t>quejas, denuncias, inconformidades, responsabilidades administrativas y resarcitorias en tanto no hayan quedado firmes</w:t>
      </w:r>
      <w:r w:rsidR="00D73B4D">
        <w:rPr>
          <w:rFonts w:ascii="Palatino Linotype" w:hAnsi="Palatino Linotype"/>
          <w:bCs/>
        </w:rPr>
        <w:t>, se obtiene lo siguiente:</w:t>
      </w:r>
    </w:p>
    <w:p w:rsidR="00D73B4D" w:rsidRDefault="00D73B4D" w:rsidP="001E4F19">
      <w:pPr>
        <w:pStyle w:val="Prrafodelista"/>
        <w:autoSpaceDE w:val="0"/>
        <w:autoSpaceDN w:val="0"/>
        <w:adjustRightInd w:val="0"/>
        <w:spacing w:line="360" w:lineRule="auto"/>
        <w:ind w:left="0"/>
        <w:jc w:val="both"/>
        <w:rPr>
          <w:rFonts w:ascii="Palatino Linotype" w:hAnsi="Palatino Linotype"/>
        </w:rPr>
      </w:pPr>
    </w:p>
    <w:p w:rsidR="00D73B4D" w:rsidRDefault="00D73B4D" w:rsidP="001E4F19">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parte de </w:t>
      </w:r>
      <w:r w:rsidRPr="00D73B4D">
        <w:rPr>
          <w:rFonts w:ascii="Palatino Linotype" w:hAnsi="Palatino Linotype"/>
        </w:rPr>
        <w:t>la respuesta emitida por la Contraloría del Poder Legislativo</w:t>
      </w:r>
      <w:r>
        <w:rPr>
          <w:rFonts w:ascii="Palatino Linotype" w:hAnsi="Palatino Linotype"/>
        </w:rPr>
        <w:t xml:space="preserve"> manifiesta que existen seis expedientes de Procedimiento Administrativo iniciados al C. Pedro Luna Vargas, en su calidad como Presidente Municipal de Coyotepec en la administración 2016-2018</w:t>
      </w:r>
      <w:r w:rsidR="00ED46AA">
        <w:rPr>
          <w:rFonts w:ascii="Palatino Linotype" w:hAnsi="Palatino Linotype"/>
        </w:rPr>
        <w:t xml:space="preserve">, los cuales contienen las características solicitadas por el hoy </w:t>
      </w:r>
      <w:r w:rsidR="00ED46AA" w:rsidRPr="00566BE1">
        <w:rPr>
          <w:rFonts w:ascii="Palatino Linotype" w:hAnsi="Palatino Linotype"/>
          <w:b/>
        </w:rPr>
        <w:t>Recurrente</w:t>
      </w:r>
      <w:r w:rsidR="00ED46AA">
        <w:rPr>
          <w:rFonts w:ascii="Palatino Linotype" w:hAnsi="Palatino Linotype"/>
        </w:rPr>
        <w:t>, sin embargo, en virtud de que dichos procedimientos se encuentran en trámite no son susceptibles de entregar hasta no hayan causado estado, remitiendo así el siguiente cuadro:</w:t>
      </w:r>
    </w:p>
    <w:p w:rsidR="00ED46AA" w:rsidRDefault="00ED46AA" w:rsidP="00ED46AA">
      <w:pPr>
        <w:pStyle w:val="Prrafodelista"/>
        <w:autoSpaceDE w:val="0"/>
        <w:autoSpaceDN w:val="0"/>
        <w:adjustRightInd w:val="0"/>
        <w:spacing w:line="360" w:lineRule="auto"/>
        <w:ind w:left="0"/>
        <w:jc w:val="center"/>
        <w:rPr>
          <w:rFonts w:ascii="Palatino Linotype" w:hAnsi="Palatino Linotype"/>
        </w:rPr>
      </w:pPr>
      <w:r w:rsidRPr="00ED46AA">
        <w:rPr>
          <w:rFonts w:ascii="Palatino Linotype" w:hAnsi="Palatino Linotype"/>
          <w:noProof/>
          <w:lang w:val="es-MX" w:eastAsia="es-MX"/>
        </w:rPr>
        <w:drawing>
          <wp:inline distT="0" distB="0" distL="0" distR="0">
            <wp:extent cx="4562115" cy="1456266"/>
            <wp:effectExtent l="190500" t="190500" r="162560" b="1631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9190" cy="1458524"/>
                    </a:xfrm>
                    <a:prstGeom prst="rect">
                      <a:avLst/>
                    </a:prstGeom>
                    <a:noFill/>
                    <a:ln>
                      <a:noFill/>
                    </a:ln>
                    <a:effectLst>
                      <a:outerShdw blurRad="190500" algn="ctr" rotWithShape="0">
                        <a:prstClr val="black">
                          <a:alpha val="70000"/>
                        </a:prstClr>
                      </a:outerShdw>
                    </a:effectLst>
                  </pic:spPr>
                </pic:pic>
              </a:graphicData>
            </a:graphic>
          </wp:inline>
        </w:drawing>
      </w:r>
    </w:p>
    <w:p w:rsidR="005E7559" w:rsidRDefault="00ED46AA" w:rsidP="001E4F19">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Acompañado de lo anterior, </w:t>
      </w:r>
      <w:r w:rsidR="005E7559" w:rsidRPr="00566BE1">
        <w:rPr>
          <w:rFonts w:ascii="Palatino Linotype" w:hAnsi="Palatino Linotype"/>
          <w:b/>
        </w:rPr>
        <w:t>El Sujeto Obligado</w:t>
      </w:r>
      <w:r w:rsidR="005E7559">
        <w:rPr>
          <w:rFonts w:ascii="Palatino Linotype" w:hAnsi="Palatino Linotype"/>
        </w:rPr>
        <w:t xml:space="preserve">, remitió </w:t>
      </w:r>
      <w:r w:rsidR="005E7559" w:rsidRPr="005E7559">
        <w:rPr>
          <w:rFonts w:ascii="Palatino Linotype" w:hAnsi="Palatino Linotype"/>
        </w:rPr>
        <w:t>el Acta núme</w:t>
      </w:r>
      <w:r w:rsidR="005E7559">
        <w:rPr>
          <w:rFonts w:ascii="Palatino Linotype" w:hAnsi="Palatino Linotype"/>
        </w:rPr>
        <w:t>ro PLEGISLA/LIX/CT/02ªORD/2018 emitida por su</w:t>
      </w:r>
      <w:r w:rsidR="005E7559" w:rsidRPr="005E7559">
        <w:rPr>
          <w:rFonts w:ascii="Palatino Linotype" w:hAnsi="Palatino Linotype"/>
        </w:rPr>
        <w:t xml:space="preserve"> Comité de Transparencia </w:t>
      </w:r>
      <w:r w:rsidR="005E7559">
        <w:rPr>
          <w:rFonts w:ascii="Palatino Linotype" w:hAnsi="Palatino Linotype"/>
        </w:rPr>
        <w:t xml:space="preserve">de fecha diecisiete de mayo de dos mil dieciocho con la cual sustenta la información clasificada </w:t>
      </w:r>
      <w:r w:rsidR="005E7559">
        <w:rPr>
          <w:rFonts w:ascii="Palatino Linotype" w:hAnsi="Palatino Linotype"/>
        </w:rPr>
        <w:lastRenderedPageBreak/>
        <w:t>como reservada en comento y sobre la cual resulta necesario realizar las siguientes precisiones.</w:t>
      </w:r>
    </w:p>
    <w:p w:rsidR="005E7559" w:rsidRDefault="005E7559" w:rsidP="001E4F19">
      <w:pPr>
        <w:pStyle w:val="Prrafodelista"/>
        <w:autoSpaceDE w:val="0"/>
        <w:autoSpaceDN w:val="0"/>
        <w:adjustRightInd w:val="0"/>
        <w:spacing w:line="360" w:lineRule="auto"/>
        <w:ind w:left="0"/>
        <w:jc w:val="both"/>
        <w:rPr>
          <w:rFonts w:ascii="Palatino Linotype" w:hAnsi="Palatino Linotype"/>
        </w:rPr>
      </w:pPr>
    </w:p>
    <w:p w:rsidR="005E7559" w:rsidRDefault="005E7559" w:rsidP="005E7559">
      <w:pPr>
        <w:pStyle w:val="Prrafodelista"/>
        <w:shd w:val="clear" w:color="auto" w:fill="FFFFFF"/>
        <w:spacing w:line="360" w:lineRule="auto"/>
        <w:ind w:left="0"/>
        <w:jc w:val="both"/>
        <w:rPr>
          <w:rFonts w:ascii="Palatino Linotype" w:hAnsi="Palatino Linotype" w:cs="Arial"/>
        </w:rPr>
      </w:pPr>
      <w:r>
        <w:rPr>
          <w:rFonts w:ascii="Palatino Linotype" w:eastAsia="Calibri" w:hAnsi="Palatino Linotype" w:cs="Arial"/>
          <w:bCs/>
          <w:color w:val="222222"/>
          <w:lang w:val="es-MX" w:eastAsia="es-MX"/>
        </w:rPr>
        <w:t xml:space="preserve">Es de señalar que el Acuerdo de </w:t>
      </w:r>
      <w:r>
        <w:rPr>
          <w:rFonts w:ascii="Palatino Linotype" w:hAnsi="Palatino Linotype" w:cs="Arial"/>
          <w:bCs/>
        </w:rPr>
        <w:t xml:space="preserve">Clasificación de la Información, remitido </w:t>
      </w:r>
      <w:r>
        <w:rPr>
          <w:rFonts w:ascii="Palatino Linotype" w:hAnsi="Palatino Linotype" w:cs="Arial"/>
          <w:b/>
          <w:bCs/>
        </w:rPr>
        <w:t>El</w:t>
      </w:r>
      <w:r>
        <w:rPr>
          <w:rFonts w:ascii="Palatino Linotype" w:hAnsi="Palatino Linotype" w:cs="Arial"/>
          <w:bCs/>
        </w:rPr>
        <w:t xml:space="preserve"> </w:t>
      </w:r>
      <w:r>
        <w:rPr>
          <w:rFonts w:ascii="Palatino Linotype" w:hAnsi="Palatino Linotype" w:cs="Arial"/>
          <w:b/>
          <w:bCs/>
        </w:rPr>
        <w:t>Sujeto Obligado</w:t>
      </w:r>
      <w:r>
        <w:rPr>
          <w:rFonts w:ascii="Palatino Linotype" w:hAnsi="Palatino Linotype" w:cs="Arial"/>
          <w:bCs/>
        </w:rPr>
        <w:t>, resulta no aplicable para el presente asunto, toda vez que, dicho acuerdo</w:t>
      </w:r>
      <w:r>
        <w:rPr>
          <w:rFonts w:ascii="Palatino Linotype" w:hAnsi="Palatino Linotype" w:cs="Arial"/>
        </w:rPr>
        <w:t xml:space="preserve"> fue emitido en fecha anterior a la solicitud de información que da origen a este recurso; asimismo, no fue realizado en atención específica, pues fue emitido en atención a una diversa solicitud; lo cual contraviene los artículos 128, 129, 132 fracción I y 134 tercer párrafo de la Ley de la materia; así como los numerales Sexto </w:t>
      </w:r>
      <w:r>
        <w:rPr>
          <w:rFonts w:ascii="Palatino Linotype" w:hAnsi="Palatino Linotype" w:cs="Arial"/>
          <w:lang w:val="es-ES_tradnl"/>
        </w:rPr>
        <w:t xml:space="preserve">al Décimo Primero de los Lineamientos Generales en materia de Clasificación y Desclasificación de la Información, así como para la elaboración de Versiones Públicas, </w:t>
      </w:r>
      <w:r>
        <w:rPr>
          <w:rFonts w:ascii="Palatino Linotype" w:hAnsi="Palatino Linotype" w:cs="Arial"/>
        </w:rPr>
        <w:t xml:space="preserve">que disponen lo siguiente: </w:t>
      </w:r>
    </w:p>
    <w:p w:rsidR="005E7559" w:rsidRDefault="005E7559" w:rsidP="005E7559">
      <w:pPr>
        <w:pStyle w:val="Prrafodelista"/>
        <w:shd w:val="clear" w:color="auto" w:fill="FFFFFF"/>
        <w:ind w:left="0"/>
        <w:jc w:val="both"/>
        <w:rPr>
          <w:rFonts w:ascii="Palatino Linotype" w:hAnsi="Palatino Linotype" w:cs="Arial"/>
        </w:rPr>
      </w:pPr>
    </w:p>
    <w:p w:rsidR="005E7559" w:rsidRDefault="005E7559" w:rsidP="005E7559">
      <w:pPr>
        <w:ind w:left="851" w:right="850"/>
        <w:jc w:val="both"/>
        <w:rPr>
          <w:rFonts w:ascii="Palatino Linotype" w:hAnsi="Palatino Linotype" w:cs="Arial"/>
          <w:i/>
          <w:color w:val="000000"/>
          <w:u w:val="single"/>
        </w:rPr>
      </w:pPr>
      <w:r>
        <w:rPr>
          <w:rFonts w:ascii="Palatino Linotype" w:hAnsi="Palatino Linotype" w:cs="Arial"/>
          <w:b/>
          <w:i/>
          <w:color w:val="000000"/>
        </w:rPr>
        <w:t>“Artículo 128.</w:t>
      </w:r>
      <w:r>
        <w:rPr>
          <w:rFonts w:ascii="Palatino Linotype" w:hAnsi="Palatino Linotype" w:cs="Arial"/>
          <w:i/>
          <w:color w:val="000000"/>
        </w:rPr>
        <w:t xml:space="preserve"> </w:t>
      </w:r>
      <w:r>
        <w:rPr>
          <w:rFonts w:ascii="Palatino Linotype" w:hAnsi="Palatino Linotype" w:cs="Arial"/>
          <w:b/>
          <w:i/>
          <w:color w:val="000000"/>
        </w:rPr>
        <w:t xml:space="preserve">En los casos en que se niegue el acceso a la información, por actualizarse alguno de los supuestos de clasificación, </w:t>
      </w:r>
      <w:r>
        <w:rPr>
          <w:rFonts w:ascii="Palatino Linotype" w:hAnsi="Palatino Linotype" w:cs="Arial"/>
          <w:b/>
          <w:i/>
          <w:color w:val="000000"/>
          <w:u w:val="single"/>
        </w:rPr>
        <w:t>el Comité de Transparencia deberá confirmar, modificar o revocar la decisión.</w:t>
      </w:r>
    </w:p>
    <w:p w:rsidR="005E7559" w:rsidRDefault="005E7559" w:rsidP="005E7559">
      <w:pPr>
        <w:ind w:left="851" w:right="850"/>
        <w:jc w:val="both"/>
        <w:rPr>
          <w:rFonts w:ascii="Palatino Linotype" w:hAnsi="Palatino Linotype" w:cs="Arial"/>
          <w:b/>
          <w:i/>
          <w:color w:val="000000"/>
        </w:rPr>
      </w:pPr>
      <w:r>
        <w:rPr>
          <w:rFonts w:ascii="Palatino Linotype" w:hAnsi="Palatino Linotype" w:cs="Arial"/>
          <w:i/>
          <w:color w:val="000000"/>
        </w:rPr>
        <w:t xml:space="preserve">Para </w:t>
      </w:r>
      <w:r>
        <w:rPr>
          <w:rFonts w:ascii="Palatino Linotype" w:hAnsi="Palatino Linotype" w:cs="Arial"/>
          <w:b/>
          <w:i/>
          <w:color w:val="000000"/>
        </w:rPr>
        <w:t>motivar la clasificación de la información</w:t>
      </w:r>
      <w:r>
        <w:rPr>
          <w:rFonts w:ascii="Palatino Linotype" w:hAnsi="Palatino Linotype" w:cs="Arial"/>
          <w:i/>
          <w:color w:val="000000"/>
        </w:rPr>
        <w:t xml:space="preserve"> y la ampliación del plazo de reserva, se </w:t>
      </w:r>
      <w:r>
        <w:rPr>
          <w:rFonts w:ascii="Palatino Linotype" w:hAnsi="Palatino Linotype" w:cs="Arial"/>
          <w:b/>
          <w:i/>
          <w:color w:val="000000"/>
        </w:rPr>
        <w:t>deberán señalar las razones, motivos o circunstancias especiales</w:t>
      </w:r>
      <w:r>
        <w:rPr>
          <w:rFonts w:ascii="Palatino Linotype" w:hAnsi="Palatino Linotype" w:cs="Arial"/>
          <w:i/>
          <w:color w:val="000000"/>
        </w:rPr>
        <w:t xml:space="preserve"> que llevaron al sujeto obligado </w:t>
      </w:r>
      <w:r>
        <w:rPr>
          <w:rFonts w:ascii="Palatino Linotype" w:hAnsi="Palatino Linotype" w:cs="Arial"/>
          <w:b/>
          <w:i/>
          <w:color w:val="000000"/>
        </w:rPr>
        <w:t>a concluir que el caso particular se ajusta al supuesto previsto por la norma legal invocada como fundamento</w:t>
      </w:r>
      <w:r>
        <w:rPr>
          <w:rFonts w:ascii="Palatino Linotype" w:hAnsi="Palatino Linotype" w:cs="Arial"/>
          <w:i/>
          <w:color w:val="000000"/>
        </w:rPr>
        <w:t xml:space="preserve">. </w:t>
      </w:r>
      <w:r>
        <w:rPr>
          <w:rFonts w:ascii="Palatino Linotype" w:hAnsi="Palatino Linotype" w:cs="Arial"/>
          <w:b/>
          <w:i/>
          <w:color w:val="000000"/>
        </w:rPr>
        <w:t>Además</w:t>
      </w:r>
      <w:r>
        <w:rPr>
          <w:rFonts w:ascii="Palatino Linotype" w:hAnsi="Palatino Linotype" w:cs="Arial"/>
          <w:i/>
          <w:color w:val="000000"/>
        </w:rPr>
        <w:t xml:space="preserve">, el sujeto obligado deberá, en todo momento, aplicar una </w:t>
      </w:r>
      <w:r>
        <w:rPr>
          <w:rFonts w:ascii="Palatino Linotype" w:hAnsi="Palatino Linotype" w:cs="Arial"/>
          <w:b/>
          <w:i/>
          <w:color w:val="000000"/>
        </w:rPr>
        <w:t>prueba de daño.</w:t>
      </w:r>
    </w:p>
    <w:p w:rsidR="005E7559" w:rsidRDefault="005E7559" w:rsidP="005E7559">
      <w:pPr>
        <w:ind w:left="851" w:right="850"/>
        <w:jc w:val="both"/>
        <w:rPr>
          <w:rFonts w:ascii="Palatino Linotype" w:hAnsi="Palatino Linotype" w:cs="Arial"/>
          <w:i/>
          <w:color w:val="000000"/>
        </w:rPr>
      </w:pPr>
      <w:r>
        <w:rPr>
          <w:rFonts w:ascii="Palatino Linotype" w:hAnsi="Palatino Linotype" w:cs="Arial"/>
          <w:i/>
          <w:color w:val="000000"/>
        </w:rPr>
        <w:t>Tratándose de aquélla información que actualice los supuestos de clasificación, deberá señalarse el plazo al que estará sujeto la reserva.</w:t>
      </w:r>
    </w:p>
    <w:p w:rsidR="005E7559" w:rsidRDefault="005E7559" w:rsidP="005E7559">
      <w:pPr>
        <w:ind w:left="851" w:right="850"/>
        <w:jc w:val="both"/>
        <w:rPr>
          <w:rFonts w:ascii="Palatino Linotype" w:hAnsi="Palatino Linotype" w:cs="Arial"/>
          <w:i/>
          <w:color w:val="000000"/>
        </w:rPr>
      </w:pPr>
      <w:r>
        <w:rPr>
          <w:rFonts w:ascii="Palatino Linotype" w:hAnsi="Palatino Linotype" w:cs="Arial"/>
          <w:b/>
          <w:i/>
          <w:color w:val="000000"/>
        </w:rPr>
        <w:t>Artículo 129.</w:t>
      </w:r>
      <w:r>
        <w:rPr>
          <w:rFonts w:ascii="Palatino Linotype" w:hAnsi="Palatino Linotype" w:cs="Arial"/>
          <w:i/>
          <w:color w:val="000000"/>
        </w:rPr>
        <w:t xml:space="preserve"> En la </w:t>
      </w:r>
      <w:r>
        <w:rPr>
          <w:rFonts w:ascii="Palatino Linotype" w:hAnsi="Palatino Linotype" w:cs="Arial"/>
          <w:b/>
          <w:i/>
          <w:color w:val="000000"/>
        </w:rPr>
        <w:t>aplicación de la prueba de daño</w:t>
      </w:r>
      <w:r>
        <w:rPr>
          <w:rFonts w:ascii="Palatino Linotype" w:hAnsi="Palatino Linotype" w:cs="Arial"/>
          <w:i/>
          <w:color w:val="000000"/>
        </w:rPr>
        <w:t>, el sujeto obligado deberá precisar las razones objetivas por las que la apertura de la información generaría una afectación, justificando que:</w:t>
      </w:r>
    </w:p>
    <w:p w:rsidR="005E7559" w:rsidRDefault="005E7559" w:rsidP="005E7559">
      <w:pPr>
        <w:ind w:left="851" w:right="850"/>
        <w:jc w:val="both"/>
        <w:rPr>
          <w:rFonts w:ascii="Palatino Linotype" w:hAnsi="Palatino Linotype" w:cs="Arial"/>
          <w:i/>
          <w:color w:val="000000"/>
        </w:rPr>
      </w:pPr>
      <w:r>
        <w:rPr>
          <w:rFonts w:ascii="Palatino Linotype" w:hAnsi="Palatino Linotype" w:cs="Arial"/>
          <w:i/>
          <w:color w:val="000000"/>
        </w:rPr>
        <w:t>I. La divulgación de la información representa un riesgo real, demostrable e identificable del perjuicio significativo al interés público o a la seguridad pública;</w:t>
      </w:r>
    </w:p>
    <w:p w:rsidR="005E7559" w:rsidRDefault="005E7559" w:rsidP="005E7559">
      <w:pPr>
        <w:ind w:left="851" w:right="850"/>
        <w:jc w:val="both"/>
        <w:rPr>
          <w:rFonts w:ascii="Palatino Linotype" w:hAnsi="Palatino Linotype" w:cs="Arial"/>
          <w:i/>
          <w:color w:val="000000"/>
        </w:rPr>
      </w:pPr>
      <w:r>
        <w:rPr>
          <w:rFonts w:ascii="Palatino Linotype" w:hAnsi="Palatino Linotype" w:cs="Arial"/>
          <w:i/>
          <w:color w:val="000000"/>
        </w:rPr>
        <w:lastRenderedPageBreak/>
        <w:t>II. El riesgo de perjuicio que supondría la divulgación supera el interés público general de que se difunda; y</w:t>
      </w:r>
    </w:p>
    <w:p w:rsidR="005E7559" w:rsidRDefault="005E7559" w:rsidP="005E7559">
      <w:pPr>
        <w:ind w:left="851" w:right="850"/>
        <w:jc w:val="both"/>
        <w:rPr>
          <w:rFonts w:ascii="Palatino Linotype" w:hAnsi="Palatino Linotype" w:cs="Arial"/>
          <w:i/>
          <w:color w:val="000000"/>
        </w:rPr>
      </w:pPr>
      <w:r>
        <w:rPr>
          <w:rFonts w:ascii="Palatino Linotype" w:hAnsi="Palatino Linotype" w:cs="Arial"/>
          <w:i/>
          <w:color w:val="000000"/>
        </w:rPr>
        <w:t>III. La limitación se adecua al principio de proporcionalidad y representa el medio menos restrictivo disponible representa el medio menos restrictivo disponible para evitar el perjuicio.</w:t>
      </w:r>
    </w:p>
    <w:p w:rsidR="005E7559" w:rsidRDefault="005E7559" w:rsidP="005E7559">
      <w:pPr>
        <w:ind w:left="851" w:right="850"/>
        <w:jc w:val="both"/>
        <w:rPr>
          <w:rFonts w:ascii="Palatino Linotype" w:hAnsi="Palatino Linotype" w:cs="Arial"/>
          <w:i/>
          <w:color w:val="000000"/>
        </w:rPr>
      </w:pPr>
      <w:r>
        <w:rPr>
          <w:rFonts w:ascii="Palatino Linotype" w:hAnsi="Palatino Linotype" w:cs="Arial"/>
          <w:b/>
          <w:i/>
          <w:color w:val="000000"/>
        </w:rPr>
        <w:t xml:space="preserve">Artículo 132. </w:t>
      </w:r>
      <w:r>
        <w:rPr>
          <w:rFonts w:ascii="Palatino Linotype" w:hAnsi="Palatino Linotype" w:cs="Arial"/>
          <w:i/>
          <w:color w:val="000000"/>
        </w:rPr>
        <w:t xml:space="preserve">La </w:t>
      </w:r>
      <w:r>
        <w:rPr>
          <w:rFonts w:ascii="Palatino Linotype" w:hAnsi="Palatino Linotype" w:cs="Arial"/>
          <w:b/>
          <w:i/>
          <w:color w:val="000000"/>
        </w:rPr>
        <w:t>clasificación de la información se llevará a cabo</w:t>
      </w:r>
      <w:r>
        <w:rPr>
          <w:rFonts w:ascii="Palatino Linotype" w:hAnsi="Palatino Linotype" w:cs="Arial"/>
          <w:i/>
          <w:color w:val="000000"/>
        </w:rPr>
        <w:t xml:space="preserve"> en el momento en que:</w:t>
      </w:r>
    </w:p>
    <w:p w:rsidR="005E7559" w:rsidRDefault="005E7559" w:rsidP="005E7559">
      <w:pPr>
        <w:ind w:left="851" w:right="850"/>
        <w:jc w:val="both"/>
        <w:rPr>
          <w:rFonts w:ascii="Palatino Linotype" w:hAnsi="Palatino Linotype" w:cs="Arial"/>
          <w:i/>
          <w:color w:val="000000"/>
        </w:rPr>
      </w:pPr>
      <w:r>
        <w:rPr>
          <w:rFonts w:ascii="Palatino Linotype" w:hAnsi="Palatino Linotype" w:cs="Arial"/>
          <w:i/>
          <w:color w:val="000000"/>
        </w:rPr>
        <w:t xml:space="preserve">I. </w:t>
      </w:r>
      <w:r>
        <w:rPr>
          <w:rFonts w:ascii="Palatino Linotype" w:hAnsi="Palatino Linotype" w:cs="Arial"/>
          <w:b/>
          <w:i/>
          <w:color w:val="000000"/>
        </w:rPr>
        <w:t>Se reciba una solicitud</w:t>
      </w:r>
      <w:r>
        <w:rPr>
          <w:rFonts w:ascii="Palatino Linotype" w:hAnsi="Palatino Linotype" w:cs="Arial"/>
          <w:i/>
          <w:color w:val="000000"/>
        </w:rPr>
        <w:t xml:space="preserve"> de acceso a la información;</w:t>
      </w:r>
    </w:p>
    <w:p w:rsidR="005E7559" w:rsidRDefault="005E7559" w:rsidP="005E7559">
      <w:pPr>
        <w:ind w:left="851" w:right="850"/>
        <w:jc w:val="both"/>
        <w:rPr>
          <w:rFonts w:ascii="Palatino Linotype" w:hAnsi="Palatino Linotype" w:cs="Arial"/>
          <w:i/>
          <w:color w:val="000000"/>
        </w:rPr>
      </w:pPr>
      <w:r>
        <w:rPr>
          <w:rFonts w:ascii="Palatino Linotype" w:hAnsi="Palatino Linotype" w:cs="Arial"/>
          <w:i/>
          <w:color w:val="000000"/>
        </w:rPr>
        <w:t>II. Se determine mediante resolución de autoridad competente; o</w:t>
      </w:r>
    </w:p>
    <w:p w:rsidR="005E7559" w:rsidRDefault="005E7559" w:rsidP="005E7559">
      <w:pPr>
        <w:ind w:left="851" w:right="850"/>
        <w:jc w:val="both"/>
        <w:rPr>
          <w:rFonts w:ascii="Palatino Linotype" w:hAnsi="Palatino Linotype" w:cs="Arial"/>
          <w:i/>
          <w:color w:val="000000"/>
        </w:rPr>
      </w:pPr>
      <w:r>
        <w:rPr>
          <w:rFonts w:ascii="Palatino Linotype" w:hAnsi="Palatino Linotype" w:cs="Arial"/>
          <w:i/>
          <w:color w:val="000000"/>
        </w:rPr>
        <w:t>III. Se generen versiones públicas para dar cumplimiento a las obligaciones de transparencia previstas en esta Ley.</w:t>
      </w:r>
    </w:p>
    <w:p w:rsidR="005E7559" w:rsidRDefault="005E7559" w:rsidP="005E7559">
      <w:pPr>
        <w:ind w:left="851" w:right="850"/>
        <w:jc w:val="both"/>
        <w:rPr>
          <w:rFonts w:ascii="Palatino Linotype" w:hAnsi="Palatino Linotype" w:cs="Arial"/>
          <w:b/>
          <w:i/>
          <w:color w:val="000000"/>
          <w:u w:val="single"/>
        </w:rPr>
      </w:pPr>
      <w:r>
        <w:rPr>
          <w:rFonts w:ascii="Palatino Linotype" w:hAnsi="Palatino Linotype" w:cs="Arial"/>
          <w:b/>
          <w:i/>
          <w:color w:val="000000"/>
          <w:u w:val="single"/>
        </w:rPr>
        <w:t>Tratándose de información reservada, los titulares de las áreas deberán revisar la clasificación al momento de la recepción de una solicitud, para verificar si subsisten las causas que le dieron origen.</w:t>
      </w:r>
    </w:p>
    <w:p w:rsidR="005E7559" w:rsidRDefault="005E7559" w:rsidP="005E7559">
      <w:pPr>
        <w:ind w:left="851" w:right="850"/>
        <w:jc w:val="both"/>
        <w:rPr>
          <w:rFonts w:ascii="Palatino Linotype" w:hAnsi="Palatino Linotype" w:cs="Arial"/>
          <w:i/>
          <w:color w:val="000000"/>
        </w:rPr>
      </w:pPr>
      <w:r>
        <w:rPr>
          <w:rFonts w:ascii="Palatino Linotype" w:hAnsi="Palatino Linotype" w:cs="Arial"/>
          <w:b/>
          <w:i/>
          <w:color w:val="000000"/>
        </w:rPr>
        <w:t>Artículo 134.</w:t>
      </w:r>
      <w:r>
        <w:rPr>
          <w:rFonts w:ascii="Palatino Linotype" w:hAnsi="Palatino Linotype" w:cs="Arial"/>
          <w:i/>
          <w:color w:val="000000"/>
        </w:rPr>
        <w:t xml:space="preserve"> …</w:t>
      </w:r>
    </w:p>
    <w:p w:rsidR="005E7559" w:rsidRDefault="005E7559" w:rsidP="005E7559">
      <w:pPr>
        <w:ind w:left="851" w:right="850"/>
        <w:jc w:val="both"/>
        <w:rPr>
          <w:rFonts w:ascii="Palatino Linotype" w:hAnsi="Palatino Linotype" w:cs="Arial"/>
          <w:b/>
          <w:i/>
          <w:color w:val="000000"/>
        </w:rPr>
      </w:pPr>
      <w:r>
        <w:rPr>
          <w:rFonts w:ascii="Palatino Linotype" w:hAnsi="Palatino Linotype" w:cs="Arial"/>
          <w:b/>
          <w:i/>
          <w:color w:val="000000"/>
        </w:rPr>
        <w:t>La clasificación de información se realizará conforme a un análisis caso por caso, mediante la aplicación de la prueba de daño.</w:t>
      </w:r>
    </w:p>
    <w:p w:rsidR="005E7559" w:rsidRDefault="005E7559" w:rsidP="005E7559">
      <w:pPr>
        <w:ind w:left="851" w:right="850"/>
        <w:jc w:val="both"/>
        <w:rPr>
          <w:rFonts w:ascii="Palatino Linotype" w:hAnsi="Palatino Linotype" w:cs="Arial"/>
          <w:b/>
          <w:i/>
          <w:color w:val="000000"/>
        </w:rPr>
      </w:pPr>
    </w:p>
    <w:p w:rsidR="005E7559" w:rsidRDefault="005E7559" w:rsidP="005E7559">
      <w:pPr>
        <w:ind w:left="851" w:right="850"/>
        <w:jc w:val="center"/>
        <w:rPr>
          <w:rFonts w:ascii="Palatino Linotype" w:hAnsi="Palatino Linotype" w:cs="Arial"/>
          <w:b/>
          <w:i/>
          <w:color w:val="000000"/>
        </w:rPr>
      </w:pPr>
      <w:r>
        <w:rPr>
          <w:rFonts w:ascii="Palatino Linotype" w:hAnsi="Palatino Linotype" w:cs="Arial"/>
          <w:b/>
          <w:i/>
          <w:color w:val="000000"/>
        </w:rPr>
        <w:t>Lineamientos Generales en materia de Clasificación y Desclasificación de la Información, así como para la elaboración de Versiones Públicas.</w:t>
      </w:r>
    </w:p>
    <w:p w:rsidR="005E7559" w:rsidRDefault="005E7559" w:rsidP="005E7559">
      <w:pPr>
        <w:ind w:left="851" w:right="850"/>
        <w:jc w:val="center"/>
        <w:rPr>
          <w:rFonts w:ascii="Palatino Linotype" w:hAnsi="Palatino Linotype" w:cs="Arial"/>
          <w:b/>
          <w:i/>
          <w:color w:val="000000"/>
        </w:rPr>
      </w:pPr>
    </w:p>
    <w:p w:rsidR="005E7559" w:rsidRDefault="005E7559" w:rsidP="005E7559">
      <w:pPr>
        <w:ind w:left="851" w:right="902"/>
        <w:jc w:val="both"/>
        <w:rPr>
          <w:rFonts w:ascii="Palatino Linotype" w:hAnsi="Palatino Linotype" w:cs="Arial"/>
          <w:i/>
          <w:lang w:eastAsia="es-MX"/>
        </w:rPr>
      </w:pPr>
      <w:r>
        <w:rPr>
          <w:rFonts w:ascii="Palatino Linotype" w:hAnsi="Palatino Linotype" w:cs="Arial"/>
          <w:b/>
          <w:i/>
          <w:lang w:eastAsia="es-MX"/>
        </w:rPr>
        <w:t>“Sexto.</w:t>
      </w:r>
      <w:r>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E7559" w:rsidRDefault="005E7559" w:rsidP="005E7559">
      <w:pPr>
        <w:ind w:left="851" w:right="902"/>
        <w:jc w:val="both"/>
        <w:rPr>
          <w:rFonts w:ascii="Palatino Linotype" w:hAnsi="Palatino Linotype" w:cs="Arial"/>
          <w:i/>
          <w:lang w:eastAsia="es-MX"/>
        </w:rPr>
      </w:pPr>
      <w:r>
        <w:rPr>
          <w:rFonts w:ascii="Palatino Linotype" w:hAnsi="Palatino Linotype" w:cs="Arial"/>
          <w:i/>
          <w:lang w:eastAsia="es-MX"/>
        </w:rPr>
        <w:t xml:space="preserve">La </w:t>
      </w:r>
      <w:r>
        <w:rPr>
          <w:rFonts w:ascii="Palatino Linotype" w:hAnsi="Palatino Linotype" w:cs="Arial"/>
          <w:b/>
          <w:i/>
          <w:u w:val="single"/>
          <w:lang w:eastAsia="es-MX"/>
        </w:rPr>
        <w:t>clasificación de información se realizará conforme a un análisis caso por caso</w:t>
      </w:r>
      <w:r>
        <w:rPr>
          <w:rFonts w:ascii="Palatino Linotype" w:hAnsi="Palatino Linotype" w:cs="Arial"/>
          <w:i/>
          <w:lang w:eastAsia="es-MX"/>
        </w:rPr>
        <w:t xml:space="preserve">, </w:t>
      </w:r>
      <w:r>
        <w:rPr>
          <w:rFonts w:ascii="Palatino Linotype" w:hAnsi="Palatino Linotype" w:cs="Arial"/>
          <w:b/>
          <w:i/>
          <w:lang w:eastAsia="es-MX"/>
        </w:rPr>
        <w:t>mediante la aplicación de la prueba de daño y de interés público</w:t>
      </w:r>
      <w:r>
        <w:rPr>
          <w:rFonts w:ascii="Palatino Linotype" w:hAnsi="Palatino Linotype" w:cs="Arial"/>
          <w:i/>
          <w:lang w:eastAsia="es-MX"/>
        </w:rPr>
        <w:t>.</w:t>
      </w:r>
    </w:p>
    <w:p w:rsidR="005E7559" w:rsidRDefault="005E7559" w:rsidP="005E7559">
      <w:pPr>
        <w:ind w:left="851" w:right="902"/>
        <w:jc w:val="both"/>
        <w:rPr>
          <w:rFonts w:ascii="Palatino Linotype" w:hAnsi="Palatino Linotype" w:cs="Arial"/>
          <w:i/>
          <w:lang w:eastAsia="es-MX"/>
        </w:rPr>
      </w:pPr>
      <w:r>
        <w:rPr>
          <w:rFonts w:ascii="Palatino Linotype" w:hAnsi="Palatino Linotype" w:cs="Arial"/>
          <w:b/>
          <w:i/>
          <w:lang w:eastAsia="es-MX"/>
        </w:rPr>
        <w:t>Séptimo.</w:t>
      </w:r>
      <w:r>
        <w:rPr>
          <w:rFonts w:ascii="Palatino Linotype" w:hAnsi="Palatino Linotype" w:cs="Arial"/>
          <w:i/>
          <w:lang w:eastAsia="es-MX"/>
        </w:rPr>
        <w:t xml:space="preserve"> La </w:t>
      </w:r>
      <w:r>
        <w:rPr>
          <w:rFonts w:ascii="Palatino Linotype" w:hAnsi="Palatino Linotype" w:cs="Arial"/>
          <w:b/>
          <w:i/>
          <w:lang w:eastAsia="es-MX"/>
        </w:rPr>
        <w:t>clasificación de la información se llevará a cabo</w:t>
      </w:r>
      <w:r>
        <w:rPr>
          <w:rFonts w:ascii="Palatino Linotype" w:hAnsi="Palatino Linotype" w:cs="Arial"/>
          <w:i/>
          <w:lang w:eastAsia="es-MX"/>
        </w:rPr>
        <w:t xml:space="preserve"> en el momento en que:</w:t>
      </w:r>
    </w:p>
    <w:p w:rsidR="005E7559" w:rsidRDefault="005E7559" w:rsidP="005E7559">
      <w:pPr>
        <w:ind w:left="851" w:right="902"/>
        <w:jc w:val="both"/>
        <w:rPr>
          <w:rFonts w:ascii="Palatino Linotype" w:hAnsi="Palatino Linotype" w:cs="Arial"/>
          <w:i/>
          <w:lang w:eastAsia="es-MX"/>
        </w:rPr>
      </w:pPr>
      <w:r>
        <w:rPr>
          <w:rFonts w:ascii="Palatino Linotype" w:hAnsi="Palatino Linotype" w:cs="Arial"/>
          <w:b/>
          <w:i/>
          <w:lang w:eastAsia="es-MX"/>
        </w:rPr>
        <w:lastRenderedPageBreak/>
        <w:t>I.</w:t>
      </w:r>
      <w:r>
        <w:rPr>
          <w:rFonts w:ascii="Palatino Linotype" w:hAnsi="Palatino Linotype" w:cs="Arial"/>
          <w:i/>
          <w:lang w:eastAsia="es-MX"/>
        </w:rPr>
        <w:t xml:space="preserve"> </w:t>
      </w:r>
      <w:r>
        <w:rPr>
          <w:rFonts w:ascii="Palatino Linotype" w:hAnsi="Palatino Linotype" w:cs="Arial"/>
          <w:b/>
          <w:i/>
          <w:lang w:eastAsia="es-MX"/>
        </w:rPr>
        <w:t>Se reciba una solicitud de acceso a la información</w:t>
      </w:r>
      <w:r>
        <w:rPr>
          <w:rFonts w:ascii="Palatino Linotype" w:hAnsi="Palatino Linotype" w:cs="Arial"/>
          <w:i/>
          <w:lang w:eastAsia="es-MX"/>
        </w:rPr>
        <w:t>;</w:t>
      </w:r>
    </w:p>
    <w:p w:rsidR="005E7559" w:rsidRDefault="005E7559" w:rsidP="005E7559">
      <w:pPr>
        <w:ind w:left="851" w:right="902"/>
        <w:jc w:val="both"/>
        <w:rPr>
          <w:rFonts w:ascii="Palatino Linotype" w:hAnsi="Palatino Linotype" w:cs="Arial"/>
          <w:i/>
          <w:lang w:eastAsia="es-MX"/>
        </w:rPr>
      </w:pPr>
      <w:r>
        <w:rPr>
          <w:rFonts w:ascii="Palatino Linotype" w:hAnsi="Palatino Linotype" w:cs="Arial"/>
          <w:b/>
          <w:i/>
          <w:lang w:eastAsia="es-MX"/>
        </w:rPr>
        <w:t>II.</w:t>
      </w:r>
      <w:r>
        <w:rPr>
          <w:rFonts w:ascii="Palatino Linotype" w:hAnsi="Palatino Linotype" w:cs="Arial"/>
          <w:i/>
          <w:lang w:eastAsia="es-MX"/>
        </w:rPr>
        <w:t xml:space="preserve"> Se determine mediante resolución de autoridad competente, o</w:t>
      </w:r>
    </w:p>
    <w:p w:rsidR="005E7559" w:rsidRDefault="005E7559" w:rsidP="005E7559">
      <w:pPr>
        <w:ind w:left="851" w:right="902"/>
        <w:jc w:val="both"/>
        <w:rPr>
          <w:rFonts w:ascii="Palatino Linotype" w:hAnsi="Palatino Linotype" w:cs="Arial"/>
          <w:i/>
          <w:lang w:eastAsia="es-MX"/>
        </w:rPr>
      </w:pPr>
      <w:r>
        <w:rPr>
          <w:rFonts w:ascii="Palatino Linotype" w:hAnsi="Palatino Linotype" w:cs="Arial"/>
          <w:b/>
          <w:i/>
          <w:lang w:eastAsia="es-MX"/>
        </w:rPr>
        <w:t>III.</w:t>
      </w:r>
      <w:r>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rsidR="005E7559" w:rsidRDefault="005E7559" w:rsidP="005E7559">
      <w:pPr>
        <w:ind w:left="851" w:right="902"/>
        <w:jc w:val="both"/>
        <w:rPr>
          <w:rFonts w:ascii="Palatino Linotype" w:hAnsi="Palatino Linotype" w:cs="Arial"/>
          <w:i/>
          <w:lang w:eastAsia="es-MX"/>
        </w:rPr>
      </w:pPr>
      <w:r>
        <w:rPr>
          <w:rFonts w:ascii="Palatino Linotype"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rsidR="005E7559" w:rsidRDefault="005E7559" w:rsidP="005E7559">
      <w:pPr>
        <w:ind w:left="851" w:right="902"/>
        <w:jc w:val="both"/>
        <w:rPr>
          <w:rFonts w:ascii="Palatino Linotype" w:hAnsi="Palatino Linotype" w:cs="Arial"/>
          <w:i/>
          <w:lang w:eastAsia="es-MX"/>
        </w:rPr>
      </w:pPr>
      <w:r>
        <w:rPr>
          <w:rFonts w:ascii="Palatino Linotype" w:hAnsi="Palatino Linotype" w:cs="Arial"/>
          <w:b/>
          <w:i/>
          <w:lang w:eastAsia="es-MX"/>
        </w:rPr>
        <w:t>Octavo.</w:t>
      </w:r>
      <w:r>
        <w:rPr>
          <w:rFonts w:ascii="Palatino Linotype" w:hAnsi="Palatino Linotype" w:cs="Arial"/>
          <w:i/>
          <w:lang w:eastAsia="es-MX"/>
        </w:rPr>
        <w:t xml:space="preserve"> Para </w:t>
      </w:r>
      <w:r>
        <w:rPr>
          <w:rFonts w:ascii="Palatino Linotype" w:hAnsi="Palatino Linotype" w:cs="Arial"/>
          <w:b/>
          <w:i/>
          <w:lang w:eastAsia="es-MX"/>
        </w:rPr>
        <w:t>fundar la clasificación de la información se debe señalar el artículo, fracción, inciso, párrafo o numeral de la ley o tratado internacional suscrito por el Estado mexicano que expresamente le otorga el carácter de reservada</w:t>
      </w:r>
      <w:r>
        <w:rPr>
          <w:rFonts w:ascii="Palatino Linotype" w:hAnsi="Palatino Linotype" w:cs="Arial"/>
          <w:i/>
          <w:lang w:eastAsia="es-MX"/>
        </w:rPr>
        <w:t xml:space="preserve"> o confidencial.</w:t>
      </w:r>
    </w:p>
    <w:p w:rsidR="005E7559" w:rsidRDefault="005E7559" w:rsidP="005E7559">
      <w:pPr>
        <w:ind w:left="851" w:right="902"/>
        <w:jc w:val="both"/>
        <w:rPr>
          <w:rFonts w:ascii="Palatino Linotype" w:hAnsi="Palatino Linotype" w:cs="Arial"/>
          <w:b/>
          <w:i/>
          <w:u w:val="single"/>
          <w:lang w:eastAsia="es-MX"/>
        </w:rPr>
      </w:pPr>
      <w:r>
        <w:rPr>
          <w:rFonts w:ascii="Palatino Linotype" w:hAnsi="Palatino Linotype" w:cs="Arial"/>
          <w:b/>
          <w:i/>
          <w:lang w:eastAsia="es-MX"/>
        </w:rPr>
        <w:t>Para motivar la clasificación</w:t>
      </w:r>
      <w:r>
        <w:rPr>
          <w:rFonts w:ascii="Palatino Linotype" w:hAnsi="Palatino Linotype" w:cs="Arial"/>
          <w:i/>
          <w:lang w:eastAsia="es-MX"/>
        </w:rPr>
        <w:t xml:space="preserve"> se deberán </w:t>
      </w:r>
      <w:r>
        <w:rPr>
          <w:rFonts w:ascii="Palatino Linotype" w:hAnsi="Palatino Linotype" w:cs="Arial"/>
          <w:b/>
          <w:i/>
          <w:lang w:eastAsia="es-MX"/>
        </w:rPr>
        <w:t xml:space="preserve">señalar las razones o circunstancias especiales que lo llevaron a concluir que el </w:t>
      </w:r>
      <w:r>
        <w:rPr>
          <w:rFonts w:ascii="Palatino Linotype" w:hAnsi="Palatino Linotype" w:cs="Arial"/>
          <w:b/>
          <w:i/>
          <w:u w:val="single"/>
          <w:lang w:eastAsia="es-MX"/>
        </w:rPr>
        <w:t>caso particular se ajusta al supuesto previsto por la norma legal invocada como fundamento.</w:t>
      </w:r>
    </w:p>
    <w:p w:rsidR="005E7559" w:rsidRDefault="005E7559" w:rsidP="005E7559">
      <w:pPr>
        <w:ind w:left="851" w:right="902"/>
        <w:jc w:val="both"/>
        <w:rPr>
          <w:rFonts w:ascii="Palatino Linotype" w:hAnsi="Palatino Linotype" w:cs="Arial"/>
          <w:i/>
          <w:lang w:eastAsia="es-MX"/>
        </w:rPr>
      </w:pPr>
      <w:r>
        <w:rPr>
          <w:rFonts w:ascii="Palatino Linotype" w:hAnsi="Palatino Linotype" w:cs="Arial"/>
          <w:i/>
          <w:lang w:eastAsia="es-MX"/>
        </w:rPr>
        <w:t>En caso de referirse a información reservada, la motivación de la clasificación también deberá comprender las circunstancias que justifican el establecimiento de determinado plazo de reserva.</w:t>
      </w:r>
    </w:p>
    <w:p w:rsidR="005E7559" w:rsidRDefault="005E7559" w:rsidP="005E7559">
      <w:pPr>
        <w:ind w:left="851" w:right="902"/>
        <w:jc w:val="both"/>
        <w:rPr>
          <w:rFonts w:ascii="Palatino Linotype" w:hAnsi="Palatino Linotype" w:cs="Arial"/>
          <w:i/>
          <w:lang w:eastAsia="es-MX"/>
        </w:rPr>
      </w:pPr>
      <w:r>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E7559" w:rsidRDefault="005E7559" w:rsidP="005E7559">
      <w:pPr>
        <w:ind w:left="851" w:right="902"/>
        <w:jc w:val="both"/>
        <w:rPr>
          <w:rFonts w:ascii="Palatino Linotype" w:hAnsi="Palatino Linotype" w:cs="Arial"/>
          <w:i/>
          <w:lang w:eastAsia="es-MX"/>
        </w:rPr>
      </w:pPr>
      <w:r>
        <w:rPr>
          <w:rFonts w:ascii="Palatino Linotype" w:hAnsi="Palatino Linotype" w:cs="Arial"/>
          <w:i/>
          <w:lang w:eastAsia="es-MX"/>
        </w:rPr>
        <w:t>Los documentos contenidos en los archivos históricos y los identificados como históricos confidenciales no serán susceptibles de clasificación como reservados.”</w:t>
      </w:r>
    </w:p>
    <w:p w:rsidR="005E7559" w:rsidRDefault="005E7559" w:rsidP="005E7559">
      <w:pPr>
        <w:ind w:right="850"/>
        <w:rPr>
          <w:rFonts w:ascii="Palatino Linotype" w:hAnsi="Palatino Linotype" w:cs="Arial"/>
          <w:b/>
          <w:i/>
          <w:color w:val="000000"/>
          <w:u w:val="single"/>
          <w:lang w:eastAsia="es-ES"/>
        </w:rPr>
      </w:pPr>
    </w:p>
    <w:p w:rsidR="005E7559" w:rsidRDefault="005E7559" w:rsidP="005E755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la normatividad transcrita, se desprende que la clasificación de información como reservada debe llevarse a cabo de manera específica para la solicitud de mérito y conforme a un análisis al caso concreto, mediante la aplicación de  la prueba de daño;  asimismo, existe obligatoriedad por parte de los Titulares de las áreas para revisar la </w:t>
      </w:r>
      <w:r>
        <w:rPr>
          <w:rFonts w:ascii="Palatino Linotype" w:hAnsi="Palatino Linotype" w:cs="Arial"/>
        </w:rPr>
        <w:lastRenderedPageBreak/>
        <w:t>clasificación al momento de que se presente una nueva solicitud, con la finalidad de verificar si subsisten las causas que dieron origen a la clasificación de que se trate.</w:t>
      </w:r>
    </w:p>
    <w:p w:rsidR="005E7559" w:rsidRDefault="005E7559" w:rsidP="005E7559">
      <w:pPr>
        <w:pStyle w:val="Prrafodelista"/>
        <w:autoSpaceDE w:val="0"/>
        <w:autoSpaceDN w:val="0"/>
        <w:adjustRightInd w:val="0"/>
        <w:spacing w:line="360" w:lineRule="auto"/>
        <w:ind w:left="0"/>
        <w:jc w:val="both"/>
        <w:rPr>
          <w:rFonts w:ascii="Palatino Linotype" w:hAnsi="Palatino Linotype" w:cs="Arial"/>
        </w:rPr>
      </w:pPr>
    </w:p>
    <w:p w:rsidR="005E7559" w:rsidRDefault="005E7559" w:rsidP="005E7559">
      <w:pPr>
        <w:pStyle w:val="Prrafodelista"/>
        <w:shd w:val="clear" w:color="auto" w:fill="FFFFFF"/>
        <w:spacing w:line="360" w:lineRule="auto"/>
        <w:ind w:left="0"/>
        <w:jc w:val="both"/>
        <w:rPr>
          <w:rFonts w:ascii="Palatino Linotype" w:hAnsi="Palatino Linotype"/>
        </w:rPr>
      </w:pPr>
      <w:r>
        <w:rPr>
          <w:rFonts w:ascii="Palatino Linotype" w:hAnsi="Palatino Linotype" w:cs="Arial"/>
        </w:rPr>
        <w:t xml:space="preserve">Atento a lo anterior, es de precisar que si bien </w:t>
      </w:r>
      <w:r w:rsidR="002D58AA">
        <w:rPr>
          <w:rFonts w:ascii="Palatino Linotype" w:hAnsi="Palatino Linotype" w:cs="Arial"/>
          <w:b/>
        </w:rPr>
        <w:t>El Sujeto Obligado</w:t>
      </w:r>
      <w:r>
        <w:rPr>
          <w:rFonts w:ascii="Palatino Linotype" w:hAnsi="Palatino Linotype" w:cs="Arial"/>
        </w:rPr>
        <w:t xml:space="preserve"> remite una resolución, a través de la cual el Comité de Transparencia del Poder Legislativo del Estado de México</w:t>
      </w:r>
      <w:r w:rsidR="002D58AA">
        <w:rPr>
          <w:rFonts w:ascii="Palatino Linotype" w:hAnsi="Palatino Linotype" w:cs="Arial"/>
        </w:rPr>
        <w:t>, mediante la cual</w:t>
      </w:r>
      <w:r>
        <w:rPr>
          <w:rFonts w:ascii="Palatino Linotype" w:hAnsi="Palatino Linotype" w:cs="Arial"/>
        </w:rPr>
        <w:t xml:space="preserve"> clasificó como información reservada los </w:t>
      </w:r>
      <w:r w:rsidR="002D58AA">
        <w:rPr>
          <w:rFonts w:ascii="Palatino Linotype" w:hAnsi="Palatino Linotype" w:cs="Arial"/>
        </w:rPr>
        <w:t>expedientes de procedimiento administrativo disciplinario D-033/2017, D-046/2017, D-148/2017, D-204/2016, Q-092/2017 y D-120/2017, tramitados ante la Contraloría del Poder Legislativo por un periodo de tres años o en tanto no hayan quedado firmes</w:t>
      </w:r>
      <w:r>
        <w:rPr>
          <w:rFonts w:ascii="Palatino Linotype" w:hAnsi="Palatino Linotype" w:cs="Arial"/>
        </w:rPr>
        <w:t>; también lo es que dicha resolución fue emitida para atender a una solicitud diversa; por lo que, este Órgano Garante determina ordenar al</w:t>
      </w:r>
      <w:r>
        <w:rPr>
          <w:rFonts w:ascii="Palatino Linotype" w:hAnsi="Palatino Linotype" w:cs="Arial"/>
          <w:b/>
        </w:rPr>
        <w:t xml:space="preserve"> </w:t>
      </w:r>
      <w:r w:rsidR="002D58AA">
        <w:rPr>
          <w:rFonts w:ascii="Palatino Linotype" w:hAnsi="Palatino Linotype" w:cs="Arial"/>
          <w:b/>
        </w:rPr>
        <w:t>Sujeto Obligado</w:t>
      </w:r>
      <w:r>
        <w:rPr>
          <w:rFonts w:ascii="Palatino Linotype" w:hAnsi="Palatino Linotype" w:cs="Arial"/>
          <w:color w:val="000000"/>
        </w:rPr>
        <w:t xml:space="preserve">, a </w:t>
      </w:r>
      <w:r>
        <w:rPr>
          <w:rFonts w:ascii="Palatino Linotype" w:hAnsi="Palatino Linotype" w:cs="Arial"/>
          <w:lang w:val="es-MX" w:eastAsia="es-MX"/>
        </w:rPr>
        <w:t>emitir a través de su Comité de Transparencia, el Acuerdo de Clasificación de la información como Reserva</w:t>
      </w:r>
      <w:r w:rsidR="00566BE1">
        <w:rPr>
          <w:rFonts w:ascii="Palatino Linotype" w:hAnsi="Palatino Linotype" w:cs="Arial"/>
          <w:lang w:val="es-MX" w:eastAsia="es-MX"/>
        </w:rPr>
        <w:t>da</w:t>
      </w:r>
      <w:r>
        <w:rPr>
          <w:rFonts w:ascii="Palatino Linotype" w:hAnsi="Palatino Linotype" w:cs="Arial"/>
          <w:lang w:val="es-MX" w:eastAsia="es-MX"/>
        </w:rPr>
        <w:t xml:space="preserve">, de ser el caso que subsistan las causas, debidamente fundado y motivado, </w:t>
      </w:r>
      <w:r>
        <w:rPr>
          <w:rFonts w:ascii="Palatino Linotype" w:hAnsi="Palatino Linotype" w:cs="Arial"/>
          <w:color w:val="000000"/>
        </w:rPr>
        <w:t xml:space="preserve">en términos de lo dispuesto en </w:t>
      </w:r>
      <w:r>
        <w:rPr>
          <w:rFonts w:ascii="Palatino Linotype" w:hAnsi="Palatino Linotype"/>
        </w:rPr>
        <w:t xml:space="preserve">los anteriormente citados artículos 128 y 129 de la Ley de Trasparencia y Acceso a la Información Pública del Estado de México y Municipios, motivando la referida clasificación al señalar las </w:t>
      </w:r>
      <w:r w:rsidRPr="002D58AA">
        <w:rPr>
          <w:rFonts w:ascii="Palatino Linotype" w:hAnsi="Palatino Linotype"/>
        </w:rPr>
        <w:t>razones, motivos o circunstancias especiales</w:t>
      </w:r>
      <w:r>
        <w:rPr>
          <w:rFonts w:ascii="Palatino Linotype" w:hAnsi="Palatino Linotype"/>
        </w:rPr>
        <w:t xml:space="preserve"> que lleven al </w:t>
      </w:r>
      <w:r w:rsidR="002D58AA">
        <w:rPr>
          <w:rFonts w:ascii="Palatino Linotype" w:hAnsi="Palatino Linotype"/>
          <w:b/>
        </w:rPr>
        <w:t>Sujeto Obligado</w:t>
      </w:r>
      <w:r>
        <w:rPr>
          <w:rFonts w:ascii="Palatino Linotype" w:hAnsi="Palatino Linotype"/>
        </w:rPr>
        <w:t xml:space="preserve"> a concluir que el </w:t>
      </w:r>
      <w:r w:rsidRPr="002D58AA">
        <w:rPr>
          <w:rFonts w:ascii="Palatino Linotype" w:hAnsi="Palatino Linotype"/>
        </w:rPr>
        <w:t>caso concreto</w:t>
      </w:r>
      <w:r>
        <w:rPr>
          <w:rFonts w:ascii="Palatino Linotype" w:hAnsi="Palatino Linotype"/>
          <w:b/>
        </w:rPr>
        <w:t>,</w:t>
      </w:r>
      <w:r>
        <w:rPr>
          <w:rFonts w:ascii="Palatino Linotype" w:hAnsi="Palatino Linotype"/>
        </w:rPr>
        <w:t xml:space="preserve"> se ajustó a los supuestos previstos en la normatividad legal invocada como fundamento; para dichos efectos, deberá proceder a su vez a realizar </w:t>
      </w:r>
      <w:r w:rsidRPr="002D58AA">
        <w:rPr>
          <w:rFonts w:ascii="Palatino Linotype" w:hAnsi="Palatino Linotype"/>
        </w:rPr>
        <w:t>una prueba de daño</w:t>
      </w:r>
      <w:r>
        <w:rPr>
          <w:rFonts w:ascii="Palatino Linotype" w:hAnsi="Palatino Linotype"/>
        </w:rPr>
        <w:t xml:space="preserve">, en la que se justifiquen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w:t>
      </w:r>
      <w:r>
        <w:rPr>
          <w:rFonts w:ascii="Palatino Linotype" w:hAnsi="Palatino Linotype"/>
        </w:rPr>
        <w:lastRenderedPageBreak/>
        <w:t>difunda, y que la limitación se adecuada al principio de proporcionalidad y representa el medio menos restrictivo disponible para evitar el perjuicio.</w:t>
      </w:r>
    </w:p>
    <w:p w:rsidR="00AC2D0C" w:rsidRDefault="00AC2D0C" w:rsidP="005E7559">
      <w:pPr>
        <w:pStyle w:val="Prrafodelista"/>
        <w:shd w:val="clear" w:color="auto" w:fill="FFFFFF"/>
        <w:spacing w:line="360" w:lineRule="auto"/>
        <w:ind w:left="0"/>
        <w:jc w:val="both"/>
        <w:rPr>
          <w:rFonts w:ascii="Palatino Linotype" w:hAnsi="Palatino Linotype"/>
        </w:rPr>
      </w:pPr>
    </w:p>
    <w:p w:rsidR="004651E4" w:rsidRDefault="00AC2D0C" w:rsidP="005E7559">
      <w:pPr>
        <w:pStyle w:val="Prrafodelista"/>
        <w:shd w:val="clear" w:color="auto" w:fill="FFFFFF"/>
        <w:spacing w:line="360" w:lineRule="auto"/>
        <w:ind w:left="0"/>
        <w:jc w:val="both"/>
        <w:rPr>
          <w:rFonts w:ascii="Palatino Linotype" w:hAnsi="Palatino Linotype"/>
        </w:rPr>
      </w:pPr>
      <w:r>
        <w:rPr>
          <w:rFonts w:ascii="Palatino Linotype" w:hAnsi="Palatino Linotype"/>
        </w:rPr>
        <w:t xml:space="preserve">Por otro lado, </w:t>
      </w:r>
      <w:r w:rsidR="008B748C">
        <w:rPr>
          <w:rFonts w:ascii="Palatino Linotype" w:hAnsi="Palatino Linotype"/>
        </w:rPr>
        <w:t xml:space="preserve">respecto de la respuesta </w:t>
      </w:r>
      <w:r w:rsidR="008B748C" w:rsidRPr="008B748C">
        <w:rPr>
          <w:rFonts w:ascii="Palatino Linotype" w:hAnsi="Palatino Linotype"/>
        </w:rPr>
        <w:t>emitida por el Órgano Superior de Fiscalización</w:t>
      </w:r>
      <w:r w:rsidR="008B748C">
        <w:rPr>
          <w:rFonts w:ascii="Palatino Linotype" w:hAnsi="Palatino Linotype"/>
        </w:rPr>
        <w:t xml:space="preserve"> en la cual manifiesta que existen cuatro asuntos en trámite con relación al ente fiscalizable y servidor público citado con el objeto de determinar o no responsabilidades administrativas resarcitorias y por tanto existe imposibilidad material para definir los conceptos requeridos, hasta en tanto no se adopte decisión definitiva, aunado al supuesto cuarto de la tabla remitida en la que informa que existe un asunto en trámite a la imposición de medidas de apremio como se pudo apreciar en la imagen referida con anterior</w:t>
      </w:r>
      <w:r w:rsidR="00E97B17">
        <w:rPr>
          <w:rFonts w:ascii="Palatino Linotype" w:hAnsi="Palatino Linotype"/>
        </w:rPr>
        <w:t>idad.</w:t>
      </w:r>
    </w:p>
    <w:p w:rsidR="004651E4" w:rsidRDefault="004651E4" w:rsidP="005E7559">
      <w:pPr>
        <w:pStyle w:val="Prrafodelista"/>
        <w:shd w:val="clear" w:color="auto" w:fill="FFFFFF"/>
        <w:spacing w:line="360" w:lineRule="auto"/>
        <w:ind w:left="0"/>
        <w:jc w:val="both"/>
        <w:rPr>
          <w:rFonts w:ascii="Palatino Linotype" w:hAnsi="Palatino Linotype"/>
        </w:rPr>
      </w:pPr>
    </w:p>
    <w:p w:rsidR="00AC2D0C" w:rsidRDefault="004651E4" w:rsidP="005E7559">
      <w:pPr>
        <w:pStyle w:val="Prrafodelista"/>
        <w:shd w:val="clear" w:color="auto" w:fill="FFFFFF"/>
        <w:spacing w:line="360" w:lineRule="auto"/>
        <w:ind w:left="0"/>
        <w:jc w:val="both"/>
        <w:rPr>
          <w:rFonts w:ascii="Palatino Linotype" w:hAnsi="Palatino Linotype"/>
        </w:rPr>
      </w:pPr>
      <w:r>
        <w:rPr>
          <w:rFonts w:ascii="Palatino Linotype" w:hAnsi="Palatino Linotype"/>
        </w:rPr>
        <w:t>Por lo antes ex</w:t>
      </w:r>
      <w:r w:rsidR="00D15E93">
        <w:rPr>
          <w:rFonts w:ascii="Palatino Linotype" w:hAnsi="Palatino Linotype"/>
        </w:rPr>
        <w:t xml:space="preserve">puesto, se debe precisar, que </w:t>
      </w:r>
      <w:r w:rsidR="00D15E93" w:rsidRPr="00D15E93">
        <w:rPr>
          <w:rFonts w:ascii="Palatino Linotype" w:hAnsi="Palatino Linotype"/>
          <w:b/>
        </w:rPr>
        <w:t>El</w:t>
      </w:r>
      <w:r>
        <w:rPr>
          <w:rFonts w:ascii="Palatino Linotype" w:hAnsi="Palatino Linotype"/>
        </w:rPr>
        <w:t xml:space="preserve"> </w:t>
      </w:r>
      <w:r w:rsidRPr="004651E4">
        <w:rPr>
          <w:rFonts w:ascii="Palatino Linotype" w:hAnsi="Palatino Linotype"/>
          <w:b/>
        </w:rPr>
        <w:t>Sujeto Obligado</w:t>
      </w:r>
      <w:r>
        <w:rPr>
          <w:rFonts w:ascii="Palatino Linotype" w:hAnsi="Palatino Linotype"/>
        </w:rPr>
        <w:t xml:space="preserve"> si bien manifiesta que de los cinco procedimientos antes referidos, se encuentran en trámite y por lo tanto se encuentra imposibilitado de entregar la información en los términos que requiere el hoy </w:t>
      </w:r>
      <w:r w:rsidRPr="00D15E93">
        <w:rPr>
          <w:rFonts w:ascii="Palatino Linotype" w:hAnsi="Palatino Linotype"/>
          <w:b/>
        </w:rPr>
        <w:t>Recurrente</w:t>
      </w:r>
      <w:r>
        <w:rPr>
          <w:rFonts w:ascii="Palatino Linotype" w:hAnsi="Palatino Linotype"/>
        </w:rPr>
        <w:t xml:space="preserve">, resulta adecuado aclarar que dicha información no es susceptible de ser entregada,  al encuadrar con los supuestos de reserva antes referidos relativos a  </w:t>
      </w:r>
      <w:r w:rsidRPr="004651E4">
        <w:rPr>
          <w:rFonts w:ascii="Palatino Linotype" w:hAnsi="Palatino Linotype"/>
        </w:rPr>
        <w:t>procesos o procedimientos relacionados con quejas, denuncias, inconformidades, responsabilidades administrativas y resarcitorias en tanto no hayan quedado firmes</w:t>
      </w:r>
      <w:r>
        <w:rPr>
          <w:rFonts w:ascii="Palatino Linotype" w:hAnsi="Palatino Linotype"/>
        </w:rPr>
        <w:t xml:space="preserve">, motivo por el cual, </w:t>
      </w:r>
      <w:r w:rsidRPr="00D15E93">
        <w:rPr>
          <w:rFonts w:ascii="Palatino Linotype" w:hAnsi="Palatino Linotype"/>
          <w:b/>
        </w:rPr>
        <w:t>El Sujeto Obligado</w:t>
      </w:r>
      <w:r>
        <w:rPr>
          <w:rFonts w:ascii="Palatino Linotype" w:hAnsi="Palatino Linotype"/>
        </w:rPr>
        <w:t>, deberá</w:t>
      </w:r>
      <w:r w:rsidR="00E97B17">
        <w:rPr>
          <w:rFonts w:ascii="Palatino Linotype" w:hAnsi="Palatino Linotype"/>
        </w:rPr>
        <w:t xml:space="preserve"> hacer entrega al </w:t>
      </w:r>
      <w:r w:rsidR="00E97B17" w:rsidRPr="00D15E93">
        <w:rPr>
          <w:rFonts w:ascii="Palatino Linotype" w:hAnsi="Palatino Linotype"/>
          <w:b/>
        </w:rPr>
        <w:t>Recurrente</w:t>
      </w:r>
      <w:r w:rsidR="00E97B17">
        <w:rPr>
          <w:rFonts w:ascii="Palatino Linotype" w:hAnsi="Palatino Linotype"/>
        </w:rPr>
        <w:t xml:space="preserve"> d</w:t>
      </w:r>
      <w:r>
        <w:rPr>
          <w:rFonts w:ascii="Palatino Linotype" w:hAnsi="Palatino Linotype"/>
          <w:lang w:eastAsia="es-MX"/>
        </w:rPr>
        <w:t xml:space="preserve">el Acuerdo que clasifique la información </w:t>
      </w:r>
      <w:r w:rsidR="00E97B17">
        <w:rPr>
          <w:rFonts w:ascii="Palatino Linotype" w:hAnsi="Palatino Linotype"/>
          <w:lang w:eastAsia="es-MX"/>
        </w:rPr>
        <w:t xml:space="preserve">como reservada de los </w:t>
      </w:r>
      <w:r w:rsidR="00E97B17">
        <w:rPr>
          <w:rFonts w:ascii="Palatino Linotype" w:hAnsi="Palatino Linotype"/>
        </w:rPr>
        <w:t xml:space="preserve">cuatro asuntos en trámite referidos en su respuesta primigenia, con relación al ente fiscalizable y servidor público citado con el objeto de determinar o no responsabilidades administrativas </w:t>
      </w:r>
      <w:r w:rsidR="00E97B17">
        <w:rPr>
          <w:rFonts w:ascii="Palatino Linotype" w:hAnsi="Palatino Linotype"/>
        </w:rPr>
        <w:lastRenderedPageBreak/>
        <w:t xml:space="preserve">resarcitorias, así como del </w:t>
      </w:r>
      <w:r w:rsidR="00E97B17" w:rsidRPr="00E97B17">
        <w:rPr>
          <w:rFonts w:ascii="Palatino Linotype" w:hAnsi="Palatino Linotype"/>
        </w:rPr>
        <w:t>supuesto cuarto de la tabla remitida en la que informa que existe un asunto en trámite a la imposición de medidas de apremio</w:t>
      </w:r>
      <w:r w:rsidR="00E97B17">
        <w:rPr>
          <w:rFonts w:ascii="Palatino Linotype" w:hAnsi="Palatino Linotype"/>
        </w:rPr>
        <w:t>.</w:t>
      </w:r>
    </w:p>
    <w:p w:rsidR="00BD0ACE" w:rsidRDefault="00BD0ACE" w:rsidP="005E7559">
      <w:pPr>
        <w:pStyle w:val="Prrafodelista"/>
        <w:shd w:val="clear" w:color="auto" w:fill="FFFFFF"/>
        <w:spacing w:line="360" w:lineRule="auto"/>
        <w:ind w:left="0"/>
        <w:jc w:val="both"/>
        <w:rPr>
          <w:rFonts w:ascii="Palatino Linotype" w:hAnsi="Palatino Linotype"/>
        </w:rPr>
      </w:pPr>
    </w:p>
    <w:p w:rsidR="00BD0ACE" w:rsidRDefault="00BD0ACE" w:rsidP="00BD0ACE">
      <w:pPr>
        <w:spacing w:after="0" w:line="360" w:lineRule="auto"/>
        <w:jc w:val="both"/>
        <w:rPr>
          <w:rFonts w:ascii="Palatino Linotype" w:hAnsi="Palatino Linotype"/>
          <w:sz w:val="24"/>
          <w:szCs w:val="24"/>
          <w:lang w:val="es-ES" w:eastAsia="es-MX"/>
        </w:rPr>
      </w:pPr>
      <w:r>
        <w:rPr>
          <w:rFonts w:ascii="Palatino Linotype" w:hAnsi="Palatino Linotype"/>
          <w:sz w:val="24"/>
          <w:szCs w:val="24"/>
          <w:lang w:val="es-ES" w:eastAsia="es-MX"/>
        </w:rPr>
        <w:t xml:space="preserve">Por otra parte, se puntualiza que el Acuerdo de Reserva deberá de englobar tanto </w:t>
      </w:r>
      <w:r w:rsidRPr="00BD0ACE">
        <w:rPr>
          <w:rFonts w:ascii="Palatino Linotype" w:hAnsi="Palatino Linotype"/>
          <w:sz w:val="24"/>
          <w:szCs w:val="24"/>
          <w:lang w:val="es-ES" w:eastAsia="es-MX"/>
        </w:rPr>
        <w:t>los expedientes de procedimiento administrativo disciplinario D-033/2017, D-046/2017, D-148/2017, D-204/2016, Q-092/2017 y D-120/2017, tramitados ante la Contraloría del Poder Legislativo</w:t>
      </w:r>
      <w:r>
        <w:rPr>
          <w:rFonts w:ascii="Palatino Linotype" w:hAnsi="Palatino Linotype"/>
          <w:sz w:val="24"/>
          <w:szCs w:val="24"/>
          <w:lang w:val="es-ES" w:eastAsia="es-MX"/>
        </w:rPr>
        <w:t xml:space="preserve">, como lo relativo a </w:t>
      </w:r>
      <w:r w:rsidRPr="00BD0ACE">
        <w:rPr>
          <w:rFonts w:ascii="Palatino Linotype" w:hAnsi="Palatino Linotype"/>
          <w:sz w:val="24"/>
          <w:szCs w:val="24"/>
          <w:lang w:val="es-ES" w:eastAsia="es-MX"/>
        </w:rPr>
        <w:t>los cuatro asuntos en trámite referidos en su respuesta primigenia, con relación al ente fiscalizable y servidor público citado con el objeto de determinar o no responsabilidades administrativas resarcitorias, así como del supuesto cuarto de la tabla remitida en la que informa que existe un asunto en trámite a la imposición de medidas de apremio</w:t>
      </w:r>
      <w:r>
        <w:rPr>
          <w:rFonts w:ascii="Palatino Linotype" w:hAnsi="Palatino Linotype"/>
          <w:sz w:val="24"/>
          <w:szCs w:val="24"/>
          <w:lang w:val="es-ES" w:eastAsia="es-MX"/>
        </w:rPr>
        <w:t xml:space="preserve">. Lo anterior con sustento en los artículos 49 fracción VIII, 122, 125, 132 fracción II y 141 de la Ley de Transparencia y Acceso a la Información Pública del Estado de México y Municipios, normatividad cuyo contenido literal es el siguiente: </w:t>
      </w:r>
    </w:p>
    <w:p w:rsidR="00BD0ACE" w:rsidRDefault="00BD0ACE" w:rsidP="00BD0ACE">
      <w:pPr>
        <w:spacing w:after="0" w:line="360" w:lineRule="auto"/>
        <w:jc w:val="both"/>
        <w:rPr>
          <w:rFonts w:ascii="Palatino Linotype" w:hAnsi="Palatino Linotype"/>
          <w:sz w:val="24"/>
          <w:szCs w:val="24"/>
          <w:lang w:val="es-ES" w:eastAsia="es-MX"/>
        </w:rPr>
      </w:pPr>
    </w:p>
    <w:p w:rsidR="00BD0ACE" w:rsidRDefault="00BD0ACE" w:rsidP="00BD0ACE">
      <w:pPr>
        <w:spacing w:after="0" w:line="240" w:lineRule="auto"/>
        <w:ind w:left="851" w:right="851"/>
        <w:jc w:val="both"/>
        <w:rPr>
          <w:rFonts w:ascii="Palatino Linotype" w:hAnsi="Palatino Linotype"/>
          <w:i/>
          <w:sz w:val="24"/>
          <w:szCs w:val="24"/>
          <w:lang w:val="es-ES" w:eastAsia="es-MX"/>
        </w:rPr>
      </w:pPr>
      <w:r>
        <w:rPr>
          <w:rFonts w:ascii="Palatino Linotype" w:hAnsi="Palatino Linotype"/>
          <w:b/>
          <w:i/>
          <w:sz w:val="24"/>
          <w:szCs w:val="24"/>
          <w:lang w:val="es-ES" w:eastAsia="es-MX"/>
        </w:rPr>
        <w:t xml:space="preserve">Artículo 49. </w:t>
      </w:r>
      <w:r>
        <w:rPr>
          <w:rFonts w:ascii="Palatino Linotype" w:hAnsi="Palatino Linotype"/>
          <w:i/>
          <w:sz w:val="24"/>
          <w:szCs w:val="24"/>
          <w:lang w:val="es-ES" w:eastAsia="es-MX"/>
        </w:rPr>
        <w:t xml:space="preserve">Los Comités de Transparencia tendrán las siguientes atribuciones: </w:t>
      </w:r>
    </w:p>
    <w:p w:rsidR="00BD0ACE" w:rsidRDefault="00BD0ACE" w:rsidP="00BD0ACE">
      <w:pPr>
        <w:spacing w:after="0" w:line="240" w:lineRule="auto"/>
        <w:ind w:left="851" w:right="851"/>
        <w:jc w:val="both"/>
        <w:rPr>
          <w:rFonts w:ascii="Palatino Linotype" w:hAnsi="Palatino Linotype"/>
          <w:i/>
          <w:sz w:val="24"/>
          <w:szCs w:val="24"/>
          <w:lang w:val="es-ES" w:eastAsia="es-MX"/>
        </w:rPr>
      </w:pPr>
      <w:r>
        <w:rPr>
          <w:rFonts w:ascii="Palatino Linotype" w:hAnsi="Palatino Linotype"/>
          <w:i/>
          <w:sz w:val="24"/>
          <w:szCs w:val="24"/>
          <w:lang w:val="es-ES" w:eastAsia="es-MX"/>
        </w:rPr>
        <w:t xml:space="preserve">(…) </w:t>
      </w:r>
    </w:p>
    <w:p w:rsidR="00BD0ACE" w:rsidRDefault="00BD0ACE" w:rsidP="00BD0ACE">
      <w:pPr>
        <w:spacing w:after="0" w:line="240" w:lineRule="auto"/>
        <w:ind w:left="851" w:right="851"/>
        <w:jc w:val="both"/>
        <w:rPr>
          <w:rFonts w:ascii="Palatino Linotype" w:hAnsi="Palatino Linotype"/>
          <w:i/>
          <w:sz w:val="24"/>
          <w:szCs w:val="24"/>
          <w:lang w:val="es-ES" w:eastAsia="es-MX"/>
        </w:rPr>
      </w:pPr>
      <w:r>
        <w:rPr>
          <w:rFonts w:ascii="Palatino Linotype" w:hAnsi="Palatino Linotype"/>
          <w:b/>
          <w:i/>
          <w:sz w:val="24"/>
          <w:szCs w:val="24"/>
          <w:lang w:val="es-ES" w:eastAsia="es-MX"/>
        </w:rPr>
        <w:t xml:space="preserve">VIII. </w:t>
      </w:r>
      <w:r>
        <w:rPr>
          <w:rFonts w:ascii="Palatino Linotype" w:hAnsi="Palatino Linotype"/>
          <w:b/>
          <w:i/>
          <w:sz w:val="24"/>
          <w:szCs w:val="24"/>
          <w:lang w:val="es-ES" w:eastAsia="es-MX"/>
        </w:rPr>
        <w:tab/>
        <w:t xml:space="preserve">   </w:t>
      </w:r>
      <w:r>
        <w:rPr>
          <w:rFonts w:ascii="Palatino Linotype" w:hAnsi="Palatino Linotype"/>
          <w:i/>
          <w:sz w:val="24"/>
          <w:szCs w:val="24"/>
          <w:lang w:val="es-ES" w:eastAsia="es-MX"/>
        </w:rPr>
        <w:t xml:space="preserve">Aprobar, modificar o revocar la clasificación de la información </w:t>
      </w:r>
    </w:p>
    <w:p w:rsidR="00BD0ACE" w:rsidRDefault="00BD0ACE" w:rsidP="00BD0ACE">
      <w:pPr>
        <w:spacing w:after="0" w:line="240" w:lineRule="auto"/>
        <w:ind w:left="851" w:right="851"/>
        <w:jc w:val="both"/>
        <w:rPr>
          <w:rFonts w:ascii="Palatino Linotype" w:hAnsi="Palatino Linotype"/>
          <w:i/>
          <w:sz w:val="24"/>
          <w:szCs w:val="24"/>
          <w:lang w:val="es-ES" w:eastAsia="es-MX"/>
        </w:rPr>
      </w:pPr>
    </w:p>
    <w:p w:rsidR="00BD0ACE" w:rsidRDefault="00BD0ACE" w:rsidP="00BD0ACE">
      <w:pPr>
        <w:spacing w:after="0" w:line="240" w:lineRule="auto"/>
        <w:ind w:left="851" w:right="851"/>
        <w:jc w:val="both"/>
        <w:rPr>
          <w:rFonts w:ascii="Palatino Linotype" w:hAnsi="Palatino Linotype"/>
          <w:i/>
          <w:sz w:val="24"/>
          <w:szCs w:val="24"/>
          <w:lang w:val="es-ES" w:eastAsia="es-MX"/>
        </w:rPr>
      </w:pPr>
      <w:r>
        <w:rPr>
          <w:rFonts w:ascii="Palatino Linotype" w:hAnsi="Palatino Linotype"/>
          <w:b/>
          <w:i/>
          <w:sz w:val="24"/>
          <w:szCs w:val="24"/>
          <w:lang w:val="es-ES" w:eastAsia="es-MX"/>
        </w:rPr>
        <w:t>Artículo 122.</w:t>
      </w:r>
      <w:r>
        <w:rPr>
          <w:rFonts w:ascii="Palatino Linotype" w:hAnsi="Palatino Linotype"/>
          <w:i/>
          <w:sz w:val="24"/>
          <w:szCs w:val="24"/>
          <w:lang w:val="es-ES" w:eastAsia="es-MX"/>
        </w:rPr>
        <w:t xml:space="preserve"> La clasificación es el proceso mediante el cual el sujeto obligado determina que la información en su poder actualiza alguno de los supuestos de reserva o confidencialidad, de conformidad con lo dispuesto en el presente título. </w:t>
      </w:r>
    </w:p>
    <w:p w:rsidR="00BD0ACE" w:rsidRDefault="00BD0ACE" w:rsidP="00BD0ACE">
      <w:pPr>
        <w:spacing w:after="0" w:line="240" w:lineRule="auto"/>
        <w:ind w:left="851" w:right="851"/>
        <w:jc w:val="both"/>
        <w:rPr>
          <w:rFonts w:ascii="Palatino Linotype" w:hAnsi="Palatino Linotype"/>
          <w:b/>
          <w:i/>
          <w:sz w:val="24"/>
          <w:szCs w:val="24"/>
          <w:lang w:val="es-ES" w:eastAsia="es-MX"/>
        </w:rPr>
      </w:pPr>
      <w:r>
        <w:rPr>
          <w:rFonts w:ascii="Palatino Linotype" w:hAnsi="Palatino Linotype"/>
          <w:b/>
          <w:i/>
          <w:sz w:val="24"/>
          <w:szCs w:val="24"/>
          <w:lang w:val="es-ES" w:eastAsia="es-MX"/>
        </w:rPr>
        <w:t xml:space="preserve">(…) </w:t>
      </w:r>
    </w:p>
    <w:p w:rsidR="00BD0ACE" w:rsidRDefault="00BD0ACE" w:rsidP="00BD0ACE">
      <w:pPr>
        <w:spacing w:after="0" w:line="240" w:lineRule="auto"/>
        <w:ind w:left="851" w:right="851"/>
        <w:jc w:val="both"/>
        <w:rPr>
          <w:rFonts w:ascii="Palatino Linotype" w:hAnsi="Palatino Linotype"/>
          <w:i/>
          <w:sz w:val="24"/>
          <w:szCs w:val="24"/>
          <w:lang w:val="es-ES" w:eastAsia="es-MX"/>
        </w:rPr>
      </w:pPr>
      <w:r>
        <w:rPr>
          <w:rFonts w:ascii="Palatino Linotype" w:hAnsi="Palatino Linotype"/>
          <w:b/>
          <w:i/>
          <w:sz w:val="24"/>
          <w:szCs w:val="24"/>
          <w:lang w:eastAsia="es-MX"/>
        </w:rPr>
        <w:t>Artículo 125</w:t>
      </w:r>
      <w:r>
        <w:rPr>
          <w:rFonts w:ascii="Palatino Linotype" w:hAnsi="Palatino Linotype"/>
          <w:i/>
          <w:sz w:val="24"/>
          <w:szCs w:val="24"/>
          <w:lang w:eastAsia="es-MX"/>
        </w:rPr>
        <w:t xml:space="preserve">.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w:t>
      </w:r>
      <w:r>
        <w:rPr>
          <w:rFonts w:ascii="Palatino Linotype" w:hAnsi="Palatino Linotype"/>
          <w:i/>
          <w:sz w:val="24"/>
          <w:szCs w:val="24"/>
          <w:lang w:eastAsia="es-MX"/>
        </w:rPr>
        <w:lastRenderedPageBreak/>
        <w:t>reserva. 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BD0ACE" w:rsidRDefault="00BD0ACE" w:rsidP="00BD0ACE">
      <w:pPr>
        <w:spacing w:after="0" w:line="240" w:lineRule="auto"/>
        <w:ind w:left="851" w:right="851"/>
        <w:jc w:val="both"/>
        <w:rPr>
          <w:rFonts w:ascii="Palatino Linotype" w:hAnsi="Palatino Linotype"/>
          <w:b/>
          <w:i/>
          <w:sz w:val="24"/>
          <w:szCs w:val="24"/>
          <w:lang w:val="es-ES" w:eastAsia="es-MX"/>
        </w:rPr>
      </w:pPr>
    </w:p>
    <w:p w:rsidR="00BD0ACE" w:rsidRDefault="00BD0ACE" w:rsidP="00BD0ACE">
      <w:pPr>
        <w:spacing w:after="0" w:line="240" w:lineRule="auto"/>
        <w:ind w:left="851" w:right="851"/>
        <w:jc w:val="both"/>
        <w:rPr>
          <w:rFonts w:ascii="Palatino Linotype" w:hAnsi="Palatino Linotype"/>
          <w:i/>
          <w:sz w:val="24"/>
          <w:szCs w:val="24"/>
          <w:lang w:val="es-ES" w:eastAsia="es-MX"/>
        </w:rPr>
      </w:pPr>
      <w:r>
        <w:rPr>
          <w:rFonts w:ascii="Palatino Linotype" w:hAnsi="Palatino Linotype"/>
          <w:b/>
          <w:i/>
          <w:sz w:val="24"/>
          <w:szCs w:val="24"/>
          <w:lang w:val="es-ES" w:eastAsia="es-MX"/>
        </w:rPr>
        <w:t>Artículo 132.</w:t>
      </w:r>
      <w:r>
        <w:rPr>
          <w:rFonts w:ascii="Palatino Linotype" w:hAnsi="Palatino Linotype"/>
          <w:i/>
          <w:sz w:val="24"/>
          <w:szCs w:val="24"/>
          <w:lang w:val="es-ES" w:eastAsia="es-MX"/>
        </w:rPr>
        <w:t xml:space="preserve"> La clasificación de la información se llevará a cabo en el momento en que: </w:t>
      </w:r>
    </w:p>
    <w:p w:rsidR="00BD0ACE" w:rsidRDefault="00BD0ACE" w:rsidP="00BD0ACE">
      <w:pPr>
        <w:spacing w:after="0" w:line="240" w:lineRule="auto"/>
        <w:ind w:left="851" w:right="851"/>
        <w:jc w:val="both"/>
        <w:rPr>
          <w:rFonts w:ascii="Palatino Linotype" w:hAnsi="Palatino Linotype"/>
          <w:b/>
          <w:i/>
          <w:sz w:val="24"/>
          <w:szCs w:val="24"/>
          <w:lang w:val="es-ES" w:eastAsia="es-MX"/>
        </w:rPr>
      </w:pPr>
      <w:r>
        <w:rPr>
          <w:rFonts w:ascii="Palatino Linotype" w:hAnsi="Palatino Linotype"/>
          <w:b/>
          <w:i/>
          <w:sz w:val="24"/>
          <w:szCs w:val="24"/>
          <w:lang w:val="es-ES" w:eastAsia="es-MX"/>
        </w:rPr>
        <w:t xml:space="preserve">(…) </w:t>
      </w:r>
    </w:p>
    <w:p w:rsidR="00BD0ACE" w:rsidRDefault="00BD0ACE" w:rsidP="00BD0ACE">
      <w:pPr>
        <w:spacing w:after="0" w:line="240" w:lineRule="auto"/>
        <w:ind w:left="851" w:right="851"/>
        <w:jc w:val="both"/>
        <w:rPr>
          <w:rFonts w:ascii="Palatino Linotype" w:hAnsi="Palatino Linotype"/>
          <w:i/>
          <w:sz w:val="24"/>
          <w:szCs w:val="24"/>
          <w:lang w:val="es-ES" w:eastAsia="es-MX"/>
        </w:rPr>
      </w:pPr>
      <w:r>
        <w:rPr>
          <w:rFonts w:ascii="Palatino Linotype" w:hAnsi="Palatino Linotype"/>
          <w:b/>
          <w:i/>
          <w:sz w:val="24"/>
          <w:szCs w:val="24"/>
          <w:lang w:val="es-ES" w:eastAsia="es-MX"/>
        </w:rPr>
        <w:t>II</w:t>
      </w:r>
      <w:r>
        <w:rPr>
          <w:rFonts w:ascii="Palatino Linotype" w:hAnsi="Palatino Linotype"/>
          <w:i/>
          <w:sz w:val="24"/>
          <w:szCs w:val="24"/>
          <w:lang w:val="es-ES" w:eastAsia="es-MX"/>
        </w:rPr>
        <w:t xml:space="preserve">. Se determine mediante resolución de autoridad competente; o </w:t>
      </w:r>
    </w:p>
    <w:p w:rsidR="00BD0ACE" w:rsidRDefault="00BD0ACE" w:rsidP="00BD0ACE">
      <w:pPr>
        <w:spacing w:after="0" w:line="240" w:lineRule="auto"/>
        <w:ind w:left="851" w:right="851"/>
        <w:jc w:val="both"/>
        <w:rPr>
          <w:rFonts w:ascii="Palatino Linotype" w:hAnsi="Palatino Linotype"/>
          <w:b/>
          <w:i/>
          <w:sz w:val="24"/>
          <w:szCs w:val="24"/>
          <w:lang w:val="es-ES" w:eastAsia="es-MX"/>
        </w:rPr>
      </w:pPr>
      <w:r>
        <w:rPr>
          <w:rFonts w:ascii="Palatino Linotype" w:hAnsi="Palatino Linotype"/>
          <w:b/>
          <w:i/>
          <w:sz w:val="24"/>
          <w:szCs w:val="24"/>
          <w:lang w:val="es-ES" w:eastAsia="es-MX"/>
        </w:rPr>
        <w:t>(…)</w:t>
      </w:r>
    </w:p>
    <w:p w:rsidR="00BD0ACE" w:rsidRDefault="00BD0ACE" w:rsidP="00BD0ACE">
      <w:pPr>
        <w:spacing w:after="0" w:line="240" w:lineRule="auto"/>
        <w:ind w:left="851" w:right="851"/>
        <w:jc w:val="both"/>
        <w:rPr>
          <w:rFonts w:ascii="Palatino Linotype" w:hAnsi="Palatino Linotype"/>
          <w:b/>
          <w:i/>
          <w:sz w:val="24"/>
          <w:szCs w:val="24"/>
          <w:lang w:val="es-ES" w:eastAsia="es-MX"/>
        </w:rPr>
      </w:pPr>
      <w:r>
        <w:rPr>
          <w:rFonts w:ascii="Palatino Linotype" w:hAnsi="Palatino Linotype"/>
          <w:b/>
          <w:bCs/>
          <w:i/>
          <w:sz w:val="24"/>
          <w:szCs w:val="24"/>
          <w:lang w:val="es-ES" w:eastAsia="es-MX"/>
        </w:rPr>
        <w:t xml:space="preserve">Artículo 141. </w:t>
      </w:r>
      <w:r>
        <w:rPr>
          <w:rFonts w:ascii="Palatino Linotype" w:hAnsi="Palatino Linotype"/>
          <w:i/>
          <w:sz w:val="24"/>
          <w:szCs w:val="24"/>
          <w:lang w:val="es-ES" w:eastAsia="es-MX"/>
        </w:rPr>
        <w:t>Las causales de reserva previstas en este Capítulo se deberán fundar y motivar, a través de la aplicación de la prueba de daño a la que se hace referencia en el presente Título.</w:t>
      </w:r>
    </w:p>
    <w:p w:rsidR="00BD0ACE" w:rsidRDefault="00BD0ACE" w:rsidP="00BD0ACE">
      <w:pPr>
        <w:spacing w:after="0" w:line="360" w:lineRule="auto"/>
        <w:jc w:val="both"/>
        <w:rPr>
          <w:rFonts w:ascii="Palatino Linotype" w:hAnsi="Palatino Linotype"/>
          <w:sz w:val="24"/>
          <w:szCs w:val="24"/>
          <w:lang w:eastAsia="es-MX"/>
        </w:rPr>
      </w:pPr>
    </w:p>
    <w:p w:rsidR="00BD0ACE" w:rsidRDefault="00BD0ACE" w:rsidP="00BD0ACE">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Aunado a lo anterior, resulta necesario que el Comité de Transparencia del </w:t>
      </w:r>
      <w:r>
        <w:rPr>
          <w:rFonts w:ascii="Palatino Linotype" w:hAnsi="Palatino Linotype"/>
          <w:b/>
          <w:sz w:val="24"/>
          <w:szCs w:val="24"/>
          <w:lang w:eastAsia="es-MX"/>
        </w:rPr>
        <w:t>Sujeto Obligado</w:t>
      </w:r>
      <w:r>
        <w:rPr>
          <w:rFonts w:ascii="Palatino Linotype" w:hAnsi="Palatino Linotype"/>
          <w:sz w:val="24"/>
          <w:szCs w:val="24"/>
          <w:lang w:eastAsia="es-MX"/>
        </w:rPr>
        <w:t xml:space="preserve"> emita el Acuerdo de Clasificación como información reservada, el cual, se reitera deberá de observar estrictamente lo estipulado en los artículos 128, 129, 130, 131, 134 de la Ley de Transparencia y Acceso a la Información Pública del Estado de México y Municipios, y en los Lineamientos Generales en Materia de Clasificación y </w:t>
      </w:r>
      <w:r>
        <w:rPr>
          <w:rFonts w:ascii="Palatino Linotype" w:hAnsi="Palatino Linotype"/>
          <w:sz w:val="24"/>
          <w:szCs w:val="24"/>
          <w:lang w:eastAsia="es-MX"/>
        </w:rPr>
        <w:lastRenderedPageBreak/>
        <w:t xml:space="preserve">Desclasificación de la Información, así como para la elaboración de Versiones Públicas, citados anteriormente, así como demás normatividad aplicable. </w:t>
      </w:r>
    </w:p>
    <w:p w:rsidR="00BD0ACE" w:rsidRDefault="00BD0ACE" w:rsidP="00BD0ACE">
      <w:pPr>
        <w:spacing w:after="0" w:line="360" w:lineRule="auto"/>
        <w:jc w:val="both"/>
        <w:rPr>
          <w:rFonts w:ascii="Palatino Linotype" w:hAnsi="Palatino Linotype"/>
          <w:sz w:val="24"/>
          <w:szCs w:val="24"/>
          <w:lang w:eastAsia="es-MX"/>
        </w:rPr>
      </w:pPr>
    </w:p>
    <w:p w:rsidR="00BD0ACE" w:rsidRDefault="00BD0ACE" w:rsidP="00BD0ACE">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referidos con anterioridad,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w:t>
      </w:r>
    </w:p>
    <w:p w:rsidR="00A12693" w:rsidRDefault="00A12693" w:rsidP="00BD0ACE">
      <w:pPr>
        <w:spacing w:after="0" w:line="360" w:lineRule="auto"/>
        <w:jc w:val="both"/>
        <w:rPr>
          <w:rFonts w:ascii="Palatino Linotype" w:hAnsi="Palatino Linotype"/>
          <w:sz w:val="24"/>
          <w:szCs w:val="24"/>
          <w:lang w:eastAsia="es-MX"/>
        </w:rPr>
      </w:pPr>
    </w:p>
    <w:p w:rsidR="00A12693" w:rsidRDefault="00A12693" w:rsidP="00BD0ACE">
      <w:pPr>
        <w:spacing w:after="0" w:line="360" w:lineRule="auto"/>
        <w:jc w:val="both"/>
        <w:rPr>
          <w:rFonts w:ascii="Palatino Linotype" w:hAnsi="Palatino Linotype"/>
          <w:sz w:val="24"/>
          <w:szCs w:val="24"/>
          <w:lang w:eastAsia="es-MX"/>
        </w:rPr>
      </w:pPr>
    </w:p>
    <w:p w:rsidR="00A12693" w:rsidRPr="00353A9C" w:rsidRDefault="00A12693" w:rsidP="00A12693">
      <w:pPr>
        <w:spacing w:after="0" w:line="360" w:lineRule="auto"/>
        <w:jc w:val="both"/>
        <w:rPr>
          <w:rFonts w:ascii="Palatino Linotype" w:hAnsi="Palatino Linotype"/>
          <w:b/>
          <w:sz w:val="28"/>
          <w:szCs w:val="28"/>
        </w:rPr>
      </w:pPr>
      <w:r w:rsidRPr="00353A9C">
        <w:rPr>
          <w:rFonts w:ascii="Palatino Linotype" w:hAnsi="Palatino Linotype"/>
          <w:b/>
          <w:sz w:val="28"/>
          <w:szCs w:val="28"/>
        </w:rPr>
        <w:t>DE LA VERSIÓN PÚBLICA</w:t>
      </w:r>
    </w:p>
    <w:p w:rsidR="00A12693" w:rsidRPr="00353A9C" w:rsidRDefault="00A12693" w:rsidP="00A12693">
      <w:pPr>
        <w:spacing w:after="0" w:line="360" w:lineRule="auto"/>
        <w:jc w:val="both"/>
        <w:rPr>
          <w:rFonts w:ascii="Palatino Linotype" w:hAnsi="Palatino Linotype"/>
          <w:sz w:val="24"/>
          <w:szCs w:val="24"/>
        </w:rPr>
      </w:pPr>
    </w:p>
    <w:p w:rsidR="00A12693" w:rsidRPr="00353A9C" w:rsidRDefault="00A12693" w:rsidP="00A12693">
      <w:pPr>
        <w:spacing w:after="0" w:line="360" w:lineRule="auto"/>
        <w:jc w:val="both"/>
        <w:rPr>
          <w:rFonts w:ascii="Palatino Linotype" w:hAnsi="Palatino Linotype"/>
          <w:sz w:val="24"/>
          <w:szCs w:val="24"/>
        </w:rPr>
      </w:pPr>
      <w:r w:rsidRPr="00353A9C">
        <w:rPr>
          <w:rFonts w:ascii="Palatino Linotype" w:hAnsi="Palatino Linotype"/>
          <w:sz w:val="24"/>
          <w:szCs w:val="24"/>
        </w:rPr>
        <w:t>De la naturaleza de la información se desprende que se ordena entregar, se pudieran contener datos personales susceptibles clasificar como confidenciales o reservados, por lo que es responsabilidad del sujeto obligado vigilar su cumplimiento mediante la emisión de versiones públicas.</w:t>
      </w:r>
    </w:p>
    <w:p w:rsidR="00A12693" w:rsidRPr="00353A9C" w:rsidRDefault="00A12693" w:rsidP="00A12693">
      <w:pPr>
        <w:spacing w:after="0" w:line="360" w:lineRule="auto"/>
        <w:jc w:val="both"/>
        <w:rPr>
          <w:rFonts w:ascii="Palatino Linotype" w:hAnsi="Palatino Linotype"/>
          <w:sz w:val="24"/>
          <w:szCs w:val="24"/>
        </w:rPr>
      </w:pPr>
    </w:p>
    <w:p w:rsidR="00A12693" w:rsidRPr="00353A9C" w:rsidRDefault="00A12693" w:rsidP="00A12693">
      <w:pPr>
        <w:spacing w:after="0" w:line="360" w:lineRule="auto"/>
        <w:jc w:val="both"/>
        <w:rPr>
          <w:rFonts w:ascii="Palatino Linotype" w:hAnsi="Palatino Linotype"/>
          <w:sz w:val="24"/>
          <w:szCs w:val="24"/>
        </w:rPr>
      </w:pPr>
      <w:r w:rsidRPr="00353A9C">
        <w:rPr>
          <w:rFonts w:ascii="Palatino Linotype" w:hAnsi="Palatino Linotype"/>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12693" w:rsidRPr="00353A9C" w:rsidRDefault="00A12693" w:rsidP="00A12693">
      <w:pPr>
        <w:spacing w:after="0" w:line="360" w:lineRule="auto"/>
        <w:jc w:val="both"/>
        <w:rPr>
          <w:rFonts w:ascii="Palatino Linotype" w:hAnsi="Palatino Linotype" w:cs="Arial"/>
          <w:sz w:val="24"/>
          <w:szCs w:val="24"/>
        </w:rPr>
      </w:pP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Artículo 3.</w:t>
      </w:r>
      <w:r w:rsidRPr="00353A9C">
        <w:rPr>
          <w:rFonts w:ascii="Palatino Linotype" w:hAnsi="Palatino Linotype"/>
          <w:i/>
          <w:sz w:val="24"/>
          <w:szCs w:val="24"/>
        </w:rPr>
        <w:t xml:space="preserve"> Para los efectos de la presente Ley se entenderá por:</w:t>
      </w: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w:t>
      </w:r>
    </w:p>
    <w:p w:rsidR="00A12693" w:rsidRPr="00353A9C" w:rsidRDefault="00A12693" w:rsidP="00A12693">
      <w:pPr>
        <w:spacing w:after="0" w:line="240" w:lineRule="auto"/>
        <w:ind w:left="567" w:right="567"/>
        <w:jc w:val="both"/>
        <w:rPr>
          <w:rFonts w:ascii="Palatino Linotype" w:hAnsi="Palatino Linotype"/>
          <w:i/>
          <w:sz w:val="24"/>
          <w:szCs w:val="24"/>
        </w:rPr>
      </w:pP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IX. Datos personales:</w:t>
      </w:r>
      <w:r w:rsidRPr="00353A9C">
        <w:rPr>
          <w:rFonts w:ascii="Palatino Linotype" w:hAnsi="Palatino Linotype"/>
          <w:i/>
          <w:sz w:val="24"/>
          <w:szCs w:val="24"/>
        </w:rPr>
        <w:t xml:space="preserve"> La información concerniente a una persona, identificada o identificable según lo dispuesto por la Ley de Protección de Datos Personales del Estado de México; </w:t>
      </w: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XX. Información clasificada:</w:t>
      </w:r>
      <w:r w:rsidRPr="00353A9C">
        <w:rPr>
          <w:rFonts w:ascii="Palatino Linotype" w:hAnsi="Palatino Linotype"/>
          <w:i/>
          <w:sz w:val="24"/>
          <w:szCs w:val="24"/>
        </w:rPr>
        <w:t xml:space="preserve"> Aquella considerada por la presente Ley como reservada o confidencial;</w:t>
      </w: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XXI. Información confidencial:</w:t>
      </w:r>
      <w:r w:rsidRPr="00353A9C">
        <w:rPr>
          <w:rFonts w:ascii="Palatino Linotype" w:hAnsi="Palatino Linotype"/>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XLV. Versión pública:</w:t>
      </w:r>
      <w:r w:rsidRPr="00353A9C">
        <w:rPr>
          <w:rFonts w:ascii="Palatino Linotype" w:hAnsi="Palatino Linotype"/>
          <w:i/>
          <w:sz w:val="24"/>
          <w:szCs w:val="24"/>
        </w:rPr>
        <w:t xml:space="preserve"> Documento en el que se elimine, suprime o borra la información clasificada como reservada o confidencial para permitir su acceso.</w:t>
      </w: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w:t>
      </w: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Artículo 91.</w:t>
      </w:r>
      <w:r w:rsidRPr="00353A9C">
        <w:rPr>
          <w:rFonts w:ascii="Palatino Linotype" w:hAnsi="Palatino Linotype"/>
          <w:i/>
          <w:sz w:val="24"/>
          <w:szCs w:val="24"/>
        </w:rPr>
        <w:t xml:space="preserve"> El acceso a la información pública será restringido excepcionalmente, cuando ésta sea clasificada como reservada o confidencial.</w:t>
      </w:r>
    </w:p>
    <w:p w:rsidR="00A12693" w:rsidRPr="00353A9C" w:rsidRDefault="00A12693" w:rsidP="00A12693">
      <w:pPr>
        <w:spacing w:after="0" w:line="240" w:lineRule="auto"/>
        <w:ind w:left="567" w:right="567"/>
        <w:jc w:val="both"/>
        <w:rPr>
          <w:rFonts w:ascii="Palatino Linotype" w:hAnsi="Palatino Linotype"/>
          <w:i/>
          <w:sz w:val="24"/>
          <w:szCs w:val="24"/>
        </w:rPr>
      </w:pPr>
    </w:p>
    <w:p w:rsidR="00A12693" w:rsidRPr="00353A9C" w:rsidRDefault="00A12693" w:rsidP="00A12693">
      <w:pPr>
        <w:spacing w:after="0" w:line="240" w:lineRule="auto"/>
        <w:ind w:left="567" w:right="567"/>
        <w:jc w:val="both"/>
        <w:rPr>
          <w:rFonts w:ascii="Palatino Linotype" w:hAnsi="Palatino Linotype"/>
          <w:b/>
          <w:i/>
          <w:sz w:val="24"/>
          <w:szCs w:val="24"/>
        </w:rPr>
      </w:pPr>
      <w:r w:rsidRPr="00353A9C">
        <w:rPr>
          <w:rFonts w:ascii="Palatino Linotype" w:hAnsi="Palatino Linotype"/>
          <w:b/>
          <w:i/>
          <w:sz w:val="24"/>
          <w:szCs w:val="24"/>
        </w:rPr>
        <w:t>Artículo 132.</w:t>
      </w:r>
      <w:r w:rsidRPr="00353A9C">
        <w:rPr>
          <w:rFonts w:ascii="Palatino Linotype" w:hAnsi="Palatino Linotype"/>
          <w:i/>
          <w:sz w:val="24"/>
          <w:szCs w:val="24"/>
        </w:rPr>
        <w:t xml:space="preserve"> </w:t>
      </w:r>
      <w:r w:rsidRPr="00353A9C">
        <w:rPr>
          <w:rFonts w:ascii="Palatino Linotype" w:hAnsi="Palatino Linotype"/>
          <w:b/>
          <w:i/>
          <w:sz w:val="24"/>
          <w:szCs w:val="24"/>
          <w:u w:val="single"/>
        </w:rPr>
        <w:t>La clasificación de la información se llevará a cabo en el momento en que</w:t>
      </w:r>
      <w:r w:rsidRPr="00353A9C">
        <w:rPr>
          <w:rFonts w:ascii="Palatino Linotype" w:hAnsi="Palatino Linotype"/>
          <w:b/>
          <w:i/>
          <w:sz w:val="24"/>
          <w:szCs w:val="24"/>
        </w:rPr>
        <w:t>:</w:t>
      </w:r>
    </w:p>
    <w:p w:rsidR="00A12693" w:rsidRPr="00353A9C" w:rsidRDefault="00A12693" w:rsidP="00A12693">
      <w:pPr>
        <w:spacing w:after="0" w:line="240" w:lineRule="auto"/>
        <w:ind w:left="567" w:right="567"/>
        <w:jc w:val="both"/>
        <w:rPr>
          <w:rFonts w:ascii="Palatino Linotype" w:hAnsi="Palatino Linotype"/>
          <w:b/>
          <w:i/>
          <w:sz w:val="24"/>
          <w:szCs w:val="24"/>
        </w:rPr>
      </w:pPr>
    </w:p>
    <w:p w:rsidR="00A12693" w:rsidRPr="00353A9C" w:rsidRDefault="00A12693" w:rsidP="00A12693">
      <w:pPr>
        <w:numPr>
          <w:ilvl w:val="0"/>
          <w:numId w:val="21"/>
        </w:numPr>
        <w:spacing w:after="0" w:line="240" w:lineRule="auto"/>
        <w:ind w:right="567"/>
        <w:jc w:val="both"/>
        <w:rPr>
          <w:rFonts w:ascii="Palatino Linotype" w:hAnsi="Palatino Linotype"/>
          <w:i/>
          <w:sz w:val="24"/>
          <w:szCs w:val="24"/>
        </w:rPr>
      </w:pPr>
      <w:r w:rsidRPr="00353A9C">
        <w:rPr>
          <w:rFonts w:ascii="Palatino Linotype" w:hAnsi="Palatino Linotype"/>
          <w:i/>
          <w:sz w:val="24"/>
          <w:szCs w:val="24"/>
        </w:rPr>
        <w:t>Se reciba una solicitud de acceso a la información;</w:t>
      </w:r>
    </w:p>
    <w:p w:rsidR="00A12693" w:rsidRPr="00353A9C" w:rsidRDefault="00A12693" w:rsidP="00A12693">
      <w:pPr>
        <w:numPr>
          <w:ilvl w:val="0"/>
          <w:numId w:val="21"/>
        </w:numPr>
        <w:spacing w:after="0" w:line="240" w:lineRule="auto"/>
        <w:ind w:right="567"/>
        <w:jc w:val="both"/>
        <w:rPr>
          <w:rFonts w:ascii="Palatino Linotype" w:hAnsi="Palatino Linotype"/>
          <w:i/>
          <w:sz w:val="24"/>
          <w:szCs w:val="24"/>
          <w:u w:val="single"/>
        </w:rPr>
      </w:pPr>
      <w:r w:rsidRPr="00353A9C">
        <w:rPr>
          <w:rFonts w:ascii="Palatino Linotype" w:hAnsi="Palatino Linotype"/>
          <w:b/>
          <w:i/>
          <w:sz w:val="24"/>
          <w:szCs w:val="24"/>
          <w:u w:val="single"/>
        </w:rPr>
        <w:t>Se determine mediante resolución de autoridad competente;</w:t>
      </w:r>
      <w:r w:rsidRPr="00353A9C">
        <w:rPr>
          <w:rFonts w:ascii="Palatino Linotype" w:hAnsi="Palatino Linotype"/>
          <w:i/>
          <w:sz w:val="24"/>
          <w:szCs w:val="24"/>
          <w:u w:val="single"/>
        </w:rPr>
        <w:t xml:space="preserve"> o</w:t>
      </w:r>
    </w:p>
    <w:p w:rsidR="00A12693" w:rsidRPr="00353A9C" w:rsidRDefault="00A12693" w:rsidP="00A12693">
      <w:pPr>
        <w:numPr>
          <w:ilvl w:val="0"/>
          <w:numId w:val="21"/>
        </w:numPr>
        <w:spacing w:after="0" w:line="240" w:lineRule="auto"/>
        <w:ind w:right="567"/>
        <w:jc w:val="both"/>
        <w:rPr>
          <w:rFonts w:ascii="Palatino Linotype" w:hAnsi="Palatino Linotype"/>
          <w:i/>
          <w:sz w:val="24"/>
          <w:szCs w:val="24"/>
          <w:u w:val="single"/>
        </w:rPr>
      </w:pPr>
      <w:r w:rsidRPr="00353A9C">
        <w:rPr>
          <w:rFonts w:ascii="Palatino Linotype" w:hAnsi="Palatino Linotype"/>
          <w:b/>
          <w:i/>
          <w:sz w:val="24"/>
          <w:szCs w:val="24"/>
          <w:u w:val="single"/>
        </w:rPr>
        <w:t>Se generen versiones públicas para dar cumplimiento a las obligaciones de transparencia previstas en esta Ley.</w:t>
      </w: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w:t>
      </w:r>
    </w:p>
    <w:p w:rsidR="00A12693" w:rsidRPr="00353A9C" w:rsidRDefault="00A12693" w:rsidP="00A12693">
      <w:pPr>
        <w:spacing w:after="0" w:line="240" w:lineRule="auto"/>
        <w:ind w:left="567" w:right="567"/>
        <w:jc w:val="both"/>
        <w:rPr>
          <w:rFonts w:ascii="Palatino Linotype" w:hAnsi="Palatino Linotype"/>
          <w:i/>
          <w:sz w:val="24"/>
          <w:szCs w:val="24"/>
        </w:rPr>
      </w:pP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b/>
          <w:i/>
          <w:sz w:val="24"/>
          <w:szCs w:val="24"/>
        </w:rPr>
        <w:t>Artículo 143.</w:t>
      </w:r>
      <w:r w:rsidRPr="00353A9C">
        <w:rPr>
          <w:rFonts w:ascii="Palatino Linotype" w:hAnsi="Palatino Linotype"/>
          <w:i/>
          <w:sz w:val="24"/>
          <w:szCs w:val="24"/>
        </w:rPr>
        <w:t xml:space="preserve"> </w:t>
      </w:r>
      <w:r w:rsidRPr="00353A9C">
        <w:rPr>
          <w:rFonts w:ascii="Palatino Linotype" w:hAnsi="Palatino Linotype"/>
          <w:b/>
          <w:i/>
          <w:sz w:val="24"/>
          <w:szCs w:val="24"/>
          <w:u w:val="single"/>
        </w:rPr>
        <w:t>Para los efectos de esta Ley se considera información confidencial, la clasificada como tal, de manera permanente, por su naturaleza, cuando</w:t>
      </w:r>
      <w:r w:rsidRPr="00353A9C">
        <w:rPr>
          <w:rFonts w:ascii="Palatino Linotype" w:hAnsi="Palatino Linotype"/>
          <w:i/>
          <w:sz w:val="24"/>
          <w:szCs w:val="24"/>
        </w:rPr>
        <w:t>:</w:t>
      </w:r>
    </w:p>
    <w:p w:rsidR="00A12693" w:rsidRPr="00353A9C" w:rsidRDefault="00A12693" w:rsidP="00A12693">
      <w:pPr>
        <w:spacing w:after="0" w:line="240" w:lineRule="auto"/>
        <w:ind w:left="567" w:right="567"/>
        <w:jc w:val="both"/>
        <w:rPr>
          <w:rFonts w:ascii="Palatino Linotype" w:hAnsi="Palatino Linotype"/>
          <w:i/>
          <w:sz w:val="24"/>
          <w:szCs w:val="24"/>
        </w:rPr>
      </w:pPr>
    </w:p>
    <w:p w:rsidR="00A12693" w:rsidRPr="00353A9C" w:rsidRDefault="00A12693" w:rsidP="00A12693">
      <w:pPr>
        <w:numPr>
          <w:ilvl w:val="0"/>
          <w:numId w:val="22"/>
        </w:numPr>
        <w:spacing w:after="0" w:line="240" w:lineRule="auto"/>
        <w:ind w:right="567"/>
        <w:jc w:val="both"/>
        <w:rPr>
          <w:rFonts w:ascii="Palatino Linotype" w:hAnsi="Palatino Linotype"/>
          <w:i/>
          <w:sz w:val="24"/>
          <w:szCs w:val="24"/>
        </w:rPr>
      </w:pPr>
      <w:r w:rsidRPr="00353A9C">
        <w:rPr>
          <w:rFonts w:ascii="Palatino Linotype" w:hAnsi="Palatino Linotype"/>
          <w:b/>
          <w:i/>
          <w:sz w:val="24"/>
          <w:szCs w:val="24"/>
          <w:u w:val="single"/>
        </w:rPr>
        <w:t>Se refiera a la información privada y los datos personales concernientes a una persona física o jurídico colectiva identificada o identificable</w:t>
      </w:r>
      <w:r w:rsidRPr="00353A9C">
        <w:rPr>
          <w:rFonts w:ascii="Palatino Linotype" w:hAnsi="Palatino Linotype"/>
          <w:i/>
          <w:sz w:val="24"/>
          <w:szCs w:val="24"/>
        </w:rPr>
        <w:t>;</w:t>
      </w:r>
    </w:p>
    <w:p w:rsidR="00A12693" w:rsidRPr="00353A9C" w:rsidRDefault="00A12693" w:rsidP="00A12693">
      <w:pPr>
        <w:numPr>
          <w:ilvl w:val="0"/>
          <w:numId w:val="22"/>
        </w:numPr>
        <w:spacing w:after="0" w:line="240" w:lineRule="auto"/>
        <w:ind w:right="567"/>
        <w:jc w:val="both"/>
        <w:rPr>
          <w:rFonts w:ascii="Palatino Linotype" w:hAnsi="Palatino Linotype"/>
          <w:b/>
          <w:i/>
          <w:sz w:val="24"/>
          <w:szCs w:val="24"/>
          <w:u w:val="single"/>
        </w:rPr>
      </w:pPr>
      <w:r w:rsidRPr="00353A9C">
        <w:rPr>
          <w:rFonts w:ascii="Palatino Linotype" w:hAnsi="Palatino Linotype"/>
          <w:b/>
          <w:i/>
          <w:sz w:val="24"/>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A12693" w:rsidRPr="00353A9C" w:rsidRDefault="00A12693" w:rsidP="00A12693">
      <w:pPr>
        <w:numPr>
          <w:ilvl w:val="0"/>
          <w:numId w:val="22"/>
        </w:numPr>
        <w:spacing w:after="0" w:line="240" w:lineRule="auto"/>
        <w:ind w:right="567"/>
        <w:jc w:val="both"/>
        <w:rPr>
          <w:rFonts w:ascii="Palatino Linotype" w:hAnsi="Palatino Linotype"/>
          <w:i/>
          <w:sz w:val="24"/>
          <w:szCs w:val="24"/>
        </w:rPr>
      </w:pPr>
      <w:r w:rsidRPr="00353A9C">
        <w:rPr>
          <w:rFonts w:ascii="Palatino Linotype" w:hAnsi="Palatino Linotype"/>
          <w:i/>
          <w:sz w:val="24"/>
          <w:szCs w:val="24"/>
        </w:rPr>
        <w:t>La que presenten los particulares a los sujetos obligados, de conformidad con lo dispuesto por las leyes o los tratados internacionales.</w:t>
      </w:r>
    </w:p>
    <w:p w:rsidR="00A12693" w:rsidRPr="00353A9C" w:rsidRDefault="00A12693" w:rsidP="00A12693">
      <w:pPr>
        <w:spacing w:after="0" w:line="240" w:lineRule="auto"/>
        <w:ind w:left="567" w:right="567"/>
        <w:jc w:val="both"/>
        <w:rPr>
          <w:rFonts w:ascii="Palatino Linotype" w:hAnsi="Palatino Linotype"/>
          <w:i/>
          <w:sz w:val="24"/>
          <w:szCs w:val="24"/>
        </w:rPr>
      </w:pP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La información confidencial no estará sujeta a temporalidad alguna y sólo podrán tener acceso a ella los titulares de la misma, sus representantes y los servidores públicos facultados para ello.</w:t>
      </w:r>
    </w:p>
    <w:p w:rsidR="00A12693" w:rsidRPr="00353A9C" w:rsidRDefault="00A12693" w:rsidP="00A12693">
      <w:pPr>
        <w:spacing w:after="0" w:line="240" w:lineRule="auto"/>
        <w:ind w:left="567" w:right="567"/>
        <w:jc w:val="both"/>
        <w:rPr>
          <w:rFonts w:ascii="Palatino Linotype" w:hAnsi="Palatino Linotype"/>
          <w:i/>
          <w:sz w:val="24"/>
          <w:szCs w:val="24"/>
        </w:rPr>
      </w:pPr>
    </w:p>
    <w:p w:rsidR="00A12693" w:rsidRPr="00353A9C" w:rsidRDefault="00A12693" w:rsidP="00A12693">
      <w:pPr>
        <w:spacing w:after="0" w:line="240" w:lineRule="auto"/>
        <w:ind w:left="567" w:right="567"/>
        <w:jc w:val="both"/>
        <w:rPr>
          <w:rFonts w:ascii="Palatino Linotype" w:hAnsi="Palatino Linotype"/>
          <w:i/>
          <w:sz w:val="24"/>
          <w:szCs w:val="24"/>
        </w:rPr>
      </w:pPr>
      <w:r w:rsidRPr="00353A9C">
        <w:rPr>
          <w:rFonts w:ascii="Palatino Linotype" w:hAnsi="Palatino Linotype"/>
          <w:i/>
          <w:sz w:val="24"/>
          <w:szCs w:val="24"/>
        </w:rPr>
        <w:t>No se considerará confidencial la información que se encuentre en los registros públicos o en fuentes de acceso público, ni tampoco la que sea considerada por la presente ley como información pública. [Sic]</w:t>
      </w:r>
    </w:p>
    <w:p w:rsidR="00A12693" w:rsidRPr="00353A9C" w:rsidRDefault="00A12693" w:rsidP="00A12693">
      <w:pPr>
        <w:spacing w:after="0" w:line="360" w:lineRule="auto"/>
        <w:ind w:left="851" w:right="851"/>
        <w:jc w:val="both"/>
        <w:rPr>
          <w:rFonts w:ascii="Palatino Linotype" w:hAnsi="Palatino Linotype" w:cs="Arial"/>
          <w:i/>
          <w:szCs w:val="24"/>
        </w:rPr>
      </w:pPr>
    </w:p>
    <w:p w:rsidR="00A12693" w:rsidRPr="00353A9C" w:rsidRDefault="00A12693" w:rsidP="00A12693">
      <w:pPr>
        <w:spacing w:after="0" w:line="360" w:lineRule="auto"/>
        <w:jc w:val="both"/>
        <w:rPr>
          <w:rFonts w:ascii="Palatino Linotype" w:hAnsi="Palatino Linotype"/>
          <w:sz w:val="24"/>
        </w:rPr>
      </w:pPr>
      <w:r w:rsidRPr="00353A9C">
        <w:rPr>
          <w:rFonts w:ascii="Palatino Linotype" w:hAnsi="Palatino Linotype"/>
          <w:sz w:val="24"/>
        </w:rPr>
        <w:t xml:space="preserve">Igualmente, los </w:t>
      </w:r>
      <w:r w:rsidRPr="00353A9C">
        <w:rPr>
          <w:rFonts w:ascii="Palatino Linotype" w:hAnsi="Palatino Linotype"/>
          <w:i/>
          <w:sz w:val="24"/>
        </w:rPr>
        <w:t>Lineamientos Generales en Materia de Clasificación y Desclasificación de la Información, así como para la elaboración de Versiones Públicas</w:t>
      </w:r>
      <w:r w:rsidRPr="00353A9C">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12693" w:rsidRDefault="00A12693" w:rsidP="00A12693">
      <w:pPr>
        <w:spacing w:after="0" w:line="360" w:lineRule="auto"/>
        <w:ind w:left="851" w:right="851"/>
        <w:jc w:val="both"/>
        <w:rPr>
          <w:rFonts w:ascii="Palatino Linotype" w:hAnsi="Palatino Linotype"/>
          <w:sz w:val="24"/>
        </w:rPr>
      </w:pPr>
    </w:p>
    <w:p w:rsidR="007F7D62" w:rsidRPr="00353A9C" w:rsidRDefault="007F7D62" w:rsidP="00A12693">
      <w:pPr>
        <w:spacing w:after="0" w:line="360" w:lineRule="auto"/>
        <w:ind w:left="851" w:right="851"/>
        <w:jc w:val="both"/>
        <w:rPr>
          <w:rFonts w:ascii="Palatino Linotype" w:hAnsi="Palatino Linotype"/>
          <w:sz w:val="24"/>
        </w:rPr>
      </w:pPr>
    </w:p>
    <w:p w:rsidR="00A12693" w:rsidRPr="00480E5B" w:rsidRDefault="00A12693" w:rsidP="00A12693">
      <w:pPr>
        <w:spacing w:after="0" w:line="360" w:lineRule="auto"/>
        <w:jc w:val="both"/>
        <w:rPr>
          <w:rFonts w:ascii="Palatino Linotype" w:hAnsi="Palatino Linotype" w:cs="Arial"/>
          <w:sz w:val="24"/>
          <w:szCs w:val="24"/>
          <w:lang w:eastAsia="es-CO"/>
        </w:rPr>
      </w:pPr>
      <w:r w:rsidRPr="00353A9C">
        <w:rPr>
          <w:rFonts w:ascii="Palatino Linotype"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12693" w:rsidRDefault="00A12693" w:rsidP="00BD0ACE">
      <w:pPr>
        <w:spacing w:after="0" w:line="360" w:lineRule="auto"/>
        <w:jc w:val="both"/>
        <w:rPr>
          <w:rFonts w:ascii="Palatino Linotype" w:hAnsi="Palatino Linotype"/>
          <w:sz w:val="24"/>
          <w:szCs w:val="24"/>
          <w:lang w:eastAsia="es-MX"/>
        </w:rPr>
      </w:pPr>
    </w:p>
    <w:p w:rsidR="00ED005B" w:rsidRPr="00BD0ACE" w:rsidRDefault="00ED005B" w:rsidP="00BD0ACE">
      <w:pPr>
        <w:pStyle w:val="Prrafodelista"/>
        <w:autoSpaceDE w:val="0"/>
        <w:autoSpaceDN w:val="0"/>
        <w:adjustRightInd w:val="0"/>
        <w:spacing w:line="360" w:lineRule="auto"/>
        <w:ind w:left="0"/>
        <w:jc w:val="both"/>
        <w:rPr>
          <w:rFonts w:ascii="Palatino Linotype" w:hAnsi="Palatino Linotype"/>
        </w:rPr>
      </w:pPr>
    </w:p>
    <w:p w:rsidR="00ED005B" w:rsidRDefault="00ED005B" w:rsidP="000379CA">
      <w:pPr>
        <w:spacing w:after="0" w:line="360" w:lineRule="auto"/>
        <w:ind w:right="51"/>
        <w:jc w:val="both"/>
        <w:rPr>
          <w:rFonts w:ascii="Palatino Linotype" w:hAnsi="Palatino Linotype" w:cs="Arial"/>
          <w:sz w:val="24"/>
          <w:szCs w:val="24"/>
        </w:rPr>
      </w:pPr>
      <w:r w:rsidRPr="00ED005B">
        <w:rPr>
          <w:rFonts w:ascii="Palatino Linotype" w:hAnsi="Palatino Linotype" w:cs="Arial"/>
          <w:sz w:val="24"/>
          <w:szCs w:val="24"/>
        </w:rPr>
        <w:t>En mérito de lo expuesto en líneas anteriores, resultan parcialmente fundados los motiv</w:t>
      </w:r>
      <w:r w:rsidR="00A67194">
        <w:rPr>
          <w:rFonts w:ascii="Palatino Linotype" w:hAnsi="Palatino Linotype" w:cs="Arial"/>
          <w:sz w:val="24"/>
          <w:szCs w:val="24"/>
        </w:rPr>
        <w:t xml:space="preserve">os de inconformidad que arguye </w:t>
      </w:r>
      <w:r w:rsidR="00A67194" w:rsidRPr="00A67194">
        <w:rPr>
          <w:rFonts w:ascii="Palatino Linotype" w:hAnsi="Palatino Linotype" w:cs="Arial"/>
          <w:b/>
          <w:sz w:val="24"/>
          <w:szCs w:val="24"/>
        </w:rPr>
        <w:t>E</w:t>
      </w:r>
      <w:r w:rsidRPr="00A67194">
        <w:rPr>
          <w:rFonts w:ascii="Palatino Linotype" w:hAnsi="Palatino Linotype" w:cs="Arial"/>
          <w:b/>
          <w:sz w:val="24"/>
          <w:szCs w:val="24"/>
        </w:rPr>
        <w:t>l Recurrente</w:t>
      </w:r>
      <w:r w:rsidRPr="00ED005B">
        <w:rPr>
          <w:rFonts w:ascii="Palatino Linotype" w:hAnsi="Palatino Linotype" w:cs="Arial"/>
          <w:sz w:val="24"/>
          <w:szCs w:val="24"/>
        </w:rPr>
        <w:t xml:space="preserve"> en su medio de impugnación que fue materia de estudio, por ello con fundamento en la segunda hipótesis de la fracción III del artículo 186, de la Ley de Transparencia y Acceso a la Información Pública del Estado de México y Municipios, se </w:t>
      </w:r>
      <w:r w:rsidRPr="00ED005B">
        <w:rPr>
          <w:rFonts w:ascii="Palatino Linotype" w:hAnsi="Palatino Linotype" w:cs="Arial"/>
          <w:b/>
          <w:sz w:val="24"/>
          <w:szCs w:val="24"/>
        </w:rPr>
        <w:t>MODIFICA</w:t>
      </w:r>
      <w:r w:rsidRPr="00ED005B">
        <w:rPr>
          <w:rFonts w:ascii="Palatino Linotype" w:hAnsi="Palatino Linotype" w:cs="Arial"/>
          <w:sz w:val="24"/>
          <w:szCs w:val="24"/>
        </w:rPr>
        <w:t xml:space="preserve"> la respuesta a la</w:t>
      </w:r>
      <w:r>
        <w:rPr>
          <w:rFonts w:ascii="Palatino Linotype" w:hAnsi="Palatino Linotype" w:cs="Arial"/>
          <w:sz w:val="24"/>
          <w:szCs w:val="24"/>
        </w:rPr>
        <w:t xml:space="preserve"> solicitud</w:t>
      </w:r>
      <w:r w:rsidRPr="00ED005B">
        <w:rPr>
          <w:rFonts w:ascii="Palatino Linotype" w:hAnsi="Palatino Linotype" w:cs="Arial"/>
          <w:sz w:val="24"/>
          <w:szCs w:val="24"/>
        </w:rPr>
        <w:t xml:space="preserve"> de información número </w:t>
      </w:r>
      <w:r w:rsidR="00AC680D" w:rsidRPr="00AC680D">
        <w:rPr>
          <w:rFonts w:ascii="Palatino Linotype" w:hAnsi="Palatino Linotype" w:cs="Arial"/>
          <w:b/>
          <w:sz w:val="24"/>
          <w:szCs w:val="24"/>
        </w:rPr>
        <w:t>00332/PLEGISLA/IP/2018</w:t>
      </w:r>
      <w:r w:rsidR="00AC680D">
        <w:rPr>
          <w:rFonts w:ascii="Palatino Linotype" w:hAnsi="Palatino Linotype" w:cs="Arial"/>
          <w:b/>
          <w:sz w:val="24"/>
          <w:szCs w:val="24"/>
        </w:rPr>
        <w:t xml:space="preserve"> </w:t>
      </w:r>
      <w:r>
        <w:rPr>
          <w:rFonts w:ascii="Palatino Linotype" w:hAnsi="Palatino Linotype" w:cs="Arial"/>
          <w:sz w:val="24"/>
          <w:szCs w:val="24"/>
        </w:rPr>
        <w:t>que ha</w:t>
      </w:r>
      <w:r w:rsidRPr="00ED005B">
        <w:rPr>
          <w:rFonts w:ascii="Palatino Linotype" w:hAnsi="Palatino Linotype" w:cs="Arial"/>
          <w:sz w:val="24"/>
          <w:szCs w:val="24"/>
        </w:rPr>
        <w:t xml:space="preserve"> sido materia del presente fallo.</w:t>
      </w:r>
    </w:p>
    <w:p w:rsidR="007F7D62" w:rsidRDefault="007F7D62" w:rsidP="000379CA">
      <w:pPr>
        <w:spacing w:after="0" w:line="360" w:lineRule="auto"/>
        <w:ind w:right="51"/>
        <w:jc w:val="both"/>
        <w:rPr>
          <w:rFonts w:ascii="Palatino Linotype" w:hAnsi="Palatino Linotype" w:cs="Arial"/>
          <w:sz w:val="24"/>
          <w:szCs w:val="24"/>
        </w:rPr>
      </w:pPr>
    </w:p>
    <w:p w:rsidR="007F7D62" w:rsidRPr="00C83346" w:rsidRDefault="007F7D62" w:rsidP="000379CA">
      <w:pPr>
        <w:spacing w:after="0" w:line="360" w:lineRule="auto"/>
        <w:ind w:right="51"/>
        <w:jc w:val="both"/>
        <w:rPr>
          <w:rFonts w:ascii="Palatino Linotype" w:hAnsi="Palatino Linotype" w:cs="Arial"/>
          <w:sz w:val="24"/>
          <w:szCs w:val="24"/>
        </w:rPr>
      </w:pPr>
    </w:p>
    <w:p w:rsidR="00480084" w:rsidRDefault="00480084" w:rsidP="0048008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480084" w:rsidRDefault="00480084" w:rsidP="00916152">
      <w:pPr>
        <w:tabs>
          <w:tab w:val="left" w:leader="hyphen" w:pos="8931"/>
        </w:tabs>
        <w:spacing w:before="240" w:line="360" w:lineRule="auto"/>
        <w:ind w:right="51"/>
        <w:jc w:val="both"/>
        <w:rPr>
          <w:rFonts w:ascii="Palatino Linotype" w:hAnsi="Palatino Linotype"/>
          <w:sz w:val="24"/>
          <w:szCs w:val="24"/>
        </w:rPr>
      </w:pPr>
    </w:p>
    <w:p w:rsidR="00480084" w:rsidRDefault="00480084" w:rsidP="0048008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480084" w:rsidRPr="003D2A01" w:rsidRDefault="00480084" w:rsidP="0048008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AC680D" w:rsidRPr="00AC680D">
        <w:rPr>
          <w:rFonts w:ascii="Palatino Linotype" w:hAnsi="Palatino Linotype" w:cs="Arial"/>
          <w:b/>
          <w:sz w:val="24"/>
        </w:rPr>
        <w:t>00332/PLEGISLA/IP/2018</w:t>
      </w:r>
      <w:r w:rsidRPr="00921CA9">
        <w:rPr>
          <w:rFonts w:ascii="Palatino Linotype" w:eastAsia="Arial Unicode MS" w:hAnsi="Palatino Linotype" w:cs="Arial"/>
          <w:sz w:val="24"/>
          <w:szCs w:val="24"/>
        </w:rPr>
        <w:t xml:space="preserve">, por resultar </w:t>
      </w:r>
      <w:r>
        <w:rPr>
          <w:rFonts w:ascii="Palatino Linotype" w:eastAsia="Arial Unicode MS" w:hAnsi="Palatino Linotype" w:cs="Arial"/>
          <w:sz w:val="24"/>
          <w:szCs w:val="24"/>
        </w:rPr>
        <w:t xml:space="preserve">parcialmente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Pr="00ED005B">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00412EBF" w:rsidRPr="00412EBF">
        <w:rPr>
          <w:rFonts w:ascii="Palatino Linotype" w:hAnsi="Palatino Linotype" w:cs="Arial"/>
          <w:sz w:val="24"/>
          <w:szCs w:val="24"/>
        </w:rPr>
        <w:t>c</w:t>
      </w:r>
      <w:r w:rsidR="00ED005B" w:rsidRPr="00412EBF">
        <w:rPr>
          <w:rFonts w:ascii="Palatino Linotype" w:hAnsi="Palatino Linotype" w:cs="Arial"/>
          <w:sz w:val="24"/>
          <w:szCs w:val="24"/>
        </w:rPr>
        <w:t>onsiderando</w:t>
      </w:r>
      <w:r w:rsidR="00ED005B">
        <w:rPr>
          <w:rFonts w:ascii="Palatino Linotype" w:hAnsi="Palatino Linotype" w:cs="Arial"/>
          <w:b/>
          <w:sz w:val="24"/>
          <w:szCs w:val="24"/>
        </w:rPr>
        <w:t xml:space="preserve"> CUARTO</w:t>
      </w:r>
      <w:r w:rsidRPr="00921CA9">
        <w:rPr>
          <w:rFonts w:ascii="Palatino Linotype" w:hAnsi="Palatino Linotype" w:cs="Arial"/>
          <w:sz w:val="24"/>
          <w:szCs w:val="24"/>
        </w:rPr>
        <w:t xml:space="preserve"> de la presente resolución.</w:t>
      </w:r>
    </w:p>
    <w:p w:rsidR="003D2A01" w:rsidRDefault="003D2A01" w:rsidP="003D2A01">
      <w:pPr>
        <w:autoSpaceDE w:val="0"/>
        <w:autoSpaceDN w:val="0"/>
        <w:adjustRightInd w:val="0"/>
        <w:spacing w:before="240" w:line="360" w:lineRule="auto"/>
        <w:ind w:right="49"/>
        <w:jc w:val="both"/>
        <w:rPr>
          <w:rFonts w:ascii="Palatino Linotype" w:hAnsi="Palatino Linotype" w:cs="Arial"/>
          <w:b/>
          <w:sz w:val="28"/>
          <w:szCs w:val="28"/>
          <w:lang w:val="es-ES_tradnl"/>
        </w:rPr>
      </w:pPr>
    </w:p>
    <w:p w:rsidR="00480084" w:rsidRDefault="00480084" w:rsidP="003D2A01">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3D2A01" w:rsidRPr="003D2A01">
        <w:rPr>
          <w:rFonts w:ascii="Palatino Linotype" w:hAnsi="Palatino Linotype" w:cs="Arial"/>
          <w:sz w:val="24"/>
          <w:szCs w:val="24"/>
        </w:rPr>
        <w:t xml:space="preserve">Se </w:t>
      </w:r>
      <w:r w:rsidR="003D2A01" w:rsidRPr="006F0CC6">
        <w:rPr>
          <w:rFonts w:ascii="Palatino Linotype" w:hAnsi="Palatino Linotype" w:cs="Arial"/>
          <w:b/>
          <w:sz w:val="24"/>
          <w:szCs w:val="24"/>
        </w:rPr>
        <w:t>ORDENA</w:t>
      </w:r>
      <w:r w:rsidR="003D2A01" w:rsidRPr="003D2A01">
        <w:rPr>
          <w:rFonts w:ascii="Palatino Linotype" w:hAnsi="Palatino Linotype" w:cs="Arial"/>
          <w:sz w:val="24"/>
          <w:szCs w:val="24"/>
        </w:rPr>
        <w:t xml:space="preserve"> al </w:t>
      </w:r>
      <w:r w:rsidR="003D2A01" w:rsidRPr="006F0CC6">
        <w:rPr>
          <w:rFonts w:ascii="Palatino Linotype" w:hAnsi="Palatino Linotype" w:cs="Arial"/>
          <w:b/>
          <w:sz w:val="24"/>
          <w:szCs w:val="24"/>
        </w:rPr>
        <w:t>Sujeto Obligado</w:t>
      </w:r>
      <w:r w:rsidR="003D2A01" w:rsidRPr="003D2A01">
        <w:rPr>
          <w:rFonts w:ascii="Palatino Linotype" w:hAnsi="Palatino Linotype" w:cs="Arial"/>
          <w:sz w:val="24"/>
          <w:szCs w:val="24"/>
        </w:rPr>
        <w:t xml:space="preserve"> que haga </w:t>
      </w:r>
      <w:r w:rsidR="008C4E70">
        <w:rPr>
          <w:rFonts w:ascii="Palatino Linotype" w:hAnsi="Palatino Linotype" w:cs="Arial"/>
          <w:sz w:val="24"/>
          <w:szCs w:val="24"/>
        </w:rPr>
        <w:t>entrega a través del SAIMEX</w:t>
      </w:r>
      <w:r w:rsidR="004136D8">
        <w:rPr>
          <w:rFonts w:ascii="Palatino Linotype" w:hAnsi="Palatino Linotype" w:cs="Arial"/>
          <w:sz w:val="24"/>
          <w:szCs w:val="24"/>
        </w:rPr>
        <w:t xml:space="preserve">, en términos de Considerando </w:t>
      </w:r>
      <w:r w:rsidR="004136D8" w:rsidRPr="004136D8">
        <w:rPr>
          <w:rFonts w:ascii="Palatino Linotype" w:hAnsi="Palatino Linotype" w:cs="Arial"/>
          <w:b/>
          <w:sz w:val="24"/>
          <w:szCs w:val="24"/>
        </w:rPr>
        <w:t>CUARTO</w:t>
      </w:r>
      <w:r w:rsidR="0064677C" w:rsidRPr="0064677C">
        <w:rPr>
          <w:rFonts w:ascii="Palatino Linotype" w:hAnsi="Palatino Linotype" w:cs="Arial"/>
          <w:sz w:val="24"/>
          <w:szCs w:val="24"/>
        </w:rPr>
        <w:t xml:space="preserve"> </w:t>
      </w:r>
      <w:r w:rsidR="0064677C">
        <w:rPr>
          <w:rFonts w:ascii="Palatino Linotype" w:hAnsi="Palatino Linotype" w:cs="Arial"/>
          <w:sz w:val="24"/>
          <w:szCs w:val="24"/>
        </w:rPr>
        <w:t>de la presente resolución</w:t>
      </w:r>
      <w:r w:rsidR="004136D8">
        <w:rPr>
          <w:rFonts w:ascii="Palatino Linotype" w:hAnsi="Palatino Linotype" w:cs="Arial"/>
          <w:sz w:val="24"/>
          <w:szCs w:val="24"/>
        </w:rPr>
        <w:t>,</w:t>
      </w:r>
      <w:r w:rsidR="008C4E70">
        <w:rPr>
          <w:rFonts w:ascii="Palatino Linotype" w:hAnsi="Palatino Linotype" w:cs="Arial"/>
          <w:sz w:val="24"/>
          <w:szCs w:val="24"/>
        </w:rPr>
        <w:t xml:space="preserve"> </w:t>
      </w:r>
      <w:r w:rsidR="00AC680D" w:rsidRPr="00AC680D">
        <w:rPr>
          <w:rFonts w:ascii="Palatino Linotype" w:hAnsi="Palatino Linotype" w:cs="Arial"/>
          <w:sz w:val="24"/>
          <w:szCs w:val="24"/>
        </w:rPr>
        <w:t>del documento o documentos en donde conste lo siguiente:</w:t>
      </w:r>
    </w:p>
    <w:p w:rsidR="00BF03BD" w:rsidRDefault="00BF03BD" w:rsidP="00285F1B">
      <w:pPr>
        <w:pStyle w:val="Prrafodelista"/>
        <w:numPr>
          <w:ilvl w:val="0"/>
          <w:numId w:val="20"/>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 xml:space="preserve">El </w:t>
      </w:r>
      <w:r w:rsidRPr="00BF03BD">
        <w:rPr>
          <w:rFonts w:ascii="Palatino Linotype" w:hAnsi="Palatino Linotype" w:cs="Arial"/>
        </w:rPr>
        <w:t xml:space="preserve">acuerdo de clasificación como información reservada de las documentales que contengan </w:t>
      </w:r>
      <w:r>
        <w:rPr>
          <w:rFonts w:ascii="Palatino Linotype" w:hAnsi="Palatino Linotype" w:cs="Arial"/>
        </w:rPr>
        <w:t xml:space="preserve">los procedimientos </w:t>
      </w:r>
      <w:r w:rsidRPr="00BF03BD">
        <w:rPr>
          <w:rFonts w:ascii="Palatino Linotype" w:hAnsi="Palatino Linotype" w:cs="Arial"/>
        </w:rPr>
        <w:t>tramitado</w:t>
      </w:r>
      <w:r>
        <w:rPr>
          <w:rFonts w:ascii="Palatino Linotype" w:hAnsi="Palatino Linotype" w:cs="Arial"/>
        </w:rPr>
        <w:t>s</w:t>
      </w:r>
      <w:r w:rsidRPr="00BF03BD">
        <w:rPr>
          <w:rFonts w:ascii="Palatino Linotype" w:hAnsi="Palatino Linotype" w:cs="Arial"/>
        </w:rPr>
        <w:t xml:space="preserve"> ante la Contraloría del Poder Legislativo</w:t>
      </w:r>
      <w:r>
        <w:rPr>
          <w:rFonts w:ascii="Palatino Linotype" w:hAnsi="Palatino Linotype" w:cs="Arial"/>
        </w:rPr>
        <w:t xml:space="preserve"> y ante el </w:t>
      </w:r>
      <w:r w:rsidRPr="00A26BA8">
        <w:rPr>
          <w:rFonts w:ascii="Palatino Linotype" w:hAnsi="Palatino Linotype" w:cs="Arial"/>
          <w:lang w:val="es-MX"/>
        </w:rPr>
        <w:t>Órgano Superior de Fiscalizaci</w:t>
      </w:r>
      <w:r w:rsidR="000E0BE2">
        <w:rPr>
          <w:rFonts w:ascii="Palatino Linotype" w:hAnsi="Palatino Linotype" w:cs="Arial"/>
          <w:lang w:val="es-MX"/>
        </w:rPr>
        <w:t>ón</w:t>
      </w:r>
      <w:r w:rsidR="00285F1B" w:rsidRPr="00285F1B">
        <w:t xml:space="preserve"> </w:t>
      </w:r>
      <w:r w:rsidR="00285F1B" w:rsidRPr="00285F1B">
        <w:rPr>
          <w:rFonts w:ascii="Palatino Linotype" w:hAnsi="Palatino Linotype" w:cs="Arial"/>
          <w:lang w:val="es-MX"/>
        </w:rPr>
        <w:t>del Estado de México</w:t>
      </w:r>
      <w:r w:rsidR="00285F1B">
        <w:rPr>
          <w:rFonts w:ascii="Palatino Linotype" w:hAnsi="Palatino Linotype" w:cs="Arial"/>
          <w:lang w:val="es-MX"/>
        </w:rPr>
        <w:t>,</w:t>
      </w:r>
      <w:r w:rsidR="000E0BE2">
        <w:rPr>
          <w:rFonts w:ascii="Palatino Linotype" w:hAnsi="Palatino Linotype" w:cs="Arial"/>
          <w:lang w:val="es-MX"/>
        </w:rPr>
        <w:t xml:space="preserve"> con relación al</w:t>
      </w:r>
      <w:r>
        <w:rPr>
          <w:rFonts w:ascii="Palatino Linotype" w:hAnsi="Palatino Linotype" w:cs="Arial"/>
          <w:lang w:val="es-MX"/>
        </w:rPr>
        <w:t xml:space="preserve"> </w:t>
      </w:r>
      <w:r w:rsidRPr="00BD0ACE">
        <w:rPr>
          <w:rFonts w:ascii="Palatino Linotype" w:hAnsi="Palatino Linotype"/>
          <w:lang w:eastAsia="es-MX"/>
        </w:rPr>
        <w:t>servidor público citado</w:t>
      </w:r>
      <w:r>
        <w:rPr>
          <w:rFonts w:ascii="Palatino Linotype" w:hAnsi="Palatino Linotype"/>
          <w:lang w:eastAsia="es-MX"/>
        </w:rPr>
        <w:t xml:space="preserve"> en la solicitud de información que no hayan quedado firmes, en el periodo que comprende del primero de enero de dos mil dieciséis al </w:t>
      </w:r>
      <w:r w:rsidRPr="00BF03BD">
        <w:rPr>
          <w:rFonts w:ascii="Palatino Linotype" w:hAnsi="Palatino Linotype"/>
          <w:lang w:eastAsia="es-MX"/>
        </w:rPr>
        <w:t>treinta de julio del dos mil dieciocho</w:t>
      </w:r>
      <w:r>
        <w:rPr>
          <w:rFonts w:ascii="Palatino Linotype" w:hAnsi="Palatino Linotype"/>
          <w:lang w:eastAsia="es-MX"/>
        </w:rPr>
        <w:t>.</w:t>
      </w:r>
    </w:p>
    <w:p w:rsidR="00BF03BD" w:rsidRPr="00BF03BD" w:rsidRDefault="00285F1B" w:rsidP="00285F1B">
      <w:pPr>
        <w:pStyle w:val="Prrafodelista"/>
        <w:numPr>
          <w:ilvl w:val="0"/>
          <w:numId w:val="20"/>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El monto del pago realizado</w:t>
      </w:r>
      <w:r w:rsidR="00BF03BD" w:rsidRPr="00BF03BD">
        <w:rPr>
          <w:rFonts w:ascii="Palatino Linotype" w:hAnsi="Palatino Linotype" w:cs="Arial"/>
        </w:rPr>
        <w:t xml:space="preserve"> por concepto </w:t>
      </w:r>
      <w:r>
        <w:rPr>
          <w:rFonts w:ascii="Palatino Linotype" w:hAnsi="Palatino Linotype" w:cs="Arial"/>
        </w:rPr>
        <w:t>de multa, por el servidor público citado en la solicitud de información, correspondiente a la</w:t>
      </w:r>
      <w:r w:rsidR="00BF03BD" w:rsidRPr="00BF03BD">
        <w:rPr>
          <w:rFonts w:ascii="Palatino Linotype" w:hAnsi="Palatino Linotype" w:cs="Arial"/>
        </w:rPr>
        <w:t xml:space="preserve"> omisión de la presentación del cuestionario de protección civil y atlas de riesgos</w:t>
      </w:r>
      <w:r>
        <w:rPr>
          <w:rFonts w:ascii="Palatino Linotype" w:hAnsi="Palatino Linotype" w:cs="Arial"/>
        </w:rPr>
        <w:t xml:space="preserve"> </w:t>
      </w:r>
      <w:r w:rsidR="00BF03BD" w:rsidRPr="00BF03BD">
        <w:rPr>
          <w:rFonts w:ascii="Palatino Linotype" w:hAnsi="Palatino Linotype" w:cs="Arial"/>
        </w:rPr>
        <w:t>dos mil diecisiete</w:t>
      </w:r>
      <w:r>
        <w:rPr>
          <w:rFonts w:ascii="Palatino Linotype" w:hAnsi="Palatino Linotype" w:cs="Arial"/>
        </w:rPr>
        <w:t xml:space="preserve">, del procedimiento tramitado ante </w:t>
      </w:r>
      <w:r w:rsidRPr="00285F1B">
        <w:rPr>
          <w:rFonts w:ascii="Palatino Linotype" w:hAnsi="Palatino Linotype" w:cs="Arial"/>
        </w:rPr>
        <w:t>el Órgano Superior de Fiscalización del Estado de México</w:t>
      </w:r>
      <w:r>
        <w:rPr>
          <w:rFonts w:ascii="Palatino Linotype" w:hAnsi="Palatino Linotype" w:cs="Arial"/>
        </w:rPr>
        <w:t>, de ser procedente, en versión pública.</w:t>
      </w:r>
    </w:p>
    <w:p w:rsidR="003D2A01" w:rsidRDefault="003D2A01" w:rsidP="00480084">
      <w:pPr>
        <w:autoSpaceDE w:val="0"/>
        <w:autoSpaceDN w:val="0"/>
        <w:adjustRightInd w:val="0"/>
        <w:spacing w:before="240" w:line="360" w:lineRule="auto"/>
        <w:jc w:val="both"/>
        <w:rPr>
          <w:rFonts w:ascii="Palatino Linotype" w:hAnsi="Palatino Linotype" w:cs="Arial"/>
          <w:b/>
          <w:sz w:val="28"/>
          <w:szCs w:val="28"/>
        </w:rPr>
      </w:pPr>
    </w:p>
    <w:p w:rsidR="00A12693" w:rsidRPr="00A12693" w:rsidRDefault="00A12693" w:rsidP="00A12693">
      <w:pPr>
        <w:autoSpaceDE w:val="0"/>
        <w:autoSpaceDN w:val="0"/>
        <w:adjustRightInd w:val="0"/>
        <w:spacing w:after="0" w:line="360" w:lineRule="auto"/>
        <w:ind w:left="720"/>
        <w:jc w:val="both"/>
        <w:rPr>
          <w:rFonts w:ascii="Palatino Linotype" w:eastAsia="Times New Roman" w:hAnsi="Palatino Linotype" w:cs="Times New Roman"/>
          <w:color w:val="000000"/>
          <w:sz w:val="24"/>
          <w:szCs w:val="24"/>
          <w:lang w:val="es-ES" w:eastAsia="es-ES"/>
        </w:rPr>
      </w:pPr>
      <w:r>
        <w:rPr>
          <w:rFonts w:ascii="Palatino Linotype" w:eastAsia="Times New Roman" w:hAnsi="Palatino Linotype" w:cs="Times New Roman"/>
          <w:color w:val="000000"/>
          <w:sz w:val="24"/>
          <w:szCs w:val="24"/>
          <w:lang w:val="es-ES" w:eastAsia="es-ES"/>
        </w:rPr>
        <w:t>Para el caso de que la información remitida en el punto dos del presente resolutivo, sea entregada en versión pública, se deberá</w:t>
      </w:r>
      <w:r w:rsidRPr="00A12693">
        <w:rPr>
          <w:rFonts w:ascii="Palatino Linotype" w:eastAsia="Times New Roman" w:hAnsi="Palatino Linotype" w:cs="Times New Roman"/>
          <w:color w:val="000000"/>
          <w:sz w:val="24"/>
          <w:szCs w:val="24"/>
          <w:lang w:val="es-ES" w:eastAsia="es-ES"/>
        </w:rPr>
        <w:t xml:space="preserve"> emitir y entregar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A12693" w:rsidRDefault="00A12693" w:rsidP="00480084">
      <w:pPr>
        <w:autoSpaceDE w:val="0"/>
        <w:autoSpaceDN w:val="0"/>
        <w:adjustRightInd w:val="0"/>
        <w:spacing w:before="240" w:line="360" w:lineRule="auto"/>
        <w:jc w:val="both"/>
        <w:rPr>
          <w:rFonts w:ascii="Palatino Linotype" w:hAnsi="Palatino Linotype" w:cs="Arial"/>
          <w:b/>
          <w:sz w:val="28"/>
          <w:szCs w:val="28"/>
        </w:rPr>
      </w:pPr>
    </w:p>
    <w:p w:rsidR="00480084" w:rsidRDefault="00480084" w:rsidP="0048008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003D2A01" w:rsidRPr="003D2A01">
        <w:rPr>
          <w:rFonts w:ascii="Palatino Linotype" w:hAnsi="Palatino Linotype" w:cs="Arial"/>
          <w:b/>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bookmarkStart w:id="0" w:name="_GoBack"/>
      <w:bookmarkEnd w:id="0"/>
    </w:p>
    <w:p w:rsidR="00480084" w:rsidRDefault="00480084" w:rsidP="00480084">
      <w:pPr>
        <w:autoSpaceDE w:val="0"/>
        <w:autoSpaceDN w:val="0"/>
        <w:adjustRightInd w:val="0"/>
        <w:spacing w:before="240" w:line="360" w:lineRule="auto"/>
        <w:jc w:val="both"/>
        <w:rPr>
          <w:rFonts w:ascii="Palatino Linotype" w:hAnsi="Palatino Linotype" w:cs="Arial"/>
          <w:sz w:val="24"/>
          <w:szCs w:val="24"/>
        </w:rPr>
      </w:pPr>
    </w:p>
    <w:p w:rsidR="000E0BE2" w:rsidRDefault="00480084" w:rsidP="000E0BE2">
      <w:pPr>
        <w:spacing w:after="0" w:line="360" w:lineRule="auto"/>
        <w:jc w:val="both"/>
        <w:rPr>
          <w:rFonts w:ascii="Palatino Linotype" w:hAnsi="Palatino Linotype" w:cs="Arial"/>
          <w:sz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sidR="000E0BE2" w:rsidRPr="003B181E">
        <w:rPr>
          <w:rFonts w:ascii="Palatino Linotype" w:hAnsi="Palatino Linotype" w:cs="Arial"/>
          <w:b/>
          <w:sz w:val="24"/>
          <w:szCs w:val="24"/>
        </w:rPr>
        <w:t xml:space="preserve">Notifíquese </w:t>
      </w:r>
      <w:r w:rsidR="000E0BE2" w:rsidRPr="003B181E">
        <w:rPr>
          <w:rFonts w:ascii="Palatino Linotype" w:hAnsi="Palatino Linotype" w:cs="Arial"/>
          <w:sz w:val="24"/>
          <w:szCs w:val="24"/>
        </w:rPr>
        <w:t>la presente resolución</w:t>
      </w:r>
      <w:r w:rsidR="000E0BE2" w:rsidRPr="003B181E">
        <w:rPr>
          <w:rFonts w:ascii="Palatino Linotype" w:hAnsi="Palatino Linotype" w:cs="Arial"/>
          <w:b/>
          <w:sz w:val="24"/>
          <w:szCs w:val="24"/>
        </w:rPr>
        <w:t xml:space="preserve"> </w:t>
      </w:r>
      <w:r w:rsidR="000E0BE2" w:rsidRPr="003B181E">
        <w:rPr>
          <w:rFonts w:ascii="Palatino Linotype" w:hAnsi="Palatino Linotype" w:cs="Arial"/>
          <w:sz w:val="24"/>
          <w:szCs w:val="24"/>
        </w:rPr>
        <w:t>a</w:t>
      </w:r>
      <w:r w:rsidR="000E0BE2">
        <w:rPr>
          <w:rFonts w:ascii="Palatino Linotype" w:hAnsi="Palatino Linotype" w:cs="Arial"/>
          <w:sz w:val="24"/>
          <w:szCs w:val="24"/>
        </w:rPr>
        <w:t>l</w:t>
      </w:r>
      <w:r w:rsidR="000E0BE2">
        <w:rPr>
          <w:rFonts w:ascii="Palatino Linotype" w:hAnsi="Palatino Linotype" w:cs="Arial"/>
          <w:b/>
          <w:sz w:val="24"/>
          <w:szCs w:val="24"/>
        </w:rPr>
        <w:t xml:space="preserve"> R</w:t>
      </w:r>
      <w:r w:rsidR="000E0BE2" w:rsidRPr="003B181E">
        <w:rPr>
          <w:rFonts w:ascii="Palatino Linotype" w:hAnsi="Palatino Linotype" w:cs="Arial"/>
          <w:b/>
          <w:sz w:val="24"/>
          <w:szCs w:val="24"/>
        </w:rPr>
        <w:t>ecurrente</w:t>
      </w:r>
      <w:r w:rsidR="000E0BE2" w:rsidRPr="003B181E">
        <w:rPr>
          <w:rFonts w:ascii="Palatino Linotype" w:hAnsi="Palatino Linotype" w:cs="Arial"/>
          <w:sz w:val="24"/>
          <w:szCs w:val="24"/>
        </w:rPr>
        <w:t>, haciendo</w:t>
      </w:r>
      <w:r w:rsidR="000E0BE2" w:rsidRPr="003B181E">
        <w:rPr>
          <w:rFonts w:ascii="Palatino Linotype" w:hAnsi="Palatino Linotype" w:cs="Arial"/>
          <w:sz w:val="24"/>
          <w:szCs w:val="24"/>
          <w:lang w:val="es-ES_tradnl"/>
        </w:rPr>
        <w:t xml:space="preserve"> de su conocimiento que </w:t>
      </w:r>
      <w:r w:rsidR="000E0BE2" w:rsidRPr="003B181E">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000E0BE2" w:rsidRPr="003B181E">
        <w:rPr>
          <w:rStyle w:val="apple-converted-space"/>
          <w:rFonts w:ascii="Palatino Linotype" w:hAnsi="Palatino Linotype"/>
          <w:color w:val="222222"/>
          <w:sz w:val="24"/>
          <w:szCs w:val="24"/>
          <w:shd w:val="clear" w:color="auto" w:fill="FFFFFF"/>
          <w:lang w:val="es-ES"/>
        </w:rPr>
        <w:t xml:space="preserve"> </w:t>
      </w:r>
      <w:r w:rsidR="000E0BE2" w:rsidRPr="00602364">
        <w:rPr>
          <w:rFonts w:ascii="Palatino Linotype" w:hAnsi="Palatino Linotype"/>
          <w:color w:val="222222"/>
          <w:sz w:val="24"/>
          <w:szCs w:val="24"/>
          <w:shd w:val="clear" w:color="auto" w:fill="FFFFFF"/>
          <w:lang w:val="es-ES"/>
        </w:rPr>
        <w:t xml:space="preserve">y con lo establecido en los artículos 159 y 160 de la Ley General de Transparencia y </w:t>
      </w:r>
      <w:r w:rsidR="000E0BE2" w:rsidRPr="00602364">
        <w:rPr>
          <w:rFonts w:ascii="Palatino Linotype" w:hAnsi="Palatino Linotype"/>
          <w:color w:val="222222"/>
          <w:sz w:val="24"/>
          <w:szCs w:val="24"/>
          <w:shd w:val="clear" w:color="auto" w:fill="FFFFFF"/>
          <w:lang w:val="es-ES"/>
        </w:rPr>
        <w:lastRenderedPageBreak/>
        <w:t>Acceso a la Información Pública podrá impugnarla vía recurso de inconformidad ante el Instituto Nacional de Transparencia, Acceso a la Información y Protección de Datos Personales, o bien, vía Juicio de Amparo en los términos de las leyes aplicables.</w:t>
      </w:r>
    </w:p>
    <w:p w:rsidR="00480084" w:rsidRDefault="00480084" w:rsidP="000E0BE2">
      <w:pPr>
        <w:autoSpaceDE w:val="0"/>
        <w:autoSpaceDN w:val="0"/>
        <w:adjustRightInd w:val="0"/>
        <w:spacing w:before="240" w:line="360" w:lineRule="auto"/>
        <w:jc w:val="both"/>
        <w:rPr>
          <w:rFonts w:ascii="Palatino Linotype" w:hAnsi="Palatino Linotype" w:cs="Arial"/>
        </w:rPr>
      </w:pPr>
    </w:p>
    <w:p w:rsidR="007F7D62" w:rsidRPr="000B753F" w:rsidRDefault="007F7D62" w:rsidP="007F7D62">
      <w:pPr>
        <w:spacing w:after="0" w:line="360" w:lineRule="auto"/>
        <w:jc w:val="both"/>
        <w:rPr>
          <w:rFonts w:ascii="Palatino Linotype" w:eastAsia="Calibri" w:hAnsi="Palatino Linotype" w:cs="Arial"/>
          <w:sz w:val="24"/>
          <w:szCs w:val="24"/>
        </w:rPr>
      </w:pPr>
      <w:r w:rsidRPr="000B753F">
        <w:rPr>
          <w:rFonts w:ascii="Palatino Linotype" w:eastAsia="Calibri" w:hAnsi="Palatino Linotype" w:cs="Arial"/>
          <w:sz w:val="24"/>
          <w:szCs w:val="24"/>
        </w:rPr>
        <w:t>ASÍ LO RESUELVE, POR UNANIMIDAD DE VOTOS EL PLENO DEL</w:t>
      </w:r>
      <w:r w:rsidRPr="000B753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753F">
        <w:rPr>
          <w:rFonts w:ascii="Palatino Linotype" w:eastAsia="Calibri" w:hAnsi="Palatino Linotype" w:cs="Arial"/>
          <w:sz w:val="24"/>
          <w:szCs w:val="24"/>
        </w:rPr>
        <w:t>, CONFORMADO POR LOS COMISIONADOS ZULEMA MARTÍNEZ SÁNCHEZ, EVA ABAID YAPUR</w:t>
      </w:r>
      <w:r>
        <w:rPr>
          <w:rFonts w:ascii="Palatino Linotype" w:eastAsia="Calibri" w:hAnsi="Palatino Linotype" w:cs="Arial"/>
          <w:sz w:val="24"/>
          <w:szCs w:val="24"/>
        </w:rPr>
        <w:t xml:space="preserve"> </w:t>
      </w:r>
      <w:r w:rsidRPr="008B286D">
        <w:rPr>
          <w:rFonts w:ascii="Palatino Linotype" w:eastAsia="Calibri" w:hAnsi="Palatino Linotype" w:cs="Arial"/>
          <w:sz w:val="24"/>
          <w:szCs w:val="24"/>
        </w:rPr>
        <w:t>(VOTO PARTICULAR)</w:t>
      </w:r>
      <w:r w:rsidRPr="000B753F">
        <w:rPr>
          <w:rFonts w:ascii="Palatino Linotype" w:eastAsia="Calibri" w:hAnsi="Palatino Linotype" w:cs="Arial"/>
          <w:sz w:val="24"/>
          <w:szCs w:val="24"/>
        </w:rPr>
        <w:t>, JOSÉ GUADALUPE LUNA HERNÁNDEZ</w:t>
      </w:r>
      <w:r>
        <w:rPr>
          <w:rFonts w:ascii="Palatino Linotype" w:eastAsia="Calibri" w:hAnsi="Palatino Linotype" w:cs="Arial"/>
          <w:sz w:val="24"/>
          <w:szCs w:val="24"/>
        </w:rPr>
        <w:t xml:space="preserve"> </w:t>
      </w:r>
      <w:r w:rsidRPr="007F7D62">
        <w:rPr>
          <w:rFonts w:ascii="Palatino Linotype" w:eastAsia="Calibri" w:hAnsi="Palatino Linotype" w:cs="Arial"/>
          <w:sz w:val="24"/>
          <w:szCs w:val="24"/>
        </w:rPr>
        <w:t>(VOTO PARTICULAR)</w:t>
      </w:r>
      <w:r w:rsidRPr="000B753F">
        <w:rPr>
          <w:rFonts w:ascii="Palatino Linotype" w:eastAsia="Calibri" w:hAnsi="Palatino Linotype" w:cs="Arial"/>
          <w:sz w:val="24"/>
          <w:szCs w:val="24"/>
        </w:rPr>
        <w:t xml:space="preserve">, JAVIER MARTÍNEZ CRUZ Y LUIS GUSTAVO PARRA NORIEGA, EN LA TRIGÉSIMA </w:t>
      </w:r>
      <w:r>
        <w:rPr>
          <w:rFonts w:ascii="Palatino Linotype" w:eastAsia="Calibri" w:hAnsi="Palatino Linotype" w:cs="Arial"/>
          <w:sz w:val="24"/>
          <w:szCs w:val="24"/>
        </w:rPr>
        <w:t>OCTAVA</w:t>
      </w:r>
      <w:r w:rsidRPr="000B753F">
        <w:rPr>
          <w:rFonts w:ascii="Palatino Linotype" w:eastAsia="Calibri" w:hAnsi="Palatino Linotype" w:cs="Arial"/>
          <w:sz w:val="24"/>
          <w:szCs w:val="24"/>
        </w:rPr>
        <w:t xml:space="preserve"> SESIÓN ORDINARIA CELEBRADA EL </w:t>
      </w:r>
      <w:r>
        <w:rPr>
          <w:rFonts w:ascii="Palatino Linotype" w:eastAsia="Calibri" w:hAnsi="Palatino Linotype" w:cs="Arial"/>
          <w:sz w:val="24"/>
          <w:szCs w:val="24"/>
        </w:rPr>
        <w:t>DIECISIETE DE OCTUBRE</w:t>
      </w:r>
      <w:r w:rsidRPr="000B753F">
        <w:rPr>
          <w:rFonts w:ascii="Palatino Linotype" w:eastAsia="Calibri" w:hAnsi="Palatino Linotype" w:cs="Arial"/>
          <w:sz w:val="24"/>
          <w:szCs w:val="24"/>
        </w:rPr>
        <w:t xml:space="preserve"> DE DOS MIL DIECIOCHO, ANTE EL SECRETARIO TÉCNICO DEL PLENO, ALEXIS TAPIA RAMÍREZ.-----------------------------------------------------------------------------------------------------------------------------------------------------------------------------------------------</w:t>
      </w:r>
      <w:r>
        <w:rPr>
          <w:rFonts w:ascii="Palatino Linotype" w:eastAsia="Calibri" w:hAnsi="Palatino Linotype"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F7D62" w:rsidRPr="000B753F" w:rsidTr="0045330D">
        <w:tc>
          <w:tcPr>
            <w:tcW w:w="9062" w:type="dxa"/>
            <w:gridSpan w:val="2"/>
          </w:tcPr>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Zulema Martínez Sánchez</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 Presidenta</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7F7D62" w:rsidRPr="000B753F" w:rsidTr="0045330D">
        <w:tc>
          <w:tcPr>
            <w:tcW w:w="4531" w:type="dxa"/>
          </w:tcPr>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Eva Abaid Yapur</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José Guadalupe Luna Hernández</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7F7D62" w:rsidRPr="000B753F" w:rsidTr="0045330D">
        <w:tc>
          <w:tcPr>
            <w:tcW w:w="4531" w:type="dxa"/>
          </w:tcPr>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Javier Martínez Cruz</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7F7D62" w:rsidRPr="000B753F" w:rsidRDefault="007F7D62" w:rsidP="0045330D">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Luis Gustavo Parra Noriega</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7F7D62" w:rsidRPr="000B753F" w:rsidTr="0045330D">
        <w:tc>
          <w:tcPr>
            <w:tcW w:w="9062" w:type="dxa"/>
            <w:gridSpan w:val="2"/>
          </w:tcPr>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both"/>
              <w:rPr>
                <w:rFonts w:ascii="Palatino Linotype" w:eastAsia="Times New Roman" w:hAnsi="Palatino Linotype" w:cs="Times New Roman"/>
                <w:b/>
                <w:sz w:val="24"/>
                <w:szCs w:val="24"/>
                <w:lang w:eastAsia="es-ES"/>
              </w:rPr>
            </w:pPr>
          </w:p>
          <w:p w:rsidR="007F7D62" w:rsidRPr="000B753F" w:rsidRDefault="007F7D62" w:rsidP="0045330D">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Alexis Tapia Ramírez</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Secretario Técnico del Pleno</w:t>
            </w:r>
          </w:p>
          <w:p w:rsidR="007F7D62" w:rsidRPr="000B753F" w:rsidRDefault="007F7D62" w:rsidP="0045330D">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bl>
    <w:p w:rsidR="007F7D62" w:rsidRPr="000B753F" w:rsidRDefault="007F7D62" w:rsidP="007F7D62">
      <w:pPr>
        <w:spacing w:after="0" w:line="240" w:lineRule="auto"/>
        <w:jc w:val="center"/>
        <w:rPr>
          <w:rFonts w:ascii="Palatino Linotype" w:eastAsia="Calibri" w:hAnsi="Palatino Linotype" w:cs="Arial"/>
          <w:szCs w:val="25"/>
          <w:lang w:val="es-ES" w:eastAsia="es-ES"/>
        </w:rPr>
      </w:pPr>
    </w:p>
    <w:p w:rsidR="007F7D62" w:rsidRPr="000B753F" w:rsidRDefault="007F7D62" w:rsidP="007F7D62">
      <w:pPr>
        <w:spacing w:after="0" w:line="240" w:lineRule="auto"/>
        <w:jc w:val="center"/>
        <w:rPr>
          <w:rFonts w:ascii="Palatino Linotype" w:eastAsia="Calibri" w:hAnsi="Palatino Linotype" w:cs="Arial"/>
          <w:sz w:val="24"/>
          <w:szCs w:val="25"/>
          <w:lang w:val="es-ES" w:eastAsia="es-ES"/>
        </w:rPr>
      </w:pPr>
    </w:p>
    <w:p w:rsidR="007F7D62" w:rsidRPr="000B753F" w:rsidRDefault="007F7D62" w:rsidP="007F7D62">
      <w:pPr>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 xml:space="preserve">Esta hoja corresponde a la resolución del </w:t>
      </w:r>
      <w:r>
        <w:rPr>
          <w:rFonts w:ascii="Palatino Linotype" w:eastAsia="Calibri" w:hAnsi="Palatino Linotype" w:cs="Arial"/>
          <w:sz w:val="18"/>
          <w:szCs w:val="18"/>
        </w:rPr>
        <w:t>diecisiete de octubre</w:t>
      </w:r>
      <w:r w:rsidRPr="000B753F">
        <w:rPr>
          <w:rFonts w:ascii="Palatino Linotype" w:eastAsia="Calibri" w:hAnsi="Palatino Linotype" w:cs="Arial"/>
          <w:sz w:val="18"/>
          <w:szCs w:val="18"/>
        </w:rPr>
        <w:t xml:space="preserve"> de dos mil dieciocho, emitida en el Recurso de Revisión </w:t>
      </w:r>
      <w:r w:rsidRPr="007F7D62">
        <w:rPr>
          <w:rFonts w:ascii="Palatino Linotype" w:eastAsia="Calibri" w:hAnsi="Palatino Linotype" w:cs="Arial"/>
          <w:sz w:val="18"/>
          <w:szCs w:val="18"/>
        </w:rPr>
        <w:t>03070/INFOEM/IP/RR/2018</w:t>
      </w:r>
      <w:r w:rsidRPr="000B753F">
        <w:rPr>
          <w:rFonts w:ascii="Palatino Linotype" w:eastAsia="Calibri" w:hAnsi="Palatino Linotype" w:cs="Arial"/>
          <w:sz w:val="18"/>
          <w:szCs w:val="18"/>
        </w:rPr>
        <w:t>.</w:t>
      </w:r>
    </w:p>
    <w:p w:rsidR="007F7D62" w:rsidRPr="000B753F" w:rsidRDefault="007F7D62" w:rsidP="007F7D62">
      <w:pPr>
        <w:tabs>
          <w:tab w:val="left" w:pos="284"/>
        </w:tabs>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ZMS/OSAM/EJDG</w:t>
      </w:r>
    </w:p>
    <w:p w:rsidR="005A4030" w:rsidRPr="00054FC7" w:rsidRDefault="005A4030" w:rsidP="007F7D62">
      <w:pPr>
        <w:spacing w:after="0" w:line="360" w:lineRule="auto"/>
        <w:jc w:val="both"/>
        <w:rPr>
          <w:rFonts w:ascii="Palatino Linotype" w:eastAsia="Calibri" w:hAnsi="Palatino Linotype" w:cs="Arial"/>
          <w:sz w:val="18"/>
          <w:szCs w:val="18"/>
        </w:rPr>
      </w:pPr>
    </w:p>
    <w:sectPr w:rsidR="005A4030" w:rsidRPr="00054FC7" w:rsidSect="00F1529A">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FB7" w:rsidRDefault="008B2FB7" w:rsidP="00480084">
      <w:pPr>
        <w:spacing w:after="0" w:line="240" w:lineRule="auto"/>
      </w:pPr>
      <w:r>
        <w:separator/>
      </w:r>
    </w:p>
  </w:endnote>
  <w:endnote w:type="continuationSeparator" w:id="0">
    <w:p w:rsidR="008B2FB7" w:rsidRDefault="008B2FB7"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Pr="000B69FA" w:rsidRDefault="001E4F19"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2376">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2376">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Pr="000B69FA" w:rsidRDefault="001E4F19"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E6E5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E6E5A">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FB7" w:rsidRDefault="008B2FB7" w:rsidP="00480084">
      <w:pPr>
        <w:spacing w:after="0" w:line="240" w:lineRule="auto"/>
      </w:pPr>
      <w:r>
        <w:separator/>
      </w:r>
    </w:p>
  </w:footnote>
  <w:footnote w:type="continuationSeparator" w:id="0">
    <w:p w:rsidR="008B2FB7" w:rsidRDefault="008B2FB7" w:rsidP="00480084">
      <w:pPr>
        <w:spacing w:after="0" w:line="240" w:lineRule="auto"/>
      </w:pPr>
      <w:r>
        <w:continuationSeparator/>
      </w:r>
    </w:p>
  </w:footnote>
  <w:footnote w:id="1">
    <w:p w:rsidR="001E4F19" w:rsidRPr="00615B4B" w:rsidRDefault="001E4F19"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E4F19" w:rsidRPr="00615B4B" w:rsidRDefault="001E4F19"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E4F19" w:rsidRDefault="001E4F19" w:rsidP="00970C65">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F19" w:rsidRDefault="001E4F19">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1E4F19" w:rsidTr="00F1529A">
      <w:trPr>
        <w:trHeight w:val="227"/>
      </w:trPr>
      <w:tc>
        <w:tcPr>
          <w:tcW w:w="4962"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1E4F19" w:rsidRDefault="00D92EF1" w:rsidP="00F1529A">
          <w:pPr>
            <w:spacing w:after="120" w:line="256" w:lineRule="auto"/>
            <w:ind w:left="-778" w:right="214" w:firstLine="1585"/>
            <w:jc w:val="right"/>
            <w:rPr>
              <w:rFonts w:ascii="Palatino Linotype" w:hAnsi="Palatino Linotype" w:cs="Arial"/>
              <w:szCs w:val="20"/>
            </w:rPr>
          </w:pPr>
          <w:r w:rsidRPr="00D92EF1">
            <w:rPr>
              <w:rFonts w:ascii="Palatino Linotype" w:hAnsi="Palatino Linotype" w:cs="Arial"/>
              <w:bCs/>
              <w:sz w:val="24"/>
              <w:lang w:eastAsia="es-MX"/>
            </w:rPr>
            <w:t>03070/INFOEM/IP/RR/2018</w:t>
          </w:r>
        </w:p>
      </w:tc>
    </w:tr>
    <w:tr w:rsidR="001E4F19" w:rsidTr="00F1529A">
      <w:trPr>
        <w:trHeight w:val="242"/>
      </w:trPr>
      <w:tc>
        <w:tcPr>
          <w:tcW w:w="4962"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1E4F19" w:rsidRDefault="00D92EF1" w:rsidP="00F1529A">
          <w:pPr>
            <w:spacing w:after="120" w:line="256" w:lineRule="auto"/>
            <w:ind w:left="-486" w:right="214" w:firstLine="284"/>
            <w:jc w:val="right"/>
            <w:rPr>
              <w:rFonts w:ascii="Palatino Linotype" w:hAnsi="Palatino Linotype" w:cs="Arial"/>
              <w:szCs w:val="20"/>
            </w:rPr>
          </w:pPr>
          <w:r w:rsidRPr="00D92EF1">
            <w:rPr>
              <w:rFonts w:ascii="Palatino Linotype" w:hAnsi="Palatino Linotype" w:cs="Arial"/>
              <w:szCs w:val="20"/>
            </w:rPr>
            <w:t>Poder Legislativo</w:t>
          </w:r>
        </w:p>
      </w:tc>
    </w:tr>
    <w:tr w:rsidR="001E4F19" w:rsidTr="00F1529A">
      <w:trPr>
        <w:trHeight w:val="342"/>
      </w:trPr>
      <w:tc>
        <w:tcPr>
          <w:tcW w:w="4962" w:type="dxa"/>
          <w:hideMark/>
        </w:tcPr>
        <w:p w:rsidR="001E4F19" w:rsidRDefault="001E4F19"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1E4F19" w:rsidRDefault="001E4F19"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E4F19" w:rsidRDefault="001E4F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E4F19" w:rsidTr="00F1529A">
      <w:trPr>
        <w:trHeight w:val="227"/>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E4F19" w:rsidRPr="00B4142F" w:rsidRDefault="00D92EF1" w:rsidP="00480084">
          <w:pPr>
            <w:spacing w:after="120" w:line="256" w:lineRule="auto"/>
            <w:ind w:left="-486" w:right="214" w:firstLine="1408"/>
            <w:jc w:val="right"/>
            <w:rPr>
              <w:rFonts w:ascii="Palatino Linotype" w:hAnsi="Palatino Linotype" w:cs="Arial"/>
              <w:szCs w:val="20"/>
            </w:rPr>
          </w:pPr>
          <w:r w:rsidRPr="00D92EF1">
            <w:rPr>
              <w:rFonts w:ascii="Palatino Linotype" w:hAnsi="Palatino Linotype" w:cs="Arial"/>
              <w:bCs/>
              <w:sz w:val="24"/>
              <w:lang w:eastAsia="es-MX"/>
            </w:rPr>
            <w:t>03070/INFOEM/IP/RR/2018</w:t>
          </w:r>
        </w:p>
      </w:tc>
    </w:tr>
    <w:tr w:rsidR="001E4F19" w:rsidTr="00F1529A">
      <w:trPr>
        <w:trHeight w:val="196"/>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1E4F19" w:rsidRPr="00F06FED" w:rsidRDefault="00EE6E5A"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1E4F19" w:rsidTr="00F1529A">
      <w:trPr>
        <w:trHeight w:val="242"/>
      </w:trPr>
      <w:tc>
        <w:tcPr>
          <w:tcW w:w="5529" w:type="dxa"/>
          <w:hideMark/>
        </w:tcPr>
        <w:p w:rsidR="001E4F19" w:rsidRDefault="001E4F19"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E4F19" w:rsidRDefault="00D92EF1" w:rsidP="00480084">
          <w:pPr>
            <w:spacing w:after="120" w:line="256" w:lineRule="auto"/>
            <w:ind w:left="-495" w:right="214" w:firstLine="567"/>
            <w:jc w:val="right"/>
            <w:rPr>
              <w:rFonts w:ascii="Palatino Linotype" w:hAnsi="Palatino Linotype" w:cs="Arial"/>
              <w:szCs w:val="20"/>
            </w:rPr>
          </w:pPr>
          <w:r w:rsidRPr="00D92EF1">
            <w:rPr>
              <w:rFonts w:ascii="Palatino Linotype" w:hAnsi="Palatino Linotype" w:cs="Arial"/>
              <w:szCs w:val="20"/>
            </w:rPr>
            <w:t>Poder Legislativo</w:t>
          </w:r>
        </w:p>
      </w:tc>
    </w:tr>
    <w:tr w:rsidR="001E4F19" w:rsidTr="00F1529A">
      <w:trPr>
        <w:trHeight w:val="342"/>
      </w:trPr>
      <w:tc>
        <w:tcPr>
          <w:tcW w:w="5529" w:type="dxa"/>
          <w:hideMark/>
        </w:tcPr>
        <w:p w:rsidR="001E4F19" w:rsidRDefault="001E4F19"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E4F19" w:rsidRDefault="001E4F19"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1E4F19" w:rsidRDefault="001E4F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1B419C"/>
    <w:multiLevelType w:val="hybridMultilevel"/>
    <w:tmpl w:val="8F02D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B451122"/>
    <w:multiLevelType w:val="hybridMultilevel"/>
    <w:tmpl w:val="11900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4945F9"/>
    <w:multiLevelType w:val="hybridMultilevel"/>
    <w:tmpl w:val="16FAC7D6"/>
    <w:lvl w:ilvl="0" w:tplc="080A0001">
      <w:start w:val="1"/>
      <w:numFmt w:val="bullet"/>
      <w:lvlText w:val=""/>
      <w:lvlJc w:val="left"/>
      <w:pPr>
        <w:ind w:left="720" w:hanging="360"/>
      </w:pPr>
      <w:rPr>
        <w:rFonts w:ascii="Symbol" w:hAnsi="Symbol" w:hint="default"/>
      </w:rPr>
    </w:lvl>
    <w:lvl w:ilvl="1" w:tplc="0E94BE60">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0"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AD467AB"/>
    <w:multiLevelType w:val="hybridMultilevel"/>
    <w:tmpl w:val="A7A4B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4"/>
  </w:num>
  <w:num w:numId="3">
    <w:abstractNumId w:val="2"/>
  </w:num>
  <w:num w:numId="4">
    <w:abstractNumId w:val="19"/>
  </w:num>
  <w:num w:numId="5">
    <w:abstractNumId w:val="5"/>
  </w:num>
  <w:num w:numId="6">
    <w:abstractNumId w:val="13"/>
  </w:num>
  <w:num w:numId="7">
    <w:abstractNumId w:val="0"/>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0"/>
  </w:num>
  <w:num w:numId="12">
    <w:abstractNumId w:val="9"/>
  </w:num>
  <w:num w:numId="13">
    <w:abstractNumId w:val="3"/>
  </w:num>
  <w:num w:numId="14">
    <w:abstractNumId w:val="6"/>
  </w:num>
  <w:num w:numId="15">
    <w:abstractNumId w:val="1"/>
  </w:num>
  <w:num w:numId="16">
    <w:abstractNumId w:val="15"/>
  </w:num>
  <w:num w:numId="17">
    <w:abstractNumId w:val="10"/>
  </w:num>
  <w:num w:numId="18">
    <w:abstractNumId w:val="8"/>
  </w:num>
  <w:num w:numId="19">
    <w:abstractNumId w:val="17"/>
  </w:num>
  <w:num w:numId="20">
    <w:abstractNumId w:val="21"/>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6902"/>
    <w:rsid w:val="00020360"/>
    <w:rsid w:val="00023BF4"/>
    <w:rsid w:val="00030D5F"/>
    <w:rsid w:val="000379CA"/>
    <w:rsid w:val="00040F11"/>
    <w:rsid w:val="00054FC7"/>
    <w:rsid w:val="00060799"/>
    <w:rsid w:val="00063191"/>
    <w:rsid w:val="00063480"/>
    <w:rsid w:val="00090203"/>
    <w:rsid w:val="000A1A11"/>
    <w:rsid w:val="000E0BE2"/>
    <w:rsid w:val="00103BE7"/>
    <w:rsid w:val="0011760B"/>
    <w:rsid w:val="001249BE"/>
    <w:rsid w:val="001406C8"/>
    <w:rsid w:val="001424E8"/>
    <w:rsid w:val="00154315"/>
    <w:rsid w:val="00154FB8"/>
    <w:rsid w:val="00156DEF"/>
    <w:rsid w:val="00191D0A"/>
    <w:rsid w:val="001C3A01"/>
    <w:rsid w:val="001E4F19"/>
    <w:rsid w:val="00234632"/>
    <w:rsid w:val="002719C7"/>
    <w:rsid w:val="0028151C"/>
    <w:rsid w:val="002841E8"/>
    <w:rsid w:val="00285F1B"/>
    <w:rsid w:val="00291E56"/>
    <w:rsid w:val="002D27CC"/>
    <w:rsid w:val="002D58AA"/>
    <w:rsid w:val="002F0772"/>
    <w:rsid w:val="00303848"/>
    <w:rsid w:val="0030431E"/>
    <w:rsid w:val="003068B0"/>
    <w:rsid w:val="003379F4"/>
    <w:rsid w:val="00343DD7"/>
    <w:rsid w:val="0035354D"/>
    <w:rsid w:val="003540FD"/>
    <w:rsid w:val="00361B31"/>
    <w:rsid w:val="003704DC"/>
    <w:rsid w:val="00375CEE"/>
    <w:rsid w:val="00380605"/>
    <w:rsid w:val="00385232"/>
    <w:rsid w:val="003927E5"/>
    <w:rsid w:val="003A22A9"/>
    <w:rsid w:val="003D2A01"/>
    <w:rsid w:val="003D3C28"/>
    <w:rsid w:val="003E7373"/>
    <w:rsid w:val="00412EBF"/>
    <w:rsid w:val="004136D8"/>
    <w:rsid w:val="004374E8"/>
    <w:rsid w:val="00453565"/>
    <w:rsid w:val="004555F0"/>
    <w:rsid w:val="004610DE"/>
    <w:rsid w:val="004647B6"/>
    <w:rsid w:val="004651E4"/>
    <w:rsid w:val="00480084"/>
    <w:rsid w:val="00487EC4"/>
    <w:rsid w:val="004911F1"/>
    <w:rsid w:val="0049483F"/>
    <w:rsid w:val="004A37C6"/>
    <w:rsid w:val="004E4B85"/>
    <w:rsid w:val="004F31B3"/>
    <w:rsid w:val="005175E1"/>
    <w:rsid w:val="005260D9"/>
    <w:rsid w:val="005375BE"/>
    <w:rsid w:val="00552DB8"/>
    <w:rsid w:val="00553258"/>
    <w:rsid w:val="00566BE1"/>
    <w:rsid w:val="005733EB"/>
    <w:rsid w:val="00587ED9"/>
    <w:rsid w:val="0059374F"/>
    <w:rsid w:val="005A4030"/>
    <w:rsid w:val="005A4644"/>
    <w:rsid w:val="005B62DA"/>
    <w:rsid w:val="005B7325"/>
    <w:rsid w:val="005E7559"/>
    <w:rsid w:val="005F3753"/>
    <w:rsid w:val="005F4443"/>
    <w:rsid w:val="006024C5"/>
    <w:rsid w:val="00617DB9"/>
    <w:rsid w:val="00626A04"/>
    <w:rsid w:val="00631A18"/>
    <w:rsid w:val="006343BC"/>
    <w:rsid w:val="006366A6"/>
    <w:rsid w:val="0064450B"/>
    <w:rsid w:val="0064677C"/>
    <w:rsid w:val="00651D8E"/>
    <w:rsid w:val="00652ACB"/>
    <w:rsid w:val="00677BCB"/>
    <w:rsid w:val="006826A3"/>
    <w:rsid w:val="00696DE5"/>
    <w:rsid w:val="00697442"/>
    <w:rsid w:val="006A3D87"/>
    <w:rsid w:val="006C37E9"/>
    <w:rsid w:val="006F0B49"/>
    <w:rsid w:val="006F0CC6"/>
    <w:rsid w:val="0070738B"/>
    <w:rsid w:val="00710CD8"/>
    <w:rsid w:val="007510E4"/>
    <w:rsid w:val="007642F5"/>
    <w:rsid w:val="007660BD"/>
    <w:rsid w:val="00773DF9"/>
    <w:rsid w:val="00781BAD"/>
    <w:rsid w:val="0079021A"/>
    <w:rsid w:val="007972E6"/>
    <w:rsid w:val="007A62DB"/>
    <w:rsid w:val="007B18A0"/>
    <w:rsid w:val="007D5034"/>
    <w:rsid w:val="007F7D62"/>
    <w:rsid w:val="0081043E"/>
    <w:rsid w:val="00815818"/>
    <w:rsid w:val="0082345D"/>
    <w:rsid w:val="008306CB"/>
    <w:rsid w:val="008471A2"/>
    <w:rsid w:val="00853FE5"/>
    <w:rsid w:val="008728A7"/>
    <w:rsid w:val="00884278"/>
    <w:rsid w:val="008B2FB7"/>
    <w:rsid w:val="008B748C"/>
    <w:rsid w:val="008C1D7F"/>
    <w:rsid w:val="008C4E70"/>
    <w:rsid w:val="008D51BF"/>
    <w:rsid w:val="008D53F2"/>
    <w:rsid w:val="008D7705"/>
    <w:rsid w:val="008E53DD"/>
    <w:rsid w:val="00916152"/>
    <w:rsid w:val="009512A6"/>
    <w:rsid w:val="009604FD"/>
    <w:rsid w:val="00970C65"/>
    <w:rsid w:val="00982B8C"/>
    <w:rsid w:val="00983369"/>
    <w:rsid w:val="009A38F1"/>
    <w:rsid w:val="009A3961"/>
    <w:rsid w:val="00A02376"/>
    <w:rsid w:val="00A06A28"/>
    <w:rsid w:val="00A12693"/>
    <w:rsid w:val="00A260B9"/>
    <w:rsid w:val="00A26BA8"/>
    <w:rsid w:val="00A45FB0"/>
    <w:rsid w:val="00A65EFD"/>
    <w:rsid w:val="00A67194"/>
    <w:rsid w:val="00A715C3"/>
    <w:rsid w:val="00A871DD"/>
    <w:rsid w:val="00A9328C"/>
    <w:rsid w:val="00AA10EA"/>
    <w:rsid w:val="00AA1AD7"/>
    <w:rsid w:val="00AC2D0C"/>
    <w:rsid w:val="00AC680D"/>
    <w:rsid w:val="00AE76F5"/>
    <w:rsid w:val="00AF1CE8"/>
    <w:rsid w:val="00AF1D50"/>
    <w:rsid w:val="00B04C04"/>
    <w:rsid w:val="00B15D96"/>
    <w:rsid w:val="00B16DAB"/>
    <w:rsid w:val="00B23AF6"/>
    <w:rsid w:val="00B25DF6"/>
    <w:rsid w:val="00B26CAB"/>
    <w:rsid w:val="00B32CD4"/>
    <w:rsid w:val="00B34600"/>
    <w:rsid w:val="00B34B29"/>
    <w:rsid w:val="00B367F9"/>
    <w:rsid w:val="00B405BB"/>
    <w:rsid w:val="00B41CDC"/>
    <w:rsid w:val="00B618AD"/>
    <w:rsid w:val="00B65996"/>
    <w:rsid w:val="00B753F9"/>
    <w:rsid w:val="00B80EBB"/>
    <w:rsid w:val="00BB3182"/>
    <w:rsid w:val="00BC4312"/>
    <w:rsid w:val="00BD0ACE"/>
    <w:rsid w:val="00BD635F"/>
    <w:rsid w:val="00BF03BD"/>
    <w:rsid w:val="00BF5D82"/>
    <w:rsid w:val="00C44DAB"/>
    <w:rsid w:val="00C538B3"/>
    <w:rsid w:val="00C7365A"/>
    <w:rsid w:val="00CA0A09"/>
    <w:rsid w:val="00CB50EF"/>
    <w:rsid w:val="00CF7867"/>
    <w:rsid w:val="00D00192"/>
    <w:rsid w:val="00D04779"/>
    <w:rsid w:val="00D04DE3"/>
    <w:rsid w:val="00D1187C"/>
    <w:rsid w:val="00D122FA"/>
    <w:rsid w:val="00D15E93"/>
    <w:rsid w:val="00D2236C"/>
    <w:rsid w:val="00D23177"/>
    <w:rsid w:val="00D25841"/>
    <w:rsid w:val="00D3057D"/>
    <w:rsid w:val="00D30AF3"/>
    <w:rsid w:val="00D430C7"/>
    <w:rsid w:val="00D52AE5"/>
    <w:rsid w:val="00D62DA8"/>
    <w:rsid w:val="00D73B4D"/>
    <w:rsid w:val="00D81BE8"/>
    <w:rsid w:val="00D92EF1"/>
    <w:rsid w:val="00D94076"/>
    <w:rsid w:val="00D9518A"/>
    <w:rsid w:val="00DD13E2"/>
    <w:rsid w:val="00E0548C"/>
    <w:rsid w:val="00E45477"/>
    <w:rsid w:val="00E61A3B"/>
    <w:rsid w:val="00E65B73"/>
    <w:rsid w:val="00E82BD5"/>
    <w:rsid w:val="00E912B4"/>
    <w:rsid w:val="00E934FB"/>
    <w:rsid w:val="00E97B17"/>
    <w:rsid w:val="00EA4ED6"/>
    <w:rsid w:val="00ED005B"/>
    <w:rsid w:val="00ED46AA"/>
    <w:rsid w:val="00EE55A9"/>
    <w:rsid w:val="00EE6E5A"/>
    <w:rsid w:val="00F03EFE"/>
    <w:rsid w:val="00F1529A"/>
    <w:rsid w:val="00F41D40"/>
    <w:rsid w:val="00F615BD"/>
    <w:rsid w:val="00F74ABA"/>
    <w:rsid w:val="00F82680"/>
    <w:rsid w:val="00F913C4"/>
    <w:rsid w:val="00FD06E7"/>
    <w:rsid w:val="00FE0484"/>
    <w:rsid w:val="00FE12EC"/>
    <w:rsid w:val="00FE739E"/>
    <w:rsid w:val="00FF0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7F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554">
      <w:bodyDiv w:val="1"/>
      <w:marLeft w:val="0"/>
      <w:marRight w:val="0"/>
      <w:marTop w:val="0"/>
      <w:marBottom w:val="0"/>
      <w:divBdr>
        <w:top w:val="none" w:sz="0" w:space="0" w:color="auto"/>
        <w:left w:val="none" w:sz="0" w:space="0" w:color="auto"/>
        <w:bottom w:val="none" w:sz="0" w:space="0" w:color="auto"/>
        <w:right w:val="none" w:sz="0" w:space="0" w:color="auto"/>
      </w:divBdr>
    </w:div>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316303073">
      <w:bodyDiv w:val="1"/>
      <w:marLeft w:val="0"/>
      <w:marRight w:val="0"/>
      <w:marTop w:val="0"/>
      <w:marBottom w:val="0"/>
      <w:divBdr>
        <w:top w:val="none" w:sz="0" w:space="0" w:color="auto"/>
        <w:left w:val="none" w:sz="0" w:space="0" w:color="auto"/>
        <w:bottom w:val="none" w:sz="0" w:space="0" w:color="auto"/>
        <w:right w:val="none" w:sz="0" w:space="0" w:color="auto"/>
      </w:divBdr>
    </w:div>
    <w:div w:id="172544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cddiputados/art_92_xix/0.web" TargetMode="External"/><Relationship Id="rId14" Type="http://schemas.openxmlformats.org/officeDocument/2006/relationships/image" Target="media/image6.emf"/></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8CDA1-1EB6-432F-8771-A8B897BA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8490</Words>
  <Characters>46700</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2018-10-11T23:00:00Z</cp:lastPrinted>
  <dcterms:created xsi:type="dcterms:W3CDTF">2018-10-24T16:46:00Z</dcterms:created>
  <dcterms:modified xsi:type="dcterms:W3CDTF">2018-10-24T16:46:00Z</dcterms:modified>
</cp:coreProperties>
</file>