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AF7" w:rsidRPr="00E433B3" w:rsidRDefault="00E10AF7" w:rsidP="00E10AF7">
      <w:pPr>
        <w:spacing w:before="240" w:after="240" w:line="360" w:lineRule="auto"/>
        <w:jc w:val="both"/>
        <w:rPr>
          <w:rFonts w:ascii="Palatino Linotype" w:hAnsi="Palatino Linotype" w:cs="Arial"/>
        </w:rPr>
      </w:pPr>
      <w:r w:rsidRPr="00EA25FD">
        <w:rPr>
          <w:rFonts w:ascii="Palatino Linotype" w:hAnsi="Palatino Linotype"/>
        </w:rPr>
        <w:t xml:space="preserve">Resolución del Pleno del Instituto de Transparencia, Acceso a la Información Pública y Protección de Datos Personales del Estado de México y Municipios, con domicilio </w:t>
      </w:r>
      <w:r w:rsidRPr="00E433B3">
        <w:rPr>
          <w:rFonts w:ascii="Palatino Linotype" w:hAnsi="Palatino Linotype"/>
        </w:rPr>
        <w:t>en Metepec, Estado de México</w:t>
      </w:r>
      <w:r w:rsidRPr="00E433B3">
        <w:rPr>
          <w:rStyle w:val="normaltextrun"/>
          <w:rFonts w:ascii="Palatino Linotype" w:hAnsi="Palatino Linotype" w:cs="Arial"/>
        </w:rPr>
        <w:t>,</w:t>
      </w:r>
      <w:r w:rsidRPr="00E433B3">
        <w:rPr>
          <w:rStyle w:val="apple-converted-space"/>
          <w:rFonts w:ascii="Palatino Linotype" w:hAnsi="Palatino Linotype" w:cs="Arial"/>
        </w:rPr>
        <w:t> </w:t>
      </w:r>
      <w:r w:rsidR="00C2414D">
        <w:rPr>
          <w:rStyle w:val="normaltextrun"/>
          <w:rFonts w:ascii="Palatino Linotype" w:hAnsi="Palatino Linotype" w:cs="Arial"/>
        </w:rPr>
        <w:t>veintitrés de enero de dos mil diecinueve</w:t>
      </w:r>
      <w:r w:rsidRPr="00E433B3">
        <w:rPr>
          <w:rStyle w:val="normaltextrun"/>
          <w:rFonts w:ascii="Palatino Linotype" w:hAnsi="Palatino Linotype" w:cs="Arial"/>
        </w:rPr>
        <w:t>.</w:t>
      </w:r>
    </w:p>
    <w:p w:rsidR="00E10AF7" w:rsidRPr="00EA25FD" w:rsidRDefault="00E10AF7" w:rsidP="00B30F63">
      <w:pPr>
        <w:spacing w:before="240" w:after="240" w:line="360" w:lineRule="auto"/>
        <w:jc w:val="both"/>
        <w:rPr>
          <w:rFonts w:ascii="Palatino Linotype" w:hAnsi="Palatino Linotype" w:cs="Arial"/>
        </w:rPr>
      </w:pPr>
      <w:r w:rsidRPr="004D073A">
        <w:rPr>
          <w:rFonts w:ascii="Palatino Linotype" w:hAnsi="Palatino Linotype" w:cs="Arial"/>
          <w:b/>
        </w:rPr>
        <w:t xml:space="preserve">Visto </w:t>
      </w:r>
      <w:r w:rsidRPr="004D073A">
        <w:rPr>
          <w:rFonts w:ascii="Palatino Linotype" w:hAnsi="Palatino Linotype" w:cs="Arial"/>
        </w:rPr>
        <w:t>el expediente</w:t>
      </w:r>
      <w:r w:rsidRPr="00EA25FD">
        <w:rPr>
          <w:rFonts w:ascii="Palatino Linotype" w:hAnsi="Palatino Linotype" w:cs="Arial"/>
        </w:rPr>
        <w:t xml:space="preserve"> relativo al recurso de revisión </w:t>
      </w:r>
      <w:r w:rsidR="008452EB">
        <w:rPr>
          <w:rFonts w:ascii="Palatino Linotype" w:hAnsi="Palatino Linotype"/>
          <w:b/>
          <w:sz w:val="21"/>
          <w:szCs w:val="21"/>
          <w:lang w:val="es-ES_tradnl"/>
        </w:rPr>
        <w:t>03153/INFOEM/IP/RR/2018</w:t>
      </w:r>
      <w:r w:rsidRPr="00EA25FD">
        <w:rPr>
          <w:rFonts w:ascii="Palatino Linotype" w:hAnsi="Palatino Linotype" w:cs="Arial"/>
        </w:rPr>
        <w:t>, interpuesto por</w:t>
      </w:r>
      <w:r w:rsidR="00D20831" w:rsidRPr="00EA25FD">
        <w:rPr>
          <w:rFonts w:ascii="Palatino Linotype" w:hAnsi="Palatino Linotype"/>
          <w:b/>
          <w:lang w:val="es-ES_tradnl"/>
        </w:rPr>
        <w:t xml:space="preserve"> </w:t>
      </w:r>
      <w:r w:rsidR="00C92689">
        <w:rPr>
          <w:rFonts w:ascii="Palatino Linotype" w:hAnsi="Palatino Linotype"/>
          <w:b/>
          <w:sz w:val="21"/>
          <w:szCs w:val="21"/>
          <w:lang w:val="es-ES_tradnl"/>
        </w:rPr>
        <w:t>XXXXXXXXXXXXXXXXXXXXXX</w:t>
      </w:r>
      <w:r w:rsidRPr="00EA25FD">
        <w:rPr>
          <w:rFonts w:ascii="Palatino Linotype" w:hAnsi="Palatino Linotype" w:cs="Arial"/>
          <w:b/>
        </w:rPr>
        <w:t xml:space="preserve">, </w:t>
      </w:r>
      <w:r w:rsidR="00430158" w:rsidRPr="00EA25FD">
        <w:rPr>
          <w:rFonts w:ascii="Palatino Linotype" w:hAnsi="Palatino Linotype" w:cs="Arial"/>
        </w:rPr>
        <w:t>en lo sucesivo la</w:t>
      </w:r>
      <w:r w:rsidRPr="00EA25FD">
        <w:rPr>
          <w:rFonts w:ascii="Palatino Linotype" w:hAnsi="Palatino Linotype" w:cs="Arial"/>
        </w:rPr>
        <w:t xml:space="preserve"> </w:t>
      </w:r>
      <w:r w:rsidRPr="00EA25FD">
        <w:rPr>
          <w:rFonts w:ascii="Palatino Linotype" w:hAnsi="Palatino Linotype" w:cs="Arial"/>
          <w:b/>
        </w:rPr>
        <w:t>recurrente</w:t>
      </w:r>
      <w:r w:rsidRPr="00EA25FD">
        <w:rPr>
          <w:rFonts w:ascii="Palatino Linotype" w:hAnsi="Palatino Linotype" w:cs="Arial"/>
        </w:rPr>
        <w:t xml:space="preserve"> en contra de la respuesta a la solicitud de información con número de folio </w:t>
      </w:r>
      <w:r w:rsidR="008452EB" w:rsidRPr="008452EB">
        <w:rPr>
          <w:rFonts w:ascii="Palatino Linotype" w:hAnsi="Palatino Linotype" w:cs="Arial"/>
          <w:b/>
        </w:rPr>
        <w:t>00465/FGJ/IP/2018</w:t>
      </w:r>
      <w:r w:rsidRPr="00EA25FD">
        <w:rPr>
          <w:rFonts w:ascii="Palatino Linotype" w:hAnsi="Palatino Linotype" w:cs="Arial"/>
        </w:rPr>
        <w:t>, por parte de</w:t>
      </w:r>
      <w:r w:rsidR="00430158" w:rsidRPr="00EA25FD">
        <w:rPr>
          <w:rFonts w:ascii="Palatino Linotype" w:hAnsi="Palatino Linotype" w:cs="Arial"/>
        </w:rPr>
        <w:t xml:space="preserve"> la</w:t>
      </w:r>
      <w:r w:rsidRPr="00EA25FD">
        <w:rPr>
          <w:rFonts w:ascii="Palatino Linotype" w:hAnsi="Palatino Linotype" w:cs="Arial"/>
        </w:rPr>
        <w:t xml:space="preserve"> </w:t>
      </w:r>
      <w:r w:rsidR="00430158" w:rsidRPr="00EA25FD">
        <w:rPr>
          <w:rFonts w:ascii="Palatino Linotype" w:hAnsi="Palatino Linotype"/>
          <w:b/>
          <w:lang w:val="es-ES_tradnl"/>
        </w:rPr>
        <w:t>Fiscalía General de Justicia del Estado de México</w:t>
      </w:r>
      <w:r w:rsidRPr="00EA25FD">
        <w:rPr>
          <w:rFonts w:ascii="Palatino Linotype" w:hAnsi="Palatino Linotype" w:cs="Arial"/>
        </w:rPr>
        <w:t xml:space="preserve">, en lo sucesivo el </w:t>
      </w:r>
      <w:r w:rsidRPr="00EA25FD">
        <w:rPr>
          <w:rFonts w:ascii="Palatino Linotype" w:hAnsi="Palatino Linotype" w:cs="Arial"/>
          <w:b/>
        </w:rPr>
        <w:t xml:space="preserve">Sujeto Obligado; </w:t>
      </w:r>
      <w:r w:rsidRPr="00EA25FD">
        <w:rPr>
          <w:rFonts w:ascii="Palatino Linotype" w:hAnsi="Palatino Linotype" w:cs="Arial"/>
        </w:rPr>
        <w:t>se procede a dictar la presente resolución, con base en lo siguiente.</w:t>
      </w:r>
    </w:p>
    <w:p w:rsidR="00E10AF7" w:rsidRPr="00E433B3" w:rsidRDefault="00E10AF7" w:rsidP="00E10AF7">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E433B3">
        <w:rPr>
          <w:rFonts w:ascii="Palatino Linotype" w:hAnsi="Palatino Linotype" w:cs="Arial"/>
          <w:b/>
          <w:sz w:val="24"/>
          <w:szCs w:val="24"/>
        </w:rPr>
        <w:t>A N T E C E D E N T E S:</w:t>
      </w:r>
    </w:p>
    <w:p w:rsidR="00E10AF7" w:rsidRPr="00EA25FD" w:rsidRDefault="00D20831" w:rsidP="00E10AF7">
      <w:pPr>
        <w:spacing w:before="240" w:after="240" w:line="360" w:lineRule="auto"/>
        <w:jc w:val="both"/>
        <w:rPr>
          <w:rFonts w:ascii="Palatino Linotype" w:hAnsi="Palatino Linotype" w:cs="Arial"/>
          <w:b/>
        </w:rPr>
      </w:pPr>
      <w:r w:rsidRPr="004D073A">
        <w:rPr>
          <w:rFonts w:ascii="Palatino Linotype" w:hAnsi="Palatino Linotype" w:cs="Arial"/>
          <w:b/>
        </w:rPr>
        <w:t>Primero</w:t>
      </w:r>
      <w:r w:rsidR="00E10AF7" w:rsidRPr="004D073A">
        <w:rPr>
          <w:rFonts w:ascii="Palatino Linotype" w:hAnsi="Palatino Linotype" w:cs="Arial"/>
          <w:b/>
        </w:rPr>
        <w:t xml:space="preserve">. Solicitud de acceso a la información. </w:t>
      </w:r>
      <w:r w:rsidR="00E10AF7" w:rsidRPr="004D073A">
        <w:rPr>
          <w:rFonts w:ascii="Palatino Linotype" w:hAnsi="Palatino Linotype" w:cs="Arial"/>
        </w:rPr>
        <w:t xml:space="preserve">Con fecha </w:t>
      </w:r>
      <w:r w:rsidR="008452EB" w:rsidRPr="004D073A">
        <w:rPr>
          <w:rFonts w:ascii="Palatino Linotype" w:hAnsi="Palatino Linotype" w:cs="Arial"/>
        </w:rPr>
        <w:t>diez de agosto</w:t>
      </w:r>
      <w:r w:rsidR="00E10AF7" w:rsidRPr="004D073A">
        <w:rPr>
          <w:rFonts w:ascii="Palatino Linotype" w:hAnsi="Palatino Linotype" w:cs="Arial"/>
        </w:rPr>
        <w:t xml:space="preserve"> </w:t>
      </w:r>
      <w:r w:rsidR="00074BF0" w:rsidRPr="004D073A">
        <w:rPr>
          <w:rFonts w:ascii="Palatino Linotype" w:hAnsi="Palatino Linotype" w:cs="Arial"/>
        </w:rPr>
        <w:t>de dos mil dieciocho</w:t>
      </w:r>
      <w:r w:rsidR="00E10AF7" w:rsidRPr="004D073A">
        <w:rPr>
          <w:rFonts w:ascii="Palatino Linotype" w:hAnsi="Palatino Linotype" w:cs="Arial"/>
        </w:rPr>
        <w:t>, la parte</w:t>
      </w:r>
      <w:r w:rsidR="00E10AF7" w:rsidRPr="00EA25FD">
        <w:rPr>
          <w:rFonts w:ascii="Palatino Linotype" w:hAnsi="Palatino Linotype" w:cs="Arial"/>
        </w:rPr>
        <w:t xml:space="preserve"> </w:t>
      </w:r>
      <w:r w:rsidR="00E10AF7" w:rsidRPr="00EA25FD">
        <w:rPr>
          <w:rFonts w:ascii="Palatino Linotype" w:hAnsi="Palatino Linotype" w:cs="Arial"/>
          <w:b/>
        </w:rPr>
        <w:t>recurrente</w:t>
      </w:r>
      <w:r w:rsidR="00E10AF7" w:rsidRPr="00EA25FD">
        <w:rPr>
          <w:rFonts w:ascii="Palatino Linotype" w:hAnsi="Palatino Linotype" w:cs="Arial"/>
        </w:rPr>
        <w:t xml:space="preserve"> formuló solicitud de acceso a información pública al </w:t>
      </w:r>
      <w:r w:rsidR="00E10AF7" w:rsidRPr="00EA25FD">
        <w:rPr>
          <w:rFonts w:ascii="Palatino Linotype" w:hAnsi="Palatino Linotype" w:cs="Arial"/>
          <w:b/>
        </w:rPr>
        <w:t>Sujeto Obligado</w:t>
      </w:r>
      <w:r w:rsidR="00E10AF7" w:rsidRPr="00EA25FD">
        <w:rPr>
          <w:rFonts w:ascii="Palatino Linotype" w:hAnsi="Palatino Linotype" w:cs="Arial"/>
        </w:rPr>
        <w:t xml:space="preserve"> a través del Sistema de Acceso a la Información Mexiquense, en adelante </w:t>
      </w:r>
      <w:r w:rsidR="00E10AF7" w:rsidRPr="00EA25FD">
        <w:rPr>
          <w:rFonts w:ascii="Palatino Linotype" w:hAnsi="Palatino Linotype" w:cs="Arial"/>
          <w:b/>
        </w:rPr>
        <w:t>SAIMEX</w:t>
      </w:r>
      <w:r w:rsidR="00430158" w:rsidRPr="00EA25FD">
        <w:rPr>
          <w:rFonts w:ascii="Palatino Linotype" w:hAnsi="Palatino Linotype" w:cs="Arial"/>
          <w:b/>
        </w:rPr>
        <w:t>,</w:t>
      </w:r>
      <w:r w:rsidR="00430158" w:rsidRPr="00EA25FD">
        <w:rPr>
          <w:rFonts w:ascii="Palatino Linotype" w:hAnsi="Palatino Linotype" w:cs="Arial"/>
        </w:rPr>
        <w:t xml:space="preserve"> requiriéndole</w:t>
      </w:r>
      <w:r w:rsidR="00E10AF7" w:rsidRPr="00EA25FD">
        <w:rPr>
          <w:rFonts w:ascii="Palatino Linotype" w:hAnsi="Palatino Linotype" w:cs="Arial"/>
        </w:rPr>
        <w:t xml:space="preserve"> lo siguiente:</w:t>
      </w:r>
    </w:p>
    <w:p w:rsidR="00074BF0" w:rsidRPr="00EA25FD" w:rsidRDefault="00E10AF7" w:rsidP="00297704">
      <w:pPr>
        <w:pStyle w:val="Prrafodelista"/>
        <w:autoSpaceDE w:val="0"/>
        <w:autoSpaceDN w:val="0"/>
        <w:adjustRightInd w:val="0"/>
        <w:ind w:left="1080" w:right="1043"/>
        <w:jc w:val="both"/>
        <w:rPr>
          <w:rFonts w:ascii="Palatino Linotype" w:hAnsi="Palatino Linotype"/>
          <w:i/>
          <w:lang w:val="es-ES"/>
        </w:rPr>
      </w:pPr>
      <w:r w:rsidRPr="00EA25FD">
        <w:rPr>
          <w:rFonts w:ascii="Palatino Linotype" w:hAnsi="Palatino Linotype" w:cs="Arial"/>
          <w:i/>
        </w:rPr>
        <w:t>“</w:t>
      </w:r>
      <w:r w:rsidR="008452EB" w:rsidRPr="008452EB">
        <w:rPr>
          <w:rFonts w:ascii="Palatino Linotype" w:hAnsi="Palatino Linotype" w:cs="Arial"/>
          <w:i/>
        </w:rPr>
        <w:t xml:space="preserve">Solicito copia simple y mediante el sistema denominado SAIMEX, de la carpeta de investigación con </w:t>
      </w:r>
      <w:proofErr w:type="spellStart"/>
      <w:r w:rsidR="008452EB" w:rsidRPr="008452EB">
        <w:rPr>
          <w:rFonts w:ascii="Palatino Linotype" w:hAnsi="Palatino Linotype" w:cs="Arial"/>
          <w:i/>
        </w:rPr>
        <w:t>numero</w:t>
      </w:r>
      <w:proofErr w:type="spellEnd"/>
      <w:r w:rsidR="008452EB" w:rsidRPr="008452EB">
        <w:rPr>
          <w:rFonts w:ascii="Palatino Linotype" w:hAnsi="Palatino Linotype" w:cs="Arial"/>
          <w:i/>
        </w:rPr>
        <w:t xml:space="preserve"> NUC: </w:t>
      </w:r>
      <w:r w:rsidR="00C92689">
        <w:rPr>
          <w:rFonts w:ascii="Palatino Linotype" w:hAnsi="Palatino Linotype"/>
          <w:b/>
          <w:sz w:val="21"/>
          <w:szCs w:val="21"/>
          <w:lang w:val="es-ES_tradnl"/>
        </w:rPr>
        <w:t>XXXXXXXXXXXXXXXXXXXXXX</w:t>
      </w:r>
      <w:r w:rsidR="00C92689" w:rsidRPr="008452EB">
        <w:rPr>
          <w:rFonts w:ascii="Palatino Linotype" w:hAnsi="Palatino Linotype" w:cs="Arial"/>
          <w:i/>
        </w:rPr>
        <w:t xml:space="preserve"> </w:t>
      </w:r>
      <w:r w:rsidR="008452EB" w:rsidRPr="008452EB">
        <w:rPr>
          <w:rFonts w:ascii="Palatino Linotype" w:hAnsi="Palatino Linotype" w:cs="Arial"/>
          <w:i/>
        </w:rPr>
        <w:t>en versión publica, de la Fiscalía Especializada en Homicidios con Sede en Ixtapaluca Estado de México, anexo mediante archivo copia de la caratula del expediente que necesito, así mismo hago c</w:t>
      </w:r>
      <w:r w:rsidR="008452EB">
        <w:rPr>
          <w:rFonts w:ascii="Palatino Linotype" w:hAnsi="Palatino Linotype" w:cs="Arial"/>
          <w:i/>
        </w:rPr>
        <w:t>ontar que soy la parte afectada</w:t>
      </w:r>
      <w:r w:rsidRPr="00EA25FD">
        <w:rPr>
          <w:rFonts w:ascii="Palatino Linotype" w:hAnsi="Palatino Linotype"/>
          <w:i/>
        </w:rPr>
        <w:t>.</w:t>
      </w:r>
      <w:r w:rsidRPr="00EA25FD">
        <w:rPr>
          <w:rFonts w:ascii="Palatino Linotype" w:hAnsi="Palatino Linotype" w:cs="Arial"/>
          <w:i/>
        </w:rPr>
        <w:t>” (</w:t>
      </w:r>
      <w:r w:rsidR="00D20831" w:rsidRPr="00EA25FD">
        <w:rPr>
          <w:rFonts w:ascii="Palatino Linotype" w:hAnsi="Palatino Linotype" w:cs="Arial"/>
          <w:i/>
        </w:rPr>
        <w:t>Sic</w:t>
      </w:r>
      <w:r w:rsidRPr="00EA25FD">
        <w:rPr>
          <w:rFonts w:ascii="Palatino Linotype" w:hAnsi="Palatino Linotype" w:cs="Arial"/>
          <w:i/>
        </w:rPr>
        <w:t>)</w:t>
      </w:r>
    </w:p>
    <w:p w:rsidR="0038667B" w:rsidRDefault="0038667B" w:rsidP="00E10AF7">
      <w:pPr>
        <w:spacing w:before="240" w:after="240" w:line="360" w:lineRule="auto"/>
        <w:jc w:val="both"/>
        <w:rPr>
          <w:rFonts w:ascii="Palatino Linotype" w:hAnsi="Palatino Linotype" w:cs="Arial"/>
          <w:b/>
        </w:rPr>
      </w:pPr>
    </w:p>
    <w:p w:rsidR="00E10AF7" w:rsidRPr="00E433B3" w:rsidRDefault="00D20831" w:rsidP="00E10AF7">
      <w:pPr>
        <w:spacing w:before="240" w:after="240" w:line="360" w:lineRule="auto"/>
        <w:jc w:val="both"/>
        <w:rPr>
          <w:rFonts w:ascii="Palatino Linotype" w:hAnsi="Palatino Linotype" w:cs="Arial"/>
        </w:rPr>
      </w:pPr>
      <w:r w:rsidRPr="00E433B3">
        <w:rPr>
          <w:rFonts w:ascii="Palatino Linotype" w:hAnsi="Palatino Linotype" w:cs="Arial"/>
          <w:b/>
        </w:rPr>
        <w:t>Modalidad elegida</w:t>
      </w:r>
      <w:r w:rsidR="00E10AF7" w:rsidRPr="00E433B3">
        <w:rPr>
          <w:rFonts w:ascii="Palatino Linotype" w:hAnsi="Palatino Linotype" w:cs="Arial"/>
          <w:b/>
        </w:rPr>
        <w:t xml:space="preserve"> para la entrega de la información: </w:t>
      </w:r>
      <w:r w:rsidR="00074BF0" w:rsidRPr="00E433B3">
        <w:rPr>
          <w:rFonts w:ascii="Palatino Linotype" w:hAnsi="Palatino Linotype" w:cs="Arial"/>
        </w:rPr>
        <w:t>a través de</w:t>
      </w:r>
      <w:r w:rsidR="0038667B" w:rsidRPr="00E433B3">
        <w:rPr>
          <w:rFonts w:ascii="Palatino Linotype" w:hAnsi="Palatino Linotype" w:cs="Arial"/>
        </w:rPr>
        <w:t>l SAIMEX</w:t>
      </w:r>
    </w:p>
    <w:p w:rsidR="00D20831" w:rsidRPr="00EA25FD" w:rsidRDefault="00501D34" w:rsidP="00D20831">
      <w:pPr>
        <w:spacing w:before="240" w:after="240" w:line="360" w:lineRule="auto"/>
        <w:jc w:val="both"/>
        <w:rPr>
          <w:rFonts w:ascii="Palatino Linotype" w:hAnsi="Palatino Linotype" w:cs="Arial"/>
          <w:b/>
        </w:rPr>
      </w:pPr>
      <w:r w:rsidRPr="00501D34">
        <w:rPr>
          <w:rFonts w:ascii="Palatino Linotype" w:hAnsi="Palatino Linotype" w:cs="Arial"/>
          <w:b/>
          <w:noProof/>
          <w:lang w:val="es-MX" w:eastAsia="es-MX"/>
        </w:rPr>
        <w:lastRenderedPageBreak/>
        <w:drawing>
          <wp:anchor distT="0" distB="0" distL="114300" distR="114300" simplePos="0" relativeHeight="251665408" behindDoc="1" locked="0" layoutInCell="1" allowOverlap="1" wp14:anchorId="4EB4A872" wp14:editId="03AEF6BC">
            <wp:simplePos x="0" y="0"/>
            <wp:positionH relativeFrom="column">
              <wp:posOffset>-123825</wp:posOffset>
            </wp:positionH>
            <wp:positionV relativeFrom="paragraph">
              <wp:posOffset>-1028700</wp:posOffset>
            </wp:positionV>
            <wp:extent cx="1695450" cy="1028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0831" w:rsidRPr="004D073A">
        <w:rPr>
          <w:rFonts w:ascii="Palatino Linotype" w:hAnsi="Palatino Linotype" w:cs="Arial"/>
          <w:b/>
        </w:rPr>
        <w:t>Segundo</w:t>
      </w:r>
      <w:r w:rsidR="00E10AF7" w:rsidRPr="004D073A">
        <w:rPr>
          <w:rFonts w:ascii="Palatino Linotype" w:hAnsi="Palatino Linotype" w:cs="Arial"/>
          <w:b/>
        </w:rPr>
        <w:t xml:space="preserve">. Respuesta. </w:t>
      </w:r>
      <w:r w:rsidR="00E10AF7" w:rsidRPr="004D073A">
        <w:rPr>
          <w:rFonts w:ascii="Palatino Linotype" w:hAnsi="Palatino Linotype" w:cs="Arial"/>
        </w:rPr>
        <w:t xml:space="preserve">De las constancias que obran en </w:t>
      </w:r>
      <w:r w:rsidR="00E10AF7" w:rsidRPr="004D073A">
        <w:rPr>
          <w:rFonts w:ascii="Palatino Linotype" w:hAnsi="Palatino Linotype" w:cs="Arial"/>
          <w:b/>
        </w:rPr>
        <w:t>SAIMEX</w:t>
      </w:r>
      <w:r w:rsidR="00E10AF7" w:rsidRPr="004D073A">
        <w:rPr>
          <w:rFonts w:ascii="Palatino Linotype" w:hAnsi="Palatino Linotype" w:cs="Arial"/>
        </w:rPr>
        <w:t xml:space="preserve">, se observa que </w:t>
      </w:r>
      <w:r w:rsidR="00E10AF7" w:rsidRPr="004D073A">
        <w:rPr>
          <w:rFonts w:ascii="Palatino Linotype" w:hAnsi="Palatino Linotype" w:cs="Arial"/>
          <w:b/>
        </w:rPr>
        <w:t>el Sujeto Obligado</w:t>
      </w:r>
      <w:r w:rsidR="00E10AF7" w:rsidRPr="00E433B3">
        <w:rPr>
          <w:rFonts w:ascii="Palatino Linotype" w:hAnsi="Palatino Linotype" w:cs="Arial"/>
          <w:b/>
        </w:rPr>
        <w:t xml:space="preserve"> </w:t>
      </w:r>
      <w:r w:rsidR="00E10AF7" w:rsidRPr="00E433B3">
        <w:rPr>
          <w:rFonts w:ascii="Palatino Linotype" w:hAnsi="Palatino Linotype" w:cs="Arial"/>
        </w:rPr>
        <w:t>emitió respuesta</w:t>
      </w:r>
      <w:r w:rsidR="00E10AF7" w:rsidRPr="00EA25FD">
        <w:rPr>
          <w:rFonts w:ascii="Palatino Linotype" w:hAnsi="Palatino Linotype" w:cs="Arial"/>
        </w:rPr>
        <w:t xml:space="preserve"> a la solicitud de información formulada por </w:t>
      </w:r>
      <w:r w:rsidR="00D20831" w:rsidRPr="00EA25FD">
        <w:rPr>
          <w:rFonts w:ascii="Palatino Linotype" w:hAnsi="Palatino Linotype" w:cs="Arial"/>
        </w:rPr>
        <w:t>e</w:t>
      </w:r>
      <w:r w:rsidR="00074BF0" w:rsidRPr="00EA25FD">
        <w:rPr>
          <w:rFonts w:ascii="Palatino Linotype" w:hAnsi="Palatino Linotype" w:cs="Arial"/>
        </w:rPr>
        <w:t xml:space="preserve">l </w:t>
      </w:r>
      <w:r w:rsidR="00FB274C">
        <w:rPr>
          <w:rFonts w:ascii="Palatino Linotype" w:hAnsi="Palatino Linotype" w:cs="Arial"/>
        </w:rPr>
        <w:t>hoy recurrente, en fecha veinte</w:t>
      </w:r>
      <w:r w:rsidR="00430158" w:rsidRPr="00EA25FD">
        <w:rPr>
          <w:rFonts w:ascii="Palatino Linotype" w:hAnsi="Palatino Linotype" w:cs="Arial"/>
        </w:rPr>
        <w:t xml:space="preserve"> de abril</w:t>
      </w:r>
      <w:r w:rsidR="00E10AF7" w:rsidRPr="00EA25FD">
        <w:rPr>
          <w:rFonts w:ascii="Palatino Linotype" w:hAnsi="Palatino Linotype" w:cs="Arial"/>
        </w:rPr>
        <w:t xml:space="preserve"> del </w:t>
      </w:r>
      <w:r w:rsidR="00787F3A">
        <w:rPr>
          <w:rFonts w:ascii="Palatino Linotype" w:hAnsi="Palatino Linotype" w:cs="Arial"/>
        </w:rPr>
        <w:t>dos mil dieciocho</w:t>
      </w:r>
      <w:r w:rsidR="00E10AF7" w:rsidRPr="00EA25FD">
        <w:rPr>
          <w:rFonts w:ascii="Palatino Linotype" w:hAnsi="Palatino Linotype" w:cs="Arial"/>
        </w:rPr>
        <w:t>, tal y como se demuestra a continuación:</w:t>
      </w:r>
    </w:p>
    <w:p w:rsidR="00782413" w:rsidRPr="00782413" w:rsidRDefault="00501D34" w:rsidP="00782413">
      <w:pPr>
        <w:spacing w:before="240" w:after="240"/>
        <w:ind w:left="993"/>
        <w:jc w:val="both"/>
        <w:rPr>
          <w:rFonts w:ascii="Palatino Linotype" w:hAnsi="Palatino Linotype"/>
          <w:i/>
        </w:rPr>
      </w:pPr>
      <w:r w:rsidRPr="00501D34">
        <w:rPr>
          <w:rFonts w:ascii="Palatino Linotype" w:hAnsi="Palatino Linotype" w:cs="Arial"/>
          <w:b/>
          <w:noProof/>
          <w:lang w:val="es-MX" w:eastAsia="es-MX"/>
        </w:rPr>
        <w:drawing>
          <wp:anchor distT="0" distB="0" distL="114300" distR="114300" simplePos="0" relativeHeight="251666432" behindDoc="1" locked="0" layoutInCell="1" allowOverlap="1" wp14:anchorId="2DEACFD3" wp14:editId="24339C82">
            <wp:simplePos x="0" y="0"/>
            <wp:positionH relativeFrom="column">
              <wp:posOffset>475615</wp:posOffset>
            </wp:positionH>
            <wp:positionV relativeFrom="paragraph">
              <wp:posOffset>31750</wp:posOffset>
            </wp:positionV>
            <wp:extent cx="4676775" cy="390525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AF7" w:rsidRPr="00EA25FD">
        <w:rPr>
          <w:rFonts w:ascii="Palatino Linotype" w:hAnsi="Palatino Linotype"/>
          <w:i/>
        </w:rPr>
        <w:t>“</w:t>
      </w:r>
      <w:r w:rsidR="00782413" w:rsidRPr="00782413">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10AF7" w:rsidRPr="00EA25FD" w:rsidRDefault="00782413" w:rsidP="00782413">
      <w:pPr>
        <w:spacing w:before="240" w:after="240"/>
        <w:ind w:left="993"/>
        <w:jc w:val="both"/>
        <w:rPr>
          <w:rFonts w:ascii="Palatino Linotype" w:hAnsi="Palatino Linotype" w:cs="Arial"/>
          <w:i/>
        </w:rPr>
      </w:pPr>
      <w:r w:rsidRPr="00782413">
        <w:rPr>
          <w:rFonts w:ascii="Palatino Linotype" w:hAnsi="Palatino Linotype"/>
          <w:i/>
        </w:rPr>
        <w:t xml:space="preserve">Toluca de Lerdo, Estado de México; a 29 de agosto de 2018. Número de Oficio: 867/MAIP/FGJ/2018. </w:t>
      </w:r>
      <w:r w:rsidR="00C92689">
        <w:rPr>
          <w:rFonts w:ascii="Palatino Linotype" w:hAnsi="Palatino Linotype"/>
          <w:b/>
          <w:sz w:val="21"/>
          <w:szCs w:val="21"/>
          <w:lang w:val="es-ES_tradnl"/>
        </w:rPr>
        <w:t>XXXXXXXXXXXXXXXXXXXXXX</w:t>
      </w:r>
      <w:r w:rsidR="00C92689" w:rsidRPr="00782413">
        <w:rPr>
          <w:rFonts w:ascii="Palatino Linotype" w:hAnsi="Palatino Linotype"/>
          <w:i/>
        </w:rPr>
        <w:t xml:space="preserve"> </w:t>
      </w:r>
      <w:r w:rsidRPr="00782413">
        <w:rPr>
          <w:rFonts w:ascii="Palatino Linotype" w:hAnsi="Palatino Linotype"/>
          <w:i/>
        </w:rPr>
        <w:t xml:space="preserve">Hago referencia al contenido de su solicitud de información pública, presentada el 10 de agosto del año 2018, ante la Unidad de Transparencia y Acceso a la Información Pública de la Fiscalía General de Justicia del Estado de México, misma que fue registrada en el Sistema de Acceso a la Información Mexiquense, bajo el folio 00465/FGJ/IP/2018, en la que requiere lo siguiente: ”Solicito copia simple y mediante el sistema denominado SAIMEX, de la carpeta de investigación con </w:t>
      </w:r>
      <w:proofErr w:type="spellStart"/>
      <w:r w:rsidRPr="00782413">
        <w:rPr>
          <w:rFonts w:ascii="Palatino Linotype" w:hAnsi="Palatino Linotype"/>
          <w:i/>
        </w:rPr>
        <w:t>numero</w:t>
      </w:r>
      <w:proofErr w:type="spellEnd"/>
      <w:r w:rsidRPr="00782413">
        <w:rPr>
          <w:rFonts w:ascii="Palatino Linotype" w:hAnsi="Palatino Linotype"/>
          <w:i/>
        </w:rPr>
        <w:t xml:space="preserve"> NUC: </w:t>
      </w:r>
      <w:r w:rsidR="00C92689">
        <w:rPr>
          <w:rFonts w:ascii="Palatino Linotype" w:hAnsi="Palatino Linotype"/>
          <w:b/>
          <w:sz w:val="21"/>
          <w:szCs w:val="21"/>
          <w:lang w:val="es-ES_tradnl"/>
        </w:rPr>
        <w:t>XXXXXXXXXXXXXXXXXXXXXX</w:t>
      </w:r>
      <w:r w:rsidR="00C92689" w:rsidRPr="00782413">
        <w:rPr>
          <w:rFonts w:ascii="Palatino Linotype" w:hAnsi="Palatino Linotype"/>
          <w:i/>
        </w:rPr>
        <w:t xml:space="preserve"> </w:t>
      </w:r>
      <w:r w:rsidRPr="00782413">
        <w:rPr>
          <w:rFonts w:ascii="Palatino Linotype" w:hAnsi="Palatino Linotype"/>
          <w:i/>
        </w:rPr>
        <w:t xml:space="preserve">en versión publica, de la Fiscalía Especializada en Homicidios con Sede en Ixtapaluca Estado de México, anexo mediante archivo copia de la caratula del expediente que necesito, así mismo hago contar que soy la parte afectada.” (sic) Al respecto, esta Fiscalía General de Justicia del Estado de México, con fundamento en los artículos 1, 4 y 163 de la Ley de Transparencia y Acceso a la Información Pública del Estado de México y Municipios, hace de su conocimiento que de acuerdo a lo informado por el Fiscal Especializado de Homicidios Zona Oriente, Servidor Público Habilitado, fue localizada la Carpeta de Investigación número </w:t>
      </w:r>
      <w:r w:rsidR="00C92689">
        <w:rPr>
          <w:rFonts w:ascii="Palatino Linotype" w:hAnsi="Palatino Linotype"/>
          <w:b/>
          <w:sz w:val="21"/>
          <w:szCs w:val="21"/>
          <w:lang w:val="es-ES_tradnl"/>
        </w:rPr>
        <w:t>XXXXXXXXXXXXXXXXXXXXXX</w:t>
      </w:r>
      <w:r w:rsidRPr="00782413">
        <w:rPr>
          <w:rFonts w:ascii="Palatino Linotype" w:hAnsi="Palatino Linotype"/>
          <w:i/>
        </w:rPr>
        <w:t xml:space="preserve">, en trámite para su integración en la Fiscalía a su cargo. Sin embargo, para acceder a la información que obra en la Carpeta de Investigación que requiere, es un requisito de </w:t>
      </w:r>
      <w:proofErr w:type="spellStart"/>
      <w:r w:rsidRPr="00782413">
        <w:rPr>
          <w:rFonts w:ascii="Palatino Linotype" w:hAnsi="Palatino Linotype"/>
          <w:i/>
        </w:rPr>
        <w:t>procedibilidad</w:t>
      </w:r>
      <w:proofErr w:type="spellEnd"/>
      <w:r w:rsidRPr="00782413">
        <w:rPr>
          <w:rFonts w:ascii="Palatino Linotype" w:hAnsi="Palatino Linotype"/>
          <w:i/>
        </w:rPr>
        <w:t xml:space="preserve"> que usted o su representante, acrediten su personalidad jurídica ante el Agente del Ministerio Público de la Fiscalía Especializada de Homicidios Zona Oriente, ubicada en Carretera Federal México Puebla, kilómetro 28+500, Poblado de Izcalli </w:t>
      </w:r>
      <w:proofErr w:type="spellStart"/>
      <w:r w:rsidRPr="00782413">
        <w:rPr>
          <w:rFonts w:ascii="Palatino Linotype" w:hAnsi="Palatino Linotype"/>
          <w:i/>
        </w:rPr>
        <w:t>Ayotla</w:t>
      </w:r>
      <w:proofErr w:type="spellEnd"/>
      <w:r w:rsidRPr="00782413">
        <w:rPr>
          <w:rFonts w:ascii="Palatino Linotype" w:hAnsi="Palatino Linotype"/>
          <w:i/>
        </w:rPr>
        <w:t xml:space="preserve">, Código Postal 56566, Municipio de Ixtapaluca, Estado de México, lugar en el que podrá examinar en su carácter de ofendida, los avances de la investigación o solicitar las copias que requiere, directamente ante la </w:t>
      </w:r>
      <w:r w:rsidRPr="00782413">
        <w:rPr>
          <w:rFonts w:ascii="Palatino Linotype" w:hAnsi="Palatino Linotype"/>
          <w:i/>
        </w:rPr>
        <w:lastRenderedPageBreak/>
        <w:t>autoridad ministerial que conoce del asunto y no a través de la Unidad de Transparencia; ya que el servidor público diverso, que en cualquier otro caso, quebrante su secrecía, será sujeto a un procedimiento administrativo, conforme a lo establecido en la Ley de Responsabilidades de los Servidores Públicos del Estado de México. Lo anterior es así, en virtud de que se actualiza lo dispuesto por los artículos 106 y 218 del Código Nacional de Procedimientos Penales, que establece lo siguiente: Artículo 106. Reserva sobre la identidad En ningún caso se podrá hacer referencia o comunicar a terceros no legitimados la información confidencial relativa a los datos personales de los sujetos del procedimiento penal o de cualquier persona relacionada o mencionada en éste. Toda violación al deber de reserva por parte de los servidores públicos, será sancionada por la legislación aplicable. En los casos de personas sustraídas de la acción de la justicia, se admitirá la publicación de los datos que permitan la identificación del imputado para ejecutar la orden judicial de aprehensión o de comparecencia. Artículo 218. Reserva de los actos de investigación. En la investigación inicial, los registros de ésta, así como todos los documentos, independientemente de su contenido o naturaleza, los objetos, los registros de voz e imágenes o cosas que le estén relacionados, son estrictamente reservados. El imputado y su Defensor podrán tener acceso a ellos cuando se encuentre detenido, o sea citado para comparecer como imputado, y se pretenda recibir su entrevista. A partir de este momento ya no podrán mantenerse en reserva los registros para no afectar el derecho de defensa del imputado. De los preceptos antes transcritos, se advierte que en ningún caso se podrá hacer referencia o comunicar a terceros no legitimados la información confidencial relativa a sujetos del procedimiento penal; asimismo, se advierte que todos los documentos, independientemente de su contenido o naturaleza, los objetos, los registros de voz e imágenes o cosas que estén relacionados, son estrictamente reservados. Sin otro particular, le reitero la seguridad de mi distinguida consideración. A T E N T A M E N T E M. EN A. JORGE MEZHER RAGE OFICIAL MAYOR Y TITULAR DE LA UNIDAD TRANSPARENCIA YLG/LGCG</w:t>
      </w:r>
      <w:r w:rsidR="00FB274C">
        <w:rPr>
          <w:rFonts w:ascii="Palatino Linotype" w:hAnsi="Palatino Linotype"/>
          <w:i/>
        </w:rPr>
        <w:t>”</w:t>
      </w:r>
      <w:r w:rsidR="00430158" w:rsidRPr="00EA25FD">
        <w:rPr>
          <w:rFonts w:ascii="Palatino Linotype" w:hAnsi="Palatino Linotype"/>
          <w:i/>
        </w:rPr>
        <w:t xml:space="preserve"> </w:t>
      </w:r>
      <w:r w:rsidR="00E10AF7" w:rsidRPr="00EA25FD">
        <w:rPr>
          <w:rFonts w:ascii="Palatino Linotype" w:hAnsi="Palatino Linotype" w:cs="Arial"/>
          <w:i/>
        </w:rPr>
        <w:t>(sic)</w:t>
      </w:r>
    </w:p>
    <w:p w:rsidR="00D20831" w:rsidRPr="00EA25FD" w:rsidRDefault="00D20831" w:rsidP="00D20831">
      <w:pPr>
        <w:spacing w:before="240" w:after="240"/>
        <w:jc w:val="both"/>
        <w:rPr>
          <w:rFonts w:ascii="Palatino Linotype" w:hAnsi="Palatino Linotype" w:cs="Arial"/>
          <w:b/>
        </w:rPr>
      </w:pPr>
    </w:p>
    <w:p w:rsidR="00074BF0" w:rsidRPr="00EA25FD" w:rsidRDefault="00074BF0" w:rsidP="00E10AF7">
      <w:pPr>
        <w:spacing w:before="240" w:after="240" w:line="360" w:lineRule="auto"/>
        <w:jc w:val="both"/>
        <w:rPr>
          <w:rFonts w:ascii="Palatino Linotype" w:hAnsi="Palatino Linotype"/>
          <w:sz w:val="14"/>
          <w:lang w:val="es-MX"/>
        </w:rPr>
      </w:pPr>
    </w:p>
    <w:p w:rsidR="00E10AF7" w:rsidRPr="00EA25FD" w:rsidRDefault="00501D34" w:rsidP="00E10AF7">
      <w:pPr>
        <w:spacing w:before="240" w:after="240" w:line="360" w:lineRule="auto"/>
        <w:jc w:val="both"/>
        <w:rPr>
          <w:rFonts w:ascii="Palatino Linotype" w:hAnsi="Palatino Linotype" w:cs="Arial"/>
        </w:rPr>
      </w:pPr>
      <w:r w:rsidRPr="00501D34">
        <w:rPr>
          <w:rFonts w:ascii="Palatino Linotype" w:hAnsi="Palatino Linotype" w:cs="Arial"/>
          <w:b/>
          <w:noProof/>
          <w:lang w:val="es-MX" w:eastAsia="es-MX"/>
        </w:rPr>
        <w:lastRenderedPageBreak/>
        <w:drawing>
          <wp:anchor distT="0" distB="0" distL="114300" distR="114300" simplePos="0" relativeHeight="251668480" behindDoc="1" locked="0" layoutInCell="1" allowOverlap="1" wp14:anchorId="141BFECD" wp14:editId="110AB6BF">
            <wp:simplePos x="0" y="0"/>
            <wp:positionH relativeFrom="column">
              <wp:posOffset>-180975</wp:posOffset>
            </wp:positionH>
            <wp:positionV relativeFrom="paragraph">
              <wp:posOffset>-1162050</wp:posOffset>
            </wp:positionV>
            <wp:extent cx="1695450" cy="10287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0831" w:rsidRPr="004D073A">
        <w:rPr>
          <w:rFonts w:ascii="Palatino Linotype" w:hAnsi="Palatino Linotype" w:cs="Arial"/>
          <w:b/>
        </w:rPr>
        <w:t>Tercero</w:t>
      </w:r>
      <w:r w:rsidR="00E10AF7" w:rsidRPr="004D073A">
        <w:rPr>
          <w:rFonts w:ascii="Palatino Linotype" w:hAnsi="Palatino Linotype" w:cs="Arial"/>
          <w:b/>
        </w:rPr>
        <w:t xml:space="preserve">. Interposición del recurso de revisión. </w:t>
      </w:r>
      <w:r w:rsidR="00E10AF7" w:rsidRPr="004D073A">
        <w:rPr>
          <w:rFonts w:ascii="Palatino Linotype" w:hAnsi="Palatino Linotype" w:cs="Arial"/>
        </w:rPr>
        <w:t xml:space="preserve">Inconforme el solicitante con la respuesta del </w:t>
      </w:r>
      <w:r w:rsidR="00E10AF7" w:rsidRPr="004D073A">
        <w:rPr>
          <w:rFonts w:ascii="Palatino Linotype" w:hAnsi="Palatino Linotype" w:cs="Arial"/>
          <w:b/>
        </w:rPr>
        <w:t>Sujeto</w:t>
      </w:r>
      <w:r w:rsidR="00E10AF7" w:rsidRPr="00EA25FD">
        <w:rPr>
          <w:rFonts w:ascii="Palatino Linotype" w:hAnsi="Palatino Linotype" w:cs="Arial"/>
          <w:b/>
        </w:rPr>
        <w:t xml:space="preserve"> Obligado</w:t>
      </w:r>
      <w:r w:rsidR="00E10AF7" w:rsidRPr="00EA25FD">
        <w:rPr>
          <w:rFonts w:ascii="Palatino Linotype" w:hAnsi="Palatino Linotype" w:cs="Arial"/>
        </w:rPr>
        <w:t xml:space="preserve"> interpuso recurso de revisión a través del SAIMEX en fecha </w:t>
      </w:r>
      <w:r w:rsidR="00782413">
        <w:rPr>
          <w:rFonts w:ascii="Palatino Linotype" w:hAnsi="Palatino Linotype" w:cs="Arial"/>
        </w:rPr>
        <w:t>veintinueve de agosto</w:t>
      </w:r>
      <w:r w:rsidR="00E10AF7" w:rsidRPr="00EA25FD">
        <w:rPr>
          <w:rFonts w:ascii="Palatino Linotype" w:hAnsi="Palatino Linotype" w:cs="Arial"/>
        </w:rPr>
        <w:t xml:space="preserve"> </w:t>
      </w:r>
      <w:r w:rsidR="00F10D4E" w:rsidRPr="00EA25FD">
        <w:rPr>
          <w:rFonts w:ascii="Palatino Linotype" w:hAnsi="Palatino Linotype" w:cs="Arial"/>
        </w:rPr>
        <w:t>de dos mil dieciocho</w:t>
      </w:r>
      <w:r w:rsidR="00E10AF7" w:rsidRPr="00EA25FD">
        <w:rPr>
          <w:rFonts w:ascii="Palatino Linotype" w:hAnsi="Palatino Linotype" w:cs="Arial"/>
        </w:rPr>
        <w:t>, expresando lo siguiente:</w:t>
      </w:r>
    </w:p>
    <w:p w:rsidR="00E10AF7" w:rsidRPr="00EA25FD" w:rsidRDefault="00501D34" w:rsidP="00E10AF7">
      <w:pPr>
        <w:spacing w:line="360" w:lineRule="auto"/>
        <w:rPr>
          <w:rFonts w:ascii="Palatino Linotype" w:hAnsi="Palatino Linotype" w:cs="Arial"/>
          <w:b/>
        </w:rPr>
      </w:pPr>
      <w:r w:rsidRPr="00501D34">
        <w:rPr>
          <w:rFonts w:ascii="Palatino Linotype" w:hAnsi="Palatino Linotype" w:cs="Arial"/>
          <w:b/>
          <w:noProof/>
          <w:lang w:val="es-MX" w:eastAsia="es-MX"/>
        </w:rPr>
        <w:drawing>
          <wp:anchor distT="0" distB="0" distL="114300" distR="114300" simplePos="0" relativeHeight="251669504" behindDoc="1" locked="0" layoutInCell="1" allowOverlap="1" wp14:anchorId="3DBDB863" wp14:editId="325779A5">
            <wp:simplePos x="0" y="0"/>
            <wp:positionH relativeFrom="column">
              <wp:posOffset>418465</wp:posOffset>
            </wp:positionH>
            <wp:positionV relativeFrom="paragraph">
              <wp:posOffset>207010</wp:posOffset>
            </wp:positionV>
            <wp:extent cx="4676775" cy="390525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AF7" w:rsidRPr="00EA25FD">
        <w:rPr>
          <w:rFonts w:ascii="Palatino Linotype" w:hAnsi="Palatino Linotype" w:cs="Arial"/>
          <w:b/>
        </w:rPr>
        <w:t>a) Acto impugnado.</w:t>
      </w:r>
    </w:p>
    <w:p w:rsidR="00E10AF7" w:rsidRPr="00EA25FD" w:rsidRDefault="00E10AF7" w:rsidP="00E10AF7">
      <w:pPr>
        <w:pStyle w:val="Prrafodelista"/>
        <w:spacing w:before="240" w:after="240"/>
        <w:ind w:left="1080" w:right="1043"/>
        <w:jc w:val="both"/>
        <w:rPr>
          <w:rFonts w:ascii="Palatino Linotype" w:hAnsi="Palatino Linotype" w:cs="Arial"/>
          <w:i/>
        </w:rPr>
      </w:pPr>
      <w:r w:rsidRPr="00EA25FD">
        <w:rPr>
          <w:rFonts w:ascii="Palatino Linotype" w:hAnsi="Palatino Linotype"/>
          <w:i/>
        </w:rPr>
        <w:t>“</w:t>
      </w:r>
      <w:r w:rsidR="00782413" w:rsidRPr="00782413">
        <w:rPr>
          <w:rFonts w:ascii="Palatino Linotype" w:hAnsi="Palatino Linotype"/>
          <w:i/>
          <w:lang w:val="es-ES"/>
        </w:rPr>
        <w:t>La respuesta que está dando el servidor público “sujeto obligado”</w:t>
      </w:r>
      <w:r w:rsidR="00430158" w:rsidRPr="00EA25FD">
        <w:rPr>
          <w:rFonts w:ascii="Palatino Linotype" w:hAnsi="Palatino Linotype"/>
          <w:i/>
          <w:lang w:val="es-ES"/>
        </w:rPr>
        <w:t>”</w:t>
      </w:r>
      <w:r w:rsidR="00F10D4E" w:rsidRPr="00EA25FD">
        <w:rPr>
          <w:rFonts w:ascii="Palatino Linotype" w:hAnsi="Palatino Linotype"/>
          <w:i/>
          <w:lang w:val="es-ES"/>
        </w:rPr>
        <w:t xml:space="preserve"> </w:t>
      </w:r>
      <w:r w:rsidRPr="00EA25FD">
        <w:rPr>
          <w:rFonts w:ascii="Palatino Linotype" w:hAnsi="Palatino Linotype" w:cs="Arial"/>
          <w:i/>
        </w:rPr>
        <w:t>(sic)</w:t>
      </w:r>
    </w:p>
    <w:p w:rsidR="00E10AF7" w:rsidRPr="00EA25FD" w:rsidRDefault="00E10AF7" w:rsidP="00E10AF7">
      <w:pPr>
        <w:spacing w:line="360" w:lineRule="auto"/>
        <w:jc w:val="both"/>
        <w:rPr>
          <w:rFonts w:ascii="Palatino Linotype" w:hAnsi="Palatino Linotype" w:cs="Arial"/>
          <w:b/>
        </w:rPr>
      </w:pPr>
      <w:r w:rsidRPr="00EA25FD">
        <w:rPr>
          <w:rFonts w:ascii="Palatino Linotype" w:hAnsi="Palatino Linotype" w:cs="Arial"/>
          <w:b/>
        </w:rPr>
        <w:t>b) Motivos de inconformidad.</w:t>
      </w:r>
    </w:p>
    <w:p w:rsidR="00FB274C" w:rsidRPr="00FB274C" w:rsidRDefault="00E10AF7" w:rsidP="00FB274C">
      <w:pPr>
        <w:pStyle w:val="Prrafodelista"/>
        <w:spacing w:before="240" w:after="240"/>
        <w:ind w:left="1080" w:right="1043"/>
        <w:jc w:val="both"/>
        <w:rPr>
          <w:rFonts w:ascii="Palatino Linotype" w:hAnsi="Palatino Linotype" w:cs="Arial"/>
          <w:b/>
          <w:i/>
        </w:rPr>
      </w:pPr>
      <w:r w:rsidRPr="00EA25FD">
        <w:rPr>
          <w:rFonts w:ascii="Palatino Linotype" w:hAnsi="Palatino Linotype" w:cs="Arial"/>
          <w:bCs/>
          <w:i/>
        </w:rPr>
        <w:t xml:space="preserve"> “</w:t>
      </w:r>
      <w:r w:rsidR="00782413" w:rsidRPr="00782413">
        <w:rPr>
          <w:rFonts w:ascii="Palatino Linotype" w:hAnsi="Palatino Linotype"/>
          <w:i/>
          <w:lang w:val="es-ES"/>
        </w:rPr>
        <w:t xml:space="preserve">Están poniendo muchas trabas para dar la información de la carpeta de investigación de mis familiares, mande primer hoja del archivo que estoy solicitando y como parte ofendida pido me entreguen la carpeta mediante copia simple, solo están poniendo pretextos para no trabajar. Como persona que me involucra en el asunto como parte ofendida, y acreditando la personalidad solicito me entreguen la información, ahora ya se había solicitado la información a nombre de mi sobrino </w:t>
      </w:r>
      <w:proofErr w:type="spellStart"/>
      <w:r w:rsidR="00304447">
        <w:rPr>
          <w:rFonts w:ascii="Palatino Linotype" w:hAnsi="Palatino Linotype"/>
          <w:i/>
          <w:lang w:val="es-ES"/>
        </w:rPr>
        <w:t>xxxxxxxxxxxxxxxx</w:t>
      </w:r>
      <w:proofErr w:type="spellEnd"/>
      <w:r w:rsidR="00782413" w:rsidRPr="00782413">
        <w:rPr>
          <w:rFonts w:ascii="Palatino Linotype" w:hAnsi="Palatino Linotype"/>
          <w:i/>
          <w:lang w:val="es-ES"/>
        </w:rPr>
        <w:t xml:space="preserve"> y de la misma manera el sujeto obligado evade. </w:t>
      </w:r>
      <w:r w:rsidRPr="00EA25FD">
        <w:rPr>
          <w:rFonts w:ascii="Palatino Linotype" w:hAnsi="Palatino Linotype" w:cs="Arial"/>
          <w:b/>
          <w:i/>
        </w:rPr>
        <w:t>(</w:t>
      </w:r>
      <w:r w:rsidR="00D20831" w:rsidRPr="00EA25FD">
        <w:rPr>
          <w:rFonts w:ascii="Palatino Linotype" w:hAnsi="Palatino Linotype" w:cs="Arial"/>
          <w:b/>
          <w:i/>
        </w:rPr>
        <w:t>Sic</w:t>
      </w:r>
      <w:r w:rsidRPr="00EA25FD">
        <w:rPr>
          <w:rFonts w:ascii="Palatino Linotype" w:hAnsi="Palatino Linotype" w:cs="Arial"/>
          <w:b/>
          <w:i/>
        </w:rPr>
        <w:t>)</w:t>
      </w:r>
    </w:p>
    <w:p w:rsidR="00FB274C" w:rsidRPr="004D073A" w:rsidRDefault="00D20831" w:rsidP="00E10AF7">
      <w:pPr>
        <w:spacing w:before="240" w:after="240" w:line="360" w:lineRule="auto"/>
        <w:jc w:val="both"/>
        <w:rPr>
          <w:rFonts w:ascii="Palatino Linotype" w:hAnsi="Palatino Linotype" w:cs="Arial"/>
          <w:b/>
        </w:rPr>
      </w:pPr>
      <w:r w:rsidRPr="004D073A">
        <w:rPr>
          <w:rFonts w:ascii="Palatino Linotype" w:hAnsi="Palatino Linotype" w:cs="Arial"/>
          <w:b/>
        </w:rPr>
        <w:t>Cuarto</w:t>
      </w:r>
      <w:r w:rsidR="00E10AF7" w:rsidRPr="004D073A">
        <w:rPr>
          <w:rFonts w:ascii="Palatino Linotype" w:hAnsi="Palatino Linotype" w:cs="Arial"/>
          <w:b/>
        </w:rPr>
        <w:t xml:space="preserve">. </w:t>
      </w:r>
      <w:r w:rsidR="00FB274C" w:rsidRPr="004D073A">
        <w:rPr>
          <w:rFonts w:ascii="Palatino Linotype" w:hAnsi="Palatino Linotype" w:cs="Arial"/>
          <w:b/>
        </w:rPr>
        <w:t xml:space="preserve">Turno. </w:t>
      </w:r>
      <w:r w:rsidR="0090138A" w:rsidRPr="004D073A">
        <w:rPr>
          <w:rFonts w:ascii="Palatino Linotype" w:hAnsi="Palatino Linotype" w:cs="Arial"/>
        </w:rPr>
        <w:t>El veintinueve de agosto</w:t>
      </w:r>
      <w:r w:rsidR="00FB274C" w:rsidRPr="004D073A">
        <w:rPr>
          <w:rFonts w:ascii="Palatino Linotype" w:hAnsi="Palatino Linotype" w:cs="Arial"/>
        </w:rPr>
        <w:t xml:space="preserve"> de dos mil dieciocho, el recurso de que se trata se envió electrónicamente al Instituto de </w:t>
      </w:r>
      <w:r w:rsidR="00FB274C" w:rsidRPr="004D073A">
        <w:rPr>
          <w:rFonts w:ascii="Palatino Linotype" w:eastAsia="Arial Unicode MS" w:hAnsi="Palatino Linotype" w:cs="Arial"/>
        </w:rPr>
        <w:t>Transparencia</w:t>
      </w:r>
      <w:r w:rsidR="00FB274C" w:rsidRPr="004D073A">
        <w:rPr>
          <w:rFonts w:ascii="Palatino Linotype" w:hAnsi="Palatino Linotype" w:cs="Arial"/>
        </w:rPr>
        <w:t>, Acceso a la Información Pública</w:t>
      </w:r>
      <w:r w:rsidR="00FB274C" w:rsidRPr="00FB274C">
        <w:rPr>
          <w:rFonts w:ascii="Palatino Linotype" w:hAnsi="Palatino Linotype" w:cs="Arial"/>
        </w:rPr>
        <w:t xml:space="preserve"> y Protección de Datos Personales del Estado de México y Municipios y con fundamento en el artículo 185 fracción I de la </w:t>
      </w:r>
      <w:r w:rsidR="00FB274C" w:rsidRPr="00FB274C">
        <w:rPr>
          <w:rFonts w:ascii="Palatino Linotype" w:hAnsi="Palatino Linotype"/>
        </w:rPr>
        <w:t>Ley de Transparencia y Acceso a la Información Pública del Estado de México y Municipios</w:t>
      </w:r>
      <w:r w:rsidR="00FB274C" w:rsidRPr="00FB274C">
        <w:rPr>
          <w:rFonts w:ascii="Palatino Linotype" w:hAnsi="Palatino Linotype" w:cs="Arial"/>
        </w:rPr>
        <w:t>, se turnó, a través del</w:t>
      </w:r>
      <w:r w:rsidR="00FB274C" w:rsidRPr="00FB274C">
        <w:rPr>
          <w:rFonts w:ascii="Palatino Linotype" w:eastAsia="Arial Unicode MS" w:hAnsi="Palatino Linotype" w:cs="Arial"/>
        </w:rPr>
        <w:t xml:space="preserve"> </w:t>
      </w:r>
      <w:r w:rsidR="00FB274C" w:rsidRPr="00FB274C">
        <w:rPr>
          <w:rFonts w:ascii="Palatino Linotype" w:eastAsia="Arial Unicode MS" w:hAnsi="Palatino Linotype" w:cs="Arial"/>
          <w:b/>
        </w:rPr>
        <w:t>SAIMEX</w:t>
      </w:r>
      <w:r w:rsidR="00FB274C" w:rsidRPr="00FB274C">
        <w:rPr>
          <w:rFonts w:ascii="Palatino Linotype" w:hAnsi="Palatino Linotype"/>
        </w:rPr>
        <w:t xml:space="preserve">, al </w:t>
      </w:r>
      <w:r w:rsidR="00FB274C" w:rsidRPr="00FB274C">
        <w:rPr>
          <w:rFonts w:ascii="Palatino Linotype" w:hAnsi="Palatino Linotype" w:cs="Arial"/>
        </w:rPr>
        <w:t xml:space="preserve">Comisionado </w:t>
      </w:r>
      <w:r w:rsidR="00FB274C" w:rsidRPr="00FB274C">
        <w:rPr>
          <w:rFonts w:ascii="Palatino Linotype" w:hAnsi="Palatino Linotype" w:cs="Arial"/>
          <w:b/>
        </w:rPr>
        <w:t>JOSÉ GUADALUPE LUNA HERNÁNDEZ</w:t>
      </w:r>
      <w:r w:rsidR="00FB274C" w:rsidRPr="00FB274C">
        <w:rPr>
          <w:rFonts w:ascii="Palatino Linotype" w:hAnsi="Palatino Linotype"/>
        </w:rPr>
        <w:t>,</w:t>
      </w:r>
      <w:r w:rsidR="00FB274C" w:rsidRPr="00FB274C">
        <w:rPr>
          <w:rFonts w:ascii="Palatino Linotype" w:hAnsi="Palatino Linotype" w:cs="Arial"/>
        </w:rPr>
        <w:t xml:space="preserve"> a </w:t>
      </w:r>
      <w:r w:rsidR="00FB274C" w:rsidRPr="004D073A">
        <w:rPr>
          <w:rFonts w:ascii="Palatino Linotype" w:hAnsi="Palatino Linotype" w:cs="Arial"/>
        </w:rPr>
        <w:t xml:space="preserve">efecto de decretar su admisión o </w:t>
      </w:r>
      <w:proofErr w:type="spellStart"/>
      <w:r w:rsidR="00FB274C" w:rsidRPr="004D073A">
        <w:rPr>
          <w:rFonts w:ascii="Palatino Linotype" w:hAnsi="Palatino Linotype" w:cs="Arial"/>
        </w:rPr>
        <w:t>desechamiento</w:t>
      </w:r>
      <w:proofErr w:type="spellEnd"/>
      <w:r w:rsidR="00FB274C" w:rsidRPr="004D073A">
        <w:rPr>
          <w:rFonts w:ascii="Palatino Linotype" w:hAnsi="Palatino Linotype" w:cs="Arial"/>
        </w:rPr>
        <w:t>.</w:t>
      </w:r>
    </w:p>
    <w:p w:rsidR="00E10AF7" w:rsidRPr="00EA25FD" w:rsidRDefault="009574E9" w:rsidP="00E10AF7">
      <w:pPr>
        <w:spacing w:before="240" w:after="240" w:line="360" w:lineRule="auto"/>
        <w:jc w:val="both"/>
        <w:rPr>
          <w:rFonts w:ascii="Palatino Linotype" w:hAnsi="Palatino Linotype"/>
        </w:rPr>
      </w:pPr>
      <w:r w:rsidRPr="004D073A">
        <w:rPr>
          <w:rFonts w:ascii="Palatino Linotype" w:hAnsi="Palatino Linotype"/>
          <w:b/>
        </w:rPr>
        <w:t>Quinto</w:t>
      </w:r>
      <w:r w:rsidR="00E10AF7" w:rsidRPr="004D073A">
        <w:rPr>
          <w:rFonts w:ascii="Palatino Linotype" w:hAnsi="Palatino Linotype"/>
          <w:b/>
        </w:rPr>
        <w:t xml:space="preserve">. Admisión. </w:t>
      </w:r>
      <w:r w:rsidR="00E10AF7" w:rsidRPr="004D073A">
        <w:rPr>
          <w:rFonts w:ascii="Palatino Linotype" w:hAnsi="Palatino Linotype"/>
        </w:rPr>
        <w:t xml:space="preserve">En fecha </w:t>
      </w:r>
      <w:r w:rsidR="001116A1" w:rsidRPr="004D073A">
        <w:rPr>
          <w:rFonts w:ascii="Palatino Linotype" w:hAnsi="Palatino Linotype"/>
        </w:rPr>
        <w:t>cuatro de septiembre</w:t>
      </w:r>
      <w:r w:rsidR="00E10AF7" w:rsidRPr="004D073A">
        <w:rPr>
          <w:rFonts w:ascii="Palatino Linotype" w:hAnsi="Palatino Linotype"/>
        </w:rPr>
        <w:t xml:space="preserve"> de la </w:t>
      </w:r>
      <w:r w:rsidR="00F10D4E" w:rsidRPr="004D073A">
        <w:rPr>
          <w:rFonts w:ascii="Palatino Linotype" w:hAnsi="Palatino Linotype"/>
        </w:rPr>
        <w:t>presente anualidad</w:t>
      </w:r>
      <w:r w:rsidR="00E10AF7" w:rsidRPr="004D073A">
        <w:rPr>
          <w:rFonts w:ascii="Palatino Linotype" w:hAnsi="Palatino Linotype"/>
        </w:rPr>
        <w:t>, en términos de lo dispuesto en el artículo 185 fracciones I, II y IV de la Ley de Transparencia y</w:t>
      </w:r>
      <w:r w:rsidR="00E10AF7" w:rsidRPr="00EA25FD">
        <w:rPr>
          <w:rFonts w:ascii="Palatino Linotype" w:hAnsi="Palatino Linotype"/>
        </w:rPr>
        <w:t xml:space="preserve"> Acceso a la Información Pública del Estado de México y Municip</w:t>
      </w:r>
      <w:r w:rsidR="00F10D4E" w:rsidRPr="00EA25FD">
        <w:rPr>
          <w:rFonts w:ascii="Palatino Linotype" w:hAnsi="Palatino Linotype"/>
        </w:rPr>
        <w:t>ios, se admitió</w:t>
      </w:r>
      <w:r w:rsidRPr="00EA25FD">
        <w:rPr>
          <w:rFonts w:ascii="Palatino Linotype" w:hAnsi="Palatino Linotype"/>
        </w:rPr>
        <w:t xml:space="preserve"> a trámite el recurso</w:t>
      </w:r>
      <w:r w:rsidR="00E10AF7" w:rsidRPr="00EA25FD">
        <w:rPr>
          <w:rFonts w:ascii="Palatino Linotype" w:hAnsi="Palatino Linotype"/>
        </w:rPr>
        <w:t xml:space="preserve"> de revisión.</w:t>
      </w:r>
    </w:p>
    <w:p w:rsidR="0088671E" w:rsidRPr="00EA25FD" w:rsidRDefault="009574E9" w:rsidP="00E10AF7">
      <w:pPr>
        <w:spacing w:before="240" w:after="240" w:line="360" w:lineRule="auto"/>
        <w:jc w:val="both"/>
        <w:rPr>
          <w:rFonts w:ascii="Palatino Linotype" w:hAnsi="Palatino Linotype" w:cs="Arial"/>
          <w:b/>
        </w:rPr>
      </w:pPr>
      <w:r w:rsidRPr="004D073A">
        <w:rPr>
          <w:rFonts w:ascii="Palatino Linotype" w:hAnsi="Palatino Linotype"/>
          <w:b/>
        </w:rPr>
        <w:lastRenderedPageBreak/>
        <w:t>Sexto</w:t>
      </w:r>
      <w:r w:rsidR="00E10AF7" w:rsidRPr="004D073A">
        <w:rPr>
          <w:rFonts w:ascii="Palatino Linotype" w:hAnsi="Palatino Linotype"/>
          <w:b/>
        </w:rPr>
        <w:t>.</w:t>
      </w:r>
      <w:r w:rsidRPr="004D073A">
        <w:rPr>
          <w:rFonts w:ascii="Palatino Linotype" w:hAnsi="Palatino Linotype" w:cs="Arial"/>
          <w:b/>
        </w:rPr>
        <w:t xml:space="preserve"> Manifestaciones</w:t>
      </w:r>
      <w:r w:rsidR="00E10AF7" w:rsidRPr="004D073A">
        <w:rPr>
          <w:rFonts w:ascii="Palatino Linotype" w:hAnsi="Palatino Linotype" w:cs="Arial"/>
          <w:b/>
        </w:rPr>
        <w:t xml:space="preserve">. </w:t>
      </w:r>
      <w:r w:rsidR="00E10AF7" w:rsidRPr="004D073A">
        <w:rPr>
          <w:rFonts w:ascii="Palatino Linotype" w:hAnsi="Palatino Linotype" w:cs="Arial"/>
        </w:rPr>
        <w:t>De las constancias que obran en el expediente electrónico</w:t>
      </w:r>
      <w:r w:rsidR="00352DDD" w:rsidRPr="004D073A">
        <w:rPr>
          <w:rFonts w:ascii="Palatino Linotype" w:hAnsi="Palatino Linotype" w:cs="Arial"/>
        </w:rPr>
        <w:t xml:space="preserve"> del SAIMEX se desprende que la</w:t>
      </w:r>
      <w:r w:rsidR="00E10AF7" w:rsidRPr="004D073A">
        <w:rPr>
          <w:rFonts w:ascii="Palatino Linotype" w:hAnsi="Palatino Linotype" w:cs="Arial"/>
        </w:rPr>
        <w:t xml:space="preserve"> </w:t>
      </w:r>
      <w:r w:rsidR="00F10D4E" w:rsidRPr="004D073A">
        <w:rPr>
          <w:rFonts w:ascii="Palatino Linotype" w:hAnsi="Palatino Linotype" w:cs="Arial"/>
          <w:b/>
        </w:rPr>
        <w:t>recurrente</w:t>
      </w:r>
      <w:r w:rsidR="00E10AF7" w:rsidRPr="004D073A">
        <w:rPr>
          <w:rFonts w:ascii="Palatino Linotype" w:hAnsi="Palatino Linotype" w:cs="Arial"/>
        </w:rPr>
        <w:t xml:space="preserve"> </w:t>
      </w:r>
      <w:r w:rsidR="00E34ABB" w:rsidRPr="004D073A">
        <w:rPr>
          <w:rFonts w:ascii="Palatino Linotype" w:hAnsi="Palatino Linotype" w:cs="Arial"/>
        </w:rPr>
        <w:t>fue omisa en remitir los alegatos que a su derecho</w:t>
      </w:r>
      <w:r w:rsidR="00E34ABB">
        <w:rPr>
          <w:rFonts w:ascii="Palatino Linotype" w:hAnsi="Palatino Linotype" w:cs="Arial"/>
        </w:rPr>
        <w:t xml:space="preserve"> conviniera.</w:t>
      </w:r>
    </w:p>
    <w:p w:rsidR="00B30F63" w:rsidRDefault="0088671E" w:rsidP="00E10AF7">
      <w:pPr>
        <w:spacing w:before="240" w:after="240" w:line="360" w:lineRule="auto"/>
        <w:jc w:val="both"/>
        <w:rPr>
          <w:rFonts w:ascii="Palatino Linotype" w:hAnsi="Palatino Linotype" w:cs="Arial"/>
        </w:rPr>
      </w:pPr>
      <w:r w:rsidRPr="00EA25FD">
        <w:rPr>
          <w:rFonts w:ascii="Palatino Linotype" w:hAnsi="Palatino Linotype" w:cs="Arial"/>
        </w:rPr>
        <w:t>P</w:t>
      </w:r>
      <w:r w:rsidR="004F31B9" w:rsidRPr="00EA25FD">
        <w:rPr>
          <w:rFonts w:ascii="Palatino Linotype" w:hAnsi="Palatino Linotype" w:cs="Arial"/>
        </w:rPr>
        <w:t xml:space="preserve">or su parte el </w:t>
      </w:r>
      <w:r w:rsidR="004F31B9" w:rsidRPr="00EA25FD">
        <w:rPr>
          <w:rFonts w:ascii="Palatino Linotype" w:hAnsi="Palatino Linotype" w:cs="Arial"/>
          <w:b/>
        </w:rPr>
        <w:t>Sujeto Obligado</w:t>
      </w:r>
      <w:r w:rsidR="009574E9" w:rsidRPr="00EA25FD">
        <w:rPr>
          <w:rFonts w:ascii="Palatino Linotype" w:hAnsi="Palatino Linotype" w:cs="Arial"/>
        </w:rPr>
        <w:t xml:space="preserve"> </w:t>
      </w:r>
      <w:r w:rsidR="001116A1">
        <w:rPr>
          <w:rFonts w:ascii="Palatino Linotype" w:hAnsi="Palatino Linotype" w:cs="Arial"/>
        </w:rPr>
        <w:t>en fecha doce de septiembre</w:t>
      </w:r>
      <w:r w:rsidR="00B30F63" w:rsidRPr="00EA25FD">
        <w:rPr>
          <w:rFonts w:ascii="Palatino Linotype" w:hAnsi="Palatino Linotype" w:cs="Arial"/>
        </w:rPr>
        <w:t xml:space="preserve"> de la presenta anualidad, </w:t>
      </w:r>
      <w:r w:rsidR="004F31B9" w:rsidRPr="00EA25FD">
        <w:rPr>
          <w:rFonts w:ascii="Palatino Linotype" w:hAnsi="Palatino Linotype" w:cs="Arial"/>
        </w:rPr>
        <w:t>adjunto com</w:t>
      </w:r>
      <w:r w:rsidR="00787F3A">
        <w:rPr>
          <w:rFonts w:ascii="Palatino Linotype" w:hAnsi="Palatino Linotype" w:cs="Arial"/>
        </w:rPr>
        <w:t>o parte de sus manifestaciones los</w:t>
      </w:r>
      <w:r w:rsidR="004F31B9" w:rsidRPr="00EA25FD">
        <w:rPr>
          <w:rFonts w:ascii="Palatino Linotype" w:hAnsi="Palatino Linotype" w:cs="Arial"/>
        </w:rPr>
        <w:t xml:space="preserve"> archivos denominado </w:t>
      </w:r>
      <w:r w:rsidR="004F31B9" w:rsidRPr="00EA25FD">
        <w:rPr>
          <w:rFonts w:ascii="Palatino Linotype" w:hAnsi="Palatino Linotype" w:cs="Arial"/>
          <w:b/>
          <w:i/>
        </w:rPr>
        <w:t>“</w:t>
      </w:r>
      <w:r w:rsidR="001116A1" w:rsidRPr="001116A1">
        <w:rPr>
          <w:rFonts w:ascii="Palatino Linotype" w:hAnsi="Palatino Linotype" w:cs="Arial"/>
          <w:b/>
          <w:i/>
        </w:rPr>
        <w:t>OFICIO DE INF DE JUSTIF 465 ok.pdf</w:t>
      </w:r>
      <w:r w:rsidR="000D2843">
        <w:rPr>
          <w:rFonts w:ascii="Palatino Linotype" w:hAnsi="Palatino Linotype" w:cs="Arial"/>
          <w:b/>
          <w:i/>
        </w:rPr>
        <w:t>”</w:t>
      </w:r>
      <w:r w:rsidR="001116A1" w:rsidRPr="001116A1">
        <w:rPr>
          <w:rFonts w:ascii="Palatino Linotype" w:hAnsi="Palatino Linotype" w:cs="Arial"/>
          <w:b/>
          <w:i/>
        </w:rPr>
        <w:t xml:space="preserve"> </w:t>
      </w:r>
      <w:r w:rsidR="00E34ABB">
        <w:rPr>
          <w:rFonts w:ascii="Palatino Linotype" w:hAnsi="Palatino Linotype" w:cs="Arial"/>
          <w:b/>
          <w:i/>
        </w:rPr>
        <w:t>y “</w:t>
      </w:r>
      <w:r w:rsidR="000D2843" w:rsidRPr="000D2843">
        <w:rPr>
          <w:rFonts w:ascii="Palatino Linotype" w:hAnsi="Palatino Linotype" w:cs="Arial"/>
          <w:b/>
          <w:i/>
        </w:rPr>
        <w:t xml:space="preserve">INF JUSTIF </w:t>
      </w:r>
      <w:proofErr w:type="spellStart"/>
      <w:r w:rsidR="00304447">
        <w:rPr>
          <w:rFonts w:ascii="Palatino Linotype" w:hAnsi="Palatino Linotype" w:cs="Arial"/>
          <w:b/>
          <w:i/>
        </w:rPr>
        <w:t>xxxxxxxxxxxxxxxxxxxx</w:t>
      </w:r>
      <w:proofErr w:type="spellEnd"/>
      <w:r w:rsidR="000D2843" w:rsidRPr="000D2843">
        <w:rPr>
          <w:rFonts w:ascii="Palatino Linotype" w:hAnsi="Palatino Linotype" w:cs="Arial"/>
          <w:b/>
          <w:i/>
        </w:rPr>
        <w:t xml:space="preserve"> 465.pdf</w:t>
      </w:r>
      <w:r w:rsidR="00E34ABB">
        <w:rPr>
          <w:rFonts w:ascii="Palatino Linotype" w:hAnsi="Palatino Linotype" w:cs="Arial"/>
          <w:b/>
          <w:i/>
        </w:rPr>
        <w:t>”</w:t>
      </w:r>
      <w:r w:rsidR="004F31B9" w:rsidRPr="00EA25FD">
        <w:rPr>
          <w:rFonts w:ascii="Palatino Linotype" w:hAnsi="Palatino Linotype" w:cs="Arial"/>
          <w:b/>
          <w:i/>
        </w:rPr>
        <w:t xml:space="preserve">, </w:t>
      </w:r>
      <w:r w:rsidR="004F31B9" w:rsidRPr="00EA25FD">
        <w:rPr>
          <w:rFonts w:ascii="Palatino Linotype" w:hAnsi="Palatino Linotype" w:cs="Arial"/>
        </w:rPr>
        <w:t xml:space="preserve">de cuyo contenido destaca: </w:t>
      </w:r>
    </w:p>
    <w:p w:rsidR="004D5700" w:rsidRPr="006946D9" w:rsidRDefault="000D2843" w:rsidP="00501D34">
      <w:pPr>
        <w:pStyle w:val="Prrafodelista"/>
        <w:numPr>
          <w:ilvl w:val="0"/>
          <w:numId w:val="30"/>
        </w:numPr>
        <w:spacing w:before="240" w:after="240" w:line="360" w:lineRule="auto"/>
        <w:jc w:val="both"/>
        <w:rPr>
          <w:rFonts w:ascii="Palatino Linotype" w:hAnsi="Palatino Linotype" w:cs="Arial"/>
          <w:sz w:val="24"/>
          <w:szCs w:val="24"/>
        </w:rPr>
      </w:pPr>
      <w:r w:rsidRPr="000D2843">
        <w:rPr>
          <w:rFonts w:ascii="Palatino Linotype" w:hAnsi="Palatino Linotype" w:cs="Arial"/>
          <w:sz w:val="24"/>
          <w:szCs w:val="24"/>
        </w:rPr>
        <w:t xml:space="preserve">Que </w:t>
      </w:r>
      <w:r w:rsidRPr="000D2843">
        <w:rPr>
          <w:rFonts w:ascii="Palatino Linotype" w:hAnsi="Palatino Linotype"/>
          <w:sz w:val="24"/>
          <w:szCs w:val="24"/>
        </w:rPr>
        <w:t xml:space="preserve">Las manifestaciones de la recurrente resultan inoperantes e infundadas ya que este Sujeto Obligado de ninguna forma ha negado el acceso a la información, por el contrario, se hizo del conocimiento de la peticionaria que </w:t>
      </w:r>
      <w:r w:rsidRPr="000D2843">
        <w:rPr>
          <w:rFonts w:ascii="Palatino Linotype" w:hAnsi="Palatino Linotype"/>
          <w:b/>
          <w:sz w:val="24"/>
          <w:szCs w:val="24"/>
        </w:rPr>
        <w:t xml:space="preserve">si bien se localizó la carpeta de Investigación número </w:t>
      </w:r>
      <w:r w:rsidR="00C92689">
        <w:rPr>
          <w:rFonts w:ascii="Palatino Linotype" w:hAnsi="Palatino Linotype"/>
          <w:b/>
          <w:sz w:val="21"/>
          <w:szCs w:val="21"/>
          <w:lang w:val="es-ES_tradnl"/>
        </w:rPr>
        <w:t>XXXXXXXXXXXXXXXXXXXXXXXXXXXXXXXX</w:t>
      </w:r>
      <w:r w:rsidRPr="000D2843">
        <w:rPr>
          <w:rFonts w:ascii="Palatino Linotype" w:hAnsi="Palatino Linotype"/>
          <w:b/>
          <w:sz w:val="24"/>
          <w:szCs w:val="24"/>
        </w:rPr>
        <w:t xml:space="preserve">, que coincide con los hechos que refiere la C. </w:t>
      </w:r>
      <w:r w:rsidR="00C92689">
        <w:rPr>
          <w:rFonts w:ascii="Palatino Linotype" w:hAnsi="Palatino Linotype"/>
          <w:b/>
          <w:sz w:val="21"/>
          <w:szCs w:val="21"/>
          <w:lang w:val="es-ES_tradnl"/>
        </w:rPr>
        <w:t>XXXXXXXXXXXXXXXXXXXXXX</w:t>
      </w:r>
      <w:r w:rsidRPr="000D2843">
        <w:rPr>
          <w:rFonts w:ascii="Palatino Linotype" w:hAnsi="Palatino Linotype"/>
          <w:b/>
          <w:sz w:val="24"/>
          <w:szCs w:val="24"/>
        </w:rPr>
        <w:t>; lo cierto es que para acceder a la citada Carpeta, tiene que acudir personalmente ante el A</w:t>
      </w:r>
      <w:bookmarkStart w:id="0" w:name="_GoBack"/>
      <w:bookmarkEnd w:id="0"/>
      <w:r w:rsidRPr="000D2843">
        <w:rPr>
          <w:rFonts w:ascii="Palatino Linotype" w:hAnsi="Palatino Linotype"/>
          <w:b/>
          <w:sz w:val="24"/>
          <w:szCs w:val="24"/>
        </w:rPr>
        <w:t>gente del Ministerio Público de la Fiscalía Especializada de Homicidios Zona Oriente</w:t>
      </w:r>
      <w:r w:rsidRPr="000D2843">
        <w:rPr>
          <w:rFonts w:ascii="Palatino Linotype" w:hAnsi="Palatino Linotype"/>
          <w:sz w:val="24"/>
          <w:szCs w:val="24"/>
        </w:rPr>
        <w:t xml:space="preserve">, ubicada en Carretera Federal México Puebla, Kilómetro 28+500, Poblado de Izcalli </w:t>
      </w:r>
      <w:proofErr w:type="spellStart"/>
      <w:r w:rsidRPr="000D2843">
        <w:rPr>
          <w:rFonts w:ascii="Palatino Linotype" w:hAnsi="Palatino Linotype"/>
          <w:sz w:val="24"/>
          <w:szCs w:val="24"/>
        </w:rPr>
        <w:t>Ayotla</w:t>
      </w:r>
      <w:proofErr w:type="spellEnd"/>
      <w:r w:rsidRPr="000D2843">
        <w:rPr>
          <w:rFonts w:ascii="Palatino Linotype" w:hAnsi="Palatino Linotype"/>
          <w:sz w:val="24"/>
          <w:szCs w:val="24"/>
        </w:rPr>
        <w:t xml:space="preserve">, Código Postal 56566, Municipio de Ixtapaluca, Estado de México, lugar en el que previa acreditación de su personalidad jurídica, podrá examinar en su carácter de ofendida, los avances de la investigación o solicitar las copias que requiere, directamente ante la autoridad ministerial que conoce del asunto y no a través de la Unidad de Transparencia; lo anterior es así, ya que se reitera que el servidor público diverso, que en cualquier otro caso, quebrante la secrecía de las carpetas de investigación, será sujeto a un procedimiento administrativo, conforme a lo </w:t>
      </w:r>
      <w:r w:rsidR="00501D34" w:rsidRPr="00501D34">
        <w:rPr>
          <w:rFonts w:ascii="Palatino Linotype" w:hAnsi="Palatino Linotype"/>
          <w:noProof/>
          <w:sz w:val="24"/>
          <w:szCs w:val="24"/>
          <w:lang w:eastAsia="es-MX"/>
        </w:rPr>
        <w:lastRenderedPageBreak/>
        <w:drawing>
          <wp:anchor distT="0" distB="0" distL="114300" distR="114300" simplePos="0" relativeHeight="251671552" behindDoc="1" locked="0" layoutInCell="1" allowOverlap="1" wp14:anchorId="254A2092" wp14:editId="27D03C4F">
            <wp:simplePos x="0" y="0"/>
            <wp:positionH relativeFrom="column">
              <wp:posOffset>-114300</wp:posOffset>
            </wp:positionH>
            <wp:positionV relativeFrom="paragraph">
              <wp:posOffset>-1133475</wp:posOffset>
            </wp:positionV>
            <wp:extent cx="1695450" cy="10287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2843">
        <w:rPr>
          <w:rFonts w:ascii="Palatino Linotype" w:hAnsi="Palatino Linotype"/>
          <w:sz w:val="24"/>
          <w:szCs w:val="24"/>
        </w:rPr>
        <w:t xml:space="preserve">establecido en la Ley de Responsabilidades de los Servidores Públicos del Estado y Municipios, pues no debe pasar inadvertido que no se puede comunicar a terceros no legitimados, información confidencial de los sujetos del procedimiento penal y menos aún información reservada de los actos de </w:t>
      </w:r>
      <w:r w:rsidR="00501D34" w:rsidRPr="00501D34">
        <w:rPr>
          <w:rFonts w:ascii="Palatino Linotype" w:hAnsi="Palatino Linotype"/>
          <w:noProof/>
          <w:sz w:val="24"/>
          <w:szCs w:val="24"/>
          <w:lang w:eastAsia="es-MX"/>
        </w:rPr>
        <w:drawing>
          <wp:anchor distT="0" distB="0" distL="114300" distR="114300" simplePos="0" relativeHeight="251672576" behindDoc="1" locked="0" layoutInCell="1" allowOverlap="1" wp14:anchorId="0B87461B" wp14:editId="5F9937EC">
            <wp:simplePos x="0" y="0"/>
            <wp:positionH relativeFrom="column">
              <wp:posOffset>485140</wp:posOffset>
            </wp:positionH>
            <wp:positionV relativeFrom="paragraph">
              <wp:posOffset>1313180</wp:posOffset>
            </wp:positionV>
            <wp:extent cx="4676775" cy="390525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2843">
        <w:rPr>
          <w:rFonts w:ascii="Palatino Linotype" w:hAnsi="Palatino Linotype"/>
          <w:sz w:val="24"/>
          <w:szCs w:val="24"/>
        </w:rPr>
        <w:t>investigación por parte del Ministerio Público, actualizándose de esta forma lo dispuesto en los artículos 106 y 108 del Código Nac</w:t>
      </w:r>
      <w:r w:rsidR="006946D9">
        <w:rPr>
          <w:rFonts w:ascii="Palatino Linotype" w:hAnsi="Palatino Linotype"/>
          <w:sz w:val="24"/>
          <w:szCs w:val="24"/>
        </w:rPr>
        <w:t>ional de Procedimientos Penales.</w:t>
      </w:r>
      <w:r w:rsidRPr="000D2843">
        <w:rPr>
          <w:rFonts w:ascii="Palatino Linotype" w:hAnsi="Palatino Linotype"/>
          <w:sz w:val="24"/>
          <w:szCs w:val="24"/>
        </w:rPr>
        <w:t xml:space="preserve"> </w:t>
      </w:r>
      <w:r w:rsidR="006946D9">
        <w:rPr>
          <w:rFonts w:ascii="Palatino Linotype" w:hAnsi="Palatino Linotype"/>
          <w:sz w:val="24"/>
          <w:szCs w:val="24"/>
        </w:rPr>
        <w:t>[</w:t>
      </w:r>
      <w:r w:rsidRPr="000D2843">
        <w:rPr>
          <w:rFonts w:ascii="Palatino Linotype" w:hAnsi="Palatino Linotype"/>
          <w:sz w:val="24"/>
          <w:szCs w:val="24"/>
        </w:rPr>
        <w:t>mismos que se tienen por reproducidos como si a la letra se insertasen.</w:t>
      </w:r>
      <w:r w:rsidR="006946D9">
        <w:rPr>
          <w:rFonts w:ascii="Palatino Linotype" w:hAnsi="Palatino Linotype"/>
          <w:sz w:val="24"/>
          <w:szCs w:val="24"/>
        </w:rPr>
        <w:t>]</w:t>
      </w:r>
    </w:p>
    <w:p w:rsidR="00514CC1" w:rsidRPr="004D073A" w:rsidRDefault="006179E1" w:rsidP="00E10AF7">
      <w:pPr>
        <w:spacing w:before="240" w:after="240" w:line="360" w:lineRule="auto"/>
        <w:jc w:val="both"/>
        <w:rPr>
          <w:rFonts w:ascii="Palatino Linotype" w:hAnsi="Palatino Linotype"/>
          <w:szCs w:val="22"/>
        </w:rPr>
      </w:pPr>
      <w:r w:rsidRPr="004D073A">
        <w:rPr>
          <w:rFonts w:ascii="Palatino Linotype" w:hAnsi="Palatino Linotype"/>
          <w:b/>
        </w:rPr>
        <w:t xml:space="preserve">Séptimo. Ampliación de plazo. </w:t>
      </w:r>
      <w:r w:rsidR="00514CC1" w:rsidRPr="004D073A">
        <w:rPr>
          <w:rFonts w:ascii="Palatino Linotype" w:hAnsi="Palatino Linotype"/>
        </w:rPr>
        <w:t>En fecha veinticinco de octubre</w:t>
      </w:r>
      <w:r w:rsidRPr="004D073A">
        <w:rPr>
          <w:rFonts w:ascii="Palatino Linotype" w:hAnsi="Palatino Linotype"/>
        </w:rPr>
        <w:t xml:space="preserve"> de dos mil dieciocho </w:t>
      </w:r>
      <w:r w:rsidRPr="004D073A">
        <w:rPr>
          <w:rFonts w:ascii="Palatino Linotype" w:hAnsi="Palatino Linotype"/>
          <w:szCs w:val="22"/>
        </w:rPr>
        <w:t>con fundamento en el artículo 181, párrafo tercero de la Ley de Transparencia y Acceso a la Información Pública del Estado de México y Municipios, se acordó la aplicación del plazo para su resolución</w:t>
      </w:r>
    </w:p>
    <w:p w:rsidR="00E10AF7" w:rsidRPr="00E433B3" w:rsidRDefault="006179E1" w:rsidP="00E10AF7">
      <w:pPr>
        <w:spacing w:before="240" w:after="240" w:line="360" w:lineRule="auto"/>
        <w:jc w:val="both"/>
        <w:rPr>
          <w:rFonts w:ascii="Palatino Linotype" w:hAnsi="Palatino Linotype" w:cs="Arial"/>
        </w:rPr>
      </w:pPr>
      <w:r w:rsidRPr="004D073A">
        <w:rPr>
          <w:rFonts w:ascii="Palatino Linotype" w:hAnsi="Palatino Linotype"/>
          <w:b/>
        </w:rPr>
        <w:t>Octavo</w:t>
      </w:r>
      <w:r w:rsidR="00E10AF7" w:rsidRPr="004D073A">
        <w:rPr>
          <w:rFonts w:ascii="Palatino Linotype" w:hAnsi="Palatino Linotype"/>
          <w:b/>
        </w:rPr>
        <w:t xml:space="preserve">. Cierre de Instrucción. </w:t>
      </w:r>
      <w:r w:rsidR="00E10AF7" w:rsidRPr="004D073A">
        <w:rPr>
          <w:rFonts w:ascii="Palatino Linotype" w:hAnsi="Palatino Linotype"/>
        </w:rPr>
        <w:t xml:space="preserve">En fecha </w:t>
      </w:r>
      <w:r w:rsidR="00514CC1" w:rsidRPr="004D073A">
        <w:rPr>
          <w:rFonts w:ascii="Palatino Linotype" w:hAnsi="Palatino Linotype"/>
        </w:rPr>
        <w:t>diecisiete de septiembre</w:t>
      </w:r>
      <w:r w:rsidR="00E10AF7" w:rsidRPr="004D073A">
        <w:rPr>
          <w:rFonts w:ascii="Palatino Linotype" w:hAnsi="Palatino Linotype"/>
        </w:rPr>
        <w:t xml:space="preserve"> </w:t>
      </w:r>
      <w:r w:rsidR="00F10D4E" w:rsidRPr="004D073A">
        <w:rPr>
          <w:rFonts w:ascii="Palatino Linotype" w:hAnsi="Palatino Linotype"/>
        </w:rPr>
        <w:t>de dos mil dieciocho</w:t>
      </w:r>
      <w:r w:rsidR="00E10AF7" w:rsidRPr="004D073A">
        <w:rPr>
          <w:rFonts w:ascii="Palatino Linotype" w:hAnsi="Palatino Linotype"/>
        </w:rPr>
        <w:t>, con fundamento en</w:t>
      </w:r>
      <w:r w:rsidR="00E10AF7" w:rsidRPr="00EA25FD">
        <w:rPr>
          <w:rFonts w:ascii="Palatino Linotype" w:hAnsi="Palatino Linotype"/>
        </w:rPr>
        <w:t xml:space="preserve"> lo establecido en los artículos 185, fracción VI de la </w:t>
      </w:r>
      <w:r w:rsidR="00E10AF7" w:rsidRPr="00EA25FD">
        <w:rPr>
          <w:rFonts w:ascii="Palatino Linotype" w:hAnsi="Palatino Linotype" w:cs="Arial"/>
        </w:rPr>
        <w:t xml:space="preserve">Ley de Transparencia y Acceso a la Información Pública del Estado de México y Municipios, al no existir trámite pendiente por realizar y haber sido sustanciado el medio de impugnación se acordó el cierre de instrucción y se procede a formular la resolución </w:t>
      </w:r>
      <w:r w:rsidR="00E10AF7" w:rsidRPr="00E433B3">
        <w:rPr>
          <w:rFonts w:ascii="Palatino Linotype" w:hAnsi="Palatino Linotype" w:cs="Arial"/>
        </w:rPr>
        <w:t>que en derecho corresponda.</w:t>
      </w:r>
    </w:p>
    <w:p w:rsidR="00AD0198" w:rsidRPr="00AD0198" w:rsidRDefault="00AD0198" w:rsidP="00AD0198">
      <w:pPr>
        <w:spacing w:before="240" w:after="240" w:line="360" w:lineRule="auto"/>
        <w:jc w:val="both"/>
        <w:rPr>
          <w:rFonts w:ascii="Palatino Linotype" w:hAnsi="Palatino Linotype" w:cs="Arial"/>
          <w:b/>
        </w:rPr>
      </w:pPr>
      <w:r w:rsidRPr="004D073A">
        <w:rPr>
          <w:rFonts w:ascii="Palatino Linotype" w:hAnsi="Palatino Linotype" w:cs="Arial"/>
          <w:b/>
        </w:rPr>
        <w:t xml:space="preserve">Noveno. Returno. </w:t>
      </w:r>
      <w:r w:rsidR="00C76E9E" w:rsidRPr="004D073A">
        <w:rPr>
          <w:rFonts w:ascii="Palatino Linotype" w:hAnsi="Palatino Linotype" w:cs="Arial"/>
        </w:rPr>
        <w:t>En la Cuadragésima</w:t>
      </w:r>
      <w:r w:rsidRPr="004D073A">
        <w:rPr>
          <w:rFonts w:ascii="Palatino Linotype" w:hAnsi="Palatino Linotype" w:cs="Arial"/>
        </w:rPr>
        <w:t xml:space="preserve"> sesió</w:t>
      </w:r>
      <w:r w:rsidR="00C76E9E" w:rsidRPr="004D073A">
        <w:rPr>
          <w:rFonts w:ascii="Palatino Linotype" w:hAnsi="Palatino Linotype" w:cs="Arial"/>
        </w:rPr>
        <w:t>n ordinaria de fecha tres de octubre</w:t>
      </w:r>
      <w:r w:rsidRPr="004D073A">
        <w:rPr>
          <w:rFonts w:ascii="Palatino Linotype" w:hAnsi="Palatino Linotype" w:cs="Arial"/>
        </w:rPr>
        <w:t xml:space="preserve"> de dos mil dieciocho, el Pleno de este Instituto aprobó el returno del presente recurso de revisión al Comisionado </w:t>
      </w:r>
      <w:r w:rsidRPr="004D073A">
        <w:rPr>
          <w:rFonts w:ascii="Palatino Linotype" w:hAnsi="Palatino Linotype" w:cs="Arial"/>
          <w:b/>
        </w:rPr>
        <w:t>JAVIER MARTINEZ CRUZ</w:t>
      </w:r>
      <w:r w:rsidRPr="004D073A">
        <w:rPr>
          <w:rFonts w:ascii="Palatino Linotype" w:hAnsi="Palatino Linotype" w:cs="Arial"/>
        </w:rPr>
        <w:t>, a efecto de que emitiera el proyecto de resolución</w:t>
      </w:r>
      <w:r w:rsidRPr="00AD0198">
        <w:rPr>
          <w:rFonts w:ascii="Palatino Linotype" w:hAnsi="Palatino Linotype" w:cs="Arial"/>
        </w:rPr>
        <w:t xml:space="preserve"> correspondiente; y</w:t>
      </w:r>
    </w:p>
    <w:p w:rsidR="004F31B9" w:rsidRPr="00EA25FD" w:rsidRDefault="004F31B9" w:rsidP="00E10AF7">
      <w:pPr>
        <w:spacing w:before="240" w:after="240" w:line="360" w:lineRule="auto"/>
        <w:jc w:val="both"/>
        <w:rPr>
          <w:rFonts w:ascii="Palatino Linotype" w:hAnsi="Palatino Linotype"/>
          <w:b/>
        </w:rPr>
      </w:pPr>
    </w:p>
    <w:p w:rsidR="00E10AF7" w:rsidRPr="00EA25FD" w:rsidRDefault="00E10AF7" w:rsidP="00E10AF7">
      <w:pPr>
        <w:pStyle w:val="Prrafodelista"/>
        <w:numPr>
          <w:ilvl w:val="0"/>
          <w:numId w:val="1"/>
        </w:numPr>
        <w:spacing w:before="240" w:after="240" w:line="360" w:lineRule="auto"/>
        <w:jc w:val="center"/>
        <w:rPr>
          <w:rFonts w:ascii="Palatino Linotype" w:hAnsi="Palatino Linotype" w:cs="Arial"/>
          <w:b/>
          <w:sz w:val="24"/>
          <w:szCs w:val="24"/>
        </w:rPr>
      </w:pPr>
      <w:r w:rsidRPr="00EA25FD">
        <w:rPr>
          <w:rFonts w:ascii="Palatino Linotype" w:hAnsi="Palatino Linotype" w:cs="Arial"/>
          <w:b/>
          <w:sz w:val="24"/>
          <w:szCs w:val="24"/>
        </w:rPr>
        <w:lastRenderedPageBreak/>
        <w:t>C O N S I D E R A N D O:</w:t>
      </w:r>
    </w:p>
    <w:p w:rsidR="00E10AF7" w:rsidRPr="00EA25FD" w:rsidRDefault="00E10AF7" w:rsidP="00E10AF7">
      <w:pPr>
        <w:spacing w:before="240" w:after="240" w:line="360" w:lineRule="auto"/>
        <w:jc w:val="both"/>
        <w:rPr>
          <w:rFonts w:ascii="Palatino Linotype" w:hAnsi="Palatino Linotype"/>
          <w:shd w:val="clear" w:color="auto" w:fill="FFFFFF"/>
        </w:rPr>
      </w:pPr>
      <w:r w:rsidRPr="004D073A">
        <w:rPr>
          <w:rFonts w:ascii="Palatino Linotype" w:hAnsi="Palatino Linotype" w:cs="Arial"/>
          <w:b/>
        </w:rPr>
        <w:t xml:space="preserve">Primero. Competencia. </w:t>
      </w:r>
      <w:r w:rsidRPr="004D073A">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w:t>
      </w:r>
      <w:r w:rsidRPr="00EA25FD">
        <w:rPr>
          <w:rFonts w:ascii="Palatino Linotype" w:hAnsi="Palatino Linotype"/>
          <w:shd w:val="clear" w:color="auto" w:fill="FFFFFF"/>
        </w:rPr>
        <w:t xml:space="preserve"> y Soberano de México; 1, 2, fracción II; 13,  29, 36, fracciones I y II; 176, 178, 179, 181 párrafo 3 y 185 de la Ley Transparencia y Acceso a la Información Pública;</w:t>
      </w:r>
      <w:r w:rsidRPr="00EA25FD">
        <w:rPr>
          <w:rStyle w:val="apple-converted-space"/>
          <w:rFonts w:ascii="Palatino Linotype" w:hAnsi="Palatino Linotype"/>
          <w:shd w:val="clear" w:color="auto" w:fill="FFFFFF"/>
        </w:rPr>
        <w:t xml:space="preserve"> 7, </w:t>
      </w:r>
      <w:r w:rsidRPr="00EA25FD">
        <w:rPr>
          <w:rFonts w:ascii="Palatino Linotype" w:hAnsi="Palatino Linotype" w:cs="Arial"/>
        </w:rPr>
        <w:t xml:space="preserve">9, fracciones I y XXIV y 11 </w:t>
      </w:r>
      <w:r w:rsidRPr="00EA25FD">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F018C5" w:rsidRPr="00EA25FD" w:rsidRDefault="00F018C5" w:rsidP="008866D2">
      <w:pPr>
        <w:spacing w:before="240" w:after="240" w:line="360" w:lineRule="auto"/>
        <w:jc w:val="both"/>
        <w:rPr>
          <w:rFonts w:ascii="Palatino Linotype" w:hAnsi="Palatino Linotype" w:cs="Arial"/>
          <w:b/>
        </w:rPr>
      </w:pPr>
    </w:p>
    <w:p w:rsidR="00DC63ED" w:rsidRPr="00EA25FD" w:rsidRDefault="00DC63ED" w:rsidP="00DC63ED">
      <w:pPr>
        <w:tabs>
          <w:tab w:val="left" w:pos="8647"/>
        </w:tabs>
        <w:spacing w:before="240" w:after="240" w:line="360" w:lineRule="auto"/>
        <w:ind w:right="51"/>
        <w:jc w:val="both"/>
        <w:rPr>
          <w:rFonts w:ascii="Palatino Linotype" w:hAnsi="Palatino Linotype" w:cs="Arial"/>
          <w:b/>
          <w:lang w:val="es-MX"/>
        </w:rPr>
      </w:pPr>
      <w:r w:rsidRPr="004D073A">
        <w:rPr>
          <w:rFonts w:ascii="Palatino Linotype" w:hAnsi="Palatino Linotype" w:cs="Arial"/>
          <w:b/>
          <w:lang w:val="es-MX"/>
        </w:rPr>
        <w:t xml:space="preserve">Segundo. Oportunidad y </w:t>
      </w:r>
      <w:proofErr w:type="spellStart"/>
      <w:r w:rsidRPr="004D073A">
        <w:rPr>
          <w:rFonts w:ascii="Palatino Linotype" w:hAnsi="Palatino Linotype" w:cs="Arial"/>
          <w:b/>
          <w:lang w:val="es-MX"/>
        </w:rPr>
        <w:t>Procedibilidad</w:t>
      </w:r>
      <w:proofErr w:type="spellEnd"/>
      <w:r w:rsidRPr="004D073A">
        <w:rPr>
          <w:rFonts w:ascii="Palatino Linotype" w:hAnsi="Palatino Linotype" w:cs="Arial"/>
          <w:b/>
          <w:lang w:val="es-MX"/>
        </w:rPr>
        <w:t>.</w:t>
      </w:r>
      <w:r w:rsidRPr="004D073A">
        <w:rPr>
          <w:rFonts w:ascii="Palatino Linotype" w:hAnsi="Palatino Linotype" w:cs="Arial"/>
          <w:lang w:val="es-MX"/>
        </w:rPr>
        <w:t xml:space="preserve"> Previo al estudio del fondo del asunto, se procede a analizar los requisitos de oportunidad y </w:t>
      </w:r>
      <w:proofErr w:type="spellStart"/>
      <w:r w:rsidRPr="004D073A">
        <w:rPr>
          <w:rFonts w:ascii="Palatino Linotype" w:hAnsi="Palatino Linotype" w:cs="Arial"/>
          <w:lang w:val="es-MX"/>
        </w:rPr>
        <w:t>procedibilidad</w:t>
      </w:r>
      <w:proofErr w:type="spellEnd"/>
      <w:r w:rsidRPr="004D073A">
        <w:rPr>
          <w:rFonts w:ascii="Palatino Linotype" w:hAnsi="Palatino Linotype" w:cs="Arial"/>
          <w:lang w:val="es-MX"/>
        </w:rPr>
        <w:t xml:space="preserve"> que deben reunir los recursos</w:t>
      </w:r>
      <w:r w:rsidRPr="00EA25FD">
        <w:rPr>
          <w:rFonts w:ascii="Palatino Linotype" w:hAnsi="Palatino Linotype" w:cs="Arial"/>
          <w:lang w:val="es-MX"/>
        </w:rPr>
        <w:t xml:space="preserve"> de revisión interpuestos, previstos en los artículos </w:t>
      </w:r>
      <w:r w:rsidRPr="00EA25FD">
        <w:rPr>
          <w:rFonts w:ascii="Palatino Linotype" w:hAnsi="Palatino Linotype" w:cs="Arial"/>
          <w:lang w:val="es-MX" w:eastAsia="es-MX"/>
        </w:rPr>
        <w:t>178 y 180 de la Ley de Transparencia y Acceso a la Información Pública del Estado de México y Municipios</w:t>
      </w:r>
      <w:r w:rsidRPr="00EA25FD">
        <w:rPr>
          <w:rFonts w:ascii="Palatino Linotype" w:hAnsi="Palatino Linotype" w:cs="Arial"/>
          <w:lang w:val="es-MX"/>
        </w:rPr>
        <w:t>.</w:t>
      </w:r>
    </w:p>
    <w:p w:rsidR="00DC63ED" w:rsidRPr="00EA25FD" w:rsidRDefault="00DC63ED" w:rsidP="00DC63ED">
      <w:pPr>
        <w:spacing w:before="240" w:after="240" w:line="360" w:lineRule="auto"/>
        <w:jc w:val="both"/>
        <w:rPr>
          <w:rFonts w:ascii="Palatino Linotype" w:hAnsi="Palatino Linotype" w:cs="Arial"/>
          <w:lang w:val="es-MX" w:eastAsia="es-MX"/>
        </w:rPr>
      </w:pPr>
      <w:r w:rsidRPr="00EA25FD">
        <w:rPr>
          <w:rFonts w:ascii="Palatino Linotype" w:hAnsi="Palatino Linotype" w:cs="Arial"/>
          <w:lang w:val="es-MX" w:eastAsia="es-MX"/>
        </w:rPr>
        <w:t xml:space="preserve">Por lo que en el caso que nos ocupa, dentro de los recursos de revisión </w:t>
      </w:r>
      <w:r w:rsidR="00C76E9E">
        <w:rPr>
          <w:rFonts w:ascii="Palatino Linotype" w:hAnsi="Palatino Linotype"/>
          <w:b/>
          <w:sz w:val="21"/>
          <w:szCs w:val="21"/>
          <w:lang w:val="es-ES_tradnl"/>
        </w:rPr>
        <w:t>03153/INFOEM/IP/RR/2018</w:t>
      </w:r>
      <w:r w:rsidRPr="00EA25FD">
        <w:rPr>
          <w:rFonts w:ascii="Palatino Linotype" w:hAnsi="Palatino Linotype" w:cs="Arial"/>
          <w:lang w:val="es-MX"/>
        </w:rPr>
        <w:t xml:space="preserve">, </w:t>
      </w:r>
      <w:r w:rsidRPr="00EA25FD">
        <w:rPr>
          <w:rFonts w:ascii="Palatino Linotype" w:hAnsi="Palatino Linotype" w:cs="Arial"/>
          <w:lang w:val="es-MX" w:eastAsia="es-MX"/>
        </w:rPr>
        <w:t>se advierte que l</w:t>
      </w:r>
      <w:r w:rsidR="00352DDD" w:rsidRPr="00EA25FD">
        <w:rPr>
          <w:rFonts w:ascii="Palatino Linotype" w:hAnsi="Palatino Linotype" w:cs="Arial"/>
          <w:lang w:val="es-MX" w:eastAsia="es-MX"/>
        </w:rPr>
        <w:t>a respuesta controvertida por la</w:t>
      </w:r>
      <w:r w:rsidRPr="00EA25FD">
        <w:rPr>
          <w:rFonts w:ascii="Palatino Linotype" w:hAnsi="Palatino Linotype" w:cs="Arial"/>
          <w:lang w:val="es-MX" w:eastAsia="es-MX"/>
        </w:rPr>
        <w:t xml:space="preserve"> recurrente fue emitida en fecha </w:t>
      </w:r>
      <w:r w:rsidR="00C76E9E">
        <w:rPr>
          <w:rFonts w:ascii="Palatino Linotype" w:hAnsi="Palatino Linotype" w:cs="Arial"/>
          <w:b/>
          <w:lang w:val="es-MX" w:eastAsia="es-MX"/>
        </w:rPr>
        <w:t>veintinueve de agosto</w:t>
      </w:r>
      <w:r w:rsidRPr="00EA25FD">
        <w:rPr>
          <w:rFonts w:ascii="Palatino Linotype" w:hAnsi="Palatino Linotype" w:cs="Arial"/>
          <w:b/>
          <w:lang w:val="es-MX" w:eastAsia="es-MX"/>
        </w:rPr>
        <w:t xml:space="preserve"> de dos mil dieciocho</w:t>
      </w:r>
      <w:r w:rsidRPr="00EA25FD">
        <w:rPr>
          <w:rFonts w:ascii="Palatino Linotype" w:hAnsi="Palatino Linotype" w:cs="Arial"/>
          <w:i/>
          <w:lang w:val="es-MX" w:eastAsia="es-MX"/>
        </w:rPr>
        <w:t xml:space="preserve">, </w:t>
      </w:r>
      <w:r w:rsidRPr="00EA25FD">
        <w:rPr>
          <w:rFonts w:ascii="Palatino Linotype" w:hAnsi="Palatino Linotype" w:cs="Arial"/>
          <w:lang w:val="es-MX" w:eastAsia="es-MX"/>
        </w:rPr>
        <w:t>por lo que éste contaba con el plazo de quince días hábiles para la presentación del medio de inconformidad en que se actúa.</w:t>
      </w:r>
    </w:p>
    <w:p w:rsidR="00DC63ED" w:rsidRPr="00EA25FD" w:rsidRDefault="00501D34" w:rsidP="00DC63ED">
      <w:pPr>
        <w:widowControl w:val="0"/>
        <w:autoSpaceDE w:val="0"/>
        <w:autoSpaceDN w:val="0"/>
        <w:adjustRightInd w:val="0"/>
        <w:spacing w:before="240" w:after="240" w:line="360" w:lineRule="auto"/>
        <w:jc w:val="both"/>
        <w:rPr>
          <w:rFonts w:ascii="Palatino Linotype" w:hAnsi="Palatino Linotype" w:cs="Arial"/>
          <w:b/>
          <w:lang w:val="es-MX" w:eastAsia="es-MX"/>
        </w:rPr>
      </w:pPr>
      <w:r w:rsidRPr="00501D34">
        <w:rPr>
          <w:rFonts w:ascii="Palatino Linotype" w:hAnsi="Palatino Linotype" w:cs="Arial"/>
          <w:noProof/>
          <w:lang w:val="es-MX" w:eastAsia="es-MX"/>
        </w:rPr>
        <w:lastRenderedPageBreak/>
        <w:drawing>
          <wp:anchor distT="0" distB="0" distL="114300" distR="114300" simplePos="0" relativeHeight="251675648" behindDoc="1" locked="0" layoutInCell="1" allowOverlap="1" wp14:anchorId="2EB51B54" wp14:editId="74E627AD">
            <wp:simplePos x="0" y="0"/>
            <wp:positionH relativeFrom="column">
              <wp:posOffset>494665</wp:posOffset>
            </wp:positionH>
            <wp:positionV relativeFrom="paragraph">
              <wp:posOffset>1322705</wp:posOffset>
            </wp:positionV>
            <wp:extent cx="4676775" cy="3905250"/>
            <wp:effectExtent l="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1D34">
        <w:rPr>
          <w:rFonts w:ascii="Palatino Linotype" w:hAnsi="Palatino Linotype" w:cs="Arial"/>
          <w:noProof/>
          <w:lang w:val="es-MX" w:eastAsia="es-MX"/>
        </w:rPr>
        <w:drawing>
          <wp:anchor distT="0" distB="0" distL="114300" distR="114300" simplePos="0" relativeHeight="251674624" behindDoc="1" locked="0" layoutInCell="1" allowOverlap="1" wp14:anchorId="40F26BA3" wp14:editId="2F1815A5">
            <wp:simplePos x="0" y="0"/>
            <wp:positionH relativeFrom="column">
              <wp:posOffset>-104775</wp:posOffset>
            </wp:positionH>
            <wp:positionV relativeFrom="paragraph">
              <wp:posOffset>-1123950</wp:posOffset>
            </wp:positionV>
            <wp:extent cx="1695450" cy="10287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63ED" w:rsidRPr="00EA25FD">
        <w:rPr>
          <w:rFonts w:ascii="Palatino Linotype" w:hAnsi="Palatino Linotype" w:cs="Arial"/>
          <w:lang w:val="es-MX" w:eastAsia="es-MX"/>
        </w:rPr>
        <w:t>Ahora, de las constancias se advierte</w:t>
      </w:r>
      <w:r w:rsidR="00352DDD" w:rsidRPr="00EA25FD">
        <w:rPr>
          <w:rFonts w:ascii="Palatino Linotype" w:hAnsi="Palatino Linotype" w:cs="Arial"/>
          <w:lang w:val="es-MX" w:eastAsia="es-MX"/>
        </w:rPr>
        <w:t xml:space="preserve"> que el plazo con que contaba la</w:t>
      </w:r>
      <w:r w:rsidR="00DC63ED" w:rsidRPr="00EA25FD">
        <w:rPr>
          <w:rFonts w:ascii="Palatino Linotype" w:hAnsi="Palatino Linotype" w:cs="Arial"/>
          <w:lang w:val="es-MX" w:eastAsia="es-MX"/>
        </w:rPr>
        <w:t xml:space="preserve"> recurrente comenzó a correr el día </w:t>
      </w:r>
      <w:r w:rsidR="00C76E9E">
        <w:rPr>
          <w:rFonts w:ascii="Palatino Linotype" w:hAnsi="Palatino Linotype" w:cs="Arial"/>
          <w:b/>
          <w:lang w:val="es-MX" w:eastAsia="es-MX"/>
        </w:rPr>
        <w:t>treinta de agosto</w:t>
      </w:r>
      <w:r w:rsidR="00DC63ED" w:rsidRPr="00EA25FD">
        <w:rPr>
          <w:rFonts w:ascii="Palatino Linotype" w:hAnsi="Palatino Linotype" w:cs="Arial"/>
          <w:b/>
          <w:i/>
          <w:lang w:val="es-MX" w:eastAsia="es-MX"/>
        </w:rPr>
        <w:t xml:space="preserve"> </w:t>
      </w:r>
      <w:r w:rsidR="00DC63ED" w:rsidRPr="00EA25FD">
        <w:rPr>
          <w:rFonts w:ascii="Palatino Linotype" w:hAnsi="Palatino Linotype" w:cs="Arial"/>
          <w:lang w:val="es-MX" w:eastAsia="es-MX"/>
        </w:rPr>
        <w:t xml:space="preserve">feneciendo en fecha </w:t>
      </w:r>
      <w:r w:rsidR="00C76E9E">
        <w:rPr>
          <w:rFonts w:ascii="Palatino Linotype" w:hAnsi="Palatino Linotype" w:cs="Arial"/>
          <w:b/>
          <w:lang w:val="es-MX" w:eastAsia="es-MX"/>
        </w:rPr>
        <w:t>diecinueve de septiembre</w:t>
      </w:r>
      <w:r w:rsidR="00DC63ED" w:rsidRPr="00EA25FD">
        <w:rPr>
          <w:rFonts w:ascii="Palatino Linotype" w:hAnsi="Palatino Linotype" w:cs="Arial"/>
          <w:lang w:val="es-MX" w:eastAsia="es-MX"/>
        </w:rPr>
        <w:t xml:space="preserve">, ambos del año dos mil dieciocho; luego entonces, si el recurso de revisión fue interpuesto el </w:t>
      </w:r>
      <w:r w:rsidR="00C76E9E">
        <w:rPr>
          <w:rFonts w:ascii="Palatino Linotype" w:hAnsi="Palatino Linotype" w:cs="Arial"/>
          <w:b/>
          <w:lang w:val="es-MX" w:eastAsia="es-MX"/>
        </w:rPr>
        <w:t>día veintinueve de agosto</w:t>
      </w:r>
      <w:r w:rsidR="00DC63ED" w:rsidRPr="00EA25FD">
        <w:rPr>
          <w:rFonts w:ascii="Palatino Linotype" w:hAnsi="Palatino Linotype" w:cs="Arial"/>
          <w:b/>
          <w:lang w:val="es-MX" w:eastAsia="es-MX"/>
        </w:rPr>
        <w:t xml:space="preserve"> de dos mil dieciocho</w:t>
      </w:r>
      <w:r w:rsidR="00DC63ED" w:rsidRPr="00EA25FD">
        <w:rPr>
          <w:rFonts w:ascii="Palatino Linotype" w:hAnsi="Palatino Linotype" w:cs="Arial"/>
          <w:lang w:val="es-MX" w:eastAsia="es-MX"/>
        </w:rPr>
        <w:t>, el mismo se encontraba dentro de los márgenes temporales, previsto en la ley de la materia.</w:t>
      </w:r>
    </w:p>
    <w:p w:rsidR="00DC63ED" w:rsidRPr="00EA25FD" w:rsidRDefault="00DC63ED" w:rsidP="00DC63ED">
      <w:pPr>
        <w:spacing w:line="360" w:lineRule="auto"/>
        <w:jc w:val="both"/>
        <w:rPr>
          <w:rFonts w:ascii="Palatino Linotype" w:hAnsi="Palatino Linotype"/>
          <w:lang w:val="es-MX"/>
        </w:rPr>
      </w:pPr>
      <w:r w:rsidRPr="00EA25FD">
        <w:rPr>
          <w:rFonts w:ascii="Palatino Linotype" w:hAnsi="Palatino Linotype" w:cs="Arial"/>
          <w:lang w:val="es-MX"/>
        </w:rPr>
        <w:t xml:space="preserve">En ese sentido, al considerar la fecha en que </w:t>
      </w:r>
      <w:r w:rsidR="00352DDD" w:rsidRPr="00EA25FD">
        <w:rPr>
          <w:rFonts w:ascii="Palatino Linotype" w:hAnsi="Palatino Linotype" w:cs="Arial"/>
          <w:b/>
          <w:lang w:val="es-MX"/>
        </w:rPr>
        <w:t>la</w:t>
      </w:r>
      <w:r w:rsidRPr="00EA25FD">
        <w:rPr>
          <w:rFonts w:ascii="Palatino Linotype" w:hAnsi="Palatino Linotype" w:cs="Arial"/>
          <w:b/>
          <w:lang w:val="es-MX"/>
        </w:rPr>
        <w:t xml:space="preserve"> recurrente</w:t>
      </w:r>
      <w:r w:rsidRPr="00EA25FD">
        <w:rPr>
          <w:rFonts w:ascii="Palatino Linotype" w:hAnsi="Palatino Linotype" w:cs="Arial"/>
          <w:lang w:val="es-MX"/>
        </w:rPr>
        <w:t xml:space="preserve"> interpuso el recurso de revisión, éste como ya se refirió se encuentra dentro de los márgenes temporales previstos en el cuerpo de leyes de la materia</w:t>
      </w:r>
    </w:p>
    <w:p w:rsidR="00723F02" w:rsidRPr="004D073A" w:rsidRDefault="00DC63ED" w:rsidP="00DC63ED">
      <w:pPr>
        <w:spacing w:before="240" w:after="240" w:line="360" w:lineRule="auto"/>
        <w:jc w:val="both"/>
        <w:rPr>
          <w:rFonts w:ascii="Palatino Linotype" w:hAnsi="Palatino Linotype"/>
          <w:lang w:val="es-MX"/>
        </w:rPr>
      </w:pPr>
      <w:r w:rsidRPr="00EA25FD">
        <w:rPr>
          <w:rFonts w:ascii="Palatino Linotype" w:hAnsi="Palatino Linotype"/>
          <w:lang w:val="es-MX"/>
        </w:rPr>
        <w:t>Asimismo, tras la revisión del formato de interposición del recurso de revisión, se concluye en la acreditación plena de todos y cada uno de los elementos formales exigidos por el artículo 180 de la Ley de Transparencia y Acceso a la Información Pública del Estado de México y Municipios, toda vez que fueron ingresados a través del SAIMEX.</w:t>
      </w:r>
      <w:r w:rsidRPr="00EA25FD">
        <w:rPr>
          <w:rFonts w:ascii="Palatino Linotype" w:hAnsi="Palatino Linotype" w:cs="Arial"/>
          <w:lang w:val="es-MX"/>
        </w:rPr>
        <w:t xml:space="preserve"> </w:t>
      </w:r>
    </w:p>
    <w:p w:rsidR="0058261C" w:rsidRPr="00E433B3" w:rsidRDefault="0058261C" w:rsidP="0058261C">
      <w:pPr>
        <w:pStyle w:val="paragraph"/>
        <w:spacing w:before="0" w:beforeAutospacing="0" w:after="240" w:afterAutospacing="0" w:line="360" w:lineRule="auto"/>
        <w:jc w:val="both"/>
        <w:textAlignment w:val="baseline"/>
        <w:rPr>
          <w:rFonts w:ascii="Palatino Linotype" w:hAnsi="Palatino Linotype" w:cs="Segoe UI"/>
        </w:rPr>
      </w:pPr>
      <w:r w:rsidRPr="004D073A">
        <w:rPr>
          <w:rFonts w:ascii="Palatino Linotype" w:hAnsi="Palatino Linotype" w:cs="Segoe UI"/>
          <w:b/>
        </w:rPr>
        <w:t xml:space="preserve">Tercero. Cuestiones de previo y especial pronunciamiento en relación a la vía de interposición del recurso. </w:t>
      </w:r>
      <w:r w:rsidRPr="004D073A">
        <w:rPr>
          <w:rFonts w:ascii="Palatino Linotype" w:hAnsi="Palatino Linotype" w:cs="Segoe UI"/>
        </w:rPr>
        <w:t xml:space="preserve">De manera previa al análisis del estudio de fondo del presente asunto conviene hacer </w:t>
      </w:r>
      <w:r w:rsidR="00787F3A" w:rsidRPr="004D073A">
        <w:rPr>
          <w:rFonts w:ascii="Palatino Linotype" w:hAnsi="Palatino Linotype" w:cs="Segoe UI"/>
        </w:rPr>
        <w:t>alusión que si bien es cierto la</w:t>
      </w:r>
      <w:r w:rsidRPr="004D073A">
        <w:rPr>
          <w:rFonts w:ascii="Palatino Linotype" w:hAnsi="Palatino Linotype" w:cs="Segoe UI"/>
        </w:rPr>
        <w:t xml:space="preserve"> hoy recurrente inició su solicitud vía</w:t>
      </w:r>
      <w:r w:rsidRPr="00847C84">
        <w:rPr>
          <w:rFonts w:ascii="Palatino Linotype" w:hAnsi="Palatino Linotype" w:cs="Segoe UI"/>
        </w:rPr>
        <w:t xml:space="preserve"> acceso a la información pública lo cierto es que derivado del tipo de </w:t>
      </w:r>
      <w:r w:rsidRPr="00E433B3">
        <w:rPr>
          <w:rFonts w:ascii="Palatino Linotype" w:hAnsi="Palatino Linotype" w:cs="Segoe UI"/>
        </w:rPr>
        <w:t>información materia de la solicitud, se desprende que solicitó un acceso a datos personales, por lo que en tal sentido es necesario que éste Órgano Garante se pronuncie con relación a la vía sobre la cual se regulará el presente asunto.</w:t>
      </w:r>
    </w:p>
    <w:p w:rsidR="0058261C" w:rsidRDefault="00787F3A" w:rsidP="0058261C">
      <w:pPr>
        <w:pStyle w:val="paragraph"/>
        <w:spacing w:before="0" w:beforeAutospacing="0" w:after="240" w:afterAutospacing="0" w:line="360" w:lineRule="auto"/>
        <w:jc w:val="both"/>
        <w:textAlignment w:val="baseline"/>
        <w:rPr>
          <w:rFonts w:ascii="Palatino Linotype" w:hAnsi="Palatino Linotype" w:cs="Segoe UI"/>
        </w:rPr>
      </w:pPr>
      <w:r>
        <w:rPr>
          <w:rFonts w:ascii="Palatino Linotype" w:hAnsi="Palatino Linotype" w:cs="Segoe UI"/>
        </w:rPr>
        <w:lastRenderedPageBreak/>
        <w:t>Ello es así en atención a que la</w:t>
      </w:r>
      <w:r w:rsidR="0058261C" w:rsidRPr="00E433B3">
        <w:rPr>
          <w:rFonts w:ascii="Palatino Linotype" w:hAnsi="Palatino Linotype" w:cs="Segoe UI"/>
        </w:rPr>
        <w:t xml:space="preserve"> ahora recurrente solicitó se le proporcionara</w:t>
      </w:r>
      <w:r w:rsidR="0058261C" w:rsidRPr="00847C84">
        <w:rPr>
          <w:rFonts w:ascii="Palatino Linotype" w:hAnsi="Palatino Linotype" w:cs="Segoe UI"/>
        </w:rPr>
        <w:t xml:space="preserve"> </w:t>
      </w:r>
      <w:r w:rsidR="0058261C">
        <w:rPr>
          <w:rFonts w:ascii="Palatino Linotype" w:hAnsi="Palatino Linotype" w:cs="Segoe UI"/>
        </w:rPr>
        <w:t xml:space="preserve">el acceso a una averiguación </w:t>
      </w:r>
      <w:r w:rsidR="005C3CCD">
        <w:rPr>
          <w:rFonts w:ascii="Palatino Linotype" w:hAnsi="Palatino Linotype" w:cs="Segoe UI"/>
        </w:rPr>
        <w:t>previa formada con motivo de un</w:t>
      </w:r>
      <w:r w:rsidR="0058261C">
        <w:rPr>
          <w:rFonts w:ascii="Palatino Linotype" w:hAnsi="Palatino Linotype" w:cs="Segoe UI"/>
        </w:rPr>
        <w:t xml:space="preserve"> </w:t>
      </w:r>
      <w:r w:rsidR="00C035A9">
        <w:rPr>
          <w:rFonts w:ascii="Palatino Linotype" w:hAnsi="Palatino Linotype" w:cs="Segoe UI"/>
        </w:rPr>
        <w:t>accidente</w:t>
      </w:r>
      <w:r>
        <w:rPr>
          <w:rFonts w:ascii="Palatino Linotype" w:hAnsi="Palatino Linotype" w:cs="Segoe UI"/>
        </w:rPr>
        <w:t xml:space="preserve"> vial en el cual la particular se vio involucrada</w:t>
      </w:r>
      <w:r w:rsidR="0058261C">
        <w:rPr>
          <w:rFonts w:ascii="Palatino Linotype" w:hAnsi="Palatino Linotype" w:cs="Segoe UI"/>
        </w:rPr>
        <w:t>.</w:t>
      </w:r>
    </w:p>
    <w:p w:rsidR="0058261C" w:rsidRPr="0058261C" w:rsidRDefault="0058261C" w:rsidP="0058261C">
      <w:pPr>
        <w:pStyle w:val="paragraph"/>
        <w:spacing w:before="0" w:beforeAutospacing="0" w:after="240" w:afterAutospacing="0" w:line="360" w:lineRule="auto"/>
        <w:jc w:val="both"/>
        <w:textAlignment w:val="baseline"/>
        <w:rPr>
          <w:rFonts w:ascii="Palatino Linotype" w:hAnsi="Palatino Linotype" w:cs="Segoe UI"/>
        </w:rPr>
      </w:pPr>
      <w:r w:rsidRPr="00847C84">
        <w:rPr>
          <w:rFonts w:ascii="Palatino Linotype" w:hAnsi="Palatino Linotype"/>
        </w:rPr>
        <w:t xml:space="preserve">En tal entendido, resulta evidente que la información solicitada corresponde a un acceso </w:t>
      </w:r>
      <w:r w:rsidR="00C76E9E">
        <w:rPr>
          <w:rFonts w:ascii="Palatino Linotype" w:hAnsi="Palatino Linotype"/>
        </w:rPr>
        <w:t xml:space="preserve">a datos personales, ya que la particular al generar la solicitud de información de manera categórica refiere ser parte afectada dentro del citado procedimiento que se lleva ante el SUJETO OBLIGADO.  </w:t>
      </w:r>
    </w:p>
    <w:p w:rsidR="00C76E9E" w:rsidRPr="0090521E" w:rsidRDefault="0058261C" w:rsidP="0058261C">
      <w:pPr>
        <w:spacing w:before="100" w:beforeAutospacing="1" w:after="100" w:afterAutospacing="1" w:line="360" w:lineRule="auto"/>
        <w:jc w:val="both"/>
        <w:rPr>
          <w:rFonts w:ascii="Palatino Linotype" w:hAnsi="Palatino Linotype"/>
          <w:lang w:eastAsia="es-MX"/>
        </w:rPr>
      </w:pPr>
      <w:r w:rsidRPr="0090521E">
        <w:rPr>
          <w:rFonts w:ascii="Palatino Linotype" w:hAnsi="Palatino Linotype"/>
        </w:rPr>
        <w:t>Así tenemos que el derecho ejercido por el particular se encuentra regulado por los numerales 97 y 98</w:t>
      </w:r>
      <w:r w:rsidRPr="0090521E">
        <w:rPr>
          <w:rFonts w:ascii="Palatino Linotype" w:hAnsi="Palatino Linotype"/>
          <w:lang w:eastAsia="es-MX"/>
        </w:rPr>
        <w:t xml:space="preserve"> de la </w:t>
      </w:r>
      <w:r w:rsidRPr="0090521E">
        <w:rPr>
          <w:rFonts w:ascii="Palatino Linotype" w:hAnsi="Palatino Linotype"/>
        </w:rPr>
        <w:t>Ley de Protección de Datos Personales en Posesión de Sujetos Obligados del Estado de México y Municipios</w:t>
      </w:r>
      <w:r w:rsidRPr="0090521E">
        <w:rPr>
          <w:rFonts w:ascii="Palatino Linotype" w:hAnsi="Palatino Linotype"/>
          <w:lang w:eastAsia="es-MX"/>
        </w:rPr>
        <w:t>, del tenor literal siguiente:</w:t>
      </w:r>
    </w:p>
    <w:p w:rsidR="0058261C" w:rsidRPr="00847C84" w:rsidRDefault="004D073A" w:rsidP="0058261C">
      <w:pPr>
        <w:spacing w:before="100" w:beforeAutospacing="1" w:after="100" w:afterAutospacing="1"/>
        <w:ind w:left="993" w:right="1041"/>
        <w:jc w:val="both"/>
        <w:rPr>
          <w:rFonts w:ascii="Palatino Linotype" w:hAnsi="Palatino Linotype"/>
          <w:i/>
          <w:sz w:val="22"/>
          <w:szCs w:val="22"/>
        </w:rPr>
      </w:pPr>
      <w:r>
        <w:rPr>
          <w:rFonts w:ascii="Palatino Linotype" w:hAnsi="Palatino Linotype"/>
          <w:i/>
          <w:sz w:val="22"/>
          <w:szCs w:val="22"/>
        </w:rPr>
        <w:t>“</w:t>
      </w:r>
      <w:r w:rsidR="0058261C" w:rsidRPr="00847C84">
        <w:rPr>
          <w:rFonts w:ascii="Palatino Linotype" w:hAnsi="Palatino Linotype"/>
          <w:i/>
          <w:sz w:val="22"/>
          <w:szCs w:val="22"/>
        </w:rPr>
        <w:t xml:space="preserve">Artículo 97. </w:t>
      </w:r>
      <w:r w:rsidR="0058261C" w:rsidRPr="0090521E">
        <w:rPr>
          <w:rFonts w:ascii="Palatino Linotype" w:hAnsi="Palatino Linotype"/>
          <w:b/>
          <w:i/>
          <w:sz w:val="22"/>
          <w:szCs w:val="22"/>
        </w:rPr>
        <w:t>Los derechos de acceso</w:t>
      </w:r>
      <w:r w:rsidR="0058261C" w:rsidRPr="00847C84">
        <w:rPr>
          <w:rFonts w:ascii="Palatino Linotype" w:hAnsi="Palatino Linotype"/>
          <w:i/>
          <w:sz w:val="22"/>
          <w:szCs w:val="22"/>
        </w:rPr>
        <w:t xml:space="preserve">,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 </w:t>
      </w:r>
    </w:p>
    <w:p w:rsidR="0058261C" w:rsidRPr="00847C84" w:rsidRDefault="0058261C" w:rsidP="0058261C">
      <w:pPr>
        <w:spacing w:before="100" w:beforeAutospacing="1" w:after="100" w:afterAutospacing="1"/>
        <w:ind w:left="993" w:right="1041"/>
        <w:jc w:val="both"/>
        <w:rPr>
          <w:rFonts w:ascii="Palatino Linotype" w:hAnsi="Palatino Linotype"/>
          <w:i/>
          <w:sz w:val="22"/>
          <w:szCs w:val="22"/>
        </w:rPr>
      </w:pPr>
      <w:r w:rsidRPr="00847C84">
        <w:rPr>
          <w:rFonts w:ascii="Palatino Linotype" w:hAnsi="Palatino Linotype"/>
          <w:i/>
          <w:sz w:val="22"/>
          <w:szCs w:val="22"/>
        </w:rPr>
        <w:t xml:space="preserve">En ningún caso el acceso a los datos personales de un titular podrá afectar los derechos y libertades de otros. </w:t>
      </w:r>
    </w:p>
    <w:p w:rsidR="0058261C" w:rsidRPr="00847C84" w:rsidRDefault="0058261C" w:rsidP="0058261C">
      <w:pPr>
        <w:spacing w:before="100" w:beforeAutospacing="1" w:after="100" w:afterAutospacing="1"/>
        <w:ind w:left="993" w:right="1041"/>
        <w:jc w:val="both"/>
        <w:rPr>
          <w:rFonts w:ascii="Palatino Linotype" w:hAnsi="Palatino Linotype"/>
          <w:i/>
          <w:color w:val="FF0000"/>
          <w:sz w:val="22"/>
          <w:szCs w:val="22"/>
          <w:lang w:eastAsia="es-MX"/>
        </w:rPr>
      </w:pPr>
      <w:r w:rsidRPr="00847C84">
        <w:rPr>
          <w:rFonts w:ascii="Palatino Linotype" w:hAnsi="Palatino Linotype"/>
          <w:i/>
          <w:sz w:val="22"/>
          <w:szCs w:val="22"/>
        </w:rPr>
        <w:t>El ejercicio de cualquiera de los derechos ARCO, forma parte de las garantías primarias del derecho a la protección de datos personales.</w:t>
      </w:r>
    </w:p>
    <w:p w:rsidR="0058261C" w:rsidRPr="00847C84" w:rsidRDefault="0058261C" w:rsidP="0058261C">
      <w:pPr>
        <w:spacing w:before="100" w:beforeAutospacing="1" w:after="100" w:afterAutospacing="1"/>
        <w:ind w:left="993" w:right="1041"/>
        <w:jc w:val="both"/>
        <w:rPr>
          <w:rFonts w:ascii="Palatino Linotype" w:hAnsi="Palatino Linotype"/>
          <w:i/>
          <w:sz w:val="22"/>
          <w:szCs w:val="22"/>
        </w:rPr>
      </w:pPr>
      <w:r w:rsidRPr="0090521E">
        <w:rPr>
          <w:rFonts w:ascii="Palatino Linotype" w:hAnsi="Palatino Linotype"/>
          <w:b/>
          <w:i/>
          <w:sz w:val="22"/>
          <w:szCs w:val="22"/>
        </w:rPr>
        <w:t>Artículo 98. El titular tiene derecho a acceder, solicitar y ser informado sobre sus datos personales en posesión de los sujetos obligados, así como la información relacionada con las condiciones y generalidades de su tratamiento</w:t>
      </w:r>
      <w:r w:rsidRPr="00847C84">
        <w:rPr>
          <w:rFonts w:ascii="Palatino Linotype" w:hAnsi="Palatino Linotype"/>
          <w:i/>
          <w:sz w:val="22"/>
          <w:szCs w:val="22"/>
        </w:rPr>
        <w:t xml:space="preserve">,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w:t>
      </w:r>
    </w:p>
    <w:p w:rsidR="0058261C" w:rsidRPr="006E699B" w:rsidRDefault="00501D34" w:rsidP="006E699B">
      <w:pPr>
        <w:spacing w:before="100" w:beforeAutospacing="1" w:after="100" w:afterAutospacing="1"/>
        <w:ind w:left="993" w:right="1041"/>
        <w:jc w:val="both"/>
        <w:rPr>
          <w:rFonts w:ascii="Palatino Linotype" w:hAnsi="Palatino Linotype"/>
          <w:i/>
          <w:color w:val="FF0000"/>
          <w:sz w:val="22"/>
          <w:szCs w:val="22"/>
          <w:lang w:eastAsia="es-MX"/>
        </w:rPr>
      </w:pPr>
      <w:r w:rsidRPr="00501D34">
        <w:rPr>
          <w:rFonts w:ascii="Palatino Linotype" w:hAnsi="Palatino Linotype"/>
          <w:i/>
          <w:noProof/>
          <w:sz w:val="22"/>
          <w:szCs w:val="22"/>
          <w:lang w:val="es-MX" w:eastAsia="es-MX"/>
        </w:rPr>
        <w:lastRenderedPageBreak/>
        <w:drawing>
          <wp:anchor distT="0" distB="0" distL="114300" distR="114300" simplePos="0" relativeHeight="251677696" behindDoc="1" locked="0" layoutInCell="1" allowOverlap="1" wp14:anchorId="1838A7FC" wp14:editId="50913A4C">
            <wp:simplePos x="0" y="0"/>
            <wp:positionH relativeFrom="column">
              <wp:posOffset>-95250</wp:posOffset>
            </wp:positionH>
            <wp:positionV relativeFrom="paragraph">
              <wp:posOffset>-1114425</wp:posOffset>
            </wp:positionV>
            <wp:extent cx="1695450" cy="10287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261C" w:rsidRPr="00847C84">
        <w:rPr>
          <w:rFonts w:ascii="Palatino Linotype" w:hAnsi="Palatino Linotype"/>
          <w:i/>
          <w:sz w:val="22"/>
          <w:szCs w:val="22"/>
        </w:rPr>
        <w:t>El responsable debe responder al ejercicio del derecho de acceso, tenga o no datos de carácter personal del interesado en su sistema de datos.</w:t>
      </w:r>
      <w:r w:rsidR="004D073A">
        <w:rPr>
          <w:rFonts w:ascii="Palatino Linotype" w:hAnsi="Palatino Linotype"/>
          <w:i/>
          <w:sz w:val="22"/>
          <w:szCs w:val="22"/>
        </w:rPr>
        <w:t>”(Sic)</w:t>
      </w:r>
    </w:p>
    <w:p w:rsidR="0058261C" w:rsidRPr="0090521E" w:rsidRDefault="00501D34" w:rsidP="0058261C">
      <w:pPr>
        <w:spacing w:before="100" w:beforeAutospacing="1" w:after="100" w:afterAutospacing="1" w:line="360" w:lineRule="auto"/>
        <w:jc w:val="both"/>
        <w:rPr>
          <w:rFonts w:ascii="Palatino Linotype" w:hAnsi="Palatino Linotype" w:cs="Segoe UI"/>
        </w:rPr>
      </w:pPr>
      <w:r w:rsidRPr="00501D34">
        <w:rPr>
          <w:rFonts w:ascii="Palatino Linotype" w:hAnsi="Palatino Linotype"/>
          <w:i/>
          <w:noProof/>
          <w:sz w:val="22"/>
          <w:szCs w:val="22"/>
          <w:lang w:val="es-MX" w:eastAsia="es-MX"/>
        </w:rPr>
        <w:drawing>
          <wp:anchor distT="0" distB="0" distL="114300" distR="114300" simplePos="0" relativeHeight="251678720" behindDoc="1" locked="0" layoutInCell="1" allowOverlap="1" wp14:anchorId="05967277" wp14:editId="77B1E717">
            <wp:simplePos x="0" y="0"/>
            <wp:positionH relativeFrom="column">
              <wp:posOffset>504190</wp:posOffset>
            </wp:positionH>
            <wp:positionV relativeFrom="paragraph">
              <wp:posOffset>777240</wp:posOffset>
            </wp:positionV>
            <wp:extent cx="4676775" cy="3905250"/>
            <wp:effectExtent l="0" t="0" r="952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8261C" w:rsidRPr="0090521E">
        <w:rPr>
          <w:rFonts w:ascii="Palatino Linotype" w:hAnsi="Palatino Linotype" w:cs="Segoe UI"/>
        </w:rPr>
        <w:t xml:space="preserve">En consecuencia resulta que </w:t>
      </w:r>
      <w:r w:rsidR="00787F3A">
        <w:rPr>
          <w:rFonts w:ascii="Palatino Linotype" w:hAnsi="Palatino Linotype" w:cs="Segoe UI"/>
        </w:rPr>
        <w:t>la solicitud de la</w:t>
      </w:r>
      <w:r w:rsidR="0058261C">
        <w:rPr>
          <w:rFonts w:ascii="Palatino Linotype" w:hAnsi="Palatino Linotype" w:cs="Segoe UI"/>
        </w:rPr>
        <w:t xml:space="preserve"> recurrente se deberá atender </w:t>
      </w:r>
      <w:r w:rsidR="0058261C" w:rsidRPr="0090521E">
        <w:rPr>
          <w:rFonts w:ascii="Palatino Linotype" w:hAnsi="Palatino Linotype" w:cs="Segoe UI"/>
        </w:rPr>
        <w:t xml:space="preserve">en términos del ejercicio del derecho de acceso a datos personales, </w:t>
      </w:r>
      <w:r w:rsidR="0058261C" w:rsidRPr="0090521E">
        <w:rPr>
          <w:rFonts w:ascii="Palatino Linotype" w:hAnsi="Palatino Linotype"/>
          <w:lang w:eastAsia="es-MX"/>
        </w:rPr>
        <w:t>toda vez que este Instituto, junto con otros como lo es el Instituto Nacional de Acceso a la Información y Protección de Datos (INAI) se han pronunciado por la procedencia de los recursos de revisión según la materia de la solicitud; apoya lo anterior el criterio 008/2009 del INAI el cual se cita a continuación:</w:t>
      </w:r>
    </w:p>
    <w:p w:rsidR="0058261C" w:rsidRDefault="0058261C" w:rsidP="0058261C">
      <w:pPr>
        <w:tabs>
          <w:tab w:val="left" w:pos="7655"/>
        </w:tabs>
        <w:spacing w:before="100" w:beforeAutospacing="1" w:after="100" w:afterAutospacing="1"/>
        <w:ind w:left="851" w:right="900"/>
        <w:jc w:val="both"/>
        <w:rPr>
          <w:rFonts w:ascii="Palatino Linotype" w:hAnsi="Palatino Linotype"/>
          <w:b/>
          <w:i/>
          <w:sz w:val="22"/>
          <w:szCs w:val="22"/>
          <w:lang w:eastAsia="es-MX"/>
        </w:rPr>
      </w:pPr>
      <w:r w:rsidRPr="00847C84">
        <w:rPr>
          <w:rFonts w:ascii="Palatino Linotype" w:hAnsi="Palatino Linotype"/>
          <w:i/>
          <w:color w:val="FF0000"/>
          <w:sz w:val="22"/>
          <w:szCs w:val="22"/>
          <w:lang w:eastAsia="es-MX"/>
        </w:rPr>
        <w:t>“</w:t>
      </w:r>
      <w:r w:rsidRPr="0090521E">
        <w:rPr>
          <w:rFonts w:ascii="Palatino Linotype" w:hAnsi="Palatino Linotype"/>
          <w:b/>
          <w:i/>
          <w:sz w:val="22"/>
          <w:szCs w:val="22"/>
          <w:lang w:eastAsia="es-MX"/>
        </w:rPr>
        <w:t>Las dependencias y entidades deberán dar trámite a las solicitudes aun cuando la vía en la que fueron presentadas -acceso a datos personales o información pública- no corresponda con la naturaleza de la materia de la misma.</w:t>
      </w:r>
      <w:r w:rsidRPr="0090521E">
        <w:rPr>
          <w:rFonts w:ascii="Palatino Linotype" w:hAnsi="Palatino Linotype"/>
          <w:i/>
          <w:sz w:val="22"/>
          <w:szCs w:val="22"/>
          <w:lang w:eastAsia="es-MX"/>
        </w:rPr>
        <w:t xml:space="preserve"> </w:t>
      </w:r>
      <w:r w:rsidRPr="0090521E">
        <w:rPr>
          <w:rFonts w:ascii="Palatino Linotype" w:hAnsi="Palatino Linotype"/>
          <w:b/>
          <w:i/>
          <w:sz w:val="22"/>
          <w:szCs w:val="22"/>
          <w:lang w:eastAsia="es-MX"/>
        </w:rPr>
        <w:t xml:space="preserve">Todas aquellas solicitudes cuyo objetivo sea allegarse de información pública y que sean ingresadas por la vía de acceso a datos personales, así como el caso contrario, </w:t>
      </w:r>
      <w:r w:rsidRPr="0090521E">
        <w:rPr>
          <w:rFonts w:ascii="Palatino Linotype" w:hAnsi="Palatino Linotype"/>
          <w:b/>
          <w:i/>
          <w:sz w:val="22"/>
          <w:szCs w:val="22"/>
          <w:u w:val="single"/>
          <w:lang w:eastAsia="es-MX"/>
        </w:rPr>
        <w:t>deberán ser tramitadas por las dependencias y entidades de conformidad con la naturaleza de la información de que se trate</w:t>
      </w:r>
      <w:r w:rsidRPr="0090521E">
        <w:rPr>
          <w:rFonts w:ascii="Palatino Linotype" w:hAnsi="Palatino Linotype"/>
          <w:b/>
          <w:i/>
          <w:sz w:val="22"/>
          <w:szCs w:val="22"/>
          <w:lang w:eastAsia="es-MX"/>
        </w:rPr>
        <w:t>, sin necesidad de que el particular requiera presentar una nueva solicitud.</w:t>
      </w:r>
    </w:p>
    <w:p w:rsidR="0058261C" w:rsidRPr="0090521E" w:rsidRDefault="0058261C" w:rsidP="0058261C">
      <w:pPr>
        <w:tabs>
          <w:tab w:val="left" w:pos="7655"/>
        </w:tabs>
        <w:spacing w:before="100" w:beforeAutospacing="1" w:after="100" w:afterAutospacing="1"/>
        <w:ind w:left="851" w:right="900"/>
        <w:jc w:val="both"/>
        <w:rPr>
          <w:rFonts w:ascii="Palatino Linotype" w:hAnsi="Palatino Linotype"/>
          <w:b/>
          <w:i/>
          <w:sz w:val="22"/>
          <w:szCs w:val="22"/>
          <w:lang w:eastAsia="es-MX"/>
        </w:rPr>
      </w:pPr>
    </w:p>
    <w:p w:rsidR="0058261C" w:rsidRPr="0090521E" w:rsidRDefault="0058261C" w:rsidP="0058261C">
      <w:pPr>
        <w:tabs>
          <w:tab w:val="left" w:pos="7655"/>
        </w:tabs>
        <w:spacing w:before="100" w:beforeAutospacing="1" w:after="100" w:afterAutospacing="1"/>
        <w:ind w:left="851" w:right="900"/>
        <w:jc w:val="both"/>
        <w:rPr>
          <w:rFonts w:ascii="Palatino Linotype" w:hAnsi="Palatino Linotype"/>
          <w:i/>
          <w:lang w:eastAsia="es-MX"/>
        </w:rPr>
      </w:pPr>
      <w:r w:rsidRPr="0090521E">
        <w:rPr>
          <w:rFonts w:ascii="Palatino Linotype" w:hAnsi="Palatino Linotype"/>
          <w:i/>
          <w:sz w:val="22"/>
          <w:szCs w:val="22"/>
          <w:lang w:eastAsia="es-MX"/>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w:t>
      </w:r>
      <w:r w:rsidRPr="0090521E">
        <w:rPr>
          <w:rFonts w:ascii="Palatino Linotype" w:hAnsi="Palatino Linotype"/>
          <w:i/>
          <w:sz w:val="22"/>
          <w:szCs w:val="22"/>
          <w:lang w:eastAsia="es-MX"/>
        </w:rPr>
        <w:lastRenderedPageBreak/>
        <w:t xml:space="preserve">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sidRPr="0090521E">
        <w:rPr>
          <w:rFonts w:ascii="Palatino Linotype" w:hAnsi="Palatino Linotype"/>
          <w:b/>
          <w:i/>
          <w:sz w:val="22"/>
          <w:szCs w:val="22"/>
          <w:lang w:eastAsia="es-MX"/>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90521E">
        <w:rPr>
          <w:rFonts w:ascii="Palatino Linotype" w:hAnsi="Palatino Linotype"/>
          <w:i/>
          <w:sz w:val="22"/>
          <w:szCs w:val="22"/>
          <w:lang w:eastAsia="es-MX"/>
        </w:rPr>
        <w:t>.”</w:t>
      </w:r>
      <w:r w:rsidR="004D073A">
        <w:rPr>
          <w:rFonts w:ascii="Palatino Linotype" w:hAnsi="Palatino Linotype"/>
          <w:i/>
          <w:sz w:val="22"/>
          <w:szCs w:val="22"/>
          <w:lang w:eastAsia="es-MX"/>
        </w:rPr>
        <w:t xml:space="preserve"> (Sic)</w:t>
      </w:r>
    </w:p>
    <w:p w:rsidR="0058261C" w:rsidRDefault="0058261C" w:rsidP="0058261C">
      <w:pPr>
        <w:spacing w:before="240" w:after="240" w:line="360" w:lineRule="auto"/>
        <w:contextualSpacing/>
        <w:jc w:val="both"/>
        <w:rPr>
          <w:rFonts w:ascii="Palatino Linotype" w:hAnsi="Palatino Linotype" w:cs="Segoe UI"/>
        </w:rPr>
      </w:pPr>
    </w:p>
    <w:p w:rsidR="0058261C" w:rsidRDefault="0058261C" w:rsidP="0058261C">
      <w:pPr>
        <w:spacing w:before="100" w:beforeAutospacing="1" w:after="100" w:afterAutospacing="1" w:line="360" w:lineRule="auto"/>
        <w:jc w:val="both"/>
        <w:rPr>
          <w:rFonts w:ascii="Palatino Linotype" w:hAnsi="Palatino Linotype"/>
        </w:rPr>
      </w:pPr>
      <w:r>
        <w:rPr>
          <w:rFonts w:ascii="Palatino Linotype" w:hAnsi="Palatino Linotype"/>
          <w:lang w:eastAsia="es-MX"/>
        </w:rPr>
        <w:t>Ahora,</w:t>
      </w:r>
      <w:r w:rsidRPr="006265CF">
        <w:rPr>
          <w:rFonts w:ascii="Palatino Linotype" w:hAnsi="Palatino Linotype"/>
          <w:lang w:eastAsia="es-MX"/>
        </w:rPr>
        <w:t xml:space="preserve"> si de conformidad el artículo 1 de la Ley antes referida, la misma tiene por objeto garantizar la protección de los datos personales que se encuentren en posesión de los suj</w:t>
      </w:r>
      <w:r>
        <w:rPr>
          <w:rFonts w:ascii="Palatino Linotype" w:hAnsi="Palatino Linotype"/>
          <w:lang w:eastAsia="es-MX"/>
        </w:rPr>
        <w:t>etos obligados, resulta que la l</w:t>
      </w:r>
      <w:r w:rsidRPr="006265CF">
        <w:rPr>
          <w:rFonts w:ascii="Palatino Linotype" w:hAnsi="Palatino Linotype"/>
          <w:lang w:eastAsia="es-MX"/>
        </w:rPr>
        <w:t>ey a la que hemos de</w:t>
      </w:r>
      <w:r>
        <w:rPr>
          <w:rFonts w:ascii="Palatino Linotype" w:hAnsi="Palatino Linotype"/>
          <w:lang w:eastAsia="es-MX"/>
        </w:rPr>
        <w:t xml:space="preserve"> estarnos en la resolución del presente recurso</w:t>
      </w:r>
      <w:r w:rsidRPr="006265CF">
        <w:rPr>
          <w:rFonts w:ascii="Palatino Linotype" w:hAnsi="Palatino Linotype"/>
          <w:lang w:eastAsia="es-MX"/>
        </w:rPr>
        <w:t xml:space="preserve"> es la </w:t>
      </w:r>
      <w:r w:rsidRPr="006D7B50">
        <w:rPr>
          <w:rFonts w:ascii="Palatino Linotype" w:hAnsi="Palatino Linotype"/>
        </w:rPr>
        <w:t>Ley de Protección de Datos Personales en Posesión de Sujetos Obligados del Estado de México y Municipios</w:t>
      </w:r>
      <w:r>
        <w:rPr>
          <w:rFonts w:ascii="Palatino Linotype" w:hAnsi="Palatino Linotype"/>
        </w:rPr>
        <w:t>.</w:t>
      </w:r>
    </w:p>
    <w:p w:rsidR="009364C7" w:rsidRPr="00564A8F" w:rsidRDefault="009364C7" w:rsidP="009364C7">
      <w:pPr>
        <w:spacing w:before="240" w:after="240" w:line="360" w:lineRule="auto"/>
        <w:contextualSpacing/>
        <w:jc w:val="both"/>
        <w:rPr>
          <w:rFonts w:ascii="Palatino Linotype" w:hAnsi="Palatino Linotype"/>
        </w:rPr>
      </w:pPr>
      <w:r w:rsidRPr="00564A8F">
        <w:rPr>
          <w:rFonts w:ascii="Palatino Linotype" w:hAnsi="Palatino Linotype" w:cs="Segoe UI"/>
        </w:rPr>
        <w:t xml:space="preserve">Hechas las apuntaciones anteriores, bajo el entendido de la naturaleza de la información solicitada en el presente asunto, </w:t>
      </w:r>
      <w:r w:rsidRPr="00564A8F">
        <w:rPr>
          <w:rFonts w:ascii="Palatino Linotype" w:hAnsi="Palatino Linotype"/>
        </w:rPr>
        <w:t xml:space="preserve">es pertinente dar curso al presente recurso de revisión, </w:t>
      </w:r>
      <w:r w:rsidRPr="00564A8F">
        <w:rPr>
          <w:rStyle w:val="normaltextrun"/>
          <w:rFonts w:ascii="Palatino Linotype" w:hAnsi="Palatino Linotype" w:cs="Segoe UI"/>
          <w:lang w:val="es-MX"/>
        </w:rPr>
        <w:t>dentro de este marco, se advierte que resulta procedente la interposición del recurso, de acuerdo a lo que dispone el artículo</w:t>
      </w:r>
      <w:r w:rsidRPr="00564A8F">
        <w:rPr>
          <w:rStyle w:val="apple-converted-space"/>
          <w:rFonts w:ascii="Palatino Linotype" w:eastAsiaTheme="minorHAnsi" w:hAnsi="Palatino Linotype" w:cs="Segoe UI"/>
          <w:lang w:val="es-MX"/>
        </w:rPr>
        <w:t xml:space="preserve"> 129 </w:t>
      </w:r>
      <w:r w:rsidRPr="00564A8F">
        <w:rPr>
          <w:rStyle w:val="normaltextrun"/>
          <w:rFonts w:ascii="Palatino Linotype" w:hAnsi="Palatino Linotype" w:cs="Segoe UI"/>
          <w:lang w:val="es-MX"/>
        </w:rPr>
        <w:t xml:space="preserve">de </w:t>
      </w:r>
      <w:r w:rsidRPr="00564A8F">
        <w:rPr>
          <w:rFonts w:ascii="Palatino Linotype" w:hAnsi="Palatino Linotype"/>
        </w:rPr>
        <w:t>Ley de Protección de Datos Personales en Posesión de Sujetos Obligados del Estado de México y Municipios</w:t>
      </w:r>
      <w:r w:rsidRPr="00564A8F">
        <w:rPr>
          <w:rStyle w:val="normaltextrun"/>
          <w:rFonts w:ascii="Palatino Linotype" w:hAnsi="Palatino Linotype"/>
        </w:rPr>
        <w:t xml:space="preserve">, </w:t>
      </w:r>
      <w:r w:rsidRPr="00564A8F">
        <w:rPr>
          <w:rStyle w:val="normaltextrun"/>
          <w:rFonts w:ascii="Palatino Linotype" w:hAnsi="Palatino Linotype" w:cs="Segoe UI"/>
          <w:lang w:val="es-MX"/>
        </w:rPr>
        <w:t>ordenamiento legal citado, que a la letra dice:</w:t>
      </w:r>
    </w:p>
    <w:p w:rsidR="009364C7" w:rsidRPr="00564A8F" w:rsidRDefault="009364C7" w:rsidP="009364C7">
      <w:pPr>
        <w:autoSpaceDE w:val="0"/>
        <w:autoSpaceDN w:val="0"/>
        <w:adjustRightInd w:val="0"/>
        <w:spacing w:before="240" w:after="240"/>
        <w:ind w:left="1134" w:right="2175"/>
        <w:jc w:val="both"/>
        <w:rPr>
          <w:rFonts w:ascii="Palatino Linotype" w:eastAsiaTheme="minorEastAsia" w:hAnsi="Palatino Linotype" w:cs="Bookman Old Style"/>
          <w:i/>
          <w:sz w:val="22"/>
          <w:szCs w:val="20"/>
          <w:lang w:val="es-MX"/>
        </w:rPr>
      </w:pPr>
      <w:r w:rsidRPr="00564A8F">
        <w:rPr>
          <w:rStyle w:val="normaltextrun"/>
          <w:rFonts w:ascii="Palatino Linotype" w:hAnsi="Palatino Linotype" w:cs="Segoe UI"/>
          <w:b/>
          <w:bCs/>
          <w:i/>
          <w:iCs/>
          <w:sz w:val="22"/>
          <w:szCs w:val="22"/>
          <w:lang w:val="es-MX"/>
        </w:rPr>
        <w:t>“</w:t>
      </w:r>
      <w:r w:rsidRPr="00564A8F">
        <w:rPr>
          <w:rStyle w:val="normaltextrun"/>
          <w:rFonts w:ascii="Palatino Linotype" w:hAnsi="Palatino Linotype" w:cs="Segoe UI"/>
          <w:bCs/>
          <w:i/>
          <w:sz w:val="22"/>
          <w:szCs w:val="22"/>
          <w:lang w:val="es-MX"/>
        </w:rPr>
        <w:t>Artículo 129. El recurso de revisión procederá en los supuestos siguientes</w:t>
      </w:r>
      <w:r w:rsidRPr="00564A8F">
        <w:rPr>
          <w:rFonts w:ascii="Palatino Linotype" w:eastAsiaTheme="minorEastAsia" w:hAnsi="Palatino Linotype" w:cs="Bookman Old Style"/>
          <w:i/>
          <w:sz w:val="22"/>
          <w:szCs w:val="20"/>
          <w:lang w:val="es-MX"/>
        </w:rPr>
        <w:t>:</w:t>
      </w:r>
    </w:p>
    <w:p w:rsidR="009364C7" w:rsidRPr="00564A8F" w:rsidRDefault="009364C7" w:rsidP="009364C7">
      <w:pPr>
        <w:autoSpaceDE w:val="0"/>
        <w:autoSpaceDN w:val="0"/>
        <w:adjustRightInd w:val="0"/>
        <w:spacing w:before="240" w:after="240"/>
        <w:ind w:left="1134" w:right="902"/>
        <w:jc w:val="both"/>
        <w:rPr>
          <w:rStyle w:val="normaltextrun"/>
          <w:rFonts w:ascii="Palatino Linotype" w:hAnsi="Palatino Linotype" w:cs="Segoe UI"/>
          <w:b/>
          <w:bCs/>
          <w:i/>
          <w:iCs/>
          <w:sz w:val="22"/>
          <w:szCs w:val="22"/>
          <w:lang w:val="es-MX"/>
        </w:rPr>
      </w:pPr>
      <w:r w:rsidRPr="00564A8F">
        <w:rPr>
          <w:rStyle w:val="normaltextrun"/>
          <w:rFonts w:ascii="Palatino Linotype" w:hAnsi="Palatino Linotype" w:cs="Segoe UI"/>
          <w:b/>
          <w:bCs/>
          <w:i/>
          <w:iCs/>
          <w:sz w:val="22"/>
          <w:szCs w:val="22"/>
          <w:lang w:val="es-MX"/>
        </w:rPr>
        <w:t>…</w:t>
      </w:r>
    </w:p>
    <w:p w:rsidR="009364C7" w:rsidRPr="00564A8F" w:rsidRDefault="009364C7" w:rsidP="009364C7">
      <w:pPr>
        <w:autoSpaceDE w:val="0"/>
        <w:autoSpaceDN w:val="0"/>
        <w:adjustRightInd w:val="0"/>
        <w:spacing w:before="240" w:after="240"/>
        <w:ind w:left="1134" w:right="941"/>
        <w:jc w:val="both"/>
        <w:rPr>
          <w:rFonts w:ascii="Palatino Linotype" w:eastAsiaTheme="majorEastAsia" w:hAnsi="Palatino Linotype" w:cs="Segoe UI"/>
          <w:b/>
          <w:i/>
          <w:sz w:val="22"/>
          <w:szCs w:val="20"/>
          <w:lang w:val="es-MX"/>
        </w:rPr>
      </w:pPr>
      <w:r w:rsidRPr="00564A8F">
        <w:rPr>
          <w:rStyle w:val="eop"/>
          <w:rFonts w:ascii="Palatino Linotype" w:eastAsiaTheme="majorEastAsia" w:hAnsi="Palatino Linotype" w:cs="Segoe UI"/>
          <w:b/>
          <w:i/>
          <w:sz w:val="22"/>
          <w:szCs w:val="20"/>
          <w:lang w:val="es-MX"/>
        </w:rPr>
        <w:t>VI. Se niegue total o parcialmente el acceso, rectificación, cancelación u oposición de datos personales o los derechos relacionados con la materia.</w:t>
      </w:r>
      <w:r w:rsidRPr="00564A8F">
        <w:rPr>
          <w:rStyle w:val="eop"/>
          <w:rFonts w:ascii="Palatino Linotype" w:eastAsiaTheme="majorEastAsia" w:hAnsi="Palatino Linotype" w:cs="Segoe UI"/>
          <w:b/>
          <w:i/>
          <w:sz w:val="22"/>
          <w:szCs w:val="20"/>
          <w:lang w:val="es-MX"/>
        </w:rPr>
        <w:cr/>
      </w:r>
      <w:r w:rsidRPr="00564A8F">
        <w:rPr>
          <w:rStyle w:val="eop"/>
          <w:rFonts w:ascii="Palatino Linotype" w:eastAsiaTheme="minorEastAsia" w:hAnsi="Palatino Linotype" w:cs="Bookman Old Style,Bold"/>
          <w:b/>
          <w:bCs/>
          <w:i/>
          <w:sz w:val="22"/>
          <w:szCs w:val="20"/>
          <w:lang w:val="es-MX"/>
        </w:rPr>
        <w:t>…</w:t>
      </w:r>
      <w:r w:rsidRPr="00564A8F">
        <w:rPr>
          <w:rStyle w:val="eop"/>
          <w:rFonts w:ascii="Palatino Linotype" w:eastAsiaTheme="majorEastAsia" w:hAnsi="Palatino Linotype" w:cs="Segoe UI"/>
          <w:i/>
          <w:sz w:val="22"/>
          <w:szCs w:val="22"/>
          <w:lang w:val="es-MX"/>
        </w:rPr>
        <w:t>(Sic)</w:t>
      </w:r>
    </w:p>
    <w:p w:rsidR="009364C7" w:rsidRPr="00564A8F" w:rsidRDefault="00501D34" w:rsidP="009364C7">
      <w:pPr>
        <w:spacing w:before="240" w:after="240" w:line="360" w:lineRule="auto"/>
        <w:jc w:val="both"/>
        <w:rPr>
          <w:rStyle w:val="normaltextrun"/>
          <w:rFonts w:ascii="Palatino Linotype" w:hAnsi="Palatino Linotype" w:cs="Segoe UI"/>
          <w:lang w:val="es-MX"/>
        </w:rPr>
      </w:pPr>
      <w:r w:rsidRPr="00501D34">
        <w:rPr>
          <w:rStyle w:val="normaltextrun"/>
          <w:rFonts w:ascii="Palatino Linotype" w:hAnsi="Palatino Linotype" w:cs="Segoe UI"/>
          <w:noProof/>
          <w:lang w:val="es-MX" w:eastAsia="es-MX"/>
        </w:rPr>
        <w:lastRenderedPageBreak/>
        <w:drawing>
          <wp:anchor distT="0" distB="0" distL="114300" distR="114300" simplePos="0" relativeHeight="251681792" behindDoc="1" locked="0" layoutInCell="1" allowOverlap="1" wp14:anchorId="056D9D45" wp14:editId="593704DB">
            <wp:simplePos x="0" y="0"/>
            <wp:positionH relativeFrom="column">
              <wp:posOffset>389890</wp:posOffset>
            </wp:positionH>
            <wp:positionV relativeFrom="paragraph">
              <wp:posOffset>1417955</wp:posOffset>
            </wp:positionV>
            <wp:extent cx="4676775" cy="3905250"/>
            <wp:effectExtent l="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1D34">
        <w:rPr>
          <w:rStyle w:val="normaltextrun"/>
          <w:rFonts w:ascii="Palatino Linotype" w:hAnsi="Palatino Linotype" w:cs="Segoe UI"/>
          <w:noProof/>
          <w:lang w:val="es-MX" w:eastAsia="es-MX"/>
        </w:rPr>
        <w:drawing>
          <wp:anchor distT="0" distB="0" distL="114300" distR="114300" simplePos="0" relativeHeight="251680768" behindDoc="1" locked="0" layoutInCell="1" allowOverlap="1" wp14:anchorId="322A8D95" wp14:editId="25865E6E">
            <wp:simplePos x="0" y="0"/>
            <wp:positionH relativeFrom="column">
              <wp:posOffset>-209550</wp:posOffset>
            </wp:positionH>
            <wp:positionV relativeFrom="paragraph">
              <wp:posOffset>-1028700</wp:posOffset>
            </wp:positionV>
            <wp:extent cx="1695450" cy="10287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64C7" w:rsidRPr="00564A8F">
        <w:rPr>
          <w:rStyle w:val="normaltextrun"/>
          <w:rFonts w:ascii="Palatino Linotype" w:hAnsi="Palatino Linotype" w:cs="Segoe UI"/>
          <w:lang w:val="es-MX"/>
        </w:rPr>
        <w:t>Por consiguiente, y de acuerdo a las causales de procedencia de los Recursos de Revisión y conforme a los actos impugnados manifestados po</w:t>
      </w:r>
      <w:r w:rsidR="00787F3A">
        <w:rPr>
          <w:rStyle w:val="normaltextrun"/>
          <w:rFonts w:ascii="Palatino Linotype" w:hAnsi="Palatino Linotype" w:cs="Segoe UI"/>
          <w:lang w:val="es-MX"/>
        </w:rPr>
        <w:t>r la</w:t>
      </w:r>
      <w:r w:rsidR="009364C7" w:rsidRPr="00564A8F">
        <w:rPr>
          <w:rStyle w:val="normaltextrun"/>
          <w:rFonts w:ascii="Palatino Linotype" w:hAnsi="Palatino Linotype" w:cs="Segoe UI"/>
          <w:lang w:val="es-MX"/>
        </w:rPr>
        <w:t xml:space="preserve"> recurrente, resulta aplicable la prevista en la fracción VI. Esto es, toda vez que la parte recurrente en forma sintética refiere como inconformidad que el Sujeto Obligado no le dio trámite a su solicitud.</w:t>
      </w:r>
    </w:p>
    <w:p w:rsidR="009364C7" w:rsidRPr="004D073A" w:rsidRDefault="009364C7" w:rsidP="004D073A">
      <w:pPr>
        <w:spacing w:before="240" w:after="240" w:line="360" w:lineRule="auto"/>
        <w:jc w:val="both"/>
        <w:rPr>
          <w:rFonts w:ascii="Palatino Linotype" w:hAnsi="Palatino Linotype" w:cs="Arial"/>
          <w:lang w:val="es-MX"/>
        </w:rPr>
      </w:pPr>
      <w:r w:rsidRPr="00564A8F">
        <w:rPr>
          <w:rFonts w:ascii="Palatino Linotype" w:hAnsi="Palatino Linotype" w:cs="Arial"/>
          <w:lang w:val="es-MX"/>
        </w:rPr>
        <w:t xml:space="preserve">En conclusión, se cubrieron los requisitos de </w:t>
      </w:r>
      <w:proofErr w:type="spellStart"/>
      <w:r w:rsidRPr="00564A8F">
        <w:rPr>
          <w:rFonts w:ascii="Palatino Linotype" w:hAnsi="Palatino Linotype" w:cs="Arial"/>
          <w:lang w:val="es-MX"/>
        </w:rPr>
        <w:t>procedibilidad</w:t>
      </w:r>
      <w:proofErr w:type="spellEnd"/>
      <w:r w:rsidRPr="00564A8F">
        <w:rPr>
          <w:rFonts w:ascii="Palatino Linotype" w:hAnsi="Palatino Linotype" w:cs="Arial"/>
          <w:lang w:val="es-MX"/>
        </w:rPr>
        <w:t xml:space="preserve"> y de oportunidad que requiere la Ley en la materia para el análisis del recurso de revisión.</w:t>
      </w:r>
    </w:p>
    <w:p w:rsidR="006B3D7A" w:rsidRDefault="009364C7" w:rsidP="0058261C">
      <w:pPr>
        <w:spacing w:before="240" w:after="240" w:line="360" w:lineRule="auto"/>
        <w:jc w:val="both"/>
        <w:rPr>
          <w:rFonts w:ascii="Palatino Linotype" w:hAnsi="Palatino Linotype" w:cs="Arial"/>
          <w:lang w:val="es-MX"/>
        </w:rPr>
      </w:pPr>
      <w:r w:rsidRPr="004D073A">
        <w:rPr>
          <w:rFonts w:ascii="Palatino Linotype" w:hAnsi="Palatino Linotype" w:cs="Arial"/>
          <w:b/>
          <w:lang w:val="es-MX"/>
        </w:rPr>
        <w:t xml:space="preserve">Cuarto. Materia de la revisión. </w:t>
      </w:r>
      <w:r w:rsidRPr="004D073A">
        <w:rPr>
          <w:rFonts w:ascii="Palatino Linotype" w:hAnsi="Palatino Linotype" w:cs="Arial"/>
          <w:lang w:val="es-MX"/>
        </w:rPr>
        <w:t>Como consecuencia de la revisión hecha a las constancias que obran en el expediente electrónico, es que se advirtió que el tema sobre el cual ha de pronunciar</w:t>
      </w:r>
      <w:r w:rsidR="006B3D7A" w:rsidRPr="004D073A">
        <w:rPr>
          <w:rFonts w:ascii="Palatino Linotype" w:hAnsi="Palatino Linotype" w:cs="Arial"/>
          <w:lang w:val="es-MX"/>
        </w:rPr>
        <w:t>se este Instituto versará la contestación a la interrogante:</w:t>
      </w:r>
    </w:p>
    <w:p w:rsidR="006B3D7A" w:rsidRPr="00C62E6B" w:rsidRDefault="00221297" w:rsidP="006B3D7A">
      <w:pPr>
        <w:pStyle w:val="Prrafodelista"/>
        <w:numPr>
          <w:ilvl w:val="0"/>
          <w:numId w:val="31"/>
        </w:numPr>
        <w:spacing w:before="240" w:after="240" w:line="360" w:lineRule="auto"/>
        <w:jc w:val="both"/>
        <w:rPr>
          <w:rFonts w:ascii="Palatino Linotype" w:hAnsi="Palatino Linotype" w:cs="Arial"/>
          <w:sz w:val="24"/>
        </w:rPr>
      </w:pPr>
      <w:r>
        <w:rPr>
          <w:rFonts w:ascii="Palatino Linotype" w:hAnsi="Palatino Linotype" w:cs="Arial"/>
          <w:b/>
          <w:sz w:val="24"/>
        </w:rPr>
        <w:t xml:space="preserve"> ¿LOS AGRAVIOS DEL RECURRENTE LOGRAN DESVIRTUAR LA DETERMINACIÓN DEL SUJETO OBLIGADO QUE DECLARÓ QUE UNA CARPETA DE INVESTIGACION EN CURSO</w:t>
      </w:r>
      <w:r w:rsidR="003333AA">
        <w:rPr>
          <w:rFonts w:ascii="Palatino Linotype" w:hAnsi="Palatino Linotype" w:cs="Arial"/>
          <w:b/>
          <w:sz w:val="24"/>
        </w:rPr>
        <w:t>,</w:t>
      </w:r>
      <w:r>
        <w:rPr>
          <w:rFonts w:ascii="Palatino Linotype" w:hAnsi="Palatino Linotype" w:cs="Arial"/>
          <w:b/>
          <w:sz w:val="24"/>
        </w:rPr>
        <w:t xml:space="preserve"> NO PUEDE SER ACCESIIBLE EN VIA DEL EJERCICIO DEL DERECHO DE ACCESO A DATOS PERONALES?</w:t>
      </w:r>
    </w:p>
    <w:p w:rsidR="00DC63ED" w:rsidRPr="00EA25FD" w:rsidRDefault="009364C7" w:rsidP="00DC63ED">
      <w:pPr>
        <w:spacing w:before="240" w:after="240" w:line="360" w:lineRule="auto"/>
        <w:jc w:val="both"/>
        <w:rPr>
          <w:rFonts w:ascii="Palatino Linotype" w:hAnsi="Palatino Linotype"/>
          <w:lang w:val="es-MX"/>
        </w:rPr>
      </w:pPr>
      <w:r w:rsidRPr="004D073A">
        <w:rPr>
          <w:rFonts w:ascii="Palatino Linotype" w:hAnsi="Palatino Linotype" w:cs="Arial"/>
          <w:b/>
          <w:noProof/>
          <w:lang w:val="es-MX"/>
        </w:rPr>
        <w:t>Quinto</w:t>
      </w:r>
      <w:r w:rsidR="00EF0B34" w:rsidRPr="004D073A">
        <w:rPr>
          <w:rFonts w:ascii="Palatino Linotype" w:hAnsi="Palatino Linotype" w:cs="Arial"/>
          <w:b/>
          <w:noProof/>
          <w:lang w:val="es-MX"/>
        </w:rPr>
        <w:t>.</w:t>
      </w:r>
      <w:r w:rsidR="00283DC1" w:rsidRPr="004D073A">
        <w:rPr>
          <w:rFonts w:ascii="Palatino Linotype" w:hAnsi="Palatino Linotype" w:cs="Arial"/>
          <w:b/>
          <w:noProof/>
          <w:lang w:val="es-MX"/>
        </w:rPr>
        <w:t>analisis y resolución del asunto</w:t>
      </w:r>
      <w:r w:rsidR="00EF0B34" w:rsidRPr="004D073A">
        <w:rPr>
          <w:rFonts w:ascii="Palatino Linotype" w:hAnsi="Palatino Linotype" w:cs="Arial"/>
          <w:b/>
          <w:noProof/>
          <w:lang w:val="es-MX"/>
        </w:rPr>
        <w:t>.</w:t>
      </w:r>
      <w:r w:rsidR="00DC63ED" w:rsidRPr="004D073A">
        <w:rPr>
          <w:rFonts w:ascii="Palatino Linotype" w:hAnsi="Palatino Linotype" w:cs="Arial"/>
          <w:lang w:val="es-MX"/>
        </w:rPr>
        <w:t xml:space="preserve"> Una vez determinada la vía sobre la que versará el presen</w:t>
      </w:r>
      <w:r w:rsidR="00787F3A" w:rsidRPr="004D073A">
        <w:rPr>
          <w:rFonts w:ascii="Palatino Linotype" w:hAnsi="Palatino Linotype" w:cs="Arial"/>
          <w:lang w:val="es-MX"/>
        </w:rPr>
        <w:t>te Recurso y previa revisión del expediente electrónico formado</w:t>
      </w:r>
      <w:r w:rsidR="00DC63ED" w:rsidRPr="004D073A">
        <w:rPr>
          <w:rFonts w:ascii="Palatino Linotype" w:hAnsi="Palatino Linotype" w:cs="Arial"/>
          <w:lang w:val="es-MX"/>
        </w:rPr>
        <w:t xml:space="preserve"> en </w:t>
      </w:r>
      <w:r w:rsidR="00DC63ED" w:rsidRPr="004D073A">
        <w:rPr>
          <w:rFonts w:ascii="Palatino Linotype" w:hAnsi="Palatino Linotype" w:cs="Arial"/>
          <w:b/>
          <w:lang w:val="es-MX"/>
        </w:rPr>
        <w:t>EL SAIMEX</w:t>
      </w:r>
      <w:r w:rsidR="00787F3A" w:rsidRPr="004D073A">
        <w:rPr>
          <w:rFonts w:ascii="Palatino Linotype" w:hAnsi="Palatino Linotype" w:cs="Arial"/>
          <w:lang w:val="es-MX"/>
        </w:rPr>
        <w:t xml:space="preserve"> por motivo</w:t>
      </w:r>
      <w:r w:rsidR="00787F3A">
        <w:rPr>
          <w:rFonts w:ascii="Palatino Linotype" w:hAnsi="Palatino Linotype" w:cs="Arial"/>
          <w:lang w:val="es-MX"/>
        </w:rPr>
        <w:t xml:space="preserve"> de la solicitud de información referida y del recurso</w:t>
      </w:r>
      <w:r w:rsidR="00DC63ED" w:rsidRPr="00EA25FD">
        <w:rPr>
          <w:rFonts w:ascii="Palatino Linotype" w:hAnsi="Palatino Linotype" w:cs="Arial"/>
          <w:lang w:val="es-MX"/>
        </w:rPr>
        <w:t xml:space="preserve"> a que dan origen</w:t>
      </w:r>
      <w:r w:rsidR="00DC63ED" w:rsidRPr="00C91314">
        <w:rPr>
          <w:rFonts w:ascii="Palatino Linotype" w:hAnsi="Palatino Linotype" w:cs="Arial"/>
          <w:lang w:val="es-MX"/>
        </w:rPr>
        <w:t xml:space="preserve">, se advierte que </w:t>
      </w:r>
      <w:r w:rsidR="00352DDD" w:rsidRPr="00C91314">
        <w:rPr>
          <w:rFonts w:ascii="Palatino Linotype" w:hAnsi="Palatino Linotype"/>
          <w:lang w:val="es-MX"/>
        </w:rPr>
        <w:t>la</w:t>
      </w:r>
      <w:r w:rsidR="00DC63ED" w:rsidRPr="00C91314">
        <w:rPr>
          <w:rFonts w:ascii="Palatino Linotype" w:hAnsi="Palatino Linotype"/>
          <w:lang w:val="es-MX"/>
        </w:rPr>
        <w:t xml:space="preserve"> recurrente solicitó de la </w:t>
      </w:r>
      <w:r w:rsidR="00DC63ED" w:rsidRPr="00C91314">
        <w:rPr>
          <w:rFonts w:ascii="Palatino Linotype" w:hAnsi="Palatino Linotype"/>
          <w:b/>
          <w:lang w:val="es-ES_tradnl"/>
        </w:rPr>
        <w:t>Fiscalía General de Justicia del Estado de México</w:t>
      </w:r>
      <w:r w:rsidR="00DC63ED" w:rsidRPr="00C91314">
        <w:rPr>
          <w:rFonts w:ascii="Palatino Linotype" w:hAnsi="Palatino Linotype"/>
          <w:lang w:val="es-MX"/>
        </w:rPr>
        <w:t>:</w:t>
      </w:r>
      <w:r w:rsidR="00DC63ED" w:rsidRPr="00EA25FD">
        <w:rPr>
          <w:rFonts w:ascii="Palatino Linotype" w:hAnsi="Palatino Linotype"/>
          <w:lang w:val="es-MX"/>
        </w:rPr>
        <w:t xml:space="preserve"> </w:t>
      </w:r>
    </w:p>
    <w:p w:rsidR="00C62E6B" w:rsidRPr="00C62E6B" w:rsidRDefault="00C62E6B" w:rsidP="00C62E6B">
      <w:pPr>
        <w:pStyle w:val="Prrafodelista"/>
        <w:numPr>
          <w:ilvl w:val="0"/>
          <w:numId w:val="30"/>
        </w:numPr>
        <w:spacing w:before="240" w:after="240" w:line="360" w:lineRule="auto"/>
        <w:jc w:val="both"/>
        <w:rPr>
          <w:rFonts w:ascii="Palatino Linotype" w:hAnsi="Palatino Linotype"/>
        </w:rPr>
      </w:pPr>
      <w:r w:rsidRPr="00C62E6B">
        <w:rPr>
          <w:rFonts w:ascii="Palatino Linotype" w:hAnsi="Palatino Linotype"/>
          <w:b/>
        </w:rPr>
        <w:t>Carpeta de investigación con número</w:t>
      </w:r>
      <w:r w:rsidRPr="00C62E6B">
        <w:rPr>
          <w:rFonts w:ascii="Palatino Linotype" w:hAnsi="Palatino Linotype"/>
        </w:rPr>
        <w:t xml:space="preserve"> </w:t>
      </w:r>
      <w:r w:rsidR="00C92689">
        <w:rPr>
          <w:rFonts w:ascii="Palatino Linotype" w:hAnsi="Palatino Linotype"/>
          <w:b/>
          <w:sz w:val="21"/>
          <w:szCs w:val="21"/>
          <w:lang w:val="es-ES_tradnl"/>
        </w:rPr>
        <w:t>XXXXXXXXXXXXXXXXXXXXXX</w:t>
      </w:r>
    </w:p>
    <w:p w:rsidR="00C62E6B" w:rsidRDefault="00291DEA" w:rsidP="00DC63ED">
      <w:pPr>
        <w:spacing w:before="240" w:after="240" w:line="360" w:lineRule="auto"/>
        <w:jc w:val="both"/>
        <w:rPr>
          <w:rFonts w:ascii="Palatino Linotype" w:hAnsi="Palatino Linotype"/>
          <w:b/>
          <w:lang w:val="es-MX"/>
        </w:rPr>
      </w:pPr>
      <w:r w:rsidRPr="00BC5B19">
        <w:rPr>
          <w:rFonts w:ascii="Palatino Linotype" w:hAnsi="Palatino Linotype" w:cs="Arial"/>
        </w:rPr>
        <w:lastRenderedPageBreak/>
        <w:t xml:space="preserve">Al respecto, </w:t>
      </w:r>
      <w:r w:rsidR="009E63A9" w:rsidRPr="00BC5B19">
        <w:rPr>
          <w:rFonts w:ascii="Palatino Linotype" w:hAnsi="Palatino Linotype"/>
          <w:lang w:val="es-MX"/>
        </w:rPr>
        <w:t xml:space="preserve"> </w:t>
      </w:r>
      <w:r w:rsidR="00DC63ED" w:rsidRPr="00BC5B19">
        <w:rPr>
          <w:rFonts w:ascii="Palatino Linotype" w:hAnsi="Palatino Linotype"/>
          <w:lang w:val="es-MX"/>
        </w:rPr>
        <w:t xml:space="preserve">el </w:t>
      </w:r>
      <w:r w:rsidR="00DC63ED" w:rsidRPr="00BC5B19">
        <w:rPr>
          <w:rFonts w:ascii="Palatino Linotype" w:hAnsi="Palatino Linotype"/>
          <w:b/>
          <w:lang w:val="es-MX"/>
        </w:rPr>
        <w:t>Sujeto Obligado</w:t>
      </w:r>
      <w:r w:rsidR="00BC5B19" w:rsidRPr="00BC5B19">
        <w:rPr>
          <w:rFonts w:ascii="Palatino Linotype" w:hAnsi="Palatino Linotype"/>
          <w:b/>
          <w:lang w:val="es-MX"/>
        </w:rPr>
        <w:t xml:space="preserve"> refirió  </w:t>
      </w:r>
      <w:r w:rsidR="00C62E6B">
        <w:rPr>
          <w:rFonts w:ascii="Palatino Linotype" w:hAnsi="Palatino Linotype"/>
          <w:b/>
          <w:lang w:val="es-MX"/>
        </w:rPr>
        <w:t xml:space="preserve">la imposibilidad de otorgar el acceso a la carpeta referida en amparo de las siguientes premisas: </w:t>
      </w:r>
    </w:p>
    <w:p w:rsidR="00C62E6B" w:rsidRPr="00F60A95" w:rsidRDefault="009F3090" w:rsidP="00C62E6B">
      <w:pPr>
        <w:pStyle w:val="Prrafodelista"/>
        <w:numPr>
          <w:ilvl w:val="0"/>
          <w:numId w:val="32"/>
        </w:numPr>
        <w:spacing w:before="240" w:after="240" w:line="360" w:lineRule="auto"/>
        <w:jc w:val="both"/>
        <w:rPr>
          <w:rFonts w:ascii="Palatino Linotype" w:hAnsi="Palatino Linotype"/>
          <w:b/>
          <w:sz w:val="24"/>
        </w:rPr>
      </w:pPr>
      <w:r w:rsidRPr="00F60A95">
        <w:rPr>
          <w:rFonts w:ascii="Palatino Linotype" w:hAnsi="Palatino Linotype"/>
          <w:sz w:val="24"/>
        </w:rPr>
        <w:t xml:space="preserve">Que con fundamento en los artículos 1, 4 y 163 de la Ley de Transparencia y Acceso a la Información Pública del Estado de México y Municipios, hace de su conocimiento que de acuerdo a lo informado por el Fiscal Especializado de Homicidios Zona Oriente, Servidor Público Habilitado, fue localizada la Carpeta de Investigación número </w:t>
      </w:r>
      <w:r w:rsidR="00C92689">
        <w:rPr>
          <w:rFonts w:ascii="Palatino Linotype" w:hAnsi="Palatino Linotype"/>
          <w:b/>
          <w:sz w:val="21"/>
          <w:szCs w:val="21"/>
          <w:lang w:val="es-ES_tradnl"/>
        </w:rPr>
        <w:t>XXXXXXXXXXXXXXXXXXXXXX</w:t>
      </w:r>
      <w:r w:rsidRPr="00F60A95">
        <w:rPr>
          <w:rFonts w:ascii="Palatino Linotype" w:hAnsi="Palatino Linotype"/>
          <w:sz w:val="24"/>
        </w:rPr>
        <w:t>, en trámite para su integración en la Fiscalía a su cargo.</w:t>
      </w:r>
    </w:p>
    <w:p w:rsidR="009F3090" w:rsidRPr="009F3090" w:rsidRDefault="009F3090" w:rsidP="00C62E6B">
      <w:pPr>
        <w:pStyle w:val="Prrafodelista"/>
        <w:numPr>
          <w:ilvl w:val="0"/>
          <w:numId w:val="32"/>
        </w:numPr>
        <w:spacing w:before="240" w:after="240" w:line="360" w:lineRule="auto"/>
        <w:jc w:val="both"/>
        <w:rPr>
          <w:rFonts w:ascii="Palatino Linotype" w:hAnsi="Palatino Linotype"/>
          <w:b/>
          <w:sz w:val="24"/>
        </w:rPr>
      </w:pPr>
      <w:r w:rsidRPr="009F3090">
        <w:rPr>
          <w:rFonts w:ascii="Palatino Linotype" w:hAnsi="Palatino Linotype"/>
          <w:sz w:val="24"/>
        </w:rPr>
        <w:t xml:space="preserve">Que para acceder a la información que obra en la Carpeta de Investigación que requiere, es un requisito de </w:t>
      </w:r>
      <w:proofErr w:type="spellStart"/>
      <w:r w:rsidRPr="009F3090">
        <w:rPr>
          <w:rFonts w:ascii="Palatino Linotype" w:hAnsi="Palatino Linotype"/>
          <w:sz w:val="24"/>
        </w:rPr>
        <w:t>procedibilidad</w:t>
      </w:r>
      <w:proofErr w:type="spellEnd"/>
      <w:r w:rsidRPr="009F3090">
        <w:rPr>
          <w:rFonts w:ascii="Palatino Linotype" w:hAnsi="Palatino Linotype"/>
          <w:sz w:val="24"/>
        </w:rPr>
        <w:t xml:space="preserve"> que usted o su representante, acrediten su personalidad jurídica ante el Agente del Ministerio Público de la Fiscalía Especializada de Homicidios Zona Oriente</w:t>
      </w:r>
      <w:r>
        <w:rPr>
          <w:rFonts w:ascii="Palatino Linotype" w:hAnsi="Palatino Linotype"/>
          <w:sz w:val="24"/>
        </w:rPr>
        <w:t>.</w:t>
      </w:r>
    </w:p>
    <w:p w:rsidR="009F3090" w:rsidRPr="009F3090" w:rsidRDefault="009F3090" w:rsidP="00C62E6B">
      <w:pPr>
        <w:pStyle w:val="Prrafodelista"/>
        <w:numPr>
          <w:ilvl w:val="0"/>
          <w:numId w:val="32"/>
        </w:numPr>
        <w:spacing w:before="240" w:after="240" w:line="360" w:lineRule="auto"/>
        <w:jc w:val="both"/>
        <w:rPr>
          <w:rFonts w:ascii="Palatino Linotype" w:hAnsi="Palatino Linotype"/>
          <w:b/>
          <w:sz w:val="28"/>
        </w:rPr>
      </w:pPr>
      <w:r w:rsidRPr="009F3090">
        <w:rPr>
          <w:rFonts w:ascii="Palatino Linotype" w:hAnsi="Palatino Linotype"/>
          <w:sz w:val="24"/>
        </w:rPr>
        <w:t>Que es en este lugar en el que podrá examinar en su carácter de ofendida, los avances de la investigación o solicitar las copias que requiere, directamente ante la autoridad ministerial que conoce del asunto y no a través de la Unidad de Transparencia; ya que el servidor público diverso</w:t>
      </w:r>
      <w:r>
        <w:rPr>
          <w:rFonts w:ascii="Palatino Linotype" w:hAnsi="Palatino Linotype"/>
          <w:sz w:val="24"/>
        </w:rPr>
        <w:t>.</w:t>
      </w:r>
    </w:p>
    <w:p w:rsidR="009F3090" w:rsidRPr="00A000CF" w:rsidRDefault="009F3090" w:rsidP="00C62E6B">
      <w:pPr>
        <w:pStyle w:val="Prrafodelista"/>
        <w:numPr>
          <w:ilvl w:val="0"/>
          <w:numId w:val="32"/>
        </w:numPr>
        <w:spacing w:before="240" w:after="240" w:line="360" w:lineRule="auto"/>
        <w:jc w:val="both"/>
        <w:rPr>
          <w:rFonts w:ascii="Palatino Linotype" w:hAnsi="Palatino Linotype"/>
          <w:b/>
          <w:sz w:val="24"/>
          <w:szCs w:val="24"/>
        </w:rPr>
      </w:pPr>
      <w:r w:rsidRPr="00A000CF">
        <w:rPr>
          <w:rFonts w:ascii="Palatino Linotype" w:hAnsi="Palatino Linotype"/>
          <w:sz w:val="24"/>
          <w:szCs w:val="24"/>
        </w:rPr>
        <w:t>Lo anterior es así, en virtud de que se actualiza lo dispuesto por los artículos 106 y 218 del Código Nacional de Procedimientos Penales [transcripción de los numerales]</w:t>
      </w:r>
    </w:p>
    <w:p w:rsidR="00C62E6B" w:rsidRPr="00A35573" w:rsidRDefault="00501D34" w:rsidP="00501D34">
      <w:pPr>
        <w:pStyle w:val="Prrafodelista"/>
        <w:numPr>
          <w:ilvl w:val="0"/>
          <w:numId w:val="32"/>
        </w:numPr>
        <w:spacing w:before="240" w:after="240" w:line="360" w:lineRule="auto"/>
        <w:jc w:val="both"/>
        <w:rPr>
          <w:rFonts w:ascii="Palatino Linotype" w:hAnsi="Palatino Linotype"/>
          <w:b/>
          <w:sz w:val="32"/>
        </w:rPr>
      </w:pPr>
      <w:r w:rsidRPr="00501D34">
        <w:rPr>
          <w:rFonts w:ascii="Palatino Linotype" w:hAnsi="Palatino Linotype"/>
          <w:b/>
          <w:noProof/>
          <w:sz w:val="24"/>
          <w:lang w:eastAsia="es-MX"/>
        </w:rPr>
        <w:lastRenderedPageBreak/>
        <w:drawing>
          <wp:anchor distT="0" distB="0" distL="114300" distR="114300" simplePos="0" relativeHeight="251683840" behindDoc="1" locked="0" layoutInCell="1" allowOverlap="1" wp14:anchorId="29B0EC58" wp14:editId="0367C18A">
            <wp:simplePos x="0" y="0"/>
            <wp:positionH relativeFrom="column">
              <wp:posOffset>-152400</wp:posOffset>
            </wp:positionH>
            <wp:positionV relativeFrom="paragraph">
              <wp:posOffset>-1114425</wp:posOffset>
            </wp:positionV>
            <wp:extent cx="1695450" cy="102870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1D34">
        <w:rPr>
          <w:rFonts w:ascii="Palatino Linotype" w:hAnsi="Palatino Linotype"/>
          <w:b/>
          <w:noProof/>
          <w:sz w:val="24"/>
          <w:lang w:eastAsia="es-MX"/>
        </w:rPr>
        <w:drawing>
          <wp:anchor distT="0" distB="0" distL="114300" distR="114300" simplePos="0" relativeHeight="251684864" behindDoc="1" locked="0" layoutInCell="1" allowOverlap="1" wp14:anchorId="449CC955" wp14:editId="4DE4AD67">
            <wp:simplePos x="0" y="0"/>
            <wp:positionH relativeFrom="column">
              <wp:posOffset>447040</wp:posOffset>
            </wp:positionH>
            <wp:positionV relativeFrom="paragraph">
              <wp:posOffset>1332230</wp:posOffset>
            </wp:positionV>
            <wp:extent cx="4676775" cy="3905250"/>
            <wp:effectExtent l="0" t="0" r="952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090" w:rsidRPr="009F3090">
        <w:rPr>
          <w:rFonts w:ascii="Palatino Linotype" w:hAnsi="Palatino Linotype"/>
          <w:b/>
          <w:sz w:val="24"/>
        </w:rPr>
        <w:t>Por lo anterior, el sujeto obligado concluye que:</w:t>
      </w:r>
      <w:r w:rsidR="009F3090" w:rsidRPr="009F3090">
        <w:rPr>
          <w:rFonts w:ascii="Palatino Linotype" w:hAnsi="Palatino Linotype"/>
          <w:sz w:val="24"/>
        </w:rPr>
        <w:t xml:space="preserve"> </w:t>
      </w:r>
      <w:r w:rsidR="009F3090" w:rsidRPr="009F3090">
        <w:rPr>
          <w:rFonts w:ascii="Palatino Linotype" w:hAnsi="Palatino Linotype"/>
          <w:i/>
          <w:sz w:val="24"/>
        </w:rPr>
        <w:t>“</w:t>
      </w:r>
      <w:r w:rsidR="009F3090">
        <w:rPr>
          <w:rFonts w:ascii="Palatino Linotype" w:hAnsi="Palatino Linotype"/>
          <w:i/>
          <w:sz w:val="24"/>
        </w:rPr>
        <w:t>…</w:t>
      </w:r>
      <w:r w:rsidR="009F3090" w:rsidRPr="009F3090">
        <w:rPr>
          <w:rFonts w:ascii="Palatino Linotype" w:hAnsi="Palatino Linotype"/>
          <w:i/>
          <w:sz w:val="24"/>
        </w:rPr>
        <w:t>se advierte que en ningún caso se podrá hacer referencia o comunicar a terceros no legitimados la información confidencial relativa a sujetos del procedimiento penal; asimismo, se advierte que todos los documentos, independientemente de su contenido o naturaleza, los objetos, los registros de voz e imágenes o cosas que estén relacionados, son estrictamente reservados.”</w:t>
      </w:r>
    </w:p>
    <w:p w:rsidR="00291DEA" w:rsidRPr="00EA25FD" w:rsidRDefault="00DC63ED" w:rsidP="00291DEA">
      <w:pPr>
        <w:spacing w:before="240" w:after="240" w:line="360" w:lineRule="auto"/>
        <w:jc w:val="both"/>
        <w:rPr>
          <w:rFonts w:ascii="Palatino Linotype" w:hAnsi="Palatino Linotype"/>
        </w:rPr>
      </w:pPr>
      <w:r w:rsidRPr="00BD4599">
        <w:rPr>
          <w:rFonts w:ascii="Palatino Linotype" w:hAnsi="Palatino Linotype"/>
          <w:lang w:val="es-MX"/>
        </w:rPr>
        <w:t>Inconforme con la</w:t>
      </w:r>
      <w:r w:rsidRPr="00EA25FD">
        <w:rPr>
          <w:rFonts w:ascii="Palatino Linotype" w:hAnsi="Palatino Linotype"/>
          <w:lang w:val="es-MX"/>
        </w:rPr>
        <w:t xml:space="preserve"> respuesta que recayó a la solicitud de información</w:t>
      </w:r>
      <w:r w:rsidRPr="00EA25FD">
        <w:rPr>
          <w:rFonts w:ascii="Palatino Linotype" w:hAnsi="Palatino Linotype"/>
          <w:b/>
          <w:lang w:val="es-MX"/>
        </w:rPr>
        <w:t xml:space="preserve">, </w:t>
      </w:r>
      <w:r w:rsidR="00352DDD" w:rsidRPr="00EA25FD">
        <w:rPr>
          <w:rFonts w:ascii="Palatino Linotype" w:hAnsi="Palatino Linotype"/>
          <w:lang w:val="es-MX"/>
        </w:rPr>
        <w:t>la</w:t>
      </w:r>
      <w:r w:rsidRPr="00EA25FD">
        <w:rPr>
          <w:rFonts w:ascii="Palatino Linotype" w:hAnsi="Palatino Linotype"/>
          <w:lang w:val="es-MX"/>
        </w:rPr>
        <w:t xml:space="preserve"> ahora recurrente al instaurar el medio</w:t>
      </w:r>
      <w:r w:rsidR="00291DEA" w:rsidRPr="00EA25FD">
        <w:rPr>
          <w:rFonts w:ascii="Palatino Linotype" w:hAnsi="Palatino Linotype"/>
          <w:lang w:val="es-MX"/>
        </w:rPr>
        <w:t xml:space="preserve"> </w:t>
      </w:r>
      <w:r w:rsidRPr="00EA25FD">
        <w:rPr>
          <w:rFonts w:ascii="Palatino Linotype" w:hAnsi="Palatino Linotype"/>
          <w:lang w:val="es-MX"/>
        </w:rPr>
        <w:t xml:space="preserve">de defensa </w:t>
      </w:r>
      <w:r w:rsidR="00BC5B19">
        <w:rPr>
          <w:rFonts w:ascii="Palatino Linotype" w:hAnsi="Palatino Linotype"/>
          <w:lang w:val="es-MX"/>
        </w:rPr>
        <w:t>que se analiza</w:t>
      </w:r>
      <w:r w:rsidR="00291DEA" w:rsidRPr="00EA25FD">
        <w:rPr>
          <w:rFonts w:ascii="Palatino Linotype" w:hAnsi="Palatino Linotype"/>
          <w:lang w:val="es-MX"/>
        </w:rPr>
        <w:t xml:space="preserve"> </w:t>
      </w:r>
      <w:r w:rsidRPr="00EA25FD">
        <w:rPr>
          <w:rFonts w:ascii="Palatino Linotype" w:hAnsi="Palatino Linotype"/>
          <w:lang w:val="es-MX"/>
        </w:rPr>
        <w:t xml:space="preserve">señala como motivos de inconformidad </w:t>
      </w:r>
      <w:r w:rsidR="00291DEA" w:rsidRPr="00EA25FD">
        <w:rPr>
          <w:rFonts w:ascii="Palatino Linotype" w:hAnsi="Palatino Linotype"/>
          <w:lang w:val="es-MX"/>
        </w:rPr>
        <w:t>“</w:t>
      </w:r>
      <w:r w:rsidR="00F60A95">
        <w:rPr>
          <w:rFonts w:ascii="Palatino Linotype" w:hAnsi="Palatino Linotype"/>
          <w:lang w:val="es-MX"/>
        </w:rPr>
        <w:t>…</w:t>
      </w:r>
      <w:r w:rsidR="00F60A95" w:rsidRPr="00F60A95">
        <w:rPr>
          <w:rFonts w:ascii="Palatino Linotype" w:hAnsi="Palatino Linotype"/>
          <w:i/>
        </w:rPr>
        <w:t>Como persona que me involucra en el asunto como parte ofendida, y acreditando la personalidad solicito me entreguen la información</w:t>
      </w:r>
      <w:r w:rsidR="00BC5B19">
        <w:rPr>
          <w:rFonts w:ascii="Palatino Linotype" w:hAnsi="Palatino Linotype"/>
          <w:i/>
        </w:rPr>
        <w:t>”</w:t>
      </w:r>
    </w:p>
    <w:p w:rsidR="000A79E7" w:rsidRDefault="00DC63ED" w:rsidP="000F735C">
      <w:pPr>
        <w:spacing w:before="240" w:after="240" w:line="360" w:lineRule="auto"/>
        <w:jc w:val="both"/>
        <w:rPr>
          <w:rFonts w:ascii="Palatino Linotype" w:hAnsi="Palatino Linotype"/>
          <w:b/>
        </w:rPr>
      </w:pPr>
      <w:r w:rsidRPr="00BD4599">
        <w:rPr>
          <w:rFonts w:ascii="Palatino Linotype" w:hAnsi="Palatino Linotype"/>
        </w:rPr>
        <w:t xml:space="preserve">Posteriormente, el </w:t>
      </w:r>
      <w:r w:rsidRPr="00BD4599">
        <w:rPr>
          <w:rFonts w:ascii="Palatino Linotype" w:hAnsi="Palatino Linotype"/>
          <w:b/>
        </w:rPr>
        <w:t xml:space="preserve">Sujeto Obligado </w:t>
      </w:r>
      <w:r w:rsidR="000A79E7">
        <w:rPr>
          <w:rFonts w:ascii="Palatino Linotype" w:hAnsi="Palatino Linotype"/>
          <w:b/>
        </w:rPr>
        <w:t>en vía de sus alegatos sostiene su postura inicial y los argumentos que dan origen a la negativa de dar acceso a la carpeta de investigación referida.</w:t>
      </w:r>
    </w:p>
    <w:p w:rsidR="000F735C" w:rsidRPr="009A7B3F" w:rsidRDefault="000F735C" w:rsidP="000F735C">
      <w:pPr>
        <w:pStyle w:val="Prrafodelista"/>
        <w:widowControl w:val="0"/>
        <w:tabs>
          <w:tab w:val="left" w:pos="328"/>
        </w:tabs>
        <w:spacing w:line="360" w:lineRule="auto"/>
        <w:ind w:left="327" w:right="118"/>
        <w:rPr>
          <w:rFonts w:ascii="Palatino Linotype" w:hAnsi="Palatino Linotype"/>
          <w:b/>
          <w:sz w:val="24"/>
          <w:szCs w:val="24"/>
          <w:highlight w:val="green"/>
        </w:rPr>
      </w:pPr>
    </w:p>
    <w:p w:rsidR="00E43DC3" w:rsidRPr="004D073A" w:rsidRDefault="002F152D" w:rsidP="00E43DC3">
      <w:pPr>
        <w:pStyle w:val="Textoindependiente"/>
        <w:spacing w:line="360" w:lineRule="auto"/>
        <w:ind w:right="115"/>
        <w:jc w:val="both"/>
        <w:rPr>
          <w:rFonts w:ascii="Palatino Linotype" w:hAnsi="Palatino Linotype"/>
          <w:sz w:val="24"/>
          <w:szCs w:val="24"/>
          <w:lang w:val="es-MX"/>
        </w:rPr>
      </w:pPr>
      <w:r w:rsidRPr="004D073A">
        <w:rPr>
          <w:rFonts w:ascii="Palatino Linotype" w:hAnsi="Palatino Linotype"/>
          <w:sz w:val="24"/>
          <w:szCs w:val="24"/>
          <w:lang w:val="es-MX"/>
        </w:rPr>
        <w:t>Para dar contestación</w:t>
      </w:r>
      <w:r w:rsidR="00802486" w:rsidRPr="004D073A">
        <w:rPr>
          <w:rFonts w:ascii="Palatino Linotype" w:hAnsi="Palatino Linotype"/>
          <w:sz w:val="24"/>
          <w:szCs w:val="24"/>
          <w:lang w:val="es-MX"/>
        </w:rPr>
        <w:t xml:space="preserve"> al presente asunto</w:t>
      </w:r>
      <w:r w:rsidR="00787F3A" w:rsidRPr="004D073A">
        <w:rPr>
          <w:rFonts w:ascii="Palatino Linotype" w:hAnsi="Palatino Linotype"/>
          <w:sz w:val="24"/>
          <w:szCs w:val="24"/>
          <w:lang w:val="es-MX"/>
        </w:rPr>
        <w:t>, se debe</w:t>
      </w:r>
      <w:r w:rsidRPr="004D073A">
        <w:rPr>
          <w:rFonts w:ascii="Palatino Linotype" w:hAnsi="Palatino Linotype"/>
          <w:sz w:val="24"/>
          <w:szCs w:val="24"/>
          <w:lang w:val="es-MX"/>
        </w:rPr>
        <w:t xml:space="preserve"> partir</w:t>
      </w:r>
      <w:r w:rsidR="00E43DC3" w:rsidRPr="004D073A">
        <w:rPr>
          <w:rFonts w:ascii="Palatino Linotype" w:hAnsi="Palatino Linotype"/>
          <w:sz w:val="24"/>
          <w:szCs w:val="24"/>
          <w:lang w:val="es-MX"/>
        </w:rPr>
        <w:t xml:space="preserve"> </w:t>
      </w:r>
      <w:r w:rsidR="005306AE" w:rsidRPr="004D073A">
        <w:rPr>
          <w:rFonts w:ascii="Palatino Linotype" w:hAnsi="Palatino Linotype"/>
          <w:sz w:val="24"/>
          <w:szCs w:val="24"/>
          <w:lang w:val="es-MX"/>
        </w:rPr>
        <w:t xml:space="preserve">señalando que </w:t>
      </w:r>
      <w:r w:rsidR="00E43DC3" w:rsidRPr="004D073A">
        <w:rPr>
          <w:rFonts w:ascii="Palatino Linotype" w:hAnsi="Palatino Linotype"/>
          <w:sz w:val="24"/>
          <w:szCs w:val="24"/>
          <w:lang w:val="es-MX"/>
        </w:rPr>
        <w:t>el dieciocho de junio de dos mil ocho, se publicó en el Diario Oficial de la Federación el decreto de reforma de los artículos 16, 17, 18, 19, 20, 21 y 22; las fracciones XXI y XXIII del artículo 73; la fracción VII, del artículo 115 y la fracción XIII, del apartado “B” del artículo 123, todos de la Constitución Política de los Estados Unidos Mexicanos, con lo que se incorporó al orden constitucional el sistema procesal penal acusatorio y oral.</w:t>
      </w:r>
    </w:p>
    <w:p w:rsidR="009E67A6" w:rsidRDefault="009E67A6" w:rsidP="001156B9">
      <w:pPr>
        <w:pStyle w:val="Textoindependiente"/>
        <w:spacing w:line="360" w:lineRule="auto"/>
        <w:ind w:right="115"/>
        <w:jc w:val="both"/>
        <w:rPr>
          <w:rFonts w:ascii="Palatino Linotype" w:hAnsi="Palatino Linotype"/>
          <w:color w:val="231F20"/>
          <w:sz w:val="24"/>
          <w:szCs w:val="24"/>
          <w:lang w:val="es-MX"/>
        </w:rPr>
      </w:pPr>
    </w:p>
    <w:p w:rsidR="00E43DC3" w:rsidRDefault="00033512" w:rsidP="00E43DC3">
      <w:pPr>
        <w:pStyle w:val="Textoindependiente"/>
        <w:spacing w:line="360" w:lineRule="auto"/>
        <w:ind w:right="115"/>
        <w:jc w:val="both"/>
        <w:rPr>
          <w:rFonts w:ascii="Palatino Linotype" w:hAnsi="Palatino Linotype"/>
          <w:color w:val="231F20"/>
          <w:sz w:val="24"/>
          <w:szCs w:val="24"/>
          <w:lang w:val="es-MX"/>
        </w:rPr>
      </w:pPr>
      <w:r>
        <w:rPr>
          <w:rFonts w:ascii="Palatino Linotype" w:hAnsi="Palatino Linotype"/>
          <w:color w:val="231F20"/>
          <w:sz w:val="24"/>
          <w:szCs w:val="24"/>
          <w:lang w:val="es-MX"/>
        </w:rPr>
        <w:t>En este sentido, el nuevo</w:t>
      </w:r>
      <w:r w:rsidR="00E43DC3" w:rsidRPr="00E43DC3">
        <w:rPr>
          <w:rFonts w:ascii="Palatino Linotype" w:hAnsi="Palatino Linotype"/>
          <w:color w:val="231F20"/>
          <w:sz w:val="24"/>
          <w:szCs w:val="24"/>
          <w:lang w:val="es-MX"/>
        </w:rPr>
        <w:t xml:space="preserve"> procedimiento penal acusatorio y oral se divide, según</w:t>
      </w:r>
      <w:r w:rsidR="00E43DC3">
        <w:rPr>
          <w:rFonts w:ascii="Palatino Linotype" w:hAnsi="Palatino Linotype"/>
          <w:color w:val="231F20"/>
          <w:sz w:val="24"/>
          <w:szCs w:val="24"/>
          <w:lang w:val="es-MX"/>
        </w:rPr>
        <w:t xml:space="preserve"> </w:t>
      </w:r>
      <w:r w:rsidR="00E43DC3" w:rsidRPr="00E43DC3">
        <w:rPr>
          <w:rFonts w:ascii="Palatino Linotype" w:hAnsi="Palatino Linotype"/>
          <w:color w:val="231F20"/>
          <w:sz w:val="24"/>
          <w:szCs w:val="24"/>
          <w:lang w:val="es-MX"/>
        </w:rPr>
        <w:lastRenderedPageBreak/>
        <w:t xml:space="preserve">lo dispone el </w:t>
      </w:r>
      <w:r w:rsidR="00E43DC3" w:rsidRPr="005306AE">
        <w:rPr>
          <w:rFonts w:ascii="Palatino Linotype" w:hAnsi="Palatino Linotype"/>
          <w:b/>
          <w:color w:val="231F20"/>
          <w:sz w:val="24"/>
          <w:szCs w:val="24"/>
          <w:lang w:val="es-MX"/>
        </w:rPr>
        <w:t>Código Nacional de Procedimientos Penales</w:t>
      </w:r>
      <w:r w:rsidR="00E43DC3" w:rsidRPr="00E43DC3">
        <w:rPr>
          <w:rFonts w:ascii="Palatino Linotype" w:hAnsi="Palatino Linotype"/>
          <w:color w:val="231F20"/>
          <w:sz w:val="24"/>
          <w:szCs w:val="24"/>
          <w:lang w:val="es-MX"/>
        </w:rPr>
        <w:t>, en tres</w:t>
      </w:r>
      <w:r w:rsidR="00E43DC3">
        <w:rPr>
          <w:rFonts w:ascii="Palatino Linotype" w:hAnsi="Palatino Linotype"/>
          <w:color w:val="231F20"/>
          <w:sz w:val="24"/>
          <w:szCs w:val="24"/>
          <w:lang w:val="es-MX"/>
        </w:rPr>
        <w:t xml:space="preserve"> </w:t>
      </w:r>
      <w:r w:rsidR="00E43DC3" w:rsidRPr="00E43DC3">
        <w:rPr>
          <w:rFonts w:ascii="Palatino Linotype" w:hAnsi="Palatino Linotype"/>
          <w:color w:val="231F20"/>
          <w:sz w:val="24"/>
          <w:szCs w:val="24"/>
          <w:lang w:val="es-MX"/>
        </w:rPr>
        <w:t xml:space="preserve">etapas a saber: </w:t>
      </w:r>
    </w:p>
    <w:p w:rsidR="00E43DC3" w:rsidRDefault="00CC767C" w:rsidP="00E43DC3">
      <w:pPr>
        <w:pStyle w:val="Textoindependiente"/>
        <w:spacing w:line="360" w:lineRule="auto"/>
        <w:ind w:left="708" w:right="115"/>
        <w:jc w:val="both"/>
        <w:rPr>
          <w:rFonts w:ascii="Palatino Linotype" w:hAnsi="Palatino Linotype"/>
          <w:color w:val="231F20"/>
          <w:sz w:val="24"/>
          <w:szCs w:val="24"/>
          <w:lang w:val="es-MX"/>
        </w:rPr>
      </w:pPr>
      <w:r>
        <w:rPr>
          <w:rFonts w:ascii="Palatino Linotype" w:hAnsi="Palatino Linotype"/>
          <w:color w:val="231F20"/>
          <w:sz w:val="24"/>
          <w:szCs w:val="24"/>
          <w:lang w:val="es-MX"/>
        </w:rPr>
        <w:t>a) L</w:t>
      </w:r>
      <w:r w:rsidR="00E43DC3" w:rsidRPr="00E43DC3">
        <w:rPr>
          <w:rFonts w:ascii="Palatino Linotype" w:hAnsi="Palatino Linotype"/>
          <w:color w:val="231F20"/>
          <w:sz w:val="24"/>
          <w:szCs w:val="24"/>
          <w:lang w:val="es-MX"/>
        </w:rPr>
        <w:t>a de investig</w:t>
      </w:r>
      <w:r>
        <w:rPr>
          <w:rFonts w:ascii="Palatino Linotype" w:hAnsi="Palatino Linotype"/>
          <w:color w:val="231F20"/>
          <w:sz w:val="24"/>
          <w:szCs w:val="24"/>
          <w:lang w:val="es-MX"/>
        </w:rPr>
        <w:t>ación, inicial y complementaria.</w:t>
      </w:r>
      <w:r w:rsidR="00E43DC3" w:rsidRPr="00E43DC3">
        <w:rPr>
          <w:rFonts w:ascii="Palatino Linotype" w:hAnsi="Palatino Linotype"/>
          <w:color w:val="231F20"/>
          <w:sz w:val="24"/>
          <w:szCs w:val="24"/>
          <w:lang w:val="es-MX"/>
        </w:rPr>
        <w:t xml:space="preserve"> </w:t>
      </w:r>
    </w:p>
    <w:p w:rsidR="00E43DC3" w:rsidRDefault="00CC767C" w:rsidP="00E43DC3">
      <w:pPr>
        <w:pStyle w:val="Textoindependiente"/>
        <w:spacing w:line="360" w:lineRule="auto"/>
        <w:ind w:left="708" w:right="115"/>
        <w:jc w:val="both"/>
        <w:rPr>
          <w:rFonts w:ascii="Palatino Linotype" w:hAnsi="Palatino Linotype"/>
          <w:color w:val="231F20"/>
          <w:sz w:val="24"/>
          <w:szCs w:val="24"/>
          <w:lang w:val="es-MX"/>
        </w:rPr>
      </w:pPr>
      <w:r>
        <w:rPr>
          <w:rFonts w:ascii="Palatino Linotype" w:hAnsi="Palatino Linotype"/>
          <w:color w:val="231F20"/>
          <w:sz w:val="24"/>
          <w:szCs w:val="24"/>
          <w:lang w:val="es-MX"/>
        </w:rPr>
        <w:t>b) L</w:t>
      </w:r>
      <w:r w:rsidR="00E43DC3" w:rsidRPr="00E43DC3">
        <w:rPr>
          <w:rFonts w:ascii="Palatino Linotype" w:hAnsi="Palatino Linotype"/>
          <w:color w:val="231F20"/>
          <w:sz w:val="24"/>
          <w:szCs w:val="24"/>
          <w:lang w:val="es-MX"/>
        </w:rPr>
        <w:t>a</w:t>
      </w:r>
      <w:r w:rsidR="00E43DC3">
        <w:rPr>
          <w:rFonts w:ascii="Palatino Linotype" w:hAnsi="Palatino Linotype"/>
          <w:color w:val="231F20"/>
          <w:sz w:val="24"/>
          <w:szCs w:val="24"/>
          <w:lang w:val="es-MX"/>
        </w:rPr>
        <w:t xml:space="preserve"> </w:t>
      </w:r>
      <w:r w:rsidR="00E43DC3" w:rsidRPr="00E43DC3">
        <w:rPr>
          <w:rFonts w:ascii="Palatino Linotype" w:hAnsi="Palatino Linotype"/>
          <w:color w:val="231F20"/>
          <w:sz w:val="24"/>
          <w:szCs w:val="24"/>
          <w:lang w:val="es-MX"/>
        </w:rPr>
        <w:t>interme</w:t>
      </w:r>
      <w:r>
        <w:rPr>
          <w:rFonts w:ascii="Palatino Linotype" w:hAnsi="Palatino Linotype"/>
          <w:color w:val="231F20"/>
          <w:sz w:val="24"/>
          <w:szCs w:val="24"/>
          <w:lang w:val="es-MX"/>
        </w:rPr>
        <w:t>dia o de preparación a juicio.</w:t>
      </w:r>
      <w:r w:rsidR="00E43DC3" w:rsidRPr="00E43DC3">
        <w:rPr>
          <w:rFonts w:ascii="Palatino Linotype" w:hAnsi="Palatino Linotype"/>
          <w:color w:val="231F20"/>
          <w:sz w:val="24"/>
          <w:szCs w:val="24"/>
          <w:lang w:val="es-MX"/>
        </w:rPr>
        <w:t xml:space="preserve"> </w:t>
      </w:r>
    </w:p>
    <w:p w:rsidR="00FD0873" w:rsidRDefault="00CC767C" w:rsidP="00FD0873">
      <w:pPr>
        <w:pStyle w:val="Textoindependiente"/>
        <w:spacing w:line="360" w:lineRule="auto"/>
        <w:ind w:left="708" w:right="115"/>
        <w:jc w:val="both"/>
        <w:rPr>
          <w:rFonts w:ascii="Palatino Linotype" w:hAnsi="Palatino Linotype"/>
          <w:color w:val="231F20"/>
          <w:sz w:val="24"/>
          <w:szCs w:val="24"/>
          <w:lang w:val="es-MX"/>
        </w:rPr>
      </w:pPr>
      <w:r>
        <w:rPr>
          <w:rFonts w:ascii="Palatino Linotype" w:hAnsi="Palatino Linotype"/>
          <w:color w:val="231F20"/>
          <w:sz w:val="24"/>
          <w:szCs w:val="24"/>
          <w:lang w:val="es-MX"/>
        </w:rPr>
        <w:t>c) L</w:t>
      </w:r>
      <w:r w:rsidR="00FD0873">
        <w:rPr>
          <w:rFonts w:ascii="Palatino Linotype" w:hAnsi="Palatino Linotype"/>
          <w:color w:val="231F20"/>
          <w:sz w:val="24"/>
          <w:szCs w:val="24"/>
          <w:lang w:val="es-MX"/>
        </w:rPr>
        <w:t>a de juicio oral.</w:t>
      </w:r>
    </w:p>
    <w:p w:rsidR="00FD0873" w:rsidRDefault="00FD0873" w:rsidP="00FD0873">
      <w:pPr>
        <w:pStyle w:val="Textoindependiente"/>
        <w:spacing w:line="360" w:lineRule="auto"/>
        <w:ind w:left="0" w:right="115"/>
        <w:jc w:val="both"/>
        <w:rPr>
          <w:rFonts w:ascii="Palatino Linotype" w:hAnsi="Palatino Linotype"/>
          <w:color w:val="231F20"/>
          <w:sz w:val="24"/>
          <w:szCs w:val="24"/>
          <w:lang w:val="es-MX"/>
        </w:rPr>
      </w:pPr>
    </w:p>
    <w:p w:rsidR="00372268" w:rsidRDefault="00033512" w:rsidP="00372268">
      <w:pPr>
        <w:pStyle w:val="Textoindependiente"/>
        <w:spacing w:line="360" w:lineRule="auto"/>
        <w:ind w:right="115"/>
        <w:jc w:val="both"/>
        <w:rPr>
          <w:rFonts w:ascii="Palatino Linotype" w:hAnsi="Palatino Linotype"/>
          <w:color w:val="231F20"/>
          <w:sz w:val="24"/>
          <w:szCs w:val="24"/>
          <w:lang w:val="es-MX"/>
        </w:rPr>
      </w:pPr>
      <w:r>
        <w:rPr>
          <w:rFonts w:ascii="Palatino Linotype" w:hAnsi="Palatino Linotype"/>
          <w:color w:val="231F20"/>
          <w:sz w:val="24"/>
          <w:szCs w:val="24"/>
          <w:lang w:val="es-MX"/>
        </w:rPr>
        <w:t>A saber, d</w:t>
      </w:r>
      <w:r w:rsidR="00FD0873" w:rsidRPr="00FD0873">
        <w:rPr>
          <w:rFonts w:ascii="Palatino Linotype" w:hAnsi="Palatino Linotype"/>
          <w:color w:val="231F20"/>
          <w:sz w:val="24"/>
          <w:szCs w:val="24"/>
          <w:lang w:val="es-MX"/>
        </w:rPr>
        <w:t xml:space="preserve">e conformidad con el </w:t>
      </w:r>
      <w:r w:rsidR="00FD0873" w:rsidRPr="0049043C">
        <w:rPr>
          <w:rFonts w:ascii="Palatino Linotype" w:hAnsi="Palatino Linotype"/>
          <w:b/>
          <w:color w:val="231F20"/>
          <w:sz w:val="24"/>
          <w:szCs w:val="24"/>
          <w:lang w:val="es-MX"/>
        </w:rPr>
        <w:t>artículo 211 del código procesal</w:t>
      </w:r>
      <w:r w:rsidR="00FD0873" w:rsidRPr="00FD0873">
        <w:rPr>
          <w:rFonts w:ascii="Palatino Linotype" w:hAnsi="Palatino Linotype"/>
          <w:color w:val="231F20"/>
          <w:sz w:val="24"/>
          <w:szCs w:val="24"/>
          <w:lang w:val="es-MX"/>
        </w:rPr>
        <w:t xml:space="preserve"> en comento </w:t>
      </w:r>
      <w:r w:rsidR="00FD0873" w:rsidRPr="00FD0873">
        <w:rPr>
          <w:rFonts w:ascii="Palatino Linotype" w:hAnsi="Palatino Linotype"/>
          <w:b/>
          <w:color w:val="231F20"/>
          <w:sz w:val="24"/>
          <w:szCs w:val="24"/>
          <w:lang w:val="es-MX"/>
        </w:rPr>
        <w:t>la etapa de investigación en su fase inicial comienza con la presentación de la denuncia</w:t>
      </w:r>
      <w:r w:rsidR="00FD0873" w:rsidRPr="00FD0873">
        <w:rPr>
          <w:rFonts w:ascii="Palatino Linotype" w:hAnsi="Palatino Linotype"/>
          <w:color w:val="231F20"/>
          <w:sz w:val="24"/>
          <w:szCs w:val="24"/>
          <w:lang w:val="es-MX"/>
        </w:rPr>
        <w:t>,</w:t>
      </w:r>
      <w:r w:rsidR="00FD0873">
        <w:rPr>
          <w:rFonts w:ascii="Palatino Linotype" w:hAnsi="Palatino Linotype"/>
          <w:color w:val="231F20"/>
          <w:sz w:val="24"/>
          <w:szCs w:val="24"/>
          <w:lang w:val="es-MX"/>
        </w:rPr>
        <w:t xml:space="preserve"> </w:t>
      </w:r>
      <w:r w:rsidR="00FD0873" w:rsidRPr="00FD0873">
        <w:rPr>
          <w:rFonts w:ascii="Palatino Linotype" w:hAnsi="Palatino Linotype"/>
          <w:color w:val="231F20"/>
          <w:sz w:val="24"/>
          <w:szCs w:val="24"/>
          <w:lang w:val="es-MX"/>
        </w:rPr>
        <w:t>querella u otro requisito equivalente y concluye cuando</w:t>
      </w:r>
      <w:r w:rsidR="00FD0873">
        <w:rPr>
          <w:rFonts w:ascii="Palatino Linotype" w:hAnsi="Palatino Linotype"/>
          <w:color w:val="231F20"/>
          <w:sz w:val="24"/>
          <w:szCs w:val="24"/>
          <w:lang w:val="es-MX"/>
        </w:rPr>
        <w:t xml:space="preserve"> </w:t>
      </w:r>
      <w:r w:rsidR="00FD0873" w:rsidRPr="00FD0873">
        <w:rPr>
          <w:rFonts w:ascii="Palatino Linotype" w:hAnsi="Palatino Linotype"/>
          <w:color w:val="231F20"/>
          <w:sz w:val="24"/>
          <w:szCs w:val="24"/>
          <w:lang w:val="es-MX"/>
        </w:rPr>
        <w:t>el imputado queda a disposición del Juez de control para que se le</w:t>
      </w:r>
      <w:r w:rsidR="00FD0873">
        <w:rPr>
          <w:rFonts w:ascii="Palatino Linotype" w:hAnsi="Palatino Linotype"/>
          <w:color w:val="231F20"/>
          <w:sz w:val="24"/>
          <w:szCs w:val="24"/>
          <w:lang w:val="es-MX"/>
        </w:rPr>
        <w:t xml:space="preserve"> </w:t>
      </w:r>
      <w:r w:rsidR="00FD0873" w:rsidRPr="00FD0873">
        <w:rPr>
          <w:rFonts w:ascii="Palatino Linotype" w:hAnsi="Palatino Linotype"/>
          <w:color w:val="231F20"/>
          <w:sz w:val="24"/>
          <w:szCs w:val="24"/>
          <w:lang w:val="es-MX"/>
        </w:rPr>
        <w:t>formule imputación, mientras que la fase complementaria comprende</w:t>
      </w:r>
      <w:r w:rsidR="00FD0873">
        <w:rPr>
          <w:rFonts w:ascii="Palatino Linotype" w:hAnsi="Palatino Linotype"/>
          <w:color w:val="231F20"/>
          <w:sz w:val="24"/>
          <w:szCs w:val="24"/>
          <w:lang w:val="es-MX"/>
        </w:rPr>
        <w:t xml:space="preserve"> </w:t>
      </w:r>
      <w:r w:rsidR="00FD0873" w:rsidRPr="00FD0873">
        <w:rPr>
          <w:rFonts w:ascii="Palatino Linotype" w:hAnsi="Palatino Linotype"/>
          <w:color w:val="231F20"/>
          <w:sz w:val="24"/>
          <w:szCs w:val="24"/>
          <w:lang w:val="es-MX"/>
        </w:rPr>
        <w:t>desde la formulación de la imputación y se agota una vez que se haya</w:t>
      </w:r>
      <w:r w:rsidR="00FD0873">
        <w:rPr>
          <w:rFonts w:ascii="Palatino Linotype" w:hAnsi="Palatino Linotype"/>
          <w:color w:val="231F20"/>
          <w:sz w:val="24"/>
          <w:szCs w:val="24"/>
          <w:lang w:val="es-MX"/>
        </w:rPr>
        <w:t xml:space="preserve"> </w:t>
      </w:r>
      <w:r w:rsidR="00FD0873" w:rsidRPr="00FD0873">
        <w:rPr>
          <w:rFonts w:ascii="Palatino Linotype" w:hAnsi="Palatino Linotype"/>
          <w:color w:val="231F20"/>
          <w:sz w:val="24"/>
          <w:szCs w:val="24"/>
          <w:lang w:val="es-MX"/>
        </w:rPr>
        <w:t>cerrado la investigación.</w:t>
      </w:r>
      <w:r w:rsidR="00FD0873" w:rsidRPr="00FD0873">
        <w:rPr>
          <w:rFonts w:ascii="Palatino Linotype" w:hAnsi="Palatino Linotype"/>
          <w:color w:val="231F20"/>
          <w:sz w:val="24"/>
          <w:szCs w:val="24"/>
          <w:lang w:val="es-MX"/>
        </w:rPr>
        <w:cr/>
      </w:r>
    </w:p>
    <w:p w:rsidR="00FD0873" w:rsidRDefault="00372268" w:rsidP="00372268">
      <w:pPr>
        <w:pStyle w:val="Textoindependiente"/>
        <w:spacing w:line="360" w:lineRule="auto"/>
        <w:ind w:right="115"/>
        <w:jc w:val="both"/>
        <w:rPr>
          <w:rFonts w:ascii="Palatino Linotype" w:hAnsi="Palatino Linotype"/>
          <w:color w:val="231F20"/>
          <w:sz w:val="24"/>
          <w:szCs w:val="24"/>
          <w:lang w:val="es-MX"/>
        </w:rPr>
      </w:pPr>
      <w:r w:rsidRPr="00372268">
        <w:rPr>
          <w:rFonts w:ascii="Palatino Linotype" w:hAnsi="Palatino Linotype"/>
          <w:color w:val="231F20"/>
          <w:sz w:val="24"/>
          <w:szCs w:val="24"/>
          <w:lang w:val="es-MX"/>
        </w:rPr>
        <w:t>Por su parte, la etapa intermedia comprende desde la formulación de la</w:t>
      </w:r>
      <w:r>
        <w:rPr>
          <w:rFonts w:ascii="Palatino Linotype" w:hAnsi="Palatino Linotype"/>
          <w:color w:val="231F20"/>
          <w:sz w:val="24"/>
          <w:szCs w:val="24"/>
          <w:lang w:val="es-MX"/>
        </w:rPr>
        <w:t xml:space="preserve"> </w:t>
      </w:r>
      <w:r w:rsidRPr="00372268">
        <w:rPr>
          <w:rFonts w:ascii="Palatino Linotype" w:hAnsi="Palatino Linotype"/>
          <w:color w:val="231F20"/>
          <w:sz w:val="24"/>
          <w:szCs w:val="24"/>
          <w:lang w:val="es-MX"/>
        </w:rPr>
        <w:t>acusación hasta el auto de apertura del juicio oral.</w:t>
      </w:r>
    </w:p>
    <w:p w:rsidR="00372268" w:rsidRDefault="00372268" w:rsidP="00372268">
      <w:pPr>
        <w:pStyle w:val="Textoindependiente"/>
        <w:spacing w:line="360" w:lineRule="auto"/>
        <w:ind w:right="115"/>
        <w:jc w:val="both"/>
        <w:rPr>
          <w:rFonts w:ascii="Palatino Linotype" w:hAnsi="Palatino Linotype"/>
          <w:color w:val="231F20"/>
          <w:sz w:val="24"/>
          <w:szCs w:val="24"/>
          <w:lang w:val="es-MX"/>
        </w:rPr>
      </w:pPr>
    </w:p>
    <w:p w:rsidR="009E67A6" w:rsidRDefault="003C23C8" w:rsidP="00372268">
      <w:pPr>
        <w:pStyle w:val="Textoindependiente"/>
        <w:spacing w:line="360" w:lineRule="auto"/>
        <w:ind w:right="115"/>
        <w:jc w:val="both"/>
        <w:rPr>
          <w:rFonts w:ascii="Palatino Linotype" w:hAnsi="Palatino Linotype"/>
          <w:color w:val="231F20"/>
          <w:sz w:val="24"/>
          <w:szCs w:val="24"/>
          <w:lang w:val="es-MX"/>
        </w:rPr>
      </w:pPr>
      <w:r>
        <w:rPr>
          <w:rFonts w:ascii="Palatino Linotype" w:hAnsi="Palatino Linotype"/>
          <w:color w:val="231F20"/>
          <w:sz w:val="24"/>
          <w:szCs w:val="24"/>
          <w:lang w:val="es-MX"/>
        </w:rPr>
        <w:t>Finalmente</w:t>
      </w:r>
      <w:r w:rsidR="0089233A">
        <w:rPr>
          <w:rFonts w:ascii="Palatino Linotype" w:hAnsi="Palatino Linotype"/>
          <w:color w:val="231F20"/>
          <w:sz w:val="24"/>
          <w:szCs w:val="24"/>
          <w:lang w:val="es-MX"/>
        </w:rPr>
        <w:t xml:space="preserve">, </w:t>
      </w:r>
      <w:r w:rsidR="00372268" w:rsidRPr="00372268">
        <w:rPr>
          <w:rFonts w:ascii="Palatino Linotype" w:hAnsi="Palatino Linotype"/>
          <w:color w:val="231F20"/>
          <w:sz w:val="24"/>
          <w:szCs w:val="24"/>
          <w:lang w:val="es-MX"/>
        </w:rPr>
        <w:t>la etapa de juicio oral comprende desde que se recibe el</w:t>
      </w:r>
      <w:r w:rsidR="00372268">
        <w:rPr>
          <w:rFonts w:ascii="Palatino Linotype" w:hAnsi="Palatino Linotype"/>
          <w:color w:val="231F20"/>
          <w:sz w:val="24"/>
          <w:szCs w:val="24"/>
          <w:lang w:val="es-MX"/>
        </w:rPr>
        <w:t xml:space="preserve"> </w:t>
      </w:r>
      <w:r w:rsidR="00372268" w:rsidRPr="00372268">
        <w:rPr>
          <w:rFonts w:ascii="Palatino Linotype" w:hAnsi="Palatino Linotype"/>
          <w:color w:val="231F20"/>
          <w:sz w:val="24"/>
          <w:szCs w:val="24"/>
          <w:lang w:val="es-MX"/>
        </w:rPr>
        <w:t>auto de apertura a juicio hasta que se emite la sentencia.</w:t>
      </w:r>
    </w:p>
    <w:p w:rsidR="009E67A6" w:rsidRDefault="009E67A6" w:rsidP="001156B9">
      <w:pPr>
        <w:pStyle w:val="Textoindependiente"/>
        <w:spacing w:line="360" w:lineRule="auto"/>
        <w:ind w:right="115"/>
        <w:jc w:val="both"/>
        <w:rPr>
          <w:rFonts w:ascii="Palatino Linotype" w:hAnsi="Palatino Linotype"/>
          <w:color w:val="231F20"/>
          <w:sz w:val="24"/>
          <w:szCs w:val="24"/>
          <w:lang w:val="es-MX"/>
        </w:rPr>
      </w:pPr>
    </w:p>
    <w:p w:rsidR="00C53DA6" w:rsidRDefault="00F73D71" w:rsidP="007744E5">
      <w:pPr>
        <w:pStyle w:val="Textoindependiente"/>
        <w:spacing w:line="360" w:lineRule="auto"/>
        <w:ind w:right="115"/>
        <w:jc w:val="both"/>
        <w:rPr>
          <w:rFonts w:ascii="Palatino Linotype" w:hAnsi="Palatino Linotype"/>
          <w:color w:val="231F20"/>
          <w:sz w:val="24"/>
          <w:szCs w:val="24"/>
          <w:lang w:val="es-MX"/>
        </w:rPr>
      </w:pPr>
      <w:r>
        <w:rPr>
          <w:rFonts w:ascii="Palatino Linotype" w:hAnsi="Palatino Linotype"/>
          <w:color w:val="231F20"/>
          <w:sz w:val="24"/>
          <w:szCs w:val="24"/>
          <w:lang w:val="es-MX"/>
        </w:rPr>
        <w:t>Por lo anterior, d</w:t>
      </w:r>
      <w:r w:rsidRPr="00F73D71">
        <w:rPr>
          <w:rFonts w:ascii="Palatino Linotype" w:hAnsi="Palatino Linotype"/>
          <w:color w:val="231F20"/>
          <w:sz w:val="24"/>
          <w:szCs w:val="24"/>
          <w:lang w:val="es-MX"/>
        </w:rPr>
        <w:t>e conformidad con la naturaleza misma del nuevo sistema de justicia</w:t>
      </w:r>
      <w:r>
        <w:rPr>
          <w:rFonts w:ascii="Palatino Linotype" w:hAnsi="Palatino Linotype"/>
          <w:color w:val="231F20"/>
          <w:sz w:val="24"/>
          <w:szCs w:val="24"/>
          <w:lang w:val="es-MX"/>
        </w:rPr>
        <w:t xml:space="preserve"> </w:t>
      </w:r>
      <w:r w:rsidRPr="00F73D71">
        <w:rPr>
          <w:rFonts w:ascii="Palatino Linotype" w:hAnsi="Palatino Linotype"/>
          <w:color w:val="231F20"/>
          <w:sz w:val="24"/>
          <w:szCs w:val="24"/>
          <w:lang w:val="es-MX"/>
        </w:rPr>
        <w:t>penal, advertimos que para llegar al dictado de la resolución que</w:t>
      </w:r>
      <w:r>
        <w:rPr>
          <w:rFonts w:ascii="Palatino Linotype" w:hAnsi="Palatino Linotype"/>
          <w:color w:val="231F20"/>
          <w:sz w:val="24"/>
          <w:szCs w:val="24"/>
          <w:lang w:val="es-MX"/>
        </w:rPr>
        <w:t xml:space="preserve">  </w:t>
      </w:r>
      <w:r w:rsidRPr="00F73D71">
        <w:rPr>
          <w:rFonts w:ascii="Palatino Linotype" w:hAnsi="Palatino Linotype"/>
          <w:color w:val="231F20"/>
          <w:sz w:val="24"/>
          <w:szCs w:val="24"/>
          <w:lang w:val="es-MX"/>
        </w:rPr>
        <w:t xml:space="preserve">resuelve la primera instancia, se debe transitar por tres etapas, </w:t>
      </w:r>
      <w:r w:rsidRPr="003333AA">
        <w:rPr>
          <w:rFonts w:ascii="Palatino Linotype" w:hAnsi="Palatino Linotype"/>
          <w:b/>
          <w:color w:val="231F20"/>
          <w:sz w:val="24"/>
          <w:szCs w:val="24"/>
          <w:lang w:val="es-MX"/>
        </w:rPr>
        <w:t>la de investigación,</w:t>
      </w:r>
      <w:r w:rsidRPr="00F73D71">
        <w:rPr>
          <w:rFonts w:ascii="Palatino Linotype" w:hAnsi="Palatino Linotype"/>
          <w:color w:val="231F20"/>
          <w:sz w:val="24"/>
          <w:szCs w:val="24"/>
          <w:lang w:val="es-MX"/>
        </w:rPr>
        <w:t xml:space="preserve"> la intermedia y la de juicio; cada una tiene una finalidad</w:t>
      </w:r>
      <w:r>
        <w:rPr>
          <w:rFonts w:ascii="Palatino Linotype" w:hAnsi="Palatino Linotype"/>
          <w:color w:val="231F20"/>
          <w:sz w:val="24"/>
          <w:szCs w:val="24"/>
          <w:lang w:val="es-MX"/>
        </w:rPr>
        <w:t xml:space="preserve"> </w:t>
      </w:r>
      <w:r w:rsidRPr="00F73D71">
        <w:rPr>
          <w:rFonts w:ascii="Palatino Linotype" w:hAnsi="Palatino Linotype"/>
          <w:color w:val="231F20"/>
          <w:sz w:val="24"/>
          <w:szCs w:val="24"/>
          <w:lang w:val="es-MX"/>
        </w:rPr>
        <w:t xml:space="preserve">específica en el procedimiento, </w:t>
      </w:r>
      <w:r w:rsidRPr="00C53DA6">
        <w:rPr>
          <w:rFonts w:ascii="Palatino Linotype" w:hAnsi="Palatino Linotype"/>
          <w:b/>
          <w:color w:val="231F20"/>
          <w:sz w:val="24"/>
          <w:szCs w:val="24"/>
          <w:lang w:val="es-MX"/>
        </w:rPr>
        <w:t>la primera, la de realizar una investigación tendente a esclarecer el hecho delictuoso con conocimiento e intervención de imputado y bajo la revisión judicial de un juez de control</w:t>
      </w:r>
      <w:r w:rsidRPr="00F73D71">
        <w:rPr>
          <w:rFonts w:ascii="Palatino Linotype" w:hAnsi="Palatino Linotype"/>
          <w:color w:val="231F20"/>
          <w:sz w:val="24"/>
          <w:szCs w:val="24"/>
          <w:lang w:val="es-MX"/>
        </w:rPr>
        <w:t xml:space="preserve">; la segunda, depurar los hechos, </w:t>
      </w:r>
      <w:r w:rsidR="00501D34" w:rsidRPr="00501D34">
        <w:rPr>
          <w:rFonts w:ascii="Palatino Linotype" w:hAnsi="Palatino Linotype"/>
          <w:noProof/>
          <w:color w:val="231F20"/>
          <w:sz w:val="24"/>
          <w:szCs w:val="24"/>
          <w:lang w:val="es-MX" w:eastAsia="es-MX"/>
        </w:rPr>
        <w:lastRenderedPageBreak/>
        <w:drawing>
          <wp:anchor distT="0" distB="0" distL="114300" distR="114300" simplePos="0" relativeHeight="251686912" behindDoc="1" locked="0" layoutInCell="1" allowOverlap="1" wp14:anchorId="7CE6882E" wp14:editId="3303359D">
            <wp:simplePos x="0" y="0"/>
            <wp:positionH relativeFrom="column">
              <wp:posOffset>-123825</wp:posOffset>
            </wp:positionH>
            <wp:positionV relativeFrom="paragraph">
              <wp:posOffset>-1095375</wp:posOffset>
            </wp:positionV>
            <wp:extent cx="1695450" cy="10287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3D71">
        <w:rPr>
          <w:rFonts w:ascii="Palatino Linotype" w:hAnsi="Palatino Linotype"/>
          <w:color w:val="231F20"/>
          <w:sz w:val="24"/>
          <w:szCs w:val="24"/>
          <w:lang w:val="es-MX"/>
        </w:rPr>
        <w:t>resolviendo</w:t>
      </w:r>
      <w:r>
        <w:rPr>
          <w:rFonts w:ascii="Palatino Linotype" w:hAnsi="Palatino Linotype"/>
          <w:color w:val="231F20"/>
          <w:sz w:val="24"/>
          <w:szCs w:val="24"/>
          <w:lang w:val="es-MX"/>
        </w:rPr>
        <w:t xml:space="preserve"> </w:t>
      </w:r>
      <w:r w:rsidRPr="00F73D71">
        <w:rPr>
          <w:rFonts w:ascii="Palatino Linotype" w:hAnsi="Palatino Linotype"/>
          <w:color w:val="231F20"/>
          <w:sz w:val="24"/>
          <w:szCs w:val="24"/>
          <w:lang w:val="es-MX"/>
        </w:rPr>
        <w:t>excepciones o incidencias, revisar acuerdos probatorios, proveer sobre</w:t>
      </w:r>
      <w:r>
        <w:rPr>
          <w:rFonts w:ascii="Palatino Linotype" w:hAnsi="Palatino Linotype"/>
          <w:color w:val="231F20"/>
          <w:sz w:val="24"/>
          <w:szCs w:val="24"/>
          <w:lang w:val="es-MX"/>
        </w:rPr>
        <w:t xml:space="preserve"> </w:t>
      </w:r>
      <w:r w:rsidRPr="00F73D71">
        <w:rPr>
          <w:rFonts w:ascii="Palatino Linotype" w:hAnsi="Palatino Linotype"/>
          <w:color w:val="231F20"/>
          <w:sz w:val="24"/>
          <w:szCs w:val="24"/>
          <w:lang w:val="es-MX"/>
        </w:rPr>
        <w:t>los medios de pruebas ofrecidos por las partes, y emitir el auto de</w:t>
      </w:r>
      <w:r>
        <w:rPr>
          <w:rFonts w:ascii="Palatino Linotype" w:hAnsi="Palatino Linotype"/>
          <w:color w:val="231F20"/>
          <w:sz w:val="24"/>
          <w:szCs w:val="24"/>
          <w:lang w:val="es-MX"/>
        </w:rPr>
        <w:t xml:space="preserve"> </w:t>
      </w:r>
      <w:r w:rsidRPr="00F73D71">
        <w:rPr>
          <w:rFonts w:ascii="Palatino Linotype" w:hAnsi="Palatino Linotype"/>
          <w:color w:val="231F20"/>
          <w:sz w:val="24"/>
          <w:szCs w:val="24"/>
          <w:lang w:val="es-MX"/>
        </w:rPr>
        <w:t>apertura a juicio oral; mientras que la tercera implica el desahogo de los</w:t>
      </w:r>
      <w:r>
        <w:rPr>
          <w:rFonts w:ascii="Palatino Linotype" w:hAnsi="Palatino Linotype"/>
          <w:color w:val="231F20"/>
          <w:sz w:val="24"/>
          <w:szCs w:val="24"/>
          <w:lang w:val="es-MX"/>
        </w:rPr>
        <w:t xml:space="preserve"> </w:t>
      </w:r>
      <w:r w:rsidRPr="00F73D71">
        <w:rPr>
          <w:rFonts w:ascii="Palatino Linotype" w:hAnsi="Palatino Linotype"/>
          <w:color w:val="231F20"/>
          <w:sz w:val="24"/>
          <w:szCs w:val="24"/>
          <w:lang w:val="es-MX"/>
        </w:rPr>
        <w:t>medios de prueba y el dictado de la sentencia.</w:t>
      </w:r>
    </w:p>
    <w:p w:rsidR="007744E5" w:rsidRDefault="00501D34" w:rsidP="007744E5">
      <w:pPr>
        <w:pStyle w:val="Textoindependiente"/>
        <w:spacing w:line="360" w:lineRule="auto"/>
        <w:ind w:right="115"/>
        <w:jc w:val="both"/>
        <w:rPr>
          <w:rFonts w:ascii="Palatino Linotype" w:hAnsi="Palatino Linotype"/>
          <w:color w:val="231F20"/>
          <w:sz w:val="24"/>
          <w:szCs w:val="24"/>
          <w:lang w:val="es-MX"/>
        </w:rPr>
      </w:pPr>
      <w:r w:rsidRPr="00501D34">
        <w:rPr>
          <w:rFonts w:ascii="Palatino Linotype" w:hAnsi="Palatino Linotype"/>
          <w:noProof/>
          <w:color w:val="231F20"/>
          <w:sz w:val="24"/>
          <w:szCs w:val="24"/>
          <w:lang w:val="es-MX" w:eastAsia="es-MX"/>
        </w:rPr>
        <w:drawing>
          <wp:anchor distT="0" distB="0" distL="114300" distR="114300" simplePos="0" relativeHeight="251687936" behindDoc="1" locked="0" layoutInCell="1" allowOverlap="1" wp14:anchorId="70BC51E3" wp14:editId="039E5ECA">
            <wp:simplePos x="0" y="0"/>
            <wp:positionH relativeFrom="column">
              <wp:posOffset>475615</wp:posOffset>
            </wp:positionH>
            <wp:positionV relativeFrom="paragraph">
              <wp:posOffset>117475</wp:posOffset>
            </wp:positionV>
            <wp:extent cx="4676775" cy="3905250"/>
            <wp:effectExtent l="0" t="0" r="952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043C" w:rsidRDefault="0049043C" w:rsidP="00C53DA6">
      <w:pPr>
        <w:pStyle w:val="Textoindependiente"/>
        <w:spacing w:line="360" w:lineRule="auto"/>
        <w:ind w:right="115"/>
        <w:jc w:val="both"/>
        <w:rPr>
          <w:rFonts w:ascii="Palatino Linotype" w:hAnsi="Palatino Linotype"/>
          <w:sz w:val="24"/>
          <w:szCs w:val="24"/>
          <w:lang w:val="es-MX"/>
        </w:rPr>
      </w:pPr>
      <w:r>
        <w:rPr>
          <w:rFonts w:ascii="Palatino Linotype" w:hAnsi="Palatino Linotype"/>
          <w:sz w:val="24"/>
          <w:szCs w:val="24"/>
          <w:lang w:val="es-MX"/>
        </w:rPr>
        <w:t>Así, l</w:t>
      </w:r>
      <w:r w:rsidR="00C53DA6" w:rsidRPr="00C53DA6">
        <w:rPr>
          <w:rFonts w:ascii="Palatino Linotype" w:hAnsi="Palatino Linotype"/>
          <w:sz w:val="24"/>
          <w:szCs w:val="24"/>
          <w:lang w:val="es-MX"/>
        </w:rPr>
        <w:t xml:space="preserve">a </w:t>
      </w:r>
      <w:r w:rsidR="00C53DA6" w:rsidRPr="003333AA">
        <w:rPr>
          <w:rFonts w:ascii="Palatino Linotype" w:hAnsi="Palatino Linotype"/>
          <w:b/>
          <w:sz w:val="24"/>
          <w:szCs w:val="24"/>
          <w:lang w:val="es-MX"/>
        </w:rPr>
        <w:t>etapa de investigación</w:t>
      </w:r>
      <w:r w:rsidR="00C53DA6" w:rsidRPr="00C53DA6">
        <w:rPr>
          <w:rFonts w:ascii="Palatino Linotype" w:hAnsi="Palatino Linotype"/>
          <w:sz w:val="24"/>
          <w:szCs w:val="24"/>
          <w:lang w:val="es-MX"/>
        </w:rPr>
        <w:t xml:space="preserve"> tiene por objeto determinar si hay fundamento para iniciar un proceso penal, mediante la obtención de datos de prueba que permitan sustentar la acusación y garantizar la defensa del indiciado. </w:t>
      </w:r>
    </w:p>
    <w:p w:rsidR="0049043C" w:rsidRDefault="0049043C" w:rsidP="00C53DA6">
      <w:pPr>
        <w:pStyle w:val="Textoindependiente"/>
        <w:spacing w:line="360" w:lineRule="auto"/>
        <w:ind w:right="115"/>
        <w:jc w:val="both"/>
        <w:rPr>
          <w:rFonts w:ascii="Palatino Linotype" w:hAnsi="Palatino Linotype"/>
          <w:sz w:val="24"/>
          <w:szCs w:val="24"/>
          <w:lang w:val="es-MX"/>
        </w:rPr>
      </w:pPr>
    </w:p>
    <w:p w:rsidR="00C53DA6" w:rsidRDefault="00C53DA6" w:rsidP="00C53DA6">
      <w:pPr>
        <w:pStyle w:val="Textoindependiente"/>
        <w:spacing w:line="360" w:lineRule="auto"/>
        <w:ind w:right="115"/>
        <w:jc w:val="both"/>
        <w:rPr>
          <w:rFonts w:ascii="Palatino Linotype" w:hAnsi="Palatino Linotype"/>
          <w:sz w:val="24"/>
          <w:szCs w:val="24"/>
          <w:lang w:val="es-MX"/>
        </w:rPr>
      </w:pPr>
      <w:r w:rsidRPr="00C53DA6">
        <w:rPr>
          <w:rFonts w:ascii="Palatino Linotype" w:hAnsi="Palatino Linotype"/>
          <w:sz w:val="24"/>
          <w:szCs w:val="24"/>
          <w:lang w:val="es-MX"/>
        </w:rPr>
        <w:t xml:space="preserve">Esta etapa deberá iniciar con una denuncia o una querella y estará a cargo —en una primera fase— </w:t>
      </w:r>
      <w:r w:rsidRPr="003333AA">
        <w:rPr>
          <w:rFonts w:ascii="Palatino Linotype" w:hAnsi="Palatino Linotype"/>
          <w:b/>
          <w:sz w:val="24"/>
          <w:szCs w:val="24"/>
          <w:lang w:val="es-MX"/>
        </w:rPr>
        <w:t>del Ministerio Público, así como de la policía actuando bajo su conducción y mando</w:t>
      </w:r>
      <w:r w:rsidRPr="00C53DA6">
        <w:rPr>
          <w:rFonts w:ascii="Palatino Linotype" w:hAnsi="Palatino Linotype"/>
          <w:sz w:val="24"/>
          <w:szCs w:val="24"/>
          <w:lang w:val="es-MX"/>
        </w:rPr>
        <w:t>, como lo dispone el primer párrafo del artículo 21 constitucional</w:t>
      </w:r>
      <w:r>
        <w:rPr>
          <w:rFonts w:ascii="Palatino Linotype" w:hAnsi="Palatino Linotype"/>
          <w:sz w:val="24"/>
          <w:szCs w:val="24"/>
          <w:lang w:val="es-MX"/>
        </w:rPr>
        <w:t xml:space="preserve">. </w:t>
      </w:r>
      <w:r w:rsidRPr="00C53DA6">
        <w:rPr>
          <w:rFonts w:ascii="Palatino Linotype" w:hAnsi="Palatino Linotype"/>
          <w:b/>
          <w:sz w:val="24"/>
          <w:szCs w:val="24"/>
          <w:lang w:val="es-MX"/>
        </w:rPr>
        <w:t xml:space="preserve">Por tanto, cuando el Ministerio Público tenga conocimiento de un hecho que pudiera ser constitutivo de delito, debe promover y dirigir una investigación dentro de la cual realizará las diligencias que considere conducentes para el esclarecimiento de los hechos, las cuales deberán quedar registradas en una </w:t>
      </w:r>
      <w:r w:rsidRPr="00C53DA6">
        <w:rPr>
          <w:rFonts w:ascii="Palatino Linotype" w:hAnsi="Palatino Linotype"/>
          <w:b/>
          <w:sz w:val="24"/>
          <w:szCs w:val="24"/>
          <w:u w:val="single"/>
          <w:lang w:val="es-MX"/>
        </w:rPr>
        <w:t>carpeta de investigación</w:t>
      </w:r>
      <w:r w:rsidR="00165168">
        <w:rPr>
          <w:rFonts w:ascii="Palatino Linotype" w:hAnsi="Palatino Linotype"/>
          <w:b/>
          <w:sz w:val="24"/>
          <w:szCs w:val="24"/>
          <w:u w:val="single"/>
          <w:lang w:val="es-MX"/>
        </w:rPr>
        <w:t xml:space="preserve"> </w:t>
      </w:r>
      <w:r w:rsidR="00165168" w:rsidRPr="001D0292">
        <w:rPr>
          <w:rStyle w:val="Refdenotaalpie"/>
          <w:rFonts w:ascii="Palatino Linotype" w:hAnsi="Palatino Linotype" w:cs="Arial"/>
        </w:rPr>
        <w:footnoteReference w:id="1"/>
      </w:r>
      <w:r w:rsidRPr="00C53DA6">
        <w:rPr>
          <w:rFonts w:ascii="Palatino Linotype" w:hAnsi="Palatino Linotype"/>
          <w:b/>
          <w:sz w:val="24"/>
          <w:szCs w:val="24"/>
          <w:u w:val="single"/>
          <w:lang w:val="es-MX"/>
        </w:rPr>
        <w:t xml:space="preserve"> que para el efecto se integre</w:t>
      </w:r>
      <w:r w:rsidRPr="00C53DA6">
        <w:rPr>
          <w:rFonts w:ascii="Palatino Linotype" w:hAnsi="Palatino Linotype"/>
          <w:b/>
          <w:sz w:val="24"/>
          <w:szCs w:val="24"/>
          <w:lang w:val="es-MX"/>
        </w:rPr>
        <w:t>.</w:t>
      </w:r>
      <w:r w:rsidRPr="00C53DA6">
        <w:rPr>
          <w:rStyle w:val="Refdenotaalpie"/>
          <w:rFonts w:ascii="Palatino Linotype" w:hAnsi="Palatino Linotype" w:cs="Arial"/>
        </w:rPr>
        <w:t xml:space="preserve"> </w:t>
      </w:r>
      <w:r w:rsidRPr="001D0292">
        <w:rPr>
          <w:rStyle w:val="Refdenotaalpie"/>
          <w:rFonts w:ascii="Palatino Linotype" w:hAnsi="Palatino Linotype" w:cs="Arial"/>
        </w:rPr>
        <w:footnoteReference w:id="2"/>
      </w:r>
    </w:p>
    <w:p w:rsidR="00C53DA6" w:rsidRDefault="00C53DA6" w:rsidP="001156B9">
      <w:pPr>
        <w:pStyle w:val="Textoindependiente"/>
        <w:spacing w:line="360" w:lineRule="auto"/>
        <w:ind w:right="115"/>
        <w:jc w:val="both"/>
        <w:rPr>
          <w:rFonts w:ascii="Palatino Linotype" w:hAnsi="Palatino Linotype"/>
          <w:sz w:val="24"/>
          <w:szCs w:val="24"/>
          <w:lang w:val="es-MX"/>
        </w:rPr>
      </w:pPr>
    </w:p>
    <w:p w:rsidR="00D06914" w:rsidRDefault="00D06914" w:rsidP="009A7B3F">
      <w:pPr>
        <w:spacing w:line="360" w:lineRule="auto"/>
        <w:jc w:val="both"/>
        <w:rPr>
          <w:rFonts w:ascii="Palatino Linotype" w:hAnsi="Palatino Linotype"/>
        </w:rPr>
      </w:pPr>
      <w:r w:rsidRPr="00D06914">
        <w:rPr>
          <w:rFonts w:ascii="Palatino Linotype" w:hAnsi="Palatino Linotype"/>
        </w:rPr>
        <w:t xml:space="preserve">Ahora bien, para el inicio y desarrollo de la </w:t>
      </w:r>
      <w:r w:rsidR="00F51374">
        <w:rPr>
          <w:rFonts w:ascii="Palatino Linotype" w:hAnsi="Palatino Linotype"/>
        </w:rPr>
        <w:t xml:space="preserve">carpeta de </w:t>
      </w:r>
      <w:r w:rsidR="00221297">
        <w:rPr>
          <w:rFonts w:ascii="Palatino Linotype" w:hAnsi="Palatino Linotype"/>
        </w:rPr>
        <w:t xml:space="preserve">investigación </w:t>
      </w:r>
      <w:r w:rsidRPr="00D06914">
        <w:rPr>
          <w:rFonts w:ascii="Palatino Linotype" w:hAnsi="Palatino Linotype"/>
        </w:rPr>
        <w:t xml:space="preserve"> se requiere del uso de determinado sistema de investigación, además de una serie de actos, </w:t>
      </w:r>
      <w:r w:rsidRPr="00D06914">
        <w:rPr>
          <w:rFonts w:ascii="Palatino Linotype" w:hAnsi="Palatino Linotype"/>
        </w:rPr>
        <w:lastRenderedPageBreak/>
        <w:t>actividades, diligencias y formalidades necesarias para su integración, las cuales deberán seguir una estructura sistemática y coherente</w:t>
      </w:r>
      <w:r w:rsidR="0006226D">
        <w:rPr>
          <w:rFonts w:ascii="Palatino Linotype" w:hAnsi="Palatino Linotype"/>
        </w:rPr>
        <w:t>.</w:t>
      </w:r>
    </w:p>
    <w:p w:rsidR="0006226D" w:rsidRDefault="0006226D" w:rsidP="0006226D">
      <w:pPr>
        <w:spacing w:line="276" w:lineRule="auto"/>
        <w:jc w:val="both"/>
        <w:rPr>
          <w:rFonts w:ascii="Palatino Linotype" w:hAnsi="Palatino Linotype"/>
        </w:rPr>
      </w:pPr>
    </w:p>
    <w:p w:rsidR="005D6520" w:rsidRDefault="0049043C" w:rsidP="00DE3CF7">
      <w:pPr>
        <w:spacing w:line="276" w:lineRule="auto"/>
        <w:jc w:val="both"/>
        <w:rPr>
          <w:rFonts w:ascii="Palatino Linotype" w:hAnsi="Palatino Linotype"/>
        </w:rPr>
      </w:pPr>
      <w:r>
        <w:rPr>
          <w:rFonts w:ascii="Palatino Linotype" w:hAnsi="Palatino Linotype"/>
        </w:rPr>
        <w:t>En términos generales,</w:t>
      </w:r>
      <w:r w:rsidR="003333AA">
        <w:rPr>
          <w:rFonts w:ascii="Palatino Linotype" w:hAnsi="Palatino Linotype"/>
        </w:rPr>
        <w:t xml:space="preserve"> de acuerdo al Código Nacional de Procedimientos Penales</w:t>
      </w:r>
      <w:r>
        <w:rPr>
          <w:rFonts w:ascii="Palatino Linotype" w:hAnsi="Palatino Linotype"/>
        </w:rPr>
        <w:t xml:space="preserve"> el contenido de la Carpeta de Investigación</w:t>
      </w:r>
      <w:r w:rsidR="00C53DA6">
        <w:rPr>
          <w:rFonts w:ascii="Palatino Linotype" w:hAnsi="Palatino Linotype"/>
        </w:rPr>
        <w:t xml:space="preserve"> </w:t>
      </w:r>
      <w:r w:rsidR="0006226D" w:rsidRPr="0006226D">
        <w:rPr>
          <w:rFonts w:ascii="Palatino Linotype" w:hAnsi="Palatino Linotype"/>
        </w:rPr>
        <w:t xml:space="preserve"> estriba en lo siguiente:</w:t>
      </w:r>
    </w:p>
    <w:p w:rsidR="0049043C" w:rsidRPr="0049043C" w:rsidRDefault="0049043C" w:rsidP="00DE3CF7">
      <w:pPr>
        <w:spacing w:line="276" w:lineRule="auto"/>
        <w:jc w:val="both"/>
        <w:rPr>
          <w:rFonts w:ascii="Palatino Linotype" w:hAnsi="Palatino Linotype"/>
          <w:sz w:val="12"/>
        </w:rPr>
      </w:pPr>
    </w:p>
    <w:p w:rsidR="0006226D" w:rsidRPr="0006226D" w:rsidRDefault="0006226D" w:rsidP="00DE3CF7">
      <w:pPr>
        <w:pStyle w:val="Prrafodelista"/>
        <w:numPr>
          <w:ilvl w:val="0"/>
          <w:numId w:val="27"/>
        </w:numPr>
        <w:rPr>
          <w:rFonts w:ascii="Palatino Linotype" w:hAnsi="Palatino Linotype"/>
          <w:sz w:val="24"/>
        </w:rPr>
      </w:pPr>
      <w:r w:rsidRPr="0006226D">
        <w:rPr>
          <w:rFonts w:ascii="Palatino Linotype" w:hAnsi="Palatino Linotype"/>
          <w:sz w:val="24"/>
        </w:rPr>
        <w:t>Noticia de la comisión de un hecho posiblemente constitutivo de delito, a través de una denuncia o querella.</w:t>
      </w:r>
    </w:p>
    <w:p w:rsidR="0006226D" w:rsidRPr="0006226D" w:rsidRDefault="0006226D" w:rsidP="00DE3CF7">
      <w:pPr>
        <w:rPr>
          <w:rFonts w:ascii="Palatino Linotype" w:hAnsi="Palatino Linotype"/>
          <w:sz w:val="28"/>
        </w:rPr>
      </w:pPr>
    </w:p>
    <w:p w:rsidR="0006226D" w:rsidRPr="0006226D" w:rsidRDefault="0006226D" w:rsidP="00DE3CF7">
      <w:pPr>
        <w:pStyle w:val="Prrafodelista"/>
        <w:numPr>
          <w:ilvl w:val="0"/>
          <w:numId w:val="27"/>
        </w:numPr>
        <w:rPr>
          <w:rFonts w:ascii="Palatino Linotype" w:hAnsi="Palatino Linotype"/>
          <w:sz w:val="24"/>
        </w:rPr>
      </w:pPr>
      <w:r w:rsidRPr="0006226D">
        <w:rPr>
          <w:rFonts w:ascii="Palatino Linotype" w:hAnsi="Palatino Linotype"/>
          <w:sz w:val="24"/>
        </w:rPr>
        <w:t>Función investigadora, ejecutada a través de la orden, preparación y desahogo de los medios probatorios conducentes.</w:t>
      </w:r>
    </w:p>
    <w:p w:rsidR="0006226D" w:rsidRPr="0006226D" w:rsidRDefault="0006226D" w:rsidP="00DE3CF7">
      <w:pPr>
        <w:rPr>
          <w:rFonts w:ascii="Palatino Linotype" w:hAnsi="Palatino Linotype"/>
          <w:sz w:val="28"/>
        </w:rPr>
      </w:pPr>
    </w:p>
    <w:p w:rsidR="0006226D" w:rsidRPr="0006226D" w:rsidRDefault="0006226D" w:rsidP="00DE3CF7">
      <w:pPr>
        <w:pStyle w:val="Prrafodelista"/>
        <w:numPr>
          <w:ilvl w:val="0"/>
          <w:numId w:val="27"/>
        </w:numPr>
        <w:rPr>
          <w:rFonts w:ascii="Palatino Linotype" w:hAnsi="Palatino Linotype"/>
          <w:sz w:val="24"/>
        </w:rPr>
      </w:pPr>
      <w:r w:rsidRPr="0006226D">
        <w:rPr>
          <w:rFonts w:ascii="Palatino Linotype" w:hAnsi="Palatino Linotype"/>
          <w:sz w:val="24"/>
        </w:rPr>
        <w:t>Actuaciones ministeriales, por ejemplo la razón, la constancia o la fe ministerial.</w:t>
      </w:r>
    </w:p>
    <w:p w:rsidR="0006226D" w:rsidRPr="0006226D" w:rsidRDefault="0006226D" w:rsidP="00DE3CF7">
      <w:pPr>
        <w:rPr>
          <w:rFonts w:ascii="Palatino Linotype" w:hAnsi="Palatino Linotype"/>
          <w:sz w:val="28"/>
        </w:rPr>
      </w:pPr>
    </w:p>
    <w:p w:rsidR="0006226D" w:rsidRPr="0006226D" w:rsidRDefault="0006226D" w:rsidP="00DE3CF7">
      <w:pPr>
        <w:pStyle w:val="Prrafodelista"/>
        <w:numPr>
          <w:ilvl w:val="0"/>
          <w:numId w:val="27"/>
        </w:numPr>
        <w:rPr>
          <w:rFonts w:ascii="Palatino Linotype" w:hAnsi="Palatino Linotype"/>
          <w:sz w:val="24"/>
        </w:rPr>
      </w:pPr>
      <w:r w:rsidRPr="0006226D">
        <w:rPr>
          <w:rFonts w:ascii="Palatino Linotype" w:hAnsi="Palatino Linotype"/>
          <w:sz w:val="24"/>
        </w:rPr>
        <w:t xml:space="preserve">Medidas de asistencia o tutela sobre el ofendido o víctima, por ejemplo la reparación del daño, la seguridad o el auxilio de las </w:t>
      </w:r>
      <w:r>
        <w:rPr>
          <w:rFonts w:ascii="Palatino Linotype" w:hAnsi="Palatino Linotype"/>
          <w:sz w:val="24"/>
        </w:rPr>
        <w:t>víc</w:t>
      </w:r>
      <w:r w:rsidRPr="0006226D">
        <w:rPr>
          <w:rFonts w:ascii="Palatino Linotype" w:hAnsi="Palatino Linotype"/>
          <w:sz w:val="24"/>
        </w:rPr>
        <w:t>timas.</w:t>
      </w:r>
    </w:p>
    <w:p w:rsidR="0006226D" w:rsidRPr="0006226D" w:rsidRDefault="0006226D" w:rsidP="00DE3CF7">
      <w:pPr>
        <w:rPr>
          <w:rFonts w:ascii="Palatino Linotype" w:hAnsi="Palatino Linotype"/>
          <w:sz w:val="28"/>
        </w:rPr>
      </w:pPr>
    </w:p>
    <w:p w:rsidR="0006226D" w:rsidRDefault="0006226D" w:rsidP="00DE3CF7">
      <w:pPr>
        <w:pStyle w:val="Prrafodelista"/>
        <w:numPr>
          <w:ilvl w:val="0"/>
          <w:numId w:val="27"/>
        </w:numPr>
        <w:rPr>
          <w:rFonts w:ascii="Palatino Linotype" w:hAnsi="Palatino Linotype"/>
          <w:sz w:val="24"/>
        </w:rPr>
      </w:pPr>
      <w:r w:rsidRPr="0006226D">
        <w:rPr>
          <w:rFonts w:ascii="Palatino Linotype" w:hAnsi="Palatino Linotype"/>
          <w:sz w:val="24"/>
        </w:rPr>
        <w:t>Medidas precautorias, (el arraigo, el aseguramiento, el embargo o el cateo.)</w:t>
      </w:r>
    </w:p>
    <w:p w:rsidR="004C1AD2" w:rsidRPr="004C1AD2" w:rsidRDefault="004C1AD2" w:rsidP="00DE3CF7">
      <w:pPr>
        <w:pStyle w:val="Prrafodelista"/>
        <w:rPr>
          <w:rFonts w:ascii="Palatino Linotype" w:hAnsi="Palatino Linotype"/>
          <w:sz w:val="24"/>
        </w:rPr>
      </w:pPr>
    </w:p>
    <w:p w:rsidR="00A25FDA" w:rsidRPr="00DE3CF7" w:rsidRDefault="00A25FDA" w:rsidP="001F7572">
      <w:pPr>
        <w:spacing w:before="240" w:after="360" w:line="360" w:lineRule="auto"/>
        <w:jc w:val="both"/>
        <w:rPr>
          <w:rFonts w:ascii="Palatino Linotype" w:hAnsi="Palatino Linotype"/>
          <w:sz w:val="2"/>
          <w:szCs w:val="22"/>
          <w:lang w:val="es-MX" w:eastAsia="en-US"/>
        </w:rPr>
      </w:pPr>
    </w:p>
    <w:p w:rsidR="00DE3CF7" w:rsidRPr="00DE3CF7" w:rsidRDefault="0032171D" w:rsidP="00C53DA6">
      <w:pPr>
        <w:spacing w:line="360" w:lineRule="auto"/>
        <w:jc w:val="both"/>
        <w:rPr>
          <w:rFonts w:ascii="Palatino Linotype" w:hAnsi="Palatino Linotype"/>
        </w:rPr>
      </w:pPr>
      <w:r w:rsidRPr="0032171D">
        <w:rPr>
          <w:rFonts w:ascii="Palatino Linotype" w:hAnsi="Palatino Linotype"/>
        </w:rPr>
        <w:t>Así, durante la integ</w:t>
      </w:r>
      <w:r w:rsidR="0049043C">
        <w:rPr>
          <w:rFonts w:ascii="Palatino Linotype" w:hAnsi="Palatino Linotype"/>
        </w:rPr>
        <w:t xml:space="preserve">ración de la </w:t>
      </w:r>
      <w:r w:rsidR="0049043C" w:rsidRPr="0049043C">
        <w:rPr>
          <w:rFonts w:ascii="Palatino Linotype" w:hAnsi="Palatino Linotype"/>
          <w:b/>
        </w:rPr>
        <w:t>Carpeta de Investigación</w:t>
      </w:r>
      <w:r w:rsidRPr="0032171D">
        <w:rPr>
          <w:rFonts w:ascii="Palatino Linotype" w:hAnsi="Palatino Linotype"/>
        </w:rPr>
        <w:t>, el Ministerio Público tiene la obligación y la facultad</w:t>
      </w:r>
      <w:r w:rsidRPr="001D0292">
        <w:rPr>
          <w:rStyle w:val="Refdenotaalpie"/>
          <w:rFonts w:ascii="Palatino Linotype" w:hAnsi="Palatino Linotype" w:cs="Arial"/>
        </w:rPr>
        <w:footnoteReference w:id="3"/>
      </w:r>
      <w:r w:rsidRPr="0032171D">
        <w:rPr>
          <w:rFonts w:ascii="Palatino Linotype" w:hAnsi="Palatino Linotype"/>
        </w:rPr>
        <w:t xml:space="preserve"> de allegarse de los medios probatorios</w:t>
      </w:r>
      <w:r w:rsidRPr="001D0292">
        <w:rPr>
          <w:rStyle w:val="Refdenotaalpie"/>
          <w:rFonts w:ascii="Palatino Linotype" w:hAnsi="Palatino Linotype" w:cs="Arial"/>
        </w:rPr>
        <w:footnoteReference w:id="4"/>
      </w:r>
      <w:r w:rsidRPr="0032171D">
        <w:rPr>
          <w:rFonts w:ascii="Palatino Linotype" w:hAnsi="Palatino Linotype"/>
        </w:rPr>
        <w:t xml:space="preserve"> necesarios y conducentes para la investigación de los hechos posiblemente constitutivos de delito, y en su caso para la integración del cuerpo del delito</w:t>
      </w:r>
      <w:r w:rsidR="00C53DA6">
        <w:rPr>
          <w:rFonts w:ascii="Palatino Linotype" w:hAnsi="Palatino Linotype"/>
        </w:rPr>
        <w:t xml:space="preserve"> y la probable responsabilidad.</w:t>
      </w:r>
    </w:p>
    <w:p w:rsidR="00B614C2" w:rsidRPr="0049043C" w:rsidRDefault="00501D34" w:rsidP="001F7572">
      <w:pPr>
        <w:spacing w:before="240" w:after="360" w:line="360" w:lineRule="auto"/>
        <w:jc w:val="both"/>
        <w:rPr>
          <w:rFonts w:ascii="Palatino Linotype" w:hAnsi="Palatino Linotype"/>
        </w:rPr>
      </w:pPr>
      <w:r w:rsidRPr="00501D34">
        <w:rPr>
          <w:rFonts w:ascii="Palatino Linotype" w:hAnsi="Palatino Linotype"/>
          <w:noProof/>
          <w:lang w:val="es-MX" w:eastAsia="es-MX"/>
        </w:rPr>
        <w:lastRenderedPageBreak/>
        <w:drawing>
          <wp:anchor distT="0" distB="0" distL="114300" distR="114300" simplePos="0" relativeHeight="251689984" behindDoc="1" locked="0" layoutInCell="1" allowOverlap="1" wp14:anchorId="4D2C1F99" wp14:editId="30C51A88">
            <wp:simplePos x="0" y="0"/>
            <wp:positionH relativeFrom="column">
              <wp:posOffset>-152400</wp:posOffset>
            </wp:positionH>
            <wp:positionV relativeFrom="paragraph">
              <wp:posOffset>-1047750</wp:posOffset>
            </wp:positionV>
            <wp:extent cx="1695450" cy="102870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3AA">
        <w:rPr>
          <w:rFonts w:ascii="Palatino Linotype" w:hAnsi="Palatino Linotype"/>
        </w:rPr>
        <w:t xml:space="preserve">Sirve de base normativa a lo anterior </w:t>
      </w:r>
      <w:r w:rsidR="0049043C" w:rsidRPr="0049043C">
        <w:rPr>
          <w:rFonts w:ascii="Palatino Linotype" w:hAnsi="Palatino Linotype"/>
        </w:rPr>
        <w:t>e</w:t>
      </w:r>
      <w:r w:rsidR="00B614C2" w:rsidRPr="0049043C">
        <w:rPr>
          <w:rFonts w:ascii="Palatino Linotype" w:hAnsi="Palatino Linotype"/>
        </w:rPr>
        <w:t>l</w:t>
      </w:r>
      <w:r w:rsidR="003333AA">
        <w:rPr>
          <w:rFonts w:ascii="Palatino Linotype" w:hAnsi="Palatino Linotype"/>
        </w:rPr>
        <w:t xml:space="preserve"> contenido del</w:t>
      </w:r>
      <w:r w:rsidR="00B614C2" w:rsidRPr="0049043C">
        <w:rPr>
          <w:rFonts w:ascii="Palatino Linotype" w:hAnsi="Palatino Linotype"/>
        </w:rPr>
        <w:t xml:space="preserve"> artículo 21, párrafo segundo de la Constitución Política de los Estados Unidos Mexicanos, </w:t>
      </w:r>
      <w:r w:rsidR="003333AA">
        <w:rPr>
          <w:rFonts w:ascii="Palatino Linotype" w:hAnsi="Palatino Linotype"/>
        </w:rPr>
        <w:t xml:space="preserve">que </w:t>
      </w:r>
      <w:r w:rsidR="00B614C2" w:rsidRPr="0049043C">
        <w:rPr>
          <w:rFonts w:ascii="Palatino Linotype" w:hAnsi="Palatino Linotype"/>
        </w:rPr>
        <w:t>prevé:</w:t>
      </w:r>
    </w:p>
    <w:p w:rsidR="00B614C2" w:rsidRDefault="00501D34" w:rsidP="00593BE8">
      <w:pPr>
        <w:spacing w:before="240" w:after="360"/>
        <w:ind w:left="993"/>
        <w:jc w:val="both"/>
      </w:pPr>
      <w:r w:rsidRPr="00501D34">
        <w:rPr>
          <w:rFonts w:ascii="Palatino Linotype" w:hAnsi="Palatino Linotype"/>
          <w:noProof/>
          <w:lang w:val="es-MX" w:eastAsia="es-MX"/>
        </w:rPr>
        <w:drawing>
          <wp:anchor distT="0" distB="0" distL="114300" distR="114300" simplePos="0" relativeHeight="251691008" behindDoc="1" locked="0" layoutInCell="1" allowOverlap="1" wp14:anchorId="58843B88" wp14:editId="63ECA73F">
            <wp:simplePos x="0" y="0"/>
            <wp:positionH relativeFrom="column">
              <wp:posOffset>447040</wp:posOffset>
            </wp:positionH>
            <wp:positionV relativeFrom="paragraph">
              <wp:posOffset>553085</wp:posOffset>
            </wp:positionV>
            <wp:extent cx="4676775" cy="3905250"/>
            <wp:effectExtent l="0" t="0" r="952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614C2">
        <w:t>“</w:t>
      </w:r>
      <w:r w:rsidR="00B614C2" w:rsidRPr="0049043C">
        <w:rPr>
          <w:rFonts w:ascii="Palatino Linotype" w:hAnsi="Palatino Linotype"/>
          <w:i/>
        </w:rPr>
        <w:t xml:space="preserve">Artículo 21… </w:t>
      </w:r>
      <w:r w:rsidR="00B614C2" w:rsidRPr="00CB3E5C">
        <w:rPr>
          <w:rFonts w:ascii="Palatino Linotype" w:hAnsi="Palatino Linotype"/>
          <w:b/>
          <w:i/>
          <w:u w:val="single"/>
        </w:rPr>
        <w:t>El ejercicio de la acción penal ante los tribunales corresponde al ministerio público</w:t>
      </w:r>
      <w:r w:rsidR="00B614C2" w:rsidRPr="0049043C">
        <w:rPr>
          <w:rFonts w:ascii="Palatino Linotype" w:hAnsi="Palatino Linotype"/>
          <w:i/>
        </w:rPr>
        <w:t>. La ley determinará los casos en que los particulares podrán ejercer la acción penal ante la autoridad judicial…”.</w:t>
      </w:r>
    </w:p>
    <w:p w:rsidR="00E21178" w:rsidRDefault="00E21178" w:rsidP="001F7572">
      <w:pPr>
        <w:spacing w:before="240" w:after="360" w:line="360" w:lineRule="auto"/>
        <w:jc w:val="both"/>
        <w:rPr>
          <w:rFonts w:ascii="Palatino Linotype" w:hAnsi="Palatino Linotype"/>
        </w:rPr>
      </w:pPr>
      <w:r w:rsidRPr="00E21178">
        <w:rPr>
          <w:rFonts w:ascii="Palatino Linotype" w:hAnsi="Palatino Linotype"/>
        </w:rPr>
        <w:t>Asimismo, en términos de lo dispuesto en el apartado A del artículo 102 de la CPEUM la investigación y persecución de los delitos corresponde exclusivamente a los agentes del MP.</w:t>
      </w:r>
    </w:p>
    <w:p w:rsidR="00B614C2" w:rsidRPr="00593BE8" w:rsidRDefault="00B614C2" w:rsidP="001F7572">
      <w:pPr>
        <w:spacing w:before="240" w:after="360" w:line="360" w:lineRule="auto"/>
        <w:jc w:val="both"/>
        <w:rPr>
          <w:rFonts w:ascii="Palatino Linotype" w:hAnsi="Palatino Linotype"/>
        </w:rPr>
      </w:pPr>
      <w:r w:rsidRPr="00593BE8">
        <w:rPr>
          <w:rFonts w:ascii="Palatino Linotype" w:hAnsi="Palatino Linotype"/>
        </w:rPr>
        <w:t>Por su parte, los</w:t>
      </w:r>
      <w:r w:rsidR="00E21178">
        <w:rPr>
          <w:rFonts w:ascii="Palatino Linotype" w:hAnsi="Palatino Linotype"/>
        </w:rPr>
        <w:t xml:space="preserve"> artículos 127, 131, fracción </w:t>
      </w:r>
      <w:r w:rsidRPr="00593BE8">
        <w:rPr>
          <w:rFonts w:ascii="Palatino Linotype" w:hAnsi="Palatino Linotype"/>
        </w:rPr>
        <w:t>I</w:t>
      </w:r>
      <w:r w:rsidR="00E21178">
        <w:rPr>
          <w:rFonts w:ascii="Palatino Linotype" w:hAnsi="Palatino Linotype"/>
        </w:rPr>
        <w:t>, V y VI</w:t>
      </w:r>
      <w:r w:rsidRPr="00593BE8">
        <w:rPr>
          <w:rFonts w:ascii="Palatino Linotype" w:hAnsi="Palatino Linotype"/>
        </w:rPr>
        <w:t xml:space="preserve"> del Código Nacional de Procedimientos Penales, disponen:</w:t>
      </w:r>
    </w:p>
    <w:p w:rsidR="00593BE8" w:rsidRPr="00593BE8" w:rsidRDefault="00B614C2" w:rsidP="00593BE8">
      <w:pPr>
        <w:spacing w:before="240" w:after="360"/>
        <w:ind w:left="993"/>
        <w:jc w:val="both"/>
        <w:rPr>
          <w:rFonts w:ascii="Palatino Linotype" w:hAnsi="Palatino Linotype"/>
          <w:i/>
        </w:rPr>
      </w:pPr>
      <w:r>
        <w:t>“</w:t>
      </w:r>
      <w:r w:rsidRPr="00593BE8">
        <w:rPr>
          <w:rFonts w:ascii="Palatino Linotype" w:hAnsi="Palatino Linotype"/>
          <w:i/>
        </w:rPr>
        <w:t xml:space="preserve">Artículo 127. </w:t>
      </w:r>
      <w:r w:rsidRPr="00593BE8">
        <w:rPr>
          <w:rFonts w:ascii="Palatino Linotype" w:hAnsi="Palatino Linotype"/>
          <w:b/>
          <w:i/>
        </w:rPr>
        <w:t>Competencia del Ministerio Público Compete al Ministerio Público conducir la investigación</w:t>
      </w:r>
      <w:r w:rsidRPr="00593BE8">
        <w:rPr>
          <w:rFonts w:ascii="Palatino Linotype" w:hAnsi="Palatino Linotype"/>
          <w:i/>
        </w:rPr>
        <w:t>, coordinar a las Policías y a los servicios periciales durante la investigación, resolver sobre el ejercicio de la acción penal en la forma establecida por la ley y, en su caso, ordenar las diligencias pertinentes y útiles para demostrar, o no, la existencia del delito y la responsabilidad de quien lo cometió o participó en su comisión”.</w:t>
      </w:r>
    </w:p>
    <w:p w:rsidR="00593BE8" w:rsidRPr="00593BE8" w:rsidRDefault="00B614C2" w:rsidP="00593BE8">
      <w:pPr>
        <w:spacing w:before="240" w:after="360"/>
        <w:ind w:left="993"/>
        <w:jc w:val="both"/>
        <w:rPr>
          <w:rFonts w:ascii="Palatino Linotype" w:hAnsi="Palatino Linotype"/>
          <w:i/>
          <w:sz w:val="22"/>
        </w:rPr>
      </w:pPr>
      <w:r w:rsidRPr="00593BE8">
        <w:rPr>
          <w:rFonts w:ascii="Palatino Linotype" w:hAnsi="Palatino Linotype"/>
          <w:i/>
          <w:sz w:val="22"/>
        </w:rPr>
        <w:t>“Artículo 131. Obligaciones del Ministerio Público</w:t>
      </w:r>
    </w:p>
    <w:p w:rsidR="00B614C2" w:rsidRPr="00593BE8" w:rsidRDefault="00B614C2" w:rsidP="00593BE8">
      <w:pPr>
        <w:spacing w:before="240" w:after="360"/>
        <w:ind w:left="993"/>
        <w:jc w:val="both"/>
        <w:rPr>
          <w:rFonts w:ascii="Palatino Linotype" w:hAnsi="Palatino Linotype"/>
          <w:i/>
          <w:sz w:val="22"/>
        </w:rPr>
      </w:pPr>
      <w:r w:rsidRPr="00593BE8">
        <w:rPr>
          <w:rFonts w:ascii="Palatino Linotype" w:hAnsi="Palatino Linotype"/>
          <w:i/>
          <w:sz w:val="22"/>
        </w:rPr>
        <w:t xml:space="preserve"> Para los efectos del presente Código, el Ministerio Público tendrá las siguientes obligaciones:</w:t>
      </w:r>
    </w:p>
    <w:p w:rsidR="00B614C2" w:rsidRPr="00593BE8" w:rsidRDefault="00B614C2" w:rsidP="00593BE8">
      <w:pPr>
        <w:spacing w:before="240" w:after="360"/>
        <w:ind w:left="993"/>
        <w:jc w:val="both"/>
        <w:rPr>
          <w:rFonts w:ascii="Palatino Linotype" w:hAnsi="Palatino Linotype"/>
          <w:i/>
          <w:sz w:val="22"/>
        </w:rPr>
      </w:pPr>
      <w:r w:rsidRPr="00593BE8">
        <w:rPr>
          <w:rFonts w:ascii="Palatino Linotype" w:hAnsi="Palatino Linotype"/>
          <w:i/>
          <w:sz w:val="22"/>
        </w:rPr>
        <w:t>…</w:t>
      </w:r>
    </w:p>
    <w:p w:rsidR="00593BE8" w:rsidRPr="00593BE8" w:rsidRDefault="00593BE8" w:rsidP="00593BE8">
      <w:pPr>
        <w:spacing w:before="240" w:after="360"/>
        <w:ind w:left="993"/>
        <w:jc w:val="both"/>
        <w:rPr>
          <w:rFonts w:ascii="Palatino Linotype" w:hAnsi="Palatino Linotype"/>
          <w:i/>
          <w:sz w:val="22"/>
        </w:rPr>
      </w:pPr>
      <w:r w:rsidRPr="00593BE8">
        <w:rPr>
          <w:rFonts w:ascii="Palatino Linotype" w:hAnsi="Palatino Linotype"/>
          <w:i/>
          <w:sz w:val="22"/>
        </w:rPr>
        <w:t xml:space="preserve">I. </w:t>
      </w:r>
      <w:r w:rsidRPr="00593BE8">
        <w:rPr>
          <w:rFonts w:ascii="Palatino Linotype" w:hAnsi="Palatino Linotype"/>
          <w:b/>
          <w:i/>
          <w:sz w:val="22"/>
        </w:rPr>
        <w:t>Vigilar que en toda investigación de los delitos se cumpla estrictamente con los derechos humanos reconocidos en la Constitución y en los Tratados</w:t>
      </w:r>
      <w:r w:rsidRPr="00593BE8">
        <w:rPr>
          <w:rFonts w:ascii="Palatino Linotype" w:hAnsi="Palatino Linotype"/>
          <w:i/>
          <w:sz w:val="22"/>
        </w:rPr>
        <w:t>;</w:t>
      </w:r>
    </w:p>
    <w:p w:rsidR="00593BE8" w:rsidRPr="00593BE8" w:rsidRDefault="00593BE8" w:rsidP="00593BE8">
      <w:pPr>
        <w:spacing w:before="240" w:after="360"/>
        <w:ind w:left="993"/>
        <w:jc w:val="both"/>
        <w:rPr>
          <w:rFonts w:ascii="Palatino Linotype" w:hAnsi="Palatino Linotype"/>
          <w:i/>
          <w:sz w:val="22"/>
        </w:rPr>
      </w:pPr>
      <w:r w:rsidRPr="00593BE8">
        <w:rPr>
          <w:rFonts w:ascii="Palatino Linotype" w:hAnsi="Palatino Linotype"/>
          <w:b/>
          <w:i/>
          <w:sz w:val="22"/>
        </w:rPr>
        <w:t>V. Iniciar la investigación correspondiente cuando así proceda</w:t>
      </w:r>
      <w:r w:rsidRPr="00593BE8">
        <w:rPr>
          <w:rFonts w:ascii="Palatino Linotype" w:hAnsi="Palatino Linotype"/>
          <w:i/>
          <w:sz w:val="22"/>
        </w:rPr>
        <w:t xml:space="preserve"> y, en su caso, ordenar la recolección de indicios y medios de prueba que deberán servir para sus </w:t>
      </w:r>
      <w:r w:rsidRPr="00593BE8">
        <w:rPr>
          <w:rFonts w:ascii="Palatino Linotype" w:hAnsi="Palatino Linotype"/>
          <w:i/>
          <w:sz w:val="22"/>
        </w:rPr>
        <w:lastRenderedPageBreak/>
        <w:t>respectivas resoluciones y las del Órgano jurisdiccional, así como recabar los elementos necesarios que determinen el daño causado por el delito y la cuantificación del mismo para los efectos de su reparación;</w:t>
      </w:r>
    </w:p>
    <w:p w:rsidR="00593BE8" w:rsidRPr="00593BE8" w:rsidRDefault="00593BE8" w:rsidP="00593BE8">
      <w:pPr>
        <w:spacing w:before="240" w:after="360"/>
        <w:ind w:left="993"/>
        <w:jc w:val="both"/>
        <w:rPr>
          <w:rFonts w:ascii="Palatino Linotype" w:hAnsi="Palatino Linotype"/>
          <w:i/>
          <w:sz w:val="22"/>
        </w:rPr>
      </w:pPr>
      <w:r w:rsidRPr="00593BE8">
        <w:rPr>
          <w:rFonts w:ascii="Palatino Linotype" w:hAnsi="Palatino Linotype"/>
          <w:i/>
          <w:sz w:val="22"/>
        </w:rPr>
        <w:t>…</w:t>
      </w:r>
    </w:p>
    <w:p w:rsidR="00B614C2" w:rsidRPr="00593BE8" w:rsidRDefault="00B614C2" w:rsidP="00593BE8">
      <w:pPr>
        <w:spacing w:before="240" w:after="360"/>
        <w:ind w:left="993"/>
        <w:jc w:val="both"/>
        <w:rPr>
          <w:rFonts w:ascii="Palatino Linotype" w:hAnsi="Palatino Linotype"/>
          <w:i/>
          <w:sz w:val="22"/>
        </w:rPr>
      </w:pPr>
      <w:r w:rsidRPr="00593BE8">
        <w:rPr>
          <w:rFonts w:ascii="Palatino Linotype" w:hAnsi="Palatino Linotype"/>
          <w:i/>
          <w:sz w:val="22"/>
        </w:rPr>
        <w:t>XVI. Ejercer la acción penal cuando proceda…”</w:t>
      </w:r>
    </w:p>
    <w:p w:rsidR="007744E5" w:rsidRPr="00593BE8" w:rsidRDefault="00B614C2" w:rsidP="001F7572">
      <w:pPr>
        <w:spacing w:before="240" w:after="360" w:line="360" w:lineRule="auto"/>
        <w:jc w:val="both"/>
        <w:rPr>
          <w:rFonts w:ascii="Palatino Linotype" w:hAnsi="Palatino Linotype"/>
        </w:rPr>
      </w:pPr>
      <w:r w:rsidRPr="00593BE8">
        <w:rPr>
          <w:rFonts w:ascii="Palatino Linotype" w:hAnsi="Palatino Linotype"/>
        </w:rPr>
        <w:t xml:space="preserve">De conformidad con los preceptos citados, </w:t>
      </w:r>
      <w:r w:rsidRPr="00593BE8">
        <w:rPr>
          <w:rFonts w:ascii="Palatino Linotype" w:hAnsi="Palatino Linotype"/>
          <w:b/>
        </w:rPr>
        <w:t>el ejercicio de la acción penal ante los tribunales es una obligación que corresponde al ministerio público</w:t>
      </w:r>
      <w:r w:rsidRPr="00593BE8">
        <w:rPr>
          <w:rFonts w:ascii="Palatino Linotype" w:hAnsi="Palatino Linotype"/>
        </w:rPr>
        <w:t>. Esta atribución tiene lugar cuando una vez concluida la fase de investigación complementaria si de los antecedentes de la investigación se obtienen medios de prueba idóneos y suficientes que justifiquen la existencia del delito y la responsabilidad penal de la persona imputada, la autoridad ministerial estará en aptitud de ejercer la acción penal correspondiente, lo que material</w:t>
      </w:r>
      <w:r w:rsidR="00593BE8">
        <w:rPr>
          <w:rFonts w:ascii="Palatino Linotype" w:hAnsi="Palatino Linotype"/>
        </w:rPr>
        <w:t>izará a través de la acusación.</w:t>
      </w:r>
    </w:p>
    <w:p w:rsidR="00B614C2" w:rsidRDefault="00207169" w:rsidP="001F7572">
      <w:pPr>
        <w:spacing w:before="240" w:after="360" w:line="360" w:lineRule="auto"/>
        <w:jc w:val="both"/>
      </w:pPr>
      <w:r>
        <w:t xml:space="preserve">Así, </w:t>
      </w:r>
      <w:r w:rsidRPr="00207169">
        <w:rPr>
          <w:rFonts w:ascii="Palatino Linotype" w:hAnsi="Palatino Linotype"/>
          <w:b/>
        </w:rPr>
        <w:t>e</w:t>
      </w:r>
      <w:r w:rsidR="00B614C2" w:rsidRPr="00207169">
        <w:rPr>
          <w:rFonts w:ascii="Palatino Linotype" w:hAnsi="Palatino Linotype"/>
          <w:b/>
        </w:rPr>
        <w:t>l ejercicio de la acción penal exige una investigación previa</w:t>
      </w:r>
      <w:r w:rsidR="00B614C2" w:rsidRPr="00207169">
        <w:rPr>
          <w:rFonts w:ascii="Palatino Linotype" w:hAnsi="Palatino Linotype"/>
        </w:rPr>
        <w:t xml:space="preserve"> del hecho respecto del cual se solicitará la aplicación de la ley; ello lo hace</w:t>
      </w:r>
      <w:r>
        <w:rPr>
          <w:rFonts w:ascii="Palatino Linotype" w:hAnsi="Palatino Linotype"/>
        </w:rPr>
        <w:t xml:space="preserve"> el Ministerio Publico</w:t>
      </w:r>
      <w:r w:rsidR="00B614C2" w:rsidRPr="00207169">
        <w:rPr>
          <w:rFonts w:ascii="Palatino Linotype" w:hAnsi="Palatino Linotype"/>
        </w:rPr>
        <w:t xml:space="preserve"> mediante la búsqueda de datos que acrediten la existencia del delito y la responsabilidad de quien en él participa, todo lo cual se realiza durante la etapa de la averiguación previa.</w:t>
      </w:r>
    </w:p>
    <w:p w:rsidR="00B614C2" w:rsidRPr="00183F50" w:rsidRDefault="00207169" w:rsidP="001F7572">
      <w:pPr>
        <w:spacing w:before="240" w:after="360" w:line="360" w:lineRule="auto"/>
        <w:jc w:val="both"/>
        <w:rPr>
          <w:rFonts w:ascii="Palatino Linotype" w:hAnsi="Palatino Linotype"/>
        </w:rPr>
      </w:pPr>
      <w:r w:rsidRPr="00183F50">
        <w:rPr>
          <w:rFonts w:ascii="Palatino Linotype" w:hAnsi="Palatino Linotype"/>
        </w:rPr>
        <w:t xml:space="preserve">En este </w:t>
      </w:r>
      <w:r w:rsidR="00183F50" w:rsidRPr="00183F50">
        <w:rPr>
          <w:rFonts w:ascii="Palatino Linotype" w:hAnsi="Palatino Linotype"/>
        </w:rPr>
        <w:t>sentido</w:t>
      </w:r>
      <w:r w:rsidRPr="00183F50">
        <w:rPr>
          <w:rFonts w:ascii="Palatino Linotype" w:hAnsi="Palatino Linotype"/>
        </w:rPr>
        <w:t xml:space="preserve">, la Primera Sala de la Suprema Corte de </w:t>
      </w:r>
      <w:r w:rsidR="00183F50" w:rsidRPr="00183F50">
        <w:rPr>
          <w:rFonts w:ascii="Palatino Linotype" w:hAnsi="Palatino Linotype"/>
        </w:rPr>
        <w:t>Justicia</w:t>
      </w:r>
      <w:r w:rsidRPr="00183F50">
        <w:rPr>
          <w:rFonts w:ascii="Palatino Linotype" w:hAnsi="Palatino Linotype"/>
        </w:rPr>
        <w:t xml:space="preserve"> de la </w:t>
      </w:r>
      <w:r w:rsidR="00183F50" w:rsidRPr="00183F50">
        <w:rPr>
          <w:rFonts w:ascii="Palatino Linotype" w:hAnsi="Palatino Linotype"/>
        </w:rPr>
        <w:t xml:space="preserve">Nación </w:t>
      </w:r>
      <w:r w:rsidR="00B614C2" w:rsidRPr="00183F50">
        <w:rPr>
          <w:rFonts w:ascii="Palatino Linotype" w:hAnsi="Palatino Linotype"/>
        </w:rPr>
        <w:t xml:space="preserve">al resolver el amparo en revisión 202/2013, señaló que </w:t>
      </w:r>
      <w:r w:rsidR="00183F50">
        <w:rPr>
          <w:rFonts w:ascii="Palatino Linotype" w:hAnsi="Palatino Linotype"/>
        </w:rPr>
        <w:t xml:space="preserve">“… </w:t>
      </w:r>
      <w:r w:rsidR="00B614C2" w:rsidRPr="00183F50">
        <w:rPr>
          <w:rFonts w:ascii="Palatino Linotype" w:hAnsi="Palatino Linotype"/>
          <w:i/>
        </w:rPr>
        <w:t xml:space="preserve">el objetivo histórico del artículo 21 de la Constitución Federal es asignar la facultad de investigación y persecución del delito a una sola institución, a fin de alcanzar imparcialidad, objetividad y evitar que una multiplicidad de autoridades formen parte de la indagación de los hechos que pudieran o no </w:t>
      </w:r>
      <w:r w:rsidR="00501D34" w:rsidRPr="00501D34">
        <w:rPr>
          <w:rFonts w:ascii="Palatino Linotype" w:hAnsi="Palatino Linotype"/>
          <w:i/>
          <w:noProof/>
          <w:lang w:val="es-MX" w:eastAsia="es-MX"/>
        </w:rPr>
        <w:lastRenderedPageBreak/>
        <w:drawing>
          <wp:anchor distT="0" distB="0" distL="114300" distR="114300" simplePos="0" relativeHeight="251693056" behindDoc="1" locked="0" layoutInCell="1" allowOverlap="1" wp14:anchorId="58764232" wp14:editId="4BD64FC1">
            <wp:simplePos x="0" y="0"/>
            <wp:positionH relativeFrom="column">
              <wp:posOffset>-114300</wp:posOffset>
            </wp:positionH>
            <wp:positionV relativeFrom="paragraph">
              <wp:posOffset>-1123950</wp:posOffset>
            </wp:positionV>
            <wp:extent cx="1695450" cy="10287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14C2" w:rsidRPr="00183F50">
        <w:rPr>
          <w:rFonts w:ascii="Palatino Linotype" w:hAnsi="Palatino Linotype"/>
          <w:i/>
        </w:rPr>
        <w:t>derivar en una conducta antijurídica.</w:t>
      </w:r>
      <w:r w:rsidR="00B614C2" w:rsidRPr="003333AA">
        <w:rPr>
          <w:rFonts w:ascii="Palatino Linotype" w:hAnsi="Palatino Linotype"/>
          <w:i/>
          <w:u w:val="single"/>
        </w:rPr>
        <w:t xml:space="preserve"> </w:t>
      </w:r>
      <w:r w:rsidR="00B614C2" w:rsidRPr="003333AA">
        <w:rPr>
          <w:rFonts w:ascii="Palatino Linotype" w:hAnsi="Palatino Linotype"/>
          <w:b/>
          <w:i/>
          <w:u w:val="single"/>
        </w:rPr>
        <w:t>El ministerio público se concibe entonces como único órgano investigador y acusador y como consecuente representante social en el proceso penal.</w:t>
      </w:r>
      <w:r w:rsidR="00183F50" w:rsidRPr="003333AA">
        <w:rPr>
          <w:rFonts w:ascii="Palatino Linotype" w:hAnsi="Palatino Linotype"/>
          <w:b/>
          <w:i/>
          <w:u w:val="single"/>
        </w:rPr>
        <w:t>”</w:t>
      </w:r>
    </w:p>
    <w:p w:rsidR="007418EB" w:rsidRPr="00652BE5" w:rsidRDefault="00501D34" w:rsidP="001F7572">
      <w:pPr>
        <w:spacing w:before="240" w:after="360" w:line="360" w:lineRule="auto"/>
        <w:jc w:val="both"/>
        <w:rPr>
          <w:rFonts w:ascii="Palatino Linotype" w:hAnsi="Palatino Linotype"/>
          <w:lang w:val="es-MX"/>
        </w:rPr>
      </w:pPr>
      <w:r w:rsidRPr="00501D34">
        <w:rPr>
          <w:rFonts w:ascii="Palatino Linotype" w:hAnsi="Palatino Linotype"/>
          <w:i/>
          <w:noProof/>
          <w:lang w:val="es-MX" w:eastAsia="es-MX"/>
        </w:rPr>
        <w:drawing>
          <wp:anchor distT="0" distB="0" distL="114300" distR="114300" simplePos="0" relativeHeight="251694080" behindDoc="1" locked="0" layoutInCell="1" allowOverlap="1" wp14:anchorId="7825D697" wp14:editId="5EA64B46">
            <wp:simplePos x="0" y="0"/>
            <wp:positionH relativeFrom="column">
              <wp:posOffset>485140</wp:posOffset>
            </wp:positionH>
            <wp:positionV relativeFrom="paragraph">
              <wp:posOffset>168910</wp:posOffset>
            </wp:positionV>
            <wp:extent cx="4676775" cy="3905250"/>
            <wp:effectExtent l="0" t="0" r="952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52BE5" w:rsidRPr="00652BE5">
        <w:rPr>
          <w:rFonts w:ascii="Palatino Linotype" w:hAnsi="Palatino Linotype"/>
        </w:rPr>
        <w:t>En otro orden de ideas, también resulta de gran relevancia destacar el contenido del artículo 20 de la Constitución Política de los Estados Unidos Mexicanos, en relación con los derechos de la persona imputada, particularmente lo dispuesto en la fracción VI del apartado B:</w:t>
      </w:r>
    </w:p>
    <w:p w:rsidR="00652BE5" w:rsidRPr="00652BE5" w:rsidRDefault="004D073A" w:rsidP="00652BE5">
      <w:pPr>
        <w:spacing w:before="240" w:after="360"/>
        <w:ind w:left="993"/>
        <w:jc w:val="both"/>
        <w:rPr>
          <w:rFonts w:ascii="Palatino Linotype" w:hAnsi="Palatino Linotype" w:cs="Arial"/>
          <w:i/>
          <w:sz w:val="22"/>
          <w:szCs w:val="22"/>
          <w:lang w:val="es-MX"/>
        </w:rPr>
      </w:pPr>
      <w:r>
        <w:rPr>
          <w:rFonts w:ascii="Palatino Linotype" w:hAnsi="Palatino Linotype" w:cs="Arial"/>
          <w:i/>
          <w:sz w:val="22"/>
          <w:szCs w:val="22"/>
          <w:lang w:val="es-MX"/>
        </w:rPr>
        <w:br/>
        <w:t>“</w:t>
      </w:r>
      <w:r w:rsidR="00652BE5" w:rsidRPr="00652BE5">
        <w:rPr>
          <w:rFonts w:ascii="Palatino Linotype" w:hAnsi="Palatino Linotype" w:cs="Arial"/>
          <w:i/>
          <w:sz w:val="22"/>
          <w:szCs w:val="22"/>
          <w:lang w:val="es-MX"/>
        </w:rPr>
        <w:t>Artículo 20.- El proceso penal será acusatorio y oral. Se regirá por los principios de publicidad, contradicción, concentración, continuidad e inmediación.</w:t>
      </w:r>
    </w:p>
    <w:p w:rsidR="00652BE5" w:rsidRPr="00652BE5" w:rsidRDefault="00652BE5" w:rsidP="00652BE5">
      <w:pPr>
        <w:spacing w:before="240" w:after="360"/>
        <w:ind w:left="993"/>
        <w:jc w:val="both"/>
        <w:rPr>
          <w:rFonts w:ascii="Palatino Linotype" w:hAnsi="Palatino Linotype" w:cs="Arial"/>
          <w:i/>
          <w:sz w:val="22"/>
          <w:szCs w:val="22"/>
          <w:lang w:val="es-MX"/>
        </w:rPr>
      </w:pPr>
      <w:r w:rsidRPr="00652BE5">
        <w:rPr>
          <w:rFonts w:ascii="Palatino Linotype" w:hAnsi="Palatino Linotype" w:cs="Arial"/>
          <w:i/>
          <w:sz w:val="22"/>
          <w:szCs w:val="22"/>
          <w:lang w:val="es-MX"/>
        </w:rPr>
        <w:t>…</w:t>
      </w:r>
    </w:p>
    <w:p w:rsidR="00652BE5" w:rsidRPr="00652BE5" w:rsidRDefault="00652BE5" w:rsidP="00652BE5">
      <w:pPr>
        <w:pStyle w:val="NormalWeb"/>
        <w:ind w:left="993"/>
        <w:rPr>
          <w:rFonts w:ascii="Palatino Linotype" w:hAnsi="Palatino Linotype" w:cs="Arial"/>
          <w:b/>
          <w:bCs/>
          <w:i/>
          <w:color w:val="000000"/>
          <w:sz w:val="22"/>
          <w:szCs w:val="22"/>
          <w:shd w:val="clear" w:color="auto" w:fill="FFFFFF"/>
        </w:rPr>
      </w:pPr>
      <w:r w:rsidRPr="00652BE5">
        <w:rPr>
          <w:rFonts w:ascii="Palatino Linotype" w:hAnsi="Palatino Linotype" w:cs="Arial"/>
          <w:b/>
          <w:bCs/>
          <w:i/>
          <w:color w:val="000000"/>
          <w:sz w:val="22"/>
          <w:szCs w:val="22"/>
          <w:shd w:val="clear" w:color="auto" w:fill="FFFFFF"/>
        </w:rPr>
        <w:t>B. De los derechos de toda persona imputada:</w:t>
      </w:r>
    </w:p>
    <w:p w:rsidR="00652BE5" w:rsidRPr="00652BE5" w:rsidRDefault="00652BE5" w:rsidP="00652BE5">
      <w:pPr>
        <w:pStyle w:val="NormalWeb"/>
        <w:ind w:left="993"/>
        <w:rPr>
          <w:rFonts w:ascii="Palatino Linotype" w:hAnsi="Palatino Linotype" w:cs="Arial"/>
          <w:b/>
          <w:bCs/>
          <w:i/>
          <w:color w:val="000000"/>
          <w:sz w:val="22"/>
          <w:szCs w:val="22"/>
          <w:shd w:val="clear" w:color="auto" w:fill="FFFFFF"/>
        </w:rPr>
      </w:pPr>
      <w:r w:rsidRPr="00652BE5">
        <w:rPr>
          <w:rFonts w:ascii="Palatino Linotype" w:hAnsi="Palatino Linotype" w:cs="Arial"/>
          <w:b/>
          <w:bCs/>
          <w:i/>
          <w:color w:val="000000"/>
          <w:sz w:val="22"/>
          <w:szCs w:val="22"/>
          <w:shd w:val="clear" w:color="auto" w:fill="FFFFFF"/>
        </w:rPr>
        <w:t>…</w:t>
      </w:r>
    </w:p>
    <w:p w:rsidR="00652BE5" w:rsidRPr="00142645" w:rsidRDefault="00652BE5" w:rsidP="00652BE5">
      <w:pPr>
        <w:spacing w:before="240" w:after="360"/>
        <w:ind w:left="993"/>
        <w:jc w:val="both"/>
        <w:rPr>
          <w:rFonts w:ascii="Palatino Linotype" w:hAnsi="Palatino Linotype" w:cs="Arial"/>
          <w:b/>
          <w:i/>
          <w:color w:val="000000"/>
          <w:sz w:val="22"/>
          <w:szCs w:val="22"/>
          <w:shd w:val="clear" w:color="auto" w:fill="FFFFFF"/>
        </w:rPr>
      </w:pPr>
      <w:r w:rsidRPr="00142645">
        <w:rPr>
          <w:rFonts w:ascii="Palatino Linotype" w:hAnsi="Palatino Linotype" w:cs="Arial"/>
          <w:b/>
          <w:i/>
          <w:color w:val="000000"/>
          <w:sz w:val="22"/>
          <w:szCs w:val="22"/>
          <w:shd w:val="clear" w:color="auto" w:fill="FFFFFF"/>
        </w:rPr>
        <w:t>VI. Le serán facilitados todos los datos que solicite para su defensa y que consten en el proceso.</w:t>
      </w:r>
    </w:p>
    <w:p w:rsidR="00652BE5" w:rsidRPr="00652BE5" w:rsidRDefault="00652BE5" w:rsidP="00652BE5">
      <w:pPr>
        <w:spacing w:before="240" w:after="360"/>
        <w:ind w:left="993"/>
        <w:jc w:val="both"/>
        <w:rPr>
          <w:rFonts w:ascii="Palatino Linotype" w:hAnsi="Palatino Linotype" w:cs="Arial"/>
          <w:i/>
          <w:color w:val="000000"/>
          <w:sz w:val="22"/>
          <w:szCs w:val="22"/>
          <w:shd w:val="clear" w:color="auto" w:fill="FFFFFF"/>
        </w:rPr>
      </w:pPr>
      <w:r w:rsidRPr="00142645">
        <w:rPr>
          <w:rFonts w:ascii="Palatino Linotype" w:hAnsi="Palatino Linotype" w:cs="Arial"/>
          <w:b/>
          <w:i/>
          <w:color w:val="000000"/>
          <w:sz w:val="22"/>
          <w:szCs w:val="22"/>
          <w:shd w:val="clear" w:color="auto" w:fill="FFFFFF"/>
        </w:rPr>
        <w:t>El imputado y su defensor tendrán acceso a los registros de la investigación</w:t>
      </w:r>
      <w:r w:rsidRPr="00652BE5">
        <w:rPr>
          <w:rFonts w:ascii="Palatino Linotype" w:hAnsi="Palatino Linotype" w:cs="Arial"/>
          <w:i/>
          <w:color w:val="000000"/>
          <w:sz w:val="22"/>
          <w:szCs w:val="22"/>
          <w:shd w:val="clear" w:color="auto" w:fill="FFFFFF"/>
        </w:rPr>
        <w:t xml:space="preserve"> cuando el primero se encuentre detenido y cuando pretenda recibírsele declaración o entrevistarlo. Asimismo, antes de su primera comparecencia ante juez podrán consultar dichos registros, con la oportunidad debida para preparar la defensa. </w:t>
      </w:r>
      <w:r w:rsidRPr="00142645">
        <w:rPr>
          <w:rFonts w:ascii="Palatino Linotype" w:hAnsi="Palatino Linotype" w:cs="Arial"/>
          <w:b/>
          <w:i/>
          <w:color w:val="000000"/>
          <w:sz w:val="22"/>
          <w:szCs w:val="22"/>
          <w:u w:val="single"/>
          <w:shd w:val="clear" w:color="auto" w:fill="FFFFFF"/>
        </w:rPr>
        <w:t>A partir de este momento no podrán mantenerse en reserva las actuaciones de la investigación, salvo los casos excepcionales expresamente señalados en la ley cuando ello sea imprescindible para salvaguardar el éxito de la investigación</w:t>
      </w:r>
      <w:r w:rsidRPr="00652BE5">
        <w:rPr>
          <w:rFonts w:ascii="Palatino Linotype" w:hAnsi="Palatino Linotype" w:cs="Arial"/>
          <w:i/>
          <w:color w:val="000000"/>
          <w:sz w:val="22"/>
          <w:szCs w:val="22"/>
          <w:shd w:val="clear" w:color="auto" w:fill="FFFFFF"/>
        </w:rPr>
        <w:t xml:space="preserve"> y siempre que sean oportunamente revelados para no afectar el derecho de defensa;</w:t>
      </w:r>
    </w:p>
    <w:p w:rsidR="007418EB" w:rsidRDefault="00652BE5" w:rsidP="00142645">
      <w:pPr>
        <w:spacing w:before="240" w:after="360"/>
        <w:ind w:left="993"/>
        <w:jc w:val="both"/>
        <w:rPr>
          <w:rFonts w:ascii="Palatino Linotype" w:hAnsi="Palatino Linotype" w:cs="Arial"/>
          <w:i/>
          <w:color w:val="000000"/>
          <w:sz w:val="22"/>
          <w:szCs w:val="22"/>
          <w:shd w:val="clear" w:color="auto" w:fill="FFFFFF"/>
        </w:rPr>
      </w:pPr>
      <w:r w:rsidRPr="00652BE5">
        <w:rPr>
          <w:rFonts w:ascii="Palatino Linotype" w:hAnsi="Palatino Linotype" w:cs="Arial"/>
          <w:i/>
          <w:color w:val="000000"/>
          <w:sz w:val="22"/>
          <w:szCs w:val="22"/>
          <w:shd w:val="clear" w:color="auto" w:fill="FFFFFF"/>
        </w:rPr>
        <w:t>…</w:t>
      </w:r>
    </w:p>
    <w:p w:rsidR="001D701E" w:rsidRDefault="001D701E" w:rsidP="001D701E">
      <w:pPr>
        <w:ind w:left="993"/>
        <w:rPr>
          <w:rFonts w:ascii="Palatino Linotype" w:hAnsi="Palatino Linotype" w:cs="Arial"/>
          <w:b/>
          <w:i/>
          <w:sz w:val="22"/>
          <w:szCs w:val="22"/>
          <w:lang w:val="es-MX"/>
        </w:rPr>
      </w:pPr>
      <w:r w:rsidRPr="001D701E">
        <w:rPr>
          <w:rFonts w:ascii="Palatino Linotype" w:hAnsi="Palatino Linotype" w:cs="Arial"/>
          <w:i/>
          <w:sz w:val="22"/>
          <w:szCs w:val="22"/>
          <w:lang w:val="es-MX"/>
        </w:rPr>
        <w:t>C</w:t>
      </w:r>
      <w:r w:rsidRPr="001D701E">
        <w:rPr>
          <w:rFonts w:ascii="Palatino Linotype" w:hAnsi="Palatino Linotype" w:cs="Arial"/>
          <w:b/>
          <w:i/>
          <w:sz w:val="22"/>
          <w:szCs w:val="22"/>
          <w:lang w:val="es-MX"/>
        </w:rPr>
        <w:t>. De los derechos de la víctima o del ofendido:</w:t>
      </w:r>
    </w:p>
    <w:p w:rsidR="001D701E" w:rsidRDefault="001D701E" w:rsidP="001D701E">
      <w:pPr>
        <w:ind w:left="993"/>
        <w:rPr>
          <w:rFonts w:ascii="Palatino Linotype" w:hAnsi="Palatino Linotype" w:cs="Arial"/>
          <w:i/>
          <w:sz w:val="22"/>
          <w:szCs w:val="22"/>
          <w:lang w:val="es-MX"/>
        </w:rPr>
      </w:pPr>
      <w:r>
        <w:rPr>
          <w:rFonts w:ascii="Palatino Linotype" w:hAnsi="Palatino Linotype" w:cs="Arial"/>
          <w:i/>
          <w:sz w:val="22"/>
          <w:szCs w:val="22"/>
          <w:lang w:val="es-MX"/>
        </w:rPr>
        <w:lastRenderedPageBreak/>
        <w:t>…</w:t>
      </w:r>
    </w:p>
    <w:p w:rsidR="001D701E" w:rsidRPr="001D701E" w:rsidRDefault="001D701E" w:rsidP="001D701E">
      <w:pPr>
        <w:ind w:left="993"/>
        <w:rPr>
          <w:rFonts w:ascii="Palatino Linotype" w:hAnsi="Palatino Linotype" w:cs="Arial"/>
          <w:b/>
          <w:i/>
          <w:szCs w:val="22"/>
          <w:u w:val="single"/>
          <w:lang w:val="es-MX"/>
        </w:rPr>
      </w:pPr>
      <w:r w:rsidRPr="001D701E">
        <w:rPr>
          <w:rFonts w:ascii="Palatino Linotype" w:hAnsi="Palatino Linotype" w:cs="Arial"/>
          <w:b/>
          <w:i/>
          <w:szCs w:val="22"/>
          <w:u w:val="single"/>
          <w:lang w:val="es-MX"/>
        </w:rPr>
        <w:t>El Ministerio Público deberá garantizar la protección de víctimas, ofendidos, testigos y en general todas los sujetos que intervengan en el proceso. Los jueces deberán vigilar el buen cumplimiento de esta obligación;</w:t>
      </w:r>
    </w:p>
    <w:p w:rsidR="001D701E" w:rsidRPr="001D701E" w:rsidRDefault="001D701E" w:rsidP="001D701E">
      <w:pPr>
        <w:ind w:left="993"/>
        <w:rPr>
          <w:rFonts w:ascii="Palatino Linotype" w:hAnsi="Palatino Linotype" w:cs="Arial"/>
          <w:i/>
          <w:sz w:val="22"/>
          <w:szCs w:val="22"/>
          <w:lang w:val="es-MX"/>
        </w:rPr>
      </w:pPr>
      <w:r>
        <w:rPr>
          <w:rFonts w:ascii="Palatino Linotype" w:hAnsi="Palatino Linotype" w:cs="Arial"/>
          <w:i/>
          <w:sz w:val="22"/>
          <w:szCs w:val="22"/>
          <w:lang w:val="es-MX"/>
        </w:rPr>
        <w:t>…</w:t>
      </w:r>
      <w:proofErr w:type="gramStart"/>
      <w:r w:rsidR="004D073A">
        <w:rPr>
          <w:rFonts w:ascii="Palatino Linotype" w:hAnsi="Palatino Linotype" w:cs="Arial"/>
          <w:i/>
          <w:sz w:val="22"/>
          <w:szCs w:val="22"/>
          <w:lang w:val="es-MX"/>
        </w:rPr>
        <w:t>”(</w:t>
      </w:r>
      <w:proofErr w:type="gramEnd"/>
      <w:r w:rsidR="004D073A">
        <w:rPr>
          <w:rFonts w:ascii="Palatino Linotype" w:hAnsi="Palatino Linotype" w:cs="Arial"/>
          <w:i/>
          <w:sz w:val="22"/>
          <w:szCs w:val="22"/>
          <w:lang w:val="es-MX"/>
        </w:rPr>
        <w:t>Sic)</w:t>
      </w:r>
    </w:p>
    <w:p w:rsidR="001D701E" w:rsidRPr="003333AA" w:rsidRDefault="004B04B8" w:rsidP="003333AA">
      <w:pPr>
        <w:autoSpaceDE w:val="0"/>
        <w:autoSpaceDN w:val="0"/>
        <w:adjustRightInd w:val="0"/>
        <w:spacing w:before="240" w:after="240" w:line="360" w:lineRule="auto"/>
        <w:jc w:val="both"/>
        <w:rPr>
          <w:rFonts w:ascii="Palatino Linotype" w:hAnsi="Palatino Linotype" w:cs="Arial"/>
        </w:rPr>
      </w:pPr>
      <w:r w:rsidRPr="00A876D0">
        <w:rPr>
          <w:rFonts w:ascii="Palatino Linotype" w:hAnsi="Palatino Linotype" w:cs="Arial"/>
        </w:rPr>
        <w:t>Corolario a ello, el artículo 109, fracción XXII y 218 del Código Nacional de Procedimientos Penales, señala que únicamente las partes pueden tener acceso a la carpeta:</w:t>
      </w:r>
    </w:p>
    <w:p w:rsidR="003A4FD4" w:rsidRPr="003A4FD4" w:rsidRDefault="004D073A" w:rsidP="003A4FD4">
      <w:pPr>
        <w:spacing w:before="240" w:after="360"/>
        <w:ind w:left="993"/>
        <w:jc w:val="both"/>
        <w:rPr>
          <w:rFonts w:ascii="Palatino Linotype" w:hAnsi="Palatino Linotype" w:cs="Arial"/>
          <w:b/>
          <w:bCs/>
          <w:i/>
          <w:color w:val="2F2F2F"/>
          <w:shd w:val="clear" w:color="auto" w:fill="FFFFFF"/>
        </w:rPr>
      </w:pPr>
      <w:r>
        <w:rPr>
          <w:rFonts w:ascii="Palatino Linotype" w:hAnsi="Palatino Linotype" w:cs="Arial"/>
          <w:b/>
          <w:bCs/>
          <w:i/>
          <w:color w:val="2F2F2F"/>
          <w:shd w:val="clear" w:color="auto" w:fill="FFFFFF"/>
        </w:rPr>
        <w:t>“</w:t>
      </w:r>
      <w:r w:rsidR="003A4FD4" w:rsidRPr="003A4FD4">
        <w:rPr>
          <w:rFonts w:ascii="Palatino Linotype" w:hAnsi="Palatino Linotype" w:cs="Arial"/>
          <w:b/>
          <w:bCs/>
          <w:i/>
          <w:color w:val="2F2F2F"/>
          <w:shd w:val="clear" w:color="auto" w:fill="FFFFFF"/>
        </w:rPr>
        <w:t>Artículo 109. Derechos de la víctima u ofendido</w:t>
      </w:r>
    </w:p>
    <w:p w:rsidR="003A4FD4" w:rsidRPr="003A4FD4" w:rsidRDefault="003A4FD4" w:rsidP="003A4FD4">
      <w:pPr>
        <w:spacing w:before="240" w:after="360"/>
        <w:ind w:left="993"/>
        <w:jc w:val="both"/>
        <w:rPr>
          <w:rFonts w:ascii="Palatino Linotype" w:hAnsi="Palatino Linotype" w:cs="Arial"/>
          <w:i/>
          <w:color w:val="2F2F2F"/>
          <w:shd w:val="clear" w:color="auto" w:fill="FFFFFF"/>
        </w:rPr>
      </w:pPr>
      <w:r w:rsidRPr="003A4FD4">
        <w:rPr>
          <w:rFonts w:ascii="Palatino Linotype" w:hAnsi="Palatino Linotype" w:cs="Arial"/>
          <w:i/>
          <w:color w:val="2F2F2F"/>
          <w:shd w:val="clear" w:color="auto" w:fill="FFFFFF"/>
        </w:rPr>
        <w:t xml:space="preserve">En los procedimientos previstos en este Código, </w:t>
      </w:r>
      <w:r w:rsidRPr="003A4FD4">
        <w:rPr>
          <w:rFonts w:ascii="Palatino Linotype" w:hAnsi="Palatino Linotype" w:cs="Arial"/>
          <w:b/>
          <w:i/>
          <w:color w:val="2F2F2F"/>
          <w:shd w:val="clear" w:color="auto" w:fill="FFFFFF"/>
        </w:rPr>
        <w:t>la víctima u ofendido tendrán los siguientes derechos:</w:t>
      </w:r>
    </w:p>
    <w:p w:rsidR="003A4FD4" w:rsidRPr="003A4FD4" w:rsidRDefault="003A4FD4" w:rsidP="003A4FD4">
      <w:pPr>
        <w:spacing w:before="240" w:after="360"/>
        <w:ind w:left="993"/>
        <w:jc w:val="both"/>
        <w:rPr>
          <w:rFonts w:ascii="Palatino Linotype" w:hAnsi="Palatino Linotype" w:cs="Arial"/>
          <w:i/>
          <w:color w:val="2F2F2F"/>
          <w:shd w:val="clear" w:color="auto" w:fill="FFFFFF"/>
        </w:rPr>
      </w:pPr>
      <w:r w:rsidRPr="003A4FD4">
        <w:rPr>
          <w:rFonts w:ascii="Palatino Linotype" w:hAnsi="Palatino Linotype" w:cs="Arial"/>
          <w:i/>
          <w:color w:val="2F2F2F"/>
          <w:shd w:val="clear" w:color="auto" w:fill="FFFFFF"/>
        </w:rPr>
        <w:t>….</w:t>
      </w:r>
    </w:p>
    <w:p w:rsidR="003A4FD4" w:rsidRPr="003A4FD4" w:rsidRDefault="003A4FD4" w:rsidP="003A4FD4">
      <w:pPr>
        <w:spacing w:before="240" w:after="360"/>
        <w:ind w:left="993"/>
        <w:jc w:val="both"/>
        <w:rPr>
          <w:rFonts w:ascii="Palatino Linotype" w:hAnsi="Palatino Linotype" w:cs="Arial"/>
          <w:i/>
          <w:color w:val="2F2F2F"/>
          <w:shd w:val="clear" w:color="auto" w:fill="FFFFFF"/>
        </w:rPr>
      </w:pPr>
      <w:r w:rsidRPr="003A4FD4">
        <w:rPr>
          <w:rFonts w:ascii="Palatino Linotype" w:hAnsi="Palatino Linotype" w:cs="Arial"/>
          <w:b/>
          <w:bCs/>
          <w:i/>
          <w:color w:val="2F2F2F"/>
          <w:shd w:val="clear" w:color="auto" w:fill="FFFFFF"/>
        </w:rPr>
        <w:t>XXII.</w:t>
      </w:r>
      <w:r>
        <w:rPr>
          <w:rFonts w:ascii="Palatino Linotype" w:hAnsi="Palatino Linotype" w:cs="Arial"/>
          <w:b/>
          <w:bCs/>
          <w:i/>
          <w:color w:val="2F2F2F"/>
          <w:shd w:val="clear" w:color="auto" w:fill="FFFFFF"/>
        </w:rPr>
        <w:t xml:space="preserve"> </w:t>
      </w:r>
      <w:r w:rsidRPr="003A4FD4">
        <w:rPr>
          <w:rFonts w:ascii="Palatino Linotype" w:hAnsi="Palatino Linotype" w:cs="Arial"/>
          <w:b/>
          <w:i/>
          <w:color w:val="2F2F2F"/>
          <w:u w:val="single"/>
          <w:shd w:val="clear" w:color="auto" w:fill="FFFFFF"/>
        </w:rPr>
        <w:t>A tener acceso a los registros de la investigación durante el procedimiento, así como a obtener copia gratuita de éstos, salvo que la información esté sujeta a reserva así determinada por el Órgano jurisdiccional;</w:t>
      </w:r>
    </w:p>
    <w:p w:rsidR="003A4FD4" w:rsidRPr="003A4FD4" w:rsidRDefault="003A4FD4" w:rsidP="003A4FD4">
      <w:pPr>
        <w:spacing w:before="240" w:after="360"/>
        <w:ind w:left="993"/>
        <w:jc w:val="both"/>
        <w:rPr>
          <w:rFonts w:ascii="Palatino Linotype" w:hAnsi="Palatino Linotype"/>
          <w:i/>
        </w:rPr>
      </w:pPr>
      <w:r w:rsidRPr="003A4FD4">
        <w:rPr>
          <w:rFonts w:ascii="Palatino Linotype" w:hAnsi="Palatino Linotype" w:cs="Arial"/>
          <w:i/>
          <w:color w:val="2F2F2F"/>
          <w:shd w:val="clear" w:color="auto" w:fill="FFFFFF"/>
        </w:rPr>
        <w:t>…</w:t>
      </w:r>
    </w:p>
    <w:p w:rsidR="003A4FD4" w:rsidRPr="004B04B8" w:rsidRDefault="004B04B8" w:rsidP="004B04B8">
      <w:pPr>
        <w:spacing w:before="240" w:after="360"/>
        <w:ind w:left="993"/>
        <w:jc w:val="both"/>
        <w:rPr>
          <w:rFonts w:ascii="Palatino Linotype" w:hAnsi="Palatino Linotype" w:cs="Arial"/>
          <w:b/>
          <w:bCs/>
          <w:i/>
          <w:color w:val="2F2F2F"/>
          <w:shd w:val="clear" w:color="auto" w:fill="FFFFFF"/>
        </w:rPr>
      </w:pPr>
      <w:r w:rsidRPr="004B04B8">
        <w:rPr>
          <w:rFonts w:ascii="Palatino Linotype" w:hAnsi="Palatino Linotype" w:cs="Arial"/>
          <w:b/>
          <w:bCs/>
          <w:i/>
          <w:color w:val="2F2F2F"/>
          <w:shd w:val="clear" w:color="auto" w:fill="FFFFFF"/>
        </w:rPr>
        <w:t>Artículo 218. Reserva de los actos de investigación</w:t>
      </w:r>
    </w:p>
    <w:p w:rsidR="004B04B8" w:rsidRPr="004B04B8" w:rsidRDefault="004B04B8" w:rsidP="004B04B8">
      <w:pPr>
        <w:spacing w:before="240" w:after="360"/>
        <w:ind w:left="993"/>
        <w:jc w:val="both"/>
        <w:rPr>
          <w:rFonts w:ascii="Palatino Linotype" w:hAnsi="Palatino Linotype" w:cs="Arial"/>
          <w:i/>
          <w:color w:val="2F2F2F"/>
          <w:shd w:val="clear" w:color="auto" w:fill="FFFFFF"/>
        </w:rPr>
      </w:pPr>
      <w:r w:rsidRPr="00C069BF">
        <w:rPr>
          <w:rFonts w:ascii="Palatino Linotype" w:hAnsi="Palatino Linotype" w:cs="Arial"/>
          <w:b/>
          <w:i/>
          <w:color w:val="2F2F2F"/>
          <w:u w:val="single"/>
          <w:shd w:val="clear" w:color="auto" w:fill="FFFFFF"/>
        </w:rPr>
        <w:t>En la investigación inicial, los registros de ésta, así como todos los documentos, independientemente de su contenido o naturaleza, los objetos, los registros de voz e imágenes o cosas que le estén relacionados, son estrictamente reservados</w:t>
      </w:r>
      <w:r w:rsidRPr="004B04B8">
        <w:rPr>
          <w:rFonts w:ascii="Palatino Linotype" w:hAnsi="Palatino Linotype" w:cs="Arial"/>
          <w:i/>
          <w:color w:val="2F2F2F"/>
          <w:shd w:val="clear" w:color="auto" w:fill="FFFFFF"/>
        </w:rPr>
        <w:t>. El imputado y su Defensor podrán tener acceso a ellos cuando se encuentre detenido, o sea citado para comparecer como imputado, y se pretenda recibir su entrevista. A partir de este momento ya no podrán mantenerse en reserva los registros para no afectar el derecho de defensa del imputado.</w:t>
      </w:r>
    </w:p>
    <w:p w:rsidR="003A4FD4" w:rsidRPr="004D073A" w:rsidRDefault="00501D34" w:rsidP="004D073A">
      <w:pPr>
        <w:spacing w:before="240" w:after="360"/>
        <w:ind w:left="993"/>
        <w:jc w:val="both"/>
        <w:rPr>
          <w:rFonts w:ascii="Palatino Linotype" w:hAnsi="Palatino Linotype"/>
          <w:i/>
        </w:rPr>
      </w:pPr>
      <w:r w:rsidRPr="00501D34">
        <w:rPr>
          <w:rFonts w:ascii="Palatino Linotype" w:hAnsi="Palatino Linotype" w:cs="Arial"/>
          <w:i/>
          <w:noProof/>
          <w:color w:val="2F2F2F"/>
          <w:shd w:val="clear" w:color="auto" w:fill="FFFFFF"/>
          <w:lang w:val="es-MX" w:eastAsia="es-MX"/>
        </w:rPr>
        <w:lastRenderedPageBreak/>
        <w:drawing>
          <wp:anchor distT="0" distB="0" distL="114300" distR="114300" simplePos="0" relativeHeight="251696128" behindDoc="1" locked="0" layoutInCell="1" allowOverlap="1" wp14:anchorId="199210BB" wp14:editId="13989DCB">
            <wp:simplePos x="0" y="0"/>
            <wp:positionH relativeFrom="column">
              <wp:posOffset>-85725</wp:posOffset>
            </wp:positionH>
            <wp:positionV relativeFrom="paragraph">
              <wp:posOffset>-1190625</wp:posOffset>
            </wp:positionV>
            <wp:extent cx="1695450" cy="102870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04B8" w:rsidRPr="004B04B8">
        <w:rPr>
          <w:rFonts w:ascii="Palatino Linotype" w:hAnsi="Palatino Linotype" w:cs="Arial"/>
          <w:i/>
          <w:color w:val="2F2F2F"/>
          <w:shd w:val="clear" w:color="auto" w:fill="FFFFFF"/>
        </w:rPr>
        <w:t>En ningún caso la reserva de los registros podrá hacerse valer una vez dictado el auto de vinculación a proceso, salvo lo previsto en este Código o en las leyes especial</w:t>
      </w:r>
      <w:r w:rsidR="004D073A">
        <w:rPr>
          <w:rFonts w:ascii="Palatino Linotype" w:hAnsi="Palatino Linotype" w:cs="Arial"/>
          <w:i/>
          <w:color w:val="2F2F2F"/>
          <w:shd w:val="clear" w:color="auto" w:fill="FFFFFF"/>
        </w:rPr>
        <w:t>” (Sic)</w:t>
      </w:r>
    </w:p>
    <w:p w:rsidR="001D701E" w:rsidRPr="001D701E" w:rsidRDefault="00501D34" w:rsidP="001F7572">
      <w:pPr>
        <w:spacing w:before="240" w:after="360" w:line="360" w:lineRule="auto"/>
        <w:jc w:val="both"/>
        <w:rPr>
          <w:rFonts w:ascii="Palatino Linotype" w:hAnsi="Palatino Linotype" w:cs="Arial"/>
        </w:rPr>
      </w:pPr>
      <w:r w:rsidRPr="00501D34">
        <w:rPr>
          <w:rFonts w:ascii="Palatino Linotype" w:hAnsi="Palatino Linotype" w:cs="Arial"/>
          <w:i/>
          <w:noProof/>
          <w:color w:val="2F2F2F"/>
          <w:shd w:val="clear" w:color="auto" w:fill="FFFFFF"/>
          <w:lang w:val="es-MX" w:eastAsia="es-MX"/>
        </w:rPr>
        <w:drawing>
          <wp:anchor distT="0" distB="0" distL="114300" distR="114300" simplePos="0" relativeHeight="251697152" behindDoc="1" locked="0" layoutInCell="1" allowOverlap="1" wp14:anchorId="649E2CD8" wp14:editId="232B3FD9">
            <wp:simplePos x="0" y="0"/>
            <wp:positionH relativeFrom="column">
              <wp:posOffset>513715</wp:posOffset>
            </wp:positionH>
            <wp:positionV relativeFrom="paragraph">
              <wp:posOffset>410210</wp:posOffset>
            </wp:positionV>
            <wp:extent cx="4676775" cy="3905250"/>
            <wp:effectExtent l="0" t="0" r="9525"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52BE5" w:rsidRPr="00652BE5">
        <w:rPr>
          <w:rFonts w:ascii="Palatino Linotype" w:hAnsi="Palatino Linotype"/>
        </w:rPr>
        <w:t xml:space="preserve">Este precepto establece </w:t>
      </w:r>
      <w:r w:rsidR="00652BE5" w:rsidRPr="00652BE5">
        <w:rPr>
          <w:rFonts w:ascii="Palatino Linotype" w:hAnsi="Palatino Linotype"/>
          <w:b/>
          <w:u w:val="single"/>
        </w:rPr>
        <w:t xml:space="preserve">el derecho del inculpado a tener acceso a los registros de la investigación, </w:t>
      </w:r>
      <w:r w:rsidR="00652BE5" w:rsidRPr="001D701E">
        <w:rPr>
          <w:rFonts w:ascii="Palatino Linotype" w:hAnsi="Palatino Linotype"/>
        </w:rPr>
        <w:t>y establece que, a partir de su primera comparecencia ante el juez –es decir, una vez que la averiguación ha sido consignada– no podrán mantenerse en reserva las actuaciones de la investigación</w:t>
      </w:r>
      <w:r w:rsidR="00652BE5" w:rsidRPr="00652BE5">
        <w:rPr>
          <w:rFonts w:ascii="Palatino Linotype" w:hAnsi="Palatino Linotype"/>
          <w:b/>
        </w:rPr>
        <w:t xml:space="preserve">, </w:t>
      </w:r>
      <w:r w:rsidR="00652BE5" w:rsidRPr="001D701E">
        <w:rPr>
          <w:rFonts w:ascii="Palatino Linotype" w:hAnsi="Palatino Linotype"/>
          <w:b/>
          <w:u w:val="single"/>
        </w:rPr>
        <w:t>excepto en los casos en que esta reserva sea “imprescindible para salvaguardar el éxito de la investigación y siempre que sean oportunamente revelados para no afectar el derecho de defensa</w:t>
      </w:r>
      <w:r w:rsidR="00652BE5" w:rsidRPr="00652BE5">
        <w:rPr>
          <w:rFonts w:ascii="Palatino Linotype" w:hAnsi="Palatino Linotype"/>
        </w:rPr>
        <w:t>.</w:t>
      </w:r>
    </w:p>
    <w:p w:rsidR="001D701E" w:rsidRPr="001D701E" w:rsidRDefault="001D701E" w:rsidP="001F7572">
      <w:pPr>
        <w:spacing w:before="240" w:after="360" w:line="360" w:lineRule="auto"/>
        <w:jc w:val="both"/>
        <w:rPr>
          <w:rFonts w:ascii="Palatino Linotype" w:hAnsi="Palatino Linotype"/>
        </w:rPr>
      </w:pPr>
      <w:r w:rsidRPr="001D701E">
        <w:rPr>
          <w:rFonts w:ascii="Palatino Linotype" w:hAnsi="Palatino Linotype"/>
        </w:rPr>
        <w:t>A partir de esta redacción se extraen varias conclusione</w:t>
      </w:r>
      <w:r w:rsidR="00403AEC">
        <w:rPr>
          <w:rFonts w:ascii="Palatino Linotype" w:hAnsi="Palatino Linotype"/>
        </w:rPr>
        <w:t>s</w:t>
      </w:r>
      <w:r w:rsidRPr="001D701E">
        <w:rPr>
          <w:rFonts w:ascii="Palatino Linotype" w:hAnsi="Palatino Linotype"/>
        </w:rPr>
        <w:t xml:space="preserve">. En primer lugar, destaca que las actuaciones de la investigación no pueden mantenerse en reserva desde el instante en que el imputado comparece ante el juez. </w:t>
      </w:r>
      <w:r w:rsidRPr="00403AEC">
        <w:rPr>
          <w:rFonts w:ascii="Palatino Linotype" w:hAnsi="Palatino Linotype"/>
          <w:b/>
        </w:rPr>
        <w:t>Esto implica que, antes de ese momento, las actuaciones relativas a las investigaciones en curso tienen el carácter de reservadas</w:t>
      </w:r>
      <w:r w:rsidRPr="001D701E">
        <w:rPr>
          <w:rFonts w:ascii="Palatino Linotype" w:hAnsi="Palatino Linotype"/>
        </w:rPr>
        <w:t xml:space="preserve">. </w:t>
      </w:r>
      <w:r w:rsidRPr="00790D93">
        <w:rPr>
          <w:rFonts w:ascii="Palatino Linotype" w:hAnsi="Palatino Linotype"/>
          <w:b/>
          <w:u w:val="single"/>
        </w:rPr>
        <w:t>Lo anterior se traduce en una obligación del órgano investigador de mantener sigilo respecto de la indagatoria</w:t>
      </w:r>
      <w:r w:rsidRPr="001D701E">
        <w:rPr>
          <w:rFonts w:ascii="Palatino Linotype" w:hAnsi="Palatino Linotype"/>
        </w:rPr>
        <w:t>.</w:t>
      </w:r>
    </w:p>
    <w:p w:rsidR="001176BC" w:rsidRPr="00227306" w:rsidRDefault="001D701E" w:rsidP="001F7572">
      <w:pPr>
        <w:spacing w:before="240" w:after="360" w:line="360" w:lineRule="auto"/>
        <w:jc w:val="both"/>
        <w:rPr>
          <w:rFonts w:ascii="Palatino Linotype" w:hAnsi="Palatino Linotype"/>
          <w:b/>
          <w:u w:val="single"/>
        </w:rPr>
      </w:pPr>
      <w:r w:rsidRPr="00403AEC">
        <w:rPr>
          <w:rFonts w:ascii="Palatino Linotype" w:hAnsi="Palatino Linotype"/>
          <w:b/>
          <w:u w:val="single"/>
        </w:rPr>
        <w:t>Cabe destacar que, de acuerdo con el artículo recién transcrito, es posible que, en ciertos casos excepcionales</w:t>
      </w:r>
      <w:r w:rsidRPr="001D701E">
        <w:rPr>
          <w:rFonts w:ascii="Palatino Linotype" w:hAnsi="Palatino Linotype"/>
        </w:rPr>
        <w:t xml:space="preserve">, se mantenga en reserva la investigación aun cuando ya hubiera comparecido el inculpado ante el juez, </w:t>
      </w:r>
      <w:r w:rsidRPr="00403AEC">
        <w:rPr>
          <w:rFonts w:ascii="Palatino Linotype" w:hAnsi="Palatino Linotype"/>
          <w:b/>
          <w:u w:val="single"/>
        </w:rPr>
        <w:t>siempre y cuando ello sea necesario para salvagua</w:t>
      </w:r>
      <w:r w:rsidR="009A7B3F">
        <w:rPr>
          <w:rFonts w:ascii="Palatino Linotype" w:hAnsi="Palatino Linotype"/>
          <w:b/>
          <w:u w:val="single"/>
        </w:rPr>
        <w:t>rdar el éxito de la indagatoria.</w:t>
      </w:r>
    </w:p>
    <w:p w:rsidR="00272359" w:rsidRPr="003333AA" w:rsidRDefault="001D701E" w:rsidP="003333AA">
      <w:pPr>
        <w:spacing w:before="240" w:after="360" w:line="360" w:lineRule="auto"/>
        <w:jc w:val="both"/>
        <w:rPr>
          <w:rFonts w:ascii="Palatino Linotype" w:hAnsi="Palatino Linotype"/>
        </w:rPr>
      </w:pPr>
      <w:r w:rsidRPr="001D701E">
        <w:rPr>
          <w:rFonts w:ascii="Palatino Linotype" w:hAnsi="Palatino Linotype"/>
        </w:rPr>
        <w:t xml:space="preserve">En este sentido, se advierte claramente que la intención del numeral constitucional en cita, </w:t>
      </w:r>
      <w:r w:rsidRPr="001D701E">
        <w:rPr>
          <w:rFonts w:ascii="Palatino Linotype" w:hAnsi="Palatino Linotype"/>
          <w:b/>
        </w:rPr>
        <w:t>es la de tutelar la correcta consecución de la investigación</w:t>
      </w:r>
      <w:r w:rsidR="003333AA">
        <w:rPr>
          <w:rFonts w:ascii="Palatino Linotype" w:hAnsi="Palatino Linotype"/>
          <w:b/>
        </w:rPr>
        <w:t xml:space="preserve"> y</w:t>
      </w:r>
      <w:r w:rsidR="002F152D">
        <w:rPr>
          <w:rFonts w:ascii="Palatino Linotype" w:hAnsi="Palatino Linotype"/>
          <w:b/>
        </w:rPr>
        <w:t xml:space="preserve"> garantizar la salvaguarda de derechos y libertades de terceros</w:t>
      </w:r>
      <w:r w:rsidRPr="001D701E">
        <w:rPr>
          <w:rFonts w:ascii="Palatino Linotype" w:hAnsi="Palatino Linotype"/>
          <w:b/>
        </w:rPr>
        <w:t>, para lo cual se establece una reserva de actuaciones en la etapa de la</w:t>
      </w:r>
      <w:r w:rsidR="00227306">
        <w:rPr>
          <w:rFonts w:ascii="Palatino Linotype" w:hAnsi="Palatino Linotype"/>
          <w:b/>
        </w:rPr>
        <w:t xml:space="preserve"> investigación e integración de la carpeta </w:t>
      </w:r>
      <w:r w:rsidR="00227306">
        <w:rPr>
          <w:rFonts w:ascii="Palatino Linotype" w:hAnsi="Palatino Linotype"/>
          <w:b/>
        </w:rPr>
        <w:lastRenderedPageBreak/>
        <w:t>de investigación</w:t>
      </w:r>
      <w:r w:rsidRPr="001D701E">
        <w:rPr>
          <w:rFonts w:ascii="Palatino Linotype" w:hAnsi="Palatino Linotype"/>
          <w:b/>
        </w:rPr>
        <w:t xml:space="preserve">, </w:t>
      </w:r>
      <w:r w:rsidRPr="00227306">
        <w:rPr>
          <w:rFonts w:ascii="Palatino Linotype" w:hAnsi="Palatino Linotype"/>
          <w:b/>
          <w:u w:val="single"/>
        </w:rPr>
        <w:t>así como el deber a cargo del Ministerio Público, en su carácter de órgano investigador de los delitos, de mantener sigilo respecto de su labor</w:t>
      </w:r>
      <w:r w:rsidR="00227306">
        <w:rPr>
          <w:rFonts w:ascii="Palatino Linotype" w:hAnsi="Palatino Linotype"/>
        </w:rPr>
        <w:t xml:space="preserve"> cuando a criterio razonable de éste sea considerado. </w:t>
      </w:r>
    </w:p>
    <w:p w:rsidR="007D5646" w:rsidRPr="00EA25FD" w:rsidRDefault="007D5646" w:rsidP="007D5646">
      <w:pPr>
        <w:spacing w:before="240" w:after="240" w:line="360" w:lineRule="auto"/>
        <w:jc w:val="both"/>
        <w:rPr>
          <w:rFonts w:ascii="Palatino Linotype" w:hAnsi="Palatino Linotype" w:cs="Arial"/>
          <w:b/>
        </w:rPr>
      </w:pPr>
      <w:r w:rsidRPr="00EA25FD">
        <w:rPr>
          <w:rFonts w:ascii="Palatino Linotype" w:hAnsi="Palatino Linotype" w:cs="Arial"/>
        </w:rPr>
        <w:t>P</w:t>
      </w:r>
      <w:r w:rsidR="003333AA">
        <w:rPr>
          <w:rFonts w:ascii="Palatino Linotype" w:hAnsi="Palatino Linotype" w:cs="Arial"/>
        </w:rPr>
        <w:t>or ende, para poder acceder a la Carpeta de Investigación</w:t>
      </w:r>
      <w:r w:rsidRPr="00EA25FD">
        <w:rPr>
          <w:rFonts w:ascii="Palatino Linotype" w:hAnsi="Palatino Linotype" w:cs="Arial"/>
        </w:rPr>
        <w:t xml:space="preserve">, es requisito de </w:t>
      </w:r>
      <w:proofErr w:type="spellStart"/>
      <w:r w:rsidRPr="00EA25FD">
        <w:rPr>
          <w:rFonts w:ascii="Palatino Linotype" w:hAnsi="Palatino Linotype" w:cs="Arial"/>
        </w:rPr>
        <w:t>procedibilidad</w:t>
      </w:r>
      <w:proofErr w:type="spellEnd"/>
      <w:r w:rsidRPr="00EA25FD">
        <w:rPr>
          <w:rFonts w:ascii="Palatino Linotype" w:hAnsi="Palatino Linotype" w:cs="Arial"/>
        </w:rPr>
        <w:t xml:space="preserve"> que se acredite fehacientemente ser parte de la misma, </w:t>
      </w:r>
      <w:r w:rsidRPr="00EA25FD">
        <w:rPr>
          <w:rFonts w:ascii="Palatino Linotype" w:hAnsi="Palatino Linotype" w:cs="Arial"/>
          <w:b/>
        </w:rPr>
        <w:t>acreditando su personalidad jurídica ante Ministerio Público que conoce de los hechos que se investigan en la misma.</w:t>
      </w:r>
    </w:p>
    <w:p w:rsidR="00424D00" w:rsidRPr="004D073A" w:rsidRDefault="007D5646" w:rsidP="004D073A">
      <w:pPr>
        <w:spacing w:before="240" w:after="360" w:line="360" w:lineRule="auto"/>
        <w:jc w:val="both"/>
        <w:rPr>
          <w:rFonts w:ascii="Palatino Linotype" w:hAnsi="Palatino Linotype"/>
          <w:b/>
          <w:u w:val="single"/>
        </w:rPr>
      </w:pPr>
      <w:r w:rsidRPr="00EA25FD">
        <w:rPr>
          <w:rFonts w:ascii="Palatino Linotype" w:hAnsi="Palatino Linotype"/>
          <w:b/>
          <w:u w:val="single"/>
        </w:rPr>
        <w:t xml:space="preserve">En otras palabras, sólo podrán examinar los registros y los documentos de la investigación: el imputado y los demás intervinientes en el procedimiento; </w:t>
      </w:r>
      <w:r w:rsidR="003333AA">
        <w:rPr>
          <w:rFonts w:ascii="Palatino Linotype" w:hAnsi="Palatino Linotype"/>
          <w:b/>
          <w:u w:val="single"/>
        </w:rPr>
        <w:t xml:space="preserve">dicha deliberación de otorgar o negar el acceso a una carpeta de investigación </w:t>
      </w:r>
      <w:r w:rsidRPr="00EA25FD">
        <w:rPr>
          <w:rFonts w:ascii="Palatino Linotype" w:hAnsi="Palatino Linotype"/>
          <w:b/>
          <w:u w:val="single"/>
        </w:rPr>
        <w:t>no es competencia de la Unidad de Transparencia, o bien, de este Instituto, ya que se t</w:t>
      </w:r>
      <w:r w:rsidR="00787F3A">
        <w:rPr>
          <w:rFonts w:ascii="Palatino Linotype" w:hAnsi="Palatino Linotype"/>
          <w:b/>
          <w:u w:val="single"/>
        </w:rPr>
        <w:t>rata de un procedimiento</w:t>
      </w:r>
      <w:r w:rsidRPr="00EA25FD">
        <w:rPr>
          <w:rFonts w:ascii="Palatino Linotype" w:hAnsi="Palatino Linotype"/>
          <w:b/>
          <w:u w:val="single"/>
        </w:rPr>
        <w:t xml:space="preserve"> diverso </w:t>
      </w:r>
      <w:r>
        <w:rPr>
          <w:rFonts w:ascii="Palatino Linotype" w:hAnsi="Palatino Linotype"/>
          <w:b/>
          <w:u w:val="single"/>
        </w:rPr>
        <w:t>en el cual</w:t>
      </w:r>
      <w:r w:rsidR="00787F3A">
        <w:rPr>
          <w:rFonts w:ascii="Palatino Linotype" w:hAnsi="Palatino Linotype"/>
          <w:b/>
          <w:u w:val="single"/>
        </w:rPr>
        <w:t xml:space="preserve">, </w:t>
      </w:r>
      <w:r>
        <w:rPr>
          <w:rFonts w:ascii="Palatino Linotype" w:hAnsi="Palatino Linotype"/>
          <w:b/>
          <w:u w:val="single"/>
        </w:rPr>
        <w:t xml:space="preserve">el MINISTERIO PUBLICO en uso dela </w:t>
      </w:r>
      <w:r w:rsidR="00933FCC">
        <w:rPr>
          <w:rFonts w:ascii="Palatino Linotype" w:hAnsi="Palatino Linotype"/>
          <w:b/>
          <w:u w:val="single"/>
        </w:rPr>
        <w:t>facultad</w:t>
      </w:r>
      <w:r>
        <w:rPr>
          <w:rFonts w:ascii="Palatino Linotype" w:hAnsi="Palatino Linotype"/>
          <w:b/>
          <w:u w:val="single"/>
        </w:rPr>
        <w:t xml:space="preserve"> </w:t>
      </w:r>
      <w:r w:rsidR="00933FCC">
        <w:rPr>
          <w:rFonts w:ascii="Palatino Linotype" w:hAnsi="Palatino Linotype"/>
          <w:b/>
          <w:u w:val="single"/>
        </w:rPr>
        <w:t>discrecional</w:t>
      </w:r>
      <w:r>
        <w:rPr>
          <w:rFonts w:ascii="Palatino Linotype" w:hAnsi="Palatino Linotype"/>
          <w:b/>
          <w:u w:val="single"/>
        </w:rPr>
        <w:t xml:space="preserve"> otorgada</w:t>
      </w:r>
      <w:r w:rsidR="00933FCC">
        <w:rPr>
          <w:rFonts w:ascii="Palatino Linotype" w:hAnsi="Palatino Linotype"/>
          <w:b/>
          <w:u w:val="single"/>
        </w:rPr>
        <w:t xml:space="preserve"> por el diverso 20 </w:t>
      </w:r>
      <w:r w:rsidR="00787F3A">
        <w:rPr>
          <w:rFonts w:ascii="Palatino Linotype" w:hAnsi="Palatino Linotype"/>
          <w:b/>
          <w:u w:val="single"/>
        </w:rPr>
        <w:t>de</w:t>
      </w:r>
      <w:r>
        <w:rPr>
          <w:rFonts w:ascii="Palatino Linotype" w:hAnsi="Palatino Linotype"/>
          <w:b/>
          <w:u w:val="single"/>
        </w:rPr>
        <w:t xml:space="preserve"> nuestro máximo </w:t>
      </w:r>
      <w:r w:rsidR="00933FCC">
        <w:rPr>
          <w:rFonts w:ascii="Palatino Linotype" w:hAnsi="Palatino Linotype"/>
          <w:b/>
          <w:u w:val="single"/>
        </w:rPr>
        <w:t>ordenamiento</w:t>
      </w:r>
      <w:r>
        <w:rPr>
          <w:rFonts w:ascii="Palatino Linotype" w:hAnsi="Palatino Linotype"/>
          <w:b/>
          <w:u w:val="single"/>
        </w:rPr>
        <w:t xml:space="preserve"> jurídico</w:t>
      </w:r>
      <w:r w:rsidR="002F152D">
        <w:rPr>
          <w:rFonts w:ascii="Palatino Linotype" w:hAnsi="Palatino Linotype"/>
          <w:b/>
          <w:u w:val="single"/>
        </w:rPr>
        <w:t xml:space="preserve"> – ya transcrito -  </w:t>
      </w:r>
      <w:r>
        <w:rPr>
          <w:rFonts w:ascii="Palatino Linotype" w:hAnsi="Palatino Linotype"/>
          <w:b/>
          <w:u w:val="single"/>
        </w:rPr>
        <w:t xml:space="preserve">, determina la </w:t>
      </w:r>
      <w:r w:rsidR="00933FCC">
        <w:rPr>
          <w:rFonts w:ascii="Palatino Linotype" w:hAnsi="Palatino Linotype"/>
          <w:b/>
          <w:u w:val="single"/>
        </w:rPr>
        <w:t>viabilidad</w:t>
      </w:r>
      <w:r w:rsidR="00227306">
        <w:rPr>
          <w:rFonts w:ascii="Palatino Linotype" w:hAnsi="Palatino Linotype"/>
          <w:b/>
          <w:u w:val="single"/>
        </w:rPr>
        <w:t xml:space="preserve"> de otorgar el acceso a los datos que integran la carpeta de investigación</w:t>
      </w:r>
      <w:r w:rsidR="00933FCC">
        <w:rPr>
          <w:rFonts w:ascii="Palatino Linotype" w:hAnsi="Palatino Linotype"/>
          <w:b/>
          <w:u w:val="single"/>
        </w:rPr>
        <w:t xml:space="preserve">, </w:t>
      </w:r>
      <w:r>
        <w:rPr>
          <w:rFonts w:ascii="Palatino Linotype" w:hAnsi="Palatino Linotype"/>
          <w:b/>
          <w:u w:val="single"/>
        </w:rPr>
        <w:t xml:space="preserve"> o en caso la posibilidad de reservarse</w:t>
      </w:r>
      <w:r w:rsidR="00933FCC">
        <w:rPr>
          <w:rFonts w:ascii="Palatino Linotype" w:hAnsi="Palatino Linotype"/>
          <w:b/>
          <w:u w:val="single"/>
        </w:rPr>
        <w:t xml:space="preserve"> las documentales que la integran</w:t>
      </w:r>
      <w:r>
        <w:rPr>
          <w:rFonts w:ascii="Palatino Linotype" w:hAnsi="Palatino Linotype"/>
          <w:b/>
          <w:u w:val="single"/>
        </w:rPr>
        <w:t xml:space="preserve">, </w:t>
      </w:r>
      <w:r w:rsidR="00933FCC">
        <w:rPr>
          <w:rFonts w:ascii="Palatino Linotype" w:hAnsi="Palatino Linotype"/>
          <w:b/>
          <w:u w:val="single"/>
        </w:rPr>
        <w:t>atendiendo</w:t>
      </w:r>
      <w:r>
        <w:rPr>
          <w:rFonts w:ascii="Palatino Linotype" w:hAnsi="Palatino Linotype"/>
          <w:b/>
          <w:u w:val="single"/>
        </w:rPr>
        <w:t xml:space="preserve"> a la </w:t>
      </w:r>
      <w:r w:rsidR="00933FCC">
        <w:rPr>
          <w:rFonts w:ascii="Palatino Linotype" w:hAnsi="Palatino Linotype"/>
          <w:b/>
          <w:u w:val="single"/>
        </w:rPr>
        <w:t>salvaguarda</w:t>
      </w:r>
      <w:r>
        <w:rPr>
          <w:rFonts w:ascii="Palatino Linotype" w:hAnsi="Palatino Linotype"/>
          <w:b/>
          <w:u w:val="single"/>
        </w:rPr>
        <w:t xml:space="preserve"> de la investigación y el aseguramiento de derechos de terceros. </w:t>
      </w:r>
    </w:p>
    <w:p w:rsidR="00A000CF" w:rsidRPr="003333AA" w:rsidRDefault="000B7EDC" w:rsidP="00D9298A">
      <w:pPr>
        <w:spacing w:before="240" w:after="240" w:line="360" w:lineRule="auto"/>
        <w:jc w:val="both"/>
        <w:rPr>
          <w:rFonts w:ascii="Palatino Linotype" w:eastAsia="Calibri" w:hAnsi="Palatino Linotype" w:cs="Arial"/>
        </w:rPr>
      </w:pPr>
      <w:r w:rsidRPr="003333AA">
        <w:rPr>
          <w:rFonts w:ascii="Palatino Linotype" w:eastAsia="Calibri" w:hAnsi="Palatino Linotype" w:cs="Arial"/>
        </w:rPr>
        <w:t xml:space="preserve">En el caso concreto, se tiene que la </w:t>
      </w:r>
      <w:r w:rsidR="003333AA" w:rsidRPr="003333AA">
        <w:rPr>
          <w:rFonts w:ascii="Palatino Linotype" w:hAnsi="Palatino Linotype"/>
          <w:b/>
          <w:lang w:val="es-ES_tradnl"/>
        </w:rPr>
        <w:t>Fiscalía General de Justicia del Estado de México</w:t>
      </w:r>
      <w:r w:rsidR="003333AA" w:rsidRPr="003333AA">
        <w:rPr>
          <w:rFonts w:ascii="Palatino Linotype" w:eastAsia="Calibri" w:hAnsi="Palatino Linotype" w:cs="Arial"/>
        </w:rPr>
        <w:t xml:space="preserve"> </w:t>
      </w:r>
      <w:r w:rsidRPr="003333AA">
        <w:rPr>
          <w:rFonts w:ascii="Palatino Linotype" w:eastAsia="Calibri" w:hAnsi="Palatino Linotype" w:cs="Arial"/>
        </w:rPr>
        <w:t xml:space="preserve">apuntó que la </w:t>
      </w:r>
      <w:r w:rsidR="003333AA" w:rsidRPr="003333AA">
        <w:rPr>
          <w:rFonts w:ascii="Palatino Linotype" w:eastAsia="Calibri" w:hAnsi="Palatino Linotype" w:cs="Arial"/>
        </w:rPr>
        <w:t>Carpeta de Investigación de referencia</w:t>
      </w:r>
      <w:r w:rsidRPr="003333AA">
        <w:rPr>
          <w:rFonts w:ascii="Palatino Linotype" w:eastAsia="Calibri" w:hAnsi="Palatino Linotype" w:cs="Arial"/>
        </w:rPr>
        <w:t xml:space="preserve"> se encuentra en trámite, por lo que se advierte que en la misma no se ha dictado alguna resolución del no ejercicio de la acción penal.</w:t>
      </w:r>
    </w:p>
    <w:p w:rsidR="00A000CF" w:rsidRPr="003333AA" w:rsidRDefault="00501D34" w:rsidP="00D9298A">
      <w:pPr>
        <w:spacing w:before="240" w:after="240" w:line="360" w:lineRule="auto"/>
        <w:jc w:val="both"/>
        <w:rPr>
          <w:rFonts w:ascii="Palatino Linotype" w:eastAsia="Calibri" w:hAnsi="Palatino Linotype" w:cs="Arial"/>
        </w:rPr>
      </w:pPr>
      <w:r w:rsidRPr="00501D34">
        <w:rPr>
          <w:rFonts w:ascii="Palatino Linotype" w:eastAsia="Calibri" w:hAnsi="Palatino Linotype" w:cs="Arial"/>
          <w:noProof/>
          <w:lang w:val="es-MX" w:eastAsia="es-MX"/>
        </w:rPr>
        <w:lastRenderedPageBreak/>
        <w:drawing>
          <wp:anchor distT="0" distB="0" distL="114300" distR="114300" simplePos="0" relativeHeight="251699200" behindDoc="1" locked="0" layoutInCell="1" allowOverlap="1" wp14:anchorId="7427A910" wp14:editId="308DCA6B">
            <wp:simplePos x="0" y="0"/>
            <wp:positionH relativeFrom="column">
              <wp:posOffset>-123825</wp:posOffset>
            </wp:positionH>
            <wp:positionV relativeFrom="paragraph">
              <wp:posOffset>-1076325</wp:posOffset>
            </wp:positionV>
            <wp:extent cx="1695450" cy="102870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7EDC" w:rsidRPr="003333AA">
        <w:rPr>
          <w:rFonts w:ascii="Palatino Linotype" w:eastAsia="Calibri" w:hAnsi="Palatino Linotype" w:cs="Arial"/>
        </w:rPr>
        <w:t>Por lo tanto, dar a conocer cualquier información sobre las averiguaciones previas, atenta contra la secrecía y el sigilo que deben resguardar los servidores y empleados que tengan acceso a ella.</w:t>
      </w:r>
    </w:p>
    <w:p w:rsidR="000B7EDC" w:rsidRPr="003333AA" w:rsidRDefault="00501D34" w:rsidP="00D9298A">
      <w:pPr>
        <w:spacing w:before="240" w:after="240" w:line="360" w:lineRule="auto"/>
        <w:jc w:val="both"/>
        <w:rPr>
          <w:rFonts w:ascii="Palatino Linotype" w:eastAsia="Calibri" w:hAnsi="Palatino Linotype" w:cs="Arial"/>
        </w:rPr>
      </w:pPr>
      <w:r w:rsidRPr="00501D34">
        <w:rPr>
          <w:rFonts w:ascii="Palatino Linotype" w:eastAsia="Calibri" w:hAnsi="Palatino Linotype" w:cs="Arial"/>
          <w:noProof/>
          <w:lang w:val="es-MX" w:eastAsia="es-MX"/>
        </w:rPr>
        <w:drawing>
          <wp:anchor distT="0" distB="0" distL="114300" distR="114300" simplePos="0" relativeHeight="251700224" behindDoc="1" locked="0" layoutInCell="1" allowOverlap="1" wp14:anchorId="1DBE6906" wp14:editId="2CCFCCF8">
            <wp:simplePos x="0" y="0"/>
            <wp:positionH relativeFrom="column">
              <wp:posOffset>475615</wp:posOffset>
            </wp:positionH>
            <wp:positionV relativeFrom="paragraph">
              <wp:posOffset>292735</wp:posOffset>
            </wp:positionV>
            <wp:extent cx="4676775" cy="3905250"/>
            <wp:effectExtent l="0" t="0" r="9525"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B7EDC" w:rsidRPr="003333AA">
        <w:rPr>
          <w:rFonts w:ascii="Palatino Linotype" w:eastAsia="Calibri" w:hAnsi="Palatino Linotype" w:cs="Arial"/>
        </w:rPr>
        <w:t>En ese orden de ideas, las solicitudes de acceso a datos personales no son la vía idónea para que las víctimas u ofendidos puedan tener a</w:t>
      </w:r>
      <w:r w:rsidR="003333AA">
        <w:rPr>
          <w:rFonts w:ascii="Palatino Linotype" w:eastAsia="Calibri" w:hAnsi="Palatino Linotype" w:cs="Arial"/>
        </w:rPr>
        <w:t xml:space="preserve">cceso a la información contenida en la Carpeta de Investigación. </w:t>
      </w:r>
    </w:p>
    <w:p w:rsidR="000B7EDC" w:rsidRDefault="000B7EDC" w:rsidP="00D9298A">
      <w:pPr>
        <w:spacing w:before="240" w:after="240" w:line="360" w:lineRule="auto"/>
        <w:jc w:val="both"/>
        <w:rPr>
          <w:rFonts w:ascii="Palatino Linotype" w:eastAsia="Calibri" w:hAnsi="Palatino Linotype" w:cs="Arial"/>
        </w:rPr>
      </w:pPr>
      <w:r w:rsidRPr="003333AA">
        <w:rPr>
          <w:rFonts w:ascii="Palatino Linotype" w:eastAsia="Calibri" w:hAnsi="Palatino Linotype" w:cs="Arial"/>
        </w:rPr>
        <w:t>El procedimiento de acceso a datos p</w:t>
      </w:r>
      <w:r w:rsidR="003333AA" w:rsidRPr="003333AA">
        <w:rPr>
          <w:rFonts w:ascii="Palatino Linotype" w:eastAsia="Calibri" w:hAnsi="Palatino Linotype" w:cs="Arial"/>
        </w:rPr>
        <w:t>ersonales regulado en la Ley General de Protección de Datos Personales en posesión de SUJETO OBLIGADO, tiene por objeto</w:t>
      </w:r>
      <w:r w:rsidRPr="003333AA">
        <w:rPr>
          <w:rFonts w:ascii="Palatino Linotype" w:eastAsia="Calibri" w:hAnsi="Palatino Linotype" w:cs="Arial"/>
        </w:rPr>
        <w:t xml:space="preserve"> facilitar a los ciudadanos aquella información, en posesión de los sujetos Obligado, que contengan sus datos personales</w:t>
      </w:r>
    </w:p>
    <w:p w:rsidR="000B7EDC" w:rsidRDefault="000B7EDC" w:rsidP="00D9298A">
      <w:pPr>
        <w:spacing w:before="240" w:after="240" w:line="360" w:lineRule="auto"/>
        <w:jc w:val="both"/>
        <w:rPr>
          <w:rFonts w:ascii="Palatino Linotype" w:eastAsia="Calibri" w:hAnsi="Palatino Linotype" w:cs="Arial"/>
        </w:rPr>
      </w:pPr>
      <w:r w:rsidRPr="003333AA">
        <w:rPr>
          <w:rFonts w:ascii="Palatino Linotype" w:eastAsia="Calibri" w:hAnsi="Palatino Linotype" w:cs="Arial"/>
        </w:rPr>
        <w:t xml:space="preserve">Sin </w:t>
      </w:r>
      <w:r w:rsidR="003333AA" w:rsidRPr="003333AA">
        <w:rPr>
          <w:rFonts w:ascii="Palatino Linotype" w:eastAsia="Calibri" w:hAnsi="Palatino Linotype" w:cs="Arial"/>
        </w:rPr>
        <w:t>embargo, la información que integra una Carpeta de Investigación</w:t>
      </w:r>
      <w:r w:rsidRPr="003333AA">
        <w:rPr>
          <w:rFonts w:ascii="Palatino Linotype" w:eastAsia="Calibri" w:hAnsi="Palatino Linotype" w:cs="Arial"/>
        </w:rPr>
        <w:t>, se encuentra conformada por todas las constancias que recopila la autoridad para probar el cuerpo del delito y la probable responsabilidad de un inculpado, por lo que, como se indicó, se trata de información</w:t>
      </w:r>
      <w:r w:rsidR="003333AA" w:rsidRPr="003333AA">
        <w:rPr>
          <w:rFonts w:ascii="Palatino Linotype" w:eastAsia="Calibri" w:hAnsi="Palatino Linotype" w:cs="Arial"/>
        </w:rPr>
        <w:t xml:space="preserve"> que no puede ser accesible en vía del ejercicio de los derechos ARCO. </w:t>
      </w:r>
    </w:p>
    <w:p w:rsidR="003333AA" w:rsidRPr="003333AA" w:rsidRDefault="000B7EDC" w:rsidP="00D9298A">
      <w:pPr>
        <w:spacing w:before="240" w:after="240" w:line="360" w:lineRule="auto"/>
        <w:jc w:val="both"/>
        <w:rPr>
          <w:rFonts w:ascii="Palatino Linotype" w:eastAsia="Calibri" w:hAnsi="Palatino Linotype" w:cs="Arial"/>
        </w:rPr>
      </w:pPr>
      <w:r w:rsidRPr="003333AA">
        <w:rPr>
          <w:rFonts w:ascii="Palatino Linotype" w:eastAsia="Calibri" w:hAnsi="Palatino Linotype" w:cs="Arial"/>
        </w:rPr>
        <w:t xml:space="preserve">No obstante, considerando que el particular señaló que es el ofendido, tiene acceso directo al contenido de todas y cada una de las actuaciones que integran la </w:t>
      </w:r>
      <w:r w:rsidR="003333AA" w:rsidRPr="003333AA">
        <w:rPr>
          <w:rFonts w:ascii="Palatino Linotype" w:eastAsia="Calibri" w:hAnsi="Palatino Linotype" w:cs="Arial"/>
        </w:rPr>
        <w:t>Carpeta de Investigación</w:t>
      </w:r>
      <w:r w:rsidRPr="003333AA">
        <w:rPr>
          <w:rFonts w:ascii="Palatino Linotype" w:eastAsia="Calibri" w:hAnsi="Palatino Linotype" w:cs="Arial"/>
        </w:rPr>
        <w:t>, a través del Ministerio Público que la resguarda; asimismo, puede tener acceso  a copias simples o certificadas de sus declaraciones, denuncias o querellas, en términos de</w:t>
      </w:r>
      <w:r w:rsidR="003333AA" w:rsidRPr="003333AA">
        <w:rPr>
          <w:rFonts w:ascii="Palatino Linotype" w:eastAsia="Calibri" w:hAnsi="Palatino Linotype" w:cs="Arial"/>
        </w:rPr>
        <w:t xml:space="preserve">l </w:t>
      </w:r>
      <w:r w:rsidR="003333AA" w:rsidRPr="003333AA">
        <w:rPr>
          <w:rFonts w:ascii="Palatino Linotype" w:hAnsi="Palatino Linotype" w:cs="Arial"/>
        </w:rPr>
        <w:t>artículo 109, fracción XXII y 218 del Código Nacional de Procedimientos Penales.</w:t>
      </w:r>
    </w:p>
    <w:p w:rsidR="00A000CF" w:rsidRPr="003333AA" w:rsidRDefault="000B7EDC" w:rsidP="00D9298A">
      <w:pPr>
        <w:spacing w:before="240" w:after="240" w:line="360" w:lineRule="auto"/>
        <w:jc w:val="both"/>
        <w:rPr>
          <w:rFonts w:ascii="Palatino Linotype" w:eastAsia="Calibri" w:hAnsi="Palatino Linotype" w:cs="Arial"/>
        </w:rPr>
      </w:pPr>
      <w:r w:rsidRPr="003333AA">
        <w:rPr>
          <w:rFonts w:ascii="Palatino Linotype" w:eastAsia="Calibri" w:hAnsi="Palatino Linotype" w:cs="Arial"/>
        </w:rPr>
        <w:t xml:space="preserve"> </w:t>
      </w:r>
    </w:p>
    <w:p w:rsidR="000B7EDC" w:rsidRDefault="000B7EDC" w:rsidP="00D9298A">
      <w:pPr>
        <w:spacing w:before="240" w:after="240" w:line="360" w:lineRule="auto"/>
        <w:jc w:val="both"/>
        <w:rPr>
          <w:rFonts w:ascii="Palatino Linotype" w:eastAsia="Calibri" w:hAnsi="Palatino Linotype" w:cs="Arial"/>
        </w:rPr>
      </w:pPr>
      <w:r w:rsidRPr="003333AA">
        <w:rPr>
          <w:rFonts w:ascii="Palatino Linotype" w:eastAsia="Calibri" w:hAnsi="Palatino Linotype" w:cs="Arial"/>
        </w:rPr>
        <w:lastRenderedPageBreak/>
        <w:t>Es d</w:t>
      </w:r>
      <w:r w:rsidR="003333AA" w:rsidRPr="003333AA">
        <w:rPr>
          <w:rFonts w:ascii="Palatino Linotype" w:eastAsia="Calibri" w:hAnsi="Palatino Linotype" w:cs="Arial"/>
        </w:rPr>
        <w:t>ecir, el propio CN</w:t>
      </w:r>
      <w:r w:rsidRPr="003333AA">
        <w:rPr>
          <w:rFonts w:ascii="Palatino Linotype" w:eastAsia="Calibri" w:hAnsi="Palatino Linotype" w:cs="Arial"/>
        </w:rPr>
        <w:t>PP establece las formas y criterios por medio de las cuales, las víctimas y ofendidos de un presunto hecho delictivo, pueden acceder al expediente, así como los derechos derivados de su personalidad.</w:t>
      </w:r>
    </w:p>
    <w:p w:rsidR="000B7EDC" w:rsidRDefault="000B7EDC" w:rsidP="00D9298A">
      <w:pPr>
        <w:spacing w:before="240" w:after="240" w:line="360" w:lineRule="auto"/>
        <w:jc w:val="both"/>
        <w:rPr>
          <w:rFonts w:ascii="Palatino Linotype" w:eastAsia="Calibri" w:hAnsi="Palatino Linotype" w:cs="Arial"/>
        </w:rPr>
      </w:pPr>
      <w:r w:rsidRPr="003333AA">
        <w:rPr>
          <w:rFonts w:ascii="Palatino Linotype" w:eastAsia="Calibri" w:hAnsi="Palatino Linotype" w:cs="Arial"/>
        </w:rPr>
        <w:t>Al efecto, el Poder Judicial de la Federación se ha pronunciado en el siguiente sentido:</w:t>
      </w:r>
    </w:p>
    <w:p w:rsidR="000B7EDC" w:rsidRPr="00F33BB1" w:rsidRDefault="004D073A" w:rsidP="00F33BB1">
      <w:pPr>
        <w:spacing w:before="240" w:after="240"/>
        <w:ind w:left="993"/>
        <w:jc w:val="both"/>
        <w:rPr>
          <w:rFonts w:ascii="Palatino Linotype" w:eastAsia="Calibri" w:hAnsi="Palatino Linotype" w:cs="Arial"/>
          <w:i/>
        </w:rPr>
      </w:pPr>
      <w:r>
        <w:rPr>
          <w:rFonts w:ascii="Palatino Linotype" w:hAnsi="Palatino Linotype"/>
          <w:i/>
        </w:rPr>
        <w:t>“</w:t>
      </w:r>
      <w:r w:rsidR="000B7EDC" w:rsidRPr="000B7EDC">
        <w:rPr>
          <w:rFonts w:ascii="Palatino Linotype" w:hAnsi="Palatino Linotype"/>
          <w:i/>
        </w:rPr>
        <w:t xml:space="preserve">MINISTERIO PUBLICO, NEGATIVA DEL, A EXPEDIR COPIAS DE LA AVERIGUACION PREVIA. NO ES VIOLATORIA DE LA FRACCION VII DEL </w:t>
      </w:r>
      <w:proofErr w:type="gramStart"/>
      <w:r w:rsidR="000B7EDC" w:rsidRPr="000B7EDC">
        <w:rPr>
          <w:rFonts w:ascii="Palatino Linotype" w:hAnsi="Palatino Linotype"/>
          <w:i/>
        </w:rPr>
        <w:t>ARTICULO</w:t>
      </w:r>
      <w:proofErr w:type="gramEnd"/>
      <w:r w:rsidR="000B7EDC" w:rsidRPr="000B7EDC">
        <w:rPr>
          <w:rFonts w:ascii="Palatino Linotype" w:hAnsi="Palatino Linotype"/>
          <w:i/>
        </w:rPr>
        <w:t xml:space="preserve"> 20 CONSTITUCIONAL. </w:t>
      </w:r>
      <w:r w:rsidR="000B7EDC" w:rsidRPr="000B7EDC">
        <w:rPr>
          <w:rFonts w:ascii="Palatino Linotype" w:hAnsi="Palatino Linotype"/>
          <w:b/>
          <w:i/>
        </w:rPr>
        <w:t xml:space="preserve">La negativa del Agente del Ministerio Público a expedir copias de la averiguación previa, no es violatoria de la garantía constitucional contenida en la fracción VII del artículo 20 de la Carta Magna, en virtud de que la averiguación previa constituye en términos generales, un estadio indagatorio en el cual aún no existe un procesado, pues en esencia, </w:t>
      </w:r>
      <w:r w:rsidR="000B7EDC" w:rsidRPr="000B7EDC">
        <w:rPr>
          <w:rFonts w:ascii="Palatino Linotype" w:hAnsi="Palatino Linotype"/>
          <w:b/>
          <w:i/>
          <w:u w:val="single"/>
        </w:rPr>
        <w:t>lo que representa es la etapa de investigación en la que el fiscal recaba todos aquellos elementos de prueba tendientes a demostrar la existencia de hechos delictuosos</w:t>
      </w:r>
      <w:r w:rsidR="000B7EDC" w:rsidRPr="000B7EDC">
        <w:rPr>
          <w:rFonts w:ascii="Palatino Linotype" w:hAnsi="Palatino Linotype"/>
          <w:i/>
        </w:rPr>
        <w:t xml:space="preserve">, lo que difiere diametralmente con el concepto de proceso, porque para que éste se configure es necesario que exista una acusación por parte del representante social y un juicio instaurado ante la autoridad competente. </w:t>
      </w:r>
      <w:r w:rsidR="000B7EDC" w:rsidRPr="000B7EDC">
        <w:rPr>
          <w:rFonts w:ascii="Palatino Linotype" w:hAnsi="Palatino Linotype"/>
          <w:b/>
          <w:i/>
          <w:u w:val="single"/>
        </w:rPr>
        <w:t>Se concluye así, porque la garantía que establece la fracción VII, del artículo 20 constitucional, es clara y no da lugar a interpretaciones diversas, pues se refiere al acusado y no a los simples indiciados</w:t>
      </w:r>
      <w:r w:rsidR="000B7EDC" w:rsidRPr="000B7EDC">
        <w:rPr>
          <w:rFonts w:ascii="Palatino Linotype" w:hAnsi="Palatino Linotype"/>
          <w:i/>
        </w:rPr>
        <w:t>.</w:t>
      </w:r>
    </w:p>
    <w:p w:rsidR="00F33BB1" w:rsidRPr="00F33BB1" w:rsidRDefault="00F33BB1" w:rsidP="00F33BB1">
      <w:pPr>
        <w:spacing w:before="240" w:after="240"/>
        <w:ind w:left="993"/>
        <w:jc w:val="both"/>
        <w:rPr>
          <w:rFonts w:ascii="Palatino Linotype" w:hAnsi="Palatino Linotype"/>
          <w:i/>
          <w:sz w:val="22"/>
          <w:szCs w:val="22"/>
        </w:rPr>
      </w:pPr>
      <w:r w:rsidRPr="00F33BB1">
        <w:rPr>
          <w:rFonts w:ascii="Palatino Linotype" w:hAnsi="Palatino Linotype"/>
          <w:i/>
          <w:sz w:val="22"/>
          <w:szCs w:val="22"/>
        </w:rPr>
        <w:t xml:space="preserve">SEGUNDO TRIBUNAL COLEGIADO EN MATERIA ADMINISTRATIVA DEL TERCER CIRCUITO. </w:t>
      </w:r>
    </w:p>
    <w:p w:rsidR="00F33BB1" w:rsidRPr="00F33BB1" w:rsidRDefault="00F33BB1" w:rsidP="00F33BB1">
      <w:pPr>
        <w:spacing w:before="240" w:after="240"/>
        <w:ind w:left="993"/>
        <w:jc w:val="both"/>
        <w:rPr>
          <w:rFonts w:ascii="Palatino Linotype" w:hAnsi="Palatino Linotype"/>
          <w:i/>
          <w:sz w:val="22"/>
          <w:szCs w:val="22"/>
        </w:rPr>
      </w:pPr>
      <w:r w:rsidRPr="00F33BB1">
        <w:rPr>
          <w:rFonts w:ascii="Palatino Linotype" w:hAnsi="Palatino Linotype"/>
          <w:i/>
          <w:sz w:val="22"/>
          <w:szCs w:val="22"/>
        </w:rPr>
        <w:t xml:space="preserve">Amparo en revisión 140/88. Benito Hernández </w:t>
      </w:r>
      <w:proofErr w:type="spellStart"/>
      <w:r w:rsidRPr="00F33BB1">
        <w:rPr>
          <w:rFonts w:ascii="Palatino Linotype" w:hAnsi="Palatino Linotype"/>
          <w:i/>
          <w:sz w:val="22"/>
          <w:szCs w:val="22"/>
        </w:rPr>
        <w:t>Alvarez</w:t>
      </w:r>
      <w:proofErr w:type="spellEnd"/>
      <w:proofErr w:type="gramStart"/>
      <w:r w:rsidRPr="00F33BB1">
        <w:rPr>
          <w:rFonts w:ascii="Palatino Linotype" w:hAnsi="Palatino Linotype"/>
          <w:i/>
          <w:sz w:val="22"/>
          <w:szCs w:val="22"/>
        </w:rPr>
        <w:t>..</w:t>
      </w:r>
      <w:proofErr w:type="gramEnd"/>
      <w:r w:rsidRPr="00F33BB1">
        <w:rPr>
          <w:rFonts w:ascii="Palatino Linotype" w:hAnsi="Palatino Linotype"/>
          <w:i/>
          <w:sz w:val="22"/>
          <w:szCs w:val="22"/>
        </w:rPr>
        <w:t xml:space="preserve"> Unanimidad de votos. Ponente: Filemón Haro Solís. Secretario: Rogelio Alberto Montoya Rodríguez. </w:t>
      </w:r>
    </w:p>
    <w:p w:rsidR="00F33BB1" w:rsidRPr="00F33BB1" w:rsidRDefault="00F33BB1" w:rsidP="00F33BB1">
      <w:pPr>
        <w:spacing w:before="240" w:after="240"/>
        <w:ind w:left="993"/>
        <w:jc w:val="both"/>
        <w:rPr>
          <w:rFonts w:ascii="Palatino Linotype" w:eastAsia="Calibri" w:hAnsi="Palatino Linotype" w:cs="Arial"/>
          <w:i/>
          <w:sz w:val="22"/>
          <w:szCs w:val="22"/>
        </w:rPr>
      </w:pPr>
      <w:r w:rsidRPr="00F33BB1">
        <w:rPr>
          <w:rFonts w:ascii="Palatino Linotype" w:hAnsi="Palatino Linotype"/>
          <w:i/>
          <w:sz w:val="22"/>
          <w:szCs w:val="22"/>
        </w:rPr>
        <w:t>Nota: Por ejecutoria de fecha 18 de septiembre de 2002, la Primera Sala declaró inexistente la contradicción de tesis 3/2002 en que participó el presente criterio.</w:t>
      </w:r>
      <w:r w:rsidR="004D073A">
        <w:rPr>
          <w:rFonts w:ascii="Palatino Linotype" w:hAnsi="Palatino Linotype"/>
          <w:i/>
          <w:sz w:val="22"/>
          <w:szCs w:val="22"/>
        </w:rPr>
        <w:t>”(Sic)</w:t>
      </w:r>
    </w:p>
    <w:p w:rsidR="000B7EDC" w:rsidRDefault="00F33BB1" w:rsidP="00D9298A">
      <w:pPr>
        <w:spacing w:before="240" w:after="240" w:line="360" w:lineRule="auto"/>
        <w:jc w:val="both"/>
        <w:rPr>
          <w:rFonts w:ascii="Palatino Linotype" w:eastAsia="Calibri" w:hAnsi="Palatino Linotype" w:cs="Arial"/>
        </w:rPr>
      </w:pPr>
      <w:r w:rsidRPr="00F33BB1">
        <w:rPr>
          <w:rFonts w:ascii="Palatino Linotype" w:eastAsia="Calibri" w:hAnsi="Palatino Linotype" w:cs="Arial"/>
        </w:rPr>
        <w:t xml:space="preserve">Sumado a lo anterior, la Primera Sala de la Suprema Corte de Justicia de la Nación </w:t>
      </w:r>
      <w:r>
        <w:rPr>
          <w:rFonts w:ascii="Palatino Linotype" w:eastAsia="Calibri" w:hAnsi="Palatino Linotype" w:cs="Arial"/>
        </w:rPr>
        <w:t>ha señalado</w:t>
      </w:r>
    </w:p>
    <w:p w:rsidR="00F33BB1" w:rsidRPr="0013733E" w:rsidRDefault="00CE3C0F" w:rsidP="0013733E">
      <w:pPr>
        <w:spacing w:before="240" w:after="240"/>
        <w:ind w:left="993"/>
        <w:jc w:val="both"/>
        <w:rPr>
          <w:rFonts w:ascii="Palatino Linotype" w:hAnsi="Palatino Linotype"/>
          <w:b/>
          <w:i/>
        </w:rPr>
      </w:pPr>
      <w:r w:rsidRPr="00CE3C0F">
        <w:rPr>
          <w:rFonts w:ascii="Palatino Linotype" w:hAnsi="Palatino Linotype"/>
          <w:b/>
          <w:i/>
          <w:noProof/>
          <w:lang w:val="es-MX" w:eastAsia="es-MX"/>
        </w:rPr>
        <w:lastRenderedPageBreak/>
        <w:drawing>
          <wp:anchor distT="0" distB="0" distL="114300" distR="114300" simplePos="0" relativeHeight="251702272" behindDoc="1" locked="0" layoutInCell="1" allowOverlap="1" wp14:anchorId="1CB8FBB1" wp14:editId="7F9C6733">
            <wp:simplePos x="0" y="0"/>
            <wp:positionH relativeFrom="column">
              <wp:posOffset>-180975</wp:posOffset>
            </wp:positionH>
            <wp:positionV relativeFrom="paragraph">
              <wp:posOffset>-1143000</wp:posOffset>
            </wp:positionV>
            <wp:extent cx="1695450" cy="102870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73A">
        <w:rPr>
          <w:rFonts w:ascii="Palatino Linotype" w:hAnsi="Palatino Linotype"/>
          <w:b/>
          <w:i/>
        </w:rPr>
        <w:t>“</w:t>
      </w:r>
      <w:r w:rsidR="0013733E" w:rsidRPr="0013733E">
        <w:rPr>
          <w:rFonts w:ascii="Palatino Linotype" w:hAnsi="Palatino Linotype"/>
          <w:b/>
          <w:i/>
        </w:rPr>
        <w:t>AVERIGUACIÓN PREVIA. EL ACCESO A SUS ACTUACIONES POR LAS PARTES LEGITIMADAS PARA ELLO, NO IMPLICA EL DERECHO A QUE SE LES EXPIDAN COPIAS (INTERPRETACIÓN DEL ARTÍCULO 16 DEL CÓDIGO FEDERAL DE PROCEDIMIENTOS PENALES).</w:t>
      </w:r>
    </w:p>
    <w:p w:rsidR="00F33BB1" w:rsidRDefault="00CE3C0F" w:rsidP="00165168">
      <w:pPr>
        <w:spacing w:before="240" w:after="240"/>
        <w:ind w:left="993"/>
        <w:jc w:val="both"/>
        <w:rPr>
          <w:rFonts w:ascii="Palatino Linotype" w:eastAsia="Calibri" w:hAnsi="Palatino Linotype" w:cs="Arial"/>
          <w:i/>
        </w:rPr>
      </w:pPr>
      <w:r w:rsidRPr="00CE3C0F">
        <w:rPr>
          <w:rFonts w:ascii="Palatino Linotype" w:hAnsi="Palatino Linotype"/>
          <w:b/>
          <w:i/>
          <w:noProof/>
          <w:lang w:val="es-MX" w:eastAsia="es-MX"/>
        </w:rPr>
        <w:drawing>
          <wp:anchor distT="0" distB="0" distL="114300" distR="114300" simplePos="0" relativeHeight="251703296" behindDoc="1" locked="0" layoutInCell="1" allowOverlap="1" wp14:anchorId="4BF40508" wp14:editId="6B71EE14">
            <wp:simplePos x="0" y="0"/>
            <wp:positionH relativeFrom="column">
              <wp:posOffset>418465</wp:posOffset>
            </wp:positionH>
            <wp:positionV relativeFrom="paragraph">
              <wp:posOffset>123190</wp:posOffset>
            </wp:positionV>
            <wp:extent cx="4676775" cy="3905250"/>
            <wp:effectExtent l="0" t="0" r="9525"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3733E" w:rsidRPr="00BD10B9">
        <w:rPr>
          <w:rFonts w:ascii="Palatino Linotype" w:hAnsi="Palatino Linotype"/>
          <w:b/>
          <w:i/>
          <w:u w:val="single"/>
        </w:rPr>
        <w:t>La fracción VII del apartado A del artículo 20 de la Constitución Política de los Estados Unidos Mexicanos consagra en beneficio de todo inculpado sujeto a un proceso penal el derecho a una defensa adecuada, lo cual implica que se le faciliten los datos que consten en aquél y que requiera para su defensa</w:t>
      </w:r>
      <w:r w:rsidR="0013733E" w:rsidRPr="0013733E">
        <w:rPr>
          <w:rFonts w:ascii="Palatino Linotype" w:hAnsi="Palatino Linotype"/>
          <w:i/>
        </w:rPr>
        <w:t xml:space="preserve">. Ahora bien, conforme a la reforma publicada en el Diario Oficial de la Federación de 3 de julio de 1996, mediante la cual se adicionó un párrafo cuarto a la fracción X del citado precepto constitucional, las garantías previstas en sus fracciones VII y IX, que en un principio sólo eran aplicables durante la tramitación del proceso penal, también </w:t>
      </w:r>
      <w:r w:rsidR="0013733E" w:rsidRPr="00BD10B9">
        <w:rPr>
          <w:rFonts w:ascii="Palatino Linotype" w:hAnsi="Palatino Linotype"/>
          <w:b/>
          <w:i/>
        </w:rPr>
        <w:t xml:space="preserve">fueron incorporadas a la averiguación previa, aunque limitándose a lo establecido en las leyes secundarias. </w:t>
      </w:r>
      <w:r w:rsidR="0013733E" w:rsidRPr="00BD10B9">
        <w:rPr>
          <w:rFonts w:ascii="Palatino Linotype" w:hAnsi="Palatino Linotype"/>
          <w:b/>
          <w:i/>
          <w:u w:val="single"/>
        </w:rPr>
        <w:t>Por otra parte, el segundo párrafo del artículo 16 del Código Federal de Procedimientos Penales señala que las únicas personas que tendrán acceso a las actuaciones de la averiguación previa serán el inculpado, su defensor y la víctima u ofendido y/o su representante legal, en caso de que los hubiera, y establece que el funcionario que indebidamente quebrante la reserva de las actuaciones o proporcione copia de ellas o de los documentos que obren en la averiguación incurrirá en responsabilidad; de donde se advierte que el Ministerio Público está impedido para otorgar dichas copias, lo cual es acorde con la garantía de defensa contenida en las fracciones VII y IX del artículo 20, apartado A, de la Constitución Federal</w:t>
      </w:r>
      <w:r w:rsidR="0013733E" w:rsidRPr="0013733E">
        <w:rPr>
          <w:rFonts w:ascii="Palatino Linotype" w:hAnsi="Palatino Linotype"/>
          <w:i/>
        </w:rPr>
        <w:t xml:space="preserve">, en tanto que ésta dispone que tratándose de la averiguación previa, dicha garantía se otorgará con las limitantes, términos y requisitos que las leyes secundarias determinen, es decir, </w:t>
      </w:r>
      <w:r w:rsidR="0013733E" w:rsidRPr="00BD10B9">
        <w:rPr>
          <w:rFonts w:ascii="Palatino Linotype" w:hAnsi="Palatino Linotype"/>
          <w:b/>
          <w:i/>
          <w:u w:val="single"/>
        </w:rPr>
        <w:t>si bien es cierto que las partes tienen derecho a que se les proporcione toda la información que requieran para su defensa, también lo es que el hecho de que el Ministerio Público no pueda proporcionar copias –en aras de proteger la reserva de las actuaciones–, en nada restringe el aludido derecho, pues aun cuando no se les proporcionen copias, el referido artículo 16 prevé que podrán tener acceso a las actuaciones de las que se podrán tomar todos los datos que estimen indispensables</w:t>
      </w:r>
      <w:r w:rsidR="0013733E" w:rsidRPr="0013733E">
        <w:rPr>
          <w:rFonts w:ascii="Palatino Linotype" w:hAnsi="Palatino Linotype"/>
          <w:i/>
        </w:rPr>
        <w:t xml:space="preserve">. De manera que si la fracción VII, apartado A, del artículo 20 constitucional no exige que los datos solicitados por el inculpado, su defensor y la </w:t>
      </w:r>
      <w:r w:rsidR="0013733E" w:rsidRPr="0013733E">
        <w:rPr>
          <w:rFonts w:ascii="Palatino Linotype" w:hAnsi="Palatino Linotype"/>
          <w:i/>
        </w:rPr>
        <w:lastRenderedPageBreak/>
        <w:t>víctima y ofendido y/o su representante legal, para preparar su defensa y que consten en la averiguación o en el proceso, sean pedidos precisamente por escrito y ministrados en forma de copias simples o certificadas, basta que el expediente respectivo sea puesto a la vista de las partes para que puedan consultarlo.</w:t>
      </w:r>
      <w:r w:rsidR="004D073A">
        <w:rPr>
          <w:rFonts w:ascii="Palatino Linotype" w:hAnsi="Palatino Linotype"/>
          <w:i/>
        </w:rPr>
        <w:t>”(Sic)</w:t>
      </w:r>
    </w:p>
    <w:p w:rsidR="00165168" w:rsidRPr="00165168" w:rsidRDefault="00165168" w:rsidP="00165168">
      <w:pPr>
        <w:spacing w:before="240" w:after="240"/>
        <w:ind w:left="993"/>
        <w:jc w:val="both"/>
        <w:rPr>
          <w:rFonts w:ascii="Palatino Linotype" w:eastAsia="Calibri" w:hAnsi="Palatino Linotype" w:cs="Arial"/>
          <w:i/>
        </w:rPr>
      </w:pPr>
    </w:p>
    <w:p w:rsidR="00165168" w:rsidRDefault="00165168" w:rsidP="00D9298A">
      <w:pPr>
        <w:spacing w:before="240" w:after="240" w:line="360" w:lineRule="auto"/>
        <w:jc w:val="both"/>
        <w:rPr>
          <w:rFonts w:ascii="Palatino Linotype" w:eastAsia="Calibri" w:hAnsi="Palatino Linotype" w:cs="Arial"/>
          <w:b/>
          <w:u w:val="single"/>
        </w:rPr>
      </w:pPr>
      <w:r w:rsidRPr="00165168">
        <w:rPr>
          <w:rFonts w:ascii="Palatino Linotype" w:eastAsia="Calibri" w:hAnsi="Palatino Linotype" w:cs="Arial"/>
        </w:rPr>
        <w:t xml:space="preserve">De esta manera, </w:t>
      </w:r>
      <w:r w:rsidRPr="00165168">
        <w:rPr>
          <w:rFonts w:ascii="Palatino Linotype" w:eastAsia="Calibri" w:hAnsi="Palatino Linotype" w:cs="Arial"/>
          <w:b/>
        </w:rPr>
        <w:t xml:space="preserve">si </w:t>
      </w:r>
      <w:r w:rsidRPr="00165168">
        <w:rPr>
          <w:rFonts w:ascii="Palatino Linotype" w:eastAsia="Calibri" w:hAnsi="Palatino Linotype" w:cs="Arial"/>
          <w:b/>
          <w:u w:val="single"/>
        </w:rPr>
        <w:t>bien es cierto que las partes tienen derecho a que se les proporcione toda la información que requieran para su defensa, también lo es que el Ministerio Público</w:t>
      </w:r>
      <w:r w:rsidRPr="00165168">
        <w:rPr>
          <w:rFonts w:ascii="Palatino Linotype" w:eastAsia="Calibri" w:hAnsi="Palatino Linotype" w:cs="Arial"/>
          <w:u w:val="single"/>
        </w:rPr>
        <w:t xml:space="preserve"> </w:t>
      </w:r>
      <w:r w:rsidRPr="00165168">
        <w:rPr>
          <w:rFonts w:ascii="Palatino Linotype" w:eastAsia="Calibri" w:hAnsi="Palatino Linotype" w:cs="Arial"/>
          <w:b/>
          <w:u w:val="single"/>
        </w:rPr>
        <w:t>no puede proporcionar copias, salvo que se trate de sus declaraciones, denuncias o querellas, en aras de proteger la reserva de las actuaciones que rodeen la investigación del delito.</w:t>
      </w:r>
    </w:p>
    <w:p w:rsidR="00165168" w:rsidRDefault="00165168" w:rsidP="00D9298A">
      <w:pPr>
        <w:spacing w:before="240" w:after="240" w:line="360" w:lineRule="auto"/>
        <w:jc w:val="both"/>
        <w:rPr>
          <w:rFonts w:ascii="Palatino Linotype" w:eastAsia="Calibri" w:hAnsi="Palatino Linotype" w:cs="Arial"/>
          <w:b/>
        </w:rPr>
      </w:pPr>
      <w:r w:rsidRPr="00A112F6">
        <w:rPr>
          <w:rFonts w:ascii="Palatino Linotype" w:eastAsia="Calibri" w:hAnsi="Palatino Linotype" w:cs="Arial"/>
          <w:b/>
        </w:rPr>
        <w:t xml:space="preserve">En consecuencia, resulta correcta la orientación  manifestada  por  </w:t>
      </w:r>
      <w:r w:rsidR="00A112F6" w:rsidRPr="00A112F6">
        <w:rPr>
          <w:rFonts w:ascii="Palatino Linotype" w:hAnsi="Palatino Linotype"/>
          <w:b/>
          <w:lang w:val="es-ES_tradnl"/>
        </w:rPr>
        <w:t>Fiscalía General de Justicia del Estado de México</w:t>
      </w:r>
      <w:r w:rsidRPr="00A112F6">
        <w:rPr>
          <w:rFonts w:ascii="Palatino Linotype" w:eastAsia="Calibri" w:hAnsi="Palatino Linotype" w:cs="Arial"/>
          <w:b/>
        </w:rPr>
        <w:t>,</w:t>
      </w:r>
      <w:r w:rsidRPr="00165168">
        <w:rPr>
          <w:rFonts w:ascii="Palatino Linotype" w:eastAsia="Calibri" w:hAnsi="Palatino Linotype" w:cs="Arial"/>
          <w:b/>
        </w:rPr>
        <w:t xml:space="preserve">  y  se sugiere al particular, que si lo considera de su interé</w:t>
      </w:r>
      <w:r w:rsidR="00A112F6">
        <w:rPr>
          <w:rFonts w:ascii="Palatino Linotype" w:eastAsia="Calibri" w:hAnsi="Palatino Linotype" w:cs="Arial"/>
          <w:b/>
        </w:rPr>
        <w:t>s, acuda ante la agencia del MP</w:t>
      </w:r>
      <w:r w:rsidRPr="00165168">
        <w:rPr>
          <w:rFonts w:ascii="Palatino Linotype" w:eastAsia="Calibri" w:hAnsi="Palatino Linotype" w:cs="Arial"/>
          <w:b/>
        </w:rPr>
        <w:t xml:space="preserve"> </w:t>
      </w:r>
      <w:proofErr w:type="spellStart"/>
      <w:r w:rsidRPr="00165168">
        <w:rPr>
          <w:rFonts w:ascii="Palatino Linotype" w:eastAsia="Calibri" w:hAnsi="Palatino Linotype" w:cs="Arial"/>
          <w:b/>
        </w:rPr>
        <w:t>resguardante</w:t>
      </w:r>
      <w:proofErr w:type="spellEnd"/>
      <w:r w:rsidRPr="00165168">
        <w:rPr>
          <w:rFonts w:ascii="Palatino Linotype" w:eastAsia="Calibri" w:hAnsi="Palatino Linotype" w:cs="Arial"/>
          <w:b/>
        </w:rPr>
        <w:t xml:space="preserve"> de</w:t>
      </w:r>
      <w:r w:rsidR="00A112F6">
        <w:rPr>
          <w:rFonts w:ascii="Palatino Linotype" w:eastAsia="Calibri" w:hAnsi="Palatino Linotype" w:cs="Arial"/>
          <w:b/>
        </w:rPr>
        <w:t xml:space="preserve"> la </w:t>
      </w:r>
      <w:r w:rsidR="00A112F6" w:rsidRPr="00A112F6">
        <w:rPr>
          <w:rFonts w:ascii="Palatino Linotype" w:hAnsi="Palatino Linotype"/>
          <w:b/>
        </w:rPr>
        <w:t>Carpeta de investigación con número</w:t>
      </w:r>
      <w:r w:rsidR="00A112F6" w:rsidRPr="00A112F6">
        <w:rPr>
          <w:rFonts w:ascii="Palatino Linotype" w:hAnsi="Palatino Linotype"/>
        </w:rPr>
        <w:t xml:space="preserve"> </w:t>
      </w:r>
      <w:r w:rsidR="00C92689">
        <w:rPr>
          <w:rFonts w:ascii="Palatino Linotype" w:hAnsi="Palatino Linotype"/>
          <w:b/>
          <w:sz w:val="21"/>
          <w:szCs w:val="21"/>
          <w:lang w:val="es-ES_tradnl"/>
        </w:rPr>
        <w:t>XXXXXXXXXXXXXXXXXXXXXX</w:t>
      </w:r>
      <w:r w:rsidR="00C92689" w:rsidRPr="00165168">
        <w:rPr>
          <w:rFonts w:ascii="Palatino Linotype" w:eastAsia="Calibri" w:hAnsi="Palatino Linotype" w:cs="Arial"/>
          <w:b/>
        </w:rPr>
        <w:t xml:space="preserve"> </w:t>
      </w:r>
      <w:r w:rsidRPr="00165168">
        <w:rPr>
          <w:rFonts w:ascii="Palatino Linotype" w:eastAsia="Calibri" w:hAnsi="Palatino Linotype" w:cs="Arial"/>
          <w:b/>
        </w:rPr>
        <w:t>y solicite acceso en consulta directa a dicho expediente, previa acreditación de su personalidad</w:t>
      </w:r>
      <w:r>
        <w:rPr>
          <w:rFonts w:ascii="Palatino Linotype" w:eastAsia="Calibri" w:hAnsi="Palatino Linotype" w:cs="Arial"/>
          <w:b/>
        </w:rPr>
        <w:t>.</w:t>
      </w:r>
    </w:p>
    <w:p w:rsidR="00165168" w:rsidRPr="00A112F6" w:rsidRDefault="00165168" w:rsidP="00D9298A">
      <w:pPr>
        <w:spacing w:before="240" w:after="240" w:line="360" w:lineRule="auto"/>
        <w:jc w:val="both"/>
        <w:rPr>
          <w:rFonts w:ascii="Palatino Linotype" w:eastAsia="Calibri" w:hAnsi="Palatino Linotype" w:cs="Arial"/>
          <w:b/>
        </w:rPr>
      </w:pPr>
      <w:r w:rsidRPr="00165168">
        <w:rPr>
          <w:rFonts w:ascii="Palatino Linotype" w:eastAsia="Calibri" w:hAnsi="Palatino Linotype" w:cs="Arial"/>
          <w:b/>
        </w:rPr>
        <w:t xml:space="preserve">Por consiguiente, esta Instituto considera procedente </w:t>
      </w:r>
      <w:r w:rsidR="00A112F6">
        <w:rPr>
          <w:rFonts w:ascii="Palatino Linotype" w:eastAsia="Calibri" w:hAnsi="Palatino Linotype" w:cs="Arial"/>
          <w:b/>
        </w:rPr>
        <w:t xml:space="preserve">CONFIRMAR la respuesta de la </w:t>
      </w:r>
      <w:r w:rsidR="00A112F6" w:rsidRPr="00430158">
        <w:rPr>
          <w:rFonts w:ascii="Palatino Linotype" w:hAnsi="Palatino Linotype"/>
          <w:b/>
          <w:sz w:val="21"/>
          <w:szCs w:val="21"/>
          <w:lang w:val="es-ES_tradnl"/>
        </w:rPr>
        <w:t>Fiscalía General de Justicia del Estado de México</w:t>
      </w:r>
      <w:r w:rsidRPr="00165168">
        <w:rPr>
          <w:rFonts w:ascii="Palatino Linotype" w:eastAsia="Calibri" w:hAnsi="Palatino Linotype" w:cs="Arial"/>
          <w:b/>
        </w:rPr>
        <w:t xml:space="preserve"> en todos sus términos.</w:t>
      </w:r>
    </w:p>
    <w:p w:rsidR="00D9298A" w:rsidRPr="009E2306" w:rsidRDefault="00D9298A" w:rsidP="00D9298A">
      <w:pPr>
        <w:spacing w:before="240" w:after="240" w:line="360" w:lineRule="auto"/>
        <w:jc w:val="both"/>
        <w:rPr>
          <w:rFonts w:ascii="Palatino Linotype" w:eastAsia="Calibri" w:hAnsi="Palatino Linotype" w:cs="Arial"/>
        </w:rPr>
      </w:pPr>
      <w:r w:rsidRPr="009E2306">
        <w:rPr>
          <w:rFonts w:ascii="Palatino Linotype" w:eastAsia="Calibri" w:hAnsi="Palatino Linotype" w:cs="Arial"/>
        </w:rPr>
        <w:t xml:space="preserve">Así, con </w:t>
      </w:r>
      <w:r w:rsidRPr="009E2306">
        <w:rPr>
          <w:rFonts w:ascii="Palatino Linotype" w:hAnsi="Palatino Linotype" w:cs="Arial"/>
        </w:rPr>
        <w:t>fundamento</w:t>
      </w:r>
      <w:r w:rsidRPr="009E2306">
        <w:rPr>
          <w:rFonts w:ascii="Palatino Linotype" w:eastAsia="Calibri" w:hAnsi="Palatino Linotype" w:cs="Arial"/>
        </w:rPr>
        <w:t xml:space="preserve"> en lo prescrito en los artículos 5 párrafos </w:t>
      </w:r>
      <w:r w:rsidRPr="009E2306">
        <w:rPr>
          <w:rFonts w:ascii="Palatino Linotype" w:hAnsi="Palatino Linotype"/>
        </w:rPr>
        <w:t>vigésimo, vigésimo primero y vigésimo segundo fracciones IV y V</w:t>
      </w:r>
      <w:r w:rsidRPr="009E2306">
        <w:rPr>
          <w:rFonts w:ascii="Palatino Linotype" w:eastAsia="Calibri" w:hAnsi="Palatino Linotype" w:cs="Arial"/>
        </w:rPr>
        <w:t xml:space="preserve"> de la Constitución Política del Estado Libre y Soberano de México; </w:t>
      </w:r>
      <w:r w:rsidRPr="009E2306">
        <w:rPr>
          <w:rFonts w:ascii="Palatino Linotype" w:hAnsi="Palatino Linotype"/>
        </w:rPr>
        <w:t>2 fracción II, 29, 36 fracciones I y II, 176, 178, 179, 181, 185 fracción I, 186 y 188</w:t>
      </w:r>
      <w:r w:rsidRPr="009E2306">
        <w:rPr>
          <w:rFonts w:ascii="Palatino Linotype" w:eastAsia="Calibri" w:hAnsi="Palatino Linotype" w:cs="Arial"/>
        </w:rPr>
        <w:t xml:space="preserve">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rsidR="00EE5C30" w:rsidRDefault="00CE3C0F" w:rsidP="00EE5C30">
      <w:pPr>
        <w:spacing w:before="100" w:beforeAutospacing="1" w:after="100" w:afterAutospacing="1" w:line="360" w:lineRule="auto"/>
        <w:jc w:val="center"/>
        <w:rPr>
          <w:rFonts w:ascii="Palatino Linotype" w:hAnsi="Palatino Linotype"/>
          <w:b/>
          <w:bCs/>
          <w:spacing w:val="60"/>
          <w:sz w:val="28"/>
        </w:rPr>
      </w:pPr>
      <w:r w:rsidRPr="00CE3C0F">
        <w:rPr>
          <w:rFonts w:ascii="Palatino Linotype" w:hAnsi="Palatino Linotype"/>
          <w:b/>
          <w:bCs/>
          <w:noProof/>
          <w:spacing w:val="60"/>
          <w:sz w:val="28"/>
          <w:lang w:val="es-MX" w:eastAsia="es-MX"/>
        </w:rPr>
        <w:lastRenderedPageBreak/>
        <w:drawing>
          <wp:anchor distT="0" distB="0" distL="114300" distR="114300" simplePos="0" relativeHeight="251705344" behindDoc="1" locked="0" layoutInCell="1" allowOverlap="1" wp14:anchorId="517BAEA6" wp14:editId="10E7EA9A">
            <wp:simplePos x="0" y="0"/>
            <wp:positionH relativeFrom="column">
              <wp:posOffset>-200025</wp:posOffset>
            </wp:positionH>
            <wp:positionV relativeFrom="paragraph">
              <wp:posOffset>-1057275</wp:posOffset>
            </wp:positionV>
            <wp:extent cx="1695450" cy="102870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E5C30" w:rsidRPr="00584B18">
        <w:rPr>
          <w:rFonts w:ascii="Palatino Linotype" w:hAnsi="Palatino Linotype"/>
          <w:b/>
          <w:bCs/>
          <w:spacing w:val="60"/>
          <w:sz w:val="28"/>
        </w:rPr>
        <w:t>RESUELVE</w:t>
      </w:r>
    </w:p>
    <w:p w:rsidR="009364C7" w:rsidRPr="00476D8A" w:rsidRDefault="00CE3C0F" w:rsidP="009364C7">
      <w:pPr>
        <w:spacing w:before="240" w:after="240" w:line="360" w:lineRule="auto"/>
        <w:jc w:val="both"/>
        <w:rPr>
          <w:rFonts w:ascii="Palatino Linotype" w:hAnsi="Palatino Linotype" w:cs="Arial"/>
        </w:rPr>
      </w:pPr>
      <w:r w:rsidRPr="00CE3C0F">
        <w:rPr>
          <w:rFonts w:ascii="Palatino Linotype" w:hAnsi="Palatino Linotype"/>
          <w:b/>
          <w:bCs/>
          <w:noProof/>
          <w:spacing w:val="60"/>
          <w:sz w:val="28"/>
          <w:lang w:val="es-MX" w:eastAsia="es-MX"/>
        </w:rPr>
        <w:drawing>
          <wp:anchor distT="0" distB="0" distL="114300" distR="114300" simplePos="0" relativeHeight="251706368" behindDoc="1" locked="0" layoutInCell="1" allowOverlap="1" wp14:anchorId="2A6B6BCF" wp14:editId="76139BCB">
            <wp:simplePos x="0" y="0"/>
            <wp:positionH relativeFrom="column">
              <wp:posOffset>399415</wp:posOffset>
            </wp:positionH>
            <wp:positionV relativeFrom="paragraph">
              <wp:posOffset>851535</wp:posOffset>
            </wp:positionV>
            <wp:extent cx="4676775" cy="3905250"/>
            <wp:effectExtent l="0" t="0" r="9525"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364C7" w:rsidRPr="00476D8A">
        <w:rPr>
          <w:rFonts w:ascii="Palatino Linotype" w:hAnsi="Palatino Linotype" w:cs="Arial"/>
          <w:b/>
        </w:rPr>
        <w:t xml:space="preserve">Primero. </w:t>
      </w:r>
      <w:r w:rsidR="00C21607">
        <w:rPr>
          <w:rFonts w:ascii="Palatino Linotype" w:hAnsi="Palatino Linotype" w:cs="Arial"/>
        </w:rPr>
        <w:t>Son infundados</w:t>
      </w:r>
      <w:r w:rsidR="009364C7" w:rsidRPr="00476D8A">
        <w:rPr>
          <w:rFonts w:ascii="Palatino Linotype" w:hAnsi="Palatino Linotype" w:cs="Arial"/>
        </w:rPr>
        <w:t xml:space="preserve"> los motivos de inconformidad aducidos por </w:t>
      </w:r>
      <w:r w:rsidR="009364C7" w:rsidRPr="00476D8A">
        <w:rPr>
          <w:rFonts w:ascii="Palatino Linotype" w:hAnsi="Palatino Linotype" w:cs="Arial"/>
          <w:b/>
        </w:rPr>
        <w:t>la recurrente</w:t>
      </w:r>
      <w:r w:rsidR="009364C7" w:rsidRPr="00476D8A">
        <w:rPr>
          <w:rFonts w:ascii="Palatino Linotype" w:hAnsi="Palatino Linotype" w:cs="Arial"/>
        </w:rPr>
        <w:t>, por ende, en términos de los argumentos de derecho señ</w:t>
      </w:r>
      <w:r w:rsidR="009364C7">
        <w:rPr>
          <w:rFonts w:ascii="Palatino Linotype" w:hAnsi="Palatino Linotype" w:cs="Arial"/>
        </w:rPr>
        <w:t>alados en el considerando Quinto</w:t>
      </w:r>
      <w:r w:rsidR="009364C7" w:rsidRPr="00476D8A">
        <w:rPr>
          <w:rFonts w:ascii="Palatino Linotype" w:hAnsi="Palatino Linotype" w:cs="Arial"/>
        </w:rPr>
        <w:t>, se</w:t>
      </w:r>
      <w:r w:rsidR="009364C7" w:rsidRPr="00476D8A">
        <w:rPr>
          <w:rFonts w:ascii="Palatino Linotype" w:hAnsi="Palatino Linotype" w:cs="Arial"/>
          <w:b/>
        </w:rPr>
        <w:t xml:space="preserve"> CONFIRMA </w:t>
      </w:r>
      <w:r w:rsidR="009364C7" w:rsidRPr="00476D8A">
        <w:rPr>
          <w:rFonts w:ascii="Palatino Linotype" w:hAnsi="Palatino Linotype" w:cs="Arial"/>
        </w:rPr>
        <w:t xml:space="preserve">la respuesta del </w:t>
      </w:r>
      <w:r w:rsidR="009364C7" w:rsidRPr="00476D8A">
        <w:rPr>
          <w:rFonts w:ascii="Palatino Linotype" w:hAnsi="Palatino Linotype" w:cs="Arial"/>
          <w:b/>
        </w:rPr>
        <w:t>Sujeto Obligado</w:t>
      </w:r>
      <w:r w:rsidR="009364C7" w:rsidRPr="00476D8A">
        <w:rPr>
          <w:rFonts w:ascii="Palatino Linotype" w:hAnsi="Palatino Linotype" w:cs="Arial"/>
        </w:rPr>
        <w:t>.</w:t>
      </w:r>
    </w:p>
    <w:p w:rsidR="009364C7" w:rsidRPr="00476D8A" w:rsidRDefault="009364C7" w:rsidP="009364C7">
      <w:pPr>
        <w:pStyle w:val="NormalWeb"/>
        <w:spacing w:line="360" w:lineRule="auto"/>
        <w:jc w:val="both"/>
        <w:rPr>
          <w:rFonts w:ascii="Palatino Linotype" w:hAnsi="Palatino Linotype" w:cs="Arial"/>
          <w:b/>
        </w:rPr>
      </w:pPr>
      <w:r w:rsidRPr="00476D8A">
        <w:rPr>
          <w:rFonts w:ascii="Palatino Linotype" w:hAnsi="Palatino Linotype" w:cs="Arial"/>
          <w:b/>
        </w:rPr>
        <w:t xml:space="preserve">Segundo. </w:t>
      </w:r>
      <w:r w:rsidRPr="00476D8A">
        <w:rPr>
          <w:rFonts w:ascii="Palatino Linotype" w:hAnsi="Palatino Linotype" w:cs="Arial"/>
          <w:b/>
          <w:bCs/>
          <w:shd w:val="clear" w:color="auto" w:fill="FFFFFF"/>
        </w:rPr>
        <w:t>Remítase</w:t>
      </w:r>
      <w:r w:rsidRPr="00476D8A">
        <w:rPr>
          <w:rStyle w:val="apple-converted-space"/>
          <w:rFonts w:ascii="Palatino Linotype" w:hAnsi="Palatino Linotype" w:cs="Arial"/>
          <w:b/>
          <w:bCs/>
          <w:i/>
          <w:iCs/>
          <w:shd w:val="clear" w:color="auto" w:fill="FFFFFF"/>
        </w:rPr>
        <w:t> </w:t>
      </w:r>
      <w:r w:rsidRPr="00476D8A">
        <w:rPr>
          <w:rFonts w:ascii="Palatino Linotype" w:hAnsi="Palatino Linotype"/>
          <w:shd w:val="clear" w:color="auto" w:fill="FFFFFF"/>
        </w:rPr>
        <w:t>al Responsable de la Unidad de Transparencia del</w:t>
      </w:r>
      <w:r w:rsidRPr="00476D8A">
        <w:rPr>
          <w:rStyle w:val="apple-converted-space"/>
          <w:rFonts w:ascii="Palatino Linotype" w:hAnsi="Palatino Linotype"/>
          <w:bCs/>
          <w:shd w:val="clear" w:color="auto" w:fill="FFFFFF"/>
        </w:rPr>
        <w:t> </w:t>
      </w:r>
      <w:r w:rsidRPr="00476D8A">
        <w:rPr>
          <w:rFonts w:ascii="Palatino Linotype" w:hAnsi="Palatino Linotype"/>
          <w:bCs/>
          <w:shd w:val="clear" w:color="auto" w:fill="FFFFFF"/>
        </w:rPr>
        <w:t>Sujeto Obligado</w:t>
      </w:r>
      <w:r w:rsidRPr="00476D8A">
        <w:rPr>
          <w:rFonts w:ascii="Palatino Linotype" w:hAnsi="Palatino Linotype"/>
          <w:shd w:val="clear" w:color="auto" w:fill="FFFFFF"/>
        </w:rPr>
        <w:t xml:space="preserve"> para su conocimiento, la presente resolución.</w:t>
      </w:r>
    </w:p>
    <w:p w:rsidR="00BD4599" w:rsidRDefault="009364C7" w:rsidP="009364C7">
      <w:pPr>
        <w:spacing w:before="240" w:after="240" w:line="360" w:lineRule="auto"/>
        <w:jc w:val="both"/>
        <w:rPr>
          <w:rFonts w:ascii="Palatino Linotype" w:hAnsi="Palatino Linotype"/>
          <w:szCs w:val="17"/>
          <w:lang w:eastAsia="es-ES_tradnl"/>
        </w:rPr>
      </w:pPr>
      <w:r w:rsidRPr="00476D8A">
        <w:rPr>
          <w:rFonts w:ascii="Palatino Linotype" w:hAnsi="Palatino Linotype" w:cs="Arial"/>
          <w:b/>
        </w:rPr>
        <w:t>Tercero.  Hágase del conocimiento</w:t>
      </w:r>
      <w:r w:rsidRPr="00476D8A">
        <w:rPr>
          <w:rFonts w:ascii="Palatino Linotype" w:hAnsi="Palatino Linotype" w:cs="Arial"/>
        </w:rPr>
        <w:t xml:space="preserve"> de la parte recurrente, la presente resolución, así como, </w:t>
      </w:r>
      <w:r w:rsidRPr="00584B18">
        <w:rPr>
          <w:rFonts w:ascii="Palatino Linotype" w:eastAsiaTheme="minorEastAsia" w:hAnsi="Palatino Linotype"/>
          <w:color w:val="222222"/>
          <w:szCs w:val="17"/>
          <w:lang w:eastAsia="es-ES_tradnl"/>
        </w:rPr>
        <w:t xml:space="preserve">que de conformidad con lo establecido en el artículo </w:t>
      </w:r>
      <w:r w:rsidRPr="00584B18">
        <w:rPr>
          <w:rFonts w:ascii="Palatino Linotype" w:hAnsi="Palatino Linotype"/>
          <w:szCs w:val="17"/>
          <w:lang w:eastAsia="es-ES_tradnl"/>
        </w:rPr>
        <w:t>142 de la Ley de Protección de Datos Personales en Posesión de Sujetos Obligados del Estado de México y Municipios, podrá impugnarla vía Juicio de Amparo en los términos de las leyes aplicables.</w:t>
      </w:r>
    </w:p>
    <w:p w:rsidR="00BD4599" w:rsidRDefault="00BD4599" w:rsidP="009364C7">
      <w:pPr>
        <w:spacing w:before="240" w:after="240" w:line="360" w:lineRule="auto"/>
        <w:jc w:val="both"/>
        <w:rPr>
          <w:rFonts w:ascii="Palatino Linotype" w:hAnsi="Palatino Linotype"/>
          <w:szCs w:val="17"/>
          <w:lang w:eastAsia="es-ES_tradnl"/>
        </w:rPr>
      </w:pPr>
      <w:r>
        <w:rPr>
          <w:rFonts w:ascii="Palatino Linotype" w:hAnsi="Palatino Linotype"/>
          <w:lang w:val="es-MX"/>
        </w:rPr>
        <w:t>ASÍ LO R</w:t>
      </w:r>
      <w:r w:rsidR="00F40357">
        <w:rPr>
          <w:rFonts w:ascii="Palatino Linotype" w:hAnsi="Palatino Linotype"/>
          <w:lang w:val="es-MX"/>
        </w:rPr>
        <w:t>ESUELVE, POR MAYORIA</w:t>
      </w:r>
      <w:r w:rsidRPr="009E2306">
        <w:rPr>
          <w:rFonts w:ascii="Palatino Linotype" w:hAnsi="Palatino Linotype"/>
          <w:lang w:val="es-MX"/>
        </w:rPr>
        <w:t xml:space="preserve"> DE VOTOS</w:t>
      </w:r>
      <w:r w:rsidR="00401A4C">
        <w:rPr>
          <w:rFonts w:ascii="Palatino Linotype" w:hAnsi="Palatino Linotype"/>
          <w:lang w:val="es-MX"/>
        </w:rPr>
        <w:t xml:space="preserve"> DE LOS PRESENTES</w:t>
      </w:r>
      <w:r w:rsidRPr="009E2306">
        <w:rPr>
          <w:rFonts w:ascii="Palatino Linotype" w:hAnsi="Palatino Linotype"/>
          <w:lang w:val="es-MX"/>
        </w:rPr>
        <w:t>, EL PLENO DEL INSTITUTO DE TRANSPARENCIA, ACCESO A LA INFORMACIÓN PÚBLICA Y PROTECCIÓN DE DATOS PERSONALES DEL ESTADO DE MÉXICO Y MUNICIPIOS, CONFORMADO POR LOS COMISIONADOS ZULEMA MARTÍNEZ SÁNCHEZ, EVA ABAID YAPUR</w:t>
      </w:r>
      <w:r w:rsidR="00401A4C">
        <w:rPr>
          <w:rFonts w:ascii="Palatino Linotype" w:hAnsi="Palatino Linotype"/>
          <w:lang w:val="es-MX"/>
        </w:rPr>
        <w:t xml:space="preserve"> QUIEN EMITE VOTO PARTICULAR</w:t>
      </w:r>
      <w:r w:rsidRPr="009E2306">
        <w:rPr>
          <w:rFonts w:ascii="Palatino Linotype" w:hAnsi="Palatino Linotype"/>
          <w:lang w:val="es-MX"/>
        </w:rPr>
        <w:t xml:space="preserve">, JOSÉ GUADALUPE LUNA HERNÁNDEZ </w:t>
      </w:r>
      <w:r w:rsidR="00691E1F">
        <w:rPr>
          <w:rFonts w:ascii="Palatino Linotype" w:hAnsi="Palatino Linotype"/>
          <w:lang w:val="es-MX"/>
        </w:rPr>
        <w:t xml:space="preserve">QUIEN </w:t>
      </w:r>
      <w:r w:rsidR="00F40357">
        <w:rPr>
          <w:rFonts w:ascii="Palatino Linotype" w:hAnsi="Palatino Linotype"/>
          <w:lang w:val="es-MX"/>
        </w:rPr>
        <w:t>EMITE VOTO EN CONTRA CON VOTO DISIDENTE;</w:t>
      </w:r>
      <w:r w:rsidR="00F40357" w:rsidRPr="009E2306">
        <w:rPr>
          <w:rFonts w:ascii="Palatino Linotype" w:hAnsi="Palatino Linotype" w:cs="Arial"/>
          <w:i/>
          <w:noProof/>
          <w:szCs w:val="22"/>
          <w:lang w:val="es-MX" w:eastAsia="es-MX"/>
        </w:rPr>
        <w:t xml:space="preserve"> </w:t>
      </w:r>
      <w:r w:rsidR="00F40357" w:rsidRPr="009E2306">
        <w:rPr>
          <w:rFonts w:ascii="Palatino Linotype" w:hAnsi="Palatino Linotype"/>
          <w:lang w:val="es-MX"/>
        </w:rPr>
        <w:t>JAVIER MARTÍNEZ CRUZ</w:t>
      </w:r>
      <w:r w:rsidR="00F40357">
        <w:rPr>
          <w:rFonts w:ascii="Palatino Linotype" w:hAnsi="Palatino Linotype"/>
          <w:lang w:val="es-MX"/>
        </w:rPr>
        <w:t xml:space="preserve"> Y</w:t>
      </w:r>
      <w:r w:rsidR="00F40357" w:rsidRPr="00F40357">
        <w:t xml:space="preserve"> </w:t>
      </w:r>
      <w:r w:rsidR="00F40357" w:rsidRPr="00F40357">
        <w:rPr>
          <w:rFonts w:ascii="Palatino Linotype" w:hAnsi="Palatino Linotype"/>
          <w:lang w:val="es-MX"/>
        </w:rPr>
        <w:t>LUIS GUSTAVO PARRA NORIEGA</w:t>
      </w:r>
      <w:r w:rsidR="00401A4C">
        <w:rPr>
          <w:rFonts w:ascii="Palatino Linotype" w:hAnsi="Palatino Linotype"/>
          <w:lang w:val="es-MX"/>
        </w:rPr>
        <w:t xml:space="preserve"> AUSENTE EN LA VOTACIÓN</w:t>
      </w:r>
      <w:r w:rsidR="00F40357">
        <w:rPr>
          <w:rFonts w:ascii="Palatino Linotype" w:hAnsi="Palatino Linotype"/>
          <w:lang w:val="es-MX"/>
        </w:rPr>
        <w:t xml:space="preserve"> </w:t>
      </w:r>
      <w:r w:rsidR="00F40357" w:rsidRPr="009E2306">
        <w:rPr>
          <w:rFonts w:ascii="Palatino Linotype" w:hAnsi="Palatino Linotype"/>
          <w:lang w:val="es-MX"/>
        </w:rPr>
        <w:t xml:space="preserve"> </w:t>
      </w:r>
      <w:r w:rsidRPr="009E2306">
        <w:rPr>
          <w:rFonts w:ascii="Palatino Linotype" w:hAnsi="Palatino Linotype"/>
          <w:lang w:val="es-MX"/>
        </w:rPr>
        <w:t xml:space="preserve">EN LA </w:t>
      </w:r>
      <w:r w:rsidR="00906EC1">
        <w:rPr>
          <w:rFonts w:ascii="Palatino Linotype" w:hAnsi="Palatino Linotype"/>
          <w:lang w:val="es-MX"/>
        </w:rPr>
        <w:t xml:space="preserve">TERCERA </w:t>
      </w:r>
      <w:r w:rsidRPr="009E2306">
        <w:rPr>
          <w:rFonts w:ascii="Palatino Linotype" w:hAnsi="Palatino Linotype"/>
          <w:lang w:val="es-MX"/>
        </w:rPr>
        <w:t>SESIÓN OR</w:t>
      </w:r>
      <w:r w:rsidR="00906EC1">
        <w:rPr>
          <w:rFonts w:ascii="Palatino Linotype" w:hAnsi="Palatino Linotype"/>
          <w:lang w:val="es-MX"/>
        </w:rPr>
        <w:t>DINARIA CELEBRADA EL VEINTITRÉS DE ENERO DE DOS MIL DIECINUEVE</w:t>
      </w:r>
      <w:r w:rsidRPr="009E2306">
        <w:rPr>
          <w:rFonts w:ascii="Palatino Linotype" w:hAnsi="Palatino Linotype"/>
          <w:lang w:val="es-MX"/>
        </w:rPr>
        <w:t>, ANTE EL SECRETARIO TÉCNICO DEL PLENO,</w:t>
      </w:r>
      <w:r w:rsidRPr="009E2306">
        <w:rPr>
          <w:rFonts w:ascii="Palatino Linotype" w:hAnsi="Palatino Linotype" w:cs="Arial"/>
          <w:lang w:val="es-MX"/>
        </w:rPr>
        <w:t xml:space="preserve"> </w:t>
      </w:r>
      <w:r w:rsidRPr="009E2306">
        <w:rPr>
          <w:rFonts w:ascii="Palatino Linotype" w:hAnsi="Palatino Linotype"/>
          <w:lang w:val="es-MX"/>
        </w:rPr>
        <w:t>ALEXIS TAPIA RAMÍREZ</w:t>
      </w:r>
    </w:p>
    <w:p w:rsidR="00691E1F" w:rsidRDefault="00691E1F" w:rsidP="006865C2">
      <w:pPr>
        <w:spacing w:before="240" w:after="240" w:line="360" w:lineRule="auto"/>
        <w:jc w:val="both"/>
        <w:rPr>
          <w:rFonts w:ascii="Palatino Linotype" w:hAnsi="Palatino Linotype"/>
          <w:sz w:val="12"/>
          <w:lang w:val="es-MX"/>
        </w:rPr>
      </w:pPr>
    </w:p>
    <w:p w:rsidR="004D073A" w:rsidRPr="00EA25FD" w:rsidRDefault="004D073A" w:rsidP="006865C2">
      <w:pPr>
        <w:spacing w:before="240" w:after="240" w:line="360" w:lineRule="auto"/>
        <w:jc w:val="both"/>
        <w:rPr>
          <w:rFonts w:ascii="Palatino Linotype" w:hAnsi="Palatino Linotype"/>
          <w:sz w:val="12"/>
          <w:lang w:val="es-MX"/>
        </w:rPr>
      </w:pPr>
    </w:p>
    <w:p w:rsidR="006865C2" w:rsidRPr="00BD4599" w:rsidRDefault="006865C2" w:rsidP="006865C2">
      <w:pPr>
        <w:jc w:val="center"/>
        <w:rPr>
          <w:rFonts w:ascii="Palatino Linotype" w:hAnsi="Palatino Linotype" w:cs="Arial"/>
          <w:b/>
          <w:lang w:val="es-MX"/>
        </w:rPr>
      </w:pPr>
      <w:r w:rsidRPr="00BD4599">
        <w:rPr>
          <w:rFonts w:ascii="Palatino Linotype" w:hAnsi="Palatino Linotype" w:cs="Arial"/>
          <w:b/>
          <w:lang w:val="es-MX"/>
        </w:rPr>
        <w:t xml:space="preserve">Zulema Martínez Sánchez </w:t>
      </w:r>
    </w:p>
    <w:p w:rsidR="006865C2" w:rsidRPr="009F06FB" w:rsidRDefault="006865C2" w:rsidP="006865C2">
      <w:pPr>
        <w:jc w:val="center"/>
        <w:rPr>
          <w:rFonts w:ascii="Palatino Linotype" w:hAnsi="Palatino Linotype" w:cs="Arial"/>
          <w:lang w:val="es-MX"/>
        </w:rPr>
      </w:pPr>
      <w:r w:rsidRPr="009F06FB">
        <w:rPr>
          <w:rFonts w:ascii="Palatino Linotype" w:hAnsi="Palatino Linotype" w:cs="Arial"/>
          <w:lang w:val="es-MX"/>
        </w:rPr>
        <w:t>Comisionada Presidenta</w:t>
      </w:r>
    </w:p>
    <w:p w:rsidR="006865C2" w:rsidRPr="00750883" w:rsidRDefault="006865C2" w:rsidP="006865C2">
      <w:pPr>
        <w:jc w:val="center"/>
        <w:rPr>
          <w:rFonts w:ascii="Palatino Linotype" w:hAnsi="Palatino Linotype" w:cs="Arial"/>
          <w:color w:val="FFFFFF" w:themeColor="background1"/>
          <w:lang w:val="es-MX"/>
        </w:rPr>
      </w:pPr>
      <w:r w:rsidRPr="00750883">
        <w:rPr>
          <w:rFonts w:ascii="Palatino Linotype" w:hAnsi="Palatino Linotype" w:cs="Arial"/>
          <w:color w:val="FFFFFF" w:themeColor="background1"/>
          <w:lang w:val="es-MX"/>
        </w:rPr>
        <w:t>(Rúbrica)</w:t>
      </w:r>
    </w:p>
    <w:p w:rsidR="006865C2" w:rsidRPr="009F06FB" w:rsidRDefault="006865C2" w:rsidP="006865C2">
      <w:pPr>
        <w:tabs>
          <w:tab w:val="left" w:pos="6645"/>
        </w:tabs>
        <w:rPr>
          <w:rFonts w:ascii="Palatino Linotype" w:hAnsi="Palatino Linotype" w:cs="Arial"/>
          <w:lang w:val="es-MX"/>
        </w:rPr>
      </w:pPr>
    </w:p>
    <w:p w:rsidR="006865C2" w:rsidRPr="009F06FB" w:rsidRDefault="006865C2" w:rsidP="006865C2">
      <w:pPr>
        <w:rPr>
          <w:rFonts w:ascii="Palatino Linotype" w:hAnsi="Palatino Linotype" w:cs="Arial"/>
          <w:b/>
          <w:sz w:val="22"/>
          <w:lang w:val="es-MX"/>
        </w:rPr>
      </w:pPr>
      <w:r w:rsidRPr="009F06FB">
        <w:rPr>
          <w:rFonts w:ascii="Palatino Linotype" w:hAnsi="Palatino Linotype" w:cs="Arial"/>
          <w:b/>
          <w:sz w:val="22"/>
          <w:lang w:val="es-MX"/>
        </w:rPr>
        <w:t xml:space="preserve">                       </w:t>
      </w:r>
    </w:p>
    <w:p w:rsidR="006865C2" w:rsidRPr="009F06FB" w:rsidRDefault="006865C2" w:rsidP="006865C2">
      <w:pPr>
        <w:rPr>
          <w:rFonts w:ascii="Palatino Linotype" w:hAnsi="Palatino Linotype" w:cs="Arial"/>
          <w:b/>
          <w:sz w:val="10"/>
          <w:lang w:val="es-MX"/>
        </w:rPr>
      </w:pPr>
    </w:p>
    <w:p w:rsidR="006865C2" w:rsidRPr="009F06FB" w:rsidRDefault="006865C2" w:rsidP="006865C2">
      <w:pPr>
        <w:rPr>
          <w:rFonts w:ascii="Palatino Linotype" w:hAnsi="Palatino Linotype" w:cs="Arial"/>
          <w:b/>
          <w:sz w:val="22"/>
          <w:lang w:val="es-MX"/>
        </w:rPr>
      </w:pPr>
    </w:p>
    <w:p w:rsidR="00D02F3A" w:rsidRPr="009F06FB" w:rsidRDefault="00D02F3A" w:rsidP="006865C2">
      <w:pPr>
        <w:rPr>
          <w:rFonts w:ascii="Palatino Linotype" w:hAnsi="Palatino Linotype" w:cs="Arial"/>
          <w:b/>
          <w:sz w:val="22"/>
          <w:lang w:val="es-MX"/>
        </w:rPr>
      </w:pPr>
    </w:p>
    <w:p w:rsidR="00691E1F" w:rsidRPr="009F06FB" w:rsidRDefault="00691E1F" w:rsidP="006865C2">
      <w:pPr>
        <w:rPr>
          <w:rFonts w:ascii="Palatino Linotype" w:hAnsi="Palatino Linotype" w:cs="Arial"/>
          <w:b/>
          <w:sz w:val="22"/>
          <w:lang w:val="es-MX"/>
        </w:rPr>
      </w:pPr>
    </w:p>
    <w:p w:rsidR="006865C2" w:rsidRPr="009F06FB" w:rsidRDefault="00D02F3A" w:rsidP="00D02F3A">
      <w:pPr>
        <w:rPr>
          <w:rFonts w:ascii="Palatino Linotype" w:hAnsi="Palatino Linotype" w:cs="Arial"/>
          <w:b/>
          <w:sz w:val="22"/>
          <w:lang w:val="es-MX"/>
        </w:rPr>
      </w:pPr>
      <w:r w:rsidRPr="009F06FB">
        <w:rPr>
          <w:rFonts w:ascii="Palatino Linotype" w:hAnsi="Palatino Linotype" w:cs="Arial"/>
          <w:b/>
          <w:sz w:val="22"/>
          <w:lang w:val="es-MX"/>
        </w:rPr>
        <w:t xml:space="preserve">                 </w:t>
      </w:r>
    </w:p>
    <w:tbl>
      <w:tblPr>
        <w:tblW w:w="9210" w:type="dxa"/>
        <w:jc w:val="center"/>
        <w:tblLayout w:type="fixed"/>
        <w:tblLook w:val="04A0" w:firstRow="1" w:lastRow="0" w:firstColumn="1" w:lastColumn="0" w:noHBand="0" w:noVBand="1"/>
      </w:tblPr>
      <w:tblGrid>
        <w:gridCol w:w="4393"/>
        <w:gridCol w:w="4817"/>
      </w:tblGrid>
      <w:tr w:rsidR="009F06FB" w:rsidRPr="009F06FB" w:rsidTr="00403AEC">
        <w:trPr>
          <w:jc w:val="center"/>
        </w:trPr>
        <w:tc>
          <w:tcPr>
            <w:tcW w:w="4393" w:type="dxa"/>
          </w:tcPr>
          <w:p w:rsidR="006865C2" w:rsidRPr="009F06FB" w:rsidRDefault="006865C2" w:rsidP="00403AEC">
            <w:pPr>
              <w:jc w:val="center"/>
              <w:rPr>
                <w:rFonts w:ascii="Palatino Linotype" w:hAnsi="Palatino Linotype" w:cs="Arial"/>
                <w:b/>
                <w:lang w:val="es-MX"/>
              </w:rPr>
            </w:pPr>
            <w:r w:rsidRPr="009F06FB">
              <w:rPr>
                <w:rFonts w:ascii="Palatino Linotype" w:hAnsi="Palatino Linotype" w:cs="Arial"/>
                <w:b/>
                <w:lang w:val="es-MX"/>
              </w:rPr>
              <w:t xml:space="preserve">Eva </w:t>
            </w:r>
            <w:proofErr w:type="spellStart"/>
            <w:r w:rsidRPr="009F06FB">
              <w:rPr>
                <w:rFonts w:ascii="Palatino Linotype" w:hAnsi="Palatino Linotype" w:cs="Arial"/>
                <w:b/>
                <w:lang w:val="es-MX"/>
              </w:rPr>
              <w:t>Abaid</w:t>
            </w:r>
            <w:proofErr w:type="spellEnd"/>
            <w:r w:rsidRPr="009F06FB">
              <w:rPr>
                <w:rFonts w:ascii="Palatino Linotype" w:hAnsi="Palatino Linotype" w:cs="Arial"/>
                <w:b/>
                <w:lang w:val="es-MX"/>
              </w:rPr>
              <w:t xml:space="preserve"> </w:t>
            </w:r>
            <w:proofErr w:type="spellStart"/>
            <w:r w:rsidRPr="009F06FB">
              <w:rPr>
                <w:rFonts w:ascii="Palatino Linotype" w:hAnsi="Palatino Linotype" w:cs="Arial"/>
                <w:b/>
                <w:lang w:val="es-MX"/>
              </w:rPr>
              <w:t>Yapur</w:t>
            </w:r>
            <w:proofErr w:type="spellEnd"/>
          </w:p>
          <w:p w:rsidR="006865C2" w:rsidRPr="009F06FB" w:rsidRDefault="006865C2" w:rsidP="00403AEC">
            <w:pPr>
              <w:jc w:val="center"/>
              <w:rPr>
                <w:rFonts w:ascii="Palatino Linotype" w:hAnsi="Palatino Linotype" w:cs="Arial"/>
                <w:lang w:val="es-MX"/>
              </w:rPr>
            </w:pPr>
            <w:r w:rsidRPr="009F06FB">
              <w:rPr>
                <w:rFonts w:ascii="Palatino Linotype" w:hAnsi="Palatino Linotype" w:cs="Arial"/>
                <w:lang w:val="es-MX"/>
              </w:rPr>
              <w:t>Comisionada</w:t>
            </w:r>
          </w:p>
          <w:p w:rsidR="006865C2" w:rsidRPr="009F06FB" w:rsidRDefault="006E014C" w:rsidP="00403AEC">
            <w:pPr>
              <w:jc w:val="center"/>
              <w:rPr>
                <w:rFonts w:ascii="Palatino Linotype" w:hAnsi="Palatino Linotype" w:cs="Arial"/>
                <w:lang w:val="es-MX"/>
              </w:rPr>
            </w:pPr>
            <w:r w:rsidRPr="00750883">
              <w:rPr>
                <w:rFonts w:ascii="Palatino Linotype" w:hAnsi="Palatino Linotype" w:cs="Arial"/>
                <w:color w:val="FFFFFF" w:themeColor="background1"/>
                <w:lang w:val="es-MX"/>
              </w:rPr>
              <w:t>(Rúbrica)</w:t>
            </w:r>
          </w:p>
        </w:tc>
        <w:tc>
          <w:tcPr>
            <w:tcW w:w="4817" w:type="dxa"/>
          </w:tcPr>
          <w:p w:rsidR="006865C2" w:rsidRPr="009F06FB" w:rsidRDefault="006865C2" w:rsidP="00403AEC">
            <w:pPr>
              <w:jc w:val="center"/>
              <w:rPr>
                <w:rFonts w:ascii="Palatino Linotype" w:hAnsi="Palatino Linotype" w:cs="Arial"/>
                <w:b/>
                <w:lang w:val="es-MX"/>
              </w:rPr>
            </w:pPr>
            <w:r w:rsidRPr="009F06FB">
              <w:rPr>
                <w:rFonts w:ascii="Palatino Linotype" w:hAnsi="Palatino Linotype" w:cs="Arial"/>
                <w:b/>
                <w:lang w:val="es-MX"/>
              </w:rPr>
              <w:t>José Guadalupe Luna Hernández</w:t>
            </w:r>
          </w:p>
          <w:p w:rsidR="006865C2" w:rsidRPr="009F06FB" w:rsidRDefault="006865C2" w:rsidP="00403AEC">
            <w:pPr>
              <w:jc w:val="center"/>
              <w:rPr>
                <w:rFonts w:ascii="Palatino Linotype" w:hAnsi="Palatino Linotype" w:cs="Arial"/>
                <w:lang w:val="es-MX"/>
              </w:rPr>
            </w:pPr>
            <w:r w:rsidRPr="009F06FB">
              <w:rPr>
                <w:rFonts w:ascii="Palatino Linotype" w:hAnsi="Palatino Linotype" w:cs="Arial"/>
                <w:lang w:val="es-MX"/>
              </w:rPr>
              <w:t>Comisionado</w:t>
            </w:r>
          </w:p>
          <w:p w:rsidR="00EF5E87" w:rsidRPr="00750883" w:rsidRDefault="00EF5E87" w:rsidP="00EF5E87">
            <w:pPr>
              <w:tabs>
                <w:tab w:val="left" w:pos="6330"/>
              </w:tabs>
              <w:jc w:val="center"/>
              <w:rPr>
                <w:rFonts w:ascii="Palatino Linotype" w:hAnsi="Palatino Linotype" w:cs="Arial"/>
                <w:b/>
                <w:color w:val="FFFFFF" w:themeColor="background1"/>
                <w:lang w:val="es-MX"/>
              </w:rPr>
            </w:pPr>
            <w:r w:rsidRPr="00750883">
              <w:rPr>
                <w:rFonts w:ascii="Palatino Linotype" w:hAnsi="Palatino Linotype" w:cs="Arial"/>
                <w:color w:val="FFFFFF" w:themeColor="background1"/>
                <w:lang w:val="es-MX"/>
              </w:rPr>
              <w:t>(Rúbrica)</w:t>
            </w:r>
          </w:p>
          <w:p w:rsidR="006865C2" w:rsidRPr="009F06FB" w:rsidRDefault="006865C2" w:rsidP="00403AEC">
            <w:pPr>
              <w:jc w:val="center"/>
              <w:rPr>
                <w:rFonts w:ascii="Palatino Linotype" w:hAnsi="Palatino Linotype" w:cs="Arial"/>
                <w:lang w:val="es-MX"/>
              </w:rPr>
            </w:pPr>
          </w:p>
          <w:p w:rsidR="006865C2" w:rsidRPr="009F06FB" w:rsidRDefault="006865C2" w:rsidP="00A95D4E">
            <w:pPr>
              <w:rPr>
                <w:rFonts w:ascii="Palatino Linotype" w:hAnsi="Palatino Linotype" w:cs="Arial"/>
                <w:lang w:val="es-MX"/>
              </w:rPr>
            </w:pPr>
          </w:p>
        </w:tc>
      </w:tr>
      <w:tr w:rsidR="009F06FB" w:rsidRPr="009F06FB" w:rsidTr="00403AEC">
        <w:trPr>
          <w:jc w:val="center"/>
        </w:trPr>
        <w:tc>
          <w:tcPr>
            <w:tcW w:w="4393" w:type="dxa"/>
          </w:tcPr>
          <w:p w:rsidR="006865C2" w:rsidRPr="009F06FB" w:rsidRDefault="006865C2" w:rsidP="00403AEC">
            <w:pPr>
              <w:rPr>
                <w:rFonts w:ascii="Palatino Linotype" w:hAnsi="Palatino Linotype" w:cs="Arial"/>
                <w:b/>
                <w:lang w:val="es-MX"/>
              </w:rPr>
            </w:pPr>
          </w:p>
        </w:tc>
        <w:tc>
          <w:tcPr>
            <w:tcW w:w="4817" w:type="dxa"/>
          </w:tcPr>
          <w:p w:rsidR="006865C2" w:rsidRPr="009F06FB" w:rsidRDefault="006865C2" w:rsidP="00403AEC">
            <w:pPr>
              <w:rPr>
                <w:rFonts w:ascii="Palatino Linotype" w:hAnsi="Palatino Linotype" w:cs="Arial"/>
                <w:lang w:val="es-MX"/>
              </w:rPr>
            </w:pPr>
          </w:p>
          <w:p w:rsidR="006865C2" w:rsidRPr="009F06FB" w:rsidRDefault="006865C2" w:rsidP="00403AEC">
            <w:pPr>
              <w:rPr>
                <w:rFonts w:ascii="Palatino Linotype" w:hAnsi="Palatino Linotype" w:cs="Arial"/>
                <w:lang w:val="es-MX"/>
              </w:rPr>
            </w:pPr>
          </w:p>
          <w:p w:rsidR="00691E1F" w:rsidRPr="009F06FB" w:rsidRDefault="00691E1F" w:rsidP="00403AEC">
            <w:pPr>
              <w:rPr>
                <w:rFonts w:ascii="Palatino Linotype" w:hAnsi="Palatino Linotype" w:cs="Arial"/>
                <w:lang w:val="es-MX"/>
              </w:rPr>
            </w:pPr>
          </w:p>
        </w:tc>
      </w:tr>
      <w:tr w:rsidR="009F06FB" w:rsidRPr="009F06FB" w:rsidTr="00403AEC">
        <w:trPr>
          <w:jc w:val="center"/>
        </w:trPr>
        <w:tc>
          <w:tcPr>
            <w:tcW w:w="4393" w:type="dxa"/>
          </w:tcPr>
          <w:p w:rsidR="006865C2" w:rsidRPr="009F06FB" w:rsidRDefault="006865C2" w:rsidP="00403AEC">
            <w:pPr>
              <w:rPr>
                <w:rFonts w:ascii="Palatino Linotype" w:hAnsi="Palatino Linotype" w:cs="Arial"/>
                <w:b/>
                <w:lang w:val="es-MX"/>
              </w:rPr>
            </w:pPr>
          </w:p>
        </w:tc>
        <w:tc>
          <w:tcPr>
            <w:tcW w:w="4817" w:type="dxa"/>
          </w:tcPr>
          <w:p w:rsidR="006865C2" w:rsidRPr="00803361" w:rsidRDefault="00803361" w:rsidP="00803361">
            <w:pPr>
              <w:jc w:val="center"/>
              <w:rPr>
                <w:rFonts w:ascii="Palatino Linotype" w:hAnsi="Palatino Linotype" w:cs="Arial"/>
                <w:sz w:val="16"/>
                <w:lang w:val="es-MX"/>
              </w:rPr>
            </w:pPr>
            <w:r w:rsidRPr="00803361">
              <w:rPr>
                <w:rFonts w:ascii="Palatino Linotype" w:hAnsi="Palatino Linotype" w:cs="Arial"/>
                <w:lang w:val="es-MX"/>
              </w:rPr>
              <w:t>AUSENTE EN LA VOTACIÓN</w:t>
            </w:r>
          </w:p>
        </w:tc>
      </w:tr>
    </w:tbl>
    <w:p w:rsidR="006865C2" w:rsidRPr="009F06FB" w:rsidRDefault="00691E1F" w:rsidP="006865C2">
      <w:pPr>
        <w:tabs>
          <w:tab w:val="left" w:pos="6330"/>
        </w:tabs>
        <w:rPr>
          <w:rFonts w:ascii="Palatino Linotype" w:hAnsi="Palatino Linotype" w:cs="Arial"/>
          <w:b/>
          <w:lang w:val="es-MX"/>
        </w:rPr>
      </w:pPr>
      <w:r w:rsidRPr="009F06FB">
        <w:rPr>
          <w:rFonts w:ascii="Palatino Linotype" w:hAnsi="Palatino Linotype"/>
          <w:noProof/>
          <w:lang w:val="es-MX" w:eastAsia="es-MX"/>
        </w:rPr>
        <mc:AlternateContent>
          <mc:Choice Requires="wps">
            <w:drawing>
              <wp:anchor distT="45720" distB="45720" distL="114300" distR="114300" simplePos="0" relativeHeight="251663360" behindDoc="0" locked="0" layoutInCell="1" allowOverlap="1" wp14:anchorId="0642BEE4" wp14:editId="49A1E7D3">
                <wp:simplePos x="0" y="0"/>
                <wp:positionH relativeFrom="column">
                  <wp:posOffset>272415</wp:posOffset>
                </wp:positionH>
                <wp:positionV relativeFrom="paragraph">
                  <wp:posOffset>64135</wp:posOffset>
                </wp:positionV>
                <wp:extent cx="2360930" cy="1404620"/>
                <wp:effectExtent l="0" t="0" r="0" b="317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A35573" w:rsidRPr="009F06FB" w:rsidRDefault="00A35573" w:rsidP="00691E1F">
                            <w:pPr>
                              <w:jc w:val="center"/>
                              <w:rPr>
                                <w:rFonts w:ascii="Palatino Linotype" w:hAnsi="Palatino Linotype" w:cs="Arial"/>
                                <w:b/>
                                <w:lang w:val="es-MX"/>
                              </w:rPr>
                            </w:pPr>
                            <w:r w:rsidRPr="009F06FB">
                              <w:rPr>
                                <w:rFonts w:ascii="Palatino Linotype" w:hAnsi="Palatino Linotype" w:cs="Arial"/>
                                <w:b/>
                                <w:lang w:val="es-MX"/>
                              </w:rPr>
                              <w:t>Javier Martínez Cruz</w:t>
                            </w:r>
                          </w:p>
                          <w:p w:rsidR="00A35573" w:rsidRPr="009F06FB" w:rsidRDefault="00A35573" w:rsidP="00691E1F">
                            <w:pPr>
                              <w:jc w:val="center"/>
                              <w:rPr>
                                <w:rFonts w:ascii="Palatino Linotype" w:hAnsi="Palatino Linotype" w:cs="Arial"/>
                                <w:lang w:val="es-MX"/>
                              </w:rPr>
                            </w:pPr>
                            <w:r w:rsidRPr="009F06FB">
                              <w:rPr>
                                <w:rFonts w:ascii="Palatino Linotype" w:hAnsi="Palatino Linotype" w:cs="Arial"/>
                                <w:lang w:val="es-MX"/>
                              </w:rPr>
                              <w:t>Comisionado</w:t>
                            </w:r>
                          </w:p>
                          <w:p w:rsidR="00A35573" w:rsidRPr="00750883" w:rsidRDefault="00A35573" w:rsidP="00691E1F">
                            <w:pPr>
                              <w:tabs>
                                <w:tab w:val="left" w:pos="6330"/>
                              </w:tabs>
                              <w:jc w:val="center"/>
                              <w:rPr>
                                <w:rFonts w:ascii="Palatino Linotype" w:hAnsi="Palatino Linotype" w:cs="Arial"/>
                                <w:b/>
                                <w:color w:val="FFFFFF" w:themeColor="background1"/>
                                <w:lang w:val="es-MX"/>
                              </w:rPr>
                            </w:pPr>
                            <w:r w:rsidRPr="00750883">
                              <w:rPr>
                                <w:rFonts w:ascii="Palatino Linotype" w:hAnsi="Palatino Linotype" w:cs="Arial"/>
                                <w:color w:val="FFFFFF" w:themeColor="background1"/>
                                <w:lang w:val="es-MX"/>
                              </w:rPr>
                              <w:t>(Rúbrica)</w:t>
                            </w:r>
                          </w:p>
                          <w:p w:rsidR="00A35573" w:rsidRDefault="00A35573" w:rsidP="00691E1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642BEE4" id="_x0000_t202" coordsize="21600,21600" o:spt="202" path="m,l,21600r21600,l21600,xe">
                <v:stroke joinstyle="miter"/>
                <v:path gradientshapeok="t" o:connecttype="rect"/>
              </v:shapetype>
              <v:shape id="Cuadro de texto 2" o:spid="_x0000_s1026" type="#_x0000_t202" style="position:absolute;margin-left:21.45pt;margin-top:5.0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" filled="f" stroked="f">
                <v:textbox style="mso-fit-shape-to-text:t">
                  <w:txbxContent>
                    <w:p w:rsidR="00A35573" w:rsidRPr="009F06FB" w:rsidRDefault="00A35573" w:rsidP="00691E1F">
                      <w:pPr>
                        <w:jc w:val="center"/>
                        <w:rPr>
                          <w:rFonts w:ascii="Palatino Linotype" w:hAnsi="Palatino Linotype" w:cs="Arial"/>
                          <w:b/>
                          <w:lang w:val="es-MX"/>
                        </w:rPr>
                      </w:pPr>
                      <w:r w:rsidRPr="009F06FB">
                        <w:rPr>
                          <w:rFonts w:ascii="Palatino Linotype" w:hAnsi="Palatino Linotype" w:cs="Arial"/>
                          <w:b/>
                          <w:lang w:val="es-MX"/>
                        </w:rPr>
                        <w:t>Javier Martínez Cruz</w:t>
                      </w:r>
                    </w:p>
                    <w:p w:rsidR="00A35573" w:rsidRPr="009F06FB" w:rsidRDefault="00A35573" w:rsidP="00691E1F">
                      <w:pPr>
                        <w:jc w:val="center"/>
                        <w:rPr>
                          <w:rFonts w:ascii="Palatino Linotype" w:hAnsi="Palatino Linotype" w:cs="Arial"/>
                          <w:lang w:val="es-MX"/>
                        </w:rPr>
                      </w:pPr>
                      <w:r w:rsidRPr="009F06FB">
                        <w:rPr>
                          <w:rFonts w:ascii="Palatino Linotype" w:hAnsi="Palatino Linotype" w:cs="Arial"/>
                          <w:lang w:val="es-MX"/>
                        </w:rPr>
                        <w:t>Comisionado</w:t>
                      </w:r>
                    </w:p>
                    <w:p w:rsidR="00A35573" w:rsidRPr="00750883" w:rsidRDefault="00A35573" w:rsidP="00691E1F">
                      <w:pPr>
                        <w:tabs>
                          <w:tab w:val="left" w:pos="6330"/>
                        </w:tabs>
                        <w:jc w:val="center"/>
                        <w:rPr>
                          <w:rFonts w:ascii="Palatino Linotype" w:hAnsi="Palatino Linotype" w:cs="Arial"/>
                          <w:b/>
                          <w:color w:val="FFFFFF" w:themeColor="background1"/>
                          <w:lang w:val="es-MX"/>
                        </w:rPr>
                      </w:pPr>
                      <w:r w:rsidRPr="00750883">
                        <w:rPr>
                          <w:rFonts w:ascii="Palatino Linotype" w:hAnsi="Palatino Linotype" w:cs="Arial"/>
                          <w:color w:val="FFFFFF" w:themeColor="background1"/>
                          <w:lang w:val="es-MX"/>
                        </w:rPr>
                        <w:t>(Rúbrica)</w:t>
                      </w:r>
                    </w:p>
                    <w:p w:rsidR="00A35573" w:rsidRDefault="00A35573" w:rsidP="00691E1F"/>
                  </w:txbxContent>
                </v:textbox>
              </v:shape>
            </w:pict>
          </mc:Fallback>
        </mc:AlternateContent>
      </w:r>
      <w:r w:rsidRPr="009F06FB">
        <w:rPr>
          <w:rFonts w:ascii="Palatino Linotype" w:hAnsi="Palatino Linotype"/>
          <w:noProof/>
          <w:lang w:val="es-MX" w:eastAsia="es-MX"/>
        </w:rPr>
        <mc:AlternateContent>
          <mc:Choice Requires="wps">
            <w:drawing>
              <wp:anchor distT="45720" distB="45720" distL="114300" distR="114300" simplePos="0" relativeHeight="251661312" behindDoc="0" locked="0" layoutInCell="1" allowOverlap="1" wp14:anchorId="63476FED" wp14:editId="469DD4FA">
                <wp:simplePos x="0" y="0"/>
                <wp:positionH relativeFrom="column">
                  <wp:posOffset>3120390</wp:posOffset>
                </wp:positionH>
                <wp:positionV relativeFrom="paragraph">
                  <wp:posOffset>73660</wp:posOffset>
                </wp:positionV>
                <wp:extent cx="2360930" cy="1404620"/>
                <wp:effectExtent l="0" t="0" r="0" b="31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A35573" w:rsidRPr="009F06FB" w:rsidRDefault="00A35573" w:rsidP="00691E1F">
                            <w:pPr>
                              <w:jc w:val="center"/>
                              <w:rPr>
                                <w:rFonts w:ascii="Palatino Linotype" w:hAnsi="Palatino Linotype" w:cs="Arial"/>
                                <w:b/>
                                <w:lang w:val="es-MX"/>
                              </w:rPr>
                            </w:pPr>
                            <w:r w:rsidRPr="009F06FB">
                              <w:rPr>
                                <w:rFonts w:ascii="Palatino Linotype" w:hAnsi="Palatino Linotype" w:cs="Arial"/>
                                <w:b/>
                                <w:lang w:val="es-MX"/>
                              </w:rPr>
                              <w:t>Luis Gustavo Parra Noriega</w:t>
                            </w:r>
                          </w:p>
                          <w:p w:rsidR="00A35573" w:rsidRPr="009F06FB" w:rsidRDefault="00A35573" w:rsidP="00691E1F">
                            <w:pPr>
                              <w:jc w:val="center"/>
                              <w:rPr>
                                <w:rFonts w:ascii="Palatino Linotype" w:hAnsi="Palatino Linotype" w:cs="Arial"/>
                                <w:lang w:val="es-MX"/>
                              </w:rPr>
                            </w:pPr>
                            <w:r w:rsidRPr="009F06FB">
                              <w:rPr>
                                <w:rFonts w:ascii="Palatino Linotype" w:hAnsi="Palatino Linotype" w:cs="Arial"/>
                                <w:lang w:val="es-MX"/>
                              </w:rPr>
                              <w:t>Comisionado</w:t>
                            </w:r>
                          </w:p>
                          <w:p w:rsidR="00A35573" w:rsidRDefault="00A35573" w:rsidP="00691E1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3476FED" id="_x0000_t202" coordsize="21600,21600" o:spt="202" path="m,l,21600r21600,l21600,xe">
                <v:stroke joinstyle="miter"/>
                <v:path gradientshapeok="t" o:connecttype="rect"/>
              </v:shapetype>
              <v:shape id="_x0000_s1027" type="#_x0000_t202" style="position:absolute;margin-left:245.7pt;margin-top:5.8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" filled="f" stroked="f">
                <v:textbox style="mso-fit-shape-to-text:t">
                  <w:txbxContent>
                    <w:p w:rsidR="00A35573" w:rsidRPr="009F06FB" w:rsidRDefault="00A35573" w:rsidP="00691E1F">
                      <w:pPr>
                        <w:jc w:val="center"/>
                        <w:rPr>
                          <w:rFonts w:ascii="Palatino Linotype" w:hAnsi="Palatino Linotype" w:cs="Arial"/>
                          <w:b/>
                          <w:lang w:val="es-MX"/>
                        </w:rPr>
                      </w:pPr>
                      <w:r w:rsidRPr="009F06FB">
                        <w:rPr>
                          <w:rFonts w:ascii="Palatino Linotype" w:hAnsi="Palatino Linotype" w:cs="Arial"/>
                          <w:b/>
                          <w:lang w:val="es-MX"/>
                        </w:rPr>
                        <w:t>Luis Gustavo Parra Noriega</w:t>
                      </w:r>
                    </w:p>
                    <w:p w:rsidR="00A35573" w:rsidRPr="009F06FB" w:rsidRDefault="00A35573" w:rsidP="00691E1F">
                      <w:pPr>
                        <w:jc w:val="center"/>
                        <w:rPr>
                          <w:rFonts w:ascii="Palatino Linotype" w:hAnsi="Palatino Linotype" w:cs="Arial"/>
                          <w:lang w:val="es-MX"/>
                        </w:rPr>
                      </w:pPr>
                      <w:r w:rsidRPr="009F06FB">
                        <w:rPr>
                          <w:rFonts w:ascii="Palatino Linotype" w:hAnsi="Palatino Linotype" w:cs="Arial"/>
                          <w:lang w:val="es-MX"/>
                        </w:rPr>
                        <w:t>Comisionado</w:t>
                      </w:r>
                    </w:p>
                    <w:p w:rsidR="00A35573" w:rsidRDefault="00A35573" w:rsidP="00691E1F"/>
                  </w:txbxContent>
                </v:textbox>
              </v:shape>
            </w:pict>
          </mc:Fallback>
        </mc:AlternateContent>
      </w:r>
    </w:p>
    <w:p w:rsidR="006865C2" w:rsidRPr="009F06FB" w:rsidRDefault="006865C2" w:rsidP="006865C2">
      <w:pPr>
        <w:tabs>
          <w:tab w:val="left" w:pos="6330"/>
        </w:tabs>
        <w:rPr>
          <w:rFonts w:ascii="Palatino Linotype" w:hAnsi="Palatino Linotype" w:cs="Arial"/>
          <w:b/>
          <w:lang w:val="es-MX"/>
        </w:rPr>
      </w:pPr>
    </w:p>
    <w:p w:rsidR="006865C2" w:rsidRPr="009F06FB" w:rsidRDefault="006865C2" w:rsidP="006865C2">
      <w:pPr>
        <w:tabs>
          <w:tab w:val="left" w:pos="6330"/>
        </w:tabs>
        <w:rPr>
          <w:rFonts w:ascii="Palatino Linotype" w:hAnsi="Palatino Linotype" w:cs="Arial"/>
          <w:b/>
          <w:lang w:val="es-MX"/>
        </w:rPr>
      </w:pPr>
    </w:p>
    <w:p w:rsidR="006865C2" w:rsidRPr="009F06FB" w:rsidRDefault="006865C2" w:rsidP="006865C2">
      <w:pPr>
        <w:tabs>
          <w:tab w:val="left" w:pos="6330"/>
        </w:tabs>
        <w:rPr>
          <w:rFonts w:ascii="Palatino Linotype" w:hAnsi="Palatino Linotype" w:cs="Arial"/>
          <w:b/>
          <w:lang w:val="es-MX"/>
        </w:rPr>
      </w:pPr>
    </w:p>
    <w:p w:rsidR="00691E1F" w:rsidRPr="009F06FB" w:rsidRDefault="00691E1F" w:rsidP="006865C2">
      <w:pPr>
        <w:tabs>
          <w:tab w:val="left" w:pos="6330"/>
        </w:tabs>
        <w:rPr>
          <w:rFonts w:ascii="Palatino Linotype" w:hAnsi="Palatino Linotype" w:cs="Arial"/>
          <w:b/>
          <w:lang w:val="es-MX"/>
        </w:rPr>
      </w:pPr>
    </w:p>
    <w:p w:rsidR="00691E1F" w:rsidRPr="009F06FB" w:rsidRDefault="00691E1F" w:rsidP="006865C2">
      <w:pPr>
        <w:tabs>
          <w:tab w:val="left" w:pos="6330"/>
        </w:tabs>
        <w:rPr>
          <w:rFonts w:ascii="Palatino Linotype" w:hAnsi="Palatino Linotype" w:cs="Arial"/>
          <w:b/>
          <w:lang w:val="es-MX"/>
        </w:rPr>
      </w:pPr>
    </w:p>
    <w:p w:rsidR="00691E1F" w:rsidRDefault="00691E1F" w:rsidP="006865C2">
      <w:pPr>
        <w:tabs>
          <w:tab w:val="left" w:pos="6330"/>
        </w:tabs>
        <w:rPr>
          <w:rFonts w:ascii="Palatino Linotype" w:hAnsi="Palatino Linotype" w:cs="Arial"/>
          <w:b/>
          <w:lang w:val="es-MX"/>
        </w:rPr>
      </w:pPr>
    </w:p>
    <w:p w:rsidR="004D073A" w:rsidRPr="009F06FB" w:rsidRDefault="004D073A" w:rsidP="006865C2">
      <w:pPr>
        <w:tabs>
          <w:tab w:val="left" w:pos="6330"/>
        </w:tabs>
        <w:rPr>
          <w:rFonts w:ascii="Palatino Linotype" w:hAnsi="Palatino Linotype" w:cs="Arial"/>
          <w:b/>
          <w:lang w:val="es-MX"/>
        </w:rPr>
      </w:pPr>
    </w:p>
    <w:p w:rsidR="00691E1F" w:rsidRPr="009F06FB" w:rsidRDefault="00691E1F" w:rsidP="006865C2">
      <w:pPr>
        <w:tabs>
          <w:tab w:val="left" w:pos="6330"/>
        </w:tabs>
        <w:rPr>
          <w:rFonts w:ascii="Palatino Linotype" w:hAnsi="Palatino Linotype" w:cs="Arial"/>
          <w:b/>
          <w:lang w:val="es-MX"/>
        </w:rPr>
      </w:pPr>
    </w:p>
    <w:p w:rsidR="006865C2" w:rsidRPr="009F06FB" w:rsidRDefault="006865C2" w:rsidP="006865C2">
      <w:pPr>
        <w:jc w:val="center"/>
        <w:rPr>
          <w:rFonts w:ascii="Palatino Linotype" w:hAnsi="Palatino Linotype" w:cs="Arial"/>
          <w:b/>
          <w:lang w:val="es-MX"/>
        </w:rPr>
      </w:pPr>
      <w:r w:rsidRPr="009F06FB">
        <w:rPr>
          <w:rFonts w:ascii="Palatino Linotype" w:hAnsi="Palatino Linotype" w:cs="Arial"/>
          <w:b/>
          <w:lang w:val="es-MX"/>
        </w:rPr>
        <w:t>Alexis Tapia Ramírez</w:t>
      </w:r>
    </w:p>
    <w:p w:rsidR="006865C2" w:rsidRPr="009F06FB" w:rsidRDefault="006865C2" w:rsidP="00A95D4E">
      <w:pPr>
        <w:jc w:val="center"/>
        <w:rPr>
          <w:rFonts w:ascii="Palatino Linotype" w:hAnsi="Palatino Linotype" w:cs="Arial"/>
          <w:lang w:val="es-MX"/>
        </w:rPr>
      </w:pPr>
      <w:r w:rsidRPr="009F06FB">
        <w:rPr>
          <w:rFonts w:ascii="Palatino Linotype" w:hAnsi="Palatino Linotype" w:cs="Arial"/>
          <w:lang w:val="es-MX"/>
        </w:rPr>
        <w:t>Secretario Técnico del Pleno</w:t>
      </w:r>
    </w:p>
    <w:p w:rsidR="00E26D9E" w:rsidRPr="00750883" w:rsidRDefault="00E26D9E" w:rsidP="00A95D4E">
      <w:pPr>
        <w:jc w:val="center"/>
        <w:rPr>
          <w:rFonts w:ascii="Palatino Linotype" w:hAnsi="Palatino Linotype" w:cs="Arial"/>
          <w:color w:val="FFFFFF" w:themeColor="background1"/>
          <w:lang w:val="es-MX"/>
        </w:rPr>
      </w:pPr>
      <w:r w:rsidRPr="00750883">
        <w:rPr>
          <w:rFonts w:ascii="Palatino Linotype" w:hAnsi="Palatino Linotype" w:cs="Arial"/>
          <w:color w:val="FFFFFF" w:themeColor="background1"/>
          <w:lang w:val="es-MX"/>
        </w:rPr>
        <w:t>(Rúbrica)</w:t>
      </w:r>
    </w:p>
    <w:p w:rsidR="00BD4599" w:rsidRPr="00A95D4E" w:rsidRDefault="00BD4599" w:rsidP="00A95D4E">
      <w:pPr>
        <w:jc w:val="center"/>
        <w:rPr>
          <w:rFonts w:ascii="Palatino Linotype" w:hAnsi="Palatino Linotype" w:cs="Arial"/>
          <w:lang w:val="es-MX"/>
        </w:rPr>
      </w:pPr>
    </w:p>
    <w:p w:rsidR="00DC63ED" w:rsidRPr="00EF5E87" w:rsidRDefault="006865C2" w:rsidP="00EF5E87">
      <w:pPr>
        <w:jc w:val="both"/>
        <w:rPr>
          <w:rFonts w:ascii="Palatino Linotype" w:hAnsi="Palatino Linotype" w:cs="Arial"/>
          <w:lang w:val="es-MX"/>
        </w:rPr>
      </w:pPr>
      <w:r w:rsidRPr="00EA25FD">
        <w:rPr>
          <w:rFonts w:ascii="Palatino Linotype" w:hAnsi="Palatino Linotype" w:cs="Arial"/>
          <w:sz w:val="22"/>
          <w:szCs w:val="22"/>
          <w:lang w:val="es-MX"/>
        </w:rPr>
        <w:t>Esta hoja corresponde a l</w:t>
      </w:r>
      <w:r w:rsidR="00906EC1">
        <w:rPr>
          <w:rFonts w:ascii="Palatino Linotype" w:hAnsi="Palatino Linotype" w:cs="Arial"/>
          <w:sz w:val="22"/>
          <w:szCs w:val="22"/>
          <w:lang w:val="es-MX"/>
        </w:rPr>
        <w:t>a resolución de fecha veintitrés de enero de dos mil diecinueve</w:t>
      </w:r>
      <w:r w:rsidRPr="00EA25FD">
        <w:rPr>
          <w:rFonts w:ascii="Palatino Linotype" w:hAnsi="Palatino Linotype" w:cs="Arial"/>
          <w:sz w:val="22"/>
          <w:szCs w:val="22"/>
          <w:lang w:val="es-MX"/>
        </w:rPr>
        <w:t xml:space="preserve">, emitida en el recurso de revisión </w:t>
      </w:r>
      <w:r w:rsidR="00906EC1">
        <w:rPr>
          <w:rFonts w:ascii="Palatino Linotype" w:hAnsi="Palatino Linotype"/>
          <w:b/>
          <w:sz w:val="22"/>
          <w:szCs w:val="22"/>
          <w:lang w:val="es-ES_tradnl"/>
        </w:rPr>
        <w:t>03153</w:t>
      </w:r>
      <w:r w:rsidRPr="00EA25FD">
        <w:rPr>
          <w:rFonts w:ascii="Palatino Linotype" w:hAnsi="Palatino Linotype"/>
          <w:b/>
          <w:sz w:val="22"/>
          <w:szCs w:val="22"/>
          <w:lang w:val="es-ES_tradnl"/>
        </w:rPr>
        <w:t>/INFOEM/IP/RR/2018</w:t>
      </w:r>
      <w:r w:rsidRPr="00EA25FD">
        <w:rPr>
          <w:rFonts w:ascii="Palatino Linotype" w:hAnsi="Palatino Linotype" w:cs="Arial"/>
          <w:lang w:val="es-MX"/>
        </w:rPr>
        <w:t>.</w:t>
      </w:r>
    </w:p>
    <w:sectPr w:rsidR="00DC63ED" w:rsidRPr="00EF5E87" w:rsidSect="00403AEC">
      <w:headerReference w:type="default" r:id="rId10"/>
      <w:footerReference w:type="default" r:id="rId11"/>
      <w:headerReference w:type="first" r:id="rId12"/>
      <w:footerReference w:type="first" r:id="rId13"/>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17C" w:rsidRDefault="0066317C">
      <w:r>
        <w:separator/>
      </w:r>
    </w:p>
  </w:endnote>
  <w:endnote w:type="continuationSeparator" w:id="0">
    <w:p w:rsidR="0066317C" w:rsidRDefault="0066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573" w:rsidRDefault="00A35573" w:rsidP="00403AEC">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04447">
      <w:rPr>
        <w:rFonts w:ascii="Arial" w:hAnsi="Arial" w:cs="Arial"/>
        <w:b/>
        <w:bCs/>
        <w:noProof/>
        <w:sz w:val="20"/>
        <w:szCs w:val="20"/>
      </w:rPr>
      <w:t>28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04447">
      <w:rPr>
        <w:rFonts w:ascii="Arial" w:hAnsi="Arial" w:cs="Arial"/>
        <w:b/>
        <w:bCs/>
        <w:noProof/>
        <w:sz w:val="20"/>
        <w:szCs w:val="20"/>
      </w:rPr>
      <w:t>29</w:t>
    </w:r>
    <w:r>
      <w:rPr>
        <w:rFonts w:ascii="Arial" w:hAnsi="Arial" w:cs="Arial"/>
        <w:b/>
        <w:bCs/>
        <w:sz w:val="20"/>
        <w:szCs w:val="20"/>
      </w:rPr>
      <w:fldChar w:fldCharType="end"/>
    </w:r>
  </w:p>
  <w:p w:rsidR="00A35573" w:rsidRDefault="00A35573" w:rsidP="00403AEC">
    <w:pPr>
      <w:pStyle w:val="Piedepgina"/>
      <w:rPr>
        <w:rFonts w:ascii="Times New Roman" w:hAnsi="Times New Roman" w:cs="Times New Roman"/>
      </w:rPr>
    </w:pPr>
  </w:p>
  <w:p w:rsidR="00A35573" w:rsidRDefault="00A35573" w:rsidP="00403AEC">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573" w:rsidRDefault="00A35573" w:rsidP="00403AEC">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0444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04447">
      <w:rPr>
        <w:rFonts w:ascii="Arial" w:hAnsi="Arial" w:cs="Arial"/>
        <w:b/>
        <w:bCs/>
        <w:noProof/>
        <w:sz w:val="20"/>
        <w:szCs w:val="20"/>
      </w:rPr>
      <w:t>29</w:t>
    </w:r>
    <w:r>
      <w:rPr>
        <w:rFonts w:ascii="Arial" w:hAnsi="Arial" w:cs="Arial"/>
        <w:b/>
        <w:bCs/>
        <w:sz w:val="20"/>
        <w:szCs w:val="20"/>
      </w:rPr>
      <w:fldChar w:fldCharType="end"/>
    </w:r>
  </w:p>
  <w:p w:rsidR="00A35573" w:rsidRDefault="00A355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17C" w:rsidRDefault="0066317C">
      <w:r>
        <w:separator/>
      </w:r>
    </w:p>
  </w:footnote>
  <w:footnote w:type="continuationSeparator" w:id="0">
    <w:p w:rsidR="0066317C" w:rsidRDefault="0066317C">
      <w:r>
        <w:continuationSeparator/>
      </w:r>
    </w:p>
  </w:footnote>
  <w:footnote w:id="1">
    <w:p w:rsidR="00A35573" w:rsidRDefault="00A35573" w:rsidP="00165168">
      <w:pPr>
        <w:pStyle w:val="Textonotapie"/>
        <w:spacing w:line="240" w:lineRule="auto"/>
        <w:rPr>
          <w:b/>
          <w:u w:val="single"/>
        </w:rPr>
      </w:pPr>
      <w:r>
        <w:rPr>
          <w:rStyle w:val="Refdenotaalpie"/>
        </w:rPr>
        <w:footnoteRef/>
      </w:r>
      <w:r>
        <w:t xml:space="preserve"> </w:t>
      </w:r>
      <w:r w:rsidRPr="00165168">
        <w:rPr>
          <w:b/>
          <w:u w:val="single"/>
        </w:rPr>
        <w:t>“Un legajo o conjunto de actas e informes que contienen las actividades de investigación realizadas por el agente del Ministerio Público, auxiliado de la policía y de los peritos”</w:t>
      </w:r>
    </w:p>
    <w:p w:rsidR="00A35573" w:rsidRDefault="00A35573" w:rsidP="00165168">
      <w:pPr>
        <w:pStyle w:val="Textonotapie"/>
        <w:spacing w:line="240" w:lineRule="auto"/>
      </w:pPr>
    </w:p>
  </w:footnote>
  <w:footnote w:id="2">
    <w:p w:rsidR="00A35573" w:rsidRDefault="00A35573" w:rsidP="00C53DA6">
      <w:pPr>
        <w:pStyle w:val="Textonotapie"/>
        <w:spacing w:line="240" w:lineRule="auto"/>
      </w:pPr>
      <w:r>
        <w:rPr>
          <w:rStyle w:val="Refdenotaalpie"/>
        </w:rPr>
        <w:footnoteRef/>
      </w:r>
      <w:r>
        <w:t xml:space="preserve"> </w:t>
      </w:r>
      <w:r w:rsidRPr="00C53DA6">
        <w:rPr>
          <w:b/>
          <w:u w:val="single"/>
        </w:rPr>
        <w:t>La investigación de los delitos corresponde al Ministerio Público</w:t>
      </w:r>
      <w:r w:rsidRPr="00C53DA6">
        <w:t xml:space="preserve"> y a las policías, las cuales actuarán bajo la conducción y mando de aquél en el ejercicio de esta función.</w:t>
      </w:r>
    </w:p>
  </w:footnote>
  <w:footnote w:id="3">
    <w:p w:rsidR="00A35573" w:rsidRDefault="00A35573" w:rsidP="0032171D">
      <w:pPr>
        <w:pStyle w:val="Textonotapie"/>
        <w:spacing w:line="240" w:lineRule="auto"/>
      </w:pPr>
      <w:r>
        <w:rPr>
          <w:rStyle w:val="Refdenotaalpie"/>
        </w:rPr>
        <w:footnoteRef/>
      </w:r>
      <w:r>
        <w:t xml:space="preserve"> </w:t>
      </w:r>
      <w:r w:rsidRPr="0032171D">
        <w:t>artículos 2o., fracción II y 123 del Código Federal de Procedimientos Penales</w:t>
      </w:r>
    </w:p>
  </w:footnote>
  <w:footnote w:id="4">
    <w:p w:rsidR="00A35573" w:rsidRDefault="00A35573" w:rsidP="0032171D">
      <w:pPr>
        <w:pStyle w:val="Textonotapie"/>
        <w:spacing w:line="240" w:lineRule="auto"/>
      </w:pPr>
      <w:r>
        <w:rPr>
          <w:rStyle w:val="Refdenotaalpie"/>
        </w:rPr>
        <w:footnoteRef/>
      </w:r>
      <w:r>
        <w:t xml:space="preserve"> </w:t>
      </w:r>
      <w:r w:rsidRPr="0032171D">
        <w:t>artículos 206 a 278 del Código Federal de Procedimientos Penales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A35573" w:rsidRPr="00FC65CB" w:rsidTr="00403AEC">
      <w:tc>
        <w:tcPr>
          <w:tcW w:w="2552" w:type="dxa"/>
          <w:vAlign w:val="center"/>
          <w:hideMark/>
        </w:tcPr>
        <w:p w:rsidR="00A35573" w:rsidRPr="00FC65CB" w:rsidRDefault="00A35573" w:rsidP="00403AEC">
          <w:pPr>
            <w:rPr>
              <w:rFonts w:ascii="Palatino Linotype" w:hAnsi="Palatino Linotype"/>
              <w:b/>
              <w:sz w:val="21"/>
              <w:szCs w:val="21"/>
              <w:lang w:val="es-ES_tradnl"/>
            </w:rPr>
          </w:pPr>
          <w:r w:rsidRPr="00FC65CB">
            <w:rPr>
              <w:rFonts w:ascii="Palatino Linotype" w:hAnsi="Palatino Linotype"/>
              <w:b/>
              <w:sz w:val="21"/>
              <w:szCs w:val="21"/>
              <w:lang w:val="es-ES_tradnl"/>
            </w:rPr>
            <w:t>Recursos de Revisión:</w:t>
          </w:r>
        </w:p>
      </w:tc>
      <w:tc>
        <w:tcPr>
          <w:tcW w:w="2976" w:type="dxa"/>
          <w:vAlign w:val="center"/>
          <w:hideMark/>
        </w:tcPr>
        <w:p w:rsidR="00A35573" w:rsidRPr="00FC65CB" w:rsidRDefault="00A35573" w:rsidP="00403AEC">
          <w:pPr>
            <w:jc w:val="both"/>
            <w:rPr>
              <w:rFonts w:ascii="Palatino Linotype" w:hAnsi="Palatino Linotype"/>
              <w:b/>
              <w:sz w:val="21"/>
              <w:szCs w:val="21"/>
              <w:lang w:val="es-ES_tradnl"/>
            </w:rPr>
          </w:pPr>
          <w:r>
            <w:rPr>
              <w:rFonts w:ascii="Palatino Linotype" w:hAnsi="Palatino Linotype"/>
              <w:b/>
              <w:sz w:val="21"/>
              <w:szCs w:val="21"/>
              <w:lang w:val="es-ES_tradnl"/>
            </w:rPr>
            <w:t>03153/INFOEM/IP/RR/2018</w:t>
          </w:r>
        </w:p>
      </w:tc>
    </w:tr>
    <w:tr w:rsidR="00A35573" w:rsidRPr="00FC65CB" w:rsidTr="00403AEC">
      <w:trPr>
        <w:trHeight w:val="228"/>
      </w:trPr>
      <w:tc>
        <w:tcPr>
          <w:tcW w:w="2552" w:type="dxa"/>
          <w:vAlign w:val="center"/>
          <w:hideMark/>
        </w:tcPr>
        <w:p w:rsidR="00A35573" w:rsidRPr="00FC65CB" w:rsidRDefault="00A35573" w:rsidP="00403AEC">
          <w:pPr>
            <w:rPr>
              <w:rFonts w:ascii="Palatino Linotype" w:hAnsi="Palatino Linotype"/>
              <w:b/>
              <w:sz w:val="21"/>
              <w:szCs w:val="21"/>
              <w:lang w:val="es-ES_tradnl"/>
            </w:rPr>
          </w:pPr>
          <w:r w:rsidRPr="00FC65CB">
            <w:rPr>
              <w:rFonts w:ascii="Palatino Linotype" w:hAnsi="Palatino Linotype"/>
              <w:b/>
              <w:sz w:val="21"/>
              <w:szCs w:val="21"/>
              <w:lang w:val="es-ES_tradnl"/>
            </w:rPr>
            <w:t>Sujeto obligado:</w:t>
          </w:r>
        </w:p>
      </w:tc>
      <w:tc>
        <w:tcPr>
          <w:tcW w:w="2976" w:type="dxa"/>
          <w:vAlign w:val="center"/>
          <w:hideMark/>
        </w:tcPr>
        <w:p w:rsidR="00A35573" w:rsidRPr="00FC65CB" w:rsidRDefault="00A35573" w:rsidP="00403AEC">
          <w:pPr>
            <w:jc w:val="both"/>
            <w:rPr>
              <w:rFonts w:ascii="Palatino Linotype" w:hAnsi="Palatino Linotype"/>
              <w:b/>
              <w:sz w:val="21"/>
              <w:szCs w:val="21"/>
              <w:lang w:val="es-ES_tradnl"/>
            </w:rPr>
          </w:pPr>
          <w:r w:rsidRPr="00430158">
            <w:rPr>
              <w:rFonts w:ascii="Palatino Linotype" w:hAnsi="Palatino Linotype"/>
              <w:b/>
              <w:sz w:val="21"/>
              <w:szCs w:val="21"/>
              <w:lang w:val="es-ES_tradnl"/>
            </w:rPr>
            <w:t>Fiscalía General de Justicia del Estado de México</w:t>
          </w:r>
        </w:p>
      </w:tc>
    </w:tr>
    <w:tr w:rsidR="00A35573" w:rsidRPr="00FC65CB" w:rsidTr="00403AEC">
      <w:tc>
        <w:tcPr>
          <w:tcW w:w="2552" w:type="dxa"/>
          <w:vAlign w:val="center"/>
          <w:hideMark/>
        </w:tcPr>
        <w:p w:rsidR="00A35573" w:rsidRPr="00FC65CB" w:rsidRDefault="00A35573" w:rsidP="00403AEC">
          <w:pPr>
            <w:rPr>
              <w:rFonts w:ascii="Palatino Linotype" w:hAnsi="Palatino Linotype"/>
              <w:b/>
              <w:sz w:val="21"/>
              <w:szCs w:val="21"/>
              <w:lang w:val="es-ES_tradnl"/>
            </w:rPr>
          </w:pPr>
          <w:r w:rsidRPr="00FC65CB">
            <w:rPr>
              <w:rFonts w:ascii="Palatino Linotype" w:hAnsi="Palatino Linotype"/>
              <w:b/>
              <w:sz w:val="21"/>
              <w:szCs w:val="21"/>
              <w:lang w:val="es-ES_tradnl"/>
            </w:rPr>
            <w:t>Comisionado ponente:</w:t>
          </w:r>
        </w:p>
      </w:tc>
      <w:tc>
        <w:tcPr>
          <w:tcW w:w="2976" w:type="dxa"/>
          <w:vAlign w:val="center"/>
          <w:hideMark/>
        </w:tcPr>
        <w:p w:rsidR="00A35573" w:rsidRPr="00FC65CB" w:rsidRDefault="00A35573" w:rsidP="00403AEC">
          <w:pPr>
            <w:ind w:right="-533"/>
            <w:jc w:val="both"/>
            <w:rPr>
              <w:rFonts w:ascii="Palatino Linotype" w:hAnsi="Palatino Linotype"/>
              <w:b/>
              <w:sz w:val="21"/>
              <w:szCs w:val="21"/>
              <w:lang w:val="es-ES_tradnl"/>
            </w:rPr>
          </w:pPr>
          <w:r w:rsidRPr="00FC65CB">
            <w:rPr>
              <w:rFonts w:ascii="Palatino Linotype" w:hAnsi="Palatino Linotype"/>
              <w:b/>
              <w:sz w:val="21"/>
              <w:szCs w:val="21"/>
              <w:lang w:val="es-ES_tradnl"/>
            </w:rPr>
            <w:t>Javier Martínez Cruz</w:t>
          </w:r>
        </w:p>
      </w:tc>
    </w:tr>
  </w:tbl>
  <w:p w:rsidR="00A35573" w:rsidRDefault="00A35573" w:rsidP="00403AEC">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573" w:rsidRDefault="00A35573" w:rsidP="00403AEC">
    <w:pPr>
      <w:pStyle w:val="Encabezado"/>
      <w:jc w:val="both"/>
    </w:pPr>
    <w:r>
      <w:t xml:space="preserve">                                  </w:t>
    </w:r>
  </w:p>
  <w:tbl>
    <w:tblPr>
      <w:tblW w:w="6238" w:type="dxa"/>
      <w:tblInd w:w="3119" w:type="dxa"/>
      <w:tblLayout w:type="fixed"/>
      <w:tblLook w:val="04A0" w:firstRow="1" w:lastRow="0" w:firstColumn="1" w:lastColumn="0" w:noHBand="0" w:noVBand="1"/>
    </w:tblPr>
    <w:tblGrid>
      <w:gridCol w:w="2551"/>
      <w:gridCol w:w="3687"/>
    </w:tblGrid>
    <w:tr w:rsidR="00A35573" w:rsidRPr="00294C56" w:rsidTr="00403AEC">
      <w:tc>
        <w:tcPr>
          <w:tcW w:w="2551" w:type="dxa"/>
          <w:vAlign w:val="center"/>
          <w:hideMark/>
        </w:tcPr>
        <w:p w:rsidR="00A35573" w:rsidRPr="00294C56" w:rsidRDefault="00A35573" w:rsidP="00403AEC">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A35573" w:rsidRPr="00294C56" w:rsidRDefault="00A35573" w:rsidP="00403AEC">
          <w:pPr>
            <w:jc w:val="both"/>
            <w:rPr>
              <w:rFonts w:ascii="Palatino Linotype" w:hAnsi="Palatino Linotype"/>
              <w:b/>
              <w:sz w:val="21"/>
              <w:szCs w:val="21"/>
              <w:lang w:val="es-ES_tradnl"/>
            </w:rPr>
          </w:pPr>
          <w:r>
            <w:rPr>
              <w:rFonts w:ascii="Palatino Linotype" w:hAnsi="Palatino Linotype"/>
              <w:b/>
              <w:sz w:val="21"/>
              <w:szCs w:val="21"/>
              <w:lang w:val="es-ES_tradnl"/>
            </w:rPr>
            <w:t>03153/INFOEM/IP/RR/2018</w:t>
          </w:r>
        </w:p>
      </w:tc>
    </w:tr>
    <w:tr w:rsidR="00A35573" w:rsidRPr="00294C56" w:rsidTr="00403AEC">
      <w:tc>
        <w:tcPr>
          <w:tcW w:w="2551" w:type="dxa"/>
          <w:vAlign w:val="center"/>
          <w:hideMark/>
        </w:tcPr>
        <w:p w:rsidR="00A35573" w:rsidRPr="00294C56" w:rsidRDefault="00A35573" w:rsidP="00403AEC">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A35573" w:rsidRPr="00294C56" w:rsidRDefault="00C92689" w:rsidP="008452EB">
          <w:pPr>
            <w:jc w:val="both"/>
            <w:rPr>
              <w:rFonts w:ascii="Palatino Linotype" w:hAnsi="Palatino Linotype"/>
              <w:b/>
              <w:sz w:val="21"/>
              <w:szCs w:val="21"/>
              <w:lang w:val="es-ES_tradnl"/>
            </w:rPr>
          </w:pPr>
          <w:r>
            <w:rPr>
              <w:rFonts w:ascii="Palatino Linotype" w:hAnsi="Palatino Linotype"/>
              <w:b/>
              <w:sz w:val="21"/>
              <w:szCs w:val="21"/>
              <w:lang w:val="es-ES_tradnl"/>
            </w:rPr>
            <w:t>XXXXXXXXXXXXXXXXXXXXXX</w:t>
          </w:r>
        </w:p>
      </w:tc>
    </w:tr>
    <w:tr w:rsidR="00A35573" w:rsidRPr="00294C56" w:rsidTr="00403AEC">
      <w:trPr>
        <w:trHeight w:val="228"/>
      </w:trPr>
      <w:tc>
        <w:tcPr>
          <w:tcW w:w="2551" w:type="dxa"/>
          <w:vAlign w:val="center"/>
          <w:hideMark/>
        </w:tcPr>
        <w:p w:rsidR="00A35573" w:rsidRPr="00294C56" w:rsidRDefault="00A35573" w:rsidP="00403AEC">
          <w:pPr>
            <w:rPr>
              <w:rFonts w:ascii="Palatino Linotype" w:hAnsi="Palatino Linotype"/>
              <w:b/>
              <w:sz w:val="21"/>
              <w:szCs w:val="21"/>
              <w:lang w:val="es-ES_tradnl"/>
            </w:rPr>
          </w:pPr>
          <w:r>
            <w:rPr>
              <w:rFonts w:ascii="Palatino Linotype" w:hAnsi="Palatino Linotype"/>
              <w:b/>
              <w:sz w:val="21"/>
              <w:szCs w:val="21"/>
              <w:lang w:val="es-ES_tradnl"/>
            </w:rPr>
            <w:t>Sujeto O</w:t>
          </w:r>
          <w:r w:rsidRPr="00294C56">
            <w:rPr>
              <w:rFonts w:ascii="Palatino Linotype" w:hAnsi="Palatino Linotype"/>
              <w:b/>
              <w:sz w:val="21"/>
              <w:szCs w:val="21"/>
              <w:lang w:val="es-ES_tradnl"/>
            </w:rPr>
            <w:t>bligado:</w:t>
          </w:r>
        </w:p>
      </w:tc>
      <w:tc>
        <w:tcPr>
          <w:tcW w:w="3687" w:type="dxa"/>
          <w:vAlign w:val="center"/>
          <w:hideMark/>
        </w:tcPr>
        <w:p w:rsidR="00A35573" w:rsidRPr="00294C56" w:rsidRDefault="00A35573" w:rsidP="00403AEC">
          <w:pPr>
            <w:jc w:val="both"/>
            <w:rPr>
              <w:rFonts w:ascii="Palatino Linotype" w:hAnsi="Palatino Linotype"/>
              <w:b/>
              <w:sz w:val="21"/>
              <w:szCs w:val="21"/>
              <w:lang w:val="es-ES_tradnl"/>
            </w:rPr>
          </w:pPr>
          <w:r w:rsidRPr="00430158">
            <w:rPr>
              <w:rFonts w:ascii="Palatino Linotype" w:hAnsi="Palatino Linotype"/>
              <w:b/>
              <w:sz w:val="21"/>
              <w:szCs w:val="21"/>
              <w:lang w:val="es-ES_tradnl"/>
            </w:rPr>
            <w:t>Fiscalía General de Justicia del Estado de México</w:t>
          </w:r>
        </w:p>
      </w:tc>
    </w:tr>
    <w:tr w:rsidR="00A35573" w:rsidRPr="00294C56" w:rsidTr="00403AEC">
      <w:tc>
        <w:tcPr>
          <w:tcW w:w="2551" w:type="dxa"/>
          <w:vAlign w:val="center"/>
          <w:hideMark/>
        </w:tcPr>
        <w:p w:rsidR="00A35573" w:rsidRPr="00294C56" w:rsidRDefault="00A35573" w:rsidP="00403AEC">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A35573" w:rsidRPr="00294C56" w:rsidRDefault="00A35573" w:rsidP="00403AEC">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A35573" w:rsidRDefault="00A35573" w:rsidP="00403AE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8ED207B"/>
    <w:multiLevelType w:val="hybridMultilevel"/>
    <w:tmpl w:val="83806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6E030A"/>
    <w:multiLevelType w:val="hybridMultilevel"/>
    <w:tmpl w:val="FEE2F024"/>
    <w:lvl w:ilvl="0" w:tplc="F38AACF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CB5EAF"/>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EC0DA2"/>
    <w:multiLevelType w:val="hybridMultilevel"/>
    <w:tmpl w:val="769CE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403571"/>
    <w:multiLevelType w:val="hybridMultilevel"/>
    <w:tmpl w:val="B75A6E06"/>
    <w:lvl w:ilvl="0" w:tplc="DDDE38EA">
      <w:start w:val="1"/>
      <w:numFmt w:val="decimal"/>
      <w:lvlText w:val="%1."/>
      <w:lvlJc w:val="left"/>
      <w:pPr>
        <w:ind w:left="346" w:hanging="240"/>
      </w:pPr>
      <w:rPr>
        <w:rFonts w:ascii="Times New Roman" w:eastAsia="Times New Roman" w:hAnsi="Times New Roman" w:hint="default"/>
        <w:color w:val="231F20"/>
        <w:w w:val="100"/>
        <w:sz w:val="22"/>
        <w:szCs w:val="22"/>
      </w:rPr>
    </w:lvl>
    <w:lvl w:ilvl="1" w:tplc="BECAFFF4">
      <w:start w:val="1"/>
      <w:numFmt w:val="decimal"/>
      <w:lvlText w:val="%2)"/>
      <w:lvlJc w:val="left"/>
      <w:pPr>
        <w:ind w:left="586" w:hanging="240"/>
      </w:pPr>
      <w:rPr>
        <w:rFonts w:ascii="Times New Roman" w:eastAsia="Times New Roman" w:hAnsi="Times New Roman" w:hint="default"/>
        <w:color w:val="231F20"/>
        <w:w w:val="100"/>
        <w:sz w:val="22"/>
        <w:szCs w:val="22"/>
      </w:rPr>
    </w:lvl>
    <w:lvl w:ilvl="2" w:tplc="080A0001">
      <w:start w:val="1"/>
      <w:numFmt w:val="bullet"/>
      <w:lvlText w:val=""/>
      <w:lvlJc w:val="left"/>
      <w:pPr>
        <w:ind w:left="584" w:hanging="238"/>
      </w:pPr>
      <w:rPr>
        <w:rFonts w:ascii="Symbol" w:hAnsi="Symbol" w:hint="default"/>
        <w:color w:val="231F20"/>
        <w:w w:val="100"/>
        <w:sz w:val="22"/>
        <w:szCs w:val="22"/>
      </w:rPr>
    </w:lvl>
    <w:lvl w:ilvl="3" w:tplc="A4BC519E">
      <w:start w:val="1"/>
      <w:numFmt w:val="decimal"/>
      <w:lvlText w:val="%4)"/>
      <w:lvlJc w:val="left"/>
      <w:pPr>
        <w:ind w:left="586" w:hanging="240"/>
      </w:pPr>
      <w:rPr>
        <w:rFonts w:ascii="Times New Roman" w:eastAsia="Times New Roman" w:hAnsi="Times New Roman" w:hint="default"/>
        <w:color w:val="231F20"/>
        <w:w w:val="100"/>
        <w:sz w:val="22"/>
        <w:szCs w:val="22"/>
      </w:rPr>
    </w:lvl>
    <w:lvl w:ilvl="4" w:tplc="77128EF2">
      <w:start w:val="1"/>
      <w:numFmt w:val="bullet"/>
      <w:lvlText w:val="—"/>
      <w:lvlJc w:val="left"/>
      <w:pPr>
        <w:ind w:left="906" w:hanging="320"/>
      </w:pPr>
      <w:rPr>
        <w:rFonts w:ascii="Times New Roman" w:eastAsia="Times New Roman" w:hAnsi="Times New Roman" w:hint="default"/>
        <w:color w:val="231F20"/>
        <w:w w:val="100"/>
        <w:sz w:val="22"/>
        <w:szCs w:val="22"/>
      </w:rPr>
    </w:lvl>
    <w:lvl w:ilvl="5" w:tplc="8006CFDE">
      <w:start w:val="1"/>
      <w:numFmt w:val="bullet"/>
      <w:lvlText w:val="•"/>
      <w:lvlJc w:val="left"/>
      <w:pPr>
        <w:ind w:left="3077" w:hanging="320"/>
      </w:pPr>
      <w:rPr>
        <w:rFonts w:hint="default"/>
      </w:rPr>
    </w:lvl>
    <w:lvl w:ilvl="6" w:tplc="02B675DA">
      <w:start w:val="1"/>
      <w:numFmt w:val="bullet"/>
      <w:lvlText w:val="•"/>
      <w:lvlJc w:val="left"/>
      <w:pPr>
        <w:ind w:left="3802" w:hanging="320"/>
      </w:pPr>
      <w:rPr>
        <w:rFonts w:hint="default"/>
      </w:rPr>
    </w:lvl>
    <w:lvl w:ilvl="7" w:tplc="ADA653F8">
      <w:start w:val="1"/>
      <w:numFmt w:val="bullet"/>
      <w:lvlText w:val="•"/>
      <w:lvlJc w:val="left"/>
      <w:pPr>
        <w:ind w:left="4528" w:hanging="320"/>
      </w:pPr>
      <w:rPr>
        <w:rFonts w:hint="default"/>
      </w:rPr>
    </w:lvl>
    <w:lvl w:ilvl="8" w:tplc="CDD03B84">
      <w:start w:val="1"/>
      <w:numFmt w:val="bullet"/>
      <w:lvlText w:val="•"/>
      <w:lvlJc w:val="left"/>
      <w:pPr>
        <w:ind w:left="5254" w:hanging="320"/>
      </w:pPr>
      <w:rPr>
        <w:rFonts w:hint="default"/>
      </w:rPr>
    </w:lvl>
  </w:abstractNum>
  <w:abstractNum w:abstractNumId="6" w15:restartNumberingAfterBreak="0">
    <w:nsid w:val="305270E2"/>
    <w:multiLevelType w:val="hybridMultilevel"/>
    <w:tmpl w:val="CF94E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FA2B12"/>
    <w:multiLevelType w:val="hybridMultilevel"/>
    <w:tmpl w:val="2D00A452"/>
    <w:lvl w:ilvl="0" w:tplc="AB80FB9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734022E"/>
    <w:multiLevelType w:val="hybridMultilevel"/>
    <w:tmpl w:val="812846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96233A"/>
    <w:multiLevelType w:val="hybridMultilevel"/>
    <w:tmpl w:val="AA10D8DA"/>
    <w:lvl w:ilvl="0" w:tplc="85DA6AAC">
      <w:start w:val="1"/>
      <w:numFmt w:val="lowerLetter"/>
      <w:lvlText w:val="%1)"/>
      <w:lvlJc w:val="left"/>
      <w:pPr>
        <w:ind w:left="1413" w:hanging="360"/>
      </w:pPr>
      <w:rPr>
        <w:rFonts w:eastAsia="Arial Unicode MS" w:cs="Arial" w:hint="default"/>
        <w:sz w:val="24"/>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1" w15:restartNumberingAfterBreak="0">
    <w:nsid w:val="3BB43165"/>
    <w:multiLevelType w:val="hybridMultilevel"/>
    <w:tmpl w:val="4F54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AA26ED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083D09"/>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7E56EB"/>
    <w:multiLevelType w:val="hybridMultilevel"/>
    <w:tmpl w:val="ECB8C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E6029B"/>
    <w:multiLevelType w:val="hybridMultilevel"/>
    <w:tmpl w:val="43B2646E"/>
    <w:lvl w:ilvl="0" w:tplc="5DB09E06">
      <w:start w:val="1"/>
      <w:numFmt w:val="decimal"/>
      <w:lvlText w:val="%1."/>
      <w:lvlJc w:val="left"/>
      <w:pPr>
        <w:ind w:left="327" w:hanging="222"/>
      </w:pPr>
      <w:rPr>
        <w:rFonts w:ascii="Times New Roman" w:eastAsia="Times New Roman" w:hAnsi="Times New Roman" w:hint="default"/>
        <w:color w:val="231F20"/>
        <w:w w:val="100"/>
        <w:sz w:val="22"/>
        <w:szCs w:val="22"/>
      </w:rPr>
    </w:lvl>
    <w:lvl w:ilvl="1" w:tplc="F02A3ACE">
      <w:start w:val="1"/>
      <w:numFmt w:val="decimal"/>
      <w:lvlText w:val="%2"/>
      <w:lvlJc w:val="left"/>
      <w:pPr>
        <w:ind w:left="106" w:hanging="251"/>
      </w:pPr>
      <w:rPr>
        <w:rFonts w:ascii="Times New Roman" w:eastAsia="Times New Roman" w:hAnsi="Times New Roman" w:hint="default"/>
        <w:color w:val="231F20"/>
        <w:w w:val="100"/>
        <w:position w:val="4"/>
        <w:sz w:val="14"/>
        <w:szCs w:val="14"/>
      </w:rPr>
    </w:lvl>
    <w:lvl w:ilvl="2" w:tplc="7EEA3914">
      <w:start w:val="1"/>
      <w:numFmt w:val="lowerLetter"/>
      <w:lvlText w:val="%3)"/>
      <w:lvlJc w:val="left"/>
      <w:pPr>
        <w:ind w:left="586" w:hanging="208"/>
      </w:pPr>
      <w:rPr>
        <w:rFonts w:ascii="Times New Roman" w:eastAsia="Times New Roman" w:hAnsi="Times New Roman" w:hint="default"/>
        <w:color w:val="231F20"/>
        <w:w w:val="100"/>
        <w:sz w:val="20"/>
        <w:szCs w:val="20"/>
      </w:rPr>
    </w:lvl>
    <w:lvl w:ilvl="3" w:tplc="1F568DCA">
      <w:start w:val="1"/>
      <w:numFmt w:val="bullet"/>
      <w:lvlText w:val="•"/>
      <w:lvlJc w:val="left"/>
      <w:pPr>
        <w:ind w:left="1345" w:hanging="208"/>
      </w:pPr>
      <w:rPr>
        <w:rFonts w:hint="default"/>
      </w:rPr>
    </w:lvl>
    <w:lvl w:ilvl="4" w:tplc="27BA92D6">
      <w:start w:val="1"/>
      <w:numFmt w:val="bullet"/>
      <w:lvlText w:val="•"/>
      <w:lvlJc w:val="left"/>
      <w:pPr>
        <w:ind w:left="2111" w:hanging="208"/>
      </w:pPr>
      <w:rPr>
        <w:rFonts w:hint="default"/>
      </w:rPr>
    </w:lvl>
    <w:lvl w:ilvl="5" w:tplc="80745D06">
      <w:start w:val="1"/>
      <w:numFmt w:val="bullet"/>
      <w:lvlText w:val="•"/>
      <w:lvlJc w:val="left"/>
      <w:pPr>
        <w:ind w:left="2877" w:hanging="208"/>
      </w:pPr>
      <w:rPr>
        <w:rFonts w:hint="default"/>
      </w:rPr>
    </w:lvl>
    <w:lvl w:ilvl="6" w:tplc="0DC0D4A8">
      <w:start w:val="1"/>
      <w:numFmt w:val="bullet"/>
      <w:lvlText w:val="•"/>
      <w:lvlJc w:val="left"/>
      <w:pPr>
        <w:ind w:left="3642" w:hanging="208"/>
      </w:pPr>
      <w:rPr>
        <w:rFonts w:hint="default"/>
      </w:rPr>
    </w:lvl>
    <w:lvl w:ilvl="7" w:tplc="ECBC7AE0">
      <w:start w:val="1"/>
      <w:numFmt w:val="bullet"/>
      <w:lvlText w:val="•"/>
      <w:lvlJc w:val="left"/>
      <w:pPr>
        <w:ind w:left="4408" w:hanging="208"/>
      </w:pPr>
      <w:rPr>
        <w:rFonts w:hint="default"/>
      </w:rPr>
    </w:lvl>
    <w:lvl w:ilvl="8" w:tplc="42A40CF6">
      <w:start w:val="1"/>
      <w:numFmt w:val="bullet"/>
      <w:lvlText w:val="•"/>
      <w:lvlJc w:val="left"/>
      <w:pPr>
        <w:ind w:left="5174" w:hanging="208"/>
      </w:pPr>
      <w:rPr>
        <w:rFonts w:hint="default"/>
      </w:rPr>
    </w:lvl>
  </w:abstractNum>
  <w:abstractNum w:abstractNumId="18" w15:restartNumberingAfterBreak="0">
    <w:nsid w:val="50645203"/>
    <w:multiLevelType w:val="hybridMultilevel"/>
    <w:tmpl w:val="05DABF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4D4C8D"/>
    <w:multiLevelType w:val="hybridMultilevel"/>
    <w:tmpl w:val="077EA82C"/>
    <w:lvl w:ilvl="0" w:tplc="E700A9F6">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5E51241A"/>
    <w:multiLevelType w:val="hybridMultilevel"/>
    <w:tmpl w:val="46AEEBBA"/>
    <w:lvl w:ilvl="0" w:tplc="C36A6D56">
      <w:start w:val="1"/>
      <w:numFmt w:val="decimal"/>
      <w:lvlText w:val="%1)"/>
      <w:lvlJc w:val="left"/>
      <w:pPr>
        <w:ind w:left="597" w:hanging="251"/>
      </w:pPr>
      <w:rPr>
        <w:rFonts w:ascii="Times New Roman" w:eastAsia="Times New Roman" w:hAnsi="Times New Roman" w:hint="default"/>
        <w:color w:val="231F20"/>
        <w:w w:val="100"/>
        <w:sz w:val="22"/>
        <w:szCs w:val="22"/>
      </w:rPr>
    </w:lvl>
    <w:lvl w:ilvl="1" w:tplc="E0A0E6D6">
      <w:start w:val="1"/>
      <w:numFmt w:val="bullet"/>
      <w:lvlText w:val="•"/>
      <w:lvlJc w:val="left"/>
      <w:pPr>
        <w:ind w:left="1210" w:hanging="251"/>
      </w:pPr>
      <w:rPr>
        <w:rFonts w:hint="default"/>
      </w:rPr>
    </w:lvl>
    <w:lvl w:ilvl="2" w:tplc="4866C600">
      <w:start w:val="1"/>
      <w:numFmt w:val="bullet"/>
      <w:lvlText w:val="•"/>
      <w:lvlJc w:val="left"/>
      <w:pPr>
        <w:ind w:left="1821" w:hanging="251"/>
      </w:pPr>
      <w:rPr>
        <w:rFonts w:hint="default"/>
      </w:rPr>
    </w:lvl>
    <w:lvl w:ilvl="3" w:tplc="6924ECB0">
      <w:start w:val="1"/>
      <w:numFmt w:val="bullet"/>
      <w:lvlText w:val="•"/>
      <w:lvlJc w:val="left"/>
      <w:pPr>
        <w:ind w:left="2431" w:hanging="251"/>
      </w:pPr>
      <w:rPr>
        <w:rFonts w:hint="default"/>
      </w:rPr>
    </w:lvl>
    <w:lvl w:ilvl="4" w:tplc="BAD4C76E">
      <w:start w:val="1"/>
      <w:numFmt w:val="bullet"/>
      <w:lvlText w:val="•"/>
      <w:lvlJc w:val="left"/>
      <w:pPr>
        <w:ind w:left="3042" w:hanging="251"/>
      </w:pPr>
      <w:rPr>
        <w:rFonts w:hint="default"/>
      </w:rPr>
    </w:lvl>
    <w:lvl w:ilvl="5" w:tplc="7BC0F27C">
      <w:start w:val="1"/>
      <w:numFmt w:val="bullet"/>
      <w:lvlText w:val="•"/>
      <w:lvlJc w:val="left"/>
      <w:pPr>
        <w:ind w:left="3652" w:hanging="251"/>
      </w:pPr>
      <w:rPr>
        <w:rFonts w:hint="default"/>
      </w:rPr>
    </w:lvl>
    <w:lvl w:ilvl="6" w:tplc="45DC620A">
      <w:start w:val="1"/>
      <w:numFmt w:val="bullet"/>
      <w:lvlText w:val="•"/>
      <w:lvlJc w:val="left"/>
      <w:pPr>
        <w:ind w:left="4263" w:hanging="251"/>
      </w:pPr>
      <w:rPr>
        <w:rFonts w:hint="default"/>
      </w:rPr>
    </w:lvl>
    <w:lvl w:ilvl="7" w:tplc="7CE86156">
      <w:start w:val="1"/>
      <w:numFmt w:val="bullet"/>
      <w:lvlText w:val="•"/>
      <w:lvlJc w:val="left"/>
      <w:pPr>
        <w:ind w:left="4874" w:hanging="251"/>
      </w:pPr>
      <w:rPr>
        <w:rFonts w:hint="default"/>
      </w:rPr>
    </w:lvl>
    <w:lvl w:ilvl="8" w:tplc="A20C3290">
      <w:start w:val="1"/>
      <w:numFmt w:val="bullet"/>
      <w:lvlText w:val="•"/>
      <w:lvlJc w:val="left"/>
      <w:pPr>
        <w:ind w:left="5484" w:hanging="251"/>
      </w:pPr>
      <w:rPr>
        <w:rFonts w:hint="default"/>
      </w:rPr>
    </w:lvl>
  </w:abstractNum>
  <w:abstractNum w:abstractNumId="21" w15:restartNumberingAfterBreak="0">
    <w:nsid w:val="62F350A5"/>
    <w:multiLevelType w:val="hybridMultilevel"/>
    <w:tmpl w:val="56B866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38A709E"/>
    <w:multiLevelType w:val="hybridMultilevel"/>
    <w:tmpl w:val="36606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B6299A"/>
    <w:multiLevelType w:val="hybridMultilevel"/>
    <w:tmpl w:val="686A1340"/>
    <w:lvl w:ilvl="0" w:tplc="DDDE38EA">
      <w:start w:val="1"/>
      <w:numFmt w:val="decimal"/>
      <w:lvlText w:val="%1."/>
      <w:lvlJc w:val="left"/>
      <w:pPr>
        <w:ind w:left="346" w:hanging="240"/>
      </w:pPr>
      <w:rPr>
        <w:rFonts w:ascii="Times New Roman" w:eastAsia="Times New Roman" w:hAnsi="Times New Roman" w:hint="default"/>
        <w:color w:val="231F20"/>
        <w:w w:val="100"/>
        <w:sz w:val="22"/>
        <w:szCs w:val="22"/>
      </w:rPr>
    </w:lvl>
    <w:lvl w:ilvl="1" w:tplc="BECAFFF4">
      <w:start w:val="1"/>
      <w:numFmt w:val="decimal"/>
      <w:lvlText w:val="%2)"/>
      <w:lvlJc w:val="left"/>
      <w:pPr>
        <w:ind w:left="586" w:hanging="240"/>
      </w:pPr>
      <w:rPr>
        <w:rFonts w:ascii="Times New Roman" w:eastAsia="Times New Roman" w:hAnsi="Times New Roman" w:hint="default"/>
        <w:color w:val="231F20"/>
        <w:w w:val="100"/>
        <w:sz w:val="22"/>
        <w:szCs w:val="22"/>
      </w:rPr>
    </w:lvl>
    <w:lvl w:ilvl="2" w:tplc="F82EAF32">
      <w:start w:val="1"/>
      <w:numFmt w:val="lowerLetter"/>
      <w:lvlText w:val="%3)"/>
      <w:lvlJc w:val="left"/>
      <w:pPr>
        <w:ind w:left="584" w:hanging="238"/>
      </w:pPr>
      <w:rPr>
        <w:rFonts w:ascii="Times New Roman" w:eastAsia="Times New Roman" w:hAnsi="Times New Roman" w:hint="default"/>
        <w:color w:val="231F20"/>
        <w:w w:val="100"/>
        <w:sz w:val="22"/>
        <w:szCs w:val="22"/>
      </w:rPr>
    </w:lvl>
    <w:lvl w:ilvl="3" w:tplc="A4BC519E">
      <w:start w:val="1"/>
      <w:numFmt w:val="decimal"/>
      <w:lvlText w:val="%4)"/>
      <w:lvlJc w:val="left"/>
      <w:pPr>
        <w:ind w:left="586" w:hanging="240"/>
      </w:pPr>
      <w:rPr>
        <w:rFonts w:ascii="Times New Roman" w:eastAsia="Times New Roman" w:hAnsi="Times New Roman" w:hint="default"/>
        <w:color w:val="231F20"/>
        <w:w w:val="100"/>
        <w:sz w:val="22"/>
        <w:szCs w:val="22"/>
      </w:rPr>
    </w:lvl>
    <w:lvl w:ilvl="4" w:tplc="77128EF2">
      <w:start w:val="1"/>
      <w:numFmt w:val="bullet"/>
      <w:lvlText w:val="—"/>
      <w:lvlJc w:val="left"/>
      <w:pPr>
        <w:ind w:left="906" w:hanging="320"/>
      </w:pPr>
      <w:rPr>
        <w:rFonts w:ascii="Times New Roman" w:eastAsia="Times New Roman" w:hAnsi="Times New Roman" w:hint="default"/>
        <w:color w:val="231F20"/>
        <w:w w:val="100"/>
        <w:sz w:val="22"/>
        <w:szCs w:val="22"/>
      </w:rPr>
    </w:lvl>
    <w:lvl w:ilvl="5" w:tplc="8006CFDE">
      <w:start w:val="1"/>
      <w:numFmt w:val="bullet"/>
      <w:lvlText w:val="•"/>
      <w:lvlJc w:val="left"/>
      <w:pPr>
        <w:ind w:left="3077" w:hanging="320"/>
      </w:pPr>
      <w:rPr>
        <w:rFonts w:hint="default"/>
      </w:rPr>
    </w:lvl>
    <w:lvl w:ilvl="6" w:tplc="02B675DA">
      <w:start w:val="1"/>
      <w:numFmt w:val="bullet"/>
      <w:lvlText w:val="•"/>
      <w:lvlJc w:val="left"/>
      <w:pPr>
        <w:ind w:left="3802" w:hanging="320"/>
      </w:pPr>
      <w:rPr>
        <w:rFonts w:hint="default"/>
      </w:rPr>
    </w:lvl>
    <w:lvl w:ilvl="7" w:tplc="ADA653F8">
      <w:start w:val="1"/>
      <w:numFmt w:val="bullet"/>
      <w:lvlText w:val="•"/>
      <w:lvlJc w:val="left"/>
      <w:pPr>
        <w:ind w:left="4528" w:hanging="320"/>
      </w:pPr>
      <w:rPr>
        <w:rFonts w:hint="default"/>
      </w:rPr>
    </w:lvl>
    <w:lvl w:ilvl="8" w:tplc="CDD03B84">
      <w:start w:val="1"/>
      <w:numFmt w:val="bullet"/>
      <w:lvlText w:val="•"/>
      <w:lvlJc w:val="left"/>
      <w:pPr>
        <w:ind w:left="5254" w:hanging="320"/>
      </w:pPr>
      <w:rPr>
        <w:rFonts w:hint="default"/>
      </w:rPr>
    </w:lvl>
  </w:abstractNum>
  <w:abstractNum w:abstractNumId="25" w15:restartNumberingAfterBreak="0">
    <w:nsid w:val="6C0C5EA5"/>
    <w:multiLevelType w:val="hybridMultilevel"/>
    <w:tmpl w:val="729401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9601C8"/>
    <w:multiLevelType w:val="hybridMultilevel"/>
    <w:tmpl w:val="F078E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491DD7"/>
    <w:multiLevelType w:val="hybridMultilevel"/>
    <w:tmpl w:val="0A06F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1E41132"/>
    <w:multiLevelType w:val="hybridMultilevel"/>
    <w:tmpl w:val="B4A6D304"/>
    <w:lvl w:ilvl="0" w:tplc="BF188784">
      <w:start w:val="1"/>
      <w:numFmt w:val="decimal"/>
      <w:lvlText w:val="%1)"/>
      <w:lvlJc w:val="left"/>
      <w:pPr>
        <w:ind w:left="586" w:hanging="240"/>
      </w:pPr>
      <w:rPr>
        <w:rFonts w:ascii="Times New Roman" w:eastAsia="Times New Roman" w:hAnsi="Times New Roman" w:hint="default"/>
        <w:color w:val="231F20"/>
        <w:w w:val="100"/>
        <w:sz w:val="22"/>
        <w:szCs w:val="22"/>
      </w:rPr>
    </w:lvl>
    <w:lvl w:ilvl="1" w:tplc="6E34453A">
      <w:start w:val="1"/>
      <w:numFmt w:val="bullet"/>
      <w:lvlText w:val="•"/>
      <w:lvlJc w:val="left"/>
      <w:pPr>
        <w:ind w:left="1192" w:hanging="240"/>
      </w:pPr>
      <w:rPr>
        <w:rFonts w:hint="default"/>
      </w:rPr>
    </w:lvl>
    <w:lvl w:ilvl="2" w:tplc="29642BA6">
      <w:start w:val="1"/>
      <w:numFmt w:val="bullet"/>
      <w:lvlText w:val="•"/>
      <w:lvlJc w:val="left"/>
      <w:pPr>
        <w:ind w:left="1805" w:hanging="240"/>
      </w:pPr>
      <w:rPr>
        <w:rFonts w:hint="default"/>
      </w:rPr>
    </w:lvl>
    <w:lvl w:ilvl="3" w:tplc="D3202AA2">
      <w:start w:val="1"/>
      <w:numFmt w:val="bullet"/>
      <w:lvlText w:val="•"/>
      <w:lvlJc w:val="left"/>
      <w:pPr>
        <w:ind w:left="2417" w:hanging="240"/>
      </w:pPr>
      <w:rPr>
        <w:rFonts w:hint="default"/>
      </w:rPr>
    </w:lvl>
    <w:lvl w:ilvl="4" w:tplc="F8D00686">
      <w:start w:val="1"/>
      <w:numFmt w:val="bullet"/>
      <w:lvlText w:val="•"/>
      <w:lvlJc w:val="left"/>
      <w:pPr>
        <w:ind w:left="3030" w:hanging="240"/>
      </w:pPr>
      <w:rPr>
        <w:rFonts w:hint="default"/>
      </w:rPr>
    </w:lvl>
    <w:lvl w:ilvl="5" w:tplc="89E0BEFA">
      <w:start w:val="1"/>
      <w:numFmt w:val="bullet"/>
      <w:lvlText w:val="•"/>
      <w:lvlJc w:val="left"/>
      <w:pPr>
        <w:ind w:left="3642" w:hanging="240"/>
      </w:pPr>
      <w:rPr>
        <w:rFonts w:hint="default"/>
      </w:rPr>
    </w:lvl>
    <w:lvl w:ilvl="6" w:tplc="FF8EA878">
      <w:start w:val="1"/>
      <w:numFmt w:val="bullet"/>
      <w:lvlText w:val="•"/>
      <w:lvlJc w:val="left"/>
      <w:pPr>
        <w:ind w:left="4255" w:hanging="240"/>
      </w:pPr>
      <w:rPr>
        <w:rFonts w:hint="default"/>
      </w:rPr>
    </w:lvl>
    <w:lvl w:ilvl="7" w:tplc="B7E8E68E">
      <w:start w:val="1"/>
      <w:numFmt w:val="bullet"/>
      <w:lvlText w:val="•"/>
      <w:lvlJc w:val="left"/>
      <w:pPr>
        <w:ind w:left="4868" w:hanging="240"/>
      </w:pPr>
      <w:rPr>
        <w:rFonts w:hint="default"/>
      </w:rPr>
    </w:lvl>
    <w:lvl w:ilvl="8" w:tplc="8766BED6">
      <w:start w:val="1"/>
      <w:numFmt w:val="bullet"/>
      <w:lvlText w:val="•"/>
      <w:lvlJc w:val="left"/>
      <w:pPr>
        <w:ind w:left="5480" w:hanging="240"/>
      </w:pPr>
      <w:rPr>
        <w:rFonts w:hint="default"/>
      </w:rPr>
    </w:lvl>
  </w:abstractNum>
  <w:abstractNum w:abstractNumId="29" w15:restartNumberingAfterBreak="0">
    <w:nsid w:val="76D06CF8"/>
    <w:multiLevelType w:val="hybridMultilevel"/>
    <w:tmpl w:val="F4F05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A308DE"/>
    <w:multiLevelType w:val="hybridMultilevel"/>
    <w:tmpl w:val="6A34E28A"/>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A54809"/>
    <w:multiLevelType w:val="hybridMultilevel"/>
    <w:tmpl w:val="89420CE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30266D"/>
    <w:multiLevelType w:val="hybridMultilevel"/>
    <w:tmpl w:val="DEA63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22"/>
  </w:num>
  <w:num w:numId="3">
    <w:abstractNumId w:val="3"/>
  </w:num>
  <w:num w:numId="4">
    <w:abstractNumId w:val="6"/>
  </w:num>
  <w:num w:numId="5">
    <w:abstractNumId w:val="25"/>
  </w:num>
  <w:num w:numId="6">
    <w:abstractNumId w:val="29"/>
  </w:num>
  <w:num w:numId="7">
    <w:abstractNumId w:val="15"/>
  </w:num>
  <w:num w:numId="8">
    <w:abstractNumId w:val="27"/>
  </w:num>
  <w:num w:numId="9">
    <w:abstractNumId w:val="26"/>
  </w:num>
  <w:num w:numId="10">
    <w:abstractNumId w:val="11"/>
  </w:num>
  <w:num w:numId="11">
    <w:abstractNumId w:val="16"/>
  </w:num>
  <w:num w:numId="12">
    <w:abstractNumId w:val="8"/>
  </w:num>
  <w:num w:numId="13">
    <w:abstractNumId w:val="10"/>
  </w:num>
  <w:num w:numId="14">
    <w:abstractNumId w:val="21"/>
  </w:num>
  <w:num w:numId="15">
    <w:abstractNumId w:val="14"/>
  </w:num>
  <w:num w:numId="16">
    <w:abstractNumId w:val="2"/>
  </w:num>
  <w:num w:numId="17">
    <w:abstractNumId w:val="9"/>
  </w:num>
  <w:num w:numId="18">
    <w:abstractNumId w:val="0"/>
  </w:num>
  <w:num w:numId="19">
    <w:abstractNumId w:val="30"/>
  </w:num>
  <w:num w:numId="20">
    <w:abstractNumId w:val="1"/>
  </w:num>
  <w:num w:numId="21">
    <w:abstractNumId w:val="17"/>
  </w:num>
  <w:num w:numId="22">
    <w:abstractNumId w:val="28"/>
  </w:num>
  <w:num w:numId="23">
    <w:abstractNumId w:val="20"/>
  </w:num>
  <w:num w:numId="24">
    <w:abstractNumId w:val="24"/>
  </w:num>
  <w:num w:numId="25">
    <w:abstractNumId w:val="31"/>
  </w:num>
  <w:num w:numId="26">
    <w:abstractNumId w:val="18"/>
  </w:num>
  <w:num w:numId="27">
    <w:abstractNumId w:val="4"/>
  </w:num>
  <w:num w:numId="28">
    <w:abstractNumId w:val="5"/>
  </w:num>
  <w:num w:numId="29">
    <w:abstractNumId w:val="19"/>
  </w:num>
  <w:num w:numId="30">
    <w:abstractNumId w:val="13"/>
  </w:num>
  <w:num w:numId="31">
    <w:abstractNumId w:val="7"/>
  </w:num>
  <w:num w:numId="32">
    <w:abstractNumId w:val="1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F7"/>
    <w:rsid w:val="00003457"/>
    <w:rsid w:val="00011828"/>
    <w:rsid w:val="00020E3A"/>
    <w:rsid w:val="0002240E"/>
    <w:rsid w:val="00033512"/>
    <w:rsid w:val="0003379F"/>
    <w:rsid w:val="00034359"/>
    <w:rsid w:val="0004275A"/>
    <w:rsid w:val="00054B5A"/>
    <w:rsid w:val="00056CA2"/>
    <w:rsid w:val="0006226D"/>
    <w:rsid w:val="0007019C"/>
    <w:rsid w:val="00074BF0"/>
    <w:rsid w:val="00077E59"/>
    <w:rsid w:val="00083EBA"/>
    <w:rsid w:val="000A79E7"/>
    <w:rsid w:val="000B0EEA"/>
    <w:rsid w:val="000B7EDC"/>
    <w:rsid w:val="000C6802"/>
    <w:rsid w:val="000D2843"/>
    <w:rsid w:val="000E28E1"/>
    <w:rsid w:val="000F0626"/>
    <w:rsid w:val="000F2556"/>
    <w:rsid w:val="000F735C"/>
    <w:rsid w:val="00102DC7"/>
    <w:rsid w:val="001116A1"/>
    <w:rsid w:val="001154EA"/>
    <w:rsid w:val="001156B9"/>
    <w:rsid w:val="001176BC"/>
    <w:rsid w:val="0013733E"/>
    <w:rsid w:val="00142645"/>
    <w:rsid w:val="00151C91"/>
    <w:rsid w:val="00152320"/>
    <w:rsid w:val="00165168"/>
    <w:rsid w:val="00171850"/>
    <w:rsid w:val="00175F81"/>
    <w:rsid w:val="00183F50"/>
    <w:rsid w:val="001956E2"/>
    <w:rsid w:val="00195C06"/>
    <w:rsid w:val="001C050D"/>
    <w:rsid w:val="001C5FEA"/>
    <w:rsid w:val="001D701E"/>
    <w:rsid w:val="001E574D"/>
    <w:rsid w:val="001F7572"/>
    <w:rsid w:val="00207169"/>
    <w:rsid w:val="00221297"/>
    <w:rsid w:val="00227306"/>
    <w:rsid w:val="002353C6"/>
    <w:rsid w:val="002366D1"/>
    <w:rsid w:val="002426E6"/>
    <w:rsid w:val="00251F63"/>
    <w:rsid w:val="00272359"/>
    <w:rsid w:val="002827CA"/>
    <w:rsid w:val="00283DC1"/>
    <w:rsid w:val="00286F7B"/>
    <w:rsid w:val="00291DEA"/>
    <w:rsid w:val="00297704"/>
    <w:rsid w:val="002B7DBE"/>
    <w:rsid w:val="002D10F9"/>
    <w:rsid w:val="002D42E4"/>
    <w:rsid w:val="002F152D"/>
    <w:rsid w:val="00304447"/>
    <w:rsid w:val="0032171D"/>
    <w:rsid w:val="00322860"/>
    <w:rsid w:val="00322D4D"/>
    <w:rsid w:val="003230F1"/>
    <w:rsid w:val="00331C6E"/>
    <w:rsid w:val="003333AA"/>
    <w:rsid w:val="00352DDD"/>
    <w:rsid w:val="00372268"/>
    <w:rsid w:val="0038667B"/>
    <w:rsid w:val="00386EA9"/>
    <w:rsid w:val="00387AA4"/>
    <w:rsid w:val="003A4FD4"/>
    <w:rsid w:val="003C0A13"/>
    <w:rsid w:val="003C23C8"/>
    <w:rsid w:val="003D27FA"/>
    <w:rsid w:val="003D49BB"/>
    <w:rsid w:val="003E2E4E"/>
    <w:rsid w:val="003E67AA"/>
    <w:rsid w:val="00401A4C"/>
    <w:rsid w:val="0040226D"/>
    <w:rsid w:val="00403AEC"/>
    <w:rsid w:val="00415434"/>
    <w:rsid w:val="00415BED"/>
    <w:rsid w:val="00423059"/>
    <w:rsid w:val="0042449C"/>
    <w:rsid w:val="00424D00"/>
    <w:rsid w:val="00430158"/>
    <w:rsid w:val="00434C42"/>
    <w:rsid w:val="004412D9"/>
    <w:rsid w:val="00444228"/>
    <w:rsid w:val="00473128"/>
    <w:rsid w:val="0049043C"/>
    <w:rsid w:val="004B04B8"/>
    <w:rsid w:val="004C1617"/>
    <w:rsid w:val="004C1AD2"/>
    <w:rsid w:val="004C5A21"/>
    <w:rsid w:val="004C7A35"/>
    <w:rsid w:val="004D073A"/>
    <w:rsid w:val="004D5700"/>
    <w:rsid w:val="004D6D8C"/>
    <w:rsid w:val="004E4AF9"/>
    <w:rsid w:val="004F31B9"/>
    <w:rsid w:val="0050126E"/>
    <w:rsid w:val="00501D34"/>
    <w:rsid w:val="00503C51"/>
    <w:rsid w:val="00510197"/>
    <w:rsid w:val="00514CC1"/>
    <w:rsid w:val="00522C88"/>
    <w:rsid w:val="005306AE"/>
    <w:rsid w:val="00535935"/>
    <w:rsid w:val="00542BAB"/>
    <w:rsid w:val="005462B3"/>
    <w:rsid w:val="00564A8F"/>
    <w:rsid w:val="0058261C"/>
    <w:rsid w:val="00593BE8"/>
    <w:rsid w:val="00593C32"/>
    <w:rsid w:val="00595CBA"/>
    <w:rsid w:val="005A0D29"/>
    <w:rsid w:val="005A1EC4"/>
    <w:rsid w:val="005B02E6"/>
    <w:rsid w:val="005B6335"/>
    <w:rsid w:val="005C3CCD"/>
    <w:rsid w:val="005C50E9"/>
    <w:rsid w:val="005D3E29"/>
    <w:rsid w:val="005D6520"/>
    <w:rsid w:val="00615747"/>
    <w:rsid w:val="00617308"/>
    <w:rsid w:val="006179E1"/>
    <w:rsid w:val="00622D9E"/>
    <w:rsid w:val="006400E6"/>
    <w:rsid w:val="00645AEC"/>
    <w:rsid w:val="00652BE5"/>
    <w:rsid w:val="00652CE9"/>
    <w:rsid w:val="00653F79"/>
    <w:rsid w:val="0066317C"/>
    <w:rsid w:val="006761E7"/>
    <w:rsid w:val="0068297B"/>
    <w:rsid w:val="006865C2"/>
    <w:rsid w:val="00691E1F"/>
    <w:rsid w:val="006946D9"/>
    <w:rsid w:val="006A2095"/>
    <w:rsid w:val="006B3D7A"/>
    <w:rsid w:val="006E014C"/>
    <w:rsid w:val="006E2733"/>
    <w:rsid w:val="006E61D8"/>
    <w:rsid w:val="006E67CA"/>
    <w:rsid w:val="006E67EE"/>
    <w:rsid w:val="006E699B"/>
    <w:rsid w:val="00700F51"/>
    <w:rsid w:val="007029FB"/>
    <w:rsid w:val="00705CF4"/>
    <w:rsid w:val="007077A0"/>
    <w:rsid w:val="007156D9"/>
    <w:rsid w:val="00722E27"/>
    <w:rsid w:val="00723F02"/>
    <w:rsid w:val="007418EB"/>
    <w:rsid w:val="00750883"/>
    <w:rsid w:val="007744E5"/>
    <w:rsid w:val="00782413"/>
    <w:rsid w:val="00787F3A"/>
    <w:rsid w:val="00790D93"/>
    <w:rsid w:val="00791686"/>
    <w:rsid w:val="007D5646"/>
    <w:rsid w:val="00802486"/>
    <w:rsid w:val="00803361"/>
    <w:rsid w:val="00820267"/>
    <w:rsid w:val="008251D7"/>
    <w:rsid w:val="00830AC7"/>
    <w:rsid w:val="008452EB"/>
    <w:rsid w:val="00856775"/>
    <w:rsid w:val="008725D5"/>
    <w:rsid w:val="00875C25"/>
    <w:rsid w:val="008866D2"/>
    <w:rsid w:val="0088671E"/>
    <w:rsid w:val="0089233A"/>
    <w:rsid w:val="008A1D06"/>
    <w:rsid w:val="008B76A4"/>
    <w:rsid w:val="008D519D"/>
    <w:rsid w:val="008D5BB0"/>
    <w:rsid w:val="008D77A1"/>
    <w:rsid w:val="008F42DD"/>
    <w:rsid w:val="0090138A"/>
    <w:rsid w:val="00906EC1"/>
    <w:rsid w:val="00926DB1"/>
    <w:rsid w:val="00933FCC"/>
    <w:rsid w:val="009364C7"/>
    <w:rsid w:val="009574E9"/>
    <w:rsid w:val="00964497"/>
    <w:rsid w:val="009A4500"/>
    <w:rsid w:val="009A7B3F"/>
    <w:rsid w:val="009C700B"/>
    <w:rsid w:val="009D4A3C"/>
    <w:rsid w:val="009E63A9"/>
    <w:rsid w:val="009E67A6"/>
    <w:rsid w:val="009F06FB"/>
    <w:rsid w:val="009F3090"/>
    <w:rsid w:val="00A000CF"/>
    <w:rsid w:val="00A06000"/>
    <w:rsid w:val="00A103BA"/>
    <w:rsid w:val="00A112F6"/>
    <w:rsid w:val="00A25FDA"/>
    <w:rsid w:val="00A271CC"/>
    <w:rsid w:val="00A35573"/>
    <w:rsid w:val="00A747AD"/>
    <w:rsid w:val="00A805FE"/>
    <w:rsid w:val="00A87194"/>
    <w:rsid w:val="00A876D0"/>
    <w:rsid w:val="00A919AE"/>
    <w:rsid w:val="00A91BDA"/>
    <w:rsid w:val="00A95D4E"/>
    <w:rsid w:val="00AB4A6A"/>
    <w:rsid w:val="00AB78B1"/>
    <w:rsid w:val="00AD0198"/>
    <w:rsid w:val="00AF0632"/>
    <w:rsid w:val="00B02EAA"/>
    <w:rsid w:val="00B2327D"/>
    <w:rsid w:val="00B304B5"/>
    <w:rsid w:val="00B30F63"/>
    <w:rsid w:val="00B3553B"/>
    <w:rsid w:val="00B53505"/>
    <w:rsid w:val="00B614C2"/>
    <w:rsid w:val="00B86D4E"/>
    <w:rsid w:val="00B87BB8"/>
    <w:rsid w:val="00BC5B19"/>
    <w:rsid w:val="00BC6048"/>
    <w:rsid w:val="00BD10B9"/>
    <w:rsid w:val="00BD2E67"/>
    <w:rsid w:val="00BD4599"/>
    <w:rsid w:val="00BF51C4"/>
    <w:rsid w:val="00BF5C21"/>
    <w:rsid w:val="00C035A9"/>
    <w:rsid w:val="00C069BF"/>
    <w:rsid w:val="00C21607"/>
    <w:rsid w:val="00C2414D"/>
    <w:rsid w:val="00C37255"/>
    <w:rsid w:val="00C45603"/>
    <w:rsid w:val="00C53DA6"/>
    <w:rsid w:val="00C62E6B"/>
    <w:rsid w:val="00C76E9E"/>
    <w:rsid w:val="00C91314"/>
    <w:rsid w:val="00C92689"/>
    <w:rsid w:val="00CB3E5C"/>
    <w:rsid w:val="00CC4518"/>
    <w:rsid w:val="00CC767C"/>
    <w:rsid w:val="00CE3C0F"/>
    <w:rsid w:val="00D02B6F"/>
    <w:rsid w:val="00D02F3A"/>
    <w:rsid w:val="00D06914"/>
    <w:rsid w:val="00D17CE6"/>
    <w:rsid w:val="00D20831"/>
    <w:rsid w:val="00D21AEF"/>
    <w:rsid w:val="00D45358"/>
    <w:rsid w:val="00D45DB7"/>
    <w:rsid w:val="00D47259"/>
    <w:rsid w:val="00D62656"/>
    <w:rsid w:val="00D739D8"/>
    <w:rsid w:val="00D82306"/>
    <w:rsid w:val="00D8338D"/>
    <w:rsid w:val="00D9298A"/>
    <w:rsid w:val="00D96788"/>
    <w:rsid w:val="00DA38F0"/>
    <w:rsid w:val="00DC612D"/>
    <w:rsid w:val="00DC63ED"/>
    <w:rsid w:val="00DE3CF7"/>
    <w:rsid w:val="00DE6D8B"/>
    <w:rsid w:val="00DE74B7"/>
    <w:rsid w:val="00DF30B3"/>
    <w:rsid w:val="00E0305A"/>
    <w:rsid w:val="00E10AF7"/>
    <w:rsid w:val="00E203DC"/>
    <w:rsid w:val="00E21178"/>
    <w:rsid w:val="00E26D9E"/>
    <w:rsid w:val="00E34ABB"/>
    <w:rsid w:val="00E433B3"/>
    <w:rsid w:val="00E43DC3"/>
    <w:rsid w:val="00E45ED6"/>
    <w:rsid w:val="00EA25FD"/>
    <w:rsid w:val="00EC54E0"/>
    <w:rsid w:val="00ED7384"/>
    <w:rsid w:val="00EE5C30"/>
    <w:rsid w:val="00EF0B34"/>
    <w:rsid w:val="00EF5E87"/>
    <w:rsid w:val="00F018C5"/>
    <w:rsid w:val="00F01BE2"/>
    <w:rsid w:val="00F026F7"/>
    <w:rsid w:val="00F10D4E"/>
    <w:rsid w:val="00F16445"/>
    <w:rsid w:val="00F20034"/>
    <w:rsid w:val="00F21AC9"/>
    <w:rsid w:val="00F2726C"/>
    <w:rsid w:val="00F3176D"/>
    <w:rsid w:val="00F32690"/>
    <w:rsid w:val="00F33BB1"/>
    <w:rsid w:val="00F366E8"/>
    <w:rsid w:val="00F40357"/>
    <w:rsid w:val="00F51374"/>
    <w:rsid w:val="00F60A95"/>
    <w:rsid w:val="00F67869"/>
    <w:rsid w:val="00F73D71"/>
    <w:rsid w:val="00F77EE4"/>
    <w:rsid w:val="00F9140D"/>
    <w:rsid w:val="00F979E9"/>
    <w:rsid w:val="00FA2C34"/>
    <w:rsid w:val="00FB274C"/>
    <w:rsid w:val="00FC389B"/>
    <w:rsid w:val="00FD0873"/>
    <w:rsid w:val="00FE2A38"/>
    <w:rsid w:val="00FE73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99995F-057A-4E4B-9AF3-F5E03989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10AF7"/>
    <w:rPr>
      <w:rFonts w:eastAsiaTheme="minorEastAsia"/>
      <w:sz w:val="24"/>
      <w:szCs w:val="24"/>
      <w:lang w:val="es-ES_tradnl" w:eastAsia="es-ES"/>
    </w:rPr>
  </w:style>
  <w:style w:type="paragraph" w:styleId="Piedepgina">
    <w:name w:val="footer"/>
    <w:basedOn w:val="Normal"/>
    <w:link w:val="Piedepgina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10AF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0AF7"/>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10AF7"/>
    <w:pPr>
      <w:ind w:left="708"/>
    </w:pPr>
    <w:rPr>
      <w:sz w:val="22"/>
      <w:szCs w:val="22"/>
      <w:lang w:val="es-MX" w:eastAsia="en-US"/>
    </w:rPr>
  </w:style>
  <w:style w:type="table" w:styleId="Tablaconcuadrcula">
    <w:name w:val="Table Grid"/>
    <w:basedOn w:val="Tablanormal"/>
    <w:uiPriority w:val="59"/>
    <w:rsid w:val="00E10AF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E10AF7"/>
  </w:style>
  <w:style w:type="character" w:customStyle="1" w:styleId="apple-converted-space">
    <w:name w:val="apple-converted-space"/>
    <w:basedOn w:val="Fuentedeprrafopredeter"/>
    <w:rsid w:val="00E10AF7"/>
  </w:style>
  <w:style w:type="paragraph" w:styleId="NormalWeb">
    <w:name w:val="Normal (Web)"/>
    <w:basedOn w:val="Normal"/>
    <w:uiPriority w:val="99"/>
    <w:unhideWhenUsed/>
    <w:rsid w:val="00E10AF7"/>
    <w:pPr>
      <w:spacing w:before="100" w:beforeAutospacing="1" w:after="100" w:afterAutospacing="1"/>
    </w:pPr>
    <w:rPr>
      <w:lang w:val="es-MX" w:eastAsia="es-MX"/>
    </w:rPr>
  </w:style>
  <w:style w:type="character" w:styleId="Hipervnculo">
    <w:name w:val="Hyperlink"/>
    <w:basedOn w:val="Fuentedeprrafopredeter"/>
    <w:uiPriority w:val="99"/>
    <w:unhideWhenUsed/>
    <w:rsid w:val="00E10AF7"/>
    <w:rPr>
      <w:color w:val="0000FF"/>
      <w:u w:val="single"/>
    </w:rPr>
  </w:style>
  <w:style w:type="paragraph" w:styleId="Sinespaciado">
    <w:name w:val="No Spacing"/>
    <w:aliases w:val="Francesa"/>
    <w:link w:val="SinespaciadoCar"/>
    <w:uiPriority w:val="1"/>
    <w:qFormat/>
    <w:rsid w:val="00E10AF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0AF7"/>
    <w:rPr>
      <w:b/>
      <w:bCs/>
    </w:rPr>
  </w:style>
  <w:style w:type="character" w:customStyle="1" w:styleId="SinespaciadoCar">
    <w:name w:val="Sin espaciado Car"/>
    <w:aliases w:val="Francesa Car"/>
    <w:link w:val="Sinespaciado"/>
    <w:uiPriority w:val="1"/>
    <w:locked/>
    <w:rsid w:val="00E10AF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83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3EBA"/>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866D2"/>
    <w:pPr>
      <w:spacing w:line="360" w:lineRule="auto"/>
      <w:jc w:val="both"/>
    </w:pPr>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866D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rsid w:val="008866D2"/>
    <w:rPr>
      <w:vertAlign w:val="superscript"/>
    </w:rPr>
  </w:style>
  <w:style w:type="paragraph" w:customStyle="1" w:styleId="Default">
    <w:name w:val="Default"/>
    <w:rsid w:val="00D45DB7"/>
    <w:pPr>
      <w:autoSpaceDE w:val="0"/>
      <w:autoSpaceDN w:val="0"/>
      <w:adjustRightInd w:val="0"/>
      <w:spacing w:after="0" w:line="240" w:lineRule="auto"/>
    </w:pPr>
    <w:rPr>
      <w:rFonts w:ascii="Arial" w:hAnsi="Arial" w:cs="Arial"/>
      <w:color w:val="000000"/>
      <w:sz w:val="24"/>
      <w:szCs w:val="24"/>
    </w:rPr>
  </w:style>
  <w:style w:type="character" w:customStyle="1" w:styleId="eop">
    <w:name w:val="eop"/>
    <w:basedOn w:val="Fuentedeprrafopredeter"/>
    <w:rsid w:val="00DC63ED"/>
  </w:style>
  <w:style w:type="character" w:customStyle="1" w:styleId="A0">
    <w:name w:val="A0"/>
    <w:uiPriority w:val="99"/>
    <w:rsid w:val="00DC63ED"/>
    <w:rPr>
      <w:rFonts w:cs="AvenirNext LT Pro Regular"/>
      <w:color w:val="000000"/>
      <w:sz w:val="18"/>
      <w:szCs w:val="18"/>
    </w:rPr>
  </w:style>
  <w:style w:type="paragraph" w:styleId="Textoindependiente">
    <w:name w:val="Body Text"/>
    <w:basedOn w:val="Normal"/>
    <w:link w:val="TextoindependienteCar"/>
    <w:uiPriority w:val="1"/>
    <w:qFormat/>
    <w:rsid w:val="002D10F9"/>
    <w:pPr>
      <w:widowControl w:val="0"/>
      <w:ind w:left="100"/>
    </w:pPr>
    <w:rPr>
      <w:rFonts w:cstheme="minorBidi"/>
      <w:sz w:val="22"/>
      <w:szCs w:val="22"/>
      <w:lang w:val="en-US" w:eastAsia="en-US"/>
    </w:rPr>
  </w:style>
  <w:style w:type="character" w:customStyle="1" w:styleId="TextoindependienteCar">
    <w:name w:val="Texto independiente Car"/>
    <w:basedOn w:val="Fuentedeprrafopredeter"/>
    <w:link w:val="Textoindependiente"/>
    <w:uiPriority w:val="1"/>
    <w:rsid w:val="002D10F9"/>
    <w:rPr>
      <w:rFonts w:ascii="Times New Roman" w:eastAsia="Times New Roman" w:hAnsi="Times New Roman"/>
      <w:lang w:val="en-US"/>
    </w:rPr>
  </w:style>
  <w:style w:type="paragraph" w:customStyle="1" w:styleId="paragraph">
    <w:name w:val="paragraph"/>
    <w:basedOn w:val="Normal"/>
    <w:rsid w:val="0058261C"/>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2062">
      <w:bodyDiv w:val="1"/>
      <w:marLeft w:val="0"/>
      <w:marRight w:val="0"/>
      <w:marTop w:val="0"/>
      <w:marBottom w:val="0"/>
      <w:divBdr>
        <w:top w:val="none" w:sz="0" w:space="0" w:color="auto"/>
        <w:left w:val="none" w:sz="0" w:space="0" w:color="auto"/>
        <w:bottom w:val="none" w:sz="0" w:space="0" w:color="auto"/>
        <w:right w:val="none" w:sz="0" w:space="0" w:color="auto"/>
      </w:divBdr>
    </w:div>
    <w:div w:id="455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70D78-79DD-488C-9F37-578952264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29</Pages>
  <Words>7223</Words>
  <Characters>39730</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2019-01-29T15:26:00Z</cp:lastPrinted>
  <dcterms:created xsi:type="dcterms:W3CDTF">2019-01-17T23:58:00Z</dcterms:created>
  <dcterms:modified xsi:type="dcterms:W3CDTF">2019-03-12T00:20:00Z</dcterms:modified>
</cp:coreProperties>
</file>