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21FAF" w14:textId="77777777" w:rsidR="007516C8" w:rsidRDefault="007516C8" w:rsidP="00906410">
      <w:pPr>
        <w:spacing w:line="276" w:lineRule="auto"/>
        <w:jc w:val="both"/>
        <w:rPr>
          <w:rFonts w:ascii="Palatino Linotype" w:hAnsi="Palatino Linotype" w:cs="Tahoma"/>
          <w:bCs/>
          <w:sz w:val="24"/>
          <w:szCs w:val="24"/>
        </w:rPr>
      </w:pPr>
    </w:p>
    <w:p w14:paraId="6F93B154" w14:textId="24DBEA9C" w:rsidR="00806144" w:rsidRPr="00D147D5" w:rsidRDefault="00035017" w:rsidP="00906410">
      <w:pPr>
        <w:spacing w:line="276" w:lineRule="auto"/>
        <w:jc w:val="both"/>
        <w:rPr>
          <w:rFonts w:ascii="Palatino Linotype" w:hAnsi="Palatino Linotype"/>
          <w:noProof/>
          <w:sz w:val="24"/>
          <w:szCs w:val="24"/>
        </w:rPr>
      </w:pPr>
      <w:r w:rsidRPr="006E241A">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w:t>
      </w:r>
      <w:r w:rsidR="00B11CCE" w:rsidRPr="006E241A">
        <w:rPr>
          <w:rFonts w:ascii="Palatino Linotype" w:hAnsi="Palatino Linotype" w:cs="Tahoma"/>
          <w:bCs/>
          <w:sz w:val="24"/>
          <w:szCs w:val="24"/>
        </w:rPr>
        <w:t xml:space="preserve">de fecha </w:t>
      </w:r>
      <w:r w:rsidRPr="00D147D5">
        <w:rPr>
          <w:rFonts w:ascii="Palatino Linotype" w:hAnsi="Palatino Linotype" w:cs="Tahoma"/>
          <w:bCs/>
          <w:sz w:val="24"/>
          <w:szCs w:val="24"/>
        </w:rPr>
        <w:t>treinta y uno de octubre de dos mil dieciocho.</w:t>
      </w:r>
    </w:p>
    <w:p w14:paraId="5EB694DB" w14:textId="77777777" w:rsidR="00035017" w:rsidRPr="006E241A" w:rsidRDefault="00035017" w:rsidP="00906410">
      <w:pPr>
        <w:spacing w:line="276" w:lineRule="auto"/>
        <w:jc w:val="both"/>
        <w:rPr>
          <w:rFonts w:ascii="Palatino Linotype" w:hAnsi="Palatino Linotype"/>
          <w:noProof/>
          <w:sz w:val="24"/>
          <w:szCs w:val="24"/>
        </w:rPr>
      </w:pPr>
    </w:p>
    <w:p w14:paraId="1006D15D" w14:textId="22D09312" w:rsidR="00806144" w:rsidRPr="006E241A" w:rsidRDefault="007516C8" w:rsidP="00906410">
      <w:pPr>
        <w:spacing w:line="276" w:lineRule="auto"/>
        <w:jc w:val="both"/>
        <w:rPr>
          <w:rFonts w:ascii="Palatino Linotype" w:hAnsi="Palatino Linotype" w:cs="Tahoma"/>
          <w:bCs/>
          <w:color w:val="0D0D0D" w:themeColor="text1" w:themeTint="F2"/>
          <w:sz w:val="24"/>
          <w:szCs w:val="24"/>
        </w:rPr>
      </w:pPr>
      <w:r w:rsidRPr="006E241A">
        <w:rPr>
          <w:rFonts w:ascii="Palatino Linotype" w:hAnsi="Palatino Linotype" w:cs="Tahoma"/>
          <w:b/>
          <w:bCs/>
          <w:color w:val="0D0D0D" w:themeColor="text1" w:themeTint="F2"/>
          <w:sz w:val="24"/>
          <w:szCs w:val="24"/>
        </w:rPr>
        <w:t>VISTO</w:t>
      </w:r>
      <w:r w:rsidR="00806144" w:rsidRPr="006E241A">
        <w:rPr>
          <w:rFonts w:ascii="Palatino Linotype" w:hAnsi="Palatino Linotype" w:cs="Tahoma"/>
          <w:bCs/>
          <w:color w:val="0D0D0D" w:themeColor="text1" w:themeTint="F2"/>
          <w:sz w:val="24"/>
          <w:szCs w:val="24"/>
        </w:rPr>
        <w:t xml:space="preserve"> el expediente conformado con motivo del Recurso de Revisión </w:t>
      </w:r>
      <w:r w:rsidR="004B42D0" w:rsidRPr="006E241A">
        <w:rPr>
          <w:rFonts w:ascii="Palatino Linotype" w:hAnsi="Palatino Linotype" w:cs="Tahoma"/>
          <w:b/>
          <w:bCs/>
          <w:color w:val="0D0D0D" w:themeColor="text1" w:themeTint="F2"/>
          <w:sz w:val="24"/>
          <w:szCs w:val="24"/>
        </w:rPr>
        <w:t>03431</w:t>
      </w:r>
      <w:r w:rsidR="005608D0" w:rsidRPr="006E241A">
        <w:rPr>
          <w:rFonts w:ascii="Palatino Linotype" w:hAnsi="Palatino Linotype" w:cs="Tahoma"/>
          <w:b/>
          <w:bCs/>
          <w:color w:val="0D0D0D" w:themeColor="text1" w:themeTint="F2"/>
          <w:sz w:val="24"/>
          <w:szCs w:val="24"/>
        </w:rPr>
        <w:t>/INFOEM/IP/RR/2018</w:t>
      </w:r>
      <w:r w:rsidR="00806144" w:rsidRPr="006E241A">
        <w:rPr>
          <w:rFonts w:ascii="Palatino Linotype" w:hAnsi="Palatino Linotype" w:cs="Tahoma"/>
          <w:bCs/>
          <w:color w:val="0D0D0D" w:themeColor="text1" w:themeTint="F2"/>
          <w:sz w:val="24"/>
          <w:szCs w:val="24"/>
        </w:rPr>
        <w:t xml:space="preserve">, interpuesto por </w:t>
      </w:r>
      <w:r w:rsidR="00C562A1">
        <w:rPr>
          <w:rFonts w:ascii="Palatino Linotype" w:hAnsi="Palatino Linotype" w:cs="Tahoma"/>
          <w:bCs/>
          <w:color w:val="0D0D0D" w:themeColor="text1" w:themeTint="F2"/>
          <w:sz w:val="22"/>
          <w:szCs w:val="24"/>
        </w:rPr>
        <w:t xml:space="preserve"> </w:t>
      </w:r>
      <w:r w:rsidR="00C562A1">
        <w:rPr>
          <w:rFonts w:ascii="Palatino Linotype" w:hAnsi="Palatino Linotype" w:cs="Tahoma"/>
          <w:bCs/>
          <w:color w:val="0D0D0D" w:themeColor="text1" w:themeTint="F2"/>
          <w:sz w:val="22"/>
          <w:szCs w:val="24"/>
          <w:highlight w:val="black"/>
        </w:rPr>
        <w:t>XXXXXXXXXXXX</w:t>
      </w:r>
      <w:r w:rsidR="00C562A1">
        <w:rPr>
          <w:rFonts w:ascii="Palatino Linotype" w:hAnsi="Palatino Linotype" w:cs="Tahoma"/>
          <w:bCs/>
          <w:color w:val="0D0D0D" w:themeColor="text1" w:themeTint="F2"/>
          <w:sz w:val="22"/>
          <w:szCs w:val="24"/>
          <w:highlight w:val="black"/>
        </w:rPr>
        <w:t>XXXXXXXX</w:t>
      </w:r>
      <w:bookmarkStart w:id="0" w:name="_GoBack"/>
      <w:bookmarkEnd w:id="0"/>
      <w:r w:rsidR="00C562A1">
        <w:rPr>
          <w:rFonts w:ascii="Palatino Linotype" w:hAnsi="Palatino Linotype" w:cs="Tahoma"/>
          <w:bCs/>
          <w:color w:val="0D0D0D" w:themeColor="text1" w:themeTint="F2"/>
          <w:sz w:val="22"/>
          <w:szCs w:val="24"/>
          <w:highlight w:val="black"/>
        </w:rPr>
        <w:t>XXX</w:t>
      </w:r>
      <w:r w:rsidRPr="006E241A">
        <w:rPr>
          <w:rFonts w:ascii="Palatino Linotype" w:eastAsia="Calibri" w:hAnsi="Palatino Linotype" w:cs="Tahoma"/>
          <w:sz w:val="24"/>
          <w:szCs w:val="24"/>
          <w:lang w:val="es-MX" w:eastAsia="en-US"/>
        </w:rPr>
        <w:t>, en lo sucesivo recurrente o particular,</w:t>
      </w:r>
      <w:r w:rsidR="004B42D0" w:rsidRPr="006E241A">
        <w:rPr>
          <w:rFonts w:ascii="Palatino Linotype" w:hAnsi="Palatino Linotype" w:cs="Tahoma"/>
          <w:bCs/>
          <w:color w:val="0D0D0D" w:themeColor="text1" w:themeTint="F2"/>
          <w:sz w:val="24"/>
          <w:szCs w:val="24"/>
        </w:rPr>
        <w:t xml:space="preserve"> </w:t>
      </w:r>
      <w:r w:rsidR="00806144" w:rsidRPr="006E241A">
        <w:rPr>
          <w:rFonts w:ascii="Palatino Linotype" w:hAnsi="Palatino Linotype" w:cs="Tahoma"/>
          <w:bCs/>
          <w:color w:val="0D0D0D" w:themeColor="text1" w:themeTint="F2"/>
          <w:sz w:val="24"/>
          <w:szCs w:val="24"/>
        </w:rPr>
        <w:t>en contra de la respuesta</w:t>
      </w:r>
      <w:r w:rsidR="005608D0" w:rsidRPr="006E241A">
        <w:rPr>
          <w:rFonts w:ascii="Palatino Linotype" w:hAnsi="Palatino Linotype" w:cs="Tahoma"/>
          <w:bCs/>
          <w:color w:val="0D0D0D" w:themeColor="text1" w:themeTint="F2"/>
          <w:sz w:val="24"/>
          <w:szCs w:val="24"/>
        </w:rPr>
        <w:t xml:space="preserve"> </w:t>
      </w:r>
      <w:r w:rsidR="008F70FD">
        <w:rPr>
          <w:rFonts w:ascii="Palatino Linotype" w:hAnsi="Palatino Linotype" w:cs="Tahoma"/>
          <w:bCs/>
          <w:color w:val="0D0D0D" w:themeColor="text1" w:themeTint="F2"/>
          <w:sz w:val="24"/>
          <w:szCs w:val="24"/>
        </w:rPr>
        <w:t xml:space="preserve">del Sujeto Obligado </w:t>
      </w:r>
      <w:r w:rsidR="005608D0" w:rsidRPr="006E241A">
        <w:rPr>
          <w:rFonts w:ascii="Palatino Linotype" w:hAnsi="Palatino Linotype" w:cs="Tahoma"/>
          <w:bCs/>
          <w:color w:val="0D0D0D" w:themeColor="text1" w:themeTint="F2"/>
          <w:sz w:val="24"/>
          <w:szCs w:val="24"/>
        </w:rPr>
        <w:t>la</w:t>
      </w:r>
      <w:r w:rsidR="004B42D0" w:rsidRPr="006E241A">
        <w:rPr>
          <w:rFonts w:ascii="Palatino Linotype" w:hAnsi="Palatino Linotype" w:cs="Tahoma"/>
          <w:bCs/>
          <w:color w:val="0D0D0D" w:themeColor="text1" w:themeTint="F2"/>
          <w:sz w:val="24"/>
          <w:szCs w:val="24"/>
        </w:rPr>
        <w:t xml:space="preserve"> Secretaría de Finanzas</w:t>
      </w:r>
      <w:r w:rsidR="00806144" w:rsidRPr="006E241A">
        <w:rPr>
          <w:rFonts w:ascii="Palatino Linotype" w:hAnsi="Palatino Linotype" w:cs="Tahoma"/>
          <w:bCs/>
          <w:color w:val="0D0D0D" w:themeColor="text1" w:themeTint="F2"/>
          <w:sz w:val="24"/>
          <w:szCs w:val="24"/>
        </w:rPr>
        <w:t>, se emite la presente Resolución, con base en los Antecedentes y C</w:t>
      </w:r>
      <w:r w:rsidR="00806144" w:rsidRPr="006E241A">
        <w:rPr>
          <w:rFonts w:ascii="Palatino Linotype" w:hAnsi="Palatino Linotype" w:cs="Tahoma"/>
          <w:bCs/>
          <w:sz w:val="24"/>
          <w:szCs w:val="24"/>
        </w:rPr>
        <w:t>onsidera</w:t>
      </w:r>
      <w:r w:rsidR="00C8780E">
        <w:rPr>
          <w:rFonts w:ascii="Palatino Linotype" w:hAnsi="Palatino Linotype" w:cs="Tahoma"/>
          <w:bCs/>
          <w:sz w:val="24"/>
          <w:szCs w:val="24"/>
        </w:rPr>
        <w:t>ndos</w:t>
      </w:r>
      <w:r w:rsidR="00806144" w:rsidRPr="006E241A">
        <w:rPr>
          <w:rFonts w:ascii="Palatino Linotype" w:hAnsi="Palatino Linotype" w:cs="Tahoma"/>
          <w:bCs/>
          <w:sz w:val="24"/>
          <w:szCs w:val="24"/>
        </w:rPr>
        <w:t xml:space="preserve"> que a continuación se exponen:</w:t>
      </w:r>
    </w:p>
    <w:p w14:paraId="709A9B59" w14:textId="77777777" w:rsidR="00806144" w:rsidRPr="006E241A" w:rsidRDefault="00806144" w:rsidP="00906410">
      <w:pPr>
        <w:spacing w:line="276" w:lineRule="auto"/>
        <w:rPr>
          <w:rFonts w:ascii="Palatino Linotype" w:hAnsi="Palatino Linotype" w:cs="Tahoma"/>
          <w:sz w:val="24"/>
          <w:szCs w:val="24"/>
        </w:rPr>
      </w:pPr>
    </w:p>
    <w:p w14:paraId="0D638073" w14:textId="2D81507F" w:rsidR="00B31222" w:rsidRPr="006E241A" w:rsidRDefault="00B31222" w:rsidP="00906410">
      <w:pPr>
        <w:tabs>
          <w:tab w:val="center" w:pos="4522"/>
          <w:tab w:val="left" w:pos="7245"/>
        </w:tabs>
        <w:spacing w:line="276" w:lineRule="auto"/>
        <w:jc w:val="center"/>
        <w:rPr>
          <w:rFonts w:ascii="Palatino Linotype" w:hAnsi="Palatino Linotype" w:cs="Tahoma"/>
          <w:b/>
          <w:sz w:val="24"/>
          <w:szCs w:val="24"/>
          <w:lang w:val="es-MX"/>
        </w:rPr>
      </w:pPr>
      <w:r w:rsidRPr="006E241A">
        <w:rPr>
          <w:rFonts w:ascii="Palatino Linotype" w:hAnsi="Palatino Linotype" w:cs="Tahoma"/>
          <w:b/>
          <w:sz w:val="24"/>
          <w:szCs w:val="24"/>
          <w:lang w:val="es-MX"/>
        </w:rPr>
        <w:t>ANTECEDENTES:</w:t>
      </w:r>
    </w:p>
    <w:p w14:paraId="23C4365E" w14:textId="77777777" w:rsidR="00B11CCE" w:rsidRPr="006E241A" w:rsidRDefault="00B11CCE" w:rsidP="00906410">
      <w:pPr>
        <w:pStyle w:val="Prrafodelista"/>
        <w:tabs>
          <w:tab w:val="left" w:pos="567"/>
        </w:tabs>
        <w:spacing w:line="276" w:lineRule="auto"/>
        <w:ind w:left="0"/>
        <w:contextualSpacing w:val="0"/>
        <w:jc w:val="both"/>
        <w:rPr>
          <w:rFonts w:ascii="Palatino Linotype" w:hAnsi="Palatino Linotype" w:cs="Tahoma"/>
          <w:b/>
          <w:sz w:val="24"/>
        </w:rPr>
      </w:pPr>
    </w:p>
    <w:p w14:paraId="3D4382BC" w14:textId="77777777" w:rsidR="00DC1594" w:rsidRPr="006E241A" w:rsidRDefault="00B31222" w:rsidP="00906410">
      <w:pPr>
        <w:pStyle w:val="Prrafodelista"/>
        <w:tabs>
          <w:tab w:val="left" w:pos="567"/>
        </w:tabs>
        <w:spacing w:line="276" w:lineRule="auto"/>
        <w:ind w:left="0"/>
        <w:contextualSpacing w:val="0"/>
        <w:jc w:val="both"/>
        <w:rPr>
          <w:rFonts w:ascii="Palatino Linotype" w:hAnsi="Palatino Linotype" w:cs="Tahoma"/>
          <w:b/>
          <w:sz w:val="24"/>
        </w:rPr>
      </w:pPr>
      <w:r w:rsidRPr="006E241A">
        <w:rPr>
          <w:rFonts w:ascii="Palatino Linotype" w:hAnsi="Palatino Linotype" w:cs="Tahoma"/>
          <w:b/>
          <w:sz w:val="24"/>
        </w:rPr>
        <w:t xml:space="preserve">I. Presentación de la solicitud de información. </w:t>
      </w:r>
    </w:p>
    <w:p w14:paraId="61FB40A9" w14:textId="77777777" w:rsidR="00DC1594" w:rsidRPr="006E241A" w:rsidRDefault="00DC1594" w:rsidP="00906410">
      <w:pPr>
        <w:pStyle w:val="Prrafodelista"/>
        <w:tabs>
          <w:tab w:val="left" w:pos="567"/>
        </w:tabs>
        <w:spacing w:line="276" w:lineRule="auto"/>
        <w:ind w:left="0"/>
        <w:contextualSpacing w:val="0"/>
        <w:jc w:val="both"/>
        <w:rPr>
          <w:rFonts w:ascii="Palatino Linotype" w:hAnsi="Palatino Linotype" w:cs="Tahoma"/>
          <w:sz w:val="24"/>
        </w:rPr>
      </w:pPr>
    </w:p>
    <w:p w14:paraId="7EEC6F7A" w14:textId="2876FF9B" w:rsidR="00806144" w:rsidRPr="006E241A" w:rsidRDefault="0084277D" w:rsidP="00906410">
      <w:pPr>
        <w:pStyle w:val="Prrafodelista"/>
        <w:tabs>
          <w:tab w:val="left" w:pos="567"/>
        </w:tabs>
        <w:spacing w:line="276" w:lineRule="auto"/>
        <w:ind w:left="0"/>
        <w:contextualSpacing w:val="0"/>
        <w:jc w:val="both"/>
        <w:rPr>
          <w:rFonts w:ascii="Palatino Linotype" w:hAnsi="Palatino Linotype" w:cs="Tahoma"/>
          <w:sz w:val="24"/>
        </w:rPr>
      </w:pPr>
      <w:r w:rsidRPr="006E241A">
        <w:rPr>
          <w:rFonts w:ascii="Palatino Linotype" w:hAnsi="Palatino Linotype" w:cs="Tahoma"/>
          <w:sz w:val="24"/>
        </w:rPr>
        <w:t>En</w:t>
      </w:r>
      <w:r w:rsidR="00806144" w:rsidRPr="006E241A">
        <w:rPr>
          <w:rFonts w:ascii="Palatino Linotype" w:hAnsi="Palatino Linotype" w:cs="Tahoma"/>
          <w:sz w:val="24"/>
        </w:rPr>
        <w:t xml:space="preserve"> fecha </w:t>
      </w:r>
      <w:r w:rsidR="004B42D0" w:rsidRPr="006E241A">
        <w:rPr>
          <w:rFonts w:ascii="Palatino Linotype" w:hAnsi="Palatino Linotype" w:cs="Tahoma"/>
          <w:sz w:val="24"/>
        </w:rPr>
        <w:t>treinta uno</w:t>
      </w:r>
      <w:r w:rsidR="005608D0" w:rsidRPr="006E241A">
        <w:rPr>
          <w:rFonts w:ascii="Palatino Linotype" w:hAnsi="Palatino Linotype" w:cs="Tahoma"/>
          <w:sz w:val="24"/>
        </w:rPr>
        <w:t xml:space="preserve"> d</w:t>
      </w:r>
      <w:r w:rsidR="004B42D0" w:rsidRPr="006E241A">
        <w:rPr>
          <w:rFonts w:ascii="Palatino Linotype" w:hAnsi="Palatino Linotype" w:cs="Tahoma"/>
          <w:sz w:val="24"/>
        </w:rPr>
        <w:t>e agosto de dos mil dieciocho, la</w:t>
      </w:r>
      <w:r w:rsidRPr="006E241A">
        <w:rPr>
          <w:rFonts w:ascii="Palatino Linotype" w:hAnsi="Palatino Linotype" w:cs="Tahoma"/>
          <w:sz w:val="24"/>
        </w:rPr>
        <w:t xml:space="preserve"> P</w:t>
      </w:r>
      <w:r w:rsidR="00806144" w:rsidRPr="006E241A">
        <w:rPr>
          <w:rFonts w:ascii="Palatino Linotype" w:hAnsi="Palatino Linotype" w:cs="Tahoma"/>
          <w:sz w:val="24"/>
        </w:rPr>
        <w:t>articular presentó solicitud</w:t>
      </w:r>
      <w:r w:rsidR="00B07E94" w:rsidRPr="006E241A">
        <w:rPr>
          <w:rFonts w:ascii="Palatino Linotype" w:hAnsi="Palatino Linotype" w:cs="Tahoma"/>
          <w:sz w:val="24"/>
        </w:rPr>
        <w:t xml:space="preserve"> </w:t>
      </w:r>
      <w:r w:rsidR="008615B8" w:rsidRPr="006E241A">
        <w:rPr>
          <w:rFonts w:ascii="Palatino Linotype" w:hAnsi="Palatino Linotype" w:cs="Tahoma"/>
          <w:sz w:val="24"/>
        </w:rPr>
        <w:t xml:space="preserve"> </w:t>
      </w:r>
      <w:r w:rsidR="00806144" w:rsidRPr="006E241A">
        <w:rPr>
          <w:rFonts w:ascii="Palatino Linotype" w:hAnsi="Palatino Linotype" w:cs="Tahoma"/>
          <w:sz w:val="24"/>
        </w:rPr>
        <w:t>de acceso a la información pública a través d</w:t>
      </w:r>
      <w:r w:rsidR="00806144" w:rsidRPr="006E241A">
        <w:rPr>
          <w:rFonts w:ascii="Palatino Linotype" w:hAnsi="Palatino Linotype" w:cs="Tahoma"/>
          <w:sz w:val="24"/>
          <w:lang w:val="es-ES"/>
        </w:rPr>
        <w:t>el Sistema de Acceso a la Información Mexiquense (SAIMEX)</w:t>
      </w:r>
      <w:r w:rsidR="00806144" w:rsidRPr="006E241A">
        <w:rPr>
          <w:rFonts w:ascii="Palatino Linotype" w:hAnsi="Palatino Linotype" w:cs="Tahoma"/>
          <w:sz w:val="24"/>
        </w:rPr>
        <w:t>, ante</w:t>
      </w:r>
      <w:r w:rsidR="005608D0" w:rsidRPr="006E241A">
        <w:rPr>
          <w:rFonts w:ascii="Palatino Linotype" w:hAnsi="Palatino Linotype" w:cs="Tahoma"/>
          <w:sz w:val="24"/>
        </w:rPr>
        <w:t xml:space="preserve"> la</w:t>
      </w:r>
      <w:r w:rsidR="004B42D0" w:rsidRPr="006E241A">
        <w:rPr>
          <w:rFonts w:ascii="Palatino Linotype" w:hAnsi="Palatino Linotype" w:cs="Tahoma"/>
          <w:sz w:val="24"/>
        </w:rPr>
        <w:t xml:space="preserve"> Secretaría de Finanzas</w:t>
      </w:r>
      <w:r w:rsidR="00806144" w:rsidRPr="006E241A">
        <w:rPr>
          <w:rFonts w:ascii="Palatino Linotype" w:hAnsi="Palatino Linotype" w:cs="Tahoma"/>
          <w:sz w:val="24"/>
        </w:rPr>
        <w:t>, mediante la cual requirió:</w:t>
      </w:r>
    </w:p>
    <w:p w14:paraId="3ABDC128" w14:textId="77777777" w:rsidR="004D1C65" w:rsidRDefault="004D1C65" w:rsidP="00906410">
      <w:pPr>
        <w:tabs>
          <w:tab w:val="left" w:pos="4667"/>
        </w:tabs>
        <w:spacing w:line="276" w:lineRule="auto"/>
        <w:ind w:left="567" w:right="567"/>
        <w:jc w:val="both"/>
        <w:rPr>
          <w:rFonts w:ascii="Palatino Linotype" w:hAnsi="Palatino Linotype" w:cs="Tahoma"/>
          <w:b/>
          <w:bCs/>
        </w:rPr>
      </w:pPr>
    </w:p>
    <w:p w14:paraId="222005B5" w14:textId="77777777" w:rsidR="00806144" w:rsidRPr="00906410" w:rsidRDefault="00806144" w:rsidP="00906410">
      <w:pPr>
        <w:tabs>
          <w:tab w:val="left" w:pos="4667"/>
        </w:tabs>
        <w:spacing w:line="276" w:lineRule="auto"/>
        <w:ind w:left="567" w:right="567"/>
        <w:jc w:val="both"/>
        <w:rPr>
          <w:rFonts w:ascii="Palatino Linotype" w:hAnsi="Palatino Linotype" w:cs="Tahoma"/>
          <w:b/>
          <w:bCs/>
        </w:rPr>
      </w:pPr>
      <w:r w:rsidRPr="00906410">
        <w:rPr>
          <w:rFonts w:ascii="Palatino Linotype" w:hAnsi="Palatino Linotype" w:cs="Tahoma"/>
          <w:b/>
          <w:bCs/>
        </w:rPr>
        <w:t>DESCRIPCIÓN CLARA Y PRECISA DE LA INFORMACIÓN SOLICITADA</w:t>
      </w:r>
    </w:p>
    <w:p w14:paraId="4187A3DB" w14:textId="240309AE" w:rsidR="00806144" w:rsidRPr="00906410" w:rsidRDefault="004B42D0" w:rsidP="00906410">
      <w:pPr>
        <w:tabs>
          <w:tab w:val="left" w:pos="4667"/>
        </w:tabs>
        <w:spacing w:line="276" w:lineRule="auto"/>
        <w:ind w:left="567" w:right="567"/>
        <w:jc w:val="both"/>
        <w:rPr>
          <w:rFonts w:ascii="Palatino Linotype" w:hAnsi="Palatino Linotype" w:cs="Tahoma"/>
          <w:bCs/>
        </w:rPr>
      </w:pPr>
      <w:r w:rsidRPr="00906410">
        <w:rPr>
          <w:rFonts w:ascii="Palatino Linotype" w:hAnsi="Palatino Linotype" w:cs="Tahoma"/>
          <w:bCs/>
        </w:rPr>
        <w:t xml:space="preserve">De la Subdureccion de Escalafon, solicito la expresion documental, en cualquier forma, sobre los instrumentos de evaluacion empleados hacia los servidores publicos que concursan por una plaza en el sistema escalafonario </w:t>
      </w:r>
      <w:r w:rsidR="00806144" w:rsidRPr="00906410">
        <w:rPr>
          <w:rFonts w:ascii="Palatino Linotype" w:hAnsi="Palatino Linotype" w:cs="Tahoma"/>
          <w:bCs/>
        </w:rPr>
        <w:t>(</w:t>
      </w:r>
      <w:r w:rsidR="00806144" w:rsidRPr="00906410">
        <w:rPr>
          <w:rFonts w:ascii="Palatino Linotype" w:hAnsi="Palatino Linotype" w:cs="Tahoma"/>
          <w:bCs/>
          <w:i/>
        </w:rPr>
        <w:t>Sic.</w:t>
      </w:r>
      <w:r w:rsidR="00806144" w:rsidRPr="00906410">
        <w:rPr>
          <w:rFonts w:ascii="Palatino Linotype" w:hAnsi="Palatino Linotype" w:cs="Tahoma"/>
          <w:bCs/>
        </w:rPr>
        <w:t>)</w:t>
      </w:r>
    </w:p>
    <w:p w14:paraId="1CA7FD8A" w14:textId="77777777" w:rsidR="004D1C65" w:rsidRPr="00906410" w:rsidRDefault="004D1C65" w:rsidP="00906410">
      <w:pPr>
        <w:tabs>
          <w:tab w:val="left" w:pos="4667"/>
        </w:tabs>
        <w:spacing w:line="276" w:lineRule="auto"/>
        <w:ind w:left="567" w:right="567"/>
        <w:jc w:val="both"/>
        <w:rPr>
          <w:rFonts w:ascii="Palatino Linotype" w:hAnsi="Palatino Linotype" w:cs="Tahoma"/>
          <w:bCs/>
        </w:rPr>
      </w:pPr>
    </w:p>
    <w:p w14:paraId="7538FCBE" w14:textId="77777777" w:rsidR="00806144" w:rsidRPr="00906410" w:rsidRDefault="00806144" w:rsidP="00906410">
      <w:pPr>
        <w:tabs>
          <w:tab w:val="left" w:pos="4667"/>
        </w:tabs>
        <w:spacing w:line="276" w:lineRule="auto"/>
        <w:ind w:left="567" w:right="567"/>
        <w:jc w:val="both"/>
        <w:rPr>
          <w:rFonts w:ascii="Palatino Linotype" w:hAnsi="Palatino Linotype" w:cs="Tahoma"/>
          <w:bCs/>
        </w:rPr>
      </w:pPr>
      <w:r w:rsidRPr="00906410">
        <w:rPr>
          <w:rFonts w:ascii="Palatino Linotype" w:hAnsi="Palatino Linotype" w:cs="Tahoma"/>
          <w:b/>
          <w:bCs/>
        </w:rPr>
        <w:t>MODALIDAD DE ENTREGA</w:t>
      </w:r>
    </w:p>
    <w:p w14:paraId="2644F7BE" w14:textId="579F231F" w:rsidR="00806144" w:rsidRPr="00906410" w:rsidRDefault="005608D0" w:rsidP="00906410">
      <w:pPr>
        <w:tabs>
          <w:tab w:val="left" w:pos="4667"/>
        </w:tabs>
        <w:spacing w:line="276" w:lineRule="auto"/>
        <w:ind w:left="567" w:right="567"/>
        <w:jc w:val="both"/>
        <w:rPr>
          <w:rFonts w:ascii="Palatino Linotype" w:hAnsi="Palatino Linotype" w:cs="Tahoma"/>
          <w:bCs/>
        </w:rPr>
      </w:pPr>
      <w:r w:rsidRPr="00906410">
        <w:rPr>
          <w:rFonts w:ascii="Palatino Linotype" w:hAnsi="Palatino Linotype" w:cs="Tahoma"/>
          <w:bCs/>
        </w:rPr>
        <w:t>A través del SA</w:t>
      </w:r>
      <w:r w:rsidR="00035017" w:rsidRPr="00906410">
        <w:rPr>
          <w:rFonts w:ascii="Palatino Linotype" w:hAnsi="Palatino Linotype" w:cs="Tahoma"/>
          <w:bCs/>
        </w:rPr>
        <w:t>I</w:t>
      </w:r>
      <w:r w:rsidRPr="00906410">
        <w:rPr>
          <w:rFonts w:ascii="Palatino Linotype" w:hAnsi="Palatino Linotype" w:cs="Tahoma"/>
          <w:bCs/>
        </w:rPr>
        <w:t>MEX</w:t>
      </w:r>
      <w:r w:rsidR="00E152D8" w:rsidRPr="00906410">
        <w:rPr>
          <w:rFonts w:ascii="Palatino Linotype" w:hAnsi="Palatino Linotype" w:cs="Tahoma"/>
          <w:bCs/>
        </w:rPr>
        <w:t xml:space="preserve"> </w:t>
      </w:r>
    </w:p>
    <w:p w14:paraId="4986360B" w14:textId="77777777" w:rsidR="007516C8" w:rsidRPr="006E241A" w:rsidRDefault="007516C8" w:rsidP="00906410">
      <w:pPr>
        <w:autoSpaceDE w:val="0"/>
        <w:autoSpaceDN w:val="0"/>
        <w:adjustRightInd w:val="0"/>
        <w:spacing w:line="276" w:lineRule="auto"/>
        <w:jc w:val="both"/>
        <w:rPr>
          <w:rFonts w:ascii="Palatino Linotype" w:hAnsi="Palatino Linotype" w:cs="Tahoma"/>
          <w:sz w:val="24"/>
          <w:szCs w:val="24"/>
        </w:rPr>
      </w:pPr>
    </w:p>
    <w:p w14:paraId="29C0D204" w14:textId="60760C9C" w:rsidR="009D7DDA" w:rsidRPr="006E241A" w:rsidRDefault="00C929A8" w:rsidP="00906410">
      <w:pPr>
        <w:autoSpaceDE w:val="0"/>
        <w:autoSpaceDN w:val="0"/>
        <w:adjustRightInd w:val="0"/>
        <w:spacing w:line="276" w:lineRule="auto"/>
        <w:jc w:val="both"/>
        <w:rPr>
          <w:rFonts w:ascii="Palatino Linotype" w:hAnsi="Palatino Linotype" w:cs="Tahoma"/>
          <w:b/>
          <w:sz w:val="24"/>
          <w:szCs w:val="24"/>
        </w:rPr>
      </w:pPr>
      <w:r w:rsidRPr="006E241A">
        <w:rPr>
          <w:rFonts w:ascii="Palatino Linotype" w:hAnsi="Palatino Linotype" w:cs="Tahoma"/>
          <w:b/>
          <w:sz w:val="24"/>
          <w:szCs w:val="24"/>
        </w:rPr>
        <w:t>II</w:t>
      </w:r>
      <w:r w:rsidR="009D7DDA" w:rsidRPr="006E241A">
        <w:rPr>
          <w:rFonts w:ascii="Palatino Linotype" w:hAnsi="Palatino Linotype" w:cs="Tahoma"/>
          <w:b/>
          <w:sz w:val="24"/>
          <w:szCs w:val="24"/>
        </w:rPr>
        <w:t xml:space="preserve">. Respuesta del </w:t>
      </w:r>
      <w:r w:rsidR="00E62E3B">
        <w:rPr>
          <w:rFonts w:ascii="Palatino Linotype" w:hAnsi="Palatino Linotype" w:cs="Tahoma"/>
          <w:b/>
          <w:sz w:val="24"/>
          <w:szCs w:val="24"/>
        </w:rPr>
        <w:t>Sujeto Obligado</w:t>
      </w:r>
      <w:r w:rsidR="009D7DDA" w:rsidRPr="006E241A">
        <w:rPr>
          <w:rFonts w:ascii="Palatino Linotype" w:hAnsi="Palatino Linotype" w:cs="Tahoma"/>
          <w:b/>
          <w:sz w:val="24"/>
          <w:szCs w:val="24"/>
        </w:rPr>
        <w:t>.</w:t>
      </w:r>
    </w:p>
    <w:p w14:paraId="6545AB28" w14:textId="77777777" w:rsidR="009D7DDA" w:rsidRPr="006E241A" w:rsidRDefault="009D7DDA" w:rsidP="00906410">
      <w:pPr>
        <w:autoSpaceDE w:val="0"/>
        <w:autoSpaceDN w:val="0"/>
        <w:adjustRightInd w:val="0"/>
        <w:spacing w:line="276" w:lineRule="auto"/>
        <w:jc w:val="both"/>
        <w:rPr>
          <w:rFonts w:ascii="Palatino Linotype" w:hAnsi="Palatino Linotype" w:cs="Tahoma"/>
          <w:sz w:val="24"/>
          <w:szCs w:val="24"/>
        </w:rPr>
      </w:pPr>
    </w:p>
    <w:p w14:paraId="6219BD09" w14:textId="18FD8CAB" w:rsidR="00A94475" w:rsidRPr="006E241A" w:rsidRDefault="00046F1D" w:rsidP="00906410">
      <w:pPr>
        <w:autoSpaceDE w:val="0"/>
        <w:autoSpaceDN w:val="0"/>
        <w:adjustRightInd w:val="0"/>
        <w:spacing w:line="276" w:lineRule="auto"/>
        <w:jc w:val="both"/>
        <w:rPr>
          <w:rFonts w:ascii="Palatino Linotype" w:hAnsi="Palatino Linotype" w:cs="Tahoma"/>
          <w:sz w:val="24"/>
          <w:szCs w:val="24"/>
        </w:rPr>
      </w:pPr>
      <w:r w:rsidRPr="006E241A">
        <w:rPr>
          <w:rFonts w:ascii="Palatino Linotype" w:hAnsi="Palatino Linotype" w:cs="Tahoma"/>
          <w:sz w:val="24"/>
          <w:szCs w:val="24"/>
        </w:rPr>
        <w:t>E</w:t>
      </w:r>
      <w:r w:rsidR="00C929A8" w:rsidRPr="006E241A">
        <w:rPr>
          <w:rFonts w:ascii="Palatino Linotype" w:hAnsi="Palatino Linotype" w:cs="Tahoma"/>
          <w:sz w:val="24"/>
          <w:szCs w:val="24"/>
        </w:rPr>
        <w:t>l diecisiete</w:t>
      </w:r>
      <w:r w:rsidR="00A631FA" w:rsidRPr="006E241A">
        <w:rPr>
          <w:rFonts w:ascii="Palatino Linotype" w:hAnsi="Palatino Linotype" w:cs="Tahoma"/>
          <w:sz w:val="24"/>
          <w:szCs w:val="24"/>
        </w:rPr>
        <w:t xml:space="preserve"> de septiembre de dos mi</w:t>
      </w:r>
      <w:r w:rsidRPr="006E241A">
        <w:rPr>
          <w:rFonts w:ascii="Palatino Linotype" w:hAnsi="Palatino Linotype" w:cs="Tahoma"/>
          <w:sz w:val="24"/>
          <w:szCs w:val="24"/>
        </w:rPr>
        <w:t xml:space="preserve">l dieciocho, </w:t>
      </w:r>
      <w:r w:rsidR="001723FF" w:rsidRPr="006E241A">
        <w:rPr>
          <w:rFonts w:ascii="Palatino Linotype" w:hAnsi="Palatino Linotype" w:cs="Tahoma"/>
          <w:sz w:val="24"/>
          <w:szCs w:val="24"/>
        </w:rPr>
        <w:t xml:space="preserve">mediante el Sistema de Acceso a la Información Mexiquense (SAIMEX), </w:t>
      </w:r>
      <w:r w:rsidRPr="006E241A">
        <w:rPr>
          <w:rFonts w:ascii="Palatino Linotype" w:hAnsi="Palatino Linotype" w:cs="Tahoma"/>
          <w:sz w:val="24"/>
          <w:szCs w:val="24"/>
        </w:rPr>
        <w:t xml:space="preserve">el </w:t>
      </w:r>
      <w:r w:rsidR="00E62E3B">
        <w:rPr>
          <w:rFonts w:ascii="Palatino Linotype" w:hAnsi="Palatino Linotype" w:cs="Tahoma"/>
          <w:sz w:val="24"/>
          <w:szCs w:val="24"/>
        </w:rPr>
        <w:t>Sujeto Obligado</w:t>
      </w:r>
      <w:r w:rsidR="00C929A8" w:rsidRPr="006E241A">
        <w:rPr>
          <w:rFonts w:ascii="Palatino Linotype" w:hAnsi="Palatino Linotype" w:cs="Tahoma"/>
          <w:sz w:val="24"/>
          <w:szCs w:val="24"/>
        </w:rPr>
        <w:t xml:space="preserve"> </w:t>
      </w:r>
      <w:r w:rsidR="001723FF" w:rsidRPr="006E241A">
        <w:rPr>
          <w:rFonts w:ascii="Palatino Linotype" w:hAnsi="Palatino Linotype" w:cs="Tahoma"/>
          <w:sz w:val="24"/>
          <w:szCs w:val="24"/>
        </w:rPr>
        <w:t xml:space="preserve">notificó al particular la </w:t>
      </w:r>
      <w:r w:rsidRPr="006E241A">
        <w:rPr>
          <w:rFonts w:ascii="Palatino Linotype" w:hAnsi="Palatino Linotype" w:cs="Tahoma"/>
          <w:sz w:val="24"/>
          <w:szCs w:val="24"/>
        </w:rPr>
        <w:t xml:space="preserve">respuesta a </w:t>
      </w:r>
      <w:r w:rsidR="001723FF" w:rsidRPr="006E241A">
        <w:rPr>
          <w:rFonts w:ascii="Palatino Linotype" w:hAnsi="Palatino Linotype" w:cs="Tahoma"/>
          <w:sz w:val="24"/>
          <w:szCs w:val="24"/>
        </w:rPr>
        <w:t>su</w:t>
      </w:r>
      <w:r w:rsidRPr="006E241A">
        <w:rPr>
          <w:rFonts w:ascii="Palatino Linotype" w:hAnsi="Palatino Linotype" w:cs="Tahoma"/>
          <w:sz w:val="24"/>
          <w:szCs w:val="24"/>
        </w:rPr>
        <w:t xml:space="preserve"> solicitud de acceso a la información, </w:t>
      </w:r>
      <w:r w:rsidR="00A94475" w:rsidRPr="006E241A">
        <w:rPr>
          <w:rFonts w:ascii="Palatino Linotype" w:hAnsi="Palatino Linotype" w:cs="Tahoma"/>
          <w:sz w:val="24"/>
          <w:szCs w:val="24"/>
        </w:rPr>
        <w:t xml:space="preserve">a la que </w:t>
      </w:r>
      <w:r w:rsidR="0015337B" w:rsidRPr="006E241A">
        <w:rPr>
          <w:rFonts w:ascii="Palatino Linotype" w:hAnsi="Palatino Linotype" w:cs="Tahoma"/>
          <w:sz w:val="24"/>
          <w:szCs w:val="24"/>
        </w:rPr>
        <w:t>adjunt</w:t>
      </w:r>
      <w:r w:rsidR="0015337B">
        <w:rPr>
          <w:rFonts w:ascii="Palatino Linotype" w:hAnsi="Palatino Linotype" w:cs="Tahoma"/>
          <w:sz w:val="24"/>
          <w:szCs w:val="24"/>
        </w:rPr>
        <w:t>ó</w:t>
      </w:r>
      <w:r w:rsidR="0015337B" w:rsidRPr="006E241A">
        <w:rPr>
          <w:rFonts w:ascii="Palatino Linotype" w:hAnsi="Palatino Linotype" w:cs="Tahoma"/>
          <w:sz w:val="24"/>
          <w:szCs w:val="24"/>
        </w:rPr>
        <w:t xml:space="preserve"> </w:t>
      </w:r>
      <w:r w:rsidR="00A94475" w:rsidRPr="006E241A">
        <w:rPr>
          <w:rFonts w:ascii="Palatino Linotype" w:hAnsi="Palatino Linotype" w:cs="Tahoma"/>
          <w:sz w:val="24"/>
          <w:szCs w:val="24"/>
        </w:rPr>
        <w:t xml:space="preserve">la digitalización del </w:t>
      </w:r>
      <w:r w:rsidR="00CC4899" w:rsidRPr="006E241A">
        <w:rPr>
          <w:rFonts w:ascii="Palatino Linotype" w:hAnsi="Palatino Linotype" w:cs="Tahoma"/>
          <w:sz w:val="24"/>
          <w:szCs w:val="24"/>
        </w:rPr>
        <w:t xml:space="preserve">oficio 203410200-239/2018, emitido por el Servidor Público Habilitado de la </w:t>
      </w:r>
      <w:r w:rsidR="00CC4899" w:rsidRPr="006E241A">
        <w:rPr>
          <w:rFonts w:ascii="Palatino Linotype" w:hAnsi="Palatino Linotype" w:cs="Tahoma"/>
          <w:sz w:val="24"/>
          <w:szCs w:val="24"/>
        </w:rPr>
        <w:lastRenderedPageBreak/>
        <w:t>Dirección General de Personal</w:t>
      </w:r>
      <w:r w:rsidR="00A94475" w:rsidRPr="006E241A">
        <w:rPr>
          <w:rFonts w:ascii="Palatino Linotype" w:hAnsi="Palatino Linotype" w:cs="Tahoma"/>
          <w:sz w:val="24"/>
          <w:szCs w:val="24"/>
        </w:rPr>
        <w:t>, dirigido al Titular de la Unidad de Transparencia,</w:t>
      </w:r>
      <w:r w:rsidR="009D7DDA" w:rsidRPr="006E241A">
        <w:rPr>
          <w:rFonts w:ascii="Palatino Linotype" w:hAnsi="Palatino Linotype" w:cs="Tahoma"/>
          <w:sz w:val="24"/>
          <w:szCs w:val="24"/>
        </w:rPr>
        <w:t xml:space="preserve"> </w:t>
      </w:r>
      <w:r w:rsidRPr="006E241A">
        <w:rPr>
          <w:rFonts w:ascii="Palatino Linotype" w:hAnsi="Palatino Linotype" w:cs="Tahoma"/>
          <w:sz w:val="24"/>
          <w:szCs w:val="24"/>
        </w:rPr>
        <w:t xml:space="preserve">en los </w:t>
      </w:r>
      <w:r w:rsidR="009D7DDA" w:rsidRPr="006E241A">
        <w:rPr>
          <w:rFonts w:ascii="Palatino Linotype" w:hAnsi="Palatino Linotype" w:cs="Tahoma"/>
          <w:sz w:val="24"/>
          <w:szCs w:val="24"/>
        </w:rPr>
        <w:t xml:space="preserve">términos </w:t>
      </w:r>
      <w:r w:rsidRPr="006E241A">
        <w:rPr>
          <w:rFonts w:ascii="Palatino Linotype" w:hAnsi="Palatino Linotype" w:cs="Tahoma"/>
          <w:sz w:val="24"/>
          <w:szCs w:val="24"/>
        </w:rPr>
        <w:t xml:space="preserve">siguientes: </w:t>
      </w:r>
    </w:p>
    <w:p w14:paraId="325E02CD" w14:textId="77777777" w:rsidR="007516C8" w:rsidRPr="006E241A" w:rsidRDefault="007516C8" w:rsidP="00906410">
      <w:pPr>
        <w:autoSpaceDE w:val="0"/>
        <w:autoSpaceDN w:val="0"/>
        <w:adjustRightInd w:val="0"/>
        <w:spacing w:line="276" w:lineRule="auto"/>
        <w:jc w:val="both"/>
        <w:rPr>
          <w:rFonts w:ascii="Palatino Linotype" w:hAnsi="Palatino Linotype" w:cs="Tahoma"/>
          <w:sz w:val="24"/>
          <w:szCs w:val="24"/>
        </w:rPr>
      </w:pPr>
    </w:p>
    <w:p w14:paraId="0F3E6EE7" w14:textId="6DCD9B5C" w:rsidR="00A94475" w:rsidRPr="00906410" w:rsidRDefault="00A94475" w:rsidP="00906410">
      <w:pPr>
        <w:autoSpaceDE w:val="0"/>
        <w:autoSpaceDN w:val="0"/>
        <w:adjustRightInd w:val="0"/>
        <w:spacing w:line="276" w:lineRule="auto"/>
        <w:ind w:left="567"/>
        <w:jc w:val="both"/>
        <w:rPr>
          <w:rFonts w:ascii="Palatino Linotype" w:hAnsi="Palatino Linotype" w:cs="Tahoma"/>
          <w:sz w:val="22"/>
          <w:szCs w:val="22"/>
        </w:rPr>
      </w:pPr>
      <w:r w:rsidRPr="00906410">
        <w:rPr>
          <w:rFonts w:ascii="Palatino Linotype" w:hAnsi="Palatino Linotype" w:cs="Tahoma"/>
          <w:sz w:val="22"/>
          <w:szCs w:val="22"/>
        </w:rPr>
        <w:t>…</w:t>
      </w:r>
    </w:p>
    <w:p w14:paraId="5EAF5B1A" w14:textId="32F240CB" w:rsidR="007516C8" w:rsidRPr="00906410" w:rsidRDefault="00CC4899" w:rsidP="00906410">
      <w:pPr>
        <w:autoSpaceDE w:val="0"/>
        <w:autoSpaceDN w:val="0"/>
        <w:adjustRightInd w:val="0"/>
        <w:spacing w:line="276" w:lineRule="auto"/>
        <w:ind w:left="567" w:right="539"/>
        <w:jc w:val="both"/>
        <w:rPr>
          <w:rFonts w:ascii="Palatino Linotype" w:hAnsi="Palatino Linotype" w:cs="Tahoma"/>
          <w:sz w:val="22"/>
          <w:szCs w:val="22"/>
        </w:rPr>
      </w:pPr>
      <w:r w:rsidRPr="00906410">
        <w:rPr>
          <w:rFonts w:ascii="Palatino Linotype" w:hAnsi="Palatino Linotype" w:cs="Tahoma"/>
          <w:sz w:val="22"/>
          <w:szCs w:val="22"/>
        </w:rPr>
        <w:t xml:space="preserve">En atención al oficio número 203040000/UT-1741/2018, derivado de la solicitud de información pública número </w:t>
      </w:r>
      <w:r w:rsidRPr="00906410">
        <w:rPr>
          <w:rFonts w:ascii="Palatino Linotype" w:hAnsi="Palatino Linotype" w:cs="Tahoma"/>
          <w:b/>
          <w:sz w:val="22"/>
          <w:szCs w:val="22"/>
        </w:rPr>
        <w:t>00415/SF/IP/2018</w:t>
      </w:r>
      <w:r w:rsidRPr="00906410">
        <w:rPr>
          <w:rFonts w:ascii="Palatino Linotype" w:hAnsi="Palatino Linotype" w:cs="Tahoma"/>
          <w:sz w:val="22"/>
          <w:szCs w:val="22"/>
        </w:rPr>
        <w:t>, mediante la</w:t>
      </w:r>
      <w:r w:rsidR="00BB20F1" w:rsidRPr="00906410">
        <w:rPr>
          <w:rFonts w:ascii="Palatino Linotype" w:hAnsi="Palatino Linotype" w:cs="Tahoma"/>
          <w:sz w:val="22"/>
          <w:szCs w:val="22"/>
        </w:rPr>
        <w:t xml:space="preserve"> cual se requiere lo siguiente:</w:t>
      </w:r>
    </w:p>
    <w:p w14:paraId="78B1768F" w14:textId="19ED26CC" w:rsidR="00CC4899" w:rsidRPr="00906410" w:rsidRDefault="00BB20F1" w:rsidP="00906410">
      <w:pPr>
        <w:autoSpaceDE w:val="0"/>
        <w:autoSpaceDN w:val="0"/>
        <w:adjustRightInd w:val="0"/>
        <w:spacing w:line="276" w:lineRule="auto"/>
        <w:ind w:left="567" w:right="539"/>
        <w:jc w:val="both"/>
        <w:rPr>
          <w:rFonts w:ascii="Palatino Linotype" w:hAnsi="Palatino Linotype" w:cs="Tahoma"/>
          <w:sz w:val="24"/>
          <w:szCs w:val="24"/>
        </w:rPr>
      </w:pPr>
      <w:r w:rsidRPr="00906410">
        <w:rPr>
          <w:rFonts w:ascii="Palatino Linotype" w:hAnsi="Palatino Linotype" w:cs="Tahoma"/>
          <w:sz w:val="22"/>
          <w:szCs w:val="22"/>
        </w:rPr>
        <w:t>…</w:t>
      </w:r>
    </w:p>
    <w:p w14:paraId="4B1E567E" w14:textId="4482549D" w:rsidR="00CC4899" w:rsidRPr="00906410" w:rsidRDefault="00CC4899" w:rsidP="00906410">
      <w:pPr>
        <w:autoSpaceDE w:val="0"/>
        <w:autoSpaceDN w:val="0"/>
        <w:adjustRightInd w:val="0"/>
        <w:spacing w:line="276" w:lineRule="auto"/>
        <w:ind w:left="567" w:right="539"/>
        <w:jc w:val="both"/>
        <w:rPr>
          <w:rFonts w:ascii="Palatino Linotype" w:hAnsi="Palatino Linotype" w:cs="Tahoma"/>
          <w:sz w:val="22"/>
          <w:szCs w:val="22"/>
        </w:rPr>
      </w:pPr>
      <w:r w:rsidRPr="00906410">
        <w:rPr>
          <w:rFonts w:ascii="Palatino Linotype" w:hAnsi="Palatino Linotype" w:cs="Tahoma"/>
          <w:sz w:val="22"/>
          <w:szCs w:val="22"/>
        </w:rPr>
        <w:t xml:space="preserve"> Al respecto y con la finalidad de dar cumplimiento a lo dispuesto por el artículo 59 fracciones I, II y III de la Ley de Transparencia y Acceso a la Información Pública del Estado de México y Municipios, </w:t>
      </w:r>
      <w:r w:rsidRPr="00906410">
        <w:rPr>
          <w:rFonts w:ascii="Palatino Linotype" w:hAnsi="Palatino Linotype" w:cs="Tahoma"/>
          <w:b/>
          <w:sz w:val="22"/>
          <w:szCs w:val="22"/>
          <w:u w:val="single"/>
        </w:rPr>
        <w:t>me permito informar a usted que los instrumentos de evaluación que se aplican a los servidores públicos que concursan por una plaza en el sistema escalafonario es información de uso exclusivo de la Subdirección de Escalafón y de entregarse representaría un riesgo a la efectividad del procedimiento de evaluación</w:t>
      </w:r>
      <w:r w:rsidRPr="00906410">
        <w:rPr>
          <w:rFonts w:ascii="Palatino Linotype" w:hAnsi="Palatino Linotype" w:cs="Tahoma"/>
          <w:sz w:val="22"/>
          <w:szCs w:val="22"/>
        </w:rPr>
        <w:t>, en razón de que estas pruebas representan para los servidores públicos evaluadores un medio para determinar la viabilidad o no viabilidad de un aspirante a ocupar una plaza a través de concurso escalafonario.</w:t>
      </w:r>
    </w:p>
    <w:p w14:paraId="40BE6E99" w14:textId="146E25A2" w:rsidR="00CC4899" w:rsidRPr="00906410" w:rsidRDefault="002E0369" w:rsidP="00906410">
      <w:pPr>
        <w:autoSpaceDE w:val="0"/>
        <w:autoSpaceDN w:val="0"/>
        <w:adjustRightInd w:val="0"/>
        <w:spacing w:line="276" w:lineRule="auto"/>
        <w:ind w:left="567" w:right="539"/>
        <w:jc w:val="both"/>
        <w:rPr>
          <w:rFonts w:ascii="Palatino Linotype" w:hAnsi="Palatino Linotype" w:cs="Tahoma"/>
          <w:sz w:val="22"/>
          <w:szCs w:val="22"/>
        </w:rPr>
      </w:pPr>
      <w:r w:rsidRPr="00906410">
        <w:rPr>
          <w:rFonts w:ascii="Palatino Linotype" w:hAnsi="Palatino Linotype" w:cs="Tahoma"/>
          <w:sz w:val="22"/>
          <w:szCs w:val="22"/>
        </w:rPr>
        <w:t>…</w:t>
      </w:r>
    </w:p>
    <w:p w14:paraId="047E829D" w14:textId="701914D3" w:rsidR="00222FCE" w:rsidRPr="00906410" w:rsidRDefault="00222FCE" w:rsidP="00906410">
      <w:pPr>
        <w:autoSpaceDE w:val="0"/>
        <w:autoSpaceDN w:val="0"/>
        <w:adjustRightInd w:val="0"/>
        <w:spacing w:line="276" w:lineRule="auto"/>
        <w:ind w:left="567" w:right="539"/>
        <w:jc w:val="both"/>
        <w:rPr>
          <w:rFonts w:ascii="Palatino Linotype" w:hAnsi="Palatino Linotype" w:cs="Tahoma"/>
          <w:sz w:val="22"/>
          <w:szCs w:val="22"/>
        </w:rPr>
      </w:pPr>
      <w:r w:rsidRPr="00906410">
        <w:rPr>
          <w:rFonts w:ascii="Palatino Linotype" w:hAnsi="Palatino Linotype" w:cs="Tahoma"/>
          <w:sz w:val="22"/>
          <w:szCs w:val="22"/>
        </w:rPr>
        <w:t>(Énfasis añadido)</w:t>
      </w:r>
    </w:p>
    <w:p w14:paraId="6EC52D39" w14:textId="77777777" w:rsidR="0084277D" w:rsidRPr="006E241A" w:rsidRDefault="0084277D" w:rsidP="00906410">
      <w:pPr>
        <w:autoSpaceDE w:val="0"/>
        <w:autoSpaceDN w:val="0"/>
        <w:adjustRightInd w:val="0"/>
        <w:spacing w:line="276" w:lineRule="auto"/>
        <w:jc w:val="both"/>
        <w:rPr>
          <w:rFonts w:ascii="Palatino Linotype" w:hAnsi="Palatino Linotype" w:cs="Tahoma"/>
          <w:b/>
          <w:sz w:val="24"/>
          <w:szCs w:val="24"/>
        </w:rPr>
      </w:pPr>
    </w:p>
    <w:p w14:paraId="3FC23343" w14:textId="0F133CFF" w:rsidR="00587F23" w:rsidRPr="006E241A" w:rsidRDefault="00C55151" w:rsidP="00906410">
      <w:pPr>
        <w:autoSpaceDE w:val="0"/>
        <w:autoSpaceDN w:val="0"/>
        <w:adjustRightInd w:val="0"/>
        <w:spacing w:line="276" w:lineRule="auto"/>
        <w:jc w:val="both"/>
        <w:rPr>
          <w:rFonts w:ascii="Palatino Linotype" w:hAnsi="Palatino Linotype" w:cs="Tahoma"/>
          <w:b/>
          <w:sz w:val="24"/>
          <w:szCs w:val="24"/>
        </w:rPr>
      </w:pPr>
      <w:r w:rsidRPr="006E241A">
        <w:rPr>
          <w:rFonts w:ascii="Palatino Linotype" w:hAnsi="Palatino Linotype" w:cs="Tahoma"/>
          <w:b/>
          <w:sz w:val="24"/>
          <w:szCs w:val="24"/>
        </w:rPr>
        <w:t>I</w:t>
      </w:r>
      <w:r w:rsidR="007A4A05" w:rsidRPr="006E241A">
        <w:rPr>
          <w:rFonts w:ascii="Palatino Linotype" w:hAnsi="Palatino Linotype" w:cs="Tahoma"/>
          <w:b/>
          <w:sz w:val="24"/>
          <w:szCs w:val="24"/>
        </w:rPr>
        <w:t>V</w:t>
      </w:r>
      <w:r w:rsidRPr="006E241A">
        <w:rPr>
          <w:rFonts w:ascii="Palatino Linotype" w:hAnsi="Palatino Linotype" w:cs="Tahoma"/>
          <w:b/>
          <w:sz w:val="24"/>
          <w:szCs w:val="24"/>
        </w:rPr>
        <w:t xml:space="preserve">. </w:t>
      </w:r>
      <w:r w:rsidR="004100AA" w:rsidRPr="006E241A">
        <w:rPr>
          <w:rFonts w:ascii="Palatino Linotype" w:hAnsi="Palatino Linotype" w:cs="Tahoma"/>
          <w:b/>
          <w:sz w:val="24"/>
          <w:szCs w:val="24"/>
        </w:rPr>
        <w:t>Interposición</w:t>
      </w:r>
      <w:r w:rsidR="0094782C" w:rsidRPr="006E241A">
        <w:rPr>
          <w:rFonts w:ascii="Palatino Linotype" w:hAnsi="Palatino Linotype" w:cs="Tahoma"/>
          <w:b/>
          <w:sz w:val="24"/>
          <w:szCs w:val="24"/>
        </w:rPr>
        <w:t xml:space="preserve"> del Recurso de R</w:t>
      </w:r>
      <w:r w:rsidR="00C25238" w:rsidRPr="006E241A">
        <w:rPr>
          <w:rFonts w:ascii="Palatino Linotype" w:hAnsi="Palatino Linotype" w:cs="Tahoma"/>
          <w:b/>
          <w:sz w:val="24"/>
          <w:szCs w:val="24"/>
        </w:rPr>
        <w:t xml:space="preserve">evisión. </w:t>
      </w:r>
    </w:p>
    <w:p w14:paraId="7017C937" w14:textId="77777777" w:rsidR="00035017" w:rsidRPr="006E241A" w:rsidRDefault="00035017" w:rsidP="00906410">
      <w:pPr>
        <w:autoSpaceDE w:val="0"/>
        <w:autoSpaceDN w:val="0"/>
        <w:adjustRightInd w:val="0"/>
        <w:spacing w:line="276" w:lineRule="auto"/>
        <w:jc w:val="both"/>
        <w:rPr>
          <w:rFonts w:ascii="Palatino Linotype" w:hAnsi="Palatino Linotype" w:cs="Tahoma"/>
          <w:b/>
          <w:sz w:val="24"/>
          <w:szCs w:val="24"/>
        </w:rPr>
      </w:pPr>
    </w:p>
    <w:p w14:paraId="519D5511" w14:textId="3BEC79EF" w:rsidR="00806144" w:rsidRPr="006E241A" w:rsidRDefault="00806144" w:rsidP="00906410">
      <w:pPr>
        <w:autoSpaceDE w:val="0"/>
        <w:autoSpaceDN w:val="0"/>
        <w:adjustRightInd w:val="0"/>
        <w:spacing w:line="276" w:lineRule="auto"/>
        <w:jc w:val="both"/>
        <w:rPr>
          <w:rFonts w:ascii="Palatino Linotype" w:hAnsi="Palatino Linotype" w:cs="Tahoma"/>
          <w:sz w:val="24"/>
          <w:szCs w:val="24"/>
        </w:rPr>
      </w:pPr>
      <w:r w:rsidRPr="006E241A">
        <w:rPr>
          <w:rFonts w:ascii="Palatino Linotype" w:hAnsi="Palatino Linotype" w:cs="Tahoma"/>
          <w:sz w:val="24"/>
          <w:szCs w:val="24"/>
        </w:rPr>
        <w:t xml:space="preserve">Con fecha </w:t>
      </w:r>
      <w:r w:rsidR="00EC60A0" w:rsidRPr="006E241A">
        <w:rPr>
          <w:rFonts w:ascii="Palatino Linotype" w:hAnsi="Palatino Linotype" w:cs="Tahoma"/>
          <w:sz w:val="24"/>
          <w:szCs w:val="24"/>
        </w:rPr>
        <w:t xml:space="preserve">diecisiete </w:t>
      </w:r>
      <w:r w:rsidRPr="006E241A">
        <w:rPr>
          <w:rFonts w:ascii="Palatino Linotype" w:hAnsi="Palatino Linotype" w:cs="Tahoma"/>
          <w:sz w:val="24"/>
          <w:szCs w:val="24"/>
        </w:rPr>
        <w:t xml:space="preserve">de septiembre de dos mil dieciocho, se recibió en este </w:t>
      </w:r>
      <w:r w:rsidRPr="006E241A">
        <w:rPr>
          <w:rFonts w:ascii="Palatino Linotype" w:eastAsia="Calibri" w:hAnsi="Palatino Linotype" w:cs="Tahoma"/>
          <w:sz w:val="24"/>
          <w:szCs w:val="24"/>
          <w:lang w:val="es-MX" w:eastAsia="en-US"/>
        </w:rPr>
        <w:t xml:space="preserve">Instituto, a través del </w:t>
      </w:r>
      <w:r w:rsidRPr="006E241A">
        <w:rPr>
          <w:rFonts w:ascii="Palatino Linotype" w:hAnsi="Palatino Linotype" w:cs="Tahoma"/>
          <w:sz w:val="24"/>
          <w:szCs w:val="24"/>
        </w:rPr>
        <w:t>Sistema de Acceso a la Información Mexiquense (SAIMEX), el Recurso de R</w:t>
      </w:r>
      <w:r w:rsidR="00544785" w:rsidRPr="006E241A">
        <w:rPr>
          <w:rFonts w:ascii="Palatino Linotype" w:hAnsi="Palatino Linotype" w:cs="Tahoma"/>
          <w:sz w:val="24"/>
          <w:szCs w:val="24"/>
        </w:rPr>
        <w:t>evisión interpuesto</w:t>
      </w:r>
      <w:r w:rsidRPr="006E241A">
        <w:rPr>
          <w:rFonts w:ascii="Palatino Linotype" w:hAnsi="Palatino Linotype" w:cs="Tahoma"/>
          <w:sz w:val="24"/>
          <w:szCs w:val="24"/>
        </w:rPr>
        <w:t xml:space="preserve"> por la parte recurrente, en contra de la respuesta del </w:t>
      </w:r>
      <w:r w:rsidR="00E62E3B">
        <w:rPr>
          <w:rFonts w:ascii="Palatino Linotype" w:hAnsi="Palatino Linotype" w:cs="Tahoma"/>
          <w:sz w:val="24"/>
          <w:szCs w:val="24"/>
        </w:rPr>
        <w:t>Sujeto Obligado</w:t>
      </w:r>
      <w:r w:rsidRPr="006E241A">
        <w:rPr>
          <w:rFonts w:ascii="Palatino Linotype" w:hAnsi="Palatino Linotype" w:cs="Tahoma"/>
          <w:sz w:val="24"/>
          <w:szCs w:val="24"/>
        </w:rPr>
        <w:t xml:space="preserve">, </w:t>
      </w:r>
      <w:r w:rsidRPr="006E241A">
        <w:rPr>
          <w:rFonts w:ascii="Palatino Linotype" w:hAnsi="Palatino Linotype" w:cs="Tahoma"/>
          <w:sz w:val="24"/>
          <w:szCs w:val="24"/>
          <w:lang w:val="es-MX"/>
        </w:rPr>
        <w:t xml:space="preserve">en los </w:t>
      </w:r>
      <w:r w:rsidR="007A4A05" w:rsidRPr="006E241A">
        <w:rPr>
          <w:rFonts w:ascii="Palatino Linotype" w:hAnsi="Palatino Linotype" w:cs="Tahoma"/>
          <w:sz w:val="24"/>
          <w:szCs w:val="24"/>
          <w:lang w:val="es-MX"/>
        </w:rPr>
        <w:t xml:space="preserve">términos </w:t>
      </w:r>
      <w:r w:rsidRPr="006E241A">
        <w:rPr>
          <w:rFonts w:ascii="Palatino Linotype" w:hAnsi="Palatino Linotype" w:cs="Tahoma"/>
          <w:sz w:val="24"/>
          <w:szCs w:val="24"/>
          <w:lang w:val="es-MX"/>
        </w:rPr>
        <w:t>siguientes:</w:t>
      </w:r>
    </w:p>
    <w:p w14:paraId="1BD552C8" w14:textId="77777777" w:rsidR="00C25238" w:rsidRPr="006E241A" w:rsidRDefault="00C25238" w:rsidP="00906410">
      <w:pPr>
        <w:tabs>
          <w:tab w:val="left" w:pos="4667"/>
        </w:tabs>
        <w:spacing w:line="276" w:lineRule="auto"/>
        <w:jc w:val="both"/>
        <w:rPr>
          <w:rFonts w:ascii="Palatino Linotype" w:hAnsi="Palatino Linotype" w:cs="Tahoma"/>
          <w:bCs/>
          <w:sz w:val="24"/>
          <w:szCs w:val="24"/>
        </w:rPr>
      </w:pPr>
    </w:p>
    <w:p w14:paraId="61D581D2" w14:textId="77777777" w:rsidR="00C25238" w:rsidRPr="00D147D5" w:rsidRDefault="00C25238" w:rsidP="00906410">
      <w:pPr>
        <w:tabs>
          <w:tab w:val="left" w:pos="4667"/>
        </w:tabs>
        <w:spacing w:line="276" w:lineRule="auto"/>
        <w:ind w:left="567" w:right="567"/>
        <w:jc w:val="both"/>
        <w:rPr>
          <w:rFonts w:ascii="Palatino Linotype" w:hAnsi="Palatino Linotype" w:cs="Tahoma"/>
          <w:bCs/>
          <w:sz w:val="22"/>
          <w:szCs w:val="24"/>
          <w:lang w:val="es-MX"/>
        </w:rPr>
      </w:pPr>
      <w:r w:rsidRPr="00D147D5">
        <w:rPr>
          <w:rFonts w:ascii="Palatino Linotype" w:hAnsi="Palatino Linotype" w:cs="Tahoma"/>
          <w:b/>
          <w:bCs/>
          <w:sz w:val="22"/>
          <w:szCs w:val="24"/>
          <w:lang w:val="es-MX"/>
        </w:rPr>
        <w:t>ACTO IMPUGNADO</w:t>
      </w:r>
    </w:p>
    <w:p w14:paraId="56E233D9" w14:textId="7A0E8A15" w:rsidR="00CD3A5D" w:rsidRPr="00D147D5" w:rsidRDefault="007F1500" w:rsidP="00906410">
      <w:pPr>
        <w:autoSpaceDE w:val="0"/>
        <w:autoSpaceDN w:val="0"/>
        <w:adjustRightInd w:val="0"/>
        <w:spacing w:line="276" w:lineRule="auto"/>
        <w:ind w:left="567" w:right="567"/>
        <w:jc w:val="both"/>
        <w:rPr>
          <w:rFonts w:ascii="Palatino Linotype" w:hAnsi="Palatino Linotype" w:cs="Tahoma"/>
          <w:sz w:val="22"/>
          <w:szCs w:val="24"/>
        </w:rPr>
      </w:pPr>
      <w:r w:rsidRPr="00D147D5">
        <w:rPr>
          <w:rFonts w:ascii="Palatino Linotype" w:eastAsiaTheme="minorHAnsi" w:hAnsi="Palatino Linotype" w:cs="Tahoma"/>
          <w:i/>
          <w:sz w:val="22"/>
          <w:szCs w:val="24"/>
          <w:lang w:val="es-MX" w:eastAsia="en-US"/>
        </w:rPr>
        <w:t>La respuesta del.</w:t>
      </w:r>
      <w:r w:rsidR="00E62E3B" w:rsidRPr="00D147D5">
        <w:rPr>
          <w:rFonts w:ascii="Palatino Linotype" w:eastAsiaTheme="minorHAnsi" w:hAnsi="Palatino Linotype" w:cs="Tahoma"/>
          <w:i/>
          <w:sz w:val="22"/>
          <w:szCs w:val="24"/>
          <w:lang w:val="es-MX" w:eastAsia="en-US"/>
        </w:rPr>
        <w:t>Sujeto Obligado</w:t>
      </w:r>
      <w:r w:rsidRPr="00D147D5">
        <w:rPr>
          <w:rFonts w:ascii="Palatino Linotype" w:eastAsiaTheme="minorHAnsi" w:hAnsi="Palatino Linotype" w:cs="Tahoma"/>
          <w:i/>
          <w:sz w:val="22"/>
          <w:szCs w:val="24"/>
          <w:lang w:val="es-MX" w:eastAsia="en-US"/>
        </w:rPr>
        <w:t xml:space="preserve"> </w:t>
      </w:r>
      <w:r w:rsidR="00CD3A5D" w:rsidRPr="00D147D5">
        <w:rPr>
          <w:rFonts w:ascii="Palatino Linotype" w:hAnsi="Palatino Linotype" w:cs="Tahoma"/>
          <w:sz w:val="22"/>
          <w:szCs w:val="24"/>
        </w:rPr>
        <w:t>(</w:t>
      </w:r>
      <w:r w:rsidR="00CD3A5D" w:rsidRPr="00D147D5">
        <w:rPr>
          <w:rFonts w:ascii="Palatino Linotype" w:hAnsi="Palatino Linotype" w:cs="Tahoma"/>
          <w:i/>
          <w:sz w:val="22"/>
          <w:szCs w:val="24"/>
        </w:rPr>
        <w:t>Sic.</w:t>
      </w:r>
      <w:r w:rsidR="00CD3A5D" w:rsidRPr="00D147D5">
        <w:rPr>
          <w:rFonts w:ascii="Palatino Linotype" w:hAnsi="Palatino Linotype" w:cs="Tahoma"/>
          <w:sz w:val="22"/>
          <w:szCs w:val="24"/>
        </w:rPr>
        <w:t>)</w:t>
      </w:r>
    </w:p>
    <w:p w14:paraId="5DF4409E" w14:textId="77777777" w:rsidR="00D147D5" w:rsidRDefault="00D147D5" w:rsidP="00D147D5">
      <w:pPr>
        <w:autoSpaceDE w:val="0"/>
        <w:autoSpaceDN w:val="0"/>
        <w:adjustRightInd w:val="0"/>
        <w:spacing w:line="276" w:lineRule="auto"/>
        <w:ind w:right="567"/>
        <w:jc w:val="both"/>
        <w:rPr>
          <w:rFonts w:ascii="Palatino Linotype" w:hAnsi="Palatino Linotype" w:cs="Tahoma"/>
          <w:sz w:val="22"/>
          <w:szCs w:val="24"/>
        </w:rPr>
      </w:pPr>
    </w:p>
    <w:p w14:paraId="7C29F9E4" w14:textId="77777777" w:rsidR="00C25238" w:rsidRPr="00D147D5" w:rsidRDefault="00C25238" w:rsidP="00D147D5">
      <w:pPr>
        <w:autoSpaceDE w:val="0"/>
        <w:autoSpaceDN w:val="0"/>
        <w:adjustRightInd w:val="0"/>
        <w:spacing w:line="276" w:lineRule="auto"/>
        <w:ind w:right="567" w:firstLine="567"/>
        <w:jc w:val="both"/>
        <w:rPr>
          <w:rFonts w:ascii="Palatino Linotype" w:hAnsi="Palatino Linotype" w:cs="Tahoma"/>
          <w:b/>
          <w:sz w:val="22"/>
          <w:szCs w:val="24"/>
        </w:rPr>
      </w:pPr>
      <w:r w:rsidRPr="00D147D5">
        <w:rPr>
          <w:rFonts w:ascii="Palatino Linotype" w:hAnsi="Palatino Linotype" w:cs="Tahoma"/>
          <w:b/>
          <w:sz w:val="22"/>
          <w:szCs w:val="24"/>
        </w:rPr>
        <w:t>RAZONES O MOTIVOS DE LA INCONFORMIDAD</w:t>
      </w:r>
    </w:p>
    <w:p w14:paraId="7164AC04" w14:textId="5FDCE1C7" w:rsidR="00B31222" w:rsidRPr="00D147D5" w:rsidRDefault="007F1500" w:rsidP="00906410">
      <w:pPr>
        <w:autoSpaceDE w:val="0"/>
        <w:autoSpaceDN w:val="0"/>
        <w:adjustRightInd w:val="0"/>
        <w:spacing w:line="276" w:lineRule="auto"/>
        <w:ind w:left="567" w:right="539"/>
        <w:jc w:val="both"/>
        <w:rPr>
          <w:rFonts w:ascii="Palatino Linotype" w:eastAsiaTheme="minorHAnsi" w:hAnsi="Palatino Linotype" w:cs="Tahoma"/>
          <w:sz w:val="22"/>
          <w:szCs w:val="24"/>
          <w:lang w:val="es-MX" w:eastAsia="en-US"/>
        </w:rPr>
      </w:pPr>
      <w:r w:rsidRPr="00D147D5">
        <w:rPr>
          <w:rFonts w:ascii="Palatino Linotype" w:eastAsiaTheme="minorHAnsi" w:hAnsi="Palatino Linotype" w:cs="Tahoma"/>
          <w:i/>
          <w:sz w:val="22"/>
          <w:szCs w:val="24"/>
          <w:lang w:val="es-MX" w:eastAsia="en-US"/>
        </w:rPr>
        <w:t>No entrega la expresion documental de la información que se le requiere</w:t>
      </w:r>
      <w:r w:rsidR="00EC60A0" w:rsidRPr="00D147D5">
        <w:rPr>
          <w:rFonts w:ascii="Palatino Linotype" w:eastAsiaTheme="minorHAnsi" w:hAnsi="Palatino Linotype" w:cs="Tahoma"/>
          <w:sz w:val="22"/>
          <w:szCs w:val="24"/>
          <w:lang w:val="es-MX" w:eastAsia="en-US"/>
        </w:rPr>
        <w:t>.</w:t>
      </w:r>
      <w:r w:rsidR="00CD3A5D" w:rsidRPr="00D147D5">
        <w:rPr>
          <w:rFonts w:ascii="Palatino Linotype" w:hAnsi="Palatino Linotype" w:cs="Tahoma"/>
          <w:sz w:val="22"/>
          <w:szCs w:val="24"/>
        </w:rPr>
        <w:t xml:space="preserve"> </w:t>
      </w:r>
      <w:r w:rsidR="00CD3A5D" w:rsidRPr="00D147D5">
        <w:rPr>
          <w:rFonts w:ascii="Palatino Linotype" w:hAnsi="Palatino Linotype" w:cs="Tahoma"/>
          <w:i/>
          <w:sz w:val="22"/>
          <w:szCs w:val="24"/>
        </w:rPr>
        <w:t>(S</w:t>
      </w:r>
      <w:r w:rsidR="00B31222" w:rsidRPr="00D147D5">
        <w:rPr>
          <w:rFonts w:ascii="Palatino Linotype" w:hAnsi="Palatino Linotype" w:cs="Tahoma"/>
          <w:i/>
          <w:sz w:val="22"/>
          <w:szCs w:val="24"/>
        </w:rPr>
        <w:t>ic)</w:t>
      </w:r>
    </w:p>
    <w:p w14:paraId="3E280FF6" w14:textId="77777777" w:rsidR="00B31222" w:rsidRPr="00D147D5" w:rsidRDefault="00B31222" w:rsidP="00906410">
      <w:pPr>
        <w:spacing w:line="276" w:lineRule="auto"/>
        <w:ind w:right="567"/>
        <w:jc w:val="both"/>
        <w:rPr>
          <w:rFonts w:ascii="Palatino Linotype" w:hAnsi="Palatino Linotype" w:cs="Tahoma"/>
          <w:bCs/>
          <w:sz w:val="22"/>
          <w:szCs w:val="24"/>
          <w:lang w:val="es-MX"/>
        </w:rPr>
      </w:pPr>
    </w:p>
    <w:p w14:paraId="21F9299C" w14:textId="6A424AB1" w:rsidR="00B31222" w:rsidRPr="006E241A" w:rsidRDefault="00B31222" w:rsidP="00906410">
      <w:pPr>
        <w:spacing w:line="276" w:lineRule="auto"/>
        <w:jc w:val="both"/>
        <w:rPr>
          <w:rFonts w:ascii="Palatino Linotype" w:eastAsia="Batang" w:hAnsi="Palatino Linotype" w:cs="Tahoma"/>
          <w:b/>
          <w:bCs/>
          <w:sz w:val="24"/>
          <w:szCs w:val="24"/>
        </w:rPr>
      </w:pPr>
      <w:r w:rsidRPr="006E241A">
        <w:rPr>
          <w:rFonts w:ascii="Palatino Linotype" w:hAnsi="Palatino Linotype" w:cs="Tahoma"/>
          <w:b/>
          <w:sz w:val="24"/>
          <w:szCs w:val="24"/>
        </w:rPr>
        <w:lastRenderedPageBreak/>
        <w:t xml:space="preserve">V. </w:t>
      </w:r>
      <w:r w:rsidRPr="006E241A">
        <w:rPr>
          <w:rFonts w:ascii="Palatino Linotype" w:eastAsia="Batang" w:hAnsi="Palatino Linotype" w:cs="Tahoma"/>
          <w:b/>
          <w:bCs/>
          <w:sz w:val="24"/>
          <w:szCs w:val="24"/>
        </w:rPr>
        <w:t>Trámite</w:t>
      </w:r>
      <w:r w:rsidR="0094782C" w:rsidRPr="006E241A">
        <w:rPr>
          <w:rFonts w:ascii="Palatino Linotype" w:eastAsia="Batang" w:hAnsi="Palatino Linotype" w:cs="Tahoma"/>
          <w:b/>
          <w:bCs/>
          <w:sz w:val="24"/>
          <w:szCs w:val="24"/>
        </w:rPr>
        <w:t xml:space="preserve"> del Recurso de R</w:t>
      </w:r>
      <w:r w:rsidRPr="006E241A">
        <w:rPr>
          <w:rFonts w:ascii="Palatino Linotype" w:eastAsia="Batang" w:hAnsi="Palatino Linotype" w:cs="Tahoma"/>
          <w:b/>
          <w:bCs/>
          <w:sz w:val="24"/>
          <w:szCs w:val="24"/>
        </w:rPr>
        <w:t>evisión ante el Instituto</w:t>
      </w:r>
      <w:r w:rsidR="00E445DA" w:rsidRPr="006E241A">
        <w:rPr>
          <w:rFonts w:ascii="Palatino Linotype" w:eastAsia="Batang" w:hAnsi="Palatino Linotype" w:cs="Tahoma"/>
          <w:b/>
          <w:bCs/>
          <w:sz w:val="24"/>
          <w:szCs w:val="24"/>
        </w:rPr>
        <w:t>.</w:t>
      </w:r>
    </w:p>
    <w:p w14:paraId="6EBE05F5" w14:textId="77777777" w:rsidR="00E445DA" w:rsidRPr="006E241A" w:rsidRDefault="00E445DA" w:rsidP="00906410">
      <w:pPr>
        <w:spacing w:line="276" w:lineRule="auto"/>
        <w:jc w:val="both"/>
        <w:rPr>
          <w:rFonts w:ascii="Palatino Linotype" w:eastAsia="Batang" w:hAnsi="Palatino Linotype" w:cs="Tahoma"/>
          <w:b/>
          <w:bCs/>
          <w:sz w:val="24"/>
          <w:szCs w:val="24"/>
        </w:rPr>
      </w:pPr>
    </w:p>
    <w:p w14:paraId="0AF7825E" w14:textId="05228956" w:rsidR="00B31222" w:rsidRPr="006E241A" w:rsidRDefault="00A90F9B" w:rsidP="00906410">
      <w:pPr>
        <w:spacing w:line="276" w:lineRule="auto"/>
        <w:jc w:val="both"/>
        <w:rPr>
          <w:rFonts w:ascii="Palatino Linotype" w:eastAsia="Batang" w:hAnsi="Palatino Linotype" w:cs="Tahoma"/>
          <w:bCs/>
          <w:sz w:val="24"/>
          <w:szCs w:val="24"/>
          <w:lang w:val="es-MX"/>
        </w:rPr>
      </w:pPr>
      <w:r w:rsidRPr="006E241A">
        <w:rPr>
          <w:rFonts w:ascii="Palatino Linotype" w:eastAsia="Batang" w:hAnsi="Palatino Linotype" w:cs="Tahoma"/>
          <w:b/>
          <w:bCs/>
          <w:sz w:val="24"/>
          <w:szCs w:val="24"/>
        </w:rPr>
        <w:t xml:space="preserve">a) </w:t>
      </w:r>
      <w:r w:rsidR="0094782C" w:rsidRPr="006E241A">
        <w:rPr>
          <w:rFonts w:ascii="Palatino Linotype" w:eastAsia="Batang" w:hAnsi="Palatino Linotype" w:cs="Tahoma"/>
          <w:b/>
          <w:bCs/>
          <w:sz w:val="24"/>
          <w:szCs w:val="24"/>
        </w:rPr>
        <w:t>Turno del Recurso de R</w:t>
      </w:r>
      <w:r w:rsidR="00B31222" w:rsidRPr="006E241A">
        <w:rPr>
          <w:rFonts w:ascii="Palatino Linotype" w:eastAsia="Batang" w:hAnsi="Palatino Linotype" w:cs="Tahoma"/>
          <w:b/>
          <w:bCs/>
          <w:sz w:val="24"/>
          <w:szCs w:val="24"/>
        </w:rPr>
        <w:t>evisión</w:t>
      </w:r>
      <w:r w:rsidRPr="006E241A">
        <w:rPr>
          <w:rFonts w:ascii="Palatino Linotype" w:eastAsia="Batang" w:hAnsi="Palatino Linotype" w:cs="Tahoma"/>
          <w:b/>
          <w:bCs/>
          <w:sz w:val="24"/>
          <w:szCs w:val="24"/>
        </w:rPr>
        <w:t>.</w:t>
      </w:r>
      <w:r w:rsidR="00B31222" w:rsidRPr="006E241A">
        <w:rPr>
          <w:rFonts w:ascii="Palatino Linotype" w:eastAsia="Batang" w:hAnsi="Palatino Linotype" w:cs="Tahoma"/>
          <w:b/>
          <w:bCs/>
          <w:sz w:val="24"/>
          <w:szCs w:val="24"/>
        </w:rPr>
        <w:t xml:space="preserve"> </w:t>
      </w:r>
      <w:r w:rsidR="00B31222" w:rsidRPr="006E241A">
        <w:rPr>
          <w:rFonts w:ascii="Palatino Linotype" w:eastAsia="Batang" w:hAnsi="Palatino Linotype" w:cs="Tahoma"/>
          <w:bCs/>
          <w:sz w:val="24"/>
          <w:szCs w:val="24"/>
          <w:lang w:val="es-MX"/>
        </w:rPr>
        <w:t xml:space="preserve">El </w:t>
      </w:r>
      <w:r w:rsidR="00CB05F4" w:rsidRPr="006E241A">
        <w:rPr>
          <w:rFonts w:ascii="Palatino Linotype" w:eastAsia="Batang" w:hAnsi="Palatino Linotype" w:cs="Tahoma"/>
          <w:bCs/>
          <w:sz w:val="24"/>
          <w:szCs w:val="24"/>
          <w:lang w:val="es-MX"/>
        </w:rPr>
        <w:t>diecisiete</w:t>
      </w:r>
      <w:r w:rsidR="00625DFB" w:rsidRPr="006E241A">
        <w:rPr>
          <w:rFonts w:ascii="Palatino Linotype" w:eastAsia="Batang" w:hAnsi="Palatino Linotype" w:cs="Tahoma"/>
          <w:bCs/>
          <w:sz w:val="24"/>
          <w:szCs w:val="24"/>
          <w:lang w:val="es-MX"/>
        </w:rPr>
        <w:t xml:space="preserve"> de septiembre</w:t>
      </w:r>
      <w:r w:rsidR="006C3747" w:rsidRPr="006E241A">
        <w:rPr>
          <w:rFonts w:ascii="Palatino Linotype" w:eastAsia="Batang" w:hAnsi="Palatino Linotype" w:cs="Tahoma"/>
          <w:bCs/>
          <w:sz w:val="24"/>
          <w:szCs w:val="24"/>
          <w:lang w:val="es-MX"/>
        </w:rPr>
        <w:t xml:space="preserve"> </w:t>
      </w:r>
      <w:r w:rsidR="00B31222" w:rsidRPr="006E241A">
        <w:rPr>
          <w:rFonts w:ascii="Palatino Linotype" w:eastAsia="Batang" w:hAnsi="Palatino Linotype" w:cs="Tahoma"/>
          <w:bCs/>
          <w:sz w:val="24"/>
          <w:szCs w:val="24"/>
          <w:lang w:val="es-MX"/>
        </w:rPr>
        <w:t xml:space="preserve">de dos mil dieciocho, este Instituto asignó el número de expediente </w:t>
      </w:r>
      <w:r w:rsidR="007F1500" w:rsidRPr="006E241A">
        <w:rPr>
          <w:rFonts w:ascii="Palatino Linotype" w:eastAsia="Batang" w:hAnsi="Palatino Linotype" w:cs="Tahoma"/>
          <w:b/>
          <w:bCs/>
          <w:sz w:val="24"/>
          <w:szCs w:val="24"/>
          <w:lang w:val="es-MX"/>
        </w:rPr>
        <w:t>0343</w:t>
      </w:r>
      <w:r w:rsidR="00CB05F4" w:rsidRPr="006E241A">
        <w:rPr>
          <w:rFonts w:ascii="Palatino Linotype" w:eastAsia="Batang" w:hAnsi="Palatino Linotype" w:cs="Tahoma"/>
          <w:b/>
          <w:bCs/>
          <w:sz w:val="24"/>
          <w:szCs w:val="24"/>
          <w:lang w:val="es-MX"/>
        </w:rPr>
        <w:t xml:space="preserve">1/INFOEM/IP/RR/2018 </w:t>
      </w:r>
      <w:r w:rsidR="00D26AE1" w:rsidRPr="006E241A">
        <w:rPr>
          <w:rFonts w:ascii="Palatino Linotype" w:eastAsia="Batang" w:hAnsi="Palatino Linotype" w:cs="Tahoma"/>
          <w:bCs/>
          <w:sz w:val="24"/>
          <w:szCs w:val="24"/>
          <w:lang w:val="es-MX"/>
        </w:rPr>
        <w:t>al Recurso de R</w:t>
      </w:r>
      <w:r w:rsidR="00B31222" w:rsidRPr="006E241A">
        <w:rPr>
          <w:rFonts w:ascii="Palatino Linotype" w:eastAsia="Batang" w:hAnsi="Palatino Linotype" w:cs="Tahoma"/>
          <w:bCs/>
          <w:sz w:val="24"/>
          <w:szCs w:val="24"/>
          <w:lang w:val="es-MX"/>
        </w:rPr>
        <w:t xml:space="preserve">evisión, con base en el sistema aprobado por el Pleno de este </w:t>
      </w:r>
      <w:r w:rsidR="00A854FF" w:rsidRPr="006E241A">
        <w:rPr>
          <w:rFonts w:ascii="Palatino Linotype" w:eastAsia="Batang" w:hAnsi="Palatino Linotype" w:cs="Tahoma"/>
          <w:bCs/>
          <w:sz w:val="24"/>
          <w:szCs w:val="24"/>
          <w:lang w:val="es-MX"/>
        </w:rPr>
        <w:t>Órgano Garante y</w:t>
      </w:r>
      <w:r w:rsidR="00B31222" w:rsidRPr="006E241A">
        <w:rPr>
          <w:rFonts w:ascii="Palatino Linotype" w:eastAsia="Batang" w:hAnsi="Palatino Linotype" w:cs="Tahoma"/>
          <w:bCs/>
          <w:sz w:val="24"/>
          <w:szCs w:val="24"/>
          <w:lang w:val="es-MX"/>
        </w:rPr>
        <w:t xml:space="preserve"> lo turnó a</w:t>
      </w:r>
      <w:r w:rsidR="00625DFB" w:rsidRPr="006E241A">
        <w:rPr>
          <w:rFonts w:ascii="Palatino Linotype" w:eastAsia="Batang" w:hAnsi="Palatino Linotype" w:cs="Tahoma"/>
          <w:bCs/>
          <w:sz w:val="24"/>
          <w:szCs w:val="24"/>
          <w:lang w:val="es-MX"/>
        </w:rPr>
        <w:t>l Comisionado Ponente</w:t>
      </w:r>
      <w:r w:rsidR="00A854FF" w:rsidRPr="006E241A">
        <w:rPr>
          <w:rFonts w:ascii="Palatino Linotype" w:eastAsia="Batang" w:hAnsi="Palatino Linotype" w:cs="Tahoma"/>
          <w:bCs/>
          <w:sz w:val="24"/>
          <w:szCs w:val="24"/>
          <w:lang w:val="es-MX"/>
        </w:rPr>
        <w:t xml:space="preserve"> Luis Gustavo Parra Noriega</w:t>
      </w:r>
      <w:r w:rsidR="00B31222" w:rsidRPr="006E241A">
        <w:rPr>
          <w:rFonts w:ascii="Palatino Linotype" w:eastAsia="Batang" w:hAnsi="Palatino Linotype" w:cs="Tahoma"/>
          <w:bCs/>
          <w:sz w:val="24"/>
          <w:szCs w:val="24"/>
          <w:lang w:val="es-MX"/>
        </w:rPr>
        <w:t xml:space="preserve">, para los efectos del artículo </w:t>
      </w:r>
      <w:r w:rsidR="00625DFB" w:rsidRPr="006E241A">
        <w:rPr>
          <w:rFonts w:ascii="Palatino Linotype" w:eastAsia="Batang" w:hAnsi="Palatino Linotype" w:cs="Tahoma"/>
          <w:bCs/>
          <w:sz w:val="24"/>
          <w:szCs w:val="24"/>
          <w:lang w:val="es-MX"/>
        </w:rPr>
        <w:t>185</w:t>
      </w:r>
      <w:r w:rsidR="00B31222" w:rsidRPr="006E241A">
        <w:rPr>
          <w:rFonts w:ascii="Palatino Linotype" w:eastAsia="Batang" w:hAnsi="Palatino Linotype" w:cs="Tahoma"/>
          <w:bCs/>
          <w:sz w:val="24"/>
          <w:szCs w:val="24"/>
          <w:lang w:val="es-MX"/>
        </w:rPr>
        <w:t xml:space="preserve">, fracción I de la </w:t>
      </w:r>
      <w:r w:rsidR="00625DFB" w:rsidRPr="006E241A">
        <w:rPr>
          <w:rFonts w:ascii="Palatino Linotype" w:eastAsia="Batang" w:hAnsi="Palatino Linotype" w:cs="Tahoma"/>
          <w:bCs/>
          <w:sz w:val="24"/>
          <w:szCs w:val="24"/>
          <w:lang w:val="es-MX"/>
        </w:rPr>
        <w:t>Ley de Transparencia y Acceso a la Información Pública del Estado de México y Municipios</w:t>
      </w:r>
      <w:r w:rsidR="00B31222" w:rsidRPr="006E241A">
        <w:rPr>
          <w:rFonts w:ascii="Palatino Linotype" w:eastAsia="Batang" w:hAnsi="Palatino Linotype" w:cs="Tahoma"/>
          <w:bCs/>
          <w:sz w:val="24"/>
          <w:szCs w:val="24"/>
          <w:lang w:val="es-MX"/>
        </w:rPr>
        <w:t>.</w:t>
      </w:r>
    </w:p>
    <w:p w14:paraId="5450F516" w14:textId="77777777" w:rsidR="00B31222" w:rsidRPr="006E241A" w:rsidRDefault="00B31222" w:rsidP="00906410">
      <w:pPr>
        <w:spacing w:line="276" w:lineRule="auto"/>
        <w:jc w:val="both"/>
        <w:rPr>
          <w:rFonts w:ascii="Palatino Linotype" w:eastAsia="Batang" w:hAnsi="Palatino Linotype" w:cs="Tahoma"/>
          <w:b/>
          <w:bCs/>
          <w:sz w:val="24"/>
          <w:szCs w:val="24"/>
        </w:rPr>
      </w:pPr>
    </w:p>
    <w:p w14:paraId="40D73BE3" w14:textId="4509D5B1" w:rsidR="00B31222" w:rsidRPr="006E241A" w:rsidRDefault="00625DFB" w:rsidP="00906410">
      <w:pPr>
        <w:spacing w:line="276" w:lineRule="auto"/>
        <w:jc w:val="both"/>
        <w:rPr>
          <w:rFonts w:ascii="Palatino Linotype" w:hAnsi="Palatino Linotype" w:cs="Tahoma"/>
          <w:sz w:val="24"/>
          <w:szCs w:val="24"/>
        </w:rPr>
      </w:pPr>
      <w:r w:rsidRPr="006E241A">
        <w:rPr>
          <w:rFonts w:ascii="Palatino Linotype" w:eastAsia="Batang" w:hAnsi="Palatino Linotype" w:cs="Tahoma"/>
          <w:b/>
          <w:bCs/>
          <w:sz w:val="24"/>
          <w:szCs w:val="24"/>
        </w:rPr>
        <w:t>b</w:t>
      </w:r>
      <w:r w:rsidR="009F46DC" w:rsidRPr="006E241A">
        <w:rPr>
          <w:rFonts w:ascii="Palatino Linotype" w:eastAsia="Batang" w:hAnsi="Palatino Linotype" w:cs="Tahoma"/>
          <w:b/>
          <w:bCs/>
          <w:sz w:val="24"/>
          <w:szCs w:val="24"/>
        </w:rPr>
        <w:t xml:space="preserve">) </w:t>
      </w:r>
      <w:r w:rsidR="0094782C" w:rsidRPr="006E241A">
        <w:rPr>
          <w:rFonts w:ascii="Palatino Linotype" w:eastAsia="Batang" w:hAnsi="Palatino Linotype" w:cs="Tahoma"/>
          <w:b/>
          <w:bCs/>
          <w:sz w:val="24"/>
          <w:szCs w:val="24"/>
        </w:rPr>
        <w:t>Admisión del Recurso de R</w:t>
      </w:r>
      <w:r w:rsidR="00B31222" w:rsidRPr="006E241A">
        <w:rPr>
          <w:rFonts w:ascii="Palatino Linotype" w:eastAsia="Batang" w:hAnsi="Palatino Linotype" w:cs="Tahoma"/>
          <w:b/>
          <w:bCs/>
          <w:sz w:val="24"/>
          <w:szCs w:val="24"/>
        </w:rPr>
        <w:t>evisión</w:t>
      </w:r>
      <w:r w:rsidR="00B31222" w:rsidRPr="006E241A">
        <w:rPr>
          <w:rFonts w:ascii="Palatino Linotype" w:eastAsia="Batang" w:hAnsi="Palatino Linotype" w:cs="Tahoma"/>
          <w:b/>
          <w:bCs/>
          <w:sz w:val="24"/>
          <w:szCs w:val="24"/>
          <w:lang w:val="es-ES_tradnl"/>
        </w:rPr>
        <w:t xml:space="preserve">. </w:t>
      </w:r>
      <w:r w:rsidR="00B31222" w:rsidRPr="006E241A">
        <w:rPr>
          <w:rFonts w:ascii="Palatino Linotype" w:eastAsia="Batang" w:hAnsi="Palatino Linotype" w:cs="Tahoma"/>
          <w:bCs/>
          <w:sz w:val="24"/>
          <w:szCs w:val="24"/>
          <w:lang w:val="es-ES_tradnl"/>
        </w:rPr>
        <w:t xml:space="preserve">El </w:t>
      </w:r>
      <w:r w:rsidR="00CB05F4" w:rsidRPr="006E241A">
        <w:rPr>
          <w:rFonts w:ascii="Palatino Linotype" w:eastAsia="Batang" w:hAnsi="Palatino Linotype" w:cs="Tahoma"/>
          <w:bCs/>
          <w:sz w:val="24"/>
          <w:szCs w:val="24"/>
          <w:lang w:val="es-ES_tradnl"/>
        </w:rPr>
        <w:t xml:space="preserve">veintiuno </w:t>
      </w:r>
      <w:r w:rsidRPr="006E241A">
        <w:rPr>
          <w:rFonts w:ascii="Palatino Linotype" w:eastAsia="Batang" w:hAnsi="Palatino Linotype" w:cs="Tahoma"/>
          <w:bCs/>
          <w:sz w:val="24"/>
          <w:szCs w:val="24"/>
          <w:lang w:val="es-ES_tradnl"/>
        </w:rPr>
        <w:t>de septiembre</w:t>
      </w:r>
      <w:r w:rsidR="00B31222" w:rsidRPr="006E241A">
        <w:rPr>
          <w:rFonts w:ascii="Palatino Linotype" w:eastAsia="Batang" w:hAnsi="Palatino Linotype" w:cs="Tahoma"/>
          <w:bCs/>
          <w:sz w:val="24"/>
          <w:szCs w:val="24"/>
          <w:lang w:val="es-ES_tradnl"/>
        </w:rPr>
        <w:t xml:space="preserve"> de dos mil dieciocho, </w:t>
      </w:r>
      <w:r w:rsidR="009F46DC" w:rsidRPr="006E241A">
        <w:rPr>
          <w:rFonts w:ascii="Palatino Linotype" w:hAnsi="Palatino Linotype" w:cs="Tahoma"/>
          <w:sz w:val="24"/>
          <w:szCs w:val="24"/>
        </w:rPr>
        <w:t>se</w:t>
      </w:r>
      <w:r w:rsidR="009F46DC" w:rsidRPr="006E241A">
        <w:rPr>
          <w:rFonts w:ascii="Palatino Linotype" w:eastAsia="Calibri" w:hAnsi="Palatino Linotype" w:cs="Tahoma"/>
          <w:sz w:val="24"/>
          <w:szCs w:val="24"/>
          <w:lang w:val="es-MX" w:eastAsia="en-US"/>
        </w:rPr>
        <w:t xml:space="preserve"> acordó la admisión de</w:t>
      </w:r>
      <w:r w:rsidR="009F46DC" w:rsidRPr="006E241A">
        <w:rPr>
          <w:rFonts w:ascii="Palatino Linotype" w:hAnsi="Palatino Linotype" w:cs="Tahoma"/>
          <w:sz w:val="24"/>
          <w:szCs w:val="24"/>
        </w:rPr>
        <w:t xml:space="preserve">l </w:t>
      </w:r>
      <w:r w:rsidR="0094782C" w:rsidRPr="006E241A">
        <w:rPr>
          <w:rFonts w:ascii="Palatino Linotype" w:hAnsi="Palatino Linotype" w:cs="Tahoma"/>
          <w:sz w:val="24"/>
          <w:szCs w:val="24"/>
        </w:rPr>
        <w:t>Recurso de R</w:t>
      </w:r>
      <w:r w:rsidR="009F46DC" w:rsidRPr="006E241A">
        <w:rPr>
          <w:rFonts w:ascii="Palatino Linotype" w:hAnsi="Palatino Linotype" w:cs="Tahoma"/>
          <w:sz w:val="24"/>
          <w:szCs w:val="24"/>
        </w:rPr>
        <w:t xml:space="preserve">evisión interpuesto por la parte recurrente en contra </w:t>
      </w:r>
      <w:r w:rsidR="00CB05F4" w:rsidRPr="006E241A">
        <w:rPr>
          <w:rFonts w:ascii="Palatino Linotype" w:hAnsi="Palatino Linotype" w:cs="Tahoma"/>
          <w:sz w:val="24"/>
          <w:szCs w:val="24"/>
        </w:rPr>
        <w:t>de la</w:t>
      </w:r>
      <w:r w:rsidR="007F1500" w:rsidRPr="006E241A">
        <w:rPr>
          <w:rFonts w:ascii="Palatino Linotype" w:hAnsi="Palatino Linotype" w:cs="Tahoma"/>
          <w:sz w:val="24"/>
          <w:szCs w:val="24"/>
        </w:rPr>
        <w:t xml:space="preserve"> Secretaría de Finanzas</w:t>
      </w:r>
      <w:r w:rsidR="009F46DC" w:rsidRPr="006E241A">
        <w:rPr>
          <w:rFonts w:ascii="Palatino Linotype" w:hAnsi="Palatino Linotype" w:cs="Tahoma"/>
          <w:sz w:val="24"/>
          <w:szCs w:val="24"/>
        </w:rPr>
        <w:t>, en términos del artículo 1</w:t>
      </w:r>
      <w:r w:rsidRPr="006E241A">
        <w:rPr>
          <w:rFonts w:ascii="Palatino Linotype" w:hAnsi="Palatino Linotype" w:cs="Tahoma"/>
          <w:sz w:val="24"/>
          <w:szCs w:val="24"/>
        </w:rPr>
        <w:t>85</w:t>
      </w:r>
      <w:r w:rsidR="009F46DC" w:rsidRPr="006E241A">
        <w:rPr>
          <w:rFonts w:ascii="Palatino Linotype" w:hAnsi="Palatino Linotype" w:cs="Tahoma"/>
          <w:sz w:val="24"/>
          <w:szCs w:val="24"/>
        </w:rPr>
        <w:t xml:space="preserve">, fracciones I y II de la </w:t>
      </w:r>
      <w:r w:rsidRPr="006E241A">
        <w:rPr>
          <w:rFonts w:ascii="Palatino Linotype" w:hAnsi="Palatino Linotype" w:cs="Tahoma"/>
          <w:bCs/>
          <w:sz w:val="24"/>
          <w:szCs w:val="24"/>
          <w:lang w:val="es-MX"/>
        </w:rPr>
        <w:t>Ley de Transparencia y Acceso a la Información Pública del Estado de México y Municipios</w:t>
      </w:r>
      <w:r w:rsidR="0001771D" w:rsidRPr="006E241A">
        <w:rPr>
          <w:rFonts w:ascii="Palatino Linotype" w:hAnsi="Palatino Linotype" w:cs="Tahoma"/>
          <w:bCs/>
          <w:sz w:val="24"/>
          <w:szCs w:val="24"/>
          <w:lang w:val="es-MX"/>
        </w:rPr>
        <w:t>;</w:t>
      </w:r>
      <w:r w:rsidRPr="006E241A">
        <w:rPr>
          <w:rFonts w:ascii="Palatino Linotype" w:hAnsi="Palatino Linotype" w:cs="Tahoma"/>
          <w:bCs/>
          <w:sz w:val="24"/>
          <w:szCs w:val="24"/>
          <w:lang w:val="es-MX"/>
        </w:rPr>
        <w:t xml:space="preserve"> </w:t>
      </w:r>
      <w:r w:rsidR="0001771D" w:rsidRPr="006E241A">
        <w:rPr>
          <w:rFonts w:ascii="Palatino Linotype" w:hAnsi="Palatino Linotype" w:cs="Tahoma"/>
          <w:bCs/>
          <w:sz w:val="24"/>
          <w:szCs w:val="24"/>
          <w:lang w:val="es-MX"/>
        </w:rPr>
        <w:t xml:space="preserve">acto </w:t>
      </w:r>
      <w:r w:rsidR="00544785" w:rsidRPr="006E241A">
        <w:rPr>
          <w:rFonts w:ascii="Palatino Linotype" w:hAnsi="Palatino Linotype" w:cs="Tahoma"/>
          <w:bCs/>
          <w:sz w:val="24"/>
          <w:szCs w:val="24"/>
          <w:lang w:val="es-MX"/>
        </w:rPr>
        <w:t>que fue</w:t>
      </w:r>
      <w:r w:rsidRPr="006E241A">
        <w:rPr>
          <w:rFonts w:ascii="Palatino Linotype" w:hAnsi="Palatino Linotype" w:cs="Tahoma"/>
          <w:bCs/>
          <w:sz w:val="24"/>
          <w:szCs w:val="24"/>
          <w:lang w:val="es-MX"/>
        </w:rPr>
        <w:t xml:space="preserve"> notificado a las partes el mismo día, a través del Sistema de Acceso a la Información Mexiquense, otorgándoles un plazo de siete días hábiles posteriores a dicha notificaciones para que manifestaran lo que a su derecho conviniera y formularan alegatos.</w:t>
      </w:r>
    </w:p>
    <w:p w14:paraId="1C2146B6" w14:textId="77777777" w:rsidR="00625DFB" w:rsidRPr="006E241A" w:rsidRDefault="00625DFB" w:rsidP="00906410">
      <w:pPr>
        <w:spacing w:line="276" w:lineRule="auto"/>
        <w:jc w:val="both"/>
        <w:rPr>
          <w:rFonts w:ascii="Palatino Linotype" w:hAnsi="Palatino Linotype" w:cs="Tahoma"/>
          <w:sz w:val="24"/>
          <w:szCs w:val="24"/>
          <w:lang w:val="es-ES_tradnl"/>
        </w:rPr>
      </w:pPr>
    </w:p>
    <w:p w14:paraId="4D0A6EBD" w14:textId="1AD433AE" w:rsidR="00081885" w:rsidRDefault="00581D41" w:rsidP="00906410">
      <w:pPr>
        <w:spacing w:line="276" w:lineRule="auto"/>
        <w:jc w:val="both"/>
        <w:rPr>
          <w:rFonts w:ascii="Palatino Linotype" w:hAnsi="Palatino Linotype" w:cs="Tahoma"/>
          <w:bCs/>
          <w:iCs/>
          <w:sz w:val="24"/>
          <w:szCs w:val="24"/>
        </w:rPr>
      </w:pPr>
      <w:r w:rsidRPr="006E241A">
        <w:rPr>
          <w:rFonts w:ascii="Palatino Linotype" w:hAnsi="Palatino Linotype" w:cs="Tahoma"/>
          <w:b/>
          <w:sz w:val="24"/>
          <w:szCs w:val="24"/>
        </w:rPr>
        <w:t>c)</w:t>
      </w:r>
      <w:r w:rsidR="00565C0E" w:rsidRPr="006E241A">
        <w:rPr>
          <w:rFonts w:ascii="Palatino Linotype" w:hAnsi="Palatino Linotype" w:cs="Tahoma"/>
          <w:b/>
          <w:sz w:val="24"/>
          <w:szCs w:val="24"/>
        </w:rPr>
        <w:t xml:space="preserve"> Manifestaciones</w:t>
      </w:r>
      <w:r w:rsidRPr="006E241A">
        <w:rPr>
          <w:rFonts w:ascii="Palatino Linotype" w:hAnsi="Palatino Linotype" w:cs="Tahoma"/>
          <w:b/>
          <w:sz w:val="24"/>
          <w:szCs w:val="24"/>
        </w:rPr>
        <w:t>.</w:t>
      </w:r>
      <w:r w:rsidR="008A134B" w:rsidRPr="006E241A">
        <w:rPr>
          <w:rFonts w:ascii="Palatino Linotype" w:hAnsi="Palatino Linotype" w:cs="Tahoma"/>
          <w:b/>
          <w:sz w:val="24"/>
          <w:szCs w:val="24"/>
        </w:rPr>
        <w:t xml:space="preserve"> </w:t>
      </w:r>
      <w:r w:rsidR="00B31222" w:rsidRPr="006E241A">
        <w:rPr>
          <w:rFonts w:ascii="Palatino Linotype" w:hAnsi="Palatino Linotype" w:cs="Tahoma"/>
          <w:sz w:val="24"/>
          <w:szCs w:val="24"/>
          <w:lang w:val="es-ES_tradnl"/>
        </w:rPr>
        <w:t xml:space="preserve">El </w:t>
      </w:r>
      <w:r w:rsidR="00CB05F4" w:rsidRPr="006E241A">
        <w:rPr>
          <w:rFonts w:ascii="Palatino Linotype" w:hAnsi="Palatino Linotype" w:cs="Tahoma"/>
          <w:sz w:val="24"/>
          <w:szCs w:val="24"/>
          <w:lang w:val="es-ES_tradnl"/>
        </w:rPr>
        <w:t xml:space="preserve">primero de octubre de </w:t>
      </w:r>
      <w:r w:rsidR="00B31222" w:rsidRPr="006E241A">
        <w:rPr>
          <w:rFonts w:ascii="Palatino Linotype" w:hAnsi="Palatino Linotype" w:cs="Tahoma"/>
          <w:sz w:val="24"/>
          <w:szCs w:val="24"/>
          <w:lang w:val="es-ES_tradnl"/>
        </w:rPr>
        <w:t xml:space="preserve">dos mil dieciocho, se recibió a través </w:t>
      </w:r>
      <w:r w:rsidR="004435B4" w:rsidRPr="006E241A">
        <w:rPr>
          <w:rFonts w:ascii="Palatino Linotype" w:hAnsi="Palatino Linotype" w:cs="Tahoma"/>
          <w:sz w:val="24"/>
          <w:szCs w:val="24"/>
          <w:lang w:val="es-ES_tradnl"/>
        </w:rPr>
        <w:t xml:space="preserve">del </w:t>
      </w:r>
      <w:r w:rsidR="004435B4" w:rsidRPr="006E241A">
        <w:rPr>
          <w:rFonts w:ascii="Palatino Linotype" w:hAnsi="Palatino Linotype" w:cs="Tahoma"/>
          <w:sz w:val="24"/>
          <w:szCs w:val="24"/>
        </w:rPr>
        <w:t>Sistema de Acceso a la Información Mexiquense</w:t>
      </w:r>
      <w:r w:rsidR="00B31222" w:rsidRPr="006E241A">
        <w:rPr>
          <w:rFonts w:ascii="Palatino Linotype" w:hAnsi="Palatino Linotype" w:cs="Tahoma"/>
          <w:sz w:val="24"/>
          <w:szCs w:val="24"/>
          <w:lang w:val="es-ES_tradnl"/>
        </w:rPr>
        <w:t xml:space="preserve"> </w:t>
      </w:r>
      <w:r w:rsidR="00CB05F4" w:rsidRPr="006E241A">
        <w:rPr>
          <w:rFonts w:ascii="Palatino Linotype" w:hAnsi="Palatino Linotype" w:cs="Tahoma"/>
          <w:bCs/>
          <w:iCs/>
          <w:sz w:val="24"/>
          <w:szCs w:val="24"/>
        </w:rPr>
        <w:t>el informe justificado de la</w:t>
      </w:r>
      <w:r w:rsidR="007F1500" w:rsidRPr="006E241A">
        <w:rPr>
          <w:rFonts w:ascii="Palatino Linotype" w:hAnsi="Palatino Linotype" w:cs="Tahoma"/>
          <w:bCs/>
          <w:iCs/>
          <w:sz w:val="24"/>
          <w:szCs w:val="24"/>
        </w:rPr>
        <w:t xml:space="preserve"> Secretaría de Finanzas</w:t>
      </w:r>
      <w:r w:rsidR="00B31222" w:rsidRPr="006E241A">
        <w:rPr>
          <w:rFonts w:ascii="Palatino Linotype" w:hAnsi="Palatino Linotype" w:cs="Tahoma"/>
          <w:sz w:val="24"/>
          <w:szCs w:val="24"/>
        </w:rPr>
        <w:t xml:space="preserve">, </w:t>
      </w:r>
      <w:r w:rsidR="001E49D7" w:rsidRPr="006E241A">
        <w:rPr>
          <w:rFonts w:ascii="Palatino Linotype" w:hAnsi="Palatino Linotype" w:cs="Tahoma"/>
          <w:sz w:val="24"/>
          <w:szCs w:val="24"/>
        </w:rPr>
        <w:t xml:space="preserve">a la que </w:t>
      </w:r>
      <w:r w:rsidR="00062804" w:rsidRPr="006E241A">
        <w:rPr>
          <w:rFonts w:ascii="Palatino Linotype" w:hAnsi="Palatino Linotype" w:cs="Tahoma"/>
          <w:sz w:val="24"/>
          <w:szCs w:val="24"/>
        </w:rPr>
        <w:t>adjunt</w:t>
      </w:r>
      <w:r w:rsidR="00062804">
        <w:rPr>
          <w:rFonts w:ascii="Palatino Linotype" w:hAnsi="Palatino Linotype" w:cs="Tahoma"/>
          <w:sz w:val="24"/>
          <w:szCs w:val="24"/>
        </w:rPr>
        <w:t>ó</w:t>
      </w:r>
      <w:r w:rsidR="00062804" w:rsidRPr="006E241A">
        <w:rPr>
          <w:rFonts w:ascii="Palatino Linotype" w:hAnsi="Palatino Linotype" w:cs="Tahoma"/>
          <w:sz w:val="24"/>
          <w:szCs w:val="24"/>
        </w:rPr>
        <w:t xml:space="preserve"> </w:t>
      </w:r>
      <w:r w:rsidR="001E49D7" w:rsidRPr="006E241A">
        <w:rPr>
          <w:rFonts w:ascii="Palatino Linotype" w:hAnsi="Palatino Linotype" w:cs="Tahoma"/>
          <w:sz w:val="24"/>
          <w:szCs w:val="24"/>
        </w:rPr>
        <w:t xml:space="preserve">la digitalización del oficio 203410200-249/2018 </w:t>
      </w:r>
      <w:r w:rsidR="00565C0E" w:rsidRPr="006E241A">
        <w:rPr>
          <w:rFonts w:ascii="Palatino Linotype" w:hAnsi="Palatino Linotype" w:cs="Tahoma"/>
          <w:sz w:val="24"/>
          <w:szCs w:val="24"/>
        </w:rPr>
        <w:t>emitido por el Servidor Público Habilitado de la Dirección General de Personal</w:t>
      </w:r>
      <w:r w:rsidR="00565C0E" w:rsidRPr="006E241A">
        <w:rPr>
          <w:rFonts w:ascii="Palatino Linotype" w:hAnsi="Palatino Linotype" w:cs="Tahoma"/>
          <w:bCs/>
          <w:iCs/>
          <w:sz w:val="24"/>
          <w:szCs w:val="24"/>
          <w:u w:val="single"/>
        </w:rPr>
        <w:t>,</w:t>
      </w:r>
      <w:r w:rsidR="00636712" w:rsidRPr="006E241A">
        <w:rPr>
          <w:rFonts w:ascii="Palatino Linotype" w:hAnsi="Palatino Linotype" w:cs="Tahoma"/>
          <w:bCs/>
          <w:iCs/>
          <w:sz w:val="24"/>
          <w:szCs w:val="24"/>
        </w:rPr>
        <w:t xml:space="preserve"> </w:t>
      </w:r>
      <w:r w:rsidR="00565C0E" w:rsidRPr="006E241A">
        <w:rPr>
          <w:rFonts w:ascii="Palatino Linotype" w:hAnsi="Palatino Linotype" w:cs="Tahoma"/>
          <w:bCs/>
          <w:iCs/>
          <w:sz w:val="24"/>
          <w:szCs w:val="24"/>
        </w:rPr>
        <w:t xml:space="preserve">el acta CT-2018-0113 </w:t>
      </w:r>
      <w:r w:rsidR="00191E78" w:rsidRPr="006E241A">
        <w:rPr>
          <w:rFonts w:ascii="Palatino Linotype" w:hAnsi="Palatino Linotype" w:cs="Tahoma"/>
          <w:bCs/>
          <w:iCs/>
          <w:sz w:val="24"/>
          <w:szCs w:val="24"/>
        </w:rPr>
        <w:t xml:space="preserve">signada </w:t>
      </w:r>
      <w:r w:rsidR="00565C0E" w:rsidRPr="006E241A">
        <w:rPr>
          <w:rFonts w:ascii="Palatino Linotype" w:hAnsi="Palatino Linotype" w:cs="Tahoma"/>
          <w:bCs/>
          <w:iCs/>
          <w:sz w:val="24"/>
          <w:szCs w:val="24"/>
        </w:rPr>
        <w:t>por los Integrantes del Comité de Transparencia de la Secretaría de Finanzas y, el Informe Justificado presentado por el Titular de la</w:t>
      </w:r>
      <w:r w:rsidR="002E0369" w:rsidRPr="006E241A">
        <w:rPr>
          <w:rFonts w:ascii="Palatino Linotype" w:hAnsi="Palatino Linotype" w:cs="Tahoma"/>
          <w:bCs/>
          <w:iCs/>
          <w:sz w:val="24"/>
          <w:szCs w:val="24"/>
        </w:rPr>
        <w:t xml:space="preserve"> Unidad de transparencia de la S</w:t>
      </w:r>
      <w:r w:rsidR="00565C0E" w:rsidRPr="006E241A">
        <w:rPr>
          <w:rFonts w:ascii="Palatino Linotype" w:hAnsi="Palatino Linotype" w:cs="Tahoma"/>
          <w:bCs/>
          <w:iCs/>
          <w:sz w:val="24"/>
          <w:szCs w:val="24"/>
        </w:rPr>
        <w:t xml:space="preserve">ecretaría de Finanzas, en los términos </w:t>
      </w:r>
      <w:r w:rsidR="00081885" w:rsidRPr="006E241A">
        <w:rPr>
          <w:rFonts w:ascii="Palatino Linotype" w:hAnsi="Palatino Linotype" w:cs="Tahoma"/>
          <w:bCs/>
          <w:iCs/>
          <w:sz w:val="24"/>
          <w:szCs w:val="24"/>
        </w:rPr>
        <w:t>siguientes:</w:t>
      </w:r>
    </w:p>
    <w:p w14:paraId="76B361A3" w14:textId="77777777" w:rsidR="00C141BF" w:rsidRPr="006E241A" w:rsidRDefault="00C141BF" w:rsidP="00906410">
      <w:pPr>
        <w:spacing w:line="276" w:lineRule="auto"/>
        <w:jc w:val="both"/>
        <w:rPr>
          <w:rFonts w:ascii="Palatino Linotype" w:hAnsi="Palatino Linotype" w:cs="Tahoma"/>
          <w:bCs/>
          <w:iCs/>
          <w:sz w:val="24"/>
          <w:szCs w:val="24"/>
        </w:rPr>
      </w:pPr>
    </w:p>
    <w:p w14:paraId="4DE51F35" w14:textId="77777777" w:rsidR="00134A3B" w:rsidRPr="00906410" w:rsidRDefault="002E0369" w:rsidP="00906410">
      <w:pPr>
        <w:spacing w:line="276" w:lineRule="auto"/>
        <w:ind w:left="567" w:right="567"/>
        <w:jc w:val="both"/>
        <w:rPr>
          <w:rFonts w:ascii="Palatino Linotype" w:hAnsi="Palatino Linotype" w:cs="Tahoma"/>
        </w:rPr>
      </w:pPr>
      <w:r w:rsidRPr="00906410">
        <w:rPr>
          <w:rFonts w:ascii="Palatino Linotype" w:hAnsi="Palatino Linotype" w:cs="Tahoma"/>
        </w:rPr>
        <w:t>(</w:t>
      </w:r>
      <w:r w:rsidR="001E49D7" w:rsidRPr="00906410">
        <w:rPr>
          <w:rFonts w:ascii="Palatino Linotype" w:hAnsi="Palatino Linotype" w:cs="Tahoma"/>
        </w:rPr>
        <w:t>…</w:t>
      </w:r>
      <w:r w:rsidRPr="00906410">
        <w:rPr>
          <w:rFonts w:ascii="Palatino Linotype" w:hAnsi="Palatino Linotype" w:cs="Tahoma"/>
        </w:rPr>
        <w:t>)</w:t>
      </w:r>
    </w:p>
    <w:p w14:paraId="5D6ABB2C" w14:textId="69EB004E"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 xml:space="preserve">En esa virtud, mediante el oficio 203040000/UT-1827/2018 de fecha diecisiete de septiembre de dos mil dieciocho, el Titular de la Unidad de Transparencia de la Secretaría de Finanzas, requirió al servidor público habilitado de la Dirección General de Personal información necesaria a efecto de rendir en tiempo y forma el informe justificado correspondiente, en términos de lo señalado en el artículo 185 fracción II de la Ley de Transparencia y Acceso </w:t>
      </w:r>
      <w:r w:rsidRPr="00906410">
        <w:rPr>
          <w:rFonts w:ascii="Palatino Linotype" w:hAnsi="Palatino Linotype" w:cs="Tahoma"/>
        </w:rPr>
        <w:lastRenderedPageBreak/>
        <w:t>a la Información Pública del Estado de México y Municipios, dando respuesta mediante el similar número 203410200-249/2018 , en el que manifestó lo siguiente:</w:t>
      </w:r>
    </w:p>
    <w:p w14:paraId="0BCC5CFF" w14:textId="77777777" w:rsidR="004E1448" w:rsidRPr="00906410" w:rsidRDefault="004E1448" w:rsidP="00906410">
      <w:pPr>
        <w:spacing w:line="276" w:lineRule="auto"/>
        <w:ind w:left="567" w:right="567"/>
        <w:jc w:val="both"/>
        <w:rPr>
          <w:rFonts w:ascii="Palatino Linotype" w:hAnsi="Palatino Linotype" w:cs="Tahoma"/>
        </w:rPr>
      </w:pPr>
    </w:p>
    <w:p w14:paraId="4E0391A9" w14:textId="3F850903"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“…Con fundamento en el artículo 59 fracciones I, II y III  y 140 fracción VII de la Ley de Transparencia y Acceso a la Información Pública del Estado de México y Municipios, en atención a dicho Recurso de Revisión, me permito solicitar al Comité de Transparencia, la clasificación como reservada de la información contenida en los instrumentos de evaluación que se aplican a los servidores públicos que participan en concursos escalafonarios a fin de acceder a un plaza de mayor nivel salarial.</w:t>
      </w:r>
    </w:p>
    <w:p w14:paraId="79F7CDF1" w14:textId="77777777" w:rsidR="004E1448" w:rsidRPr="00906410" w:rsidRDefault="004E1448" w:rsidP="00906410">
      <w:pPr>
        <w:spacing w:line="276" w:lineRule="auto"/>
        <w:ind w:left="567" w:right="567"/>
        <w:jc w:val="both"/>
        <w:rPr>
          <w:rFonts w:ascii="Palatino Linotype" w:hAnsi="Palatino Linotype" w:cs="Tahoma"/>
        </w:rPr>
      </w:pPr>
    </w:p>
    <w:p w14:paraId="32A496AE" w14:textId="7777777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Lo anterior en razón de que los reactivos que contienen estos instrumentos de evaluación son elaborados para medir la idoneidad de un servidor público para ocupar el puesto vacante que se está convocado, por lo que de entregarse, representaría un riesgo a la efectividad del procedimiento de evaluación y se estaría poniendo en peligro el proceso deliberativo de los concursos escalafonarios.</w:t>
      </w:r>
    </w:p>
    <w:p w14:paraId="6F355C10" w14:textId="77777777" w:rsidR="004E1448" w:rsidRPr="00906410" w:rsidRDefault="004E1448" w:rsidP="00906410">
      <w:pPr>
        <w:spacing w:line="276" w:lineRule="auto"/>
        <w:ind w:left="567" w:right="567"/>
        <w:jc w:val="both"/>
        <w:rPr>
          <w:rFonts w:ascii="Palatino Linotype" w:hAnsi="Palatino Linotype" w:cs="Tahoma"/>
        </w:rPr>
      </w:pPr>
    </w:p>
    <w:p w14:paraId="6E925934" w14:textId="044ABF53"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Se anexa Aplicación  de la Prueba de Daño.</w:t>
      </w:r>
    </w:p>
    <w:p w14:paraId="5B172131" w14:textId="0D2EC93A" w:rsidR="004E1448" w:rsidRPr="00906410" w:rsidRDefault="00565C0E" w:rsidP="00906410">
      <w:pPr>
        <w:spacing w:line="276" w:lineRule="auto"/>
        <w:ind w:left="567" w:right="567"/>
        <w:jc w:val="both"/>
        <w:rPr>
          <w:rFonts w:ascii="Palatino Linotype" w:hAnsi="Palatino Linotype" w:cs="Tahoma"/>
        </w:rPr>
      </w:pPr>
      <w:r w:rsidRPr="00906410">
        <w:rPr>
          <w:rFonts w:ascii="Palatino Linotype" w:hAnsi="Palatino Linotype" w:cs="Tahoma"/>
        </w:rPr>
        <w:t>…</w:t>
      </w:r>
    </w:p>
    <w:p w14:paraId="4CA588DC" w14:textId="77777777" w:rsidR="004E1448" w:rsidRPr="00906410" w:rsidRDefault="004E1448" w:rsidP="00906410">
      <w:pPr>
        <w:spacing w:line="276" w:lineRule="auto"/>
        <w:ind w:left="567" w:right="567"/>
        <w:jc w:val="both"/>
        <w:rPr>
          <w:rFonts w:ascii="Palatino Linotype" w:hAnsi="Palatino Linotype" w:cs="Tahoma"/>
        </w:rPr>
      </w:pPr>
    </w:p>
    <w:p w14:paraId="75E90463" w14:textId="0960309F"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En el caso en estudio, de manera particular se debe hacer mención que el Manual de Normas y Procedimientos de Desarrollo y Administración de Personal en el procedimiento 016 "Evaluación del desempeño", normas 20301/016-01, 20301/016-02, refiere lo siguiente:</w:t>
      </w:r>
    </w:p>
    <w:p w14:paraId="075A49A5" w14:textId="77777777" w:rsidR="004E1448" w:rsidRPr="00906410" w:rsidRDefault="004E1448" w:rsidP="00906410">
      <w:pPr>
        <w:spacing w:line="276" w:lineRule="auto"/>
        <w:ind w:left="567" w:right="567"/>
        <w:jc w:val="both"/>
        <w:rPr>
          <w:rFonts w:ascii="Palatino Linotype" w:hAnsi="Palatino Linotype" w:cs="Tahoma"/>
        </w:rPr>
      </w:pPr>
    </w:p>
    <w:p w14:paraId="2DC80633" w14:textId="77777777" w:rsidR="004E1448" w:rsidRPr="00906410" w:rsidRDefault="004E1448" w:rsidP="00906410">
      <w:pPr>
        <w:spacing w:line="276" w:lineRule="auto"/>
        <w:ind w:left="567" w:right="567"/>
        <w:jc w:val="center"/>
        <w:rPr>
          <w:rFonts w:ascii="Palatino Linotype" w:hAnsi="Palatino Linotype" w:cs="Tahoma"/>
        </w:rPr>
      </w:pPr>
      <w:r w:rsidRPr="00906410">
        <w:rPr>
          <w:rFonts w:ascii="Palatino Linotype" w:hAnsi="Palatino Linotype" w:cs="Tahoma"/>
        </w:rPr>
        <w:t>"20301/ 016-01</w:t>
      </w:r>
    </w:p>
    <w:p w14:paraId="295C454C" w14:textId="59CF4AFD" w:rsidR="004E1448"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La Dirección General de Personal determinará el método para realizar la evaluación del desempeño, mediante un proceso predefinido y ordenado de estimación cuantitativa y cualitativa del grado de eficiencia con el que las servidoras públicas y los servidores públicos llevan a cabo sus actividades y responsabilidades del puesto que desarrollan.</w:t>
      </w:r>
    </w:p>
    <w:p w14:paraId="1BBFC509" w14:textId="77777777" w:rsidR="008F0AAF" w:rsidRPr="00906410" w:rsidRDefault="008F0AAF" w:rsidP="00906410">
      <w:pPr>
        <w:spacing w:line="276" w:lineRule="auto"/>
        <w:ind w:left="567" w:right="567"/>
        <w:jc w:val="both"/>
        <w:rPr>
          <w:rFonts w:ascii="Palatino Linotype" w:hAnsi="Palatino Linotype" w:cs="Tahoma"/>
        </w:rPr>
      </w:pPr>
    </w:p>
    <w:p w14:paraId="53DB3E57" w14:textId="77777777" w:rsidR="004E1448" w:rsidRPr="00906410" w:rsidRDefault="004E1448" w:rsidP="00906410">
      <w:pPr>
        <w:spacing w:line="276" w:lineRule="auto"/>
        <w:ind w:left="567" w:right="567"/>
        <w:jc w:val="center"/>
        <w:rPr>
          <w:rFonts w:ascii="Palatino Linotype" w:hAnsi="Palatino Linotype" w:cs="Tahoma"/>
        </w:rPr>
      </w:pPr>
      <w:r w:rsidRPr="00906410">
        <w:rPr>
          <w:rFonts w:ascii="Palatino Linotype" w:hAnsi="Palatino Linotype" w:cs="Tahoma"/>
        </w:rPr>
        <w:t>20301/ 016-02</w:t>
      </w:r>
    </w:p>
    <w:p w14:paraId="3F9A1DAD" w14:textId="4F470321"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La Dirección General de Personal determinará los factores y criterios de evaluación, así mismo, establecerá los formatos</w:t>
      </w:r>
      <w:r w:rsidR="00BB20F1" w:rsidRPr="00906410">
        <w:rPr>
          <w:rFonts w:ascii="Palatino Linotype" w:hAnsi="Palatino Linotype" w:cs="Tahoma"/>
        </w:rPr>
        <w:t xml:space="preserve"> de evaluación del desempeño.”</w:t>
      </w:r>
    </w:p>
    <w:p w14:paraId="724FF316" w14:textId="77777777" w:rsidR="00BB20F1" w:rsidRPr="00906410" w:rsidRDefault="00BB20F1" w:rsidP="00906410">
      <w:pPr>
        <w:spacing w:line="276" w:lineRule="auto"/>
        <w:ind w:left="567" w:right="567"/>
        <w:jc w:val="both"/>
        <w:rPr>
          <w:rFonts w:ascii="Palatino Linotype" w:hAnsi="Palatino Linotype" w:cs="Tahoma"/>
        </w:rPr>
      </w:pPr>
    </w:p>
    <w:p w14:paraId="7EA04FD0" w14:textId="4D65F378"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 xml:space="preserve">De lo anterior, se advierte que los instrumentos de evaluación que se aplican a los servidores públicos que participan en concursos escalafonarios a fin de acceder a una plaza de mayor  nivel salarial, son definidos por la Dirección General de Personal quién determina el método para realizar la evaluación del desempeño, mediante un proceso predefinido y ordenado de estimación cuantitativa y cualitativa del grado de eficiencia con el que las servidoras públicas y los servidores públicos llevan a cabo sus actividades y </w:t>
      </w:r>
      <w:r w:rsidRPr="00906410">
        <w:rPr>
          <w:rFonts w:ascii="Palatino Linotype" w:hAnsi="Palatino Linotype" w:cs="Tahoma"/>
        </w:rPr>
        <w:lastRenderedPageBreak/>
        <w:t>responsabilidades del puesto que desarrollan; lo que se lleva a cabo, a través de baterías de reactivos con los que se determina la viabilidad o no viabilidad para que el participante ocupe un puesto de mayor nivel salarial.</w:t>
      </w:r>
    </w:p>
    <w:p w14:paraId="6722D147" w14:textId="77777777" w:rsidR="004E1448" w:rsidRPr="00906410" w:rsidRDefault="004E1448" w:rsidP="00906410">
      <w:pPr>
        <w:spacing w:line="276" w:lineRule="auto"/>
        <w:ind w:left="567" w:right="567"/>
        <w:jc w:val="both"/>
        <w:rPr>
          <w:rFonts w:ascii="Palatino Linotype" w:hAnsi="Palatino Linotype" w:cs="Tahoma"/>
        </w:rPr>
      </w:pPr>
    </w:p>
    <w:p w14:paraId="3DC36E3B" w14:textId="7777777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Asimismo, se debe hacer mención que el factor de preparación tiene el valor porcentual más alto y se valora con la documentación comprobatoria de estudios y con los exámenes teórico prácticos, por lo que de proporcionarse los instrumentos de evaluación que se aplican a los servidores públicos que participan en concursos escalafonarios, se vulneraría la eficacia de los mismos.</w:t>
      </w:r>
    </w:p>
    <w:p w14:paraId="0D689452" w14:textId="77777777" w:rsidR="004E1448" w:rsidRPr="00906410" w:rsidRDefault="004E1448" w:rsidP="00906410">
      <w:pPr>
        <w:spacing w:line="276" w:lineRule="auto"/>
        <w:ind w:left="567" w:right="567"/>
        <w:jc w:val="both"/>
        <w:rPr>
          <w:rFonts w:ascii="Palatino Linotype" w:hAnsi="Palatino Linotype" w:cs="Tahoma"/>
        </w:rPr>
      </w:pPr>
    </w:p>
    <w:p w14:paraId="000EBAD3" w14:textId="7777777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En los mismos términos el Manual de Normas y Procedimientos de referencia en el en el procedimiento 016 "Evaluación del desempeño",  norma 20301/016-03, dispone lo  siguiente:</w:t>
      </w:r>
    </w:p>
    <w:p w14:paraId="5021EA7F" w14:textId="77777777" w:rsidR="004E1448" w:rsidRPr="00906410" w:rsidRDefault="004E1448" w:rsidP="00906410">
      <w:pPr>
        <w:spacing w:line="276" w:lineRule="auto"/>
        <w:ind w:left="567" w:right="567"/>
        <w:jc w:val="both"/>
        <w:rPr>
          <w:rFonts w:ascii="Palatino Linotype" w:hAnsi="Palatino Linotype" w:cs="Tahoma"/>
        </w:rPr>
      </w:pPr>
    </w:p>
    <w:p w14:paraId="402DECAB" w14:textId="77777777" w:rsidR="004E1448" w:rsidRPr="00906410" w:rsidRDefault="004E1448" w:rsidP="00906410">
      <w:pPr>
        <w:spacing w:line="276" w:lineRule="auto"/>
        <w:ind w:left="567" w:right="567"/>
        <w:jc w:val="center"/>
        <w:rPr>
          <w:rFonts w:ascii="Palatino Linotype" w:hAnsi="Palatino Linotype" w:cs="Tahoma"/>
        </w:rPr>
      </w:pPr>
      <w:r w:rsidRPr="00906410">
        <w:rPr>
          <w:rFonts w:ascii="Palatino Linotype" w:hAnsi="Palatino Linotype" w:cs="Tahoma"/>
        </w:rPr>
        <w:t>"20301/ 016-03</w:t>
      </w:r>
    </w:p>
    <w:p w14:paraId="2D11750B" w14:textId="5E00EBE3"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 xml:space="preserve">El desempeño de </w:t>
      </w:r>
      <w:r w:rsidR="006A45E9" w:rsidRPr="00906410">
        <w:rPr>
          <w:rFonts w:ascii="Palatino Linotype" w:hAnsi="Palatino Linotype" w:cs="Tahoma"/>
        </w:rPr>
        <w:t>l</w:t>
      </w:r>
      <w:r w:rsidRPr="00906410">
        <w:rPr>
          <w:rFonts w:ascii="Palatino Linotype" w:hAnsi="Palatino Linotype" w:cs="Tahoma"/>
        </w:rPr>
        <w:t xml:space="preserve">as servidoras públicas y de </w:t>
      </w:r>
      <w:r w:rsidR="006A45E9" w:rsidRPr="00906410">
        <w:rPr>
          <w:rFonts w:ascii="Palatino Linotype" w:hAnsi="Palatino Linotype" w:cs="Tahoma"/>
        </w:rPr>
        <w:t>l</w:t>
      </w:r>
      <w:r w:rsidRPr="00906410">
        <w:rPr>
          <w:rFonts w:ascii="Palatino Linotype" w:hAnsi="Palatino Linotype" w:cs="Tahoma"/>
        </w:rPr>
        <w:t>os servidores públicos deberá ser evaluado bajo /os mismos factores y  criterios de  evaluación."</w:t>
      </w:r>
    </w:p>
    <w:p w14:paraId="429A93BE" w14:textId="77777777" w:rsidR="00812BB6" w:rsidRPr="00906410" w:rsidRDefault="00812BB6" w:rsidP="00906410">
      <w:pPr>
        <w:spacing w:line="276" w:lineRule="auto"/>
        <w:ind w:left="567" w:right="567"/>
        <w:jc w:val="both"/>
        <w:rPr>
          <w:rFonts w:ascii="Palatino Linotype" w:hAnsi="Palatino Linotype" w:cs="Tahoma"/>
        </w:rPr>
      </w:pPr>
    </w:p>
    <w:p w14:paraId="16671C4F" w14:textId="7777777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De la transcripción de referencia se advierte que de acuerdo a la norma el desempeño de las servidoras públicas y de los servidores públicos deberá ser evaluado bajo los mismos factores de evaluación.</w:t>
      </w:r>
    </w:p>
    <w:p w14:paraId="0CB5C145" w14:textId="77777777" w:rsidR="004E1448" w:rsidRPr="00906410" w:rsidRDefault="004E1448" w:rsidP="00906410">
      <w:pPr>
        <w:spacing w:line="276" w:lineRule="auto"/>
        <w:ind w:left="567" w:right="567"/>
        <w:jc w:val="both"/>
        <w:rPr>
          <w:rFonts w:ascii="Palatino Linotype" w:hAnsi="Palatino Linotype" w:cs="Tahoma"/>
        </w:rPr>
      </w:pPr>
    </w:p>
    <w:p w14:paraId="33C41AE1" w14:textId="7777777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Al respecto se debe hacer mención de las siguientes consideraciones:</w:t>
      </w:r>
    </w:p>
    <w:p w14:paraId="05480707" w14:textId="77777777" w:rsidR="004E1448" w:rsidRPr="00906410" w:rsidRDefault="004E1448" w:rsidP="00906410">
      <w:pPr>
        <w:spacing w:line="276" w:lineRule="auto"/>
        <w:ind w:left="567" w:right="567"/>
        <w:jc w:val="both"/>
        <w:rPr>
          <w:rFonts w:ascii="Palatino Linotype" w:hAnsi="Palatino Linotype" w:cs="Tahoma"/>
        </w:rPr>
      </w:pPr>
    </w:p>
    <w:p w14:paraId="3742507D" w14:textId="7777777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a)</w:t>
      </w:r>
      <w:r w:rsidRPr="00906410">
        <w:rPr>
          <w:rFonts w:ascii="Palatino Linotype" w:hAnsi="Palatino Linotype" w:cs="Tahoma"/>
        </w:rPr>
        <w:tab/>
        <w:t>Los reactivos tomados en consideración en la información contenida en los instrumentos de evaluación que se aplican a los servidores públicos que participan en concursos escalafonarios, son preguntas o ejercicios que conforman una herramienta de evaluación o examen y las opciones de respuesta son el universo de opciones posibles a escoger para resolver la cuestión planteada.</w:t>
      </w:r>
    </w:p>
    <w:p w14:paraId="25C883D0" w14:textId="77777777" w:rsidR="004E1448" w:rsidRPr="00906410" w:rsidRDefault="004E1448" w:rsidP="00906410">
      <w:pPr>
        <w:spacing w:line="276" w:lineRule="auto"/>
        <w:ind w:left="567" w:right="567"/>
        <w:jc w:val="both"/>
        <w:rPr>
          <w:rFonts w:ascii="Palatino Linotype" w:hAnsi="Palatino Linotype" w:cs="Tahoma"/>
        </w:rPr>
      </w:pPr>
    </w:p>
    <w:p w14:paraId="18B00431" w14:textId="6ADFEBAC"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b)</w:t>
      </w:r>
      <w:r w:rsidRPr="00906410">
        <w:rPr>
          <w:rFonts w:ascii="Palatino Linotype" w:hAnsi="Palatino Linotype" w:cs="Tahoma"/>
        </w:rPr>
        <w:tab/>
        <w:t xml:space="preserve"> La información relativa a los reactivos contenidos en los instrumentos de evaluación que se aplican a los servidores públicos que participan en concursos escalafonarios, tienen la cualidad de ser reutilizables para otros concursos de conformidad con lo señalado en la norma 20301/016-03 del Manual de Normas y Procedimientos de Desarrollo y Administración de Personal, es decir, podrán ser empleados dentro de los procesos de evaluación a realizarse con posterioridad, Ahora bien, la divulgación de las baterías de pruebas o de los exámenes señalados, equivaldría a que los reactivos contenidos en ellos dejaran de aplicarse en subsecuentes convocatorias, o en su caso, afectaría la efectividad de las evaluaciones, ya que los participantes conocerían con </w:t>
      </w:r>
      <w:r w:rsidRPr="00906410">
        <w:rPr>
          <w:rFonts w:ascii="Palatino Linotype" w:hAnsi="Palatino Linotype" w:cs="Tahoma"/>
        </w:rPr>
        <w:lastRenderedPageBreak/>
        <w:t>anticipación el contenido de las pruebas obteniendo una ventaja fre</w:t>
      </w:r>
      <w:r w:rsidR="00BB20F1" w:rsidRPr="00906410">
        <w:rPr>
          <w:rFonts w:ascii="Palatino Linotype" w:hAnsi="Palatino Linotype" w:cs="Tahoma"/>
        </w:rPr>
        <w:t>nte al resto de los evaluados.</w:t>
      </w:r>
    </w:p>
    <w:p w14:paraId="3793D695" w14:textId="2B61259D" w:rsidR="004E1448" w:rsidRDefault="00565C0E" w:rsidP="00906410">
      <w:pPr>
        <w:spacing w:line="276" w:lineRule="auto"/>
        <w:ind w:left="567" w:right="567"/>
        <w:jc w:val="both"/>
        <w:rPr>
          <w:rFonts w:ascii="Palatino Linotype" w:hAnsi="Palatino Linotype" w:cs="Tahoma"/>
        </w:rPr>
      </w:pPr>
      <w:r w:rsidRPr="00906410">
        <w:rPr>
          <w:rFonts w:ascii="Palatino Linotype" w:hAnsi="Palatino Linotype" w:cs="Tahoma"/>
        </w:rPr>
        <w:t>…</w:t>
      </w:r>
    </w:p>
    <w:p w14:paraId="5ACCB65F" w14:textId="77777777" w:rsidR="008F0AAF" w:rsidRPr="00906410" w:rsidRDefault="008F0AAF" w:rsidP="00906410">
      <w:pPr>
        <w:spacing w:line="276" w:lineRule="auto"/>
        <w:ind w:left="567" w:right="567"/>
        <w:jc w:val="both"/>
        <w:rPr>
          <w:rFonts w:ascii="Palatino Linotype" w:hAnsi="Palatino Linotype" w:cs="Tahoma"/>
        </w:rPr>
      </w:pPr>
    </w:p>
    <w:p w14:paraId="717ECDF8" w14:textId="401F915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En atención a lo anterior, el Comité de Transparencia de esta Secretaría, una vez que llevó a  cabo el análisis, evaluación y ponderación del argumento realizado por el servidor público habilitado de la Dirección General de Personal en términos de lo establecido en el artículo 129 de la Ley de Transparencia y Acceso a la Información Pública del Estado de México y Municipios, emitió en fecha veintiséis de septiembre del transcurre la resolución número CT-2018-0113 respecto de la clasificación como reservada, por el término de 5 años, de la información contenida en los instrumentos de evaluación que se aplican a los servidores públicos que participan en concursos escalafonarios a fin de acceder a una plaza de mayor nivel salarial ; toda vez que el riesgo del perjuicio que supondría la divulgación de tal información, supera e interés púb</w:t>
      </w:r>
      <w:r w:rsidR="00BB20F1" w:rsidRPr="00906410">
        <w:rPr>
          <w:rFonts w:ascii="Palatino Linotype" w:hAnsi="Palatino Linotype" w:cs="Tahoma"/>
        </w:rPr>
        <w:t>lico general de que se difunda.</w:t>
      </w:r>
    </w:p>
    <w:p w14:paraId="161792D8" w14:textId="77777777" w:rsidR="00BB20F1" w:rsidRPr="00906410" w:rsidRDefault="00BB20F1" w:rsidP="00906410">
      <w:pPr>
        <w:spacing w:line="276" w:lineRule="auto"/>
        <w:ind w:left="567" w:right="567"/>
        <w:jc w:val="both"/>
        <w:rPr>
          <w:rFonts w:ascii="Palatino Linotype" w:hAnsi="Palatino Linotype" w:cs="Tahoma"/>
        </w:rPr>
      </w:pPr>
    </w:p>
    <w:p w14:paraId="28B0A6E5" w14:textId="77777777"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Con base en lo anterior y, para comprobar la veracidad de las manifestaciones vertidas, con fundamento en el artículo 185 fracción IV de la Ley de la Materia, se ofrecen las siguientes:</w:t>
      </w:r>
    </w:p>
    <w:p w14:paraId="1BFF6627" w14:textId="77777777" w:rsidR="004E1448" w:rsidRPr="00906410" w:rsidRDefault="004E1448" w:rsidP="00906410">
      <w:pPr>
        <w:spacing w:line="276" w:lineRule="auto"/>
        <w:ind w:left="567" w:right="567"/>
        <w:jc w:val="both"/>
        <w:rPr>
          <w:rFonts w:ascii="Palatino Linotype" w:hAnsi="Palatino Linotype" w:cs="Tahoma"/>
        </w:rPr>
      </w:pPr>
    </w:p>
    <w:p w14:paraId="6D3FB0D4" w14:textId="7777A3A6" w:rsidR="004E1448"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rPr>
        <w:t>IV.- PRUEBAS</w:t>
      </w:r>
    </w:p>
    <w:p w14:paraId="7A7D35FF" w14:textId="77777777" w:rsidR="008F0AAF" w:rsidRPr="00906410" w:rsidRDefault="008F0AAF" w:rsidP="00906410">
      <w:pPr>
        <w:spacing w:line="276" w:lineRule="auto"/>
        <w:ind w:left="567" w:right="567"/>
        <w:jc w:val="both"/>
        <w:rPr>
          <w:rFonts w:ascii="Palatino Linotype" w:hAnsi="Palatino Linotype" w:cs="Tahoma"/>
        </w:rPr>
      </w:pPr>
    </w:p>
    <w:p w14:paraId="092AB0AC" w14:textId="007CAF45"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b/>
        </w:rPr>
        <w:t>I. DOCUMENTAL PÚBLICA</w:t>
      </w:r>
      <w:r w:rsidRPr="00906410">
        <w:rPr>
          <w:rFonts w:ascii="Palatino Linotype" w:hAnsi="Palatino Linotype" w:cs="Tahoma"/>
        </w:rPr>
        <w:t xml:space="preserve">, consistente en el oficio 203410200-249/2018 y anexo, signado por el servidor público habilitado de la Dirección General de Personal, a través del cual se llevan a cabo las manifestaciones de ese </w:t>
      </w:r>
      <w:r w:rsidR="00E62E3B" w:rsidRPr="00906410">
        <w:rPr>
          <w:rFonts w:ascii="Palatino Linotype" w:hAnsi="Palatino Linotype" w:cs="Tahoma"/>
        </w:rPr>
        <w:t>Sujeto Obligado</w:t>
      </w:r>
      <w:r w:rsidRPr="00906410">
        <w:rPr>
          <w:rFonts w:ascii="Palatino Linotype" w:hAnsi="Palatino Linotype" w:cs="Tahoma"/>
        </w:rPr>
        <w:t xml:space="preserve"> respecto al presente medio de defensa.</w:t>
      </w:r>
    </w:p>
    <w:p w14:paraId="308D6F86" w14:textId="77777777" w:rsidR="008F0AAF" w:rsidRDefault="008F0AAF" w:rsidP="00906410">
      <w:pPr>
        <w:spacing w:line="276" w:lineRule="auto"/>
        <w:ind w:left="567" w:right="567"/>
        <w:jc w:val="both"/>
        <w:rPr>
          <w:rFonts w:ascii="Palatino Linotype" w:hAnsi="Palatino Linotype" w:cs="Tahoma"/>
          <w:b/>
        </w:rPr>
      </w:pPr>
    </w:p>
    <w:p w14:paraId="3F9B10C3" w14:textId="51CAE62E" w:rsidR="004E1448" w:rsidRPr="00906410" w:rsidRDefault="004E1448" w:rsidP="00906410">
      <w:pPr>
        <w:spacing w:line="276" w:lineRule="auto"/>
        <w:ind w:left="567" w:right="567"/>
        <w:jc w:val="both"/>
        <w:rPr>
          <w:rFonts w:ascii="Palatino Linotype" w:hAnsi="Palatino Linotype" w:cs="Tahoma"/>
        </w:rPr>
      </w:pPr>
      <w:r w:rsidRPr="00906410">
        <w:rPr>
          <w:rFonts w:ascii="Palatino Linotype" w:hAnsi="Palatino Linotype" w:cs="Tahoma"/>
          <w:b/>
        </w:rPr>
        <w:t>II. DOCUMENTAL PÚBLICA</w:t>
      </w:r>
      <w:r w:rsidRPr="00906410">
        <w:rPr>
          <w:rFonts w:ascii="Palatino Linotype" w:hAnsi="Palatino Linotype" w:cs="Tahoma"/>
        </w:rPr>
        <w:t>, consistente en la resolución número CT-2018-0113 emitida en fecha veintiséis de septiembre de dos mil dieciocho, por los integrantes del Comité de Transparencia de la Secretaría de Finanzas, en la que con fundamento en lo establecido en el artículo 125 de la Ley de Transparencia y Acceso a la Información Pública del Estado de México y Municipios, se clasifica como reservada por el término de 5 años, la información contenida en los instrumentos de evaluación que se aplican a los servidores públicos que participan en concursos escalafonarios a fin de acceder a una plaza de mayor nivel salarial.</w:t>
      </w:r>
    </w:p>
    <w:p w14:paraId="3CFC3322" w14:textId="77777777" w:rsidR="008F0AAF" w:rsidRDefault="008F0AAF" w:rsidP="00906410">
      <w:pPr>
        <w:tabs>
          <w:tab w:val="left" w:pos="7938"/>
        </w:tabs>
        <w:spacing w:line="276" w:lineRule="auto"/>
        <w:ind w:left="567" w:right="567"/>
        <w:jc w:val="both"/>
        <w:rPr>
          <w:rFonts w:ascii="Palatino Linotype" w:hAnsi="Palatino Linotype" w:cs="Tahoma"/>
          <w:b/>
        </w:rPr>
      </w:pPr>
    </w:p>
    <w:p w14:paraId="023B9770" w14:textId="6FED5B29" w:rsidR="004E1448" w:rsidRPr="00906410" w:rsidRDefault="004E1448" w:rsidP="00906410">
      <w:pPr>
        <w:tabs>
          <w:tab w:val="left" w:pos="7938"/>
        </w:tabs>
        <w:spacing w:line="276" w:lineRule="auto"/>
        <w:ind w:left="567" w:right="567"/>
        <w:jc w:val="both"/>
        <w:rPr>
          <w:rFonts w:ascii="Palatino Linotype" w:hAnsi="Palatino Linotype" w:cs="Tahoma"/>
        </w:rPr>
      </w:pPr>
      <w:r w:rsidRPr="00906410">
        <w:rPr>
          <w:rFonts w:ascii="Palatino Linotype" w:hAnsi="Palatino Linotype" w:cs="Tahoma"/>
          <w:b/>
        </w:rPr>
        <w:t>III. PRESUNCIONAL LEGAL Y HUMANA</w:t>
      </w:r>
      <w:r w:rsidRPr="00906410">
        <w:rPr>
          <w:rFonts w:ascii="Palatino Linotype" w:hAnsi="Palatino Linotype" w:cs="Tahoma"/>
        </w:rPr>
        <w:t>, consistente en el conocimiento de la verdad controvertida atendiendo a los elementos de prueba aportados por el Sujeto  Obligado.</w:t>
      </w:r>
    </w:p>
    <w:p w14:paraId="467F6956" w14:textId="77777777" w:rsidR="00134A3B" w:rsidRPr="00906410" w:rsidRDefault="004E1448" w:rsidP="00906410">
      <w:pPr>
        <w:tabs>
          <w:tab w:val="left" w:pos="7938"/>
        </w:tabs>
        <w:spacing w:line="276" w:lineRule="auto"/>
        <w:ind w:left="567" w:right="567"/>
        <w:jc w:val="both"/>
        <w:rPr>
          <w:rFonts w:ascii="Palatino Linotype" w:hAnsi="Palatino Linotype" w:cs="Tahoma"/>
        </w:rPr>
      </w:pPr>
      <w:r w:rsidRPr="00906410">
        <w:rPr>
          <w:rFonts w:ascii="Palatino Linotype" w:hAnsi="Palatino Linotype" w:cs="Tahoma"/>
          <w:b/>
        </w:rPr>
        <w:t>IV. INSTRUMENTAL DE ACTUACIONES</w:t>
      </w:r>
      <w:r w:rsidRPr="00906410">
        <w:rPr>
          <w:rFonts w:ascii="Palatino Linotype" w:hAnsi="Palatino Linotype" w:cs="Tahoma"/>
        </w:rPr>
        <w:t>, consistente en todo lo actuado en el presente medio de impugnación.</w:t>
      </w:r>
    </w:p>
    <w:p w14:paraId="528EB210" w14:textId="20F8D9D7" w:rsidR="00565C0E" w:rsidRPr="00906410" w:rsidRDefault="00AF11C6" w:rsidP="00906410">
      <w:pPr>
        <w:tabs>
          <w:tab w:val="left" w:pos="7938"/>
        </w:tabs>
        <w:spacing w:line="276" w:lineRule="auto"/>
        <w:ind w:left="567" w:right="567"/>
        <w:jc w:val="both"/>
        <w:rPr>
          <w:rFonts w:ascii="Palatino Linotype" w:hAnsi="Palatino Linotype" w:cs="Tahoma"/>
        </w:rPr>
      </w:pPr>
      <w:r w:rsidRPr="00906410">
        <w:rPr>
          <w:rFonts w:ascii="Palatino Linotype" w:hAnsi="Palatino Linotype" w:cs="Tahoma"/>
        </w:rPr>
        <w:t>…”</w:t>
      </w:r>
    </w:p>
    <w:p w14:paraId="76750E2E" w14:textId="77777777" w:rsidR="00565C0E" w:rsidRPr="006E241A" w:rsidRDefault="00565C0E" w:rsidP="00906410">
      <w:pPr>
        <w:spacing w:line="276" w:lineRule="auto"/>
        <w:jc w:val="both"/>
        <w:rPr>
          <w:rFonts w:ascii="Palatino Linotype" w:hAnsi="Palatino Linotype" w:cs="Tahoma"/>
          <w:sz w:val="24"/>
          <w:szCs w:val="24"/>
        </w:rPr>
      </w:pPr>
    </w:p>
    <w:p w14:paraId="65DD28F7" w14:textId="3D313B59" w:rsidR="00394FD0" w:rsidRPr="006E241A" w:rsidRDefault="00222FCE" w:rsidP="00906410">
      <w:pPr>
        <w:spacing w:line="276" w:lineRule="auto"/>
        <w:jc w:val="both"/>
        <w:rPr>
          <w:rFonts w:ascii="Palatino Linotype" w:hAnsi="Palatino Linotype" w:cs="Tahoma"/>
          <w:sz w:val="24"/>
          <w:szCs w:val="24"/>
        </w:rPr>
      </w:pPr>
      <w:r w:rsidRPr="006E241A">
        <w:rPr>
          <w:rFonts w:ascii="Palatino Linotype" w:hAnsi="Palatino Linotype" w:cs="Tahoma"/>
          <w:b/>
          <w:sz w:val="24"/>
          <w:szCs w:val="24"/>
        </w:rPr>
        <w:t xml:space="preserve">d) Vista de Informe Justificado: </w:t>
      </w:r>
      <w:r w:rsidRPr="006E241A">
        <w:rPr>
          <w:rFonts w:ascii="Palatino Linotype" w:hAnsi="Palatino Linotype" w:cs="Tahoma"/>
          <w:sz w:val="24"/>
          <w:szCs w:val="24"/>
        </w:rPr>
        <w:t xml:space="preserve">En fecha dos de octubre de dos mil dieciocho, </w:t>
      </w:r>
      <w:r w:rsidR="00AF11C6" w:rsidRPr="006E241A">
        <w:rPr>
          <w:rFonts w:ascii="Palatino Linotype" w:hAnsi="Palatino Linotype" w:cs="Tahoma"/>
          <w:sz w:val="24"/>
          <w:szCs w:val="24"/>
        </w:rPr>
        <w:t xml:space="preserve">de conformidad al artículo 185 fracción III de la Ley de la materia, </w:t>
      </w:r>
      <w:r w:rsidRPr="00906410">
        <w:rPr>
          <w:rFonts w:ascii="Palatino Linotype" w:hAnsi="Palatino Linotype" w:cs="Tahoma"/>
          <w:sz w:val="24"/>
          <w:szCs w:val="24"/>
          <w:u w:val="single"/>
        </w:rPr>
        <w:t>se dio v</w:t>
      </w:r>
      <w:r w:rsidR="00AF11C6" w:rsidRPr="00906410">
        <w:rPr>
          <w:rFonts w:ascii="Palatino Linotype" w:hAnsi="Palatino Linotype" w:cs="Tahoma"/>
          <w:sz w:val="24"/>
          <w:szCs w:val="24"/>
          <w:u w:val="single"/>
        </w:rPr>
        <w:t>ista del Informe J</w:t>
      </w:r>
      <w:r w:rsidRPr="00906410">
        <w:rPr>
          <w:rFonts w:ascii="Palatino Linotype" w:hAnsi="Palatino Linotype" w:cs="Tahoma"/>
          <w:sz w:val="24"/>
          <w:szCs w:val="24"/>
          <w:u w:val="single"/>
        </w:rPr>
        <w:t>ustificado y los archivos adjuntos al mismo</w:t>
      </w:r>
      <w:r w:rsidRPr="006E241A">
        <w:rPr>
          <w:rFonts w:ascii="Palatino Linotype" w:hAnsi="Palatino Linotype" w:cs="Tahoma"/>
          <w:sz w:val="24"/>
          <w:szCs w:val="24"/>
        </w:rPr>
        <w:t>, con el propósito</w:t>
      </w:r>
      <w:r w:rsidR="00AF11C6" w:rsidRPr="006E241A">
        <w:rPr>
          <w:rFonts w:ascii="Palatino Linotype" w:hAnsi="Palatino Linotype" w:cs="Tahoma"/>
          <w:sz w:val="24"/>
          <w:szCs w:val="24"/>
        </w:rPr>
        <w:t xml:space="preserve"> de que la R</w:t>
      </w:r>
      <w:r w:rsidRPr="006E241A">
        <w:rPr>
          <w:rFonts w:ascii="Palatino Linotype" w:hAnsi="Palatino Linotype" w:cs="Tahoma"/>
          <w:sz w:val="24"/>
          <w:szCs w:val="24"/>
        </w:rPr>
        <w:t xml:space="preserve">ecurrente realizará las </w:t>
      </w:r>
      <w:r w:rsidR="00AF11C6" w:rsidRPr="006E241A">
        <w:rPr>
          <w:rFonts w:ascii="Palatino Linotype" w:hAnsi="Palatino Linotype" w:cs="Tahoma"/>
          <w:sz w:val="24"/>
          <w:szCs w:val="24"/>
        </w:rPr>
        <w:t xml:space="preserve">manifestaciones que a derecho convenga; transcurrido el plazo establecido, no se presentaron manifestaciones adicionales. </w:t>
      </w:r>
    </w:p>
    <w:p w14:paraId="70797560" w14:textId="77777777" w:rsidR="005C77A1" w:rsidRPr="006E241A" w:rsidRDefault="005C77A1" w:rsidP="00906410">
      <w:pPr>
        <w:spacing w:line="276" w:lineRule="auto"/>
        <w:jc w:val="both"/>
        <w:rPr>
          <w:rFonts w:ascii="Palatino Linotype" w:hAnsi="Palatino Linotype" w:cs="Tahoma"/>
          <w:sz w:val="24"/>
          <w:szCs w:val="24"/>
        </w:rPr>
      </w:pPr>
    </w:p>
    <w:p w14:paraId="7E98E86B" w14:textId="3039DCC4" w:rsidR="00B31222" w:rsidRPr="006E241A" w:rsidRDefault="004435B4" w:rsidP="00906410">
      <w:pPr>
        <w:spacing w:line="276" w:lineRule="auto"/>
        <w:jc w:val="both"/>
        <w:rPr>
          <w:rFonts w:ascii="Palatino Linotype" w:hAnsi="Palatino Linotype" w:cs="Tahoma"/>
          <w:sz w:val="24"/>
          <w:szCs w:val="24"/>
        </w:rPr>
      </w:pPr>
      <w:r w:rsidRPr="006E241A">
        <w:rPr>
          <w:rFonts w:ascii="Palatino Linotype" w:hAnsi="Palatino Linotype" w:cs="Tahoma"/>
          <w:b/>
          <w:sz w:val="24"/>
          <w:szCs w:val="24"/>
        </w:rPr>
        <w:t>d</w:t>
      </w:r>
      <w:r w:rsidR="003D1A43" w:rsidRPr="006E241A">
        <w:rPr>
          <w:rFonts w:ascii="Palatino Linotype" w:hAnsi="Palatino Linotype" w:cs="Tahoma"/>
          <w:b/>
          <w:sz w:val="24"/>
          <w:szCs w:val="24"/>
        </w:rPr>
        <w:t xml:space="preserve">) </w:t>
      </w:r>
      <w:r w:rsidR="00B31222" w:rsidRPr="006E241A">
        <w:rPr>
          <w:rFonts w:ascii="Palatino Linotype" w:hAnsi="Palatino Linotype" w:cs="Tahoma"/>
          <w:b/>
          <w:sz w:val="24"/>
          <w:szCs w:val="24"/>
        </w:rPr>
        <w:t>Cierre de instrucción:</w:t>
      </w:r>
      <w:r w:rsidR="00B31222" w:rsidRPr="006E241A">
        <w:rPr>
          <w:rFonts w:ascii="Palatino Linotype" w:hAnsi="Palatino Linotype" w:cs="Tahoma"/>
          <w:sz w:val="24"/>
          <w:szCs w:val="24"/>
        </w:rPr>
        <w:t xml:space="preserve"> El </w:t>
      </w:r>
      <w:r w:rsidR="00AF11C6" w:rsidRPr="006E241A">
        <w:rPr>
          <w:rFonts w:ascii="Palatino Linotype" w:hAnsi="Palatino Linotype" w:cs="Tahoma"/>
          <w:sz w:val="24"/>
          <w:szCs w:val="24"/>
        </w:rPr>
        <w:t>ocho</w:t>
      </w:r>
      <w:r w:rsidR="0048519E" w:rsidRPr="006E241A">
        <w:rPr>
          <w:rFonts w:ascii="Palatino Linotype" w:hAnsi="Palatino Linotype" w:cs="Tahoma"/>
          <w:sz w:val="24"/>
          <w:szCs w:val="24"/>
        </w:rPr>
        <w:t xml:space="preserve"> de octubre</w:t>
      </w:r>
      <w:r w:rsidR="00B31222" w:rsidRPr="006E241A">
        <w:rPr>
          <w:rFonts w:ascii="Palatino Linotype" w:hAnsi="Palatino Linotype" w:cs="Tahoma"/>
          <w:sz w:val="24"/>
          <w:szCs w:val="24"/>
        </w:rPr>
        <w:t xml:space="preserve"> de dos mil dieciocho, al no existir diligencias pendientes por desahogar, se emitió el acuerdo por medio del cual se declaró cerrada la instrucción, pasando el expediente a resolución, en términos de lo dispuesto en los artículos 1</w:t>
      </w:r>
      <w:r w:rsidR="0048519E" w:rsidRPr="006E241A">
        <w:rPr>
          <w:rFonts w:ascii="Palatino Linotype" w:hAnsi="Palatino Linotype" w:cs="Tahoma"/>
          <w:sz w:val="24"/>
          <w:szCs w:val="24"/>
        </w:rPr>
        <w:t>85</w:t>
      </w:r>
      <w:r w:rsidR="00B31222" w:rsidRPr="006E241A">
        <w:rPr>
          <w:rFonts w:ascii="Palatino Linotype" w:hAnsi="Palatino Linotype" w:cs="Tahoma"/>
          <w:sz w:val="24"/>
          <w:szCs w:val="24"/>
        </w:rPr>
        <w:t xml:space="preserve">, fracciones VI y VIII de la Ley </w:t>
      </w:r>
      <w:r w:rsidR="0048519E" w:rsidRPr="006E241A">
        <w:rPr>
          <w:rFonts w:ascii="Palatino Linotype" w:hAnsi="Palatino Linotype" w:cs="Tahoma"/>
          <w:sz w:val="24"/>
          <w:szCs w:val="24"/>
        </w:rPr>
        <w:t>de Transparencia y Acceso a la Información Pública del Estado de México y Municipios</w:t>
      </w:r>
      <w:r w:rsidR="00412DC4" w:rsidRPr="006E241A">
        <w:rPr>
          <w:rFonts w:ascii="Palatino Linotype" w:hAnsi="Palatino Linotype" w:cs="Tahoma"/>
          <w:sz w:val="24"/>
          <w:szCs w:val="24"/>
        </w:rPr>
        <w:t>; acto que</w:t>
      </w:r>
      <w:r w:rsidR="00B31222" w:rsidRPr="006E241A">
        <w:rPr>
          <w:rFonts w:ascii="Palatino Linotype" w:hAnsi="Palatino Linotype" w:cs="Tahoma"/>
          <w:sz w:val="24"/>
          <w:szCs w:val="24"/>
        </w:rPr>
        <w:t xml:space="preserve"> fue notificado a las partes </w:t>
      </w:r>
      <w:r w:rsidR="0048519E" w:rsidRPr="006E241A">
        <w:rPr>
          <w:rFonts w:ascii="Palatino Linotype" w:hAnsi="Palatino Linotype" w:cs="Tahoma"/>
          <w:sz w:val="24"/>
          <w:szCs w:val="24"/>
        </w:rPr>
        <w:t>el mismo día, a través del Sistema de Acceso a la Información Mexiquense</w:t>
      </w:r>
      <w:r w:rsidR="006A026A" w:rsidRPr="006E241A">
        <w:rPr>
          <w:rFonts w:ascii="Palatino Linotype" w:hAnsi="Palatino Linotype" w:cs="Tahoma"/>
          <w:sz w:val="24"/>
          <w:szCs w:val="24"/>
        </w:rPr>
        <w:t>.</w:t>
      </w:r>
    </w:p>
    <w:p w14:paraId="4B195D83" w14:textId="77777777" w:rsidR="00B31222" w:rsidRPr="006E241A" w:rsidRDefault="00B31222" w:rsidP="00906410">
      <w:pPr>
        <w:spacing w:line="276" w:lineRule="auto"/>
        <w:jc w:val="both"/>
        <w:rPr>
          <w:rFonts w:ascii="Palatino Linotype" w:hAnsi="Palatino Linotype" w:cs="Tahoma"/>
          <w:b/>
          <w:sz w:val="24"/>
          <w:szCs w:val="24"/>
        </w:rPr>
      </w:pPr>
    </w:p>
    <w:p w14:paraId="2725422F" w14:textId="69570DD0" w:rsidR="004F2D88" w:rsidRPr="006E241A" w:rsidRDefault="004F2D88" w:rsidP="00906410">
      <w:pPr>
        <w:spacing w:line="276" w:lineRule="auto"/>
        <w:jc w:val="both"/>
        <w:rPr>
          <w:rFonts w:ascii="Palatino Linotype" w:hAnsi="Palatino Linotype" w:cs="Tahoma"/>
          <w:color w:val="000000"/>
          <w:sz w:val="24"/>
          <w:szCs w:val="24"/>
        </w:rPr>
      </w:pPr>
      <w:r w:rsidRPr="006E241A">
        <w:rPr>
          <w:rFonts w:ascii="Palatino Linotype" w:hAnsi="Palatino Linotype" w:cs="Tahoma"/>
          <w:color w:val="000000"/>
          <w:sz w:val="24"/>
          <w:szCs w:val="24"/>
        </w:rPr>
        <w:t xml:space="preserve">En </w:t>
      </w:r>
      <w:r w:rsidR="00367F82" w:rsidRPr="006E241A">
        <w:rPr>
          <w:rFonts w:ascii="Palatino Linotype" w:hAnsi="Palatino Linotype" w:cs="Tahoma"/>
          <w:color w:val="000000"/>
          <w:sz w:val="24"/>
          <w:szCs w:val="24"/>
        </w:rPr>
        <w:t>razón de que fue debidamente su</w:t>
      </w:r>
      <w:r w:rsidRPr="006E241A">
        <w:rPr>
          <w:rFonts w:ascii="Palatino Linotype" w:hAnsi="Palatino Linotype" w:cs="Tahoma"/>
          <w:color w:val="000000"/>
          <w:sz w:val="24"/>
          <w:szCs w:val="24"/>
        </w:rPr>
        <w:t xml:space="preserve">stanciado el expediente </w:t>
      </w:r>
      <w:r w:rsidR="00367F82" w:rsidRPr="006E241A">
        <w:rPr>
          <w:rFonts w:ascii="Palatino Linotype" w:hAnsi="Palatino Linotype" w:cs="Tahoma"/>
          <w:color w:val="000000"/>
          <w:sz w:val="24"/>
          <w:szCs w:val="24"/>
        </w:rPr>
        <w:t xml:space="preserve">electrónico </w:t>
      </w:r>
      <w:r w:rsidRPr="006E241A">
        <w:rPr>
          <w:rFonts w:ascii="Palatino Linotype" w:hAnsi="Palatino Linotype" w:cs="Tahoma"/>
          <w:color w:val="000000"/>
          <w:sz w:val="24"/>
          <w:szCs w:val="24"/>
        </w:rPr>
        <w:t>y no exist</w:t>
      </w:r>
      <w:r w:rsidR="00367F82" w:rsidRPr="006E241A">
        <w:rPr>
          <w:rFonts w:ascii="Palatino Linotype" w:hAnsi="Palatino Linotype" w:cs="Tahoma"/>
          <w:color w:val="000000"/>
          <w:sz w:val="24"/>
          <w:szCs w:val="24"/>
        </w:rPr>
        <w:t>e</w:t>
      </w:r>
      <w:r w:rsidRPr="006E241A">
        <w:rPr>
          <w:rFonts w:ascii="Palatino Linotype" w:hAnsi="Palatino Linotype" w:cs="Tahoma"/>
          <w:color w:val="000000"/>
          <w:sz w:val="24"/>
          <w:szCs w:val="24"/>
        </w:rPr>
        <w:t xml:space="preserve"> dilige</w:t>
      </w:r>
      <w:r w:rsidR="00367F82" w:rsidRPr="006E241A">
        <w:rPr>
          <w:rFonts w:ascii="Palatino Linotype" w:hAnsi="Palatino Linotype" w:cs="Tahoma"/>
          <w:color w:val="000000"/>
          <w:sz w:val="24"/>
          <w:szCs w:val="24"/>
        </w:rPr>
        <w:t xml:space="preserve">ncia pendiente de desahogo, se </w:t>
      </w:r>
      <w:r w:rsidRPr="006E241A">
        <w:rPr>
          <w:rFonts w:ascii="Palatino Linotype" w:hAnsi="Palatino Linotype" w:cs="Tahoma"/>
          <w:color w:val="000000"/>
          <w:sz w:val="24"/>
          <w:szCs w:val="24"/>
        </w:rPr>
        <w:t>emit</w:t>
      </w:r>
      <w:r w:rsidR="00367F82" w:rsidRPr="006E241A">
        <w:rPr>
          <w:rFonts w:ascii="Palatino Linotype" w:hAnsi="Palatino Linotype" w:cs="Tahoma"/>
          <w:color w:val="000000"/>
          <w:sz w:val="24"/>
          <w:szCs w:val="24"/>
        </w:rPr>
        <w:t>e</w:t>
      </w:r>
      <w:r w:rsidRPr="006E241A">
        <w:rPr>
          <w:rFonts w:ascii="Palatino Linotype" w:hAnsi="Palatino Linotype" w:cs="Tahoma"/>
          <w:color w:val="000000"/>
          <w:sz w:val="24"/>
          <w:szCs w:val="24"/>
        </w:rPr>
        <w:t xml:space="preserve"> la resolución que conforme a Derecho proceda, de acuerdo </w:t>
      </w:r>
      <w:r w:rsidR="00412DC4" w:rsidRPr="006E241A">
        <w:rPr>
          <w:rFonts w:ascii="Palatino Linotype" w:hAnsi="Palatino Linotype" w:cs="Tahoma"/>
          <w:color w:val="000000"/>
          <w:sz w:val="24"/>
          <w:szCs w:val="24"/>
        </w:rPr>
        <w:t>con</w:t>
      </w:r>
      <w:r w:rsidRPr="006E241A">
        <w:rPr>
          <w:rFonts w:ascii="Palatino Linotype" w:hAnsi="Palatino Linotype" w:cs="Tahoma"/>
          <w:color w:val="000000"/>
          <w:sz w:val="24"/>
          <w:szCs w:val="24"/>
        </w:rPr>
        <w:t xml:space="preserve"> las siguientes: </w:t>
      </w:r>
    </w:p>
    <w:p w14:paraId="5B68C583" w14:textId="77777777" w:rsidR="004F2D88" w:rsidRPr="006E241A" w:rsidRDefault="004F2D88" w:rsidP="00906410">
      <w:pPr>
        <w:spacing w:line="276" w:lineRule="auto"/>
        <w:jc w:val="both"/>
        <w:rPr>
          <w:rFonts w:ascii="Palatino Linotype" w:hAnsi="Palatino Linotype" w:cs="Tahoma"/>
          <w:sz w:val="24"/>
          <w:szCs w:val="24"/>
        </w:rPr>
      </w:pPr>
    </w:p>
    <w:p w14:paraId="5D6E1485" w14:textId="476D5F39" w:rsidR="00806144" w:rsidRPr="006E241A" w:rsidRDefault="00806144" w:rsidP="00906410">
      <w:pPr>
        <w:spacing w:line="276" w:lineRule="auto"/>
        <w:jc w:val="center"/>
        <w:rPr>
          <w:rFonts w:ascii="Palatino Linotype" w:hAnsi="Palatino Linotype" w:cs="Tahoma"/>
          <w:b/>
          <w:sz w:val="24"/>
          <w:szCs w:val="24"/>
        </w:rPr>
      </w:pPr>
      <w:r w:rsidRPr="006E241A">
        <w:rPr>
          <w:rFonts w:ascii="Palatino Linotype" w:hAnsi="Palatino Linotype" w:cs="Tahoma"/>
          <w:b/>
          <w:sz w:val="24"/>
          <w:szCs w:val="24"/>
        </w:rPr>
        <w:t>CONSIDERA</w:t>
      </w:r>
      <w:r w:rsidR="00C8780E">
        <w:rPr>
          <w:rFonts w:ascii="Palatino Linotype" w:hAnsi="Palatino Linotype" w:cs="Tahoma"/>
          <w:b/>
          <w:sz w:val="24"/>
          <w:szCs w:val="24"/>
        </w:rPr>
        <w:t>NDOS</w:t>
      </w:r>
      <w:r w:rsidRPr="006E241A">
        <w:rPr>
          <w:rFonts w:ascii="Palatino Linotype" w:hAnsi="Palatino Linotype" w:cs="Tahoma"/>
          <w:b/>
          <w:sz w:val="24"/>
          <w:szCs w:val="24"/>
        </w:rPr>
        <w:t>:</w:t>
      </w:r>
    </w:p>
    <w:p w14:paraId="63161BAA" w14:textId="77777777" w:rsidR="00806144" w:rsidRPr="006E241A" w:rsidRDefault="00806144" w:rsidP="00906410">
      <w:pPr>
        <w:spacing w:line="276" w:lineRule="auto"/>
        <w:rPr>
          <w:rFonts w:ascii="Palatino Linotype" w:hAnsi="Palatino Linotype" w:cs="Tahoma"/>
          <w:b/>
          <w:sz w:val="24"/>
          <w:szCs w:val="24"/>
        </w:rPr>
      </w:pPr>
    </w:p>
    <w:p w14:paraId="6230316E" w14:textId="558DA2D7" w:rsidR="00581D41" w:rsidRPr="006E241A" w:rsidRDefault="00806144" w:rsidP="00906410">
      <w:pPr>
        <w:spacing w:line="276" w:lineRule="auto"/>
        <w:jc w:val="both"/>
        <w:rPr>
          <w:rFonts w:ascii="Palatino Linotype" w:eastAsia="Batang" w:hAnsi="Palatino Linotype" w:cs="Tahoma"/>
          <w:b/>
          <w:bCs/>
          <w:sz w:val="24"/>
          <w:szCs w:val="24"/>
        </w:rPr>
      </w:pPr>
      <w:r w:rsidRPr="006E241A">
        <w:rPr>
          <w:rFonts w:ascii="Palatino Linotype" w:eastAsia="Batang" w:hAnsi="Palatino Linotype" w:cs="Tahoma"/>
          <w:b/>
          <w:bCs/>
          <w:sz w:val="24"/>
          <w:szCs w:val="24"/>
        </w:rPr>
        <w:t>PRIMER</w:t>
      </w:r>
      <w:r w:rsidR="00C8780E">
        <w:rPr>
          <w:rFonts w:ascii="Palatino Linotype" w:eastAsia="Batang" w:hAnsi="Palatino Linotype" w:cs="Tahoma"/>
          <w:b/>
          <w:bCs/>
          <w:sz w:val="24"/>
          <w:szCs w:val="24"/>
        </w:rPr>
        <w:t>O</w:t>
      </w:r>
      <w:r w:rsidRPr="006E241A">
        <w:rPr>
          <w:rFonts w:ascii="Palatino Linotype" w:eastAsia="Batang" w:hAnsi="Palatino Linotype" w:cs="Tahoma"/>
          <w:b/>
          <w:bCs/>
          <w:sz w:val="24"/>
          <w:szCs w:val="24"/>
        </w:rPr>
        <w:t xml:space="preserve">. Competencia. </w:t>
      </w:r>
    </w:p>
    <w:p w14:paraId="6DE53FA5" w14:textId="77777777" w:rsidR="00581D41" w:rsidRPr="006E241A" w:rsidRDefault="00581D41" w:rsidP="00906410">
      <w:pPr>
        <w:spacing w:line="276" w:lineRule="auto"/>
        <w:jc w:val="both"/>
        <w:rPr>
          <w:rFonts w:ascii="Palatino Linotype" w:eastAsia="Batang" w:hAnsi="Palatino Linotype" w:cs="Tahoma"/>
          <w:b/>
          <w:bCs/>
          <w:sz w:val="24"/>
          <w:szCs w:val="24"/>
        </w:rPr>
      </w:pPr>
    </w:p>
    <w:p w14:paraId="0EC7925B" w14:textId="6202B104" w:rsidR="00581D41" w:rsidRPr="006E241A" w:rsidRDefault="00581D41" w:rsidP="00906410">
      <w:pPr>
        <w:spacing w:line="276" w:lineRule="auto"/>
        <w:jc w:val="both"/>
        <w:rPr>
          <w:rFonts w:ascii="Palatino Linotype" w:hAnsi="Palatino Linotype" w:cs="Tahoma"/>
          <w:sz w:val="24"/>
          <w:szCs w:val="24"/>
          <w:shd w:val="clear" w:color="auto" w:fill="FFFFFF"/>
        </w:rPr>
      </w:pPr>
      <w:r w:rsidRPr="006E241A">
        <w:rPr>
          <w:rFonts w:ascii="Palatino Linotype" w:hAnsi="Palatino Linotype" w:cs="Tahoma"/>
          <w:sz w:val="24"/>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Pr>
          <w:rFonts w:ascii="Palatino Linotype" w:hAnsi="Palatino Linotype" w:cs="Tahoma"/>
          <w:sz w:val="24"/>
          <w:szCs w:val="24"/>
          <w:shd w:val="clear" w:color="auto" w:fill="FFFFFF"/>
        </w:rPr>
        <w:t>°</w:t>
      </w:r>
      <w:r w:rsidRPr="006E241A">
        <w:rPr>
          <w:rFonts w:ascii="Palatino Linotype" w:hAnsi="Palatino Linotype" w:cs="Tahoma"/>
          <w:sz w:val="24"/>
          <w:szCs w:val="24"/>
          <w:shd w:val="clear" w:color="auto" w:fill="FFFFFF"/>
        </w:rPr>
        <w:t>, apartado A de la Constitución Política de los Estados Unidos Mexicanos; 5</w:t>
      </w:r>
      <w:r w:rsidR="00C408C6">
        <w:rPr>
          <w:rFonts w:ascii="Palatino Linotype" w:hAnsi="Palatino Linotype" w:cs="Tahoma"/>
          <w:sz w:val="24"/>
          <w:szCs w:val="24"/>
          <w:shd w:val="clear" w:color="auto" w:fill="FFFFFF"/>
        </w:rPr>
        <w:t>°</w:t>
      </w:r>
      <w:r w:rsidRPr="006E241A">
        <w:rPr>
          <w:rFonts w:ascii="Palatino Linotype" w:hAnsi="Palatino Linotype" w:cs="Tahoma"/>
          <w:sz w:val="24"/>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E241A">
        <w:rPr>
          <w:rStyle w:val="apple-converted-space"/>
          <w:rFonts w:ascii="Palatino Linotype" w:hAnsi="Palatino Linotype" w:cs="Tahoma"/>
          <w:sz w:val="24"/>
          <w:szCs w:val="24"/>
          <w:shd w:val="clear" w:color="auto" w:fill="FFFFFF"/>
        </w:rPr>
        <w:t xml:space="preserve"> 7°, </w:t>
      </w:r>
      <w:r w:rsidRPr="006E241A">
        <w:rPr>
          <w:rFonts w:ascii="Palatino Linotype" w:hAnsi="Palatino Linotype" w:cs="Tahoma"/>
          <w:sz w:val="24"/>
          <w:szCs w:val="24"/>
        </w:rPr>
        <w:t xml:space="preserve">9, fracciones I y XXIV y </w:t>
      </w:r>
      <w:r w:rsidRPr="006E241A">
        <w:rPr>
          <w:rFonts w:ascii="Palatino Linotype" w:hAnsi="Palatino Linotype" w:cs="Tahoma"/>
          <w:sz w:val="24"/>
          <w:szCs w:val="24"/>
        </w:rPr>
        <w:lastRenderedPageBreak/>
        <w:t xml:space="preserve">11 </w:t>
      </w:r>
      <w:r w:rsidRPr="006E241A">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194678D0" w14:textId="77777777" w:rsidR="00806144" w:rsidRPr="006E241A" w:rsidRDefault="00806144" w:rsidP="00906410">
      <w:pPr>
        <w:spacing w:line="276" w:lineRule="auto"/>
        <w:jc w:val="both"/>
        <w:rPr>
          <w:rFonts w:ascii="Palatino Linotype" w:eastAsia="Calibri" w:hAnsi="Palatino Linotype" w:cs="Tahoma"/>
          <w:bCs/>
          <w:color w:val="000000"/>
          <w:sz w:val="24"/>
          <w:szCs w:val="24"/>
          <w:lang w:val="es-ES_tradnl" w:eastAsia="es-ES_tradnl"/>
        </w:rPr>
      </w:pPr>
    </w:p>
    <w:p w14:paraId="79F29D98" w14:textId="44BF41C7" w:rsidR="00806144" w:rsidRPr="006E241A" w:rsidRDefault="00806144" w:rsidP="00906410">
      <w:pPr>
        <w:autoSpaceDE w:val="0"/>
        <w:autoSpaceDN w:val="0"/>
        <w:adjustRightInd w:val="0"/>
        <w:spacing w:line="276" w:lineRule="auto"/>
        <w:jc w:val="both"/>
        <w:rPr>
          <w:rFonts w:ascii="Palatino Linotype" w:eastAsia="Calibri" w:hAnsi="Palatino Linotype" w:cs="Tahoma"/>
          <w:color w:val="000000"/>
          <w:sz w:val="24"/>
          <w:szCs w:val="24"/>
          <w:lang w:eastAsia="es-MX"/>
        </w:rPr>
      </w:pPr>
      <w:r w:rsidRPr="006E241A">
        <w:rPr>
          <w:rFonts w:ascii="Palatino Linotype" w:eastAsia="Calibri" w:hAnsi="Palatino Linotype" w:cs="Tahoma"/>
          <w:b/>
          <w:color w:val="000000"/>
          <w:sz w:val="24"/>
          <w:szCs w:val="24"/>
          <w:lang w:eastAsia="es-MX"/>
        </w:rPr>
        <w:t>SEGUND</w:t>
      </w:r>
      <w:r w:rsidR="00C8780E">
        <w:rPr>
          <w:rFonts w:ascii="Palatino Linotype" w:eastAsia="Calibri" w:hAnsi="Palatino Linotype" w:cs="Tahoma"/>
          <w:b/>
          <w:color w:val="000000"/>
          <w:sz w:val="24"/>
          <w:szCs w:val="24"/>
          <w:lang w:eastAsia="es-MX"/>
        </w:rPr>
        <w:t>O</w:t>
      </w:r>
      <w:r w:rsidRPr="006E241A">
        <w:rPr>
          <w:rFonts w:ascii="Palatino Linotype" w:eastAsia="Calibri" w:hAnsi="Palatino Linotype" w:cs="Tahoma"/>
          <w:color w:val="000000"/>
          <w:sz w:val="24"/>
          <w:szCs w:val="24"/>
          <w:lang w:eastAsia="es-MX"/>
        </w:rPr>
        <w:t xml:space="preserve">. </w:t>
      </w:r>
      <w:r w:rsidRPr="006E241A">
        <w:rPr>
          <w:rFonts w:ascii="Palatino Linotype" w:eastAsia="Calibri" w:hAnsi="Palatino Linotype" w:cs="Tahoma"/>
          <w:b/>
          <w:color w:val="000000"/>
          <w:sz w:val="24"/>
          <w:szCs w:val="24"/>
          <w:lang w:eastAsia="es-MX"/>
        </w:rPr>
        <w:t>Causales de improcedencia</w:t>
      </w:r>
      <w:r w:rsidR="00CF066F" w:rsidRPr="006E241A">
        <w:rPr>
          <w:rFonts w:ascii="Palatino Linotype" w:eastAsia="Calibri" w:hAnsi="Palatino Linotype" w:cs="Tahoma"/>
          <w:b/>
          <w:color w:val="000000"/>
          <w:sz w:val="24"/>
          <w:szCs w:val="24"/>
          <w:lang w:eastAsia="es-MX"/>
        </w:rPr>
        <w:t xml:space="preserve"> y sobreseimiento</w:t>
      </w:r>
      <w:r w:rsidRPr="006E241A">
        <w:rPr>
          <w:rFonts w:ascii="Palatino Linotype" w:eastAsia="Calibri" w:hAnsi="Palatino Linotype" w:cs="Tahoma"/>
          <w:b/>
          <w:color w:val="000000"/>
          <w:sz w:val="24"/>
          <w:szCs w:val="24"/>
          <w:lang w:eastAsia="es-MX"/>
        </w:rPr>
        <w:t>.</w:t>
      </w:r>
      <w:r w:rsidRPr="006E241A">
        <w:rPr>
          <w:rFonts w:ascii="Palatino Linotype" w:eastAsia="Calibri" w:hAnsi="Palatino Linotype" w:cs="Tahoma"/>
          <w:color w:val="000000"/>
          <w:sz w:val="24"/>
          <w:szCs w:val="24"/>
          <w:lang w:eastAsia="es-MX"/>
        </w:rPr>
        <w:t xml:space="preserve"> </w:t>
      </w:r>
    </w:p>
    <w:p w14:paraId="6B94D789" w14:textId="77777777" w:rsidR="00806144" w:rsidRPr="006E241A" w:rsidRDefault="00806144" w:rsidP="00906410">
      <w:pPr>
        <w:autoSpaceDE w:val="0"/>
        <w:autoSpaceDN w:val="0"/>
        <w:adjustRightInd w:val="0"/>
        <w:spacing w:line="276" w:lineRule="auto"/>
        <w:jc w:val="both"/>
        <w:rPr>
          <w:rFonts w:ascii="Palatino Linotype" w:eastAsia="Calibri" w:hAnsi="Palatino Linotype" w:cs="Tahoma"/>
          <w:color w:val="000000"/>
          <w:sz w:val="24"/>
          <w:szCs w:val="24"/>
          <w:lang w:eastAsia="es-MX"/>
        </w:rPr>
      </w:pPr>
    </w:p>
    <w:p w14:paraId="27ADA9AA" w14:textId="455AB5EA" w:rsidR="00AE6BAB" w:rsidRPr="00AE6BAB" w:rsidRDefault="00AE6BAB" w:rsidP="00AE6BAB">
      <w:pPr>
        <w:autoSpaceDE w:val="0"/>
        <w:autoSpaceDN w:val="0"/>
        <w:adjustRightInd w:val="0"/>
        <w:spacing w:line="276" w:lineRule="auto"/>
        <w:jc w:val="both"/>
        <w:rPr>
          <w:rFonts w:ascii="Palatino Linotype" w:eastAsia="Calibri" w:hAnsi="Palatino Linotype" w:cs="Tahoma"/>
          <w:color w:val="000000"/>
          <w:sz w:val="24"/>
          <w:szCs w:val="24"/>
          <w:lang w:eastAsia="es-MX"/>
        </w:rPr>
      </w:pPr>
      <w:r w:rsidRPr="00AE6BAB">
        <w:rPr>
          <w:rFonts w:ascii="Palatino Linotype" w:eastAsia="Calibri" w:hAnsi="Palatino Linotype" w:cs="Tahoma"/>
          <w:color w:val="000000"/>
          <w:sz w:val="24"/>
          <w:szCs w:val="24"/>
          <w:lang w:eastAsia="es-MX"/>
        </w:rPr>
        <w:t>Este Instituto realiza el estudio oficioso de las causales de improcedencia, por tratarse de una cuestión de orden p</w:t>
      </w:r>
      <w:r w:rsidR="009145C1">
        <w:rPr>
          <w:rFonts w:ascii="Palatino Linotype" w:eastAsia="Calibri" w:hAnsi="Palatino Linotype" w:cs="Tahoma"/>
          <w:color w:val="000000"/>
          <w:sz w:val="24"/>
          <w:szCs w:val="24"/>
          <w:lang w:eastAsia="es-MX"/>
        </w:rPr>
        <w:t xml:space="preserve">úblico y de estudio preferente </w:t>
      </w:r>
      <w:r w:rsidRPr="00AE6BAB">
        <w:rPr>
          <w:rFonts w:ascii="Palatino Linotype" w:eastAsia="Calibri" w:hAnsi="Palatino Linotype" w:cs="Tahoma"/>
          <w:color w:val="000000"/>
          <w:sz w:val="24"/>
          <w:szCs w:val="24"/>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52A0B2" w14:textId="77777777" w:rsidR="00AE6BAB" w:rsidRPr="00AE6BAB" w:rsidRDefault="00AE6BAB" w:rsidP="00AE6BAB">
      <w:pPr>
        <w:autoSpaceDE w:val="0"/>
        <w:autoSpaceDN w:val="0"/>
        <w:adjustRightInd w:val="0"/>
        <w:spacing w:line="276" w:lineRule="auto"/>
        <w:jc w:val="both"/>
        <w:rPr>
          <w:rFonts w:ascii="Palatino Linotype" w:eastAsia="Calibri" w:hAnsi="Palatino Linotype" w:cs="Tahoma"/>
          <w:color w:val="000000"/>
          <w:sz w:val="24"/>
          <w:szCs w:val="24"/>
          <w:lang w:eastAsia="es-MX"/>
        </w:rPr>
      </w:pPr>
    </w:p>
    <w:p w14:paraId="18EBA083" w14:textId="77777777" w:rsidR="00AE6BAB" w:rsidRPr="00AE6BAB" w:rsidRDefault="00AE6BAB" w:rsidP="00AE6BAB">
      <w:pPr>
        <w:autoSpaceDE w:val="0"/>
        <w:autoSpaceDN w:val="0"/>
        <w:adjustRightInd w:val="0"/>
        <w:spacing w:line="276" w:lineRule="auto"/>
        <w:jc w:val="both"/>
        <w:rPr>
          <w:rFonts w:ascii="Palatino Linotype" w:eastAsia="Calibri" w:hAnsi="Palatino Linotype" w:cs="Tahoma"/>
          <w:color w:val="000000"/>
          <w:sz w:val="24"/>
          <w:szCs w:val="24"/>
          <w:lang w:eastAsia="es-MX"/>
        </w:rPr>
      </w:pPr>
      <w:r w:rsidRPr="00AE6BAB">
        <w:rPr>
          <w:rFonts w:ascii="Palatino Linotype" w:eastAsia="Calibri" w:hAnsi="Palatino Linotype" w:cs="Tahoma"/>
          <w:color w:val="000000"/>
          <w:sz w:val="24"/>
          <w:szCs w:val="24"/>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797EE2" w14:textId="77777777" w:rsidR="00AE6BAB" w:rsidRPr="00AE6BAB" w:rsidRDefault="00AE6BAB" w:rsidP="00AE6BAB">
      <w:pPr>
        <w:autoSpaceDE w:val="0"/>
        <w:autoSpaceDN w:val="0"/>
        <w:adjustRightInd w:val="0"/>
        <w:spacing w:line="276" w:lineRule="auto"/>
        <w:jc w:val="both"/>
        <w:rPr>
          <w:rFonts w:ascii="Palatino Linotype" w:eastAsia="Calibri" w:hAnsi="Palatino Linotype" w:cs="Tahoma"/>
          <w:color w:val="000000"/>
          <w:sz w:val="24"/>
          <w:szCs w:val="24"/>
          <w:lang w:eastAsia="es-MX"/>
        </w:rPr>
      </w:pPr>
    </w:p>
    <w:p w14:paraId="7E5FC97B" w14:textId="3BC17CF4" w:rsidR="00D147D5" w:rsidRDefault="00AE6BAB" w:rsidP="00AE6BAB">
      <w:pPr>
        <w:autoSpaceDE w:val="0"/>
        <w:autoSpaceDN w:val="0"/>
        <w:adjustRightInd w:val="0"/>
        <w:spacing w:line="276" w:lineRule="auto"/>
        <w:jc w:val="both"/>
        <w:rPr>
          <w:rFonts w:ascii="Palatino Linotype" w:eastAsia="Calibri" w:hAnsi="Palatino Linotype" w:cs="Tahoma"/>
          <w:color w:val="000000"/>
          <w:sz w:val="24"/>
          <w:szCs w:val="24"/>
          <w:lang w:eastAsia="es-MX"/>
        </w:rPr>
      </w:pPr>
      <w:r w:rsidRPr="00AE6BAB">
        <w:rPr>
          <w:rFonts w:ascii="Palatino Linotype" w:eastAsia="Calibri" w:hAnsi="Palatino Linotype" w:cs="Tahoma"/>
          <w:color w:val="000000"/>
          <w:sz w:val="24"/>
          <w:szCs w:val="24"/>
          <w:lang w:eastAsia="es-MX"/>
        </w:rPr>
        <w:t xml:space="preserve">Asimismo, se actualiza la causal de procedencia señalada en el artículo 179, fracción </w:t>
      </w:r>
      <w:r w:rsidR="009145C1">
        <w:rPr>
          <w:rFonts w:ascii="Palatino Linotype" w:eastAsia="Calibri" w:hAnsi="Palatino Linotype" w:cs="Tahoma"/>
          <w:color w:val="000000"/>
          <w:sz w:val="24"/>
          <w:szCs w:val="24"/>
          <w:lang w:eastAsia="es-MX"/>
        </w:rPr>
        <w:t>I</w:t>
      </w:r>
      <w:r w:rsidRPr="00AE6BAB">
        <w:rPr>
          <w:rFonts w:ascii="Palatino Linotype" w:eastAsia="Calibri" w:hAnsi="Palatino Linotype" w:cs="Tahoma"/>
          <w:color w:val="000000"/>
          <w:sz w:val="24"/>
          <w:szCs w:val="24"/>
          <w:lang w:eastAsia="es-MX"/>
        </w:rPr>
        <w:t xml:space="preserve">, de la Ley de la materia, toda vez que el solicitante se inconformó, </w:t>
      </w:r>
      <w:r w:rsidR="009145C1" w:rsidRPr="006E241A">
        <w:rPr>
          <w:rFonts w:ascii="Palatino Linotype" w:eastAsia="Calibri" w:hAnsi="Palatino Linotype" w:cs="Tahoma"/>
          <w:color w:val="000000"/>
          <w:sz w:val="24"/>
          <w:szCs w:val="24"/>
          <w:lang w:eastAsia="es-MX"/>
        </w:rPr>
        <w:t xml:space="preserve">con la negativa de la información solicitada. </w:t>
      </w:r>
    </w:p>
    <w:p w14:paraId="1D6BA3C3" w14:textId="77777777" w:rsidR="00906410" w:rsidRPr="00AE6BAB" w:rsidRDefault="00906410" w:rsidP="00AE6BAB">
      <w:pPr>
        <w:autoSpaceDE w:val="0"/>
        <w:autoSpaceDN w:val="0"/>
        <w:adjustRightInd w:val="0"/>
        <w:spacing w:line="276" w:lineRule="auto"/>
        <w:jc w:val="both"/>
        <w:rPr>
          <w:rFonts w:ascii="Palatino Linotype" w:eastAsia="Calibri" w:hAnsi="Palatino Linotype" w:cs="Tahoma"/>
          <w:color w:val="000000"/>
          <w:sz w:val="24"/>
          <w:szCs w:val="24"/>
          <w:lang w:eastAsia="es-MX"/>
        </w:rPr>
      </w:pPr>
    </w:p>
    <w:p w14:paraId="5F11D77E" w14:textId="77777777" w:rsidR="00AE6BAB" w:rsidRDefault="00AE6BAB" w:rsidP="00AE6BAB">
      <w:pPr>
        <w:autoSpaceDE w:val="0"/>
        <w:autoSpaceDN w:val="0"/>
        <w:adjustRightInd w:val="0"/>
        <w:spacing w:line="276" w:lineRule="auto"/>
        <w:jc w:val="both"/>
        <w:rPr>
          <w:rFonts w:ascii="Palatino Linotype" w:eastAsia="Calibri" w:hAnsi="Palatino Linotype" w:cs="Tahoma"/>
          <w:b/>
          <w:color w:val="000000"/>
          <w:sz w:val="24"/>
          <w:szCs w:val="24"/>
          <w:lang w:eastAsia="es-MX"/>
        </w:rPr>
      </w:pPr>
      <w:r w:rsidRPr="00906410">
        <w:rPr>
          <w:rFonts w:ascii="Palatino Linotype" w:eastAsia="Calibri" w:hAnsi="Palatino Linotype" w:cs="Tahoma"/>
          <w:b/>
          <w:color w:val="000000"/>
          <w:sz w:val="24"/>
          <w:szCs w:val="24"/>
          <w:lang w:eastAsia="es-MX"/>
        </w:rPr>
        <w:t>Causales de sobreseimiento.</w:t>
      </w:r>
    </w:p>
    <w:p w14:paraId="4576445C" w14:textId="77777777" w:rsidR="00906410" w:rsidRPr="00906410" w:rsidRDefault="00906410" w:rsidP="00AE6BAB">
      <w:pPr>
        <w:autoSpaceDE w:val="0"/>
        <w:autoSpaceDN w:val="0"/>
        <w:adjustRightInd w:val="0"/>
        <w:spacing w:line="276" w:lineRule="auto"/>
        <w:jc w:val="both"/>
        <w:rPr>
          <w:rFonts w:ascii="Palatino Linotype" w:eastAsia="Calibri" w:hAnsi="Palatino Linotype" w:cs="Tahoma"/>
          <w:b/>
          <w:color w:val="000000"/>
          <w:sz w:val="24"/>
          <w:szCs w:val="24"/>
          <w:lang w:eastAsia="es-MX"/>
        </w:rPr>
      </w:pPr>
    </w:p>
    <w:p w14:paraId="4918398C" w14:textId="77777777" w:rsidR="005C24D0" w:rsidRPr="006E241A" w:rsidRDefault="005C24D0" w:rsidP="00906410">
      <w:pPr>
        <w:spacing w:line="276" w:lineRule="auto"/>
        <w:jc w:val="both"/>
        <w:rPr>
          <w:rFonts w:ascii="Palatino Linotype" w:eastAsia="Calibri" w:hAnsi="Palatino Linotype" w:cs="Tahoma"/>
          <w:bCs/>
          <w:color w:val="000000"/>
          <w:sz w:val="24"/>
          <w:szCs w:val="24"/>
          <w:lang w:eastAsia="es-ES_tradnl"/>
        </w:rPr>
      </w:pPr>
      <w:r w:rsidRPr="006E241A">
        <w:rPr>
          <w:rFonts w:ascii="Palatino Linotype" w:hAnsi="Palatino Linotype" w:cs="Tahoma"/>
          <w:sz w:val="24"/>
          <w:szCs w:val="24"/>
        </w:rPr>
        <w:t xml:space="preserve">Por otra parte, el artículo 192 de la </w:t>
      </w:r>
      <w:r w:rsidRPr="006E241A">
        <w:rPr>
          <w:rFonts w:ascii="Palatino Linotype" w:eastAsia="Calibri" w:hAnsi="Palatino Linotype" w:cs="Tahoma"/>
          <w:bCs/>
          <w:color w:val="000000"/>
          <w:sz w:val="24"/>
          <w:szCs w:val="24"/>
          <w:lang w:eastAsia="es-ES_tradnl"/>
        </w:rPr>
        <w:t xml:space="preserve">Ley Transparencia y Acceso a la Información Pública del Estado de México y Municipios, señala que el recurso de revisión será </w:t>
      </w:r>
      <w:r w:rsidRPr="006E241A">
        <w:rPr>
          <w:rFonts w:ascii="Palatino Linotype" w:eastAsia="Calibri" w:hAnsi="Palatino Linotype" w:cs="Tahoma"/>
          <w:bCs/>
          <w:color w:val="000000"/>
          <w:sz w:val="24"/>
          <w:szCs w:val="24"/>
          <w:lang w:eastAsia="es-ES_tradnl"/>
        </w:rPr>
        <w:lastRenderedPageBreak/>
        <w:t>sobreseído en todo o en parte, cuando, una vez admitido, se actualice alguno de los siguientes supuestos:</w:t>
      </w:r>
    </w:p>
    <w:p w14:paraId="41647D43" w14:textId="77777777" w:rsidR="005C24D0" w:rsidRPr="006E241A" w:rsidRDefault="005C24D0" w:rsidP="00906410">
      <w:pPr>
        <w:spacing w:line="276" w:lineRule="auto"/>
        <w:jc w:val="both"/>
        <w:rPr>
          <w:rFonts w:ascii="Palatino Linotype" w:eastAsia="Calibri" w:hAnsi="Palatino Linotype" w:cs="Tahoma"/>
          <w:bCs/>
          <w:color w:val="000000"/>
          <w:sz w:val="24"/>
          <w:szCs w:val="24"/>
          <w:lang w:eastAsia="es-ES_tradnl"/>
        </w:rPr>
      </w:pPr>
    </w:p>
    <w:p w14:paraId="47263F2B" w14:textId="77777777" w:rsidR="005C24D0" w:rsidRPr="006E241A" w:rsidRDefault="005C24D0" w:rsidP="00906410">
      <w:pPr>
        <w:numPr>
          <w:ilvl w:val="0"/>
          <w:numId w:val="20"/>
        </w:numPr>
        <w:spacing w:line="276" w:lineRule="auto"/>
        <w:jc w:val="both"/>
        <w:rPr>
          <w:rFonts w:ascii="Palatino Linotype" w:eastAsia="Calibri" w:hAnsi="Palatino Linotype" w:cs="Tahoma"/>
          <w:bCs/>
          <w:color w:val="000000"/>
          <w:sz w:val="24"/>
          <w:szCs w:val="24"/>
          <w:lang w:eastAsia="es-ES_tradnl"/>
        </w:rPr>
      </w:pPr>
      <w:r w:rsidRPr="006E241A">
        <w:rPr>
          <w:rFonts w:ascii="Palatino Linotype" w:eastAsia="Calibri" w:hAnsi="Palatino Linotype" w:cs="Tahoma"/>
          <w:bCs/>
          <w:color w:val="000000"/>
          <w:sz w:val="24"/>
          <w:szCs w:val="24"/>
          <w:lang w:eastAsia="es-ES_tradnl"/>
        </w:rPr>
        <w:t>El recurrente se desista expresamente;</w:t>
      </w:r>
    </w:p>
    <w:p w14:paraId="21522792" w14:textId="77777777" w:rsidR="005C24D0" w:rsidRPr="006E241A" w:rsidRDefault="005C24D0" w:rsidP="00906410">
      <w:pPr>
        <w:numPr>
          <w:ilvl w:val="0"/>
          <w:numId w:val="20"/>
        </w:numPr>
        <w:spacing w:line="276" w:lineRule="auto"/>
        <w:jc w:val="both"/>
        <w:rPr>
          <w:rFonts w:ascii="Palatino Linotype" w:eastAsia="Calibri" w:hAnsi="Palatino Linotype" w:cs="Tahoma"/>
          <w:bCs/>
          <w:color w:val="000000"/>
          <w:sz w:val="24"/>
          <w:szCs w:val="24"/>
          <w:lang w:eastAsia="es-ES_tradnl"/>
        </w:rPr>
      </w:pPr>
      <w:r w:rsidRPr="006E241A">
        <w:rPr>
          <w:rFonts w:ascii="Palatino Linotype" w:eastAsia="Calibri" w:hAnsi="Palatino Linotype" w:cs="Tahoma"/>
          <w:bCs/>
          <w:color w:val="000000"/>
          <w:sz w:val="24"/>
          <w:szCs w:val="24"/>
          <w:lang w:eastAsia="es-ES_tradnl"/>
        </w:rPr>
        <w:t>El recurrente fallezca o, tratándose de personas morales se disuelva;</w:t>
      </w:r>
    </w:p>
    <w:p w14:paraId="67C4C26F" w14:textId="410B22F7" w:rsidR="005C24D0" w:rsidRPr="006E241A" w:rsidRDefault="005C24D0" w:rsidP="00906410">
      <w:pPr>
        <w:numPr>
          <w:ilvl w:val="0"/>
          <w:numId w:val="20"/>
        </w:numPr>
        <w:spacing w:line="276" w:lineRule="auto"/>
        <w:jc w:val="both"/>
        <w:rPr>
          <w:rFonts w:ascii="Palatino Linotype" w:eastAsia="Calibri" w:hAnsi="Palatino Linotype" w:cs="Tahoma"/>
          <w:bCs/>
          <w:color w:val="000000"/>
          <w:sz w:val="24"/>
          <w:szCs w:val="24"/>
          <w:lang w:eastAsia="es-ES_tradnl"/>
        </w:rPr>
      </w:pPr>
      <w:r w:rsidRPr="006E241A">
        <w:rPr>
          <w:rFonts w:ascii="Palatino Linotype" w:eastAsia="Calibri" w:hAnsi="Palatino Linotype" w:cs="Tahoma"/>
          <w:bCs/>
          <w:color w:val="000000"/>
          <w:sz w:val="24"/>
          <w:szCs w:val="24"/>
          <w:lang w:eastAsia="es-ES_tradnl"/>
        </w:rPr>
        <w:t xml:space="preserve">El </w:t>
      </w:r>
      <w:r w:rsidR="00E62E3B">
        <w:rPr>
          <w:rFonts w:ascii="Palatino Linotype" w:eastAsia="Calibri" w:hAnsi="Palatino Linotype" w:cs="Tahoma"/>
          <w:bCs/>
          <w:color w:val="000000"/>
          <w:sz w:val="24"/>
          <w:szCs w:val="24"/>
          <w:lang w:eastAsia="es-ES_tradnl"/>
        </w:rPr>
        <w:t>Sujeto Obligado</w:t>
      </w:r>
      <w:r w:rsidRPr="006E241A">
        <w:rPr>
          <w:rFonts w:ascii="Palatino Linotype" w:eastAsia="Calibri" w:hAnsi="Palatino Linotype" w:cs="Tahoma"/>
          <w:bCs/>
          <w:color w:val="000000"/>
          <w:sz w:val="24"/>
          <w:szCs w:val="24"/>
          <w:lang w:eastAsia="es-ES_tradnl"/>
        </w:rPr>
        <w:t xml:space="preserve"> modifique la respuesta o la revoque, de tal manera que el recurso de revisión quede sin materia;</w:t>
      </w:r>
    </w:p>
    <w:p w14:paraId="02641796" w14:textId="77777777" w:rsidR="005C24D0" w:rsidRPr="006E241A" w:rsidRDefault="005C24D0" w:rsidP="00906410">
      <w:pPr>
        <w:numPr>
          <w:ilvl w:val="0"/>
          <w:numId w:val="20"/>
        </w:numPr>
        <w:spacing w:line="276" w:lineRule="auto"/>
        <w:jc w:val="both"/>
        <w:rPr>
          <w:rFonts w:ascii="Palatino Linotype" w:eastAsia="Calibri" w:hAnsi="Palatino Linotype" w:cs="Tahoma"/>
          <w:bCs/>
          <w:color w:val="000000"/>
          <w:sz w:val="24"/>
          <w:szCs w:val="24"/>
          <w:lang w:eastAsia="es-ES_tradnl"/>
        </w:rPr>
      </w:pPr>
      <w:r w:rsidRPr="006E241A">
        <w:rPr>
          <w:rFonts w:ascii="Palatino Linotype" w:eastAsia="Calibri" w:hAnsi="Palatino Linotype" w:cs="Tahoma"/>
          <w:bCs/>
          <w:color w:val="000000"/>
          <w:sz w:val="24"/>
          <w:szCs w:val="24"/>
          <w:lang w:eastAsia="es-ES_tradnl"/>
        </w:rPr>
        <w:t>Admitido el recurso de revisión, aparezca alguna causal de improcedencia; y,</w:t>
      </w:r>
    </w:p>
    <w:p w14:paraId="54E98140" w14:textId="77777777" w:rsidR="005C24D0" w:rsidRPr="006E241A" w:rsidRDefault="005C24D0" w:rsidP="00906410">
      <w:pPr>
        <w:numPr>
          <w:ilvl w:val="0"/>
          <w:numId w:val="20"/>
        </w:numPr>
        <w:spacing w:line="276" w:lineRule="auto"/>
        <w:jc w:val="both"/>
        <w:rPr>
          <w:rFonts w:ascii="Palatino Linotype" w:eastAsia="Calibri" w:hAnsi="Palatino Linotype" w:cs="Tahoma"/>
          <w:bCs/>
          <w:color w:val="000000"/>
          <w:sz w:val="24"/>
          <w:szCs w:val="24"/>
          <w:lang w:eastAsia="es-ES_tradnl"/>
        </w:rPr>
      </w:pPr>
      <w:r w:rsidRPr="006E241A">
        <w:rPr>
          <w:rFonts w:ascii="Palatino Linotype" w:eastAsia="Calibri" w:hAnsi="Palatino Linotype" w:cs="Tahoma"/>
          <w:bCs/>
          <w:color w:val="000000"/>
          <w:sz w:val="24"/>
          <w:szCs w:val="24"/>
          <w:lang w:eastAsia="es-ES_tradnl"/>
        </w:rPr>
        <w:t>Cuando por cualquier motivo quede sin materia el recurso de revisión.</w:t>
      </w:r>
    </w:p>
    <w:p w14:paraId="1D105117" w14:textId="77777777" w:rsidR="005C24D0" w:rsidRPr="006E241A" w:rsidRDefault="005C24D0" w:rsidP="00906410">
      <w:pPr>
        <w:spacing w:line="276" w:lineRule="auto"/>
        <w:jc w:val="both"/>
        <w:rPr>
          <w:rFonts w:ascii="Palatino Linotype" w:eastAsia="Calibri" w:hAnsi="Palatino Linotype" w:cs="Tahoma"/>
          <w:bCs/>
          <w:color w:val="000000"/>
          <w:sz w:val="24"/>
          <w:szCs w:val="24"/>
          <w:lang w:eastAsia="es-ES_tradnl"/>
        </w:rPr>
      </w:pPr>
    </w:p>
    <w:p w14:paraId="1603ABDC" w14:textId="65DE6586" w:rsidR="005C24D0" w:rsidRPr="006E241A" w:rsidRDefault="002E728F" w:rsidP="00906410">
      <w:pPr>
        <w:spacing w:line="276" w:lineRule="auto"/>
        <w:jc w:val="both"/>
        <w:rPr>
          <w:rFonts w:ascii="Palatino Linotype" w:hAnsi="Palatino Linotype" w:cs="Tahoma"/>
          <w:sz w:val="24"/>
          <w:szCs w:val="24"/>
        </w:rPr>
      </w:pPr>
      <w:r w:rsidRPr="006E241A">
        <w:rPr>
          <w:rFonts w:ascii="Palatino Linotype" w:hAnsi="Palatino Linotype" w:cs="Tahoma"/>
          <w:sz w:val="24"/>
          <w:szCs w:val="24"/>
        </w:rPr>
        <w:t>Sin embargo</w:t>
      </w:r>
      <w:r w:rsidR="005C24D0" w:rsidRPr="006E241A">
        <w:rPr>
          <w:rFonts w:ascii="Palatino Linotype" w:hAnsi="Palatino Linotype" w:cs="Tahoma"/>
          <w:sz w:val="24"/>
          <w:szCs w:val="24"/>
        </w:rPr>
        <w:t xml:space="preserve">, de </w:t>
      </w:r>
      <w:r w:rsidRPr="006E241A">
        <w:rPr>
          <w:rFonts w:ascii="Palatino Linotype" w:hAnsi="Palatino Linotype" w:cs="Tahoma"/>
          <w:sz w:val="24"/>
          <w:szCs w:val="24"/>
        </w:rPr>
        <w:t>los autos</w:t>
      </w:r>
      <w:r w:rsidR="005C24D0" w:rsidRPr="006E241A">
        <w:rPr>
          <w:rFonts w:ascii="Palatino Linotype" w:hAnsi="Palatino Linotype" w:cs="Tahoma"/>
          <w:sz w:val="24"/>
          <w:szCs w:val="24"/>
        </w:rPr>
        <w:t xml:space="preserve"> que </w:t>
      </w:r>
      <w:r w:rsidRPr="006E241A">
        <w:rPr>
          <w:rFonts w:ascii="Palatino Linotype" w:hAnsi="Palatino Linotype" w:cs="Tahoma"/>
          <w:sz w:val="24"/>
          <w:szCs w:val="24"/>
        </w:rPr>
        <w:t>corren agregados</w:t>
      </w:r>
      <w:r w:rsidR="005C24D0" w:rsidRPr="006E241A">
        <w:rPr>
          <w:rFonts w:ascii="Palatino Linotype" w:hAnsi="Palatino Linotype" w:cs="Tahoma"/>
          <w:sz w:val="24"/>
          <w:szCs w:val="24"/>
        </w:rPr>
        <w:t xml:space="preserve"> al expediente en el que se actúa, no fue posible advertir que el recurrente se hubiera desistido, que hubiera fallecido </w:t>
      </w:r>
      <w:r w:rsidR="0014199D" w:rsidRPr="006E241A">
        <w:rPr>
          <w:rFonts w:ascii="Palatino Linotype" w:hAnsi="Palatino Linotype" w:cs="Tahoma"/>
          <w:sz w:val="24"/>
          <w:szCs w:val="24"/>
        </w:rPr>
        <w:t xml:space="preserve">o </w:t>
      </w:r>
      <w:r w:rsidR="005C24D0" w:rsidRPr="006E241A">
        <w:rPr>
          <w:rFonts w:ascii="Palatino Linotype" w:hAnsi="Palatino Linotype" w:cs="Tahoma"/>
          <w:sz w:val="24"/>
          <w:szCs w:val="24"/>
        </w:rPr>
        <w:t>que hubiera aparecido una causal de improcedencia durante el trámite del presente recurso. Por lo que no se actualiza</w:t>
      </w:r>
      <w:r w:rsidR="0014199D" w:rsidRPr="006E241A">
        <w:rPr>
          <w:rFonts w:ascii="Palatino Linotype" w:hAnsi="Palatino Linotype" w:cs="Tahoma"/>
          <w:sz w:val="24"/>
          <w:szCs w:val="24"/>
        </w:rPr>
        <w:t xml:space="preserve">n dichas </w:t>
      </w:r>
      <w:r w:rsidR="005C24D0" w:rsidRPr="006E241A">
        <w:rPr>
          <w:rFonts w:ascii="Palatino Linotype" w:hAnsi="Palatino Linotype" w:cs="Tahoma"/>
          <w:sz w:val="24"/>
          <w:szCs w:val="24"/>
        </w:rPr>
        <w:t>causales se sobreseimiento.</w:t>
      </w:r>
    </w:p>
    <w:p w14:paraId="25E4DBDC" w14:textId="77777777" w:rsidR="005C24D0" w:rsidRPr="006E241A" w:rsidRDefault="005C24D0" w:rsidP="00906410">
      <w:pPr>
        <w:spacing w:line="276" w:lineRule="auto"/>
        <w:jc w:val="both"/>
        <w:rPr>
          <w:rFonts w:ascii="Palatino Linotype" w:hAnsi="Palatino Linotype" w:cs="Tahoma"/>
          <w:sz w:val="24"/>
          <w:szCs w:val="24"/>
        </w:rPr>
      </w:pPr>
    </w:p>
    <w:p w14:paraId="18991BA7" w14:textId="5DD0C013" w:rsidR="0014199D" w:rsidRPr="006E241A" w:rsidRDefault="0014199D" w:rsidP="00906410">
      <w:pPr>
        <w:spacing w:line="276" w:lineRule="auto"/>
        <w:jc w:val="both"/>
        <w:rPr>
          <w:rFonts w:ascii="Palatino Linotype" w:eastAsia="Calibri" w:hAnsi="Palatino Linotype" w:cs="Tahoma"/>
          <w:bCs/>
          <w:color w:val="000000"/>
          <w:sz w:val="24"/>
          <w:szCs w:val="24"/>
          <w:lang w:eastAsia="es-ES_tradnl"/>
        </w:rPr>
      </w:pPr>
      <w:r w:rsidRPr="006E241A">
        <w:rPr>
          <w:rFonts w:ascii="Palatino Linotype" w:hAnsi="Palatino Linotype" w:cs="Tahoma"/>
          <w:sz w:val="24"/>
          <w:szCs w:val="24"/>
        </w:rPr>
        <w:t>Mención aparte merece la hipótesis normativa que señala</w:t>
      </w:r>
      <w:r w:rsidR="00C8780E">
        <w:rPr>
          <w:rFonts w:ascii="Palatino Linotype" w:hAnsi="Palatino Linotype" w:cs="Tahoma"/>
          <w:sz w:val="24"/>
          <w:szCs w:val="24"/>
        </w:rPr>
        <w:t xml:space="preserve"> en la fracción III del artículo 192 de la Ley en cita, mismo el cual dispone</w:t>
      </w:r>
      <w:r w:rsidRPr="006E241A">
        <w:rPr>
          <w:rFonts w:ascii="Palatino Linotype" w:hAnsi="Palatino Linotype" w:cs="Tahoma"/>
          <w:sz w:val="24"/>
          <w:szCs w:val="24"/>
        </w:rPr>
        <w:t xml:space="preserve"> que el recurso de revisión será sobreseído cuando </w:t>
      </w:r>
      <w:r w:rsidR="00C8780E" w:rsidRPr="00C8780E">
        <w:rPr>
          <w:rFonts w:ascii="Palatino Linotype" w:hAnsi="Palatino Linotype" w:cs="Tahoma"/>
          <w:b/>
          <w:sz w:val="24"/>
          <w:szCs w:val="24"/>
        </w:rPr>
        <w:t xml:space="preserve">el </w:t>
      </w:r>
      <w:r w:rsidR="00C8780E">
        <w:rPr>
          <w:rFonts w:ascii="Palatino Linotype" w:hAnsi="Palatino Linotype" w:cs="Tahoma"/>
          <w:b/>
          <w:sz w:val="24"/>
          <w:szCs w:val="24"/>
        </w:rPr>
        <w:t>S</w:t>
      </w:r>
      <w:r w:rsidR="00C8780E" w:rsidRPr="00C8780E">
        <w:rPr>
          <w:rFonts w:ascii="Palatino Linotype" w:hAnsi="Palatino Linotype" w:cs="Tahoma"/>
          <w:b/>
          <w:sz w:val="24"/>
          <w:szCs w:val="24"/>
        </w:rPr>
        <w:t xml:space="preserve">ujeto </w:t>
      </w:r>
      <w:r w:rsidR="00C8780E">
        <w:rPr>
          <w:rFonts w:ascii="Palatino Linotype" w:hAnsi="Palatino Linotype" w:cs="Tahoma"/>
          <w:b/>
          <w:sz w:val="24"/>
          <w:szCs w:val="24"/>
        </w:rPr>
        <w:t>O</w:t>
      </w:r>
      <w:r w:rsidR="00C8780E" w:rsidRPr="00C8780E">
        <w:rPr>
          <w:rFonts w:ascii="Palatino Linotype" w:hAnsi="Palatino Linotype" w:cs="Tahoma"/>
          <w:b/>
          <w:sz w:val="24"/>
          <w:szCs w:val="24"/>
        </w:rPr>
        <w:t>bligado del acto lo modifique de tal manera</w:t>
      </w:r>
      <w:r w:rsidR="00C8780E">
        <w:rPr>
          <w:rFonts w:ascii="Palatino Linotype" w:hAnsi="Palatino Linotype" w:cs="Tahoma"/>
          <w:sz w:val="24"/>
          <w:szCs w:val="24"/>
        </w:rPr>
        <w:t xml:space="preserve"> </w:t>
      </w:r>
      <w:r w:rsidR="00C8780E">
        <w:rPr>
          <w:rFonts w:ascii="Palatino Linotype" w:eastAsia="Calibri" w:hAnsi="Palatino Linotype" w:cs="Tahoma"/>
          <w:b/>
          <w:bCs/>
          <w:color w:val="000000"/>
          <w:sz w:val="24"/>
          <w:szCs w:val="24"/>
          <w:lang w:eastAsia="es-ES_tradnl"/>
        </w:rPr>
        <w:t xml:space="preserve">que </w:t>
      </w:r>
      <w:r w:rsidRPr="00906410">
        <w:rPr>
          <w:rFonts w:ascii="Palatino Linotype" w:eastAsia="Calibri" w:hAnsi="Palatino Linotype" w:cs="Tahoma"/>
          <w:b/>
          <w:bCs/>
          <w:color w:val="000000"/>
          <w:sz w:val="24"/>
          <w:szCs w:val="24"/>
          <w:lang w:eastAsia="es-ES_tradnl"/>
        </w:rPr>
        <w:t>quede sin materia</w:t>
      </w:r>
      <w:r w:rsidRPr="006E241A">
        <w:rPr>
          <w:rFonts w:ascii="Palatino Linotype" w:eastAsia="Calibri" w:hAnsi="Palatino Linotype" w:cs="Tahoma"/>
          <w:bCs/>
          <w:color w:val="000000"/>
          <w:sz w:val="24"/>
          <w:szCs w:val="24"/>
          <w:lang w:eastAsia="es-ES_tradnl"/>
        </w:rPr>
        <w:t xml:space="preserve">. Ello, toda vez que mediante su informe justificado el </w:t>
      </w:r>
      <w:r w:rsidR="00E62E3B">
        <w:rPr>
          <w:rFonts w:ascii="Palatino Linotype" w:eastAsia="Calibri" w:hAnsi="Palatino Linotype" w:cs="Tahoma"/>
          <w:bCs/>
          <w:color w:val="000000"/>
          <w:sz w:val="24"/>
          <w:szCs w:val="24"/>
          <w:lang w:eastAsia="es-ES_tradnl"/>
        </w:rPr>
        <w:t>Sujeto Obligado</w:t>
      </w:r>
      <w:r w:rsidRPr="006E241A">
        <w:rPr>
          <w:rFonts w:ascii="Palatino Linotype" w:eastAsia="Calibri" w:hAnsi="Palatino Linotype" w:cs="Tahoma"/>
          <w:bCs/>
          <w:color w:val="000000"/>
          <w:sz w:val="24"/>
          <w:szCs w:val="24"/>
          <w:lang w:eastAsia="es-ES_tradnl"/>
        </w:rPr>
        <w:t xml:space="preserve"> señaló que la información solicitada tiene el carácter de reservada en términos del artículo 143, fracción VII de la Ley de Transparencia y Acceso a la Información Pública del Estado de México y Municipios, emitió el acta de </w:t>
      </w:r>
      <w:r w:rsidR="009145C1">
        <w:rPr>
          <w:rFonts w:ascii="Palatino Linotype" w:eastAsia="Calibri" w:hAnsi="Palatino Linotype" w:cs="Tahoma"/>
          <w:bCs/>
          <w:color w:val="000000"/>
          <w:sz w:val="24"/>
          <w:szCs w:val="24"/>
          <w:lang w:eastAsia="es-ES_tradnl"/>
        </w:rPr>
        <w:t>C</w:t>
      </w:r>
      <w:r w:rsidR="009145C1" w:rsidRPr="006E241A">
        <w:rPr>
          <w:rFonts w:ascii="Palatino Linotype" w:eastAsia="Calibri" w:hAnsi="Palatino Linotype" w:cs="Tahoma"/>
          <w:bCs/>
          <w:color w:val="000000"/>
          <w:sz w:val="24"/>
          <w:szCs w:val="24"/>
          <w:lang w:eastAsia="es-ES_tradnl"/>
        </w:rPr>
        <w:t>omité</w:t>
      </w:r>
      <w:r w:rsidR="009145C1">
        <w:rPr>
          <w:rFonts w:ascii="Palatino Linotype" w:eastAsia="Calibri" w:hAnsi="Palatino Linotype" w:cs="Tahoma"/>
          <w:bCs/>
          <w:color w:val="000000"/>
          <w:sz w:val="24"/>
          <w:szCs w:val="24"/>
          <w:lang w:eastAsia="es-ES_tradnl"/>
        </w:rPr>
        <w:t xml:space="preserve"> de Transparencia</w:t>
      </w:r>
      <w:r w:rsidR="009145C1" w:rsidRPr="006E241A">
        <w:rPr>
          <w:rFonts w:ascii="Palatino Linotype" w:eastAsia="Calibri" w:hAnsi="Palatino Linotype" w:cs="Tahoma"/>
          <w:bCs/>
          <w:color w:val="000000"/>
          <w:sz w:val="24"/>
          <w:szCs w:val="24"/>
          <w:lang w:eastAsia="es-ES_tradnl"/>
        </w:rPr>
        <w:t xml:space="preserve"> </w:t>
      </w:r>
      <w:r w:rsidRPr="006E241A">
        <w:rPr>
          <w:rFonts w:ascii="Palatino Linotype" w:eastAsia="Calibri" w:hAnsi="Palatino Linotype" w:cs="Tahoma"/>
          <w:bCs/>
          <w:color w:val="000000"/>
          <w:sz w:val="24"/>
          <w:szCs w:val="24"/>
          <w:lang w:eastAsia="es-ES_tradnl"/>
        </w:rPr>
        <w:t xml:space="preserve">correspondiente y </w:t>
      </w:r>
      <w:r w:rsidR="00DF0591" w:rsidRPr="006E241A">
        <w:rPr>
          <w:rFonts w:ascii="Palatino Linotype" w:eastAsia="Calibri" w:hAnsi="Palatino Linotype" w:cs="Tahoma"/>
          <w:bCs/>
          <w:color w:val="000000"/>
          <w:sz w:val="24"/>
          <w:szCs w:val="24"/>
          <w:lang w:eastAsia="es-ES_tradnl"/>
        </w:rPr>
        <w:t>la hizo</w:t>
      </w:r>
      <w:r w:rsidRPr="006E241A">
        <w:rPr>
          <w:rFonts w:ascii="Palatino Linotype" w:eastAsia="Calibri" w:hAnsi="Palatino Linotype" w:cs="Tahoma"/>
          <w:bCs/>
          <w:color w:val="000000"/>
          <w:sz w:val="24"/>
          <w:szCs w:val="24"/>
          <w:lang w:eastAsia="es-ES_tradnl"/>
        </w:rPr>
        <w:t xml:space="preserve"> de</w:t>
      </w:r>
      <w:r w:rsidR="003D34BE">
        <w:rPr>
          <w:rFonts w:ascii="Palatino Linotype" w:eastAsia="Calibri" w:hAnsi="Palatino Linotype" w:cs="Tahoma"/>
          <w:bCs/>
          <w:color w:val="000000"/>
          <w:sz w:val="24"/>
          <w:szCs w:val="24"/>
          <w:lang w:eastAsia="es-ES_tradnl"/>
        </w:rPr>
        <w:t>l</w:t>
      </w:r>
      <w:r w:rsidRPr="006E241A">
        <w:rPr>
          <w:rFonts w:ascii="Palatino Linotype" w:eastAsia="Calibri" w:hAnsi="Palatino Linotype" w:cs="Tahoma"/>
          <w:bCs/>
          <w:color w:val="000000"/>
          <w:sz w:val="24"/>
          <w:szCs w:val="24"/>
          <w:lang w:eastAsia="es-ES_tradnl"/>
        </w:rPr>
        <w:t xml:space="preserve"> conocimiento del ahora recurrente.</w:t>
      </w:r>
    </w:p>
    <w:p w14:paraId="34AEEEBE" w14:textId="77777777" w:rsidR="0014199D" w:rsidRPr="006E241A" w:rsidRDefault="0014199D" w:rsidP="00906410">
      <w:pPr>
        <w:spacing w:line="276" w:lineRule="auto"/>
        <w:jc w:val="both"/>
        <w:rPr>
          <w:rFonts w:ascii="Palatino Linotype" w:eastAsia="Calibri" w:hAnsi="Palatino Linotype" w:cs="Tahoma"/>
          <w:bCs/>
          <w:color w:val="000000"/>
          <w:sz w:val="24"/>
          <w:szCs w:val="24"/>
          <w:lang w:eastAsia="es-ES_tradnl"/>
        </w:rPr>
      </w:pPr>
    </w:p>
    <w:p w14:paraId="5EF0D340" w14:textId="12A33A09" w:rsidR="002E378C" w:rsidRPr="006E241A" w:rsidRDefault="0014199D" w:rsidP="00906410">
      <w:pPr>
        <w:spacing w:line="276" w:lineRule="auto"/>
        <w:jc w:val="both"/>
        <w:rPr>
          <w:rFonts w:ascii="Palatino Linotype" w:eastAsia="Calibri" w:hAnsi="Palatino Linotype" w:cs="Tahoma"/>
          <w:iCs/>
          <w:sz w:val="24"/>
          <w:szCs w:val="24"/>
          <w:lang w:eastAsia="es-ES_tradnl"/>
        </w:rPr>
      </w:pPr>
      <w:r w:rsidRPr="006E241A">
        <w:rPr>
          <w:rFonts w:ascii="Palatino Linotype" w:eastAsia="Calibri" w:hAnsi="Palatino Linotype" w:cs="Tahoma"/>
          <w:bCs/>
          <w:color w:val="000000"/>
          <w:sz w:val="24"/>
          <w:szCs w:val="24"/>
          <w:lang w:eastAsia="es-ES_tradnl"/>
        </w:rPr>
        <w:t xml:space="preserve">Así, con la finalidad de demostrar por qué dicha actuación deja sin materia el presente recurso de revisión, </w:t>
      </w:r>
      <w:r w:rsidRPr="006E241A">
        <w:rPr>
          <w:rFonts w:ascii="Palatino Linotype" w:hAnsi="Palatino Linotype" w:cs="Tahoma"/>
          <w:sz w:val="24"/>
          <w:szCs w:val="24"/>
        </w:rPr>
        <w:t xml:space="preserve">se </w:t>
      </w:r>
      <w:r w:rsidR="006A45E9" w:rsidRPr="006E241A">
        <w:rPr>
          <w:rFonts w:ascii="Palatino Linotype" w:hAnsi="Palatino Linotype" w:cs="Tahoma"/>
          <w:sz w:val="24"/>
          <w:szCs w:val="24"/>
        </w:rPr>
        <w:t xml:space="preserve">realizará la </w:t>
      </w:r>
      <w:r w:rsidR="005C24D0" w:rsidRPr="006E241A">
        <w:rPr>
          <w:rFonts w:ascii="Palatino Linotype" w:hAnsi="Palatino Linotype" w:cs="Tahoma"/>
          <w:sz w:val="24"/>
          <w:szCs w:val="24"/>
        </w:rPr>
        <w:t>relatoría de las actuaciones efectuadas por las partes durante el procedimiento de acceso a la información pública</w:t>
      </w:r>
      <w:r w:rsidR="009F6EDF">
        <w:rPr>
          <w:rFonts w:ascii="Palatino Linotype" w:hAnsi="Palatino Linotype" w:cs="Tahoma"/>
          <w:sz w:val="24"/>
          <w:szCs w:val="24"/>
        </w:rPr>
        <w:t xml:space="preserve"> </w:t>
      </w:r>
      <w:r w:rsidR="009F6EDF">
        <w:rPr>
          <w:rFonts w:ascii="Palatino Linotype" w:eastAsia="Calibri" w:hAnsi="Palatino Linotype" w:cs="Tahoma"/>
          <w:iCs/>
          <w:sz w:val="24"/>
          <w:szCs w:val="24"/>
          <w:lang w:eastAsia="es-ES_tradnl"/>
        </w:rPr>
        <w:t>para dar</w:t>
      </w:r>
      <w:r w:rsidR="002E378C" w:rsidRPr="006E241A">
        <w:rPr>
          <w:rFonts w:ascii="Palatino Linotype" w:eastAsia="Calibri" w:hAnsi="Palatino Linotype" w:cs="Tahoma"/>
          <w:iCs/>
          <w:sz w:val="24"/>
          <w:szCs w:val="24"/>
          <w:lang w:eastAsia="es-ES_tradnl"/>
        </w:rPr>
        <w:t xml:space="preserve"> claridad en el tratamiento del tema en estudio</w:t>
      </w:r>
      <w:r w:rsidRPr="006E241A">
        <w:rPr>
          <w:rFonts w:ascii="Palatino Linotype" w:eastAsia="Calibri" w:hAnsi="Palatino Linotype" w:cs="Tahoma"/>
          <w:iCs/>
          <w:sz w:val="24"/>
          <w:szCs w:val="24"/>
          <w:lang w:eastAsia="es-ES_tradnl"/>
        </w:rPr>
        <w:t>.</w:t>
      </w:r>
      <w:r w:rsidR="002E378C" w:rsidRPr="006E241A">
        <w:rPr>
          <w:rFonts w:ascii="Palatino Linotype" w:eastAsia="Calibri" w:hAnsi="Palatino Linotype" w:cs="Tahoma"/>
          <w:iCs/>
          <w:sz w:val="24"/>
          <w:szCs w:val="24"/>
          <w:lang w:eastAsia="es-ES_tradnl"/>
        </w:rPr>
        <w:t xml:space="preserve"> </w:t>
      </w:r>
    </w:p>
    <w:p w14:paraId="57E5231A" w14:textId="77777777" w:rsidR="002E378C" w:rsidRPr="006E241A" w:rsidRDefault="002E378C" w:rsidP="00906410">
      <w:pPr>
        <w:tabs>
          <w:tab w:val="left" w:pos="4962"/>
        </w:tabs>
        <w:spacing w:line="276" w:lineRule="auto"/>
        <w:jc w:val="both"/>
        <w:rPr>
          <w:rFonts w:ascii="Palatino Linotype" w:eastAsia="Calibri" w:hAnsi="Palatino Linotype" w:cs="Tahoma"/>
          <w:iCs/>
          <w:sz w:val="24"/>
          <w:szCs w:val="24"/>
          <w:lang w:eastAsia="es-ES_tradnl"/>
        </w:rPr>
      </w:pPr>
    </w:p>
    <w:p w14:paraId="0C808905" w14:textId="1AF61754" w:rsidR="002E378C" w:rsidRPr="006E241A" w:rsidRDefault="005248B2" w:rsidP="00906410">
      <w:pPr>
        <w:tabs>
          <w:tab w:val="left" w:pos="4962"/>
        </w:tabs>
        <w:spacing w:line="276" w:lineRule="auto"/>
        <w:jc w:val="both"/>
        <w:rPr>
          <w:rFonts w:ascii="Palatino Linotype" w:eastAsia="Calibri" w:hAnsi="Palatino Linotype" w:cs="Tahoma"/>
          <w:iCs/>
          <w:sz w:val="24"/>
          <w:szCs w:val="24"/>
          <w:lang w:eastAsia="es-ES_tradnl"/>
        </w:rPr>
      </w:pPr>
      <w:r>
        <w:rPr>
          <w:rFonts w:ascii="Palatino Linotype" w:eastAsia="Calibri" w:hAnsi="Palatino Linotype" w:cs="Tahoma"/>
          <w:iCs/>
          <w:sz w:val="24"/>
          <w:szCs w:val="24"/>
          <w:lang w:eastAsia="es-ES_tradnl"/>
        </w:rPr>
        <w:t>E</w:t>
      </w:r>
      <w:r w:rsidR="002E378C" w:rsidRPr="006E241A">
        <w:rPr>
          <w:rFonts w:ascii="Palatino Linotype" w:eastAsia="Calibri" w:hAnsi="Palatino Linotype" w:cs="Tahoma"/>
          <w:iCs/>
          <w:sz w:val="24"/>
          <w:szCs w:val="24"/>
          <w:lang w:eastAsia="es-ES_tradnl"/>
        </w:rPr>
        <w:t xml:space="preserve">l particular solicito a la </w:t>
      </w:r>
      <w:r w:rsidR="00B9572E" w:rsidRPr="006E241A">
        <w:rPr>
          <w:rFonts w:ascii="Palatino Linotype" w:eastAsia="Calibri" w:hAnsi="Palatino Linotype" w:cs="Tahoma"/>
          <w:iCs/>
          <w:sz w:val="24"/>
          <w:szCs w:val="24"/>
          <w:lang w:eastAsia="es-ES_tradnl"/>
        </w:rPr>
        <w:t xml:space="preserve">Secretaría de Finanzas </w:t>
      </w:r>
      <w:r w:rsidR="002E378C" w:rsidRPr="006E241A">
        <w:rPr>
          <w:rFonts w:ascii="Palatino Linotype" w:eastAsia="Calibri" w:hAnsi="Palatino Linotype" w:cs="Tahoma"/>
          <w:iCs/>
          <w:sz w:val="24"/>
          <w:szCs w:val="24"/>
          <w:lang w:eastAsia="es-ES_tradnl"/>
        </w:rPr>
        <w:t>la siguiente información:</w:t>
      </w:r>
    </w:p>
    <w:p w14:paraId="3A153FDC" w14:textId="77777777" w:rsidR="002E378C" w:rsidRPr="006E241A" w:rsidRDefault="002E378C" w:rsidP="00906410">
      <w:pPr>
        <w:tabs>
          <w:tab w:val="left" w:pos="4962"/>
        </w:tabs>
        <w:spacing w:line="276" w:lineRule="auto"/>
        <w:jc w:val="both"/>
        <w:rPr>
          <w:rFonts w:ascii="Palatino Linotype" w:eastAsia="Calibri" w:hAnsi="Palatino Linotype" w:cs="Tahoma"/>
          <w:iCs/>
          <w:sz w:val="24"/>
          <w:szCs w:val="24"/>
          <w:lang w:eastAsia="es-ES_tradnl"/>
        </w:rPr>
      </w:pPr>
    </w:p>
    <w:p w14:paraId="5C3FB9DB" w14:textId="4F84D33C" w:rsidR="002E378C" w:rsidRPr="006E241A" w:rsidRDefault="00B9572E" w:rsidP="00906410">
      <w:pPr>
        <w:pStyle w:val="Prrafodelista"/>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lastRenderedPageBreak/>
        <w:t xml:space="preserve">La expresión documental, sobre los instrumentos de evaluación aplicados a los servidores públicos, dentro del sistema escalafonario. </w:t>
      </w:r>
    </w:p>
    <w:p w14:paraId="13C9E5B8" w14:textId="77777777" w:rsidR="002E378C" w:rsidRPr="006E241A" w:rsidRDefault="002E378C" w:rsidP="00906410">
      <w:pPr>
        <w:tabs>
          <w:tab w:val="left" w:pos="4962"/>
        </w:tabs>
        <w:spacing w:line="276" w:lineRule="auto"/>
        <w:jc w:val="both"/>
        <w:rPr>
          <w:rFonts w:ascii="Palatino Linotype" w:eastAsia="Calibri" w:hAnsi="Palatino Linotype" w:cs="Tahoma"/>
          <w:iCs/>
          <w:sz w:val="24"/>
          <w:szCs w:val="24"/>
          <w:lang w:eastAsia="es-ES_tradnl"/>
        </w:rPr>
      </w:pPr>
    </w:p>
    <w:p w14:paraId="437E918B" w14:textId="6DE9C3DC" w:rsidR="002E378C" w:rsidRPr="006E241A" w:rsidRDefault="002E378C" w:rsidP="00906410">
      <w:pPr>
        <w:tabs>
          <w:tab w:val="left" w:pos="4962"/>
        </w:tabs>
        <w:spacing w:line="276" w:lineRule="auto"/>
        <w:jc w:val="both"/>
        <w:rPr>
          <w:rFonts w:ascii="Palatino Linotype" w:eastAsia="Calibri" w:hAnsi="Palatino Linotype" w:cs="Tahoma"/>
          <w:iCs/>
          <w:sz w:val="24"/>
          <w:szCs w:val="24"/>
          <w:lang w:eastAsia="es-ES_tradnl"/>
        </w:rPr>
      </w:pPr>
      <w:r w:rsidRPr="006E241A">
        <w:rPr>
          <w:rFonts w:ascii="Palatino Linotype" w:eastAsia="Calibri" w:hAnsi="Palatino Linotype" w:cs="Tahoma"/>
          <w:iCs/>
          <w:sz w:val="24"/>
          <w:szCs w:val="24"/>
          <w:lang w:eastAsia="es-ES_tradnl"/>
        </w:rPr>
        <w:t xml:space="preserve">En respuesta a la solicitud, el </w:t>
      </w:r>
      <w:r w:rsidR="00E62E3B">
        <w:rPr>
          <w:rFonts w:ascii="Palatino Linotype" w:eastAsia="Calibri" w:hAnsi="Palatino Linotype" w:cs="Tahoma"/>
          <w:iCs/>
          <w:sz w:val="24"/>
          <w:szCs w:val="24"/>
          <w:lang w:eastAsia="es-ES_tradnl"/>
        </w:rPr>
        <w:t>Sujeto Obligado</w:t>
      </w:r>
      <w:r w:rsidRPr="006E241A">
        <w:rPr>
          <w:rFonts w:ascii="Palatino Linotype" w:eastAsia="Calibri" w:hAnsi="Palatino Linotype" w:cs="Tahoma"/>
          <w:iCs/>
          <w:sz w:val="24"/>
          <w:szCs w:val="24"/>
          <w:lang w:eastAsia="es-ES_tradnl"/>
        </w:rPr>
        <w:t xml:space="preserve"> a través de la Dirección de</w:t>
      </w:r>
      <w:r w:rsidR="00B9572E" w:rsidRPr="006E241A">
        <w:rPr>
          <w:rFonts w:ascii="Palatino Linotype" w:eastAsia="Calibri" w:hAnsi="Palatino Linotype" w:cs="Tahoma"/>
          <w:iCs/>
          <w:sz w:val="24"/>
          <w:szCs w:val="24"/>
          <w:lang w:eastAsia="es-ES_tradnl"/>
        </w:rPr>
        <w:t xml:space="preserve"> General de Personal</w:t>
      </w:r>
      <w:r w:rsidRPr="006E241A">
        <w:rPr>
          <w:rFonts w:ascii="Palatino Linotype" w:eastAsia="Calibri" w:hAnsi="Palatino Linotype" w:cs="Tahoma"/>
          <w:iCs/>
          <w:sz w:val="24"/>
          <w:szCs w:val="24"/>
          <w:lang w:eastAsia="es-ES_tradnl"/>
        </w:rPr>
        <w:t>, manifestó lo siguiente:</w:t>
      </w:r>
    </w:p>
    <w:p w14:paraId="69A26932" w14:textId="77777777" w:rsidR="002E378C" w:rsidRPr="006E241A" w:rsidRDefault="002E378C" w:rsidP="00906410">
      <w:pPr>
        <w:tabs>
          <w:tab w:val="left" w:pos="4962"/>
        </w:tabs>
        <w:spacing w:line="276" w:lineRule="auto"/>
        <w:jc w:val="both"/>
        <w:rPr>
          <w:rFonts w:ascii="Palatino Linotype" w:eastAsia="Calibri" w:hAnsi="Palatino Linotype" w:cs="Tahoma"/>
          <w:iCs/>
          <w:sz w:val="24"/>
          <w:szCs w:val="24"/>
          <w:lang w:eastAsia="es-ES_tradnl"/>
        </w:rPr>
      </w:pPr>
    </w:p>
    <w:p w14:paraId="003A0F83" w14:textId="5D0D413D" w:rsidR="00B9572E" w:rsidRPr="006E241A" w:rsidRDefault="00B9572E" w:rsidP="00906410">
      <w:pPr>
        <w:pStyle w:val="Prrafodelista"/>
        <w:numPr>
          <w:ilvl w:val="0"/>
          <w:numId w:val="6"/>
        </w:num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t xml:space="preserve">Que los instrumentos son de uso exclusivo de la Subdirección de Escalafón. </w:t>
      </w:r>
    </w:p>
    <w:p w14:paraId="12F1F40C" w14:textId="77777777" w:rsidR="00B9572E" w:rsidRPr="006E241A" w:rsidRDefault="00B9572E" w:rsidP="00906410">
      <w:pPr>
        <w:pStyle w:val="Prrafodelista"/>
        <w:tabs>
          <w:tab w:val="left" w:pos="4962"/>
        </w:tabs>
        <w:spacing w:line="276" w:lineRule="auto"/>
        <w:jc w:val="both"/>
        <w:rPr>
          <w:rFonts w:ascii="Palatino Linotype" w:eastAsia="Calibri" w:hAnsi="Palatino Linotype" w:cs="Tahoma"/>
          <w:iCs/>
          <w:sz w:val="24"/>
          <w:lang w:eastAsia="es-ES_tradnl"/>
        </w:rPr>
      </w:pPr>
    </w:p>
    <w:p w14:paraId="23616EF3" w14:textId="48BFE9DA" w:rsidR="002E378C" w:rsidRPr="006E241A" w:rsidRDefault="00B9572E" w:rsidP="00906410">
      <w:pPr>
        <w:pStyle w:val="Prrafodelista"/>
        <w:numPr>
          <w:ilvl w:val="0"/>
          <w:numId w:val="6"/>
        </w:num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t>Que la entrega de los instrumentos de evaluación para concursar una plaza dentro del sistema escalafonario representaba un riesgo a la efectividad del proceso.</w:t>
      </w:r>
    </w:p>
    <w:p w14:paraId="23FA33D2" w14:textId="77777777" w:rsidR="00B9572E" w:rsidRPr="006E241A" w:rsidRDefault="00B9572E" w:rsidP="00906410">
      <w:pPr>
        <w:tabs>
          <w:tab w:val="left" w:pos="4962"/>
        </w:tabs>
        <w:spacing w:line="276" w:lineRule="auto"/>
        <w:jc w:val="both"/>
        <w:rPr>
          <w:rFonts w:ascii="Palatino Linotype" w:eastAsia="Calibri" w:hAnsi="Palatino Linotype" w:cs="Tahoma"/>
          <w:iCs/>
          <w:sz w:val="24"/>
          <w:szCs w:val="24"/>
          <w:lang w:eastAsia="es-ES_tradnl"/>
        </w:rPr>
      </w:pPr>
    </w:p>
    <w:p w14:paraId="09BEB7A2" w14:textId="2253E22B" w:rsidR="00B9572E" w:rsidRPr="006E241A" w:rsidRDefault="00B9572E" w:rsidP="00906410">
      <w:pPr>
        <w:pStyle w:val="Prrafodelista"/>
        <w:numPr>
          <w:ilvl w:val="0"/>
          <w:numId w:val="6"/>
        </w:num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t xml:space="preserve">Que los documentos en comento, determinaban la viabilidad o no de los aspirantes para ocupar una plaza a través del concurso. </w:t>
      </w:r>
    </w:p>
    <w:p w14:paraId="67CF9A00" w14:textId="77777777" w:rsidR="00B9572E" w:rsidRPr="006E241A" w:rsidRDefault="00B9572E" w:rsidP="00906410">
      <w:pPr>
        <w:tabs>
          <w:tab w:val="left" w:pos="4962"/>
        </w:tabs>
        <w:spacing w:line="276" w:lineRule="auto"/>
        <w:jc w:val="both"/>
        <w:rPr>
          <w:rFonts w:ascii="Palatino Linotype" w:eastAsia="Calibri" w:hAnsi="Palatino Linotype" w:cs="Tahoma"/>
          <w:iCs/>
          <w:sz w:val="24"/>
          <w:szCs w:val="24"/>
          <w:lang w:eastAsia="es-ES_tradnl"/>
        </w:rPr>
      </w:pPr>
    </w:p>
    <w:p w14:paraId="6BEA36D1" w14:textId="122D46BE" w:rsidR="002E378C" w:rsidRPr="006E241A" w:rsidRDefault="00B9572E" w:rsidP="00906410">
      <w:pPr>
        <w:tabs>
          <w:tab w:val="left" w:pos="4962"/>
        </w:tabs>
        <w:spacing w:line="276" w:lineRule="auto"/>
        <w:jc w:val="both"/>
        <w:rPr>
          <w:rFonts w:ascii="Palatino Linotype" w:eastAsia="Calibri" w:hAnsi="Palatino Linotype" w:cs="Tahoma"/>
          <w:iCs/>
          <w:sz w:val="24"/>
          <w:szCs w:val="24"/>
          <w:lang w:val="es-MX" w:eastAsia="es-ES_tradnl"/>
        </w:rPr>
      </w:pPr>
      <w:r w:rsidRPr="006E241A">
        <w:rPr>
          <w:rFonts w:ascii="Palatino Linotype" w:eastAsia="Calibri" w:hAnsi="Palatino Linotype" w:cs="Tahoma"/>
          <w:iCs/>
          <w:sz w:val="24"/>
          <w:szCs w:val="24"/>
          <w:lang w:val="es-MX" w:eastAsia="es-ES_tradnl"/>
        </w:rPr>
        <w:t>La particular interpuso el</w:t>
      </w:r>
      <w:r w:rsidR="002E378C" w:rsidRPr="006E241A">
        <w:rPr>
          <w:rFonts w:ascii="Palatino Linotype" w:eastAsia="Calibri" w:hAnsi="Palatino Linotype" w:cs="Tahoma"/>
          <w:iCs/>
          <w:sz w:val="24"/>
          <w:szCs w:val="24"/>
          <w:lang w:val="es-MX" w:eastAsia="es-ES_tradnl"/>
        </w:rPr>
        <w:t xml:space="preserve"> Recurso de Revisión en los siguientes términos:</w:t>
      </w:r>
    </w:p>
    <w:p w14:paraId="1345E844" w14:textId="77777777" w:rsidR="002E378C" w:rsidRPr="006E241A" w:rsidRDefault="002E378C" w:rsidP="00906410">
      <w:pPr>
        <w:tabs>
          <w:tab w:val="left" w:pos="4962"/>
        </w:tabs>
        <w:spacing w:line="276" w:lineRule="auto"/>
        <w:jc w:val="both"/>
        <w:rPr>
          <w:rFonts w:ascii="Palatino Linotype" w:eastAsia="Calibri" w:hAnsi="Palatino Linotype" w:cs="Tahoma"/>
          <w:iCs/>
          <w:sz w:val="24"/>
          <w:szCs w:val="24"/>
          <w:lang w:val="es-MX" w:eastAsia="es-ES_tradnl"/>
        </w:rPr>
      </w:pPr>
    </w:p>
    <w:p w14:paraId="5397A2E2" w14:textId="3C0BC0AA" w:rsidR="002E378C" w:rsidRPr="006E241A" w:rsidRDefault="00B9572E" w:rsidP="00906410">
      <w:pPr>
        <w:pStyle w:val="Prrafodelista"/>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t xml:space="preserve">Que el </w:t>
      </w:r>
      <w:r w:rsidR="00E62E3B">
        <w:rPr>
          <w:rFonts w:ascii="Palatino Linotype" w:eastAsia="Calibri" w:hAnsi="Palatino Linotype" w:cs="Tahoma"/>
          <w:iCs/>
          <w:sz w:val="24"/>
          <w:lang w:eastAsia="es-ES_tradnl"/>
        </w:rPr>
        <w:t>Sujeto Obligado</w:t>
      </w:r>
      <w:r w:rsidRPr="006E241A">
        <w:rPr>
          <w:rFonts w:ascii="Palatino Linotype" w:eastAsia="Calibri" w:hAnsi="Palatino Linotype" w:cs="Tahoma"/>
          <w:iCs/>
          <w:sz w:val="24"/>
          <w:lang w:eastAsia="es-ES_tradnl"/>
        </w:rPr>
        <w:t xml:space="preserve"> no entrego la expresión documental de la información que se requirió.</w:t>
      </w:r>
    </w:p>
    <w:p w14:paraId="09C9A18C" w14:textId="77777777" w:rsidR="002E378C" w:rsidRPr="006E241A" w:rsidRDefault="002E378C" w:rsidP="00906410">
      <w:pPr>
        <w:spacing w:line="276" w:lineRule="auto"/>
        <w:rPr>
          <w:rFonts w:ascii="Palatino Linotype" w:eastAsia="Calibri" w:hAnsi="Palatino Linotype" w:cs="Tahoma"/>
          <w:iCs/>
          <w:sz w:val="24"/>
          <w:szCs w:val="24"/>
          <w:lang w:eastAsia="es-ES_tradnl"/>
        </w:rPr>
      </w:pPr>
    </w:p>
    <w:p w14:paraId="129C9941" w14:textId="29EB0969" w:rsidR="00EE73C5" w:rsidRPr="006E241A" w:rsidRDefault="002E378C" w:rsidP="00906410">
      <w:pPr>
        <w:tabs>
          <w:tab w:val="left" w:pos="4962"/>
        </w:tabs>
        <w:spacing w:line="276" w:lineRule="auto"/>
        <w:jc w:val="both"/>
        <w:rPr>
          <w:rFonts w:ascii="Palatino Linotype" w:eastAsia="Calibri" w:hAnsi="Palatino Linotype" w:cs="Tahoma"/>
          <w:iCs/>
          <w:sz w:val="24"/>
          <w:szCs w:val="24"/>
          <w:lang w:eastAsia="es-ES_tradnl"/>
        </w:rPr>
      </w:pPr>
      <w:r w:rsidRPr="006E241A">
        <w:rPr>
          <w:rFonts w:ascii="Palatino Linotype" w:eastAsia="Calibri" w:hAnsi="Palatino Linotype" w:cs="Tahoma"/>
          <w:iCs/>
          <w:sz w:val="24"/>
          <w:szCs w:val="24"/>
          <w:lang w:eastAsia="es-ES_tradnl"/>
        </w:rPr>
        <w:t>E</w:t>
      </w:r>
      <w:r w:rsidR="006643BB" w:rsidRPr="006E241A">
        <w:rPr>
          <w:rFonts w:ascii="Palatino Linotype" w:eastAsia="Calibri" w:hAnsi="Palatino Linotype" w:cs="Tahoma"/>
          <w:iCs/>
          <w:sz w:val="24"/>
          <w:szCs w:val="24"/>
          <w:lang w:eastAsia="es-ES_tradnl"/>
        </w:rPr>
        <w:t>n vía de manifestaciones</w:t>
      </w:r>
      <w:r w:rsidR="00636401" w:rsidRPr="006E241A">
        <w:rPr>
          <w:rFonts w:ascii="Palatino Linotype" w:eastAsia="Calibri" w:hAnsi="Palatino Linotype" w:cs="Tahoma"/>
          <w:iCs/>
          <w:sz w:val="24"/>
          <w:szCs w:val="24"/>
          <w:lang w:eastAsia="es-ES_tradnl"/>
        </w:rPr>
        <w:t xml:space="preserve"> fueron</w:t>
      </w:r>
      <w:r w:rsidR="00B9572E" w:rsidRPr="006E241A">
        <w:rPr>
          <w:rFonts w:ascii="Palatino Linotype" w:eastAsia="Calibri" w:hAnsi="Palatino Linotype" w:cs="Tahoma"/>
          <w:iCs/>
          <w:sz w:val="24"/>
          <w:szCs w:val="24"/>
          <w:lang w:eastAsia="es-ES_tradnl"/>
        </w:rPr>
        <w:t xml:space="preserve"> </w:t>
      </w:r>
      <w:r w:rsidR="00636401" w:rsidRPr="006E241A">
        <w:rPr>
          <w:rFonts w:ascii="Palatino Linotype" w:eastAsia="Calibri" w:hAnsi="Palatino Linotype" w:cs="Tahoma"/>
          <w:iCs/>
          <w:sz w:val="24"/>
          <w:szCs w:val="24"/>
          <w:lang w:eastAsia="es-ES_tradnl"/>
        </w:rPr>
        <w:t>enviados</w:t>
      </w:r>
      <w:r w:rsidR="00B9572E" w:rsidRPr="006E241A">
        <w:rPr>
          <w:rFonts w:ascii="Palatino Linotype" w:eastAsia="Calibri" w:hAnsi="Palatino Linotype" w:cs="Tahoma"/>
          <w:iCs/>
          <w:sz w:val="24"/>
          <w:szCs w:val="24"/>
          <w:lang w:eastAsia="es-ES_tradnl"/>
        </w:rPr>
        <w:t xml:space="preserve"> tres documentos electrónicos</w:t>
      </w:r>
      <w:r w:rsidR="006643BB" w:rsidRPr="006E241A">
        <w:rPr>
          <w:rFonts w:ascii="Palatino Linotype" w:eastAsia="Calibri" w:hAnsi="Palatino Linotype" w:cs="Tahoma"/>
          <w:iCs/>
          <w:sz w:val="24"/>
          <w:szCs w:val="24"/>
          <w:lang w:eastAsia="es-ES_tradnl"/>
        </w:rPr>
        <w:t>,</w:t>
      </w:r>
      <w:r w:rsidR="00A346F3">
        <w:rPr>
          <w:rFonts w:ascii="Palatino Linotype" w:eastAsia="Calibri" w:hAnsi="Palatino Linotype" w:cs="Tahoma"/>
          <w:iCs/>
          <w:sz w:val="24"/>
          <w:szCs w:val="24"/>
          <w:lang w:eastAsia="es-ES_tradnl"/>
        </w:rPr>
        <w:t xml:space="preserve"> en los que se</w:t>
      </w:r>
      <w:r w:rsidR="00636401" w:rsidRPr="006E241A">
        <w:rPr>
          <w:rFonts w:ascii="Palatino Linotype" w:eastAsia="Calibri" w:hAnsi="Palatino Linotype" w:cs="Tahoma"/>
          <w:iCs/>
          <w:sz w:val="24"/>
          <w:szCs w:val="24"/>
          <w:lang w:eastAsia="es-ES_tradnl"/>
        </w:rPr>
        <w:t xml:space="preserve"> precisa </w:t>
      </w:r>
      <w:r w:rsidRPr="006E241A">
        <w:rPr>
          <w:rFonts w:ascii="Palatino Linotype" w:eastAsia="Calibri" w:hAnsi="Palatino Linotype" w:cs="Tahoma"/>
          <w:iCs/>
          <w:sz w:val="24"/>
          <w:szCs w:val="24"/>
          <w:lang w:eastAsia="es-ES_tradnl"/>
        </w:rPr>
        <w:t>lo siguiente:</w:t>
      </w:r>
    </w:p>
    <w:p w14:paraId="2133A9F5" w14:textId="77777777" w:rsidR="002E378C" w:rsidRPr="006E241A" w:rsidRDefault="002E378C" w:rsidP="00906410">
      <w:pPr>
        <w:tabs>
          <w:tab w:val="left" w:pos="4962"/>
        </w:tabs>
        <w:spacing w:line="276" w:lineRule="auto"/>
        <w:jc w:val="both"/>
        <w:rPr>
          <w:rFonts w:ascii="Palatino Linotype" w:eastAsia="Calibri" w:hAnsi="Palatino Linotype" w:cs="Tahoma"/>
          <w:iCs/>
          <w:sz w:val="24"/>
          <w:szCs w:val="24"/>
          <w:lang w:eastAsia="es-ES_tradnl"/>
        </w:rPr>
      </w:pPr>
    </w:p>
    <w:p w14:paraId="1BCC61DC" w14:textId="030BEA61" w:rsidR="00EE73C5" w:rsidRPr="006E241A" w:rsidRDefault="00EE73C5" w:rsidP="00906410">
      <w:pPr>
        <w:pStyle w:val="Prrafodelista"/>
        <w:numPr>
          <w:ilvl w:val="0"/>
          <w:numId w:val="8"/>
        </w:numPr>
        <w:tabs>
          <w:tab w:val="left" w:pos="4962"/>
        </w:tabs>
        <w:spacing w:line="276" w:lineRule="auto"/>
        <w:ind w:left="714" w:hanging="357"/>
        <w:jc w:val="both"/>
        <w:rPr>
          <w:rFonts w:ascii="Palatino Linotype" w:hAnsi="Palatino Linotype" w:cs="Tahoma"/>
          <w:sz w:val="24"/>
        </w:rPr>
      </w:pPr>
      <w:r w:rsidRPr="006E241A">
        <w:rPr>
          <w:rFonts w:ascii="Palatino Linotype" w:hAnsi="Palatino Linotype" w:cs="Tahoma"/>
          <w:sz w:val="24"/>
        </w:rPr>
        <w:t xml:space="preserve">Que el </w:t>
      </w:r>
      <w:r w:rsidR="00B657BE">
        <w:rPr>
          <w:rFonts w:ascii="Palatino Linotype" w:hAnsi="Palatino Linotype" w:cs="Tahoma"/>
          <w:sz w:val="24"/>
        </w:rPr>
        <w:t>T</w:t>
      </w:r>
      <w:r w:rsidR="00B657BE" w:rsidRPr="006E241A">
        <w:rPr>
          <w:rFonts w:ascii="Palatino Linotype" w:hAnsi="Palatino Linotype" w:cs="Tahoma"/>
          <w:sz w:val="24"/>
        </w:rPr>
        <w:t xml:space="preserve">itular </w:t>
      </w:r>
      <w:r w:rsidRPr="006E241A">
        <w:rPr>
          <w:rFonts w:ascii="Palatino Linotype" w:hAnsi="Palatino Linotype" w:cs="Tahoma"/>
          <w:sz w:val="24"/>
        </w:rPr>
        <w:t>de la Unidad  de Transparencia mediante el oficio 203040000/UT-1827/2018, solicit</w:t>
      </w:r>
      <w:r w:rsidR="00B657BE">
        <w:rPr>
          <w:rFonts w:ascii="Palatino Linotype" w:hAnsi="Palatino Linotype" w:cs="Tahoma"/>
          <w:sz w:val="24"/>
        </w:rPr>
        <w:t>ó</w:t>
      </w:r>
      <w:r w:rsidRPr="006E241A">
        <w:rPr>
          <w:rFonts w:ascii="Palatino Linotype" w:hAnsi="Palatino Linotype" w:cs="Tahoma"/>
          <w:sz w:val="24"/>
        </w:rPr>
        <w:t xml:space="preserve"> al </w:t>
      </w:r>
      <w:r w:rsidR="00B657BE">
        <w:rPr>
          <w:rFonts w:ascii="Palatino Linotype" w:hAnsi="Palatino Linotype" w:cs="Tahoma"/>
          <w:sz w:val="24"/>
        </w:rPr>
        <w:t>S</w:t>
      </w:r>
      <w:r w:rsidR="00B657BE" w:rsidRPr="006E241A">
        <w:rPr>
          <w:rFonts w:ascii="Palatino Linotype" w:hAnsi="Palatino Linotype" w:cs="Tahoma"/>
          <w:sz w:val="24"/>
        </w:rPr>
        <w:t xml:space="preserve">ervido </w:t>
      </w:r>
      <w:r w:rsidR="00B657BE">
        <w:rPr>
          <w:rFonts w:ascii="Palatino Linotype" w:hAnsi="Palatino Linotype" w:cs="Tahoma"/>
          <w:sz w:val="24"/>
        </w:rPr>
        <w:t>Pú</w:t>
      </w:r>
      <w:r w:rsidR="00B657BE" w:rsidRPr="006E241A">
        <w:rPr>
          <w:rFonts w:ascii="Palatino Linotype" w:hAnsi="Palatino Linotype" w:cs="Tahoma"/>
          <w:sz w:val="24"/>
        </w:rPr>
        <w:t xml:space="preserve">blico </w:t>
      </w:r>
      <w:r w:rsidR="00B657BE">
        <w:rPr>
          <w:rFonts w:ascii="Palatino Linotype" w:hAnsi="Palatino Linotype" w:cs="Tahoma"/>
          <w:sz w:val="24"/>
        </w:rPr>
        <w:t>H</w:t>
      </w:r>
      <w:r w:rsidR="00B657BE" w:rsidRPr="006E241A">
        <w:rPr>
          <w:rFonts w:ascii="Palatino Linotype" w:hAnsi="Palatino Linotype" w:cs="Tahoma"/>
          <w:sz w:val="24"/>
        </w:rPr>
        <w:t xml:space="preserve">abilitado </w:t>
      </w:r>
      <w:r w:rsidRPr="006E241A">
        <w:rPr>
          <w:rFonts w:ascii="Palatino Linotype" w:hAnsi="Palatino Linotype" w:cs="Tahoma"/>
          <w:sz w:val="24"/>
        </w:rPr>
        <w:t>de la Dirección General de Personal</w:t>
      </w:r>
      <w:r w:rsidR="00B657BE">
        <w:rPr>
          <w:rFonts w:ascii="Palatino Linotype" w:hAnsi="Palatino Linotype" w:cs="Tahoma"/>
          <w:sz w:val="24"/>
        </w:rPr>
        <w:t>,</w:t>
      </w:r>
      <w:r w:rsidRPr="006E241A">
        <w:rPr>
          <w:rFonts w:ascii="Palatino Linotype" w:hAnsi="Palatino Linotype" w:cs="Tahoma"/>
          <w:sz w:val="24"/>
        </w:rPr>
        <w:t xml:space="preserve"> información para la atención del Informe justificado.</w:t>
      </w:r>
    </w:p>
    <w:p w14:paraId="414B8B2A" w14:textId="77777777" w:rsidR="00EE73C5" w:rsidRPr="006E241A" w:rsidRDefault="00EE73C5" w:rsidP="00906410">
      <w:pPr>
        <w:pStyle w:val="Prrafodelista"/>
        <w:tabs>
          <w:tab w:val="left" w:pos="4962"/>
        </w:tabs>
        <w:spacing w:line="276" w:lineRule="auto"/>
        <w:ind w:left="714"/>
        <w:jc w:val="both"/>
        <w:rPr>
          <w:rFonts w:ascii="Palatino Linotype" w:hAnsi="Palatino Linotype" w:cs="Tahoma"/>
          <w:sz w:val="24"/>
        </w:rPr>
      </w:pPr>
    </w:p>
    <w:p w14:paraId="15665B4C" w14:textId="0F86E96A" w:rsidR="003E1713" w:rsidRDefault="00EE73C5" w:rsidP="00906410">
      <w:pPr>
        <w:pStyle w:val="Prrafodelista"/>
        <w:numPr>
          <w:ilvl w:val="0"/>
          <w:numId w:val="8"/>
        </w:numPr>
        <w:tabs>
          <w:tab w:val="left" w:pos="4962"/>
        </w:tabs>
        <w:spacing w:line="276" w:lineRule="auto"/>
        <w:ind w:left="714" w:hanging="357"/>
        <w:jc w:val="both"/>
        <w:rPr>
          <w:rFonts w:ascii="Palatino Linotype" w:hAnsi="Palatino Linotype" w:cs="Tahoma"/>
          <w:sz w:val="24"/>
        </w:rPr>
      </w:pPr>
      <w:r w:rsidRPr="006E241A">
        <w:rPr>
          <w:rFonts w:ascii="Palatino Linotype" w:hAnsi="Palatino Linotype" w:cs="Tahoma"/>
          <w:sz w:val="24"/>
        </w:rPr>
        <w:t xml:space="preserve">Que el  </w:t>
      </w:r>
      <w:r w:rsidR="006437B2" w:rsidRPr="006E241A">
        <w:rPr>
          <w:rFonts w:ascii="Palatino Linotype" w:hAnsi="Palatino Linotype" w:cs="Tahoma"/>
          <w:sz w:val="24"/>
        </w:rPr>
        <w:t>Servido</w:t>
      </w:r>
      <w:r w:rsidR="00777602">
        <w:rPr>
          <w:rFonts w:ascii="Palatino Linotype" w:hAnsi="Palatino Linotype" w:cs="Tahoma"/>
          <w:sz w:val="24"/>
        </w:rPr>
        <w:t>r</w:t>
      </w:r>
      <w:r w:rsidR="006437B2" w:rsidRPr="006E241A">
        <w:rPr>
          <w:rFonts w:ascii="Palatino Linotype" w:hAnsi="Palatino Linotype" w:cs="Tahoma"/>
          <w:sz w:val="24"/>
        </w:rPr>
        <w:t xml:space="preserve"> P</w:t>
      </w:r>
      <w:r w:rsidR="006437B2">
        <w:rPr>
          <w:rFonts w:ascii="Palatino Linotype" w:hAnsi="Palatino Linotype" w:cs="Tahoma"/>
          <w:sz w:val="24"/>
        </w:rPr>
        <w:t>ú</w:t>
      </w:r>
      <w:r w:rsidR="006437B2" w:rsidRPr="006E241A">
        <w:rPr>
          <w:rFonts w:ascii="Palatino Linotype" w:hAnsi="Palatino Linotype" w:cs="Tahoma"/>
          <w:sz w:val="24"/>
        </w:rPr>
        <w:t>blico Habilitado</w:t>
      </w:r>
      <w:r w:rsidRPr="006E241A">
        <w:rPr>
          <w:rFonts w:ascii="Palatino Linotype" w:hAnsi="Palatino Linotype" w:cs="Tahoma"/>
          <w:sz w:val="24"/>
        </w:rPr>
        <w:t xml:space="preserve"> de la Dirección General de Personal</w:t>
      </w:r>
      <w:r w:rsidR="006437B2">
        <w:rPr>
          <w:rFonts w:ascii="Palatino Linotype" w:hAnsi="Palatino Linotype" w:cs="Tahoma"/>
          <w:sz w:val="24"/>
        </w:rPr>
        <w:t>,</w:t>
      </w:r>
      <w:r w:rsidRPr="006E241A">
        <w:rPr>
          <w:rFonts w:ascii="Palatino Linotype" w:hAnsi="Palatino Linotype" w:cs="Tahoma"/>
          <w:sz w:val="24"/>
        </w:rPr>
        <w:t xml:space="preserve"> </w:t>
      </w:r>
      <w:r w:rsidR="006437B2" w:rsidRPr="006E241A">
        <w:rPr>
          <w:rFonts w:ascii="Palatino Linotype" w:hAnsi="Palatino Linotype" w:cs="Tahoma"/>
          <w:sz w:val="24"/>
        </w:rPr>
        <w:t>emit</w:t>
      </w:r>
      <w:r w:rsidR="006437B2">
        <w:rPr>
          <w:rFonts w:ascii="Palatino Linotype" w:hAnsi="Palatino Linotype" w:cs="Tahoma"/>
          <w:sz w:val="24"/>
        </w:rPr>
        <w:t>ió</w:t>
      </w:r>
      <w:r w:rsidR="006437B2" w:rsidRPr="006E241A">
        <w:rPr>
          <w:rFonts w:ascii="Palatino Linotype" w:hAnsi="Palatino Linotype" w:cs="Tahoma"/>
          <w:sz w:val="24"/>
        </w:rPr>
        <w:t xml:space="preserve"> </w:t>
      </w:r>
      <w:r w:rsidRPr="006E241A">
        <w:rPr>
          <w:rFonts w:ascii="Palatino Linotype" w:hAnsi="Palatino Linotype" w:cs="Tahoma"/>
          <w:sz w:val="24"/>
        </w:rPr>
        <w:t xml:space="preserve">la respuesta mediante oficio 203410200-249/2018, con el que </w:t>
      </w:r>
      <w:r w:rsidR="003E1713" w:rsidRPr="006E241A">
        <w:rPr>
          <w:rFonts w:ascii="Palatino Linotype" w:hAnsi="Palatino Linotype" w:cs="Tahoma"/>
          <w:sz w:val="24"/>
        </w:rPr>
        <w:t>solicit</w:t>
      </w:r>
      <w:r w:rsidR="006437B2">
        <w:rPr>
          <w:rFonts w:ascii="Palatino Linotype" w:hAnsi="Palatino Linotype" w:cs="Tahoma"/>
          <w:sz w:val="24"/>
        </w:rPr>
        <w:t>ó</w:t>
      </w:r>
      <w:r w:rsidR="003E1713" w:rsidRPr="006E241A">
        <w:rPr>
          <w:rFonts w:ascii="Palatino Linotype" w:hAnsi="Palatino Linotype" w:cs="Tahoma"/>
          <w:sz w:val="24"/>
        </w:rPr>
        <w:t xml:space="preserve"> </w:t>
      </w:r>
      <w:r w:rsidRPr="006E241A">
        <w:rPr>
          <w:rFonts w:ascii="Palatino Linotype" w:hAnsi="Palatino Linotype" w:cs="Tahoma"/>
          <w:sz w:val="24"/>
        </w:rPr>
        <w:t xml:space="preserve">la clasificación de la información </w:t>
      </w:r>
      <w:r w:rsidR="003E1713" w:rsidRPr="006E241A">
        <w:rPr>
          <w:rFonts w:ascii="Palatino Linotype" w:hAnsi="Palatino Linotype" w:cs="Tahoma"/>
          <w:sz w:val="24"/>
        </w:rPr>
        <w:t xml:space="preserve">como reservada, </w:t>
      </w:r>
      <w:r w:rsidRPr="006E241A">
        <w:rPr>
          <w:rFonts w:ascii="Palatino Linotype" w:hAnsi="Palatino Linotype" w:cs="Tahoma"/>
          <w:sz w:val="24"/>
        </w:rPr>
        <w:t xml:space="preserve">contenida en los instrumentos de evaluación que se aplican a los servidores </w:t>
      </w:r>
      <w:r w:rsidR="003E1713" w:rsidRPr="006E241A">
        <w:rPr>
          <w:rFonts w:ascii="Palatino Linotype" w:hAnsi="Palatino Linotype" w:cs="Tahoma"/>
          <w:sz w:val="24"/>
        </w:rPr>
        <w:t>públicos</w:t>
      </w:r>
      <w:r w:rsidRPr="006E241A">
        <w:rPr>
          <w:rFonts w:ascii="Palatino Linotype" w:hAnsi="Palatino Linotype" w:cs="Tahoma"/>
          <w:sz w:val="24"/>
        </w:rPr>
        <w:t xml:space="preserve"> para acceder a un nivel mayo</w:t>
      </w:r>
      <w:r w:rsidR="003E1713" w:rsidRPr="006E241A">
        <w:rPr>
          <w:rFonts w:ascii="Palatino Linotype" w:hAnsi="Palatino Linotype" w:cs="Tahoma"/>
          <w:sz w:val="24"/>
        </w:rPr>
        <w:t>r</w:t>
      </w:r>
      <w:r w:rsidRPr="006E241A">
        <w:rPr>
          <w:rFonts w:ascii="Palatino Linotype" w:hAnsi="Palatino Linotype" w:cs="Tahoma"/>
          <w:sz w:val="24"/>
        </w:rPr>
        <w:t xml:space="preserve"> de plaza. </w:t>
      </w:r>
    </w:p>
    <w:p w14:paraId="72D7A229" w14:textId="77777777" w:rsidR="00336034" w:rsidRPr="00336034" w:rsidRDefault="00336034" w:rsidP="00336034">
      <w:pPr>
        <w:pStyle w:val="Prrafodelista"/>
        <w:rPr>
          <w:rFonts w:ascii="Palatino Linotype" w:hAnsi="Palatino Linotype" w:cs="Tahoma"/>
          <w:sz w:val="24"/>
        </w:rPr>
      </w:pPr>
    </w:p>
    <w:p w14:paraId="2CECD9A5" w14:textId="5306B9D7" w:rsidR="003E1713" w:rsidRPr="006E241A" w:rsidRDefault="006437B2" w:rsidP="00906410">
      <w:pPr>
        <w:pStyle w:val="Prrafodelista"/>
        <w:numPr>
          <w:ilvl w:val="0"/>
          <w:numId w:val="8"/>
        </w:numPr>
        <w:tabs>
          <w:tab w:val="left" w:pos="4962"/>
        </w:tabs>
        <w:spacing w:line="276" w:lineRule="auto"/>
        <w:ind w:left="714" w:hanging="357"/>
        <w:jc w:val="both"/>
        <w:rPr>
          <w:rFonts w:ascii="Palatino Linotype" w:hAnsi="Palatino Linotype" w:cs="Tahoma"/>
          <w:sz w:val="24"/>
        </w:rPr>
      </w:pPr>
      <w:r>
        <w:rPr>
          <w:rFonts w:ascii="Palatino Linotype" w:hAnsi="Palatino Linotype" w:cs="Tahoma"/>
          <w:sz w:val="24"/>
        </w:rPr>
        <w:t>Q</w:t>
      </w:r>
      <w:r w:rsidR="003E1713" w:rsidRPr="006E241A">
        <w:rPr>
          <w:rFonts w:ascii="Palatino Linotype" w:hAnsi="Palatino Linotype" w:cs="Tahoma"/>
          <w:sz w:val="24"/>
        </w:rPr>
        <w:t xml:space="preserve">ue los reactivos contenidos en los instrumentos de evaluación miden la idoneidad </w:t>
      </w:r>
      <w:r w:rsidRPr="006E241A">
        <w:rPr>
          <w:rFonts w:ascii="Palatino Linotype" w:hAnsi="Palatino Linotype" w:cs="Tahoma"/>
          <w:sz w:val="24"/>
        </w:rPr>
        <w:t>de</w:t>
      </w:r>
      <w:r>
        <w:rPr>
          <w:rFonts w:ascii="Palatino Linotype" w:hAnsi="Palatino Linotype" w:cs="Tahoma"/>
          <w:sz w:val="24"/>
        </w:rPr>
        <w:t xml:space="preserve"> los</w:t>
      </w:r>
      <w:r w:rsidRPr="006E241A">
        <w:rPr>
          <w:rFonts w:ascii="Palatino Linotype" w:hAnsi="Palatino Linotype" w:cs="Tahoma"/>
          <w:sz w:val="24"/>
        </w:rPr>
        <w:t xml:space="preserve"> </w:t>
      </w:r>
      <w:r w:rsidR="003E1713" w:rsidRPr="006E241A">
        <w:rPr>
          <w:rFonts w:ascii="Palatino Linotype" w:hAnsi="Palatino Linotype" w:cs="Tahoma"/>
          <w:sz w:val="24"/>
        </w:rPr>
        <w:t>servidor</w:t>
      </w:r>
      <w:r>
        <w:rPr>
          <w:rFonts w:ascii="Palatino Linotype" w:hAnsi="Palatino Linotype" w:cs="Tahoma"/>
          <w:sz w:val="24"/>
        </w:rPr>
        <w:t>es</w:t>
      </w:r>
      <w:r w:rsidR="003E1713" w:rsidRPr="006E241A">
        <w:rPr>
          <w:rFonts w:ascii="Palatino Linotype" w:hAnsi="Palatino Linotype" w:cs="Tahoma"/>
          <w:sz w:val="24"/>
        </w:rPr>
        <w:t xml:space="preserve"> públicos para el puesto vacante, por lo que, entregarlos generaría un riesgo al procedimiento de evaluación y se podría en riesgo el procedimiento deliberativo de los concursos escalafonarios.</w:t>
      </w:r>
    </w:p>
    <w:p w14:paraId="3B58449D" w14:textId="77777777" w:rsidR="003E1713" w:rsidRPr="006E241A" w:rsidRDefault="003E1713" w:rsidP="00906410">
      <w:pPr>
        <w:pStyle w:val="Prrafodelista"/>
        <w:spacing w:line="276" w:lineRule="auto"/>
        <w:rPr>
          <w:rFonts w:ascii="Palatino Linotype" w:hAnsi="Palatino Linotype" w:cs="Tahoma"/>
          <w:sz w:val="24"/>
        </w:rPr>
      </w:pPr>
    </w:p>
    <w:p w14:paraId="0E80FA4F" w14:textId="4414587A" w:rsidR="003E1713" w:rsidRPr="006E241A" w:rsidRDefault="003E1713" w:rsidP="00906410">
      <w:pPr>
        <w:pStyle w:val="Prrafodelista"/>
        <w:numPr>
          <w:ilvl w:val="0"/>
          <w:numId w:val="8"/>
        </w:numPr>
        <w:tabs>
          <w:tab w:val="left" w:pos="4962"/>
        </w:tabs>
        <w:spacing w:line="276" w:lineRule="auto"/>
        <w:ind w:left="714" w:hanging="357"/>
        <w:jc w:val="both"/>
        <w:rPr>
          <w:rFonts w:ascii="Palatino Linotype" w:hAnsi="Palatino Linotype" w:cs="Tahoma"/>
          <w:sz w:val="24"/>
        </w:rPr>
      </w:pPr>
      <w:r w:rsidRPr="006E241A">
        <w:rPr>
          <w:rFonts w:ascii="Palatino Linotype" w:hAnsi="Palatino Linotype" w:cs="Tahoma"/>
          <w:sz w:val="24"/>
        </w:rPr>
        <w:t>Que el caso en concreto, encuadra en la hipótesis establecida en el artículo 140</w:t>
      </w:r>
      <w:r w:rsidR="00777602">
        <w:rPr>
          <w:rFonts w:ascii="Palatino Linotype" w:hAnsi="Palatino Linotype" w:cs="Tahoma"/>
          <w:sz w:val="24"/>
        </w:rPr>
        <w:t>,</w:t>
      </w:r>
      <w:r w:rsidRPr="006E241A">
        <w:rPr>
          <w:rFonts w:ascii="Palatino Linotype" w:hAnsi="Palatino Linotype" w:cs="Tahoma"/>
          <w:sz w:val="24"/>
        </w:rPr>
        <w:t xml:space="preserve"> fracción VII</w:t>
      </w:r>
      <w:r w:rsidR="00777602">
        <w:rPr>
          <w:rFonts w:ascii="Palatino Linotype" w:hAnsi="Palatino Linotype" w:cs="Tahoma"/>
          <w:sz w:val="24"/>
        </w:rPr>
        <w:t>,</w:t>
      </w:r>
      <w:r w:rsidRPr="006E241A">
        <w:rPr>
          <w:rFonts w:ascii="Palatino Linotype" w:hAnsi="Palatino Linotype" w:cs="Tahoma"/>
          <w:sz w:val="24"/>
        </w:rPr>
        <w:t xml:space="preserve"> de la Ley de Transparencia y Acceso a la información Pública del estado de México y Municipios, en relación a la reserva de la información para el caso de los procesos deliberativos, hasta que no sea adoptada la decisión </w:t>
      </w:r>
      <w:r w:rsidR="00777602" w:rsidRPr="006E241A">
        <w:rPr>
          <w:rFonts w:ascii="Palatino Linotype" w:hAnsi="Palatino Linotype" w:cs="Tahoma"/>
          <w:sz w:val="24"/>
        </w:rPr>
        <w:t>defini</w:t>
      </w:r>
      <w:r w:rsidR="00777602">
        <w:rPr>
          <w:rFonts w:ascii="Palatino Linotype" w:hAnsi="Palatino Linotype" w:cs="Tahoma"/>
          <w:sz w:val="24"/>
        </w:rPr>
        <w:t>tiva</w:t>
      </w:r>
      <w:r w:rsidRPr="006E241A">
        <w:rPr>
          <w:rFonts w:ascii="Palatino Linotype" w:hAnsi="Palatino Linotype" w:cs="Tahoma"/>
          <w:sz w:val="24"/>
        </w:rPr>
        <w:t xml:space="preserve">. </w:t>
      </w:r>
    </w:p>
    <w:p w14:paraId="536470C0" w14:textId="77777777" w:rsidR="003E1713" w:rsidRPr="006E241A" w:rsidRDefault="003E1713" w:rsidP="00906410">
      <w:pPr>
        <w:pStyle w:val="Prrafodelista"/>
        <w:spacing w:line="276" w:lineRule="auto"/>
        <w:rPr>
          <w:rFonts w:ascii="Palatino Linotype" w:hAnsi="Palatino Linotype" w:cs="Tahoma"/>
          <w:sz w:val="24"/>
        </w:rPr>
      </w:pPr>
    </w:p>
    <w:p w14:paraId="6BFFC769" w14:textId="08D2BD44" w:rsidR="003E1713" w:rsidRPr="006E241A" w:rsidRDefault="004E2BB7" w:rsidP="00906410">
      <w:pPr>
        <w:pStyle w:val="Prrafodelista"/>
        <w:numPr>
          <w:ilvl w:val="0"/>
          <w:numId w:val="8"/>
        </w:numPr>
        <w:tabs>
          <w:tab w:val="left" w:pos="4962"/>
        </w:tabs>
        <w:spacing w:line="276" w:lineRule="auto"/>
        <w:ind w:left="714" w:hanging="357"/>
        <w:jc w:val="both"/>
        <w:rPr>
          <w:rFonts w:ascii="Palatino Linotype" w:hAnsi="Palatino Linotype" w:cs="Tahoma"/>
          <w:sz w:val="24"/>
        </w:rPr>
      </w:pPr>
      <w:r w:rsidRPr="006E241A">
        <w:rPr>
          <w:rFonts w:ascii="Palatino Linotype" w:hAnsi="Palatino Linotype" w:cs="Tahoma"/>
          <w:sz w:val="24"/>
        </w:rPr>
        <w:t>Que se anex</w:t>
      </w:r>
      <w:r w:rsidR="009F1635">
        <w:rPr>
          <w:rFonts w:ascii="Palatino Linotype" w:hAnsi="Palatino Linotype" w:cs="Tahoma"/>
          <w:sz w:val="24"/>
        </w:rPr>
        <w:t>ó</w:t>
      </w:r>
      <w:r w:rsidRPr="006E241A">
        <w:rPr>
          <w:rFonts w:ascii="Palatino Linotype" w:hAnsi="Palatino Linotype" w:cs="Tahoma"/>
          <w:sz w:val="24"/>
        </w:rPr>
        <w:t xml:space="preserve"> </w:t>
      </w:r>
      <w:r w:rsidR="009F1635">
        <w:rPr>
          <w:rFonts w:ascii="Palatino Linotype" w:hAnsi="Palatino Linotype" w:cs="Tahoma"/>
          <w:sz w:val="24"/>
        </w:rPr>
        <w:t>a</w:t>
      </w:r>
      <w:r w:rsidR="009F1635" w:rsidRPr="006E241A">
        <w:rPr>
          <w:rFonts w:ascii="Palatino Linotype" w:hAnsi="Palatino Linotype" w:cs="Tahoma"/>
          <w:sz w:val="24"/>
        </w:rPr>
        <w:t xml:space="preserve"> </w:t>
      </w:r>
      <w:r w:rsidRPr="006E241A">
        <w:rPr>
          <w:rFonts w:ascii="Palatino Linotype" w:hAnsi="Palatino Linotype" w:cs="Tahoma"/>
          <w:sz w:val="24"/>
        </w:rPr>
        <w:t xml:space="preserve">las manifestaciones el oficio de respuesta del </w:t>
      </w:r>
      <w:r w:rsidR="009F1635">
        <w:rPr>
          <w:rFonts w:ascii="Palatino Linotype" w:hAnsi="Palatino Linotype" w:cs="Tahoma"/>
          <w:sz w:val="24"/>
        </w:rPr>
        <w:t>S</w:t>
      </w:r>
      <w:r w:rsidR="009F1635" w:rsidRPr="006E241A">
        <w:rPr>
          <w:rFonts w:ascii="Palatino Linotype" w:hAnsi="Palatino Linotype" w:cs="Tahoma"/>
          <w:sz w:val="24"/>
        </w:rPr>
        <w:t xml:space="preserve">ervido </w:t>
      </w:r>
      <w:r w:rsidR="009F1635">
        <w:rPr>
          <w:rFonts w:ascii="Palatino Linotype" w:hAnsi="Palatino Linotype" w:cs="Tahoma"/>
          <w:sz w:val="24"/>
        </w:rPr>
        <w:t>Pú</w:t>
      </w:r>
      <w:r w:rsidR="009F1635" w:rsidRPr="006E241A">
        <w:rPr>
          <w:rFonts w:ascii="Palatino Linotype" w:hAnsi="Palatino Linotype" w:cs="Tahoma"/>
          <w:sz w:val="24"/>
        </w:rPr>
        <w:t xml:space="preserve">blico </w:t>
      </w:r>
      <w:r w:rsidR="009F1635">
        <w:rPr>
          <w:rFonts w:ascii="Palatino Linotype" w:hAnsi="Palatino Linotype" w:cs="Tahoma"/>
          <w:sz w:val="24"/>
        </w:rPr>
        <w:t>H</w:t>
      </w:r>
      <w:r w:rsidR="009F1635" w:rsidRPr="006E241A">
        <w:rPr>
          <w:rFonts w:ascii="Palatino Linotype" w:hAnsi="Palatino Linotype" w:cs="Tahoma"/>
          <w:sz w:val="24"/>
        </w:rPr>
        <w:t xml:space="preserve">abilitado </w:t>
      </w:r>
      <w:r w:rsidRPr="006E241A">
        <w:rPr>
          <w:rFonts w:ascii="Palatino Linotype" w:hAnsi="Palatino Linotype" w:cs="Tahoma"/>
          <w:sz w:val="24"/>
        </w:rPr>
        <w:t xml:space="preserve">de la Dirección General de Personal del </w:t>
      </w:r>
      <w:r w:rsidR="00E62E3B">
        <w:rPr>
          <w:rFonts w:ascii="Palatino Linotype" w:hAnsi="Palatino Linotype" w:cs="Tahoma"/>
          <w:sz w:val="24"/>
        </w:rPr>
        <w:t>Sujeto Obligado</w:t>
      </w:r>
      <w:r w:rsidRPr="006E241A">
        <w:rPr>
          <w:rFonts w:ascii="Palatino Linotype" w:hAnsi="Palatino Linotype" w:cs="Tahoma"/>
          <w:sz w:val="24"/>
        </w:rPr>
        <w:t xml:space="preserve">, al igual, que el Acuerdo CT-2018-0113 del Comité de Transparencia de la </w:t>
      </w:r>
      <w:r w:rsidR="009F1635" w:rsidRPr="006E241A">
        <w:rPr>
          <w:rFonts w:ascii="Palatino Linotype" w:hAnsi="Palatino Linotype" w:cs="Tahoma"/>
          <w:sz w:val="24"/>
        </w:rPr>
        <w:t>Secretar</w:t>
      </w:r>
      <w:r w:rsidR="009F1635">
        <w:rPr>
          <w:rFonts w:ascii="Palatino Linotype" w:hAnsi="Palatino Linotype" w:cs="Tahoma"/>
          <w:sz w:val="24"/>
        </w:rPr>
        <w:t>í</w:t>
      </w:r>
      <w:r w:rsidR="009F1635" w:rsidRPr="006E241A">
        <w:rPr>
          <w:rFonts w:ascii="Palatino Linotype" w:hAnsi="Palatino Linotype" w:cs="Tahoma"/>
          <w:sz w:val="24"/>
        </w:rPr>
        <w:t xml:space="preserve">a </w:t>
      </w:r>
      <w:r w:rsidRPr="006E241A">
        <w:rPr>
          <w:rFonts w:ascii="Palatino Linotype" w:hAnsi="Palatino Linotype" w:cs="Tahoma"/>
          <w:sz w:val="24"/>
        </w:rPr>
        <w:t>de Finanzas, mediante el cual se clasi</w:t>
      </w:r>
      <w:r w:rsidR="006643BB" w:rsidRPr="006E241A">
        <w:rPr>
          <w:rFonts w:ascii="Palatino Linotype" w:hAnsi="Palatino Linotype" w:cs="Tahoma"/>
          <w:sz w:val="24"/>
        </w:rPr>
        <w:t>fica</w:t>
      </w:r>
      <w:r w:rsidR="009F1635">
        <w:rPr>
          <w:rFonts w:ascii="Palatino Linotype" w:hAnsi="Palatino Linotype" w:cs="Tahoma"/>
          <w:sz w:val="24"/>
        </w:rPr>
        <w:t>n</w:t>
      </w:r>
      <w:r w:rsidR="006643BB" w:rsidRPr="006E241A">
        <w:rPr>
          <w:rFonts w:ascii="Palatino Linotype" w:hAnsi="Palatino Linotype" w:cs="Tahoma"/>
          <w:sz w:val="24"/>
        </w:rPr>
        <w:t xml:space="preserve"> como información reservada por 5 años, los contenidos de los instrumentos de evaluación que son utilizados para la aplicación de pruebas a servidores públicos para concursos del sistema escalafonario. </w:t>
      </w:r>
    </w:p>
    <w:p w14:paraId="3DDD488A" w14:textId="77777777" w:rsidR="002E378C" w:rsidRPr="006E241A" w:rsidRDefault="002E378C" w:rsidP="00906410">
      <w:pPr>
        <w:tabs>
          <w:tab w:val="left" w:pos="4962"/>
        </w:tabs>
        <w:spacing w:line="276" w:lineRule="auto"/>
        <w:jc w:val="both"/>
        <w:rPr>
          <w:rFonts w:ascii="Palatino Linotype" w:hAnsi="Palatino Linotype" w:cs="Tahoma"/>
          <w:sz w:val="24"/>
          <w:szCs w:val="24"/>
          <w:lang w:val="es-MX"/>
        </w:rPr>
      </w:pPr>
    </w:p>
    <w:p w14:paraId="6D34B3F1" w14:textId="7D1300B9" w:rsidR="002E378C" w:rsidRPr="006E241A" w:rsidRDefault="001F74A4" w:rsidP="00906410">
      <w:pPr>
        <w:tabs>
          <w:tab w:val="left" w:pos="4962"/>
        </w:tabs>
        <w:spacing w:line="276" w:lineRule="auto"/>
        <w:jc w:val="both"/>
        <w:rPr>
          <w:rFonts w:ascii="Palatino Linotype" w:hAnsi="Palatino Linotype" w:cs="Tahoma"/>
          <w:sz w:val="24"/>
          <w:szCs w:val="24"/>
          <w:lang w:val="es-MX"/>
        </w:rPr>
      </w:pPr>
      <w:r w:rsidRPr="006E241A">
        <w:rPr>
          <w:rFonts w:ascii="Palatino Linotype" w:hAnsi="Palatino Linotype" w:cs="Tahoma"/>
          <w:sz w:val="24"/>
          <w:szCs w:val="24"/>
          <w:lang w:val="es-MX"/>
        </w:rPr>
        <w:t>Cabe señalar</w:t>
      </w:r>
      <w:r w:rsidR="002E378C" w:rsidRPr="006E241A">
        <w:rPr>
          <w:rFonts w:ascii="Palatino Linotype" w:hAnsi="Palatino Linotype" w:cs="Tahoma"/>
          <w:sz w:val="24"/>
          <w:szCs w:val="24"/>
          <w:lang w:val="es-MX"/>
        </w:rPr>
        <w:t xml:space="preserve"> que las manifestaciones </w:t>
      </w:r>
      <w:r w:rsidR="006643BB" w:rsidRPr="006E241A">
        <w:rPr>
          <w:rFonts w:ascii="Palatino Linotype" w:hAnsi="Palatino Linotype" w:cs="Tahoma"/>
          <w:sz w:val="24"/>
          <w:szCs w:val="24"/>
          <w:lang w:val="es-MX"/>
        </w:rPr>
        <w:t xml:space="preserve">enviadas por el </w:t>
      </w:r>
      <w:r w:rsidR="00E62E3B">
        <w:rPr>
          <w:rFonts w:ascii="Palatino Linotype" w:hAnsi="Palatino Linotype" w:cs="Tahoma"/>
          <w:sz w:val="24"/>
          <w:szCs w:val="24"/>
          <w:lang w:val="es-MX"/>
        </w:rPr>
        <w:t>Sujeto Obligado</w:t>
      </w:r>
      <w:r w:rsidR="006643BB" w:rsidRPr="006E241A">
        <w:rPr>
          <w:rFonts w:ascii="Palatino Linotype" w:hAnsi="Palatino Linotype" w:cs="Tahoma"/>
          <w:sz w:val="24"/>
          <w:szCs w:val="24"/>
          <w:lang w:val="es-MX"/>
        </w:rPr>
        <w:t xml:space="preserve">, al aportar información adicional al peticionario, fueron puestas a la vista </w:t>
      </w:r>
      <w:r w:rsidR="007365E6" w:rsidRPr="006E241A">
        <w:rPr>
          <w:rFonts w:ascii="Palatino Linotype" w:hAnsi="Palatino Linotype" w:cs="Tahoma"/>
          <w:sz w:val="24"/>
          <w:szCs w:val="24"/>
          <w:lang w:val="es-MX"/>
        </w:rPr>
        <w:t xml:space="preserve">de este </w:t>
      </w:r>
      <w:r w:rsidR="006643BB" w:rsidRPr="006E241A">
        <w:rPr>
          <w:rFonts w:ascii="Palatino Linotype" w:hAnsi="Palatino Linotype" w:cs="Tahoma"/>
          <w:sz w:val="24"/>
          <w:szCs w:val="24"/>
          <w:lang w:val="es-MX"/>
        </w:rPr>
        <w:t xml:space="preserve">para que realizará las manifestaciones que </w:t>
      </w:r>
      <w:r w:rsidR="00281F04">
        <w:rPr>
          <w:rFonts w:ascii="Palatino Linotype" w:hAnsi="Palatino Linotype" w:cs="Tahoma"/>
          <w:sz w:val="24"/>
          <w:szCs w:val="24"/>
          <w:lang w:val="es-MX"/>
        </w:rPr>
        <w:t>en</w:t>
      </w:r>
      <w:r w:rsidR="00281F04" w:rsidRPr="006E241A">
        <w:rPr>
          <w:rFonts w:ascii="Palatino Linotype" w:hAnsi="Palatino Linotype" w:cs="Tahoma"/>
          <w:sz w:val="24"/>
          <w:szCs w:val="24"/>
          <w:lang w:val="es-MX"/>
        </w:rPr>
        <w:t xml:space="preserve"> </w:t>
      </w:r>
      <w:r w:rsidR="006643BB" w:rsidRPr="006E241A">
        <w:rPr>
          <w:rFonts w:ascii="Palatino Linotype" w:hAnsi="Palatino Linotype" w:cs="Tahoma"/>
          <w:sz w:val="24"/>
          <w:szCs w:val="24"/>
          <w:lang w:val="es-MX"/>
        </w:rPr>
        <w:t>derecho convenga</w:t>
      </w:r>
      <w:r w:rsidR="00281F04">
        <w:rPr>
          <w:rFonts w:ascii="Palatino Linotype" w:hAnsi="Palatino Linotype" w:cs="Tahoma"/>
          <w:sz w:val="24"/>
          <w:szCs w:val="24"/>
          <w:lang w:val="es-MX"/>
        </w:rPr>
        <w:t>;</w:t>
      </w:r>
      <w:r w:rsidR="00281F04" w:rsidRPr="006E241A">
        <w:rPr>
          <w:rFonts w:ascii="Palatino Linotype" w:hAnsi="Palatino Linotype" w:cs="Tahoma"/>
          <w:sz w:val="24"/>
          <w:szCs w:val="24"/>
          <w:lang w:val="es-MX"/>
        </w:rPr>
        <w:t xml:space="preserve"> </w:t>
      </w:r>
      <w:r w:rsidRPr="006E241A">
        <w:rPr>
          <w:rFonts w:ascii="Palatino Linotype" w:hAnsi="Palatino Linotype" w:cs="Tahoma"/>
          <w:sz w:val="24"/>
          <w:szCs w:val="24"/>
          <w:lang w:val="es-MX"/>
        </w:rPr>
        <w:t>sin embargo, hasta la fecha del cierre de instrucción, no se recibieron</w:t>
      </w:r>
      <w:r w:rsidR="006643BB" w:rsidRPr="006E241A">
        <w:rPr>
          <w:rFonts w:ascii="Palatino Linotype" w:hAnsi="Palatino Linotype" w:cs="Tahoma"/>
          <w:sz w:val="24"/>
          <w:szCs w:val="24"/>
          <w:lang w:val="es-MX"/>
        </w:rPr>
        <w:t xml:space="preserve"> manifestaciones adicionales por </w:t>
      </w:r>
      <w:r w:rsidR="007365E6" w:rsidRPr="006E241A">
        <w:rPr>
          <w:rFonts w:ascii="Palatino Linotype" w:hAnsi="Palatino Linotype" w:cs="Tahoma"/>
          <w:sz w:val="24"/>
          <w:szCs w:val="24"/>
          <w:lang w:val="es-MX"/>
        </w:rPr>
        <w:t xml:space="preserve">su </w:t>
      </w:r>
      <w:r w:rsidR="006643BB" w:rsidRPr="006E241A">
        <w:rPr>
          <w:rFonts w:ascii="Palatino Linotype" w:hAnsi="Palatino Linotype" w:cs="Tahoma"/>
          <w:sz w:val="24"/>
          <w:szCs w:val="24"/>
          <w:lang w:val="es-MX"/>
        </w:rPr>
        <w:t xml:space="preserve">parte. </w:t>
      </w:r>
    </w:p>
    <w:p w14:paraId="19E80E47" w14:textId="77777777" w:rsidR="002E378C" w:rsidRPr="006E241A" w:rsidRDefault="002E378C" w:rsidP="00906410">
      <w:pPr>
        <w:tabs>
          <w:tab w:val="left" w:pos="4962"/>
        </w:tabs>
        <w:spacing w:line="276" w:lineRule="auto"/>
        <w:jc w:val="both"/>
        <w:rPr>
          <w:rFonts w:ascii="Palatino Linotype" w:hAnsi="Palatino Linotype" w:cs="Tahoma"/>
          <w:sz w:val="24"/>
          <w:szCs w:val="24"/>
          <w:lang w:val="es-MX"/>
        </w:rPr>
      </w:pPr>
    </w:p>
    <w:p w14:paraId="36FDEF93" w14:textId="3F1DA4C2" w:rsidR="001F74A4" w:rsidRPr="006E241A" w:rsidRDefault="001F74A4" w:rsidP="00906410">
      <w:pPr>
        <w:spacing w:line="276" w:lineRule="auto"/>
        <w:ind w:right="-93"/>
        <w:jc w:val="both"/>
        <w:rPr>
          <w:rFonts w:ascii="Palatino Linotype" w:hAnsi="Palatino Linotype" w:cs="Tahoma"/>
          <w:sz w:val="24"/>
          <w:szCs w:val="24"/>
          <w:lang w:val="es-MX"/>
        </w:rPr>
      </w:pPr>
      <w:r w:rsidRPr="006E241A">
        <w:rPr>
          <w:rFonts w:ascii="Palatino Linotype" w:hAnsi="Palatino Linotype" w:cs="Tahoma"/>
          <w:sz w:val="24"/>
          <w:szCs w:val="24"/>
          <w:lang w:val="es-MX"/>
        </w:rPr>
        <w:t xml:space="preserve">Ahora bien, por exhaustividad, es preciso indicar que el </w:t>
      </w:r>
      <w:r w:rsidR="00E62E3B">
        <w:rPr>
          <w:rFonts w:ascii="Palatino Linotype" w:hAnsi="Palatino Linotype" w:cs="Tahoma"/>
          <w:sz w:val="24"/>
          <w:szCs w:val="24"/>
          <w:lang w:val="es-MX"/>
        </w:rPr>
        <w:t>Sujeto Obligado</w:t>
      </w:r>
      <w:r w:rsidRPr="006E241A">
        <w:rPr>
          <w:rFonts w:ascii="Palatino Linotype" w:hAnsi="Palatino Linotype" w:cs="Tahoma"/>
          <w:sz w:val="24"/>
          <w:szCs w:val="24"/>
          <w:lang w:val="es-MX"/>
        </w:rPr>
        <w:t xml:space="preserve"> ofreció </w:t>
      </w:r>
      <w:r w:rsidRPr="006E241A">
        <w:rPr>
          <w:rFonts w:ascii="Palatino Linotype" w:hAnsi="Palatino Linotype" w:cs="Tahoma"/>
          <w:b/>
          <w:sz w:val="24"/>
          <w:szCs w:val="24"/>
          <w:lang w:val="es-MX"/>
        </w:rPr>
        <w:t>la prueba documental</w:t>
      </w:r>
      <w:r w:rsidRPr="006E241A">
        <w:rPr>
          <w:rFonts w:ascii="Palatino Linotype" w:hAnsi="Palatino Linotype" w:cs="Tahoma"/>
          <w:sz w:val="24"/>
          <w:szCs w:val="24"/>
          <w:lang w:val="es-MX"/>
        </w:rPr>
        <w:t>, consistente en el oficio 203410200-249/2018 y la resolución número CT-2018-0113</w:t>
      </w:r>
      <w:r w:rsidRPr="006E241A">
        <w:rPr>
          <w:rFonts w:ascii="Palatino Linotype" w:hAnsi="Palatino Linotype" w:cs="Tahoma"/>
          <w:b/>
          <w:sz w:val="24"/>
          <w:szCs w:val="24"/>
          <w:lang w:val="es-MX"/>
        </w:rPr>
        <w:t>, así como la instrumental de actuaciones y la presuncional legal y humana</w:t>
      </w:r>
      <w:r w:rsidRPr="006E241A">
        <w:rPr>
          <w:rFonts w:ascii="Palatino Linotype" w:hAnsi="Palatino Linotype" w:cs="Tahoma"/>
          <w:sz w:val="24"/>
          <w:szCs w:val="24"/>
          <w:lang w:val="es-MX"/>
        </w:rPr>
        <w:t xml:space="preserve">; mismas que desahogan por su propia y especial naturaleza como </w:t>
      </w:r>
      <w:r w:rsidRPr="006E241A">
        <w:rPr>
          <w:rFonts w:ascii="Palatino Linotype" w:hAnsi="Palatino Linotype" w:cs="Tahoma"/>
          <w:sz w:val="24"/>
          <w:szCs w:val="24"/>
          <w:u w:val="single"/>
          <w:lang w:val="es-MX"/>
        </w:rPr>
        <w:t>instrumental de actuaciones</w:t>
      </w:r>
      <w:r w:rsidRPr="006E241A">
        <w:rPr>
          <w:rFonts w:ascii="Palatino Linotype" w:hAnsi="Palatino Linotype" w:cs="Tahoma"/>
          <w:sz w:val="24"/>
          <w:szCs w:val="24"/>
          <w:lang w:val="es-MX"/>
        </w:rPr>
        <w:t>.</w:t>
      </w:r>
    </w:p>
    <w:p w14:paraId="46DCAD59" w14:textId="69E5ED29" w:rsidR="001F74A4" w:rsidRPr="006E241A" w:rsidRDefault="00B76D35" w:rsidP="00906410">
      <w:pPr>
        <w:spacing w:line="276" w:lineRule="auto"/>
        <w:ind w:right="-93"/>
        <w:jc w:val="both"/>
        <w:rPr>
          <w:rFonts w:ascii="Palatino Linotype" w:hAnsi="Palatino Linotype" w:cs="Tahoma"/>
          <w:sz w:val="24"/>
          <w:szCs w:val="24"/>
          <w:lang w:val="es-MX"/>
        </w:rPr>
      </w:pPr>
      <w:r w:rsidRPr="006E241A">
        <w:rPr>
          <w:rFonts w:ascii="Palatino Linotype" w:hAnsi="Palatino Linotype" w:cs="Tahoma"/>
          <w:sz w:val="24"/>
          <w:szCs w:val="24"/>
          <w:lang w:val="es-MX"/>
        </w:rPr>
        <w:t>Con la finalidad de justificar lo anterior, es preciso citar</w:t>
      </w:r>
      <w:r w:rsidR="001F74A4" w:rsidRPr="006E241A">
        <w:rPr>
          <w:rFonts w:ascii="Palatino Linotype" w:hAnsi="Palatino Linotype" w:cs="Tahoma"/>
          <w:sz w:val="24"/>
          <w:szCs w:val="24"/>
          <w:lang w:val="es-MX"/>
        </w:rPr>
        <w:t xml:space="preserve">, por analogía, la Tesis I.4o.C.70 C, de Tribunales Colegiados de Circuito, visible en la página 1406 del Semanario </w:t>
      </w:r>
      <w:r w:rsidR="001F74A4" w:rsidRPr="006E241A">
        <w:rPr>
          <w:rFonts w:ascii="Palatino Linotype" w:hAnsi="Palatino Linotype" w:cs="Tahoma"/>
          <w:sz w:val="24"/>
          <w:szCs w:val="24"/>
          <w:lang w:val="es-MX"/>
        </w:rPr>
        <w:lastRenderedPageBreak/>
        <w:t>Judicial de la Federación y su Gaceta, Tomo XX, diciembre 2004, Novena Época, de rubro y texto siguientes:</w:t>
      </w:r>
    </w:p>
    <w:p w14:paraId="1AF30C19" w14:textId="77777777" w:rsidR="001F74A4" w:rsidRPr="006E241A" w:rsidRDefault="001F74A4" w:rsidP="00906410">
      <w:pPr>
        <w:spacing w:line="276" w:lineRule="auto"/>
        <w:ind w:right="-93"/>
        <w:jc w:val="both"/>
        <w:rPr>
          <w:rFonts w:ascii="Palatino Linotype" w:hAnsi="Palatino Linotype" w:cs="Tahoma"/>
          <w:i/>
          <w:sz w:val="24"/>
          <w:szCs w:val="24"/>
          <w:lang w:val="es-MX"/>
        </w:rPr>
      </w:pPr>
    </w:p>
    <w:p w14:paraId="7923C99C" w14:textId="77777777" w:rsidR="001F74A4" w:rsidRPr="006E241A" w:rsidRDefault="001F74A4" w:rsidP="00906410">
      <w:pPr>
        <w:spacing w:line="276" w:lineRule="auto"/>
        <w:ind w:left="567" w:right="567"/>
        <w:jc w:val="both"/>
        <w:rPr>
          <w:rFonts w:ascii="Palatino Linotype" w:hAnsi="Palatino Linotype" w:cs="Tahoma"/>
          <w:b/>
          <w:lang w:val="es-MX"/>
        </w:rPr>
      </w:pPr>
      <w:r w:rsidRPr="006E241A">
        <w:rPr>
          <w:rFonts w:ascii="Palatino Linotype" w:hAnsi="Palatino Linotype" w:cs="Tahoma"/>
          <w:b/>
          <w:lang w:val="es-MX"/>
        </w:rPr>
        <w:t xml:space="preserve">PRESUNCIONAL E INSTRUMENTAL DE ACTUACIONES. SU OFRECIMIENTO NO SE RIGE POR LO DISPUESTO EN EL ARTÍCULO 291 DEL CÓDIGO DE PROCEDIMIENTOS CIVILES PARA EL DISTRITO FEDERAL. </w:t>
      </w:r>
      <w:r w:rsidRPr="006E241A">
        <w:rPr>
          <w:rFonts w:ascii="Palatino Linotype" w:hAnsi="Palatino Linotype" w:cs="Tahoma"/>
          <w:lang w:val="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3601E3D7" w14:textId="77777777" w:rsidR="001F74A4" w:rsidRPr="006E241A" w:rsidRDefault="001F74A4" w:rsidP="00906410">
      <w:pPr>
        <w:spacing w:line="276" w:lineRule="auto"/>
        <w:ind w:right="-93"/>
        <w:jc w:val="both"/>
        <w:rPr>
          <w:rFonts w:ascii="Palatino Linotype" w:hAnsi="Palatino Linotype" w:cs="Tahoma"/>
          <w:sz w:val="24"/>
          <w:szCs w:val="24"/>
        </w:rPr>
      </w:pPr>
    </w:p>
    <w:p w14:paraId="6CFA5E27" w14:textId="43F74DF6" w:rsidR="001F74A4" w:rsidRPr="006E241A" w:rsidRDefault="00B76D35" w:rsidP="00906410">
      <w:pPr>
        <w:spacing w:line="276" w:lineRule="auto"/>
        <w:ind w:right="-93"/>
        <w:jc w:val="both"/>
        <w:rPr>
          <w:rFonts w:ascii="Palatino Linotype" w:hAnsi="Palatino Linotype" w:cs="Tahoma"/>
          <w:sz w:val="24"/>
          <w:szCs w:val="24"/>
        </w:rPr>
      </w:pPr>
      <w:r w:rsidRPr="006E241A">
        <w:rPr>
          <w:rFonts w:ascii="Palatino Linotype" w:hAnsi="Palatino Linotype" w:cs="Tahoma"/>
          <w:sz w:val="24"/>
          <w:szCs w:val="24"/>
        </w:rPr>
        <w:t>Bajo esa lógica</w:t>
      </w:r>
      <w:r w:rsidR="001F74A4" w:rsidRPr="006E241A">
        <w:rPr>
          <w:rFonts w:ascii="Palatino Linotype" w:hAnsi="Palatino Linotype" w:cs="Tahoma"/>
          <w:sz w:val="24"/>
          <w:szCs w:val="24"/>
        </w:rPr>
        <w:t xml:space="preserve">, </w:t>
      </w:r>
      <w:r w:rsidRPr="006E241A">
        <w:rPr>
          <w:rFonts w:ascii="Palatino Linotype" w:hAnsi="Palatino Linotype" w:cs="Tahoma"/>
          <w:sz w:val="24"/>
          <w:szCs w:val="24"/>
          <w:lang w:val="es-MX"/>
        </w:rPr>
        <w:t xml:space="preserve">toda vez  que </w:t>
      </w:r>
      <w:r w:rsidR="001F74A4" w:rsidRPr="006E241A">
        <w:rPr>
          <w:rFonts w:ascii="Palatino Linotype" w:hAnsi="Palatino Linotype" w:cs="Tahoma"/>
          <w:sz w:val="24"/>
          <w:szCs w:val="24"/>
        </w:rPr>
        <w:t>las pruebas of</w:t>
      </w:r>
      <w:r w:rsidRPr="006E241A">
        <w:rPr>
          <w:rFonts w:ascii="Palatino Linotype" w:hAnsi="Palatino Linotype" w:cs="Tahoma"/>
          <w:sz w:val="24"/>
          <w:szCs w:val="24"/>
        </w:rPr>
        <w:t xml:space="preserve">recidas por el </w:t>
      </w:r>
      <w:r w:rsidR="00E62E3B">
        <w:rPr>
          <w:rFonts w:ascii="Palatino Linotype" w:hAnsi="Palatino Linotype" w:cs="Tahoma"/>
          <w:sz w:val="24"/>
          <w:szCs w:val="24"/>
        </w:rPr>
        <w:t>Sujeto Obligado</w:t>
      </w:r>
      <w:r w:rsidRPr="006E241A">
        <w:rPr>
          <w:rFonts w:ascii="Palatino Linotype" w:hAnsi="Palatino Linotype" w:cs="Tahoma"/>
          <w:sz w:val="24"/>
          <w:szCs w:val="24"/>
        </w:rPr>
        <w:t xml:space="preserve"> consisten</w:t>
      </w:r>
      <w:r w:rsidR="001F74A4" w:rsidRPr="006E241A">
        <w:rPr>
          <w:rFonts w:ascii="Palatino Linotype" w:hAnsi="Palatino Linotype" w:cs="Tahoma"/>
          <w:sz w:val="24"/>
          <w:szCs w:val="24"/>
        </w:rPr>
        <w:t xml:space="preserve"> en </w:t>
      </w:r>
      <w:r w:rsidRPr="006E241A">
        <w:rPr>
          <w:rFonts w:ascii="Palatino Linotype" w:hAnsi="Palatino Linotype" w:cs="Tahoma"/>
          <w:sz w:val="24"/>
          <w:szCs w:val="24"/>
        </w:rPr>
        <w:t>documentales que obran</w:t>
      </w:r>
      <w:r w:rsidR="001F74A4" w:rsidRPr="006E241A">
        <w:rPr>
          <w:rFonts w:ascii="Palatino Linotype" w:hAnsi="Palatino Linotype" w:cs="Tahoma"/>
          <w:sz w:val="24"/>
          <w:szCs w:val="24"/>
        </w:rPr>
        <w:t xml:space="preserve"> en el expediente formado con motivo del </w:t>
      </w:r>
      <w:r w:rsidR="00A94CC6">
        <w:rPr>
          <w:rFonts w:ascii="Palatino Linotype" w:hAnsi="Palatino Linotype" w:cs="Tahoma"/>
          <w:sz w:val="24"/>
          <w:szCs w:val="24"/>
        </w:rPr>
        <w:t>R</w:t>
      </w:r>
      <w:r w:rsidR="001F74A4" w:rsidRPr="006E241A">
        <w:rPr>
          <w:rFonts w:ascii="Palatino Linotype" w:hAnsi="Palatino Linotype" w:cs="Tahoma"/>
          <w:sz w:val="24"/>
          <w:szCs w:val="24"/>
        </w:rPr>
        <w:t xml:space="preserve">ecurso de </w:t>
      </w:r>
      <w:r w:rsidR="00A94CC6">
        <w:rPr>
          <w:rFonts w:ascii="Palatino Linotype" w:hAnsi="Palatino Linotype" w:cs="Tahoma"/>
          <w:sz w:val="24"/>
          <w:szCs w:val="24"/>
        </w:rPr>
        <w:t>R</w:t>
      </w:r>
      <w:r w:rsidR="00A94CC6" w:rsidRPr="006E241A">
        <w:rPr>
          <w:rFonts w:ascii="Palatino Linotype" w:hAnsi="Palatino Linotype" w:cs="Tahoma"/>
          <w:sz w:val="24"/>
          <w:szCs w:val="24"/>
        </w:rPr>
        <w:t>evisión</w:t>
      </w:r>
      <w:r w:rsidR="00A94CC6">
        <w:rPr>
          <w:rFonts w:ascii="Palatino Linotype" w:hAnsi="Palatino Linotype" w:cs="Tahoma"/>
          <w:sz w:val="24"/>
          <w:szCs w:val="24"/>
        </w:rPr>
        <w:t xml:space="preserve"> que se analiza</w:t>
      </w:r>
      <w:r w:rsidR="001F74A4" w:rsidRPr="006E241A">
        <w:rPr>
          <w:rFonts w:ascii="Palatino Linotype" w:hAnsi="Palatino Linotype" w:cs="Tahoma"/>
          <w:sz w:val="24"/>
          <w:szCs w:val="24"/>
        </w:rPr>
        <w:t xml:space="preserve">, </w:t>
      </w:r>
      <w:r w:rsidRPr="006E241A">
        <w:rPr>
          <w:rFonts w:ascii="Palatino Linotype" w:hAnsi="Palatino Linotype" w:cs="Tahoma"/>
          <w:sz w:val="24"/>
          <w:szCs w:val="24"/>
        </w:rPr>
        <w:t xml:space="preserve">las mismas se constituyen en instrumental de actuaciones y </w:t>
      </w:r>
      <w:r w:rsidR="001F74A4" w:rsidRPr="006E241A">
        <w:rPr>
          <w:rFonts w:ascii="Palatino Linotype" w:hAnsi="Palatino Linotype" w:cs="Tahoma"/>
          <w:sz w:val="24"/>
          <w:szCs w:val="24"/>
        </w:rPr>
        <w:t>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018E928A" w14:textId="77777777" w:rsidR="001F74A4" w:rsidRPr="006E241A" w:rsidRDefault="001F74A4" w:rsidP="00906410">
      <w:pPr>
        <w:spacing w:line="276" w:lineRule="auto"/>
        <w:ind w:right="-93"/>
        <w:jc w:val="both"/>
        <w:rPr>
          <w:rFonts w:ascii="Palatino Linotype" w:hAnsi="Palatino Linotype" w:cs="Tahoma"/>
          <w:sz w:val="24"/>
          <w:szCs w:val="24"/>
        </w:rPr>
      </w:pPr>
    </w:p>
    <w:p w14:paraId="38276599" w14:textId="0176AB91" w:rsidR="00DE7431" w:rsidRPr="006E241A" w:rsidRDefault="00B76D35" w:rsidP="00906410">
      <w:pPr>
        <w:spacing w:line="276" w:lineRule="auto"/>
        <w:ind w:right="-93"/>
        <w:jc w:val="both"/>
        <w:rPr>
          <w:rFonts w:ascii="Palatino Linotype" w:eastAsia="Calibri" w:hAnsi="Palatino Linotype" w:cs="Tahoma"/>
          <w:bCs/>
          <w:sz w:val="24"/>
          <w:szCs w:val="24"/>
          <w:lang w:eastAsia="en-US"/>
        </w:rPr>
      </w:pPr>
      <w:r w:rsidRPr="006E241A">
        <w:rPr>
          <w:rFonts w:ascii="Palatino Linotype" w:eastAsia="Calibri" w:hAnsi="Palatino Linotype" w:cs="Tahoma"/>
          <w:bCs/>
          <w:iCs/>
          <w:sz w:val="24"/>
          <w:szCs w:val="24"/>
          <w:lang w:eastAsia="en-US"/>
        </w:rPr>
        <w:t xml:space="preserve">Establecida la controversia en los términos que han sido </w:t>
      </w:r>
      <w:r w:rsidR="00C61451">
        <w:rPr>
          <w:rFonts w:ascii="Palatino Linotype" w:eastAsia="Calibri" w:hAnsi="Palatino Linotype" w:cs="Tahoma"/>
          <w:bCs/>
          <w:iCs/>
          <w:sz w:val="24"/>
          <w:szCs w:val="24"/>
          <w:lang w:eastAsia="en-US"/>
        </w:rPr>
        <w:t>descritos</w:t>
      </w:r>
      <w:r w:rsidR="00C61451" w:rsidRPr="006E241A">
        <w:rPr>
          <w:rFonts w:ascii="Palatino Linotype" w:eastAsia="Calibri" w:hAnsi="Palatino Linotype" w:cs="Tahoma"/>
          <w:bCs/>
          <w:iCs/>
          <w:sz w:val="24"/>
          <w:szCs w:val="24"/>
          <w:lang w:eastAsia="en-US"/>
        </w:rPr>
        <w:t xml:space="preserve"> </w:t>
      </w:r>
      <w:r w:rsidR="00E75E8B" w:rsidRPr="006E241A">
        <w:rPr>
          <w:rFonts w:ascii="Palatino Linotype" w:eastAsia="Calibri" w:hAnsi="Palatino Linotype" w:cs="Tahoma"/>
          <w:bCs/>
          <w:iCs/>
          <w:sz w:val="24"/>
          <w:szCs w:val="24"/>
          <w:lang w:eastAsia="en-US"/>
        </w:rPr>
        <w:t>es preciso señalar que,</w:t>
      </w:r>
      <w:r w:rsidR="00E75E8B" w:rsidRPr="006E241A">
        <w:rPr>
          <w:rFonts w:ascii="Palatino Linotype" w:eastAsia="Calibri" w:hAnsi="Palatino Linotype" w:cs="Tahoma"/>
          <w:bCs/>
          <w:sz w:val="24"/>
          <w:szCs w:val="24"/>
          <w:lang w:eastAsia="en-US"/>
        </w:rPr>
        <w:t xml:space="preserve"> </w:t>
      </w:r>
      <w:r w:rsidR="00DE7431" w:rsidRPr="006E241A">
        <w:rPr>
          <w:rFonts w:ascii="Palatino Linotype" w:eastAsia="Calibri" w:hAnsi="Palatino Linotype" w:cs="Tahoma"/>
          <w:bCs/>
          <w:sz w:val="24"/>
          <w:szCs w:val="24"/>
          <w:lang w:eastAsia="en-US"/>
        </w:rPr>
        <w:t xml:space="preserve">en atención a la solicitud de acceso a la información, el particular informó al solicitante que </w:t>
      </w:r>
      <w:r w:rsidR="004C001D" w:rsidRPr="006E241A">
        <w:rPr>
          <w:rFonts w:ascii="Palatino Linotype" w:eastAsia="Calibri" w:hAnsi="Palatino Linotype" w:cs="Tahoma"/>
          <w:bCs/>
          <w:sz w:val="24"/>
          <w:szCs w:val="24"/>
          <w:lang w:eastAsia="en-US"/>
        </w:rPr>
        <w:t>los instrumentos de evaluación son de uso exclusivo de la Subdirección de Escalafón y de entregarse se vulneraría la efectividad del procedimiento.</w:t>
      </w:r>
    </w:p>
    <w:p w14:paraId="0766ADE0" w14:textId="1303204E" w:rsidR="004C001D" w:rsidRPr="006E241A" w:rsidRDefault="004C001D" w:rsidP="00906410">
      <w:pPr>
        <w:spacing w:line="276" w:lineRule="auto"/>
        <w:ind w:right="-93"/>
        <w:jc w:val="both"/>
        <w:rPr>
          <w:rFonts w:ascii="Palatino Linotype" w:eastAsia="Calibri" w:hAnsi="Palatino Linotype" w:cs="Tahoma"/>
          <w:bCs/>
          <w:sz w:val="24"/>
          <w:szCs w:val="24"/>
          <w:lang w:eastAsia="en-US"/>
        </w:rPr>
      </w:pPr>
      <w:r w:rsidRPr="006E241A">
        <w:rPr>
          <w:rFonts w:ascii="Palatino Linotype" w:eastAsia="Calibri" w:hAnsi="Palatino Linotype" w:cs="Tahoma"/>
          <w:bCs/>
          <w:sz w:val="24"/>
          <w:szCs w:val="24"/>
          <w:lang w:eastAsia="en-US"/>
        </w:rPr>
        <w:lastRenderedPageBreak/>
        <w:t xml:space="preserve">De lo anterior se desprende que </w:t>
      </w:r>
      <w:r w:rsidR="00C61451">
        <w:rPr>
          <w:rFonts w:ascii="Palatino Linotype" w:eastAsia="Calibri" w:hAnsi="Palatino Linotype" w:cs="Tahoma"/>
          <w:bCs/>
          <w:sz w:val="24"/>
          <w:szCs w:val="24"/>
          <w:lang w:eastAsia="en-US"/>
        </w:rPr>
        <w:t xml:space="preserve">en un primer momento </w:t>
      </w:r>
      <w:r w:rsidRPr="006E241A">
        <w:rPr>
          <w:rFonts w:ascii="Palatino Linotype" w:eastAsia="Calibri" w:hAnsi="Palatino Linotype" w:cs="Tahoma"/>
          <w:bCs/>
          <w:sz w:val="24"/>
          <w:szCs w:val="24"/>
          <w:lang w:eastAsia="en-US"/>
        </w:rPr>
        <w:t xml:space="preserve">el </w:t>
      </w:r>
      <w:r w:rsidR="00E62E3B">
        <w:rPr>
          <w:rFonts w:ascii="Palatino Linotype" w:eastAsia="Calibri" w:hAnsi="Palatino Linotype" w:cs="Tahoma"/>
          <w:bCs/>
          <w:sz w:val="24"/>
          <w:szCs w:val="24"/>
          <w:lang w:eastAsia="en-US"/>
        </w:rPr>
        <w:t>Sujeto Obligado</w:t>
      </w:r>
      <w:r w:rsidRPr="006E241A">
        <w:rPr>
          <w:rFonts w:ascii="Palatino Linotype" w:eastAsia="Calibri" w:hAnsi="Palatino Linotype" w:cs="Tahoma"/>
          <w:bCs/>
          <w:sz w:val="24"/>
          <w:szCs w:val="24"/>
          <w:lang w:eastAsia="en-US"/>
        </w:rPr>
        <w:t>, tal como lo h</w:t>
      </w:r>
      <w:r w:rsidR="00C61451">
        <w:rPr>
          <w:rFonts w:ascii="Palatino Linotype" w:eastAsia="Calibri" w:hAnsi="Palatino Linotype" w:cs="Tahoma"/>
          <w:bCs/>
          <w:sz w:val="24"/>
          <w:szCs w:val="24"/>
          <w:lang w:eastAsia="en-US"/>
        </w:rPr>
        <w:t>izo</w:t>
      </w:r>
      <w:r w:rsidRPr="006E241A">
        <w:rPr>
          <w:rFonts w:ascii="Palatino Linotype" w:eastAsia="Calibri" w:hAnsi="Palatino Linotype" w:cs="Tahoma"/>
          <w:bCs/>
          <w:sz w:val="24"/>
          <w:szCs w:val="24"/>
          <w:lang w:eastAsia="en-US"/>
        </w:rPr>
        <w:t xml:space="preserve"> valer la ahora recurrente, se </w:t>
      </w:r>
      <w:r w:rsidR="00C61451" w:rsidRPr="006E241A">
        <w:rPr>
          <w:rFonts w:ascii="Palatino Linotype" w:eastAsia="Calibri" w:hAnsi="Palatino Linotype" w:cs="Tahoma"/>
          <w:bCs/>
          <w:sz w:val="24"/>
          <w:szCs w:val="24"/>
          <w:lang w:eastAsia="en-US"/>
        </w:rPr>
        <w:t>limit</w:t>
      </w:r>
      <w:r w:rsidR="00C61451">
        <w:rPr>
          <w:rFonts w:ascii="Palatino Linotype" w:eastAsia="Calibri" w:hAnsi="Palatino Linotype" w:cs="Tahoma"/>
          <w:bCs/>
          <w:sz w:val="24"/>
          <w:szCs w:val="24"/>
          <w:lang w:eastAsia="en-US"/>
        </w:rPr>
        <w:t>ó</w:t>
      </w:r>
      <w:r w:rsidR="00C61451" w:rsidRPr="006E241A">
        <w:rPr>
          <w:rFonts w:ascii="Palatino Linotype" w:eastAsia="Calibri" w:hAnsi="Palatino Linotype" w:cs="Tahoma"/>
          <w:bCs/>
          <w:sz w:val="24"/>
          <w:szCs w:val="24"/>
          <w:lang w:eastAsia="en-US"/>
        </w:rPr>
        <w:t xml:space="preserve"> </w:t>
      </w:r>
      <w:r w:rsidRPr="006E241A">
        <w:rPr>
          <w:rFonts w:ascii="Palatino Linotype" w:eastAsia="Calibri" w:hAnsi="Palatino Linotype" w:cs="Tahoma"/>
          <w:bCs/>
          <w:sz w:val="24"/>
          <w:szCs w:val="24"/>
          <w:lang w:eastAsia="en-US"/>
        </w:rPr>
        <w:t>a negar la información requerida, argumentando el uso exclusivo de las pruebas de evaluación, sin señalar una cusa de excepción leg</w:t>
      </w:r>
      <w:r w:rsidR="00C61451">
        <w:rPr>
          <w:rFonts w:ascii="Palatino Linotype" w:eastAsia="Calibri" w:hAnsi="Palatino Linotype" w:cs="Tahoma"/>
          <w:bCs/>
          <w:sz w:val="24"/>
          <w:szCs w:val="24"/>
          <w:lang w:eastAsia="en-US"/>
        </w:rPr>
        <w:t>í</w:t>
      </w:r>
      <w:r w:rsidRPr="006E241A">
        <w:rPr>
          <w:rFonts w:ascii="Palatino Linotype" w:eastAsia="Calibri" w:hAnsi="Palatino Linotype" w:cs="Tahoma"/>
          <w:bCs/>
          <w:sz w:val="24"/>
          <w:szCs w:val="24"/>
          <w:lang w:eastAsia="en-US"/>
        </w:rPr>
        <w:t>tima y estricta en términos de la Ley de Transparencia y Acceso a la Información Pública, que le otorgue el carácter de reservada o confidencial.</w:t>
      </w:r>
    </w:p>
    <w:p w14:paraId="1FA515E9" w14:textId="77777777" w:rsidR="004C001D" w:rsidRPr="006E241A" w:rsidRDefault="004C001D" w:rsidP="00906410">
      <w:pPr>
        <w:spacing w:line="276" w:lineRule="auto"/>
        <w:ind w:right="-93"/>
        <w:jc w:val="both"/>
        <w:rPr>
          <w:rFonts w:ascii="Palatino Linotype" w:eastAsia="Calibri" w:hAnsi="Palatino Linotype" w:cs="Tahoma"/>
          <w:bCs/>
          <w:sz w:val="24"/>
          <w:szCs w:val="24"/>
          <w:lang w:eastAsia="en-US"/>
        </w:rPr>
      </w:pPr>
    </w:p>
    <w:p w14:paraId="3C976B0A" w14:textId="762F00A7" w:rsidR="00E75E8B" w:rsidRPr="006E241A" w:rsidRDefault="004C001D" w:rsidP="00906410">
      <w:pPr>
        <w:spacing w:line="276" w:lineRule="auto"/>
        <w:ind w:right="-93"/>
        <w:jc w:val="both"/>
        <w:rPr>
          <w:rFonts w:ascii="Palatino Linotype" w:eastAsia="Calibri" w:hAnsi="Palatino Linotype" w:cs="Tahoma"/>
          <w:bCs/>
          <w:sz w:val="24"/>
          <w:szCs w:val="24"/>
          <w:lang w:eastAsia="en-US"/>
        </w:rPr>
      </w:pPr>
      <w:r w:rsidRPr="006E241A">
        <w:rPr>
          <w:rFonts w:ascii="Palatino Linotype" w:eastAsia="Calibri" w:hAnsi="Palatino Linotype" w:cs="Tahoma"/>
          <w:bCs/>
          <w:sz w:val="24"/>
          <w:szCs w:val="24"/>
          <w:lang w:eastAsia="en-US"/>
        </w:rPr>
        <w:t xml:space="preserve">Sin embargo, </w:t>
      </w:r>
      <w:r w:rsidR="00C25C49" w:rsidRPr="006E241A">
        <w:rPr>
          <w:rFonts w:ascii="Palatino Linotype" w:eastAsia="Calibri" w:hAnsi="Palatino Linotype" w:cs="Tahoma"/>
          <w:bCs/>
          <w:sz w:val="24"/>
          <w:szCs w:val="24"/>
          <w:lang w:eastAsia="en-US"/>
        </w:rPr>
        <w:t xml:space="preserve">mediante su Informe Justificado </w:t>
      </w:r>
      <w:r w:rsidR="00C97307" w:rsidRPr="006E241A">
        <w:rPr>
          <w:rFonts w:ascii="Palatino Linotype" w:eastAsia="Calibri" w:hAnsi="Palatino Linotype" w:cs="Tahoma"/>
          <w:bCs/>
          <w:sz w:val="24"/>
          <w:szCs w:val="24"/>
          <w:lang w:eastAsia="en-US"/>
        </w:rPr>
        <w:t xml:space="preserve">el </w:t>
      </w:r>
      <w:r w:rsidR="00E62E3B">
        <w:rPr>
          <w:rFonts w:ascii="Palatino Linotype" w:eastAsia="Calibri" w:hAnsi="Palatino Linotype" w:cs="Tahoma"/>
          <w:bCs/>
          <w:sz w:val="24"/>
          <w:szCs w:val="24"/>
          <w:lang w:eastAsia="en-US"/>
        </w:rPr>
        <w:t>Sujeto Obligado</w:t>
      </w:r>
      <w:r w:rsidR="00C97307" w:rsidRPr="006E241A">
        <w:rPr>
          <w:rFonts w:ascii="Palatino Linotype" w:eastAsia="Calibri" w:hAnsi="Palatino Linotype" w:cs="Tahoma"/>
          <w:bCs/>
          <w:sz w:val="24"/>
          <w:szCs w:val="24"/>
          <w:lang w:eastAsia="en-US"/>
        </w:rPr>
        <w:t xml:space="preserve"> reservó por 5 años la información solicitada, con fundamento en el artículo 140</w:t>
      </w:r>
      <w:r w:rsidR="00FF01D7">
        <w:rPr>
          <w:rFonts w:ascii="Palatino Linotype" w:eastAsia="Calibri" w:hAnsi="Palatino Linotype" w:cs="Tahoma"/>
          <w:bCs/>
          <w:sz w:val="24"/>
          <w:szCs w:val="24"/>
          <w:lang w:eastAsia="en-US"/>
        </w:rPr>
        <w:t>,</w:t>
      </w:r>
      <w:r w:rsidR="00C97307" w:rsidRPr="006E241A">
        <w:rPr>
          <w:rFonts w:ascii="Palatino Linotype" w:eastAsia="Calibri" w:hAnsi="Palatino Linotype" w:cs="Tahoma"/>
          <w:bCs/>
          <w:sz w:val="24"/>
          <w:szCs w:val="24"/>
          <w:lang w:eastAsia="en-US"/>
        </w:rPr>
        <w:t xml:space="preserve"> fracción VII</w:t>
      </w:r>
      <w:r w:rsidR="00FF01D7">
        <w:rPr>
          <w:rFonts w:ascii="Palatino Linotype" w:eastAsia="Calibri" w:hAnsi="Palatino Linotype" w:cs="Tahoma"/>
          <w:bCs/>
          <w:sz w:val="24"/>
          <w:szCs w:val="24"/>
          <w:lang w:eastAsia="en-US"/>
        </w:rPr>
        <w:t>,</w:t>
      </w:r>
      <w:r w:rsidR="00C97307" w:rsidRPr="006E241A">
        <w:rPr>
          <w:rFonts w:ascii="Palatino Linotype" w:eastAsia="Calibri" w:hAnsi="Palatino Linotype" w:cs="Tahoma"/>
          <w:bCs/>
          <w:sz w:val="24"/>
          <w:szCs w:val="24"/>
          <w:lang w:eastAsia="en-US"/>
        </w:rPr>
        <w:t xml:space="preserve"> de la Ley de Transparencia y Acceso a la Información Pública del Estado de México y Municipios</w:t>
      </w:r>
      <w:r w:rsidR="00FF01D7">
        <w:rPr>
          <w:rFonts w:ascii="Palatino Linotype" w:eastAsia="Calibri" w:hAnsi="Palatino Linotype" w:cs="Tahoma"/>
          <w:bCs/>
          <w:sz w:val="24"/>
          <w:szCs w:val="24"/>
          <w:lang w:eastAsia="en-US"/>
        </w:rPr>
        <w:t xml:space="preserve">; </w:t>
      </w:r>
      <w:r w:rsidR="00FF01D7" w:rsidRPr="006E241A">
        <w:rPr>
          <w:rFonts w:ascii="Palatino Linotype" w:eastAsia="Calibri" w:hAnsi="Palatino Linotype" w:cs="Tahoma"/>
          <w:bCs/>
          <w:sz w:val="24"/>
          <w:szCs w:val="24"/>
          <w:lang w:eastAsia="en-US"/>
        </w:rPr>
        <w:t xml:space="preserve"> </w:t>
      </w:r>
      <w:r w:rsidR="00FF01D7">
        <w:rPr>
          <w:rFonts w:ascii="Palatino Linotype" w:eastAsia="Calibri" w:hAnsi="Palatino Linotype" w:cs="Tahoma"/>
          <w:bCs/>
          <w:sz w:val="24"/>
          <w:szCs w:val="24"/>
          <w:lang w:eastAsia="en-US"/>
        </w:rPr>
        <w:t>d</w:t>
      </w:r>
      <w:r w:rsidR="00FF01D7" w:rsidRPr="006E241A">
        <w:rPr>
          <w:rFonts w:ascii="Palatino Linotype" w:eastAsia="Calibri" w:hAnsi="Palatino Linotype" w:cs="Tahoma"/>
          <w:bCs/>
          <w:sz w:val="24"/>
          <w:szCs w:val="24"/>
          <w:lang w:eastAsia="en-US"/>
        </w:rPr>
        <w:t xml:space="preserve">e </w:t>
      </w:r>
      <w:r w:rsidR="00C97307" w:rsidRPr="006E241A">
        <w:rPr>
          <w:rFonts w:ascii="Palatino Linotype" w:eastAsia="Calibri" w:hAnsi="Palatino Linotype" w:cs="Tahoma"/>
          <w:bCs/>
          <w:sz w:val="24"/>
          <w:szCs w:val="24"/>
          <w:lang w:eastAsia="en-US"/>
        </w:rPr>
        <w:t xml:space="preserve">este modo, </w:t>
      </w:r>
      <w:r w:rsidR="00C25C49" w:rsidRPr="006E241A">
        <w:rPr>
          <w:rFonts w:ascii="Palatino Linotype" w:eastAsia="Calibri" w:hAnsi="Palatino Linotype" w:cs="Tahoma"/>
          <w:bCs/>
          <w:sz w:val="24"/>
          <w:szCs w:val="24"/>
          <w:lang w:eastAsia="en-US"/>
        </w:rPr>
        <w:t xml:space="preserve">si bien en su respuesta inicial, el </w:t>
      </w:r>
      <w:r w:rsidR="00E62E3B">
        <w:rPr>
          <w:rFonts w:ascii="Palatino Linotype" w:eastAsia="Calibri" w:hAnsi="Palatino Linotype" w:cs="Tahoma"/>
          <w:bCs/>
          <w:sz w:val="24"/>
          <w:szCs w:val="24"/>
          <w:lang w:eastAsia="en-US"/>
        </w:rPr>
        <w:t>Sujeto Obligado</w:t>
      </w:r>
      <w:r w:rsidR="00C25C49" w:rsidRPr="006E241A">
        <w:rPr>
          <w:rFonts w:ascii="Palatino Linotype" w:eastAsia="Calibri" w:hAnsi="Palatino Linotype" w:cs="Tahoma"/>
          <w:bCs/>
          <w:sz w:val="24"/>
          <w:szCs w:val="24"/>
          <w:lang w:eastAsia="en-US"/>
        </w:rPr>
        <w:t xml:space="preserve"> se limitó a negar la información solicitada, en un acto posterior, subsanó su omisión señalando la causal de clasificación que otorga a las pruebas de evaluación el carácter de reservadas</w:t>
      </w:r>
      <w:r w:rsidR="002C65C0" w:rsidRPr="006E241A">
        <w:rPr>
          <w:rFonts w:ascii="Palatino Linotype" w:eastAsia="Calibri" w:hAnsi="Palatino Linotype" w:cs="Tahoma"/>
          <w:bCs/>
          <w:sz w:val="24"/>
          <w:szCs w:val="24"/>
          <w:lang w:eastAsia="en-US"/>
        </w:rPr>
        <w:t xml:space="preserve"> e hizo de conocimiento del solicitante el acta </w:t>
      </w:r>
      <w:r w:rsidR="0014199D" w:rsidRPr="006E241A">
        <w:rPr>
          <w:rFonts w:ascii="Palatino Linotype" w:eastAsia="Calibri" w:hAnsi="Palatino Linotype" w:cs="Tahoma"/>
          <w:bCs/>
          <w:sz w:val="24"/>
          <w:szCs w:val="24"/>
          <w:lang w:eastAsia="en-US"/>
        </w:rPr>
        <w:t>CT-2018-0113, mediante la cual el Comité de Transparencia confirmó la clasificación de la información</w:t>
      </w:r>
      <w:r w:rsidR="00C25C49" w:rsidRPr="006E241A">
        <w:rPr>
          <w:rFonts w:ascii="Palatino Linotype" w:eastAsia="Calibri" w:hAnsi="Palatino Linotype" w:cs="Tahoma"/>
          <w:bCs/>
          <w:sz w:val="24"/>
          <w:szCs w:val="24"/>
          <w:lang w:eastAsia="en-US"/>
        </w:rPr>
        <w:t>.</w:t>
      </w:r>
    </w:p>
    <w:p w14:paraId="40CF5E41" w14:textId="77777777" w:rsidR="00E75E8B" w:rsidRPr="006E241A" w:rsidRDefault="00E75E8B" w:rsidP="00906410">
      <w:pPr>
        <w:spacing w:line="276" w:lineRule="auto"/>
        <w:ind w:right="-93"/>
        <w:jc w:val="both"/>
        <w:rPr>
          <w:rFonts w:ascii="Palatino Linotype" w:eastAsia="Calibri" w:hAnsi="Palatino Linotype" w:cs="Tahoma"/>
          <w:bCs/>
          <w:sz w:val="24"/>
          <w:szCs w:val="24"/>
          <w:lang w:eastAsia="en-US"/>
        </w:rPr>
      </w:pPr>
    </w:p>
    <w:p w14:paraId="7075C9A5" w14:textId="0438F6D7" w:rsidR="00C25C49" w:rsidRPr="006E241A" w:rsidRDefault="00C25C49" w:rsidP="00906410">
      <w:pPr>
        <w:spacing w:line="276" w:lineRule="auto"/>
        <w:ind w:right="-93"/>
        <w:jc w:val="both"/>
        <w:rPr>
          <w:rFonts w:ascii="Palatino Linotype" w:eastAsia="Calibri" w:hAnsi="Palatino Linotype" w:cs="Tahoma"/>
          <w:bCs/>
          <w:sz w:val="24"/>
          <w:szCs w:val="24"/>
          <w:lang w:eastAsia="en-US"/>
        </w:rPr>
      </w:pPr>
      <w:r w:rsidRPr="006E241A">
        <w:rPr>
          <w:rFonts w:ascii="Palatino Linotype" w:eastAsia="Calibri" w:hAnsi="Palatino Linotype" w:cs="Tahoma"/>
          <w:bCs/>
          <w:sz w:val="24"/>
          <w:szCs w:val="24"/>
          <w:lang w:eastAsia="en-US"/>
        </w:rPr>
        <w:t>En ese sentido, este Instituto se encuentra constreñido a verificar si resulta procedente la clasificación de la información requerida por el solicitante</w:t>
      </w:r>
      <w:r w:rsidR="007365E6" w:rsidRPr="006E241A">
        <w:rPr>
          <w:rFonts w:ascii="Palatino Linotype" w:eastAsia="Calibri" w:hAnsi="Palatino Linotype" w:cs="Tahoma"/>
          <w:bCs/>
          <w:sz w:val="24"/>
          <w:szCs w:val="24"/>
          <w:lang w:eastAsia="en-US"/>
        </w:rPr>
        <w:t>, en términos del artículo 140</w:t>
      </w:r>
      <w:r w:rsidR="00E75E8B" w:rsidRPr="006E241A">
        <w:rPr>
          <w:rFonts w:ascii="Palatino Linotype" w:eastAsia="Calibri" w:hAnsi="Palatino Linotype" w:cs="Tahoma"/>
          <w:bCs/>
          <w:sz w:val="24"/>
          <w:szCs w:val="24"/>
          <w:lang w:eastAsia="en-US"/>
        </w:rPr>
        <w:t>,</w:t>
      </w:r>
      <w:r w:rsidR="007365E6" w:rsidRPr="006E241A">
        <w:rPr>
          <w:rFonts w:ascii="Palatino Linotype" w:eastAsia="Calibri" w:hAnsi="Palatino Linotype" w:cs="Tahoma"/>
          <w:bCs/>
          <w:sz w:val="24"/>
          <w:szCs w:val="24"/>
          <w:lang w:eastAsia="en-US"/>
        </w:rPr>
        <w:t xml:space="preserve"> fracción VII</w:t>
      </w:r>
      <w:r w:rsidR="00FF01D7">
        <w:rPr>
          <w:rFonts w:ascii="Palatino Linotype" w:eastAsia="Calibri" w:hAnsi="Palatino Linotype" w:cs="Tahoma"/>
          <w:bCs/>
          <w:sz w:val="24"/>
          <w:szCs w:val="24"/>
          <w:lang w:eastAsia="en-US"/>
        </w:rPr>
        <w:t>,</w:t>
      </w:r>
      <w:r w:rsidR="007365E6" w:rsidRPr="006E241A">
        <w:rPr>
          <w:rFonts w:ascii="Palatino Linotype" w:eastAsia="Calibri" w:hAnsi="Palatino Linotype" w:cs="Tahoma"/>
          <w:bCs/>
          <w:sz w:val="24"/>
          <w:szCs w:val="24"/>
          <w:lang w:eastAsia="en-US"/>
        </w:rPr>
        <w:t xml:space="preserve"> de la Ley de Transparencia y Acceso a la Información Pública del Estado de México y Municipios</w:t>
      </w:r>
      <w:r w:rsidR="00E75E8B" w:rsidRPr="006E241A">
        <w:rPr>
          <w:rFonts w:ascii="Palatino Linotype" w:eastAsia="Calibri" w:hAnsi="Palatino Linotype" w:cs="Tahoma"/>
          <w:bCs/>
          <w:sz w:val="24"/>
          <w:szCs w:val="24"/>
          <w:lang w:eastAsia="en-US"/>
        </w:rPr>
        <w:t xml:space="preserve"> y</w:t>
      </w:r>
      <w:r w:rsidR="00FF01D7">
        <w:rPr>
          <w:rFonts w:ascii="Palatino Linotype" w:eastAsia="Calibri" w:hAnsi="Palatino Linotype" w:cs="Tahoma"/>
          <w:bCs/>
          <w:sz w:val="24"/>
          <w:szCs w:val="24"/>
          <w:lang w:eastAsia="en-US"/>
        </w:rPr>
        <w:t>,</w:t>
      </w:r>
      <w:r w:rsidR="00E75E8B" w:rsidRPr="006E241A">
        <w:rPr>
          <w:rFonts w:ascii="Palatino Linotype" w:eastAsia="Calibri" w:hAnsi="Palatino Linotype" w:cs="Tahoma"/>
          <w:bCs/>
          <w:sz w:val="24"/>
          <w:szCs w:val="24"/>
          <w:lang w:eastAsia="en-US"/>
        </w:rPr>
        <w:t xml:space="preserve"> con ello</w:t>
      </w:r>
      <w:r w:rsidR="00FF01D7">
        <w:rPr>
          <w:rFonts w:ascii="Palatino Linotype" w:eastAsia="Calibri" w:hAnsi="Palatino Linotype" w:cs="Tahoma"/>
          <w:bCs/>
          <w:sz w:val="24"/>
          <w:szCs w:val="24"/>
          <w:lang w:eastAsia="en-US"/>
        </w:rPr>
        <w:t>,</w:t>
      </w:r>
      <w:r w:rsidR="00E75E8B" w:rsidRPr="006E241A">
        <w:rPr>
          <w:rFonts w:ascii="Palatino Linotype" w:eastAsia="Calibri" w:hAnsi="Palatino Linotype" w:cs="Tahoma"/>
          <w:bCs/>
          <w:sz w:val="24"/>
          <w:szCs w:val="24"/>
          <w:lang w:eastAsia="en-US"/>
        </w:rPr>
        <w:t xml:space="preserve"> queda sin materia el recurso de revisión que nos ocupa.</w:t>
      </w:r>
    </w:p>
    <w:p w14:paraId="482C183E" w14:textId="77777777" w:rsidR="00C25C49" w:rsidRPr="006E241A" w:rsidRDefault="00C25C49" w:rsidP="00906410">
      <w:pPr>
        <w:spacing w:line="276" w:lineRule="auto"/>
        <w:ind w:right="-93"/>
        <w:jc w:val="both"/>
        <w:rPr>
          <w:rFonts w:ascii="Palatino Linotype" w:eastAsia="Calibri" w:hAnsi="Palatino Linotype" w:cs="Tahoma"/>
          <w:bCs/>
          <w:sz w:val="24"/>
          <w:szCs w:val="24"/>
          <w:lang w:eastAsia="en-US"/>
        </w:rPr>
      </w:pPr>
    </w:p>
    <w:p w14:paraId="2F3C75DA" w14:textId="15E285E1" w:rsidR="005439B6" w:rsidRPr="006E241A" w:rsidRDefault="007365E6" w:rsidP="00906410">
      <w:pPr>
        <w:tabs>
          <w:tab w:val="left" w:pos="4962"/>
        </w:tabs>
        <w:spacing w:line="276" w:lineRule="auto"/>
        <w:jc w:val="both"/>
        <w:rPr>
          <w:rFonts w:ascii="Palatino Linotype" w:hAnsi="Palatino Linotype" w:cs="Tahoma"/>
          <w:i/>
          <w:sz w:val="24"/>
          <w:szCs w:val="24"/>
        </w:rPr>
      </w:pPr>
      <w:r w:rsidRPr="006E241A">
        <w:rPr>
          <w:rFonts w:ascii="Palatino Linotype" w:hAnsi="Palatino Linotype" w:cs="Tahoma"/>
          <w:sz w:val="24"/>
          <w:szCs w:val="24"/>
        </w:rPr>
        <w:t>Bajo esa lógica</w:t>
      </w:r>
      <w:r w:rsidR="005439B6" w:rsidRPr="006E241A">
        <w:rPr>
          <w:rFonts w:ascii="Palatino Linotype" w:hAnsi="Palatino Linotype" w:cs="Tahoma"/>
          <w:sz w:val="24"/>
          <w:szCs w:val="24"/>
        </w:rPr>
        <w:t xml:space="preserve">, el artículo 130 de la Ley </w:t>
      </w:r>
      <w:r w:rsidR="00FF01D7">
        <w:rPr>
          <w:rFonts w:ascii="Palatino Linotype" w:hAnsi="Palatino Linotype" w:cs="Tahoma"/>
          <w:sz w:val="24"/>
          <w:szCs w:val="24"/>
        </w:rPr>
        <w:t>de la materia,</w:t>
      </w:r>
      <w:r w:rsidR="005439B6" w:rsidRPr="006E241A">
        <w:rPr>
          <w:rFonts w:ascii="Palatino Linotype" w:hAnsi="Palatino Linotype" w:cs="Tahoma"/>
          <w:sz w:val="24"/>
          <w:szCs w:val="24"/>
        </w:rPr>
        <w:t xml:space="preserve"> establece que los </w:t>
      </w:r>
      <w:r w:rsidR="00FF01D7">
        <w:rPr>
          <w:rFonts w:ascii="Palatino Linotype" w:hAnsi="Palatino Linotype" w:cs="Tahoma"/>
          <w:sz w:val="24"/>
          <w:szCs w:val="24"/>
        </w:rPr>
        <w:t>s</w:t>
      </w:r>
      <w:r w:rsidR="005439B6" w:rsidRPr="006E241A">
        <w:rPr>
          <w:rFonts w:ascii="Palatino Linotype" w:hAnsi="Palatino Linotype" w:cs="Tahoma"/>
          <w:sz w:val="24"/>
          <w:szCs w:val="24"/>
        </w:rPr>
        <w:t xml:space="preserve">ujetos </w:t>
      </w:r>
      <w:r w:rsidR="00FF01D7">
        <w:rPr>
          <w:rFonts w:ascii="Palatino Linotype" w:hAnsi="Palatino Linotype" w:cs="Tahoma"/>
          <w:sz w:val="24"/>
          <w:szCs w:val="24"/>
        </w:rPr>
        <w:t>o</w:t>
      </w:r>
      <w:r w:rsidR="00FF01D7" w:rsidRPr="006E241A">
        <w:rPr>
          <w:rFonts w:ascii="Palatino Linotype" w:hAnsi="Palatino Linotype" w:cs="Tahoma"/>
          <w:sz w:val="24"/>
          <w:szCs w:val="24"/>
        </w:rPr>
        <w:t xml:space="preserve">bligados </w:t>
      </w:r>
      <w:r w:rsidR="005439B6" w:rsidRPr="006E241A">
        <w:rPr>
          <w:rFonts w:ascii="Palatino Linotype" w:hAnsi="Palatino Linotype" w:cs="Tahoma"/>
          <w:sz w:val="24"/>
          <w:szCs w:val="24"/>
        </w:rPr>
        <w:t xml:space="preserve">podrán aplicar las excepciones al derecho de acceso de información cuando acrediten la procedencia para los casos de reserva o confidencialidad previstas en la </w:t>
      </w:r>
      <w:r w:rsidR="00FF01D7">
        <w:rPr>
          <w:rFonts w:ascii="Palatino Linotype" w:hAnsi="Palatino Linotype" w:cs="Tahoma"/>
          <w:sz w:val="24"/>
          <w:szCs w:val="24"/>
        </w:rPr>
        <w:t xml:space="preserve">propia </w:t>
      </w:r>
      <w:r w:rsidR="005439B6" w:rsidRPr="006E241A">
        <w:rPr>
          <w:rFonts w:ascii="Palatino Linotype" w:hAnsi="Palatino Linotype" w:cs="Tahoma"/>
          <w:sz w:val="24"/>
          <w:szCs w:val="24"/>
        </w:rPr>
        <w:t xml:space="preserve">Ley. Por consiguiente, al clasificar la información como reservada será necesario que se </w:t>
      </w:r>
      <w:r w:rsidR="005439B6" w:rsidRPr="006E241A">
        <w:rPr>
          <w:rFonts w:ascii="Palatino Linotype" w:hAnsi="Palatino Linotype" w:cs="Tahoma"/>
          <w:b/>
          <w:sz w:val="24"/>
          <w:szCs w:val="24"/>
          <w:u w:val="single"/>
        </w:rPr>
        <w:t>funde y motive la clasificación de la información  a través de una prueba de daño, de conformidad con los artículos 131 y 141 del mismo ordenamiento legal</w:t>
      </w:r>
      <w:r w:rsidR="005439B6" w:rsidRPr="006E241A">
        <w:rPr>
          <w:rFonts w:ascii="Palatino Linotype" w:hAnsi="Palatino Linotype" w:cs="Tahoma"/>
          <w:sz w:val="24"/>
          <w:szCs w:val="24"/>
        </w:rPr>
        <w:t>.</w:t>
      </w:r>
    </w:p>
    <w:p w14:paraId="3D8200DE" w14:textId="77777777" w:rsidR="005439B6" w:rsidRPr="006E241A" w:rsidRDefault="005439B6" w:rsidP="00906410">
      <w:pPr>
        <w:spacing w:line="276" w:lineRule="auto"/>
        <w:ind w:right="-93"/>
        <w:jc w:val="both"/>
        <w:rPr>
          <w:rFonts w:ascii="Palatino Linotype" w:eastAsia="Calibri" w:hAnsi="Palatino Linotype" w:cs="Tahoma"/>
          <w:b/>
          <w:bCs/>
          <w:sz w:val="24"/>
          <w:szCs w:val="24"/>
          <w:lang w:eastAsia="en-US"/>
        </w:rPr>
      </w:pPr>
    </w:p>
    <w:p w14:paraId="3F680D5E" w14:textId="2E36C150" w:rsidR="005439B6" w:rsidRPr="006E241A" w:rsidRDefault="005439B6" w:rsidP="00906410">
      <w:pPr>
        <w:spacing w:line="276" w:lineRule="auto"/>
        <w:ind w:right="-93"/>
        <w:jc w:val="both"/>
        <w:rPr>
          <w:rFonts w:ascii="Palatino Linotype" w:eastAsia="Calibri" w:hAnsi="Palatino Linotype" w:cs="Tahoma"/>
          <w:bCs/>
          <w:sz w:val="24"/>
          <w:szCs w:val="24"/>
          <w:lang w:eastAsia="en-US"/>
        </w:rPr>
      </w:pPr>
      <w:r w:rsidRPr="006E241A">
        <w:rPr>
          <w:rFonts w:ascii="Palatino Linotype" w:eastAsia="Calibri" w:hAnsi="Palatino Linotype" w:cs="Tahoma"/>
          <w:bCs/>
          <w:sz w:val="24"/>
          <w:szCs w:val="24"/>
          <w:lang w:eastAsia="en-US"/>
        </w:rPr>
        <w:t xml:space="preserve">Ahora bien, en atención a lo indicado por el artículo 129 de la Ley de Transparencia y Acceso a la Información Pública del Estado de México y Municipios, en la aplicación </w:t>
      </w:r>
      <w:r w:rsidRPr="006E241A">
        <w:rPr>
          <w:rFonts w:ascii="Palatino Linotype" w:eastAsia="Calibri" w:hAnsi="Palatino Linotype" w:cs="Tahoma"/>
          <w:bCs/>
          <w:sz w:val="24"/>
          <w:szCs w:val="24"/>
          <w:lang w:eastAsia="en-US"/>
        </w:rPr>
        <w:lastRenderedPageBreak/>
        <w:t xml:space="preserve">de la prueba de daño, el </w:t>
      </w:r>
      <w:r w:rsidR="00E62E3B">
        <w:rPr>
          <w:rFonts w:ascii="Palatino Linotype" w:eastAsia="Calibri" w:hAnsi="Palatino Linotype" w:cs="Tahoma"/>
          <w:bCs/>
          <w:sz w:val="24"/>
          <w:szCs w:val="24"/>
          <w:lang w:eastAsia="en-US"/>
        </w:rPr>
        <w:t>Sujeto Obligado</w:t>
      </w:r>
      <w:r w:rsidRPr="006E241A">
        <w:rPr>
          <w:rFonts w:ascii="Palatino Linotype" w:eastAsia="Calibri" w:hAnsi="Palatino Linotype" w:cs="Tahoma"/>
          <w:bCs/>
          <w:sz w:val="24"/>
          <w:szCs w:val="24"/>
          <w:lang w:eastAsia="en-US"/>
        </w:rPr>
        <w:t xml:space="preserve"> deberá precisar las razones objetivas por las que la apertura de la información generaría una afectación, justificando que:</w:t>
      </w:r>
    </w:p>
    <w:p w14:paraId="15D5A0AC" w14:textId="77777777" w:rsidR="005439B6" w:rsidRPr="006E241A" w:rsidRDefault="005439B6" w:rsidP="00906410">
      <w:pPr>
        <w:spacing w:line="276" w:lineRule="auto"/>
        <w:ind w:right="-93"/>
        <w:jc w:val="both"/>
        <w:rPr>
          <w:rFonts w:ascii="Palatino Linotype" w:eastAsia="Calibri" w:hAnsi="Palatino Linotype" w:cs="Tahoma"/>
          <w:b/>
          <w:bCs/>
          <w:sz w:val="24"/>
          <w:szCs w:val="24"/>
          <w:lang w:eastAsia="en-US"/>
        </w:rPr>
      </w:pPr>
    </w:p>
    <w:p w14:paraId="3F81B1F0" w14:textId="77777777" w:rsidR="005439B6" w:rsidRPr="006E241A" w:rsidRDefault="005439B6" w:rsidP="00906410">
      <w:pPr>
        <w:pStyle w:val="Prrafodelista"/>
        <w:numPr>
          <w:ilvl w:val="0"/>
          <w:numId w:val="21"/>
        </w:numPr>
        <w:spacing w:line="276" w:lineRule="auto"/>
        <w:ind w:right="-93"/>
        <w:jc w:val="both"/>
        <w:rPr>
          <w:rFonts w:ascii="Palatino Linotype" w:eastAsia="Calibri" w:hAnsi="Palatino Linotype" w:cs="Tahoma"/>
          <w:bCs/>
          <w:sz w:val="24"/>
          <w:lang w:eastAsia="en-US"/>
        </w:rPr>
      </w:pPr>
      <w:r w:rsidRPr="006E241A">
        <w:rPr>
          <w:rFonts w:ascii="Palatino Linotype" w:eastAsia="Calibri" w:hAnsi="Palatino Linotype" w:cs="Tahoma"/>
          <w:bCs/>
          <w:sz w:val="24"/>
          <w:lang w:eastAsia="en-US"/>
        </w:rPr>
        <w:t>La divulgación de la información representa un riesgo real, demostrable e identificable del perjuicio significativo al interés público o a la seguridad pública;</w:t>
      </w:r>
    </w:p>
    <w:p w14:paraId="6D941AA7" w14:textId="77777777" w:rsidR="005439B6" w:rsidRPr="006E241A" w:rsidRDefault="005439B6" w:rsidP="00906410">
      <w:pPr>
        <w:pStyle w:val="Prrafodelista"/>
        <w:numPr>
          <w:ilvl w:val="0"/>
          <w:numId w:val="21"/>
        </w:numPr>
        <w:spacing w:line="276" w:lineRule="auto"/>
        <w:ind w:right="-93"/>
        <w:jc w:val="both"/>
        <w:rPr>
          <w:rFonts w:ascii="Palatino Linotype" w:eastAsia="Calibri" w:hAnsi="Palatino Linotype" w:cs="Tahoma"/>
          <w:bCs/>
          <w:sz w:val="24"/>
          <w:lang w:eastAsia="en-US"/>
        </w:rPr>
      </w:pPr>
      <w:r w:rsidRPr="006E241A">
        <w:rPr>
          <w:rFonts w:ascii="Palatino Linotype" w:eastAsia="Calibri" w:hAnsi="Palatino Linotype" w:cs="Tahoma"/>
          <w:bCs/>
          <w:sz w:val="24"/>
          <w:lang w:eastAsia="en-US"/>
        </w:rPr>
        <w:t>El riesgo de perjuicio que supondría la divulgación supera el interés público general de que se difunda; y</w:t>
      </w:r>
    </w:p>
    <w:p w14:paraId="65CF6A08" w14:textId="77777777" w:rsidR="005439B6" w:rsidRPr="006E241A" w:rsidRDefault="005439B6" w:rsidP="00906410">
      <w:pPr>
        <w:pStyle w:val="Prrafodelista"/>
        <w:numPr>
          <w:ilvl w:val="0"/>
          <w:numId w:val="21"/>
        </w:numPr>
        <w:spacing w:line="276" w:lineRule="auto"/>
        <w:ind w:right="-93"/>
        <w:jc w:val="both"/>
        <w:rPr>
          <w:rFonts w:ascii="Palatino Linotype" w:eastAsia="Calibri" w:hAnsi="Palatino Linotype" w:cs="Tahoma"/>
          <w:bCs/>
          <w:sz w:val="24"/>
          <w:lang w:eastAsia="en-US"/>
        </w:rPr>
      </w:pPr>
      <w:r w:rsidRPr="006E241A">
        <w:rPr>
          <w:rFonts w:ascii="Palatino Linotype" w:eastAsia="Calibri" w:hAnsi="Palatino Linotype" w:cs="Tahoma"/>
          <w:bCs/>
          <w:sz w:val="24"/>
          <w:lang w:eastAsia="en-US"/>
        </w:rPr>
        <w:t>La limitación se adecua al principio de proporcionalidad y representa el medio menos restrictivo disponible representa el medio menos restrictivo disponible para evitar el perjuicio.</w:t>
      </w:r>
    </w:p>
    <w:p w14:paraId="016F8B37" w14:textId="77777777" w:rsidR="005439B6" w:rsidRPr="006E241A" w:rsidRDefault="005439B6" w:rsidP="00906410">
      <w:pPr>
        <w:spacing w:line="276" w:lineRule="auto"/>
        <w:ind w:right="-93"/>
        <w:jc w:val="both"/>
        <w:rPr>
          <w:rFonts w:ascii="Palatino Linotype" w:eastAsia="Calibri" w:hAnsi="Palatino Linotype" w:cs="Tahoma"/>
          <w:bCs/>
          <w:sz w:val="24"/>
          <w:szCs w:val="24"/>
          <w:lang w:eastAsia="en-US"/>
        </w:rPr>
      </w:pPr>
    </w:p>
    <w:p w14:paraId="4AEC5D61" w14:textId="1BA0FA4B" w:rsidR="00A051E4" w:rsidRPr="006E241A" w:rsidRDefault="005439B6" w:rsidP="00906410">
      <w:pPr>
        <w:spacing w:line="276" w:lineRule="auto"/>
        <w:ind w:right="-93"/>
        <w:jc w:val="both"/>
        <w:rPr>
          <w:rFonts w:ascii="Palatino Linotype" w:eastAsia="Calibri" w:hAnsi="Palatino Linotype" w:cs="Tahoma"/>
          <w:bCs/>
          <w:sz w:val="24"/>
          <w:szCs w:val="24"/>
          <w:lang w:eastAsia="en-US"/>
        </w:rPr>
      </w:pPr>
      <w:r w:rsidRPr="006E241A">
        <w:rPr>
          <w:rFonts w:ascii="Palatino Linotype" w:eastAsia="Calibri" w:hAnsi="Palatino Linotype" w:cs="Tahoma"/>
          <w:bCs/>
          <w:sz w:val="24"/>
          <w:szCs w:val="24"/>
          <w:lang w:eastAsia="en-US"/>
        </w:rPr>
        <w:t>Por su parte</w:t>
      </w:r>
      <w:r w:rsidR="00F53751" w:rsidRPr="006E241A">
        <w:rPr>
          <w:rFonts w:ascii="Palatino Linotype" w:eastAsia="Calibri" w:hAnsi="Palatino Linotype" w:cs="Tahoma"/>
          <w:bCs/>
          <w:sz w:val="24"/>
          <w:szCs w:val="24"/>
          <w:lang w:eastAsia="en-US"/>
        </w:rPr>
        <w:t>, e</w:t>
      </w:r>
      <w:r w:rsidR="00A051E4" w:rsidRPr="006E241A">
        <w:rPr>
          <w:rFonts w:ascii="Palatino Linotype" w:eastAsia="Calibri" w:hAnsi="Palatino Linotype" w:cs="Tahoma"/>
          <w:bCs/>
          <w:sz w:val="24"/>
          <w:szCs w:val="24"/>
          <w:lang w:eastAsia="en-US"/>
        </w:rPr>
        <w:t>l artículo 140</w:t>
      </w:r>
      <w:r w:rsidRPr="006E241A">
        <w:rPr>
          <w:rFonts w:ascii="Palatino Linotype" w:eastAsia="Calibri" w:hAnsi="Palatino Linotype" w:cs="Tahoma"/>
          <w:bCs/>
          <w:sz w:val="24"/>
          <w:szCs w:val="24"/>
          <w:lang w:eastAsia="en-US"/>
        </w:rPr>
        <w:t xml:space="preserve">, fracción VII, </w:t>
      </w:r>
      <w:r w:rsidR="00A051E4" w:rsidRPr="006E241A">
        <w:rPr>
          <w:rFonts w:ascii="Palatino Linotype" w:eastAsia="Calibri" w:hAnsi="Palatino Linotype" w:cs="Tahoma"/>
          <w:bCs/>
          <w:sz w:val="24"/>
          <w:szCs w:val="24"/>
          <w:lang w:eastAsia="en-US"/>
        </w:rPr>
        <w:t xml:space="preserve">de la Ley de Transparencia y Acceso a la Información Pública del Estado de México y Municipios, </w:t>
      </w:r>
      <w:r w:rsidR="004230EF" w:rsidRPr="006E241A">
        <w:rPr>
          <w:rFonts w:ascii="Palatino Linotype" w:eastAsia="Calibri" w:hAnsi="Palatino Linotype" w:cs="Tahoma"/>
          <w:bCs/>
          <w:sz w:val="24"/>
          <w:szCs w:val="24"/>
          <w:lang w:eastAsia="en-US"/>
        </w:rPr>
        <w:t>establece lo siguiente:</w:t>
      </w:r>
    </w:p>
    <w:p w14:paraId="4DBBEE7D" w14:textId="77777777" w:rsidR="005439B6" w:rsidRPr="006E241A" w:rsidRDefault="005439B6" w:rsidP="00906410">
      <w:pPr>
        <w:spacing w:line="276" w:lineRule="auto"/>
        <w:ind w:right="-93"/>
        <w:jc w:val="both"/>
        <w:rPr>
          <w:rFonts w:ascii="Palatino Linotype" w:eastAsia="Calibri" w:hAnsi="Palatino Linotype" w:cs="Tahoma"/>
          <w:bCs/>
          <w:sz w:val="24"/>
          <w:szCs w:val="24"/>
          <w:lang w:eastAsia="en-US"/>
        </w:rPr>
      </w:pPr>
    </w:p>
    <w:p w14:paraId="05BCAD7F" w14:textId="6D5716F5" w:rsidR="00A051E4" w:rsidRPr="006E241A" w:rsidRDefault="00A051E4" w:rsidP="00906410">
      <w:pPr>
        <w:spacing w:line="276" w:lineRule="auto"/>
        <w:ind w:left="567" w:right="539"/>
        <w:jc w:val="both"/>
        <w:rPr>
          <w:rFonts w:ascii="Palatino Linotype" w:eastAsia="Calibri" w:hAnsi="Palatino Linotype" w:cs="Tahoma"/>
          <w:bCs/>
          <w:sz w:val="22"/>
          <w:szCs w:val="22"/>
          <w:lang w:eastAsia="en-US"/>
        </w:rPr>
      </w:pPr>
      <w:r w:rsidRPr="006E241A">
        <w:rPr>
          <w:rFonts w:ascii="Palatino Linotype" w:eastAsia="Calibri" w:hAnsi="Palatino Linotype" w:cs="Tahoma"/>
          <w:bCs/>
          <w:sz w:val="22"/>
          <w:szCs w:val="22"/>
          <w:lang w:eastAsia="en-US"/>
        </w:rPr>
        <w:t>“Artículo 140</w:t>
      </w:r>
      <w:r w:rsidR="00515F48" w:rsidRPr="006E241A">
        <w:rPr>
          <w:rFonts w:ascii="Palatino Linotype" w:eastAsia="Calibri" w:hAnsi="Palatino Linotype" w:cs="Tahoma"/>
          <w:bCs/>
          <w:sz w:val="22"/>
          <w:szCs w:val="22"/>
          <w:lang w:eastAsia="en-US"/>
        </w:rPr>
        <w:t>. El acceso a la información pública será restringido excepcionalmente, cuando por razones de interés público, ésta sea clasificada como reservada, conforme a los criterios siguientes:</w:t>
      </w:r>
    </w:p>
    <w:p w14:paraId="1D365380" w14:textId="320BB6A9" w:rsidR="00A051E4" w:rsidRPr="006E241A" w:rsidRDefault="008C3CF9" w:rsidP="00906410">
      <w:pPr>
        <w:spacing w:line="276" w:lineRule="auto"/>
        <w:ind w:left="567" w:right="539"/>
        <w:jc w:val="both"/>
        <w:rPr>
          <w:rFonts w:ascii="Palatino Linotype" w:eastAsia="Calibri" w:hAnsi="Palatino Linotype" w:cs="Tahoma"/>
          <w:bCs/>
          <w:sz w:val="22"/>
          <w:szCs w:val="22"/>
          <w:lang w:eastAsia="en-US"/>
        </w:rPr>
      </w:pPr>
      <w:r w:rsidRPr="006E241A">
        <w:rPr>
          <w:rFonts w:ascii="Palatino Linotype" w:eastAsia="Calibri" w:hAnsi="Palatino Linotype" w:cs="Tahoma"/>
          <w:bCs/>
          <w:sz w:val="22"/>
          <w:szCs w:val="22"/>
          <w:lang w:eastAsia="en-US"/>
        </w:rPr>
        <w:t xml:space="preserve">I a </w:t>
      </w:r>
      <w:r w:rsidR="007365E6" w:rsidRPr="006E241A">
        <w:rPr>
          <w:rFonts w:ascii="Palatino Linotype" w:eastAsia="Calibri" w:hAnsi="Palatino Linotype" w:cs="Tahoma"/>
          <w:bCs/>
          <w:sz w:val="22"/>
          <w:szCs w:val="22"/>
          <w:lang w:eastAsia="en-US"/>
        </w:rPr>
        <w:t>VI…</w:t>
      </w:r>
    </w:p>
    <w:p w14:paraId="45610BF9" w14:textId="04B0AF14" w:rsidR="00A051E4" w:rsidRPr="006E241A" w:rsidRDefault="00A051E4" w:rsidP="00906410">
      <w:pPr>
        <w:spacing w:line="276" w:lineRule="auto"/>
        <w:ind w:left="567" w:right="539"/>
        <w:jc w:val="both"/>
        <w:rPr>
          <w:rFonts w:ascii="Palatino Linotype" w:eastAsia="Calibri" w:hAnsi="Palatino Linotype" w:cs="Tahoma"/>
          <w:bCs/>
          <w:sz w:val="22"/>
          <w:szCs w:val="22"/>
          <w:lang w:eastAsia="en-US"/>
        </w:rPr>
      </w:pPr>
      <w:r w:rsidRPr="006E241A">
        <w:rPr>
          <w:rFonts w:ascii="Palatino Linotype" w:eastAsia="Calibri" w:hAnsi="Palatino Linotype" w:cs="Tahoma"/>
          <w:bCs/>
          <w:sz w:val="22"/>
          <w:szCs w:val="22"/>
          <w:lang w:eastAsia="en-US"/>
        </w:rPr>
        <w:t xml:space="preserve">VII. </w:t>
      </w:r>
      <w:r w:rsidRPr="006E241A">
        <w:rPr>
          <w:rFonts w:ascii="Palatino Linotype" w:eastAsia="Calibri" w:hAnsi="Palatino Linotype" w:cs="Tahoma"/>
          <w:b/>
          <w:bCs/>
          <w:sz w:val="22"/>
          <w:szCs w:val="22"/>
          <w:lang w:eastAsia="en-US"/>
        </w:rPr>
        <w:t>La que contengan las opiniones, recomendaciones o puntos de vista que for</w:t>
      </w:r>
      <w:r w:rsidR="008C3CF9" w:rsidRPr="006E241A">
        <w:rPr>
          <w:rFonts w:ascii="Palatino Linotype" w:eastAsia="Calibri" w:hAnsi="Palatino Linotype" w:cs="Tahoma"/>
          <w:b/>
          <w:bCs/>
          <w:sz w:val="22"/>
          <w:szCs w:val="22"/>
          <w:lang w:eastAsia="en-US"/>
        </w:rPr>
        <w:t xml:space="preserve">men parte del proceso </w:t>
      </w:r>
      <w:r w:rsidRPr="006E241A">
        <w:rPr>
          <w:rFonts w:ascii="Palatino Linotype" w:eastAsia="Calibri" w:hAnsi="Palatino Linotype" w:cs="Tahoma"/>
          <w:b/>
          <w:bCs/>
          <w:sz w:val="22"/>
          <w:szCs w:val="22"/>
          <w:lang w:eastAsia="en-US"/>
        </w:rPr>
        <w:t xml:space="preserve">deliberativo de los servidores públicos, hasta en tanto sea adoptada </w:t>
      </w:r>
      <w:r w:rsidR="008C3CF9" w:rsidRPr="006E241A">
        <w:rPr>
          <w:rFonts w:ascii="Palatino Linotype" w:eastAsia="Calibri" w:hAnsi="Palatino Linotype" w:cs="Tahoma"/>
          <w:b/>
          <w:bCs/>
          <w:sz w:val="22"/>
          <w:szCs w:val="22"/>
          <w:lang w:eastAsia="en-US"/>
        </w:rPr>
        <w:t xml:space="preserve">la decisión definitiva, la cual </w:t>
      </w:r>
      <w:r w:rsidRPr="006E241A">
        <w:rPr>
          <w:rFonts w:ascii="Palatino Linotype" w:eastAsia="Calibri" w:hAnsi="Palatino Linotype" w:cs="Tahoma"/>
          <w:b/>
          <w:bCs/>
          <w:sz w:val="22"/>
          <w:szCs w:val="22"/>
          <w:lang w:eastAsia="en-US"/>
        </w:rPr>
        <w:t>deberá estar documentada</w:t>
      </w:r>
      <w:r w:rsidRPr="006E241A">
        <w:rPr>
          <w:rFonts w:ascii="Palatino Linotype" w:eastAsia="Calibri" w:hAnsi="Palatino Linotype" w:cs="Tahoma"/>
          <w:bCs/>
          <w:sz w:val="22"/>
          <w:szCs w:val="22"/>
          <w:lang w:eastAsia="en-US"/>
        </w:rPr>
        <w:t>;</w:t>
      </w:r>
    </w:p>
    <w:p w14:paraId="546EC30C" w14:textId="066B3236" w:rsidR="008C3CF9" w:rsidRPr="006E241A" w:rsidRDefault="008C3CF9" w:rsidP="00906410">
      <w:pPr>
        <w:spacing w:line="276" w:lineRule="auto"/>
        <w:ind w:left="567" w:right="539"/>
        <w:jc w:val="both"/>
        <w:rPr>
          <w:rFonts w:ascii="Palatino Linotype" w:eastAsia="Calibri" w:hAnsi="Palatino Linotype" w:cs="Tahoma"/>
          <w:bCs/>
          <w:sz w:val="22"/>
          <w:szCs w:val="22"/>
          <w:lang w:eastAsia="en-US"/>
        </w:rPr>
      </w:pPr>
      <w:r w:rsidRPr="006E241A">
        <w:rPr>
          <w:rFonts w:ascii="Palatino Linotype" w:eastAsia="Calibri" w:hAnsi="Palatino Linotype" w:cs="Tahoma"/>
          <w:bCs/>
          <w:sz w:val="22"/>
          <w:szCs w:val="22"/>
          <w:lang w:eastAsia="en-US"/>
        </w:rPr>
        <w:t xml:space="preserve">VIII a </w:t>
      </w:r>
      <w:r w:rsidR="007365E6" w:rsidRPr="006E241A">
        <w:rPr>
          <w:rFonts w:ascii="Palatino Linotype" w:eastAsia="Calibri" w:hAnsi="Palatino Linotype" w:cs="Tahoma"/>
          <w:bCs/>
          <w:sz w:val="22"/>
          <w:szCs w:val="22"/>
          <w:lang w:eastAsia="en-US"/>
        </w:rPr>
        <w:t>XI…”</w:t>
      </w:r>
    </w:p>
    <w:p w14:paraId="6DB57AD2" w14:textId="2757B3E2" w:rsidR="008C3CF9" w:rsidRPr="006E241A" w:rsidRDefault="008C3CF9" w:rsidP="00906410">
      <w:pPr>
        <w:spacing w:line="276" w:lineRule="auto"/>
        <w:ind w:left="567" w:right="539"/>
        <w:jc w:val="both"/>
        <w:rPr>
          <w:rFonts w:ascii="Palatino Linotype" w:eastAsia="Calibri" w:hAnsi="Palatino Linotype" w:cs="Tahoma"/>
          <w:bCs/>
          <w:sz w:val="22"/>
          <w:szCs w:val="22"/>
          <w:lang w:eastAsia="en-US"/>
        </w:rPr>
      </w:pPr>
      <w:r w:rsidRPr="006E241A">
        <w:rPr>
          <w:rFonts w:ascii="Palatino Linotype" w:eastAsia="Calibri" w:hAnsi="Palatino Linotype" w:cs="Tahoma"/>
          <w:bCs/>
          <w:sz w:val="22"/>
          <w:szCs w:val="22"/>
          <w:lang w:eastAsia="en-US"/>
        </w:rPr>
        <w:t>(Énfasis añadido)</w:t>
      </w:r>
    </w:p>
    <w:p w14:paraId="6DC6480A" w14:textId="77777777" w:rsidR="00C66EB4" w:rsidRPr="006E241A" w:rsidRDefault="00C66EB4" w:rsidP="00906410">
      <w:pPr>
        <w:tabs>
          <w:tab w:val="left" w:pos="4962"/>
        </w:tabs>
        <w:spacing w:line="276" w:lineRule="auto"/>
        <w:jc w:val="both"/>
        <w:rPr>
          <w:rFonts w:ascii="Palatino Linotype" w:eastAsia="Calibri" w:hAnsi="Palatino Linotype" w:cs="Tahoma"/>
          <w:iCs/>
          <w:sz w:val="24"/>
          <w:szCs w:val="24"/>
          <w:lang w:eastAsia="es-ES_tradnl"/>
        </w:rPr>
      </w:pPr>
    </w:p>
    <w:p w14:paraId="37CACF63" w14:textId="1CBECA4F" w:rsidR="00036147" w:rsidRPr="006E241A" w:rsidRDefault="005439B6" w:rsidP="00906410">
      <w:pPr>
        <w:tabs>
          <w:tab w:val="left" w:pos="4962"/>
        </w:tabs>
        <w:spacing w:line="276" w:lineRule="auto"/>
        <w:jc w:val="both"/>
        <w:rPr>
          <w:rFonts w:ascii="Palatino Linotype" w:eastAsia="Calibri" w:hAnsi="Palatino Linotype" w:cs="Tahoma"/>
          <w:b/>
          <w:iCs/>
          <w:sz w:val="24"/>
          <w:szCs w:val="24"/>
          <w:lang w:eastAsia="es-ES_tradnl"/>
        </w:rPr>
      </w:pPr>
      <w:r w:rsidRPr="006E241A">
        <w:rPr>
          <w:rFonts w:ascii="Palatino Linotype" w:eastAsia="Calibri" w:hAnsi="Palatino Linotype" w:cs="Tahoma"/>
          <w:iCs/>
          <w:sz w:val="24"/>
          <w:szCs w:val="24"/>
          <w:lang w:eastAsia="es-ES_tradnl"/>
        </w:rPr>
        <w:t>En concatenación</w:t>
      </w:r>
      <w:r w:rsidR="00FF71E0" w:rsidRPr="006E241A">
        <w:rPr>
          <w:rFonts w:ascii="Palatino Linotype" w:eastAsia="Calibri" w:hAnsi="Palatino Linotype" w:cs="Tahoma"/>
          <w:iCs/>
          <w:sz w:val="24"/>
          <w:szCs w:val="24"/>
          <w:lang w:eastAsia="es-ES_tradnl"/>
        </w:rPr>
        <w:t>, el Vigésimo séptimo</w:t>
      </w:r>
      <w:r w:rsidR="001F2865" w:rsidRPr="006E241A">
        <w:rPr>
          <w:rFonts w:ascii="Palatino Linotype" w:eastAsia="Calibri" w:hAnsi="Palatino Linotype" w:cs="Tahoma"/>
          <w:iCs/>
          <w:sz w:val="24"/>
          <w:szCs w:val="24"/>
          <w:lang w:eastAsia="es-ES_tradnl"/>
        </w:rPr>
        <w:t xml:space="preserve"> de los Lineamientos </w:t>
      </w:r>
      <w:r w:rsidR="00BE5347" w:rsidRPr="006E241A">
        <w:rPr>
          <w:rFonts w:ascii="Palatino Linotype" w:eastAsia="Calibri" w:hAnsi="Palatino Linotype" w:cs="Tahoma"/>
          <w:iCs/>
          <w:sz w:val="24"/>
          <w:szCs w:val="24"/>
          <w:lang w:eastAsia="es-ES_tradnl"/>
        </w:rPr>
        <w:t>g</w:t>
      </w:r>
      <w:r w:rsidR="001F2865" w:rsidRPr="006E241A">
        <w:rPr>
          <w:rFonts w:ascii="Palatino Linotype" w:eastAsia="Calibri" w:hAnsi="Palatino Linotype" w:cs="Tahoma"/>
          <w:iCs/>
          <w:sz w:val="24"/>
          <w:szCs w:val="24"/>
          <w:lang w:eastAsia="es-ES_tradnl"/>
        </w:rPr>
        <w:t>enerales en materia de clasificación y desclasificación de la información, así como para la elaboración de versiones públicas, aplicables a todos los sujetos obligados, publicados en el Diario</w:t>
      </w:r>
      <w:r w:rsidR="00C66EB4" w:rsidRPr="006E241A">
        <w:rPr>
          <w:rFonts w:ascii="Palatino Linotype" w:eastAsia="Calibri" w:hAnsi="Palatino Linotype" w:cs="Tahoma"/>
          <w:iCs/>
          <w:sz w:val="24"/>
          <w:szCs w:val="24"/>
          <w:lang w:eastAsia="es-ES_tradnl"/>
        </w:rPr>
        <w:t xml:space="preserve"> </w:t>
      </w:r>
      <w:r w:rsidR="001F2865" w:rsidRPr="006E241A">
        <w:rPr>
          <w:rFonts w:ascii="Palatino Linotype" w:eastAsia="Calibri" w:hAnsi="Palatino Linotype" w:cs="Tahoma"/>
          <w:iCs/>
          <w:sz w:val="24"/>
          <w:szCs w:val="24"/>
          <w:lang w:eastAsia="es-ES_tradnl"/>
        </w:rPr>
        <w:t>Oficial de la Federación el quince de abril de dos mil dieciséis, indica que para clasificar la información como reservada, de conformidad con el artículo 113, fracción V</w:t>
      </w:r>
      <w:r w:rsidR="00FF71E0" w:rsidRPr="006E241A">
        <w:rPr>
          <w:rFonts w:ascii="Palatino Linotype" w:eastAsia="Calibri" w:hAnsi="Palatino Linotype" w:cs="Tahoma"/>
          <w:iCs/>
          <w:sz w:val="24"/>
          <w:szCs w:val="24"/>
          <w:lang w:eastAsia="es-ES_tradnl"/>
        </w:rPr>
        <w:t>III</w:t>
      </w:r>
      <w:r w:rsidR="001F2865" w:rsidRPr="006E241A">
        <w:rPr>
          <w:rFonts w:ascii="Palatino Linotype" w:eastAsia="Calibri" w:hAnsi="Palatino Linotype" w:cs="Tahoma"/>
          <w:iCs/>
          <w:sz w:val="24"/>
          <w:szCs w:val="24"/>
          <w:lang w:eastAsia="es-ES_tradnl"/>
        </w:rPr>
        <w:t xml:space="preserve"> de la Ley General</w:t>
      </w:r>
      <w:r w:rsidR="001F2865" w:rsidRPr="006E241A">
        <w:rPr>
          <w:rFonts w:ascii="Palatino Linotype" w:hAnsi="Palatino Linotype"/>
          <w:sz w:val="24"/>
          <w:szCs w:val="24"/>
        </w:rPr>
        <w:t xml:space="preserve"> </w:t>
      </w:r>
      <w:r w:rsidR="00FF71E0" w:rsidRPr="006E241A">
        <w:rPr>
          <w:rFonts w:ascii="Palatino Linotype" w:eastAsia="Calibri" w:hAnsi="Palatino Linotype" w:cs="Tahoma"/>
          <w:iCs/>
          <w:sz w:val="24"/>
          <w:szCs w:val="24"/>
          <w:lang w:eastAsia="es-ES_tradnl"/>
        </w:rPr>
        <w:t>(homólogo del 140, fracción VII</w:t>
      </w:r>
      <w:r w:rsidR="001F2865" w:rsidRPr="006E241A">
        <w:rPr>
          <w:rFonts w:ascii="Palatino Linotype" w:eastAsia="Calibri" w:hAnsi="Palatino Linotype" w:cs="Tahoma"/>
          <w:iCs/>
          <w:sz w:val="24"/>
          <w:szCs w:val="24"/>
          <w:lang w:eastAsia="es-ES_tradnl"/>
        </w:rPr>
        <w:t xml:space="preserve">, de la Ley de Transparencia y Acceso a la Información Pública del Estado de México y Municipios) </w:t>
      </w:r>
      <w:r w:rsidR="00FF71E0" w:rsidRPr="006E241A">
        <w:rPr>
          <w:rFonts w:ascii="Palatino Linotype" w:eastAsia="Calibri" w:hAnsi="Palatino Linotype" w:cs="Tahoma"/>
          <w:b/>
          <w:iCs/>
          <w:sz w:val="24"/>
          <w:szCs w:val="24"/>
          <w:lang w:eastAsia="es-ES_tradnl"/>
        </w:rPr>
        <w:t xml:space="preserve">será necesario </w:t>
      </w:r>
      <w:r w:rsidR="00036147" w:rsidRPr="006E241A">
        <w:rPr>
          <w:rFonts w:ascii="Palatino Linotype" w:eastAsia="Calibri" w:hAnsi="Palatino Linotype" w:cs="Tahoma"/>
          <w:b/>
          <w:iCs/>
          <w:sz w:val="24"/>
          <w:szCs w:val="24"/>
          <w:lang w:eastAsia="es-ES_tradnl"/>
        </w:rPr>
        <w:t>que:</w:t>
      </w:r>
    </w:p>
    <w:p w14:paraId="08863E8F" w14:textId="77777777" w:rsidR="00036147" w:rsidRPr="006E241A" w:rsidRDefault="00036147" w:rsidP="00906410">
      <w:pPr>
        <w:tabs>
          <w:tab w:val="left" w:pos="4962"/>
        </w:tabs>
        <w:spacing w:line="276" w:lineRule="auto"/>
        <w:jc w:val="both"/>
        <w:rPr>
          <w:rFonts w:ascii="Palatino Linotype" w:eastAsia="Calibri" w:hAnsi="Palatino Linotype" w:cs="Tahoma"/>
          <w:b/>
          <w:iCs/>
          <w:sz w:val="24"/>
          <w:szCs w:val="24"/>
          <w:lang w:eastAsia="es-ES_tradnl"/>
        </w:rPr>
      </w:pPr>
    </w:p>
    <w:p w14:paraId="4A145E93" w14:textId="5E63EB6D" w:rsidR="00036147" w:rsidRPr="006E241A" w:rsidRDefault="00036147" w:rsidP="00906410">
      <w:pPr>
        <w:pStyle w:val="Prrafodelista"/>
        <w:numPr>
          <w:ilvl w:val="0"/>
          <w:numId w:val="24"/>
        </w:numPr>
        <w:tabs>
          <w:tab w:val="left" w:pos="4962"/>
        </w:tabs>
        <w:spacing w:line="276" w:lineRule="auto"/>
        <w:jc w:val="both"/>
        <w:rPr>
          <w:rFonts w:ascii="Palatino Linotype" w:eastAsia="Calibri" w:hAnsi="Palatino Linotype" w:cs="Tahoma"/>
          <w:b/>
          <w:iCs/>
          <w:sz w:val="24"/>
          <w:lang w:eastAsia="es-ES_tradnl"/>
        </w:rPr>
      </w:pPr>
      <w:r w:rsidRPr="006E241A">
        <w:rPr>
          <w:rFonts w:ascii="Palatino Linotype" w:eastAsia="Calibri" w:hAnsi="Palatino Linotype" w:cs="Tahoma"/>
          <w:b/>
          <w:iCs/>
          <w:sz w:val="24"/>
          <w:lang w:eastAsia="es-ES_tradnl"/>
        </w:rPr>
        <w:t>S</w:t>
      </w:r>
      <w:r w:rsidR="00FF71E0" w:rsidRPr="006E241A">
        <w:rPr>
          <w:rFonts w:ascii="Palatino Linotype" w:eastAsia="Calibri" w:hAnsi="Palatino Linotype" w:cs="Tahoma"/>
          <w:b/>
          <w:iCs/>
          <w:sz w:val="24"/>
          <w:lang w:eastAsia="es-ES_tradnl"/>
        </w:rPr>
        <w:t>e acredite que exista un proceso deliberativo</w:t>
      </w:r>
    </w:p>
    <w:p w14:paraId="749D3592" w14:textId="75C5D0E5" w:rsidR="00036147" w:rsidRPr="006E241A" w:rsidRDefault="00036147" w:rsidP="00906410">
      <w:pPr>
        <w:pStyle w:val="Prrafodelista"/>
        <w:numPr>
          <w:ilvl w:val="0"/>
          <w:numId w:val="24"/>
        </w:numPr>
        <w:tabs>
          <w:tab w:val="left" w:pos="4962"/>
        </w:tabs>
        <w:spacing w:line="276" w:lineRule="auto"/>
        <w:jc w:val="both"/>
        <w:rPr>
          <w:rFonts w:ascii="Palatino Linotype" w:eastAsia="Calibri" w:hAnsi="Palatino Linotype" w:cs="Tahoma"/>
          <w:b/>
          <w:iCs/>
          <w:sz w:val="24"/>
          <w:lang w:eastAsia="es-ES_tradnl"/>
        </w:rPr>
      </w:pPr>
      <w:r w:rsidRPr="006E241A">
        <w:rPr>
          <w:rFonts w:ascii="Palatino Linotype" w:eastAsia="Calibri" w:hAnsi="Palatino Linotype" w:cs="Tahoma"/>
          <w:b/>
          <w:iCs/>
          <w:sz w:val="24"/>
          <w:lang w:eastAsia="es-ES_tradnl"/>
        </w:rPr>
        <w:t>Q</w:t>
      </w:r>
      <w:r w:rsidR="00FF71E0" w:rsidRPr="006E241A">
        <w:rPr>
          <w:rFonts w:ascii="Palatino Linotype" w:eastAsia="Calibri" w:hAnsi="Palatino Linotype" w:cs="Tahoma"/>
          <w:b/>
          <w:iCs/>
          <w:sz w:val="24"/>
          <w:lang w:eastAsia="es-ES_tradnl"/>
        </w:rPr>
        <w:t>ue la información se encuentre relacion</w:t>
      </w:r>
      <w:r w:rsidR="00E10E63" w:rsidRPr="006E241A">
        <w:rPr>
          <w:rFonts w:ascii="Palatino Linotype" w:eastAsia="Calibri" w:hAnsi="Palatino Linotype" w:cs="Tahoma"/>
          <w:b/>
          <w:iCs/>
          <w:sz w:val="24"/>
          <w:lang w:eastAsia="es-ES_tradnl"/>
        </w:rPr>
        <w:t>ada directamente con el proceso</w:t>
      </w:r>
      <w:r w:rsidRPr="006E241A">
        <w:rPr>
          <w:rFonts w:ascii="Palatino Linotype" w:eastAsia="Calibri" w:hAnsi="Palatino Linotype" w:cs="Tahoma"/>
          <w:b/>
          <w:iCs/>
          <w:sz w:val="24"/>
          <w:lang w:eastAsia="es-ES_tradnl"/>
        </w:rPr>
        <w:t>; y,</w:t>
      </w:r>
    </w:p>
    <w:p w14:paraId="735EC4D0" w14:textId="51860F03" w:rsidR="001F2865" w:rsidRPr="006E241A" w:rsidRDefault="00036147" w:rsidP="00906410">
      <w:pPr>
        <w:pStyle w:val="Prrafodelista"/>
        <w:numPr>
          <w:ilvl w:val="0"/>
          <w:numId w:val="24"/>
        </w:num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b/>
          <w:iCs/>
          <w:sz w:val="24"/>
          <w:lang w:eastAsia="es-ES_tradnl"/>
        </w:rPr>
        <w:t>Q</w:t>
      </w:r>
      <w:r w:rsidR="00E10E63" w:rsidRPr="006E241A">
        <w:rPr>
          <w:rFonts w:ascii="Palatino Linotype" w:eastAsia="Calibri" w:hAnsi="Palatino Linotype" w:cs="Tahoma"/>
          <w:b/>
          <w:iCs/>
          <w:sz w:val="24"/>
          <w:lang w:eastAsia="es-ES_tradnl"/>
        </w:rPr>
        <w:t>ue su publicidad pueda generar afectaciones en su diseño, negociación, determinación o implementación.</w:t>
      </w:r>
    </w:p>
    <w:p w14:paraId="475979A4" w14:textId="77777777" w:rsidR="008E2986" w:rsidRPr="006E241A" w:rsidRDefault="008E2986" w:rsidP="00906410">
      <w:pPr>
        <w:tabs>
          <w:tab w:val="left" w:pos="4962"/>
        </w:tabs>
        <w:spacing w:line="276" w:lineRule="auto"/>
        <w:jc w:val="both"/>
        <w:rPr>
          <w:rFonts w:ascii="Palatino Linotype" w:eastAsia="Calibri" w:hAnsi="Palatino Linotype" w:cs="Tahoma"/>
          <w:iCs/>
          <w:sz w:val="24"/>
          <w:lang w:eastAsia="es-ES_tradnl"/>
        </w:rPr>
      </w:pPr>
    </w:p>
    <w:p w14:paraId="0E82C4B9" w14:textId="6C11A815" w:rsidR="007365E6" w:rsidRPr="006E241A" w:rsidRDefault="007365E6" w:rsidP="00906410">
      <w:p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t xml:space="preserve">Por ello, con la finalidad de </w:t>
      </w:r>
      <w:r w:rsidR="00B908CF" w:rsidRPr="006E241A">
        <w:rPr>
          <w:rFonts w:ascii="Palatino Linotype" w:eastAsia="Calibri" w:hAnsi="Palatino Linotype" w:cs="Tahoma"/>
          <w:iCs/>
          <w:sz w:val="24"/>
          <w:lang w:eastAsia="es-ES_tradnl"/>
        </w:rPr>
        <w:t xml:space="preserve">verificar si se acreditan </w:t>
      </w:r>
      <w:r w:rsidRPr="006E241A">
        <w:rPr>
          <w:rFonts w:ascii="Palatino Linotype" w:eastAsia="Calibri" w:hAnsi="Palatino Linotype" w:cs="Tahoma"/>
          <w:iCs/>
          <w:sz w:val="24"/>
          <w:lang w:eastAsia="es-ES_tradnl"/>
        </w:rPr>
        <w:t xml:space="preserve">los tres supuestos planteados por la normatividad en cita, se efectuará el análisis del marco normativo que regula </w:t>
      </w:r>
      <w:r w:rsidR="00467D2F" w:rsidRPr="006E241A">
        <w:rPr>
          <w:rFonts w:ascii="Palatino Linotype" w:eastAsia="Calibri" w:hAnsi="Palatino Linotype" w:cs="Tahoma"/>
          <w:iCs/>
          <w:sz w:val="24"/>
          <w:lang w:eastAsia="es-ES_tradnl"/>
        </w:rPr>
        <w:t>el sistema escalafonario</w:t>
      </w:r>
      <w:r w:rsidRPr="006E241A">
        <w:rPr>
          <w:rFonts w:ascii="Palatino Linotype" w:eastAsia="Calibri" w:hAnsi="Palatino Linotype" w:cs="Tahoma"/>
          <w:iCs/>
          <w:sz w:val="24"/>
          <w:lang w:eastAsia="es-ES_tradnl"/>
        </w:rPr>
        <w:t>.</w:t>
      </w:r>
    </w:p>
    <w:p w14:paraId="47A36766" w14:textId="77777777" w:rsidR="00BB4B53" w:rsidRPr="006E241A" w:rsidRDefault="00BB4B53" w:rsidP="00906410">
      <w:pPr>
        <w:tabs>
          <w:tab w:val="left" w:pos="4962"/>
        </w:tabs>
        <w:spacing w:line="276" w:lineRule="auto"/>
        <w:jc w:val="both"/>
        <w:rPr>
          <w:rFonts w:ascii="Palatino Linotype" w:eastAsia="Calibri" w:hAnsi="Palatino Linotype" w:cs="Tahoma"/>
          <w:b/>
          <w:iCs/>
          <w:sz w:val="24"/>
          <w:lang w:eastAsia="es-ES_tradnl"/>
        </w:rPr>
      </w:pPr>
    </w:p>
    <w:p w14:paraId="251001CF" w14:textId="52800F9F" w:rsidR="007365E6" w:rsidRPr="006E241A" w:rsidRDefault="00010026" w:rsidP="00906410">
      <w:pPr>
        <w:pStyle w:val="Prrafodelista"/>
        <w:numPr>
          <w:ilvl w:val="0"/>
          <w:numId w:val="28"/>
        </w:numPr>
        <w:tabs>
          <w:tab w:val="left" w:pos="4962"/>
        </w:tabs>
        <w:spacing w:line="276" w:lineRule="auto"/>
        <w:jc w:val="both"/>
        <w:rPr>
          <w:rFonts w:ascii="Palatino Linotype" w:eastAsia="Calibri" w:hAnsi="Palatino Linotype" w:cs="Tahoma"/>
          <w:b/>
          <w:iCs/>
          <w:sz w:val="24"/>
          <w:lang w:eastAsia="es-ES_tradnl"/>
        </w:rPr>
      </w:pPr>
      <w:r>
        <w:rPr>
          <w:rFonts w:ascii="Palatino Linotype" w:eastAsia="Calibri" w:hAnsi="Palatino Linotype" w:cs="Tahoma"/>
          <w:b/>
          <w:iCs/>
          <w:sz w:val="24"/>
          <w:lang w:eastAsia="es-ES_tradnl"/>
        </w:rPr>
        <w:t>E</w:t>
      </w:r>
      <w:r w:rsidR="00BB4B53" w:rsidRPr="006E241A">
        <w:rPr>
          <w:rFonts w:ascii="Palatino Linotype" w:eastAsia="Calibri" w:hAnsi="Palatino Linotype" w:cs="Tahoma"/>
          <w:b/>
          <w:iCs/>
          <w:sz w:val="24"/>
          <w:lang w:eastAsia="es-ES_tradnl"/>
        </w:rPr>
        <w:t>xist</w:t>
      </w:r>
      <w:r>
        <w:rPr>
          <w:rFonts w:ascii="Palatino Linotype" w:eastAsia="Calibri" w:hAnsi="Palatino Linotype" w:cs="Tahoma"/>
          <w:b/>
          <w:iCs/>
          <w:sz w:val="24"/>
          <w:lang w:eastAsia="es-ES_tradnl"/>
        </w:rPr>
        <w:t>encia de</w:t>
      </w:r>
      <w:r w:rsidR="00BB4B53" w:rsidRPr="006E241A">
        <w:rPr>
          <w:rFonts w:ascii="Palatino Linotype" w:eastAsia="Calibri" w:hAnsi="Palatino Linotype" w:cs="Tahoma"/>
          <w:b/>
          <w:iCs/>
          <w:sz w:val="24"/>
          <w:lang w:eastAsia="es-ES_tradnl"/>
        </w:rPr>
        <w:t xml:space="preserve"> un proceso deliberativo</w:t>
      </w:r>
    </w:p>
    <w:p w14:paraId="5F933BCA" w14:textId="77777777" w:rsidR="00BB4B53" w:rsidRPr="006E241A" w:rsidRDefault="00BB4B53" w:rsidP="00906410">
      <w:pPr>
        <w:tabs>
          <w:tab w:val="left" w:pos="4962"/>
        </w:tabs>
        <w:spacing w:line="276" w:lineRule="auto"/>
        <w:jc w:val="both"/>
        <w:rPr>
          <w:rFonts w:ascii="Palatino Linotype" w:eastAsia="Calibri" w:hAnsi="Palatino Linotype" w:cs="Tahoma"/>
          <w:b/>
          <w:iCs/>
          <w:sz w:val="24"/>
          <w:lang w:eastAsia="es-ES_tradnl"/>
        </w:rPr>
      </w:pPr>
    </w:p>
    <w:p w14:paraId="6F02E3A7" w14:textId="6BAEE2E1" w:rsidR="008E2986" w:rsidRPr="006E241A" w:rsidRDefault="007F2249" w:rsidP="00906410">
      <w:pPr>
        <w:tabs>
          <w:tab w:val="left" w:pos="4962"/>
        </w:tabs>
        <w:spacing w:line="276" w:lineRule="auto"/>
        <w:jc w:val="both"/>
        <w:rPr>
          <w:rFonts w:ascii="Palatino Linotype" w:eastAsia="Calibri" w:hAnsi="Palatino Linotype" w:cs="Tahoma"/>
          <w:iCs/>
          <w:sz w:val="24"/>
          <w:lang w:eastAsia="es-ES_tradnl"/>
        </w:rPr>
      </w:pPr>
      <w:r>
        <w:rPr>
          <w:rFonts w:ascii="Palatino Linotype" w:eastAsia="Calibri" w:hAnsi="Palatino Linotype" w:cs="Tahoma"/>
          <w:iCs/>
          <w:sz w:val="24"/>
          <w:lang w:eastAsia="es-ES_tradnl"/>
        </w:rPr>
        <w:t>L</w:t>
      </w:r>
      <w:r w:rsidR="008E2986" w:rsidRPr="006E241A">
        <w:rPr>
          <w:rFonts w:ascii="Palatino Linotype" w:eastAsia="Calibri" w:hAnsi="Palatino Linotype" w:cs="Tahoma"/>
          <w:iCs/>
          <w:sz w:val="24"/>
          <w:lang w:eastAsia="es-ES_tradnl"/>
        </w:rPr>
        <w:t>a Ley del Trabajo de los Servidores Públicos del Estado y Municipios</w:t>
      </w:r>
      <w:r w:rsidR="00D00894">
        <w:rPr>
          <w:rFonts w:ascii="Palatino Linotype" w:eastAsia="Calibri" w:hAnsi="Palatino Linotype" w:cs="Tahoma"/>
          <w:iCs/>
          <w:sz w:val="24"/>
          <w:lang w:eastAsia="es-ES_tradnl"/>
        </w:rPr>
        <w:t>,</w:t>
      </w:r>
      <w:r w:rsidR="008E2986" w:rsidRPr="006E241A">
        <w:rPr>
          <w:rFonts w:ascii="Palatino Linotype" w:eastAsia="Calibri" w:hAnsi="Palatino Linotype" w:cs="Tahoma"/>
          <w:iCs/>
          <w:sz w:val="24"/>
          <w:lang w:eastAsia="es-ES_tradnl"/>
        </w:rPr>
        <w:t xml:space="preserve"> publicada en el en el Periódico Oficial “Gaceta del Gobierno” el </w:t>
      </w:r>
      <w:r w:rsidR="00D00894">
        <w:rPr>
          <w:rFonts w:ascii="Palatino Linotype" w:eastAsia="Calibri" w:hAnsi="Palatino Linotype" w:cs="Tahoma"/>
          <w:iCs/>
          <w:sz w:val="24"/>
          <w:lang w:eastAsia="es-ES_tradnl"/>
        </w:rPr>
        <w:t>veintitrés</w:t>
      </w:r>
      <w:r w:rsidR="00D00894" w:rsidRPr="006E241A">
        <w:rPr>
          <w:rFonts w:ascii="Palatino Linotype" w:eastAsia="Calibri" w:hAnsi="Palatino Linotype" w:cs="Tahoma"/>
          <w:iCs/>
          <w:sz w:val="24"/>
          <w:lang w:eastAsia="es-ES_tradnl"/>
        </w:rPr>
        <w:t xml:space="preserve"> </w:t>
      </w:r>
      <w:r w:rsidR="008E2986" w:rsidRPr="006E241A">
        <w:rPr>
          <w:rFonts w:ascii="Palatino Linotype" w:eastAsia="Calibri" w:hAnsi="Palatino Linotype" w:cs="Tahoma"/>
          <w:iCs/>
          <w:sz w:val="24"/>
          <w:lang w:eastAsia="es-ES_tradnl"/>
        </w:rPr>
        <w:t xml:space="preserve">de octubre de </w:t>
      </w:r>
      <w:r w:rsidR="00D00894">
        <w:rPr>
          <w:rFonts w:ascii="Palatino Linotype" w:eastAsia="Calibri" w:hAnsi="Palatino Linotype" w:cs="Tahoma"/>
          <w:iCs/>
          <w:sz w:val="24"/>
          <w:lang w:eastAsia="es-ES_tradnl"/>
        </w:rPr>
        <w:t>mil novecientos noventa y ocho, reformada el diecinueve de septiembre de dos mil dieciocho</w:t>
      </w:r>
      <w:r w:rsidR="008E2986" w:rsidRPr="006E241A">
        <w:rPr>
          <w:rFonts w:ascii="Palatino Linotype" w:eastAsia="Calibri" w:hAnsi="Palatino Linotype" w:cs="Tahoma"/>
          <w:iCs/>
          <w:sz w:val="24"/>
          <w:lang w:eastAsia="es-ES_tradnl"/>
        </w:rPr>
        <w:t xml:space="preserve">, establece el Sistema de Profesionalización de los Servidores Públicos Generales y el sistema escalafonario como el mecanismo para la movilidad de servidores públicos conforme a su desarrollo profesional y méritos, </w:t>
      </w:r>
      <w:r w:rsidR="00B15BF7">
        <w:rPr>
          <w:rFonts w:ascii="Palatino Linotype" w:eastAsia="Calibri" w:hAnsi="Palatino Linotype" w:cs="Tahoma"/>
          <w:iCs/>
          <w:sz w:val="24"/>
          <w:lang w:eastAsia="es-ES_tradnl"/>
        </w:rPr>
        <w:t>en la que se destaca</w:t>
      </w:r>
      <w:r w:rsidR="00B15BF7" w:rsidRPr="006E241A">
        <w:rPr>
          <w:rFonts w:ascii="Palatino Linotype" w:eastAsia="Calibri" w:hAnsi="Palatino Linotype" w:cs="Tahoma"/>
          <w:iCs/>
          <w:sz w:val="24"/>
          <w:lang w:eastAsia="es-ES_tradnl"/>
        </w:rPr>
        <w:t xml:space="preserve"> </w:t>
      </w:r>
      <w:r w:rsidR="008E2986" w:rsidRPr="006E241A">
        <w:rPr>
          <w:rFonts w:ascii="Palatino Linotype" w:eastAsia="Calibri" w:hAnsi="Palatino Linotype" w:cs="Tahoma"/>
          <w:iCs/>
          <w:sz w:val="24"/>
          <w:lang w:eastAsia="es-ES_tradnl"/>
        </w:rPr>
        <w:t>lo siguiente:</w:t>
      </w:r>
    </w:p>
    <w:p w14:paraId="5F951626" w14:textId="77777777" w:rsidR="00EF267F" w:rsidRPr="00EF267F"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r w:rsidRPr="00EF267F">
        <w:rPr>
          <w:rFonts w:ascii="Palatino Linotype" w:eastAsia="Calibri" w:hAnsi="Palatino Linotype" w:cs="Tahoma"/>
          <w:iCs/>
          <w:lang w:eastAsia="es-ES_tradnl"/>
        </w:rPr>
        <w:t>TITULO PRIMERO</w:t>
      </w:r>
    </w:p>
    <w:p w14:paraId="757F9D59" w14:textId="77777777" w:rsidR="00EF267F" w:rsidRPr="00EF267F"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r w:rsidRPr="00EF267F">
        <w:rPr>
          <w:rFonts w:ascii="Palatino Linotype" w:eastAsia="Calibri" w:hAnsi="Palatino Linotype" w:cs="Tahoma"/>
          <w:iCs/>
          <w:lang w:eastAsia="es-ES_tradnl"/>
        </w:rPr>
        <w:t>De las Disposiciones Generales</w:t>
      </w:r>
    </w:p>
    <w:p w14:paraId="6498E01D" w14:textId="3BC44E9A" w:rsidR="008E2986"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r w:rsidRPr="00EF267F">
        <w:rPr>
          <w:rFonts w:ascii="Palatino Linotype" w:eastAsia="Calibri" w:hAnsi="Palatino Linotype" w:cs="Tahoma"/>
          <w:iCs/>
          <w:lang w:eastAsia="es-ES_tradnl"/>
        </w:rPr>
        <w:t>CAPITULO UNICO</w:t>
      </w:r>
    </w:p>
    <w:p w14:paraId="32800BF9" w14:textId="77777777" w:rsidR="00EF267F" w:rsidRPr="006E241A"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p>
    <w:p w14:paraId="17FA50F4" w14:textId="5AD0D816" w:rsidR="00723B40" w:rsidRDefault="00723B40" w:rsidP="00906410">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b/>
          <w:iCs/>
          <w:lang w:eastAsia="es-ES_tradnl"/>
        </w:rPr>
        <w:t>ARTÍCULO 1.</w:t>
      </w:r>
      <w:r w:rsidRPr="00723B40">
        <w:rPr>
          <w:rFonts w:ascii="Palatino Linotype" w:eastAsia="Calibri" w:hAnsi="Palatino Linotype" w:cs="Tahoma"/>
          <w:iCs/>
          <w:lang w:eastAsia="es-ES_tradnl"/>
        </w:rPr>
        <w:t xml:space="preserve"> Ésta ley es de orden público e interés social</w:t>
      </w:r>
      <w:r>
        <w:rPr>
          <w:rFonts w:ascii="Palatino Linotype" w:eastAsia="Calibri" w:hAnsi="Palatino Linotype" w:cs="Tahoma"/>
          <w:iCs/>
          <w:lang w:eastAsia="es-ES_tradnl"/>
        </w:rPr>
        <w:t xml:space="preserve"> y </w:t>
      </w:r>
      <w:r w:rsidRPr="00906410">
        <w:rPr>
          <w:rFonts w:ascii="Palatino Linotype" w:eastAsia="Calibri" w:hAnsi="Palatino Linotype" w:cs="Tahoma"/>
          <w:b/>
          <w:iCs/>
          <w:lang w:eastAsia="es-ES_tradnl"/>
        </w:rPr>
        <w:t>tiene por objeto regular las relaciones de trabajo, comprendidas entre los poderes públicos del Estado</w:t>
      </w:r>
      <w:r>
        <w:rPr>
          <w:rFonts w:ascii="Palatino Linotype" w:eastAsia="Calibri" w:hAnsi="Palatino Linotype" w:cs="Tahoma"/>
          <w:iCs/>
          <w:lang w:eastAsia="es-ES_tradnl"/>
        </w:rPr>
        <w:t xml:space="preserve"> y los </w:t>
      </w:r>
      <w:r w:rsidRPr="00723B40">
        <w:rPr>
          <w:rFonts w:ascii="Palatino Linotype" w:eastAsia="Calibri" w:hAnsi="Palatino Linotype" w:cs="Tahoma"/>
          <w:iCs/>
          <w:lang w:eastAsia="es-ES_tradnl"/>
        </w:rPr>
        <w:t>Municipios y sus respectivos servidores públicos.</w:t>
      </w:r>
    </w:p>
    <w:p w14:paraId="18FEAE51" w14:textId="7EEA6880" w:rsidR="00723B40" w:rsidRDefault="00723B40" w:rsidP="00906410">
      <w:pPr>
        <w:tabs>
          <w:tab w:val="left" w:pos="4962"/>
        </w:tabs>
        <w:spacing w:line="276" w:lineRule="auto"/>
        <w:ind w:left="567" w:right="539"/>
        <w:jc w:val="both"/>
        <w:rPr>
          <w:rFonts w:ascii="Palatino Linotype" w:eastAsia="Calibri" w:hAnsi="Palatino Linotype" w:cs="Tahoma"/>
          <w:iCs/>
          <w:lang w:eastAsia="es-ES_tradnl"/>
        </w:rPr>
      </w:pPr>
      <w:r>
        <w:rPr>
          <w:rFonts w:ascii="Palatino Linotype" w:eastAsia="Calibri" w:hAnsi="Palatino Linotype" w:cs="Tahoma"/>
          <w:b/>
          <w:iCs/>
          <w:lang w:eastAsia="es-ES_tradnl"/>
        </w:rPr>
        <w:t>…</w:t>
      </w:r>
    </w:p>
    <w:p w14:paraId="01B7F43C" w14:textId="4D944133" w:rsidR="00723B40" w:rsidRDefault="00723B40" w:rsidP="00906410">
      <w:pPr>
        <w:tabs>
          <w:tab w:val="left" w:pos="4962"/>
        </w:tabs>
        <w:spacing w:line="276" w:lineRule="auto"/>
        <w:ind w:left="567" w:right="539"/>
        <w:jc w:val="both"/>
        <w:rPr>
          <w:rFonts w:ascii="Palatino Linotype" w:eastAsia="Calibri" w:hAnsi="Palatino Linotype" w:cs="Tahoma"/>
          <w:iCs/>
          <w:lang w:eastAsia="es-ES_tradnl"/>
        </w:rPr>
      </w:pPr>
      <w:r>
        <w:rPr>
          <w:rFonts w:ascii="Palatino Linotype" w:eastAsia="Calibri" w:hAnsi="Palatino Linotype" w:cs="Tahoma"/>
          <w:iCs/>
          <w:lang w:eastAsia="es-ES_tradnl"/>
        </w:rPr>
        <w:t>…</w:t>
      </w:r>
    </w:p>
    <w:p w14:paraId="6996F0EC" w14:textId="77777777" w:rsidR="00067EEE" w:rsidRDefault="00067EEE" w:rsidP="00906410">
      <w:pPr>
        <w:tabs>
          <w:tab w:val="left" w:pos="4962"/>
        </w:tabs>
        <w:spacing w:line="276" w:lineRule="auto"/>
        <w:ind w:left="567" w:right="539"/>
        <w:jc w:val="both"/>
        <w:rPr>
          <w:rFonts w:ascii="Palatino Linotype" w:eastAsia="Calibri" w:hAnsi="Palatino Linotype" w:cs="Tahoma"/>
          <w:iCs/>
          <w:lang w:eastAsia="es-ES_tradnl"/>
        </w:rPr>
      </w:pPr>
    </w:p>
    <w:p w14:paraId="68A8E91E" w14:textId="77777777" w:rsidR="00887889" w:rsidRDefault="00067EEE" w:rsidP="00906410">
      <w:pPr>
        <w:tabs>
          <w:tab w:val="left" w:pos="4962"/>
        </w:tabs>
        <w:spacing w:line="276" w:lineRule="auto"/>
        <w:ind w:left="567" w:right="539"/>
        <w:jc w:val="center"/>
        <w:rPr>
          <w:rFonts w:ascii="Palatino Linotype" w:eastAsia="Calibri" w:hAnsi="Palatino Linotype" w:cs="Tahoma"/>
          <w:iCs/>
          <w:lang w:eastAsia="es-ES_tradnl"/>
        </w:rPr>
      </w:pPr>
      <w:r w:rsidRPr="00906410">
        <w:rPr>
          <w:rFonts w:ascii="Palatino Linotype" w:eastAsia="Calibri" w:hAnsi="Palatino Linotype" w:cs="Tahoma"/>
          <w:b/>
          <w:iCs/>
          <w:lang w:eastAsia="es-ES_tradnl"/>
        </w:rPr>
        <w:t>ARTÍCULO 2.</w:t>
      </w:r>
      <w:r w:rsidRPr="00067EEE">
        <w:rPr>
          <w:rFonts w:ascii="Palatino Linotype" w:eastAsia="Calibri" w:hAnsi="Palatino Linotype" w:cs="Tahoma"/>
          <w:iCs/>
          <w:lang w:eastAsia="es-ES_tradnl"/>
        </w:rPr>
        <w:t xml:space="preserve"> Son sujetos de esta ley los servidores públicos y las instituciones públicas.</w:t>
      </w:r>
      <w:r w:rsidRPr="00067EEE">
        <w:rPr>
          <w:rFonts w:ascii="Palatino Linotype" w:eastAsia="Calibri" w:hAnsi="Palatino Linotype" w:cs="Tahoma"/>
          <w:iCs/>
          <w:lang w:eastAsia="es-ES_tradnl"/>
        </w:rPr>
        <w:cr/>
      </w:r>
    </w:p>
    <w:p w14:paraId="396744F7" w14:textId="09CA6B12" w:rsidR="00887889" w:rsidRDefault="00887889" w:rsidP="00887889">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b/>
          <w:iCs/>
          <w:lang w:eastAsia="es-ES_tradnl"/>
        </w:rPr>
        <w:t>ARTÍCULO 6.</w:t>
      </w:r>
      <w:r w:rsidRPr="00887889">
        <w:rPr>
          <w:rFonts w:ascii="Palatino Linotype" w:eastAsia="Calibri" w:hAnsi="Palatino Linotype" w:cs="Tahoma"/>
          <w:iCs/>
          <w:lang w:eastAsia="es-ES_tradnl"/>
        </w:rPr>
        <w:t xml:space="preserve"> Los servidores públicos se clasifican e</w:t>
      </w:r>
      <w:r>
        <w:rPr>
          <w:rFonts w:ascii="Palatino Linotype" w:eastAsia="Calibri" w:hAnsi="Palatino Linotype" w:cs="Tahoma"/>
          <w:iCs/>
          <w:lang w:eastAsia="es-ES_tradnl"/>
        </w:rPr>
        <w:t xml:space="preserve">n generales y de confianza, los </w:t>
      </w:r>
      <w:r w:rsidRPr="00887889">
        <w:rPr>
          <w:rFonts w:ascii="Palatino Linotype" w:eastAsia="Calibri" w:hAnsi="Palatino Linotype" w:cs="Tahoma"/>
          <w:iCs/>
          <w:lang w:eastAsia="es-ES_tradnl"/>
        </w:rPr>
        <w:t>cuales, de acuerdo con la duración de sus relaciones de trabajo pueden ser: por tiempo u</w:t>
      </w:r>
      <w:r>
        <w:rPr>
          <w:rFonts w:ascii="Palatino Linotype" w:eastAsia="Calibri" w:hAnsi="Palatino Linotype" w:cs="Tahoma"/>
          <w:iCs/>
          <w:lang w:eastAsia="es-ES_tradnl"/>
        </w:rPr>
        <w:t xml:space="preserve"> </w:t>
      </w:r>
      <w:r w:rsidRPr="00887889">
        <w:rPr>
          <w:rFonts w:ascii="Palatino Linotype" w:eastAsia="Calibri" w:hAnsi="Palatino Linotype" w:cs="Tahoma"/>
          <w:iCs/>
          <w:lang w:eastAsia="es-ES_tradnl"/>
        </w:rPr>
        <w:t>obra determinados o por tiempo indeterminado.</w:t>
      </w:r>
    </w:p>
    <w:p w14:paraId="357A3CD9" w14:textId="77777777" w:rsidR="00887889" w:rsidRPr="00887889" w:rsidRDefault="00887889" w:rsidP="00887889">
      <w:pPr>
        <w:tabs>
          <w:tab w:val="left" w:pos="4962"/>
        </w:tabs>
        <w:spacing w:line="276" w:lineRule="auto"/>
        <w:ind w:left="567" w:right="539"/>
        <w:jc w:val="both"/>
        <w:rPr>
          <w:rFonts w:ascii="Palatino Linotype" w:eastAsia="Calibri" w:hAnsi="Palatino Linotype" w:cs="Tahoma"/>
          <w:iCs/>
          <w:lang w:eastAsia="es-ES_tradnl"/>
        </w:rPr>
      </w:pPr>
    </w:p>
    <w:p w14:paraId="2185FB68" w14:textId="3D6257CF" w:rsidR="00887889" w:rsidRDefault="00887889">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b/>
          <w:iCs/>
          <w:lang w:eastAsia="es-ES_tradnl"/>
        </w:rPr>
        <w:lastRenderedPageBreak/>
        <w:t>ARTÍCULO 7.</w:t>
      </w:r>
      <w:r w:rsidRPr="00887889">
        <w:rPr>
          <w:rFonts w:ascii="Palatino Linotype" w:eastAsia="Calibri" w:hAnsi="Palatino Linotype" w:cs="Tahoma"/>
          <w:iCs/>
          <w:lang w:eastAsia="es-ES_tradnl"/>
        </w:rPr>
        <w:t xml:space="preserve"> Son servidores públicos generales los que prestan </w:t>
      </w:r>
      <w:r>
        <w:rPr>
          <w:rFonts w:ascii="Palatino Linotype" w:eastAsia="Calibri" w:hAnsi="Palatino Linotype" w:cs="Tahoma"/>
          <w:iCs/>
          <w:lang w:eastAsia="es-ES_tradnl"/>
        </w:rPr>
        <w:t xml:space="preserve">sus servicios en </w:t>
      </w:r>
      <w:r w:rsidRPr="00887889">
        <w:rPr>
          <w:rFonts w:ascii="Palatino Linotype" w:eastAsia="Calibri" w:hAnsi="Palatino Linotype" w:cs="Tahoma"/>
          <w:iCs/>
          <w:lang w:eastAsia="es-ES_tradnl"/>
        </w:rPr>
        <w:t>funciones operativas de carácter manual, material, administrativo, técnico, profesional o</w:t>
      </w:r>
      <w:r>
        <w:rPr>
          <w:rFonts w:ascii="Palatino Linotype" w:eastAsia="Calibri" w:hAnsi="Palatino Linotype" w:cs="Tahoma"/>
          <w:iCs/>
          <w:lang w:eastAsia="es-ES_tradnl"/>
        </w:rPr>
        <w:t xml:space="preserve"> </w:t>
      </w:r>
      <w:r w:rsidRPr="00887889">
        <w:rPr>
          <w:rFonts w:ascii="Palatino Linotype" w:eastAsia="Calibri" w:hAnsi="Palatino Linotype" w:cs="Tahoma"/>
          <w:iCs/>
          <w:lang w:eastAsia="es-ES_tradnl"/>
        </w:rPr>
        <w:t>de apoyo, realizando tareas asignadas por sus superiores o determinadas en los manuales</w:t>
      </w:r>
      <w:r>
        <w:rPr>
          <w:rFonts w:ascii="Palatino Linotype" w:eastAsia="Calibri" w:hAnsi="Palatino Linotype" w:cs="Tahoma"/>
          <w:iCs/>
          <w:lang w:eastAsia="es-ES_tradnl"/>
        </w:rPr>
        <w:t xml:space="preserve"> </w:t>
      </w:r>
      <w:r w:rsidRPr="00887889">
        <w:rPr>
          <w:rFonts w:ascii="Palatino Linotype" w:eastAsia="Calibri" w:hAnsi="Palatino Linotype" w:cs="Tahoma"/>
          <w:iCs/>
          <w:lang w:eastAsia="es-ES_tradnl"/>
        </w:rPr>
        <w:t>internos de procedimientos o guías de trabajo, no comprendidos dentro del siguiente</w:t>
      </w:r>
      <w:r>
        <w:rPr>
          <w:rFonts w:ascii="Palatino Linotype" w:eastAsia="Calibri" w:hAnsi="Palatino Linotype" w:cs="Tahoma"/>
          <w:iCs/>
          <w:lang w:eastAsia="es-ES_tradnl"/>
        </w:rPr>
        <w:t xml:space="preserve"> </w:t>
      </w:r>
      <w:r w:rsidRPr="00887889">
        <w:rPr>
          <w:rFonts w:ascii="Palatino Linotype" w:eastAsia="Calibri" w:hAnsi="Palatino Linotype" w:cs="Tahoma"/>
          <w:iCs/>
          <w:lang w:eastAsia="es-ES_tradnl"/>
        </w:rPr>
        <w:t>artículo.</w:t>
      </w:r>
      <w:r w:rsidRPr="00887889">
        <w:rPr>
          <w:rFonts w:ascii="Palatino Linotype" w:eastAsia="Calibri" w:hAnsi="Palatino Linotype" w:cs="Tahoma"/>
          <w:iCs/>
          <w:lang w:eastAsia="es-ES_tradnl"/>
        </w:rPr>
        <w:cr/>
      </w:r>
    </w:p>
    <w:p w14:paraId="66032801" w14:textId="33041651" w:rsidR="00EF267F" w:rsidRPr="00EF267F"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r w:rsidRPr="00EF267F">
        <w:t xml:space="preserve"> </w:t>
      </w:r>
      <w:r w:rsidRPr="00EF267F">
        <w:rPr>
          <w:rFonts w:ascii="Palatino Linotype" w:eastAsia="Calibri" w:hAnsi="Palatino Linotype" w:cs="Tahoma"/>
          <w:iCs/>
          <w:lang w:eastAsia="es-ES_tradnl"/>
        </w:rPr>
        <w:t>CAPITULO II</w:t>
      </w:r>
    </w:p>
    <w:p w14:paraId="22229CA9" w14:textId="77777777" w:rsidR="00EF267F" w:rsidRPr="00EF267F"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r w:rsidRPr="00EF267F">
        <w:rPr>
          <w:rFonts w:ascii="Palatino Linotype" w:eastAsia="Calibri" w:hAnsi="Palatino Linotype" w:cs="Tahoma"/>
          <w:iCs/>
          <w:lang w:eastAsia="es-ES_tradnl"/>
        </w:rPr>
        <w:t>Del Sistema de Profesionalización de</w:t>
      </w:r>
    </w:p>
    <w:p w14:paraId="4B961D2A" w14:textId="24E0C142" w:rsidR="00723B40"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r w:rsidRPr="00EF267F">
        <w:rPr>
          <w:rFonts w:ascii="Palatino Linotype" w:eastAsia="Calibri" w:hAnsi="Palatino Linotype" w:cs="Tahoma"/>
          <w:iCs/>
          <w:lang w:eastAsia="es-ES_tradnl"/>
        </w:rPr>
        <w:t>los Servidores Públicos Generales</w:t>
      </w:r>
    </w:p>
    <w:p w14:paraId="755818E2" w14:textId="77777777" w:rsidR="00EF267F" w:rsidRDefault="00EF267F" w:rsidP="00906410">
      <w:pPr>
        <w:tabs>
          <w:tab w:val="left" w:pos="4962"/>
        </w:tabs>
        <w:spacing w:line="276" w:lineRule="auto"/>
        <w:ind w:left="567" w:right="539"/>
        <w:jc w:val="center"/>
        <w:rPr>
          <w:rFonts w:ascii="Palatino Linotype" w:eastAsia="Calibri" w:hAnsi="Palatino Linotype" w:cs="Tahoma"/>
          <w:iCs/>
          <w:lang w:eastAsia="es-ES_tradnl"/>
        </w:rPr>
      </w:pPr>
    </w:p>
    <w:p w14:paraId="5C30131F" w14:textId="2F42B266" w:rsidR="008E2986" w:rsidRPr="006E241A" w:rsidRDefault="008E2986"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100</w:t>
      </w:r>
      <w:r w:rsidRPr="006E241A">
        <w:rPr>
          <w:rFonts w:ascii="Palatino Linotype" w:eastAsia="Calibri" w:hAnsi="Palatino Linotype" w:cs="Tahoma"/>
          <w:iCs/>
          <w:lang w:eastAsia="es-ES_tradnl"/>
        </w:rPr>
        <w:t>. Los sistemas de profesionalización que establezcan las instituciones públicas deberán conformarse a partir de las siguientes bases:</w:t>
      </w:r>
    </w:p>
    <w:p w14:paraId="59461958" w14:textId="77777777" w:rsidR="007365E6" w:rsidRPr="006E241A" w:rsidRDefault="007365E6" w:rsidP="00906410">
      <w:pPr>
        <w:tabs>
          <w:tab w:val="left" w:pos="4962"/>
        </w:tabs>
        <w:spacing w:line="276" w:lineRule="auto"/>
        <w:ind w:left="567" w:right="539"/>
        <w:jc w:val="both"/>
        <w:rPr>
          <w:rFonts w:ascii="Palatino Linotype" w:eastAsia="Calibri" w:hAnsi="Palatino Linotype" w:cs="Tahoma"/>
          <w:iCs/>
          <w:lang w:eastAsia="es-ES_tradnl"/>
        </w:rPr>
      </w:pPr>
    </w:p>
    <w:p w14:paraId="332FD6AA" w14:textId="530DB36B" w:rsidR="008E2986" w:rsidRPr="006E241A" w:rsidRDefault="008E2986"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 Definición de un catálogo de puestos por institución pública o dependencia que deberá contener el perfil de cada uno de los existentes, los requisitos necesarios para desempeñarlos y el nivel salarial y escalafonario que les corresponde;</w:t>
      </w:r>
    </w:p>
    <w:p w14:paraId="3810247E" w14:textId="4E062A9D" w:rsidR="008E2986" w:rsidRPr="006E241A" w:rsidRDefault="008E2986"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 xml:space="preserve">II. </w:t>
      </w:r>
      <w:r w:rsidRPr="006E241A">
        <w:rPr>
          <w:rFonts w:ascii="Palatino Linotype" w:eastAsia="Calibri" w:hAnsi="Palatino Linotype" w:cs="Tahoma"/>
          <w:b/>
          <w:iCs/>
          <w:u w:val="single"/>
          <w:lang w:eastAsia="es-ES_tradnl"/>
        </w:rPr>
        <w:t>Implantación de un régimen escalafonario en el que se determinen las posibilidades de movimientos que tiene cada servidor público en la institución pública o dependencia, así como las alternativas de ascenso real dentro del escalafón y los medios y condiciones asociados al mismo</w:t>
      </w:r>
      <w:r w:rsidRPr="006E241A">
        <w:rPr>
          <w:rFonts w:ascii="Palatino Linotype" w:eastAsia="Calibri" w:hAnsi="Palatino Linotype" w:cs="Tahoma"/>
          <w:iCs/>
          <w:lang w:eastAsia="es-ES_tradnl"/>
        </w:rPr>
        <w:t>;</w:t>
      </w:r>
    </w:p>
    <w:p w14:paraId="75CD55CB" w14:textId="7EDCF766" w:rsidR="008E2986" w:rsidRPr="006E241A" w:rsidRDefault="008E2986"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III. Estructuración de programas de capacitación y desarrollo a corto, mediano y largo plazos y su vinculación con el régimen escalafonario; y</w:t>
      </w:r>
    </w:p>
    <w:p w14:paraId="422D5A3E" w14:textId="74EBB195" w:rsidR="008E2986" w:rsidRPr="006E241A" w:rsidRDefault="008E2986"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IV. Establecimiento de disposiciones para que los servidores públicos conozcan, desde su ingreso al servicio, sus posibilidades de desarrollo; asimismo, deberán contemplar los medios para el logro de ascensos y cuidar que los puestos sólo sean ocupados por quienes cumplan los requisitos establecidos, con el objeto de lograr la mayor eficiencia en la prestación del servicio público.</w:t>
      </w:r>
      <w:r w:rsidRPr="006E241A">
        <w:rPr>
          <w:rFonts w:ascii="Palatino Linotype" w:eastAsia="Calibri" w:hAnsi="Palatino Linotype" w:cs="Tahoma"/>
          <w:iCs/>
          <w:lang w:eastAsia="es-ES_tradnl"/>
        </w:rPr>
        <w:cr/>
      </w:r>
      <w:r w:rsidR="008F6853" w:rsidRPr="006E241A">
        <w:rPr>
          <w:rFonts w:ascii="Palatino Linotype" w:eastAsia="Calibri" w:hAnsi="Palatino Linotype" w:cs="Tahoma"/>
          <w:iCs/>
          <w:lang w:eastAsia="es-ES_tradnl"/>
        </w:rPr>
        <w:t>…</w:t>
      </w:r>
    </w:p>
    <w:p w14:paraId="110885E9" w14:textId="2E651CB9" w:rsidR="008F6853" w:rsidRPr="006E241A" w:rsidRDefault="008F6853" w:rsidP="00906410">
      <w:pPr>
        <w:tabs>
          <w:tab w:val="left" w:pos="4962"/>
        </w:tabs>
        <w:spacing w:line="276" w:lineRule="auto"/>
        <w:ind w:left="567" w:right="539"/>
        <w:jc w:val="both"/>
        <w:rPr>
          <w:rFonts w:ascii="Palatino Linotype" w:eastAsia="Calibri" w:hAnsi="Palatino Linotype" w:cs="Tahoma"/>
          <w:b/>
          <w:iCs/>
          <w:u w:val="single"/>
          <w:lang w:eastAsia="es-ES_tradnl"/>
        </w:rPr>
      </w:pPr>
      <w:r w:rsidRPr="006E241A">
        <w:rPr>
          <w:rFonts w:ascii="Palatino Linotype" w:eastAsia="Calibri" w:hAnsi="Palatino Linotype" w:cs="Tahoma"/>
          <w:b/>
          <w:iCs/>
          <w:u w:val="single"/>
          <w:lang w:eastAsia="es-ES_tradnl"/>
        </w:rPr>
        <w:t>ARTÍCULO 106. Se entiende por escalafón el sistema para efectuar las promociones de ascensos de los servidores públicos, conforme a lo señalado en esta ley y en las disposiciones reglamentarias correspondientes.</w:t>
      </w:r>
    </w:p>
    <w:p w14:paraId="16321565" w14:textId="77777777" w:rsidR="00D97378" w:rsidRPr="006E241A" w:rsidRDefault="00D97378" w:rsidP="00906410">
      <w:pPr>
        <w:tabs>
          <w:tab w:val="left" w:pos="4962"/>
        </w:tabs>
        <w:spacing w:line="276" w:lineRule="auto"/>
        <w:ind w:left="567" w:right="539"/>
        <w:jc w:val="both"/>
        <w:rPr>
          <w:rFonts w:ascii="Palatino Linotype" w:eastAsia="Calibri" w:hAnsi="Palatino Linotype" w:cs="Tahoma"/>
          <w:b/>
          <w:iCs/>
          <w:u w:val="single"/>
          <w:lang w:eastAsia="es-ES_tradnl"/>
        </w:rPr>
      </w:pPr>
    </w:p>
    <w:p w14:paraId="780BBA9F" w14:textId="59BDB6C7"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107</w:t>
      </w:r>
      <w:r w:rsidRPr="006E241A">
        <w:rPr>
          <w:rFonts w:ascii="Palatino Linotype" w:eastAsia="Calibri" w:hAnsi="Palatino Linotype" w:cs="Tahoma"/>
          <w:iCs/>
          <w:lang w:eastAsia="es-ES_tradnl"/>
        </w:rPr>
        <w:t xml:space="preserve">. </w:t>
      </w:r>
      <w:r w:rsidRPr="006E241A">
        <w:rPr>
          <w:rFonts w:ascii="Palatino Linotype" w:eastAsia="Calibri" w:hAnsi="Palatino Linotype" w:cs="Tahoma"/>
          <w:b/>
          <w:iCs/>
          <w:lang w:eastAsia="es-ES_tradnl"/>
        </w:rPr>
        <w:t>En cada institución pública se expedirá un reglamento de escalafón conforme a lo dispuesto en esta ley</w:t>
      </w:r>
      <w:r w:rsidRPr="006E241A">
        <w:rPr>
          <w:rFonts w:ascii="Palatino Linotype" w:eastAsia="Calibri" w:hAnsi="Palatino Linotype" w:cs="Tahoma"/>
          <w:iCs/>
          <w:lang w:eastAsia="es-ES_tradnl"/>
        </w:rPr>
        <w:t>, en el que se regularán también las permutas. Este reglamento se formulará de común acuerdo entre la institución pública y el sindicato respectivo, en caso de existir esta representación.</w:t>
      </w:r>
    </w:p>
    <w:p w14:paraId="5E19D3A5" w14:textId="77777777"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p>
    <w:p w14:paraId="6477F9E7" w14:textId="0CDCB74E"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108</w:t>
      </w:r>
      <w:r w:rsidRPr="006E241A">
        <w:rPr>
          <w:rFonts w:ascii="Palatino Linotype" w:eastAsia="Calibri" w:hAnsi="Palatino Linotype" w:cs="Tahoma"/>
          <w:iCs/>
          <w:lang w:eastAsia="es-ES_tradnl"/>
        </w:rPr>
        <w:t>. Los factores que deben ser tomados en cuenta, como mínimo, para establecer el sistema escalafonario son: preparación, eficiencia y antigüedad.</w:t>
      </w:r>
    </w:p>
    <w:p w14:paraId="52FF5FA5" w14:textId="77777777" w:rsidR="007365E6" w:rsidRPr="006E241A" w:rsidRDefault="007365E6" w:rsidP="00906410">
      <w:pPr>
        <w:tabs>
          <w:tab w:val="left" w:pos="4962"/>
        </w:tabs>
        <w:spacing w:line="276" w:lineRule="auto"/>
        <w:ind w:left="567" w:right="539"/>
        <w:jc w:val="both"/>
        <w:rPr>
          <w:rFonts w:ascii="Palatino Linotype" w:eastAsia="Calibri" w:hAnsi="Palatino Linotype" w:cs="Tahoma"/>
          <w:iCs/>
          <w:lang w:eastAsia="es-ES_tradnl"/>
        </w:rPr>
      </w:pPr>
    </w:p>
    <w:p w14:paraId="69BB0448" w14:textId="77777777"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lastRenderedPageBreak/>
        <w:t>Para los efectos de esta ley se entiende como:</w:t>
      </w:r>
    </w:p>
    <w:p w14:paraId="71472FBD" w14:textId="77777777" w:rsidR="007365E6" w:rsidRPr="006E241A" w:rsidRDefault="007365E6" w:rsidP="00906410">
      <w:pPr>
        <w:tabs>
          <w:tab w:val="left" w:pos="4962"/>
        </w:tabs>
        <w:spacing w:line="276" w:lineRule="auto"/>
        <w:ind w:left="567" w:right="539"/>
        <w:jc w:val="both"/>
        <w:rPr>
          <w:rFonts w:ascii="Palatino Linotype" w:eastAsia="Calibri" w:hAnsi="Palatino Linotype" w:cs="Tahoma"/>
          <w:iCs/>
          <w:lang w:eastAsia="es-ES_tradnl"/>
        </w:rPr>
      </w:pPr>
    </w:p>
    <w:p w14:paraId="374BCB0F" w14:textId="4EBD492C"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 xml:space="preserve">I. Preparación, los conocimientos y la formación académica o profesional acreditada satisfactoriamente, </w:t>
      </w:r>
      <w:r w:rsidRPr="006E241A">
        <w:rPr>
          <w:rFonts w:ascii="Palatino Linotype" w:eastAsia="Calibri" w:hAnsi="Palatino Linotype" w:cs="Tahoma"/>
          <w:b/>
          <w:iCs/>
          <w:u w:val="single"/>
          <w:lang w:eastAsia="es-ES_tradnl"/>
        </w:rPr>
        <w:t>así como el dominio de los principios teóricos y prácticos que requiere el puesto a desempeñar;</w:t>
      </w:r>
    </w:p>
    <w:p w14:paraId="0091AD3C" w14:textId="26BA28D5"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II. Eficiencia, el grado de efectividad, empleo de aptitudes personales y aplicación de esfuerzo en el desempeño del puesto para el que el servidor público haya sido designado; y</w:t>
      </w:r>
    </w:p>
    <w:p w14:paraId="382098C4" w14:textId="2976E72A"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III. Antigüedad, el tiempo efectivo de servicios prestados en cualquier institución pública, cuya relación laboral se rija por la presente ley. La antigüedad no se perderá por encontrarse en el desempeño de un cargo de elección popular, comisión sindical o puesto de confianza.</w:t>
      </w:r>
    </w:p>
    <w:p w14:paraId="2A050BB1" w14:textId="77777777" w:rsidR="007365E6" w:rsidRPr="006E241A" w:rsidRDefault="007365E6" w:rsidP="00906410">
      <w:pPr>
        <w:tabs>
          <w:tab w:val="left" w:pos="4962"/>
        </w:tabs>
        <w:spacing w:line="276" w:lineRule="auto"/>
        <w:ind w:left="567" w:right="539"/>
        <w:jc w:val="both"/>
        <w:rPr>
          <w:rFonts w:ascii="Palatino Linotype" w:eastAsia="Calibri" w:hAnsi="Palatino Linotype" w:cs="Tahoma"/>
          <w:iCs/>
          <w:lang w:eastAsia="es-ES_tradnl"/>
        </w:rPr>
      </w:pPr>
    </w:p>
    <w:p w14:paraId="1355D19B" w14:textId="3B725E42"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Los factores escalafonarios se evaluarán mediante los sistemas que se establezcan en los reglamentos de escalafón de cada institución pública, pero en ningún caso el factor antigüedad podrá tener mayor valor que la preparación y la eficiencia.</w:t>
      </w:r>
    </w:p>
    <w:p w14:paraId="2D96E23E" w14:textId="77777777"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p>
    <w:p w14:paraId="1FD95B9A" w14:textId="1AAF863C" w:rsidR="008F6853" w:rsidRPr="006E241A" w:rsidRDefault="008F6853"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109</w:t>
      </w:r>
      <w:r w:rsidRPr="006E241A">
        <w:rPr>
          <w:rFonts w:ascii="Palatino Linotype" w:eastAsia="Calibri" w:hAnsi="Palatino Linotype" w:cs="Tahoma"/>
          <w:iCs/>
          <w:lang w:eastAsia="es-ES_tradnl"/>
        </w:rPr>
        <w:t xml:space="preserve">. Cada institución pública deberá clasificar escalafonariamente a sus servidores públicos según las categorías consignadas en los respectivos catálogos de puestos, y formar los escalafones de acuerdo a las </w:t>
      </w:r>
      <w:r w:rsidR="00D97378" w:rsidRPr="006E241A">
        <w:rPr>
          <w:rFonts w:ascii="Palatino Linotype" w:eastAsia="Calibri" w:hAnsi="Palatino Linotype" w:cs="Tahoma"/>
          <w:iCs/>
          <w:lang w:eastAsia="es-ES_tradnl"/>
        </w:rPr>
        <w:t>bases establecidas en esta ley.</w:t>
      </w:r>
    </w:p>
    <w:p w14:paraId="389E22B9" w14:textId="77777777" w:rsidR="00442B41" w:rsidRPr="006E241A" w:rsidRDefault="00442B41" w:rsidP="00906410">
      <w:pPr>
        <w:tabs>
          <w:tab w:val="left" w:pos="4962"/>
        </w:tabs>
        <w:spacing w:line="276" w:lineRule="auto"/>
        <w:ind w:left="567" w:right="539"/>
        <w:jc w:val="both"/>
        <w:rPr>
          <w:rFonts w:ascii="Palatino Linotype" w:eastAsia="Calibri" w:hAnsi="Palatino Linotype" w:cs="Tahoma"/>
          <w:b/>
          <w:iCs/>
          <w:lang w:eastAsia="es-ES_tradnl"/>
        </w:rPr>
      </w:pPr>
    </w:p>
    <w:p w14:paraId="70FF358C" w14:textId="6A8A466F" w:rsidR="00D97378" w:rsidRPr="006E241A" w:rsidRDefault="00D97378"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110</w:t>
      </w:r>
      <w:r w:rsidRPr="006E241A">
        <w:rPr>
          <w:rFonts w:ascii="Palatino Linotype" w:eastAsia="Calibri" w:hAnsi="Palatino Linotype" w:cs="Tahoma"/>
          <w:iCs/>
          <w:lang w:eastAsia="es-ES_tradnl"/>
        </w:rPr>
        <w:t xml:space="preserve">. </w:t>
      </w:r>
      <w:r w:rsidRPr="006E241A">
        <w:rPr>
          <w:rFonts w:ascii="Palatino Linotype" w:eastAsia="Calibri" w:hAnsi="Palatino Linotype" w:cs="Tahoma"/>
          <w:b/>
          <w:iCs/>
          <w:u w:val="single"/>
          <w:lang w:eastAsia="es-ES_tradnl"/>
        </w:rPr>
        <w:t>En cada institución pública o dependencia funcionará una comisión mixta de escalafón que será presidida por el titular de la misma o por su representante, la cual será responsable de vigilar que el sistema de profesionalización</w:t>
      </w:r>
      <w:r w:rsidRPr="006E241A">
        <w:rPr>
          <w:rFonts w:ascii="Palatino Linotype" w:eastAsia="Calibri" w:hAnsi="Palatino Linotype" w:cs="Tahoma"/>
          <w:iCs/>
          <w:lang w:eastAsia="es-ES_tradnl"/>
        </w:rPr>
        <w:t xml:space="preserve"> se desarrolle de acuerdo a lo establecido en esta ley y demás ordenamientos aplicables. Estas comisione estarán integradas por igual número de representantes de la institución pública o dependencia y de los servidores públicos.</w:t>
      </w:r>
    </w:p>
    <w:p w14:paraId="1E9E5B78" w14:textId="77777777" w:rsidR="007365E6" w:rsidRPr="006E241A" w:rsidRDefault="007365E6" w:rsidP="00906410">
      <w:pPr>
        <w:tabs>
          <w:tab w:val="left" w:pos="4962"/>
        </w:tabs>
        <w:spacing w:line="276" w:lineRule="auto"/>
        <w:ind w:left="567" w:right="539"/>
        <w:jc w:val="both"/>
        <w:rPr>
          <w:rFonts w:ascii="Palatino Linotype" w:eastAsia="Calibri" w:hAnsi="Palatino Linotype" w:cs="Tahoma"/>
          <w:iCs/>
          <w:lang w:eastAsia="es-ES_tradnl"/>
        </w:rPr>
      </w:pPr>
    </w:p>
    <w:p w14:paraId="3C2CB884" w14:textId="096844C9" w:rsidR="00D97378" w:rsidRPr="006E241A" w:rsidRDefault="00D97378"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Los miembros de las comisiones mixtas de escalafón desempeñarán sus funciones gratuitamente.”</w:t>
      </w:r>
    </w:p>
    <w:p w14:paraId="00237FD5" w14:textId="77777777" w:rsidR="00D97378" w:rsidRPr="006E241A" w:rsidRDefault="00D97378" w:rsidP="00906410">
      <w:pPr>
        <w:tabs>
          <w:tab w:val="left" w:pos="4962"/>
        </w:tabs>
        <w:spacing w:line="276" w:lineRule="auto"/>
        <w:ind w:left="567" w:right="539"/>
        <w:jc w:val="both"/>
        <w:rPr>
          <w:rFonts w:ascii="Palatino Linotype" w:eastAsia="Calibri" w:hAnsi="Palatino Linotype" w:cs="Tahoma"/>
          <w:iCs/>
          <w:lang w:eastAsia="es-ES_tradnl"/>
        </w:rPr>
      </w:pPr>
    </w:p>
    <w:p w14:paraId="36B16852" w14:textId="4452EBDE" w:rsidR="00930D73" w:rsidRPr="006E241A" w:rsidRDefault="00D97378" w:rsidP="00906410">
      <w:p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t xml:space="preserve">De lo antes expuesto, se </w:t>
      </w:r>
      <w:r w:rsidR="0000265E">
        <w:rPr>
          <w:rFonts w:ascii="Palatino Linotype" w:eastAsia="Calibri" w:hAnsi="Palatino Linotype" w:cs="Tahoma"/>
          <w:iCs/>
          <w:sz w:val="24"/>
          <w:lang w:eastAsia="es-ES_tradnl"/>
        </w:rPr>
        <w:t>advierte</w:t>
      </w:r>
      <w:r w:rsidR="0000265E" w:rsidRPr="006E241A">
        <w:rPr>
          <w:rFonts w:ascii="Palatino Linotype" w:eastAsia="Calibri" w:hAnsi="Palatino Linotype" w:cs="Tahoma"/>
          <w:iCs/>
          <w:sz w:val="24"/>
          <w:lang w:eastAsia="es-ES_tradnl"/>
        </w:rPr>
        <w:t xml:space="preserve"> </w:t>
      </w:r>
      <w:r w:rsidRPr="006E241A">
        <w:rPr>
          <w:rFonts w:ascii="Palatino Linotype" w:eastAsia="Calibri" w:hAnsi="Palatino Linotype" w:cs="Tahoma"/>
          <w:iCs/>
          <w:sz w:val="24"/>
          <w:lang w:eastAsia="es-ES_tradnl"/>
        </w:rPr>
        <w:t xml:space="preserve">que existe un sistema profesional con la implantación de un régimen escalafonario para determinar </w:t>
      </w:r>
      <w:r w:rsidR="0000265E">
        <w:rPr>
          <w:rFonts w:ascii="Palatino Linotype" w:eastAsia="Calibri" w:hAnsi="Palatino Linotype" w:cs="Tahoma"/>
          <w:iCs/>
          <w:sz w:val="24"/>
          <w:lang w:eastAsia="es-ES_tradnl"/>
        </w:rPr>
        <w:t xml:space="preserve">el </w:t>
      </w:r>
      <w:r w:rsidRPr="006E241A">
        <w:rPr>
          <w:rFonts w:ascii="Palatino Linotype" w:eastAsia="Calibri" w:hAnsi="Palatino Linotype" w:cs="Tahoma"/>
          <w:iCs/>
          <w:sz w:val="24"/>
          <w:lang w:eastAsia="es-ES_tradnl"/>
        </w:rPr>
        <w:t>movimientos de los servidores públicos dentro de las instituciones públicas</w:t>
      </w:r>
      <w:r w:rsidR="00B908CF" w:rsidRPr="006E241A">
        <w:rPr>
          <w:rFonts w:ascii="Palatino Linotype" w:eastAsia="Calibri" w:hAnsi="Palatino Linotype" w:cs="Tahoma"/>
          <w:iCs/>
          <w:sz w:val="24"/>
          <w:lang w:eastAsia="es-ES_tradnl"/>
        </w:rPr>
        <w:t>;</w:t>
      </w:r>
      <w:r w:rsidRPr="006E241A">
        <w:rPr>
          <w:rFonts w:ascii="Palatino Linotype" w:eastAsia="Calibri" w:hAnsi="Palatino Linotype" w:cs="Tahoma"/>
          <w:iCs/>
          <w:sz w:val="24"/>
          <w:lang w:eastAsia="es-ES_tradnl"/>
        </w:rPr>
        <w:t xml:space="preserve"> que este sistema </w:t>
      </w:r>
      <w:r w:rsidR="00442B41" w:rsidRPr="006E241A">
        <w:rPr>
          <w:rFonts w:ascii="Palatino Linotype" w:eastAsia="Calibri" w:hAnsi="Palatino Linotype" w:cs="Tahoma"/>
          <w:iCs/>
          <w:sz w:val="24"/>
          <w:lang w:eastAsia="es-ES_tradnl"/>
        </w:rPr>
        <w:t>funciona</w:t>
      </w:r>
      <w:r w:rsidR="00930D73" w:rsidRPr="006E241A">
        <w:rPr>
          <w:rFonts w:ascii="Palatino Linotype" w:eastAsia="Calibri" w:hAnsi="Palatino Linotype" w:cs="Tahoma"/>
          <w:iCs/>
          <w:sz w:val="24"/>
          <w:lang w:eastAsia="es-ES_tradnl"/>
        </w:rPr>
        <w:t xml:space="preserve"> por medio de una Comisión Mixta</w:t>
      </w:r>
      <w:r w:rsidR="0000265E">
        <w:rPr>
          <w:rFonts w:ascii="Palatino Linotype" w:eastAsia="Calibri" w:hAnsi="Palatino Linotype" w:cs="Tahoma"/>
          <w:iCs/>
          <w:sz w:val="24"/>
          <w:lang w:eastAsia="es-ES_tradnl"/>
        </w:rPr>
        <w:t>,</w:t>
      </w:r>
      <w:r w:rsidR="00930D73" w:rsidRPr="006E241A">
        <w:rPr>
          <w:rFonts w:ascii="Palatino Linotype" w:eastAsia="Calibri" w:hAnsi="Palatino Linotype" w:cs="Tahoma"/>
          <w:iCs/>
          <w:sz w:val="24"/>
          <w:lang w:eastAsia="es-ES_tradnl"/>
        </w:rPr>
        <w:t xml:space="preserve"> </w:t>
      </w:r>
      <w:r w:rsidR="00B908CF" w:rsidRPr="006E241A">
        <w:rPr>
          <w:rFonts w:ascii="Palatino Linotype" w:eastAsia="Calibri" w:hAnsi="Palatino Linotype" w:cs="Tahoma"/>
          <w:iCs/>
          <w:sz w:val="24"/>
          <w:lang w:eastAsia="es-ES_tradnl"/>
        </w:rPr>
        <w:t>que es</w:t>
      </w:r>
      <w:r w:rsidR="00930D73" w:rsidRPr="006E241A">
        <w:rPr>
          <w:rFonts w:ascii="Palatino Linotype" w:eastAsia="Calibri" w:hAnsi="Palatino Linotype" w:cs="Tahoma"/>
          <w:iCs/>
          <w:sz w:val="24"/>
          <w:lang w:eastAsia="es-ES_tradnl"/>
        </w:rPr>
        <w:t xml:space="preserve"> la encarga de vigilar los procedimientos y </w:t>
      </w:r>
      <w:r w:rsidRPr="006E241A">
        <w:rPr>
          <w:rFonts w:ascii="Palatino Linotype" w:eastAsia="Calibri" w:hAnsi="Palatino Linotype" w:cs="Tahoma"/>
          <w:iCs/>
          <w:sz w:val="24"/>
          <w:lang w:eastAsia="es-ES_tradnl"/>
        </w:rPr>
        <w:t>mecanismo</w:t>
      </w:r>
      <w:r w:rsidR="00930D73" w:rsidRPr="006E241A">
        <w:rPr>
          <w:rFonts w:ascii="Palatino Linotype" w:eastAsia="Calibri" w:hAnsi="Palatino Linotype" w:cs="Tahoma"/>
          <w:iCs/>
          <w:sz w:val="24"/>
          <w:lang w:eastAsia="es-ES_tradnl"/>
        </w:rPr>
        <w:t>s</w:t>
      </w:r>
      <w:r w:rsidRPr="006E241A">
        <w:rPr>
          <w:rFonts w:ascii="Palatino Linotype" w:eastAsia="Calibri" w:hAnsi="Palatino Linotype" w:cs="Tahoma"/>
          <w:iCs/>
          <w:sz w:val="24"/>
          <w:lang w:eastAsia="es-ES_tradnl"/>
        </w:rPr>
        <w:t xml:space="preserve"> para efectuar los ascensos, los cuales serán determinados por diversos factores entre los que </w:t>
      </w:r>
      <w:r w:rsidR="007365E6" w:rsidRPr="006E241A">
        <w:rPr>
          <w:rFonts w:ascii="Palatino Linotype" w:eastAsia="Calibri" w:hAnsi="Palatino Linotype" w:cs="Tahoma"/>
          <w:iCs/>
          <w:sz w:val="24"/>
          <w:lang w:eastAsia="es-ES_tradnl"/>
        </w:rPr>
        <w:t xml:space="preserve">destaca </w:t>
      </w:r>
      <w:r w:rsidRPr="006E241A">
        <w:rPr>
          <w:rFonts w:ascii="Palatino Linotype" w:eastAsia="Calibri" w:hAnsi="Palatino Linotype" w:cs="Tahoma"/>
          <w:iCs/>
          <w:sz w:val="24"/>
          <w:lang w:eastAsia="es-ES_tradnl"/>
        </w:rPr>
        <w:t xml:space="preserve">la acreditación </w:t>
      </w:r>
      <w:r w:rsidR="00930D73" w:rsidRPr="006E241A">
        <w:rPr>
          <w:rFonts w:ascii="Palatino Linotype" w:eastAsia="Calibri" w:hAnsi="Palatino Linotype" w:cs="Tahoma"/>
          <w:iCs/>
          <w:sz w:val="24"/>
          <w:lang w:eastAsia="es-ES_tradnl"/>
        </w:rPr>
        <w:t>del dominio de principios teóricos y prácticos.</w:t>
      </w:r>
    </w:p>
    <w:p w14:paraId="3085BCEE" w14:textId="77777777" w:rsidR="00930D73" w:rsidRPr="006E241A" w:rsidRDefault="00930D73" w:rsidP="00906410">
      <w:pPr>
        <w:tabs>
          <w:tab w:val="left" w:pos="4962"/>
        </w:tabs>
        <w:spacing w:line="276" w:lineRule="auto"/>
        <w:jc w:val="both"/>
        <w:rPr>
          <w:rFonts w:ascii="Palatino Linotype" w:eastAsia="Calibri" w:hAnsi="Palatino Linotype" w:cs="Tahoma"/>
          <w:iCs/>
          <w:sz w:val="24"/>
          <w:lang w:eastAsia="es-ES_tradnl"/>
        </w:rPr>
      </w:pPr>
    </w:p>
    <w:p w14:paraId="3B65AA89" w14:textId="53EE586B" w:rsidR="008E2986" w:rsidRDefault="00930D73" w:rsidP="00906410">
      <w:p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eastAsia="Calibri" w:hAnsi="Palatino Linotype" w:cs="Tahoma"/>
          <w:iCs/>
          <w:sz w:val="24"/>
          <w:lang w:eastAsia="es-ES_tradnl"/>
        </w:rPr>
        <w:t>Por su parte, el Reglamento de escalafón de los servidores públicos generales del Poder Ejecutivo del Estado de México</w:t>
      </w:r>
      <w:r w:rsidRPr="006E241A">
        <w:rPr>
          <w:rStyle w:val="Refdenotaalpie"/>
          <w:rFonts w:ascii="Palatino Linotype" w:eastAsia="Calibri" w:hAnsi="Palatino Linotype" w:cs="Tahoma"/>
          <w:iCs/>
          <w:sz w:val="24"/>
          <w:lang w:eastAsia="es-ES_tradnl"/>
        </w:rPr>
        <w:footnoteReference w:id="1"/>
      </w:r>
      <w:r w:rsidRPr="006E241A">
        <w:rPr>
          <w:rFonts w:ascii="Palatino Linotype" w:eastAsia="Calibri" w:hAnsi="Palatino Linotype" w:cs="Tahoma"/>
          <w:iCs/>
          <w:sz w:val="24"/>
          <w:lang w:eastAsia="es-ES_tradnl"/>
        </w:rPr>
        <w:t xml:space="preserve"> establece las normas que regulan los movimientos escalafonarios de los servidores públicos,</w:t>
      </w:r>
      <w:r w:rsidR="00442B41" w:rsidRPr="006E241A">
        <w:rPr>
          <w:rFonts w:ascii="Palatino Linotype" w:eastAsia="Calibri" w:hAnsi="Palatino Linotype" w:cs="Tahoma"/>
          <w:iCs/>
          <w:sz w:val="24"/>
          <w:lang w:eastAsia="es-ES_tradnl"/>
        </w:rPr>
        <w:t xml:space="preserve"> señalando lo siguiente</w:t>
      </w:r>
      <w:r w:rsidRPr="006E241A">
        <w:rPr>
          <w:rFonts w:ascii="Palatino Linotype" w:eastAsia="Calibri" w:hAnsi="Palatino Linotype" w:cs="Tahoma"/>
          <w:iCs/>
          <w:sz w:val="24"/>
          <w:lang w:eastAsia="es-ES_tradnl"/>
        </w:rPr>
        <w:t>:</w:t>
      </w:r>
    </w:p>
    <w:p w14:paraId="3D77B632" w14:textId="77777777" w:rsidR="002811AA" w:rsidRPr="006E241A" w:rsidRDefault="002811AA" w:rsidP="00906410">
      <w:pPr>
        <w:tabs>
          <w:tab w:val="left" w:pos="4962"/>
        </w:tabs>
        <w:spacing w:line="276" w:lineRule="auto"/>
        <w:jc w:val="both"/>
        <w:rPr>
          <w:rFonts w:ascii="Palatino Linotype" w:eastAsia="Calibri" w:hAnsi="Palatino Linotype" w:cs="Tahoma"/>
          <w:iCs/>
          <w:sz w:val="24"/>
          <w:lang w:eastAsia="es-ES_tradnl"/>
        </w:rPr>
      </w:pPr>
    </w:p>
    <w:p w14:paraId="68A7BE69" w14:textId="77777777" w:rsidR="002811AA" w:rsidRPr="00906410" w:rsidRDefault="002811AA" w:rsidP="002811AA">
      <w:pPr>
        <w:tabs>
          <w:tab w:val="left" w:pos="4962"/>
        </w:tabs>
        <w:spacing w:line="276" w:lineRule="auto"/>
        <w:ind w:right="539"/>
        <w:jc w:val="center"/>
        <w:rPr>
          <w:rFonts w:ascii="Palatino Linotype" w:eastAsia="Calibri" w:hAnsi="Palatino Linotype" w:cs="Tahoma"/>
          <w:iCs/>
          <w:lang w:eastAsia="es-ES_tradnl"/>
        </w:rPr>
      </w:pPr>
      <w:r w:rsidRPr="00906410">
        <w:rPr>
          <w:rFonts w:ascii="Palatino Linotype" w:eastAsia="Calibri" w:hAnsi="Palatino Linotype" w:cs="Tahoma"/>
          <w:iCs/>
          <w:lang w:eastAsia="es-ES_tradnl"/>
        </w:rPr>
        <w:t>TÍTULO PRIMERO</w:t>
      </w:r>
    </w:p>
    <w:p w14:paraId="0640A162" w14:textId="77777777" w:rsidR="002811AA" w:rsidRPr="00906410" w:rsidRDefault="002811AA" w:rsidP="002811AA">
      <w:pPr>
        <w:tabs>
          <w:tab w:val="left" w:pos="4962"/>
        </w:tabs>
        <w:spacing w:line="276" w:lineRule="auto"/>
        <w:ind w:right="539"/>
        <w:jc w:val="center"/>
        <w:rPr>
          <w:rFonts w:ascii="Palatino Linotype" w:eastAsia="Calibri" w:hAnsi="Palatino Linotype" w:cs="Tahoma"/>
          <w:iCs/>
          <w:lang w:eastAsia="es-ES_tradnl"/>
        </w:rPr>
      </w:pPr>
      <w:r w:rsidRPr="00906410">
        <w:rPr>
          <w:rFonts w:ascii="Palatino Linotype" w:eastAsia="Calibri" w:hAnsi="Palatino Linotype" w:cs="Tahoma"/>
          <w:iCs/>
          <w:lang w:eastAsia="es-ES_tradnl"/>
        </w:rPr>
        <w:t>DEL SISTEMA ESCALAFONARIO</w:t>
      </w:r>
    </w:p>
    <w:p w14:paraId="787BDAE7" w14:textId="77777777" w:rsidR="002811AA" w:rsidRPr="00906410" w:rsidRDefault="002811AA" w:rsidP="002811AA">
      <w:pPr>
        <w:tabs>
          <w:tab w:val="left" w:pos="4962"/>
        </w:tabs>
        <w:spacing w:line="276" w:lineRule="auto"/>
        <w:ind w:right="539"/>
        <w:jc w:val="center"/>
        <w:rPr>
          <w:rFonts w:ascii="Palatino Linotype" w:eastAsia="Calibri" w:hAnsi="Palatino Linotype" w:cs="Tahoma"/>
          <w:iCs/>
          <w:lang w:eastAsia="es-ES_tradnl"/>
        </w:rPr>
      </w:pPr>
      <w:r w:rsidRPr="00906410">
        <w:rPr>
          <w:rFonts w:ascii="Palatino Linotype" w:eastAsia="Calibri" w:hAnsi="Palatino Linotype" w:cs="Tahoma"/>
          <w:iCs/>
          <w:lang w:eastAsia="es-ES_tradnl"/>
        </w:rPr>
        <w:t>CAPÍTULO I</w:t>
      </w:r>
    </w:p>
    <w:p w14:paraId="15C9EE0A" w14:textId="4289D9DC" w:rsidR="00CD0A7D" w:rsidRDefault="002811AA" w:rsidP="00906410">
      <w:pPr>
        <w:tabs>
          <w:tab w:val="left" w:pos="4962"/>
        </w:tabs>
        <w:spacing w:line="276" w:lineRule="auto"/>
        <w:ind w:right="539"/>
        <w:jc w:val="center"/>
        <w:rPr>
          <w:rFonts w:ascii="Palatino Linotype" w:eastAsia="Calibri" w:hAnsi="Palatino Linotype" w:cs="Tahoma"/>
          <w:iCs/>
          <w:lang w:eastAsia="es-ES_tradnl"/>
        </w:rPr>
      </w:pPr>
      <w:r w:rsidRPr="00906410">
        <w:rPr>
          <w:rFonts w:ascii="Palatino Linotype" w:eastAsia="Calibri" w:hAnsi="Palatino Linotype" w:cs="Tahoma"/>
          <w:iCs/>
          <w:lang w:eastAsia="es-ES_tradnl"/>
        </w:rPr>
        <w:t>DE LAS DISPOSICIONES GENERALES</w:t>
      </w:r>
    </w:p>
    <w:p w14:paraId="416C6242" w14:textId="77777777" w:rsidR="002811AA" w:rsidRPr="00906410" w:rsidRDefault="002811AA" w:rsidP="00906410">
      <w:pPr>
        <w:tabs>
          <w:tab w:val="left" w:pos="4962"/>
        </w:tabs>
        <w:spacing w:line="276" w:lineRule="auto"/>
        <w:ind w:right="539"/>
        <w:jc w:val="center"/>
        <w:rPr>
          <w:rFonts w:ascii="Palatino Linotype" w:eastAsia="Calibri" w:hAnsi="Palatino Linotype" w:cs="Tahoma"/>
          <w:iCs/>
          <w:lang w:eastAsia="es-ES_tradnl"/>
        </w:rPr>
      </w:pPr>
    </w:p>
    <w:p w14:paraId="29CF34A0" w14:textId="60E8CF25" w:rsidR="00CD0A7D" w:rsidRDefault="00CD0A7D" w:rsidP="00CD0A7D">
      <w:pPr>
        <w:tabs>
          <w:tab w:val="left" w:pos="4962"/>
        </w:tabs>
        <w:spacing w:line="276" w:lineRule="auto"/>
        <w:ind w:left="567" w:right="539"/>
        <w:jc w:val="both"/>
        <w:rPr>
          <w:rFonts w:ascii="Palatino Linotype" w:eastAsia="Calibri" w:hAnsi="Palatino Linotype" w:cs="Tahoma"/>
          <w:iCs/>
          <w:lang w:eastAsia="es-ES_tradnl"/>
        </w:rPr>
      </w:pPr>
      <w:r w:rsidRPr="00CD0A7D">
        <w:rPr>
          <w:rFonts w:ascii="Palatino Linotype" w:eastAsia="Calibri" w:hAnsi="Palatino Linotype" w:cs="Tahoma"/>
          <w:b/>
          <w:iCs/>
          <w:lang w:eastAsia="es-ES_tradnl"/>
        </w:rPr>
        <w:t xml:space="preserve">Artículo 1. </w:t>
      </w:r>
      <w:r w:rsidRPr="00906410">
        <w:rPr>
          <w:rFonts w:ascii="Palatino Linotype" w:eastAsia="Calibri" w:hAnsi="Palatino Linotype" w:cs="Tahoma"/>
          <w:iCs/>
          <w:lang w:eastAsia="es-ES_tradnl"/>
        </w:rPr>
        <w:t>El presente reglamento tiene por objeto establecer las normas que regulan los</w:t>
      </w:r>
      <w:r w:rsidR="00447C48">
        <w:rPr>
          <w:rFonts w:ascii="Palatino Linotype" w:eastAsia="Calibri" w:hAnsi="Palatino Linotype" w:cs="Tahoma"/>
          <w:iCs/>
          <w:lang w:eastAsia="es-ES_tradnl"/>
        </w:rPr>
        <w:t xml:space="preserve"> </w:t>
      </w:r>
      <w:r w:rsidRPr="00906410">
        <w:rPr>
          <w:rFonts w:ascii="Palatino Linotype" w:eastAsia="Calibri" w:hAnsi="Palatino Linotype" w:cs="Tahoma"/>
          <w:iCs/>
          <w:lang w:eastAsia="es-ES_tradnl"/>
        </w:rPr>
        <w:t>movimientos escalafonarios de los servidores públicos generales que prestan sus servicios por tiempo</w:t>
      </w:r>
      <w:r>
        <w:rPr>
          <w:rFonts w:ascii="Palatino Linotype" w:eastAsia="Calibri" w:hAnsi="Palatino Linotype" w:cs="Tahoma"/>
          <w:iCs/>
          <w:lang w:eastAsia="es-ES_tradnl"/>
        </w:rPr>
        <w:t xml:space="preserve"> </w:t>
      </w:r>
      <w:r w:rsidRPr="00906410">
        <w:rPr>
          <w:rFonts w:ascii="Palatino Linotype" w:eastAsia="Calibri" w:hAnsi="Palatino Linotype" w:cs="Tahoma"/>
          <w:iCs/>
          <w:lang w:eastAsia="es-ES_tradnl"/>
        </w:rPr>
        <w:t>indeterminado en las dependencias y Procuraduría General de Justicia del Estado de México.</w:t>
      </w:r>
    </w:p>
    <w:p w14:paraId="5E5FA3BE" w14:textId="77777777" w:rsidR="00447C48" w:rsidRPr="00906410" w:rsidRDefault="00447C48" w:rsidP="00CD0A7D">
      <w:pPr>
        <w:tabs>
          <w:tab w:val="left" w:pos="4962"/>
        </w:tabs>
        <w:spacing w:line="276" w:lineRule="auto"/>
        <w:ind w:left="567" w:right="539"/>
        <w:jc w:val="both"/>
        <w:rPr>
          <w:rFonts w:ascii="Palatino Linotype" w:eastAsia="Calibri" w:hAnsi="Palatino Linotype" w:cs="Tahoma"/>
          <w:iCs/>
          <w:lang w:eastAsia="es-ES_tradnl"/>
        </w:rPr>
      </w:pPr>
    </w:p>
    <w:p w14:paraId="3359E317" w14:textId="77777777" w:rsidR="003B45A9" w:rsidRDefault="00CD0A7D">
      <w:pPr>
        <w:tabs>
          <w:tab w:val="left" w:pos="4962"/>
        </w:tabs>
        <w:spacing w:line="276" w:lineRule="auto"/>
        <w:ind w:left="567" w:right="539"/>
        <w:jc w:val="both"/>
        <w:rPr>
          <w:rFonts w:ascii="Palatino Linotype" w:eastAsia="Calibri" w:hAnsi="Palatino Linotype" w:cs="Tahoma"/>
          <w:b/>
          <w:iCs/>
          <w:lang w:eastAsia="es-ES_tradnl"/>
        </w:rPr>
      </w:pPr>
      <w:r w:rsidRPr="00CD0A7D">
        <w:rPr>
          <w:rFonts w:ascii="Palatino Linotype" w:eastAsia="Calibri" w:hAnsi="Palatino Linotype" w:cs="Tahoma"/>
          <w:b/>
          <w:iCs/>
          <w:lang w:eastAsia="es-ES_tradnl"/>
        </w:rPr>
        <w:t xml:space="preserve">Artículo 2. </w:t>
      </w:r>
      <w:r w:rsidRPr="00447C48">
        <w:rPr>
          <w:rFonts w:ascii="Palatino Linotype" w:eastAsia="Calibri" w:hAnsi="Palatino Linotype" w:cs="Tahoma"/>
          <w:b/>
          <w:iCs/>
          <w:lang w:eastAsia="es-ES_tradnl"/>
        </w:rPr>
        <w:t>La aplicación del presente reglamento corresponde a la Comisión Mixta de Escalafón del</w:t>
      </w:r>
      <w:r w:rsidRPr="00906410">
        <w:rPr>
          <w:rFonts w:ascii="Palatino Linotype" w:eastAsia="Calibri" w:hAnsi="Palatino Linotype" w:cs="Tahoma"/>
          <w:b/>
          <w:iCs/>
          <w:lang w:eastAsia="es-ES_tradnl"/>
        </w:rPr>
        <w:t xml:space="preserve"> </w:t>
      </w:r>
      <w:r w:rsidRPr="00447C48">
        <w:rPr>
          <w:rFonts w:ascii="Palatino Linotype" w:eastAsia="Calibri" w:hAnsi="Palatino Linotype" w:cs="Tahoma"/>
          <w:b/>
          <w:iCs/>
          <w:lang w:eastAsia="es-ES_tradnl"/>
        </w:rPr>
        <w:t xml:space="preserve">Poder Ejecutivo que estará </w:t>
      </w:r>
      <w:r w:rsidRPr="00906410">
        <w:rPr>
          <w:rFonts w:ascii="Palatino Linotype" w:eastAsia="Calibri" w:hAnsi="Palatino Linotype" w:cs="Tahoma"/>
          <w:b/>
          <w:iCs/>
          <w:u w:val="single"/>
          <w:lang w:eastAsia="es-ES_tradnl"/>
        </w:rPr>
        <w:t>a cargo de la Secretaría de Finanzas</w:t>
      </w:r>
      <w:r w:rsidRPr="00906410">
        <w:rPr>
          <w:rFonts w:ascii="Palatino Linotype" w:eastAsia="Calibri" w:hAnsi="Palatino Linotype" w:cs="Tahoma"/>
          <w:iCs/>
          <w:lang w:eastAsia="es-ES_tradnl"/>
        </w:rPr>
        <w:t>, con apego a lo dispuesto en el</w:t>
      </w:r>
      <w:r>
        <w:rPr>
          <w:rFonts w:ascii="Palatino Linotype" w:eastAsia="Calibri" w:hAnsi="Palatino Linotype" w:cs="Tahoma"/>
          <w:iCs/>
          <w:lang w:eastAsia="es-ES_tradnl"/>
        </w:rPr>
        <w:t xml:space="preserve"> </w:t>
      </w:r>
      <w:r w:rsidRPr="00906410">
        <w:rPr>
          <w:rFonts w:ascii="Palatino Linotype" w:eastAsia="Calibri" w:hAnsi="Palatino Linotype" w:cs="Tahoma"/>
          <w:iCs/>
          <w:lang w:eastAsia="es-ES_tradnl"/>
        </w:rPr>
        <w:t>artículo 110 de la Ley del Trabajo de los Servidores Públicos del Estado y Municipios.</w:t>
      </w:r>
      <w:r w:rsidRPr="00CD0A7D">
        <w:rPr>
          <w:rFonts w:ascii="Palatino Linotype" w:eastAsia="Calibri" w:hAnsi="Palatino Linotype" w:cs="Tahoma"/>
          <w:b/>
          <w:iCs/>
          <w:lang w:eastAsia="es-ES_tradnl"/>
        </w:rPr>
        <w:cr/>
      </w:r>
    </w:p>
    <w:p w14:paraId="06028197" w14:textId="6552B3C4" w:rsidR="003B45A9" w:rsidRPr="00906410" w:rsidRDefault="003B45A9" w:rsidP="00906410">
      <w:pPr>
        <w:tabs>
          <w:tab w:val="left" w:pos="4962"/>
        </w:tabs>
        <w:spacing w:line="276" w:lineRule="auto"/>
        <w:ind w:left="567" w:right="539"/>
        <w:jc w:val="center"/>
        <w:rPr>
          <w:rFonts w:ascii="Palatino Linotype" w:eastAsia="Calibri" w:hAnsi="Palatino Linotype" w:cs="Tahoma"/>
          <w:iCs/>
          <w:lang w:eastAsia="es-ES_tradnl"/>
        </w:rPr>
      </w:pPr>
      <w:r w:rsidRPr="00906410">
        <w:rPr>
          <w:rFonts w:ascii="Palatino Linotype" w:eastAsia="Calibri" w:hAnsi="Palatino Linotype" w:cs="Tahoma"/>
          <w:iCs/>
          <w:lang w:eastAsia="es-ES_tradnl"/>
        </w:rPr>
        <w:t>CAPÍTULO II</w:t>
      </w:r>
    </w:p>
    <w:p w14:paraId="29321F93" w14:textId="77777777" w:rsidR="003B45A9" w:rsidRDefault="003B45A9" w:rsidP="00906410">
      <w:pPr>
        <w:tabs>
          <w:tab w:val="left" w:pos="4962"/>
        </w:tabs>
        <w:spacing w:line="276" w:lineRule="auto"/>
        <w:ind w:left="567" w:right="539"/>
        <w:jc w:val="center"/>
        <w:rPr>
          <w:rFonts w:ascii="Palatino Linotype" w:eastAsia="Calibri" w:hAnsi="Palatino Linotype" w:cs="Tahoma"/>
          <w:iCs/>
          <w:lang w:eastAsia="es-ES_tradnl"/>
        </w:rPr>
      </w:pPr>
      <w:r w:rsidRPr="00906410">
        <w:rPr>
          <w:rFonts w:ascii="Palatino Linotype" w:eastAsia="Calibri" w:hAnsi="Palatino Linotype" w:cs="Tahoma"/>
          <w:iCs/>
          <w:lang w:eastAsia="es-ES_tradnl"/>
        </w:rPr>
        <w:t>DE LOS DERECHOS ESCALAFONARIOS</w:t>
      </w:r>
    </w:p>
    <w:p w14:paraId="30C75C11" w14:textId="77777777" w:rsidR="003B45A9" w:rsidRPr="00906410" w:rsidRDefault="003B45A9" w:rsidP="00906410">
      <w:pPr>
        <w:tabs>
          <w:tab w:val="left" w:pos="4962"/>
        </w:tabs>
        <w:spacing w:line="276" w:lineRule="auto"/>
        <w:ind w:left="567" w:right="539"/>
        <w:jc w:val="center"/>
        <w:rPr>
          <w:rFonts w:ascii="Palatino Linotype" w:eastAsia="Calibri" w:hAnsi="Palatino Linotype" w:cs="Tahoma"/>
          <w:iCs/>
          <w:lang w:eastAsia="es-ES_tradnl"/>
        </w:rPr>
      </w:pPr>
    </w:p>
    <w:p w14:paraId="1CE40187" w14:textId="56A1A79E" w:rsidR="003B45A9" w:rsidRPr="00906410" w:rsidRDefault="003B45A9" w:rsidP="003B45A9">
      <w:pPr>
        <w:tabs>
          <w:tab w:val="left" w:pos="4962"/>
        </w:tabs>
        <w:spacing w:line="276" w:lineRule="auto"/>
        <w:ind w:left="567" w:right="539"/>
        <w:jc w:val="both"/>
        <w:rPr>
          <w:rFonts w:ascii="Palatino Linotype" w:eastAsia="Calibri" w:hAnsi="Palatino Linotype" w:cs="Tahoma"/>
          <w:iCs/>
          <w:lang w:eastAsia="es-ES_tradnl"/>
        </w:rPr>
      </w:pPr>
      <w:r w:rsidRPr="003B45A9">
        <w:rPr>
          <w:rFonts w:ascii="Palatino Linotype" w:eastAsia="Calibri" w:hAnsi="Palatino Linotype" w:cs="Tahoma"/>
          <w:b/>
          <w:iCs/>
          <w:lang w:eastAsia="es-ES_tradnl"/>
        </w:rPr>
        <w:t xml:space="preserve">Artículo 5. </w:t>
      </w:r>
      <w:r w:rsidRPr="00906410">
        <w:rPr>
          <w:rFonts w:ascii="Palatino Linotype" w:eastAsia="Calibri" w:hAnsi="Palatino Linotype" w:cs="Tahoma"/>
          <w:iCs/>
          <w:lang w:eastAsia="es-ES_tradnl"/>
        </w:rPr>
        <w:t>Los servidores públicos tendrán derecho a participar en las promociones escalafonarias cuando cumplan los requisitos establecidos en el presente reglamento, así como a:</w:t>
      </w:r>
    </w:p>
    <w:p w14:paraId="769A943D" w14:textId="30A5434A" w:rsidR="003B45A9" w:rsidRPr="00906410" w:rsidRDefault="003B45A9" w:rsidP="003B45A9">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I. A ascender de puesto por dictamen escalafonario, cuando, cumpliendo los requisitos básicos señalados en el Capítulo II, del Título Tercero, de este reglamento, obtengan la mayor puntuación escalafonaria en un concurso dado, salvo las excepciones previstas en el mismo.</w:t>
      </w:r>
    </w:p>
    <w:p w14:paraId="650EF5BE" w14:textId="32544EA3" w:rsidR="003B45A9" w:rsidRPr="00906410" w:rsidRDefault="003B45A9" w:rsidP="003B45A9">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II. Consultar su expediente cuando así lo soliciten, para conocer o determinar su situación escalafonaria, en el lugar donde las dependencias los tengan resguardados;</w:t>
      </w:r>
    </w:p>
    <w:p w14:paraId="4B18AA27" w14:textId="73C2B591" w:rsidR="003B45A9" w:rsidRPr="00906410" w:rsidRDefault="003B45A9" w:rsidP="003B45A9">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III. Agregar a su expediente, por los conductos oficiales, todo documento que se relacione con su situación laboral;</w:t>
      </w:r>
    </w:p>
    <w:p w14:paraId="107FFAA8" w14:textId="491A0BF7" w:rsidR="003B45A9" w:rsidRPr="00906410" w:rsidRDefault="003B45A9" w:rsidP="003B45A9">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lastRenderedPageBreak/>
        <w:t>IV. Realizar directamente, o por medio de un representante autorizado, cualquier trámite escalafonario, la representación podrá acreditarse mediante carta-poder simple, ante la Coordinación Administrativa correspondiente o el Sindicato;</w:t>
      </w:r>
    </w:p>
    <w:p w14:paraId="18BFC458" w14:textId="77777777" w:rsidR="003B45A9" w:rsidRPr="00906410" w:rsidRDefault="003B45A9" w:rsidP="003B45A9">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V. Participar en los concursos escalafonarios; y</w:t>
      </w:r>
    </w:p>
    <w:p w14:paraId="7EBDBC10" w14:textId="2C86C400" w:rsidR="00CD0A7D" w:rsidRPr="00906410" w:rsidRDefault="003B45A9" w:rsidP="00906410">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VI. Conocer las vacantes concursables al interior de su grupo o rama de puestos según corresponda, a través de la convocatoria que se expida</w:t>
      </w:r>
    </w:p>
    <w:p w14:paraId="606F92A6" w14:textId="77777777" w:rsidR="003B45A9" w:rsidRDefault="003B45A9" w:rsidP="00906410">
      <w:pPr>
        <w:tabs>
          <w:tab w:val="left" w:pos="4962"/>
        </w:tabs>
        <w:spacing w:line="276" w:lineRule="auto"/>
        <w:ind w:left="567" w:right="539"/>
        <w:jc w:val="both"/>
        <w:rPr>
          <w:rFonts w:ascii="Palatino Linotype" w:eastAsia="Calibri" w:hAnsi="Palatino Linotype" w:cs="Tahoma"/>
          <w:b/>
          <w:iCs/>
          <w:lang w:eastAsia="es-ES_tradnl"/>
        </w:rPr>
      </w:pPr>
    </w:p>
    <w:p w14:paraId="46AD1C03" w14:textId="77777777" w:rsidR="00FE1DE2" w:rsidRPr="00FE1DE2" w:rsidRDefault="00FE1DE2" w:rsidP="00906410">
      <w:pPr>
        <w:tabs>
          <w:tab w:val="left" w:pos="4962"/>
        </w:tabs>
        <w:spacing w:line="276" w:lineRule="auto"/>
        <w:ind w:left="567" w:right="539"/>
        <w:jc w:val="center"/>
        <w:rPr>
          <w:rFonts w:ascii="Palatino Linotype" w:eastAsia="Calibri" w:hAnsi="Palatino Linotype" w:cs="Tahoma"/>
          <w:b/>
          <w:iCs/>
          <w:lang w:eastAsia="es-ES_tradnl"/>
        </w:rPr>
      </w:pPr>
      <w:r w:rsidRPr="00FE1DE2">
        <w:rPr>
          <w:rFonts w:ascii="Palatino Linotype" w:eastAsia="Calibri" w:hAnsi="Palatino Linotype" w:cs="Tahoma"/>
          <w:b/>
          <w:iCs/>
          <w:lang w:eastAsia="es-ES_tradnl"/>
        </w:rPr>
        <w:t>TÍTULO SEGUNDO</w:t>
      </w:r>
    </w:p>
    <w:p w14:paraId="7A186A9D" w14:textId="52F7782C" w:rsidR="00FE1DE2" w:rsidRPr="00FE1DE2" w:rsidRDefault="00542D77" w:rsidP="00906410">
      <w:pPr>
        <w:tabs>
          <w:tab w:val="left" w:pos="4962"/>
        </w:tabs>
        <w:spacing w:line="276" w:lineRule="auto"/>
        <w:ind w:left="567" w:right="539"/>
        <w:jc w:val="center"/>
        <w:rPr>
          <w:rFonts w:ascii="Palatino Linotype" w:eastAsia="Calibri" w:hAnsi="Palatino Linotype" w:cs="Tahoma"/>
          <w:b/>
          <w:iCs/>
          <w:lang w:eastAsia="es-ES_tradnl"/>
        </w:rPr>
      </w:pPr>
      <w:r>
        <w:rPr>
          <w:rFonts w:ascii="Palatino Linotype" w:eastAsia="Calibri" w:hAnsi="Palatino Linotype" w:cs="Tahoma"/>
          <w:b/>
          <w:iCs/>
          <w:lang w:eastAsia="es-ES_tradnl"/>
        </w:rPr>
        <w:t>DE LA COMISIÓN MIXTA DE ESCALAF</w:t>
      </w:r>
      <w:r w:rsidR="00FE1DE2" w:rsidRPr="00FE1DE2">
        <w:rPr>
          <w:rFonts w:ascii="Palatino Linotype" w:eastAsia="Calibri" w:hAnsi="Palatino Linotype" w:cs="Tahoma"/>
          <w:b/>
          <w:iCs/>
          <w:lang w:eastAsia="es-ES_tradnl"/>
        </w:rPr>
        <w:t>ÓN, SECRETARIADO TÉCNICO Y ÓRGANOS DE APOYO</w:t>
      </w:r>
    </w:p>
    <w:p w14:paraId="15BF0CD6" w14:textId="77777777" w:rsidR="00FE1DE2" w:rsidRPr="00FE1DE2" w:rsidRDefault="00FE1DE2" w:rsidP="00906410">
      <w:pPr>
        <w:tabs>
          <w:tab w:val="left" w:pos="4962"/>
        </w:tabs>
        <w:spacing w:line="276" w:lineRule="auto"/>
        <w:ind w:left="567" w:right="539"/>
        <w:jc w:val="center"/>
        <w:rPr>
          <w:rFonts w:ascii="Palatino Linotype" w:eastAsia="Calibri" w:hAnsi="Palatino Linotype" w:cs="Tahoma"/>
          <w:b/>
          <w:iCs/>
          <w:lang w:eastAsia="es-ES_tradnl"/>
        </w:rPr>
      </w:pPr>
      <w:r w:rsidRPr="00FE1DE2">
        <w:rPr>
          <w:rFonts w:ascii="Palatino Linotype" w:eastAsia="Calibri" w:hAnsi="Palatino Linotype" w:cs="Tahoma"/>
          <w:b/>
          <w:iCs/>
          <w:lang w:eastAsia="es-ES_tradnl"/>
        </w:rPr>
        <w:t>CAPÍTULO I</w:t>
      </w:r>
    </w:p>
    <w:p w14:paraId="5D5C34B3" w14:textId="77777777" w:rsidR="00FE1DE2" w:rsidRPr="00FE1DE2" w:rsidRDefault="00FE1DE2" w:rsidP="00906410">
      <w:pPr>
        <w:tabs>
          <w:tab w:val="left" w:pos="4962"/>
        </w:tabs>
        <w:spacing w:line="276" w:lineRule="auto"/>
        <w:ind w:left="567" w:right="539"/>
        <w:jc w:val="center"/>
        <w:rPr>
          <w:rFonts w:ascii="Palatino Linotype" w:eastAsia="Calibri" w:hAnsi="Palatino Linotype" w:cs="Tahoma"/>
          <w:b/>
          <w:iCs/>
          <w:lang w:eastAsia="es-ES_tradnl"/>
        </w:rPr>
      </w:pPr>
      <w:r w:rsidRPr="00FE1DE2">
        <w:rPr>
          <w:rFonts w:ascii="Palatino Linotype" w:eastAsia="Calibri" w:hAnsi="Palatino Linotype" w:cs="Tahoma"/>
          <w:b/>
          <w:iCs/>
          <w:lang w:eastAsia="es-ES_tradnl"/>
        </w:rPr>
        <w:t>DE LA COMISIÓN MIXTA DE ESCALAFÓN</w:t>
      </w:r>
    </w:p>
    <w:p w14:paraId="68798AE4" w14:textId="77777777" w:rsidR="00FE1DE2" w:rsidRDefault="00FE1DE2" w:rsidP="00FE1DE2">
      <w:pPr>
        <w:tabs>
          <w:tab w:val="left" w:pos="4962"/>
        </w:tabs>
        <w:spacing w:line="276" w:lineRule="auto"/>
        <w:ind w:left="567" w:right="539"/>
        <w:jc w:val="both"/>
        <w:rPr>
          <w:rFonts w:ascii="Palatino Linotype" w:eastAsia="Calibri" w:hAnsi="Palatino Linotype" w:cs="Tahoma"/>
          <w:b/>
          <w:iCs/>
          <w:lang w:eastAsia="es-ES_tradnl"/>
        </w:rPr>
      </w:pPr>
    </w:p>
    <w:p w14:paraId="7D971669" w14:textId="6877BD16" w:rsidR="00FE1DE2" w:rsidRPr="00906410" w:rsidRDefault="00FE1DE2" w:rsidP="00FE1DE2">
      <w:pPr>
        <w:tabs>
          <w:tab w:val="left" w:pos="4962"/>
        </w:tabs>
        <w:spacing w:line="276" w:lineRule="auto"/>
        <w:ind w:left="567" w:right="539"/>
        <w:jc w:val="both"/>
        <w:rPr>
          <w:rFonts w:ascii="Palatino Linotype" w:eastAsia="Calibri" w:hAnsi="Palatino Linotype" w:cs="Tahoma"/>
          <w:iCs/>
          <w:lang w:eastAsia="es-ES_tradnl"/>
        </w:rPr>
      </w:pPr>
      <w:r w:rsidRPr="00FE1DE2">
        <w:rPr>
          <w:rFonts w:ascii="Palatino Linotype" w:eastAsia="Calibri" w:hAnsi="Palatino Linotype" w:cs="Tahoma"/>
          <w:b/>
          <w:iCs/>
          <w:lang w:eastAsia="es-ES_tradnl"/>
        </w:rPr>
        <w:t xml:space="preserve">Artículo 14. </w:t>
      </w:r>
      <w:r w:rsidRPr="00906410">
        <w:rPr>
          <w:rFonts w:ascii="Palatino Linotype" w:eastAsia="Calibri" w:hAnsi="Palatino Linotype" w:cs="Tahoma"/>
          <w:iCs/>
          <w:lang w:eastAsia="es-ES_tradnl"/>
        </w:rPr>
        <w:t>Para la operación, control y seguimiento de los procesos escalafonarios de los servidores públicos, existirá un órgano colegiado, integrado de conformidad a lo establecido en el artículo 110 de la Ley, al que se denominará Comisión Mixta de Escalafón.</w:t>
      </w:r>
    </w:p>
    <w:p w14:paraId="3C387FC6" w14:textId="77777777" w:rsidR="00FE1DE2" w:rsidRPr="00FE1DE2" w:rsidRDefault="00FE1DE2" w:rsidP="00FE1DE2">
      <w:pPr>
        <w:tabs>
          <w:tab w:val="left" w:pos="4962"/>
        </w:tabs>
        <w:spacing w:line="276" w:lineRule="auto"/>
        <w:ind w:left="567" w:right="539"/>
        <w:jc w:val="both"/>
        <w:rPr>
          <w:rFonts w:ascii="Palatino Linotype" w:eastAsia="Calibri" w:hAnsi="Palatino Linotype" w:cs="Tahoma"/>
          <w:b/>
          <w:iCs/>
          <w:lang w:eastAsia="es-ES_tradnl"/>
        </w:rPr>
      </w:pPr>
    </w:p>
    <w:p w14:paraId="2843B15B" w14:textId="6877BD16" w:rsidR="00FE1DE2" w:rsidRPr="00DD3E76" w:rsidRDefault="00FE1DE2" w:rsidP="00FE1DE2">
      <w:pPr>
        <w:tabs>
          <w:tab w:val="left" w:pos="4962"/>
        </w:tabs>
        <w:spacing w:line="276" w:lineRule="auto"/>
        <w:ind w:left="567" w:right="539"/>
        <w:jc w:val="both"/>
        <w:rPr>
          <w:rFonts w:ascii="Palatino Linotype" w:eastAsia="Calibri" w:hAnsi="Palatino Linotype" w:cs="Tahoma"/>
          <w:b/>
          <w:iCs/>
          <w:lang w:eastAsia="es-ES_tradnl"/>
        </w:rPr>
      </w:pPr>
      <w:r w:rsidRPr="00FE1DE2">
        <w:rPr>
          <w:rFonts w:ascii="Palatino Linotype" w:eastAsia="Calibri" w:hAnsi="Palatino Linotype" w:cs="Tahoma"/>
          <w:b/>
          <w:iCs/>
          <w:lang w:eastAsia="es-ES_tradnl"/>
        </w:rPr>
        <w:t xml:space="preserve">Artículo 15. </w:t>
      </w:r>
      <w:r w:rsidRPr="00DD3E76">
        <w:rPr>
          <w:rFonts w:ascii="Palatino Linotype" w:eastAsia="Calibri" w:hAnsi="Palatino Linotype" w:cs="Tahoma"/>
          <w:b/>
          <w:iCs/>
          <w:lang w:eastAsia="es-ES_tradnl"/>
        </w:rPr>
        <w:t>La Comisión estará integrada por:</w:t>
      </w:r>
    </w:p>
    <w:p w14:paraId="07FDCEBF" w14:textId="07542C6F" w:rsidR="00FE1DE2" w:rsidRPr="00DD3E76" w:rsidRDefault="00FE1DE2" w:rsidP="00FE1DE2">
      <w:pPr>
        <w:tabs>
          <w:tab w:val="left" w:pos="4962"/>
        </w:tabs>
        <w:spacing w:line="276" w:lineRule="auto"/>
        <w:ind w:left="567" w:right="539"/>
        <w:jc w:val="both"/>
        <w:rPr>
          <w:rFonts w:ascii="Palatino Linotype" w:eastAsia="Calibri" w:hAnsi="Palatino Linotype" w:cs="Tahoma"/>
          <w:b/>
          <w:iCs/>
          <w:lang w:eastAsia="es-ES_tradnl"/>
        </w:rPr>
      </w:pPr>
      <w:r w:rsidRPr="00DD3E76">
        <w:rPr>
          <w:rFonts w:ascii="Palatino Linotype" w:eastAsia="Calibri" w:hAnsi="Palatino Linotype" w:cs="Tahoma"/>
          <w:b/>
          <w:iCs/>
          <w:lang w:eastAsia="es-ES_tradnl"/>
        </w:rPr>
        <w:t>I. Un presidente que será el titular de la Secretaría o su representante que será el titular de la Subsecretaría;</w:t>
      </w:r>
    </w:p>
    <w:p w14:paraId="77209C47" w14:textId="08B37AC5" w:rsidR="00FE1DE2" w:rsidRPr="00906410" w:rsidRDefault="00FE1DE2" w:rsidP="00FE1DE2">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II. Dos vicepresidentes que serán el Director General de Personal y el Secretario General del Sindicato;</w:t>
      </w:r>
    </w:p>
    <w:p w14:paraId="39184FFF" w14:textId="77777777" w:rsidR="00FE1DE2" w:rsidRPr="00906410" w:rsidRDefault="00FE1DE2" w:rsidP="00FE1DE2">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III. Dos vocales propietarios designados por la Secretaría; y</w:t>
      </w:r>
    </w:p>
    <w:p w14:paraId="74C1BB61" w14:textId="77777777" w:rsidR="00FE1DE2" w:rsidRPr="00906410" w:rsidRDefault="00FE1DE2" w:rsidP="00FE1DE2">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IV. Tres vocales propietarios designados por el Sindicato.</w:t>
      </w:r>
    </w:p>
    <w:p w14:paraId="1A5C9237" w14:textId="473E7EF6" w:rsidR="00FE1DE2" w:rsidRDefault="00FE1DE2" w:rsidP="00906410">
      <w:pPr>
        <w:tabs>
          <w:tab w:val="left" w:pos="4962"/>
        </w:tabs>
        <w:spacing w:line="276" w:lineRule="auto"/>
        <w:ind w:left="567" w:right="539"/>
        <w:jc w:val="both"/>
        <w:rPr>
          <w:rFonts w:ascii="Palatino Linotype" w:eastAsia="Calibri" w:hAnsi="Palatino Linotype" w:cs="Tahoma"/>
          <w:iCs/>
          <w:lang w:eastAsia="es-ES_tradnl"/>
        </w:rPr>
      </w:pPr>
      <w:r w:rsidRPr="00906410">
        <w:rPr>
          <w:rFonts w:ascii="Palatino Linotype" w:eastAsia="Calibri" w:hAnsi="Palatino Linotype" w:cs="Tahoma"/>
          <w:iCs/>
          <w:lang w:eastAsia="es-ES_tradnl"/>
        </w:rPr>
        <w:t>Por cada miembro propietario habrá un suplente.</w:t>
      </w:r>
    </w:p>
    <w:p w14:paraId="7B0FF681" w14:textId="77777777" w:rsidR="002B49F6" w:rsidRPr="00906410" w:rsidRDefault="002B49F6" w:rsidP="00906410">
      <w:pPr>
        <w:tabs>
          <w:tab w:val="left" w:pos="4962"/>
        </w:tabs>
        <w:spacing w:line="276" w:lineRule="auto"/>
        <w:ind w:left="567" w:right="539"/>
        <w:jc w:val="both"/>
        <w:rPr>
          <w:rFonts w:ascii="Palatino Linotype" w:eastAsia="Calibri" w:hAnsi="Palatino Linotype" w:cs="Tahoma"/>
          <w:iCs/>
          <w:lang w:eastAsia="es-ES_tradnl"/>
        </w:rPr>
      </w:pPr>
    </w:p>
    <w:p w14:paraId="7032036A" w14:textId="77777777" w:rsidR="002B49F6" w:rsidRPr="002B49F6" w:rsidRDefault="002B49F6" w:rsidP="002B49F6">
      <w:pPr>
        <w:tabs>
          <w:tab w:val="left" w:pos="4962"/>
        </w:tabs>
        <w:spacing w:line="276" w:lineRule="auto"/>
        <w:ind w:left="567" w:right="539"/>
        <w:jc w:val="center"/>
        <w:rPr>
          <w:rFonts w:ascii="Palatino Linotype" w:eastAsia="Calibri" w:hAnsi="Palatino Linotype" w:cs="Tahoma"/>
          <w:b/>
          <w:iCs/>
          <w:lang w:eastAsia="es-ES_tradnl"/>
        </w:rPr>
      </w:pPr>
      <w:r w:rsidRPr="002B49F6">
        <w:rPr>
          <w:rFonts w:ascii="Palatino Linotype" w:eastAsia="Calibri" w:hAnsi="Palatino Linotype" w:cs="Tahoma"/>
          <w:b/>
          <w:iCs/>
          <w:lang w:eastAsia="es-ES_tradnl"/>
        </w:rPr>
        <w:t>TÍTULO TERCERO</w:t>
      </w:r>
    </w:p>
    <w:p w14:paraId="59A8D21C" w14:textId="49B9E195" w:rsidR="00542D77" w:rsidRDefault="002B49F6" w:rsidP="00906410">
      <w:pPr>
        <w:tabs>
          <w:tab w:val="left" w:pos="4962"/>
        </w:tabs>
        <w:spacing w:line="276" w:lineRule="auto"/>
        <w:ind w:left="567" w:right="539"/>
        <w:jc w:val="center"/>
        <w:rPr>
          <w:rFonts w:ascii="Palatino Linotype" w:eastAsia="Calibri" w:hAnsi="Palatino Linotype" w:cs="Tahoma"/>
          <w:b/>
          <w:iCs/>
          <w:lang w:eastAsia="es-ES_tradnl"/>
        </w:rPr>
      </w:pPr>
      <w:r w:rsidRPr="002B49F6">
        <w:rPr>
          <w:rFonts w:ascii="Palatino Linotype" w:eastAsia="Calibri" w:hAnsi="Palatino Linotype" w:cs="Tahoma"/>
          <w:b/>
          <w:iCs/>
          <w:lang w:eastAsia="es-ES_tradnl"/>
        </w:rPr>
        <w:t>DE LAS UNIDADES ESCALAFONARIAS DE LOS SERVIDORES PÚBLICOS</w:t>
      </w:r>
    </w:p>
    <w:p w14:paraId="45F80C9B" w14:textId="77777777" w:rsidR="00542D77" w:rsidRPr="00906410" w:rsidRDefault="00542D77" w:rsidP="00906410">
      <w:pPr>
        <w:tabs>
          <w:tab w:val="left" w:pos="4962"/>
        </w:tabs>
        <w:spacing w:line="276" w:lineRule="auto"/>
        <w:ind w:left="567" w:right="539"/>
        <w:jc w:val="center"/>
        <w:rPr>
          <w:rFonts w:ascii="Palatino Linotype" w:eastAsia="Calibri" w:hAnsi="Palatino Linotype" w:cs="Tahoma"/>
          <w:b/>
          <w:iCs/>
          <w:lang w:eastAsia="es-ES_tradnl"/>
        </w:rPr>
      </w:pPr>
      <w:r w:rsidRPr="00906410">
        <w:rPr>
          <w:rFonts w:ascii="Palatino Linotype" w:eastAsia="Calibri" w:hAnsi="Palatino Linotype" w:cs="Tahoma"/>
          <w:b/>
          <w:iCs/>
          <w:lang w:eastAsia="es-ES_tradnl"/>
        </w:rPr>
        <w:t>CAPÍTULO II</w:t>
      </w:r>
    </w:p>
    <w:p w14:paraId="2C6DF5AB" w14:textId="5808837A" w:rsidR="003B45A9" w:rsidRDefault="00542D77" w:rsidP="00906410">
      <w:pPr>
        <w:tabs>
          <w:tab w:val="left" w:pos="4962"/>
        </w:tabs>
        <w:spacing w:line="276" w:lineRule="auto"/>
        <w:ind w:left="567" w:right="539"/>
        <w:jc w:val="center"/>
        <w:rPr>
          <w:rFonts w:ascii="Palatino Linotype" w:eastAsia="Calibri" w:hAnsi="Palatino Linotype" w:cs="Tahoma"/>
          <w:b/>
          <w:iCs/>
          <w:lang w:eastAsia="es-ES_tradnl"/>
        </w:rPr>
      </w:pPr>
      <w:r w:rsidRPr="00906410">
        <w:rPr>
          <w:rFonts w:ascii="Palatino Linotype" w:eastAsia="Calibri" w:hAnsi="Palatino Linotype" w:cs="Tahoma"/>
          <w:b/>
          <w:iCs/>
          <w:lang w:eastAsia="es-ES_tradnl"/>
        </w:rPr>
        <w:t>DE LOS REQUISITOS PARA CONCURSAR POR PUESTOS ESCALAFONARIOS</w:t>
      </w:r>
    </w:p>
    <w:p w14:paraId="3C916080" w14:textId="77777777" w:rsidR="00542D77" w:rsidRPr="00542D77" w:rsidRDefault="00542D77" w:rsidP="00906410">
      <w:pPr>
        <w:tabs>
          <w:tab w:val="left" w:pos="4962"/>
        </w:tabs>
        <w:spacing w:line="276" w:lineRule="auto"/>
        <w:ind w:left="567" w:right="539"/>
        <w:jc w:val="center"/>
        <w:rPr>
          <w:rFonts w:ascii="Palatino Linotype" w:eastAsia="Calibri" w:hAnsi="Palatino Linotype" w:cs="Tahoma"/>
          <w:b/>
          <w:iCs/>
          <w:lang w:eastAsia="es-ES_tradnl"/>
        </w:rPr>
      </w:pPr>
    </w:p>
    <w:p w14:paraId="30EEDAE8" w14:textId="77777777"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46.</w:t>
      </w:r>
      <w:r w:rsidRPr="006E241A">
        <w:rPr>
          <w:rFonts w:ascii="Palatino Linotype" w:eastAsia="Calibri" w:hAnsi="Palatino Linotype" w:cs="Tahoma"/>
          <w:iCs/>
          <w:lang w:eastAsia="es-ES_tradnl"/>
        </w:rPr>
        <w:t xml:space="preserve"> Son requisitos para participar en una convocatoria:</w:t>
      </w:r>
    </w:p>
    <w:p w14:paraId="5650D1FE" w14:textId="77777777"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 Tener nombramiento por tiempo indeterminado;</w:t>
      </w:r>
    </w:p>
    <w:p w14:paraId="785A596C" w14:textId="74A56657"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II. Acreditar la antigüedad en el puesto que tienen asignado conforme lo determina la Cédula de Identificación de Puestos, en caso de no especificarse ésta, al menos deberá ser de seis meses;</w:t>
      </w:r>
    </w:p>
    <w:p w14:paraId="10D4394E" w14:textId="4A771277"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III. Acreditar, con la documentación probatoria necesaria, el nivel de estudios requerido para el desempeño del puesto por el que concursan, o bien, el inmediato inferior para los candidatos naturales;</w:t>
      </w:r>
    </w:p>
    <w:p w14:paraId="7E0AEE3F" w14:textId="69212020"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lastRenderedPageBreak/>
        <w:t>IV. Haber participado y obtenido constancia en los eventos de capacitación y desarrollo requeridos para el desempeño del puesto al que concursan;</w:t>
      </w:r>
    </w:p>
    <w:p w14:paraId="0462EE49" w14:textId="6FBBAB7C"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 xml:space="preserve">V. </w:t>
      </w:r>
      <w:r w:rsidRPr="006E241A">
        <w:rPr>
          <w:rFonts w:ascii="Palatino Linotype" w:eastAsia="Calibri" w:hAnsi="Palatino Linotype" w:cs="Tahoma"/>
          <w:b/>
          <w:iCs/>
          <w:u w:val="single"/>
          <w:lang w:eastAsia="es-ES_tradnl"/>
        </w:rPr>
        <w:t>Aprobar el examen teórico-práctico que, en su caso, se determine</w:t>
      </w:r>
      <w:r w:rsidRPr="006E241A">
        <w:rPr>
          <w:rFonts w:ascii="Palatino Linotype" w:eastAsia="Calibri" w:hAnsi="Palatino Linotype" w:cs="Tahoma"/>
          <w:iCs/>
          <w:lang w:eastAsia="es-ES_tradnl"/>
        </w:rPr>
        <w:t>; y</w:t>
      </w:r>
    </w:p>
    <w:p w14:paraId="7196D371" w14:textId="757BEE48"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iCs/>
          <w:lang w:eastAsia="es-ES_tradnl"/>
        </w:rPr>
        <w:t>VI. No estar suspendida la relación laboral, de conformidad con lo establecido en el artículo  90 de la Ley, excepto en los casos de licencias por gravidez, otorgadas a las servidoras públicas.</w:t>
      </w:r>
    </w:p>
    <w:p w14:paraId="7CB701F9" w14:textId="77777777" w:rsidR="00022C71" w:rsidRDefault="00022C71" w:rsidP="00906410">
      <w:pPr>
        <w:tabs>
          <w:tab w:val="left" w:pos="4962"/>
        </w:tabs>
        <w:spacing w:line="276" w:lineRule="auto"/>
        <w:ind w:left="567" w:right="539"/>
        <w:jc w:val="both"/>
        <w:rPr>
          <w:rFonts w:ascii="Palatino Linotype" w:eastAsia="Calibri" w:hAnsi="Palatino Linotype" w:cs="Tahoma"/>
          <w:iCs/>
          <w:lang w:eastAsia="es-ES_tradnl"/>
        </w:rPr>
      </w:pPr>
    </w:p>
    <w:p w14:paraId="4881FBEE" w14:textId="77777777" w:rsidR="00022C71" w:rsidRPr="00906410" w:rsidRDefault="00022C71" w:rsidP="00906410">
      <w:pPr>
        <w:tabs>
          <w:tab w:val="left" w:pos="4962"/>
        </w:tabs>
        <w:spacing w:line="276" w:lineRule="auto"/>
        <w:ind w:left="567" w:right="539"/>
        <w:jc w:val="center"/>
        <w:rPr>
          <w:rFonts w:ascii="Palatino Linotype" w:eastAsia="Calibri" w:hAnsi="Palatino Linotype" w:cs="Tahoma"/>
          <w:b/>
          <w:iCs/>
          <w:lang w:eastAsia="es-ES_tradnl"/>
        </w:rPr>
      </w:pPr>
      <w:r w:rsidRPr="00906410">
        <w:rPr>
          <w:rFonts w:ascii="Palatino Linotype" w:eastAsia="Calibri" w:hAnsi="Palatino Linotype" w:cs="Tahoma"/>
          <w:b/>
          <w:iCs/>
          <w:lang w:eastAsia="es-ES_tradnl"/>
        </w:rPr>
        <w:t>TÍTULO CUARTO</w:t>
      </w:r>
    </w:p>
    <w:p w14:paraId="3DAABEC4" w14:textId="77777777" w:rsidR="00022C71" w:rsidRPr="00906410" w:rsidRDefault="00022C71" w:rsidP="00906410">
      <w:pPr>
        <w:tabs>
          <w:tab w:val="left" w:pos="4962"/>
        </w:tabs>
        <w:spacing w:line="276" w:lineRule="auto"/>
        <w:ind w:left="567" w:right="539"/>
        <w:jc w:val="center"/>
        <w:rPr>
          <w:rFonts w:ascii="Palatino Linotype" w:eastAsia="Calibri" w:hAnsi="Palatino Linotype" w:cs="Tahoma"/>
          <w:b/>
          <w:iCs/>
          <w:lang w:eastAsia="es-ES_tradnl"/>
        </w:rPr>
      </w:pPr>
      <w:r w:rsidRPr="00906410">
        <w:rPr>
          <w:rFonts w:ascii="Palatino Linotype" w:eastAsia="Calibri" w:hAnsi="Palatino Linotype" w:cs="Tahoma"/>
          <w:b/>
          <w:iCs/>
          <w:lang w:eastAsia="es-ES_tradnl"/>
        </w:rPr>
        <w:t>DEL PROCEDIMIENTO PARA CONCURSAR A PUESTOS ESCALAFONARIOS</w:t>
      </w:r>
    </w:p>
    <w:p w14:paraId="5A652EDB" w14:textId="77777777" w:rsidR="00022C71" w:rsidRPr="00906410" w:rsidRDefault="00022C71" w:rsidP="00906410">
      <w:pPr>
        <w:tabs>
          <w:tab w:val="left" w:pos="4962"/>
        </w:tabs>
        <w:spacing w:line="276" w:lineRule="auto"/>
        <w:ind w:left="567" w:right="539"/>
        <w:jc w:val="center"/>
        <w:rPr>
          <w:rFonts w:ascii="Palatino Linotype" w:eastAsia="Calibri" w:hAnsi="Palatino Linotype" w:cs="Tahoma"/>
          <w:b/>
          <w:iCs/>
          <w:lang w:eastAsia="es-ES_tradnl"/>
        </w:rPr>
      </w:pPr>
      <w:r w:rsidRPr="00906410">
        <w:rPr>
          <w:rFonts w:ascii="Palatino Linotype" w:eastAsia="Calibri" w:hAnsi="Palatino Linotype" w:cs="Tahoma"/>
          <w:b/>
          <w:iCs/>
          <w:lang w:eastAsia="es-ES_tradnl"/>
        </w:rPr>
        <w:t>CAPÍTULO I</w:t>
      </w:r>
    </w:p>
    <w:p w14:paraId="65156317" w14:textId="63DB5C49" w:rsidR="00022C71" w:rsidRPr="00906410" w:rsidRDefault="00022C71" w:rsidP="00906410">
      <w:pPr>
        <w:tabs>
          <w:tab w:val="left" w:pos="4962"/>
        </w:tabs>
        <w:spacing w:line="276" w:lineRule="auto"/>
        <w:ind w:left="567" w:right="539"/>
        <w:jc w:val="center"/>
        <w:rPr>
          <w:rFonts w:ascii="Palatino Linotype" w:eastAsia="Calibri" w:hAnsi="Palatino Linotype" w:cs="Tahoma"/>
          <w:b/>
          <w:iCs/>
          <w:lang w:eastAsia="es-ES_tradnl"/>
        </w:rPr>
      </w:pPr>
      <w:r w:rsidRPr="00906410">
        <w:rPr>
          <w:rFonts w:ascii="Palatino Linotype" w:eastAsia="Calibri" w:hAnsi="Palatino Linotype" w:cs="Tahoma"/>
          <w:b/>
          <w:iCs/>
          <w:lang w:eastAsia="es-ES_tradnl"/>
        </w:rPr>
        <w:t>DE LOS CONCURSOS ESCALAFONARIOS</w:t>
      </w:r>
    </w:p>
    <w:p w14:paraId="28D9FB82" w14:textId="3C2F8BB9" w:rsidR="00022C71" w:rsidRPr="006E241A" w:rsidRDefault="00022C71" w:rsidP="00906410">
      <w:pPr>
        <w:tabs>
          <w:tab w:val="left" w:pos="4962"/>
        </w:tabs>
        <w:spacing w:line="276" w:lineRule="auto"/>
        <w:ind w:left="567" w:right="539"/>
        <w:jc w:val="both"/>
        <w:rPr>
          <w:rFonts w:ascii="Palatino Linotype" w:eastAsia="Calibri" w:hAnsi="Palatino Linotype" w:cs="Tahoma"/>
          <w:iCs/>
          <w:lang w:eastAsia="es-ES_tradnl"/>
        </w:rPr>
      </w:pPr>
    </w:p>
    <w:p w14:paraId="06719FEE" w14:textId="2790D895"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52.</w:t>
      </w:r>
      <w:r w:rsidRPr="006E241A">
        <w:rPr>
          <w:rFonts w:ascii="Palatino Linotype" w:eastAsia="Calibri" w:hAnsi="Palatino Linotype" w:cs="Tahoma"/>
          <w:iCs/>
          <w:lang w:eastAsia="es-ES_tradnl"/>
        </w:rPr>
        <w:t xml:space="preserve"> Se denomina </w:t>
      </w:r>
      <w:r w:rsidRPr="006E241A">
        <w:rPr>
          <w:rFonts w:ascii="Palatino Linotype" w:eastAsia="Calibri" w:hAnsi="Palatino Linotype" w:cs="Tahoma"/>
          <w:b/>
          <w:iCs/>
          <w:u w:val="single"/>
          <w:lang w:eastAsia="es-ES_tradnl"/>
        </w:rPr>
        <w:t>concurso escalafonario al procedimiento mediante el cual la Comisión convoca, valora y dictamina</w:t>
      </w:r>
      <w:r w:rsidRPr="006E241A">
        <w:rPr>
          <w:rFonts w:ascii="Palatino Linotype" w:eastAsia="Calibri" w:hAnsi="Palatino Linotype" w:cs="Tahoma"/>
          <w:iCs/>
          <w:lang w:eastAsia="es-ES_tradnl"/>
        </w:rPr>
        <w:t>, con base en los factores escalafonarios, la asignación de plazas a los servidores públicos que presentaron opción para un puesto.</w:t>
      </w:r>
    </w:p>
    <w:p w14:paraId="231DEFF2" w14:textId="4A1D7D8C"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w:t>
      </w:r>
    </w:p>
    <w:p w14:paraId="6866493C" w14:textId="6D97BF67" w:rsidR="009241D4" w:rsidRPr="006E241A" w:rsidRDefault="009241D4" w:rsidP="00906410">
      <w:pPr>
        <w:tabs>
          <w:tab w:val="left" w:pos="4962"/>
        </w:tabs>
        <w:spacing w:line="276" w:lineRule="auto"/>
        <w:ind w:left="567" w:right="539"/>
        <w:jc w:val="both"/>
        <w:rPr>
          <w:rFonts w:ascii="Palatino Linotype" w:eastAsia="Calibri" w:hAnsi="Palatino Linotype" w:cs="Tahoma"/>
          <w:iCs/>
          <w:lang w:eastAsia="es-ES_tradnl"/>
        </w:rPr>
      </w:pPr>
      <w:r w:rsidRPr="006E241A">
        <w:rPr>
          <w:rFonts w:ascii="Palatino Linotype" w:eastAsia="Calibri" w:hAnsi="Palatino Linotype" w:cs="Tahoma"/>
          <w:b/>
          <w:iCs/>
          <w:lang w:eastAsia="es-ES_tradnl"/>
        </w:rPr>
        <w:t>Artículo 65.</w:t>
      </w:r>
      <w:r w:rsidRPr="006E241A">
        <w:rPr>
          <w:rFonts w:ascii="Palatino Linotype" w:eastAsia="Calibri" w:hAnsi="Palatino Linotype" w:cs="Tahoma"/>
          <w:iCs/>
          <w:lang w:eastAsia="es-ES_tradnl"/>
        </w:rPr>
        <w:t xml:space="preserve"> </w:t>
      </w:r>
      <w:r w:rsidRPr="006E241A">
        <w:rPr>
          <w:rFonts w:ascii="Palatino Linotype" w:eastAsia="Calibri" w:hAnsi="Palatino Linotype" w:cs="Tahoma"/>
          <w:b/>
          <w:iCs/>
          <w:u w:val="single"/>
          <w:lang w:eastAsia="es-ES_tradnl"/>
        </w:rPr>
        <w:t xml:space="preserve">La Comisión será el órgano responsable de aprobar los dictámenes escalafonarios </w:t>
      </w:r>
      <w:r w:rsidRPr="006E241A">
        <w:rPr>
          <w:rFonts w:ascii="Palatino Linotype" w:eastAsia="Calibri" w:hAnsi="Palatino Linotype" w:cs="Tahoma"/>
          <w:iCs/>
          <w:lang w:eastAsia="es-ES_tradnl"/>
        </w:rPr>
        <w:t>y darlos a conocer a los servidores públicos a través del Secretariado Técnico y de las Coordinaciones Administrativas o equivalentes.</w:t>
      </w:r>
    </w:p>
    <w:p w14:paraId="47599B72" w14:textId="77777777" w:rsidR="00852CAD" w:rsidRPr="006E241A" w:rsidRDefault="00852CAD" w:rsidP="00906410">
      <w:pPr>
        <w:tabs>
          <w:tab w:val="left" w:pos="4962"/>
        </w:tabs>
        <w:spacing w:line="276" w:lineRule="auto"/>
        <w:jc w:val="both"/>
        <w:rPr>
          <w:rFonts w:ascii="Palatino Linotype" w:eastAsia="Calibri" w:hAnsi="Palatino Linotype" w:cs="Tahoma"/>
          <w:iCs/>
          <w:sz w:val="24"/>
          <w:lang w:eastAsia="es-ES_tradnl"/>
        </w:rPr>
      </w:pPr>
    </w:p>
    <w:p w14:paraId="5BBAD74E" w14:textId="3077DD48" w:rsidR="00BB4B53" w:rsidRPr="006E241A" w:rsidRDefault="00852CAD" w:rsidP="00906410">
      <w:pPr>
        <w:tabs>
          <w:tab w:val="left" w:pos="4962"/>
        </w:tabs>
        <w:spacing w:line="276" w:lineRule="auto"/>
        <w:jc w:val="both"/>
        <w:rPr>
          <w:rFonts w:ascii="Palatino Linotype" w:eastAsia="Calibri" w:hAnsi="Palatino Linotype" w:cs="Tahoma"/>
          <w:b/>
          <w:iCs/>
          <w:sz w:val="24"/>
          <w:lang w:eastAsia="es-ES_tradnl"/>
        </w:rPr>
      </w:pPr>
      <w:r w:rsidRPr="006E241A">
        <w:rPr>
          <w:rFonts w:ascii="Palatino Linotype" w:eastAsia="Calibri" w:hAnsi="Palatino Linotype" w:cs="Tahoma"/>
          <w:iCs/>
          <w:sz w:val="24"/>
          <w:lang w:eastAsia="es-ES_tradnl"/>
        </w:rPr>
        <w:t xml:space="preserve">Bajo este orden de ideas, </w:t>
      </w:r>
      <w:r w:rsidRPr="006E241A">
        <w:rPr>
          <w:rFonts w:ascii="Palatino Linotype" w:eastAsia="Calibri" w:hAnsi="Palatino Linotype" w:cs="Tahoma"/>
          <w:b/>
          <w:iCs/>
          <w:sz w:val="24"/>
          <w:u w:val="single"/>
          <w:lang w:eastAsia="es-ES_tradnl"/>
        </w:rPr>
        <w:t>la normatividad expuesta prevé un procedimiento específico para el sistema escalafonario</w:t>
      </w:r>
      <w:r w:rsidRPr="006E241A">
        <w:rPr>
          <w:rFonts w:ascii="Palatino Linotype" w:eastAsia="Calibri" w:hAnsi="Palatino Linotype" w:cs="Tahoma"/>
          <w:iCs/>
          <w:sz w:val="24"/>
          <w:lang w:eastAsia="es-ES_tradnl"/>
        </w:rPr>
        <w:t>, el cual cuenta con una autoridad máxima encargada de vigilar dicho procedimiento</w:t>
      </w:r>
      <w:r w:rsidR="00022C71">
        <w:rPr>
          <w:rFonts w:ascii="Palatino Linotype" w:eastAsia="Calibri" w:hAnsi="Palatino Linotype" w:cs="Tahoma"/>
          <w:iCs/>
          <w:sz w:val="24"/>
          <w:lang w:eastAsia="es-ES_tradnl"/>
        </w:rPr>
        <w:t xml:space="preserve"> a cargo de la propia Secretaría de Finanzas</w:t>
      </w:r>
      <w:r w:rsidRPr="006E241A">
        <w:rPr>
          <w:rFonts w:ascii="Palatino Linotype" w:eastAsia="Calibri" w:hAnsi="Palatino Linotype" w:cs="Tahoma"/>
          <w:iCs/>
          <w:sz w:val="24"/>
          <w:lang w:eastAsia="es-ES_tradnl"/>
        </w:rPr>
        <w:t>; que inicia desde la publicación de una convocatoria, la acreditación de los requisitos para participar</w:t>
      </w:r>
      <w:r w:rsidR="00BB4B53" w:rsidRPr="006E241A">
        <w:rPr>
          <w:rFonts w:ascii="Palatino Linotype" w:eastAsia="Calibri" w:hAnsi="Palatino Linotype" w:cs="Tahoma"/>
          <w:iCs/>
          <w:sz w:val="24"/>
          <w:lang w:eastAsia="es-ES_tradnl"/>
        </w:rPr>
        <w:t xml:space="preserve"> en ella y culmina con la </w:t>
      </w:r>
      <w:r w:rsidRPr="006E241A">
        <w:rPr>
          <w:rFonts w:ascii="Palatino Linotype" w:eastAsia="Calibri" w:hAnsi="Palatino Linotype" w:cs="Tahoma"/>
          <w:iCs/>
          <w:sz w:val="24"/>
          <w:lang w:eastAsia="es-ES_tradnl"/>
        </w:rPr>
        <w:t xml:space="preserve"> </w:t>
      </w:r>
      <w:r w:rsidRPr="006E241A">
        <w:rPr>
          <w:rFonts w:ascii="Palatino Linotype" w:eastAsia="Calibri" w:hAnsi="Palatino Linotype" w:cs="Tahoma"/>
          <w:b/>
          <w:iCs/>
          <w:sz w:val="24"/>
          <w:lang w:eastAsia="es-ES_tradnl"/>
        </w:rPr>
        <w:t>valoración y dictaminarían por parte de dicha autoridad</w:t>
      </w:r>
      <w:r w:rsidRPr="006E241A">
        <w:rPr>
          <w:rFonts w:ascii="Palatino Linotype" w:eastAsia="Calibri" w:hAnsi="Palatino Linotype" w:cs="Tahoma"/>
          <w:iCs/>
          <w:sz w:val="24"/>
          <w:lang w:eastAsia="es-ES_tradnl"/>
        </w:rPr>
        <w:t xml:space="preserve"> con el propósito de seleccionar al candidato idóneo para  </w:t>
      </w:r>
      <w:r w:rsidR="00BB4B53" w:rsidRPr="006E241A">
        <w:rPr>
          <w:rFonts w:ascii="Palatino Linotype" w:eastAsia="Calibri" w:hAnsi="Palatino Linotype" w:cs="Tahoma"/>
          <w:iCs/>
          <w:sz w:val="24"/>
          <w:lang w:eastAsia="es-ES_tradnl"/>
        </w:rPr>
        <w:t xml:space="preserve">ocupar la plaza de rango mayor, por lo que </w:t>
      </w:r>
      <w:r w:rsidR="00BB4B53" w:rsidRPr="006E241A">
        <w:rPr>
          <w:rFonts w:ascii="Palatino Linotype" w:eastAsia="Calibri" w:hAnsi="Palatino Linotype" w:cs="Tahoma"/>
          <w:b/>
          <w:iCs/>
          <w:sz w:val="24"/>
          <w:lang w:eastAsia="es-ES_tradnl"/>
        </w:rPr>
        <w:t xml:space="preserve">se </w:t>
      </w:r>
      <w:r w:rsidRPr="006E241A">
        <w:rPr>
          <w:rFonts w:ascii="Palatino Linotype" w:eastAsia="Calibri" w:hAnsi="Palatino Linotype" w:cs="Tahoma"/>
          <w:b/>
          <w:iCs/>
          <w:sz w:val="24"/>
          <w:lang w:eastAsia="es-ES_tradnl"/>
        </w:rPr>
        <w:t xml:space="preserve"> </w:t>
      </w:r>
      <w:r w:rsidR="00BB4B53" w:rsidRPr="006E241A">
        <w:rPr>
          <w:rFonts w:ascii="Palatino Linotype" w:eastAsia="Calibri" w:hAnsi="Palatino Linotype" w:cs="Tahoma"/>
          <w:b/>
          <w:iCs/>
          <w:sz w:val="24"/>
          <w:lang w:eastAsia="es-ES_tradnl"/>
        </w:rPr>
        <w:t>reconoce un proceso deliberativo en torno al sistema esc</w:t>
      </w:r>
      <w:r w:rsidR="00022C71">
        <w:rPr>
          <w:rFonts w:ascii="Palatino Linotype" w:eastAsia="Calibri" w:hAnsi="Palatino Linotype" w:cs="Tahoma"/>
          <w:b/>
          <w:iCs/>
          <w:sz w:val="24"/>
          <w:lang w:eastAsia="es-ES_tradnl"/>
        </w:rPr>
        <w:t>a</w:t>
      </w:r>
      <w:r w:rsidR="00BB4B53" w:rsidRPr="006E241A">
        <w:rPr>
          <w:rFonts w:ascii="Palatino Linotype" w:eastAsia="Calibri" w:hAnsi="Palatino Linotype" w:cs="Tahoma"/>
          <w:b/>
          <w:iCs/>
          <w:sz w:val="24"/>
          <w:lang w:eastAsia="es-ES_tradnl"/>
        </w:rPr>
        <w:t xml:space="preserve">lafonario. </w:t>
      </w:r>
    </w:p>
    <w:p w14:paraId="77D61648" w14:textId="77777777" w:rsidR="00BB4B53" w:rsidRPr="006E241A" w:rsidRDefault="00BB4B53" w:rsidP="00906410">
      <w:pPr>
        <w:tabs>
          <w:tab w:val="left" w:pos="4962"/>
        </w:tabs>
        <w:spacing w:line="276" w:lineRule="auto"/>
        <w:jc w:val="both"/>
        <w:rPr>
          <w:rFonts w:ascii="Palatino Linotype" w:eastAsia="Calibri" w:hAnsi="Palatino Linotype" w:cs="Tahoma"/>
          <w:b/>
          <w:iCs/>
          <w:sz w:val="24"/>
          <w:lang w:eastAsia="es-ES_tradnl"/>
        </w:rPr>
      </w:pPr>
    </w:p>
    <w:p w14:paraId="0A7A9E50" w14:textId="1048F43F" w:rsidR="00BB4B53" w:rsidRPr="006E241A" w:rsidRDefault="00D11557" w:rsidP="00906410">
      <w:pPr>
        <w:pStyle w:val="Prrafodelista"/>
        <w:numPr>
          <w:ilvl w:val="0"/>
          <w:numId w:val="27"/>
        </w:numPr>
        <w:tabs>
          <w:tab w:val="left" w:pos="4962"/>
        </w:tabs>
        <w:spacing w:line="276" w:lineRule="auto"/>
        <w:jc w:val="both"/>
        <w:rPr>
          <w:rFonts w:ascii="Palatino Linotype" w:eastAsia="Calibri" w:hAnsi="Palatino Linotype" w:cs="Tahoma"/>
          <w:b/>
          <w:iCs/>
          <w:sz w:val="24"/>
          <w:lang w:eastAsia="es-ES_tradnl"/>
        </w:rPr>
      </w:pPr>
      <w:r>
        <w:rPr>
          <w:rFonts w:ascii="Palatino Linotype" w:eastAsia="Calibri" w:hAnsi="Palatino Linotype" w:cs="Tahoma"/>
          <w:b/>
          <w:iCs/>
          <w:sz w:val="24"/>
          <w:lang w:eastAsia="es-ES_tradnl"/>
        </w:rPr>
        <w:t>L</w:t>
      </w:r>
      <w:r w:rsidR="00BB4B53" w:rsidRPr="006E241A">
        <w:rPr>
          <w:rFonts w:ascii="Palatino Linotype" w:eastAsia="Calibri" w:hAnsi="Palatino Linotype" w:cs="Tahoma"/>
          <w:b/>
          <w:iCs/>
          <w:sz w:val="24"/>
          <w:lang w:eastAsia="es-ES_tradnl"/>
        </w:rPr>
        <w:t>a información se encuentre relacionada directamente con el proceso</w:t>
      </w:r>
    </w:p>
    <w:p w14:paraId="403C7CC5" w14:textId="77777777" w:rsidR="00BB4B53" w:rsidRDefault="00BB4B53" w:rsidP="00906410">
      <w:pPr>
        <w:tabs>
          <w:tab w:val="left" w:pos="4962"/>
        </w:tabs>
        <w:spacing w:line="276" w:lineRule="auto"/>
        <w:jc w:val="both"/>
        <w:rPr>
          <w:rFonts w:ascii="Palatino Linotype" w:eastAsia="Calibri" w:hAnsi="Palatino Linotype" w:cs="Tahoma"/>
          <w:b/>
          <w:iCs/>
          <w:sz w:val="24"/>
          <w:lang w:eastAsia="es-ES_tradnl"/>
        </w:rPr>
      </w:pPr>
    </w:p>
    <w:p w14:paraId="7E6264DB" w14:textId="4B34B444" w:rsidR="007F3DF2" w:rsidRDefault="00851E7A" w:rsidP="00906410">
      <w:pPr>
        <w:tabs>
          <w:tab w:val="left" w:pos="4962"/>
        </w:tabs>
        <w:spacing w:line="276" w:lineRule="auto"/>
        <w:jc w:val="both"/>
        <w:rPr>
          <w:rFonts w:ascii="Palatino Linotype" w:hAnsi="Palatino Linotype" w:cs="Tahoma"/>
          <w:sz w:val="24"/>
          <w:szCs w:val="24"/>
        </w:rPr>
      </w:pPr>
      <w:r w:rsidRPr="00906410">
        <w:rPr>
          <w:rFonts w:ascii="Palatino Linotype" w:eastAsia="Calibri" w:hAnsi="Palatino Linotype" w:cs="Tahoma"/>
          <w:iCs/>
          <w:sz w:val="24"/>
          <w:lang w:eastAsia="es-ES_tradnl"/>
        </w:rPr>
        <w:t>Al respecto,</w:t>
      </w:r>
      <w:r>
        <w:rPr>
          <w:rFonts w:ascii="Palatino Linotype" w:eastAsia="Calibri" w:hAnsi="Palatino Linotype" w:cs="Tahoma"/>
          <w:b/>
          <w:iCs/>
          <w:sz w:val="24"/>
          <w:lang w:eastAsia="es-ES_tradnl"/>
        </w:rPr>
        <w:t xml:space="preserve"> </w:t>
      </w:r>
      <w:r w:rsidRPr="006E241A">
        <w:rPr>
          <w:rFonts w:ascii="Palatino Linotype" w:eastAsia="Calibri" w:hAnsi="Palatino Linotype" w:cs="Tahoma"/>
          <w:iCs/>
          <w:sz w:val="24"/>
          <w:lang w:eastAsia="es-ES_tradnl"/>
        </w:rPr>
        <w:t>el</w:t>
      </w:r>
      <w:r w:rsidRPr="006E241A">
        <w:rPr>
          <w:rFonts w:ascii="Palatino Linotype" w:hAnsi="Palatino Linotype" w:cs="Tahoma"/>
          <w:sz w:val="24"/>
          <w:szCs w:val="24"/>
        </w:rPr>
        <w:t xml:space="preserve"> “Manual de Procedimientos de la Subdirección de Escalafón”</w:t>
      </w:r>
      <w:r>
        <w:rPr>
          <w:rFonts w:ascii="Palatino Linotype" w:hAnsi="Palatino Linotype" w:cs="Tahoma"/>
          <w:sz w:val="24"/>
          <w:szCs w:val="24"/>
        </w:rPr>
        <w:t xml:space="preserve"> publicado en la “Gaceta del Gobierno” el catorce de marzo de dos mil diecisiete, establece que </w:t>
      </w:r>
      <w:r w:rsidRPr="006E241A">
        <w:rPr>
          <w:rFonts w:ascii="Palatino Linotype" w:eastAsia="Calibri" w:hAnsi="Palatino Linotype" w:cs="Tahoma"/>
          <w:iCs/>
          <w:sz w:val="24"/>
          <w:lang w:eastAsia="es-ES_tradnl"/>
        </w:rPr>
        <w:t>la Subdirección de Escalafón  “</w:t>
      </w:r>
      <w:r w:rsidRPr="006E241A">
        <w:rPr>
          <w:rFonts w:ascii="Palatino Linotype" w:eastAsia="Calibri" w:hAnsi="Palatino Linotype" w:cs="Tahoma"/>
          <w:i/>
          <w:iCs/>
          <w:sz w:val="24"/>
          <w:lang w:eastAsia="es-ES_tradnl"/>
        </w:rPr>
        <w:t xml:space="preserve">es la unidad administrativa responsable de realizar las evaluaciones de conocimientos para la selección de las y los aspirantes a ingresar a laborar en </w:t>
      </w:r>
      <w:r w:rsidRPr="006E241A">
        <w:rPr>
          <w:rFonts w:ascii="Palatino Linotype" w:eastAsia="Calibri" w:hAnsi="Palatino Linotype" w:cs="Tahoma"/>
          <w:i/>
          <w:iCs/>
          <w:sz w:val="24"/>
          <w:lang w:eastAsia="es-ES_tradnl"/>
        </w:rPr>
        <w:lastRenderedPageBreak/>
        <w:t>las dependencias del Poder Ejecutivo del Gobierno del Estado de México</w:t>
      </w:r>
      <w:r w:rsidRPr="006E241A">
        <w:rPr>
          <w:rFonts w:ascii="Palatino Linotype" w:eastAsia="Calibri" w:hAnsi="Palatino Linotype" w:cs="Tahoma"/>
          <w:iCs/>
          <w:sz w:val="24"/>
          <w:lang w:eastAsia="es-ES_tradnl"/>
        </w:rPr>
        <w:t>”</w:t>
      </w:r>
      <w:r>
        <w:rPr>
          <w:rFonts w:ascii="Palatino Linotype" w:eastAsia="Calibri" w:hAnsi="Palatino Linotype" w:cs="Tahoma"/>
          <w:iCs/>
          <w:sz w:val="24"/>
          <w:lang w:eastAsia="es-ES_tradnl"/>
        </w:rPr>
        <w:t>; de lo anterior, se corrobora que d</w:t>
      </w:r>
      <w:r w:rsidR="00BB4B53" w:rsidRPr="006E241A">
        <w:rPr>
          <w:rFonts w:ascii="Palatino Linotype" w:eastAsia="Calibri" w:hAnsi="Palatino Linotype" w:cs="Tahoma"/>
          <w:iCs/>
          <w:sz w:val="24"/>
          <w:lang w:eastAsia="es-ES_tradnl"/>
        </w:rPr>
        <w:t xml:space="preserve">entro de los factores que </w:t>
      </w:r>
      <w:r w:rsidR="00064038" w:rsidRPr="006E241A">
        <w:rPr>
          <w:rFonts w:ascii="Palatino Linotype" w:eastAsia="Calibri" w:hAnsi="Palatino Linotype" w:cs="Tahoma"/>
          <w:iCs/>
          <w:sz w:val="24"/>
          <w:lang w:eastAsia="es-ES_tradnl"/>
        </w:rPr>
        <w:t>determinan</w:t>
      </w:r>
      <w:r w:rsidR="00BB4B53" w:rsidRPr="006E241A">
        <w:rPr>
          <w:rFonts w:ascii="Palatino Linotype" w:eastAsia="Calibri" w:hAnsi="Palatino Linotype" w:cs="Tahoma"/>
          <w:iCs/>
          <w:sz w:val="24"/>
          <w:lang w:eastAsia="es-ES_tradnl"/>
        </w:rPr>
        <w:t xml:space="preserve"> la </w:t>
      </w:r>
      <w:r w:rsidR="00064038" w:rsidRPr="006E241A">
        <w:rPr>
          <w:rFonts w:ascii="Palatino Linotype" w:eastAsia="Calibri" w:hAnsi="Palatino Linotype" w:cs="Tahoma"/>
          <w:iCs/>
          <w:sz w:val="24"/>
          <w:lang w:eastAsia="es-ES_tradnl"/>
        </w:rPr>
        <w:t>participación de</w:t>
      </w:r>
      <w:r w:rsidR="002457AF">
        <w:rPr>
          <w:rFonts w:ascii="Palatino Linotype" w:eastAsia="Calibri" w:hAnsi="Palatino Linotype" w:cs="Tahoma"/>
          <w:iCs/>
          <w:sz w:val="24"/>
          <w:lang w:eastAsia="es-ES_tradnl"/>
        </w:rPr>
        <w:t xml:space="preserve"> los</w:t>
      </w:r>
      <w:r w:rsidR="00064038" w:rsidRPr="006E241A">
        <w:rPr>
          <w:rFonts w:ascii="Palatino Linotype" w:eastAsia="Calibri" w:hAnsi="Palatino Linotype" w:cs="Tahoma"/>
          <w:iCs/>
          <w:sz w:val="24"/>
          <w:lang w:eastAsia="es-ES_tradnl"/>
        </w:rPr>
        <w:t xml:space="preserve"> servidor</w:t>
      </w:r>
      <w:r w:rsidR="002457AF">
        <w:rPr>
          <w:rFonts w:ascii="Palatino Linotype" w:eastAsia="Calibri" w:hAnsi="Palatino Linotype" w:cs="Tahoma"/>
          <w:iCs/>
          <w:sz w:val="24"/>
          <w:lang w:eastAsia="es-ES_tradnl"/>
        </w:rPr>
        <w:t>es</w:t>
      </w:r>
      <w:r w:rsidR="00064038" w:rsidRPr="006E241A">
        <w:rPr>
          <w:rFonts w:ascii="Palatino Linotype" w:eastAsia="Calibri" w:hAnsi="Palatino Linotype" w:cs="Tahoma"/>
          <w:iCs/>
          <w:sz w:val="24"/>
          <w:lang w:eastAsia="es-ES_tradnl"/>
        </w:rPr>
        <w:t xml:space="preserve"> público</w:t>
      </w:r>
      <w:r w:rsidR="002457AF">
        <w:rPr>
          <w:rFonts w:ascii="Palatino Linotype" w:eastAsia="Calibri" w:hAnsi="Palatino Linotype" w:cs="Tahoma"/>
          <w:iCs/>
          <w:sz w:val="24"/>
          <w:lang w:eastAsia="es-ES_tradnl"/>
        </w:rPr>
        <w:t>s</w:t>
      </w:r>
      <w:r w:rsidR="00064038" w:rsidRPr="006E241A">
        <w:rPr>
          <w:rFonts w:ascii="Palatino Linotype" w:eastAsia="Calibri" w:hAnsi="Palatino Linotype" w:cs="Tahoma"/>
          <w:iCs/>
          <w:sz w:val="24"/>
          <w:lang w:eastAsia="es-ES_tradnl"/>
        </w:rPr>
        <w:t xml:space="preserve"> en la convocatoria al procedimiento del sistema escalafonario, se encuentra entre otros requisitos</w:t>
      </w:r>
      <w:r w:rsidR="002457AF">
        <w:rPr>
          <w:rFonts w:ascii="Palatino Linotype" w:eastAsia="Calibri" w:hAnsi="Palatino Linotype" w:cs="Tahoma"/>
          <w:iCs/>
          <w:sz w:val="24"/>
          <w:lang w:eastAsia="es-ES_tradnl"/>
        </w:rPr>
        <w:t>,</w:t>
      </w:r>
      <w:r w:rsidR="00064038" w:rsidRPr="006E241A">
        <w:rPr>
          <w:rFonts w:ascii="Palatino Linotype" w:eastAsia="Calibri" w:hAnsi="Palatino Linotype" w:cs="Tahoma"/>
          <w:iCs/>
          <w:sz w:val="24"/>
          <w:lang w:eastAsia="es-ES_tradnl"/>
        </w:rPr>
        <w:t xml:space="preserve"> </w:t>
      </w:r>
      <w:r w:rsidR="00064038" w:rsidRPr="006E241A">
        <w:rPr>
          <w:rFonts w:ascii="Palatino Linotype" w:eastAsia="Calibri" w:hAnsi="Palatino Linotype" w:cs="Tahoma"/>
          <w:b/>
          <w:iCs/>
          <w:sz w:val="24"/>
          <w:lang w:eastAsia="es-ES_tradnl"/>
        </w:rPr>
        <w:t>acreditar la evaluación teórico- práctica</w:t>
      </w:r>
      <w:r w:rsidR="002457AF">
        <w:rPr>
          <w:rFonts w:ascii="Palatino Linotype" w:eastAsia="Calibri" w:hAnsi="Palatino Linotype" w:cs="Tahoma"/>
          <w:b/>
          <w:iCs/>
          <w:sz w:val="24"/>
          <w:lang w:eastAsia="es-ES_tradnl"/>
        </w:rPr>
        <w:t>,</w:t>
      </w:r>
      <w:r w:rsidR="00064038" w:rsidRPr="006E241A">
        <w:rPr>
          <w:rFonts w:ascii="Palatino Linotype" w:eastAsia="Calibri" w:hAnsi="Palatino Linotype" w:cs="Tahoma"/>
          <w:iCs/>
          <w:sz w:val="24"/>
          <w:lang w:eastAsia="es-ES_tradnl"/>
        </w:rPr>
        <w:t xml:space="preserve"> que en su caso determine </w:t>
      </w:r>
      <w:r w:rsidR="002457AF">
        <w:rPr>
          <w:rFonts w:ascii="Palatino Linotype" w:eastAsia="Calibri" w:hAnsi="Palatino Linotype" w:cs="Tahoma"/>
          <w:iCs/>
          <w:sz w:val="24"/>
          <w:lang w:eastAsia="es-ES_tradnl"/>
        </w:rPr>
        <w:t>dicha</w:t>
      </w:r>
      <w:r w:rsidR="002457AF" w:rsidRPr="006E241A">
        <w:rPr>
          <w:rFonts w:ascii="Palatino Linotype" w:eastAsia="Calibri" w:hAnsi="Palatino Linotype" w:cs="Tahoma"/>
          <w:iCs/>
          <w:sz w:val="24"/>
          <w:lang w:eastAsia="es-ES_tradnl"/>
        </w:rPr>
        <w:t xml:space="preserve"> </w:t>
      </w:r>
      <w:r w:rsidR="00064038" w:rsidRPr="006E241A">
        <w:rPr>
          <w:rFonts w:ascii="Palatino Linotype" w:eastAsia="Calibri" w:hAnsi="Palatino Linotype" w:cs="Tahoma"/>
          <w:iCs/>
          <w:sz w:val="24"/>
          <w:lang w:eastAsia="es-ES_tradnl"/>
        </w:rPr>
        <w:t>Subdirección</w:t>
      </w:r>
      <w:r w:rsidR="00BF1A8A">
        <w:rPr>
          <w:rFonts w:ascii="Palatino Linotype" w:eastAsia="Calibri" w:hAnsi="Palatino Linotype" w:cs="Tahoma"/>
          <w:iCs/>
          <w:sz w:val="24"/>
          <w:lang w:eastAsia="es-ES_tradnl"/>
        </w:rPr>
        <w:t>.</w:t>
      </w:r>
    </w:p>
    <w:p w14:paraId="68052BB1" w14:textId="77777777" w:rsidR="00851E7A" w:rsidRPr="006E241A" w:rsidRDefault="00851E7A" w:rsidP="00906410">
      <w:pPr>
        <w:tabs>
          <w:tab w:val="left" w:pos="4962"/>
        </w:tabs>
        <w:spacing w:line="276" w:lineRule="auto"/>
        <w:jc w:val="both"/>
        <w:rPr>
          <w:rFonts w:ascii="Palatino Linotype" w:hAnsi="Palatino Linotype" w:cs="Tahoma"/>
          <w:sz w:val="24"/>
          <w:szCs w:val="24"/>
        </w:rPr>
      </w:pPr>
    </w:p>
    <w:p w14:paraId="01FF1DEE" w14:textId="3FF47429" w:rsidR="00BB4B53" w:rsidRPr="006E241A" w:rsidRDefault="007F3DF2" w:rsidP="00906410">
      <w:pPr>
        <w:tabs>
          <w:tab w:val="left" w:pos="4962"/>
        </w:tabs>
        <w:spacing w:line="276" w:lineRule="auto"/>
        <w:jc w:val="both"/>
        <w:rPr>
          <w:rFonts w:ascii="Palatino Linotype" w:eastAsia="Calibri" w:hAnsi="Palatino Linotype" w:cs="Tahoma"/>
          <w:iCs/>
          <w:sz w:val="24"/>
          <w:lang w:eastAsia="es-ES_tradnl"/>
        </w:rPr>
      </w:pPr>
      <w:r w:rsidRPr="006E241A">
        <w:rPr>
          <w:rFonts w:ascii="Palatino Linotype" w:hAnsi="Palatino Linotype" w:cs="Tahoma"/>
          <w:sz w:val="24"/>
          <w:szCs w:val="24"/>
        </w:rPr>
        <w:t xml:space="preserve">Dichos documentos (exámenes de conocimientos, exámenes prácticos y banco de preguntas)  </w:t>
      </w:r>
      <w:r w:rsidR="00683BCF" w:rsidRPr="006E241A">
        <w:rPr>
          <w:rFonts w:ascii="Palatino Linotype" w:hAnsi="Palatino Linotype" w:cs="Tahoma"/>
          <w:sz w:val="24"/>
          <w:szCs w:val="24"/>
        </w:rPr>
        <w:t xml:space="preserve">representan la expresión documental </w:t>
      </w:r>
      <w:r w:rsidRPr="006E241A">
        <w:rPr>
          <w:rFonts w:ascii="Palatino Linotype" w:hAnsi="Palatino Linotype" w:cs="Tahoma"/>
          <w:sz w:val="24"/>
          <w:szCs w:val="24"/>
        </w:rPr>
        <w:t xml:space="preserve">de la aplicación de las evaluaciones para los servidores públicos dentro del procedimiento de selección del sistema escalafonario  los cuales están estrechamente relacionada con el procedimiento antes mencionado y por lo tanto actualiza el segundo </w:t>
      </w:r>
      <w:r w:rsidR="00851E7A" w:rsidRPr="006E241A">
        <w:rPr>
          <w:rFonts w:ascii="Palatino Linotype" w:hAnsi="Palatino Linotype" w:cs="Tahoma"/>
          <w:sz w:val="24"/>
          <w:szCs w:val="24"/>
        </w:rPr>
        <w:t>v</w:t>
      </w:r>
      <w:r w:rsidR="00851E7A">
        <w:rPr>
          <w:rFonts w:ascii="Palatino Linotype" w:hAnsi="Palatino Linotype" w:cs="Tahoma"/>
          <w:sz w:val="24"/>
          <w:szCs w:val="24"/>
        </w:rPr>
        <w:t>í</w:t>
      </w:r>
      <w:r w:rsidR="00851E7A" w:rsidRPr="006E241A">
        <w:rPr>
          <w:rFonts w:ascii="Palatino Linotype" w:hAnsi="Palatino Linotype" w:cs="Tahoma"/>
          <w:sz w:val="24"/>
          <w:szCs w:val="24"/>
        </w:rPr>
        <w:t xml:space="preserve">nculo </w:t>
      </w:r>
      <w:r w:rsidRPr="006E241A">
        <w:rPr>
          <w:rFonts w:ascii="Palatino Linotype" w:hAnsi="Palatino Linotype" w:cs="Tahoma"/>
          <w:sz w:val="24"/>
          <w:szCs w:val="24"/>
        </w:rPr>
        <w:t xml:space="preserve">para la clasificación de información reservada. </w:t>
      </w:r>
    </w:p>
    <w:p w14:paraId="5E4A892F" w14:textId="77777777" w:rsidR="00852CAD" w:rsidRPr="006E241A" w:rsidRDefault="00852CAD" w:rsidP="00906410">
      <w:pPr>
        <w:tabs>
          <w:tab w:val="left" w:pos="4962"/>
        </w:tabs>
        <w:spacing w:line="276" w:lineRule="auto"/>
        <w:jc w:val="both"/>
        <w:rPr>
          <w:rFonts w:ascii="Palatino Linotype" w:eastAsia="Calibri" w:hAnsi="Palatino Linotype" w:cs="Tahoma"/>
          <w:b/>
          <w:iCs/>
          <w:sz w:val="24"/>
          <w:lang w:eastAsia="es-ES_tradnl"/>
        </w:rPr>
      </w:pPr>
    </w:p>
    <w:p w14:paraId="082D1C59" w14:textId="20193279" w:rsidR="000007E9" w:rsidRPr="006E241A" w:rsidRDefault="007F3DF2" w:rsidP="00906410">
      <w:pPr>
        <w:pStyle w:val="Prrafodelista"/>
        <w:spacing w:line="276" w:lineRule="auto"/>
        <w:rPr>
          <w:rFonts w:ascii="Palatino Linotype" w:eastAsia="Calibri" w:hAnsi="Palatino Linotype" w:cs="Tahoma"/>
          <w:b/>
          <w:iCs/>
          <w:sz w:val="24"/>
          <w:lang w:eastAsia="es-ES_tradnl"/>
        </w:rPr>
      </w:pPr>
      <w:r w:rsidRPr="006E241A">
        <w:rPr>
          <w:rFonts w:ascii="Palatino Linotype" w:eastAsia="Calibri" w:hAnsi="Palatino Linotype" w:cs="Tahoma"/>
          <w:b/>
          <w:iCs/>
          <w:sz w:val="24"/>
          <w:lang w:eastAsia="es-ES_tradnl"/>
        </w:rPr>
        <w:t>Que su publicidad pueda generar afectaciones en su diseño, negociación, determinación o implementación.</w:t>
      </w:r>
    </w:p>
    <w:p w14:paraId="39FE3580" w14:textId="77777777" w:rsidR="00B332A5" w:rsidRDefault="00B332A5">
      <w:pPr>
        <w:rPr>
          <w:rFonts w:ascii="Palatino Linotype" w:eastAsia="Calibri" w:hAnsi="Palatino Linotype" w:cs="Tahoma"/>
          <w:b/>
          <w:iCs/>
          <w:sz w:val="24"/>
          <w:lang w:eastAsia="es-ES_tradnl"/>
        </w:rPr>
      </w:pPr>
    </w:p>
    <w:p w14:paraId="685740CC" w14:textId="544BFEA0" w:rsidR="00B332A5" w:rsidRPr="00906410" w:rsidRDefault="00B332A5" w:rsidP="00906410">
      <w:pPr>
        <w:jc w:val="both"/>
        <w:rPr>
          <w:rFonts w:ascii="Palatino Linotype" w:hAnsi="Palatino Linotype" w:cs="Tahoma"/>
          <w:i/>
          <w:sz w:val="24"/>
          <w:szCs w:val="24"/>
        </w:rPr>
      </w:pPr>
      <w:r w:rsidRPr="00906410">
        <w:rPr>
          <w:rFonts w:ascii="Palatino Linotype" w:eastAsia="Calibri" w:hAnsi="Palatino Linotype" w:cs="Tahoma"/>
          <w:iCs/>
          <w:sz w:val="24"/>
          <w:lang w:eastAsia="es-ES_tradnl"/>
        </w:rPr>
        <w:t xml:space="preserve">Sobre la reserva que debe aplicarse a los reactivos que constituyen los exámenes y/o banco de preguntas para las evaluaciones, es de precisar que el referido </w:t>
      </w:r>
      <w:r w:rsidRPr="006E241A">
        <w:rPr>
          <w:rFonts w:ascii="Palatino Linotype" w:hAnsi="Palatino Linotype" w:cs="Tahoma"/>
          <w:sz w:val="24"/>
          <w:szCs w:val="24"/>
        </w:rPr>
        <w:t>Manual de Procedimientos de la Subdirección de Escalafón”</w:t>
      </w:r>
      <w:r>
        <w:rPr>
          <w:rFonts w:ascii="Palatino Linotype" w:hAnsi="Palatino Linotype" w:cs="Tahoma"/>
          <w:sz w:val="24"/>
          <w:szCs w:val="24"/>
        </w:rPr>
        <w:t xml:space="preserve">, establece como una de las responsabilidades </w:t>
      </w:r>
      <w:r w:rsidRPr="00906410">
        <w:rPr>
          <w:rFonts w:ascii="Palatino Linotype" w:hAnsi="Palatino Linotype" w:cs="Tahoma"/>
          <w:i/>
          <w:sz w:val="24"/>
          <w:szCs w:val="24"/>
        </w:rPr>
        <w:t>de La Jefa o el Jefe del Área de Evaluación de Conocimientos</w:t>
      </w:r>
      <w:r>
        <w:rPr>
          <w:rFonts w:ascii="Palatino Linotype" w:hAnsi="Palatino Linotype" w:cs="Tahoma"/>
          <w:sz w:val="24"/>
          <w:szCs w:val="24"/>
        </w:rPr>
        <w:t xml:space="preserve">, están la de </w:t>
      </w:r>
      <w:r w:rsidRPr="00906410">
        <w:rPr>
          <w:rFonts w:ascii="Palatino Linotype" w:hAnsi="Palatino Linotype" w:cs="Tahoma"/>
          <w:i/>
          <w:sz w:val="24"/>
          <w:szCs w:val="24"/>
        </w:rPr>
        <w:t>Concentrar y resguardar el banco de preguntas y exámenes de conocimientos</w:t>
      </w:r>
      <w:r>
        <w:rPr>
          <w:rFonts w:ascii="Palatino Linotype" w:hAnsi="Palatino Linotype" w:cs="Tahoma"/>
          <w:i/>
          <w:sz w:val="24"/>
          <w:szCs w:val="24"/>
        </w:rPr>
        <w:t>.</w:t>
      </w:r>
    </w:p>
    <w:p w14:paraId="6CC55BCF" w14:textId="77777777" w:rsidR="00163AFF" w:rsidRPr="00906410" w:rsidRDefault="00163AFF" w:rsidP="00906410">
      <w:pPr>
        <w:rPr>
          <w:rFonts w:eastAsia="Calibri"/>
          <w:lang w:eastAsia="es-ES_tradnl"/>
        </w:rPr>
      </w:pPr>
    </w:p>
    <w:p w14:paraId="3C39E28A" w14:textId="05F75555" w:rsidR="00442B41" w:rsidRPr="006E241A" w:rsidRDefault="00B332A5" w:rsidP="00906410">
      <w:pPr>
        <w:spacing w:line="276" w:lineRule="auto"/>
        <w:jc w:val="both"/>
        <w:rPr>
          <w:rFonts w:ascii="Palatino Linotype" w:hAnsi="Palatino Linotype" w:cs="Arial"/>
          <w:sz w:val="24"/>
          <w:szCs w:val="24"/>
        </w:rPr>
      </w:pPr>
      <w:r>
        <w:rPr>
          <w:rFonts w:ascii="Palatino Linotype" w:eastAsia="Calibri" w:hAnsi="Palatino Linotype" w:cs="Tahoma"/>
          <w:iCs/>
          <w:sz w:val="24"/>
          <w:lang w:eastAsia="es-ES_tradnl"/>
        </w:rPr>
        <w:t>Así</w:t>
      </w:r>
      <w:r w:rsidR="007B6E92">
        <w:rPr>
          <w:rFonts w:ascii="Palatino Linotype" w:eastAsia="Calibri" w:hAnsi="Palatino Linotype" w:cs="Tahoma"/>
          <w:iCs/>
          <w:sz w:val="24"/>
          <w:lang w:eastAsia="es-ES_tradnl"/>
        </w:rPr>
        <w:t>,</w:t>
      </w:r>
      <w:r>
        <w:rPr>
          <w:rFonts w:ascii="Palatino Linotype" w:eastAsia="Calibri" w:hAnsi="Palatino Linotype" w:cs="Tahoma"/>
          <w:iCs/>
          <w:sz w:val="24"/>
          <w:lang w:eastAsia="es-ES_tradnl"/>
        </w:rPr>
        <w:t xml:space="preserve"> </w:t>
      </w:r>
      <w:r w:rsidR="007B6E92">
        <w:rPr>
          <w:rFonts w:ascii="Palatino Linotype" w:eastAsia="Calibri" w:hAnsi="Palatino Linotype" w:cs="Tahoma"/>
          <w:iCs/>
          <w:sz w:val="24"/>
          <w:lang w:eastAsia="es-ES_tradnl"/>
        </w:rPr>
        <w:t>c</w:t>
      </w:r>
      <w:r w:rsidR="007B6E92" w:rsidRPr="006E241A">
        <w:rPr>
          <w:rFonts w:ascii="Palatino Linotype" w:eastAsia="Calibri" w:hAnsi="Palatino Linotype" w:cs="Tahoma"/>
          <w:iCs/>
          <w:sz w:val="24"/>
          <w:lang w:eastAsia="es-ES_tradnl"/>
        </w:rPr>
        <w:t xml:space="preserve">on </w:t>
      </w:r>
      <w:r w:rsidR="00163AFF" w:rsidRPr="006E241A">
        <w:rPr>
          <w:rFonts w:ascii="Palatino Linotype" w:eastAsia="Calibri" w:hAnsi="Palatino Linotype" w:cs="Tahoma"/>
          <w:iCs/>
          <w:sz w:val="24"/>
          <w:lang w:eastAsia="es-ES_tradnl"/>
        </w:rPr>
        <w:t xml:space="preserve">relación, al tercer elemento que versa en las afectaciones que pudieran generarse por la divulgación de las evaluaciones, </w:t>
      </w:r>
      <w:r w:rsidR="007D7433">
        <w:rPr>
          <w:rFonts w:ascii="Palatino Linotype" w:hAnsi="Palatino Linotype" w:cs="Arial"/>
          <w:sz w:val="24"/>
          <w:szCs w:val="24"/>
        </w:rPr>
        <w:t>de acuerdo con</w:t>
      </w:r>
      <w:r w:rsidR="007D7433" w:rsidRPr="006E241A">
        <w:rPr>
          <w:rFonts w:ascii="Palatino Linotype" w:hAnsi="Palatino Linotype" w:cs="Arial"/>
          <w:sz w:val="24"/>
          <w:szCs w:val="24"/>
        </w:rPr>
        <w:t xml:space="preserve"> </w:t>
      </w:r>
      <w:r w:rsidR="007F3DF2" w:rsidRPr="006E241A">
        <w:rPr>
          <w:rFonts w:ascii="Palatino Linotype" w:hAnsi="Palatino Linotype" w:cs="Arial"/>
          <w:sz w:val="24"/>
          <w:szCs w:val="24"/>
        </w:rPr>
        <w:t>los antecedentes expuesto</w:t>
      </w:r>
      <w:r>
        <w:rPr>
          <w:rFonts w:ascii="Palatino Linotype" w:hAnsi="Palatino Linotype" w:cs="Arial"/>
          <w:sz w:val="24"/>
          <w:szCs w:val="24"/>
        </w:rPr>
        <w:t>s</w:t>
      </w:r>
      <w:r w:rsidR="00442B41" w:rsidRPr="006E241A">
        <w:rPr>
          <w:rFonts w:ascii="Palatino Linotype" w:hAnsi="Palatino Linotype" w:cs="Arial"/>
          <w:sz w:val="24"/>
          <w:szCs w:val="24"/>
        </w:rPr>
        <w:t>,</w:t>
      </w:r>
      <w:r w:rsidR="007F3DF2" w:rsidRPr="006E241A">
        <w:rPr>
          <w:rFonts w:ascii="Palatino Linotype" w:hAnsi="Palatino Linotype" w:cs="Arial"/>
          <w:sz w:val="24"/>
          <w:szCs w:val="24"/>
        </w:rPr>
        <w:t xml:space="preserve"> se estima </w:t>
      </w:r>
      <w:r w:rsidR="00442B41" w:rsidRPr="006E241A">
        <w:rPr>
          <w:rFonts w:ascii="Palatino Linotype" w:hAnsi="Palatino Linotype" w:cs="Arial"/>
          <w:sz w:val="24"/>
          <w:szCs w:val="24"/>
        </w:rPr>
        <w:t xml:space="preserve">que los reactivos se </w:t>
      </w:r>
      <w:r w:rsidR="007D7433">
        <w:rPr>
          <w:rFonts w:ascii="Palatino Linotype" w:hAnsi="Palatino Linotype" w:cs="Arial"/>
          <w:sz w:val="24"/>
          <w:szCs w:val="24"/>
        </w:rPr>
        <w:t>utilizan</w:t>
      </w:r>
      <w:r w:rsidR="00442B41" w:rsidRPr="006E241A">
        <w:rPr>
          <w:rFonts w:ascii="Palatino Linotype" w:hAnsi="Palatino Linotype" w:cs="Arial"/>
          <w:sz w:val="24"/>
          <w:szCs w:val="24"/>
        </w:rPr>
        <w:t xml:space="preserve"> </w:t>
      </w:r>
      <w:r w:rsidR="007D7433">
        <w:rPr>
          <w:rFonts w:ascii="Palatino Linotype" w:hAnsi="Palatino Linotype" w:cs="Arial"/>
          <w:sz w:val="24"/>
          <w:szCs w:val="24"/>
        </w:rPr>
        <w:t>en</w:t>
      </w:r>
      <w:r w:rsidR="007D7433" w:rsidRPr="006E241A">
        <w:rPr>
          <w:rFonts w:ascii="Palatino Linotype" w:hAnsi="Palatino Linotype" w:cs="Arial"/>
          <w:sz w:val="24"/>
          <w:szCs w:val="24"/>
        </w:rPr>
        <w:t xml:space="preserve"> </w:t>
      </w:r>
      <w:r w:rsidR="00442B41" w:rsidRPr="006E241A">
        <w:rPr>
          <w:rFonts w:ascii="Palatino Linotype" w:hAnsi="Palatino Linotype" w:cs="Arial"/>
          <w:sz w:val="24"/>
          <w:szCs w:val="24"/>
        </w:rPr>
        <w:t>los instrumentos de evaluación y  a su vez son aplicados a los servidores públicos</w:t>
      </w:r>
      <w:r w:rsidR="007D7433">
        <w:rPr>
          <w:rFonts w:ascii="Palatino Linotype" w:hAnsi="Palatino Linotype" w:cs="Arial"/>
          <w:sz w:val="24"/>
          <w:szCs w:val="24"/>
        </w:rPr>
        <w:t xml:space="preserve">; estos </w:t>
      </w:r>
      <w:r w:rsidR="00442B41" w:rsidRPr="006E241A">
        <w:rPr>
          <w:rFonts w:ascii="Palatino Linotype" w:hAnsi="Palatino Linotype" w:cs="Arial"/>
          <w:sz w:val="24"/>
          <w:szCs w:val="24"/>
        </w:rPr>
        <w:t>corresponden a ejercicios y preguntas que conforman la herramienta de evaluación</w:t>
      </w:r>
      <w:r w:rsidR="007D7433">
        <w:rPr>
          <w:rFonts w:ascii="Palatino Linotype" w:hAnsi="Palatino Linotype" w:cs="Arial"/>
          <w:sz w:val="24"/>
          <w:szCs w:val="24"/>
        </w:rPr>
        <w:t xml:space="preserve">, por lo que su eficacia e idoneidad se centra en que los evaluados puedan dar puntual respuesta al momento del examen; por lo que, </w:t>
      </w:r>
      <w:r w:rsidR="00442B41" w:rsidRPr="006E241A">
        <w:rPr>
          <w:rFonts w:ascii="Palatino Linotype" w:hAnsi="Palatino Linotype" w:cs="Arial"/>
          <w:sz w:val="24"/>
          <w:szCs w:val="24"/>
        </w:rPr>
        <w:t xml:space="preserve">su divulgación </w:t>
      </w:r>
      <w:r w:rsidR="007D7433">
        <w:rPr>
          <w:rFonts w:ascii="Palatino Linotype" w:hAnsi="Palatino Linotype" w:cs="Arial"/>
          <w:sz w:val="24"/>
          <w:szCs w:val="24"/>
        </w:rPr>
        <w:t>propiciaría que cualquier persona a ser evaluada preparara las respuestas con anticipación a la evaluación, con lo que se dejaría de mediar el nivel de conocimiento y preparación, lo que daría por resultado que la evaluación no cumpliría los objetivos planteados.</w:t>
      </w:r>
    </w:p>
    <w:p w14:paraId="61680187" w14:textId="77777777" w:rsidR="00E05C48" w:rsidRPr="006E241A" w:rsidRDefault="00E05C48" w:rsidP="00906410">
      <w:pPr>
        <w:spacing w:line="276" w:lineRule="auto"/>
        <w:jc w:val="both"/>
        <w:rPr>
          <w:rFonts w:ascii="Palatino Linotype" w:hAnsi="Palatino Linotype" w:cs="Arial"/>
          <w:sz w:val="24"/>
          <w:szCs w:val="24"/>
        </w:rPr>
      </w:pPr>
    </w:p>
    <w:p w14:paraId="30C56D31" w14:textId="6CCE4E88" w:rsidR="002D788C" w:rsidRDefault="007D7433" w:rsidP="00906410">
      <w:pPr>
        <w:spacing w:line="276" w:lineRule="auto"/>
        <w:jc w:val="both"/>
        <w:rPr>
          <w:rFonts w:ascii="Palatino Linotype" w:hAnsi="Palatino Linotype" w:cs="Arial"/>
          <w:sz w:val="24"/>
          <w:szCs w:val="24"/>
        </w:rPr>
      </w:pPr>
      <w:r>
        <w:rPr>
          <w:rFonts w:ascii="Palatino Linotype" w:hAnsi="Palatino Linotype" w:cs="Arial"/>
          <w:sz w:val="24"/>
          <w:szCs w:val="24"/>
        </w:rPr>
        <w:lastRenderedPageBreak/>
        <w:t>Bajo este orden de ideas, se advierte que</w:t>
      </w:r>
      <w:r w:rsidR="00E05C48" w:rsidRPr="006E241A">
        <w:rPr>
          <w:rFonts w:ascii="Palatino Linotype" w:hAnsi="Palatino Linotype" w:cs="Arial"/>
          <w:sz w:val="24"/>
          <w:szCs w:val="24"/>
        </w:rPr>
        <w:t xml:space="preserve">, las evaluaciones </w:t>
      </w:r>
      <w:r>
        <w:rPr>
          <w:rFonts w:ascii="Palatino Linotype" w:hAnsi="Palatino Linotype" w:cs="Arial"/>
          <w:sz w:val="24"/>
          <w:szCs w:val="24"/>
        </w:rPr>
        <w:t xml:space="preserve">(preguntas o banco de preguntas) </w:t>
      </w:r>
      <w:r w:rsidR="00E05C48" w:rsidRPr="006E241A">
        <w:rPr>
          <w:rFonts w:ascii="Palatino Linotype" w:hAnsi="Palatino Linotype" w:cs="Arial"/>
          <w:sz w:val="24"/>
          <w:szCs w:val="24"/>
        </w:rPr>
        <w:t xml:space="preserve">que se emplean dentro del sistema escalafonario </w:t>
      </w:r>
      <w:r>
        <w:rPr>
          <w:rFonts w:ascii="Palatino Linotype" w:hAnsi="Palatino Linotype" w:cs="Arial"/>
          <w:sz w:val="24"/>
          <w:szCs w:val="24"/>
        </w:rPr>
        <w:t xml:space="preserve">solicitado, </w:t>
      </w:r>
      <w:r w:rsidR="00E05C48" w:rsidRPr="006E241A">
        <w:rPr>
          <w:rFonts w:ascii="Palatino Linotype" w:hAnsi="Palatino Linotype" w:cs="Arial"/>
          <w:sz w:val="24"/>
          <w:szCs w:val="24"/>
        </w:rPr>
        <w:t>son la esencia del procedimiento deliberativo</w:t>
      </w:r>
      <w:r>
        <w:rPr>
          <w:rFonts w:ascii="Palatino Linotype" w:hAnsi="Palatino Linotype" w:cs="Arial"/>
          <w:sz w:val="24"/>
          <w:szCs w:val="24"/>
        </w:rPr>
        <w:t xml:space="preserve"> y </w:t>
      </w:r>
      <w:r w:rsidRPr="00906410">
        <w:rPr>
          <w:rFonts w:ascii="Palatino Linotype" w:hAnsi="Palatino Linotype" w:cs="Arial"/>
          <w:b/>
          <w:sz w:val="24"/>
          <w:szCs w:val="24"/>
        </w:rPr>
        <w:t xml:space="preserve">su éxito deriva en el desconocimiento de estas por el </w:t>
      </w:r>
      <w:r>
        <w:rPr>
          <w:rFonts w:ascii="Palatino Linotype" w:hAnsi="Palatino Linotype" w:cs="Arial"/>
          <w:b/>
          <w:sz w:val="24"/>
          <w:szCs w:val="24"/>
        </w:rPr>
        <w:t>servidor público</w:t>
      </w:r>
      <w:r w:rsidRPr="00906410">
        <w:rPr>
          <w:rFonts w:ascii="Palatino Linotype" w:hAnsi="Palatino Linotype" w:cs="Arial"/>
          <w:b/>
          <w:sz w:val="24"/>
          <w:szCs w:val="24"/>
        </w:rPr>
        <w:t xml:space="preserve"> al momento de la evaluación</w:t>
      </w:r>
      <w:r w:rsidR="00E05C48" w:rsidRPr="006E241A">
        <w:rPr>
          <w:rFonts w:ascii="Palatino Linotype" w:hAnsi="Palatino Linotype" w:cs="Arial"/>
          <w:sz w:val="24"/>
          <w:szCs w:val="24"/>
        </w:rPr>
        <w:t xml:space="preserve">, en tanto que </w:t>
      </w:r>
      <w:r w:rsidR="009A5B23" w:rsidRPr="006E241A">
        <w:rPr>
          <w:rFonts w:ascii="Palatino Linotype" w:hAnsi="Palatino Linotype" w:cs="Arial"/>
          <w:sz w:val="24"/>
          <w:szCs w:val="24"/>
        </w:rPr>
        <w:t>a partir</w:t>
      </w:r>
      <w:r w:rsidR="00E05C48" w:rsidRPr="006E241A">
        <w:rPr>
          <w:rFonts w:ascii="Palatino Linotype" w:hAnsi="Palatino Linotype" w:cs="Arial"/>
          <w:sz w:val="24"/>
          <w:szCs w:val="24"/>
        </w:rPr>
        <w:t xml:space="preserve"> de las mismas se determina la promoción o no de </w:t>
      </w:r>
      <w:r w:rsidR="002D788C">
        <w:rPr>
          <w:rFonts w:ascii="Palatino Linotype" w:hAnsi="Palatino Linotype" w:cs="Arial"/>
          <w:sz w:val="24"/>
          <w:szCs w:val="24"/>
        </w:rPr>
        <w:t>este.</w:t>
      </w:r>
    </w:p>
    <w:p w14:paraId="4CE14DEB" w14:textId="77777777" w:rsidR="002D788C" w:rsidRDefault="002D788C" w:rsidP="00906410">
      <w:pPr>
        <w:spacing w:line="276" w:lineRule="auto"/>
        <w:jc w:val="both"/>
        <w:rPr>
          <w:rFonts w:ascii="Palatino Linotype" w:hAnsi="Palatino Linotype" w:cs="Arial"/>
          <w:sz w:val="24"/>
          <w:szCs w:val="24"/>
        </w:rPr>
      </w:pPr>
    </w:p>
    <w:p w14:paraId="525868FF" w14:textId="5813C640" w:rsidR="00E05C48" w:rsidRPr="006E241A" w:rsidRDefault="002D788C" w:rsidP="00906410">
      <w:pPr>
        <w:spacing w:line="276" w:lineRule="auto"/>
        <w:jc w:val="both"/>
        <w:rPr>
          <w:rFonts w:ascii="Palatino Linotype" w:hAnsi="Palatino Linotype" w:cs="Arial"/>
          <w:sz w:val="24"/>
          <w:szCs w:val="24"/>
        </w:rPr>
      </w:pPr>
      <w:r>
        <w:rPr>
          <w:rFonts w:ascii="Palatino Linotype" w:hAnsi="Palatino Linotype" w:cs="Arial"/>
          <w:sz w:val="24"/>
          <w:szCs w:val="24"/>
        </w:rPr>
        <w:t xml:space="preserve">Con base en lo expuesto, </w:t>
      </w:r>
      <w:r w:rsidR="007F3DF2" w:rsidRPr="006E241A">
        <w:rPr>
          <w:rFonts w:ascii="Palatino Linotype" w:hAnsi="Palatino Linotype" w:cs="Arial"/>
          <w:sz w:val="24"/>
          <w:szCs w:val="24"/>
        </w:rPr>
        <w:t xml:space="preserve">se considera que se </w:t>
      </w:r>
      <w:r w:rsidR="00E22DFA" w:rsidRPr="006E241A">
        <w:rPr>
          <w:rFonts w:ascii="Palatino Linotype" w:hAnsi="Palatino Linotype" w:cs="Arial"/>
          <w:sz w:val="24"/>
          <w:szCs w:val="24"/>
        </w:rPr>
        <w:t xml:space="preserve">cumple con </w:t>
      </w:r>
      <w:r w:rsidR="007F3DF2" w:rsidRPr="006E241A">
        <w:rPr>
          <w:rFonts w:ascii="Palatino Linotype" w:hAnsi="Palatino Linotype" w:cs="Arial"/>
          <w:sz w:val="24"/>
          <w:szCs w:val="24"/>
        </w:rPr>
        <w:t>los tres elementos sustanciales para la clasificación de la información como reservada en r</w:t>
      </w:r>
      <w:r w:rsidR="00E22DFA" w:rsidRPr="006E241A">
        <w:rPr>
          <w:rFonts w:ascii="Palatino Linotype" w:hAnsi="Palatino Linotype" w:cs="Arial"/>
          <w:sz w:val="24"/>
          <w:szCs w:val="24"/>
        </w:rPr>
        <w:t>elación al proceso deliberativo.</w:t>
      </w:r>
    </w:p>
    <w:p w14:paraId="2202ACE6" w14:textId="77777777" w:rsidR="00C04C52" w:rsidRPr="006E241A" w:rsidRDefault="00C04C52" w:rsidP="00906410">
      <w:pPr>
        <w:tabs>
          <w:tab w:val="left" w:pos="4962"/>
        </w:tabs>
        <w:spacing w:line="276" w:lineRule="auto"/>
        <w:jc w:val="both"/>
        <w:rPr>
          <w:rFonts w:ascii="Palatino Linotype" w:hAnsi="Palatino Linotype" w:cs="Tahoma"/>
          <w:sz w:val="24"/>
          <w:szCs w:val="24"/>
        </w:rPr>
      </w:pPr>
    </w:p>
    <w:p w14:paraId="6E76DC3D" w14:textId="726E29C2" w:rsidR="009377A0" w:rsidRPr="006E241A" w:rsidRDefault="00C63E22" w:rsidP="00906410">
      <w:pPr>
        <w:spacing w:line="276" w:lineRule="auto"/>
        <w:jc w:val="both"/>
        <w:rPr>
          <w:rFonts w:ascii="Palatino Linotype" w:hAnsi="Palatino Linotype" w:cs="Tahoma"/>
          <w:sz w:val="24"/>
          <w:szCs w:val="24"/>
        </w:rPr>
      </w:pPr>
      <w:r w:rsidRPr="006E241A">
        <w:rPr>
          <w:rFonts w:ascii="Palatino Linotype" w:hAnsi="Palatino Linotype" w:cs="Tahoma"/>
          <w:sz w:val="24"/>
          <w:szCs w:val="24"/>
        </w:rPr>
        <w:t xml:space="preserve">Es así que, </w:t>
      </w:r>
      <w:r w:rsidR="002D788C">
        <w:rPr>
          <w:rFonts w:ascii="Palatino Linotype" w:hAnsi="Palatino Linotype" w:cs="Tahoma"/>
          <w:sz w:val="24"/>
          <w:szCs w:val="24"/>
        </w:rPr>
        <w:t xml:space="preserve">al </w:t>
      </w:r>
      <w:r w:rsidRPr="006E241A">
        <w:rPr>
          <w:rFonts w:ascii="Palatino Linotype" w:hAnsi="Palatino Linotype" w:cs="Tahoma"/>
          <w:sz w:val="24"/>
          <w:szCs w:val="24"/>
        </w:rPr>
        <w:t>corrobora</w:t>
      </w:r>
      <w:r w:rsidR="002D788C">
        <w:rPr>
          <w:rFonts w:ascii="Palatino Linotype" w:hAnsi="Palatino Linotype" w:cs="Tahoma"/>
          <w:sz w:val="24"/>
          <w:szCs w:val="24"/>
        </w:rPr>
        <w:t>r</w:t>
      </w:r>
      <w:r w:rsidRPr="006E241A">
        <w:rPr>
          <w:rFonts w:ascii="Palatino Linotype" w:hAnsi="Palatino Linotype" w:cs="Tahoma"/>
          <w:sz w:val="24"/>
          <w:szCs w:val="24"/>
        </w:rPr>
        <w:t xml:space="preserve"> las afectaciones que existirían si la información se divulgara, </w:t>
      </w:r>
      <w:r w:rsidR="003435D1">
        <w:rPr>
          <w:rFonts w:ascii="Palatino Linotype" w:hAnsi="Palatino Linotype" w:cs="Tahoma"/>
          <w:sz w:val="24"/>
          <w:szCs w:val="24"/>
        </w:rPr>
        <w:t xml:space="preserve">se acredita que </w:t>
      </w:r>
      <w:r w:rsidR="003435D1" w:rsidRPr="006E241A">
        <w:rPr>
          <w:rFonts w:ascii="Palatino Linotype" w:hAnsi="Palatino Linotype" w:cs="Tahoma"/>
          <w:sz w:val="24"/>
          <w:szCs w:val="24"/>
        </w:rPr>
        <w:t>genera</w:t>
      </w:r>
      <w:r w:rsidR="003435D1">
        <w:rPr>
          <w:rFonts w:ascii="Palatino Linotype" w:hAnsi="Palatino Linotype" w:cs="Tahoma"/>
          <w:sz w:val="24"/>
          <w:szCs w:val="24"/>
        </w:rPr>
        <w:t>ría</w:t>
      </w:r>
      <w:r w:rsidR="003435D1" w:rsidRPr="006E241A">
        <w:rPr>
          <w:rFonts w:ascii="Palatino Linotype" w:hAnsi="Palatino Linotype" w:cs="Tahoma"/>
          <w:sz w:val="24"/>
          <w:szCs w:val="24"/>
        </w:rPr>
        <w:t xml:space="preserve"> </w:t>
      </w:r>
      <w:r w:rsidRPr="006E241A">
        <w:rPr>
          <w:rFonts w:ascii="Palatino Linotype" w:hAnsi="Palatino Linotype" w:cs="Tahoma"/>
          <w:sz w:val="24"/>
          <w:szCs w:val="24"/>
        </w:rPr>
        <w:t>un riesgo</w:t>
      </w:r>
      <w:r w:rsidR="003435D1">
        <w:rPr>
          <w:rFonts w:ascii="Palatino Linotype" w:hAnsi="Palatino Linotype" w:cs="Tahoma"/>
          <w:sz w:val="24"/>
          <w:szCs w:val="24"/>
        </w:rPr>
        <w:t xml:space="preserve"> real y demostrable</w:t>
      </w:r>
      <w:r w:rsidRPr="006E241A">
        <w:rPr>
          <w:rFonts w:ascii="Palatino Linotype" w:hAnsi="Palatino Linotype" w:cs="Tahoma"/>
          <w:sz w:val="24"/>
          <w:szCs w:val="24"/>
        </w:rPr>
        <w:t xml:space="preserve"> al procedimiento de evaluación del sistema escalafonario</w:t>
      </w:r>
      <w:r w:rsidR="002C65C0" w:rsidRPr="006E241A">
        <w:rPr>
          <w:rFonts w:ascii="Palatino Linotype" w:hAnsi="Palatino Linotype" w:cs="Tahoma"/>
          <w:sz w:val="24"/>
          <w:szCs w:val="24"/>
        </w:rPr>
        <w:t xml:space="preserve">, </w:t>
      </w:r>
      <w:r w:rsidR="003435D1">
        <w:rPr>
          <w:rFonts w:ascii="Palatino Linotype" w:hAnsi="Palatino Linotype" w:cs="Tahoma"/>
          <w:sz w:val="24"/>
          <w:szCs w:val="24"/>
        </w:rPr>
        <w:t xml:space="preserve">por lo que </w:t>
      </w:r>
      <w:r w:rsidR="002C65C0" w:rsidRPr="006E241A">
        <w:rPr>
          <w:rFonts w:ascii="Palatino Linotype" w:hAnsi="Palatino Linotype" w:cs="Tahoma"/>
          <w:b/>
          <w:sz w:val="24"/>
          <w:szCs w:val="24"/>
        </w:rPr>
        <w:t>resulta procedente la clasificación de la información requerida por el solicitante, con fundamento en el artículo 140, fracción VII</w:t>
      </w:r>
      <w:r w:rsidR="003435D1">
        <w:rPr>
          <w:rFonts w:ascii="Palatino Linotype" w:hAnsi="Palatino Linotype" w:cs="Tahoma"/>
          <w:b/>
          <w:sz w:val="24"/>
          <w:szCs w:val="24"/>
        </w:rPr>
        <w:t>,</w:t>
      </w:r>
      <w:r w:rsidR="002C65C0" w:rsidRPr="006E241A">
        <w:rPr>
          <w:rFonts w:ascii="Palatino Linotype" w:hAnsi="Palatino Linotype" w:cs="Tahoma"/>
          <w:b/>
          <w:sz w:val="24"/>
          <w:szCs w:val="24"/>
        </w:rPr>
        <w:t xml:space="preserve"> de la Ley de Transparencia y Acceso a la Información Pública del Estado de México y Municipios</w:t>
      </w:r>
      <w:r w:rsidRPr="006E241A">
        <w:rPr>
          <w:rFonts w:ascii="Palatino Linotype" w:hAnsi="Palatino Linotype" w:cs="Tahoma"/>
          <w:sz w:val="24"/>
          <w:szCs w:val="24"/>
        </w:rPr>
        <w:t xml:space="preserve">. </w:t>
      </w:r>
    </w:p>
    <w:p w14:paraId="1A7AE167" w14:textId="77777777" w:rsidR="00C63E22" w:rsidRPr="006E241A" w:rsidRDefault="00C63E22" w:rsidP="00906410">
      <w:pPr>
        <w:spacing w:line="276" w:lineRule="auto"/>
        <w:jc w:val="both"/>
        <w:rPr>
          <w:rFonts w:ascii="Palatino Linotype" w:hAnsi="Palatino Linotype" w:cs="Tahoma"/>
          <w:sz w:val="24"/>
          <w:szCs w:val="24"/>
        </w:rPr>
      </w:pPr>
    </w:p>
    <w:p w14:paraId="457FF906" w14:textId="3C0D74DA" w:rsidR="00134A3B" w:rsidRPr="006E241A" w:rsidRDefault="00AC0EB7" w:rsidP="00906410">
      <w:pPr>
        <w:spacing w:line="276" w:lineRule="auto"/>
        <w:jc w:val="both"/>
        <w:rPr>
          <w:rFonts w:ascii="Palatino Linotype" w:hAnsi="Palatino Linotype" w:cs="Arial"/>
          <w:sz w:val="24"/>
          <w:szCs w:val="24"/>
        </w:rPr>
      </w:pPr>
      <w:r w:rsidRPr="006E241A">
        <w:rPr>
          <w:rFonts w:ascii="Palatino Linotype" w:hAnsi="Palatino Linotype" w:cs="Arial"/>
          <w:sz w:val="24"/>
          <w:szCs w:val="24"/>
        </w:rPr>
        <w:t xml:space="preserve">Robustece lo anterior  </w:t>
      </w:r>
      <w:r w:rsidR="00134A3B" w:rsidRPr="006E241A">
        <w:rPr>
          <w:rFonts w:ascii="Palatino Linotype" w:hAnsi="Palatino Linotype" w:cs="Arial"/>
          <w:sz w:val="24"/>
          <w:szCs w:val="24"/>
        </w:rPr>
        <w:t>el criterio</w:t>
      </w:r>
      <w:r w:rsidR="006A335C">
        <w:rPr>
          <w:rFonts w:ascii="Palatino Linotype" w:hAnsi="Palatino Linotype" w:cs="Arial"/>
          <w:sz w:val="24"/>
          <w:szCs w:val="24"/>
        </w:rPr>
        <w:t xml:space="preserve"> histórico</w:t>
      </w:r>
      <w:r w:rsidR="00134A3B" w:rsidRPr="006E241A">
        <w:rPr>
          <w:rFonts w:ascii="Palatino Linotype" w:hAnsi="Palatino Linotype" w:cs="Arial"/>
          <w:sz w:val="24"/>
          <w:szCs w:val="24"/>
        </w:rPr>
        <w:t xml:space="preserve"> 5/2014 del Instituto Nacional de Transparencia, Acceso a la Información y Protección de Datos Personales  (antes IFAI), el cual señala:</w:t>
      </w:r>
    </w:p>
    <w:p w14:paraId="497C46F9" w14:textId="77777777" w:rsidR="006D1EB0" w:rsidRPr="006E241A" w:rsidRDefault="006D1EB0" w:rsidP="00906410">
      <w:pPr>
        <w:spacing w:line="276" w:lineRule="auto"/>
        <w:jc w:val="both"/>
        <w:rPr>
          <w:rFonts w:ascii="Palatino Linotype" w:hAnsi="Palatino Linotype" w:cs="Arial"/>
          <w:sz w:val="24"/>
          <w:szCs w:val="24"/>
        </w:rPr>
      </w:pPr>
    </w:p>
    <w:p w14:paraId="7910D42B" w14:textId="18767A15" w:rsidR="00134A3B" w:rsidRPr="006E241A" w:rsidRDefault="00134A3B" w:rsidP="00906410">
      <w:pPr>
        <w:spacing w:line="276" w:lineRule="auto"/>
        <w:ind w:left="567" w:right="539"/>
        <w:jc w:val="both"/>
        <w:rPr>
          <w:rFonts w:ascii="Palatino Linotype" w:hAnsi="Palatino Linotype" w:cs="Arial"/>
          <w:sz w:val="22"/>
          <w:szCs w:val="22"/>
        </w:rPr>
      </w:pPr>
      <w:r w:rsidRPr="006E241A">
        <w:rPr>
          <w:rFonts w:ascii="Palatino Linotype" w:hAnsi="Palatino Linotype" w:cs="Arial"/>
          <w:b/>
          <w:sz w:val="22"/>
          <w:szCs w:val="22"/>
        </w:rPr>
        <w:t>Baterías de pruebas, preguntas, reactivos y opciones de respuesta. Procede su clasificación cuando son reutilizables en otros procesos deliberativos.</w:t>
      </w:r>
      <w:r w:rsidRPr="006E241A">
        <w:rPr>
          <w:rFonts w:ascii="Palatino Linotype" w:hAnsi="Palatino Linotype" w:cs="Arial"/>
          <w:sz w:val="22"/>
          <w:szCs w:val="22"/>
        </w:rPr>
        <w:t xml:space="preserve"> </w:t>
      </w:r>
      <w:r w:rsidRPr="006E241A">
        <w:rPr>
          <w:rFonts w:ascii="Palatino Linotype" w:hAnsi="Palatino Linotype" w:cs="Arial"/>
          <w:b/>
          <w:sz w:val="22"/>
          <w:szCs w:val="22"/>
          <w:u w:val="single"/>
        </w:rPr>
        <w:t>Cuando se soliciten documentos que contengan baterías de pruebas, preguntas, reactivos y opciones de respuesta, empleadas en los procesos de evaluación de capacidades, conocimientos, desempeño, habilidades, entre otros, que sean reutilizables,  procede  reservar  dichas  herramientas</w:t>
      </w:r>
      <w:r w:rsidRPr="006E241A">
        <w:rPr>
          <w:rFonts w:ascii="Palatino Linotype" w:hAnsi="Palatino Linotype" w:cs="Arial"/>
          <w:sz w:val="22"/>
          <w:szCs w:val="22"/>
        </w:rPr>
        <w:t xml:space="preserve">,  de  conformidad  con  lo previsto en el artículo 14, fracción VI de la Ley Federal de Transparencia y Acceso a la Información Pública Gubernamental, </w:t>
      </w:r>
      <w:r w:rsidRPr="006E241A">
        <w:rPr>
          <w:rFonts w:ascii="Palatino Linotype" w:hAnsi="Palatino Linotype" w:cs="Arial"/>
          <w:b/>
          <w:sz w:val="22"/>
          <w:szCs w:val="22"/>
          <w:u w:val="single"/>
        </w:rPr>
        <w:t>ya que con base en éstas los servidores públicos deliberan y adoptan determinaciones en los procesos de evaluación en curso o en subsecuentes. Su entrega, afectaría la efectividad de las evaluaciones, ya que los participantes conocerían con anticipación el contenido de las pruebas obteniendo una ventaja frente al resto de los evaluados</w:t>
      </w:r>
      <w:r w:rsidRPr="006E241A">
        <w:rPr>
          <w:rFonts w:ascii="Palatino Linotype" w:hAnsi="Palatino Linotype" w:cs="Arial"/>
          <w:sz w:val="22"/>
          <w:szCs w:val="22"/>
        </w:rPr>
        <w:t xml:space="preserve">. Por las mismas razones </w:t>
      </w:r>
      <w:r w:rsidRPr="006E241A">
        <w:rPr>
          <w:rFonts w:ascii="Palatino Linotype" w:hAnsi="Palatino Linotype" w:cs="Arial"/>
          <w:sz w:val="22"/>
          <w:szCs w:val="22"/>
        </w:rPr>
        <w:lastRenderedPageBreak/>
        <w:t>también procede reservar las respuestas asentadas por los participantes, inclusive las de quienes hayan resultado ganadores en los procesos, cuando de éstas pueda inferirse el contenido de los reactivos o preguntas que componen las evaluaciones.</w:t>
      </w:r>
    </w:p>
    <w:p w14:paraId="7ACB50AD" w14:textId="1F4D6730" w:rsidR="00134A3B" w:rsidRPr="006E241A" w:rsidRDefault="00134A3B" w:rsidP="00906410">
      <w:pPr>
        <w:spacing w:line="276" w:lineRule="auto"/>
        <w:ind w:left="567" w:right="539"/>
        <w:jc w:val="both"/>
        <w:rPr>
          <w:rFonts w:ascii="Palatino Linotype" w:hAnsi="Palatino Linotype" w:cs="Arial"/>
          <w:sz w:val="22"/>
          <w:szCs w:val="22"/>
        </w:rPr>
      </w:pPr>
      <w:r w:rsidRPr="006E241A">
        <w:rPr>
          <w:rFonts w:ascii="Palatino Linotype" w:hAnsi="Palatino Linotype" w:cs="Arial"/>
          <w:sz w:val="22"/>
          <w:szCs w:val="22"/>
        </w:rPr>
        <w:t>(Énfasis añadido)</w:t>
      </w:r>
    </w:p>
    <w:p w14:paraId="38276099" w14:textId="77777777" w:rsidR="006D4D74" w:rsidRPr="006E241A" w:rsidRDefault="006D4D74" w:rsidP="00906410">
      <w:pPr>
        <w:spacing w:line="276" w:lineRule="auto"/>
        <w:jc w:val="both"/>
        <w:rPr>
          <w:rFonts w:ascii="Palatino Linotype" w:hAnsi="Palatino Linotype" w:cs="Arial"/>
          <w:sz w:val="24"/>
          <w:szCs w:val="24"/>
        </w:rPr>
      </w:pPr>
    </w:p>
    <w:p w14:paraId="33B51962" w14:textId="77AE7045" w:rsidR="00DF0591" w:rsidRPr="00906410" w:rsidRDefault="00FA0037" w:rsidP="00906410">
      <w:pPr>
        <w:autoSpaceDE w:val="0"/>
        <w:autoSpaceDN w:val="0"/>
        <w:adjustRightInd w:val="0"/>
        <w:spacing w:line="276" w:lineRule="auto"/>
        <w:jc w:val="both"/>
        <w:rPr>
          <w:rFonts w:ascii="Palatino Linotype" w:hAnsi="Palatino Linotype" w:cs="Arial"/>
          <w:caps/>
          <w:sz w:val="24"/>
        </w:rPr>
      </w:pPr>
      <w:r w:rsidRPr="006E241A">
        <w:rPr>
          <w:rFonts w:ascii="Palatino Linotype" w:hAnsi="Palatino Linotype" w:cs="Arial"/>
          <w:sz w:val="24"/>
        </w:rPr>
        <w:t xml:space="preserve">Por lo tanto, </w:t>
      </w:r>
      <w:r w:rsidR="00DF0591" w:rsidRPr="006E241A">
        <w:rPr>
          <w:rFonts w:ascii="Palatino Linotype" w:hAnsi="Palatino Linotype" w:cs="Arial"/>
          <w:sz w:val="24"/>
        </w:rPr>
        <w:t xml:space="preserve">toda vez que </w:t>
      </w:r>
      <w:r w:rsidR="009F1746" w:rsidRPr="006E241A">
        <w:rPr>
          <w:rFonts w:ascii="Palatino Linotype" w:hAnsi="Palatino Linotype" w:cs="Arial"/>
          <w:sz w:val="24"/>
        </w:rPr>
        <w:t>este Instituto estima procedente la reserva de la información solicitada</w:t>
      </w:r>
      <w:r w:rsidR="00DF0591" w:rsidRPr="006E241A">
        <w:rPr>
          <w:rFonts w:ascii="Palatino Linotype" w:hAnsi="Palatino Linotype" w:cs="Arial"/>
          <w:sz w:val="24"/>
        </w:rPr>
        <w:t xml:space="preserve"> con fundamento en el artículo 140, fracci</w:t>
      </w:r>
      <w:r w:rsidR="009F1746" w:rsidRPr="006E241A">
        <w:rPr>
          <w:rFonts w:ascii="Palatino Linotype" w:hAnsi="Palatino Linotype" w:cs="Arial"/>
          <w:sz w:val="24"/>
        </w:rPr>
        <w:t>ón VII</w:t>
      </w:r>
      <w:r w:rsidR="00D476B5">
        <w:rPr>
          <w:rFonts w:ascii="Palatino Linotype" w:hAnsi="Palatino Linotype" w:cs="Arial"/>
          <w:sz w:val="24"/>
        </w:rPr>
        <w:t>,</w:t>
      </w:r>
      <w:r w:rsidR="009F1746" w:rsidRPr="006E241A">
        <w:rPr>
          <w:rFonts w:ascii="Palatino Linotype" w:hAnsi="Palatino Linotype" w:cs="Arial"/>
          <w:sz w:val="24"/>
        </w:rPr>
        <w:t xml:space="preserve"> de la Ley de Transparencia y Acceso a la Información Pública del Estado de México y Municipios y</w:t>
      </w:r>
      <w:r w:rsidR="00D476B5">
        <w:rPr>
          <w:rFonts w:ascii="Palatino Linotype" w:hAnsi="Palatino Linotype" w:cs="Arial"/>
          <w:sz w:val="24"/>
        </w:rPr>
        <w:t>, que</w:t>
      </w:r>
      <w:r w:rsidR="009F1746" w:rsidRPr="006E241A">
        <w:rPr>
          <w:rFonts w:ascii="Palatino Linotype" w:hAnsi="Palatino Linotype" w:cs="Arial"/>
          <w:sz w:val="24"/>
        </w:rPr>
        <w:t xml:space="preserve"> </w:t>
      </w:r>
      <w:r w:rsidR="009F1746" w:rsidRPr="00906410">
        <w:rPr>
          <w:rFonts w:ascii="Palatino Linotype" w:hAnsi="Palatino Linotype" w:cs="Arial"/>
          <w:b/>
          <w:sz w:val="24"/>
        </w:rPr>
        <w:t xml:space="preserve">el </w:t>
      </w:r>
      <w:r w:rsidR="00E62E3B" w:rsidRPr="00906410">
        <w:rPr>
          <w:rFonts w:ascii="Palatino Linotype" w:hAnsi="Palatino Linotype" w:cs="Arial"/>
          <w:b/>
          <w:sz w:val="24"/>
        </w:rPr>
        <w:t>Sujeto Obligado</w:t>
      </w:r>
      <w:r w:rsidR="00D476B5" w:rsidRPr="00906410">
        <w:rPr>
          <w:rFonts w:ascii="Palatino Linotype" w:hAnsi="Palatino Linotype" w:cs="Arial"/>
          <w:b/>
          <w:sz w:val="24"/>
        </w:rPr>
        <w:t xml:space="preserve"> modificó su actuar</w:t>
      </w:r>
      <w:r w:rsidR="009F1746" w:rsidRPr="006E241A">
        <w:rPr>
          <w:rFonts w:ascii="Palatino Linotype" w:hAnsi="Palatino Linotype" w:cs="Arial"/>
          <w:sz w:val="24"/>
        </w:rPr>
        <w:t xml:space="preserve"> </w:t>
      </w:r>
      <w:r w:rsidR="00D476B5">
        <w:rPr>
          <w:rFonts w:ascii="Palatino Linotype" w:hAnsi="Palatino Linotype" w:cs="Arial"/>
          <w:sz w:val="24"/>
        </w:rPr>
        <w:t xml:space="preserve">y </w:t>
      </w:r>
      <w:r w:rsidR="009F1746" w:rsidRPr="006E241A">
        <w:rPr>
          <w:rFonts w:ascii="Palatino Linotype" w:hAnsi="Palatino Linotype" w:cs="Arial"/>
          <w:sz w:val="24"/>
        </w:rPr>
        <w:t xml:space="preserve">ha cumplido con lo establecido en el artículo 168 de la misma norma, al emitir el acta de Comité de Transparencia mediante la que se confirma la reserva </w:t>
      </w:r>
      <w:r w:rsidR="006E241A" w:rsidRPr="006E241A">
        <w:rPr>
          <w:rFonts w:ascii="Palatino Linotype" w:hAnsi="Palatino Linotype" w:cs="Arial"/>
          <w:sz w:val="24"/>
        </w:rPr>
        <w:t xml:space="preserve">y </w:t>
      </w:r>
      <w:r w:rsidR="00D476B5">
        <w:rPr>
          <w:rFonts w:ascii="Palatino Linotype" w:hAnsi="Palatino Linotype" w:cs="Arial"/>
          <w:sz w:val="24"/>
        </w:rPr>
        <w:t xml:space="preserve">al </w:t>
      </w:r>
      <w:r w:rsidR="006E241A" w:rsidRPr="006E241A">
        <w:rPr>
          <w:rFonts w:ascii="Palatino Linotype" w:hAnsi="Palatino Linotype" w:cs="Arial"/>
          <w:sz w:val="24"/>
        </w:rPr>
        <w:t>hacerla de conocimiento del particular</w:t>
      </w:r>
      <w:r w:rsidR="009F1746" w:rsidRPr="006E241A">
        <w:rPr>
          <w:rFonts w:ascii="Palatino Linotype" w:hAnsi="Palatino Linotype" w:cs="Arial"/>
          <w:sz w:val="24"/>
        </w:rPr>
        <w:t xml:space="preserve">, </w:t>
      </w:r>
      <w:r w:rsidR="00064038" w:rsidRPr="006E241A">
        <w:rPr>
          <w:rFonts w:ascii="Palatino Linotype" w:hAnsi="Palatino Linotype" w:cs="Arial"/>
          <w:sz w:val="24"/>
        </w:rPr>
        <w:t xml:space="preserve">en el presente caso se </w:t>
      </w:r>
      <w:r w:rsidR="00DF0591" w:rsidRPr="006E241A">
        <w:rPr>
          <w:rFonts w:ascii="Palatino Linotype" w:hAnsi="Palatino Linotype" w:cs="Arial"/>
          <w:sz w:val="24"/>
        </w:rPr>
        <w:t>actualiza</w:t>
      </w:r>
      <w:r w:rsidR="00064038" w:rsidRPr="006E241A">
        <w:rPr>
          <w:rFonts w:ascii="Palatino Linotype" w:hAnsi="Palatino Linotype" w:cs="Arial"/>
          <w:sz w:val="24"/>
        </w:rPr>
        <w:t xml:space="preserve"> la procedencia del </w:t>
      </w:r>
      <w:r w:rsidR="00064038" w:rsidRPr="00906410">
        <w:rPr>
          <w:rFonts w:ascii="Palatino Linotype" w:hAnsi="Palatino Linotype" w:cs="Arial"/>
          <w:b/>
          <w:caps/>
          <w:sz w:val="24"/>
        </w:rPr>
        <w:t>sobreseimiento</w:t>
      </w:r>
      <w:r w:rsidR="006E241A" w:rsidRPr="00906410">
        <w:rPr>
          <w:rFonts w:ascii="Palatino Linotype" w:hAnsi="Palatino Linotype" w:cs="Arial"/>
          <w:b/>
          <w:caps/>
          <w:sz w:val="24"/>
        </w:rPr>
        <w:t>.</w:t>
      </w:r>
    </w:p>
    <w:p w14:paraId="181DEDC7" w14:textId="77777777" w:rsidR="006E241A" w:rsidRPr="006E241A" w:rsidRDefault="006E241A" w:rsidP="00906410">
      <w:pPr>
        <w:autoSpaceDE w:val="0"/>
        <w:autoSpaceDN w:val="0"/>
        <w:adjustRightInd w:val="0"/>
        <w:spacing w:line="276" w:lineRule="auto"/>
        <w:jc w:val="both"/>
        <w:rPr>
          <w:rFonts w:ascii="Palatino Linotype" w:hAnsi="Palatino Linotype" w:cs="Arial"/>
          <w:sz w:val="24"/>
        </w:rPr>
      </w:pPr>
    </w:p>
    <w:p w14:paraId="3ED58563" w14:textId="36CBFA4C" w:rsidR="006E241A" w:rsidRPr="006E241A" w:rsidRDefault="006E241A" w:rsidP="00906410">
      <w:pPr>
        <w:autoSpaceDE w:val="0"/>
        <w:autoSpaceDN w:val="0"/>
        <w:adjustRightInd w:val="0"/>
        <w:spacing w:line="276" w:lineRule="auto"/>
        <w:jc w:val="both"/>
        <w:rPr>
          <w:rFonts w:ascii="Palatino Linotype" w:hAnsi="Palatino Linotype" w:cs="Arial"/>
          <w:sz w:val="24"/>
        </w:rPr>
      </w:pPr>
      <w:r>
        <w:rPr>
          <w:rFonts w:ascii="Palatino Linotype" w:hAnsi="Palatino Linotype" w:cs="Arial"/>
          <w:sz w:val="24"/>
        </w:rPr>
        <w:t>Si bien</w:t>
      </w:r>
      <w:r w:rsidRPr="006E241A">
        <w:rPr>
          <w:rFonts w:ascii="Palatino Linotype" w:hAnsi="Palatino Linotype" w:cs="Arial"/>
          <w:sz w:val="24"/>
        </w:rPr>
        <w:t xml:space="preserve">, </w:t>
      </w:r>
      <w:r>
        <w:rPr>
          <w:rFonts w:ascii="Palatino Linotype" w:hAnsi="Palatino Linotype" w:cs="Arial"/>
          <w:sz w:val="24"/>
        </w:rPr>
        <w:t xml:space="preserve">aunque el </w:t>
      </w:r>
      <w:r w:rsidR="00E62E3B">
        <w:rPr>
          <w:rFonts w:ascii="Palatino Linotype" w:hAnsi="Palatino Linotype" w:cs="Arial"/>
          <w:sz w:val="24"/>
        </w:rPr>
        <w:t>Sujeto Obligado</w:t>
      </w:r>
      <w:r>
        <w:rPr>
          <w:rFonts w:ascii="Palatino Linotype" w:hAnsi="Palatino Linotype" w:cs="Arial"/>
          <w:sz w:val="24"/>
        </w:rPr>
        <w:t xml:space="preserve"> con la declaración de reserva de la información continua sin proporcionar a la </w:t>
      </w:r>
      <w:r w:rsidR="00B60AB8">
        <w:rPr>
          <w:rFonts w:ascii="Palatino Linotype" w:hAnsi="Palatino Linotype" w:cs="Arial"/>
          <w:sz w:val="24"/>
        </w:rPr>
        <w:t xml:space="preserve">Recurrente </w:t>
      </w:r>
      <w:r>
        <w:rPr>
          <w:rFonts w:ascii="Palatino Linotype" w:hAnsi="Palatino Linotype" w:cs="Arial"/>
          <w:sz w:val="24"/>
        </w:rPr>
        <w:t>la información de su interés,</w:t>
      </w:r>
      <w:r w:rsidRPr="006E241A">
        <w:rPr>
          <w:rFonts w:ascii="Palatino Linotype" w:hAnsi="Palatino Linotype" w:cs="Arial"/>
          <w:sz w:val="24"/>
        </w:rPr>
        <w:t xml:space="preserve"> lo cierto es que ello se ha hecho con base en las excepciones previstas por la norma y se han satisfecho todos los requisitos para que este Instituto pueda </w:t>
      </w:r>
      <w:r>
        <w:rPr>
          <w:rFonts w:ascii="Palatino Linotype" w:hAnsi="Palatino Linotype" w:cs="Arial"/>
          <w:sz w:val="24"/>
        </w:rPr>
        <w:t>convalidar dicho acto</w:t>
      </w:r>
      <w:r w:rsidRPr="006E241A">
        <w:rPr>
          <w:rFonts w:ascii="Palatino Linotype" w:hAnsi="Palatino Linotype" w:cs="Arial"/>
          <w:sz w:val="24"/>
        </w:rPr>
        <w:t>.</w:t>
      </w:r>
    </w:p>
    <w:p w14:paraId="206AFB30" w14:textId="77777777" w:rsidR="006E241A" w:rsidRPr="006E241A" w:rsidRDefault="006E241A" w:rsidP="00906410">
      <w:pPr>
        <w:autoSpaceDE w:val="0"/>
        <w:autoSpaceDN w:val="0"/>
        <w:adjustRightInd w:val="0"/>
        <w:spacing w:line="276" w:lineRule="auto"/>
        <w:jc w:val="both"/>
        <w:rPr>
          <w:rFonts w:ascii="Palatino Linotype" w:hAnsi="Palatino Linotype" w:cs="Arial"/>
          <w:sz w:val="24"/>
        </w:rPr>
      </w:pPr>
    </w:p>
    <w:p w14:paraId="232BD556" w14:textId="4A4E1957" w:rsidR="00064038" w:rsidRPr="006E241A" w:rsidRDefault="006E241A" w:rsidP="00906410">
      <w:pPr>
        <w:autoSpaceDE w:val="0"/>
        <w:autoSpaceDN w:val="0"/>
        <w:adjustRightInd w:val="0"/>
        <w:spacing w:line="276" w:lineRule="auto"/>
        <w:jc w:val="both"/>
        <w:rPr>
          <w:rFonts w:ascii="Palatino Linotype" w:hAnsi="Palatino Linotype" w:cs="Arial"/>
          <w:sz w:val="24"/>
        </w:rPr>
      </w:pPr>
      <w:r w:rsidRPr="006E241A">
        <w:rPr>
          <w:rFonts w:ascii="Palatino Linotype" w:hAnsi="Palatino Linotype" w:cs="Arial"/>
          <w:sz w:val="24"/>
        </w:rPr>
        <w:t>Consecuentemente</w:t>
      </w:r>
      <w:r w:rsidR="00064038" w:rsidRPr="006E241A">
        <w:rPr>
          <w:rFonts w:ascii="Palatino Linotype" w:hAnsi="Palatino Linotype" w:cs="Arial"/>
          <w:sz w:val="24"/>
        </w:rPr>
        <w:t>, toda vez que la existencia y subsistencia de un litigo, implica un conflicto u oposición de intereses entre las partes, lo cual constituye la materia del proceso</w:t>
      </w:r>
      <w:r w:rsidRPr="006E241A">
        <w:rPr>
          <w:rFonts w:ascii="Palatino Linotype" w:hAnsi="Palatino Linotype" w:cs="Arial"/>
          <w:sz w:val="24"/>
        </w:rPr>
        <w:t xml:space="preserve">, </w:t>
      </w:r>
      <w:r w:rsidR="00064038" w:rsidRPr="006E241A">
        <w:rPr>
          <w:rFonts w:ascii="Palatino Linotype" w:hAnsi="Palatino Linotype" w:cs="Arial"/>
          <w:sz w:val="24"/>
        </w:rPr>
        <w:t xml:space="preserve">cuando dicha circunstancia desaparece, en virtud de </w:t>
      </w:r>
      <w:r w:rsidR="00683BCF" w:rsidRPr="006E241A">
        <w:rPr>
          <w:rFonts w:ascii="Palatino Linotype" w:hAnsi="Palatino Linotype" w:cs="Arial"/>
          <w:sz w:val="24"/>
        </w:rPr>
        <w:t>que</w:t>
      </w:r>
      <w:r w:rsidR="00DF0591" w:rsidRPr="006E241A">
        <w:rPr>
          <w:rFonts w:ascii="Palatino Linotype" w:hAnsi="Palatino Linotype" w:cs="Arial"/>
          <w:sz w:val="24"/>
        </w:rPr>
        <w:t>, como en el presente caso,</w:t>
      </w:r>
      <w:r w:rsidR="00683BCF" w:rsidRPr="006E241A">
        <w:rPr>
          <w:rFonts w:ascii="Palatino Linotype" w:hAnsi="Palatino Linotype" w:cs="Arial"/>
          <w:sz w:val="24"/>
        </w:rPr>
        <w:t xml:space="preserve"> </w:t>
      </w:r>
      <w:r w:rsidR="009F1746" w:rsidRPr="006E241A">
        <w:rPr>
          <w:rFonts w:ascii="Palatino Linotype" w:hAnsi="Palatino Linotype" w:cs="Arial"/>
          <w:sz w:val="24"/>
        </w:rPr>
        <w:t>este Instituto como máxima autoridad en la materia</w:t>
      </w:r>
      <w:r w:rsidR="00DA0E0D">
        <w:rPr>
          <w:rFonts w:ascii="Palatino Linotype" w:hAnsi="Palatino Linotype" w:cs="Arial"/>
          <w:sz w:val="24"/>
        </w:rPr>
        <w:t xml:space="preserve"> dentro de la Entidad,</w:t>
      </w:r>
      <w:r w:rsidR="009F1746" w:rsidRPr="006E241A">
        <w:rPr>
          <w:rFonts w:ascii="Palatino Linotype" w:hAnsi="Palatino Linotype" w:cs="Arial"/>
          <w:sz w:val="24"/>
        </w:rPr>
        <w:t xml:space="preserve"> ha convalidado la clasificación de</w:t>
      </w:r>
      <w:r w:rsidRPr="006E241A">
        <w:rPr>
          <w:rFonts w:ascii="Palatino Linotype" w:hAnsi="Palatino Linotype" w:cs="Arial"/>
          <w:sz w:val="24"/>
        </w:rPr>
        <w:t xml:space="preserve"> </w:t>
      </w:r>
      <w:r w:rsidR="009F1746" w:rsidRPr="006E241A">
        <w:rPr>
          <w:rFonts w:ascii="Palatino Linotype" w:hAnsi="Palatino Linotype" w:cs="Arial"/>
          <w:sz w:val="24"/>
        </w:rPr>
        <w:t xml:space="preserve">la información y verificado que el </w:t>
      </w:r>
      <w:r w:rsidR="00E62E3B">
        <w:rPr>
          <w:rFonts w:ascii="Palatino Linotype" w:hAnsi="Palatino Linotype" w:cs="Arial"/>
          <w:sz w:val="24"/>
        </w:rPr>
        <w:t>Sujeto Obligado</w:t>
      </w:r>
      <w:r w:rsidR="009F1746" w:rsidRPr="006E241A">
        <w:rPr>
          <w:rFonts w:ascii="Palatino Linotype" w:hAnsi="Palatino Linotype" w:cs="Arial"/>
          <w:sz w:val="24"/>
        </w:rPr>
        <w:t xml:space="preserve"> cumplió con las formalidades establecidas en la Ley de Transparencia y Acceso a la Información Pública del Estado de México y Municipios</w:t>
      </w:r>
      <w:r w:rsidR="00683BCF" w:rsidRPr="006E241A">
        <w:rPr>
          <w:rFonts w:ascii="Palatino Linotype" w:hAnsi="Palatino Linotype" w:cs="Arial"/>
          <w:sz w:val="24"/>
        </w:rPr>
        <w:t>,</w:t>
      </w:r>
      <w:r w:rsidR="00064038" w:rsidRPr="006E241A">
        <w:rPr>
          <w:rFonts w:ascii="Palatino Linotype" w:hAnsi="Palatino Linotype" w:cs="Arial"/>
          <w:sz w:val="24"/>
        </w:rPr>
        <w:t xml:space="preserve"> la controversia queda sin materia.</w:t>
      </w:r>
    </w:p>
    <w:p w14:paraId="08242611" w14:textId="77777777" w:rsidR="0050016E" w:rsidRPr="006E241A" w:rsidRDefault="0050016E" w:rsidP="00906410">
      <w:pPr>
        <w:autoSpaceDE w:val="0"/>
        <w:autoSpaceDN w:val="0"/>
        <w:adjustRightInd w:val="0"/>
        <w:spacing w:line="276" w:lineRule="auto"/>
        <w:jc w:val="both"/>
        <w:rPr>
          <w:rFonts w:ascii="Palatino Linotype" w:hAnsi="Palatino Linotype" w:cs="Arial"/>
          <w:sz w:val="24"/>
        </w:rPr>
      </w:pPr>
    </w:p>
    <w:p w14:paraId="09EFA602" w14:textId="3639828F" w:rsidR="00776E99" w:rsidRPr="006E241A" w:rsidRDefault="0050016E" w:rsidP="00906410">
      <w:pPr>
        <w:autoSpaceDE w:val="0"/>
        <w:autoSpaceDN w:val="0"/>
        <w:adjustRightInd w:val="0"/>
        <w:spacing w:line="276" w:lineRule="auto"/>
        <w:jc w:val="both"/>
        <w:rPr>
          <w:rFonts w:ascii="Palatino Linotype" w:hAnsi="Palatino Linotype" w:cs="Arial"/>
          <w:sz w:val="24"/>
        </w:rPr>
      </w:pPr>
      <w:r w:rsidRPr="006E241A">
        <w:rPr>
          <w:rFonts w:ascii="Palatino Linotype" w:hAnsi="Palatino Linotype" w:cs="Arial"/>
          <w:sz w:val="24"/>
        </w:rPr>
        <w:t>P</w:t>
      </w:r>
      <w:r w:rsidR="00776E99" w:rsidRPr="006E241A">
        <w:rPr>
          <w:rFonts w:ascii="Palatino Linotype" w:hAnsi="Palatino Linotype" w:cs="Arial"/>
          <w:sz w:val="24"/>
        </w:rPr>
        <w:t xml:space="preserve">or lo que, con fundamento en el artículo 186, fracción I de la Ley de Transparencia y Acceso a la Información Pública del Estado de México y Municipios, se </w:t>
      </w:r>
      <w:r w:rsidR="00776E99" w:rsidRPr="006E241A">
        <w:rPr>
          <w:rFonts w:ascii="Palatino Linotype" w:hAnsi="Palatino Linotype" w:cs="Arial"/>
          <w:b/>
          <w:sz w:val="24"/>
        </w:rPr>
        <w:t xml:space="preserve">SOBRESEE </w:t>
      </w:r>
      <w:r w:rsidR="00776E99" w:rsidRPr="006E241A">
        <w:rPr>
          <w:rFonts w:ascii="Palatino Linotype" w:hAnsi="Palatino Linotype" w:cs="Arial"/>
          <w:sz w:val="24"/>
        </w:rPr>
        <w:t xml:space="preserve"> el recurso de revisión 03431/INFOEM/IP/RR/2018, por quedar sin materia. </w:t>
      </w:r>
    </w:p>
    <w:p w14:paraId="5AA8BF91" w14:textId="77777777" w:rsidR="00D147D5" w:rsidRDefault="00D147D5">
      <w:pPr>
        <w:spacing w:line="276" w:lineRule="auto"/>
        <w:jc w:val="both"/>
        <w:rPr>
          <w:rFonts w:ascii="Palatino Linotype" w:hAnsi="Palatino Linotype" w:cs="Tahoma"/>
          <w:sz w:val="24"/>
          <w:lang w:val="es-MX"/>
        </w:rPr>
      </w:pPr>
    </w:p>
    <w:p w14:paraId="7644088C" w14:textId="77777777" w:rsidR="00776E99" w:rsidRPr="006E241A" w:rsidRDefault="00776E99">
      <w:pPr>
        <w:spacing w:line="276" w:lineRule="auto"/>
        <w:jc w:val="both"/>
        <w:rPr>
          <w:rFonts w:ascii="Palatino Linotype" w:hAnsi="Palatino Linotype" w:cs="Tahoma"/>
          <w:sz w:val="24"/>
          <w:lang w:val="es-MX"/>
        </w:rPr>
      </w:pPr>
      <w:r w:rsidRPr="006E241A">
        <w:rPr>
          <w:rFonts w:ascii="Palatino Linotype" w:hAnsi="Palatino Linotype" w:cs="Tahoma"/>
          <w:sz w:val="24"/>
          <w:lang w:val="es-MX"/>
        </w:rPr>
        <w:t xml:space="preserve">Por lo antes expuesto y fundado. </w:t>
      </w:r>
    </w:p>
    <w:p w14:paraId="17EC2DE1" w14:textId="77777777" w:rsidR="00D147D5" w:rsidRPr="006E241A" w:rsidRDefault="00D147D5">
      <w:pPr>
        <w:spacing w:line="276" w:lineRule="auto"/>
        <w:jc w:val="center"/>
        <w:rPr>
          <w:rFonts w:ascii="Palatino Linotype" w:hAnsi="Palatino Linotype" w:cs="Tahoma"/>
          <w:b/>
          <w:bCs/>
          <w:sz w:val="24"/>
          <w:lang w:val="es-ES_tradnl"/>
        </w:rPr>
      </w:pPr>
    </w:p>
    <w:p w14:paraId="3459B449" w14:textId="394299A2" w:rsidR="003B3C9D" w:rsidRPr="006E241A" w:rsidRDefault="00776E99">
      <w:pPr>
        <w:spacing w:line="276" w:lineRule="auto"/>
        <w:jc w:val="center"/>
        <w:rPr>
          <w:rFonts w:ascii="Palatino Linotype" w:hAnsi="Palatino Linotype" w:cs="Tahoma"/>
          <w:b/>
          <w:bCs/>
          <w:sz w:val="24"/>
          <w:lang w:val="es-ES_tradnl"/>
        </w:rPr>
      </w:pPr>
      <w:r w:rsidRPr="006E241A">
        <w:rPr>
          <w:rFonts w:ascii="Palatino Linotype" w:hAnsi="Palatino Linotype" w:cs="Tahoma"/>
          <w:b/>
          <w:bCs/>
          <w:sz w:val="24"/>
          <w:lang w:val="es-ES_tradnl"/>
        </w:rPr>
        <w:lastRenderedPageBreak/>
        <w:t>SE RESUELVE</w:t>
      </w:r>
    </w:p>
    <w:p w14:paraId="4B0CB384" w14:textId="77777777" w:rsidR="00776E99" w:rsidRPr="006E241A" w:rsidRDefault="00776E99">
      <w:pPr>
        <w:spacing w:line="276" w:lineRule="auto"/>
        <w:jc w:val="center"/>
        <w:rPr>
          <w:rFonts w:ascii="Palatino Linotype" w:hAnsi="Palatino Linotype" w:cs="Tahoma"/>
          <w:b/>
          <w:bCs/>
          <w:sz w:val="24"/>
          <w:lang w:val="es-ES_tradnl"/>
        </w:rPr>
      </w:pPr>
    </w:p>
    <w:p w14:paraId="180AF3C1" w14:textId="53BC88C5" w:rsidR="003B3C9D" w:rsidRPr="006E241A" w:rsidRDefault="003B3C9D" w:rsidP="00906410">
      <w:pPr>
        <w:spacing w:line="276" w:lineRule="auto"/>
        <w:ind w:right="567"/>
        <w:jc w:val="both"/>
        <w:rPr>
          <w:rFonts w:ascii="Palatino Linotype" w:hAnsi="Palatino Linotype" w:cs="Arial"/>
          <w:sz w:val="24"/>
          <w:szCs w:val="24"/>
        </w:rPr>
      </w:pPr>
      <w:r w:rsidRPr="006E241A">
        <w:rPr>
          <w:rFonts w:ascii="Palatino Linotype" w:hAnsi="Palatino Linotype" w:cs="Arial"/>
          <w:b/>
          <w:sz w:val="24"/>
          <w:szCs w:val="24"/>
        </w:rPr>
        <w:t xml:space="preserve">PRIMERO. </w:t>
      </w:r>
      <w:r w:rsidRPr="006E241A">
        <w:rPr>
          <w:rFonts w:ascii="Palatino Linotype" w:hAnsi="Palatino Linotype" w:cs="Arial"/>
          <w:sz w:val="24"/>
          <w:szCs w:val="24"/>
        </w:rPr>
        <w:t xml:space="preserve">Se </w:t>
      </w:r>
      <w:r w:rsidRPr="006E241A">
        <w:rPr>
          <w:rFonts w:ascii="Palatino Linotype" w:hAnsi="Palatino Linotype" w:cs="Arial"/>
          <w:b/>
          <w:sz w:val="24"/>
          <w:szCs w:val="24"/>
        </w:rPr>
        <w:t>SOBRESEE</w:t>
      </w:r>
      <w:r w:rsidRPr="006E241A">
        <w:rPr>
          <w:rFonts w:ascii="Palatino Linotype" w:hAnsi="Palatino Linotype" w:cs="Arial"/>
          <w:sz w:val="24"/>
          <w:szCs w:val="24"/>
        </w:rPr>
        <w:t xml:space="preserve"> el recurso de revisión número </w:t>
      </w:r>
      <w:r w:rsidR="00776E99" w:rsidRPr="006E241A">
        <w:rPr>
          <w:rFonts w:ascii="Palatino Linotype" w:hAnsi="Palatino Linotype" w:cs="Arial"/>
          <w:sz w:val="24"/>
        </w:rPr>
        <w:t>03431/INFOEM/IP/RR/2018</w:t>
      </w:r>
      <w:r w:rsidRPr="006E241A">
        <w:rPr>
          <w:rFonts w:ascii="Palatino Linotype" w:hAnsi="Palatino Linotype" w:cs="Arial"/>
          <w:sz w:val="24"/>
          <w:szCs w:val="24"/>
        </w:rPr>
        <w:t>,</w:t>
      </w:r>
      <w:r w:rsidR="00776E99" w:rsidRPr="006E241A">
        <w:rPr>
          <w:rFonts w:ascii="Palatino Linotype" w:hAnsi="Palatino Linotype" w:cs="Arial"/>
          <w:sz w:val="24"/>
          <w:szCs w:val="24"/>
        </w:rPr>
        <w:t xml:space="preserve"> </w:t>
      </w:r>
      <w:r w:rsidR="007F789E" w:rsidRPr="006E241A">
        <w:rPr>
          <w:rFonts w:ascii="Palatino Linotype" w:hAnsi="Palatino Linotype" w:cs="Arial"/>
          <w:b/>
          <w:sz w:val="24"/>
          <w:szCs w:val="24"/>
        </w:rPr>
        <w:t xml:space="preserve">por </w:t>
      </w:r>
      <w:r w:rsidR="00C8780E">
        <w:rPr>
          <w:rFonts w:ascii="Palatino Linotype" w:hAnsi="Palatino Linotype" w:cs="Arial"/>
          <w:b/>
          <w:sz w:val="24"/>
          <w:szCs w:val="24"/>
        </w:rPr>
        <w:t xml:space="preserve">que el Sujeto Obligado modificó el acto y </w:t>
      </w:r>
      <w:r w:rsidR="007F789E" w:rsidRPr="006E241A">
        <w:rPr>
          <w:rFonts w:ascii="Palatino Linotype" w:hAnsi="Palatino Linotype" w:cs="Arial"/>
          <w:b/>
          <w:sz w:val="24"/>
          <w:szCs w:val="24"/>
        </w:rPr>
        <w:t>qued</w:t>
      </w:r>
      <w:r w:rsidR="00C8780E">
        <w:rPr>
          <w:rFonts w:ascii="Palatino Linotype" w:hAnsi="Palatino Linotype" w:cs="Arial"/>
          <w:b/>
          <w:sz w:val="24"/>
          <w:szCs w:val="24"/>
        </w:rPr>
        <w:t>ó</w:t>
      </w:r>
      <w:r w:rsidR="007F789E" w:rsidRPr="006E241A">
        <w:rPr>
          <w:rFonts w:ascii="Palatino Linotype" w:hAnsi="Palatino Linotype" w:cs="Arial"/>
          <w:b/>
          <w:sz w:val="24"/>
          <w:szCs w:val="24"/>
        </w:rPr>
        <w:t xml:space="preserve"> sin materia</w:t>
      </w:r>
      <w:r w:rsidR="007F789E" w:rsidRPr="006E241A">
        <w:rPr>
          <w:rFonts w:ascii="Palatino Linotype" w:hAnsi="Palatino Linotype" w:cs="Arial"/>
          <w:sz w:val="24"/>
          <w:szCs w:val="24"/>
        </w:rPr>
        <w:t>,</w:t>
      </w:r>
      <w:r w:rsidRPr="006E241A">
        <w:rPr>
          <w:rFonts w:ascii="Palatino Linotype" w:hAnsi="Palatino Linotype" w:cs="Arial"/>
          <w:sz w:val="24"/>
          <w:szCs w:val="24"/>
        </w:rPr>
        <w:t xml:space="preserve"> </w:t>
      </w:r>
      <w:r w:rsidR="00C8780E">
        <w:rPr>
          <w:rFonts w:ascii="Palatino Linotype" w:hAnsi="Palatino Linotype" w:cs="Arial"/>
          <w:sz w:val="24"/>
          <w:szCs w:val="24"/>
        </w:rPr>
        <w:t xml:space="preserve">en </w:t>
      </w:r>
      <w:r w:rsidRPr="006E241A">
        <w:rPr>
          <w:rFonts w:ascii="Palatino Linotype" w:hAnsi="Palatino Linotype" w:cs="Arial"/>
          <w:sz w:val="24"/>
          <w:szCs w:val="24"/>
        </w:rPr>
        <w:t xml:space="preserve">términos del Considerando </w:t>
      </w:r>
      <w:r w:rsidR="00C8780E">
        <w:rPr>
          <w:rFonts w:ascii="Palatino Linotype" w:hAnsi="Palatino Linotype" w:cs="Arial"/>
          <w:sz w:val="24"/>
          <w:szCs w:val="24"/>
        </w:rPr>
        <w:t>SEGUNDO</w:t>
      </w:r>
      <w:r w:rsidRPr="006E241A">
        <w:rPr>
          <w:rFonts w:ascii="Palatino Linotype" w:hAnsi="Palatino Linotype" w:cs="Arial"/>
          <w:sz w:val="24"/>
          <w:szCs w:val="24"/>
        </w:rPr>
        <w:t xml:space="preserve"> de la presente resolución.</w:t>
      </w:r>
    </w:p>
    <w:p w14:paraId="7736048F" w14:textId="77777777" w:rsidR="003B3C9D" w:rsidRPr="006E241A" w:rsidRDefault="003B3C9D" w:rsidP="00906410">
      <w:pPr>
        <w:spacing w:line="276" w:lineRule="auto"/>
        <w:ind w:right="567"/>
        <w:jc w:val="both"/>
        <w:rPr>
          <w:rFonts w:ascii="Palatino Linotype" w:hAnsi="Palatino Linotype"/>
          <w:i/>
          <w:sz w:val="24"/>
          <w:szCs w:val="24"/>
          <w:lang w:val="es-ES_tradnl"/>
        </w:rPr>
      </w:pPr>
    </w:p>
    <w:p w14:paraId="6E59CCCB" w14:textId="312EEF61" w:rsidR="003B3C9D" w:rsidRPr="006E241A" w:rsidRDefault="003B3C9D" w:rsidP="00906410">
      <w:pPr>
        <w:spacing w:line="276" w:lineRule="auto"/>
        <w:ind w:right="333"/>
        <w:jc w:val="both"/>
        <w:rPr>
          <w:rFonts w:ascii="Palatino Linotype" w:hAnsi="Palatino Linotype" w:cs="Arial"/>
          <w:b/>
          <w:sz w:val="24"/>
          <w:szCs w:val="24"/>
        </w:rPr>
      </w:pPr>
      <w:r w:rsidRPr="006E241A">
        <w:rPr>
          <w:rFonts w:ascii="Palatino Linotype" w:hAnsi="Palatino Linotype"/>
          <w:b/>
          <w:sz w:val="24"/>
          <w:szCs w:val="24"/>
        </w:rPr>
        <w:t>SEGUNDO.</w:t>
      </w:r>
      <w:r w:rsidRPr="006E241A">
        <w:rPr>
          <w:rFonts w:ascii="Palatino Linotype" w:hAnsi="Palatino Linotype" w:cs="Arial"/>
          <w:sz w:val="24"/>
          <w:szCs w:val="24"/>
        </w:rPr>
        <w:t xml:space="preserve"> </w:t>
      </w:r>
      <w:r w:rsidRPr="006E241A">
        <w:rPr>
          <w:rFonts w:ascii="Palatino Linotype" w:hAnsi="Palatino Linotype" w:cs="Arial"/>
          <w:b/>
          <w:sz w:val="24"/>
          <w:szCs w:val="24"/>
        </w:rPr>
        <w:t xml:space="preserve">Notifíquese </w:t>
      </w:r>
      <w:r w:rsidRPr="006E241A">
        <w:rPr>
          <w:rFonts w:ascii="Palatino Linotype" w:hAnsi="Palatino Linotype" w:cs="Arial"/>
          <w:sz w:val="24"/>
          <w:szCs w:val="24"/>
        </w:rPr>
        <w:t>la presente resolución</w:t>
      </w:r>
      <w:r w:rsidRPr="006E241A">
        <w:rPr>
          <w:rFonts w:ascii="Palatino Linotype" w:hAnsi="Palatino Linotype" w:cs="Arial"/>
          <w:b/>
          <w:sz w:val="24"/>
          <w:szCs w:val="24"/>
        </w:rPr>
        <w:t xml:space="preserve"> </w:t>
      </w:r>
      <w:r w:rsidRPr="006E241A">
        <w:rPr>
          <w:rFonts w:ascii="Palatino Linotype" w:hAnsi="Palatino Linotype" w:cs="Arial"/>
          <w:sz w:val="24"/>
          <w:szCs w:val="24"/>
        </w:rPr>
        <w:t xml:space="preserve">al Titular de la Unidad de Transparencia del </w:t>
      </w:r>
      <w:r w:rsidR="00E62E3B">
        <w:rPr>
          <w:rFonts w:ascii="Palatino Linotype" w:hAnsi="Palatino Linotype" w:cs="Arial"/>
          <w:b/>
          <w:sz w:val="24"/>
          <w:szCs w:val="24"/>
        </w:rPr>
        <w:t>Sujeto Obligado</w:t>
      </w:r>
      <w:r w:rsidRPr="006E241A">
        <w:rPr>
          <w:rFonts w:ascii="Palatino Linotype" w:hAnsi="Palatino Linotype" w:cs="Arial"/>
          <w:sz w:val="24"/>
          <w:szCs w:val="24"/>
        </w:rPr>
        <w:t>.</w:t>
      </w:r>
    </w:p>
    <w:p w14:paraId="061288DA" w14:textId="77777777" w:rsidR="003B3C9D" w:rsidRPr="006E241A" w:rsidRDefault="003B3C9D" w:rsidP="00906410">
      <w:pPr>
        <w:spacing w:line="276" w:lineRule="auto"/>
        <w:ind w:right="333"/>
        <w:jc w:val="both"/>
        <w:rPr>
          <w:rFonts w:ascii="Palatino Linotype" w:hAnsi="Palatino Linotype" w:cs="Arial"/>
          <w:sz w:val="24"/>
          <w:szCs w:val="24"/>
        </w:rPr>
      </w:pPr>
    </w:p>
    <w:p w14:paraId="1018C57A" w14:textId="77777777" w:rsidR="003B3C9D" w:rsidRPr="006E241A" w:rsidRDefault="003B3C9D" w:rsidP="00906410">
      <w:pPr>
        <w:spacing w:line="276" w:lineRule="auto"/>
        <w:ind w:right="333"/>
        <w:jc w:val="both"/>
        <w:rPr>
          <w:rFonts w:ascii="Palatino Linotype" w:hAnsi="Palatino Linotype" w:cs="Arial"/>
          <w:sz w:val="24"/>
          <w:szCs w:val="24"/>
        </w:rPr>
      </w:pPr>
      <w:r w:rsidRPr="006E241A">
        <w:rPr>
          <w:rFonts w:ascii="Palatino Linotype" w:hAnsi="Palatino Linotype" w:cs="Arial"/>
          <w:b/>
          <w:sz w:val="24"/>
          <w:szCs w:val="24"/>
        </w:rPr>
        <w:t>TERCERO.</w:t>
      </w:r>
      <w:r w:rsidRPr="006E241A">
        <w:rPr>
          <w:rFonts w:ascii="Palatino Linotype" w:hAnsi="Palatino Linotype" w:cs="Arial"/>
          <w:sz w:val="24"/>
          <w:szCs w:val="24"/>
        </w:rPr>
        <w:t xml:space="preserve"> </w:t>
      </w:r>
      <w:r w:rsidRPr="006E241A">
        <w:rPr>
          <w:rFonts w:ascii="Palatino Linotype" w:hAnsi="Palatino Linotype" w:cs="Arial"/>
          <w:b/>
          <w:sz w:val="24"/>
          <w:szCs w:val="24"/>
        </w:rPr>
        <w:t xml:space="preserve">Notifíquese </w:t>
      </w:r>
      <w:r w:rsidRPr="006E241A">
        <w:rPr>
          <w:rFonts w:ascii="Palatino Linotype" w:hAnsi="Palatino Linotype" w:cs="Arial"/>
          <w:sz w:val="24"/>
          <w:szCs w:val="24"/>
        </w:rPr>
        <w:t>la presente resolución</w:t>
      </w:r>
      <w:r w:rsidRPr="006E241A">
        <w:rPr>
          <w:rFonts w:ascii="Palatino Linotype" w:hAnsi="Palatino Linotype" w:cs="Arial"/>
          <w:b/>
          <w:sz w:val="24"/>
          <w:szCs w:val="24"/>
        </w:rPr>
        <w:t xml:space="preserve"> </w:t>
      </w:r>
      <w:r w:rsidRPr="006E241A">
        <w:rPr>
          <w:rFonts w:ascii="Palatino Linotype" w:hAnsi="Palatino Linotype" w:cs="Arial"/>
          <w:sz w:val="24"/>
          <w:szCs w:val="24"/>
        </w:rPr>
        <w:t>al</w:t>
      </w:r>
      <w:r w:rsidRPr="006E241A">
        <w:rPr>
          <w:rFonts w:ascii="Palatino Linotype" w:hAnsi="Palatino Linotype" w:cs="Arial"/>
          <w:b/>
          <w:sz w:val="24"/>
          <w:szCs w:val="24"/>
        </w:rPr>
        <w:t xml:space="preserve"> Recurrente</w:t>
      </w:r>
      <w:r w:rsidRPr="006E241A">
        <w:rPr>
          <w:rFonts w:ascii="Palatino Linotype" w:hAnsi="Palatino Linotype" w:cs="Arial"/>
          <w:sz w:val="24"/>
          <w:szCs w:val="24"/>
        </w:rPr>
        <w:t xml:space="preserve">, a través de </w:t>
      </w:r>
      <w:r w:rsidRPr="006E241A">
        <w:rPr>
          <w:rFonts w:ascii="Palatino Linotype" w:hAnsi="Palatino Linotype" w:cs="Arial"/>
          <w:b/>
          <w:sz w:val="24"/>
          <w:szCs w:val="24"/>
        </w:rPr>
        <w:t>SAIMEX.</w:t>
      </w:r>
    </w:p>
    <w:p w14:paraId="50AA62F8" w14:textId="77777777" w:rsidR="00035017" w:rsidRPr="006E241A" w:rsidRDefault="00035017">
      <w:pPr>
        <w:spacing w:line="276" w:lineRule="auto"/>
        <w:jc w:val="both"/>
        <w:rPr>
          <w:rFonts w:ascii="Palatino Linotype" w:hAnsi="Palatino Linotype" w:cs="Tahoma"/>
          <w:b/>
          <w:sz w:val="24"/>
          <w:szCs w:val="24"/>
          <w:lang w:val="es-MX"/>
        </w:rPr>
      </w:pPr>
    </w:p>
    <w:p w14:paraId="13D586EA" w14:textId="6F7F9157" w:rsidR="007F789E" w:rsidRPr="006E241A" w:rsidRDefault="007F789E">
      <w:pPr>
        <w:spacing w:line="276" w:lineRule="auto"/>
        <w:jc w:val="both"/>
        <w:rPr>
          <w:rFonts w:ascii="Palatino Linotype" w:hAnsi="Palatino Linotype" w:cs="Tahoma"/>
          <w:sz w:val="24"/>
          <w:lang w:val="es-MX"/>
        </w:rPr>
      </w:pPr>
      <w:r w:rsidRPr="006E241A">
        <w:rPr>
          <w:rFonts w:ascii="Palatino Linotype" w:hAnsi="Palatino Linotype" w:cs="Tahoma"/>
          <w:b/>
          <w:sz w:val="24"/>
          <w:lang w:val="es-MX"/>
        </w:rPr>
        <w:t xml:space="preserve">CUARTO. Hágase del conocimiento </w:t>
      </w:r>
      <w:r w:rsidRPr="006E241A">
        <w:rPr>
          <w:rFonts w:ascii="Palatino Linotype" w:hAnsi="Palatino Linotype" w:cs="Tahoma"/>
          <w:sz w:val="24"/>
          <w:lang w:val="es-MX"/>
        </w:rPr>
        <w:t xml:space="preserve">de la Recurrente que de conformidad con lo establecido en el artículo 196 de la Ley de Transparencia y Acceso a la Información Pública del Estado de México y Municipios podrá </w:t>
      </w:r>
      <w:r w:rsidR="00CA780B">
        <w:rPr>
          <w:rFonts w:ascii="Palatino Linotype" w:hAnsi="Palatino Linotype" w:cs="Tahoma"/>
          <w:sz w:val="24"/>
          <w:lang w:val="es-MX"/>
        </w:rPr>
        <w:t xml:space="preserve">interponer los medios de defensa, Recurso de Inconformidad previsto  en los artículos 159 y 160 de la Ley General de Transparencia y Acceso a la Información Pública o </w:t>
      </w:r>
      <w:r w:rsidRPr="006E241A">
        <w:rPr>
          <w:rFonts w:ascii="Palatino Linotype" w:hAnsi="Palatino Linotype" w:cs="Tahoma"/>
          <w:sz w:val="24"/>
          <w:lang w:val="es-MX"/>
        </w:rPr>
        <w:t>Juicio de Amparo en los t</w:t>
      </w:r>
      <w:r w:rsidR="00CA780B">
        <w:rPr>
          <w:rFonts w:ascii="Palatino Linotype" w:hAnsi="Palatino Linotype" w:cs="Tahoma"/>
          <w:sz w:val="24"/>
          <w:lang w:val="es-MX"/>
        </w:rPr>
        <w:t>érminos de las leyes aplicables</w:t>
      </w:r>
      <w:r w:rsidR="00440556">
        <w:rPr>
          <w:rFonts w:ascii="Palatino Linotype" w:hAnsi="Palatino Linotype" w:cs="Tahoma"/>
          <w:sz w:val="24"/>
          <w:lang w:val="es-MX"/>
        </w:rPr>
        <w:t>.</w:t>
      </w:r>
    </w:p>
    <w:p w14:paraId="15A9B929" w14:textId="77777777" w:rsidR="00776E99" w:rsidRPr="006E241A" w:rsidRDefault="00776E99">
      <w:pPr>
        <w:spacing w:line="276" w:lineRule="auto"/>
        <w:jc w:val="both"/>
        <w:rPr>
          <w:rFonts w:ascii="Palatino Linotype" w:hAnsi="Palatino Linotype" w:cs="Tahoma"/>
          <w:sz w:val="24"/>
          <w:szCs w:val="24"/>
          <w:lang w:val="es-MX"/>
        </w:rPr>
      </w:pPr>
    </w:p>
    <w:p w14:paraId="4042AA89" w14:textId="55480678" w:rsidR="00DB429F" w:rsidRPr="003E788E" w:rsidRDefault="00DB429F" w:rsidP="00DB429F">
      <w:pPr>
        <w:spacing w:line="276" w:lineRule="auto"/>
        <w:jc w:val="both"/>
        <w:rPr>
          <w:rFonts w:ascii="Palatino Linotype" w:hAnsi="Palatino Linotype" w:cs="Arial"/>
          <w:sz w:val="22"/>
          <w:szCs w:val="24"/>
          <w:lang w:eastAsia="es-MX"/>
        </w:rPr>
      </w:pPr>
      <w:r w:rsidRPr="003E788E">
        <w:rPr>
          <w:rFonts w:ascii="Palatino Linotype" w:hAnsi="Palatino Linotype" w:cs="Arial"/>
          <w:sz w:val="22"/>
          <w:szCs w:val="24"/>
          <w:lang w:eastAsia="es-MX"/>
        </w:rPr>
        <w:t xml:space="preserve">ASÍ, POR </w:t>
      </w:r>
      <w:r w:rsidRPr="00017CD7">
        <w:rPr>
          <w:rFonts w:ascii="Palatino Linotype" w:hAnsi="Palatino Linotype" w:cs="Arial"/>
          <w:b/>
          <w:sz w:val="22"/>
          <w:szCs w:val="24"/>
          <w:lang w:eastAsia="es-MX"/>
        </w:rPr>
        <w:t>UNANIMIDAD</w:t>
      </w:r>
      <w:r w:rsidRPr="003E788E">
        <w:rPr>
          <w:rFonts w:ascii="Palatino Linotype" w:hAnsi="Palatino Linotype" w:cs="Arial"/>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w:t>
      </w:r>
      <w:r w:rsidRPr="003E788E">
        <w:rPr>
          <w:rFonts w:ascii="Palatino Linotype" w:hAnsi="Palatino Linotype" w:cs="Arial"/>
          <w:bCs/>
          <w:sz w:val="22"/>
          <w:szCs w:val="24"/>
          <w:lang w:eastAsia="es-MX"/>
        </w:rPr>
        <w:t>EVA ABAID YAPUR</w:t>
      </w:r>
      <w:r w:rsidR="008F70FD">
        <w:rPr>
          <w:rFonts w:ascii="Palatino Linotype" w:hAnsi="Palatino Linotype" w:cs="Arial"/>
          <w:bCs/>
          <w:sz w:val="22"/>
          <w:szCs w:val="24"/>
          <w:lang w:eastAsia="es-MX"/>
        </w:rPr>
        <w:t xml:space="preserve">, </w:t>
      </w:r>
      <w:r w:rsidRPr="003E788E">
        <w:rPr>
          <w:rFonts w:ascii="Palatino Linotype" w:hAnsi="Palatino Linotype" w:cs="Arial"/>
          <w:sz w:val="22"/>
          <w:szCs w:val="24"/>
          <w:lang w:eastAsia="es-MX"/>
        </w:rPr>
        <w:t>JOSÉ GUADALUPE LUNA HERNÁNDEZ</w:t>
      </w:r>
      <w:r w:rsidR="008F70FD">
        <w:rPr>
          <w:rFonts w:ascii="Palatino Linotype" w:hAnsi="Palatino Linotype" w:cs="Arial"/>
          <w:sz w:val="22"/>
          <w:szCs w:val="24"/>
          <w:lang w:eastAsia="es-MX"/>
        </w:rPr>
        <w:t>,</w:t>
      </w:r>
      <w:r w:rsidRPr="003E788E">
        <w:rPr>
          <w:rFonts w:ascii="Palatino Linotype" w:hAnsi="Palatino Linotype" w:cs="Arial"/>
          <w:sz w:val="22"/>
          <w:szCs w:val="24"/>
          <w:lang w:eastAsia="es-MX"/>
        </w:rPr>
        <w:t xml:space="preserve"> </w:t>
      </w:r>
      <w:r w:rsidRPr="003E788E">
        <w:rPr>
          <w:rFonts w:ascii="Palatino Linotype" w:hAnsi="Palatino Linotype" w:cs="Arial"/>
          <w:sz w:val="22"/>
          <w:szCs w:val="24"/>
          <w:lang w:val="es-ES_tradnl" w:eastAsia="es-MX"/>
        </w:rPr>
        <w:t xml:space="preserve">JAVIER MARTÍNEZ CRUZ </w:t>
      </w:r>
      <w:r>
        <w:rPr>
          <w:rFonts w:ascii="Palatino Linotype" w:hAnsi="Palatino Linotype" w:cs="Arial"/>
          <w:sz w:val="22"/>
          <w:szCs w:val="24"/>
          <w:lang w:eastAsia="es-MX"/>
        </w:rPr>
        <w:t xml:space="preserve">(EMITIENDO VOTO PARTICULAR) </w:t>
      </w:r>
      <w:r w:rsidRPr="003E788E">
        <w:rPr>
          <w:rFonts w:ascii="Palatino Linotype" w:hAnsi="Palatino Linotype" w:cs="Arial"/>
          <w:sz w:val="22"/>
          <w:szCs w:val="24"/>
          <w:lang w:val="es-ES_tradnl" w:eastAsia="es-MX"/>
        </w:rPr>
        <w:t>Y LUIS GUSTAVO PARRA NORIEGA</w:t>
      </w:r>
      <w:r w:rsidRPr="003E788E">
        <w:rPr>
          <w:rFonts w:ascii="Palatino Linotype" w:hAnsi="Palatino Linotype" w:cs="Arial"/>
          <w:sz w:val="22"/>
          <w:szCs w:val="24"/>
          <w:lang w:eastAsia="es-MX"/>
        </w:rPr>
        <w:t xml:space="preserve">, </w:t>
      </w:r>
      <w:r>
        <w:rPr>
          <w:rFonts w:ascii="Palatino Linotype" w:hAnsi="Palatino Linotype" w:cs="Arial"/>
          <w:sz w:val="22"/>
          <w:szCs w:val="24"/>
          <w:lang w:eastAsia="es-MX"/>
        </w:rPr>
        <w:t>EN LA CUADRAGÉSIMA</w:t>
      </w:r>
      <w:r w:rsidRPr="003E788E">
        <w:rPr>
          <w:rFonts w:ascii="Palatino Linotype" w:hAnsi="Palatino Linotype" w:cs="Arial"/>
          <w:sz w:val="22"/>
          <w:szCs w:val="24"/>
          <w:lang w:eastAsia="es-MX"/>
        </w:rPr>
        <w:t xml:space="preserve"> SESIÓN OR</w:t>
      </w:r>
      <w:r>
        <w:rPr>
          <w:rFonts w:ascii="Palatino Linotype" w:hAnsi="Palatino Linotype" w:cs="Arial"/>
          <w:sz w:val="22"/>
          <w:szCs w:val="24"/>
          <w:lang w:eastAsia="es-MX"/>
        </w:rPr>
        <w:t xml:space="preserve">DINARIA, CELEBRADA EL TREINTA Y UNO </w:t>
      </w:r>
      <w:r w:rsidRPr="003E788E">
        <w:rPr>
          <w:rFonts w:ascii="Palatino Linotype" w:hAnsi="Palatino Linotype" w:cs="Arial"/>
          <w:sz w:val="22"/>
          <w:szCs w:val="24"/>
          <w:lang w:eastAsia="es-MX"/>
        </w:rPr>
        <w:t xml:space="preserve">DE OCTUBRE DE DOS MIL DIECIOCHO, ANTE </w:t>
      </w:r>
      <w:r>
        <w:rPr>
          <w:rFonts w:ascii="Palatino Linotype" w:hAnsi="Palatino Linotype" w:cs="Arial"/>
          <w:sz w:val="22"/>
          <w:szCs w:val="24"/>
          <w:lang w:eastAsia="es-MX"/>
        </w:rPr>
        <w:t>EL SECRETARIO TÉCNICO DEL PLENO, ALEXIS TAPIA RAMÍREZ.</w:t>
      </w:r>
    </w:p>
    <w:p w14:paraId="589529FA" w14:textId="77777777" w:rsidR="00DB429F" w:rsidRDefault="00DB429F" w:rsidP="00DB429F">
      <w:pPr>
        <w:spacing w:line="276" w:lineRule="auto"/>
        <w:ind w:right="-93"/>
        <w:jc w:val="both"/>
        <w:rPr>
          <w:rFonts w:ascii="Palatino Linotype" w:eastAsia="Calibri" w:hAnsi="Palatino Linotype" w:cs="Tahoma"/>
          <w:b/>
          <w:bCs/>
          <w:sz w:val="22"/>
          <w:lang w:eastAsia="en-US"/>
        </w:rPr>
      </w:pPr>
    </w:p>
    <w:p w14:paraId="094FC794" w14:textId="77777777" w:rsidR="00D147D5" w:rsidRPr="00D147D5" w:rsidRDefault="00D147D5" w:rsidP="00D147D5">
      <w:pPr>
        <w:spacing w:line="276" w:lineRule="auto"/>
        <w:rPr>
          <w:rFonts w:ascii="Palatino Linotype" w:eastAsia="Calibri" w:hAnsi="Palatino Linotype" w:cs="Tahoma"/>
          <w:sz w:val="22"/>
          <w:szCs w:val="24"/>
          <w:lang w:eastAsia="es-MX"/>
        </w:rPr>
      </w:pPr>
    </w:p>
    <w:p w14:paraId="7F7FB7E9" w14:textId="77777777" w:rsidR="00035017" w:rsidRPr="006E241A" w:rsidRDefault="00035017">
      <w:pPr>
        <w:spacing w:line="276" w:lineRule="auto"/>
        <w:jc w:val="both"/>
        <w:rPr>
          <w:rFonts w:ascii="Palatino Linotype" w:hAnsi="Palatino Linotype" w:cs="Tahoma"/>
          <w:sz w:val="24"/>
          <w:szCs w:val="24"/>
          <w:lang w:val="es-MX"/>
        </w:rPr>
      </w:pPr>
      <w:r w:rsidRPr="006E241A">
        <w:rPr>
          <w:rFonts w:ascii="Palatino Linotype" w:hAnsi="Palatino Linotype" w:cs="Tahoma"/>
          <w:noProof/>
          <w:sz w:val="24"/>
          <w:szCs w:val="24"/>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E75E8B" w:rsidRPr="00016AF3" w:rsidRDefault="008F70FD"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E75E8B" w:rsidRPr="00016AF3" w:rsidRDefault="008F70FD"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6E241A" w:rsidRDefault="00035017">
      <w:pPr>
        <w:spacing w:line="276" w:lineRule="auto"/>
        <w:jc w:val="both"/>
        <w:rPr>
          <w:rFonts w:ascii="Palatino Linotype" w:hAnsi="Palatino Linotype" w:cs="Tahoma"/>
          <w:sz w:val="24"/>
          <w:szCs w:val="24"/>
          <w:lang w:val="es-MX"/>
        </w:rPr>
      </w:pPr>
    </w:p>
    <w:p w14:paraId="53509E19" w14:textId="77777777" w:rsidR="00035017" w:rsidRPr="006E241A" w:rsidRDefault="00035017">
      <w:pPr>
        <w:spacing w:line="276" w:lineRule="auto"/>
        <w:jc w:val="both"/>
        <w:rPr>
          <w:rFonts w:ascii="Palatino Linotype" w:hAnsi="Palatino Linotype" w:cs="Tahoma"/>
          <w:b/>
          <w:sz w:val="24"/>
          <w:szCs w:val="24"/>
          <w:lang w:val="es-MX"/>
        </w:rPr>
      </w:pPr>
    </w:p>
    <w:p w14:paraId="56CE0A89" w14:textId="77777777" w:rsidR="00035017" w:rsidRPr="006E241A" w:rsidRDefault="00035017">
      <w:pPr>
        <w:spacing w:line="276" w:lineRule="auto"/>
        <w:jc w:val="both"/>
        <w:rPr>
          <w:rFonts w:ascii="Palatino Linotype" w:hAnsi="Palatino Linotype" w:cs="Tahoma"/>
          <w:b/>
          <w:sz w:val="24"/>
          <w:szCs w:val="24"/>
          <w:lang w:val="es-MX"/>
        </w:rPr>
      </w:pPr>
    </w:p>
    <w:p w14:paraId="39770CD3" w14:textId="77777777" w:rsidR="00035017" w:rsidRPr="006E241A" w:rsidRDefault="00035017">
      <w:pPr>
        <w:spacing w:line="276" w:lineRule="auto"/>
        <w:jc w:val="both"/>
        <w:rPr>
          <w:rFonts w:ascii="Palatino Linotype" w:hAnsi="Palatino Linotype" w:cs="Tahoma"/>
          <w:b/>
          <w:sz w:val="24"/>
          <w:szCs w:val="24"/>
          <w:lang w:val="es-MX"/>
        </w:rPr>
      </w:pPr>
    </w:p>
    <w:p w14:paraId="2733D970" w14:textId="77777777" w:rsidR="00035017" w:rsidRPr="006E241A" w:rsidRDefault="00035017">
      <w:pPr>
        <w:spacing w:line="276" w:lineRule="auto"/>
        <w:jc w:val="both"/>
        <w:rPr>
          <w:rFonts w:ascii="Palatino Linotype" w:hAnsi="Palatino Linotype" w:cs="Tahoma"/>
          <w:b/>
          <w:sz w:val="24"/>
          <w:szCs w:val="24"/>
          <w:lang w:val="es-MX"/>
        </w:rPr>
      </w:pPr>
    </w:p>
    <w:p w14:paraId="0B296EEA" w14:textId="77777777" w:rsidR="00035017" w:rsidRPr="006E241A" w:rsidRDefault="00035017">
      <w:pPr>
        <w:spacing w:line="276" w:lineRule="auto"/>
        <w:jc w:val="both"/>
        <w:rPr>
          <w:rFonts w:ascii="Palatino Linotype" w:hAnsi="Palatino Linotype" w:cs="Tahoma"/>
          <w:b/>
          <w:sz w:val="24"/>
          <w:szCs w:val="24"/>
          <w:lang w:val="es-MX"/>
        </w:rPr>
      </w:pPr>
      <w:r w:rsidRPr="006E241A">
        <w:rPr>
          <w:rFonts w:ascii="Palatino Linotype" w:hAnsi="Palatino Linotype" w:cs="Tahoma"/>
          <w:noProof/>
          <w:sz w:val="24"/>
          <w:szCs w:val="24"/>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D147D5" w:rsidRDefault="00D147D5" w:rsidP="00035017">
                            <w:pPr>
                              <w:jc w:val="center"/>
                              <w:rPr>
                                <w:rFonts w:ascii="Palatino Linotype" w:hAnsi="Palatino Linotype" w:cs="Tahoma"/>
                                <w:b/>
                                <w:sz w:val="22"/>
                                <w:szCs w:val="22"/>
                              </w:rPr>
                            </w:pPr>
                          </w:p>
                          <w:p w14:paraId="34EBDAC2"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E75E8B" w:rsidRPr="007516C8" w:rsidRDefault="008F70FD"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E75E8B" w:rsidRPr="0080253B" w:rsidRDefault="00E75E8B"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D147D5" w:rsidRDefault="00D147D5" w:rsidP="00035017">
                      <w:pPr>
                        <w:jc w:val="center"/>
                        <w:rPr>
                          <w:rFonts w:ascii="Palatino Linotype" w:hAnsi="Palatino Linotype" w:cs="Tahoma"/>
                          <w:b/>
                          <w:sz w:val="22"/>
                          <w:szCs w:val="22"/>
                        </w:rPr>
                      </w:pPr>
                    </w:p>
                    <w:p w14:paraId="34EBDAC2"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E75E8B" w:rsidRPr="007516C8" w:rsidRDefault="008F70FD"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E75E8B" w:rsidRPr="0080253B" w:rsidRDefault="00E75E8B" w:rsidP="00035017">
                      <w:pPr>
                        <w:jc w:val="center"/>
                        <w:rPr>
                          <w:rFonts w:ascii="Palatino Linotype" w:hAnsi="Palatino Linotype" w:cs="Tahoma"/>
                          <w:b/>
                          <w:sz w:val="22"/>
                          <w:szCs w:val="22"/>
                        </w:rPr>
                      </w:pPr>
                    </w:p>
                  </w:txbxContent>
                </v:textbox>
                <w10:wrap anchorx="margin"/>
              </v:shape>
            </w:pict>
          </mc:Fallback>
        </mc:AlternateContent>
      </w:r>
      <w:r w:rsidRPr="006E241A">
        <w:rPr>
          <w:rFonts w:ascii="Palatino Linotype" w:hAnsi="Palatino Linotype" w:cs="Tahoma"/>
          <w:noProof/>
          <w:sz w:val="24"/>
          <w:szCs w:val="24"/>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D147D5" w:rsidRDefault="00D147D5" w:rsidP="00035017">
                            <w:pPr>
                              <w:jc w:val="center"/>
                              <w:rPr>
                                <w:rFonts w:ascii="Palatino Linotype" w:hAnsi="Palatino Linotype" w:cs="Tahoma"/>
                                <w:b/>
                                <w:sz w:val="22"/>
                                <w:szCs w:val="22"/>
                              </w:rPr>
                            </w:pPr>
                          </w:p>
                          <w:p w14:paraId="5B0C0FDD"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8F70FD" w:rsidRDefault="008F70FD"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E75E8B" w:rsidRPr="0080253B" w:rsidRDefault="00E75E8B"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D147D5" w:rsidRDefault="00D147D5" w:rsidP="00035017">
                      <w:pPr>
                        <w:jc w:val="center"/>
                        <w:rPr>
                          <w:rFonts w:ascii="Palatino Linotype" w:hAnsi="Palatino Linotype" w:cs="Tahoma"/>
                          <w:b/>
                          <w:sz w:val="22"/>
                          <w:szCs w:val="22"/>
                        </w:rPr>
                      </w:pPr>
                    </w:p>
                    <w:p w14:paraId="5B0C0FDD"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8F70FD" w:rsidRDefault="008F70FD"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E75E8B" w:rsidRPr="0080253B" w:rsidRDefault="00E75E8B"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6E241A" w:rsidRDefault="00035017">
      <w:pPr>
        <w:spacing w:line="276" w:lineRule="auto"/>
        <w:jc w:val="both"/>
        <w:rPr>
          <w:rFonts w:ascii="Palatino Linotype" w:hAnsi="Palatino Linotype" w:cs="Tahoma"/>
          <w:b/>
          <w:sz w:val="24"/>
          <w:szCs w:val="24"/>
          <w:lang w:val="es-MX"/>
        </w:rPr>
      </w:pPr>
    </w:p>
    <w:p w14:paraId="7DB97F71" w14:textId="77777777" w:rsidR="00035017" w:rsidRPr="006E241A" w:rsidRDefault="00035017">
      <w:pPr>
        <w:spacing w:line="276" w:lineRule="auto"/>
        <w:jc w:val="both"/>
        <w:rPr>
          <w:rFonts w:ascii="Palatino Linotype" w:hAnsi="Palatino Linotype" w:cs="Tahoma"/>
          <w:b/>
          <w:sz w:val="24"/>
          <w:szCs w:val="24"/>
          <w:lang w:val="es-MX"/>
        </w:rPr>
      </w:pPr>
    </w:p>
    <w:p w14:paraId="6BCD74F1" w14:textId="77777777" w:rsidR="00035017" w:rsidRPr="006E241A" w:rsidRDefault="00035017">
      <w:pPr>
        <w:spacing w:line="276" w:lineRule="auto"/>
        <w:jc w:val="both"/>
        <w:rPr>
          <w:rFonts w:ascii="Palatino Linotype" w:hAnsi="Palatino Linotype" w:cs="Tahoma"/>
          <w:b/>
          <w:sz w:val="24"/>
          <w:szCs w:val="24"/>
          <w:lang w:val="es-MX"/>
        </w:rPr>
      </w:pPr>
    </w:p>
    <w:p w14:paraId="1245144E" w14:textId="77777777" w:rsidR="00035017" w:rsidRPr="006E241A" w:rsidRDefault="00035017">
      <w:pPr>
        <w:spacing w:line="276" w:lineRule="auto"/>
        <w:jc w:val="both"/>
        <w:rPr>
          <w:rFonts w:ascii="Palatino Linotype" w:hAnsi="Palatino Linotype" w:cs="Tahoma"/>
          <w:b/>
          <w:sz w:val="24"/>
          <w:szCs w:val="24"/>
          <w:lang w:val="es-MX"/>
        </w:rPr>
      </w:pPr>
    </w:p>
    <w:p w14:paraId="7F289C92" w14:textId="77777777" w:rsidR="00035017" w:rsidRPr="006E241A" w:rsidRDefault="00035017">
      <w:pPr>
        <w:spacing w:line="276" w:lineRule="auto"/>
        <w:jc w:val="both"/>
        <w:rPr>
          <w:rFonts w:ascii="Palatino Linotype" w:hAnsi="Palatino Linotype" w:cs="Tahoma"/>
          <w:b/>
          <w:sz w:val="24"/>
          <w:szCs w:val="24"/>
          <w:lang w:val="es-MX"/>
        </w:rPr>
      </w:pPr>
    </w:p>
    <w:p w14:paraId="540B7BA2" w14:textId="77777777" w:rsidR="00035017" w:rsidRPr="006E241A" w:rsidRDefault="00035017">
      <w:pPr>
        <w:spacing w:line="276" w:lineRule="auto"/>
        <w:jc w:val="both"/>
        <w:rPr>
          <w:rFonts w:ascii="Palatino Linotype" w:hAnsi="Palatino Linotype" w:cs="Tahoma"/>
          <w:b/>
          <w:sz w:val="24"/>
          <w:szCs w:val="24"/>
          <w:lang w:val="es-MX"/>
        </w:rPr>
      </w:pPr>
    </w:p>
    <w:p w14:paraId="5792D396" w14:textId="77777777" w:rsidR="00035017" w:rsidRPr="006E241A" w:rsidRDefault="00035017">
      <w:pPr>
        <w:spacing w:line="276" w:lineRule="auto"/>
        <w:jc w:val="both"/>
        <w:rPr>
          <w:rFonts w:ascii="Palatino Linotype" w:hAnsi="Palatino Linotype" w:cs="Tahoma"/>
          <w:b/>
          <w:sz w:val="24"/>
          <w:szCs w:val="24"/>
          <w:lang w:val="es-MX"/>
        </w:rPr>
      </w:pPr>
    </w:p>
    <w:p w14:paraId="36CC0440" w14:textId="586DCEEE" w:rsidR="00035017" w:rsidRPr="006E241A" w:rsidRDefault="00D147D5">
      <w:pPr>
        <w:spacing w:line="276" w:lineRule="auto"/>
        <w:jc w:val="both"/>
        <w:rPr>
          <w:rFonts w:ascii="Palatino Linotype" w:hAnsi="Palatino Linotype" w:cs="Tahoma"/>
          <w:sz w:val="24"/>
          <w:szCs w:val="24"/>
          <w:lang w:val="es-MX"/>
        </w:rPr>
      </w:pPr>
      <w:r w:rsidRPr="006E241A">
        <w:rPr>
          <w:rFonts w:ascii="Palatino Linotype" w:hAnsi="Palatino Linotype" w:cs="Tahoma"/>
          <w:noProof/>
          <w:sz w:val="24"/>
          <w:szCs w:val="24"/>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D147D5" w:rsidRDefault="00D147D5" w:rsidP="00035017">
                            <w:pPr>
                              <w:jc w:val="center"/>
                              <w:rPr>
                                <w:rFonts w:ascii="Palatino Linotype" w:hAnsi="Palatino Linotype" w:cs="Tahoma"/>
                                <w:b/>
                                <w:sz w:val="22"/>
                                <w:szCs w:val="22"/>
                                <w:lang w:val="es-MX"/>
                              </w:rPr>
                            </w:pPr>
                          </w:p>
                          <w:p w14:paraId="26EEEF5B"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E75E8B" w:rsidRPr="007516C8" w:rsidRDefault="008F70F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D147D5" w:rsidRDefault="00D147D5" w:rsidP="00035017">
                      <w:pPr>
                        <w:jc w:val="center"/>
                        <w:rPr>
                          <w:rFonts w:ascii="Palatino Linotype" w:hAnsi="Palatino Linotype" w:cs="Tahoma"/>
                          <w:b/>
                          <w:sz w:val="22"/>
                          <w:szCs w:val="22"/>
                          <w:lang w:val="es-MX"/>
                        </w:rPr>
                      </w:pPr>
                    </w:p>
                    <w:p w14:paraId="26EEEF5B"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E75E8B" w:rsidRPr="007516C8" w:rsidRDefault="008F70F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6E241A">
        <w:rPr>
          <w:rFonts w:ascii="Palatino Linotype" w:hAnsi="Palatino Linotype" w:cs="Tahoma"/>
          <w:noProof/>
          <w:sz w:val="24"/>
          <w:szCs w:val="24"/>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D147D5" w:rsidRDefault="00D147D5" w:rsidP="00035017">
                            <w:pPr>
                              <w:jc w:val="center"/>
                              <w:rPr>
                                <w:rFonts w:ascii="Palatino Linotype" w:hAnsi="Palatino Linotype" w:cs="Tahoma"/>
                                <w:b/>
                                <w:sz w:val="22"/>
                                <w:szCs w:val="22"/>
                              </w:rPr>
                            </w:pPr>
                          </w:p>
                          <w:p w14:paraId="22C342BC"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E75E8B" w:rsidRPr="007516C8" w:rsidRDefault="008F70F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D147D5" w:rsidRDefault="00D147D5" w:rsidP="00035017">
                      <w:pPr>
                        <w:jc w:val="center"/>
                        <w:rPr>
                          <w:rFonts w:ascii="Palatino Linotype" w:hAnsi="Palatino Linotype" w:cs="Tahoma"/>
                          <w:b/>
                          <w:sz w:val="22"/>
                          <w:szCs w:val="22"/>
                        </w:rPr>
                      </w:pPr>
                    </w:p>
                    <w:p w14:paraId="22C342BC"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E75E8B" w:rsidRPr="007516C8" w:rsidRDefault="008F70FD"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6E241A" w:rsidRDefault="00035017">
      <w:pPr>
        <w:spacing w:line="276" w:lineRule="auto"/>
        <w:jc w:val="both"/>
        <w:rPr>
          <w:rFonts w:ascii="Palatino Linotype" w:hAnsi="Palatino Linotype" w:cs="Tahoma"/>
          <w:sz w:val="24"/>
          <w:szCs w:val="24"/>
          <w:lang w:val="es-MX"/>
        </w:rPr>
      </w:pPr>
    </w:p>
    <w:p w14:paraId="64B0DC99" w14:textId="77777777" w:rsidR="00035017" w:rsidRPr="006E241A" w:rsidRDefault="00035017">
      <w:pPr>
        <w:spacing w:line="276" w:lineRule="auto"/>
        <w:jc w:val="both"/>
        <w:rPr>
          <w:rFonts w:ascii="Palatino Linotype" w:hAnsi="Palatino Linotype" w:cs="Tahoma"/>
          <w:sz w:val="24"/>
          <w:szCs w:val="24"/>
          <w:lang w:val="es-MX"/>
        </w:rPr>
      </w:pPr>
    </w:p>
    <w:p w14:paraId="700BD463" w14:textId="77777777" w:rsidR="00035017" w:rsidRPr="006E241A" w:rsidRDefault="00035017">
      <w:pPr>
        <w:spacing w:line="276" w:lineRule="auto"/>
        <w:jc w:val="both"/>
        <w:rPr>
          <w:rFonts w:ascii="Palatino Linotype" w:hAnsi="Palatino Linotype" w:cs="Tahoma"/>
          <w:sz w:val="24"/>
          <w:szCs w:val="24"/>
          <w:lang w:val="es-MX"/>
        </w:rPr>
      </w:pPr>
    </w:p>
    <w:p w14:paraId="10DFCF02" w14:textId="77777777" w:rsidR="00035017" w:rsidRPr="006E241A" w:rsidRDefault="00035017">
      <w:pPr>
        <w:spacing w:line="276" w:lineRule="auto"/>
        <w:jc w:val="both"/>
        <w:rPr>
          <w:rFonts w:ascii="Palatino Linotype" w:hAnsi="Palatino Linotype" w:cs="Tahoma"/>
          <w:sz w:val="24"/>
          <w:szCs w:val="24"/>
          <w:lang w:val="es-MX"/>
        </w:rPr>
      </w:pPr>
    </w:p>
    <w:p w14:paraId="751528B6" w14:textId="77777777" w:rsidR="00035017" w:rsidRPr="006E241A" w:rsidRDefault="00035017">
      <w:pPr>
        <w:spacing w:line="276" w:lineRule="auto"/>
        <w:jc w:val="both"/>
        <w:rPr>
          <w:rFonts w:ascii="Palatino Linotype" w:hAnsi="Palatino Linotype" w:cs="Tahoma"/>
          <w:sz w:val="24"/>
          <w:szCs w:val="24"/>
          <w:lang w:val="es-MX"/>
        </w:rPr>
      </w:pPr>
    </w:p>
    <w:p w14:paraId="47C7B5AB" w14:textId="77777777" w:rsidR="00035017" w:rsidRPr="006E241A" w:rsidRDefault="00035017">
      <w:pPr>
        <w:spacing w:line="276" w:lineRule="auto"/>
        <w:jc w:val="both"/>
        <w:rPr>
          <w:rFonts w:ascii="Palatino Linotype" w:hAnsi="Palatino Linotype" w:cs="Tahoma"/>
          <w:sz w:val="24"/>
          <w:szCs w:val="24"/>
          <w:lang w:val="es-MX"/>
        </w:rPr>
      </w:pPr>
    </w:p>
    <w:p w14:paraId="53913C28" w14:textId="77777777" w:rsidR="00035017" w:rsidRPr="006E241A" w:rsidRDefault="00035017">
      <w:pPr>
        <w:spacing w:line="276" w:lineRule="auto"/>
        <w:jc w:val="both"/>
        <w:rPr>
          <w:rFonts w:ascii="Palatino Linotype" w:hAnsi="Palatino Linotype" w:cs="Tahoma"/>
          <w:sz w:val="24"/>
          <w:szCs w:val="24"/>
          <w:lang w:val="es-MX"/>
        </w:rPr>
      </w:pPr>
    </w:p>
    <w:p w14:paraId="05BDBEF9" w14:textId="77777777" w:rsidR="00035017" w:rsidRPr="006E241A" w:rsidRDefault="00035017">
      <w:pPr>
        <w:spacing w:line="276" w:lineRule="auto"/>
        <w:jc w:val="both"/>
        <w:rPr>
          <w:rFonts w:ascii="Palatino Linotype" w:hAnsi="Palatino Linotype" w:cs="Tahoma"/>
          <w:sz w:val="24"/>
          <w:szCs w:val="24"/>
          <w:lang w:val="es-MX"/>
        </w:rPr>
      </w:pPr>
      <w:r w:rsidRPr="006E241A">
        <w:rPr>
          <w:rFonts w:ascii="Palatino Linotype" w:hAnsi="Palatino Linotype" w:cs="Tahoma"/>
          <w:noProof/>
          <w:sz w:val="24"/>
          <w:szCs w:val="24"/>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D147D5" w:rsidRDefault="00D147D5" w:rsidP="00035017">
                            <w:pPr>
                              <w:jc w:val="center"/>
                              <w:rPr>
                                <w:rFonts w:ascii="Palatino Linotype" w:hAnsi="Palatino Linotype" w:cs="Tahoma"/>
                                <w:b/>
                                <w:sz w:val="22"/>
                                <w:szCs w:val="22"/>
                              </w:rPr>
                            </w:pPr>
                          </w:p>
                          <w:p w14:paraId="407C77D5" w14:textId="77777777" w:rsidR="00D147D5" w:rsidRDefault="00D147D5" w:rsidP="00035017">
                            <w:pPr>
                              <w:jc w:val="center"/>
                              <w:rPr>
                                <w:rFonts w:ascii="Palatino Linotype" w:hAnsi="Palatino Linotype" w:cs="Tahoma"/>
                                <w:b/>
                                <w:sz w:val="22"/>
                                <w:szCs w:val="22"/>
                              </w:rPr>
                            </w:pPr>
                          </w:p>
                          <w:p w14:paraId="04C5CFB5"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E75E8B" w:rsidRPr="0080253B" w:rsidRDefault="008F70FD"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75E8B" w:rsidRPr="00EF2FC0" w:rsidRDefault="00E75E8B" w:rsidP="00035017">
                            <w:pPr>
                              <w:jc w:val="center"/>
                              <w:rPr>
                                <w:rFonts w:ascii="Palatino Linotype" w:hAnsi="Palatino Linotype"/>
                                <w:sz w:val="24"/>
                                <w:szCs w:val="24"/>
                              </w:rPr>
                            </w:pPr>
                          </w:p>
                          <w:p w14:paraId="4E6D32CF" w14:textId="77777777" w:rsidR="00E75E8B" w:rsidRDefault="00E75E8B"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D147D5" w:rsidRDefault="00D147D5" w:rsidP="00035017">
                      <w:pPr>
                        <w:jc w:val="center"/>
                        <w:rPr>
                          <w:rFonts w:ascii="Palatino Linotype" w:hAnsi="Palatino Linotype" w:cs="Tahoma"/>
                          <w:b/>
                          <w:sz w:val="22"/>
                          <w:szCs w:val="22"/>
                        </w:rPr>
                      </w:pPr>
                    </w:p>
                    <w:p w14:paraId="407C77D5" w14:textId="77777777" w:rsidR="00D147D5" w:rsidRDefault="00D147D5" w:rsidP="00035017">
                      <w:pPr>
                        <w:jc w:val="center"/>
                        <w:rPr>
                          <w:rFonts w:ascii="Palatino Linotype" w:hAnsi="Palatino Linotype" w:cs="Tahoma"/>
                          <w:b/>
                          <w:sz w:val="22"/>
                          <w:szCs w:val="22"/>
                        </w:rPr>
                      </w:pPr>
                    </w:p>
                    <w:p w14:paraId="04C5CFB5"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75E8B" w:rsidRPr="007516C8" w:rsidRDefault="00E75E8B"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E75E8B" w:rsidRPr="0080253B" w:rsidRDefault="008F70FD"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75E8B" w:rsidRPr="00EF2FC0" w:rsidRDefault="00E75E8B" w:rsidP="00035017">
                      <w:pPr>
                        <w:jc w:val="center"/>
                        <w:rPr>
                          <w:rFonts w:ascii="Palatino Linotype" w:hAnsi="Palatino Linotype"/>
                          <w:sz w:val="24"/>
                          <w:szCs w:val="24"/>
                        </w:rPr>
                      </w:pPr>
                    </w:p>
                    <w:p w14:paraId="4E6D32CF" w14:textId="77777777" w:rsidR="00E75E8B" w:rsidRDefault="00E75E8B" w:rsidP="00035017"/>
                  </w:txbxContent>
                </v:textbox>
                <w10:wrap anchorx="page"/>
              </v:shape>
            </w:pict>
          </mc:Fallback>
        </mc:AlternateContent>
      </w:r>
    </w:p>
    <w:p w14:paraId="5B541446" w14:textId="77777777" w:rsidR="00035017" w:rsidRPr="006E241A" w:rsidRDefault="00035017">
      <w:pPr>
        <w:spacing w:line="276" w:lineRule="auto"/>
        <w:jc w:val="both"/>
        <w:rPr>
          <w:rFonts w:ascii="Palatino Linotype" w:hAnsi="Palatino Linotype" w:cs="Tahoma"/>
          <w:sz w:val="24"/>
          <w:szCs w:val="24"/>
          <w:lang w:val="es-MX"/>
        </w:rPr>
      </w:pPr>
    </w:p>
    <w:p w14:paraId="439A95A6" w14:textId="77777777" w:rsidR="00035017" w:rsidRPr="006E241A" w:rsidRDefault="00035017">
      <w:pPr>
        <w:spacing w:line="276" w:lineRule="auto"/>
        <w:jc w:val="both"/>
        <w:rPr>
          <w:rFonts w:ascii="Palatino Linotype" w:hAnsi="Palatino Linotype" w:cs="Tahoma"/>
          <w:sz w:val="24"/>
          <w:szCs w:val="24"/>
          <w:lang w:val="es-MX"/>
        </w:rPr>
      </w:pPr>
    </w:p>
    <w:p w14:paraId="1C6BE171" w14:textId="77777777" w:rsidR="00035017" w:rsidRPr="006E241A" w:rsidRDefault="00035017">
      <w:pPr>
        <w:spacing w:line="276" w:lineRule="auto"/>
        <w:jc w:val="both"/>
        <w:rPr>
          <w:rFonts w:ascii="Palatino Linotype" w:hAnsi="Palatino Linotype" w:cs="Tahoma"/>
          <w:sz w:val="24"/>
          <w:szCs w:val="24"/>
          <w:lang w:val="es-MX"/>
        </w:rPr>
      </w:pPr>
    </w:p>
    <w:p w14:paraId="7E329AC1" w14:textId="77777777" w:rsidR="00E152D8" w:rsidRPr="006E241A" w:rsidRDefault="00E152D8" w:rsidP="00906410">
      <w:pPr>
        <w:tabs>
          <w:tab w:val="left" w:pos="8931"/>
        </w:tabs>
        <w:spacing w:line="276" w:lineRule="auto"/>
        <w:ind w:right="-93"/>
        <w:jc w:val="both"/>
        <w:rPr>
          <w:rFonts w:ascii="Palatino Linotype" w:eastAsia="Calibri" w:hAnsi="Palatino Linotype" w:cs="Arial"/>
          <w:sz w:val="24"/>
          <w:szCs w:val="24"/>
          <w:lang w:eastAsia="en-US"/>
        </w:rPr>
      </w:pPr>
    </w:p>
    <w:p w14:paraId="54CA583E" w14:textId="77777777" w:rsidR="00E152D8" w:rsidRPr="006E241A" w:rsidRDefault="00E152D8" w:rsidP="00906410">
      <w:pPr>
        <w:tabs>
          <w:tab w:val="left" w:pos="8931"/>
        </w:tabs>
        <w:spacing w:line="276" w:lineRule="auto"/>
        <w:ind w:right="-93"/>
        <w:jc w:val="both"/>
        <w:rPr>
          <w:rFonts w:ascii="Palatino Linotype" w:eastAsia="Calibri" w:hAnsi="Palatino Linotype" w:cs="Arial"/>
          <w:sz w:val="24"/>
          <w:szCs w:val="24"/>
          <w:lang w:eastAsia="en-US"/>
        </w:rPr>
      </w:pPr>
    </w:p>
    <w:p w14:paraId="407A8064" w14:textId="332105BF" w:rsidR="007516C8" w:rsidRPr="00134A3B" w:rsidRDefault="007516C8" w:rsidP="00906410">
      <w:pPr>
        <w:spacing w:line="276" w:lineRule="auto"/>
        <w:rPr>
          <w:rFonts w:ascii="Palatino Linotype" w:eastAsia="Calibri" w:hAnsi="Palatino Linotype" w:cs="Arial"/>
          <w:sz w:val="24"/>
          <w:szCs w:val="24"/>
          <w:lang w:eastAsia="en-US"/>
        </w:rPr>
      </w:pPr>
      <w:r w:rsidRPr="006E241A">
        <w:rPr>
          <w:rFonts w:ascii="Palatino Linotype" w:eastAsia="Calibri" w:hAnsi="Palatino Linotype" w:cs="Arial"/>
          <w:sz w:val="24"/>
          <w:szCs w:val="24"/>
          <w:lang w:eastAsia="en-US"/>
        </w:rPr>
        <w:t xml:space="preserve">Esta foja corresponde a la resolución de fecha treinta y uno de octubre de dos mil dieciocho, emitida en el recurso de revisión número </w:t>
      </w:r>
      <w:r w:rsidRPr="006E241A">
        <w:rPr>
          <w:rFonts w:ascii="Palatino Linotype" w:eastAsia="Calibri" w:hAnsi="Palatino Linotype" w:cs="Arial"/>
          <w:bCs/>
          <w:sz w:val="24"/>
          <w:szCs w:val="24"/>
          <w:lang w:eastAsia="en-US"/>
        </w:rPr>
        <w:t>03431/INFOEM/IP/RR/2018.</w:t>
      </w:r>
    </w:p>
    <w:p w14:paraId="1060F2B4" w14:textId="2A405138" w:rsidR="00C159C6" w:rsidRPr="00134A3B" w:rsidRDefault="00C159C6" w:rsidP="00906410">
      <w:pPr>
        <w:spacing w:line="276" w:lineRule="auto"/>
        <w:jc w:val="both"/>
        <w:rPr>
          <w:rFonts w:ascii="Palatino Linotype" w:eastAsia="Calibri" w:hAnsi="Palatino Linotype" w:cs="Arial"/>
          <w:sz w:val="24"/>
          <w:szCs w:val="24"/>
          <w:lang w:eastAsia="en-US"/>
        </w:rPr>
      </w:pPr>
    </w:p>
    <w:sectPr w:rsidR="00C159C6" w:rsidRPr="00134A3B"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0A99D" w16cid:durableId="1F6F7DF1"/>
  <w16cid:commentId w16cid:paraId="50B7B504" w16cid:durableId="1F6F87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46581" w14:textId="77777777" w:rsidR="00A125A9" w:rsidRDefault="00A125A9" w:rsidP="00B31222">
      <w:r>
        <w:separator/>
      </w:r>
    </w:p>
  </w:endnote>
  <w:endnote w:type="continuationSeparator" w:id="0">
    <w:p w14:paraId="00840F5C" w14:textId="77777777" w:rsidR="00A125A9" w:rsidRDefault="00A125A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64B31E80" w14:textId="6BE55587" w:rsidR="00E75E8B" w:rsidRPr="00035017" w:rsidRDefault="00E75E8B">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C562A1">
              <w:rPr>
                <w:b/>
                <w:bCs/>
                <w:noProof/>
              </w:rPr>
              <w:t>24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C562A1">
              <w:rPr>
                <w:b/>
                <w:bCs/>
                <w:noProof/>
              </w:rPr>
              <w:t>25</w:t>
            </w:r>
            <w:r w:rsidRPr="00035017">
              <w:rPr>
                <w:b/>
                <w:bCs/>
              </w:rPr>
              <w:fldChar w:fldCharType="end"/>
            </w:r>
          </w:p>
        </w:sdtContent>
      </w:sdt>
    </w:sdtContent>
  </w:sdt>
  <w:p w14:paraId="6584B59F" w14:textId="77777777" w:rsidR="00E75E8B" w:rsidRDefault="00E75E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15906F55" w14:textId="1D49551A" w:rsidR="00E75E8B" w:rsidRDefault="00E75E8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562A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562A1">
              <w:rPr>
                <w:b/>
                <w:bCs/>
                <w:noProof/>
              </w:rPr>
              <w:t>25</w:t>
            </w:r>
            <w:r>
              <w:rPr>
                <w:b/>
                <w:bCs/>
                <w:sz w:val="24"/>
                <w:szCs w:val="24"/>
              </w:rPr>
              <w:fldChar w:fldCharType="end"/>
            </w:r>
          </w:p>
        </w:sdtContent>
      </w:sdt>
    </w:sdtContent>
  </w:sdt>
  <w:p w14:paraId="388A9A1D" w14:textId="77777777" w:rsidR="00E75E8B" w:rsidRDefault="00E75E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B88E5" w14:textId="77777777" w:rsidR="00A125A9" w:rsidRDefault="00A125A9" w:rsidP="00B31222">
      <w:r>
        <w:separator/>
      </w:r>
    </w:p>
  </w:footnote>
  <w:footnote w:type="continuationSeparator" w:id="0">
    <w:p w14:paraId="67FEF011" w14:textId="77777777" w:rsidR="00A125A9" w:rsidRDefault="00A125A9" w:rsidP="00B31222">
      <w:r>
        <w:continuationSeparator/>
      </w:r>
    </w:p>
  </w:footnote>
  <w:footnote w:id="1">
    <w:p w14:paraId="2EDA4D72" w14:textId="7FF9D256" w:rsidR="00E75E8B" w:rsidRDefault="00E75E8B">
      <w:pPr>
        <w:pStyle w:val="Textonotapie"/>
      </w:pPr>
      <w:r>
        <w:rPr>
          <w:rStyle w:val="Refdenotaalpie"/>
        </w:rPr>
        <w:footnoteRef/>
      </w:r>
      <w:r>
        <w:t xml:space="preserve"> </w:t>
      </w:r>
      <w:r w:rsidRPr="0016796B">
        <w:t>http://legislacion.edomex.gob.mx/sites/legislacion.edomex.gob.mx/files/files/pdf/rgl/vig/rglvig018.pdf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75E8B" w:rsidRPr="005C106F" w14:paraId="7BF72E0D" w14:textId="77777777" w:rsidTr="00202DB8">
      <w:trPr>
        <w:trHeight w:val="1435"/>
      </w:trPr>
      <w:tc>
        <w:tcPr>
          <w:tcW w:w="2835" w:type="dxa"/>
          <w:shd w:val="clear" w:color="auto" w:fill="auto"/>
        </w:tcPr>
        <w:p w14:paraId="0CCA997D" w14:textId="34B91F3D" w:rsidR="00E75E8B" w:rsidRPr="005C106F" w:rsidRDefault="00E75E8B"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75E8B" w:rsidRPr="00E152D8" w14:paraId="6A8514DF" w14:textId="77777777" w:rsidTr="00812BB6">
            <w:trPr>
              <w:trHeight w:val="144"/>
            </w:trPr>
            <w:tc>
              <w:tcPr>
                <w:tcW w:w="2698" w:type="dxa"/>
              </w:tcPr>
              <w:p w14:paraId="09FB94A0" w14:textId="77777777" w:rsidR="00E75E8B" w:rsidRPr="00E152D8" w:rsidRDefault="00E75E8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77777777" w:rsidR="00E75E8B" w:rsidRPr="00E152D8" w:rsidRDefault="00E75E8B" w:rsidP="00E152D8">
                <w:pPr>
                  <w:tabs>
                    <w:tab w:val="right" w:pos="8838"/>
                  </w:tabs>
                  <w:ind w:left="-28" w:right="-32"/>
                  <w:jc w:val="both"/>
                  <w:rPr>
                    <w:rFonts w:ascii="Palatino Linotype" w:eastAsia="Calibri" w:hAnsi="Palatino Linotype" w:cs="Tahoma"/>
                    <w:bCs/>
                    <w:sz w:val="22"/>
                    <w:szCs w:val="22"/>
                    <w:lang w:eastAsia="en-US"/>
                  </w:rPr>
                </w:pPr>
                <w:r w:rsidRPr="00E152D8">
                  <w:rPr>
                    <w:rFonts w:ascii="Palatino Linotype" w:eastAsia="Calibri" w:hAnsi="Palatino Linotype" w:cs="Tahoma"/>
                    <w:bCs/>
                    <w:sz w:val="22"/>
                    <w:szCs w:val="22"/>
                    <w:lang w:eastAsia="en-US"/>
                  </w:rPr>
                  <w:t>03431/INFOEM/IP/RR/2018</w:t>
                </w:r>
              </w:p>
            </w:tc>
          </w:tr>
          <w:tr w:rsidR="00E75E8B" w:rsidRPr="00E152D8" w14:paraId="4CB2615A" w14:textId="77777777" w:rsidTr="00812BB6">
            <w:trPr>
              <w:trHeight w:val="283"/>
            </w:trPr>
            <w:tc>
              <w:tcPr>
                <w:tcW w:w="2698" w:type="dxa"/>
              </w:tcPr>
              <w:p w14:paraId="582B550E" w14:textId="18E7BB9D" w:rsidR="00E75E8B" w:rsidRPr="00E152D8" w:rsidRDefault="00E62E3B"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E75E8B" w:rsidRPr="00E152D8">
                  <w:rPr>
                    <w:rFonts w:ascii="Palatino Linotype" w:eastAsia="Calibri" w:hAnsi="Palatino Linotype" w:cs="Tahoma"/>
                    <w:b/>
                    <w:sz w:val="22"/>
                    <w:szCs w:val="22"/>
                    <w:lang w:val="es-MX" w:eastAsia="en-US"/>
                  </w:rPr>
                  <w:t>:</w:t>
                </w:r>
              </w:p>
            </w:tc>
            <w:tc>
              <w:tcPr>
                <w:tcW w:w="3621" w:type="dxa"/>
              </w:tcPr>
              <w:p w14:paraId="116AE3D0" w14:textId="77777777" w:rsidR="00E75E8B" w:rsidRPr="00E152D8" w:rsidRDefault="00E75E8B"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Secretaría de Finanzas</w:t>
                </w:r>
              </w:p>
            </w:tc>
          </w:tr>
          <w:tr w:rsidR="00E75E8B" w:rsidRPr="00E152D8" w14:paraId="539AA649" w14:textId="77777777" w:rsidTr="00812BB6">
            <w:trPr>
              <w:trHeight w:val="283"/>
            </w:trPr>
            <w:tc>
              <w:tcPr>
                <w:tcW w:w="2698" w:type="dxa"/>
              </w:tcPr>
              <w:p w14:paraId="1DA99B95" w14:textId="77777777" w:rsidR="00E75E8B" w:rsidRPr="00E152D8" w:rsidRDefault="00E75E8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E75E8B" w:rsidRPr="00E152D8" w:rsidRDefault="00E75E8B"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E75E8B" w:rsidRPr="005C106F" w:rsidRDefault="00E75E8B" w:rsidP="00232673">
          <w:pPr>
            <w:tabs>
              <w:tab w:val="right" w:pos="8838"/>
            </w:tabs>
            <w:ind w:left="-28"/>
            <w:jc w:val="both"/>
            <w:rPr>
              <w:rFonts w:ascii="Arial" w:eastAsia="Calibri" w:hAnsi="Arial" w:cs="Arial"/>
              <w:b/>
              <w:sz w:val="22"/>
              <w:szCs w:val="22"/>
              <w:lang w:val="es-MX" w:eastAsia="en-US"/>
            </w:rPr>
          </w:pPr>
        </w:p>
      </w:tc>
    </w:tr>
  </w:tbl>
  <w:p w14:paraId="54AE9B70" w14:textId="77777777" w:rsidR="00E75E8B" w:rsidRPr="00443C6B" w:rsidRDefault="00E75E8B"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75E8B" w:rsidRPr="005C106F" w14:paraId="41455844" w14:textId="77777777" w:rsidTr="005762DA">
      <w:trPr>
        <w:trHeight w:val="1435"/>
      </w:trPr>
      <w:tc>
        <w:tcPr>
          <w:tcW w:w="2835" w:type="dxa"/>
          <w:shd w:val="clear" w:color="auto" w:fill="auto"/>
        </w:tcPr>
        <w:p w14:paraId="23EC30A0" w14:textId="5BD321D9" w:rsidR="00E75E8B" w:rsidRPr="005C106F" w:rsidRDefault="00E75E8B"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75E8B" w:rsidRPr="00E152D8" w14:paraId="258E12CA" w14:textId="77777777" w:rsidTr="005762DA">
            <w:trPr>
              <w:trHeight w:val="144"/>
            </w:trPr>
            <w:tc>
              <w:tcPr>
                <w:tcW w:w="2698" w:type="dxa"/>
              </w:tcPr>
              <w:p w14:paraId="37123E7F" w14:textId="77777777" w:rsidR="00E75E8B" w:rsidRPr="00E152D8" w:rsidRDefault="00E75E8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6DA2CFA6" w:rsidR="00E75E8B" w:rsidRPr="00E152D8" w:rsidRDefault="00E75E8B" w:rsidP="005608D0">
                <w:pPr>
                  <w:tabs>
                    <w:tab w:val="right" w:pos="8838"/>
                  </w:tabs>
                  <w:ind w:left="-28" w:right="-32"/>
                  <w:jc w:val="both"/>
                  <w:rPr>
                    <w:rFonts w:ascii="Palatino Linotype" w:eastAsia="Calibri" w:hAnsi="Palatino Linotype" w:cs="Tahoma"/>
                    <w:bCs/>
                    <w:sz w:val="22"/>
                    <w:szCs w:val="22"/>
                    <w:lang w:eastAsia="en-US"/>
                  </w:rPr>
                </w:pPr>
                <w:r w:rsidRPr="00E152D8">
                  <w:rPr>
                    <w:rFonts w:ascii="Palatino Linotype" w:eastAsia="Calibri" w:hAnsi="Palatino Linotype" w:cs="Tahoma"/>
                    <w:bCs/>
                    <w:sz w:val="22"/>
                    <w:szCs w:val="22"/>
                    <w:lang w:eastAsia="en-US"/>
                  </w:rPr>
                  <w:t>03431/INFOEM/IP/RR/2018</w:t>
                </w:r>
              </w:p>
            </w:tc>
          </w:tr>
          <w:tr w:rsidR="00E75E8B" w:rsidRPr="00E152D8" w14:paraId="06E73082" w14:textId="77777777" w:rsidTr="005762DA">
            <w:trPr>
              <w:trHeight w:val="144"/>
            </w:trPr>
            <w:tc>
              <w:tcPr>
                <w:tcW w:w="2698" w:type="dxa"/>
              </w:tcPr>
              <w:p w14:paraId="5673A89F" w14:textId="77777777" w:rsidR="00E75E8B" w:rsidRPr="00E152D8" w:rsidRDefault="00E75E8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7F57CF9D" w:rsidR="00E75E8B" w:rsidRPr="00E152D8" w:rsidRDefault="00C562A1" w:rsidP="004B42D0">
                <w:pPr>
                  <w:tabs>
                    <w:tab w:val="right" w:pos="8838"/>
                  </w:tabs>
                  <w:ind w:right="-32"/>
                  <w:jc w:val="both"/>
                  <w:rPr>
                    <w:rFonts w:ascii="Palatino Linotype" w:eastAsia="Calibri" w:hAnsi="Palatino Linotype" w:cs="Tahoma"/>
                    <w:sz w:val="22"/>
                    <w:szCs w:val="22"/>
                    <w:lang w:val="es-MX" w:eastAsia="en-US"/>
                  </w:rPr>
                </w:pPr>
                <w:r>
                  <w:rPr>
                    <w:rFonts w:ascii="Palatino Linotype" w:hAnsi="Palatino Linotype" w:cs="Tahoma"/>
                    <w:bCs/>
                    <w:color w:val="0D0D0D" w:themeColor="text1" w:themeTint="F2"/>
                    <w:sz w:val="22"/>
                    <w:szCs w:val="24"/>
                    <w:highlight w:val="black"/>
                  </w:rPr>
                  <w:t>XXX</w:t>
                </w:r>
                <w:r>
                  <w:rPr>
                    <w:rFonts w:ascii="Palatino Linotype" w:hAnsi="Palatino Linotype" w:cs="Tahoma"/>
                    <w:bCs/>
                    <w:color w:val="0D0D0D" w:themeColor="text1" w:themeTint="F2"/>
                    <w:sz w:val="22"/>
                    <w:szCs w:val="24"/>
                    <w:highlight w:val="black"/>
                  </w:rPr>
                  <w:t>XXXX</w:t>
                </w:r>
                <w:r>
                  <w:rPr>
                    <w:rFonts w:ascii="Palatino Linotype" w:hAnsi="Palatino Linotype" w:cs="Tahoma"/>
                    <w:bCs/>
                    <w:color w:val="0D0D0D" w:themeColor="text1" w:themeTint="F2"/>
                    <w:sz w:val="22"/>
                    <w:szCs w:val="24"/>
                    <w:highlight w:val="black"/>
                  </w:rPr>
                  <w:t>XXXXXXXXXXXX</w:t>
                </w:r>
              </w:p>
            </w:tc>
          </w:tr>
          <w:tr w:rsidR="00E75E8B" w:rsidRPr="00E152D8" w14:paraId="1141639A" w14:textId="77777777" w:rsidTr="005762DA">
            <w:trPr>
              <w:trHeight w:val="283"/>
            </w:trPr>
            <w:tc>
              <w:tcPr>
                <w:tcW w:w="2698" w:type="dxa"/>
              </w:tcPr>
              <w:p w14:paraId="6E3C9017" w14:textId="0D153D4C" w:rsidR="00E75E8B" w:rsidRPr="00E152D8" w:rsidRDefault="00E62E3B"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E75E8B" w:rsidRPr="00E152D8">
                  <w:rPr>
                    <w:rFonts w:ascii="Palatino Linotype" w:eastAsia="Calibri" w:hAnsi="Palatino Linotype" w:cs="Tahoma"/>
                    <w:b/>
                    <w:sz w:val="22"/>
                    <w:szCs w:val="22"/>
                    <w:lang w:val="es-MX" w:eastAsia="en-US"/>
                  </w:rPr>
                  <w:t>:</w:t>
                </w:r>
              </w:p>
            </w:tc>
            <w:tc>
              <w:tcPr>
                <w:tcW w:w="3621" w:type="dxa"/>
              </w:tcPr>
              <w:p w14:paraId="2470AA48" w14:textId="152E701D" w:rsidR="00E75E8B" w:rsidRPr="00E152D8" w:rsidRDefault="00E75E8B"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Secretaría de Finanzas</w:t>
                </w:r>
              </w:p>
            </w:tc>
          </w:tr>
          <w:tr w:rsidR="00E75E8B" w:rsidRPr="00E152D8" w14:paraId="4CF82934" w14:textId="77777777" w:rsidTr="005762DA">
            <w:trPr>
              <w:trHeight w:val="283"/>
            </w:trPr>
            <w:tc>
              <w:tcPr>
                <w:tcW w:w="2698" w:type="dxa"/>
              </w:tcPr>
              <w:p w14:paraId="5A074113" w14:textId="77777777" w:rsidR="00E75E8B" w:rsidRPr="00E152D8" w:rsidRDefault="00E75E8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E75E8B" w:rsidRPr="00E152D8" w:rsidRDefault="00E75E8B"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E75E8B" w:rsidRPr="005C106F" w:rsidRDefault="00E75E8B" w:rsidP="005608D0">
          <w:pPr>
            <w:tabs>
              <w:tab w:val="right" w:pos="8838"/>
            </w:tabs>
            <w:ind w:left="-28"/>
            <w:jc w:val="both"/>
            <w:rPr>
              <w:rFonts w:ascii="Arial" w:eastAsia="Calibri" w:hAnsi="Arial" w:cs="Arial"/>
              <w:b/>
              <w:sz w:val="22"/>
              <w:szCs w:val="22"/>
              <w:lang w:val="es-MX" w:eastAsia="en-US"/>
            </w:rPr>
          </w:pPr>
        </w:p>
      </w:tc>
    </w:tr>
  </w:tbl>
  <w:p w14:paraId="1C57FAFA" w14:textId="77777777" w:rsidR="00E75E8B" w:rsidRPr="007516C8" w:rsidRDefault="00E75E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2"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
  </w:num>
  <w:num w:numId="4">
    <w:abstractNumId w:val="25"/>
  </w:num>
  <w:num w:numId="5">
    <w:abstractNumId w:val="9"/>
  </w:num>
  <w:num w:numId="6">
    <w:abstractNumId w:val="14"/>
  </w:num>
  <w:num w:numId="7">
    <w:abstractNumId w:val="10"/>
  </w:num>
  <w:num w:numId="8">
    <w:abstractNumId w:val="8"/>
  </w:num>
  <w:num w:numId="9">
    <w:abstractNumId w:val="20"/>
  </w:num>
  <w:num w:numId="10">
    <w:abstractNumId w:val="5"/>
  </w:num>
  <w:num w:numId="11">
    <w:abstractNumId w:val="6"/>
  </w:num>
  <w:num w:numId="12">
    <w:abstractNumId w:val="24"/>
  </w:num>
  <w:num w:numId="13">
    <w:abstractNumId w:val="16"/>
  </w:num>
  <w:num w:numId="14">
    <w:abstractNumId w:val="17"/>
  </w:num>
  <w:num w:numId="15">
    <w:abstractNumId w:val="7"/>
  </w:num>
  <w:num w:numId="16">
    <w:abstractNumId w:val="15"/>
  </w:num>
  <w:num w:numId="17">
    <w:abstractNumId w:val="22"/>
  </w:num>
  <w:num w:numId="18">
    <w:abstractNumId w:val="18"/>
  </w:num>
  <w:num w:numId="19">
    <w:abstractNumId w:val="23"/>
  </w:num>
  <w:num w:numId="20">
    <w:abstractNumId w:val="13"/>
  </w:num>
  <w:num w:numId="21">
    <w:abstractNumId w:val="4"/>
  </w:num>
  <w:num w:numId="22">
    <w:abstractNumId w:val="21"/>
  </w:num>
  <w:num w:numId="23">
    <w:abstractNumId w:val="11"/>
  </w:num>
  <w:num w:numId="24">
    <w:abstractNumId w:val="19"/>
  </w:num>
  <w:num w:numId="25">
    <w:abstractNumId w:val="3"/>
  </w:num>
  <w:num w:numId="26">
    <w:abstractNumId w:val="2"/>
  </w:num>
  <w:num w:numId="27">
    <w:abstractNumId w:val="12"/>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485A"/>
    <w:rsid w:val="00006543"/>
    <w:rsid w:val="00010026"/>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6017B"/>
    <w:rsid w:val="00062804"/>
    <w:rsid w:val="00064038"/>
    <w:rsid w:val="00067867"/>
    <w:rsid w:val="00067EEE"/>
    <w:rsid w:val="00073C4E"/>
    <w:rsid w:val="0008148B"/>
    <w:rsid w:val="00081885"/>
    <w:rsid w:val="00086262"/>
    <w:rsid w:val="00097211"/>
    <w:rsid w:val="000A0466"/>
    <w:rsid w:val="000A47A6"/>
    <w:rsid w:val="000B2C93"/>
    <w:rsid w:val="000B36DD"/>
    <w:rsid w:val="000C27CA"/>
    <w:rsid w:val="000D453A"/>
    <w:rsid w:val="000E2948"/>
    <w:rsid w:val="000E6EB0"/>
    <w:rsid w:val="000F24C8"/>
    <w:rsid w:val="000F3DA0"/>
    <w:rsid w:val="000F555D"/>
    <w:rsid w:val="000F7A45"/>
    <w:rsid w:val="000F7FD8"/>
    <w:rsid w:val="00100BAC"/>
    <w:rsid w:val="001017B7"/>
    <w:rsid w:val="001034C6"/>
    <w:rsid w:val="001036FF"/>
    <w:rsid w:val="001049B0"/>
    <w:rsid w:val="001050A6"/>
    <w:rsid w:val="00106724"/>
    <w:rsid w:val="001137EE"/>
    <w:rsid w:val="00114068"/>
    <w:rsid w:val="001150E9"/>
    <w:rsid w:val="00117267"/>
    <w:rsid w:val="00127757"/>
    <w:rsid w:val="00130745"/>
    <w:rsid w:val="00132A80"/>
    <w:rsid w:val="00132F95"/>
    <w:rsid w:val="00134A3B"/>
    <w:rsid w:val="00137B0F"/>
    <w:rsid w:val="0014199D"/>
    <w:rsid w:val="0014307A"/>
    <w:rsid w:val="00144D0B"/>
    <w:rsid w:val="00147566"/>
    <w:rsid w:val="00151053"/>
    <w:rsid w:val="00151E39"/>
    <w:rsid w:val="0015337B"/>
    <w:rsid w:val="00156A6B"/>
    <w:rsid w:val="00162234"/>
    <w:rsid w:val="00163AFF"/>
    <w:rsid w:val="00163EDA"/>
    <w:rsid w:val="0016796B"/>
    <w:rsid w:val="00170545"/>
    <w:rsid w:val="001723FF"/>
    <w:rsid w:val="0017459B"/>
    <w:rsid w:val="00183D24"/>
    <w:rsid w:val="001847FF"/>
    <w:rsid w:val="001851A6"/>
    <w:rsid w:val="00191DF6"/>
    <w:rsid w:val="00191E78"/>
    <w:rsid w:val="0019389B"/>
    <w:rsid w:val="001A0A9D"/>
    <w:rsid w:val="001A1B94"/>
    <w:rsid w:val="001A7FD2"/>
    <w:rsid w:val="001B107D"/>
    <w:rsid w:val="001B43B8"/>
    <w:rsid w:val="001B5B40"/>
    <w:rsid w:val="001D7BD2"/>
    <w:rsid w:val="001E2A4D"/>
    <w:rsid w:val="001E49D7"/>
    <w:rsid w:val="001E53C2"/>
    <w:rsid w:val="001F1540"/>
    <w:rsid w:val="001F2865"/>
    <w:rsid w:val="001F652C"/>
    <w:rsid w:val="001F74A4"/>
    <w:rsid w:val="001F7FEC"/>
    <w:rsid w:val="00202DB8"/>
    <w:rsid w:val="0020547B"/>
    <w:rsid w:val="00207736"/>
    <w:rsid w:val="00207855"/>
    <w:rsid w:val="00215D0D"/>
    <w:rsid w:val="002179CD"/>
    <w:rsid w:val="00217AEF"/>
    <w:rsid w:val="00220816"/>
    <w:rsid w:val="00222574"/>
    <w:rsid w:val="00222FCE"/>
    <w:rsid w:val="00223ECD"/>
    <w:rsid w:val="002244BB"/>
    <w:rsid w:val="00224774"/>
    <w:rsid w:val="00224F7A"/>
    <w:rsid w:val="00225152"/>
    <w:rsid w:val="00230E81"/>
    <w:rsid w:val="00231211"/>
    <w:rsid w:val="00232673"/>
    <w:rsid w:val="00236863"/>
    <w:rsid w:val="00237C1F"/>
    <w:rsid w:val="002433A4"/>
    <w:rsid w:val="002457AF"/>
    <w:rsid w:val="00250389"/>
    <w:rsid w:val="00252669"/>
    <w:rsid w:val="00254288"/>
    <w:rsid w:val="002579CE"/>
    <w:rsid w:val="00260FEC"/>
    <w:rsid w:val="00262BF1"/>
    <w:rsid w:val="002657E2"/>
    <w:rsid w:val="002727CC"/>
    <w:rsid w:val="00273679"/>
    <w:rsid w:val="002757AE"/>
    <w:rsid w:val="002811AA"/>
    <w:rsid w:val="00281F04"/>
    <w:rsid w:val="00282BAA"/>
    <w:rsid w:val="00284486"/>
    <w:rsid w:val="00285644"/>
    <w:rsid w:val="0028581E"/>
    <w:rsid w:val="00293491"/>
    <w:rsid w:val="002A0D89"/>
    <w:rsid w:val="002A1142"/>
    <w:rsid w:val="002A1F13"/>
    <w:rsid w:val="002A5AD6"/>
    <w:rsid w:val="002A6193"/>
    <w:rsid w:val="002B20A1"/>
    <w:rsid w:val="002B46D4"/>
    <w:rsid w:val="002B49F6"/>
    <w:rsid w:val="002B54CF"/>
    <w:rsid w:val="002C65C0"/>
    <w:rsid w:val="002D788C"/>
    <w:rsid w:val="002E0369"/>
    <w:rsid w:val="002E378C"/>
    <w:rsid w:val="002E728F"/>
    <w:rsid w:val="002F0CE9"/>
    <w:rsid w:val="002F1957"/>
    <w:rsid w:val="002F2D2D"/>
    <w:rsid w:val="00301F46"/>
    <w:rsid w:val="00306418"/>
    <w:rsid w:val="003100F3"/>
    <w:rsid w:val="00310C11"/>
    <w:rsid w:val="00316600"/>
    <w:rsid w:val="003172EC"/>
    <w:rsid w:val="00323325"/>
    <w:rsid w:val="00325EC0"/>
    <w:rsid w:val="00332BB1"/>
    <w:rsid w:val="003340EC"/>
    <w:rsid w:val="00336034"/>
    <w:rsid w:val="00336CFC"/>
    <w:rsid w:val="0034057C"/>
    <w:rsid w:val="003435D1"/>
    <w:rsid w:val="00347CA7"/>
    <w:rsid w:val="00353B6D"/>
    <w:rsid w:val="00354920"/>
    <w:rsid w:val="00355DC6"/>
    <w:rsid w:val="003604D7"/>
    <w:rsid w:val="00363F22"/>
    <w:rsid w:val="00364521"/>
    <w:rsid w:val="00367F82"/>
    <w:rsid w:val="003756AF"/>
    <w:rsid w:val="00377491"/>
    <w:rsid w:val="00380441"/>
    <w:rsid w:val="003864D2"/>
    <w:rsid w:val="0038781C"/>
    <w:rsid w:val="00390249"/>
    <w:rsid w:val="00390BF8"/>
    <w:rsid w:val="00392E12"/>
    <w:rsid w:val="00394FD0"/>
    <w:rsid w:val="003956E9"/>
    <w:rsid w:val="003965EC"/>
    <w:rsid w:val="00396BA0"/>
    <w:rsid w:val="003A0E17"/>
    <w:rsid w:val="003A357E"/>
    <w:rsid w:val="003A6E62"/>
    <w:rsid w:val="003A7BE8"/>
    <w:rsid w:val="003B2140"/>
    <w:rsid w:val="003B3C9D"/>
    <w:rsid w:val="003B45A9"/>
    <w:rsid w:val="003C28B8"/>
    <w:rsid w:val="003C7FD0"/>
    <w:rsid w:val="003D0268"/>
    <w:rsid w:val="003D1A43"/>
    <w:rsid w:val="003D1A64"/>
    <w:rsid w:val="003D2A4F"/>
    <w:rsid w:val="003D34BE"/>
    <w:rsid w:val="003D4B63"/>
    <w:rsid w:val="003D6BB8"/>
    <w:rsid w:val="003E1713"/>
    <w:rsid w:val="003E31E5"/>
    <w:rsid w:val="003E32ED"/>
    <w:rsid w:val="003E58C9"/>
    <w:rsid w:val="003F2F62"/>
    <w:rsid w:val="004004E9"/>
    <w:rsid w:val="004052C5"/>
    <w:rsid w:val="004100AA"/>
    <w:rsid w:val="00412203"/>
    <w:rsid w:val="00412DC4"/>
    <w:rsid w:val="00417DE3"/>
    <w:rsid w:val="00422869"/>
    <w:rsid w:val="004230EF"/>
    <w:rsid w:val="00432121"/>
    <w:rsid w:val="0043257A"/>
    <w:rsid w:val="00440556"/>
    <w:rsid w:val="004406CF"/>
    <w:rsid w:val="00442B41"/>
    <w:rsid w:val="004435B4"/>
    <w:rsid w:val="00447C48"/>
    <w:rsid w:val="0046048A"/>
    <w:rsid w:val="0046566A"/>
    <w:rsid w:val="00466346"/>
    <w:rsid w:val="00467780"/>
    <w:rsid w:val="00467D2F"/>
    <w:rsid w:val="00471C5B"/>
    <w:rsid w:val="004751D6"/>
    <w:rsid w:val="00477E20"/>
    <w:rsid w:val="00477E8A"/>
    <w:rsid w:val="004809AF"/>
    <w:rsid w:val="00480BB8"/>
    <w:rsid w:val="0048519E"/>
    <w:rsid w:val="004860BD"/>
    <w:rsid w:val="00487430"/>
    <w:rsid w:val="004A07F1"/>
    <w:rsid w:val="004A0BB0"/>
    <w:rsid w:val="004A182E"/>
    <w:rsid w:val="004A26CD"/>
    <w:rsid w:val="004A577A"/>
    <w:rsid w:val="004A7990"/>
    <w:rsid w:val="004B42D0"/>
    <w:rsid w:val="004B51A0"/>
    <w:rsid w:val="004B591D"/>
    <w:rsid w:val="004C001D"/>
    <w:rsid w:val="004C2782"/>
    <w:rsid w:val="004D1C65"/>
    <w:rsid w:val="004D5DB3"/>
    <w:rsid w:val="004E136A"/>
    <w:rsid w:val="004E1448"/>
    <w:rsid w:val="004E1EDE"/>
    <w:rsid w:val="004E2BB7"/>
    <w:rsid w:val="004E41C7"/>
    <w:rsid w:val="004F2D88"/>
    <w:rsid w:val="0050016E"/>
    <w:rsid w:val="005070C3"/>
    <w:rsid w:val="00515F48"/>
    <w:rsid w:val="00521DDE"/>
    <w:rsid w:val="005220BE"/>
    <w:rsid w:val="005248B2"/>
    <w:rsid w:val="00527D2D"/>
    <w:rsid w:val="00542D5F"/>
    <w:rsid w:val="00542D77"/>
    <w:rsid w:val="005435DE"/>
    <w:rsid w:val="005439B6"/>
    <w:rsid w:val="00544785"/>
    <w:rsid w:val="00545672"/>
    <w:rsid w:val="00546BAE"/>
    <w:rsid w:val="00552EBD"/>
    <w:rsid w:val="00554A40"/>
    <w:rsid w:val="00555F71"/>
    <w:rsid w:val="005608D0"/>
    <w:rsid w:val="00565A44"/>
    <w:rsid w:val="00565C0E"/>
    <w:rsid w:val="005762DA"/>
    <w:rsid w:val="00580D73"/>
    <w:rsid w:val="00581D41"/>
    <w:rsid w:val="00586FA8"/>
    <w:rsid w:val="00587F23"/>
    <w:rsid w:val="00593CB4"/>
    <w:rsid w:val="005B0D7C"/>
    <w:rsid w:val="005B1986"/>
    <w:rsid w:val="005B6854"/>
    <w:rsid w:val="005C0C8B"/>
    <w:rsid w:val="005C24D0"/>
    <w:rsid w:val="005C2AB0"/>
    <w:rsid w:val="005C4034"/>
    <w:rsid w:val="005C651C"/>
    <w:rsid w:val="005C77A1"/>
    <w:rsid w:val="005D5607"/>
    <w:rsid w:val="005F03DB"/>
    <w:rsid w:val="005F1700"/>
    <w:rsid w:val="00603A46"/>
    <w:rsid w:val="006134E0"/>
    <w:rsid w:val="00616189"/>
    <w:rsid w:val="0062020B"/>
    <w:rsid w:val="006217BB"/>
    <w:rsid w:val="00625BD5"/>
    <w:rsid w:val="00625DFB"/>
    <w:rsid w:val="00635590"/>
    <w:rsid w:val="00636401"/>
    <w:rsid w:val="00636712"/>
    <w:rsid w:val="00637179"/>
    <w:rsid w:val="00642903"/>
    <w:rsid w:val="006437B2"/>
    <w:rsid w:val="006452C2"/>
    <w:rsid w:val="006476CA"/>
    <w:rsid w:val="006552AE"/>
    <w:rsid w:val="00655773"/>
    <w:rsid w:val="006563CA"/>
    <w:rsid w:val="006578FC"/>
    <w:rsid w:val="006608AB"/>
    <w:rsid w:val="006643BB"/>
    <w:rsid w:val="00664587"/>
    <w:rsid w:val="00667EF4"/>
    <w:rsid w:val="00673DD4"/>
    <w:rsid w:val="00674AEB"/>
    <w:rsid w:val="0068182D"/>
    <w:rsid w:val="00683BCF"/>
    <w:rsid w:val="00690D82"/>
    <w:rsid w:val="006921A6"/>
    <w:rsid w:val="006A026A"/>
    <w:rsid w:val="006A0311"/>
    <w:rsid w:val="006A335C"/>
    <w:rsid w:val="006A3BD2"/>
    <w:rsid w:val="006A45E9"/>
    <w:rsid w:val="006A73E2"/>
    <w:rsid w:val="006B0E83"/>
    <w:rsid w:val="006C10C0"/>
    <w:rsid w:val="006C3747"/>
    <w:rsid w:val="006C70C1"/>
    <w:rsid w:val="006C7760"/>
    <w:rsid w:val="006D1EB0"/>
    <w:rsid w:val="006D4D74"/>
    <w:rsid w:val="006D522C"/>
    <w:rsid w:val="006D7795"/>
    <w:rsid w:val="006D7ACB"/>
    <w:rsid w:val="006D7C70"/>
    <w:rsid w:val="006E241A"/>
    <w:rsid w:val="006F1F3A"/>
    <w:rsid w:val="00702DD7"/>
    <w:rsid w:val="00705C40"/>
    <w:rsid w:val="0071087E"/>
    <w:rsid w:val="007235AA"/>
    <w:rsid w:val="00723B40"/>
    <w:rsid w:val="00724B13"/>
    <w:rsid w:val="0073225C"/>
    <w:rsid w:val="00735836"/>
    <w:rsid w:val="00735C0A"/>
    <w:rsid w:val="00735C21"/>
    <w:rsid w:val="0073614A"/>
    <w:rsid w:val="007365E6"/>
    <w:rsid w:val="00740C8C"/>
    <w:rsid w:val="00743966"/>
    <w:rsid w:val="00743DA8"/>
    <w:rsid w:val="007516C8"/>
    <w:rsid w:val="007574BB"/>
    <w:rsid w:val="0075764C"/>
    <w:rsid w:val="007606EE"/>
    <w:rsid w:val="00760F24"/>
    <w:rsid w:val="00762198"/>
    <w:rsid w:val="00770792"/>
    <w:rsid w:val="00774FFE"/>
    <w:rsid w:val="00775638"/>
    <w:rsid w:val="0077599A"/>
    <w:rsid w:val="00776E99"/>
    <w:rsid w:val="00777353"/>
    <w:rsid w:val="00777602"/>
    <w:rsid w:val="007835C9"/>
    <w:rsid w:val="00785461"/>
    <w:rsid w:val="00786FF3"/>
    <w:rsid w:val="00793090"/>
    <w:rsid w:val="00797E3A"/>
    <w:rsid w:val="007A2F67"/>
    <w:rsid w:val="007A3918"/>
    <w:rsid w:val="007A4A05"/>
    <w:rsid w:val="007B0E89"/>
    <w:rsid w:val="007B2C38"/>
    <w:rsid w:val="007B2E54"/>
    <w:rsid w:val="007B6E92"/>
    <w:rsid w:val="007B7498"/>
    <w:rsid w:val="007B77E9"/>
    <w:rsid w:val="007B7AEE"/>
    <w:rsid w:val="007D2F75"/>
    <w:rsid w:val="007D7433"/>
    <w:rsid w:val="007E22E7"/>
    <w:rsid w:val="007E4C1B"/>
    <w:rsid w:val="007E69BB"/>
    <w:rsid w:val="007F1500"/>
    <w:rsid w:val="007F2249"/>
    <w:rsid w:val="007F3DF2"/>
    <w:rsid w:val="007F3EF1"/>
    <w:rsid w:val="007F789E"/>
    <w:rsid w:val="00802515"/>
    <w:rsid w:val="008049A0"/>
    <w:rsid w:val="00806144"/>
    <w:rsid w:val="00806EA0"/>
    <w:rsid w:val="0081283F"/>
    <w:rsid w:val="00812BB6"/>
    <w:rsid w:val="0081480A"/>
    <w:rsid w:val="008202EB"/>
    <w:rsid w:val="008336A5"/>
    <w:rsid w:val="008373C0"/>
    <w:rsid w:val="0084145F"/>
    <w:rsid w:val="00841DA2"/>
    <w:rsid w:val="0084277D"/>
    <w:rsid w:val="008458F6"/>
    <w:rsid w:val="00845AED"/>
    <w:rsid w:val="00851AE4"/>
    <w:rsid w:val="00851E7A"/>
    <w:rsid w:val="00852CAD"/>
    <w:rsid w:val="00854A47"/>
    <w:rsid w:val="0085598D"/>
    <w:rsid w:val="008615B8"/>
    <w:rsid w:val="00862771"/>
    <w:rsid w:val="008671D1"/>
    <w:rsid w:val="00871023"/>
    <w:rsid w:val="00876F54"/>
    <w:rsid w:val="00877292"/>
    <w:rsid w:val="00885168"/>
    <w:rsid w:val="008859F9"/>
    <w:rsid w:val="00887889"/>
    <w:rsid w:val="00891634"/>
    <w:rsid w:val="0089173B"/>
    <w:rsid w:val="0089220F"/>
    <w:rsid w:val="008935AA"/>
    <w:rsid w:val="008A0DF3"/>
    <w:rsid w:val="008A134B"/>
    <w:rsid w:val="008A30D6"/>
    <w:rsid w:val="008A33DE"/>
    <w:rsid w:val="008B2BD8"/>
    <w:rsid w:val="008B6848"/>
    <w:rsid w:val="008C2FA1"/>
    <w:rsid w:val="008C3CF9"/>
    <w:rsid w:val="008D7E0D"/>
    <w:rsid w:val="008D7EDB"/>
    <w:rsid w:val="008E2986"/>
    <w:rsid w:val="008E64F0"/>
    <w:rsid w:val="008F0AAF"/>
    <w:rsid w:val="008F18ED"/>
    <w:rsid w:val="008F2645"/>
    <w:rsid w:val="008F6853"/>
    <w:rsid w:val="008F70FD"/>
    <w:rsid w:val="00903D37"/>
    <w:rsid w:val="00906410"/>
    <w:rsid w:val="009145C1"/>
    <w:rsid w:val="00917D6F"/>
    <w:rsid w:val="00921B1A"/>
    <w:rsid w:val="009241D4"/>
    <w:rsid w:val="0092600D"/>
    <w:rsid w:val="00927823"/>
    <w:rsid w:val="0093039D"/>
    <w:rsid w:val="00930D73"/>
    <w:rsid w:val="00931E4F"/>
    <w:rsid w:val="0093364D"/>
    <w:rsid w:val="00934AA6"/>
    <w:rsid w:val="00935E91"/>
    <w:rsid w:val="009377A0"/>
    <w:rsid w:val="009411AA"/>
    <w:rsid w:val="0094268A"/>
    <w:rsid w:val="0094782C"/>
    <w:rsid w:val="00967869"/>
    <w:rsid w:val="00971F54"/>
    <w:rsid w:val="009725C5"/>
    <w:rsid w:val="00973F40"/>
    <w:rsid w:val="009818CF"/>
    <w:rsid w:val="00982940"/>
    <w:rsid w:val="009934CF"/>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65A"/>
    <w:rsid w:val="009E5419"/>
    <w:rsid w:val="009E5A6E"/>
    <w:rsid w:val="009F0491"/>
    <w:rsid w:val="009F1635"/>
    <w:rsid w:val="009F1746"/>
    <w:rsid w:val="009F240A"/>
    <w:rsid w:val="009F38BB"/>
    <w:rsid w:val="009F46DC"/>
    <w:rsid w:val="009F6EDF"/>
    <w:rsid w:val="00A051E4"/>
    <w:rsid w:val="00A125A9"/>
    <w:rsid w:val="00A15CC2"/>
    <w:rsid w:val="00A1620D"/>
    <w:rsid w:val="00A16AC0"/>
    <w:rsid w:val="00A22D79"/>
    <w:rsid w:val="00A23D31"/>
    <w:rsid w:val="00A301A7"/>
    <w:rsid w:val="00A30C34"/>
    <w:rsid w:val="00A30FD3"/>
    <w:rsid w:val="00A346F3"/>
    <w:rsid w:val="00A35E2F"/>
    <w:rsid w:val="00A37891"/>
    <w:rsid w:val="00A40A51"/>
    <w:rsid w:val="00A47916"/>
    <w:rsid w:val="00A57C3D"/>
    <w:rsid w:val="00A622B0"/>
    <w:rsid w:val="00A631FA"/>
    <w:rsid w:val="00A6697B"/>
    <w:rsid w:val="00A74C2D"/>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C0EB7"/>
    <w:rsid w:val="00AC1B61"/>
    <w:rsid w:val="00AC5EE6"/>
    <w:rsid w:val="00AD1740"/>
    <w:rsid w:val="00AD1923"/>
    <w:rsid w:val="00AD2611"/>
    <w:rsid w:val="00AD3D57"/>
    <w:rsid w:val="00AD5855"/>
    <w:rsid w:val="00AE6BAB"/>
    <w:rsid w:val="00AE7834"/>
    <w:rsid w:val="00AF11C6"/>
    <w:rsid w:val="00B03FF6"/>
    <w:rsid w:val="00B070AA"/>
    <w:rsid w:val="00B07E94"/>
    <w:rsid w:val="00B10400"/>
    <w:rsid w:val="00B11CCE"/>
    <w:rsid w:val="00B1415B"/>
    <w:rsid w:val="00B15BF7"/>
    <w:rsid w:val="00B1733A"/>
    <w:rsid w:val="00B202EE"/>
    <w:rsid w:val="00B26756"/>
    <w:rsid w:val="00B269F1"/>
    <w:rsid w:val="00B274AE"/>
    <w:rsid w:val="00B274BF"/>
    <w:rsid w:val="00B31222"/>
    <w:rsid w:val="00B332A5"/>
    <w:rsid w:val="00B3716A"/>
    <w:rsid w:val="00B414D1"/>
    <w:rsid w:val="00B42E81"/>
    <w:rsid w:val="00B4329D"/>
    <w:rsid w:val="00B520F9"/>
    <w:rsid w:val="00B5495A"/>
    <w:rsid w:val="00B577A3"/>
    <w:rsid w:val="00B60AB8"/>
    <w:rsid w:val="00B657BE"/>
    <w:rsid w:val="00B7262F"/>
    <w:rsid w:val="00B73FD4"/>
    <w:rsid w:val="00B74FC5"/>
    <w:rsid w:val="00B75A6C"/>
    <w:rsid w:val="00B76D35"/>
    <w:rsid w:val="00B83E2A"/>
    <w:rsid w:val="00B83E38"/>
    <w:rsid w:val="00B86C19"/>
    <w:rsid w:val="00B908CF"/>
    <w:rsid w:val="00B9572E"/>
    <w:rsid w:val="00BA0AF6"/>
    <w:rsid w:val="00BA4993"/>
    <w:rsid w:val="00BB20F1"/>
    <w:rsid w:val="00BB375D"/>
    <w:rsid w:val="00BB4B53"/>
    <w:rsid w:val="00BB515F"/>
    <w:rsid w:val="00BC2C0C"/>
    <w:rsid w:val="00BC758B"/>
    <w:rsid w:val="00BE17C6"/>
    <w:rsid w:val="00BE33AC"/>
    <w:rsid w:val="00BE4865"/>
    <w:rsid w:val="00BE5347"/>
    <w:rsid w:val="00BE7B48"/>
    <w:rsid w:val="00BF1A8A"/>
    <w:rsid w:val="00C04C52"/>
    <w:rsid w:val="00C141BF"/>
    <w:rsid w:val="00C159C6"/>
    <w:rsid w:val="00C15DFF"/>
    <w:rsid w:val="00C16B4B"/>
    <w:rsid w:val="00C17427"/>
    <w:rsid w:val="00C25238"/>
    <w:rsid w:val="00C25C49"/>
    <w:rsid w:val="00C31E61"/>
    <w:rsid w:val="00C3345C"/>
    <w:rsid w:val="00C408C6"/>
    <w:rsid w:val="00C502A5"/>
    <w:rsid w:val="00C50D2D"/>
    <w:rsid w:val="00C521F7"/>
    <w:rsid w:val="00C53008"/>
    <w:rsid w:val="00C55151"/>
    <w:rsid w:val="00C560FA"/>
    <w:rsid w:val="00C562A1"/>
    <w:rsid w:val="00C57FF9"/>
    <w:rsid w:val="00C61451"/>
    <w:rsid w:val="00C63E22"/>
    <w:rsid w:val="00C64434"/>
    <w:rsid w:val="00C64FA9"/>
    <w:rsid w:val="00C66EB4"/>
    <w:rsid w:val="00C73C57"/>
    <w:rsid w:val="00C74D43"/>
    <w:rsid w:val="00C801CF"/>
    <w:rsid w:val="00C8780E"/>
    <w:rsid w:val="00C92552"/>
    <w:rsid w:val="00C929A8"/>
    <w:rsid w:val="00C93F1B"/>
    <w:rsid w:val="00C97307"/>
    <w:rsid w:val="00C9744D"/>
    <w:rsid w:val="00CA780B"/>
    <w:rsid w:val="00CB05F4"/>
    <w:rsid w:val="00CB675A"/>
    <w:rsid w:val="00CC2092"/>
    <w:rsid w:val="00CC4899"/>
    <w:rsid w:val="00CD0A7D"/>
    <w:rsid w:val="00CD3A5D"/>
    <w:rsid w:val="00CD5FD4"/>
    <w:rsid w:val="00CE0DCE"/>
    <w:rsid w:val="00CE33C1"/>
    <w:rsid w:val="00CE76FF"/>
    <w:rsid w:val="00CF066F"/>
    <w:rsid w:val="00D00894"/>
    <w:rsid w:val="00D0310D"/>
    <w:rsid w:val="00D05C7C"/>
    <w:rsid w:val="00D07742"/>
    <w:rsid w:val="00D11557"/>
    <w:rsid w:val="00D147D5"/>
    <w:rsid w:val="00D14DB7"/>
    <w:rsid w:val="00D15ED5"/>
    <w:rsid w:val="00D26AE1"/>
    <w:rsid w:val="00D31114"/>
    <w:rsid w:val="00D348F7"/>
    <w:rsid w:val="00D40BC3"/>
    <w:rsid w:val="00D434EC"/>
    <w:rsid w:val="00D44E9D"/>
    <w:rsid w:val="00D472A7"/>
    <w:rsid w:val="00D476B5"/>
    <w:rsid w:val="00D476DA"/>
    <w:rsid w:val="00D51853"/>
    <w:rsid w:val="00D82D10"/>
    <w:rsid w:val="00D84B17"/>
    <w:rsid w:val="00D8507D"/>
    <w:rsid w:val="00D86622"/>
    <w:rsid w:val="00D90C9D"/>
    <w:rsid w:val="00D91910"/>
    <w:rsid w:val="00D91AA8"/>
    <w:rsid w:val="00D944A6"/>
    <w:rsid w:val="00D964FC"/>
    <w:rsid w:val="00D969C4"/>
    <w:rsid w:val="00D96FC3"/>
    <w:rsid w:val="00D97378"/>
    <w:rsid w:val="00DA0E0D"/>
    <w:rsid w:val="00DA495D"/>
    <w:rsid w:val="00DA7BA0"/>
    <w:rsid w:val="00DB429F"/>
    <w:rsid w:val="00DB52C3"/>
    <w:rsid w:val="00DB5DA3"/>
    <w:rsid w:val="00DC10B0"/>
    <w:rsid w:val="00DC1594"/>
    <w:rsid w:val="00DC45F5"/>
    <w:rsid w:val="00DC4BCD"/>
    <w:rsid w:val="00DD07A3"/>
    <w:rsid w:val="00DD178F"/>
    <w:rsid w:val="00DD3E76"/>
    <w:rsid w:val="00DE24EC"/>
    <w:rsid w:val="00DE4107"/>
    <w:rsid w:val="00DE6FF0"/>
    <w:rsid w:val="00DE7431"/>
    <w:rsid w:val="00DE7B67"/>
    <w:rsid w:val="00DF0591"/>
    <w:rsid w:val="00DF0ED5"/>
    <w:rsid w:val="00DF5B3C"/>
    <w:rsid w:val="00DF5CF1"/>
    <w:rsid w:val="00DF72D9"/>
    <w:rsid w:val="00DF7EC8"/>
    <w:rsid w:val="00E028ED"/>
    <w:rsid w:val="00E05C48"/>
    <w:rsid w:val="00E104F6"/>
    <w:rsid w:val="00E10748"/>
    <w:rsid w:val="00E10E63"/>
    <w:rsid w:val="00E12F57"/>
    <w:rsid w:val="00E152D8"/>
    <w:rsid w:val="00E168F5"/>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2E3B"/>
    <w:rsid w:val="00E72348"/>
    <w:rsid w:val="00E73254"/>
    <w:rsid w:val="00E75E8B"/>
    <w:rsid w:val="00E76A71"/>
    <w:rsid w:val="00E8155D"/>
    <w:rsid w:val="00EA0E04"/>
    <w:rsid w:val="00EA1DFB"/>
    <w:rsid w:val="00EA220D"/>
    <w:rsid w:val="00EA2F58"/>
    <w:rsid w:val="00EA31FB"/>
    <w:rsid w:val="00EA5D2C"/>
    <w:rsid w:val="00EA5D8E"/>
    <w:rsid w:val="00EB31B1"/>
    <w:rsid w:val="00EB3B88"/>
    <w:rsid w:val="00EC261B"/>
    <w:rsid w:val="00EC5CA0"/>
    <w:rsid w:val="00EC60A0"/>
    <w:rsid w:val="00EC7372"/>
    <w:rsid w:val="00ED30E8"/>
    <w:rsid w:val="00ED3378"/>
    <w:rsid w:val="00EE32D5"/>
    <w:rsid w:val="00EE73C5"/>
    <w:rsid w:val="00EF1884"/>
    <w:rsid w:val="00EF267F"/>
    <w:rsid w:val="00EF349A"/>
    <w:rsid w:val="00EF4A64"/>
    <w:rsid w:val="00EF668C"/>
    <w:rsid w:val="00F02171"/>
    <w:rsid w:val="00F033EF"/>
    <w:rsid w:val="00F038F3"/>
    <w:rsid w:val="00F11389"/>
    <w:rsid w:val="00F11AB3"/>
    <w:rsid w:val="00F35243"/>
    <w:rsid w:val="00F43E6E"/>
    <w:rsid w:val="00F44423"/>
    <w:rsid w:val="00F50BB4"/>
    <w:rsid w:val="00F51236"/>
    <w:rsid w:val="00F53751"/>
    <w:rsid w:val="00F541B8"/>
    <w:rsid w:val="00F56CC2"/>
    <w:rsid w:val="00F61B76"/>
    <w:rsid w:val="00F628D3"/>
    <w:rsid w:val="00F6497E"/>
    <w:rsid w:val="00F677E2"/>
    <w:rsid w:val="00F72BF9"/>
    <w:rsid w:val="00F738AE"/>
    <w:rsid w:val="00F75EAD"/>
    <w:rsid w:val="00F7651D"/>
    <w:rsid w:val="00F77154"/>
    <w:rsid w:val="00F80F33"/>
    <w:rsid w:val="00F9173A"/>
    <w:rsid w:val="00F9650A"/>
    <w:rsid w:val="00F967C7"/>
    <w:rsid w:val="00FA0037"/>
    <w:rsid w:val="00FA0437"/>
    <w:rsid w:val="00FA0E91"/>
    <w:rsid w:val="00FA233F"/>
    <w:rsid w:val="00FA2E05"/>
    <w:rsid w:val="00FA7D57"/>
    <w:rsid w:val="00FB0008"/>
    <w:rsid w:val="00FB071C"/>
    <w:rsid w:val="00FB09D6"/>
    <w:rsid w:val="00FB236C"/>
    <w:rsid w:val="00FB60C5"/>
    <w:rsid w:val="00FB7DDC"/>
    <w:rsid w:val="00FC2209"/>
    <w:rsid w:val="00FC7531"/>
    <w:rsid w:val="00FC7EAA"/>
    <w:rsid w:val="00FD4FA5"/>
    <w:rsid w:val="00FE1DE2"/>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56927"/>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873268233">
          <w:marLeft w:val="0"/>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 w:id="114184103">
          <w:marLeft w:val="0"/>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ADA2-14F8-4D1E-9DB0-E04576A8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7374</Words>
  <Characters>40563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6</cp:revision>
  <cp:lastPrinted>2018-11-06T23:10:00Z</cp:lastPrinted>
  <dcterms:created xsi:type="dcterms:W3CDTF">2018-10-31T22:30:00Z</dcterms:created>
  <dcterms:modified xsi:type="dcterms:W3CDTF">2018-11-29T01:49:00Z</dcterms:modified>
</cp:coreProperties>
</file>