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961771" w:rsidTr="00806E45">
        <w:trPr>
          <w:trHeight w:val="144"/>
        </w:trPr>
        <w:tc>
          <w:tcPr>
            <w:tcW w:w="2869" w:type="dxa"/>
          </w:tcPr>
          <w:p w:rsidR="00264223" w:rsidRPr="00961771" w:rsidRDefault="00264223" w:rsidP="00590CCB">
            <w:pPr>
              <w:tabs>
                <w:tab w:val="right" w:pos="8838"/>
              </w:tabs>
              <w:spacing w:line="276" w:lineRule="auto"/>
              <w:ind w:right="-105"/>
              <w:rPr>
                <w:rFonts w:ascii="Tahoma" w:eastAsia="Calibri" w:hAnsi="Tahoma" w:cs="Tahoma"/>
                <w:b/>
                <w:sz w:val="22"/>
                <w:szCs w:val="22"/>
                <w:lang w:val="es-MX" w:eastAsia="en-US"/>
              </w:rPr>
            </w:pPr>
            <w:r w:rsidRPr="00961771">
              <w:rPr>
                <w:rFonts w:ascii="Tahoma" w:eastAsia="Calibri" w:hAnsi="Tahoma" w:cs="Tahoma"/>
                <w:b/>
                <w:sz w:val="22"/>
                <w:szCs w:val="22"/>
                <w:lang w:val="es-MX" w:eastAsia="en-US"/>
              </w:rPr>
              <w:t>Recurso de Revisión:</w:t>
            </w:r>
          </w:p>
        </w:tc>
        <w:tc>
          <w:tcPr>
            <w:tcW w:w="3085" w:type="dxa"/>
          </w:tcPr>
          <w:p w:rsidR="00264223" w:rsidRPr="00961771" w:rsidRDefault="00806E45" w:rsidP="00590CCB">
            <w:pPr>
              <w:tabs>
                <w:tab w:val="right" w:pos="8838"/>
              </w:tabs>
              <w:spacing w:line="276" w:lineRule="auto"/>
              <w:ind w:left="-28" w:right="171"/>
              <w:jc w:val="both"/>
              <w:rPr>
                <w:rFonts w:ascii="Tahoma" w:eastAsia="Calibri" w:hAnsi="Tahoma" w:cs="Tahoma"/>
                <w:bCs/>
                <w:sz w:val="22"/>
                <w:szCs w:val="22"/>
                <w:lang w:eastAsia="en-US"/>
              </w:rPr>
            </w:pPr>
            <w:r w:rsidRPr="00961771">
              <w:rPr>
                <w:rFonts w:ascii="Tahoma" w:eastAsia="Calibri" w:hAnsi="Tahoma" w:cs="Tahoma"/>
                <w:bCs/>
                <w:sz w:val="22"/>
                <w:szCs w:val="22"/>
                <w:lang w:eastAsia="en-US"/>
              </w:rPr>
              <w:t>03461</w:t>
            </w:r>
            <w:r w:rsidR="00264223" w:rsidRPr="00961771">
              <w:rPr>
                <w:rFonts w:ascii="Tahoma" w:eastAsia="Calibri" w:hAnsi="Tahoma" w:cs="Tahoma"/>
                <w:bCs/>
                <w:sz w:val="22"/>
                <w:szCs w:val="22"/>
                <w:lang w:eastAsia="en-US"/>
              </w:rPr>
              <w:t>/INFOEM/IP/RR/2018</w:t>
            </w:r>
          </w:p>
        </w:tc>
      </w:tr>
      <w:tr w:rsidR="00264223" w:rsidRPr="00961771" w:rsidTr="00806E45">
        <w:trPr>
          <w:trHeight w:val="144"/>
        </w:trPr>
        <w:tc>
          <w:tcPr>
            <w:tcW w:w="2869" w:type="dxa"/>
          </w:tcPr>
          <w:p w:rsidR="00264223" w:rsidRPr="00961771" w:rsidRDefault="00F1442D" w:rsidP="00590CCB">
            <w:pPr>
              <w:tabs>
                <w:tab w:val="right" w:pos="8838"/>
              </w:tabs>
              <w:spacing w:line="276" w:lineRule="auto"/>
              <w:ind w:right="-105"/>
              <w:rPr>
                <w:rFonts w:ascii="Tahoma" w:eastAsia="Calibri" w:hAnsi="Tahoma" w:cs="Tahoma"/>
                <w:b/>
                <w:sz w:val="22"/>
                <w:szCs w:val="22"/>
                <w:lang w:val="es-MX" w:eastAsia="en-US"/>
              </w:rPr>
            </w:pPr>
            <w:r>
              <w:rPr>
                <w:rFonts w:ascii="Tahoma" w:eastAsia="Calibri" w:hAnsi="Tahoma" w:cs="Tahoma"/>
                <w:b/>
                <w:sz w:val="22"/>
                <w:szCs w:val="22"/>
                <w:lang w:val="es-MX" w:eastAsia="en-US"/>
              </w:rPr>
              <w:t>Recurrente</w:t>
            </w:r>
            <w:r w:rsidR="00264223" w:rsidRPr="00961771">
              <w:rPr>
                <w:rFonts w:ascii="Tahoma" w:eastAsia="Calibri" w:hAnsi="Tahoma" w:cs="Tahoma"/>
                <w:b/>
                <w:sz w:val="22"/>
                <w:szCs w:val="22"/>
                <w:lang w:val="es-MX" w:eastAsia="en-US"/>
              </w:rPr>
              <w:t>:</w:t>
            </w:r>
          </w:p>
        </w:tc>
        <w:tc>
          <w:tcPr>
            <w:tcW w:w="3085" w:type="dxa"/>
          </w:tcPr>
          <w:p w:rsidR="00264223" w:rsidRPr="00961771" w:rsidRDefault="00DB72B1" w:rsidP="00590CCB">
            <w:pPr>
              <w:tabs>
                <w:tab w:val="right" w:pos="8838"/>
              </w:tabs>
              <w:spacing w:line="276" w:lineRule="auto"/>
              <w:ind w:right="171"/>
              <w:jc w:val="both"/>
              <w:rPr>
                <w:rFonts w:ascii="Tahoma" w:eastAsia="Calibri" w:hAnsi="Tahoma" w:cs="Tahoma"/>
                <w:sz w:val="22"/>
                <w:szCs w:val="22"/>
                <w:lang w:val="es-MX" w:eastAsia="en-US"/>
              </w:rPr>
            </w:pPr>
            <w:r>
              <w:rPr>
                <w:rFonts w:ascii="Palatino Linotype" w:hAnsi="Palatino Linotype" w:cs="Tahoma"/>
                <w:bCs/>
                <w:color w:val="0D0D0D" w:themeColor="text1" w:themeTint="F2"/>
                <w:sz w:val="22"/>
                <w:szCs w:val="24"/>
                <w:highlight w:val="black"/>
              </w:rPr>
              <w:t>XXXXXXX</w:t>
            </w:r>
            <w:r>
              <w:rPr>
                <w:rFonts w:ascii="Palatino Linotype" w:hAnsi="Palatino Linotype" w:cs="Tahoma"/>
                <w:bCs/>
                <w:color w:val="0D0D0D" w:themeColor="text1" w:themeTint="F2"/>
                <w:sz w:val="22"/>
                <w:szCs w:val="24"/>
                <w:highlight w:val="black"/>
              </w:rPr>
              <w:t>X</w:t>
            </w:r>
          </w:p>
        </w:tc>
      </w:tr>
      <w:tr w:rsidR="00264223" w:rsidRPr="00961771" w:rsidTr="00806E45">
        <w:trPr>
          <w:trHeight w:val="283"/>
        </w:trPr>
        <w:tc>
          <w:tcPr>
            <w:tcW w:w="2869" w:type="dxa"/>
          </w:tcPr>
          <w:p w:rsidR="00264223" w:rsidRPr="00961771" w:rsidRDefault="00F1442D" w:rsidP="00590CCB">
            <w:pPr>
              <w:tabs>
                <w:tab w:val="right" w:pos="8838"/>
              </w:tabs>
              <w:spacing w:line="276" w:lineRule="auto"/>
              <w:ind w:right="-105"/>
              <w:rPr>
                <w:rFonts w:ascii="Tahoma" w:eastAsia="Calibri" w:hAnsi="Tahoma" w:cs="Tahoma"/>
                <w:b/>
                <w:sz w:val="22"/>
                <w:szCs w:val="22"/>
                <w:lang w:val="es-MX" w:eastAsia="en-US"/>
              </w:rPr>
            </w:pPr>
            <w:r>
              <w:rPr>
                <w:rFonts w:ascii="Tahoma" w:eastAsia="Calibri" w:hAnsi="Tahoma" w:cs="Tahoma"/>
                <w:b/>
                <w:sz w:val="22"/>
                <w:szCs w:val="22"/>
                <w:lang w:val="es-MX" w:eastAsia="en-US"/>
              </w:rPr>
              <w:t>Sujeto Obligado</w:t>
            </w:r>
            <w:r w:rsidR="00264223" w:rsidRPr="00961771">
              <w:rPr>
                <w:rFonts w:ascii="Tahoma" w:eastAsia="Calibri" w:hAnsi="Tahoma" w:cs="Tahoma"/>
                <w:b/>
                <w:sz w:val="22"/>
                <w:szCs w:val="22"/>
                <w:lang w:val="es-MX" w:eastAsia="en-US"/>
              </w:rPr>
              <w:t>:</w:t>
            </w:r>
          </w:p>
        </w:tc>
        <w:tc>
          <w:tcPr>
            <w:tcW w:w="3085" w:type="dxa"/>
          </w:tcPr>
          <w:p w:rsidR="00264223" w:rsidRPr="00961771" w:rsidRDefault="00806E45" w:rsidP="00590CCB">
            <w:pPr>
              <w:tabs>
                <w:tab w:val="left" w:pos="2834"/>
                <w:tab w:val="right" w:pos="8838"/>
              </w:tabs>
              <w:spacing w:line="276" w:lineRule="auto"/>
              <w:ind w:right="171"/>
              <w:jc w:val="both"/>
              <w:rPr>
                <w:rFonts w:ascii="Tahoma" w:eastAsia="Calibri" w:hAnsi="Tahoma" w:cs="Tahoma"/>
                <w:b/>
                <w:sz w:val="22"/>
                <w:szCs w:val="22"/>
                <w:lang w:val="es-MX" w:eastAsia="en-US"/>
              </w:rPr>
            </w:pPr>
            <w:r w:rsidRPr="00961771">
              <w:rPr>
                <w:rFonts w:ascii="Tahoma" w:eastAsia="Calibri" w:hAnsi="Tahoma" w:cs="Tahoma"/>
                <w:sz w:val="22"/>
                <w:szCs w:val="22"/>
                <w:lang w:val="es-MX" w:eastAsia="en-US"/>
              </w:rPr>
              <w:t>Ayuntamiento de Cuautitlán Izcalli</w:t>
            </w:r>
          </w:p>
        </w:tc>
      </w:tr>
      <w:tr w:rsidR="00264223" w:rsidRPr="00961771" w:rsidTr="00806E45">
        <w:trPr>
          <w:trHeight w:val="283"/>
        </w:trPr>
        <w:tc>
          <w:tcPr>
            <w:tcW w:w="2869" w:type="dxa"/>
          </w:tcPr>
          <w:p w:rsidR="00264223" w:rsidRPr="00961771" w:rsidRDefault="00264223" w:rsidP="00590CCB">
            <w:pPr>
              <w:tabs>
                <w:tab w:val="right" w:pos="8838"/>
              </w:tabs>
              <w:spacing w:line="276" w:lineRule="auto"/>
              <w:ind w:right="-105"/>
              <w:rPr>
                <w:rFonts w:ascii="Tahoma" w:eastAsia="Calibri" w:hAnsi="Tahoma" w:cs="Tahoma"/>
                <w:b/>
                <w:sz w:val="22"/>
                <w:szCs w:val="22"/>
                <w:lang w:val="es-MX" w:eastAsia="en-US"/>
              </w:rPr>
            </w:pPr>
            <w:r w:rsidRPr="00961771">
              <w:rPr>
                <w:rFonts w:ascii="Tahoma" w:eastAsia="Calibri" w:hAnsi="Tahoma" w:cs="Tahoma"/>
                <w:b/>
                <w:sz w:val="22"/>
                <w:szCs w:val="22"/>
                <w:lang w:val="es-MX" w:eastAsia="en-US"/>
              </w:rPr>
              <w:t>Comisionado Ponente:</w:t>
            </w:r>
          </w:p>
        </w:tc>
        <w:tc>
          <w:tcPr>
            <w:tcW w:w="3085" w:type="dxa"/>
          </w:tcPr>
          <w:p w:rsidR="00264223" w:rsidRPr="00961771" w:rsidRDefault="00264223" w:rsidP="00590CCB">
            <w:pPr>
              <w:tabs>
                <w:tab w:val="right" w:pos="8838"/>
              </w:tabs>
              <w:spacing w:line="276" w:lineRule="auto"/>
              <w:ind w:right="171"/>
              <w:jc w:val="both"/>
              <w:rPr>
                <w:rFonts w:ascii="Tahoma" w:eastAsia="Calibri" w:hAnsi="Tahoma" w:cs="Tahoma"/>
                <w:b/>
                <w:sz w:val="22"/>
                <w:szCs w:val="22"/>
                <w:lang w:val="es-MX" w:eastAsia="en-US"/>
              </w:rPr>
            </w:pPr>
            <w:r w:rsidRPr="00961771">
              <w:rPr>
                <w:rFonts w:ascii="Tahoma" w:eastAsia="Calibri" w:hAnsi="Tahoma" w:cs="Tahoma"/>
                <w:sz w:val="22"/>
                <w:szCs w:val="22"/>
                <w:lang w:val="es-MX" w:eastAsia="en-US"/>
              </w:rPr>
              <w:t>Luis Gustavo Parra Noriega</w:t>
            </w:r>
          </w:p>
        </w:tc>
      </w:tr>
    </w:tbl>
    <w:p w:rsidR="00806E45" w:rsidRPr="00961771" w:rsidRDefault="00806E45" w:rsidP="00590CCB">
      <w:pPr>
        <w:spacing w:line="276" w:lineRule="auto"/>
        <w:jc w:val="both"/>
        <w:rPr>
          <w:rFonts w:ascii="Palatino Linotype" w:hAnsi="Palatino Linotype" w:cs="Tahoma"/>
          <w:bCs/>
          <w:sz w:val="22"/>
          <w:szCs w:val="22"/>
        </w:rPr>
      </w:pPr>
    </w:p>
    <w:p w:rsidR="0074285B" w:rsidRPr="00961771" w:rsidRDefault="00D22B6A" w:rsidP="00590CCB">
      <w:pPr>
        <w:spacing w:line="276" w:lineRule="auto"/>
        <w:jc w:val="both"/>
        <w:rPr>
          <w:rFonts w:ascii="Palatino Linotype" w:hAnsi="Palatino Linotype" w:cs="Tahoma"/>
          <w:bCs/>
          <w:sz w:val="22"/>
          <w:szCs w:val="22"/>
        </w:rPr>
      </w:pPr>
      <w:r w:rsidRPr="0096177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92EF8" w:rsidRPr="00961771">
        <w:rPr>
          <w:rFonts w:ascii="Palatino Linotype" w:hAnsi="Palatino Linotype" w:cs="Tahoma"/>
          <w:bCs/>
          <w:sz w:val="22"/>
          <w:szCs w:val="22"/>
        </w:rPr>
        <w:t>treinta y uno</w:t>
      </w:r>
      <w:r w:rsidRPr="00961771">
        <w:rPr>
          <w:rFonts w:ascii="Palatino Linotype" w:hAnsi="Palatino Linotype" w:cs="Tahoma"/>
          <w:bCs/>
          <w:sz w:val="22"/>
          <w:szCs w:val="22"/>
        </w:rPr>
        <w:t xml:space="preserve"> </w:t>
      </w:r>
      <w:r w:rsidR="00492DCA" w:rsidRPr="00961771">
        <w:rPr>
          <w:rFonts w:ascii="Palatino Linotype" w:hAnsi="Palatino Linotype" w:cs="Tahoma"/>
          <w:bCs/>
          <w:sz w:val="22"/>
          <w:szCs w:val="22"/>
        </w:rPr>
        <w:t xml:space="preserve">de </w:t>
      </w:r>
      <w:r w:rsidRPr="00961771">
        <w:rPr>
          <w:rFonts w:ascii="Palatino Linotype" w:hAnsi="Palatino Linotype" w:cs="Tahoma"/>
          <w:bCs/>
          <w:sz w:val="22"/>
          <w:szCs w:val="22"/>
        </w:rPr>
        <w:t>octubre de dos mil dieciocho.</w:t>
      </w:r>
    </w:p>
    <w:p w:rsidR="00492DCA" w:rsidRPr="00961771" w:rsidRDefault="00492DCA" w:rsidP="00590CCB">
      <w:pPr>
        <w:spacing w:line="276" w:lineRule="auto"/>
        <w:jc w:val="both"/>
        <w:rPr>
          <w:rFonts w:ascii="Palatino Linotype" w:hAnsi="Palatino Linotype"/>
          <w:noProof/>
          <w:sz w:val="22"/>
          <w:szCs w:val="22"/>
          <w:lang w:val="es-ES"/>
        </w:rPr>
      </w:pPr>
    </w:p>
    <w:p w:rsidR="00806E45" w:rsidRPr="00961771" w:rsidRDefault="00D9652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t>VISTO</w:t>
      </w:r>
      <w:r w:rsidR="00806E45" w:rsidRPr="00961771">
        <w:rPr>
          <w:rFonts w:ascii="Palatino Linotype" w:eastAsia="Calibri" w:hAnsi="Palatino Linotype" w:cs="Tahoma"/>
          <w:bCs/>
          <w:sz w:val="22"/>
          <w:szCs w:val="22"/>
          <w:lang w:val="es-ES" w:eastAsia="en-US"/>
        </w:rPr>
        <w:t xml:space="preserve"> el expediente conformado con motivo del Recurso de Revisión </w:t>
      </w:r>
      <w:r w:rsidR="00806E45" w:rsidRPr="00961771">
        <w:rPr>
          <w:rFonts w:ascii="Palatino Linotype" w:eastAsia="Calibri" w:hAnsi="Palatino Linotype" w:cs="Tahoma"/>
          <w:b/>
          <w:bCs/>
          <w:sz w:val="22"/>
          <w:szCs w:val="22"/>
          <w:lang w:val="es-ES" w:eastAsia="en-US"/>
        </w:rPr>
        <w:t>03461/INFOEM/IP/RR/2018</w:t>
      </w:r>
      <w:r w:rsidR="00806E45" w:rsidRPr="00961771">
        <w:rPr>
          <w:rFonts w:ascii="Palatino Linotype" w:eastAsia="Calibri" w:hAnsi="Palatino Linotype" w:cs="Tahoma"/>
          <w:bCs/>
          <w:sz w:val="22"/>
          <w:szCs w:val="22"/>
          <w:lang w:val="es-ES" w:eastAsia="en-US"/>
        </w:rPr>
        <w:t xml:space="preserve">, interpuesto por </w:t>
      </w:r>
      <w:r w:rsidR="00DB72B1">
        <w:rPr>
          <w:rFonts w:ascii="Palatino Linotype" w:hAnsi="Palatino Linotype" w:cs="Tahoma"/>
          <w:bCs/>
          <w:color w:val="0D0D0D" w:themeColor="text1" w:themeTint="F2"/>
          <w:sz w:val="22"/>
          <w:szCs w:val="24"/>
        </w:rPr>
        <w:t xml:space="preserve"> </w:t>
      </w:r>
      <w:r w:rsidR="00DB72B1">
        <w:rPr>
          <w:rFonts w:ascii="Palatino Linotype" w:hAnsi="Palatino Linotype" w:cs="Tahoma"/>
          <w:bCs/>
          <w:color w:val="0D0D0D" w:themeColor="text1" w:themeTint="F2"/>
          <w:sz w:val="22"/>
          <w:szCs w:val="24"/>
          <w:highlight w:val="black"/>
        </w:rPr>
        <w:t>XXXXXXXX</w:t>
      </w:r>
      <w:r w:rsidR="00DB72B1">
        <w:rPr>
          <w:rFonts w:ascii="Palatino Linotype" w:hAnsi="Palatino Linotype" w:cs="Tahoma"/>
          <w:bCs/>
          <w:color w:val="0D0D0D" w:themeColor="text1" w:themeTint="F2"/>
          <w:sz w:val="22"/>
          <w:szCs w:val="24"/>
          <w:highlight w:val="black"/>
        </w:rPr>
        <w:t>XXX</w:t>
      </w:r>
      <w:r w:rsidR="00DB72B1">
        <w:rPr>
          <w:rFonts w:ascii="Palatino Linotype" w:hAnsi="Palatino Linotype" w:cs="Tahoma"/>
          <w:bCs/>
          <w:color w:val="0D0D0D" w:themeColor="text1" w:themeTint="F2"/>
          <w:sz w:val="22"/>
          <w:szCs w:val="24"/>
        </w:rPr>
        <w:t xml:space="preserve"> </w:t>
      </w:r>
      <w:r w:rsidRPr="00961771">
        <w:rPr>
          <w:rFonts w:ascii="Palatino Linotype" w:eastAsia="Calibri" w:hAnsi="Palatino Linotype" w:cs="Tahoma"/>
          <w:bCs/>
          <w:sz w:val="22"/>
          <w:szCs w:val="22"/>
          <w:lang w:val="es-ES" w:eastAsia="en-US"/>
        </w:rPr>
        <w:t xml:space="preserve">en lo sucesivo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xml:space="preserve"> o particular, </w:t>
      </w:r>
      <w:r w:rsidR="00806E45" w:rsidRPr="00961771">
        <w:rPr>
          <w:rFonts w:ascii="Palatino Linotype" w:eastAsia="Calibri" w:hAnsi="Palatino Linotype" w:cs="Tahoma"/>
          <w:bCs/>
          <w:sz w:val="22"/>
          <w:szCs w:val="22"/>
          <w:lang w:val="es-ES" w:eastAsia="en-US"/>
        </w:rPr>
        <w:t>en contra de la respuesta otorgada por el</w:t>
      </w:r>
      <w:r w:rsidR="00545FBC">
        <w:rPr>
          <w:rFonts w:ascii="Palatino Linotype" w:eastAsia="Calibri" w:hAnsi="Palatino Linotype" w:cs="Tahoma"/>
          <w:bCs/>
          <w:sz w:val="22"/>
          <w:szCs w:val="22"/>
          <w:lang w:val="es-ES" w:eastAsia="en-US"/>
        </w:rPr>
        <w:t xml:space="preserve"> Sujeto Obligado</w:t>
      </w:r>
      <w:r w:rsidR="00806E45" w:rsidRPr="00961771">
        <w:rPr>
          <w:rFonts w:ascii="Palatino Linotype" w:eastAsia="Calibri" w:hAnsi="Palatino Linotype" w:cs="Tahoma"/>
          <w:bCs/>
          <w:sz w:val="22"/>
          <w:szCs w:val="22"/>
          <w:lang w:val="es-ES" w:eastAsia="en-US"/>
        </w:rPr>
        <w:t xml:space="preserve"> </w:t>
      </w:r>
      <w:r w:rsidR="00806E45" w:rsidRPr="00961771">
        <w:rPr>
          <w:rFonts w:ascii="Palatino Linotype" w:eastAsia="Calibri" w:hAnsi="Palatino Linotype" w:cs="Tahoma"/>
          <w:b/>
          <w:bCs/>
          <w:sz w:val="22"/>
          <w:szCs w:val="22"/>
          <w:lang w:val="es-ES" w:eastAsia="en-US"/>
        </w:rPr>
        <w:t>Ayuntamiento de Cuautitlán Izcalli</w:t>
      </w:r>
      <w:r w:rsidR="00806E45" w:rsidRPr="00961771">
        <w:rPr>
          <w:rFonts w:ascii="Palatino Linotype" w:eastAsia="Calibri" w:hAnsi="Palatino Linotype" w:cs="Tahoma"/>
          <w:bCs/>
          <w:sz w:val="22"/>
          <w:szCs w:val="22"/>
          <w:lang w:val="es-ES" w:eastAsia="en-US"/>
        </w:rPr>
        <w:t xml:space="preserve">, a la solicitud de acceso a la información pública con número de folio </w:t>
      </w:r>
      <w:r w:rsidR="00806E45" w:rsidRPr="00961771">
        <w:rPr>
          <w:rFonts w:ascii="Palatino Linotype" w:eastAsia="Calibri" w:hAnsi="Palatino Linotype" w:cs="Tahoma"/>
          <w:b/>
          <w:bCs/>
          <w:sz w:val="22"/>
          <w:szCs w:val="22"/>
          <w:lang w:val="es-ES" w:eastAsia="en-US"/>
        </w:rPr>
        <w:t>00271/CUAUTIZC/IP/2018</w:t>
      </w:r>
      <w:r w:rsidR="00806E45" w:rsidRPr="00961771">
        <w:rPr>
          <w:rFonts w:ascii="Palatino Linotype" w:eastAsia="Calibri" w:hAnsi="Palatino Linotype" w:cs="Tahoma"/>
          <w:bCs/>
          <w:sz w:val="22"/>
          <w:szCs w:val="22"/>
          <w:lang w:val="es-ES" w:eastAsia="en-US"/>
        </w:rPr>
        <w:t>, se emite la presente Resolució</w:t>
      </w:r>
      <w:bookmarkStart w:id="0" w:name="_GoBack"/>
      <w:bookmarkEnd w:id="0"/>
      <w:r w:rsidR="00806E45" w:rsidRPr="00961771">
        <w:rPr>
          <w:rFonts w:ascii="Palatino Linotype" w:eastAsia="Calibri" w:hAnsi="Palatino Linotype" w:cs="Tahoma"/>
          <w:bCs/>
          <w:sz w:val="22"/>
          <w:szCs w:val="22"/>
          <w:lang w:val="es-ES" w:eastAsia="en-US"/>
        </w:rPr>
        <w:t>n, con base en los Antecedentes y Consideraciones que a continuación se exponen:</w:t>
      </w:r>
    </w:p>
    <w:p w:rsidR="00806E45" w:rsidRPr="00961771" w:rsidRDefault="00806E45" w:rsidP="00590CCB">
      <w:pPr>
        <w:spacing w:line="276" w:lineRule="auto"/>
        <w:ind w:right="-93"/>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ind w:right="-93"/>
        <w:jc w:val="center"/>
        <w:rPr>
          <w:rFonts w:ascii="Palatino Linotype" w:eastAsia="Calibri" w:hAnsi="Palatino Linotype" w:cs="Tahoma"/>
          <w:b/>
          <w:bCs/>
          <w:sz w:val="22"/>
          <w:szCs w:val="22"/>
          <w:lang w:eastAsia="en-US"/>
        </w:rPr>
      </w:pPr>
      <w:r w:rsidRPr="00961771">
        <w:rPr>
          <w:rFonts w:ascii="Palatino Linotype" w:eastAsia="Calibri" w:hAnsi="Palatino Linotype" w:cs="Tahoma"/>
          <w:b/>
          <w:bCs/>
          <w:sz w:val="22"/>
          <w:szCs w:val="22"/>
          <w:lang w:eastAsia="en-US"/>
        </w:rPr>
        <w:t>ANTECEDENTES:</w:t>
      </w:r>
    </w:p>
    <w:p w:rsidR="00806E45" w:rsidRPr="00961771" w:rsidRDefault="00806E45" w:rsidP="00590CCB">
      <w:pPr>
        <w:spacing w:line="276" w:lineRule="auto"/>
        <w:ind w:right="-93"/>
        <w:jc w:val="both"/>
        <w:rPr>
          <w:rFonts w:ascii="Palatino Linotype" w:eastAsia="Calibri" w:hAnsi="Palatino Linotype" w:cs="Tahoma"/>
          <w:bCs/>
          <w:sz w:val="22"/>
          <w:szCs w:val="22"/>
          <w:lang w:eastAsia="en-US"/>
        </w:rPr>
      </w:pPr>
    </w:p>
    <w:p w:rsidR="00806E45" w:rsidRPr="00961771" w:rsidRDefault="00806E45" w:rsidP="00590CCB">
      <w:pPr>
        <w:spacing w:line="276" w:lineRule="auto"/>
        <w:jc w:val="both"/>
        <w:rPr>
          <w:rFonts w:ascii="Palatino Linotype" w:eastAsia="Calibri" w:hAnsi="Palatino Linotype" w:cs="Tahoma"/>
          <w:b/>
          <w:bCs/>
          <w:sz w:val="22"/>
          <w:szCs w:val="22"/>
          <w:lang w:eastAsia="en-US"/>
        </w:rPr>
      </w:pPr>
      <w:r w:rsidRPr="00961771">
        <w:rPr>
          <w:rFonts w:ascii="Palatino Linotype" w:eastAsia="Calibri" w:hAnsi="Palatino Linotype" w:cs="Tahoma"/>
          <w:b/>
          <w:bCs/>
          <w:sz w:val="22"/>
          <w:szCs w:val="22"/>
          <w:lang w:eastAsia="en-US"/>
        </w:rPr>
        <w:t xml:space="preserve">I. Presentación de la solicitud de información. </w:t>
      </w:r>
    </w:p>
    <w:p w:rsidR="00806E45" w:rsidRPr="00961771" w:rsidRDefault="00806E45" w:rsidP="00590CCB">
      <w:pPr>
        <w:spacing w:line="276" w:lineRule="auto"/>
        <w:jc w:val="both"/>
        <w:rPr>
          <w:rFonts w:ascii="Palatino Linotype" w:eastAsia="Calibri" w:hAnsi="Palatino Linotype" w:cs="Tahoma"/>
          <w:bCs/>
          <w:sz w:val="22"/>
          <w:szCs w:val="22"/>
          <w:lang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Cs/>
          <w:sz w:val="22"/>
          <w:szCs w:val="22"/>
          <w:lang w:eastAsia="en-US"/>
        </w:rPr>
        <w:t>Con fecha dieciséis de agosto de dos mil dieciocho, mediante el</w:t>
      </w:r>
      <w:r w:rsidRPr="00961771">
        <w:rPr>
          <w:rFonts w:ascii="Palatino Linotype" w:eastAsia="Calibri" w:hAnsi="Palatino Linotype" w:cs="Tahoma"/>
          <w:bCs/>
          <w:sz w:val="22"/>
          <w:szCs w:val="22"/>
          <w:lang w:val="es-ES" w:eastAsia="en-US"/>
        </w:rPr>
        <w:t xml:space="preserve"> Sistema de Acceso a la Información Mexiquense (SAIMEX), </w:t>
      </w:r>
      <w:r w:rsidRPr="00961771">
        <w:rPr>
          <w:rFonts w:ascii="Palatino Linotype" w:eastAsia="Calibri" w:hAnsi="Palatino Linotype" w:cs="Tahoma"/>
          <w:bCs/>
          <w:sz w:val="22"/>
          <w:szCs w:val="22"/>
          <w:lang w:eastAsia="en-US"/>
        </w:rPr>
        <w:t>el Particular presentó una solicitud de información pública, ante la Unidad de Transparencia del Ayuntamiento de Cuautitlán Izcalli, requiriendo lo siguiente:</w:t>
      </w:r>
    </w:p>
    <w:p w:rsidR="00806E45" w:rsidRPr="00961771" w:rsidRDefault="00806E45" w:rsidP="00590CCB">
      <w:pPr>
        <w:spacing w:line="276" w:lineRule="auto"/>
        <w:jc w:val="both"/>
        <w:rPr>
          <w:rFonts w:ascii="Palatino Linotype" w:eastAsia="Calibri" w:hAnsi="Palatino Linotype" w:cs="Tahoma"/>
          <w:bCs/>
          <w:sz w:val="22"/>
          <w:szCs w:val="22"/>
          <w:lang w:eastAsia="en-US"/>
        </w:rPr>
      </w:pPr>
    </w:p>
    <w:p w:rsidR="00806E45" w:rsidRPr="00961771" w:rsidRDefault="00806E45"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DESCRIPCIÓN CLARA Y PRECISA DE LA INFORMACIÓN SOLICITADA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 xml:space="preserve">SE SOLICITA INFORME, RESPECTO DEL INMUEBLE </w:t>
      </w:r>
      <w:r w:rsidR="0050763D" w:rsidRPr="00961771">
        <w:rPr>
          <w:rFonts w:ascii="Palatino Linotype" w:eastAsia="Calibri" w:hAnsi="Palatino Linotype" w:cs="Tahoma"/>
          <w:bCs/>
          <w:lang w:val="es-ES" w:eastAsia="en-US"/>
        </w:rPr>
        <w:t xml:space="preserve">UBICADO EN LA CALLE DENOMINADA </w:t>
      </w:r>
      <w:r w:rsidR="00026C8E" w:rsidRPr="00961771">
        <w:rPr>
          <w:rFonts w:ascii="Palatino Linotype" w:eastAsia="Calibri" w:hAnsi="Palatino Linotype" w:cs="Tahoma"/>
          <w:bCs/>
          <w:lang w:val="es-ES" w:eastAsia="en-US"/>
        </w:rPr>
        <w:t>[dirección del predio]</w:t>
      </w:r>
      <w:r w:rsidRPr="00961771">
        <w:rPr>
          <w:rFonts w:ascii="Palatino Linotype" w:eastAsia="Calibri" w:hAnsi="Palatino Linotype" w:cs="Tahoma"/>
          <w:bCs/>
          <w:lang w:val="es-ES" w:eastAsia="en-US"/>
        </w:rPr>
        <w:t>, LO SIGUIENTE: EL NÚMERO CIERTO Y COMPLETO DE REGISTRO DE PREDIAL. NOMBRE DE LA PERSONA A QUIEN ESTÁ REGISTRADO DICHO IMPUESTO SOBRE EL INMUEBLE. EXHIBA EN MEDIO MAGNÉTICO PARA DESCARGA POR PARTE DE ESTE SOLICITANTE, EL COMPROBANTE DEL ÚLTIMO PAGO REALIZADO, ASÍ COMO EL MONTO DEL MISMO, EN EL QUE REFLEJE EL BENEFICIO CAUSADO A LA HACIENDA PÚBLICA MUNICIPAL DEL AYUNTAMIENTO QUE REPRESENTA.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MODALIDAD DE ENTREGA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A través del SAIMEX</w:t>
      </w:r>
    </w:p>
    <w:p w:rsidR="00806E45" w:rsidRDefault="00806E45" w:rsidP="00590CCB">
      <w:pPr>
        <w:spacing w:line="276" w:lineRule="auto"/>
        <w:jc w:val="both"/>
        <w:rPr>
          <w:rFonts w:ascii="Palatino Linotype" w:eastAsia="Calibri" w:hAnsi="Palatino Linotype" w:cs="Tahoma"/>
          <w:bCs/>
          <w:sz w:val="22"/>
          <w:szCs w:val="22"/>
          <w:lang w:val="es-ES" w:eastAsia="en-US"/>
        </w:rPr>
      </w:pPr>
    </w:p>
    <w:p w:rsidR="002F6616" w:rsidRDefault="002F6616" w:rsidP="00590CCB">
      <w:pPr>
        <w:spacing w:line="276" w:lineRule="auto"/>
        <w:jc w:val="both"/>
        <w:rPr>
          <w:rFonts w:ascii="Palatino Linotype" w:eastAsia="Calibri" w:hAnsi="Palatino Linotype" w:cs="Tahoma"/>
          <w:bCs/>
          <w:sz w:val="22"/>
          <w:szCs w:val="22"/>
          <w:lang w:val="es-ES" w:eastAsia="en-US"/>
        </w:rPr>
      </w:pPr>
    </w:p>
    <w:p w:rsidR="002F6616" w:rsidRDefault="002F6616" w:rsidP="00590CCB">
      <w:pPr>
        <w:spacing w:line="276" w:lineRule="auto"/>
        <w:jc w:val="both"/>
        <w:rPr>
          <w:rFonts w:ascii="Palatino Linotype" w:eastAsia="Calibri" w:hAnsi="Palatino Linotype" w:cs="Tahoma"/>
          <w:bCs/>
          <w:sz w:val="22"/>
          <w:szCs w:val="22"/>
          <w:lang w:val="es-ES" w:eastAsia="en-US"/>
        </w:rPr>
      </w:pPr>
    </w:p>
    <w:p w:rsidR="005D1AB3" w:rsidRPr="00961771" w:rsidRDefault="005D1AB3"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
          <w:bCs/>
          <w:sz w:val="22"/>
          <w:szCs w:val="22"/>
          <w:lang w:eastAsia="en-US"/>
        </w:rPr>
      </w:pPr>
      <w:r w:rsidRPr="00961771">
        <w:rPr>
          <w:rFonts w:ascii="Palatino Linotype" w:eastAsia="Calibri" w:hAnsi="Palatino Linotype" w:cs="Tahoma"/>
          <w:b/>
          <w:bCs/>
          <w:sz w:val="22"/>
          <w:szCs w:val="22"/>
          <w:lang w:eastAsia="en-US"/>
        </w:rPr>
        <w:t xml:space="preserve">II. Prórroga del </w:t>
      </w:r>
      <w:r w:rsidR="00F1442D">
        <w:rPr>
          <w:rFonts w:ascii="Palatino Linotype" w:eastAsia="Calibri" w:hAnsi="Palatino Linotype" w:cs="Tahoma"/>
          <w:b/>
          <w:bCs/>
          <w:sz w:val="22"/>
          <w:szCs w:val="22"/>
          <w:lang w:eastAsia="en-US"/>
        </w:rPr>
        <w:t>Sujeto Obligado</w:t>
      </w:r>
      <w:r w:rsidRPr="00961771">
        <w:rPr>
          <w:rFonts w:ascii="Palatino Linotype" w:eastAsia="Calibri" w:hAnsi="Palatino Linotype" w:cs="Tahoma"/>
          <w:b/>
          <w:bCs/>
          <w:sz w:val="22"/>
          <w:szCs w:val="22"/>
          <w:lang w:eastAsia="en-US"/>
        </w:rPr>
        <w:t>.</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Con fecha seis de septiembre de dos mil dieciocho, mediante el Sistema de Acceso a la Información Mexiquense (SAIMEX), la Unidad de Transparencia del Ayuntamient</w:t>
      </w:r>
      <w:r w:rsidR="00CF443A">
        <w:rPr>
          <w:rFonts w:ascii="Palatino Linotype" w:eastAsia="Calibri" w:hAnsi="Palatino Linotype" w:cs="Tahoma"/>
          <w:bCs/>
          <w:sz w:val="22"/>
          <w:szCs w:val="22"/>
          <w:lang w:val="es-ES" w:eastAsia="en-US"/>
        </w:rPr>
        <w:t>o de Cuautitlán Izcalli notificó</w:t>
      </w:r>
      <w:r w:rsidRPr="00961771">
        <w:rPr>
          <w:rFonts w:ascii="Palatino Linotype" w:eastAsia="Calibri" w:hAnsi="Palatino Linotype" w:cs="Tahoma"/>
          <w:bCs/>
          <w:sz w:val="22"/>
          <w:szCs w:val="22"/>
          <w:lang w:val="es-ES" w:eastAsia="en-US"/>
        </w:rPr>
        <w:t xml:space="preserve"> al particular una prórroga para dar respuesta a su solicitud de acceso a la información, en </w:t>
      </w:r>
      <w:r w:rsidR="00443787" w:rsidRPr="00961771">
        <w:rPr>
          <w:rFonts w:ascii="Palatino Linotype" w:eastAsia="Calibri" w:hAnsi="Palatino Linotype" w:cs="Tahoma"/>
          <w:bCs/>
          <w:sz w:val="22"/>
          <w:szCs w:val="22"/>
          <w:lang w:val="es-ES" w:eastAsia="en-US"/>
        </w:rPr>
        <w:t xml:space="preserve">los </w:t>
      </w:r>
      <w:r w:rsidRPr="00961771">
        <w:rPr>
          <w:rFonts w:ascii="Palatino Linotype" w:eastAsia="Calibri" w:hAnsi="Palatino Linotype" w:cs="Tahoma"/>
          <w:bCs/>
          <w:sz w:val="22"/>
          <w:szCs w:val="22"/>
          <w:lang w:val="es-ES" w:eastAsia="en-US"/>
        </w:rPr>
        <w:t>términos</w:t>
      </w:r>
      <w:r w:rsidR="00443787" w:rsidRPr="00961771">
        <w:rPr>
          <w:rFonts w:ascii="Palatino Linotype" w:eastAsia="Calibri" w:hAnsi="Palatino Linotype" w:cs="Tahoma"/>
          <w:bCs/>
          <w:sz w:val="22"/>
          <w:szCs w:val="22"/>
          <w:lang w:val="es-ES" w:eastAsia="en-US"/>
        </w:rPr>
        <w:t xml:space="preserve"> siguientes:</w:t>
      </w:r>
    </w:p>
    <w:p w:rsidR="00443787" w:rsidRPr="00961771" w:rsidRDefault="00443787" w:rsidP="00590CCB">
      <w:pPr>
        <w:spacing w:line="276" w:lineRule="auto"/>
        <w:jc w:val="both"/>
        <w:rPr>
          <w:rFonts w:ascii="Palatino Linotype" w:eastAsia="Calibri" w:hAnsi="Palatino Linotype" w:cs="Tahoma"/>
          <w:bCs/>
          <w:sz w:val="22"/>
          <w:szCs w:val="22"/>
          <w:lang w:val="es-ES" w:eastAsia="en-US"/>
        </w:rPr>
      </w:pPr>
    </w:p>
    <w:p w:rsidR="00443787" w:rsidRPr="00961771" w:rsidRDefault="00443787"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43787" w:rsidRPr="00961771" w:rsidRDefault="00443787" w:rsidP="00590CCB">
      <w:pPr>
        <w:spacing w:line="276" w:lineRule="auto"/>
        <w:ind w:left="567" w:right="567"/>
        <w:jc w:val="both"/>
        <w:rPr>
          <w:rFonts w:ascii="Palatino Linotype" w:eastAsia="Calibri" w:hAnsi="Palatino Linotype" w:cs="Tahoma"/>
          <w:bCs/>
          <w:lang w:val="es-ES" w:eastAsia="en-US"/>
        </w:rPr>
      </w:pPr>
    </w:p>
    <w:p w:rsidR="00443787" w:rsidRPr="00961771" w:rsidRDefault="00443787"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 Con fundamento en los artículos 4, 23 fracción IV, 24 último párrafo,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ha sido prorrogado por 7 días en virtud de la siguiente razón; “En consecuencia, de concluir la búsqueda exhaustiva en los archivos de este Ayuntamiento de Cuautitlán Izcalli (</w:t>
      </w:r>
      <w:r w:rsidR="00F1442D">
        <w:rPr>
          <w:rFonts w:ascii="Palatino Linotype" w:eastAsia="Calibri" w:hAnsi="Palatino Linotype" w:cs="Tahoma"/>
          <w:bCs/>
          <w:lang w:val="es-ES" w:eastAsia="en-US"/>
        </w:rPr>
        <w:t>Sujeto Obligado</w:t>
      </w:r>
      <w:r w:rsidRPr="00961771">
        <w:rPr>
          <w:rFonts w:ascii="Palatino Linotype" w:eastAsia="Calibri" w:hAnsi="Palatino Linotype" w:cs="Tahoma"/>
          <w:bCs/>
          <w:lang w:val="es-ES" w:eastAsia="en-US"/>
        </w:rPr>
        <w:t>), de lo solicitado y para poder estar en condiciones de otorgar la contestación a su solicitud de forma completa, fundada y motivada se le hace de su conocimiento la ampliación de 7 días hábiles, lo anterior con fundamento en el artículo 163 segundo párrafo de la Ley de Transparencia y Acceso a la Información Pública del Estado de México y Municipios.”</w:t>
      </w:r>
      <w:r w:rsidRPr="00961771">
        <w:rPr>
          <w:rFonts w:ascii="Palatino Linotype" w:eastAsia="Calibri" w:hAnsi="Palatino Linotype" w:cs="Tahoma"/>
          <w:bCs/>
          <w:lang w:val="es-ES" w:eastAsia="en-US"/>
        </w:rPr>
        <w:tab/>
        <w:t>Por lo anteriormente expuesto y con fundamento en el artículo 53 fracción VI de la Ley de Transparencia y Acceso a la Información Pública del Estado de México y Municipios, pido se sirva tenerse por notificado en tiempo y forma la ampliación el término de su solicitud de información número 00271/CUAUTIZC/IP/2018.</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 xml:space="preserve">III. Respuesta del </w:t>
      </w:r>
      <w:r w:rsidR="00F1442D">
        <w:rPr>
          <w:rFonts w:ascii="Palatino Linotype" w:eastAsia="Calibri" w:hAnsi="Palatino Linotype" w:cs="Tahoma"/>
          <w:b/>
          <w:bCs/>
          <w:sz w:val="22"/>
          <w:szCs w:val="22"/>
          <w:lang w:val="es-ES" w:eastAsia="en-US"/>
        </w:rPr>
        <w:t>Sujeto Obligado</w:t>
      </w:r>
      <w:r w:rsidRPr="00961771">
        <w:rPr>
          <w:rFonts w:ascii="Palatino Linotype" w:eastAsia="Calibri" w:hAnsi="Palatino Linotype" w:cs="Tahoma"/>
          <w:b/>
          <w:bCs/>
          <w:sz w:val="22"/>
          <w:szCs w:val="22"/>
          <w:lang w:val="es-ES" w:eastAsia="en-US"/>
        </w:rPr>
        <w:t>.</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Con fecha diecisiete de septiembre de dos mil dieciocho, mediante el Sistema de Acceso a la Información Mexiquense (SAIMEX), la Unidad de Transparencia del Ayuntamiento de Cuautitlán Izcalli notificó al particular la respuesta a su solicitud de acceso a la información, en los términos siguientes: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Tesorería Municipal 1.- “En atención a su solicitud con folio 00271/CUAUTIZC/IP/2018 y cumpliendo con el requerimiento en el portal de transparencia y acceso a la información pública donde solicita la siguiente información: </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center"/>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[Téngase por reproducida la solicitud de acceso a la información pública]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Con fundamento en lo dispuesto por el artículo 12 Párrafo Primero de la Ley de Transparencia y Acceso a la Información Pública del Estado de México y Municipios, que a la letra dice: requiera y que obre en sus archivos y en el estado en que ésta se encuentre. La obligación de proporcionar información no comprende el procesamiento de la misma, ni el presentarla al interés del solicitante; no estarán obligados a generarla, resumirla, efectuar cálculos o practicar investigaciones.” Artículo 24 Fracción XXV de la Ley de Transparencia y Acceso a la Información Pública del Estado de México y Municipios; y que a la letra dice: “Las demás que se establezcan en la presente Ley y normatividad aplicable en la materia. En la administración, gestión y custodia de los archivos de información pública, los sujetos obligados, los servidores públicos habilitados y los servidores públicos en general, se ajustarán a lo establecido por la normatividad aplicable. Los sujetos obligados solo proporcionarán la información pública que generen, administren o posean en el ejercicio de sus atribuciones”. Al respecto prevengo que la información solicitada se encuentra reservada bajo el acuerdo número 031/CUAUIZC/CT/TM/2018, ya que la información requerida es clasificada.”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A su respuesta,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adjuntó los siguientes documentos: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t>1.</w:t>
      </w:r>
      <w:r w:rsidRPr="00961771">
        <w:rPr>
          <w:rFonts w:ascii="Palatino Linotype" w:eastAsia="Calibri" w:hAnsi="Palatino Linotype" w:cs="Tahoma"/>
          <w:bCs/>
          <w:sz w:val="22"/>
          <w:szCs w:val="22"/>
          <w:lang w:val="es-ES" w:eastAsia="en-US"/>
        </w:rPr>
        <w:t xml:space="preserve"> Oficio número </w:t>
      </w:r>
      <w:r w:rsidRPr="00961771">
        <w:rPr>
          <w:rFonts w:ascii="Palatino Linotype" w:eastAsia="Calibri" w:hAnsi="Palatino Linotype" w:cs="Tahoma"/>
          <w:b/>
          <w:bCs/>
          <w:sz w:val="22"/>
          <w:szCs w:val="22"/>
          <w:lang w:val="es-ES" w:eastAsia="en-US"/>
        </w:rPr>
        <w:t>TM/5562/2018</w:t>
      </w:r>
      <w:r w:rsidRPr="00961771">
        <w:rPr>
          <w:rFonts w:ascii="Palatino Linotype" w:eastAsia="Calibri" w:hAnsi="Palatino Linotype" w:cs="Tahoma"/>
          <w:bCs/>
          <w:sz w:val="22"/>
          <w:szCs w:val="22"/>
          <w:lang w:val="es-ES" w:eastAsia="en-US"/>
        </w:rPr>
        <w:t>, de fecha diez de septiembre de dos mil dieciocho, dirigido a la Titular de la Unidad de Transparencia y signado por el Tesorero Municipal, que en su parte medular, obra en los términos siguientes: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Al respecto prevengo que la información solicitada se encuentra reservada bajo el acuerdo número 031/CUAUIZC/CT/TM/2018, ya que la información requerida-es clasificada.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37470" w:rsidP="00590CCB">
      <w:pPr>
        <w:spacing w:line="276" w:lineRule="auto"/>
        <w:ind w:left="567" w:right="567"/>
        <w:jc w:val="both"/>
        <w:rPr>
          <w:rFonts w:ascii="Palatino Linotype" w:eastAsia="Calibri" w:hAnsi="Palatino Linotype" w:cs="Tahoma"/>
          <w:bCs/>
          <w:i/>
          <w:lang w:val="es-ES" w:eastAsia="en-US"/>
        </w:rPr>
      </w:pPr>
      <w:r w:rsidRPr="00961771">
        <w:rPr>
          <w:rFonts w:ascii="Palatino Linotype" w:eastAsia="Calibri" w:hAnsi="Palatino Linotype" w:cs="Tahoma"/>
          <w:bCs/>
          <w:lang w:val="es-ES" w:eastAsia="en-US"/>
        </w:rPr>
        <w:t>[…]</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t>2.</w:t>
      </w:r>
      <w:r w:rsidRPr="00961771">
        <w:rPr>
          <w:rFonts w:ascii="Palatino Linotype" w:eastAsia="Calibri" w:hAnsi="Palatino Linotype" w:cs="Tahoma"/>
          <w:bCs/>
          <w:sz w:val="22"/>
          <w:szCs w:val="22"/>
          <w:lang w:val="es-ES" w:eastAsia="en-US"/>
        </w:rPr>
        <w:t xml:space="preserve"> Acuerdo número </w:t>
      </w:r>
      <w:r w:rsidRPr="00961771">
        <w:rPr>
          <w:rFonts w:ascii="Palatino Linotype" w:eastAsia="Calibri" w:hAnsi="Palatino Linotype" w:cs="Tahoma"/>
          <w:b/>
          <w:bCs/>
          <w:sz w:val="22"/>
          <w:szCs w:val="22"/>
          <w:lang w:val="es-ES" w:eastAsia="en-US"/>
        </w:rPr>
        <w:t>031/CUAUIZC/CT/TM/2018</w:t>
      </w:r>
      <w:r w:rsidRPr="00961771">
        <w:rPr>
          <w:rFonts w:ascii="Palatino Linotype" w:eastAsia="Calibri" w:hAnsi="Palatino Linotype" w:cs="Tahoma"/>
          <w:bCs/>
          <w:sz w:val="22"/>
          <w:szCs w:val="22"/>
          <w:lang w:val="es-ES" w:eastAsia="en-US"/>
        </w:rPr>
        <w:t>, de fecha once de septiembre de dos mil dieciocho, signado por los integrantes del Comité de Transparencia del Ayuntamiento de Cuautitlán Izcalli, en los términos siguientes: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w:t>
      </w:r>
    </w:p>
    <w:p w:rsidR="00806E45" w:rsidRPr="00961771" w:rsidRDefault="00806E45" w:rsidP="00590CCB">
      <w:pPr>
        <w:spacing w:line="276" w:lineRule="auto"/>
        <w:ind w:left="567" w:right="567"/>
        <w:jc w:val="center"/>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ACUERDO</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PRIMERO:</w:t>
      </w:r>
      <w:r w:rsidRPr="00961771">
        <w:rPr>
          <w:rFonts w:ascii="Palatino Linotype" w:eastAsia="Calibri" w:hAnsi="Palatino Linotype" w:cs="Tahoma"/>
          <w:bCs/>
          <w:lang w:val="es-ES" w:eastAsia="en-US"/>
        </w:rPr>
        <w:t xml:space="preserve"> El presente acuerdo se emite, en virtud del proyecto de clasificación de información como RESERVADA, presentado por el Servidor Público Habilitado de la Tesorería Municipal, al presente Comité de Transparencia con el fin de que resuelva lo conducente.</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 xml:space="preserve">SEGUNDO: </w:t>
      </w:r>
      <w:r w:rsidRPr="00961771">
        <w:rPr>
          <w:rFonts w:ascii="Palatino Linotype" w:eastAsia="Calibri" w:hAnsi="Palatino Linotype" w:cs="Tahoma"/>
          <w:bCs/>
          <w:lang w:eastAsia="en-US"/>
        </w:rPr>
        <w:t xml:space="preserve">Este acuerdo tiene por objeto aprobar la clasificación con carácter de </w:t>
      </w:r>
      <w:r w:rsidRPr="00961771">
        <w:rPr>
          <w:rFonts w:ascii="Palatino Linotype" w:eastAsia="Calibri" w:hAnsi="Palatino Linotype" w:cs="Tahoma"/>
          <w:b/>
          <w:bCs/>
          <w:lang w:eastAsia="en-US"/>
        </w:rPr>
        <w:t xml:space="preserve">RESERVADA, </w:t>
      </w:r>
      <w:r w:rsidRPr="00961771">
        <w:rPr>
          <w:rFonts w:ascii="Palatino Linotype" w:eastAsia="Calibri" w:hAnsi="Palatino Linotype" w:cs="Tahoma"/>
          <w:bCs/>
          <w:lang w:eastAsia="en-US"/>
        </w:rPr>
        <w:t xml:space="preserve">de todos los documentos que obran en los archivos de la </w:t>
      </w:r>
      <w:proofErr w:type="spellStart"/>
      <w:r w:rsidRPr="00961771">
        <w:rPr>
          <w:rFonts w:ascii="Palatino Linotype" w:eastAsia="Calibri" w:hAnsi="Palatino Linotype" w:cs="Tahoma"/>
          <w:bCs/>
          <w:lang w:eastAsia="en-US"/>
        </w:rPr>
        <w:t>Subtesorería</w:t>
      </w:r>
      <w:proofErr w:type="spellEnd"/>
      <w:r w:rsidRPr="00961771">
        <w:rPr>
          <w:rFonts w:ascii="Palatino Linotype" w:eastAsia="Calibri" w:hAnsi="Palatino Linotype" w:cs="Tahoma"/>
          <w:bCs/>
          <w:lang w:eastAsia="en-US"/>
        </w:rPr>
        <w:t xml:space="preserve"> de Ingresos, dependiente de la Tesorería Municipal del Municipio de Cuautitlán Izcalli, Estado de México, consistente en todos los documentos generados y que se generen con motivo de la prestación de servicios y generación de productos mismos que son: integrar, controlar y salvaguardar el archivo de la unidad administrativa a su cargo, determinar, liquidar, recaudar, fiscalizar y administrar en los términos de los ordenamientos jurídicos aplicables y, en su caso, aplicar el procedimiento administrativo de ejecución en términos de las disposiciones aplicables, expedir constancias que acrediten el pago de contribuciones a solicitud de los interesados, y aquella información que de ellos emanen y sea elaborada dentro de los mismos durante la administración 2016 - 2018; y que se encuentran dentro de los supuestos previstos en los artículos 1, 3 fracciones </w:t>
      </w:r>
      <w:r w:rsidRPr="00961771">
        <w:rPr>
          <w:rFonts w:ascii="Palatino Linotype" w:eastAsia="Calibri" w:hAnsi="Palatino Linotype" w:cs="Tahoma"/>
          <w:bCs/>
          <w:i/>
          <w:iCs/>
          <w:lang w:eastAsia="en-US"/>
        </w:rPr>
        <w:t xml:space="preserve">IV,· </w:t>
      </w:r>
      <w:r w:rsidRPr="00961771">
        <w:rPr>
          <w:rFonts w:ascii="Palatino Linotype" w:eastAsia="Calibri" w:hAnsi="Palatino Linotype" w:cs="Tahoma"/>
          <w:bCs/>
          <w:lang w:eastAsia="en-US"/>
        </w:rPr>
        <w:t xml:space="preserve">XI, </w:t>
      </w:r>
      <w:r w:rsidRPr="00961771">
        <w:rPr>
          <w:rFonts w:ascii="Palatino Linotype" w:eastAsia="Calibri" w:hAnsi="Palatino Linotype" w:cs="Tahoma"/>
          <w:bCs/>
          <w:i/>
          <w:iCs/>
          <w:lang w:eastAsia="en-US"/>
        </w:rPr>
        <w:t>XIV,</w:t>
      </w:r>
      <w:r w:rsidRPr="00961771">
        <w:rPr>
          <w:rFonts w:ascii="Palatino Linotype" w:eastAsia="Calibri" w:hAnsi="Palatino Linotype" w:cs="Tahoma"/>
          <w:bCs/>
          <w:lang w:eastAsia="en-US"/>
        </w:rPr>
        <w:t xml:space="preserve"> </w:t>
      </w:r>
      <w:r w:rsidRPr="00961771">
        <w:rPr>
          <w:rFonts w:ascii="Palatino Linotype" w:eastAsia="Calibri" w:hAnsi="Palatino Linotype" w:cs="Tahoma"/>
          <w:bCs/>
          <w:lang w:eastAsia="en-US"/>
        </w:rPr>
        <w:lastRenderedPageBreak/>
        <w:t xml:space="preserve">XX, </w:t>
      </w:r>
      <w:r w:rsidRPr="00961771">
        <w:rPr>
          <w:rFonts w:ascii="Palatino Linotype" w:eastAsia="Calibri" w:hAnsi="Palatino Linotype" w:cs="Tahoma"/>
          <w:bCs/>
          <w:i/>
          <w:iCs/>
          <w:lang w:eastAsia="en-US"/>
        </w:rPr>
        <w:t xml:space="preserve">XXIV, </w:t>
      </w:r>
      <w:r w:rsidRPr="00961771">
        <w:rPr>
          <w:rFonts w:ascii="Palatino Linotype" w:eastAsia="Calibri" w:hAnsi="Palatino Linotype" w:cs="Tahoma"/>
          <w:bCs/>
          <w:lang w:eastAsia="en-US"/>
        </w:rPr>
        <w:t>XXXIII, XXXIV, XLIV, 4 párrafo segundo, 45, 47 párrafo tercero, 48, 49 fracción VIII, 53 fracción X 140 fracciones VI, VIII y X, y demás relativos y aplicables de la Ley de Transparencia y Acceso a la Información Pública del Estado de México y Municipios, artículos 3.10,- 3:11 fracción I, 4.1, 4.5 y 4.8 del Reglamento de la Ley de Transparencia y Acceso a la Información Pública del Estado de México y Municipios.</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 xml:space="preserve">TERCERO: </w:t>
      </w:r>
      <w:r w:rsidRPr="00961771">
        <w:rPr>
          <w:rFonts w:ascii="Palatino Linotype" w:eastAsia="Calibri" w:hAnsi="Palatino Linotype" w:cs="Tahoma"/>
          <w:bCs/>
          <w:lang w:eastAsia="en-US"/>
        </w:rPr>
        <w:t xml:space="preserve">Los documentos-generados y que se generen con motivo de la prestación de servicios y generación de productos mismos que son: integrar, controlar y salvaguardar el archivo de la unidad administrativa a su cargo, determinar, liquidar, recaudar, fiscalizar y administrar en los términos de los ordenamientos jurídicos aplicables y, en su caso, aplicar el procedimiento administrativo de ejecución en términos de las disposiciones aplicables, expedir constancias que acrediten el pago de contribuciones a solicitud de los interesados, y aquella información que de ellos emanen y sea elaborada dentro de los mismos durante la administración 2016 - 2018; se clasifican como </w:t>
      </w:r>
      <w:r w:rsidRPr="00961771">
        <w:rPr>
          <w:rFonts w:ascii="Palatino Linotype" w:eastAsia="Calibri" w:hAnsi="Palatino Linotype" w:cs="Tahoma"/>
          <w:b/>
          <w:bCs/>
          <w:lang w:eastAsia="en-US"/>
        </w:rPr>
        <w:t xml:space="preserve">INFORMACION RESERVADA </w:t>
      </w:r>
      <w:r w:rsidRPr="00961771">
        <w:rPr>
          <w:rFonts w:ascii="Palatino Linotype" w:eastAsia="Calibri" w:hAnsi="Palatino Linotype" w:cs="Tahoma"/>
          <w:bCs/>
          <w:lang w:eastAsia="en-US"/>
        </w:rPr>
        <w:t>por los razonamientos que se indican a continuación:</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tbl>
      <w:tblPr>
        <w:tblStyle w:val="Tablaconcuadrcula"/>
        <w:tblpPr w:leftFromText="141" w:rightFromText="141" w:vertAnchor="text" w:tblpX="567" w:tblpY="1"/>
        <w:tblOverlap w:val="never"/>
        <w:tblW w:w="0" w:type="auto"/>
        <w:tblLook w:val="04A0" w:firstRow="1" w:lastRow="0" w:firstColumn="1" w:lastColumn="0" w:noHBand="0" w:noVBand="1"/>
      </w:tblPr>
      <w:tblGrid>
        <w:gridCol w:w="4243"/>
        <w:gridCol w:w="3690"/>
      </w:tblGrid>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ASUNTO TEMATICO</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Los documentos que obran en la </w:t>
            </w:r>
            <w:proofErr w:type="spellStart"/>
            <w:r w:rsidRPr="00961771">
              <w:rPr>
                <w:rFonts w:ascii="Palatino Linotype" w:eastAsia="Calibri" w:hAnsi="Palatino Linotype" w:cs="Tahoma"/>
                <w:bCs/>
                <w:lang w:eastAsia="en-US"/>
              </w:rPr>
              <w:t>Subtesorería</w:t>
            </w:r>
            <w:proofErr w:type="spellEnd"/>
            <w:r w:rsidRPr="00961771">
              <w:rPr>
                <w:rFonts w:ascii="Palatino Linotype" w:eastAsia="Calibri" w:hAnsi="Palatino Linotype" w:cs="Tahoma"/>
                <w:bCs/>
                <w:lang w:eastAsia="en-US"/>
              </w:rPr>
              <w:t xml:space="preserve"> de Ingresos dependiente de la Tesorería Municipal del Municipio de Cuautitlán Izcalli, Estado de México, consistente en todos los documentos generados y que se generen con</w:t>
            </w: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motivo' de la prestación de servicios y generación de productos mismos que son: 1</w:t>
            </w: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integrar, controlar y salvaguardar el archivo de la unidad administrativa a su cargo, determinar, liquidar, recaudar, fiscalizar y administrar en los términos de los ordenamientos jurídicos aplicables y, en su caso, aplicar el [renglón suprimido] aquella información que de ellos emanen y sea elaborada dentro de los mismos durante la administración 2016 - 2018.</w:t>
            </w:r>
          </w:p>
          <w:p w:rsidR="00806E45" w:rsidRPr="00961771" w:rsidRDefault="00806E45" w:rsidP="00590CCB">
            <w:pPr>
              <w:spacing w:line="276" w:lineRule="auto"/>
              <w:ind w:right="-93"/>
              <w:jc w:val="both"/>
              <w:rPr>
                <w:rFonts w:ascii="Palatino Linotype" w:eastAsia="Calibri" w:hAnsi="Palatino Linotype" w:cs="Tahoma"/>
                <w:bCs/>
                <w:lang w:eastAsia="en-US"/>
              </w:rPr>
            </w:pP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lastRenderedPageBreak/>
              <w:t>SECCIONES CLASIFICADAS COMO</w:t>
            </w: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RESERVADAS</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Todos los documentos generados y que se generen con motivo de la prestación de servicios y generación de productos.</w:t>
            </w:r>
          </w:p>
          <w:p w:rsidR="00806E45" w:rsidRPr="00961771" w:rsidRDefault="00806E45" w:rsidP="00590CCB">
            <w:pPr>
              <w:spacing w:line="276" w:lineRule="auto"/>
              <w:ind w:right="-93"/>
              <w:jc w:val="both"/>
              <w:rPr>
                <w:rFonts w:ascii="Palatino Linotype" w:eastAsia="Calibri" w:hAnsi="Palatino Linotype" w:cs="Tahoma"/>
                <w:bCs/>
                <w:lang w:eastAsia="en-US"/>
              </w:rPr>
            </w:pP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CLASIFICACION LEGAL</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R (reservada).</w:t>
            </w:r>
          </w:p>
          <w:p w:rsidR="00806E45" w:rsidRPr="00961771" w:rsidRDefault="00806E45" w:rsidP="00590CCB">
            <w:pPr>
              <w:spacing w:line="276" w:lineRule="auto"/>
              <w:ind w:right="-93"/>
              <w:jc w:val="both"/>
              <w:rPr>
                <w:rFonts w:ascii="Palatino Linotype" w:eastAsia="Calibri" w:hAnsi="Palatino Linotype" w:cs="Tahoma"/>
                <w:bCs/>
                <w:lang w:eastAsia="en-US"/>
              </w:rPr>
            </w:pP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CLASIFICACION POR TIPO</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D (documentos) generados y que se generen con motivo de la prestación de servicios y generación de productos.</w:t>
            </w:r>
          </w:p>
          <w:p w:rsidR="00806E45" w:rsidRPr="00961771" w:rsidRDefault="00806E45" w:rsidP="00590CCB">
            <w:pPr>
              <w:spacing w:line="276" w:lineRule="auto"/>
              <w:ind w:right="-93"/>
              <w:jc w:val="both"/>
              <w:rPr>
                <w:rFonts w:ascii="Palatino Linotype" w:eastAsia="Calibri" w:hAnsi="Palatino Linotype" w:cs="Tahoma"/>
                <w:bCs/>
                <w:lang w:eastAsia="en-US"/>
              </w:rPr>
            </w:pP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CLAVE DEL ARCHIVO</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R (reservado por un año)</w:t>
            </w: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FUNDAMENTACION LEGAL DE LA</w:t>
            </w: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CLASIFICACIÓN</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Artículo 6º apartado a fracción VIII sexto párrafo de la Constitución Política de los Estados Unidos Mexicanos; artículo 5° párrafo diecinueve fracción I de la Constitución Política del Estado Libre y Soberano de México; y artículos 1, 3 fracciones IV, XI, XN, XX, XXIV XXXIII, XXXIV, XLIV, 4 párrafo segundo, 45, 47 párrafo tercero, 48, 49 fracción VIII, 53 fracción X, 140 fracciones VI, VIII y X, y demás relativos y aplicables de la Ley de Transparencia y Acceso a la Información Pública del Estado de México y Municipios, artículos 3.10, 3.11 fracción I, 4.1, 4.5 y 4.8 del Reglamento de la Ley de Transparencia y Acceso a la Información Pública del Estado de México y Municipios, así como de los numerales cuarenta y seis y cuarenta y siete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suj1tos obligados </w:t>
            </w:r>
            <w:r w:rsidRPr="00961771">
              <w:rPr>
                <w:rFonts w:ascii="Palatino Linotype" w:eastAsia="Calibri" w:hAnsi="Palatino Linotype" w:cs="Tahoma"/>
                <w:bCs/>
                <w:lang w:eastAsia="en-US"/>
              </w:rPr>
              <w:lastRenderedPageBreak/>
              <w:t>por la Ley de Transparencia y Acceso a la Información Pública del Estado de México y Municipios.</w:t>
            </w: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lastRenderedPageBreak/>
              <w:t>OFICINA DE RESGUARDO</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El archivo de la Tesorería Municipal del Municipio de Cuautitlán Izcalli, Estado de México.</w:t>
            </w: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t>MOTIVACION DE LA CLASIFICACION</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El proporcionar la información que obra en los archivos de la </w:t>
            </w:r>
            <w:proofErr w:type="spellStart"/>
            <w:r w:rsidRPr="00961771">
              <w:rPr>
                <w:rFonts w:ascii="Palatino Linotype" w:eastAsia="Calibri" w:hAnsi="Palatino Linotype" w:cs="Tahoma"/>
                <w:bCs/>
                <w:lang w:eastAsia="en-US"/>
              </w:rPr>
              <w:t>Subtesorería</w:t>
            </w:r>
            <w:proofErr w:type="spellEnd"/>
            <w:r w:rsidRPr="00961771">
              <w:rPr>
                <w:rFonts w:ascii="Palatino Linotype" w:eastAsia="Calibri" w:hAnsi="Palatino Linotype" w:cs="Tahoma"/>
                <w:bCs/>
                <w:lang w:eastAsia="en-US"/>
              </w:rPr>
              <w:t xml:space="preserve"> de Ingresos dependiente de la Tesorería Municipal del Municipio de Cuautitlán Izcalli, Estado de México, consistente en todos los documentos generados y que se generen con motivo de la prestación de servicios y generación de productos mismos que son: integrar, controlar y salvaguardar el archivo de la unidad administrativa a su cargo, determinar, liquidar, recaudar, fiscalizar y administrar en los términos de los ordenamientos jurídicos aplicables y, en su caso, aplicar el [renglón suprimido] aquella información que de ellos emanen y sea elaborada dentro de los mismos durante la administración 2016 - 2018 Violentaría lo dispuesto por el Artículo 118 y 119 del Código de Procedimientos Administrativos y 55 y 173 del Código Financiero del Estado de México y Municipios, el cual precisa que para que la autoridad municipal otorgue cualquiera de los servidos y productos antes citados así como datos, se requiere previa solicitud por escrito o por vía electrónica en los términos que precisa la Ley Para el Uso de Medios Electrónicos y su Reglamento, en la que acredite su interés jurídico o legitimo; por tal motivo el dar a conocer la información antes </w:t>
            </w:r>
            <w:r w:rsidRPr="00961771">
              <w:rPr>
                <w:rFonts w:ascii="Palatino Linotype" w:eastAsia="Calibri" w:hAnsi="Palatino Linotype" w:cs="Tahoma"/>
                <w:bCs/>
                <w:lang w:eastAsia="en-US"/>
              </w:rPr>
              <w:lastRenderedPageBreak/>
              <w:t>mencionada provocaría una alteración en las investigaciones, así como de las actuaciones administrativas que se tengan que generar, para llevar a cabo la ejecución de las resoluciones administrativas, puede causar un daño a las personas al tratarse de información personal ya que además, se compromete y pone en riesgo el patrimonio y la integridad física de las personas; por lo tanto, el darlo a conocer puede dañar de manera irreversible, el patrimonio familiar de las personas al ser expuestos sus nombres, domicilios, claves catastrales, propiedades, ubicación y valor catastral de las mismas, lo que los pone en riesgo de ser objeto o victimas de hechos delictivos.</w:t>
            </w:r>
          </w:p>
          <w:p w:rsidR="00806E45" w:rsidRPr="00961771" w:rsidRDefault="00806E45" w:rsidP="00590CCB">
            <w:pPr>
              <w:spacing w:line="276" w:lineRule="auto"/>
              <w:ind w:right="-93"/>
              <w:jc w:val="both"/>
              <w:rPr>
                <w:rFonts w:ascii="Palatino Linotype" w:eastAsia="Calibri" w:hAnsi="Palatino Linotype" w:cs="Tahoma"/>
                <w:bCs/>
                <w:lang w:eastAsia="en-US"/>
              </w:rPr>
            </w:pP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Por tal razón, .es de suma importancia y procedente la clasificación de reserva por un año, salvo que antes del cumplimiento del periodo de restricción, dejara de existir algún motivo de su reserva.</w:t>
            </w:r>
          </w:p>
          <w:p w:rsidR="00806E45" w:rsidRPr="00961771" w:rsidRDefault="00806E45" w:rsidP="00590CCB">
            <w:pPr>
              <w:spacing w:line="276" w:lineRule="auto"/>
              <w:ind w:right="-93"/>
              <w:jc w:val="both"/>
              <w:rPr>
                <w:rFonts w:ascii="Palatino Linotype" w:eastAsia="Calibri" w:hAnsi="Palatino Linotype" w:cs="Tahoma"/>
                <w:bCs/>
                <w:lang w:eastAsia="en-US"/>
              </w:rPr>
            </w:pP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lastRenderedPageBreak/>
              <w:t>SUPUESTO DEL ARTÍCULO 3 FRACCIÓN XXXIII DE LA LEY DE LA MATERIA.</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Se fracción XXXIII de la Ley de Transparencia y Acceso a la Información Pública del Estado de México y Municipios, toda vez que el divulgar información relativa a los procedimientos y documentos generados y que se generen con motivo de la prestación de servicios y generación de productos así como de los procedimientos administrativos, y aquella información que de ellos emanen materia del presente acuerdo, lesiona el </w:t>
            </w:r>
            <w:r w:rsidRPr="00961771">
              <w:rPr>
                <w:rFonts w:ascii="Palatino Linotype" w:eastAsia="Calibri" w:hAnsi="Palatino Linotype" w:cs="Tahoma"/>
                <w:bCs/>
                <w:lang w:eastAsia="en-US"/>
              </w:rPr>
              <w:lastRenderedPageBreak/>
              <w:t>interés jurídicamente protegido por la ley ya que al [renglón suprimido] patrimonio familiar de las personas al ser expuestos sus nombres completos, domicilios, claves catastrales, propiedades, ubicación y valor de las· mismas, lo que los pone en riesgo de ser objeto o victimas de hechos delictivos.</w:t>
            </w:r>
          </w:p>
        </w:tc>
      </w:tr>
      <w:tr w:rsidR="00806E45" w:rsidRPr="00961771" w:rsidTr="004F4B65">
        <w:tc>
          <w:tcPr>
            <w:tcW w:w="4243" w:type="dxa"/>
          </w:tcPr>
          <w:p w:rsidR="00806E45" w:rsidRPr="00961771" w:rsidRDefault="00806E45" w:rsidP="00590CCB">
            <w:pPr>
              <w:spacing w:line="276" w:lineRule="auto"/>
              <w:ind w:right="-93"/>
              <w:jc w:val="both"/>
              <w:rPr>
                <w:rFonts w:ascii="Palatino Linotype" w:eastAsia="Calibri" w:hAnsi="Palatino Linotype" w:cs="Tahoma"/>
                <w:b/>
                <w:bCs/>
                <w:lang w:eastAsia="en-US"/>
              </w:rPr>
            </w:pPr>
            <w:r w:rsidRPr="00961771">
              <w:rPr>
                <w:rFonts w:ascii="Palatino Linotype" w:eastAsia="Calibri" w:hAnsi="Palatino Linotype" w:cs="Tahoma"/>
                <w:b/>
                <w:bCs/>
                <w:lang w:eastAsia="en-US"/>
              </w:rPr>
              <w:lastRenderedPageBreak/>
              <w:t>SUPUESTO DEL ARTÍCULO 3 FRACCIÓN XXXIV DE LA LEY DE LA MATERIA</w:t>
            </w:r>
          </w:p>
        </w:tc>
        <w:tc>
          <w:tcPr>
            <w:tcW w:w="3690" w:type="dxa"/>
          </w:tcPr>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Se actualiza la hipótesis contenida en el artículo 3 fracción XXXIV de la ley de Transparencia y Acceso a la Información Pública del Estado de México y Municipios, en virtud de que la</w:t>
            </w:r>
          </w:p>
          <w:p w:rsidR="00806E45" w:rsidRPr="00961771" w:rsidRDefault="00806E45" w:rsidP="00590CCB">
            <w:pPr>
              <w:spacing w:line="276" w:lineRule="auto"/>
              <w:ind w:right="-93"/>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publicación de un solo documento contenido en los archivos de la </w:t>
            </w:r>
            <w:proofErr w:type="spellStart"/>
            <w:r w:rsidRPr="00961771">
              <w:rPr>
                <w:rFonts w:ascii="Palatino Linotype" w:eastAsia="Calibri" w:hAnsi="Palatino Linotype" w:cs="Tahoma"/>
                <w:bCs/>
                <w:lang w:eastAsia="en-US"/>
              </w:rPr>
              <w:t>Subtesorería</w:t>
            </w:r>
            <w:proofErr w:type="spellEnd"/>
            <w:r w:rsidRPr="00961771">
              <w:rPr>
                <w:rFonts w:ascii="Palatino Linotype" w:eastAsia="Calibri" w:hAnsi="Palatino Linotype" w:cs="Tahoma"/>
                <w:bCs/>
                <w:lang w:eastAsia="en-US"/>
              </w:rPr>
              <w:t xml:space="preserve"> de Ingresos dependiente de la Tesorería Municipal, puede generar un daño más grande y lesionar el interés jurídicamente protegido por la ley, ya que al hacerse pública la información se compromete y pone en riesgo el patrimonio y la integridad física de las personas; por lo tanto, el darlo a conocer puede dañar de manera irreversible, el patrimonio familiar de las personas al ser expuestos sus nombres completos, domicilios, claves catastrales, propiedades, ubicación y valor de las mismas, pudiendo ser objeto o victimas de hechos delictivos, causando más daño que el simple hecho de otorgar la información contenida en el documento.</w:t>
            </w:r>
          </w:p>
        </w:tc>
      </w:tr>
    </w:tbl>
    <w:p w:rsidR="00806E45" w:rsidRPr="00961771" w:rsidRDefault="00806E45" w:rsidP="00590CCB">
      <w:pPr>
        <w:spacing w:line="276" w:lineRule="auto"/>
        <w:ind w:right="-93"/>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br/>
      </w:r>
    </w:p>
    <w:p w:rsidR="00D9652C" w:rsidRPr="00961771" w:rsidRDefault="00D9652C" w:rsidP="00590CCB">
      <w:pPr>
        <w:spacing w:line="276" w:lineRule="auto"/>
        <w:ind w:right="-93"/>
        <w:jc w:val="both"/>
        <w:rPr>
          <w:rFonts w:ascii="Palatino Linotype" w:eastAsia="Calibri" w:hAnsi="Palatino Linotype" w:cs="Tahoma"/>
          <w:bCs/>
          <w:sz w:val="22"/>
          <w:szCs w:val="22"/>
          <w:lang w:val="es-ES" w:eastAsia="en-US"/>
        </w:rPr>
      </w:pPr>
    </w:p>
    <w:p w:rsidR="00D9652C" w:rsidRPr="00961771" w:rsidRDefault="00D9652C" w:rsidP="00590CCB">
      <w:pPr>
        <w:spacing w:line="276" w:lineRule="auto"/>
        <w:ind w:right="-93"/>
        <w:jc w:val="both"/>
        <w:rPr>
          <w:rFonts w:ascii="Palatino Linotype" w:eastAsia="Calibri" w:hAnsi="Palatino Linotype" w:cs="Tahoma"/>
          <w:bCs/>
          <w:sz w:val="22"/>
          <w:szCs w:val="22"/>
          <w:lang w:val="es-ES" w:eastAsia="en-US"/>
        </w:rPr>
      </w:pPr>
    </w:p>
    <w:p w:rsidR="00D9652C" w:rsidRPr="00961771" w:rsidRDefault="00D9652C"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CUARTO:</w:t>
      </w:r>
      <w:r w:rsidRPr="00961771">
        <w:rPr>
          <w:rFonts w:ascii="Palatino Linotype" w:eastAsia="Calibri" w:hAnsi="Palatino Linotype" w:cs="Tahoma"/>
          <w:bCs/>
          <w:lang w:val="es-ES" w:eastAsia="en-US"/>
        </w:rPr>
        <w:t xml:space="preserve"> De los argumentos expresados en la motivación se advierte que corresponde legítimamente a la hipótesis contenida en el artículo 3 fracciones XXXIII y XXXIV de la ley de Transparencia y Acceso a la Información Pública del Estado de México y Municipios, el interés de evitar la difusión de la información con motivo de la prestación de servicios y generación de productos, y aquella información que de ellos emanen puede generar un </w:t>
      </w:r>
      <w:r w:rsidRPr="00961771">
        <w:rPr>
          <w:rFonts w:ascii="Palatino Linotype" w:eastAsia="Calibri" w:hAnsi="Palatino Linotype" w:cs="Tahoma"/>
          <w:bCs/>
          <w:lang w:val="es-ES" w:eastAsia="en-US"/>
        </w:rPr>
        <w:lastRenderedPageBreak/>
        <w:t>daño más grande y lesionar el interés jurídicamente protegido por la Ley, ya que al hacerse pública la información se compromete y pone en riesgo el patrimonio y la integridad física de las personas; por lo tanto, el darlo a conocer puede dañar de manera irreversible, el patrimonio familiar de las personas al ser expuestos sus nombres completos, domicilios, claves catastrales, propiedades, ubicación y valor de las mismas, lo que los pone en riesgo de ser objeto o victimas de hechos delictivos causaría un daño presente y específico, asimismo vulneraría los intereses jurídicos tutelados por la Ley.</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 xml:space="preserve">QUINTO: </w:t>
      </w:r>
      <w:r w:rsidRPr="00961771">
        <w:rPr>
          <w:rFonts w:ascii="Palatino Linotype" w:eastAsia="Calibri" w:hAnsi="Palatino Linotype" w:cs="Tahoma"/>
          <w:bCs/>
          <w:lang w:val="es-ES" w:eastAsia="en-US"/>
        </w:rPr>
        <w:t xml:space="preserve">Por lo anteriormente expuesto con fundamento en lo dispuesto por los artículos 1, 3 fracciones IV, XI, XIV, XX, XXIV, XXXIII, XXXIV, XUV, 4 párrafo segundo, 45, 47 párrafo tercero, 48, 49 fracción VIII, 53 fracción X, 140 fracciones VI, VIII y X, y demás relativos y aplicables de la Ley de Transparencia y Acceso a· 1a Información Pública del Estado de México y Municipios, así como de los numerales cuarenta y seis y cuarenta y siete de los lineamientos para la recepción, trámite y resolución de las solicitudes de acceso a la· información pública, acceso, modificación, sustitución, rectificación o supresión parcial o total de datos personales, así como de los recursos de revisión que deberán los </w:t>
      </w:r>
      <w:r w:rsidR="00F1442D">
        <w:rPr>
          <w:rFonts w:ascii="Palatino Linotype" w:eastAsia="Calibri" w:hAnsi="Palatino Linotype" w:cs="Tahoma"/>
          <w:bCs/>
          <w:lang w:val="es-ES" w:eastAsia="en-US"/>
        </w:rPr>
        <w:t>Sujeto Obligado</w:t>
      </w:r>
      <w:r w:rsidRPr="00961771">
        <w:rPr>
          <w:rFonts w:ascii="Palatino Linotype" w:eastAsia="Calibri" w:hAnsi="Palatino Linotype" w:cs="Tahoma"/>
          <w:bCs/>
          <w:lang w:val="es-ES" w:eastAsia="en-US"/>
        </w:rPr>
        <w:t>s por la ley de Transparencia y Acceso a la Información Pública del Estado de México y Municipios, la información de referencia anexa al presente acuerdo, [renglón suprimido]</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Así lo resolvieron y firmaron al calce los integrantes del Comité de Transparencia…</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37470"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w:t>
      </w:r>
      <w:r w:rsidR="00F72D11">
        <w:rPr>
          <w:rFonts w:ascii="Palatino Linotype" w:eastAsia="Calibri" w:hAnsi="Palatino Linotype" w:cs="Tahoma"/>
          <w:bCs/>
          <w:lang w:val="es-ES" w:eastAsia="en-US"/>
        </w:rPr>
        <w:t xml:space="preserve"> </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 xml:space="preserve">IV. Interposición del Recurso de Revisión. </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Con fecha dieciocho de septiembre de dos mil dieciocho, </w:t>
      </w:r>
      <w:r w:rsidRPr="00961771">
        <w:rPr>
          <w:rFonts w:ascii="Palatino Linotype" w:eastAsia="Calibri" w:hAnsi="Palatino Linotype" w:cs="Tahoma"/>
          <w:bCs/>
          <w:sz w:val="22"/>
          <w:szCs w:val="22"/>
          <w:lang w:eastAsia="en-US"/>
        </w:rPr>
        <w:t xml:space="preserve">mediante el </w:t>
      </w:r>
      <w:r w:rsidRPr="00961771">
        <w:rPr>
          <w:rFonts w:ascii="Palatino Linotype" w:eastAsia="Calibri" w:hAnsi="Palatino Linotype" w:cs="Tahoma"/>
          <w:bCs/>
          <w:sz w:val="22"/>
          <w:szCs w:val="22"/>
          <w:lang w:val="es-ES" w:eastAsia="en-US"/>
        </w:rPr>
        <w:t xml:space="preserve">Sistema de Acceso a la Información Mexiquense (SAIMEX), se recibió en este </w:t>
      </w:r>
      <w:r w:rsidRPr="00961771">
        <w:rPr>
          <w:rFonts w:ascii="Palatino Linotype" w:eastAsia="Calibri" w:hAnsi="Palatino Linotype" w:cs="Tahoma"/>
          <w:bCs/>
          <w:sz w:val="22"/>
          <w:szCs w:val="22"/>
          <w:lang w:eastAsia="en-US"/>
        </w:rPr>
        <w:t xml:space="preserve">Instituto </w:t>
      </w:r>
      <w:r w:rsidRPr="00961771">
        <w:rPr>
          <w:rFonts w:ascii="Palatino Linotype" w:eastAsia="Calibri" w:hAnsi="Palatino Linotype" w:cs="Tahoma"/>
          <w:bCs/>
          <w:sz w:val="22"/>
          <w:szCs w:val="22"/>
          <w:lang w:val="es-ES" w:eastAsia="en-US"/>
        </w:rPr>
        <w:t xml:space="preserve">el Recurso de Revisión interpuesto por el solicitante, en contra de la respuesta otorgada por el Ayuntamiento de Cuautitlán Izcalli, </w:t>
      </w:r>
      <w:r w:rsidRPr="00961771">
        <w:rPr>
          <w:rFonts w:ascii="Palatino Linotype" w:eastAsia="Calibri" w:hAnsi="Palatino Linotype" w:cs="Tahoma"/>
          <w:bCs/>
          <w:sz w:val="22"/>
          <w:szCs w:val="22"/>
          <w:lang w:eastAsia="en-US"/>
        </w:rPr>
        <w:t>en los términos siguientes: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ACTO IMPUGNADO</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eastAsia="en-US"/>
        </w:rPr>
        <w:t>1.- LA INJUSTIFICADA AUTORIZACIÓN DEL PLAZO QUE CONTEMPLA LA LEY COMO PRORROGA PARA EMITIR RESPUESTA. 2.- LA EMISIÓN DEL ACUERDO DE CLASIFICACIÓN DE INFORMACIÓN QUE EMITE EN RESPUESTA A LA SOLICITUD MATERIA DEL PRESENTE RECURSO. 3.- LA RESPUESTA OTORGADA A LA SOLICITUD MATERIA DEL PRESENTE RECURSO.</w:t>
      </w:r>
    </w:p>
    <w:p w:rsidR="00806E45" w:rsidRPr="00961771" w:rsidRDefault="00806E45" w:rsidP="00590CCB">
      <w:pPr>
        <w:spacing w:line="276" w:lineRule="auto"/>
        <w:ind w:left="567" w:right="567"/>
        <w:jc w:val="both"/>
        <w:rPr>
          <w:rFonts w:ascii="Palatino Linotype" w:eastAsia="Calibri" w:hAnsi="Palatino Linotype" w:cs="Tahoma"/>
          <w:bCs/>
          <w:lang w:val="es-ES" w:eastAsia="en-US"/>
        </w:rPr>
      </w:pPr>
    </w:p>
    <w:p w:rsidR="00806E45" w:rsidRPr="00961771" w:rsidRDefault="00806E45"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lastRenderedPageBreak/>
        <w:t>RAZONES O MOTIVOS DE LA INCONFORMIDAD</w:t>
      </w:r>
    </w:p>
    <w:p w:rsidR="00806E45" w:rsidRPr="00961771" w:rsidRDefault="00806E45"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Cs/>
          <w:lang w:eastAsia="en-US"/>
        </w:rPr>
        <w:t xml:space="preserve">1.- RESPECTO DEL ACTO IMPUGNADO QUE SE IDENTIFICA COMO "1": EN VIRTUD DE QUE LA UNIDAD DE TRANSPARENCIA AUTORIZA DE MANERA INJUSTIFICADA EL PLAZO EXCEPCIONAL QUE LA LEY CONTEMPLA COMO PRORROGA PARA EMITIR LA RESPUESTA AL PETICIONARIO, EN VIRTUD DE QUE, OMITE SEÑALAR LAS CAUSAS QUE MOTIVARON LA AUTORIZACIÓN REFERIDA, SIN QUE FUNDE Y MOTIVE LA CAUSA DE LA MISMA. 2.- RESPECTO DEL ACTO IMPUGNADO QUE SE IDENTIFICA COMO "2": EN VIRTUD DE QUE EL MISMO NO JUSTIFICA DE MANEA EXPRESA LA APLICACIÓN DEL DAÑO EN CASO DE PROPORCIONAR LA INFORMACIÓN, YA QUE, SI BIEN ARGUYE LA PROTECCIÓN A PARTICULARES, DE NINGUNA MANERA JUSTIFICA LA RESERVA DE LA INFORMACIÓN CONSISTENTE EN BENEFICIO OBTENIDO A LA HACIENDA PÚBLICA MUNICIPAL CON MOTIVO DE LOS PAGO GENERADOS POR EL IMPUESTO PREDIAL A CARGO DEL PREDIO SEÑALADO EN LA SOLICITUD DE REFERENCIA. DICHA INFORMACIÓN SE CONSIDERA PÚBLICA, AL TRATARSE DE APORTACIONES ECONÓMICAS REALIZADAS POR PARTICULARES EN FAVOR DEL GOBERNANTE, QUIEN TIENE LA OBLIGACIÓN DE INFORMAR EL MANEJO Y DESTINO CAUSADO POR DICHAS APORTACIONES, POR LO CUAL, EL ACUERDO EMITIDO POR EL COMITÉ DE TRANSPARENCIA RESULTA ILEGAL Y FALTO DE FUNDAMENTACIÓN Y MOTIVACIÓN EN QUE ADECUE LAS CUSAS JUSTIFICADAS PARA LA RESERVA DE LA INFORMACIÓN PÚBLICA SOLICITADA. LO ANTERIOR ANTENTA CONTRA EL PRINCIPIO DE MÁXIMA PUBLICIDAD QUE DEBE REGIR EN TODOS LOS NIVELES DE GOBIERNO, ASÍ COMO EL DERECHO HUMANO DE ACCESO A LA INFORMACIÓN PÚBLICA, QUE LA LEY OTORGA EN FAVOR DEL SUSCRITO. 3.- RESPECTO DEL ACTO IMPUGNADO QUE SE IDENTIFICA COMO "3": EN VIRTUD DE QUE LA REPUESTA OTORGADA RESULTA ILEGAL POR FALTE A DE MOTIVACIÓN Y FUNDAMENTACIÓN QUE JUSTIFIQUE LA RESERVA DE LA INFORMACIÓN. ADEMAS DE QUE EL DOCUMENTO QUE ADJUNTA EN DIGITAL (PDF) A LA RESPUESTA OTORGADA, SE ENCUENTRA INCOMPLETO, YA QUE EN DIVERSOS APARTADOS DEL MISMO SE OBSERVA A SIMPLE VISTA QUE FALTAN REGLONES DEL DOCUMENTO, LO QUE IMPIDE AL SUSCRITO EL EJERCER EL DERECHO DE ACCESO A LA INFORMACIÓN PÚBLICA DE OFICIO; ATENTANDO TAMBIÉN EN CONTRA DEL DERECHO QUE LA LEY DE LA MATERIA OTORGA EN MI FAVOR PARA RECURRIR LA RESPUESTA, EN VIRTUD DE QUE, AL ESTAR INCOMPLETO EL DOCUMENTO, NO SE PUEDE TENER PLENA CERTEZA DE SU CONTENIDO Y EN CONSECUENCIA UBICA AL SUSCRITO EN UN ESTADO DE INDEFENSIÓN EN CONTRA DE LO MANIFESTADO POR LA AUTORIDAD RESPONSABLE. POR LO ANTERIORMENTE DESCRITO DEBE DECRETARSE LA </w:t>
      </w:r>
      <w:r w:rsidRPr="00961771">
        <w:rPr>
          <w:rFonts w:ascii="Palatino Linotype" w:eastAsia="Calibri" w:hAnsi="Palatino Linotype" w:cs="Tahoma"/>
          <w:bCs/>
          <w:lang w:eastAsia="en-US"/>
        </w:rPr>
        <w:lastRenderedPageBreak/>
        <w:t>INVALIDES DE LOS ACTOS QUE SE RECLAMAN, ORDENANDO A LA AUTORIDAD RESPONSABLE, PROPORCIONE AL SUSCRITO LA INFORMACIÓN SOLICITADA.</w:t>
      </w:r>
    </w:p>
    <w:p w:rsidR="00806E45" w:rsidRPr="00961771" w:rsidRDefault="00806E45" w:rsidP="00590CCB">
      <w:pPr>
        <w:spacing w:line="276" w:lineRule="auto"/>
        <w:ind w:left="567" w:right="567"/>
        <w:jc w:val="both"/>
        <w:rPr>
          <w:rFonts w:ascii="Palatino Linotype" w:eastAsia="Calibri" w:hAnsi="Palatino Linotype" w:cs="Tahoma"/>
          <w:bCs/>
          <w:lang w:eastAsia="en-US"/>
        </w:rPr>
      </w:pP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V. Trámite del Recurso de Revisión ante el Instituto.</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
          <w:bCs/>
          <w:sz w:val="22"/>
          <w:szCs w:val="22"/>
          <w:lang w:val="es-ES" w:eastAsia="en-US"/>
        </w:rPr>
        <w:t xml:space="preserve">a) Turno del Recurso de Revisión. </w:t>
      </w:r>
      <w:r w:rsidRPr="00961771">
        <w:rPr>
          <w:rFonts w:ascii="Palatino Linotype" w:eastAsia="Calibri" w:hAnsi="Palatino Linotype" w:cs="Tahoma"/>
          <w:bCs/>
          <w:sz w:val="22"/>
          <w:szCs w:val="22"/>
          <w:lang w:eastAsia="en-US"/>
        </w:rPr>
        <w:t xml:space="preserve">Con fecha dieciocho de septiembre de dos mil dieciocho, el Sistema de Acceso a la Información Mexiquense asignó el número de expediente </w:t>
      </w:r>
      <w:r w:rsidRPr="00961771">
        <w:rPr>
          <w:rFonts w:ascii="Palatino Linotype" w:eastAsia="Calibri" w:hAnsi="Palatino Linotype" w:cs="Tahoma"/>
          <w:b/>
          <w:bCs/>
          <w:sz w:val="22"/>
          <w:szCs w:val="22"/>
          <w:lang w:eastAsia="en-US"/>
        </w:rPr>
        <w:t xml:space="preserve">03461/INFOEM/IP/RR/2018 </w:t>
      </w:r>
      <w:r w:rsidRPr="00961771">
        <w:rPr>
          <w:rFonts w:ascii="Palatino Linotype" w:eastAsia="Calibri" w:hAnsi="Palatino Linotype" w:cs="Tahoma"/>
          <w:bCs/>
          <w:sz w:val="22"/>
          <w:szCs w:val="22"/>
          <w:lang w:eastAsia="en-US"/>
        </w:rPr>
        <w:t xml:space="preserve">al Recurso de Revisión y lo turnó al Comisionado Ponente </w:t>
      </w:r>
      <w:r w:rsidRPr="00961771">
        <w:rPr>
          <w:rFonts w:ascii="Palatino Linotype" w:eastAsia="Calibri" w:hAnsi="Palatino Linotype" w:cs="Tahoma"/>
          <w:b/>
          <w:bCs/>
          <w:sz w:val="22"/>
          <w:szCs w:val="22"/>
          <w:lang w:eastAsia="en-US"/>
        </w:rPr>
        <w:t>Luis Gustavo Parra Noriega</w:t>
      </w:r>
      <w:r w:rsidRPr="00961771">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t>b) Admisión del Recurso de Revisión</w:t>
      </w:r>
      <w:r w:rsidRPr="00961771">
        <w:rPr>
          <w:rFonts w:ascii="Palatino Linotype" w:eastAsia="Calibri" w:hAnsi="Palatino Linotype" w:cs="Tahoma"/>
          <w:b/>
          <w:bCs/>
          <w:sz w:val="22"/>
          <w:szCs w:val="22"/>
          <w:lang w:val="es-ES_tradnl" w:eastAsia="en-US"/>
        </w:rPr>
        <w:t xml:space="preserve">. </w:t>
      </w:r>
      <w:r w:rsidRPr="00961771">
        <w:rPr>
          <w:rFonts w:ascii="Palatino Linotype" w:eastAsia="Calibri" w:hAnsi="Palatino Linotype" w:cs="Tahoma"/>
          <w:bCs/>
          <w:sz w:val="22"/>
          <w:szCs w:val="22"/>
          <w:lang w:val="es-ES_tradnl" w:eastAsia="en-US"/>
        </w:rPr>
        <w:t xml:space="preserve">Con fecha veinticuatro de septiembre de dos mil dieciocho, el Comisionado Ponente </w:t>
      </w:r>
      <w:r w:rsidRPr="00961771">
        <w:rPr>
          <w:rFonts w:ascii="Palatino Linotype" w:eastAsia="Calibri" w:hAnsi="Palatino Linotype" w:cs="Tahoma"/>
          <w:bCs/>
          <w:sz w:val="22"/>
          <w:szCs w:val="22"/>
          <w:lang w:eastAsia="en-US"/>
        </w:rPr>
        <w:t>acordó la admisión de</w:t>
      </w:r>
      <w:r w:rsidRPr="00961771">
        <w:rPr>
          <w:rFonts w:ascii="Palatino Linotype" w:eastAsia="Calibri" w:hAnsi="Palatino Linotype" w:cs="Tahoma"/>
          <w:bCs/>
          <w:sz w:val="22"/>
          <w:szCs w:val="22"/>
          <w:lang w:val="es-ES" w:eastAsia="en-US"/>
        </w:rPr>
        <w:t xml:space="preserve">l Recurso de Revisión interpuesto por la parte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xml:space="preserve"> en contra de la respuesta otorgada por el </w:t>
      </w:r>
      <w:r w:rsidRPr="00961771">
        <w:rPr>
          <w:rFonts w:ascii="Palatino Linotype" w:eastAsia="Calibri" w:hAnsi="Palatino Linotype" w:cs="Tahoma"/>
          <w:b/>
          <w:bCs/>
          <w:sz w:val="22"/>
          <w:szCs w:val="22"/>
          <w:lang w:val="es-ES" w:eastAsia="en-US"/>
        </w:rPr>
        <w:t>Ayuntamiento de Cuautitlán Izcalli</w:t>
      </w:r>
      <w:r w:rsidRPr="00961771">
        <w:rPr>
          <w:rFonts w:ascii="Palatino Linotype" w:eastAsia="Calibri" w:hAnsi="Palatino Linotype" w:cs="Tahoma"/>
          <w:bCs/>
          <w:sz w:val="22"/>
          <w:szCs w:val="22"/>
          <w:lang w:val="es-ES" w:eastAsia="en-US"/>
        </w:rPr>
        <w:t xml:space="preserve">, en términos del artículo 185, fracciones I y II de la </w:t>
      </w:r>
      <w:r w:rsidRPr="00961771">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conviniera y formularan alegatos.</w:t>
      </w:r>
    </w:p>
    <w:p w:rsidR="00806E45" w:rsidRPr="00961771" w:rsidRDefault="00806E45" w:rsidP="00590CCB">
      <w:pPr>
        <w:spacing w:line="276" w:lineRule="auto"/>
        <w:jc w:val="both"/>
        <w:rPr>
          <w:rFonts w:ascii="Palatino Linotype" w:eastAsia="Calibri" w:hAnsi="Palatino Linotype" w:cs="Tahoma"/>
          <w:bCs/>
          <w:sz w:val="22"/>
          <w:szCs w:val="22"/>
          <w:lang w:val="es-ES_tradnl" w:eastAsia="en-US"/>
        </w:rPr>
      </w:pPr>
    </w:p>
    <w:p w:rsidR="00806E45" w:rsidRPr="00961771" w:rsidRDefault="00806E45"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
          <w:bCs/>
          <w:sz w:val="22"/>
          <w:szCs w:val="22"/>
          <w:lang w:val="es-ES" w:eastAsia="en-US"/>
        </w:rPr>
        <w:t xml:space="preserve">c) Informe Justificado. </w:t>
      </w:r>
      <w:r w:rsidRPr="00961771">
        <w:rPr>
          <w:rFonts w:ascii="Palatino Linotype" w:eastAsia="Calibri" w:hAnsi="Palatino Linotype" w:cs="Tahoma"/>
          <w:bCs/>
          <w:sz w:val="22"/>
          <w:szCs w:val="22"/>
          <w:lang w:val="es-ES_tradnl" w:eastAsia="en-US"/>
        </w:rPr>
        <w:t xml:space="preserve">Con fecha tres de octubre de dos mil dieciocho, a través del </w:t>
      </w:r>
      <w:r w:rsidRPr="00961771">
        <w:rPr>
          <w:rFonts w:ascii="Palatino Linotype" w:eastAsia="Calibri" w:hAnsi="Palatino Linotype" w:cs="Tahoma"/>
          <w:bCs/>
          <w:sz w:val="22"/>
          <w:szCs w:val="22"/>
          <w:lang w:val="es-ES" w:eastAsia="en-US"/>
        </w:rPr>
        <w:t>Sistema de Acceso a la Información Mexiquense,</w:t>
      </w:r>
      <w:r w:rsidRPr="00961771">
        <w:rPr>
          <w:rFonts w:ascii="Palatino Linotype" w:eastAsia="Calibri" w:hAnsi="Palatino Linotype" w:cs="Tahoma"/>
          <w:bCs/>
          <w:sz w:val="22"/>
          <w:szCs w:val="22"/>
          <w:lang w:val="es-ES_tradnl" w:eastAsia="en-US"/>
        </w:rPr>
        <w:t xml:space="preserve"> </w:t>
      </w:r>
      <w:r w:rsidR="00837470" w:rsidRPr="00961771">
        <w:rPr>
          <w:rFonts w:ascii="Palatino Linotype" w:eastAsia="Calibri" w:hAnsi="Palatino Linotype" w:cs="Tahoma"/>
          <w:bCs/>
          <w:sz w:val="22"/>
          <w:szCs w:val="22"/>
          <w:lang w:val="es-ES_tradnl" w:eastAsia="en-US"/>
        </w:rPr>
        <w:t xml:space="preserve">se recibió en este Instituto </w:t>
      </w:r>
      <w:r w:rsidRPr="00961771">
        <w:rPr>
          <w:rFonts w:ascii="Palatino Linotype" w:eastAsia="Calibri" w:hAnsi="Palatino Linotype" w:cs="Tahoma"/>
          <w:bCs/>
          <w:iCs/>
          <w:sz w:val="22"/>
          <w:szCs w:val="22"/>
          <w:lang w:val="es-ES" w:eastAsia="en-US"/>
        </w:rPr>
        <w:t xml:space="preserve">el informe justificado </w:t>
      </w:r>
      <w:r w:rsidR="00837470" w:rsidRPr="00961771">
        <w:rPr>
          <w:rFonts w:ascii="Palatino Linotype" w:eastAsia="Calibri" w:hAnsi="Palatino Linotype" w:cs="Tahoma"/>
          <w:bCs/>
          <w:iCs/>
          <w:sz w:val="22"/>
          <w:szCs w:val="22"/>
          <w:lang w:val="es-ES" w:eastAsia="en-US"/>
        </w:rPr>
        <w:t>presentado por el Ayuntamiento de Cuautitlán Izcalli</w:t>
      </w:r>
      <w:r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Cs/>
          <w:iCs/>
          <w:sz w:val="22"/>
          <w:szCs w:val="22"/>
          <w:lang w:val="es-ES" w:eastAsia="en-US"/>
        </w:rPr>
        <w:t xml:space="preserve">mediante el cual se formularon </w:t>
      </w:r>
      <w:r w:rsidR="00837470" w:rsidRPr="00961771">
        <w:rPr>
          <w:rFonts w:ascii="Palatino Linotype" w:eastAsia="Calibri" w:hAnsi="Palatino Linotype" w:cs="Tahoma"/>
          <w:bCs/>
          <w:iCs/>
          <w:sz w:val="22"/>
          <w:szCs w:val="22"/>
          <w:lang w:val="es-ES" w:eastAsia="en-US"/>
        </w:rPr>
        <w:t>los alegatos siguientes</w:t>
      </w:r>
      <w:r w:rsidRPr="00961771">
        <w:rPr>
          <w:rFonts w:ascii="Palatino Linotype" w:eastAsia="Calibri" w:hAnsi="Palatino Linotype" w:cs="Tahoma"/>
          <w:bCs/>
          <w:iCs/>
          <w:sz w:val="22"/>
          <w:szCs w:val="22"/>
          <w:lang w:val="es-ES" w:eastAsia="en-US"/>
        </w:rPr>
        <w:t xml:space="preserve">: </w:t>
      </w:r>
    </w:p>
    <w:p w:rsidR="00806E45" w:rsidRPr="00961771" w:rsidRDefault="00806E45" w:rsidP="00590CCB">
      <w:pPr>
        <w:spacing w:line="276" w:lineRule="auto"/>
        <w:jc w:val="both"/>
        <w:rPr>
          <w:rFonts w:ascii="Palatino Linotype" w:eastAsia="Calibri" w:hAnsi="Palatino Linotype" w:cs="Tahoma"/>
          <w:bCs/>
          <w:sz w:val="22"/>
          <w:szCs w:val="22"/>
          <w:lang w:eastAsia="en-US"/>
        </w:rPr>
      </w:pPr>
    </w:p>
    <w:p w:rsidR="00806E45" w:rsidRPr="00961771" w:rsidRDefault="00854E77"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w:t>
      </w:r>
      <w:r w:rsidR="00837470" w:rsidRPr="00961771">
        <w:rPr>
          <w:rFonts w:ascii="Palatino Linotype" w:eastAsia="Calibri" w:hAnsi="Palatino Linotype" w:cs="Tahoma"/>
          <w:bCs/>
          <w:iCs/>
          <w:lang w:eastAsia="en-US"/>
        </w:rPr>
        <w:t xml:space="preserve">Al respecto, rindo respuesta con fundamento en lo dispuesto por el artículo </w:t>
      </w:r>
      <w:r w:rsidR="00837470" w:rsidRPr="00961771">
        <w:rPr>
          <w:rFonts w:ascii="Palatino Linotype" w:eastAsia="Calibri" w:hAnsi="Palatino Linotype" w:cs="Tahoma"/>
          <w:b/>
          <w:bCs/>
          <w:iCs/>
          <w:lang w:eastAsia="en-US"/>
        </w:rPr>
        <w:t>12 Párrafo Primero de la Ley de Transparencia y Acceso a la Información Pública del Estado de México y Municipios,</w:t>
      </w:r>
      <w:r w:rsidR="00837470" w:rsidRPr="00961771">
        <w:rPr>
          <w:rFonts w:ascii="Palatino Linotype" w:eastAsia="Calibri" w:hAnsi="Palatino Linotype" w:cs="Tahoma"/>
          <w:bCs/>
          <w:iCs/>
          <w:lang w:eastAsia="en-US"/>
        </w:rPr>
        <w:t xml:space="preserve"> que a la letra dice: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837470" w:rsidP="00590CCB">
      <w:pPr>
        <w:spacing w:line="276" w:lineRule="auto"/>
        <w:ind w:left="567" w:right="567"/>
        <w:jc w:val="center"/>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t>[Téngase por reproducido el artículo 12 párrafo primero, de la norma en cita]</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37470" w:rsidRPr="00961771" w:rsidRDefault="00837470"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
          <w:bCs/>
          <w:iCs/>
          <w:lang w:eastAsia="en-US"/>
        </w:rPr>
        <w:t>Artículo 24 Fracción XXV de la Ley de Transparencia y Acceso a la Información Pública del Estado de México y Municipios</w:t>
      </w:r>
      <w:r w:rsidRPr="00961771">
        <w:rPr>
          <w:rFonts w:ascii="Palatino Linotype" w:eastAsia="Calibri" w:hAnsi="Palatino Linotype" w:cs="Tahoma"/>
          <w:bCs/>
          <w:iCs/>
          <w:lang w:eastAsia="en-US"/>
        </w:rPr>
        <w:t>; y que a la letra dice:</w:t>
      </w:r>
    </w:p>
    <w:p w:rsidR="00837470" w:rsidRPr="00961771" w:rsidRDefault="00837470" w:rsidP="00590CCB">
      <w:pPr>
        <w:spacing w:line="276" w:lineRule="auto"/>
        <w:ind w:left="567" w:right="567"/>
        <w:jc w:val="both"/>
        <w:rPr>
          <w:rFonts w:ascii="Palatino Linotype" w:eastAsia="Calibri" w:hAnsi="Palatino Linotype" w:cs="Tahoma"/>
          <w:bCs/>
          <w:iCs/>
          <w:lang w:val="es-ES" w:eastAsia="en-US"/>
        </w:rPr>
      </w:pPr>
    </w:p>
    <w:p w:rsidR="00837470" w:rsidRPr="00961771" w:rsidRDefault="00837470" w:rsidP="00590CCB">
      <w:pPr>
        <w:spacing w:line="276" w:lineRule="auto"/>
        <w:ind w:left="567" w:right="567"/>
        <w:jc w:val="center"/>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t xml:space="preserve">[Téngase por reproducido </w:t>
      </w:r>
      <w:r w:rsidR="00F91951" w:rsidRPr="00961771">
        <w:rPr>
          <w:rFonts w:ascii="Palatino Linotype" w:eastAsia="Calibri" w:hAnsi="Palatino Linotype" w:cs="Tahoma"/>
          <w:bCs/>
          <w:iCs/>
          <w:lang w:val="es-ES" w:eastAsia="en-US"/>
        </w:rPr>
        <w:t>el artículo 24, fracción XXV</w:t>
      </w:r>
      <w:r w:rsidRPr="00961771">
        <w:rPr>
          <w:rFonts w:ascii="Palatino Linotype" w:eastAsia="Calibri" w:hAnsi="Palatino Linotype" w:cs="Tahoma"/>
          <w:bCs/>
          <w:iCs/>
          <w:lang w:val="es-ES" w:eastAsia="en-US"/>
        </w:rPr>
        <w:t>, de la norma en cita]</w:t>
      </w:r>
    </w:p>
    <w:p w:rsidR="00837470" w:rsidRPr="00961771" w:rsidRDefault="00837470"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837470" w:rsidP="00590CCB">
      <w:pPr>
        <w:spacing w:line="276" w:lineRule="auto"/>
        <w:ind w:left="567" w:right="567"/>
        <w:jc w:val="both"/>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lastRenderedPageBreak/>
        <w:t xml:space="preserve">Asimismo, se rinde Informe Justificado con fundamento en lo dispuesto por el </w:t>
      </w:r>
      <w:r w:rsidR="00F91951" w:rsidRPr="00961771">
        <w:rPr>
          <w:rFonts w:ascii="Palatino Linotype" w:eastAsia="Calibri" w:hAnsi="Palatino Linotype" w:cs="Tahoma"/>
          <w:b/>
          <w:bCs/>
          <w:iCs/>
          <w:lang w:val="es-ES" w:eastAsia="en-US"/>
        </w:rPr>
        <w:t xml:space="preserve">Artículo 185, </w:t>
      </w:r>
      <w:r w:rsidRPr="00961771">
        <w:rPr>
          <w:rFonts w:ascii="Palatino Linotype" w:eastAsia="Calibri" w:hAnsi="Palatino Linotype" w:cs="Tahoma"/>
          <w:b/>
          <w:bCs/>
          <w:iCs/>
          <w:lang w:val="es-ES" w:eastAsia="en-US"/>
        </w:rPr>
        <w:t xml:space="preserve">fracción III, de la Ley de Transparencia y Acceso a la Información Pública del Estado de México y Municipios </w:t>
      </w:r>
      <w:r w:rsidRPr="00961771">
        <w:rPr>
          <w:rFonts w:ascii="Palatino Linotype" w:eastAsia="Calibri" w:hAnsi="Palatino Linotype" w:cs="Tahoma"/>
          <w:bCs/>
          <w:iCs/>
          <w:lang w:val="es-ES" w:eastAsia="en-US"/>
        </w:rPr>
        <w:t>que a la letra dice: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F91951" w:rsidRPr="00961771" w:rsidRDefault="00F91951" w:rsidP="00590CCB">
      <w:pPr>
        <w:spacing w:line="276" w:lineRule="auto"/>
        <w:ind w:left="567" w:right="567"/>
        <w:jc w:val="center"/>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t>[Téngase por reproducido el artículo 185, fracción III, de la norma en cita]</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 xml:space="preserve">El motivo de la inconformidad que formula el ciudadano </w:t>
      </w:r>
      <w:proofErr w:type="gramStart"/>
      <w:r w:rsidRPr="00961771">
        <w:rPr>
          <w:rFonts w:ascii="Palatino Linotype" w:eastAsia="Calibri" w:hAnsi="Palatino Linotype" w:cs="Tahoma"/>
          <w:bCs/>
          <w:iCs/>
          <w:lang w:eastAsia="en-US"/>
        </w:rPr>
        <w:t>relativa</w:t>
      </w:r>
      <w:proofErr w:type="gramEnd"/>
      <w:r w:rsidRPr="00961771">
        <w:rPr>
          <w:rFonts w:ascii="Palatino Linotype" w:eastAsia="Calibri" w:hAnsi="Palatino Linotype" w:cs="Tahoma"/>
          <w:bCs/>
          <w:iCs/>
          <w:lang w:eastAsia="en-US"/>
        </w:rPr>
        <w:t xml:space="preserve"> a la respuesta emitida a la solicitud número 00271/CUAUTIZC/IP/2018 se hace consistir textualmente en lo siguiente: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
          <w:iCs/>
          <w:lang w:eastAsia="en-US"/>
        </w:rPr>
      </w:pPr>
      <w:r w:rsidRPr="00961771">
        <w:rPr>
          <w:rFonts w:ascii="Palatino Linotype" w:eastAsia="Calibri" w:hAnsi="Palatino Linotype" w:cs="Tahoma"/>
          <w:bCs/>
          <w:i/>
          <w:iCs/>
          <w:lang w:eastAsia="en-US"/>
        </w:rPr>
        <w:t>"1.-RESPECTO DEL ACTO IMPUGNADO QUE SE IDENTIFICA COMO "1": EN VIRTUD DE QUE LA UNIDAD DE TRANFERENCIA AUTORIZA DE MANERA INJUSTIFICADA EL PLAZO EXCEPCIONAL QUE LA LEY CONTEMPLA COMO PRORROGA PARA EMITIR LA RESPUESTA AL PETICIONARIO, EN VIRTUD DE QUE, OMITE SEÑALAR LAS CAUSAS QUE MOTIVARON LA AUTORIZACION REFERIDA, SIN QUE FUNDE Y MOTIVE LA CAUSA DE LA MISMA.</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 xml:space="preserve">En cuanto al numeral 1 del acto impugnado, que la </w:t>
      </w:r>
      <w:r w:rsidRPr="00961771">
        <w:rPr>
          <w:rFonts w:ascii="Palatino Linotype" w:eastAsia="Calibri" w:hAnsi="Palatino Linotype" w:cs="Tahoma"/>
          <w:b/>
          <w:bCs/>
          <w:iCs/>
          <w:lang w:eastAsia="en-US"/>
        </w:rPr>
        <w:t>Ley de Transparencia y Acceso a la Información Pública del Estado de México y Municipios</w:t>
      </w:r>
      <w:r w:rsidRPr="00961771">
        <w:rPr>
          <w:rFonts w:ascii="Palatino Linotype" w:eastAsia="Calibri" w:hAnsi="Palatino Linotype" w:cs="Tahoma"/>
          <w:bCs/>
          <w:iCs/>
          <w:lang w:eastAsia="en-US"/>
        </w:rPr>
        <w:t xml:space="preserve"> contempla en el artículo 163 segundo párrafo lo siguiente: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F91951" w:rsidRPr="00961771" w:rsidRDefault="00F91951" w:rsidP="00590CCB">
      <w:pPr>
        <w:spacing w:line="276" w:lineRule="auto"/>
        <w:ind w:left="567" w:right="567"/>
        <w:jc w:val="center"/>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t>[Téngase por reproducido el artículo 163, segundo párrafo, de la norma en cita]</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Derivado de lo anterior se manifiesta que en ningún momento la Unidad de Transparencia ya que la prórroga se solicitó en tiempo y forma tal como lo establece la Ley de Transparencia y Acceso a la Información Pública del Estado de México y Municipios en el artículo 163 segundo párrafo.</w:t>
      </w:r>
    </w:p>
    <w:p w:rsidR="004B1458" w:rsidRPr="00961771" w:rsidRDefault="004B1458" w:rsidP="00590CCB">
      <w:pPr>
        <w:spacing w:line="276" w:lineRule="auto"/>
        <w:ind w:left="567" w:right="567"/>
        <w:jc w:val="both"/>
        <w:rPr>
          <w:rFonts w:ascii="Palatino Linotype" w:eastAsia="Calibri" w:hAnsi="Palatino Linotype" w:cs="Tahoma"/>
          <w:bCs/>
          <w:iCs/>
          <w:lang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 xml:space="preserve">Se ratifica que la prórroga efectuada jamás fue injustificada ni indebida por parte del </w:t>
      </w:r>
      <w:r w:rsidR="00F1442D">
        <w:rPr>
          <w:rFonts w:ascii="Palatino Linotype" w:eastAsia="Calibri" w:hAnsi="Palatino Linotype" w:cs="Tahoma"/>
          <w:bCs/>
          <w:iCs/>
          <w:lang w:eastAsia="en-US"/>
        </w:rPr>
        <w:t>Sujeto Obligado</w:t>
      </w:r>
      <w:r w:rsidRPr="00961771">
        <w:rPr>
          <w:rFonts w:ascii="Palatino Linotype" w:eastAsia="Calibri" w:hAnsi="Palatino Linotype" w:cs="Tahoma"/>
          <w:bCs/>
          <w:iCs/>
          <w:lang w:eastAsia="en-US"/>
        </w:rPr>
        <w:t>; al contrario, fue solicitada y autorizada para satisfacer el requerimiento del particular y se hizo de conformidad con lo estipulado por la Ley de Transparencia, Acceso a la Información Pública del Estado de México y Municipios. Se reafirma que dicha prórroga única y exclusivamente fue solicitada con el objetivo de satisfacer plena y cabalmente lo requerido por el particular. Es decir, se agotaron todos los recursos a disposición de los servidores públicos de esta Tesorería para localizar la información solicitada por el particular.</w:t>
      </w:r>
    </w:p>
    <w:p w:rsidR="00806E45" w:rsidRPr="00961771" w:rsidRDefault="00806E45" w:rsidP="00590CCB">
      <w:pPr>
        <w:spacing w:line="276" w:lineRule="auto"/>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lastRenderedPageBreak/>
        <w:t>Sobre este numeral, se concluye entonces que: en cuanto a la prórroga solicitada, no se viola en ningún momento lo establecido por la presente ley.</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 xml:space="preserve">El motivo de la inconformidad que formula el ciudadano </w:t>
      </w:r>
      <w:proofErr w:type="gramStart"/>
      <w:r w:rsidRPr="00961771">
        <w:rPr>
          <w:rFonts w:ascii="Palatino Linotype" w:eastAsia="Calibri" w:hAnsi="Palatino Linotype" w:cs="Tahoma"/>
          <w:bCs/>
          <w:iCs/>
          <w:lang w:eastAsia="en-US"/>
        </w:rPr>
        <w:t>relativa</w:t>
      </w:r>
      <w:proofErr w:type="gramEnd"/>
      <w:r w:rsidRPr="00961771">
        <w:rPr>
          <w:rFonts w:ascii="Palatino Linotype" w:eastAsia="Calibri" w:hAnsi="Palatino Linotype" w:cs="Tahoma"/>
          <w:bCs/>
          <w:iCs/>
          <w:lang w:eastAsia="en-US"/>
        </w:rPr>
        <w:t xml:space="preserve"> a la respuesta emitida a la solicitud número </w:t>
      </w:r>
      <w:r w:rsidRPr="00961771">
        <w:rPr>
          <w:rFonts w:ascii="Palatino Linotype" w:eastAsia="Calibri" w:hAnsi="Palatino Linotype" w:cs="Tahoma"/>
          <w:b/>
          <w:bCs/>
          <w:iCs/>
          <w:lang w:eastAsia="en-US"/>
        </w:rPr>
        <w:t>00271/CUAUTIZC/IP/2018</w:t>
      </w:r>
      <w:r w:rsidRPr="00961771">
        <w:rPr>
          <w:rFonts w:ascii="Palatino Linotype" w:eastAsia="Calibri" w:hAnsi="Palatino Linotype" w:cs="Tahoma"/>
          <w:bCs/>
          <w:iCs/>
          <w:lang w:eastAsia="en-US"/>
        </w:rPr>
        <w:t xml:space="preserve"> se hace consistir textualmente en lo siguiente: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
          <w:iCs/>
          <w:lang w:eastAsia="en-US"/>
        </w:rPr>
      </w:pPr>
      <w:r w:rsidRPr="00961771">
        <w:rPr>
          <w:rFonts w:ascii="Palatino Linotype" w:eastAsia="Calibri" w:hAnsi="Palatino Linotype" w:cs="Tahoma"/>
          <w:bCs/>
          <w:i/>
          <w:iCs/>
          <w:lang w:eastAsia="en-US"/>
        </w:rPr>
        <w:t>2.-RESPECTO DEL ACTO IMPUGNADO QUE SE IDENTIFICA COMO "2": EN VIRTUD DE QUE EL MISMO NO JUSTIFICA DE MANERA EXPRESA LA APLICACIÓN DEL DAÑO ENCASO DE PROPORCIONAR LA INFORMACION, YA QUE, SI BIEN ARGUYE LA PROTECCION A PARTICULARES, DE NINGUNA MANERA JUSTIFICA LA RESERVA DE LA INFORMACION CONSISTENTE EN BENEFICIO OBTENIDO A LA HACIENDA PUBLICA MUNICIPAL CON MOTIVO DE LOS PAGOS GENERADOS POR EL IMPUESTO PREDIA A CARGGO DEL PREDIO SEÑALADO EN LA SOLICITUD DE REFERENCIA. DICHA INFORMACION SE CONSIDERA PUBLICA, AL TRATARSE DE APORTACIONES ECONOMICAS REALIZADAS POR PARTICULARES EN FAVOR DEL GOBERNANTE, QUIEN TIENE LA OBLIGACION DE INFORMAR RL MANEJO Y DESTINO CAUSADO POR DICHAS APORTACIONES, POR LO CUAL, EL ACUERDO EMITIDO POR EL COMITÉ DE TRANSPARENCIA RESULTA ILEGAL Y FALTO DE FUNDAMENTACION Y MOTIVACION EN QUE ADECUE LAS CAUSAS JUSTIFICADAS PARA LA RESERVA DE LA INFORMACION PUBLICA SOLIC/TIDA. LO ANTERIOR ATENTA CONTRA EL PRINCIPIO DE MAXIMA PUBLICIDAD QUE DEBE REGIR EN TODOS LOS NIVELES DE GOBIERNO, AS/ COMO EL DERECHO HUMANO DE ACCESO A LA INFORMAC/ON PUBLICA, QUE LA LEY OTORGA EN FAVOR DEL SUSCRITO.</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Conforme a lo establecido en el acuerdo 031/CUAUIZC/CT/TM/2018, la información que solicita está clasificada con carácter de RESERVA, y que fue aprobado de por el Comité de Transparencia conforme a lo establecido en el artículo 49 fracción VIII y demás relativos y aplicables de la Ley de Transparencia y Acceso a la Información Pública del Estado de México y Municipios, motivo por el cual es completamente legal.</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Es de mencionarse que el acuerdo de reserva está fundamentado y motivado como se hace consistir textualmente en lo siguiente:</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
          <w:bCs/>
          <w:iCs/>
          <w:lang w:eastAsia="en-US"/>
        </w:rPr>
        <w:t>FUNDAMENTACIÓN:</w:t>
      </w:r>
      <w:r w:rsidRPr="00961771">
        <w:rPr>
          <w:rFonts w:ascii="Palatino Linotype" w:eastAsia="Calibri" w:hAnsi="Palatino Linotype" w:cs="Tahoma"/>
          <w:bCs/>
          <w:iCs/>
          <w:lang w:eastAsia="en-US"/>
        </w:rPr>
        <w:t xml:space="preserve"> Artículo 6º apartado a fracción VIII sexto párrafo de la Constitución Política de los Estados Unidos Mexicanos; artículo 5º párrafo diecinueve fracción I de la Constitución Política del Estado Libre y Soberano de México; y artículos 1, 3 fracciones IV, XI, XIV, XX, XXIV, XXXIII, XXXIV, XLIV, 4 párrafo segundo, 45, 47 párrafo </w:t>
      </w:r>
      <w:r w:rsidRPr="00961771">
        <w:rPr>
          <w:rFonts w:ascii="Palatino Linotype" w:eastAsia="Calibri" w:hAnsi="Palatino Linotype" w:cs="Tahoma"/>
          <w:bCs/>
          <w:iCs/>
          <w:lang w:eastAsia="en-US"/>
        </w:rPr>
        <w:lastRenderedPageBreak/>
        <w:t>tercero, 48, 49 fracción VIII , 53 fracción X, 140 fracciones VI , VIII y X, y demás relativos y aplicables de la Ley de Transparencia y Acceso a la Información Pública del Estado de México y Municipios, artículos 3.10, 3.11 fracción 1, 4.1 , 4.5 y 4.8 del Reglamento de la Ley de Transparencia y Acceso a la Información Pública del Estado de México y Municipios, así como de los numerales cuarenta y seis y cuarenta y siete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
          <w:bCs/>
          <w:iCs/>
          <w:lang w:eastAsia="en-US"/>
        </w:rPr>
        <w:t xml:space="preserve">MOTIVACIÓN: </w:t>
      </w:r>
      <w:r w:rsidRPr="00961771">
        <w:rPr>
          <w:rFonts w:ascii="Palatino Linotype" w:eastAsia="Calibri" w:hAnsi="Palatino Linotype" w:cs="Tahoma"/>
          <w:bCs/>
          <w:iCs/>
          <w:lang w:eastAsia="en-US"/>
        </w:rPr>
        <w:t xml:space="preserve">El acuerdo se encuentra motivado ya que el proporcionar la información que obra en los archivos de la </w:t>
      </w:r>
      <w:proofErr w:type="spellStart"/>
      <w:r w:rsidRPr="00961771">
        <w:rPr>
          <w:rFonts w:ascii="Palatino Linotype" w:eastAsia="Calibri" w:hAnsi="Palatino Linotype" w:cs="Tahoma"/>
          <w:bCs/>
          <w:iCs/>
          <w:lang w:eastAsia="en-US"/>
        </w:rPr>
        <w:t>Subtesorería</w:t>
      </w:r>
      <w:proofErr w:type="spellEnd"/>
      <w:r w:rsidRPr="00961771">
        <w:rPr>
          <w:rFonts w:ascii="Palatino Linotype" w:eastAsia="Calibri" w:hAnsi="Palatino Linotype" w:cs="Tahoma"/>
          <w:bCs/>
          <w:iCs/>
          <w:lang w:eastAsia="en-US"/>
        </w:rPr>
        <w:t xml:space="preserve"> de Ingresos dependiente de la Tesorería Municipal del Municipio de Cuautitlán </w:t>
      </w:r>
      <w:proofErr w:type="spellStart"/>
      <w:r w:rsidRPr="00961771">
        <w:rPr>
          <w:rFonts w:ascii="Palatino Linotype" w:eastAsia="Calibri" w:hAnsi="Palatino Linotype" w:cs="Tahoma"/>
          <w:bCs/>
          <w:iCs/>
          <w:lang w:eastAsia="en-US"/>
        </w:rPr>
        <w:t>lzcalli</w:t>
      </w:r>
      <w:proofErr w:type="spellEnd"/>
      <w:r w:rsidRPr="00961771">
        <w:rPr>
          <w:rFonts w:ascii="Palatino Linotype" w:eastAsia="Calibri" w:hAnsi="Palatino Linotype" w:cs="Tahoma"/>
          <w:bCs/>
          <w:iCs/>
          <w:lang w:eastAsia="en-US"/>
        </w:rPr>
        <w:t xml:space="preserve">, Estado de México, consistente en todos los documentos generados y que se generen con motivo de la prestación de servicios y generación de productos mismos que son: integrar, controlar y salvaguardar el archivo de la unidad administrativa a su cargo, determinar, liquidar, recaudar, fiscalizar y administrar en los términos de los ordenamientos jurídicos aplicables y, en su caso, aplicar el procedimiento administrativo de ejecución en términos de las disposiciones aplicables, expedir constancias que acrediten el pago de contribuciones a solicitud de los interesados y El proporcionar la información que obra en los archivos de la </w:t>
      </w:r>
      <w:proofErr w:type="spellStart"/>
      <w:r w:rsidRPr="00961771">
        <w:rPr>
          <w:rFonts w:ascii="Palatino Linotype" w:eastAsia="Calibri" w:hAnsi="Palatino Linotype" w:cs="Tahoma"/>
          <w:bCs/>
          <w:iCs/>
          <w:lang w:eastAsia="en-US"/>
        </w:rPr>
        <w:t>Subtesorería</w:t>
      </w:r>
      <w:proofErr w:type="spellEnd"/>
      <w:r w:rsidRPr="00961771">
        <w:rPr>
          <w:rFonts w:ascii="Palatino Linotype" w:eastAsia="Calibri" w:hAnsi="Palatino Linotype" w:cs="Tahoma"/>
          <w:bCs/>
          <w:iCs/>
          <w:lang w:eastAsia="en-US"/>
        </w:rPr>
        <w:t xml:space="preserve"> de Ingresos dependiente de la Tesorería Municipal del Municipio de Cuautitlán </w:t>
      </w:r>
      <w:proofErr w:type="spellStart"/>
      <w:r w:rsidRPr="00961771">
        <w:rPr>
          <w:rFonts w:ascii="Palatino Linotype" w:eastAsia="Calibri" w:hAnsi="Palatino Linotype" w:cs="Tahoma"/>
          <w:bCs/>
          <w:iCs/>
          <w:lang w:eastAsia="en-US"/>
        </w:rPr>
        <w:t>lzcalli</w:t>
      </w:r>
      <w:proofErr w:type="spellEnd"/>
      <w:r w:rsidRPr="00961771">
        <w:rPr>
          <w:rFonts w:ascii="Palatino Linotype" w:eastAsia="Calibri" w:hAnsi="Palatino Linotype" w:cs="Tahoma"/>
          <w:bCs/>
          <w:iCs/>
          <w:lang w:eastAsia="en-US"/>
        </w:rPr>
        <w:t>, Estado de México, consistente en todos los documentos generados y que se generen con motivo de la prestación de servicios y generación de productos mismos que son: integrar, controlar y salvaguardar el archivo de la unidad administrativa a su cargo, determinar, liquidar, recaudar, fiscalizar y administrar en los términos de los ordenamientos jurídicos aplicables y, en su caso, aplicar el procedimiento administrativo de ejecución en términos de las disposiciones aplicables, expedir constancias que acrediten el pago de contribuciones a solicitud de los interesados y aquella información que de ellos emanen y sea elaborada dentro de los mismos durante la administración 2016 - 2018.</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F91951" w:rsidRPr="00961771" w:rsidRDefault="00F91951" w:rsidP="00590CCB">
      <w:pPr>
        <w:spacing w:line="276" w:lineRule="auto"/>
        <w:ind w:left="567" w:right="567"/>
        <w:jc w:val="both"/>
        <w:rPr>
          <w:rFonts w:ascii="Palatino Linotype" w:eastAsia="Calibri" w:hAnsi="Palatino Linotype" w:cs="Tahoma"/>
          <w:b/>
          <w:bCs/>
          <w:i/>
          <w:iCs/>
          <w:lang w:eastAsia="en-US"/>
        </w:rPr>
      </w:pPr>
      <w:r w:rsidRPr="00961771">
        <w:rPr>
          <w:rFonts w:ascii="Palatino Linotype" w:eastAsia="Calibri" w:hAnsi="Palatino Linotype" w:cs="Tahoma"/>
          <w:b/>
          <w:bCs/>
          <w:i/>
          <w:iCs/>
          <w:lang w:eastAsia="en-US"/>
        </w:rPr>
        <w:t>De igual manera, es de imperiosa necesidad señalar, que la información requerida por el particular no puede ser otorgada</w:t>
      </w:r>
      <w:r w:rsidR="00854E77" w:rsidRPr="00961771">
        <w:rPr>
          <w:rFonts w:ascii="Palatino Linotype" w:eastAsia="Calibri" w:hAnsi="Palatino Linotype" w:cs="Tahoma"/>
          <w:b/>
          <w:bCs/>
          <w:i/>
          <w:iCs/>
          <w:lang w:eastAsia="en-US"/>
        </w:rPr>
        <w:t>, toda vez que ésta contiene DA</w:t>
      </w:r>
      <w:r w:rsidRPr="00961771">
        <w:rPr>
          <w:rFonts w:ascii="Palatino Linotype" w:eastAsia="Calibri" w:hAnsi="Palatino Linotype" w:cs="Tahoma"/>
          <w:b/>
          <w:bCs/>
          <w:i/>
          <w:iCs/>
          <w:lang w:eastAsia="en-US"/>
        </w:rPr>
        <w:t>TOS PERSONALES DE UN</w:t>
      </w:r>
      <w:r w:rsidR="00854E77" w:rsidRPr="00961771">
        <w:rPr>
          <w:rFonts w:ascii="Palatino Linotype" w:eastAsia="Calibri" w:hAnsi="Palatino Linotype" w:cs="Tahoma"/>
          <w:b/>
          <w:bCs/>
          <w:i/>
          <w:iCs/>
          <w:lang w:eastAsia="en-US"/>
        </w:rPr>
        <w:t xml:space="preserve"> </w:t>
      </w:r>
      <w:r w:rsidRPr="00961771">
        <w:rPr>
          <w:rFonts w:ascii="Palatino Linotype" w:eastAsia="Calibri" w:hAnsi="Palatino Linotype" w:cs="Tahoma"/>
          <w:b/>
          <w:bCs/>
          <w:i/>
          <w:iCs/>
          <w:lang w:eastAsia="en-US"/>
        </w:rPr>
        <w:t>PARTICULAR.</w:t>
      </w:r>
    </w:p>
    <w:p w:rsidR="00F91951" w:rsidRPr="00961771" w:rsidRDefault="00F91951" w:rsidP="00590CCB">
      <w:pPr>
        <w:spacing w:line="276" w:lineRule="auto"/>
        <w:ind w:left="567" w:right="567"/>
        <w:jc w:val="both"/>
        <w:rPr>
          <w:rFonts w:ascii="Palatino Linotype" w:eastAsia="Calibri" w:hAnsi="Palatino Linotype" w:cs="Tahoma"/>
          <w:bCs/>
          <w:iCs/>
          <w:lang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 xml:space="preserve">Toda vez que al no conocer el tratamiento que habría de darse a la información solicitada, se corre el riesgo que se materialice el riesgo y se cause un daño a la intimidad o al patrimonio de las personas involucradas, en virtud de que al hacer pública la información </w:t>
      </w:r>
      <w:r w:rsidRPr="00961771">
        <w:rPr>
          <w:rFonts w:ascii="Palatino Linotype" w:eastAsia="Calibri" w:hAnsi="Palatino Linotype" w:cs="Tahoma"/>
          <w:bCs/>
          <w:iCs/>
          <w:lang w:eastAsia="en-US"/>
        </w:rPr>
        <w:lastRenderedPageBreak/>
        <w:t xml:space="preserve">se corre el riesgo de que haya una afectación material e inminente y se ponga en riesgo a las personas involucradas o que la información caiga en manos de grupos o intereses delictivos, vulnerando seriamente la vida, la seguridad o el patrimonio de una persona física. </w:t>
      </w:r>
      <w:r w:rsidRPr="00961771">
        <w:rPr>
          <w:rFonts w:ascii="Palatino Linotype" w:eastAsia="Calibri" w:hAnsi="Palatino Linotype" w:cs="Tahoma"/>
          <w:b/>
          <w:bCs/>
          <w:iCs/>
          <w:lang w:eastAsia="en-US"/>
        </w:rPr>
        <w:t xml:space="preserve">Como consta en el artículo 140 fracción IV. </w:t>
      </w:r>
      <w:r w:rsidRPr="00961771">
        <w:rPr>
          <w:rFonts w:ascii="Palatino Linotype" w:eastAsia="Calibri" w:hAnsi="Palatino Linotype" w:cs="Tahoma"/>
          <w:bCs/>
          <w:iCs/>
          <w:lang w:eastAsia="en-US"/>
        </w:rPr>
        <w:t>Lo cual iría en contra del interés social de preservar la vida, seguridad e integridad de las partes involucradas, representando un riesgo real, demostrable, específico e identificable de perjuicio significativo a. la vida, seguridad, patrimonio e integridad del titular en cuestión.</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
          <w:bCs/>
          <w:iCs/>
          <w:lang w:eastAsia="en-US"/>
        </w:rPr>
      </w:pPr>
      <w:r w:rsidRPr="00961771">
        <w:rPr>
          <w:rFonts w:ascii="Palatino Linotype" w:eastAsia="Calibri" w:hAnsi="Palatino Linotype" w:cs="Tahoma"/>
          <w:b/>
          <w:bCs/>
          <w:iCs/>
          <w:lang w:eastAsia="en-US"/>
        </w:rPr>
        <w:t>Así mismo, si bien es cierto existe el principio de máxima publicidad también es cierto, existir un equilibrio como lo establece el princ</w:t>
      </w:r>
      <w:r w:rsidR="004B1458" w:rsidRPr="00961771">
        <w:rPr>
          <w:rFonts w:ascii="Palatino Linotype" w:eastAsia="Calibri" w:hAnsi="Palatino Linotype" w:cs="Tahoma"/>
          <w:b/>
          <w:bCs/>
          <w:iCs/>
          <w:lang w:eastAsia="en-US"/>
        </w:rPr>
        <w:t>ipio de proporcionalidad, pues a</w:t>
      </w:r>
      <w:r w:rsidRPr="00961771">
        <w:rPr>
          <w:rFonts w:ascii="Palatino Linotype" w:eastAsia="Calibri" w:hAnsi="Palatino Linotype" w:cs="Tahoma"/>
          <w:b/>
          <w:bCs/>
          <w:iCs/>
          <w:lang w:eastAsia="en-US"/>
        </w:rPr>
        <w:t xml:space="preserve"> su vez, el otorgar la información solicitada, podría causar un perjuicio mayor al interés jurídico de publicar dicha información.</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
          <w:iCs/>
          <w:lang w:eastAsia="en-US"/>
        </w:rPr>
      </w:pPr>
      <w:r w:rsidRPr="00961771">
        <w:rPr>
          <w:rFonts w:ascii="Palatino Linotype" w:eastAsia="Calibri" w:hAnsi="Palatino Linotype" w:cs="Tahoma"/>
          <w:bCs/>
          <w:iCs/>
          <w:lang w:eastAsia="en-US"/>
        </w:rPr>
        <w:t xml:space="preserve">En referencia, 3.- </w:t>
      </w:r>
      <w:r w:rsidRPr="00961771">
        <w:rPr>
          <w:rFonts w:ascii="Palatino Linotype" w:eastAsia="Calibri" w:hAnsi="Palatino Linotype" w:cs="Tahoma"/>
          <w:bCs/>
          <w:i/>
          <w:iCs/>
          <w:lang w:eastAsia="en-US"/>
        </w:rPr>
        <w:t>RESPECTO DEL ACTO IMPUGNADO QUE SE IDENTIFICA COMO "3": EN VIRTUD DE QUE LA RESPUESTA OTORGADA RESULTA ILEGAL POR FALTA DE MOTIVAC/ON Y FUNDAMENTACION QUE JUSTIFIQUE LA RESERVA DE LA INFORMACION.ADEMAS DE QUE EL DOCUMENTO QUE ADJUNTA EN DIGITAL (PDF) A LA RESPUESTA OTORGADA, SE ENCUENTRA INCOMPLETO, YA QUE EN DIVERSOS APARTADOS DEL MISMO SE OBSERVA A SIMPLE VISTA QUE FALTAN RENGLONES DEL DOCUMENTO,LO QUE IMPIDE AL SUSCRITO EL EJERCER EL DERECHO DE ACCESO A LA INFORMAC/ON PUBLICA DEL OFICIO; ATENTANDO TAMBIEN EN CONTRA DEL DERECHO QUE LA LEY DE LA MA TER/A OTORGA EN MI FAVOR PARA RECUBRIR LA RESPUESTA, EN VIRTUD DE QUE, AL ESTAR INCOMPLETO EL DOCUMENTO, NO SE PUEDE TENER CERTEZA DE SU CONTENIDO Y EN CONSECUENCIA UBICA AL SUSCRITO EN UN ESTADO DE INDEFENS/ON EN CONTRA DE LOS MANIFESTADO POR LA AUTORIDAD RESPONSABLE. POR LO ANTERIORMENTE DESCRITO DEBE DECRETARSE LA INVALIDEZ DE LOS ACTOS QUE SE RECLAMAN, ORDENANDO A LA AUTORIDAD RESPONSABLE, PROPORCIONE AL SUSCRITO LA INFORMACION SOLICICITADA" (SIC).</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eastAsia="en-US"/>
        </w:rPr>
      </w:pPr>
      <w:r w:rsidRPr="00961771">
        <w:rPr>
          <w:rFonts w:ascii="Palatino Linotype" w:eastAsia="Calibri" w:hAnsi="Palatino Linotype" w:cs="Tahoma"/>
          <w:bCs/>
          <w:iCs/>
          <w:lang w:eastAsia="en-US"/>
        </w:rPr>
        <w:t>En el punto 3 plasmado en las razones o motivos de inconformidad asegura que el acuerdo emitido en la respuesta no se encuentra fundado y motivado, prevengo que de no haber sido así éste no habría sido aprobado por el Comité de Transparencia, asimismo informo que debido a cuestiones técnicas del sistema al escanear el acuerdo es que pareciera que está incompleto, no obstante, se adjunta nuevamente al presente para consulta del particular.</w:t>
      </w:r>
    </w:p>
    <w:p w:rsidR="00806E45" w:rsidRPr="00961771" w:rsidRDefault="00806E45" w:rsidP="00590CCB">
      <w:pPr>
        <w:spacing w:line="276" w:lineRule="auto"/>
        <w:ind w:left="567" w:right="567"/>
        <w:jc w:val="both"/>
        <w:rPr>
          <w:rFonts w:ascii="Palatino Linotype" w:eastAsia="Calibri" w:hAnsi="Palatino Linotype" w:cs="Tahoma"/>
          <w:bCs/>
          <w:iCs/>
          <w:lang w:val="es-ES" w:eastAsia="en-US"/>
        </w:rPr>
      </w:pPr>
    </w:p>
    <w:p w:rsidR="00806E45" w:rsidRPr="00961771" w:rsidRDefault="00F91951" w:rsidP="00590CCB">
      <w:pPr>
        <w:spacing w:line="276" w:lineRule="auto"/>
        <w:ind w:left="567" w:right="567"/>
        <w:jc w:val="both"/>
        <w:rPr>
          <w:rFonts w:ascii="Palatino Linotype" w:eastAsia="Calibri" w:hAnsi="Palatino Linotype" w:cs="Tahoma"/>
          <w:bCs/>
          <w:iCs/>
          <w:lang w:val="es-ES" w:eastAsia="en-US"/>
        </w:rPr>
      </w:pPr>
      <w:r w:rsidRPr="00961771">
        <w:rPr>
          <w:rFonts w:ascii="Palatino Linotype" w:eastAsia="Calibri" w:hAnsi="Palatino Linotype" w:cs="Tahoma"/>
          <w:bCs/>
          <w:iCs/>
          <w:lang w:val="es-ES" w:eastAsia="en-US"/>
        </w:rPr>
        <w:t>[…]</w:t>
      </w:r>
      <w:r w:rsidR="00854E77" w:rsidRPr="00961771">
        <w:rPr>
          <w:rFonts w:ascii="Palatino Linotype" w:eastAsia="Calibri" w:hAnsi="Palatino Linotype" w:cs="Tahoma"/>
          <w:bCs/>
          <w:iCs/>
          <w:lang w:val="es-ES" w:eastAsia="en-US"/>
        </w:rPr>
        <w:t xml:space="preserve"> (Sic)</w:t>
      </w:r>
    </w:p>
    <w:p w:rsidR="00806E45" w:rsidRPr="00961771" w:rsidRDefault="00806E45" w:rsidP="00590CCB">
      <w:pPr>
        <w:spacing w:line="276" w:lineRule="auto"/>
        <w:jc w:val="both"/>
        <w:rPr>
          <w:rFonts w:ascii="Palatino Linotype" w:eastAsia="Calibri" w:hAnsi="Palatino Linotype" w:cs="Tahoma"/>
          <w:bCs/>
          <w:iCs/>
          <w:sz w:val="22"/>
          <w:szCs w:val="22"/>
          <w:lang w:val="es-ES" w:eastAsia="en-US"/>
        </w:rPr>
      </w:pPr>
    </w:p>
    <w:p w:rsidR="00806E45" w:rsidRDefault="00854E77"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 su Informe Justificado, el Ayuntamiento de Cuautitlán Izcalli adjuntó el oficio número </w:t>
      </w:r>
      <w:r w:rsidRPr="00961771">
        <w:rPr>
          <w:rFonts w:ascii="Palatino Linotype" w:eastAsia="Calibri" w:hAnsi="Palatino Linotype" w:cs="Tahoma"/>
          <w:b/>
          <w:bCs/>
          <w:sz w:val="22"/>
          <w:szCs w:val="22"/>
          <w:lang w:val="es-ES" w:eastAsia="en-US"/>
        </w:rPr>
        <w:t>SA-UT/037 4/2018</w:t>
      </w:r>
      <w:r w:rsidRPr="00961771">
        <w:rPr>
          <w:rFonts w:ascii="Palatino Linotype" w:eastAsia="Calibri" w:hAnsi="Palatino Linotype" w:cs="Tahoma"/>
          <w:bCs/>
          <w:sz w:val="22"/>
          <w:szCs w:val="22"/>
          <w:lang w:val="es-ES" w:eastAsia="en-US"/>
        </w:rPr>
        <w:t>, de fecha veinticuatro de septiembre de dos mil dieciocho, por medio del cual la Titular de la Unidad de Transparencia requirió a la Tesorería Municipal el Informe Justificado, derivado del recurso de revisión que nos ocupa.</w:t>
      </w:r>
    </w:p>
    <w:p w:rsidR="00F72D11" w:rsidRDefault="00F72D11" w:rsidP="00590CCB">
      <w:pPr>
        <w:spacing w:line="276" w:lineRule="auto"/>
        <w:jc w:val="both"/>
        <w:rPr>
          <w:rFonts w:ascii="Palatino Linotype" w:eastAsia="Calibri" w:hAnsi="Palatino Linotype" w:cs="Tahoma"/>
          <w:bCs/>
          <w:sz w:val="22"/>
          <w:szCs w:val="22"/>
          <w:lang w:val="es-ES" w:eastAsia="en-US"/>
        </w:rPr>
      </w:pPr>
    </w:p>
    <w:p w:rsidR="00F72D11" w:rsidRPr="00961771" w:rsidRDefault="00F72D11" w:rsidP="00590CCB">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Es de precisar que el recurrente no presentó manifestaciones.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t>d) Cierre de instrucción:</w:t>
      </w:r>
      <w:r w:rsidRPr="00961771">
        <w:rPr>
          <w:rFonts w:ascii="Palatino Linotype" w:eastAsia="Calibri" w:hAnsi="Palatino Linotype" w:cs="Tahoma"/>
          <w:bCs/>
          <w:sz w:val="22"/>
          <w:szCs w:val="22"/>
          <w:lang w:val="es-ES" w:eastAsia="en-US"/>
        </w:rPr>
        <w:t xml:space="preserve"> </w:t>
      </w:r>
      <w:r w:rsidR="00854E77" w:rsidRPr="00961771">
        <w:rPr>
          <w:rFonts w:ascii="Palatino Linotype" w:eastAsia="Calibri" w:hAnsi="Palatino Linotype" w:cs="Tahoma"/>
          <w:bCs/>
          <w:sz w:val="22"/>
          <w:szCs w:val="22"/>
          <w:lang w:val="es-ES" w:eastAsia="en-US"/>
        </w:rPr>
        <w:t>Con fecha cuatro de</w:t>
      </w:r>
      <w:r w:rsidRPr="00961771">
        <w:rPr>
          <w:rFonts w:ascii="Palatino Linotype" w:eastAsia="Calibri" w:hAnsi="Palatino Linotype" w:cs="Tahoma"/>
          <w:bCs/>
          <w:sz w:val="22"/>
          <w:szCs w:val="22"/>
          <w:lang w:val="es-ES" w:eastAsia="en-US"/>
        </w:rPr>
        <w:t xml:space="preserve"> octubre de dos mil dieciocho,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w:t>
      </w:r>
      <w:r w:rsidR="00854E77" w:rsidRPr="00961771">
        <w:rPr>
          <w:rFonts w:ascii="Palatino Linotype" w:eastAsia="Calibri" w:hAnsi="Palatino Linotype" w:cs="Tahoma"/>
          <w:bCs/>
          <w:sz w:val="22"/>
          <w:szCs w:val="22"/>
          <w:lang w:val="es-ES" w:eastAsia="en-US"/>
        </w:rPr>
        <w:t>cinco de octubre del presente año</w:t>
      </w:r>
      <w:r w:rsidRPr="00961771">
        <w:rPr>
          <w:rFonts w:ascii="Palatino Linotype" w:eastAsia="Calibri" w:hAnsi="Palatino Linotype" w:cs="Tahoma"/>
          <w:bCs/>
          <w:sz w:val="22"/>
          <w:szCs w:val="22"/>
          <w:lang w:val="es-ES" w:eastAsia="en-US"/>
        </w:rPr>
        <w:t>, a través del Sistema de Acceso a la Información Mexiquense.</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En razón de que fue debidamente sustanciado el expediente electrónico y </w:t>
      </w:r>
      <w:r w:rsidR="00F307E6">
        <w:rPr>
          <w:rFonts w:ascii="Palatino Linotype" w:eastAsia="Calibri" w:hAnsi="Palatino Linotype" w:cs="Tahoma"/>
          <w:bCs/>
          <w:sz w:val="22"/>
          <w:szCs w:val="22"/>
          <w:lang w:val="es-ES" w:eastAsia="en-US"/>
        </w:rPr>
        <w:t xml:space="preserve">que </w:t>
      </w:r>
      <w:r w:rsidRPr="00961771">
        <w:rPr>
          <w:rFonts w:ascii="Palatino Linotype" w:eastAsia="Calibri" w:hAnsi="Palatino Linotype" w:cs="Tahoma"/>
          <w:bCs/>
          <w:sz w:val="22"/>
          <w:szCs w:val="22"/>
          <w:lang w:val="es-ES" w:eastAsia="en-US"/>
        </w:rPr>
        <w:t xml:space="preserve">no existe diligencia pendiente de desahogo, se emite la resolución que conforme a Derecho proceda, de acuerdo con las siguientes: </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center"/>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CONSIDERACIONES:</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 xml:space="preserve">PRIMERA. Competencia. </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conforme a lo dispuesto en los artículos 6</w:t>
      </w:r>
      <w:r w:rsidR="00F307E6">
        <w:rPr>
          <w:rFonts w:ascii="Palatino Linotype" w:eastAsia="Calibri" w:hAnsi="Palatino Linotype" w:cs="Tahoma"/>
          <w:bCs/>
          <w:sz w:val="22"/>
          <w:szCs w:val="22"/>
          <w:lang w:val="es-ES" w:eastAsia="en-US"/>
        </w:rPr>
        <w:t>°</w:t>
      </w:r>
      <w:r w:rsidRPr="00961771">
        <w:rPr>
          <w:rFonts w:ascii="Palatino Linotype" w:eastAsia="Calibri" w:hAnsi="Palatino Linotype" w:cs="Tahoma"/>
          <w:bCs/>
          <w:sz w:val="22"/>
          <w:szCs w:val="22"/>
          <w:lang w:val="es-ES" w:eastAsia="en-US"/>
        </w:rPr>
        <w:t>, apartado A de la Constitución Política de los Estados Unidos Mexicanos; 5</w:t>
      </w:r>
      <w:r w:rsidR="00F307E6">
        <w:rPr>
          <w:rFonts w:ascii="Palatino Linotype" w:eastAsia="Calibri" w:hAnsi="Palatino Linotype" w:cs="Tahoma"/>
          <w:bCs/>
          <w:sz w:val="22"/>
          <w:szCs w:val="22"/>
          <w:lang w:val="es-ES" w:eastAsia="en-US"/>
        </w:rPr>
        <w:t>°</w:t>
      </w:r>
      <w:r w:rsidRPr="00961771">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
          <w:bCs/>
          <w:sz w:val="22"/>
          <w:szCs w:val="22"/>
          <w:lang w:val="es-ES" w:eastAsia="en-US"/>
        </w:rPr>
        <w:lastRenderedPageBreak/>
        <w:t>SEGUNDA</w:t>
      </w:r>
      <w:r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
          <w:bCs/>
          <w:sz w:val="22"/>
          <w:szCs w:val="22"/>
          <w:lang w:val="es-ES" w:eastAsia="en-US"/>
        </w:rPr>
        <w:t>Causales de improcedencia y sobreseimiento.</w:t>
      </w:r>
      <w:r w:rsidRPr="00961771">
        <w:rPr>
          <w:rFonts w:ascii="Palatino Linotype" w:eastAsia="Calibri" w:hAnsi="Palatino Linotype" w:cs="Tahoma"/>
          <w:bCs/>
          <w:sz w:val="22"/>
          <w:szCs w:val="22"/>
          <w:lang w:val="es-ES" w:eastAsia="en-US"/>
        </w:rPr>
        <w:t xml:space="preserve"> </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214C56" w:rsidRPr="0027422D" w:rsidRDefault="00214C56" w:rsidP="00590CCB">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27422D">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27422D">
        <w:rPr>
          <w:rFonts w:ascii="Palatino Linotype" w:eastAsia="Calibri" w:hAnsi="Palatino Linotype" w:cs="Tahoma"/>
          <w:caps/>
          <w:color w:val="000000"/>
          <w:sz w:val="22"/>
          <w:szCs w:val="22"/>
          <w:lang w:eastAsia="es-MX"/>
        </w:rPr>
        <w:t>é</w:t>
      </w:r>
      <w:r w:rsidRPr="0027422D">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936D29" w:rsidRPr="0027422D" w:rsidRDefault="00936D29" w:rsidP="00936D29">
      <w:pPr>
        <w:autoSpaceDE w:val="0"/>
        <w:autoSpaceDN w:val="0"/>
        <w:adjustRightInd w:val="0"/>
        <w:spacing w:line="276" w:lineRule="auto"/>
        <w:jc w:val="both"/>
        <w:rPr>
          <w:rFonts w:ascii="Palatino Linotype" w:hAnsi="Palatino Linotype" w:cs="Tahoma"/>
          <w:sz w:val="22"/>
          <w:szCs w:val="22"/>
        </w:rPr>
      </w:pPr>
      <w:r w:rsidRPr="0027422D">
        <w:rPr>
          <w:rFonts w:ascii="Palatino Linotype" w:eastAsia="Calibri" w:hAnsi="Palatino Linotype" w:cs="Tahoma"/>
          <w:color w:val="000000"/>
          <w:sz w:val="22"/>
          <w:szCs w:val="22"/>
          <w:lang w:eastAsia="es-MX"/>
        </w:rPr>
        <w:t xml:space="preserve">En el presente caso, </w:t>
      </w:r>
      <w:r w:rsidRPr="0027422D">
        <w:rPr>
          <w:rFonts w:ascii="Palatino Linotype" w:eastAsia="Calibri" w:hAnsi="Palatino Linotype" w:cs="Tahoma"/>
          <w:b/>
          <w:color w:val="000000"/>
          <w:sz w:val="22"/>
          <w:szCs w:val="22"/>
          <w:lang w:eastAsia="es-MX"/>
        </w:rPr>
        <w:t>no se actualiza ninguna de las causales de improcedencia</w:t>
      </w:r>
      <w:r w:rsidRPr="0027422D">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27422D">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36D29" w:rsidRPr="0027422D" w:rsidRDefault="00936D29" w:rsidP="00936D29">
      <w:pPr>
        <w:autoSpaceDE w:val="0"/>
        <w:autoSpaceDN w:val="0"/>
        <w:adjustRightInd w:val="0"/>
        <w:spacing w:line="276" w:lineRule="auto"/>
        <w:jc w:val="both"/>
        <w:rPr>
          <w:rFonts w:ascii="Palatino Linotype" w:hAnsi="Palatino Linotype" w:cs="Tahoma"/>
          <w:sz w:val="22"/>
          <w:szCs w:val="22"/>
        </w:rPr>
      </w:pPr>
    </w:p>
    <w:p w:rsidR="00806E45" w:rsidRPr="00961771" w:rsidRDefault="00936D29" w:rsidP="00936D29">
      <w:pPr>
        <w:autoSpaceDE w:val="0"/>
        <w:autoSpaceDN w:val="0"/>
        <w:adjustRightInd w:val="0"/>
        <w:spacing w:line="276" w:lineRule="auto"/>
        <w:jc w:val="both"/>
        <w:rPr>
          <w:rFonts w:ascii="Palatino Linotype" w:eastAsia="Calibri" w:hAnsi="Palatino Linotype" w:cs="Tahoma"/>
          <w:bCs/>
          <w:sz w:val="22"/>
          <w:szCs w:val="22"/>
          <w:lang w:val="es-ES" w:eastAsia="en-US"/>
        </w:rPr>
      </w:pPr>
      <w:r w:rsidRPr="0027422D">
        <w:rPr>
          <w:rFonts w:ascii="Palatino Linotype" w:eastAsia="Calibri" w:hAnsi="Palatino Linotype" w:cs="Tahoma"/>
          <w:color w:val="000000"/>
          <w:sz w:val="22"/>
          <w:szCs w:val="22"/>
          <w:lang w:eastAsia="es-MX"/>
        </w:rPr>
        <w:t xml:space="preserve">Asimismo, </w:t>
      </w:r>
      <w:r w:rsidR="00806E45" w:rsidRPr="00961771">
        <w:rPr>
          <w:rFonts w:ascii="Palatino Linotype" w:eastAsia="Calibri" w:hAnsi="Palatino Linotype" w:cs="Tahoma"/>
          <w:bCs/>
          <w:sz w:val="22"/>
          <w:szCs w:val="22"/>
          <w:lang w:val="es-ES" w:eastAsia="en-US"/>
        </w:rPr>
        <w:t xml:space="preserve">se actualiza la causal de procedencia </w:t>
      </w:r>
      <w:r w:rsidR="004F4B65" w:rsidRPr="00961771">
        <w:rPr>
          <w:rFonts w:ascii="Palatino Linotype" w:eastAsia="Calibri" w:hAnsi="Palatino Linotype" w:cs="Tahoma"/>
          <w:bCs/>
          <w:sz w:val="22"/>
          <w:szCs w:val="22"/>
          <w:lang w:val="es-ES" w:eastAsia="en-US"/>
        </w:rPr>
        <w:t xml:space="preserve">del recurso de revisión </w:t>
      </w:r>
      <w:r w:rsidR="00806E45" w:rsidRPr="00961771">
        <w:rPr>
          <w:rFonts w:ascii="Palatino Linotype" w:eastAsia="Calibri" w:hAnsi="Palatino Linotype" w:cs="Tahoma"/>
          <w:bCs/>
          <w:sz w:val="22"/>
          <w:szCs w:val="22"/>
          <w:lang w:val="es-ES" w:eastAsia="en-US"/>
        </w:rPr>
        <w:t>señalada e</w:t>
      </w:r>
      <w:r w:rsidR="004F4B65" w:rsidRPr="00961771">
        <w:rPr>
          <w:rFonts w:ascii="Palatino Linotype" w:eastAsia="Calibri" w:hAnsi="Palatino Linotype" w:cs="Tahoma"/>
          <w:bCs/>
          <w:sz w:val="22"/>
          <w:szCs w:val="22"/>
          <w:lang w:val="es-ES" w:eastAsia="en-US"/>
        </w:rPr>
        <w:t xml:space="preserve">n el artículo 179, fracción II, </w:t>
      </w:r>
      <w:r w:rsidR="00806E45" w:rsidRPr="00961771">
        <w:rPr>
          <w:rFonts w:ascii="Palatino Linotype" w:eastAsia="Calibri" w:hAnsi="Palatino Linotype" w:cs="Tahoma"/>
          <w:bCs/>
          <w:sz w:val="22"/>
          <w:szCs w:val="22"/>
          <w:lang w:val="es-ES" w:eastAsia="en-US"/>
        </w:rPr>
        <w:t xml:space="preserve">de la Ley </w:t>
      </w:r>
      <w:r w:rsidR="004F4B65" w:rsidRPr="00961771">
        <w:rPr>
          <w:rFonts w:ascii="Palatino Linotype" w:eastAsia="Calibri" w:hAnsi="Palatino Linotype" w:cs="Tahoma"/>
          <w:bCs/>
          <w:sz w:val="22"/>
          <w:szCs w:val="22"/>
          <w:lang w:val="es-ES" w:eastAsia="en-US"/>
        </w:rPr>
        <w:t>en cita</w:t>
      </w:r>
      <w:r w:rsidR="00806E45" w:rsidRPr="00961771">
        <w:rPr>
          <w:rFonts w:ascii="Palatino Linotype" w:eastAsia="Calibri" w:hAnsi="Palatino Linotype" w:cs="Tahoma"/>
          <w:bCs/>
          <w:sz w:val="22"/>
          <w:szCs w:val="22"/>
          <w:lang w:val="es-ES" w:eastAsia="en-US"/>
        </w:rPr>
        <w:t xml:space="preserve">, </w:t>
      </w:r>
      <w:r w:rsidR="004F4B65" w:rsidRPr="00961771">
        <w:rPr>
          <w:rFonts w:ascii="Palatino Linotype" w:eastAsia="Calibri" w:hAnsi="Palatino Linotype" w:cs="Tahoma"/>
          <w:bCs/>
          <w:sz w:val="22"/>
          <w:szCs w:val="22"/>
          <w:lang w:val="es-ES" w:eastAsia="en-US"/>
        </w:rPr>
        <w:t>pues</w:t>
      </w:r>
      <w:r w:rsidR="00806E45" w:rsidRPr="00961771">
        <w:rPr>
          <w:rFonts w:ascii="Palatino Linotype" w:eastAsia="Calibri" w:hAnsi="Palatino Linotype" w:cs="Tahoma"/>
          <w:bCs/>
          <w:sz w:val="22"/>
          <w:szCs w:val="22"/>
          <w:lang w:val="es-ES" w:eastAsia="en-US"/>
        </w:rPr>
        <w:t xml:space="preserve"> </w:t>
      </w:r>
      <w:r w:rsidR="004F4B65" w:rsidRPr="00961771">
        <w:rPr>
          <w:rFonts w:ascii="Palatino Linotype" w:eastAsia="Calibri" w:hAnsi="Palatino Linotype" w:cs="Tahoma"/>
          <w:bCs/>
          <w:sz w:val="22"/>
          <w:szCs w:val="22"/>
          <w:lang w:val="es-ES" w:eastAsia="en-US"/>
        </w:rPr>
        <w:t xml:space="preserve">la parte </w:t>
      </w:r>
      <w:r w:rsidR="00F1442D">
        <w:rPr>
          <w:rFonts w:ascii="Palatino Linotype" w:eastAsia="Calibri" w:hAnsi="Palatino Linotype" w:cs="Tahoma"/>
          <w:bCs/>
          <w:sz w:val="22"/>
          <w:szCs w:val="22"/>
          <w:lang w:val="es-ES" w:eastAsia="en-US"/>
        </w:rPr>
        <w:t>Recurrente</w:t>
      </w:r>
      <w:r w:rsidR="00806E45" w:rsidRPr="00961771">
        <w:rPr>
          <w:rFonts w:ascii="Palatino Linotype" w:eastAsia="Calibri" w:hAnsi="Palatino Linotype" w:cs="Tahoma"/>
          <w:bCs/>
          <w:sz w:val="22"/>
          <w:szCs w:val="22"/>
          <w:lang w:val="es-ES" w:eastAsia="en-US"/>
        </w:rPr>
        <w:t xml:space="preserve"> se inconformó </w:t>
      </w:r>
      <w:r w:rsidR="004F4B65" w:rsidRPr="00961771">
        <w:rPr>
          <w:rFonts w:ascii="Palatino Linotype" w:eastAsia="Calibri" w:hAnsi="Palatino Linotype" w:cs="Tahoma"/>
          <w:bCs/>
          <w:sz w:val="22"/>
          <w:szCs w:val="22"/>
          <w:lang w:val="es-ES" w:eastAsia="en-US"/>
        </w:rPr>
        <w:t>con</w:t>
      </w:r>
      <w:r w:rsidR="00806E45" w:rsidRPr="00961771">
        <w:rPr>
          <w:rFonts w:ascii="Palatino Linotype" w:eastAsia="Calibri" w:hAnsi="Palatino Linotype" w:cs="Tahoma"/>
          <w:bCs/>
          <w:sz w:val="22"/>
          <w:szCs w:val="22"/>
          <w:lang w:val="es-ES" w:eastAsia="en-US"/>
        </w:rPr>
        <w:t xml:space="preserve"> la clasificación de la </w:t>
      </w:r>
      <w:r w:rsidR="004F4B65" w:rsidRPr="00961771">
        <w:rPr>
          <w:rFonts w:ascii="Palatino Linotype" w:eastAsia="Calibri" w:hAnsi="Palatino Linotype" w:cs="Tahoma"/>
          <w:bCs/>
          <w:sz w:val="22"/>
          <w:szCs w:val="22"/>
          <w:lang w:val="es-ES" w:eastAsia="en-US"/>
        </w:rPr>
        <w:t>información solicitada</w:t>
      </w:r>
      <w:r w:rsidR="00EB3AB5">
        <w:rPr>
          <w:rFonts w:ascii="Palatino Linotype" w:eastAsia="Calibri" w:hAnsi="Palatino Linotype" w:cs="Tahoma"/>
          <w:bCs/>
          <w:sz w:val="22"/>
          <w:szCs w:val="22"/>
          <w:lang w:val="es-ES" w:eastAsia="en-US"/>
        </w:rPr>
        <w:t>, además de la ampliación de plazo de respuesta</w:t>
      </w:r>
      <w:r w:rsidR="00806E45" w:rsidRPr="00961771">
        <w:rPr>
          <w:rFonts w:ascii="Palatino Linotype" w:eastAsia="Calibri" w:hAnsi="Palatino Linotype" w:cs="Tahoma"/>
          <w:bCs/>
          <w:sz w:val="22"/>
          <w:szCs w:val="22"/>
          <w:lang w:val="es-ES" w:eastAsia="en-US"/>
        </w:rPr>
        <w:t xml:space="preserve">. </w:t>
      </w:r>
    </w:p>
    <w:p w:rsidR="00806E45" w:rsidRPr="00961771" w:rsidRDefault="00806E45" w:rsidP="00590CCB">
      <w:pPr>
        <w:spacing w:line="276" w:lineRule="auto"/>
        <w:jc w:val="both"/>
        <w:rPr>
          <w:rFonts w:ascii="Palatino Linotype" w:eastAsia="Calibri" w:hAnsi="Palatino Linotype" w:cs="Tahoma"/>
          <w:bCs/>
          <w:sz w:val="22"/>
          <w:szCs w:val="22"/>
          <w:lang w:val="es-ES" w:eastAsia="en-US"/>
        </w:rPr>
      </w:pPr>
    </w:p>
    <w:p w:rsidR="00034552" w:rsidRPr="0027422D" w:rsidRDefault="00034552" w:rsidP="00034552">
      <w:pPr>
        <w:spacing w:line="276" w:lineRule="auto"/>
        <w:jc w:val="both"/>
        <w:rPr>
          <w:rFonts w:ascii="Palatino Linotype" w:eastAsia="Calibri" w:hAnsi="Palatino Linotype" w:cs="Tahoma"/>
          <w:b/>
          <w:sz w:val="22"/>
          <w:szCs w:val="22"/>
          <w:lang w:eastAsia="es-ES_tradnl"/>
        </w:rPr>
      </w:pPr>
      <w:r w:rsidRPr="0027422D">
        <w:rPr>
          <w:rFonts w:ascii="Palatino Linotype" w:eastAsia="Calibri" w:hAnsi="Palatino Linotype" w:cs="Tahoma"/>
          <w:b/>
          <w:sz w:val="22"/>
          <w:szCs w:val="22"/>
          <w:lang w:eastAsia="es-ES_tradnl"/>
        </w:rPr>
        <w:t>Causales de sobreseimiento.</w:t>
      </w:r>
    </w:p>
    <w:p w:rsidR="00034552" w:rsidRPr="0027422D" w:rsidRDefault="00034552" w:rsidP="00034552">
      <w:pPr>
        <w:spacing w:line="276" w:lineRule="auto"/>
        <w:jc w:val="both"/>
        <w:rPr>
          <w:rFonts w:ascii="Palatino Linotype" w:eastAsia="Calibri" w:hAnsi="Palatino Linotype" w:cs="Tahoma"/>
          <w:sz w:val="22"/>
          <w:szCs w:val="22"/>
          <w:lang w:eastAsia="es-ES_tradnl"/>
        </w:rPr>
      </w:pPr>
    </w:p>
    <w:p w:rsidR="00034552" w:rsidRPr="0027422D" w:rsidRDefault="00034552" w:rsidP="00034552">
      <w:pPr>
        <w:spacing w:line="276" w:lineRule="auto"/>
        <w:jc w:val="both"/>
        <w:rPr>
          <w:rFonts w:ascii="Palatino Linotype" w:eastAsia="Calibri" w:hAnsi="Palatino Linotype" w:cs="Tahoma"/>
          <w:sz w:val="22"/>
          <w:szCs w:val="22"/>
          <w:lang w:eastAsia="es-ES_tradnl"/>
        </w:rPr>
      </w:pPr>
      <w:r w:rsidRPr="0027422D">
        <w:rPr>
          <w:rFonts w:ascii="Palatino Linotype" w:eastAsia="Calibri" w:hAnsi="Palatino Linotype" w:cs="Tahoma"/>
          <w:sz w:val="22"/>
          <w:szCs w:val="22"/>
          <w:lang w:eastAsia="es-ES_tradnl"/>
        </w:rPr>
        <w:t>Por ser de previo y especial pronunciamiento, este Instituto analiza si se actualiza alguna causal de sobreseimiento.</w:t>
      </w:r>
    </w:p>
    <w:p w:rsidR="00034552" w:rsidRPr="0027422D" w:rsidRDefault="00034552" w:rsidP="00034552">
      <w:pPr>
        <w:spacing w:line="276" w:lineRule="auto"/>
        <w:jc w:val="both"/>
        <w:rPr>
          <w:rFonts w:ascii="Palatino Linotype" w:eastAsia="Calibri" w:hAnsi="Palatino Linotype" w:cs="Tahoma"/>
          <w:sz w:val="22"/>
          <w:szCs w:val="22"/>
          <w:lang w:eastAsia="es-ES_tradnl"/>
        </w:rPr>
      </w:pPr>
    </w:p>
    <w:p w:rsidR="00034552" w:rsidRPr="0027422D" w:rsidRDefault="00034552" w:rsidP="00034552">
      <w:pPr>
        <w:spacing w:line="276" w:lineRule="auto"/>
        <w:jc w:val="both"/>
        <w:rPr>
          <w:rFonts w:ascii="Palatino Linotype" w:eastAsia="Calibri" w:hAnsi="Palatino Linotype" w:cs="Tahoma"/>
          <w:sz w:val="22"/>
          <w:szCs w:val="22"/>
          <w:lang w:eastAsia="es-ES_tradnl"/>
        </w:rPr>
      </w:pPr>
      <w:r w:rsidRPr="0027422D">
        <w:rPr>
          <w:rFonts w:ascii="Palatino Linotype" w:eastAsia="Calibri" w:hAnsi="Palatino Linotype" w:cs="Tahoma"/>
          <w:sz w:val="22"/>
          <w:szCs w:val="22"/>
          <w:lang w:eastAsia="es-ES_tradnl"/>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806E45" w:rsidRPr="00961771" w:rsidRDefault="00806E45" w:rsidP="00590CCB">
      <w:pPr>
        <w:spacing w:line="276" w:lineRule="auto"/>
        <w:jc w:val="both"/>
        <w:rPr>
          <w:rFonts w:ascii="Palatino Linotype" w:eastAsia="Calibri" w:hAnsi="Palatino Linotype" w:cs="Tahoma"/>
          <w:b/>
          <w:bCs/>
          <w:iCs/>
          <w:sz w:val="22"/>
          <w:szCs w:val="22"/>
          <w:lang w:val="es-ES" w:eastAsia="en-US"/>
        </w:rPr>
      </w:pPr>
      <w:r w:rsidRPr="00961771">
        <w:rPr>
          <w:rFonts w:ascii="Palatino Linotype" w:eastAsia="Calibri" w:hAnsi="Palatino Linotype" w:cs="Tahoma"/>
          <w:b/>
          <w:bCs/>
          <w:iCs/>
          <w:sz w:val="22"/>
          <w:szCs w:val="22"/>
          <w:lang w:val="es-ES" w:eastAsia="en-US"/>
        </w:rPr>
        <w:lastRenderedPageBreak/>
        <w:t xml:space="preserve">TERCERA. Determinación de la Controversia. </w:t>
      </w:r>
    </w:p>
    <w:p w:rsidR="00806E45" w:rsidRPr="00961771" w:rsidRDefault="00806E45" w:rsidP="00590CCB">
      <w:pPr>
        <w:spacing w:line="276" w:lineRule="auto"/>
        <w:jc w:val="both"/>
        <w:rPr>
          <w:rFonts w:ascii="Palatino Linotype" w:eastAsia="Calibri" w:hAnsi="Palatino Linotype" w:cs="Tahoma"/>
          <w:bCs/>
          <w:iCs/>
          <w:sz w:val="22"/>
          <w:szCs w:val="22"/>
          <w:lang w:val="es-ES" w:eastAsia="en-US"/>
        </w:rPr>
      </w:pPr>
    </w:p>
    <w:p w:rsidR="004F4B65" w:rsidRPr="00961771" w:rsidRDefault="004F4B65"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Cs/>
          <w:iCs/>
          <w:sz w:val="22"/>
          <w:szCs w:val="22"/>
          <w:lang w:val="es-ES" w:eastAsia="en-US"/>
        </w:rPr>
        <w:t xml:space="preserve">El particular presentó una solicitud de acceso a la información ante la Unidad de Transparencia del Ayuntamiento de Cuautitlán Izcalli </w:t>
      </w:r>
      <w:r w:rsidR="0050763D" w:rsidRPr="00961771">
        <w:rPr>
          <w:rFonts w:ascii="Palatino Linotype" w:eastAsia="Calibri" w:hAnsi="Palatino Linotype" w:cs="Tahoma"/>
          <w:bCs/>
          <w:iCs/>
          <w:sz w:val="22"/>
          <w:szCs w:val="22"/>
          <w:lang w:val="es-ES" w:eastAsia="en-US"/>
        </w:rPr>
        <w:t>por medio de la cual requirió, en la modalidad de entrega a través del Sistema de Acceso a la Información Mexiquense</w:t>
      </w:r>
      <w:r w:rsidR="003809B7">
        <w:rPr>
          <w:rFonts w:ascii="Palatino Linotype" w:eastAsia="Calibri" w:hAnsi="Palatino Linotype" w:cs="Tahoma"/>
          <w:bCs/>
          <w:iCs/>
          <w:sz w:val="22"/>
          <w:szCs w:val="22"/>
          <w:lang w:val="es-ES" w:eastAsia="en-US"/>
        </w:rPr>
        <w:t xml:space="preserve"> (SAIMEX)</w:t>
      </w:r>
      <w:r w:rsidR="0050763D" w:rsidRPr="00961771">
        <w:rPr>
          <w:rFonts w:ascii="Palatino Linotype" w:eastAsia="Calibri" w:hAnsi="Palatino Linotype" w:cs="Tahoma"/>
          <w:bCs/>
          <w:iCs/>
          <w:sz w:val="22"/>
          <w:szCs w:val="22"/>
          <w:lang w:val="es-ES" w:eastAsia="en-US"/>
        </w:rPr>
        <w:t xml:space="preserve">, </w:t>
      </w:r>
      <w:r w:rsidR="00026C8E" w:rsidRPr="00961771">
        <w:rPr>
          <w:rFonts w:ascii="Palatino Linotype" w:eastAsia="Calibri" w:hAnsi="Palatino Linotype" w:cs="Tahoma"/>
          <w:bCs/>
          <w:iCs/>
          <w:sz w:val="22"/>
          <w:szCs w:val="22"/>
          <w:lang w:val="es-ES" w:eastAsia="en-US"/>
        </w:rPr>
        <w:t>respecto de un inmueble determinado, los contenidos de información siguientes:</w:t>
      </w:r>
    </w:p>
    <w:p w:rsidR="00026C8E" w:rsidRPr="00961771" w:rsidRDefault="00026C8E" w:rsidP="00590CCB">
      <w:pPr>
        <w:spacing w:line="276" w:lineRule="auto"/>
        <w:jc w:val="both"/>
        <w:rPr>
          <w:rFonts w:ascii="Palatino Linotype" w:eastAsia="Calibri" w:hAnsi="Palatino Linotype" w:cs="Tahoma"/>
          <w:bCs/>
          <w:iCs/>
          <w:sz w:val="22"/>
          <w:szCs w:val="22"/>
          <w:lang w:val="es-ES" w:eastAsia="en-US"/>
        </w:rPr>
      </w:pPr>
    </w:p>
    <w:p w:rsidR="00026C8E" w:rsidRPr="00961771" w:rsidRDefault="00824038" w:rsidP="00590CCB">
      <w:pPr>
        <w:pStyle w:val="Prrafodelista"/>
        <w:numPr>
          <w:ilvl w:val="0"/>
          <w:numId w:val="15"/>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Número de Registro Predial</w:t>
      </w:r>
    </w:p>
    <w:p w:rsidR="00824038" w:rsidRPr="00961771" w:rsidRDefault="00824038" w:rsidP="00590CCB">
      <w:pPr>
        <w:pStyle w:val="Prrafodelista"/>
        <w:numPr>
          <w:ilvl w:val="0"/>
          <w:numId w:val="15"/>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Nombre de la persona a la que está registrado el predio</w:t>
      </w:r>
    </w:p>
    <w:p w:rsidR="00824038" w:rsidRPr="00961771" w:rsidRDefault="00824038" w:rsidP="00590CCB">
      <w:pPr>
        <w:pStyle w:val="Prrafodelista"/>
        <w:numPr>
          <w:ilvl w:val="0"/>
          <w:numId w:val="15"/>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Comprobante del último pago realizado</w:t>
      </w:r>
      <w:r w:rsidR="00977B4C" w:rsidRPr="00961771">
        <w:rPr>
          <w:rFonts w:ascii="Palatino Linotype" w:eastAsia="Calibri" w:hAnsi="Palatino Linotype" w:cs="Tahoma"/>
          <w:bCs/>
          <w:iCs/>
          <w:szCs w:val="22"/>
          <w:lang w:val="es-ES" w:eastAsia="en-US"/>
        </w:rPr>
        <w:t xml:space="preserve"> y m</w:t>
      </w:r>
      <w:r w:rsidRPr="00961771">
        <w:rPr>
          <w:rFonts w:ascii="Palatino Linotype" w:eastAsia="Calibri" w:hAnsi="Palatino Linotype" w:cs="Tahoma"/>
          <w:bCs/>
          <w:iCs/>
          <w:szCs w:val="22"/>
          <w:lang w:val="es-ES" w:eastAsia="en-US"/>
        </w:rPr>
        <w:t xml:space="preserve">onto del </w:t>
      </w:r>
      <w:r w:rsidR="00977B4C" w:rsidRPr="00961771">
        <w:rPr>
          <w:rFonts w:ascii="Palatino Linotype" w:eastAsia="Calibri" w:hAnsi="Palatino Linotype" w:cs="Tahoma"/>
          <w:bCs/>
          <w:iCs/>
          <w:szCs w:val="22"/>
          <w:lang w:val="es-ES" w:eastAsia="en-US"/>
        </w:rPr>
        <w:t>mismo.</w:t>
      </w:r>
    </w:p>
    <w:p w:rsidR="004F4B65" w:rsidRPr="00961771" w:rsidRDefault="004F4B65" w:rsidP="00590CCB">
      <w:pPr>
        <w:spacing w:line="276" w:lineRule="auto"/>
        <w:jc w:val="both"/>
        <w:rPr>
          <w:rFonts w:ascii="Palatino Linotype" w:eastAsia="Calibri" w:hAnsi="Palatino Linotype" w:cs="Tahoma"/>
          <w:bCs/>
          <w:iCs/>
          <w:sz w:val="22"/>
          <w:szCs w:val="22"/>
          <w:lang w:val="es-ES" w:eastAsia="en-US"/>
        </w:rPr>
      </w:pPr>
    </w:p>
    <w:p w:rsidR="004F4B65" w:rsidRPr="00961771" w:rsidRDefault="00977B4C"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Cs/>
          <w:iCs/>
          <w:sz w:val="22"/>
          <w:szCs w:val="22"/>
          <w:lang w:val="es-ES" w:eastAsia="en-US"/>
        </w:rPr>
        <w:t xml:space="preserve">Así, en atención a la solicitud de acceso a la información, el Ayuntamiento de Cuautitlán Izcalli, por medio de la Tesorería Municipal, notificó al particular que </w:t>
      </w:r>
      <w:r w:rsidRPr="00961771">
        <w:rPr>
          <w:rFonts w:ascii="Palatino Linotype" w:eastAsia="Calibri" w:hAnsi="Palatino Linotype" w:cs="Tahoma"/>
          <w:b/>
          <w:bCs/>
          <w:iCs/>
          <w:sz w:val="22"/>
          <w:szCs w:val="22"/>
          <w:lang w:val="es-ES" w:eastAsia="en-US"/>
        </w:rPr>
        <w:t>la información solicitada tiene el carácter de reservada</w:t>
      </w:r>
      <w:r w:rsidRPr="00961771">
        <w:rPr>
          <w:rFonts w:ascii="Palatino Linotype" w:eastAsia="Calibri" w:hAnsi="Palatino Linotype" w:cs="Tahoma"/>
          <w:bCs/>
          <w:iCs/>
          <w:sz w:val="22"/>
          <w:szCs w:val="22"/>
          <w:lang w:val="es-ES" w:eastAsia="en-US"/>
        </w:rPr>
        <w:t xml:space="preserve">. Bajo esa lógica, </w:t>
      </w:r>
      <w:r w:rsidR="00E46352" w:rsidRPr="00961771">
        <w:rPr>
          <w:rFonts w:ascii="Palatino Linotype" w:eastAsia="Calibri" w:hAnsi="Palatino Linotype" w:cs="Tahoma"/>
          <w:bCs/>
          <w:iCs/>
          <w:sz w:val="22"/>
          <w:szCs w:val="22"/>
          <w:lang w:val="es-ES" w:eastAsia="en-US"/>
        </w:rPr>
        <w:t xml:space="preserve">el Comité de Transparencia del Ayuntamiento de Cuautitlán Izcalli confirmó la reserva de la información, argumentando, esencialmente, que </w:t>
      </w:r>
      <w:r w:rsidR="00E46352" w:rsidRPr="00961771">
        <w:rPr>
          <w:rFonts w:ascii="Palatino Linotype" w:eastAsia="Calibri" w:hAnsi="Palatino Linotype" w:cs="Tahoma"/>
          <w:b/>
          <w:bCs/>
          <w:iCs/>
          <w:sz w:val="22"/>
          <w:szCs w:val="22"/>
          <w:lang w:val="es-ES" w:eastAsia="en-US"/>
        </w:rPr>
        <w:t>de proporcionarse se compromete y pone en riesgo el patrimonio y la integridad física de las personas</w:t>
      </w:r>
      <w:r w:rsidR="00E46352" w:rsidRPr="00961771">
        <w:rPr>
          <w:rFonts w:ascii="Palatino Linotype" w:eastAsia="Calibri" w:hAnsi="Palatino Linotype" w:cs="Tahoma"/>
          <w:bCs/>
          <w:iCs/>
          <w:sz w:val="22"/>
          <w:szCs w:val="22"/>
          <w:lang w:val="es-ES" w:eastAsia="en-US"/>
        </w:rPr>
        <w:t>.</w:t>
      </w:r>
    </w:p>
    <w:p w:rsidR="00E46352" w:rsidRPr="00961771" w:rsidRDefault="00E46352" w:rsidP="00590CCB">
      <w:pPr>
        <w:spacing w:line="276" w:lineRule="auto"/>
        <w:jc w:val="both"/>
        <w:rPr>
          <w:rFonts w:ascii="Palatino Linotype" w:eastAsia="Calibri" w:hAnsi="Palatino Linotype" w:cs="Tahoma"/>
          <w:bCs/>
          <w:iCs/>
          <w:sz w:val="22"/>
          <w:szCs w:val="22"/>
          <w:lang w:val="es-ES" w:eastAsia="en-US"/>
        </w:rPr>
      </w:pPr>
    </w:p>
    <w:p w:rsidR="00E46352" w:rsidRPr="00961771" w:rsidRDefault="00E46352"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Cs/>
          <w:iCs/>
          <w:sz w:val="22"/>
          <w:szCs w:val="22"/>
          <w:lang w:val="es-ES" w:eastAsia="en-US"/>
        </w:rPr>
        <w:t>Inconforme con la respuesta, el particular presentó un recurso de revisión ante este Instituto, por medio del cual manifest</w:t>
      </w:r>
      <w:r w:rsidR="00EB5E78" w:rsidRPr="00961771">
        <w:rPr>
          <w:rFonts w:ascii="Palatino Linotype" w:eastAsia="Calibri" w:hAnsi="Palatino Linotype" w:cs="Tahoma"/>
          <w:bCs/>
          <w:iCs/>
          <w:sz w:val="22"/>
          <w:szCs w:val="22"/>
          <w:lang w:val="es-ES" w:eastAsia="en-US"/>
        </w:rPr>
        <w:t xml:space="preserve">ó </w:t>
      </w:r>
      <w:r w:rsidRPr="00961771">
        <w:rPr>
          <w:rFonts w:ascii="Palatino Linotype" w:eastAsia="Calibri" w:hAnsi="Palatino Linotype" w:cs="Tahoma"/>
          <w:bCs/>
          <w:iCs/>
          <w:sz w:val="22"/>
          <w:szCs w:val="22"/>
          <w:lang w:val="es-ES" w:eastAsia="en-US"/>
        </w:rPr>
        <w:t>como agravios</w:t>
      </w:r>
      <w:r w:rsidR="00EB5E78" w:rsidRPr="00961771">
        <w:rPr>
          <w:rFonts w:ascii="Palatino Linotype" w:eastAsia="Calibri" w:hAnsi="Palatino Linotype" w:cs="Tahoma"/>
          <w:bCs/>
          <w:iCs/>
          <w:sz w:val="22"/>
          <w:szCs w:val="22"/>
          <w:lang w:val="es-ES" w:eastAsia="en-US"/>
        </w:rPr>
        <w:t>, concretamente</w:t>
      </w:r>
      <w:r w:rsidRPr="00961771">
        <w:rPr>
          <w:rFonts w:ascii="Palatino Linotype" w:eastAsia="Calibri" w:hAnsi="Palatino Linotype" w:cs="Tahoma"/>
          <w:bCs/>
          <w:iCs/>
          <w:sz w:val="22"/>
          <w:szCs w:val="22"/>
          <w:lang w:val="es-ES" w:eastAsia="en-US"/>
        </w:rPr>
        <w:t>, los siguientes:</w:t>
      </w:r>
    </w:p>
    <w:p w:rsidR="00E46352" w:rsidRPr="00961771" w:rsidRDefault="00E46352" w:rsidP="00590CCB">
      <w:pPr>
        <w:spacing w:line="276" w:lineRule="auto"/>
        <w:jc w:val="both"/>
        <w:rPr>
          <w:rFonts w:ascii="Palatino Linotype" w:eastAsia="Calibri" w:hAnsi="Palatino Linotype" w:cs="Tahoma"/>
          <w:bCs/>
          <w:iCs/>
          <w:sz w:val="22"/>
          <w:szCs w:val="22"/>
          <w:lang w:val="es-ES" w:eastAsia="en-US"/>
        </w:rPr>
      </w:pPr>
    </w:p>
    <w:p w:rsidR="00E46352" w:rsidRPr="00961771" w:rsidRDefault="00E46352" w:rsidP="00590CCB">
      <w:pPr>
        <w:pStyle w:val="Prrafodelista"/>
        <w:numPr>
          <w:ilvl w:val="0"/>
          <w:numId w:val="16"/>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La injustificada prórroga para atender la solicitud de acceso a la información</w:t>
      </w:r>
      <w:r w:rsidR="00EB5E78" w:rsidRPr="00961771">
        <w:rPr>
          <w:rFonts w:ascii="Palatino Linotype" w:eastAsia="Calibri" w:hAnsi="Palatino Linotype" w:cs="Tahoma"/>
          <w:bCs/>
          <w:iCs/>
          <w:szCs w:val="22"/>
          <w:lang w:val="es-ES" w:eastAsia="en-US"/>
        </w:rPr>
        <w:t>, toda vez que la Unidad de Transparencia omitió señalar las causas que motivaron la autorización respectiva</w:t>
      </w:r>
      <w:r w:rsidRPr="00961771">
        <w:rPr>
          <w:rFonts w:ascii="Palatino Linotype" w:eastAsia="Calibri" w:hAnsi="Palatino Linotype" w:cs="Tahoma"/>
          <w:bCs/>
          <w:iCs/>
          <w:szCs w:val="22"/>
          <w:lang w:val="es-ES" w:eastAsia="en-US"/>
        </w:rPr>
        <w:t>; y,</w:t>
      </w:r>
    </w:p>
    <w:p w:rsidR="00E46352" w:rsidRPr="00961771" w:rsidRDefault="00E46352" w:rsidP="00590CCB">
      <w:pPr>
        <w:pStyle w:val="Prrafodelista"/>
        <w:numPr>
          <w:ilvl w:val="0"/>
          <w:numId w:val="16"/>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La clasificación de la informaci</w:t>
      </w:r>
      <w:r w:rsidR="00EB5E78" w:rsidRPr="00961771">
        <w:rPr>
          <w:rFonts w:ascii="Palatino Linotype" w:eastAsia="Calibri" w:hAnsi="Palatino Linotype" w:cs="Tahoma"/>
          <w:bCs/>
          <w:iCs/>
          <w:szCs w:val="22"/>
          <w:lang w:val="es-ES" w:eastAsia="en-US"/>
        </w:rPr>
        <w:t>ón, pues, a su consideración, la información solicitada da cuenta del benefició</w:t>
      </w:r>
      <w:r w:rsidR="00D606D1" w:rsidRPr="00961771">
        <w:rPr>
          <w:rFonts w:ascii="Palatino Linotype" w:eastAsia="Calibri" w:hAnsi="Palatino Linotype" w:cs="Tahoma"/>
          <w:bCs/>
          <w:iCs/>
          <w:szCs w:val="22"/>
          <w:lang w:val="es-ES" w:eastAsia="en-US"/>
        </w:rPr>
        <w:t xml:space="preserve"> que obtiene la hacienda pública</w:t>
      </w:r>
      <w:r w:rsidR="00EB5E78" w:rsidRPr="00961771">
        <w:rPr>
          <w:rFonts w:ascii="Palatino Linotype" w:eastAsia="Calibri" w:hAnsi="Palatino Linotype" w:cs="Tahoma"/>
          <w:bCs/>
          <w:iCs/>
          <w:szCs w:val="22"/>
          <w:lang w:val="es-ES" w:eastAsia="en-US"/>
        </w:rPr>
        <w:t xml:space="preserve"> con motivo del cobro del im</w:t>
      </w:r>
      <w:r w:rsidR="00D606D1" w:rsidRPr="00961771">
        <w:rPr>
          <w:rFonts w:ascii="Palatino Linotype" w:eastAsia="Calibri" w:hAnsi="Palatino Linotype" w:cs="Tahoma"/>
          <w:bCs/>
          <w:iCs/>
          <w:szCs w:val="22"/>
          <w:lang w:val="es-ES" w:eastAsia="en-US"/>
        </w:rPr>
        <w:t>puesto predial</w:t>
      </w:r>
      <w:r w:rsidR="00EB5E78" w:rsidRPr="00961771">
        <w:rPr>
          <w:rFonts w:ascii="Palatino Linotype" w:eastAsia="Calibri" w:hAnsi="Palatino Linotype" w:cs="Tahoma"/>
          <w:bCs/>
          <w:iCs/>
          <w:szCs w:val="22"/>
          <w:lang w:val="es-ES" w:eastAsia="en-US"/>
        </w:rPr>
        <w:t xml:space="preserve">. Aunado a que no se </w:t>
      </w:r>
      <w:r w:rsidR="00764A93" w:rsidRPr="00961771">
        <w:rPr>
          <w:rFonts w:ascii="Palatino Linotype" w:eastAsia="Calibri" w:hAnsi="Palatino Linotype" w:cs="Tahoma"/>
          <w:bCs/>
          <w:iCs/>
          <w:szCs w:val="22"/>
          <w:lang w:val="es-ES" w:eastAsia="en-US"/>
        </w:rPr>
        <w:t xml:space="preserve">motivó y fundó la clasificación ni se </w:t>
      </w:r>
      <w:r w:rsidR="00EB5E78" w:rsidRPr="00961771">
        <w:rPr>
          <w:rFonts w:ascii="Palatino Linotype" w:eastAsia="Calibri" w:hAnsi="Palatino Linotype" w:cs="Tahoma"/>
          <w:bCs/>
          <w:iCs/>
          <w:szCs w:val="22"/>
          <w:lang w:val="es-ES" w:eastAsia="en-US"/>
        </w:rPr>
        <w:t>efectuó la prueba de dañó correspondiente.</w:t>
      </w:r>
    </w:p>
    <w:p w:rsidR="004F4B65" w:rsidRPr="00961771" w:rsidRDefault="004F4B65" w:rsidP="00590CCB">
      <w:pPr>
        <w:spacing w:line="276" w:lineRule="auto"/>
        <w:jc w:val="both"/>
        <w:rPr>
          <w:rFonts w:ascii="Palatino Linotype" w:eastAsia="Calibri" w:hAnsi="Palatino Linotype" w:cs="Tahoma"/>
          <w:bCs/>
          <w:iCs/>
          <w:sz w:val="22"/>
          <w:szCs w:val="22"/>
          <w:lang w:val="es-ES" w:eastAsia="en-US"/>
        </w:rPr>
      </w:pPr>
    </w:p>
    <w:p w:rsidR="00EB5E78" w:rsidRPr="00961771" w:rsidRDefault="00EB5E78"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Cs/>
          <w:iCs/>
          <w:sz w:val="22"/>
          <w:szCs w:val="22"/>
          <w:lang w:val="es-ES" w:eastAsia="en-US"/>
        </w:rPr>
        <w:t xml:space="preserve">Así, una vez admitido y notificado el presente recurso de revisión a las partes, </w:t>
      </w:r>
      <w:r w:rsidR="004B1458" w:rsidRPr="00961771">
        <w:rPr>
          <w:rFonts w:ascii="Palatino Linotype" w:eastAsia="Calibri" w:hAnsi="Palatino Linotype" w:cs="Tahoma"/>
          <w:bCs/>
          <w:iCs/>
          <w:sz w:val="22"/>
          <w:szCs w:val="22"/>
          <w:lang w:val="es-ES" w:eastAsia="en-US"/>
        </w:rPr>
        <w:t>el Ayuntamiento de Cuautitlán Izcalli manifestó, básicamente, los alegatos siguientes:</w:t>
      </w:r>
    </w:p>
    <w:p w:rsidR="004B1458" w:rsidRPr="00961771" w:rsidRDefault="004B1458" w:rsidP="00590CCB">
      <w:pPr>
        <w:spacing w:line="276" w:lineRule="auto"/>
        <w:jc w:val="both"/>
        <w:rPr>
          <w:rFonts w:ascii="Palatino Linotype" w:eastAsia="Calibri" w:hAnsi="Palatino Linotype" w:cs="Tahoma"/>
          <w:bCs/>
          <w:iCs/>
          <w:sz w:val="22"/>
          <w:szCs w:val="22"/>
          <w:lang w:val="es-ES" w:eastAsia="en-US"/>
        </w:rPr>
      </w:pPr>
    </w:p>
    <w:p w:rsidR="004B1458" w:rsidRPr="00961771" w:rsidRDefault="004B1458" w:rsidP="00590CCB">
      <w:pPr>
        <w:pStyle w:val="Prrafodelista"/>
        <w:numPr>
          <w:ilvl w:val="0"/>
          <w:numId w:val="17"/>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 xml:space="preserve">Que la prórroga para atender la solicitud de información fue notificada en tiempo y forma, de conformidad con lo estipulado por la Ley de Transparencia y Acceso a la </w:t>
      </w:r>
      <w:r w:rsidRPr="00961771">
        <w:rPr>
          <w:rFonts w:ascii="Palatino Linotype" w:eastAsia="Calibri" w:hAnsi="Palatino Linotype" w:cs="Tahoma"/>
          <w:bCs/>
          <w:iCs/>
          <w:szCs w:val="22"/>
          <w:lang w:val="es-ES" w:eastAsia="en-US"/>
        </w:rPr>
        <w:lastRenderedPageBreak/>
        <w:t>Información Pública del Estado de México y Municipios, con la única finalidad de satisfacer plena y cabalmente lo requerido por el particular.</w:t>
      </w:r>
    </w:p>
    <w:p w:rsidR="004B1458" w:rsidRPr="00961771" w:rsidRDefault="004B1458" w:rsidP="00590CCB">
      <w:pPr>
        <w:pStyle w:val="Prrafodelista"/>
        <w:numPr>
          <w:ilvl w:val="0"/>
          <w:numId w:val="17"/>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 xml:space="preserve">Que el acta 031/CUAUIZC/CT/TM/2018, mediante la cual se clasificó como reservada la información solicitada, se encuentra debidamente fundada y motivada. En ese entendido, el </w:t>
      </w:r>
      <w:r w:rsidR="00F1442D">
        <w:rPr>
          <w:rFonts w:ascii="Palatino Linotype" w:eastAsia="Calibri" w:hAnsi="Palatino Linotype" w:cs="Tahoma"/>
          <w:bCs/>
          <w:iCs/>
          <w:szCs w:val="22"/>
          <w:lang w:val="es-ES" w:eastAsia="en-US"/>
        </w:rPr>
        <w:t>Sujeto Obligado</w:t>
      </w:r>
      <w:r w:rsidRPr="00961771">
        <w:rPr>
          <w:rFonts w:ascii="Palatino Linotype" w:eastAsia="Calibri" w:hAnsi="Palatino Linotype" w:cs="Tahoma"/>
          <w:bCs/>
          <w:iCs/>
          <w:szCs w:val="22"/>
          <w:lang w:val="es-ES" w:eastAsia="en-US"/>
        </w:rPr>
        <w:t xml:space="preserve"> señaló </w:t>
      </w:r>
      <w:r w:rsidR="00C07B97" w:rsidRPr="00961771">
        <w:rPr>
          <w:rFonts w:ascii="Palatino Linotype" w:eastAsia="Calibri" w:hAnsi="Palatino Linotype" w:cs="Tahoma"/>
          <w:bCs/>
          <w:iCs/>
          <w:szCs w:val="22"/>
          <w:lang w:val="es-ES" w:eastAsia="en-US"/>
        </w:rPr>
        <w:t>la fundamentación y motivación de la clasificación, reiterando, esencialmente, lo manifestado en su respuesta inicial, tal como se advierte en el apartado de antecedentes de la presente resolución.</w:t>
      </w:r>
    </w:p>
    <w:p w:rsidR="00C07B97" w:rsidRPr="00961771" w:rsidRDefault="00C07B97" w:rsidP="00590CCB">
      <w:pPr>
        <w:pStyle w:val="Prrafodelista"/>
        <w:numPr>
          <w:ilvl w:val="0"/>
          <w:numId w:val="17"/>
        </w:numPr>
        <w:spacing w:line="276" w:lineRule="auto"/>
        <w:jc w:val="both"/>
        <w:rPr>
          <w:rFonts w:ascii="Palatino Linotype" w:eastAsia="Calibri" w:hAnsi="Palatino Linotype" w:cs="Tahoma"/>
          <w:bCs/>
          <w:iCs/>
          <w:szCs w:val="22"/>
          <w:lang w:val="es-ES" w:eastAsia="en-US"/>
        </w:rPr>
      </w:pPr>
      <w:r w:rsidRPr="00961771">
        <w:rPr>
          <w:rFonts w:ascii="Palatino Linotype" w:eastAsia="Calibri" w:hAnsi="Palatino Linotype" w:cs="Tahoma"/>
          <w:bCs/>
          <w:iCs/>
          <w:szCs w:val="22"/>
          <w:lang w:val="es-ES" w:eastAsia="en-US"/>
        </w:rPr>
        <w:t>Que si la clasificación no hubiera sido debidamente fundada y motivada el Comité de Transparencia no la hubiera aprobado.</w:t>
      </w:r>
    </w:p>
    <w:p w:rsidR="004F4B65" w:rsidRPr="00961771" w:rsidRDefault="004F4B65" w:rsidP="00590CCB">
      <w:pPr>
        <w:spacing w:line="276" w:lineRule="auto"/>
        <w:jc w:val="both"/>
        <w:rPr>
          <w:rFonts w:ascii="Palatino Linotype" w:eastAsia="Calibri" w:hAnsi="Palatino Linotype" w:cs="Tahoma"/>
          <w:bCs/>
          <w:iCs/>
          <w:sz w:val="22"/>
          <w:szCs w:val="22"/>
          <w:lang w:val="es-ES" w:eastAsia="en-US"/>
        </w:rPr>
      </w:pPr>
    </w:p>
    <w:p w:rsidR="00C07B97" w:rsidRPr="00961771" w:rsidRDefault="00C07B97" w:rsidP="00590CCB">
      <w:pPr>
        <w:spacing w:line="276" w:lineRule="auto"/>
        <w:jc w:val="both"/>
        <w:rPr>
          <w:rFonts w:ascii="Palatino Linotype" w:eastAsia="Calibri" w:hAnsi="Palatino Linotype" w:cs="Tahoma"/>
          <w:bCs/>
          <w:iCs/>
          <w:sz w:val="22"/>
          <w:szCs w:val="22"/>
          <w:lang w:eastAsia="en-US"/>
        </w:rPr>
      </w:pPr>
      <w:r w:rsidRPr="00961771">
        <w:rPr>
          <w:rFonts w:ascii="Palatino Linotype" w:eastAsia="Calibri" w:hAnsi="Palatino Linotype" w:cs="Tahoma"/>
          <w:bCs/>
          <w:iCs/>
          <w:sz w:val="22"/>
          <w:szCs w:val="22"/>
          <w:lang w:eastAsia="en-US"/>
        </w:rPr>
        <w:t>En esta tesitura, por exhaustividad, es preciso indicar que, en relación con el material documental que obra en el expediente y aquellas constancias obtenidas del Sistema de Acceso a la In</w:t>
      </w:r>
      <w:r w:rsidR="003809B7">
        <w:rPr>
          <w:rFonts w:ascii="Palatino Linotype" w:eastAsia="Calibri" w:hAnsi="Palatino Linotype" w:cs="Tahoma"/>
          <w:bCs/>
          <w:iCs/>
          <w:sz w:val="22"/>
          <w:szCs w:val="22"/>
          <w:lang w:eastAsia="en-US"/>
        </w:rPr>
        <w:t>formación Mexiquense (SAIMEX); e</w:t>
      </w:r>
      <w:r w:rsidRPr="00961771">
        <w:rPr>
          <w:rFonts w:ascii="Palatino Linotype" w:eastAsia="Calibri" w:hAnsi="Palatino Linotype" w:cs="Tahoma"/>
          <w:bCs/>
          <w:iCs/>
          <w:sz w:val="22"/>
          <w:szCs w:val="22"/>
          <w:lang w:eastAsia="en-US"/>
        </w:rPr>
        <w:t>stas se han desahogado por su propia y especial naturaleza como instrumental de actuaciones y, a efecto de resolver lo que en derecho corresponde, se valoran en la presente resolución de acuerdo a la lógica y la experiencia, a fin de que la argumentación y decisión de este Instituto sea lo suficientemente contundente para justificar la determinación adoptada, de manera congruente con la Litis planteada.</w:t>
      </w:r>
    </w:p>
    <w:p w:rsidR="00C07B97" w:rsidRPr="00961771" w:rsidRDefault="00C07B97" w:rsidP="00590CCB">
      <w:pPr>
        <w:spacing w:line="276" w:lineRule="auto"/>
        <w:jc w:val="both"/>
        <w:rPr>
          <w:rFonts w:ascii="Palatino Linotype" w:eastAsia="Calibri" w:hAnsi="Palatino Linotype" w:cs="Tahoma"/>
          <w:bCs/>
          <w:iCs/>
          <w:sz w:val="22"/>
          <w:szCs w:val="22"/>
          <w:lang w:val="es-ES" w:eastAsia="en-US"/>
        </w:rPr>
      </w:pPr>
    </w:p>
    <w:p w:rsidR="00C07B97" w:rsidRPr="00961771" w:rsidRDefault="00D546DC" w:rsidP="00590CCB">
      <w:pPr>
        <w:spacing w:line="276" w:lineRule="auto"/>
        <w:jc w:val="both"/>
        <w:rPr>
          <w:rFonts w:ascii="Palatino Linotype" w:eastAsia="Calibri" w:hAnsi="Palatino Linotype" w:cs="Tahoma"/>
          <w:bCs/>
          <w:iCs/>
          <w:sz w:val="22"/>
          <w:szCs w:val="22"/>
          <w:lang w:val="es-ES" w:eastAsia="en-US"/>
        </w:rPr>
      </w:pPr>
      <w:r w:rsidRPr="00961771">
        <w:rPr>
          <w:rFonts w:ascii="Palatino Linotype" w:eastAsia="Calibri" w:hAnsi="Palatino Linotype" w:cs="Tahoma"/>
          <w:bCs/>
          <w:iCs/>
          <w:sz w:val="22"/>
          <w:szCs w:val="22"/>
          <w:lang w:val="es-ES" w:eastAsia="en-US"/>
        </w:rPr>
        <w:t>Establecida</w:t>
      </w:r>
      <w:r w:rsidR="00EF378C" w:rsidRPr="00961771">
        <w:rPr>
          <w:rFonts w:ascii="Palatino Linotype" w:eastAsia="Calibri" w:hAnsi="Palatino Linotype" w:cs="Tahoma"/>
          <w:bCs/>
          <w:iCs/>
          <w:sz w:val="22"/>
          <w:szCs w:val="22"/>
          <w:lang w:val="es-ES" w:eastAsia="en-US"/>
        </w:rPr>
        <w:t xml:space="preserve"> la controversia en los términos que han sido señalados en el presente considerando, lo consecuente es analizar la legalidad de la respuesta emitida por el Ayuntamiento de Cuautitlán Izcalli a la luz de los agravios manifestados por el ahora </w:t>
      </w:r>
      <w:r w:rsidR="00F1442D">
        <w:rPr>
          <w:rFonts w:ascii="Palatino Linotype" w:eastAsia="Calibri" w:hAnsi="Palatino Linotype" w:cs="Tahoma"/>
          <w:bCs/>
          <w:iCs/>
          <w:sz w:val="22"/>
          <w:szCs w:val="22"/>
          <w:lang w:val="es-ES" w:eastAsia="en-US"/>
        </w:rPr>
        <w:t>Recurrente</w:t>
      </w:r>
      <w:r w:rsidR="00EF378C" w:rsidRPr="00961771">
        <w:rPr>
          <w:rFonts w:ascii="Palatino Linotype" w:eastAsia="Calibri" w:hAnsi="Palatino Linotype" w:cs="Tahoma"/>
          <w:bCs/>
          <w:iCs/>
          <w:sz w:val="22"/>
          <w:szCs w:val="22"/>
          <w:lang w:val="es-ES" w:eastAsia="en-US"/>
        </w:rPr>
        <w:t>, de conformidad con lo dispuesto por la Ley de Transparencia y Acceso a la Información Pública del Estado de México y Municipios y demás disposiciones legales aplicables a la materia que se resuelve.</w:t>
      </w:r>
    </w:p>
    <w:p w:rsidR="004F4B65" w:rsidRPr="00961771" w:rsidRDefault="004F4B65" w:rsidP="00590CCB">
      <w:pPr>
        <w:spacing w:line="276" w:lineRule="auto"/>
        <w:jc w:val="both"/>
        <w:rPr>
          <w:rFonts w:ascii="Palatino Linotype" w:eastAsia="Calibri" w:hAnsi="Palatino Linotype" w:cs="Tahoma"/>
          <w:bCs/>
          <w:i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
          <w:bCs/>
          <w:sz w:val="22"/>
          <w:szCs w:val="22"/>
          <w:lang w:val="es-ES" w:eastAsia="en-US"/>
        </w:rPr>
        <w:t xml:space="preserve">CUARTA. </w:t>
      </w:r>
      <w:r w:rsidR="004E2E15" w:rsidRPr="00961771">
        <w:rPr>
          <w:rFonts w:ascii="Palatino Linotype" w:eastAsia="Calibri" w:hAnsi="Palatino Linotype" w:cs="Tahoma"/>
          <w:b/>
          <w:bCs/>
          <w:sz w:val="22"/>
          <w:szCs w:val="22"/>
          <w:lang w:val="es-ES" w:eastAsia="en-US"/>
        </w:rPr>
        <w:t>Análisis</w:t>
      </w:r>
      <w:r w:rsidRPr="00961771">
        <w:rPr>
          <w:rFonts w:ascii="Palatino Linotype" w:eastAsia="Calibri" w:hAnsi="Palatino Linotype" w:cs="Tahoma"/>
          <w:b/>
          <w:bCs/>
          <w:sz w:val="22"/>
          <w:szCs w:val="22"/>
          <w:lang w:val="es-ES" w:eastAsia="en-US"/>
        </w:rPr>
        <w:t xml:space="preserve"> de Fondo. </w:t>
      </w:r>
    </w:p>
    <w:p w:rsidR="00806E45" w:rsidRPr="00961771" w:rsidRDefault="00806E45" w:rsidP="00590CCB">
      <w:pPr>
        <w:spacing w:line="276" w:lineRule="auto"/>
        <w:jc w:val="both"/>
        <w:rPr>
          <w:rFonts w:ascii="Palatino Linotype" w:eastAsia="Calibri" w:hAnsi="Palatino Linotype" w:cs="Tahoma"/>
          <w:b/>
          <w:bCs/>
          <w:sz w:val="22"/>
          <w:szCs w:val="22"/>
          <w:lang w:val="es-ES" w:eastAsia="en-US"/>
        </w:rPr>
      </w:pPr>
    </w:p>
    <w:p w:rsidR="004E2E15" w:rsidRPr="00961771" w:rsidRDefault="00D606D1"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Tal como se desprende de la relatoría efectuada en el considerando anterior, así como de las constancias que obran agregadas al expediente en que se resuelve, </w:t>
      </w:r>
      <w:r w:rsidR="004E2E15" w:rsidRPr="00961771">
        <w:rPr>
          <w:rFonts w:ascii="Palatino Linotype" w:eastAsia="Calibri" w:hAnsi="Palatino Linotype" w:cs="Tahoma"/>
          <w:bCs/>
          <w:sz w:val="22"/>
          <w:szCs w:val="22"/>
          <w:lang w:val="es-ES" w:eastAsia="en-US"/>
        </w:rPr>
        <w:t>el particular manifestó dos agravios: el primero, la prórroga injustificada en la atención a la solicitud de acceso a la información requerida, y el segundo: la clasificación como reservada de la información solicitada. Por tanto, en el presente análisis se estructurará conforme a los agravios manifestados por el particular.</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4E2E15" w:rsidRPr="003809B7" w:rsidRDefault="004E2E15" w:rsidP="003809B7">
      <w:pPr>
        <w:pStyle w:val="Prrafodelista"/>
        <w:numPr>
          <w:ilvl w:val="0"/>
          <w:numId w:val="23"/>
        </w:numPr>
        <w:spacing w:line="276" w:lineRule="auto"/>
        <w:jc w:val="both"/>
        <w:rPr>
          <w:rFonts w:ascii="Palatino Linotype" w:eastAsia="Calibri" w:hAnsi="Palatino Linotype" w:cs="Tahoma"/>
          <w:b/>
          <w:bCs/>
          <w:szCs w:val="22"/>
          <w:lang w:val="es-ES" w:eastAsia="en-US"/>
        </w:rPr>
      </w:pPr>
      <w:r w:rsidRPr="003809B7">
        <w:rPr>
          <w:rFonts w:ascii="Palatino Linotype" w:eastAsia="Calibri" w:hAnsi="Palatino Linotype" w:cs="Tahoma"/>
          <w:b/>
          <w:bCs/>
          <w:szCs w:val="22"/>
          <w:lang w:val="es-ES" w:eastAsia="en-US"/>
        </w:rPr>
        <w:t>Prorroga injustificada en la atención a la solicitud de acceso a la información:</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Al respecto, el artículo 163 de la Ley de Transparencia y Acceso a la Información Pública del Estado de México y Municipios, indica que el plazo de quince días hábiles para atender una solicitud de información, de manera excepcional, podrá ampliarse hasta por siete días más, siempre y cuando existan razones fundadas y motivadas, las cuales deberán ser aprobadas por el Comité de Transparencia, mediante la emisión de una resolución que deberá notificarse al solicitante, antes de su vencimiento.</w:t>
      </w:r>
    </w:p>
    <w:p w:rsidR="00AA0FC8" w:rsidRPr="00961771" w:rsidRDefault="00AA0FC8" w:rsidP="00590CCB">
      <w:pPr>
        <w:spacing w:line="276" w:lineRule="auto"/>
        <w:jc w:val="both"/>
        <w:rPr>
          <w:rFonts w:ascii="Palatino Linotype" w:eastAsia="Calibri" w:hAnsi="Palatino Linotype" w:cs="Tahoma"/>
          <w:bCs/>
          <w:sz w:val="22"/>
          <w:szCs w:val="22"/>
          <w:lang w:val="es-ES" w:eastAsia="en-US"/>
        </w:rPr>
      </w:pPr>
    </w:p>
    <w:p w:rsidR="00AA0FC8" w:rsidRPr="00961771" w:rsidRDefault="00AA0FC8"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En otras palabras, para la ampliación del plazo de respuesta, el Ayuntamiento de Cuautitlán Izcalli debió haber efectuado lo siguiente:</w:t>
      </w:r>
    </w:p>
    <w:p w:rsidR="00AA0FC8" w:rsidRPr="00961771" w:rsidRDefault="00AA0FC8" w:rsidP="00590CCB">
      <w:pPr>
        <w:spacing w:line="276" w:lineRule="auto"/>
        <w:jc w:val="both"/>
        <w:rPr>
          <w:rFonts w:ascii="Palatino Linotype" w:eastAsia="Calibri" w:hAnsi="Palatino Linotype" w:cs="Tahoma"/>
          <w:bCs/>
          <w:sz w:val="22"/>
          <w:szCs w:val="22"/>
          <w:lang w:val="es-ES" w:eastAsia="en-US"/>
        </w:rPr>
      </w:pPr>
    </w:p>
    <w:p w:rsidR="00AA0FC8" w:rsidRPr="00961771" w:rsidRDefault="00AA0FC8" w:rsidP="00590CCB">
      <w:pPr>
        <w:pStyle w:val="Prrafodelista"/>
        <w:numPr>
          <w:ilvl w:val="0"/>
          <w:numId w:val="19"/>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Fundar y motivar las razones de la ampliación del plazo</w:t>
      </w:r>
    </w:p>
    <w:p w:rsidR="00AA0FC8" w:rsidRPr="00961771" w:rsidRDefault="00AA0FC8" w:rsidP="00590CCB">
      <w:pPr>
        <w:pStyle w:val="Prrafodelista"/>
        <w:numPr>
          <w:ilvl w:val="0"/>
          <w:numId w:val="19"/>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Emitir mediante el Comité de Transparencia el acta que aprobara la ampliación del plazo; y,</w:t>
      </w:r>
    </w:p>
    <w:p w:rsidR="00AA0FC8" w:rsidRPr="00961771" w:rsidRDefault="00AA0FC8" w:rsidP="00590CCB">
      <w:pPr>
        <w:pStyle w:val="Prrafodelista"/>
        <w:numPr>
          <w:ilvl w:val="0"/>
          <w:numId w:val="19"/>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Notificar el acta emitida por el Comité de Transparencia al solicitante, antes del término de los quince días hábiles.</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443787" w:rsidRPr="00961771" w:rsidRDefault="00AA0FC8"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En contraste, de la notificación de la pr</w:t>
      </w:r>
      <w:r w:rsidR="003809B7">
        <w:rPr>
          <w:rFonts w:ascii="Palatino Linotype" w:eastAsia="Calibri" w:hAnsi="Palatino Linotype" w:cs="Tahoma"/>
          <w:bCs/>
          <w:sz w:val="22"/>
          <w:szCs w:val="22"/>
          <w:lang w:val="es-ES" w:eastAsia="en-US"/>
        </w:rPr>
        <w:t>ó</w:t>
      </w:r>
      <w:r w:rsidRPr="00961771">
        <w:rPr>
          <w:rFonts w:ascii="Palatino Linotype" w:eastAsia="Calibri" w:hAnsi="Palatino Linotype" w:cs="Tahoma"/>
          <w:bCs/>
          <w:sz w:val="22"/>
          <w:szCs w:val="22"/>
          <w:lang w:val="es-ES" w:eastAsia="en-US"/>
        </w:rPr>
        <w:t>rroga efectua</w:t>
      </w:r>
      <w:r w:rsidR="00443787" w:rsidRPr="00961771">
        <w:rPr>
          <w:rFonts w:ascii="Palatino Linotype" w:eastAsia="Calibri" w:hAnsi="Palatino Linotype" w:cs="Tahoma"/>
          <w:bCs/>
          <w:sz w:val="22"/>
          <w:szCs w:val="22"/>
          <w:lang w:val="es-ES" w:eastAsia="en-US"/>
        </w:rPr>
        <w:t xml:space="preserve">da por el </w:t>
      </w:r>
      <w:r w:rsidR="00F1442D">
        <w:rPr>
          <w:rFonts w:ascii="Palatino Linotype" w:eastAsia="Calibri" w:hAnsi="Palatino Linotype" w:cs="Tahoma"/>
          <w:bCs/>
          <w:sz w:val="22"/>
          <w:szCs w:val="22"/>
          <w:lang w:val="es-ES" w:eastAsia="en-US"/>
        </w:rPr>
        <w:t>Sujeto Obligado</w:t>
      </w:r>
      <w:r w:rsidR="00443787" w:rsidRPr="00961771">
        <w:rPr>
          <w:rFonts w:ascii="Palatino Linotype" w:eastAsia="Calibri" w:hAnsi="Palatino Linotype" w:cs="Tahoma"/>
          <w:bCs/>
          <w:sz w:val="22"/>
          <w:szCs w:val="22"/>
          <w:lang w:val="es-ES" w:eastAsia="en-US"/>
        </w:rPr>
        <w:t xml:space="preserve"> (transcrita en el Antecedente número II), se advierte que este únicamente señala el fundamento legal y el motivo por el cual se realiza la prórroga para dar atención a la solic</w:t>
      </w:r>
      <w:r w:rsidR="003809B7">
        <w:rPr>
          <w:rFonts w:ascii="Palatino Linotype" w:eastAsia="Calibri" w:hAnsi="Palatino Linotype" w:cs="Tahoma"/>
          <w:bCs/>
          <w:sz w:val="22"/>
          <w:szCs w:val="22"/>
          <w:lang w:val="es-ES" w:eastAsia="en-US"/>
        </w:rPr>
        <w:t>itud de acceso a la información</w:t>
      </w:r>
      <w:r w:rsidR="00443787" w:rsidRPr="00961771">
        <w:rPr>
          <w:rFonts w:ascii="Palatino Linotype" w:eastAsia="Calibri" w:hAnsi="Palatino Linotype" w:cs="Tahoma"/>
          <w:bCs/>
          <w:sz w:val="22"/>
          <w:szCs w:val="22"/>
          <w:lang w:val="es-ES" w:eastAsia="en-US"/>
        </w:rPr>
        <w:t xml:space="preserve">, sin que el Comité de Transparencia </w:t>
      </w:r>
      <w:r w:rsidR="003809B7">
        <w:rPr>
          <w:rFonts w:ascii="Palatino Linotype" w:eastAsia="Calibri" w:hAnsi="Palatino Linotype" w:cs="Tahoma"/>
          <w:bCs/>
          <w:sz w:val="22"/>
          <w:szCs w:val="22"/>
          <w:lang w:val="es-ES" w:eastAsia="en-US"/>
        </w:rPr>
        <w:t xml:space="preserve">la hubiera confirmado </w:t>
      </w:r>
      <w:r w:rsidR="00443787" w:rsidRPr="00961771">
        <w:rPr>
          <w:rFonts w:ascii="Palatino Linotype" w:eastAsia="Calibri" w:hAnsi="Palatino Linotype" w:cs="Tahoma"/>
          <w:bCs/>
          <w:sz w:val="22"/>
          <w:szCs w:val="22"/>
          <w:lang w:val="es-ES" w:eastAsia="en-US"/>
        </w:rPr>
        <w:t>y emitido el acta correspondiente.</w:t>
      </w:r>
      <w:r w:rsidR="00927A7C" w:rsidRPr="00961771">
        <w:rPr>
          <w:rFonts w:ascii="Palatino Linotype" w:eastAsia="Calibri" w:hAnsi="Palatino Linotype" w:cs="Tahoma"/>
          <w:bCs/>
          <w:sz w:val="22"/>
          <w:szCs w:val="22"/>
          <w:lang w:val="es-ES" w:eastAsia="en-US"/>
        </w:rPr>
        <w:t xml:space="preserve"> </w:t>
      </w:r>
      <w:r w:rsidR="00443787" w:rsidRPr="00961771">
        <w:rPr>
          <w:rFonts w:ascii="Palatino Linotype" w:eastAsia="Calibri" w:hAnsi="Palatino Linotype" w:cs="Tahoma"/>
          <w:bCs/>
          <w:sz w:val="22"/>
          <w:szCs w:val="22"/>
          <w:lang w:val="es-ES" w:eastAsia="en-US"/>
        </w:rPr>
        <w:t xml:space="preserve">De lo que se sigue, que </w:t>
      </w:r>
      <w:r w:rsidR="00443787" w:rsidRPr="00961771">
        <w:rPr>
          <w:rFonts w:ascii="Palatino Linotype" w:eastAsia="Calibri" w:hAnsi="Palatino Linotype" w:cs="Tahoma"/>
          <w:b/>
          <w:bCs/>
          <w:sz w:val="22"/>
          <w:szCs w:val="22"/>
          <w:lang w:val="es-ES" w:eastAsia="en-US"/>
        </w:rPr>
        <w:t>el Ayuntamiento de Cuautitlán Izcalli</w:t>
      </w:r>
      <w:r w:rsidR="00443787" w:rsidRPr="00961771">
        <w:rPr>
          <w:rFonts w:ascii="Palatino Linotype" w:eastAsia="Calibri" w:hAnsi="Palatino Linotype" w:cs="Tahoma"/>
          <w:bCs/>
          <w:sz w:val="22"/>
          <w:szCs w:val="22"/>
          <w:lang w:val="es-ES" w:eastAsia="en-US"/>
        </w:rPr>
        <w:t xml:space="preserve"> </w:t>
      </w:r>
      <w:r w:rsidR="00443787" w:rsidRPr="00961771">
        <w:rPr>
          <w:rFonts w:ascii="Palatino Linotype" w:eastAsia="Calibri" w:hAnsi="Palatino Linotype" w:cs="Tahoma"/>
          <w:b/>
          <w:bCs/>
          <w:sz w:val="22"/>
          <w:szCs w:val="22"/>
          <w:lang w:val="es-ES" w:eastAsia="en-US"/>
        </w:rPr>
        <w:t>incumplió con el procedimiento para la prórroga</w:t>
      </w:r>
      <w:r w:rsidR="00443787" w:rsidRPr="00961771">
        <w:rPr>
          <w:rFonts w:ascii="Palatino Linotype" w:eastAsia="Calibri" w:hAnsi="Palatino Linotype" w:cs="Tahoma"/>
          <w:bCs/>
          <w:sz w:val="22"/>
          <w:szCs w:val="22"/>
          <w:lang w:val="es-ES" w:eastAsia="en-US"/>
        </w:rPr>
        <w:t xml:space="preserve"> del plazo de atención a la solicitud de acceso a información q</w:t>
      </w:r>
      <w:r w:rsidR="00927A7C" w:rsidRPr="00961771">
        <w:rPr>
          <w:rFonts w:ascii="Palatino Linotype" w:eastAsia="Calibri" w:hAnsi="Palatino Linotype" w:cs="Tahoma"/>
          <w:bCs/>
          <w:sz w:val="22"/>
          <w:szCs w:val="22"/>
          <w:lang w:val="es-ES" w:eastAsia="en-US"/>
        </w:rPr>
        <w:t>ue nos ocupa. C</w:t>
      </w:r>
      <w:r w:rsidR="00443787" w:rsidRPr="00961771">
        <w:rPr>
          <w:rFonts w:ascii="Palatino Linotype" w:eastAsia="Calibri" w:hAnsi="Palatino Linotype" w:cs="Tahoma"/>
          <w:bCs/>
          <w:sz w:val="22"/>
          <w:szCs w:val="22"/>
          <w:lang w:val="es-ES" w:eastAsia="en-US"/>
        </w:rPr>
        <w:t xml:space="preserve">onsecuentemente, </w:t>
      </w:r>
      <w:r w:rsidR="00443787" w:rsidRPr="00961771">
        <w:rPr>
          <w:rFonts w:ascii="Palatino Linotype" w:eastAsia="Calibri" w:hAnsi="Palatino Linotype" w:cs="Tahoma"/>
          <w:b/>
          <w:bCs/>
          <w:sz w:val="22"/>
          <w:szCs w:val="22"/>
          <w:lang w:val="es-ES" w:eastAsia="en-US"/>
        </w:rPr>
        <w:t xml:space="preserve">el agravio </w:t>
      </w:r>
      <w:r w:rsidR="00927A7C" w:rsidRPr="00961771">
        <w:rPr>
          <w:rFonts w:ascii="Palatino Linotype" w:eastAsia="Calibri" w:hAnsi="Palatino Linotype" w:cs="Tahoma"/>
          <w:b/>
          <w:bCs/>
          <w:sz w:val="22"/>
          <w:szCs w:val="22"/>
          <w:lang w:val="es-ES" w:eastAsia="en-US"/>
        </w:rPr>
        <w:t xml:space="preserve">manifestado por el particular </w:t>
      </w:r>
      <w:r w:rsidR="00443787" w:rsidRPr="00961771">
        <w:rPr>
          <w:rFonts w:ascii="Palatino Linotype" w:eastAsia="Calibri" w:hAnsi="Palatino Linotype" w:cs="Tahoma"/>
          <w:b/>
          <w:bCs/>
          <w:sz w:val="22"/>
          <w:szCs w:val="22"/>
          <w:lang w:val="es-ES" w:eastAsia="en-US"/>
        </w:rPr>
        <w:t>resulta fundado</w:t>
      </w:r>
      <w:r w:rsidR="00443787" w:rsidRPr="00961771">
        <w:rPr>
          <w:rFonts w:ascii="Palatino Linotype" w:eastAsia="Calibri" w:hAnsi="Palatino Linotype" w:cs="Tahoma"/>
          <w:bCs/>
          <w:sz w:val="22"/>
          <w:szCs w:val="22"/>
          <w:lang w:val="es-ES" w:eastAsia="en-US"/>
        </w:rPr>
        <w:t>.</w:t>
      </w:r>
    </w:p>
    <w:p w:rsidR="00443787" w:rsidRPr="00961771" w:rsidRDefault="00443787" w:rsidP="00590CCB">
      <w:pPr>
        <w:spacing w:line="276" w:lineRule="auto"/>
        <w:jc w:val="both"/>
        <w:rPr>
          <w:rFonts w:ascii="Palatino Linotype" w:eastAsia="Calibri" w:hAnsi="Palatino Linotype" w:cs="Tahoma"/>
          <w:bCs/>
          <w:sz w:val="22"/>
          <w:szCs w:val="22"/>
          <w:lang w:val="es-ES" w:eastAsia="en-US"/>
        </w:rPr>
      </w:pPr>
    </w:p>
    <w:p w:rsidR="00443787" w:rsidRPr="00961771" w:rsidRDefault="00927A7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No obstante, </w:t>
      </w:r>
      <w:r w:rsidR="00C92098" w:rsidRPr="00961771">
        <w:rPr>
          <w:rFonts w:ascii="Palatino Linotype" w:eastAsia="Calibri" w:hAnsi="Palatino Linotype" w:cs="Tahoma"/>
          <w:bCs/>
          <w:sz w:val="22"/>
          <w:szCs w:val="22"/>
          <w:lang w:val="es-ES" w:eastAsia="en-US"/>
        </w:rPr>
        <w:t>si bien resulta fundado el agravio señalado por el particular, derivado de la omisión del Comité de Transparencia</w:t>
      </w:r>
      <w:r w:rsidR="00E741E2" w:rsidRPr="00961771">
        <w:rPr>
          <w:rFonts w:ascii="Palatino Linotype" w:eastAsia="Calibri" w:hAnsi="Palatino Linotype" w:cs="Tahoma"/>
          <w:bCs/>
          <w:sz w:val="22"/>
          <w:szCs w:val="22"/>
          <w:lang w:val="es-ES" w:eastAsia="en-US"/>
        </w:rPr>
        <w:t xml:space="preserve"> de confirmar la prórroga y emitir el acta correspondiente</w:t>
      </w:r>
      <w:r w:rsidR="00C92098" w:rsidRPr="00961771">
        <w:rPr>
          <w:rFonts w:ascii="Palatino Linotype" w:eastAsia="Calibri" w:hAnsi="Palatino Linotype" w:cs="Tahoma"/>
          <w:bCs/>
          <w:sz w:val="22"/>
          <w:szCs w:val="22"/>
          <w:lang w:val="es-ES" w:eastAsia="en-US"/>
        </w:rPr>
        <w:t>, lo cierto es que este Instituto advierte que el tomar una determinación sobre dicha cuestión no es apta para resolver el asunto que nos ocupa en forma favorable para los intereses del solicitante, atendiendo a que nada pr</w:t>
      </w:r>
      <w:r w:rsidR="003809B7">
        <w:rPr>
          <w:rFonts w:ascii="Palatino Linotype" w:eastAsia="Calibri" w:hAnsi="Palatino Linotype" w:cs="Tahoma"/>
          <w:bCs/>
          <w:sz w:val="22"/>
          <w:szCs w:val="22"/>
          <w:lang w:val="es-ES" w:eastAsia="en-US"/>
        </w:rPr>
        <w:t>á</w:t>
      </w:r>
      <w:r w:rsidR="00C92098" w:rsidRPr="00961771">
        <w:rPr>
          <w:rFonts w:ascii="Palatino Linotype" w:eastAsia="Calibri" w:hAnsi="Palatino Linotype" w:cs="Tahoma"/>
          <w:bCs/>
          <w:sz w:val="22"/>
          <w:szCs w:val="22"/>
          <w:lang w:val="es-ES" w:eastAsia="en-US"/>
        </w:rPr>
        <w:t>ctico conduciría ordenar</w:t>
      </w:r>
      <w:r w:rsidR="00E741E2" w:rsidRPr="00961771">
        <w:rPr>
          <w:rFonts w:ascii="Palatino Linotype" w:eastAsia="Calibri" w:hAnsi="Palatino Linotype" w:cs="Tahoma"/>
          <w:bCs/>
          <w:sz w:val="22"/>
          <w:szCs w:val="22"/>
          <w:lang w:val="es-ES" w:eastAsia="en-US"/>
        </w:rPr>
        <w:t xml:space="preserve"> al Comité de Transparencia emitir el acta</w:t>
      </w:r>
      <w:r w:rsidR="00C92098" w:rsidRPr="00961771">
        <w:rPr>
          <w:rFonts w:ascii="Palatino Linotype" w:eastAsia="Calibri" w:hAnsi="Palatino Linotype" w:cs="Tahoma"/>
          <w:bCs/>
          <w:sz w:val="22"/>
          <w:szCs w:val="22"/>
          <w:lang w:val="es-ES" w:eastAsia="en-US"/>
        </w:rPr>
        <w:t xml:space="preserve">, dado que el sentido del fondo del asunto seguiría siendo el mismo (la clasificación de la información), en detrimento </w:t>
      </w:r>
      <w:r w:rsidR="00E741E2" w:rsidRPr="00961771">
        <w:rPr>
          <w:rFonts w:ascii="Palatino Linotype" w:eastAsia="Calibri" w:hAnsi="Palatino Linotype" w:cs="Tahoma"/>
          <w:bCs/>
          <w:sz w:val="22"/>
          <w:szCs w:val="22"/>
          <w:lang w:val="es-ES" w:eastAsia="en-US"/>
        </w:rPr>
        <w:t xml:space="preserve">de los principios de simplicidad y rapidez que rigen el procedimiento </w:t>
      </w:r>
      <w:r w:rsidR="00C92098" w:rsidRPr="00961771">
        <w:rPr>
          <w:rFonts w:ascii="Palatino Linotype" w:eastAsia="Calibri" w:hAnsi="Palatino Linotype" w:cs="Tahoma"/>
          <w:bCs/>
          <w:sz w:val="22"/>
          <w:szCs w:val="22"/>
          <w:lang w:val="es-ES" w:eastAsia="en-US"/>
        </w:rPr>
        <w:t>de acceso a la informaci</w:t>
      </w:r>
      <w:r w:rsidR="00E741E2" w:rsidRPr="00961771">
        <w:rPr>
          <w:rFonts w:ascii="Palatino Linotype" w:eastAsia="Calibri" w:hAnsi="Palatino Linotype" w:cs="Tahoma"/>
          <w:bCs/>
          <w:sz w:val="22"/>
          <w:szCs w:val="22"/>
          <w:lang w:val="es-ES" w:eastAsia="en-US"/>
        </w:rPr>
        <w:t>ón que establece el artículo 173 de la Ley de Transparencia y Acceso a la Información Pública del Estado de México y Municipios.</w:t>
      </w:r>
    </w:p>
    <w:p w:rsidR="004E2E15" w:rsidRPr="00961771" w:rsidRDefault="00E741E2"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En otras palabras, ordenar al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que subsane el procedimiento de prórroga en nada abona al derecho de acceso a la información del ahora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pues la clasificación dela información solicitada subsiste a la deficiencia en que se hubiera incurrido al momento de solicitar la ampliación del plazo para otorgar respuesta a la solicitud de acceso a la información.</w:t>
      </w:r>
    </w:p>
    <w:p w:rsidR="00E741E2" w:rsidRPr="00961771" w:rsidRDefault="00E741E2" w:rsidP="00590CCB">
      <w:pPr>
        <w:spacing w:line="276" w:lineRule="auto"/>
        <w:jc w:val="both"/>
        <w:rPr>
          <w:rFonts w:ascii="Palatino Linotype" w:eastAsia="Calibri" w:hAnsi="Palatino Linotype" w:cs="Tahoma"/>
          <w:bCs/>
          <w:sz w:val="22"/>
          <w:szCs w:val="22"/>
          <w:lang w:val="es-ES" w:eastAsia="en-US"/>
        </w:rPr>
      </w:pPr>
    </w:p>
    <w:p w:rsidR="004E2E15" w:rsidRPr="00961771" w:rsidRDefault="00E741E2"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Por tanto, al ser claro y evidente </w:t>
      </w:r>
      <w:r w:rsidR="003B5A37" w:rsidRPr="00961771">
        <w:rPr>
          <w:rFonts w:ascii="Palatino Linotype" w:eastAsia="Calibri" w:hAnsi="Palatino Linotype" w:cs="Tahoma"/>
          <w:bCs/>
          <w:sz w:val="22"/>
          <w:szCs w:val="22"/>
          <w:lang w:val="es-ES" w:eastAsia="en-US"/>
        </w:rPr>
        <w:t xml:space="preserve">que ordenar la reposición del procedimiento de prórroga no tiene como consecuencia que el solicitante pueda acceder a la información de su interés, </w:t>
      </w:r>
      <w:r w:rsidR="003B5A37" w:rsidRPr="00961771">
        <w:rPr>
          <w:rFonts w:ascii="Palatino Linotype" w:eastAsia="Calibri" w:hAnsi="Palatino Linotype" w:cs="Tahoma"/>
          <w:b/>
          <w:bCs/>
          <w:sz w:val="22"/>
          <w:szCs w:val="22"/>
          <w:u w:val="single"/>
          <w:lang w:val="es-ES" w:eastAsia="en-US"/>
        </w:rPr>
        <w:t>el agravio relativo a la injustificada ampliación del plazo de respuesta resulta fundado pero inoperante</w:t>
      </w:r>
      <w:r w:rsidR="003B5A37" w:rsidRPr="00961771">
        <w:rPr>
          <w:rFonts w:ascii="Palatino Linotype" w:eastAsia="Calibri" w:hAnsi="Palatino Linotype" w:cs="Tahoma"/>
          <w:bCs/>
          <w:sz w:val="22"/>
          <w:szCs w:val="22"/>
          <w:lang w:val="es-ES" w:eastAsia="en-US"/>
        </w:rPr>
        <w:t>.</w:t>
      </w:r>
    </w:p>
    <w:p w:rsidR="003B5A37" w:rsidRPr="00961771" w:rsidRDefault="003B5A37" w:rsidP="00590CCB">
      <w:pPr>
        <w:spacing w:line="276" w:lineRule="auto"/>
        <w:jc w:val="both"/>
        <w:rPr>
          <w:rFonts w:ascii="Palatino Linotype" w:eastAsia="Calibri" w:hAnsi="Palatino Linotype" w:cs="Tahoma"/>
          <w:bCs/>
          <w:sz w:val="22"/>
          <w:szCs w:val="22"/>
          <w:lang w:val="es-ES" w:eastAsia="en-US"/>
        </w:rPr>
      </w:pPr>
    </w:p>
    <w:p w:rsidR="003B5A37" w:rsidRPr="00961771" w:rsidRDefault="00CE00C1"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Con la finalidad de robustecer los argumentos anteriores, se cita</w:t>
      </w:r>
      <w:r w:rsidR="003B5A37" w:rsidRPr="00961771">
        <w:rPr>
          <w:rFonts w:ascii="Palatino Linotype" w:eastAsia="Calibri" w:hAnsi="Palatino Linotype" w:cs="Tahoma"/>
          <w:bCs/>
          <w:sz w:val="22"/>
          <w:szCs w:val="22"/>
          <w:lang w:val="es-ES" w:eastAsia="en-US"/>
        </w:rPr>
        <w:t xml:space="preserve"> por analog</w:t>
      </w:r>
      <w:r w:rsidRPr="00961771">
        <w:rPr>
          <w:rFonts w:ascii="Palatino Linotype" w:eastAsia="Calibri" w:hAnsi="Palatino Linotype" w:cs="Tahoma"/>
          <w:bCs/>
          <w:sz w:val="22"/>
          <w:szCs w:val="22"/>
          <w:lang w:val="es-ES" w:eastAsia="en-US"/>
        </w:rPr>
        <w:t>ía</w:t>
      </w:r>
      <w:r w:rsidR="003B5A37" w:rsidRPr="00961771">
        <w:rPr>
          <w:rFonts w:ascii="Palatino Linotype" w:eastAsia="Calibri" w:hAnsi="Palatino Linotype" w:cs="Tahoma"/>
          <w:bCs/>
          <w:sz w:val="22"/>
          <w:szCs w:val="22"/>
          <w:lang w:val="es-ES" w:eastAsia="en-US"/>
        </w:rPr>
        <w:t xml:space="preserve"> la tesis con número de identificación 181186. I.3o.C. J/32, </w:t>
      </w:r>
      <w:r w:rsidRPr="00961771">
        <w:rPr>
          <w:rFonts w:ascii="Palatino Linotype" w:eastAsia="Calibri" w:hAnsi="Palatino Linotype" w:cs="Tahoma"/>
          <w:bCs/>
          <w:sz w:val="22"/>
          <w:szCs w:val="22"/>
          <w:lang w:val="es-ES" w:eastAsia="en-US"/>
        </w:rPr>
        <w:t>de Tribunales Colegiados de Circuito, visible en la página 1396 del Semanario Judicial de la Federación y su Gaceta, Tomo XX, julio de 2004, Novena Época, de rubro y texto siguientes:</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4E2E15" w:rsidRPr="00961771" w:rsidRDefault="00CE00C1"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eastAsia="en-US"/>
        </w:rPr>
        <w:t>CONCEPTOS DE VIOLACIÓN FUNDADOS PERO INOPERANTES. DEBEN DECLARARSE ASÍ, CUANDO EXISTA SEGURIDAD ABSOLUTA EN CUANTO A LA IRRELEVANCIA DE LA OMISIÓN EN QUE INCURRIÓ LA AUTORIDAD RESPONSABLE Y NO SEA NECESARIO SUSTITUIRSE EN SU ARBITRIO PARA DEFINIR CUESTIONES DE FONDO</w:t>
      </w:r>
      <w:r w:rsidRPr="00961771">
        <w:rPr>
          <w:rFonts w:ascii="Palatino Linotype" w:eastAsia="Calibri" w:hAnsi="Palatino Linotype" w:cs="Tahoma"/>
          <w:bCs/>
          <w:lang w:eastAsia="en-US"/>
        </w:rPr>
        <w:t xml:space="preserve">. Conforme a la jurisprudencia de la Tercera Sala de la anterior integración de la Suprema Corte de Justicia de la Nación, cuyo rubro es: "CONCEPTOS DE VIOLACIÓN FUNDADOS, PERO INOPERANTES.", cuando en un juicio de amparo se considere fundado un concepto de violación por razones de incongruencia por omisión, pero a la vez se advierta que tal cuestión no es apta para resolver el asunto en forma favorable a los intereses del quejoso, el concepto aducido, aun cuando sea fundado, debe declararse inoperante, por razones de economía procesal, atendiendo a que a nada práctico conduciría conceder el amparo y protección de la Justicia Federal para el efecto de que se analizara una cuestión innecesaria, dado que el sentido del fondo del asunto seguiría siendo el mismo, en detrimento del principio de economía procesal y la pronta administración de justicia que establece el artículo 17 constitucional. Sobre esas bases, el tribunal de amparo debe pronunciarse respecto de los puntos que no fueron abordados por la autoridad de la instancia, porque de concederse la protección federal para que se subsanen no cambiaría el sentido del acto reclamado. Por tanto, es improcedente esa declaración de inoperancia cuando no existe la seguridad absoluta de la irrelevancia de la omisión en que haya incurrido la autoridad común al ser necesario el ejercicio de su arbitrio jurisdiccional para dilucidar aspectos de fondo, ya sea en valoración </w:t>
      </w:r>
      <w:r w:rsidRPr="00961771">
        <w:rPr>
          <w:rFonts w:ascii="Palatino Linotype" w:eastAsia="Calibri" w:hAnsi="Palatino Linotype" w:cs="Tahoma"/>
          <w:bCs/>
          <w:lang w:eastAsia="en-US"/>
        </w:rPr>
        <w:lastRenderedPageBreak/>
        <w:t>de pruebas, apreciación de hechos, interpretación y aplicación de normas o de contratos, porque en estos supuestos invariablemente corresponde a la autoridad ocuparse del análisis de las cuestiones omitidas, pues de lo contrario, la potestad de amparo podría dejar inaudita a una de las partes; de ahí que la determinación de que un concepto de violación es fundado pero inoperante, únicamente es adecuada ante una clara y evidente solución del asunto, pero no cuando se requiere de mayores reflexiones en ejercicio del aludido arbitrio jurisdiccional.</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4E2E15" w:rsidRPr="003809B7" w:rsidRDefault="00CE00C1" w:rsidP="003809B7">
      <w:pPr>
        <w:pStyle w:val="Prrafodelista"/>
        <w:numPr>
          <w:ilvl w:val="0"/>
          <w:numId w:val="23"/>
        </w:numPr>
        <w:spacing w:line="276" w:lineRule="auto"/>
        <w:jc w:val="both"/>
        <w:rPr>
          <w:rFonts w:ascii="Palatino Linotype" w:eastAsia="Calibri" w:hAnsi="Palatino Linotype" w:cs="Tahoma"/>
          <w:b/>
          <w:bCs/>
          <w:szCs w:val="22"/>
          <w:lang w:val="es-ES" w:eastAsia="en-US"/>
        </w:rPr>
      </w:pPr>
      <w:r w:rsidRPr="003809B7">
        <w:rPr>
          <w:rFonts w:ascii="Palatino Linotype" w:eastAsia="Calibri" w:hAnsi="Palatino Linotype" w:cs="Tahoma"/>
          <w:b/>
          <w:bCs/>
          <w:szCs w:val="22"/>
          <w:lang w:val="es-ES" w:eastAsia="en-US"/>
        </w:rPr>
        <w:t>Clasificación como reservada del número de Registro Predial, nombre de la persona a la que está registrado el</w:t>
      </w:r>
      <w:r w:rsidR="00E94F09" w:rsidRPr="003809B7">
        <w:rPr>
          <w:rFonts w:ascii="Palatino Linotype" w:eastAsia="Calibri" w:hAnsi="Palatino Linotype" w:cs="Tahoma"/>
          <w:b/>
          <w:bCs/>
          <w:szCs w:val="22"/>
          <w:lang w:val="es-ES" w:eastAsia="en-US"/>
        </w:rPr>
        <w:t xml:space="preserve"> predio, </w:t>
      </w:r>
      <w:r w:rsidRPr="003809B7">
        <w:rPr>
          <w:rFonts w:ascii="Palatino Linotype" w:eastAsia="Calibri" w:hAnsi="Palatino Linotype" w:cs="Tahoma"/>
          <w:b/>
          <w:bCs/>
          <w:szCs w:val="22"/>
          <w:lang w:val="es-ES" w:eastAsia="en-US"/>
        </w:rPr>
        <w:t>comprobante del último pago realizado y monto del mismo</w:t>
      </w:r>
      <w:r w:rsidR="00E94F09" w:rsidRPr="003809B7">
        <w:rPr>
          <w:rFonts w:ascii="Palatino Linotype" w:eastAsia="Calibri" w:hAnsi="Palatino Linotype" w:cs="Tahoma"/>
          <w:b/>
          <w:bCs/>
          <w:szCs w:val="22"/>
          <w:lang w:val="es-ES" w:eastAsia="en-US"/>
        </w:rPr>
        <w:t>:</w:t>
      </w:r>
    </w:p>
    <w:p w:rsidR="004E2E15" w:rsidRPr="00961771" w:rsidRDefault="004E2E15" w:rsidP="00590CCB">
      <w:pPr>
        <w:spacing w:line="276" w:lineRule="auto"/>
        <w:jc w:val="both"/>
        <w:rPr>
          <w:rFonts w:ascii="Palatino Linotype" w:eastAsia="Calibri" w:hAnsi="Palatino Linotype" w:cs="Tahoma"/>
          <w:bCs/>
          <w:sz w:val="22"/>
          <w:szCs w:val="22"/>
          <w:lang w:val="es-ES" w:eastAsia="en-US"/>
        </w:rPr>
      </w:pPr>
    </w:p>
    <w:p w:rsidR="00806E45" w:rsidRPr="00961771" w:rsidRDefault="00E94F09"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Al respecto, </w:t>
      </w:r>
      <w:r w:rsidR="00D606D1" w:rsidRPr="00961771">
        <w:rPr>
          <w:rFonts w:ascii="Palatino Linotype" w:eastAsia="Calibri" w:hAnsi="Palatino Linotype" w:cs="Tahoma"/>
          <w:bCs/>
          <w:sz w:val="22"/>
          <w:szCs w:val="22"/>
          <w:lang w:val="es-ES" w:eastAsia="en-US"/>
        </w:rPr>
        <w:t xml:space="preserve">el Ayuntamiento de Cuautitlán Izcalli determinó que toda la información que obra en los archivos de la </w:t>
      </w:r>
      <w:proofErr w:type="spellStart"/>
      <w:r w:rsidR="00D606D1" w:rsidRPr="00961771">
        <w:rPr>
          <w:rFonts w:ascii="Palatino Linotype" w:eastAsia="Calibri" w:hAnsi="Palatino Linotype" w:cs="Tahoma"/>
          <w:bCs/>
          <w:sz w:val="22"/>
          <w:szCs w:val="22"/>
          <w:lang w:val="es-ES" w:eastAsia="en-US"/>
        </w:rPr>
        <w:t>Subtesorería</w:t>
      </w:r>
      <w:proofErr w:type="spellEnd"/>
      <w:r w:rsidR="00D606D1" w:rsidRPr="00961771">
        <w:rPr>
          <w:rFonts w:ascii="Palatino Linotype" w:eastAsia="Calibri" w:hAnsi="Palatino Linotype" w:cs="Tahoma"/>
          <w:bCs/>
          <w:sz w:val="22"/>
          <w:szCs w:val="22"/>
          <w:lang w:val="es-ES" w:eastAsia="en-US"/>
        </w:rPr>
        <w:t xml:space="preserve"> de Ingresos, consistente en todos los documentos generados con motivo de la prestación de servicios y generación de productos, s</w:t>
      </w:r>
      <w:r w:rsidR="007E2F03" w:rsidRPr="00961771">
        <w:rPr>
          <w:rFonts w:ascii="Palatino Linotype" w:eastAsia="Calibri" w:hAnsi="Palatino Linotype" w:cs="Tahoma"/>
          <w:bCs/>
          <w:sz w:val="22"/>
          <w:szCs w:val="22"/>
          <w:lang w:val="es-ES" w:eastAsia="en-US"/>
        </w:rPr>
        <w:t>on clasificados como reservados con fundamento en el artículo 140, fracciones VI, VIII y X, de la Ley de Transparencia y Acceso a la Información Pública del Estado de México y Municipios.</w:t>
      </w:r>
    </w:p>
    <w:p w:rsidR="007E2F03" w:rsidRPr="00961771" w:rsidRDefault="007E2F03" w:rsidP="00590CCB">
      <w:pPr>
        <w:spacing w:line="276" w:lineRule="auto"/>
        <w:jc w:val="both"/>
        <w:rPr>
          <w:rFonts w:ascii="Palatino Linotype" w:eastAsia="Calibri" w:hAnsi="Palatino Linotype" w:cs="Tahoma"/>
          <w:bCs/>
          <w:sz w:val="22"/>
          <w:szCs w:val="22"/>
          <w:lang w:val="es-ES" w:eastAsia="en-US"/>
        </w:rPr>
      </w:pPr>
    </w:p>
    <w:p w:rsidR="007E2F03" w:rsidRPr="00961771" w:rsidRDefault="007E2F03"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Al respecto, el artículo 140, fracciones VI, VIII y X, señalan, respectivamente, lo siguiente:</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EF378C" w:rsidRPr="00961771" w:rsidRDefault="007E2F03"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 xml:space="preserve">Artículo 140. </w:t>
      </w:r>
      <w:r w:rsidRPr="00961771">
        <w:rPr>
          <w:rFonts w:ascii="Palatino Linotype" w:eastAsia="Calibri" w:hAnsi="Palatino Linotype" w:cs="Tahoma"/>
          <w:bCs/>
          <w:lang w:eastAsia="en-US"/>
        </w:rPr>
        <w:t>El acceso a la información pública será restringido excepcionalmente, cuando por razones de interés público, ésta sea clasificada como reservada, conforme a los criterios siguientes:</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I a V…</w:t>
      </w:r>
    </w:p>
    <w:p w:rsidR="007E2F03" w:rsidRPr="00961771" w:rsidRDefault="007E2F03"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VI.</w:t>
      </w:r>
      <w:r w:rsidRPr="00961771">
        <w:rPr>
          <w:rFonts w:ascii="Palatino Linotype" w:eastAsia="Calibri" w:hAnsi="Palatino Linotype" w:cs="Tahoma"/>
          <w:bCs/>
          <w:lang w:val="es-ES" w:eastAsia="en-US"/>
        </w:rPr>
        <w:t xml:space="preserve"> </w:t>
      </w:r>
      <w:r w:rsidRPr="00961771">
        <w:rPr>
          <w:rFonts w:ascii="Palatino Linotype" w:eastAsia="Calibri" w:hAnsi="Palatino Linotype" w:cs="Tahoma"/>
          <w:b/>
          <w:bCs/>
          <w:lang w:val="es-ES" w:eastAsia="en-US"/>
        </w:rPr>
        <w:t xml:space="preserve">Pueda causar daño u obstruya la prevención o persecución de los delitos, altere el proceso de investigación de las carpetas de investigación, afecte o vulnere la conducción o los derechos del debido proceso </w:t>
      </w:r>
      <w:r w:rsidRPr="00961771">
        <w:rPr>
          <w:rFonts w:ascii="Palatino Linotype" w:eastAsia="Calibri" w:hAnsi="Palatino Linotype" w:cs="Tahoma"/>
          <w:b/>
          <w:bCs/>
          <w:u w:val="single"/>
          <w:lang w:val="es-ES" w:eastAsia="en-US"/>
        </w:rPr>
        <w:t>en los procedimientos judiciales o administrativos</w:t>
      </w:r>
      <w:r w:rsidRPr="00961771">
        <w:rPr>
          <w:rFonts w:ascii="Palatino Linotype" w:eastAsia="Calibri" w:hAnsi="Palatino Linotype" w:cs="Tahoma"/>
          <w:bCs/>
          <w:lang w:val="es-ES" w:eastAsia="en-US"/>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7E2F03" w:rsidRPr="00961771" w:rsidRDefault="007E2F03"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VII…</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lastRenderedPageBreak/>
        <w:t>VIII.</w:t>
      </w:r>
      <w:r w:rsidRPr="00961771">
        <w:rPr>
          <w:rFonts w:ascii="Palatino Linotype" w:eastAsia="Calibri" w:hAnsi="Palatino Linotype" w:cs="Tahoma"/>
          <w:bCs/>
          <w:lang w:val="es-ES" w:eastAsia="en-US"/>
        </w:rPr>
        <w:t xml:space="preserve"> </w:t>
      </w:r>
      <w:r w:rsidRPr="00961771">
        <w:rPr>
          <w:rFonts w:ascii="Palatino Linotype" w:eastAsia="Calibri" w:hAnsi="Palatino Linotype" w:cs="Tahoma"/>
          <w:b/>
          <w:bCs/>
          <w:lang w:val="es-ES" w:eastAsia="en-US"/>
        </w:rPr>
        <w:t xml:space="preserve">Vulnere la conducción de los </w:t>
      </w:r>
      <w:r w:rsidRPr="00961771">
        <w:rPr>
          <w:rFonts w:ascii="Palatino Linotype" w:eastAsia="Calibri" w:hAnsi="Palatino Linotype" w:cs="Tahoma"/>
          <w:b/>
          <w:bCs/>
          <w:u w:val="single"/>
          <w:lang w:val="es-ES" w:eastAsia="en-US"/>
        </w:rPr>
        <w:t>expedientes judiciales o de los procedimientos administrativos</w:t>
      </w:r>
      <w:r w:rsidRPr="00961771">
        <w:rPr>
          <w:rFonts w:ascii="Palatino Linotype" w:eastAsia="Calibri" w:hAnsi="Palatino Linotype" w:cs="Tahoma"/>
          <w:b/>
          <w:bCs/>
          <w:lang w:val="es-ES" w:eastAsia="en-US"/>
        </w:rPr>
        <w:t xml:space="preserve"> seguidos en forma de juicio</w:t>
      </w:r>
      <w:r w:rsidRPr="00961771">
        <w:rPr>
          <w:rFonts w:ascii="Palatino Linotype" w:eastAsia="Calibri" w:hAnsi="Palatino Linotype" w:cs="Tahoma"/>
          <w:bCs/>
          <w:lang w:val="es-ES" w:eastAsia="en-US"/>
        </w:rPr>
        <w:t>, en tanto no hayan quedado firmes;</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IX…</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7E2F03" w:rsidRPr="00961771" w:rsidRDefault="007E2F03"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X.</w:t>
      </w:r>
      <w:r w:rsidRPr="00961771">
        <w:rPr>
          <w:rFonts w:ascii="Palatino Linotype" w:eastAsia="Calibri" w:hAnsi="Palatino Linotype" w:cs="Tahoma"/>
          <w:bCs/>
          <w:lang w:val="es-ES" w:eastAsia="en-US"/>
        </w:rPr>
        <w:t xml:space="preserve"> </w:t>
      </w:r>
      <w:r w:rsidRPr="00961771">
        <w:rPr>
          <w:rFonts w:ascii="Palatino Linotype" w:eastAsia="Calibri" w:hAnsi="Palatino Linotype" w:cs="Tahoma"/>
          <w:b/>
          <w:bCs/>
          <w:lang w:val="es-ES" w:eastAsia="en-US"/>
        </w:rPr>
        <w:t>El daño que pueda producirse con la publicación de la información sea mayor que el interés público de conocer la información de referencia</w:t>
      </w:r>
      <w:r w:rsidRPr="00961771">
        <w:rPr>
          <w:rFonts w:ascii="Palatino Linotype" w:eastAsia="Calibri" w:hAnsi="Palatino Linotype" w:cs="Tahoma"/>
          <w:bCs/>
          <w:lang w:val="es-ES" w:eastAsia="en-US"/>
        </w:rPr>
        <w:t xml:space="preserve">, </w:t>
      </w:r>
      <w:r w:rsidRPr="00961771">
        <w:rPr>
          <w:rFonts w:ascii="Palatino Linotype" w:eastAsia="Calibri" w:hAnsi="Palatino Linotype" w:cs="Tahoma"/>
          <w:b/>
          <w:bCs/>
          <w:u w:val="single"/>
          <w:lang w:val="es-ES" w:eastAsia="en-US"/>
        </w:rPr>
        <w:t>siempre que esté directamente relacionado con procesos o procedimientos administrativos o judiciales que no hayan quedado firmes;</w:t>
      </w:r>
    </w:p>
    <w:p w:rsidR="007E2F03" w:rsidRPr="00961771" w:rsidRDefault="007E2F03"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F378C" w:rsidRPr="00961771" w:rsidRDefault="00EF378C" w:rsidP="00590CCB">
      <w:pPr>
        <w:spacing w:line="276" w:lineRule="auto"/>
        <w:ind w:left="567" w:right="567"/>
        <w:jc w:val="both"/>
        <w:rPr>
          <w:rFonts w:ascii="Palatino Linotype" w:eastAsia="Calibri" w:hAnsi="Palatino Linotype" w:cs="Tahoma"/>
          <w:bCs/>
          <w:lang w:val="es-ES" w:eastAsia="en-US"/>
        </w:rPr>
      </w:pPr>
    </w:p>
    <w:p w:rsidR="00EF378C" w:rsidRPr="00961771" w:rsidRDefault="007E2F03" w:rsidP="00590CCB">
      <w:pPr>
        <w:spacing w:line="276" w:lineRule="auto"/>
        <w:ind w:left="567" w:right="567"/>
        <w:jc w:val="both"/>
        <w:rPr>
          <w:rFonts w:ascii="Palatino Linotype" w:eastAsia="Calibri" w:hAnsi="Palatino Linotype" w:cs="Tahoma"/>
          <w:b/>
          <w:bCs/>
          <w:lang w:val="es-ES" w:eastAsia="en-US"/>
        </w:rPr>
      </w:pPr>
      <w:r w:rsidRPr="00961771">
        <w:rPr>
          <w:rFonts w:ascii="Palatino Linotype" w:eastAsia="Calibri" w:hAnsi="Palatino Linotype" w:cs="Tahoma"/>
          <w:b/>
          <w:bCs/>
          <w:lang w:val="es-ES" w:eastAsia="en-US"/>
        </w:rPr>
        <w:t>XI…</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EF378C" w:rsidRPr="00961771" w:rsidRDefault="00E94F09"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Así, de los tres supuestos de clasificación invocados por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se advierte que para analizar su procedencia es condición necesaria la existencia de un procedimiento administrativo o judicial, situación que no ocurre en el presente caso, pues de las constancias que integran el expediente en el que se actúa, no se advierte que la información requerida, esto es el número de Registro Predial, nombre de la persona a la que está registrado el predio, comprobante del último pago realizado y monto del mismo, se encuentre inmersa en un proceso judicial o administrativo, así como tampoco existe pronunciamiento expreso del Ayuntamiento de Cuautitlán Izcalli que permita verificar la existencia de un juicio o procedimiento administrativo.</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B10248" w:rsidRPr="00961771" w:rsidRDefault="00B10248"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Por tanto, al citarse preceptos inaplicables al caso particular, </w:t>
      </w:r>
      <w:r w:rsidRPr="00961771">
        <w:rPr>
          <w:rFonts w:ascii="Palatino Linotype" w:eastAsia="Calibri" w:hAnsi="Palatino Linotype" w:cs="Tahoma"/>
          <w:b/>
          <w:bCs/>
          <w:sz w:val="22"/>
          <w:szCs w:val="22"/>
          <w:lang w:val="es-ES" w:eastAsia="en-US"/>
        </w:rPr>
        <w:t>la fundamentación</w:t>
      </w:r>
      <w:r w:rsidRPr="00961771">
        <w:rPr>
          <w:rFonts w:ascii="Palatino Linotype" w:eastAsia="Calibri" w:hAnsi="Palatino Linotype" w:cs="Tahoma"/>
          <w:bCs/>
          <w:sz w:val="22"/>
          <w:szCs w:val="22"/>
          <w:lang w:val="es-ES" w:eastAsia="en-US"/>
        </w:rPr>
        <w:t xml:space="preserve"> elaborada por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en la clasificación de la información, </w:t>
      </w:r>
      <w:r w:rsidRPr="00961771">
        <w:rPr>
          <w:rFonts w:ascii="Palatino Linotype" w:eastAsia="Calibri" w:hAnsi="Palatino Linotype" w:cs="Tahoma"/>
          <w:b/>
          <w:bCs/>
          <w:sz w:val="22"/>
          <w:szCs w:val="22"/>
          <w:lang w:val="es-ES" w:eastAsia="en-US"/>
        </w:rPr>
        <w:t>resulta indebida</w:t>
      </w:r>
      <w:r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
          <w:bCs/>
          <w:sz w:val="22"/>
          <w:szCs w:val="22"/>
          <w:lang w:val="es-ES" w:eastAsia="en-US"/>
        </w:rPr>
        <w:t>Misma suerte corre la motivación</w:t>
      </w:r>
      <w:r w:rsidRPr="00961771">
        <w:rPr>
          <w:rFonts w:ascii="Palatino Linotype" w:eastAsia="Calibri" w:hAnsi="Palatino Linotype" w:cs="Tahoma"/>
          <w:bCs/>
          <w:sz w:val="22"/>
          <w:szCs w:val="22"/>
          <w:lang w:val="es-ES" w:eastAsia="en-US"/>
        </w:rPr>
        <w:t xml:space="preserve"> de la clasificación, pues si bien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expresa diversos motivos por los cuales, a su consideración, la información es reservada, los mismos van encaminados a demostrar que de proporcionarse el número de Registro Predial, nombre de la persona a la que está registrado el predio, comprobante del último pago realizado y monto del mismo, se pondría en riesgo el patrimonio y la integridad física de las personas; </w:t>
      </w:r>
      <w:r w:rsidRPr="00961771">
        <w:rPr>
          <w:rFonts w:ascii="Palatino Linotype" w:eastAsia="Calibri" w:hAnsi="Palatino Linotype" w:cs="Tahoma"/>
          <w:b/>
          <w:bCs/>
          <w:sz w:val="22"/>
          <w:szCs w:val="22"/>
          <w:lang w:val="es-ES" w:eastAsia="en-US"/>
        </w:rPr>
        <w:t>razones que no se ajustan a los presupuestos de la norma legal citada como fundamento aplicable al asunto.</w:t>
      </w:r>
    </w:p>
    <w:p w:rsidR="00907E2A" w:rsidRPr="00961771" w:rsidRDefault="00907E2A"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Robustece la indebida fundamentación y motivación elaborada por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la tesis con número de identificación 187531. I.6o.A.33 A., de Tribunales Colegiados de Circuito, visible en la página 1350 del Semanario Judicial de la Federación y su Gaceta, Tomo XV, Marzo de 2002, Novena Época, de rubro y texto siguientes:</w:t>
      </w:r>
    </w:p>
    <w:p w:rsidR="00B10248" w:rsidRPr="00961771" w:rsidRDefault="00B10248" w:rsidP="00590CCB">
      <w:pPr>
        <w:spacing w:line="276" w:lineRule="auto"/>
        <w:jc w:val="both"/>
        <w:rPr>
          <w:rFonts w:ascii="Palatino Linotype" w:eastAsia="Calibri" w:hAnsi="Palatino Linotype" w:cs="Tahoma"/>
          <w:bCs/>
          <w:sz w:val="22"/>
          <w:szCs w:val="22"/>
          <w:lang w:val="es-ES" w:eastAsia="en-US"/>
        </w:rPr>
      </w:pPr>
    </w:p>
    <w:p w:rsidR="00907E2A" w:rsidRDefault="00907E2A" w:rsidP="00590CCB">
      <w:pPr>
        <w:spacing w:line="276" w:lineRule="auto"/>
        <w:ind w:left="567" w:right="567"/>
        <w:jc w:val="both"/>
        <w:rPr>
          <w:rFonts w:ascii="Palatino Linotype" w:eastAsia="Calibri" w:hAnsi="Palatino Linotype" w:cs="Tahoma"/>
          <w:bCs/>
          <w:lang w:eastAsia="en-US"/>
        </w:rPr>
      </w:pPr>
      <w:r w:rsidRPr="00961771">
        <w:rPr>
          <w:rFonts w:ascii="Palatino Linotype" w:eastAsia="Calibri" w:hAnsi="Palatino Linotype" w:cs="Tahoma"/>
          <w:b/>
          <w:bCs/>
          <w:lang w:eastAsia="en-US"/>
        </w:rPr>
        <w:t>FUNDAMENTACIÓN Y MOTIVACIÓN, FALTA O INDEBIDA. EN CUANTO SON DISTINTAS, UNAS GENERAN NULIDAD LISA Y LLANA Y OTRAS PARA EFECTOS.</w:t>
      </w:r>
      <w:r w:rsidRPr="00961771">
        <w:rPr>
          <w:rFonts w:ascii="Palatino Linotype" w:eastAsia="Calibri" w:hAnsi="Palatino Linotype" w:cs="Tahoma"/>
          <w:bCs/>
          <w:lang w:eastAsia="en-US"/>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w:t>
      </w:r>
      <w:r w:rsidRPr="00961771">
        <w:rPr>
          <w:rFonts w:ascii="Palatino Linotype" w:eastAsia="Calibri" w:hAnsi="Palatino Linotype" w:cs="Tahoma"/>
          <w:b/>
          <w:bCs/>
          <w:lang w:eastAsia="en-US"/>
        </w:rPr>
        <w:t xml:space="preserve">La indebida fundamentación implica que en el acto sí se citan preceptos legales, pero éstos son inaplicables al caso particular; por su parte, la indebida motivación consiste en que en el acto de autoridad sí se dan motivos pero éstos no se ajustan a los presupuestos de la norma legal citada como fundamento aplicable al asunto. </w:t>
      </w:r>
      <w:r w:rsidRPr="00961771">
        <w:rPr>
          <w:rFonts w:ascii="Palatino Linotype" w:eastAsia="Calibri" w:hAnsi="Palatino Linotype" w:cs="Tahoma"/>
          <w:bCs/>
          <w:lang w:eastAsia="en-US"/>
        </w:rPr>
        <w:t>En este orden de ideas, al actualizarse la hipótesis de indebida fundamentación y motivación del acto reclamado, tal circunstancia se ubica en el supuesto previsto en la fracción IV del artículo 238 del Código Fiscal de la Federación y, por tanto, la nulidad debe ser lisa y llana, pues lo contrario permitiría a la autoridad demandada que tuviera dos o más posibilidades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razonamientos.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numeral 239 del propio código.</w:t>
      </w:r>
    </w:p>
    <w:p w:rsidR="003809B7" w:rsidRPr="003809B7" w:rsidRDefault="003809B7" w:rsidP="00590CCB">
      <w:pPr>
        <w:spacing w:line="276" w:lineRule="auto"/>
        <w:ind w:left="567" w:right="567"/>
        <w:jc w:val="both"/>
        <w:rPr>
          <w:rFonts w:ascii="Palatino Linotype" w:eastAsia="Calibri" w:hAnsi="Palatino Linotype" w:cs="Tahoma"/>
          <w:bCs/>
          <w:lang w:val="es-ES" w:eastAsia="en-US"/>
        </w:rPr>
      </w:pPr>
      <w:r w:rsidRPr="003809B7">
        <w:rPr>
          <w:rFonts w:ascii="Palatino Linotype" w:eastAsia="Calibri" w:hAnsi="Palatino Linotype" w:cs="Tahoma"/>
          <w:bCs/>
          <w:lang w:eastAsia="en-US"/>
        </w:rPr>
        <w:t>(Énfasis añadido).</w:t>
      </w:r>
    </w:p>
    <w:p w:rsidR="00907E2A" w:rsidRPr="00961771" w:rsidRDefault="00907E2A" w:rsidP="00590CCB">
      <w:pPr>
        <w:spacing w:line="276" w:lineRule="auto"/>
        <w:jc w:val="both"/>
        <w:rPr>
          <w:rFonts w:ascii="Palatino Linotype" w:eastAsia="Calibri" w:hAnsi="Palatino Linotype" w:cs="Tahoma"/>
          <w:bCs/>
          <w:sz w:val="22"/>
          <w:szCs w:val="22"/>
          <w:lang w:val="es-ES" w:eastAsia="en-US"/>
        </w:rPr>
      </w:pPr>
    </w:p>
    <w:p w:rsidR="00764A93" w:rsidRPr="00961771" w:rsidRDefault="00907E2A"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Sin embargo, si bien el Ayuntamiento de Cuautitlán Izcalli fundo y motivo indebidamente la clasificación de la información requerida, lo cierto es que este Instituto, máxima autoridad a nivel local en materia de derecho de acceso a la información y protección de datos personales, advierte que la información solicitada no es reservada, </w:t>
      </w:r>
      <w:r w:rsidR="005D1AB3">
        <w:rPr>
          <w:rFonts w:ascii="Palatino Linotype" w:eastAsia="Calibri" w:hAnsi="Palatino Linotype" w:cs="Tahoma"/>
          <w:bCs/>
          <w:sz w:val="22"/>
          <w:szCs w:val="22"/>
          <w:lang w:val="es-ES" w:eastAsia="en-US"/>
        </w:rPr>
        <w:t>por lo que procede revocar la clasificación realizada por el Comité de Transparencia. Asimismo, se advierte que la información tiene el carácter de</w:t>
      </w:r>
      <w:r w:rsidRPr="00961771">
        <w:rPr>
          <w:rFonts w:ascii="Palatino Linotype" w:eastAsia="Calibri" w:hAnsi="Palatino Linotype" w:cs="Tahoma"/>
          <w:bCs/>
          <w:sz w:val="22"/>
          <w:szCs w:val="22"/>
          <w:lang w:val="es-ES" w:eastAsia="en-US"/>
        </w:rPr>
        <w:t xml:space="preserve"> confidencial en términos del artículo 143, fracción II, de la Ley de Transparencia y Acceso a la Información Pública del Estado de México y Municipios</w:t>
      </w:r>
      <w:r w:rsidR="0066644C" w:rsidRPr="00961771">
        <w:rPr>
          <w:rFonts w:ascii="Palatino Linotype" w:eastAsia="Calibri" w:hAnsi="Palatino Linotype" w:cs="Tahoma"/>
          <w:bCs/>
          <w:sz w:val="22"/>
          <w:szCs w:val="22"/>
          <w:lang w:val="es-ES" w:eastAsia="en-US"/>
        </w:rPr>
        <w:t>. Es decir, que el número de Registro Predial, nombre de la persona a la que está registrado el predio, comprobante del último pago realizado y monto del mismo, corresponde a información relacionada con el secreto fiscal, cuya titularidad corresponde a particulares.</w:t>
      </w:r>
    </w:p>
    <w:p w:rsidR="0066644C" w:rsidRPr="00961771" w:rsidRDefault="0066644C" w:rsidP="00590CCB">
      <w:pPr>
        <w:spacing w:line="276" w:lineRule="auto"/>
        <w:jc w:val="both"/>
        <w:rPr>
          <w:rFonts w:ascii="Palatino Linotype" w:eastAsia="Calibri" w:hAnsi="Palatino Linotype" w:cs="Tahoma"/>
          <w:bCs/>
          <w:sz w:val="22"/>
          <w:szCs w:val="22"/>
          <w:lang w:val="es-ES" w:eastAsia="en-US"/>
        </w:rPr>
      </w:pPr>
    </w:p>
    <w:p w:rsidR="0066644C" w:rsidRPr="00961771" w:rsidRDefault="0066644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Así, con la finalidad de demostrar lo anterior, en los párrafos siguientes se expresarán las razones fundadas y motivadas por las cuales el número de Registro Predial, nombre de la persona a la que está registrado el predio, comprobante del último pago realizado y monto del mismo, es información relativa al secreto fiscal y debe considerarse confidencial.</w:t>
      </w:r>
    </w:p>
    <w:p w:rsidR="0066644C" w:rsidRPr="00961771" w:rsidRDefault="0066644C" w:rsidP="00590CCB">
      <w:pPr>
        <w:spacing w:line="276" w:lineRule="auto"/>
        <w:jc w:val="both"/>
        <w:rPr>
          <w:rFonts w:ascii="Palatino Linotype" w:eastAsia="Calibri" w:hAnsi="Palatino Linotype" w:cs="Tahoma"/>
          <w:bCs/>
          <w:sz w:val="22"/>
          <w:szCs w:val="22"/>
          <w:lang w:val="es-ES" w:eastAsia="en-US"/>
        </w:rPr>
      </w:pPr>
    </w:p>
    <w:p w:rsidR="0066644C" w:rsidRPr="00961771" w:rsidRDefault="0006783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Al respecto, el artículo 143, fracción II, de la Ley de Transparencia y Acceso a la Información Pública del Estado de México y Municipios, dispone que podrá considerarse información confidencial la relativa, entre otros, al secreto fiscal.</w:t>
      </w:r>
    </w:p>
    <w:p w:rsidR="0006783C" w:rsidRPr="00961771" w:rsidRDefault="0006783C" w:rsidP="00590CCB">
      <w:pPr>
        <w:spacing w:line="276" w:lineRule="auto"/>
        <w:jc w:val="both"/>
        <w:rPr>
          <w:rFonts w:ascii="Palatino Linotype" w:eastAsia="Calibri" w:hAnsi="Palatino Linotype" w:cs="Tahoma"/>
          <w:bCs/>
          <w:sz w:val="22"/>
          <w:szCs w:val="22"/>
          <w:lang w:val="es-ES" w:eastAsia="en-US"/>
        </w:rPr>
      </w:pPr>
    </w:p>
    <w:p w:rsidR="0006783C" w:rsidRPr="00961771" w:rsidRDefault="0006783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En concatenación, el Cuadragésimo quinto de los Lineamientos generales en materia de clasificación y desclasificación de la información, así como para la elaboración de versiones públicas, publicados en el Diario Oficial de la Federación el quince de abril de dos mil dieciséis por el Consejo Nacional de Transparencia, Acceso a la Información Pública y Protección de Datos Personales, aplicables a todos los sujetos obligados, en la parte que nos interesa, establece lo siguiente:</w:t>
      </w:r>
    </w:p>
    <w:p w:rsidR="00907E2A" w:rsidRPr="00961771" w:rsidRDefault="00907E2A" w:rsidP="00590CCB">
      <w:pPr>
        <w:spacing w:line="276" w:lineRule="auto"/>
        <w:jc w:val="both"/>
        <w:rPr>
          <w:rFonts w:ascii="Palatino Linotype" w:eastAsia="Calibri" w:hAnsi="Palatino Linotype" w:cs="Tahoma"/>
          <w:bCs/>
          <w:sz w:val="22"/>
          <w:szCs w:val="22"/>
          <w:lang w:val="es-ES" w:eastAsia="en-US"/>
        </w:rPr>
      </w:pPr>
    </w:p>
    <w:p w:rsidR="0006783C" w:rsidRPr="00961771" w:rsidRDefault="0006783C"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
          <w:bCs/>
          <w:lang w:val="es-ES" w:eastAsia="en-US"/>
        </w:rPr>
        <w:t>Cuadragésimo quinto.</w:t>
      </w:r>
      <w:r w:rsidRPr="00961771">
        <w:rPr>
          <w:rFonts w:ascii="Palatino Linotype" w:eastAsia="Calibri" w:hAnsi="Palatino Linotype" w:cs="Tahoma"/>
          <w:bCs/>
          <w:lang w:val="es-ES" w:eastAsia="en-US"/>
        </w:rPr>
        <w:t xml:space="preserve"> De conformidad con el artículo 116, párrafo tercero de la Ley General, </w:t>
      </w:r>
      <w:r w:rsidRPr="00961771">
        <w:rPr>
          <w:rFonts w:ascii="Palatino Linotype" w:eastAsia="Calibri" w:hAnsi="Palatino Linotype" w:cs="Tahoma"/>
          <w:b/>
          <w:bCs/>
          <w:u w:val="single"/>
          <w:lang w:val="es-ES" w:eastAsia="en-US"/>
        </w:rPr>
        <w:t>para clasificar la información por secreto fiscal se deberá acreditar que se trata de información tributaria, declaraciones y datos suministrados por los contribuyentes</w:t>
      </w:r>
      <w:r w:rsidRPr="00961771">
        <w:rPr>
          <w:rFonts w:ascii="Palatino Linotype" w:eastAsia="Calibri" w:hAnsi="Palatino Linotype" w:cs="Tahoma"/>
          <w:bCs/>
          <w:lang w:val="es-ES" w:eastAsia="en-US"/>
        </w:rPr>
        <w:t xml:space="preserve"> o por terceros con ellos relacionados, </w:t>
      </w:r>
      <w:r w:rsidRPr="00961771">
        <w:rPr>
          <w:rFonts w:ascii="Palatino Linotype" w:eastAsia="Calibri" w:hAnsi="Palatino Linotype" w:cs="Tahoma"/>
          <w:b/>
          <w:bCs/>
          <w:lang w:val="es-ES" w:eastAsia="en-US"/>
        </w:rPr>
        <w:t>así como los obtenidos en el ejercicio de las facultades de comprobación a cargo del personal de la autoridad fiscal que interviene en los trámites relativos a la aplicación de disposiciones fiscales</w:t>
      </w:r>
      <w:r w:rsidRPr="00961771">
        <w:rPr>
          <w:rFonts w:ascii="Palatino Linotype" w:eastAsia="Calibri" w:hAnsi="Palatino Linotype" w:cs="Tahoma"/>
          <w:bCs/>
          <w:lang w:val="es-ES" w:eastAsia="en-US"/>
        </w:rPr>
        <w:t>.</w:t>
      </w:r>
    </w:p>
    <w:p w:rsidR="0006783C" w:rsidRPr="00961771" w:rsidRDefault="0006783C" w:rsidP="00590CCB">
      <w:pPr>
        <w:spacing w:line="276" w:lineRule="auto"/>
        <w:ind w:left="567" w:right="567"/>
        <w:jc w:val="both"/>
        <w:rPr>
          <w:rFonts w:ascii="Palatino Linotype" w:eastAsia="Calibri" w:hAnsi="Palatino Linotype" w:cs="Tahoma"/>
          <w:bCs/>
          <w:lang w:val="es-ES" w:eastAsia="en-US"/>
        </w:rPr>
      </w:pPr>
    </w:p>
    <w:p w:rsidR="0006783C" w:rsidRPr="00961771" w:rsidRDefault="0006783C"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 xml:space="preserve">La Secretaría de Hacienda y Crédito Público, el Servicio de Administración Tributaria y los organismos fiscales autónomos; así </w:t>
      </w:r>
      <w:r w:rsidRPr="00961771">
        <w:rPr>
          <w:rFonts w:ascii="Palatino Linotype" w:eastAsia="Calibri" w:hAnsi="Palatino Linotype" w:cs="Tahoma"/>
          <w:b/>
          <w:bCs/>
          <w:u w:val="single"/>
          <w:lang w:val="es-ES" w:eastAsia="en-US"/>
        </w:rPr>
        <w:t xml:space="preserve">como las autoridades fiscales estatales y </w:t>
      </w:r>
      <w:r w:rsidRPr="00961771">
        <w:rPr>
          <w:rFonts w:ascii="Palatino Linotype" w:eastAsia="Calibri" w:hAnsi="Palatino Linotype" w:cs="Tahoma"/>
          <w:b/>
          <w:bCs/>
          <w:u w:val="single"/>
          <w:lang w:val="es-ES" w:eastAsia="en-US"/>
        </w:rPr>
        <w:lastRenderedPageBreak/>
        <w:t>municipales, en el ámbito de su competencia, podrán clasificar la información que obtengan en virtud de los diversos trámites relativos a la aplicación de las disposiciones tributarias, así como del ejercicio de sus facultades de comprobación</w:t>
      </w:r>
      <w:r w:rsidRPr="00961771">
        <w:rPr>
          <w:rFonts w:ascii="Palatino Linotype" w:eastAsia="Calibri" w:hAnsi="Palatino Linotype" w:cs="Tahoma"/>
          <w:bCs/>
          <w:lang w:val="es-ES" w:eastAsia="en-US"/>
        </w:rPr>
        <w:t>.</w:t>
      </w:r>
    </w:p>
    <w:p w:rsidR="0006783C" w:rsidRPr="00961771" w:rsidRDefault="0006783C" w:rsidP="00590CCB">
      <w:pPr>
        <w:spacing w:line="276" w:lineRule="auto"/>
        <w:ind w:left="567" w:right="567"/>
        <w:jc w:val="both"/>
        <w:rPr>
          <w:rFonts w:ascii="Palatino Linotype" w:eastAsia="Calibri" w:hAnsi="Palatino Linotype" w:cs="Tahoma"/>
          <w:bCs/>
          <w:lang w:val="es-ES" w:eastAsia="en-US"/>
        </w:rPr>
      </w:pPr>
    </w:p>
    <w:p w:rsidR="00907E2A" w:rsidRPr="00961771" w:rsidRDefault="0006783C" w:rsidP="00590CCB">
      <w:pPr>
        <w:spacing w:line="276" w:lineRule="auto"/>
        <w:ind w:left="567" w:right="567"/>
        <w:jc w:val="both"/>
        <w:rPr>
          <w:rFonts w:ascii="Palatino Linotype" w:eastAsia="Calibri" w:hAnsi="Palatino Linotype" w:cs="Tahoma"/>
          <w:bCs/>
          <w:lang w:val="es-ES" w:eastAsia="en-US"/>
        </w:rPr>
      </w:pPr>
      <w:r w:rsidRPr="00961771">
        <w:rPr>
          <w:rFonts w:ascii="Palatino Linotype" w:eastAsia="Calibri" w:hAnsi="Palatino Linotype" w:cs="Tahoma"/>
          <w:bCs/>
          <w:lang w:val="es-ES" w:eastAsia="en-US"/>
        </w:rPr>
        <w:t>[…]</w:t>
      </w:r>
    </w:p>
    <w:p w:rsidR="00907E2A" w:rsidRPr="00961771" w:rsidRDefault="00907E2A" w:rsidP="00590CCB">
      <w:pPr>
        <w:spacing w:line="276" w:lineRule="auto"/>
        <w:jc w:val="both"/>
        <w:rPr>
          <w:rFonts w:ascii="Palatino Linotype" w:eastAsia="Calibri" w:hAnsi="Palatino Linotype" w:cs="Tahoma"/>
          <w:bCs/>
          <w:sz w:val="22"/>
          <w:szCs w:val="22"/>
          <w:lang w:val="es-ES" w:eastAsia="en-US"/>
        </w:rPr>
      </w:pPr>
    </w:p>
    <w:p w:rsidR="00907E2A" w:rsidRPr="00961771" w:rsidRDefault="0006783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De lo anterior se tiene que para clasificar </w:t>
      </w:r>
      <w:r w:rsidR="00535676" w:rsidRPr="00961771">
        <w:rPr>
          <w:rFonts w:ascii="Palatino Linotype" w:eastAsia="Calibri" w:hAnsi="Palatino Linotype" w:cs="Tahoma"/>
          <w:bCs/>
          <w:sz w:val="22"/>
          <w:szCs w:val="22"/>
          <w:lang w:val="es-ES" w:eastAsia="en-US"/>
        </w:rPr>
        <w:t>la información por secreto fiscal, se debe comprobar lo siguiente:</w:t>
      </w:r>
    </w:p>
    <w:p w:rsidR="00535676" w:rsidRPr="00961771" w:rsidRDefault="00535676" w:rsidP="00590CCB">
      <w:pPr>
        <w:spacing w:line="276" w:lineRule="auto"/>
        <w:jc w:val="both"/>
        <w:rPr>
          <w:rFonts w:ascii="Palatino Linotype" w:eastAsia="Calibri" w:hAnsi="Palatino Linotype" w:cs="Tahoma"/>
          <w:bCs/>
          <w:sz w:val="22"/>
          <w:szCs w:val="22"/>
          <w:lang w:val="es-ES" w:eastAsia="en-US"/>
        </w:rPr>
      </w:pPr>
    </w:p>
    <w:p w:rsidR="00535676" w:rsidRPr="00961771" w:rsidRDefault="00535676" w:rsidP="00590CCB">
      <w:pPr>
        <w:pStyle w:val="Prrafodelista"/>
        <w:numPr>
          <w:ilvl w:val="0"/>
          <w:numId w:val="21"/>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Acreditar que se trata de información tributaria, declaraciones y datos suministrados por los contribuyentes, o bien que fueron obtenidos en el ejercicio de las facultades de comprobación a cargo del personal de la autoridad fiscal que interviene en los trámites relativos a la aplicación de disposiciones fiscales; y</w:t>
      </w:r>
    </w:p>
    <w:p w:rsidR="00535676" w:rsidRPr="00961771" w:rsidRDefault="00535676" w:rsidP="00590CCB">
      <w:pPr>
        <w:pStyle w:val="Prrafodelista"/>
        <w:numPr>
          <w:ilvl w:val="0"/>
          <w:numId w:val="21"/>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Que la autoridad responsable de la información tenga el carácter de autoridad fiscal, en virtud de los diversos trámites relativos a la aplicación de las disposiciones tributarias, así como del ejercicio de sus facultades de comprobación.</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EF378C" w:rsidRPr="00961771" w:rsidRDefault="00535676"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Consecuentemente, lo procedente es </w:t>
      </w:r>
      <w:r w:rsidR="0052246F" w:rsidRPr="00961771">
        <w:rPr>
          <w:rFonts w:ascii="Palatino Linotype" w:eastAsia="Calibri" w:hAnsi="Palatino Linotype" w:cs="Tahoma"/>
          <w:bCs/>
          <w:sz w:val="22"/>
          <w:szCs w:val="22"/>
          <w:lang w:val="es-ES" w:eastAsia="en-US"/>
        </w:rPr>
        <w:t xml:space="preserve">analizar si </w:t>
      </w:r>
      <w:r w:rsidR="00944FCB" w:rsidRPr="00961771">
        <w:rPr>
          <w:rFonts w:ascii="Palatino Linotype" w:eastAsia="Calibri" w:hAnsi="Palatino Linotype" w:cs="Tahoma"/>
          <w:bCs/>
          <w:sz w:val="22"/>
          <w:szCs w:val="22"/>
          <w:lang w:val="es-ES" w:eastAsia="en-US"/>
        </w:rPr>
        <w:t xml:space="preserve">el número de Registro Predial, nombre de la persona a la que está registrado el predio, comprobante del último pago realizado y monto del mismo, es información tributaria y si el </w:t>
      </w:r>
      <w:r w:rsidR="00716EEF" w:rsidRPr="00961771">
        <w:rPr>
          <w:rFonts w:ascii="Palatino Linotype" w:eastAsia="Calibri" w:hAnsi="Palatino Linotype" w:cs="Tahoma"/>
          <w:bCs/>
          <w:sz w:val="22"/>
          <w:szCs w:val="22"/>
          <w:lang w:val="es-ES" w:eastAsia="en-US"/>
        </w:rPr>
        <w:t>Ayuntamiento de Cuautitlán Izcalli</w:t>
      </w:r>
      <w:r w:rsidR="00944FCB" w:rsidRPr="00961771">
        <w:rPr>
          <w:rFonts w:ascii="Palatino Linotype" w:eastAsia="Calibri" w:hAnsi="Palatino Linotype" w:cs="Tahoma"/>
          <w:bCs/>
          <w:sz w:val="22"/>
          <w:szCs w:val="22"/>
          <w:lang w:val="es-ES" w:eastAsia="en-US"/>
        </w:rPr>
        <w:t xml:space="preserve"> tiene el carácter de autoridad fiscal.</w:t>
      </w:r>
    </w:p>
    <w:p w:rsidR="00944FCB" w:rsidRPr="00961771" w:rsidRDefault="00944FCB" w:rsidP="00590CCB">
      <w:pPr>
        <w:spacing w:line="276" w:lineRule="auto"/>
        <w:jc w:val="both"/>
        <w:rPr>
          <w:rFonts w:ascii="Palatino Linotype" w:eastAsia="Calibri" w:hAnsi="Palatino Linotype" w:cs="Tahoma"/>
          <w:bCs/>
          <w:sz w:val="22"/>
          <w:szCs w:val="22"/>
          <w:lang w:val="es-ES" w:eastAsia="en-US"/>
        </w:rPr>
      </w:pPr>
    </w:p>
    <w:p w:rsidR="00944FCB" w:rsidRPr="00961771" w:rsidRDefault="00944FC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Al respecto, el artículo </w:t>
      </w:r>
      <w:r w:rsidRPr="00961771">
        <w:rPr>
          <w:rFonts w:ascii="Palatino Linotype" w:eastAsia="Calibri" w:hAnsi="Palatino Linotype" w:cs="Tahoma"/>
          <w:b/>
          <w:bCs/>
          <w:sz w:val="22"/>
          <w:szCs w:val="22"/>
          <w:lang w:val="es-ES" w:eastAsia="en-US"/>
        </w:rPr>
        <w:t>115 de la Constitución Política de los Estados Unidos Mexicanos</w:t>
      </w:r>
      <w:r w:rsidRPr="00961771">
        <w:rPr>
          <w:rFonts w:ascii="Palatino Linotype" w:eastAsia="Calibri" w:hAnsi="Palatino Linotype" w:cs="Tahoma"/>
          <w:bCs/>
          <w:sz w:val="22"/>
          <w:szCs w:val="22"/>
          <w:lang w:val="es-ES" w:eastAsia="en-US"/>
        </w:rPr>
        <w:t xml:space="preserve">, establece que los estados adoptarán, para su régimen interior, la forma de gobierno republicano, representativo, democrático, laico y popular, teniendo como base de su división territorial y de su organización política y administrativa, </w:t>
      </w:r>
      <w:r w:rsidRPr="00961771">
        <w:rPr>
          <w:rFonts w:ascii="Palatino Linotype" w:eastAsia="Calibri" w:hAnsi="Palatino Linotype" w:cs="Tahoma"/>
          <w:b/>
          <w:bCs/>
          <w:sz w:val="22"/>
          <w:szCs w:val="22"/>
          <w:lang w:val="es-ES" w:eastAsia="en-US"/>
        </w:rPr>
        <w:t>el municipio libre.</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EF378C" w:rsidRPr="00961771" w:rsidRDefault="00944FC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En ese sentido, la fracción IV del mismo artículo, </w:t>
      </w:r>
      <w:r w:rsidRPr="00961771">
        <w:rPr>
          <w:rFonts w:ascii="Palatino Linotype" w:eastAsia="Calibri" w:hAnsi="Palatino Linotype" w:cs="Tahoma"/>
          <w:b/>
          <w:bCs/>
          <w:sz w:val="22"/>
          <w:szCs w:val="22"/>
          <w:lang w:val="es-ES" w:eastAsia="en-US"/>
        </w:rPr>
        <w:t xml:space="preserve">dispone que los municipios administrarán libremente su hacienda, la cual se formará </w:t>
      </w:r>
      <w:r w:rsidRPr="00961771">
        <w:rPr>
          <w:rFonts w:ascii="Palatino Linotype" w:eastAsia="Calibri" w:hAnsi="Palatino Linotype" w:cs="Tahoma"/>
          <w:bCs/>
          <w:sz w:val="22"/>
          <w:szCs w:val="22"/>
          <w:lang w:val="es-ES" w:eastAsia="en-US"/>
        </w:rPr>
        <w:t>de los rendimientos de los bienes que les pertenezcan, así como d</w:t>
      </w:r>
      <w:r w:rsidRPr="00961771">
        <w:rPr>
          <w:rFonts w:ascii="Palatino Linotype" w:eastAsia="Calibri" w:hAnsi="Palatino Linotype" w:cs="Tahoma"/>
          <w:b/>
          <w:bCs/>
          <w:sz w:val="22"/>
          <w:szCs w:val="22"/>
          <w:lang w:val="es-ES" w:eastAsia="en-US"/>
        </w:rPr>
        <w:t>e las contribuciones y otros ingresos que las legislaturas establezcan a su favor</w:t>
      </w:r>
      <w:r w:rsidRPr="00961771">
        <w:rPr>
          <w:rFonts w:ascii="Palatino Linotype" w:eastAsia="Calibri" w:hAnsi="Palatino Linotype" w:cs="Tahoma"/>
          <w:bCs/>
          <w:sz w:val="22"/>
          <w:szCs w:val="22"/>
          <w:lang w:val="es-ES" w:eastAsia="en-US"/>
        </w:rPr>
        <w:t xml:space="preserve">, y en todo caso, entre otras cuestiones, </w:t>
      </w:r>
      <w:r w:rsidRPr="00961771">
        <w:rPr>
          <w:rFonts w:ascii="Palatino Linotype" w:eastAsia="Calibri" w:hAnsi="Palatino Linotype" w:cs="Tahoma"/>
          <w:b/>
          <w:bCs/>
          <w:sz w:val="22"/>
          <w:szCs w:val="22"/>
          <w:lang w:val="es-ES" w:eastAsia="en-US"/>
        </w:rPr>
        <w:t>percibirán las contribuciones</w:t>
      </w:r>
      <w:r w:rsidRPr="00961771">
        <w:rPr>
          <w:rFonts w:ascii="Palatino Linotype" w:eastAsia="Calibri" w:hAnsi="Palatino Linotype" w:cs="Tahoma"/>
          <w:bCs/>
          <w:sz w:val="22"/>
          <w:szCs w:val="22"/>
          <w:lang w:val="es-ES" w:eastAsia="en-US"/>
        </w:rPr>
        <w:t xml:space="preserve">, incluyendo tasas adicionales, que establezcan los Estados </w:t>
      </w:r>
      <w:r w:rsidRPr="00961771">
        <w:rPr>
          <w:rFonts w:ascii="Palatino Linotype" w:eastAsia="Calibri" w:hAnsi="Palatino Linotype" w:cs="Tahoma"/>
          <w:b/>
          <w:bCs/>
          <w:sz w:val="22"/>
          <w:szCs w:val="22"/>
          <w:u w:val="single"/>
          <w:lang w:val="es-ES" w:eastAsia="en-US"/>
        </w:rPr>
        <w:t>sobre la propiedad inmobiliaria</w:t>
      </w:r>
      <w:r w:rsidRPr="00961771">
        <w:rPr>
          <w:rFonts w:ascii="Palatino Linotype" w:eastAsia="Calibri" w:hAnsi="Palatino Linotype" w:cs="Tahoma"/>
          <w:bCs/>
          <w:sz w:val="22"/>
          <w:szCs w:val="22"/>
          <w:lang w:val="es-ES" w:eastAsia="en-US"/>
        </w:rPr>
        <w:t>, de su fraccionamiento, división, consolidación, traslación y mejora así como las que tengan por base el cambio de valor de los inmuebles.</w:t>
      </w:r>
    </w:p>
    <w:p w:rsidR="00EF378C" w:rsidRPr="00961771" w:rsidRDefault="00EF378C" w:rsidP="00590CCB">
      <w:pPr>
        <w:spacing w:line="276" w:lineRule="auto"/>
        <w:jc w:val="both"/>
        <w:rPr>
          <w:rFonts w:ascii="Palatino Linotype" w:eastAsia="Calibri" w:hAnsi="Palatino Linotype" w:cs="Tahoma"/>
          <w:bCs/>
          <w:sz w:val="22"/>
          <w:szCs w:val="22"/>
          <w:lang w:val="es-ES" w:eastAsia="en-US"/>
        </w:rPr>
      </w:pPr>
    </w:p>
    <w:p w:rsidR="00EF378C" w:rsidRPr="00961771" w:rsidRDefault="00716EEF"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En seguimiento a lo anterior, el artículo </w:t>
      </w:r>
      <w:r w:rsidRPr="00961771">
        <w:rPr>
          <w:rFonts w:ascii="Palatino Linotype" w:eastAsia="Calibri" w:hAnsi="Palatino Linotype" w:cs="Tahoma"/>
          <w:b/>
          <w:bCs/>
          <w:sz w:val="22"/>
          <w:szCs w:val="22"/>
          <w:lang w:val="es-ES" w:eastAsia="en-US"/>
        </w:rPr>
        <w:t>112 de la Constitución Política del Estado Libre y Soberano de México</w:t>
      </w:r>
      <w:r w:rsidRPr="00961771">
        <w:rPr>
          <w:rFonts w:ascii="Palatino Linotype" w:eastAsia="Calibri" w:hAnsi="Palatino Linotype" w:cs="Tahoma"/>
          <w:bCs/>
          <w:sz w:val="22"/>
          <w:szCs w:val="22"/>
          <w:lang w:val="es-ES" w:eastAsia="en-US"/>
        </w:rPr>
        <w:t xml:space="preserve">, determina que la base de la división territorial y de la organización política y administrativa del Estado, es el municipio libre. Por lo que </w:t>
      </w:r>
      <w:r w:rsidRPr="00961771">
        <w:rPr>
          <w:rFonts w:ascii="Palatino Linotype" w:eastAsia="Calibri" w:hAnsi="Palatino Linotype" w:cs="Tahoma"/>
          <w:b/>
          <w:bCs/>
          <w:sz w:val="22"/>
          <w:szCs w:val="22"/>
          <w:lang w:val="es-ES" w:eastAsia="en-US"/>
        </w:rPr>
        <w:t xml:space="preserve">las facultades que le otorgan las normas al gobierno municipal se ejercerán por el </w:t>
      </w:r>
      <w:r w:rsidRPr="00961771">
        <w:rPr>
          <w:rFonts w:ascii="Palatino Linotype" w:eastAsia="Calibri" w:hAnsi="Palatino Linotype" w:cs="Tahoma"/>
          <w:b/>
          <w:bCs/>
          <w:sz w:val="22"/>
          <w:szCs w:val="22"/>
          <w:u w:val="single"/>
          <w:lang w:val="es-ES" w:eastAsia="en-US"/>
        </w:rPr>
        <w:t>ayuntamiento</w:t>
      </w:r>
      <w:r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
          <w:bCs/>
          <w:sz w:val="22"/>
          <w:szCs w:val="22"/>
          <w:lang w:val="es-ES" w:eastAsia="en-US"/>
        </w:rPr>
        <w:t xml:space="preserve">de manera exclusiva </w:t>
      </w:r>
      <w:r w:rsidRPr="00961771">
        <w:rPr>
          <w:rFonts w:ascii="Palatino Linotype" w:eastAsia="Calibri" w:hAnsi="Palatino Linotype" w:cs="Tahoma"/>
          <w:bCs/>
          <w:sz w:val="22"/>
          <w:szCs w:val="22"/>
          <w:lang w:val="es-ES" w:eastAsia="en-US"/>
        </w:rPr>
        <w:t>y no habrá autoridad intermedia alguna entre éste y el gobierno del Estado.</w:t>
      </w:r>
    </w:p>
    <w:p w:rsidR="00535676" w:rsidRPr="00961771" w:rsidRDefault="00535676" w:rsidP="00590CCB">
      <w:pPr>
        <w:spacing w:line="276" w:lineRule="auto"/>
        <w:jc w:val="both"/>
        <w:rPr>
          <w:rFonts w:ascii="Palatino Linotype" w:eastAsia="Calibri" w:hAnsi="Palatino Linotype" w:cs="Tahoma"/>
          <w:bCs/>
          <w:sz w:val="22"/>
          <w:szCs w:val="22"/>
          <w:lang w:val="es-ES" w:eastAsia="en-US"/>
        </w:rPr>
      </w:pPr>
    </w:p>
    <w:p w:rsidR="00535676" w:rsidRDefault="00716EEF"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 mayor abundamiento, el artículo 125 </w:t>
      </w:r>
      <w:r w:rsidR="00EB71D5" w:rsidRPr="00961771">
        <w:rPr>
          <w:rFonts w:ascii="Palatino Linotype" w:eastAsia="Calibri" w:hAnsi="Palatino Linotype" w:cs="Tahoma"/>
          <w:bCs/>
          <w:sz w:val="22"/>
          <w:szCs w:val="22"/>
          <w:lang w:val="es-ES" w:eastAsia="en-US"/>
        </w:rPr>
        <w:t xml:space="preserve">de la </w:t>
      </w:r>
      <w:r w:rsidR="00EB71D5" w:rsidRPr="00961771">
        <w:rPr>
          <w:rFonts w:ascii="Palatino Linotype" w:eastAsia="Calibri" w:hAnsi="Palatino Linotype" w:cs="Tahoma"/>
          <w:b/>
          <w:bCs/>
          <w:sz w:val="22"/>
          <w:szCs w:val="22"/>
          <w:lang w:val="es-ES" w:eastAsia="en-US"/>
        </w:rPr>
        <w:t>Constitución Política del Estado Libre y Soberano de México</w:t>
      </w:r>
      <w:r w:rsidR="00EB71D5" w:rsidRPr="00961771">
        <w:rPr>
          <w:rFonts w:ascii="Palatino Linotype" w:eastAsia="Calibri" w:hAnsi="Palatino Linotype" w:cs="Tahoma"/>
          <w:bCs/>
          <w:sz w:val="22"/>
          <w:szCs w:val="22"/>
          <w:lang w:val="es-ES" w:eastAsia="en-US"/>
        </w:rPr>
        <w:t xml:space="preserve">, indica que </w:t>
      </w:r>
      <w:r w:rsidR="00EB71D5" w:rsidRPr="00961771">
        <w:rPr>
          <w:rFonts w:ascii="Palatino Linotype" w:eastAsia="Calibri" w:hAnsi="Palatino Linotype" w:cs="Tahoma"/>
          <w:b/>
          <w:bCs/>
          <w:sz w:val="22"/>
          <w:szCs w:val="22"/>
          <w:lang w:val="es-ES" w:eastAsia="en-US"/>
        </w:rPr>
        <w:t>los municipios administrarán libremente su hacienda</w:t>
      </w:r>
      <w:r w:rsidR="00EB71D5" w:rsidRPr="00961771">
        <w:rPr>
          <w:rFonts w:ascii="Palatino Linotype" w:eastAsia="Calibri" w:hAnsi="Palatino Linotype" w:cs="Tahoma"/>
          <w:bCs/>
          <w:sz w:val="22"/>
          <w:szCs w:val="22"/>
          <w:lang w:val="es-ES" w:eastAsia="en-US"/>
        </w:rPr>
        <w:t xml:space="preserve">, </w:t>
      </w:r>
      <w:r w:rsidR="00EB71D5" w:rsidRPr="00961771">
        <w:rPr>
          <w:rFonts w:ascii="Palatino Linotype" w:eastAsia="Calibri" w:hAnsi="Palatino Linotype" w:cs="Tahoma"/>
          <w:b/>
          <w:bCs/>
          <w:sz w:val="22"/>
          <w:szCs w:val="22"/>
          <w:lang w:val="es-ES" w:eastAsia="en-US"/>
        </w:rPr>
        <w:t>la cual se formará</w:t>
      </w:r>
      <w:r w:rsidR="00EB71D5" w:rsidRPr="00961771">
        <w:rPr>
          <w:rFonts w:ascii="Palatino Linotype" w:eastAsia="Calibri" w:hAnsi="Palatino Linotype" w:cs="Tahoma"/>
          <w:bCs/>
          <w:sz w:val="22"/>
          <w:szCs w:val="22"/>
          <w:lang w:val="es-ES" w:eastAsia="en-US"/>
        </w:rPr>
        <w:t xml:space="preserve">, entre otros ingresos, </w:t>
      </w:r>
      <w:r w:rsidR="00EB71D5" w:rsidRPr="00961771">
        <w:rPr>
          <w:rFonts w:ascii="Palatino Linotype" w:eastAsia="Calibri" w:hAnsi="Palatino Linotype" w:cs="Tahoma"/>
          <w:b/>
          <w:bCs/>
          <w:sz w:val="22"/>
          <w:szCs w:val="22"/>
          <w:lang w:val="es-ES" w:eastAsia="en-US"/>
        </w:rPr>
        <w:t>con las contribuciones, incluyendo tasas adicionales sobre la propiedad inmobiliaria, de su fraccionamiento, división, consolidación, traslación y mejora, así como las que tengan como base el cambio del valor de los inmuebles</w:t>
      </w:r>
      <w:r w:rsidR="00EB71D5" w:rsidRPr="00961771">
        <w:rPr>
          <w:rFonts w:ascii="Palatino Linotype" w:eastAsia="Calibri" w:hAnsi="Palatino Linotype" w:cs="Tahoma"/>
          <w:bCs/>
          <w:sz w:val="22"/>
          <w:szCs w:val="22"/>
          <w:lang w:val="es-ES" w:eastAsia="en-US"/>
        </w:rPr>
        <w:t>.</w:t>
      </w:r>
      <w:r w:rsidR="00EB71D5" w:rsidRPr="00961771">
        <w:rPr>
          <w:rFonts w:ascii="Palatino Linotype" w:eastAsia="Calibri" w:hAnsi="Palatino Linotype" w:cs="Tahoma"/>
          <w:bCs/>
          <w:sz w:val="22"/>
          <w:szCs w:val="22"/>
          <w:lang w:val="es-ES" w:eastAsia="en-US"/>
        </w:rPr>
        <w:cr/>
      </w:r>
    </w:p>
    <w:p w:rsidR="00CE52E8" w:rsidRDefault="00CE52E8" w:rsidP="00590CCB">
      <w:pPr>
        <w:spacing w:line="276" w:lineRule="auto"/>
        <w:jc w:val="both"/>
        <w:rPr>
          <w:rFonts w:ascii="Palatino Linotype" w:eastAsia="Calibri" w:hAnsi="Palatino Linotype" w:cs="Tahoma"/>
          <w:bCs/>
          <w:sz w:val="22"/>
          <w:szCs w:val="22"/>
          <w:lang w:val="es-ES" w:eastAsia="en-US"/>
        </w:rPr>
      </w:pPr>
    </w:p>
    <w:p w:rsidR="00CE52E8" w:rsidRDefault="00CE52E8" w:rsidP="00590CCB">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Sobre la materia, el </w:t>
      </w:r>
      <w:r w:rsidRPr="00961771">
        <w:rPr>
          <w:rFonts w:ascii="Palatino Linotype" w:eastAsia="Calibri" w:hAnsi="Palatino Linotype" w:cs="Tahoma"/>
          <w:b/>
          <w:bCs/>
          <w:sz w:val="22"/>
          <w:szCs w:val="22"/>
          <w:lang w:val="es-ES" w:eastAsia="en-US"/>
        </w:rPr>
        <w:t>Código Financiero del Estado de México</w:t>
      </w:r>
      <w:r>
        <w:rPr>
          <w:rFonts w:ascii="Palatino Linotype" w:eastAsia="Calibri" w:hAnsi="Palatino Linotype" w:cs="Tahoma"/>
          <w:b/>
          <w:bCs/>
          <w:sz w:val="22"/>
          <w:szCs w:val="22"/>
          <w:lang w:val="es-ES" w:eastAsia="en-US"/>
        </w:rPr>
        <w:t xml:space="preserve">, </w:t>
      </w:r>
      <w:r w:rsidRPr="00CE52E8">
        <w:rPr>
          <w:rFonts w:ascii="Palatino Linotype" w:eastAsia="Calibri" w:hAnsi="Palatino Linotype" w:cs="Tahoma"/>
          <w:bCs/>
          <w:sz w:val="22"/>
          <w:szCs w:val="22"/>
          <w:lang w:val="es-ES" w:eastAsia="en-US"/>
        </w:rPr>
        <w:t>dispone lo siguiente:</w:t>
      </w:r>
    </w:p>
    <w:p w:rsidR="00CE52E8" w:rsidRDefault="00CE52E8" w:rsidP="00590CCB">
      <w:pPr>
        <w:spacing w:line="276" w:lineRule="auto"/>
        <w:jc w:val="both"/>
        <w:rPr>
          <w:rFonts w:ascii="Palatino Linotype" w:eastAsia="Calibri" w:hAnsi="Palatino Linotype" w:cs="Tahoma"/>
          <w:bCs/>
          <w:sz w:val="22"/>
          <w:szCs w:val="22"/>
          <w:lang w:val="es-ES" w:eastAsia="en-US"/>
        </w:rPr>
      </w:pPr>
    </w:p>
    <w:p w:rsidR="0012251A" w:rsidRPr="0012251A" w:rsidRDefault="0012251A" w:rsidP="0012251A">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a</w:t>
      </w:r>
      <w:r w:rsidRPr="0012251A">
        <w:rPr>
          <w:rFonts w:ascii="Palatino Linotype" w:eastAsia="Calibri" w:hAnsi="Palatino Linotype" w:cs="Tahoma"/>
          <w:bCs/>
          <w:sz w:val="22"/>
          <w:szCs w:val="22"/>
          <w:lang w:val="es-ES" w:eastAsia="en-US"/>
        </w:rPr>
        <w:t>rtículo 9</w:t>
      </w:r>
      <w:r>
        <w:rPr>
          <w:rFonts w:ascii="Palatino Linotype" w:eastAsia="Calibri" w:hAnsi="Palatino Linotype" w:cs="Tahoma"/>
          <w:bCs/>
          <w:sz w:val="22"/>
          <w:szCs w:val="22"/>
          <w:lang w:val="es-ES" w:eastAsia="en-US"/>
        </w:rPr>
        <w:t>, fracción II, prevé que l</w:t>
      </w:r>
      <w:r w:rsidRPr="0012251A">
        <w:rPr>
          <w:rFonts w:ascii="Palatino Linotype" w:eastAsia="Calibri" w:hAnsi="Palatino Linotype" w:cs="Tahoma"/>
          <w:bCs/>
          <w:sz w:val="22"/>
          <w:szCs w:val="22"/>
          <w:lang w:val="es-ES" w:eastAsia="en-US"/>
        </w:rPr>
        <w:t>as contribuciones se clasifican en impuestos, derechos, contribuciones o aportaciones de mejoras, y aportaciones y cuotas de seguridad social</w:t>
      </w:r>
      <w:r>
        <w:rPr>
          <w:rFonts w:ascii="Palatino Linotype" w:eastAsia="Calibri" w:hAnsi="Palatino Linotype" w:cs="Tahoma"/>
          <w:bCs/>
          <w:sz w:val="22"/>
          <w:szCs w:val="22"/>
          <w:lang w:val="es-ES" w:eastAsia="en-US"/>
        </w:rPr>
        <w:t xml:space="preserve"> y define a los Derechos como: </w:t>
      </w:r>
      <w:r w:rsidRPr="0012251A">
        <w:rPr>
          <w:rFonts w:ascii="Palatino Linotype" w:eastAsia="Calibri" w:hAnsi="Palatino Linotype" w:cs="Tahoma"/>
          <w:bCs/>
          <w:sz w:val="22"/>
          <w:szCs w:val="22"/>
          <w:lang w:val="es-ES" w:eastAsia="en-US"/>
        </w:rPr>
        <w:t>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w:t>
      </w:r>
    </w:p>
    <w:p w:rsidR="0012251A" w:rsidRPr="0012251A" w:rsidRDefault="0012251A" w:rsidP="0012251A">
      <w:pPr>
        <w:spacing w:line="276" w:lineRule="auto"/>
        <w:jc w:val="both"/>
        <w:rPr>
          <w:rFonts w:ascii="Palatino Linotype" w:eastAsia="Calibri" w:hAnsi="Palatino Linotype" w:cs="Tahoma"/>
          <w:bCs/>
          <w:sz w:val="22"/>
          <w:szCs w:val="22"/>
          <w:lang w:val="es-ES" w:eastAsia="en-US"/>
        </w:rPr>
      </w:pPr>
    </w:p>
    <w:p w:rsidR="0012251A" w:rsidRPr="0012251A" w:rsidRDefault="005D1AB3" w:rsidP="0012251A">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a</w:t>
      </w:r>
      <w:r w:rsidR="0012251A" w:rsidRPr="0012251A">
        <w:rPr>
          <w:rFonts w:ascii="Palatino Linotype" w:eastAsia="Calibri" w:hAnsi="Palatino Linotype" w:cs="Tahoma"/>
          <w:bCs/>
          <w:sz w:val="22"/>
          <w:szCs w:val="22"/>
          <w:lang w:val="es-ES" w:eastAsia="en-US"/>
        </w:rPr>
        <w:t>rtículo 16</w:t>
      </w:r>
      <w:r>
        <w:rPr>
          <w:rFonts w:ascii="Palatino Linotype" w:eastAsia="Calibri" w:hAnsi="Palatino Linotype" w:cs="Tahoma"/>
          <w:bCs/>
          <w:sz w:val="22"/>
          <w:szCs w:val="22"/>
          <w:lang w:val="es-ES" w:eastAsia="en-US"/>
        </w:rPr>
        <w:t>, dispone que s</w:t>
      </w:r>
      <w:r w:rsidR="0012251A" w:rsidRPr="0012251A">
        <w:rPr>
          <w:rFonts w:ascii="Palatino Linotype" w:eastAsia="Calibri" w:hAnsi="Palatino Linotype" w:cs="Tahoma"/>
          <w:bCs/>
          <w:sz w:val="22"/>
          <w:szCs w:val="22"/>
          <w:lang w:val="es-ES" w:eastAsia="en-US"/>
        </w:rPr>
        <w:t xml:space="preserve">on autoridades fiscales, el Gobernador, </w:t>
      </w:r>
      <w:r w:rsidR="0012251A" w:rsidRPr="005D1AB3">
        <w:rPr>
          <w:rFonts w:ascii="Palatino Linotype" w:eastAsia="Calibri" w:hAnsi="Palatino Linotype" w:cs="Tahoma"/>
          <w:b/>
          <w:bCs/>
          <w:sz w:val="22"/>
          <w:szCs w:val="22"/>
          <w:lang w:val="es-ES" w:eastAsia="en-US"/>
        </w:rPr>
        <w:t>los ayuntamientos</w:t>
      </w:r>
      <w:r w:rsidR="0012251A" w:rsidRPr="0012251A">
        <w:rPr>
          <w:rFonts w:ascii="Palatino Linotype" w:eastAsia="Calibri" w:hAnsi="Palatino Linotype" w:cs="Tahoma"/>
          <w:bCs/>
          <w:sz w:val="22"/>
          <w:szCs w:val="22"/>
          <w:lang w:val="es-ES" w:eastAsia="en-U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rsidR="0012251A" w:rsidRPr="0012251A" w:rsidRDefault="0012251A" w:rsidP="0012251A">
      <w:pPr>
        <w:spacing w:line="276" w:lineRule="auto"/>
        <w:jc w:val="both"/>
        <w:rPr>
          <w:rFonts w:ascii="Palatino Linotype" w:eastAsia="Calibri" w:hAnsi="Palatino Linotype" w:cs="Tahoma"/>
          <w:bCs/>
          <w:sz w:val="22"/>
          <w:szCs w:val="22"/>
          <w:lang w:val="es-ES" w:eastAsia="en-US"/>
        </w:rPr>
      </w:pPr>
    </w:p>
    <w:p w:rsidR="0012251A" w:rsidRPr="005D1AB3" w:rsidRDefault="005D1AB3" w:rsidP="0012251A">
      <w:pPr>
        <w:spacing w:line="276"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El a</w:t>
      </w:r>
      <w:r w:rsidR="0012251A" w:rsidRPr="0012251A">
        <w:rPr>
          <w:rFonts w:ascii="Palatino Linotype" w:eastAsia="Calibri" w:hAnsi="Palatino Linotype" w:cs="Tahoma"/>
          <w:bCs/>
          <w:sz w:val="22"/>
          <w:szCs w:val="22"/>
          <w:lang w:val="es-ES" w:eastAsia="en-US"/>
        </w:rPr>
        <w:t>rtículo 55</w:t>
      </w:r>
      <w:r>
        <w:rPr>
          <w:rFonts w:ascii="Palatino Linotype" w:eastAsia="Calibri" w:hAnsi="Palatino Linotype" w:cs="Tahoma"/>
          <w:bCs/>
          <w:sz w:val="22"/>
          <w:szCs w:val="22"/>
          <w:lang w:val="es-ES" w:eastAsia="en-US"/>
        </w:rPr>
        <w:t>, establece que l</w:t>
      </w:r>
      <w:r w:rsidR="0012251A" w:rsidRPr="0012251A">
        <w:rPr>
          <w:rFonts w:ascii="Palatino Linotype" w:eastAsia="Calibri" w:hAnsi="Palatino Linotype" w:cs="Tahoma"/>
          <w:bCs/>
          <w:sz w:val="22"/>
          <w:szCs w:val="22"/>
          <w:lang w:val="es-ES" w:eastAsia="en-US"/>
        </w:rPr>
        <w:t xml:space="preserve">os servidores públicos que intervengan en trámites relativos a la aplicación de este Código, </w:t>
      </w:r>
      <w:r w:rsidR="0012251A" w:rsidRPr="005D1AB3">
        <w:rPr>
          <w:rFonts w:ascii="Palatino Linotype" w:eastAsia="Calibri" w:hAnsi="Palatino Linotype" w:cs="Tahoma"/>
          <w:b/>
          <w:bCs/>
          <w:sz w:val="22"/>
          <w:szCs w:val="22"/>
          <w:lang w:val="es-ES" w:eastAsia="en-US"/>
        </w:rPr>
        <w:t>están obligados a guardar en absoluta reserva o confidencialidad, según sea el caso, lo concerniente a las declaraciones y datos que proporcionen los particulares o terceros relacionados con ellos, así como los obtenidos en el ejercicio de las facultades de comprobación.</w:t>
      </w:r>
    </w:p>
    <w:p w:rsidR="009B4703" w:rsidRPr="00961771" w:rsidRDefault="000526CE" w:rsidP="00590CCB">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E</w:t>
      </w:r>
      <w:r w:rsidR="009B4703" w:rsidRPr="00961771">
        <w:rPr>
          <w:rFonts w:ascii="Palatino Linotype" w:eastAsia="Calibri" w:hAnsi="Palatino Linotype" w:cs="Tahoma"/>
          <w:bCs/>
          <w:sz w:val="22"/>
          <w:szCs w:val="22"/>
          <w:lang w:val="es-ES" w:eastAsia="en-US"/>
        </w:rPr>
        <w:t xml:space="preserve">l artículo 107, </w:t>
      </w:r>
      <w:r w:rsidR="00CE52E8">
        <w:rPr>
          <w:rFonts w:ascii="Palatino Linotype" w:eastAsia="Calibri" w:hAnsi="Palatino Linotype" w:cs="Tahoma"/>
          <w:b/>
          <w:bCs/>
          <w:sz w:val="22"/>
          <w:szCs w:val="22"/>
          <w:u w:val="single"/>
          <w:lang w:val="es-ES" w:eastAsia="en-US"/>
        </w:rPr>
        <w:t>refiere</w:t>
      </w:r>
      <w:r w:rsidR="009B4703" w:rsidRPr="00961771">
        <w:rPr>
          <w:rFonts w:ascii="Palatino Linotype" w:eastAsia="Calibri" w:hAnsi="Palatino Linotype" w:cs="Tahoma"/>
          <w:b/>
          <w:bCs/>
          <w:sz w:val="22"/>
          <w:szCs w:val="22"/>
          <w:u w:val="single"/>
          <w:lang w:val="es-ES" w:eastAsia="en-US"/>
        </w:rPr>
        <w:t xml:space="preserve"> que el Impuesto Predial es aquel al que están obligadas las personas físicas y jurídicas colectivas que sean propietarias o poseedoras</w:t>
      </w:r>
      <w:r w:rsidR="009B4703" w:rsidRPr="00961771">
        <w:rPr>
          <w:rFonts w:ascii="Palatino Linotype" w:eastAsia="Calibri" w:hAnsi="Palatino Linotype" w:cs="Tahoma"/>
          <w:bCs/>
          <w:sz w:val="22"/>
          <w:szCs w:val="22"/>
          <w:lang w:val="es-ES" w:eastAsia="en-US"/>
        </w:rPr>
        <w:t xml:space="preserve">, según se trate, </w:t>
      </w:r>
      <w:r w:rsidR="009B4703" w:rsidRPr="00961771">
        <w:rPr>
          <w:rFonts w:ascii="Palatino Linotype" w:eastAsia="Calibri" w:hAnsi="Palatino Linotype" w:cs="Tahoma"/>
          <w:b/>
          <w:bCs/>
          <w:sz w:val="22"/>
          <w:szCs w:val="22"/>
          <w:lang w:val="es-ES" w:eastAsia="en-US"/>
        </w:rPr>
        <w:t>de inmuebles en el Estado de México</w:t>
      </w:r>
      <w:r w:rsidR="009B4703" w:rsidRPr="00961771">
        <w:rPr>
          <w:rFonts w:ascii="Palatino Linotype" w:eastAsia="Calibri" w:hAnsi="Palatino Linotype" w:cs="Tahoma"/>
          <w:bCs/>
          <w:sz w:val="22"/>
          <w:szCs w:val="22"/>
          <w:lang w:val="es-ES" w:eastAsia="en-US"/>
        </w:rPr>
        <w:t>.</w:t>
      </w:r>
    </w:p>
    <w:p w:rsidR="009B4703" w:rsidRPr="00961771" w:rsidRDefault="009B4703" w:rsidP="00590CCB">
      <w:pPr>
        <w:spacing w:line="276" w:lineRule="auto"/>
        <w:jc w:val="both"/>
        <w:rPr>
          <w:rFonts w:ascii="Palatino Linotype" w:eastAsia="Calibri" w:hAnsi="Palatino Linotype" w:cs="Tahoma"/>
          <w:bCs/>
          <w:sz w:val="22"/>
          <w:szCs w:val="22"/>
          <w:lang w:val="es-ES" w:eastAsia="en-US"/>
        </w:rPr>
      </w:pPr>
    </w:p>
    <w:p w:rsidR="009B4703" w:rsidRPr="00961771" w:rsidRDefault="00CE52E8" w:rsidP="00590CCB">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w:t>
      </w:r>
      <w:r w:rsidR="009B4703" w:rsidRPr="00961771">
        <w:rPr>
          <w:rFonts w:ascii="Palatino Linotype" w:eastAsia="Calibri" w:hAnsi="Palatino Linotype" w:cs="Tahoma"/>
          <w:bCs/>
          <w:sz w:val="22"/>
          <w:szCs w:val="22"/>
          <w:lang w:val="es-ES" w:eastAsia="en-US"/>
        </w:rPr>
        <w:t>l artículo 108</w:t>
      </w:r>
      <w:r>
        <w:rPr>
          <w:rFonts w:ascii="Palatino Linotype" w:eastAsia="Calibri" w:hAnsi="Palatino Linotype" w:cs="Tahoma"/>
          <w:bCs/>
          <w:sz w:val="22"/>
          <w:szCs w:val="22"/>
          <w:lang w:val="es-ES" w:eastAsia="en-US"/>
        </w:rPr>
        <w:t>,</w:t>
      </w:r>
      <w:r w:rsidR="003E5CB3" w:rsidRPr="00961771">
        <w:rPr>
          <w:rFonts w:ascii="Palatino Linotype" w:eastAsia="Calibri" w:hAnsi="Palatino Linotype" w:cs="Tahoma"/>
          <w:bCs/>
          <w:sz w:val="22"/>
          <w:szCs w:val="22"/>
          <w:lang w:val="es-ES" w:eastAsia="en-US"/>
        </w:rPr>
        <w:t xml:space="preserve"> señala que </w:t>
      </w:r>
      <w:r w:rsidR="003E5CB3" w:rsidRPr="00961771">
        <w:rPr>
          <w:rFonts w:ascii="Palatino Linotype" w:eastAsia="Calibri" w:hAnsi="Palatino Linotype" w:cs="Tahoma"/>
          <w:b/>
          <w:bCs/>
          <w:sz w:val="22"/>
          <w:szCs w:val="22"/>
          <w:lang w:val="es-ES" w:eastAsia="en-US"/>
        </w:rPr>
        <w:t>la base del impuesto predial será el valor catastral declarado por los propietarios o poseedores de inmuebles, mediante manifestación que presenten ante la Tesorería Municipal de la jurisdicción que le corresponda</w:t>
      </w:r>
      <w:r w:rsidR="003E5CB3" w:rsidRPr="00961771">
        <w:rPr>
          <w:rFonts w:ascii="Palatino Linotype" w:eastAsia="Calibri" w:hAnsi="Palatino Linotype" w:cs="Tahoma"/>
          <w:bCs/>
          <w:sz w:val="22"/>
          <w:szCs w:val="22"/>
          <w:lang w:val="es-ES" w:eastAsia="en-US"/>
        </w:rPr>
        <w:t xml:space="preserve"> y que esté determinado conforme a las tablas de valores unitarios de suelo y construcciones publicadas en el periódico oficial.</w:t>
      </w:r>
    </w:p>
    <w:p w:rsidR="009B4703" w:rsidRDefault="009B4703" w:rsidP="00590CCB">
      <w:pPr>
        <w:spacing w:line="276" w:lineRule="auto"/>
        <w:jc w:val="both"/>
        <w:rPr>
          <w:rFonts w:ascii="Palatino Linotype" w:eastAsia="Calibri" w:hAnsi="Palatino Linotype" w:cs="Tahoma"/>
          <w:bCs/>
          <w:sz w:val="22"/>
          <w:szCs w:val="22"/>
          <w:lang w:val="es-ES" w:eastAsia="en-US"/>
        </w:rPr>
      </w:pPr>
    </w:p>
    <w:p w:rsidR="00535676" w:rsidRPr="00961771" w:rsidRDefault="0032342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Por su parte, la </w:t>
      </w:r>
      <w:r w:rsidRPr="00961771">
        <w:rPr>
          <w:rFonts w:ascii="Palatino Linotype" w:eastAsia="Calibri" w:hAnsi="Palatino Linotype" w:cs="Tahoma"/>
          <w:b/>
          <w:bCs/>
          <w:sz w:val="22"/>
          <w:szCs w:val="22"/>
          <w:lang w:val="es-ES" w:eastAsia="en-US"/>
        </w:rPr>
        <w:t>Ley de Ingresos de los Municipios del Estado de México para el Ejercicio Fiscal del Año 2018,</w:t>
      </w:r>
      <w:r w:rsidRPr="00961771">
        <w:rPr>
          <w:rFonts w:ascii="Palatino Linotype" w:eastAsia="Calibri" w:hAnsi="Palatino Linotype" w:cs="Tahoma"/>
          <w:bCs/>
          <w:sz w:val="22"/>
          <w:szCs w:val="22"/>
          <w:lang w:val="es-ES" w:eastAsia="en-US"/>
        </w:rPr>
        <w:t xml:space="preserve"> en su artículo 1°, determina que la hacienda pública de los municipios del Estado de México, percibirá durante el ejercicio fiscal del año 2018, los ingresos provenientes de, entre otros conceptos, el </w:t>
      </w:r>
      <w:r w:rsidRPr="00961771">
        <w:rPr>
          <w:rFonts w:ascii="Palatino Linotype" w:eastAsia="Calibri" w:hAnsi="Palatino Linotype" w:cs="Tahoma"/>
          <w:b/>
          <w:bCs/>
          <w:sz w:val="22"/>
          <w:szCs w:val="22"/>
          <w:lang w:val="es-ES" w:eastAsia="en-US"/>
        </w:rPr>
        <w:t>Impuesto Predial</w:t>
      </w:r>
      <w:r w:rsidRPr="00961771">
        <w:rPr>
          <w:rFonts w:ascii="Palatino Linotype" w:eastAsia="Calibri" w:hAnsi="Palatino Linotype" w:cs="Tahoma"/>
          <w:bCs/>
          <w:sz w:val="22"/>
          <w:szCs w:val="22"/>
          <w:lang w:val="es-ES" w:eastAsia="en-US"/>
        </w:rPr>
        <w:t>.</w:t>
      </w:r>
    </w:p>
    <w:p w:rsidR="00535676" w:rsidRPr="00961771" w:rsidRDefault="00535676" w:rsidP="00590CCB">
      <w:pPr>
        <w:spacing w:line="276" w:lineRule="auto"/>
        <w:jc w:val="both"/>
        <w:rPr>
          <w:rFonts w:ascii="Palatino Linotype" w:eastAsia="Calibri" w:hAnsi="Palatino Linotype" w:cs="Tahoma"/>
          <w:bCs/>
          <w:sz w:val="22"/>
          <w:szCs w:val="22"/>
          <w:lang w:val="es-ES" w:eastAsia="en-US"/>
        </w:rPr>
      </w:pPr>
    </w:p>
    <w:p w:rsidR="00535676" w:rsidRPr="00961771" w:rsidRDefault="009B4703"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Por otra parte, los artículos 93 y 95 de la </w:t>
      </w:r>
      <w:r w:rsidRPr="00961771">
        <w:rPr>
          <w:rFonts w:ascii="Palatino Linotype" w:eastAsia="Calibri" w:hAnsi="Palatino Linotype" w:cs="Tahoma"/>
          <w:b/>
          <w:bCs/>
          <w:sz w:val="22"/>
          <w:szCs w:val="22"/>
          <w:lang w:val="es-ES" w:eastAsia="en-US"/>
        </w:rPr>
        <w:t>Ley Orgánica Municipal del Estado de México</w:t>
      </w:r>
      <w:r w:rsidRPr="00961771">
        <w:rPr>
          <w:rFonts w:ascii="Palatino Linotype" w:eastAsia="Calibri" w:hAnsi="Palatino Linotype" w:cs="Tahoma"/>
          <w:bCs/>
          <w:sz w:val="22"/>
          <w:szCs w:val="22"/>
          <w:lang w:val="es-ES" w:eastAsia="en-US"/>
        </w:rPr>
        <w:t xml:space="preserve">, señalan que </w:t>
      </w:r>
      <w:r w:rsidRPr="00961771">
        <w:rPr>
          <w:rFonts w:ascii="Palatino Linotype" w:eastAsia="Calibri" w:hAnsi="Palatino Linotype" w:cs="Tahoma"/>
          <w:b/>
          <w:bCs/>
          <w:sz w:val="22"/>
          <w:szCs w:val="22"/>
          <w:u w:val="single"/>
          <w:lang w:val="es-ES" w:eastAsia="en-US"/>
        </w:rPr>
        <w:t>la tesorería municipal es el órgano encargado de la recaudación de los ingresos municipales, para lo cual, diseña y aprueba las formas oficiales de manifestaciones, avisos y declaraciones y demás documentos requeridos</w:t>
      </w:r>
      <w:r w:rsidRPr="00961771">
        <w:rPr>
          <w:rFonts w:ascii="Palatino Linotype" w:eastAsia="Calibri" w:hAnsi="Palatino Linotype" w:cs="Tahoma"/>
          <w:bCs/>
          <w:sz w:val="22"/>
          <w:szCs w:val="22"/>
          <w:lang w:val="es-ES" w:eastAsia="en-US"/>
        </w:rPr>
        <w:t>.</w:t>
      </w:r>
    </w:p>
    <w:p w:rsidR="009B4703" w:rsidRPr="00961771" w:rsidRDefault="009B4703" w:rsidP="00590CCB">
      <w:pPr>
        <w:spacing w:line="276" w:lineRule="auto"/>
        <w:jc w:val="both"/>
        <w:rPr>
          <w:rFonts w:ascii="Palatino Linotype" w:eastAsia="Calibri" w:hAnsi="Palatino Linotype" w:cs="Tahoma"/>
          <w:bCs/>
          <w:sz w:val="22"/>
          <w:szCs w:val="22"/>
          <w:lang w:val="es-ES" w:eastAsia="en-US"/>
        </w:rPr>
      </w:pPr>
    </w:p>
    <w:p w:rsidR="005D1AB3" w:rsidRDefault="009B4703"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Así, de lo expuesto hasta este punto, se puede concluir q</w:t>
      </w:r>
      <w:r w:rsidR="003E5CB3" w:rsidRPr="00961771">
        <w:rPr>
          <w:rFonts w:ascii="Palatino Linotype" w:eastAsia="Calibri" w:hAnsi="Palatino Linotype" w:cs="Tahoma"/>
          <w:bCs/>
          <w:sz w:val="22"/>
          <w:szCs w:val="22"/>
          <w:lang w:val="es-ES" w:eastAsia="en-US"/>
        </w:rPr>
        <w:t>ue</w:t>
      </w:r>
      <w:r w:rsidR="005D1AB3" w:rsidRPr="005D1AB3">
        <w:t xml:space="preserve"> </w:t>
      </w:r>
      <w:r w:rsidR="005D1AB3" w:rsidRPr="005D1AB3">
        <w:rPr>
          <w:rFonts w:ascii="Palatino Linotype" w:eastAsia="Calibri" w:hAnsi="Palatino Linotype" w:cs="Tahoma"/>
          <w:b/>
          <w:bCs/>
          <w:sz w:val="22"/>
          <w:szCs w:val="22"/>
          <w:lang w:val="es-ES" w:eastAsia="en-US"/>
        </w:rPr>
        <w:t>los ayuntamientos,</w:t>
      </w:r>
      <w:r w:rsidR="005D1AB3" w:rsidRPr="005D1AB3">
        <w:rPr>
          <w:rFonts w:ascii="Palatino Linotype" w:eastAsia="Calibri" w:hAnsi="Palatino Linotype" w:cs="Tahoma"/>
          <w:bCs/>
          <w:sz w:val="22"/>
          <w:szCs w:val="22"/>
          <w:lang w:val="es-ES" w:eastAsia="en-US"/>
        </w:rPr>
        <w:t xml:space="preserve"> se erigen como autoridad fiscal, respecto del cobro del impuesto predial, por lo que, en términos del artículo 55 del Código en comento, están obligados a guardar absoluta reserva o confidencialidad, respecto de las declaraciones y datos que proporcionen los particulares o terceros relacionados con ellos, así como los obtenidos en el ejercicio de las facultades de comprobación.</w:t>
      </w:r>
    </w:p>
    <w:p w:rsidR="005D1AB3" w:rsidRDefault="005D1AB3" w:rsidP="00590CCB">
      <w:pPr>
        <w:spacing w:line="276" w:lineRule="auto"/>
        <w:jc w:val="both"/>
        <w:rPr>
          <w:rFonts w:ascii="Palatino Linotype" w:eastAsia="Calibri" w:hAnsi="Palatino Linotype" w:cs="Tahoma"/>
          <w:bCs/>
          <w:sz w:val="22"/>
          <w:szCs w:val="22"/>
          <w:lang w:val="es-ES" w:eastAsia="en-US"/>
        </w:rPr>
      </w:pPr>
    </w:p>
    <w:p w:rsidR="003E5CB3" w:rsidRPr="00961771" w:rsidRDefault="005D1AB3" w:rsidP="00590CCB">
      <w:pPr>
        <w:spacing w:line="276"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Asimismo, destaca que</w:t>
      </w:r>
      <w:r w:rsidR="003E5CB3" w:rsidRPr="00961771">
        <w:rPr>
          <w:rFonts w:ascii="Palatino Linotype" w:eastAsia="Calibri" w:hAnsi="Palatino Linotype" w:cs="Tahoma"/>
          <w:bCs/>
          <w:sz w:val="22"/>
          <w:szCs w:val="22"/>
          <w:lang w:val="es-ES" w:eastAsia="en-US"/>
        </w:rPr>
        <w:t xml:space="preserve"> el número de Registro Predial, nombre de la persona a la que está registrado el predio, comprobante del último pago realizado y monto del mismo, es información tributaria, conforme a la normatividad analizada, pues el Ayuntamiento de Cuautitlán Izcalli tiene facultades para percibir contribuciones sobre la propiedad inmobiliaria, es decir, para recaudar recursos con base en el Impuesto Predial, para lo cual diseña y aprueba las </w:t>
      </w:r>
      <w:r w:rsidR="003E5CB3" w:rsidRPr="00961771">
        <w:rPr>
          <w:rFonts w:ascii="Palatino Linotype" w:eastAsia="Calibri" w:hAnsi="Palatino Linotype" w:cs="Tahoma"/>
          <w:b/>
          <w:bCs/>
          <w:sz w:val="22"/>
          <w:szCs w:val="22"/>
          <w:lang w:val="es-ES" w:eastAsia="en-US"/>
        </w:rPr>
        <w:t>formas oficiales de manifestaciones</w:t>
      </w:r>
      <w:r w:rsidR="003E5CB3" w:rsidRPr="00961771">
        <w:rPr>
          <w:rFonts w:ascii="Palatino Linotype" w:eastAsia="Calibri" w:hAnsi="Palatino Linotype" w:cs="Tahoma"/>
          <w:bCs/>
          <w:sz w:val="22"/>
          <w:szCs w:val="22"/>
          <w:lang w:val="es-ES" w:eastAsia="en-US"/>
        </w:rPr>
        <w:t>, avisos y declaraciones y demás documentos requeridos.</w:t>
      </w:r>
      <w:r w:rsidR="00EB6B5B" w:rsidRPr="00961771">
        <w:rPr>
          <w:rFonts w:ascii="Palatino Linotype" w:eastAsia="Calibri" w:hAnsi="Palatino Linotype" w:cs="Tahoma"/>
          <w:bCs/>
          <w:sz w:val="22"/>
          <w:szCs w:val="22"/>
          <w:lang w:val="es-ES" w:eastAsia="en-US"/>
        </w:rPr>
        <w:t xml:space="preserve"> </w:t>
      </w:r>
      <w:r w:rsidR="003E5CB3" w:rsidRPr="00961771">
        <w:rPr>
          <w:rFonts w:ascii="Palatino Linotype" w:eastAsia="Calibri" w:hAnsi="Palatino Linotype" w:cs="Tahoma"/>
          <w:bCs/>
          <w:sz w:val="22"/>
          <w:szCs w:val="22"/>
          <w:lang w:val="es-ES" w:eastAsia="en-US"/>
        </w:rPr>
        <w:t xml:space="preserve">En otras palabras, </w:t>
      </w:r>
      <w:r w:rsidR="00EB6B5B" w:rsidRPr="00961771">
        <w:rPr>
          <w:rFonts w:ascii="Palatino Linotype" w:eastAsia="Calibri" w:hAnsi="Palatino Linotype" w:cs="Tahoma"/>
          <w:bCs/>
          <w:sz w:val="22"/>
          <w:szCs w:val="22"/>
          <w:lang w:val="es-ES" w:eastAsia="en-US"/>
        </w:rPr>
        <w:t xml:space="preserve">toda la información que </w:t>
      </w:r>
      <w:r w:rsidR="003E5CB3" w:rsidRPr="00961771">
        <w:rPr>
          <w:rFonts w:ascii="Palatino Linotype" w:eastAsia="Calibri" w:hAnsi="Palatino Linotype" w:cs="Tahoma"/>
          <w:bCs/>
          <w:sz w:val="22"/>
          <w:szCs w:val="22"/>
          <w:lang w:val="es-ES" w:eastAsia="en-US"/>
        </w:rPr>
        <w:t xml:space="preserve">el Ayuntamiento de Cuautitlán Izcalli </w:t>
      </w:r>
      <w:r w:rsidR="00EB6B5B" w:rsidRPr="00961771">
        <w:rPr>
          <w:rFonts w:ascii="Palatino Linotype" w:eastAsia="Calibri" w:hAnsi="Palatino Linotype" w:cs="Tahoma"/>
          <w:bCs/>
          <w:sz w:val="22"/>
          <w:szCs w:val="22"/>
          <w:lang w:val="es-ES" w:eastAsia="en-US"/>
        </w:rPr>
        <w:t xml:space="preserve">recaba, posee o genera </w:t>
      </w:r>
      <w:r w:rsidR="003E5CB3" w:rsidRPr="00961771">
        <w:rPr>
          <w:rFonts w:ascii="Palatino Linotype" w:eastAsia="Calibri" w:hAnsi="Palatino Linotype" w:cs="Tahoma"/>
          <w:bCs/>
          <w:sz w:val="22"/>
          <w:szCs w:val="22"/>
          <w:lang w:val="es-ES" w:eastAsia="en-US"/>
        </w:rPr>
        <w:t xml:space="preserve">de los propietarios o poseedores de inmuebles, </w:t>
      </w:r>
      <w:r w:rsidR="00EB6B5B" w:rsidRPr="00961771">
        <w:rPr>
          <w:rFonts w:ascii="Palatino Linotype" w:eastAsia="Calibri" w:hAnsi="Palatino Linotype" w:cs="Tahoma"/>
          <w:b/>
          <w:bCs/>
          <w:sz w:val="22"/>
          <w:szCs w:val="22"/>
          <w:lang w:val="es-ES" w:eastAsia="en-US"/>
        </w:rPr>
        <w:t>es de carácter tributaria</w:t>
      </w:r>
      <w:r w:rsidR="00EB6B5B" w:rsidRPr="00961771">
        <w:rPr>
          <w:rFonts w:ascii="Palatino Linotype" w:eastAsia="Calibri" w:hAnsi="Palatino Linotype" w:cs="Tahoma"/>
          <w:bCs/>
          <w:sz w:val="22"/>
          <w:szCs w:val="22"/>
          <w:lang w:val="es-ES" w:eastAsia="en-US"/>
        </w:rPr>
        <w:t>.</w:t>
      </w: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lastRenderedPageBreak/>
        <w:t xml:space="preserve">Aunado a lo anterior </w:t>
      </w:r>
      <w:r w:rsidRPr="00961771">
        <w:rPr>
          <w:rFonts w:ascii="Palatino Linotype" w:eastAsia="Calibri" w:hAnsi="Palatino Linotype" w:cs="Tahoma"/>
          <w:b/>
          <w:bCs/>
          <w:sz w:val="22"/>
          <w:szCs w:val="22"/>
          <w:lang w:val="es-ES" w:eastAsia="en-US"/>
        </w:rPr>
        <w:t>el Ayuntamiento de Cuautitlán Izcalli es una autoridad fiscal</w:t>
      </w:r>
      <w:r w:rsidRPr="00961771">
        <w:rPr>
          <w:rFonts w:ascii="Palatino Linotype" w:eastAsia="Calibri" w:hAnsi="Palatino Linotype" w:cs="Tahoma"/>
          <w:bCs/>
          <w:sz w:val="22"/>
          <w:szCs w:val="22"/>
          <w:lang w:val="es-ES" w:eastAsia="en-US"/>
        </w:rPr>
        <w:t>, pues desde la Constitución Política de los Estados Unidos Mexicanos, cuanto con atribuciones para recaudar impuestos y con ellos administrar libremente su hacienda pública.</w:t>
      </w: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Por ende, al comprobarse que los datos requeridos en el presente asunto son información tributaria y que el Ayuntamiento de Cuautitlán Izcalli es una autoridad fiscal, </w:t>
      </w:r>
      <w:r w:rsidRPr="00961771">
        <w:rPr>
          <w:rFonts w:ascii="Palatino Linotype" w:eastAsia="Calibri" w:hAnsi="Palatino Linotype" w:cs="Tahoma"/>
          <w:b/>
          <w:bCs/>
          <w:sz w:val="22"/>
          <w:szCs w:val="22"/>
          <w:lang w:val="es-ES" w:eastAsia="en-US"/>
        </w:rPr>
        <w:t xml:space="preserve">resulta procedente la clasificación como confidencial del número de Registro Predial, nombre de la persona a la que está registrado el predio, comprobante del último pago realizado y monto del mismo, con fundamento en el artículo 143, fracción II, </w:t>
      </w:r>
      <w:r w:rsidR="0034158C" w:rsidRPr="00961771">
        <w:rPr>
          <w:rFonts w:ascii="Palatino Linotype" w:eastAsia="Calibri" w:hAnsi="Palatino Linotype" w:cs="Tahoma"/>
          <w:b/>
          <w:bCs/>
          <w:sz w:val="22"/>
          <w:szCs w:val="22"/>
          <w:lang w:val="es-ES" w:eastAsia="en-US"/>
        </w:rPr>
        <w:t xml:space="preserve">de la Ley de Transparencia y Acceso a la Información Pública del Estado de México y Municipios, </w:t>
      </w:r>
      <w:r w:rsidRPr="00961771">
        <w:rPr>
          <w:rFonts w:ascii="Palatino Linotype" w:eastAsia="Calibri" w:hAnsi="Palatino Linotype" w:cs="Tahoma"/>
          <w:b/>
          <w:bCs/>
          <w:sz w:val="22"/>
          <w:szCs w:val="22"/>
          <w:lang w:val="es-ES" w:eastAsia="en-US"/>
        </w:rPr>
        <w:t>bajo el supuesto de secreto fiscal.</w:t>
      </w:r>
    </w:p>
    <w:p w:rsidR="00535676" w:rsidRPr="00961771" w:rsidRDefault="00535676" w:rsidP="00590CCB">
      <w:pPr>
        <w:spacing w:line="276" w:lineRule="auto"/>
        <w:jc w:val="both"/>
        <w:rPr>
          <w:rFonts w:ascii="Palatino Linotype" w:eastAsia="Calibri" w:hAnsi="Palatino Linotype" w:cs="Tahoma"/>
          <w:bCs/>
          <w:sz w:val="22"/>
          <w:szCs w:val="22"/>
          <w:lang w:val="es-ES" w:eastAsia="en-US"/>
        </w:rPr>
      </w:pP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Ahora bien, respecto de la manifestación efectuada por la particular al interponer su recurso de revisión, relativa a que lo requerido reviste un interés p</w:t>
      </w:r>
      <w:r w:rsidR="0034158C" w:rsidRPr="00961771">
        <w:rPr>
          <w:rFonts w:ascii="Palatino Linotype" w:eastAsia="Calibri" w:hAnsi="Palatino Linotype" w:cs="Tahoma"/>
          <w:bCs/>
          <w:sz w:val="22"/>
          <w:szCs w:val="22"/>
          <w:lang w:val="es-ES" w:eastAsia="en-US"/>
        </w:rPr>
        <w:t xml:space="preserve">úblico, pues da cuenta del beneficio que obtiene la hacienda pública, es dable señalar que desde la perspectiva de esta autoridad, el transparencia y la rendición de cuentas respecto de los ingresos y egresos de la hacienda de un Ayuntamiento, pueden ser satisfechos a través de los informes contables, financieros y demás relativos, que el </w:t>
      </w:r>
      <w:r w:rsidR="00F1442D">
        <w:rPr>
          <w:rFonts w:ascii="Palatino Linotype" w:eastAsia="Calibri" w:hAnsi="Palatino Linotype" w:cs="Tahoma"/>
          <w:bCs/>
          <w:sz w:val="22"/>
          <w:szCs w:val="22"/>
          <w:lang w:val="es-ES" w:eastAsia="en-US"/>
        </w:rPr>
        <w:t>Sujeto Obligado</w:t>
      </w:r>
      <w:r w:rsidR="0034158C" w:rsidRPr="00961771">
        <w:rPr>
          <w:rFonts w:ascii="Palatino Linotype" w:eastAsia="Calibri" w:hAnsi="Palatino Linotype" w:cs="Tahoma"/>
          <w:bCs/>
          <w:sz w:val="22"/>
          <w:szCs w:val="22"/>
          <w:lang w:val="es-ES" w:eastAsia="en-US"/>
        </w:rPr>
        <w:t xml:space="preserve"> se encuentra obligado a generar y publicar, y que de forma generalizada dan cuenta del ejercicio de los recursos; en sentido contrario, no se advierte como conocer de forma específica y particular el nombre del propietario de un inmueble, su registro predial, el monto de pago y su comprobante, permiten a la ciudadanía conocer la salud de la hacienda pública.</w:t>
      </w: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p>
    <w:p w:rsidR="00EB6B5B" w:rsidRPr="00961771" w:rsidRDefault="0034158C"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Demostrado que la información requerida no reviste un interés público y que se encuentra protegida por el secreto fiscal en términos del artículo 143, fracción II, de la </w:t>
      </w:r>
      <w:r w:rsidRPr="00961771">
        <w:rPr>
          <w:rFonts w:ascii="Palatino Linotype" w:eastAsia="Calibri" w:hAnsi="Palatino Linotype" w:cs="Tahoma"/>
          <w:b/>
          <w:bCs/>
          <w:sz w:val="22"/>
          <w:szCs w:val="22"/>
          <w:lang w:val="es-ES" w:eastAsia="en-US"/>
        </w:rPr>
        <w:t>Ley de Transparencia y Acceso a la Información Pública del Estado de México y Municipios</w:t>
      </w:r>
      <w:r w:rsidR="00EB6B5B"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Cs/>
          <w:sz w:val="22"/>
          <w:szCs w:val="22"/>
          <w:lang w:val="es-ES" w:eastAsia="en-US"/>
        </w:rPr>
        <w:t xml:space="preserve">lo consecuente es analizar si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cumplió con el proceso para la clasificación de la información.</w:t>
      </w:r>
    </w:p>
    <w:p w:rsidR="0034158C" w:rsidRPr="00961771" w:rsidRDefault="0034158C" w:rsidP="00590CCB">
      <w:pPr>
        <w:spacing w:line="276" w:lineRule="auto"/>
        <w:jc w:val="both"/>
        <w:rPr>
          <w:rFonts w:ascii="Palatino Linotype" w:eastAsia="Calibri" w:hAnsi="Palatino Linotype" w:cs="Tahoma"/>
          <w:b/>
          <w:bCs/>
          <w:sz w:val="22"/>
          <w:szCs w:val="22"/>
          <w:lang w:val="es-ES" w:eastAsia="en-US"/>
        </w:rPr>
      </w:pPr>
      <w:r w:rsidRPr="00961771">
        <w:rPr>
          <w:rFonts w:ascii="Palatino Linotype" w:eastAsia="Calibri" w:hAnsi="Palatino Linotype" w:cs="Tahoma"/>
          <w:bCs/>
          <w:sz w:val="22"/>
          <w:szCs w:val="22"/>
          <w:lang w:val="es-ES" w:eastAsia="en-US"/>
        </w:rPr>
        <w:t xml:space="preserve">Al respecto, el artículo 168 de la propia </w:t>
      </w:r>
      <w:r w:rsidRPr="00961771">
        <w:rPr>
          <w:rFonts w:ascii="Palatino Linotype" w:eastAsia="Calibri" w:hAnsi="Palatino Linotype" w:cs="Tahoma"/>
          <w:b/>
          <w:bCs/>
          <w:sz w:val="22"/>
          <w:szCs w:val="22"/>
          <w:lang w:val="es-ES" w:eastAsia="en-US"/>
        </w:rPr>
        <w:t>Ley de Transparencia y Acceso a la Información Pública del Estado de México y Municipios, dice que, en caso de que los sujetos obligados consideren que los documentos o la información deban ser clasificados, se sujetará a lo siguiente</w:t>
      </w:r>
    </w:p>
    <w:p w:rsidR="00EB6B5B" w:rsidRPr="00961771" w:rsidRDefault="00EB6B5B" w:rsidP="00590CCB">
      <w:pPr>
        <w:spacing w:line="276" w:lineRule="auto"/>
        <w:jc w:val="both"/>
        <w:rPr>
          <w:rFonts w:ascii="Palatino Linotype" w:eastAsia="Calibri" w:hAnsi="Palatino Linotype" w:cs="Tahoma"/>
          <w:bCs/>
          <w:sz w:val="22"/>
          <w:szCs w:val="22"/>
          <w:lang w:val="es-ES" w:eastAsia="en-US"/>
        </w:rPr>
      </w:pPr>
    </w:p>
    <w:p w:rsidR="0034158C" w:rsidRPr="00961771" w:rsidRDefault="0034158C" w:rsidP="005F70C4">
      <w:pPr>
        <w:pStyle w:val="Prrafodelista"/>
        <w:numPr>
          <w:ilvl w:val="0"/>
          <w:numId w:val="23"/>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El Área deberá remitir la solicitud, así como un escrito en el que funde y motive la clasificación al Comité de Transparencia, mismo que deberá resolver para:</w:t>
      </w:r>
    </w:p>
    <w:p w:rsidR="0034158C" w:rsidRPr="005F70C4" w:rsidRDefault="0034158C" w:rsidP="005F70C4">
      <w:pPr>
        <w:pStyle w:val="Prrafodelista"/>
        <w:spacing w:line="276" w:lineRule="auto"/>
        <w:jc w:val="both"/>
        <w:rPr>
          <w:rFonts w:ascii="Palatino Linotype" w:eastAsia="Calibri" w:hAnsi="Palatino Linotype" w:cs="Tahoma"/>
          <w:bCs/>
          <w:szCs w:val="22"/>
          <w:lang w:val="es-ES" w:eastAsia="en-US"/>
        </w:rPr>
      </w:pPr>
      <w:r w:rsidRPr="005F70C4">
        <w:rPr>
          <w:rFonts w:ascii="Palatino Linotype" w:eastAsia="Calibri" w:hAnsi="Palatino Linotype" w:cs="Tahoma"/>
          <w:bCs/>
          <w:szCs w:val="22"/>
          <w:lang w:val="es-ES" w:eastAsia="en-US"/>
        </w:rPr>
        <w:lastRenderedPageBreak/>
        <w:t>Confirmar la clasificación;</w:t>
      </w:r>
    </w:p>
    <w:p w:rsidR="0034158C" w:rsidRPr="005F70C4" w:rsidRDefault="00B96956" w:rsidP="005F70C4">
      <w:pPr>
        <w:pStyle w:val="Prrafodelista"/>
        <w:spacing w:line="276" w:lineRule="auto"/>
        <w:jc w:val="both"/>
        <w:rPr>
          <w:rFonts w:ascii="Palatino Linotype" w:eastAsia="Calibri" w:hAnsi="Palatino Linotype" w:cs="Tahoma"/>
          <w:bCs/>
          <w:szCs w:val="22"/>
          <w:lang w:val="es-ES" w:eastAsia="en-US"/>
        </w:rPr>
      </w:pPr>
      <w:r w:rsidRPr="005F70C4">
        <w:rPr>
          <w:rFonts w:ascii="Palatino Linotype" w:eastAsia="Calibri" w:hAnsi="Palatino Linotype" w:cs="Tahoma"/>
          <w:bCs/>
          <w:szCs w:val="22"/>
          <w:lang w:val="es-ES" w:eastAsia="en-US"/>
        </w:rPr>
        <w:t>Modificar</w:t>
      </w:r>
      <w:r w:rsidR="0034158C" w:rsidRPr="005F70C4">
        <w:rPr>
          <w:rFonts w:ascii="Palatino Linotype" w:eastAsia="Calibri" w:hAnsi="Palatino Linotype" w:cs="Tahoma"/>
          <w:bCs/>
          <w:szCs w:val="22"/>
          <w:lang w:val="es-ES" w:eastAsia="en-US"/>
        </w:rPr>
        <w:t xml:space="preserve"> la clasificación y otorgar total o parcialmente el acceso a la información; y</w:t>
      </w:r>
    </w:p>
    <w:p w:rsidR="0034158C" w:rsidRPr="005F70C4" w:rsidRDefault="0034158C" w:rsidP="005F70C4">
      <w:pPr>
        <w:pStyle w:val="Prrafodelista"/>
        <w:spacing w:line="276" w:lineRule="auto"/>
        <w:jc w:val="both"/>
        <w:rPr>
          <w:rFonts w:ascii="Palatino Linotype" w:eastAsia="Calibri" w:hAnsi="Palatino Linotype" w:cs="Tahoma"/>
          <w:bCs/>
          <w:szCs w:val="22"/>
          <w:lang w:val="es-ES" w:eastAsia="en-US"/>
        </w:rPr>
      </w:pPr>
      <w:r w:rsidRPr="005F70C4">
        <w:rPr>
          <w:rFonts w:ascii="Palatino Linotype" w:eastAsia="Calibri" w:hAnsi="Palatino Linotype" w:cs="Tahoma"/>
          <w:bCs/>
          <w:szCs w:val="22"/>
          <w:lang w:val="es-ES" w:eastAsia="en-US"/>
        </w:rPr>
        <w:t>Revocar la clasificación y conceder el acceso a la información.</w:t>
      </w:r>
    </w:p>
    <w:p w:rsidR="0034158C" w:rsidRPr="00961771" w:rsidRDefault="0034158C" w:rsidP="00590CCB">
      <w:pPr>
        <w:spacing w:line="276" w:lineRule="auto"/>
        <w:jc w:val="both"/>
        <w:rPr>
          <w:rFonts w:ascii="Palatino Linotype" w:eastAsia="Calibri" w:hAnsi="Palatino Linotype" w:cs="Tahoma"/>
          <w:bCs/>
          <w:sz w:val="22"/>
          <w:szCs w:val="22"/>
          <w:lang w:val="es-ES" w:eastAsia="en-US"/>
        </w:rPr>
      </w:pPr>
    </w:p>
    <w:p w:rsidR="0034158C" w:rsidRPr="00961771" w:rsidRDefault="0034158C" w:rsidP="005F70C4">
      <w:pPr>
        <w:pStyle w:val="Prrafodelista"/>
        <w:numPr>
          <w:ilvl w:val="0"/>
          <w:numId w:val="23"/>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El Comité de Transparencia podrá tener acceso a la información que esté en poder del Á</w:t>
      </w:r>
      <w:r w:rsidR="00B96956" w:rsidRPr="00961771">
        <w:rPr>
          <w:rFonts w:ascii="Palatino Linotype" w:eastAsia="Calibri" w:hAnsi="Palatino Linotype" w:cs="Tahoma"/>
          <w:bCs/>
          <w:szCs w:val="22"/>
          <w:lang w:val="es-ES" w:eastAsia="en-US"/>
        </w:rPr>
        <w:t xml:space="preserve">rea correspondiente, de la cual </w:t>
      </w:r>
      <w:r w:rsidRPr="00961771">
        <w:rPr>
          <w:rFonts w:ascii="Palatino Linotype" w:eastAsia="Calibri" w:hAnsi="Palatino Linotype" w:cs="Tahoma"/>
          <w:bCs/>
          <w:szCs w:val="22"/>
          <w:lang w:val="es-ES" w:eastAsia="en-US"/>
        </w:rPr>
        <w:t>se haya solicitado su clasificación; y</w:t>
      </w:r>
    </w:p>
    <w:p w:rsidR="00B96956" w:rsidRPr="00961771" w:rsidRDefault="00B96956" w:rsidP="00590CCB">
      <w:pPr>
        <w:spacing w:line="276" w:lineRule="auto"/>
        <w:jc w:val="both"/>
        <w:rPr>
          <w:rFonts w:ascii="Palatino Linotype" w:eastAsia="Calibri" w:hAnsi="Palatino Linotype" w:cs="Tahoma"/>
          <w:bCs/>
          <w:sz w:val="22"/>
          <w:szCs w:val="22"/>
          <w:lang w:val="es-ES" w:eastAsia="en-US"/>
        </w:rPr>
      </w:pPr>
    </w:p>
    <w:p w:rsidR="00EB6B5B" w:rsidRPr="00961771" w:rsidRDefault="0034158C" w:rsidP="005F70C4">
      <w:pPr>
        <w:pStyle w:val="Prrafodelista"/>
        <w:numPr>
          <w:ilvl w:val="0"/>
          <w:numId w:val="23"/>
        </w:numPr>
        <w:spacing w:line="276" w:lineRule="auto"/>
        <w:jc w:val="both"/>
        <w:rPr>
          <w:rFonts w:ascii="Palatino Linotype" w:eastAsia="Calibri" w:hAnsi="Palatino Linotype" w:cs="Tahoma"/>
          <w:bCs/>
          <w:szCs w:val="22"/>
          <w:lang w:val="es-ES" w:eastAsia="en-US"/>
        </w:rPr>
      </w:pPr>
      <w:r w:rsidRPr="00961771">
        <w:rPr>
          <w:rFonts w:ascii="Palatino Linotype" w:eastAsia="Calibri" w:hAnsi="Palatino Linotype" w:cs="Tahoma"/>
          <w:bCs/>
          <w:szCs w:val="22"/>
          <w:lang w:val="es-ES" w:eastAsia="en-US"/>
        </w:rPr>
        <w:t xml:space="preserve">La resolución del Comité de Transparencia será notificada al interesado en el plazo </w:t>
      </w:r>
      <w:r w:rsidR="00B96956" w:rsidRPr="00961771">
        <w:rPr>
          <w:rFonts w:ascii="Palatino Linotype" w:eastAsia="Calibri" w:hAnsi="Palatino Linotype" w:cs="Tahoma"/>
          <w:bCs/>
          <w:szCs w:val="22"/>
          <w:lang w:val="es-ES" w:eastAsia="en-US"/>
        </w:rPr>
        <w:t xml:space="preserve">de respuesta a la solicitud que </w:t>
      </w:r>
      <w:r w:rsidRPr="00961771">
        <w:rPr>
          <w:rFonts w:ascii="Palatino Linotype" w:eastAsia="Calibri" w:hAnsi="Palatino Linotype" w:cs="Tahoma"/>
          <w:bCs/>
          <w:szCs w:val="22"/>
          <w:lang w:val="es-ES" w:eastAsia="en-US"/>
        </w:rPr>
        <w:t>establece esta Ley.</w:t>
      </w:r>
    </w:p>
    <w:p w:rsidR="0034158C" w:rsidRPr="00961771" w:rsidRDefault="0034158C" w:rsidP="00590CCB">
      <w:pPr>
        <w:spacing w:line="276" w:lineRule="auto"/>
        <w:jc w:val="both"/>
        <w:rPr>
          <w:rFonts w:ascii="Palatino Linotype" w:eastAsia="Calibri" w:hAnsi="Palatino Linotype" w:cs="Tahoma"/>
          <w:bCs/>
          <w:sz w:val="22"/>
          <w:szCs w:val="22"/>
          <w:lang w:val="es-ES" w:eastAsia="en-US"/>
        </w:rPr>
      </w:pPr>
    </w:p>
    <w:p w:rsidR="00961771" w:rsidRPr="00961771" w:rsidRDefault="00B96956"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Ahora bien, de las constancias que integran el expediente en el que se actúa, se advierte que el Comité de Transparencia del Ayuntamiento de Cuautitlán Izcalli emitió el acta número 031/CUAUIZC/CT/TM/2018, de fecha once de septiembre de dos mil dieciocho, mediante la cual clasificó como reservada la información solicitada por el ahora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xml:space="preserve">, no obstante, como se comprobado en la presente resolución, la información tiene el carácter de confidencial por tratarse de un secreto fiscal, por lo que, como ya se dijo, dicha acta se encuentra indebidamente fundada y motivada. </w:t>
      </w:r>
    </w:p>
    <w:p w:rsidR="00961771" w:rsidRPr="00961771" w:rsidRDefault="00961771" w:rsidP="00590CCB">
      <w:pPr>
        <w:spacing w:line="276" w:lineRule="auto"/>
        <w:jc w:val="both"/>
        <w:rPr>
          <w:rFonts w:ascii="Palatino Linotype" w:eastAsia="Calibri" w:hAnsi="Palatino Linotype" w:cs="Tahoma"/>
          <w:bCs/>
          <w:sz w:val="22"/>
          <w:szCs w:val="22"/>
          <w:lang w:val="es-ES" w:eastAsia="en-US"/>
        </w:rPr>
      </w:pPr>
    </w:p>
    <w:p w:rsidR="0034158C" w:rsidRPr="00961771" w:rsidRDefault="00961771"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 xml:space="preserve">Consecuentemente, al resultar procedente la confidencialidad de la información solicitada por el ahora </w:t>
      </w:r>
      <w:r w:rsidR="00F1442D">
        <w:rPr>
          <w:rFonts w:ascii="Palatino Linotype" w:eastAsia="Calibri" w:hAnsi="Palatino Linotype" w:cs="Tahoma"/>
          <w:bCs/>
          <w:sz w:val="22"/>
          <w:szCs w:val="22"/>
          <w:lang w:val="es-ES" w:eastAsia="en-US"/>
        </w:rPr>
        <w:t>Recurrente</w:t>
      </w:r>
      <w:r w:rsidRPr="00961771">
        <w:rPr>
          <w:rFonts w:ascii="Palatino Linotype" w:eastAsia="Calibri" w:hAnsi="Palatino Linotype" w:cs="Tahoma"/>
          <w:bCs/>
          <w:sz w:val="22"/>
          <w:szCs w:val="22"/>
          <w:lang w:val="es-ES" w:eastAsia="en-US"/>
        </w:rPr>
        <w:t xml:space="preserve">, pero el </w:t>
      </w:r>
      <w:r w:rsidR="00F1442D">
        <w:rPr>
          <w:rFonts w:ascii="Palatino Linotype" w:eastAsia="Calibri" w:hAnsi="Palatino Linotype" w:cs="Tahoma"/>
          <w:bCs/>
          <w:sz w:val="22"/>
          <w:szCs w:val="22"/>
          <w:lang w:val="es-ES" w:eastAsia="en-US"/>
        </w:rPr>
        <w:t>Sujeto Obligado</w:t>
      </w:r>
      <w:r w:rsidRPr="00961771">
        <w:rPr>
          <w:rFonts w:ascii="Palatino Linotype" w:eastAsia="Calibri" w:hAnsi="Palatino Linotype" w:cs="Tahoma"/>
          <w:bCs/>
          <w:sz w:val="22"/>
          <w:szCs w:val="22"/>
          <w:lang w:val="es-ES" w:eastAsia="en-US"/>
        </w:rPr>
        <w:t xml:space="preserve"> incumplió con el procedimiento de clasificación establecido en la norma</w:t>
      </w:r>
      <w:r w:rsidR="00B96956" w:rsidRPr="00961771">
        <w:rPr>
          <w:rFonts w:ascii="Palatino Linotype" w:eastAsia="Calibri" w:hAnsi="Palatino Linotype" w:cs="Tahoma"/>
          <w:bCs/>
          <w:sz w:val="22"/>
          <w:szCs w:val="22"/>
          <w:lang w:val="es-ES" w:eastAsia="en-US"/>
        </w:rPr>
        <w:t xml:space="preserve">, </w:t>
      </w:r>
      <w:r w:rsidR="00B96956" w:rsidRPr="00961771">
        <w:rPr>
          <w:rFonts w:ascii="Palatino Linotype" w:eastAsia="Calibri" w:hAnsi="Palatino Linotype" w:cs="Tahoma"/>
          <w:b/>
          <w:bCs/>
          <w:sz w:val="22"/>
          <w:szCs w:val="22"/>
          <w:u w:val="single"/>
          <w:lang w:val="es-ES" w:eastAsia="en-US"/>
        </w:rPr>
        <w:t>el agravio manifestado por el particular, materia de análisis en el presente apartado, resulte parcialmente fundado</w:t>
      </w:r>
      <w:r w:rsidR="00B96956" w:rsidRPr="00961771">
        <w:rPr>
          <w:rFonts w:ascii="Palatino Linotype" w:eastAsia="Calibri" w:hAnsi="Palatino Linotype" w:cs="Tahoma"/>
          <w:bCs/>
          <w:sz w:val="22"/>
          <w:szCs w:val="22"/>
          <w:lang w:val="es-ES" w:eastAsia="en-US"/>
        </w:rPr>
        <w:t>.</w:t>
      </w:r>
    </w:p>
    <w:p w:rsidR="00B96956" w:rsidRPr="00961771" w:rsidRDefault="00B96956" w:rsidP="00590CCB">
      <w:pPr>
        <w:spacing w:line="276" w:lineRule="auto"/>
        <w:jc w:val="both"/>
        <w:rPr>
          <w:rFonts w:ascii="Palatino Linotype" w:eastAsia="Calibri" w:hAnsi="Palatino Linotype" w:cs="Tahoma"/>
          <w:bCs/>
          <w:sz w:val="22"/>
          <w:szCs w:val="22"/>
          <w:lang w:val="es-ES" w:eastAsia="en-US"/>
        </w:rPr>
      </w:pPr>
    </w:p>
    <w:p w:rsidR="00B96956" w:rsidRPr="00961771" w:rsidRDefault="00961771" w:rsidP="00590CCB">
      <w:pPr>
        <w:spacing w:line="276" w:lineRule="auto"/>
        <w:jc w:val="both"/>
        <w:rPr>
          <w:rFonts w:ascii="Palatino Linotype" w:eastAsia="Calibri" w:hAnsi="Palatino Linotype" w:cs="Tahoma"/>
          <w:bCs/>
          <w:sz w:val="22"/>
          <w:szCs w:val="22"/>
          <w:lang w:val="es-ES" w:eastAsia="en-US"/>
        </w:rPr>
      </w:pPr>
      <w:r w:rsidRPr="00961771">
        <w:rPr>
          <w:rFonts w:ascii="Palatino Linotype" w:eastAsia="Calibri" w:hAnsi="Palatino Linotype" w:cs="Tahoma"/>
          <w:bCs/>
          <w:sz w:val="22"/>
          <w:szCs w:val="22"/>
          <w:lang w:val="es-ES" w:eastAsia="en-US"/>
        </w:rPr>
        <w:t>De manera que</w:t>
      </w:r>
      <w:r w:rsidR="00B96956" w:rsidRPr="00961771">
        <w:rPr>
          <w:rFonts w:ascii="Palatino Linotype" w:eastAsia="Calibri" w:hAnsi="Palatino Linotype" w:cs="Tahoma"/>
          <w:bCs/>
          <w:sz w:val="22"/>
          <w:szCs w:val="22"/>
          <w:lang w:val="es-ES" w:eastAsia="en-US"/>
        </w:rPr>
        <w:t xml:space="preserve">, </w:t>
      </w:r>
      <w:r w:rsidRPr="00961771">
        <w:rPr>
          <w:rFonts w:ascii="Palatino Linotype" w:eastAsia="Calibri" w:hAnsi="Palatino Linotype" w:cs="Tahoma"/>
          <w:bCs/>
          <w:sz w:val="22"/>
          <w:szCs w:val="22"/>
          <w:lang w:val="es-ES" w:eastAsia="en-US"/>
        </w:rPr>
        <w:t xml:space="preserve">resulta procedente </w:t>
      </w:r>
      <w:r w:rsidRPr="00FB7EC7">
        <w:rPr>
          <w:rFonts w:ascii="Palatino Linotype" w:eastAsia="Calibri" w:hAnsi="Palatino Linotype" w:cs="Tahoma"/>
          <w:b/>
          <w:bCs/>
          <w:sz w:val="22"/>
          <w:szCs w:val="22"/>
          <w:lang w:val="es-ES" w:eastAsia="en-US"/>
        </w:rPr>
        <w:t>MODIFICAR</w:t>
      </w:r>
      <w:r w:rsidRPr="00961771">
        <w:rPr>
          <w:rFonts w:ascii="Palatino Linotype" w:eastAsia="Calibri" w:hAnsi="Palatino Linotype" w:cs="Tahoma"/>
          <w:bCs/>
          <w:sz w:val="22"/>
          <w:szCs w:val="22"/>
          <w:lang w:val="es-ES" w:eastAsia="en-US"/>
        </w:rPr>
        <w:t xml:space="preserve"> la respuesta otorgada por el Ayuntamiento de Cuautitlán Izcalli a la solicitud de información que nos ocupa, e INSTRUIRLE a efecto de que </w:t>
      </w:r>
      <w:r w:rsidR="00B96956" w:rsidRPr="00961771">
        <w:rPr>
          <w:rFonts w:ascii="Palatino Linotype" w:eastAsia="Calibri" w:hAnsi="Palatino Linotype" w:cs="Tahoma"/>
          <w:bCs/>
          <w:sz w:val="22"/>
          <w:szCs w:val="22"/>
          <w:lang w:val="es-ES" w:eastAsia="en-US"/>
        </w:rPr>
        <w:t xml:space="preserve">el Comité de Transparencia del Ayuntamiento de Cuautitlán Izcalli </w:t>
      </w:r>
      <w:r w:rsidRPr="00961771">
        <w:rPr>
          <w:rFonts w:ascii="Palatino Linotype" w:eastAsia="Calibri" w:hAnsi="Palatino Linotype" w:cs="Tahoma"/>
          <w:bCs/>
          <w:sz w:val="22"/>
          <w:szCs w:val="22"/>
          <w:lang w:val="es-ES" w:eastAsia="en-US"/>
        </w:rPr>
        <w:t>emita</w:t>
      </w:r>
      <w:r w:rsidR="00B96956" w:rsidRPr="00961771">
        <w:rPr>
          <w:rFonts w:ascii="Palatino Linotype" w:eastAsia="Calibri" w:hAnsi="Palatino Linotype" w:cs="Tahoma"/>
          <w:bCs/>
          <w:sz w:val="22"/>
          <w:szCs w:val="22"/>
          <w:lang w:val="es-ES" w:eastAsia="en-US"/>
        </w:rPr>
        <w:t xml:space="preserve"> una nueva acta en la que </w:t>
      </w:r>
      <w:r w:rsidRPr="00961771">
        <w:rPr>
          <w:rFonts w:ascii="Palatino Linotype" w:eastAsia="Calibri" w:hAnsi="Palatino Linotype" w:cs="Tahoma"/>
          <w:bCs/>
          <w:sz w:val="22"/>
          <w:szCs w:val="22"/>
          <w:lang w:val="es-ES" w:eastAsia="en-US"/>
        </w:rPr>
        <w:t xml:space="preserve">de manera fundada </w:t>
      </w:r>
      <w:r w:rsidR="00B96956" w:rsidRPr="00961771">
        <w:rPr>
          <w:rFonts w:ascii="Palatino Linotype" w:eastAsia="Calibri" w:hAnsi="Palatino Linotype" w:cs="Tahoma"/>
          <w:bCs/>
          <w:sz w:val="22"/>
          <w:szCs w:val="22"/>
          <w:lang w:val="es-ES" w:eastAsia="en-US"/>
        </w:rPr>
        <w:t>y motivada conf</w:t>
      </w:r>
      <w:r w:rsidRPr="00961771">
        <w:rPr>
          <w:rFonts w:ascii="Palatino Linotype" w:eastAsia="Calibri" w:hAnsi="Palatino Linotype" w:cs="Tahoma"/>
          <w:bCs/>
          <w:sz w:val="22"/>
          <w:szCs w:val="22"/>
          <w:lang w:val="es-ES" w:eastAsia="en-US"/>
        </w:rPr>
        <w:t>i</w:t>
      </w:r>
      <w:r w:rsidR="00B96956" w:rsidRPr="00961771">
        <w:rPr>
          <w:rFonts w:ascii="Palatino Linotype" w:eastAsia="Calibri" w:hAnsi="Palatino Linotype" w:cs="Tahoma"/>
          <w:bCs/>
          <w:sz w:val="22"/>
          <w:szCs w:val="22"/>
          <w:lang w:val="es-ES" w:eastAsia="en-US"/>
        </w:rPr>
        <w:t xml:space="preserve">rme la confidencialidad de la información solicitada en términos </w:t>
      </w:r>
      <w:r w:rsidR="00B96956" w:rsidRPr="00961771">
        <w:rPr>
          <w:rFonts w:ascii="Palatino Linotype" w:eastAsia="Calibri" w:hAnsi="Palatino Linotype" w:cs="Tahoma"/>
          <w:b/>
          <w:bCs/>
          <w:sz w:val="22"/>
          <w:szCs w:val="22"/>
          <w:lang w:val="es-ES" w:eastAsia="en-US"/>
        </w:rPr>
        <w:t>de</w:t>
      </w:r>
      <w:r w:rsidRPr="00961771">
        <w:rPr>
          <w:rFonts w:ascii="Palatino Linotype" w:eastAsia="Calibri" w:hAnsi="Palatino Linotype" w:cs="Tahoma"/>
          <w:b/>
          <w:bCs/>
          <w:sz w:val="22"/>
          <w:szCs w:val="22"/>
          <w:lang w:val="es-ES" w:eastAsia="en-US"/>
        </w:rPr>
        <w:t>l artículo</w:t>
      </w:r>
      <w:r w:rsidR="00B96956" w:rsidRPr="00961771">
        <w:rPr>
          <w:rFonts w:ascii="Palatino Linotype" w:eastAsia="Calibri" w:hAnsi="Palatino Linotype" w:cs="Tahoma"/>
          <w:b/>
          <w:bCs/>
          <w:sz w:val="22"/>
          <w:szCs w:val="22"/>
          <w:lang w:val="es-ES" w:eastAsia="en-US"/>
        </w:rPr>
        <w:t xml:space="preserve"> 143, fracción II, de la</w:t>
      </w:r>
      <w:r w:rsidR="00B96956" w:rsidRPr="00961771">
        <w:rPr>
          <w:rFonts w:ascii="Palatino Linotype" w:eastAsia="Calibri" w:hAnsi="Palatino Linotype" w:cs="Tahoma"/>
          <w:bCs/>
          <w:sz w:val="22"/>
          <w:szCs w:val="22"/>
          <w:lang w:val="es-ES" w:eastAsia="en-US"/>
        </w:rPr>
        <w:t xml:space="preserve"> </w:t>
      </w:r>
      <w:r w:rsidR="00B96956" w:rsidRPr="00961771">
        <w:rPr>
          <w:rFonts w:ascii="Palatino Linotype" w:eastAsia="Calibri" w:hAnsi="Palatino Linotype" w:cs="Tahoma"/>
          <w:b/>
          <w:bCs/>
          <w:sz w:val="22"/>
          <w:szCs w:val="22"/>
          <w:lang w:val="es-ES" w:eastAsia="en-US"/>
        </w:rPr>
        <w:t>Ley de Transparencia y Acceso a la Información Pública del Estado de México y Municipios</w:t>
      </w:r>
      <w:r w:rsidRPr="00961771">
        <w:rPr>
          <w:rFonts w:ascii="Palatino Linotype" w:eastAsia="Calibri" w:hAnsi="Palatino Linotype" w:cs="Tahoma"/>
          <w:b/>
          <w:bCs/>
          <w:sz w:val="22"/>
          <w:szCs w:val="22"/>
          <w:lang w:val="es-ES" w:eastAsia="en-US"/>
        </w:rPr>
        <w:t>, y la haga de conocimiento del particular.</w:t>
      </w:r>
    </w:p>
    <w:p w:rsidR="0034158C" w:rsidRPr="00961771" w:rsidRDefault="0034158C" w:rsidP="00590CCB">
      <w:pPr>
        <w:spacing w:line="276" w:lineRule="auto"/>
        <w:jc w:val="both"/>
        <w:rPr>
          <w:rFonts w:ascii="Palatino Linotype" w:eastAsia="Calibri" w:hAnsi="Palatino Linotype" w:cs="Tahoma"/>
          <w:bCs/>
          <w:sz w:val="22"/>
          <w:szCs w:val="22"/>
          <w:lang w:val="es-ES"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Cs/>
          <w:sz w:val="22"/>
          <w:szCs w:val="22"/>
          <w:lang w:eastAsia="en-US"/>
        </w:rPr>
        <w:t xml:space="preserve">Por lo antes expuesto y fundado. </w:t>
      </w:r>
    </w:p>
    <w:p w:rsidR="00806E45" w:rsidRDefault="00806E45" w:rsidP="00590CCB">
      <w:pPr>
        <w:spacing w:line="276" w:lineRule="auto"/>
        <w:jc w:val="both"/>
        <w:rPr>
          <w:rFonts w:ascii="Palatino Linotype" w:eastAsia="Calibri" w:hAnsi="Palatino Linotype" w:cs="Tahoma"/>
          <w:bCs/>
          <w:sz w:val="22"/>
          <w:szCs w:val="22"/>
          <w:lang w:eastAsia="en-US"/>
        </w:rPr>
      </w:pPr>
    </w:p>
    <w:p w:rsidR="002F6616" w:rsidRDefault="002F6616" w:rsidP="00590CCB">
      <w:pPr>
        <w:spacing w:line="276" w:lineRule="auto"/>
        <w:jc w:val="both"/>
        <w:rPr>
          <w:rFonts w:ascii="Palatino Linotype" w:eastAsia="Calibri" w:hAnsi="Palatino Linotype" w:cs="Tahoma"/>
          <w:bCs/>
          <w:sz w:val="22"/>
          <w:szCs w:val="22"/>
          <w:lang w:eastAsia="en-US"/>
        </w:rPr>
      </w:pPr>
    </w:p>
    <w:p w:rsidR="002F6616" w:rsidRPr="00961771" w:rsidRDefault="002F6616" w:rsidP="00590CCB">
      <w:pPr>
        <w:spacing w:line="276" w:lineRule="auto"/>
        <w:jc w:val="both"/>
        <w:rPr>
          <w:rFonts w:ascii="Palatino Linotype" w:eastAsia="Calibri" w:hAnsi="Palatino Linotype" w:cs="Tahoma"/>
          <w:bCs/>
          <w:sz w:val="22"/>
          <w:szCs w:val="22"/>
          <w:lang w:eastAsia="en-US"/>
        </w:rPr>
      </w:pPr>
    </w:p>
    <w:p w:rsidR="00806E45" w:rsidRPr="00961771" w:rsidRDefault="00806E45" w:rsidP="00590CCB">
      <w:pPr>
        <w:spacing w:line="276" w:lineRule="auto"/>
        <w:jc w:val="center"/>
        <w:rPr>
          <w:rFonts w:ascii="Palatino Linotype" w:eastAsia="Calibri" w:hAnsi="Palatino Linotype" w:cs="Tahoma"/>
          <w:b/>
          <w:bCs/>
          <w:sz w:val="22"/>
          <w:szCs w:val="22"/>
          <w:lang w:val="es-ES_tradnl" w:eastAsia="en-US"/>
        </w:rPr>
      </w:pPr>
      <w:r w:rsidRPr="00961771">
        <w:rPr>
          <w:rFonts w:ascii="Palatino Linotype" w:eastAsia="Calibri" w:hAnsi="Palatino Linotype" w:cs="Tahoma"/>
          <w:b/>
          <w:bCs/>
          <w:sz w:val="22"/>
          <w:szCs w:val="22"/>
          <w:lang w:val="es-ES_tradnl" w:eastAsia="en-US"/>
        </w:rPr>
        <w:lastRenderedPageBreak/>
        <w:t>SE RESUELVE</w:t>
      </w:r>
    </w:p>
    <w:p w:rsidR="00806E45" w:rsidRPr="00961771" w:rsidRDefault="00806E45" w:rsidP="00590CCB">
      <w:pPr>
        <w:spacing w:line="276" w:lineRule="auto"/>
        <w:jc w:val="both"/>
        <w:rPr>
          <w:rFonts w:ascii="Palatino Linotype" w:eastAsia="Calibri" w:hAnsi="Palatino Linotype" w:cs="Tahoma"/>
          <w:b/>
          <w:bCs/>
          <w:sz w:val="22"/>
          <w:szCs w:val="22"/>
          <w:lang w:val="es-ES_tradnl"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
          <w:bCs/>
          <w:sz w:val="22"/>
          <w:szCs w:val="22"/>
          <w:lang w:val="es-ES_tradnl" w:eastAsia="en-US"/>
        </w:rPr>
        <w:t xml:space="preserve">PRIMERO. </w:t>
      </w:r>
      <w:r w:rsidRPr="00961771">
        <w:rPr>
          <w:rFonts w:ascii="Palatino Linotype" w:eastAsia="Calibri" w:hAnsi="Palatino Linotype" w:cs="Tahoma"/>
          <w:bCs/>
          <w:sz w:val="22"/>
          <w:szCs w:val="22"/>
          <w:lang w:eastAsia="en-US"/>
        </w:rPr>
        <w:t xml:space="preserve">Se </w:t>
      </w:r>
      <w:r w:rsidR="00961771" w:rsidRPr="00961771">
        <w:rPr>
          <w:rFonts w:ascii="Palatino Linotype" w:eastAsia="Calibri" w:hAnsi="Palatino Linotype" w:cs="Tahoma"/>
          <w:b/>
          <w:bCs/>
          <w:sz w:val="22"/>
          <w:szCs w:val="22"/>
          <w:lang w:eastAsia="en-US"/>
        </w:rPr>
        <w:t>MODIFICA</w:t>
      </w:r>
      <w:r w:rsidRPr="00961771">
        <w:rPr>
          <w:rFonts w:ascii="Palatino Linotype" w:eastAsia="Calibri" w:hAnsi="Palatino Linotype" w:cs="Tahoma"/>
          <w:b/>
          <w:bCs/>
          <w:sz w:val="22"/>
          <w:szCs w:val="22"/>
          <w:lang w:eastAsia="en-US"/>
        </w:rPr>
        <w:t xml:space="preserve"> </w:t>
      </w:r>
      <w:r w:rsidRPr="00961771">
        <w:rPr>
          <w:rFonts w:ascii="Palatino Linotype" w:eastAsia="Calibri" w:hAnsi="Palatino Linotype" w:cs="Tahoma"/>
          <w:bCs/>
          <w:sz w:val="22"/>
          <w:szCs w:val="22"/>
          <w:lang w:eastAsia="en-US"/>
        </w:rPr>
        <w:t xml:space="preserve">la respuesta entregada por el </w:t>
      </w:r>
      <w:r w:rsidR="00F1442D">
        <w:rPr>
          <w:rFonts w:ascii="Palatino Linotype" w:eastAsia="Calibri" w:hAnsi="Palatino Linotype" w:cs="Tahoma"/>
          <w:bCs/>
          <w:sz w:val="22"/>
          <w:szCs w:val="22"/>
          <w:lang w:eastAsia="en-US"/>
        </w:rPr>
        <w:t>Sujeto Obligado</w:t>
      </w:r>
      <w:r w:rsidRPr="00961771">
        <w:rPr>
          <w:rFonts w:ascii="Palatino Linotype" w:eastAsia="Calibri" w:hAnsi="Palatino Linotype" w:cs="Tahoma"/>
          <w:bCs/>
          <w:sz w:val="22"/>
          <w:szCs w:val="22"/>
          <w:lang w:eastAsia="en-US"/>
        </w:rPr>
        <w:t xml:space="preserve">, por resultar </w:t>
      </w:r>
      <w:r w:rsidR="00961771" w:rsidRPr="00961771">
        <w:rPr>
          <w:rFonts w:ascii="Palatino Linotype" w:eastAsia="Calibri" w:hAnsi="Palatino Linotype" w:cs="Tahoma"/>
          <w:b/>
          <w:bCs/>
          <w:sz w:val="22"/>
          <w:szCs w:val="22"/>
          <w:lang w:eastAsia="en-US"/>
        </w:rPr>
        <w:t xml:space="preserve">PARCIALMENTE </w:t>
      </w:r>
      <w:r w:rsidRPr="00961771">
        <w:rPr>
          <w:rFonts w:ascii="Palatino Linotype" w:eastAsia="Calibri" w:hAnsi="Palatino Linotype" w:cs="Tahoma"/>
          <w:b/>
          <w:bCs/>
          <w:sz w:val="22"/>
          <w:szCs w:val="22"/>
          <w:lang w:eastAsia="en-US"/>
        </w:rPr>
        <w:t>FUNDADOS</w:t>
      </w:r>
      <w:r w:rsidRPr="00961771">
        <w:rPr>
          <w:rFonts w:ascii="Palatino Linotype" w:eastAsia="Calibri" w:hAnsi="Palatino Linotype" w:cs="Tahoma"/>
          <w:bCs/>
          <w:sz w:val="22"/>
          <w:szCs w:val="22"/>
          <w:lang w:eastAsia="en-US"/>
        </w:rPr>
        <w:t xml:space="preserve"> los motivos de inconformidad vertidos por </w:t>
      </w:r>
      <w:r w:rsidR="00961771" w:rsidRPr="00961771">
        <w:rPr>
          <w:rFonts w:ascii="Palatino Linotype" w:eastAsia="Calibri" w:hAnsi="Palatino Linotype" w:cs="Tahoma"/>
          <w:bCs/>
          <w:sz w:val="22"/>
          <w:szCs w:val="22"/>
          <w:lang w:eastAsia="en-US"/>
        </w:rPr>
        <w:t>el</w:t>
      </w:r>
      <w:r w:rsidRPr="00961771">
        <w:rPr>
          <w:rFonts w:ascii="Palatino Linotype" w:eastAsia="Calibri" w:hAnsi="Palatino Linotype" w:cs="Tahoma"/>
          <w:bCs/>
          <w:sz w:val="22"/>
          <w:szCs w:val="22"/>
          <w:lang w:eastAsia="en-US"/>
        </w:rPr>
        <w:t xml:space="preserve"> </w:t>
      </w:r>
      <w:r w:rsidR="00F1442D">
        <w:rPr>
          <w:rFonts w:ascii="Palatino Linotype" w:eastAsia="Calibri" w:hAnsi="Palatino Linotype" w:cs="Tahoma"/>
          <w:bCs/>
          <w:sz w:val="22"/>
          <w:szCs w:val="22"/>
          <w:lang w:eastAsia="en-US"/>
        </w:rPr>
        <w:t>Recurrente</w:t>
      </w:r>
      <w:r w:rsidRPr="00961771">
        <w:rPr>
          <w:rFonts w:ascii="Palatino Linotype" w:eastAsia="Calibri" w:hAnsi="Palatino Linotype" w:cs="Tahoma"/>
          <w:bCs/>
          <w:sz w:val="22"/>
          <w:szCs w:val="22"/>
          <w:lang w:eastAsia="en-US"/>
        </w:rPr>
        <w:t xml:space="preserve">, en términos del Considerando </w:t>
      </w:r>
      <w:r w:rsidR="00961771" w:rsidRPr="00961771">
        <w:rPr>
          <w:rFonts w:ascii="Palatino Linotype" w:eastAsia="Calibri" w:hAnsi="Palatino Linotype" w:cs="Tahoma"/>
          <w:bCs/>
          <w:sz w:val="22"/>
          <w:szCs w:val="22"/>
          <w:lang w:eastAsia="en-US"/>
        </w:rPr>
        <w:t>CUARTO</w:t>
      </w:r>
      <w:r w:rsidRPr="00961771">
        <w:rPr>
          <w:rFonts w:ascii="Palatino Linotype" w:eastAsia="Calibri" w:hAnsi="Palatino Linotype" w:cs="Tahoma"/>
          <w:b/>
          <w:bCs/>
          <w:sz w:val="22"/>
          <w:szCs w:val="22"/>
          <w:lang w:eastAsia="en-US"/>
        </w:rPr>
        <w:t xml:space="preserve"> </w:t>
      </w:r>
      <w:r w:rsidRPr="00961771">
        <w:rPr>
          <w:rFonts w:ascii="Palatino Linotype" w:eastAsia="Calibri" w:hAnsi="Palatino Linotype" w:cs="Tahoma"/>
          <w:bCs/>
          <w:sz w:val="22"/>
          <w:szCs w:val="22"/>
          <w:lang w:eastAsia="en-US"/>
        </w:rPr>
        <w:t>de la presente Resolución.</w:t>
      </w:r>
    </w:p>
    <w:p w:rsidR="00806E45" w:rsidRPr="00961771" w:rsidRDefault="00806E45" w:rsidP="00590CCB">
      <w:pPr>
        <w:spacing w:line="276" w:lineRule="auto"/>
        <w:jc w:val="both"/>
        <w:rPr>
          <w:rFonts w:ascii="Palatino Linotype" w:eastAsia="Calibri" w:hAnsi="Palatino Linotype" w:cs="Tahoma"/>
          <w:bCs/>
          <w:sz w:val="22"/>
          <w:szCs w:val="22"/>
          <w:lang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
          <w:bCs/>
          <w:sz w:val="22"/>
          <w:szCs w:val="22"/>
          <w:lang w:eastAsia="en-US"/>
        </w:rPr>
        <w:t>SEGUNDO.</w:t>
      </w:r>
      <w:r w:rsidRPr="00961771">
        <w:rPr>
          <w:rFonts w:ascii="Palatino Linotype" w:eastAsia="Calibri" w:hAnsi="Palatino Linotype" w:cs="Tahoma"/>
          <w:bCs/>
          <w:sz w:val="22"/>
          <w:szCs w:val="22"/>
          <w:lang w:eastAsia="en-US"/>
        </w:rPr>
        <w:t xml:space="preserve"> Se </w:t>
      </w:r>
      <w:r w:rsidRPr="00961771">
        <w:rPr>
          <w:rFonts w:ascii="Palatino Linotype" w:eastAsia="Calibri" w:hAnsi="Palatino Linotype" w:cs="Tahoma"/>
          <w:b/>
          <w:bCs/>
          <w:sz w:val="22"/>
          <w:szCs w:val="22"/>
          <w:lang w:eastAsia="en-US"/>
        </w:rPr>
        <w:t>ORDENA</w:t>
      </w:r>
      <w:r w:rsidR="00961771" w:rsidRPr="00961771">
        <w:rPr>
          <w:rFonts w:ascii="Palatino Linotype" w:eastAsia="Calibri" w:hAnsi="Palatino Linotype" w:cs="Tahoma"/>
          <w:bCs/>
          <w:sz w:val="22"/>
          <w:szCs w:val="22"/>
          <w:lang w:eastAsia="en-US"/>
        </w:rPr>
        <w:t xml:space="preserve"> al </w:t>
      </w:r>
      <w:r w:rsidR="00F1442D">
        <w:rPr>
          <w:rFonts w:ascii="Palatino Linotype" w:eastAsia="Calibri" w:hAnsi="Palatino Linotype" w:cs="Tahoma"/>
          <w:bCs/>
          <w:sz w:val="22"/>
          <w:szCs w:val="22"/>
          <w:lang w:eastAsia="en-US"/>
        </w:rPr>
        <w:t>Sujeto Obligado</w:t>
      </w:r>
      <w:r w:rsidRPr="00961771">
        <w:rPr>
          <w:rFonts w:ascii="Palatino Linotype" w:eastAsia="Calibri" w:hAnsi="Palatino Linotype" w:cs="Tahoma"/>
          <w:bCs/>
          <w:sz w:val="22"/>
          <w:szCs w:val="22"/>
          <w:lang w:eastAsia="en-US"/>
        </w:rPr>
        <w:t xml:space="preserve">, haga entrega al </w:t>
      </w:r>
      <w:r w:rsidR="00F1442D">
        <w:rPr>
          <w:rFonts w:ascii="Palatino Linotype" w:eastAsia="Calibri" w:hAnsi="Palatino Linotype" w:cs="Tahoma"/>
          <w:bCs/>
          <w:sz w:val="22"/>
          <w:szCs w:val="22"/>
          <w:lang w:eastAsia="en-US"/>
        </w:rPr>
        <w:t>Recurrente</w:t>
      </w:r>
      <w:r w:rsidRPr="00961771">
        <w:rPr>
          <w:rFonts w:ascii="Palatino Linotype" w:eastAsia="Calibri" w:hAnsi="Palatino Linotype" w:cs="Tahoma"/>
          <w:bCs/>
          <w:sz w:val="22"/>
          <w:szCs w:val="22"/>
          <w:lang w:eastAsia="en-US"/>
        </w:rPr>
        <w:t xml:space="preserve"> a través del</w:t>
      </w:r>
      <w:r w:rsidRPr="00961771">
        <w:rPr>
          <w:rFonts w:ascii="Palatino Linotype" w:eastAsia="Calibri" w:hAnsi="Palatino Linotype" w:cs="Tahoma"/>
          <w:bCs/>
          <w:sz w:val="22"/>
          <w:szCs w:val="22"/>
          <w:lang w:val="es-ES" w:eastAsia="en-US"/>
        </w:rPr>
        <w:t xml:space="preserve"> Sistema de Acceso a la Información Mexiquense (SAIMEX)</w:t>
      </w:r>
      <w:r w:rsidRPr="00961771">
        <w:rPr>
          <w:rFonts w:ascii="Palatino Linotype" w:eastAsia="Calibri" w:hAnsi="Palatino Linotype" w:cs="Tahoma"/>
          <w:bCs/>
          <w:sz w:val="22"/>
          <w:szCs w:val="22"/>
          <w:lang w:eastAsia="en-US"/>
        </w:rPr>
        <w:t xml:space="preserve">, </w:t>
      </w:r>
      <w:r w:rsidR="00961771" w:rsidRPr="00961771">
        <w:rPr>
          <w:rFonts w:ascii="Palatino Linotype" w:eastAsia="Calibri" w:hAnsi="Palatino Linotype" w:cs="Tahoma"/>
          <w:bCs/>
          <w:sz w:val="22"/>
          <w:szCs w:val="22"/>
          <w:lang w:eastAsia="en-US"/>
        </w:rPr>
        <w:t>d</w:t>
      </w:r>
      <w:r w:rsidRPr="00961771">
        <w:rPr>
          <w:rFonts w:ascii="Palatino Linotype" w:eastAsia="Calibri" w:hAnsi="Palatino Linotype" w:cs="Tahoma"/>
          <w:bCs/>
          <w:sz w:val="22"/>
          <w:szCs w:val="22"/>
          <w:lang w:eastAsia="en-US"/>
        </w:rPr>
        <w:t xml:space="preserve">el </w:t>
      </w:r>
      <w:r w:rsidR="00961771" w:rsidRPr="00961771">
        <w:rPr>
          <w:rFonts w:ascii="Palatino Linotype" w:eastAsia="Calibri" w:hAnsi="Palatino Linotype" w:cs="Tahoma"/>
          <w:bCs/>
          <w:sz w:val="22"/>
          <w:szCs w:val="22"/>
          <w:lang w:val="es-ES" w:eastAsia="en-US"/>
        </w:rPr>
        <w:t xml:space="preserve">acta </w:t>
      </w:r>
      <w:r w:rsidR="00CE52E8">
        <w:rPr>
          <w:rFonts w:ascii="Palatino Linotype" w:eastAsia="Calibri" w:hAnsi="Palatino Linotype" w:cs="Tahoma"/>
          <w:bCs/>
          <w:sz w:val="22"/>
          <w:szCs w:val="22"/>
          <w:lang w:val="es-ES" w:eastAsia="en-US"/>
        </w:rPr>
        <w:t xml:space="preserve">del Comité de Transparencia, </w:t>
      </w:r>
      <w:r w:rsidR="00961771" w:rsidRPr="00961771">
        <w:rPr>
          <w:rFonts w:ascii="Palatino Linotype" w:eastAsia="Calibri" w:hAnsi="Palatino Linotype" w:cs="Tahoma"/>
          <w:bCs/>
          <w:sz w:val="22"/>
          <w:szCs w:val="22"/>
          <w:lang w:val="es-ES" w:eastAsia="en-US"/>
        </w:rPr>
        <w:t xml:space="preserve">en la que </w:t>
      </w:r>
      <w:r w:rsidR="00CE52E8">
        <w:rPr>
          <w:rFonts w:ascii="Palatino Linotype" w:eastAsia="Calibri" w:hAnsi="Palatino Linotype" w:cs="Tahoma"/>
          <w:bCs/>
          <w:sz w:val="22"/>
          <w:szCs w:val="22"/>
          <w:lang w:val="es-ES" w:eastAsia="en-US"/>
        </w:rPr>
        <w:t>se</w:t>
      </w:r>
      <w:r w:rsidR="00961771" w:rsidRPr="00961771">
        <w:rPr>
          <w:rFonts w:ascii="Palatino Linotype" w:eastAsia="Calibri" w:hAnsi="Palatino Linotype" w:cs="Tahoma"/>
          <w:bCs/>
          <w:sz w:val="22"/>
          <w:szCs w:val="22"/>
          <w:lang w:val="es-ES" w:eastAsia="en-US"/>
        </w:rPr>
        <w:t xml:space="preserve"> fund</w:t>
      </w:r>
      <w:r w:rsidR="00CE52E8">
        <w:rPr>
          <w:rFonts w:ascii="Palatino Linotype" w:eastAsia="Calibri" w:hAnsi="Palatino Linotype" w:cs="Tahoma"/>
          <w:bCs/>
          <w:sz w:val="22"/>
          <w:szCs w:val="22"/>
          <w:lang w:val="es-ES" w:eastAsia="en-US"/>
        </w:rPr>
        <w:t>e</w:t>
      </w:r>
      <w:r w:rsidR="00961771" w:rsidRPr="00961771">
        <w:rPr>
          <w:rFonts w:ascii="Palatino Linotype" w:eastAsia="Calibri" w:hAnsi="Palatino Linotype" w:cs="Tahoma"/>
          <w:bCs/>
          <w:sz w:val="22"/>
          <w:szCs w:val="22"/>
          <w:lang w:val="es-ES" w:eastAsia="en-US"/>
        </w:rPr>
        <w:t xml:space="preserve"> y motiv</w:t>
      </w:r>
      <w:r w:rsidR="00CE52E8">
        <w:rPr>
          <w:rFonts w:ascii="Palatino Linotype" w:eastAsia="Calibri" w:hAnsi="Palatino Linotype" w:cs="Tahoma"/>
          <w:bCs/>
          <w:sz w:val="22"/>
          <w:szCs w:val="22"/>
          <w:lang w:val="es-ES" w:eastAsia="en-US"/>
        </w:rPr>
        <w:t xml:space="preserve">e adecuadamente, </w:t>
      </w:r>
      <w:r w:rsidR="00961771" w:rsidRPr="00961771">
        <w:rPr>
          <w:rFonts w:ascii="Palatino Linotype" w:eastAsia="Calibri" w:hAnsi="Palatino Linotype" w:cs="Tahoma"/>
          <w:bCs/>
          <w:sz w:val="22"/>
          <w:szCs w:val="22"/>
          <w:lang w:val="es-ES" w:eastAsia="en-US"/>
        </w:rPr>
        <w:t xml:space="preserve">confirme la confidencialidad de la información solicitada en términos </w:t>
      </w:r>
      <w:r w:rsidR="00961771" w:rsidRPr="00961771">
        <w:rPr>
          <w:rFonts w:ascii="Palatino Linotype" w:eastAsia="Calibri" w:hAnsi="Palatino Linotype" w:cs="Tahoma"/>
          <w:b/>
          <w:bCs/>
          <w:sz w:val="22"/>
          <w:szCs w:val="22"/>
          <w:lang w:val="es-ES" w:eastAsia="en-US"/>
        </w:rPr>
        <w:t>del artículo 143, fracción II, de la</w:t>
      </w:r>
      <w:r w:rsidR="00961771" w:rsidRPr="00961771">
        <w:rPr>
          <w:rFonts w:ascii="Palatino Linotype" w:eastAsia="Calibri" w:hAnsi="Palatino Linotype" w:cs="Tahoma"/>
          <w:bCs/>
          <w:sz w:val="22"/>
          <w:szCs w:val="22"/>
          <w:lang w:val="es-ES" w:eastAsia="en-US"/>
        </w:rPr>
        <w:t xml:space="preserve"> </w:t>
      </w:r>
      <w:r w:rsidR="00961771" w:rsidRPr="00961771">
        <w:rPr>
          <w:rFonts w:ascii="Palatino Linotype" w:eastAsia="Calibri" w:hAnsi="Palatino Linotype" w:cs="Tahoma"/>
          <w:b/>
          <w:bCs/>
          <w:sz w:val="22"/>
          <w:szCs w:val="22"/>
          <w:lang w:val="es-ES" w:eastAsia="en-US"/>
        </w:rPr>
        <w:t>Ley de Transparencia y Acceso a la Información Pública del Estado de México y Municipios, y la haga de conocimiento del particular.</w:t>
      </w:r>
    </w:p>
    <w:p w:rsidR="00806E45" w:rsidRPr="00961771" w:rsidRDefault="00806E45" w:rsidP="00590CCB">
      <w:pPr>
        <w:spacing w:line="276" w:lineRule="auto"/>
        <w:jc w:val="both"/>
        <w:rPr>
          <w:rFonts w:ascii="Palatino Linotype" w:eastAsia="Calibri" w:hAnsi="Palatino Linotype" w:cs="Tahoma"/>
          <w:bCs/>
          <w:sz w:val="22"/>
          <w:szCs w:val="22"/>
          <w:lang w:eastAsia="en-US"/>
        </w:rPr>
      </w:pPr>
    </w:p>
    <w:p w:rsidR="00806E45" w:rsidRPr="00961771" w:rsidRDefault="00806E45" w:rsidP="00590CCB">
      <w:pPr>
        <w:spacing w:line="276" w:lineRule="auto"/>
        <w:jc w:val="both"/>
        <w:rPr>
          <w:rFonts w:ascii="Palatino Linotype" w:eastAsia="Calibri" w:hAnsi="Palatino Linotype" w:cs="Tahoma"/>
          <w:bCs/>
          <w:i/>
          <w:sz w:val="22"/>
          <w:szCs w:val="22"/>
          <w:lang w:eastAsia="en-US"/>
        </w:rPr>
      </w:pPr>
      <w:r w:rsidRPr="00961771">
        <w:rPr>
          <w:rFonts w:ascii="Palatino Linotype" w:eastAsia="Calibri" w:hAnsi="Palatino Linotype" w:cs="Tahoma"/>
          <w:b/>
          <w:bCs/>
          <w:sz w:val="22"/>
          <w:szCs w:val="22"/>
          <w:lang w:eastAsia="en-US"/>
        </w:rPr>
        <w:t xml:space="preserve">TERCERO. NOTIFÍQUESE </w:t>
      </w:r>
      <w:r w:rsidRPr="00961771">
        <w:rPr>
          <w:rFonts w:ascii="Palatino Linotype" w:eastAsia="Calibri" w:hAnsi="Palatino Linotype" w:cs="Tahoma"/>
          <w:bCs/>
          <w:sz w:val="22"/>
          <w:szCs w:val="22"/>
          <w:lang w:eastAsia="en-US"/>
        </w:rPr>
        <w:t xml:space="preserve">la presente resolución al Titular de la Unidad de Transparencia del </w:t>
      </w:r>
      <w:r w:rsidR="00F1442D">
        <w:rPr>
          <w:rFonts w:ascii="Palatino Linotype" w:eastAsia="Calibri" w:hAnsi="Palatino Linotype" w:cs="Tahoma"/>
          <w:bCs/>
          <w:sz w:val="22"/>
          <w:szCs w:val="22"/>
          <w:lang w:eastAsia="en-US"/>
        </w:rPr>
        <w:t>Sujeto Obligado</w:t>
      </w:r>
      <w:r w:rsidRPr="00961771">
        <w:rPr>
          <w:rFonts w:ascii="Palatino Linotype" w:eastAsia="Calibri" w:hAnsi="Palatino Linotype" w:cs="Tahoma"/>
          <w:bCs/>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806E45" w:rsidRPr="00961771" w:rsidRDefault="00806E45" w:rsidP="00590CCB">
      <w:pPr>
        <w:spacing w:line="276" w:lineRule="auto"/>
        <w:jc w:val="both"/>
        <w:rPr>
          <w:rFonts w:ascii="Palatino Linotype" w:eastAsia="Calibri" w:hAnsi="Palatino Linotype" w:cs="Tahoma"/>
          <w:b/>
          <w:bCs/>
          <w:sz w:val="22"/>
          <w:szCs w:val="22"/>
          <w:lang w:eastAsia="en-US"/>
        </w:rPr>
      </w:pPr>
    </w:p>
    <w:p w:rsidR="00806E45" w:rsidRPr="00961771" w:rsidRDefault="00806E45" w:rsidP="00590CCB">
      <w:pPr>
        <w:spacing w:line="276" w:lineRule="auto"/>
        <w:jc w:val="both"/>
        <w:rPr>
          <w:rFonts w:ascii="Palatino Linotype" w:eastAsia="Calibri" w:hAnsi="Palatino Linotype" w:cs="Tahoma"/>
          <w:bCs/>
          <w:sz w:val="22"/>
          <w:szCs w:val="22"/>
          <w:lang w:eastAsia="en-US"/>
        </w:rPr>
      </w:pPr>
      <w:r w:rsidRPr="00961771">
        <w:rPr>
          <w:rFonts w:ascii="Palatino Linotype" w:eastAsia="Calibri" w:hAnsi="Palatino Linotype" w:cs="Tahoma"/>
          <w:b/>
          <w:bCs/>
          <w:sz w:val="22"/>
          <w:szCs w:val="22"/>
          <w:lang w:eastAsia="en-US"/>
        </w:rPr>
        <w:t>CUARTO. NOTIFÍQUESE</w:t>
      </w:r>
      <w:r w:rsidRPr="00961771">
        <w:rPr>
          <w:rFonts w:ascii="Palatino Linotype" w:eastAsia="Calibri" w:hAnsi="Palatino Linotype" w:cs="Tahoma"/>
          <w:bCs/>
          <w:sz w:val="22"/>
          <w:szCs w:val="22"/>
          <w:lang w:eastAsia="en-US"/>
        </w:rPr>
        <w:t xml:space="preserve"> al </w:t>
      </w:r>
      <w:r w:rsidR="00F1442D">
        <w:rPr>
          <w:rFonts w:ascii="Palatino Linotype" w:eastAsia="Calibri" w:hAnsi="Palatino Linotype" w:cs="Tahoma"/>
          <w:bCs/>
          <w:sz w:val="22"/>
          <w:szCs w:val="22"/>
          <w:lang w:eastAsia="en-US"/>
        </w:rPr>
        <w:t>Recurrente</w:t>
      </w:r>
      <w:r w:rsidRPr="00961771">
        <w:rPr>
          <w:rFonts w:ascii="Palatino Linotype" w:eastAsia="Calibri" w:hAnsi="Palatino Linotype" w:cs="Tahoma"/>
          <w:bCs/>
          <w:sz w:val="22"/>
          <w:szCs w:val="22"/>
          <w:lang w:eastAsia="en-U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06E45" w:rsidRPr="00961771" w:rsidRDefault="00806E45" w:rsidP="002F6616">
      <w:pPr>
        <w:spacing w:line="276" w:lineRule="auto"/>
        <w:jc w:val="both"/>
        <w:rPr>
          <w:rFonts w:ascii="Palatino Linotype" w:eastAsia="Calibri" w:hAnsi="Palatino Linotype" w:cs="Tahoma"/>
          <w:bCs/>
          <w:sz w:val="22"/>
          <w:szCs w:val="22"/>
          <w:lang w:eastAsia="en-US"/>
        </w:rPr>
      </w:pPr>
    </w:p>
    <w:p w:rsidR="00806E45" w:rsidRPr="00961771" w:rsidRDefault="002F6616" w:rsidP="00545FBC">
      <w:pPr>
        <w:spacing w:line="276" w:lineRule="auto"/>
        <w:jc w:val="both"/>
        <w:rPr>
          <w:rFonts w:ascii="Palatino Linotype" w:eastAsia="Calibri" w:hAnsi="Palatino Linotype" w:cs="Tahoma"/>
          <w:bCs/>
          <w:sz w:val="22"/>
          <w:szCs w:val="22"/>
          <w:lang w:eastAsia="en-US"/>
        </w:rPr>
      </w:pPr>
      <w:r w:rsidRPr="002F6616">
        <w:rPr>
          <w:rFonts w:ascii="Palatino Linotype" w:eastAsia="Calibri" w:hAnsi="Palatino Linotype" w:cs="Tahoma"/>
          <w:bCs/>
          <w:sz w:val="22"/>
          <w:szCs w:val="22"/>
          <w:lang w:eastAsia="en-US"/>
        </w:rPr>
        <w:t xml:space="preserve">ASÍ, POR </w:t>
      </w:r>
      <w:r w:rsidRPr="002F6616">
        <w:rPr>
          <w:rFonts w:ascii="Palatino Linotype" w:eastAsia="Calibri" w:hAnsi="Palatino Linotype" w:cs="Tahoma"/>
          <w:b/>
          <w:bCs/>
          <w:sz w:val="22"/>
          <w:szCs w:val="22"/>
          <w:lang w:eastAsia="en-US"/>
        </w:rPr>
        <w:t xml:space="preserve">UNANIMIDAD </w:t>
      </w:r>
      <w:r w:rsidRPr="002F6616">
        <w:rPr>
          <w:rFonts w:ascii="Palatino Linotype" w:eastAsia="Calibri" w:hAnsi="Palatino Linotype" w:cs="Tahoma"/>
          <w:bCs/>
          <w:sz w:val="22"/>
          <w:szCs w:val="22"/>
          <w:lang w:eastAsia="en-US"/>
        </w:rPr>
        <w:t>DE VOTOS, LO RESOLVIERON Y FIRMAN LOS COMISIONADOS DEL INSTITUTO DE TRANSPARENCIA, ACCESO A LA INFORMACIÓN PÚBLICA Y PROTECCIÓN DE DATOS PERSONALES DEL ESTADO DE MÉXICO Y MUNICIPIOS, ZULEMA MARTÍNEZ SÁNCHEZ, EVA ABAID YAPUR</w:t>
      </w:r>
      <w:r w:rsidR="00D957B7">
        <w:rPr>
          <w:rFonts w:ascii="Palatino Linotype" w:eastAsia="Calibri" w:hAnsi="Palatino Linotype" w:cs="Tahoma"/>
          <w:bCs/>
          <w:sz w:val="22"/>
          <w:szCs w:val="22"/>
          <w:lang w:eastAsia="en-US"/>
        </w:rPr>
        <w:t xml:space="preserve"> </w:t>
      </w:r>
      <w:r w:rsidR="00D957B7">
        <w:rPr>
          <w:rFonts w:ascii="Palatino Linotype" w:hAnsi="Palatino Linotype" w:cs="Arial"/>
          <w:sz w:val="22"/>
          <w:szCs w:val="24"/>
          <w:lang w:eastAsia="es-MX"/>
        </w:rPr>
        <w:t>(EMITIENDO VOTO PARTICULAR)</w:t>
      </w:r>
      <w:r w:rsidRPr="002F6616">
        <w:rPr>
          <w:rFonts w:ascii="Palatino Linotype" w:eastAsia="Calibri" w:hAnsi="Palatino Linotype" w:cs="Tahoma"/>
          <w:bCs/>
          <w:sz w:val="22"/>
          <w:szCs w:val="22"/>
          <w:lang w:eastAsia="en-US"/>
        </w:rPr>
        <w:t>, JOSÉ GUADALUPE LUNA HERNÁNDEZ, JAVIER MARTÍNEZ CRUZ</w:t>
      </w:r>
      <w:r w:rsidR="00545FBC">
        <w:rPr>
          <w:rFonts w:ascii="Palatino Linotype" w:eastAsia="Calibri" w:hAnsi="Palatino Linotype" w:cs="Tahoma"/>
          <w:bCs/>
          <w:sz w:val="22"/>
          <w:szCs w:val="22"/>
          <w:lang w:eastAsia="en-US"/>
        </w:rPr>
        <w:t xml:space="preserve"> (EMITE VOTO PARTICULAR)</w:t>
      </w:r>
      <w:r w:rsidRPr="002F6616">
        <w:rPr>
          <w:rFonts w:ascii="Palatino Linotype" w:eastAsia="Calibri" w:hAnsi="Palatino Linotype" w:cs="Tahoma"/>
          <w:bCs/>
          <w:sz w:val="22"/>
          <w:szCs w:val="22"/>
          <w:lang w:eastAsia="en-US"/>
        </w:rPr>
        <w:t xml:space="preserve"> Y LUIS GUSTAVO PARRA NORIEGA, EN LA CUADRAGÉSIMA SESIÓN ORDINARIA, CELEBRADA EL TREINTA Y UNO DE OCTUBRE DE DOS MIL DIECIOCHO, ANTE EL SECRETARIO TÉCNICO DEL PLENO, ALEXIS TAPIA RAMÍREZ.</w:t>
      </w:r>
    </w:p>
    <w:p w:rsidR="00806E45" w:rsidRPr="00961771" w:rsidRDefault="00806E45" w:rsidP="00590CCB">
      <w:pPr>
        <w:spacing w:line="276" w:lineRule="auto"/>
        <w:ind w:right="-93"/>
        <w:jc w:val="both"/>
        <w:rPr>
          <w:rFonts w:ascii="Palatino Linotype" w:eastAsia="Calibri" w:hAnsi="Palatino Linotype" w:cs="Tahoma"/>
          <w:bCs/>
          <w:sz w:val="22"/>
          <w:szCs w:val="22"/>
          <w:lang w:eastAsia="en-US"/>
        </w:rPr>
      </w:pPr>
    </w:p>
    <w:p w:rsidR="002F6616" w:rsidRDefault="00806E45" w:rsidP="002F6616">
      <w:pPr>
        <w:spacing w:line="276" w:lineRule="auto"/>
        <w:ind w:right="-93"/>
        <w:jc w:val="both"/>
        <w:rPr>
          <w:rFonts w:ascii="Palatino Linotype" w:eastAsia="Calibri" w:hAnsi="Palatino Linotype" w:cs="Arial"/>
          <w:sz w:val="22"/>
          <w:szCs w:val="22"/>
          <w:lang w:eastAsia="en-US"/>
        </w:rPr>
      </w:pPr>
      <w:r w:rsidRPr="00961771">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476885"/>
                <wp:effectExtent l="0" t="0" r="20320" b="1841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4768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158C" w:rsidRPr="002F6616" w:rsidRDefault="0034158C" w:rsidP="00545FBC">
                            <w:pPr>
                              <w:spacing w:line="276" w:lineRule="auto"/>
                              <w:rPr>
                                <w:rFonts w:ascii="Palatino Linotype" w:eastAsia="Calibri" w:hAnsi="Palatino Linotype" w:cs="Tahoma"/>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37.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" fillcolor="white [3201]" strokecolor="white [3212]" strokeweight=".5pt">
                <v:path arrowok="t"/>
                <v:textbox>
                  <w:txbxContent>
                    <w:p w:rsidR="0034158C" w:rsidRPr="002F6616" w:rsidRDefault="0034158C" w:rsidP="00545FBC">
                      <w:pPr>
                        <w:spacing w:line="276" w:lineRule="auto"/>
                        <w:rPr>
                          <w:rFonts w:ascii="Palatino Linotype" w:eastAsia="Calibri" w:hAnsi="Palatino Linotype" w:cs="Tahoma"/>
                          <w:sz w:val="22"/>
                          <w:szCs w:val="24"/>
                        </w:rPr>
                      </w:pPr>
                    </w:p>
                  </w:txbxContent>
                </v:textbox>
                <w10:wrap anchorx="margin"/>
              </v:shape>
            </w:pict>
          </mc:Fallback>
        </mc:AlternateContent>
      </w:r>
    </w:p>
    <w:tbl>
      <w:tblPr>
        <w:tblW w:w="9072" w:type="dxa"/>
        <w:tblInd w:w="137" w:type="dxa"/>
        <w:tblLook w:val="04A0" w:firstRow="1" w:lastRow="0" w:firstColumn="1" w:lastColumn="0" w:noHBand="0" w:noVBand="1"/>
      </w:tblPr>
      <w:tblGrid>
        <w:gridCol w:w="3402"/>
        <w:gridCol w:w="1985"/>
        <w:gridCol w:w="3685"/>
      </w:tblGrid>
      <w:tr w:rsidR="002F6616" w:rsidRPr="003E788E" w:rsidTr="008C4E38">
        <w:tc>
          <w:tcPr>
            <w:tcW w:w="9072" w:type="dxa"/>
            <w:gridSpan w:val="3"/>
          </w:tcPr>
          <w:p w:rsidR="002F6616" w:rsidRPr="003E788E" w:rsidRDefault="002F6616" w:rsidP="008C4E38">
            <w:pPr>
              <w:spacing w:line="276" w:lineRule="auto"/>
              <w:jc w:val="center"/>
              <w:rPr>
                <w:rFonts w:ascii="Palatino Linotype" w:eastAsia="Calibri" w:hAnsi="Palatino Linotype" w:cs="Tahoma"/>
                <w:sz w:val="22"/>
                <w:szCs w:val="24"/>
                <w:lang w:eastAsia="es-MX"/>
              </w:rPr>
            </w:pPr>
            <w:r w:rsidRPr="003E788E">
              <w:rPr>
                <w:rFonts w:ascii="Palatino Linotype" w:eastAsia="Calibri" w:hAnsi="Palatino Linotype" w:cs="Tahoma"/>
                <w:sz w:val="22"/>
                <w:szCs w:val="24"/>
                <w:lang w:eastAsia="es-MX"/>
              </w:rPr>
              <w:t>(Rubrica)</w:t>
            </w:r>
          </w:p>
          <w:p w:rsidR="002F6616" w:rsidRPr="003E788E" w:rsidRDefault="002F6616" w:rsidP="008C4E38">
            <w:pPr>
              <w:spacing w:line="276" w:lineRule="auto"/>
              <w:jc w:val="center"/>
              <w:rPr>
                <w:rFonts w:ascii="Palatino Linotype" w:eastAsia="Calibri" w:hAnsi="Palatino Linotype" w:cs="Tahoma"/>
                <w:b/>
                <w:sz w:val="22"/>
                <w:szCs w:val="24"/>
                <w:lang w:eastAsia="es-MX"/>
              </w:rPr>
            </w:pPr>
          </w:p>
          <w:p w:rsidR="002F6616" w:rsidRPr="003E788E" w:rsidRDefault="002F6616" w:rsidP="008C4E38">
            <w:pPr>
              <w:tabs>
                <w:tab w:val="left" w:pos="2445"/>
                <w:tab w:val="center" w:pos="4428"/>
              </w:tabs>
              <w:spacing w:line="276" w:lineRule="auto"/>
              <w:jc w:val="center"/>
              <w:rPr>
                <w:rFonts w:ascii="Palatino Linotype" w:eastAsia="Calibri" w:hAnsi="Palatino Linotype" w:cs="Tahoma"/>
                <w:b/>
                <w:sz w:val="22"/>
                <w:szCs w:val="24"/>
                <w:lang w:eastAsia="es-MX"/>
              </w:rPr>
            </w:pPr>
            <w:r w:rsidRPr="003E788E">
              <w:rPr>
                <w:rFonts w:ascii="Palatino Linotype" w:eastAsia="Calibri" w:hAnsi="Palatino Linotype" w:cs="Tahoma"/>
                <w:b/>
                <w:sz w:val="22"/>
                <w:szCs w:val="24"/>
                <w:lang w:eastAsia="es-MX"/>
              </w:rPr>
              <w:t>Zulema Martínez Sánchez</w:t>
            </w:r>
          </w:p>
          <w:p w:rsidR="002F6616" w:rsidRDefault="002F6616" w:rsidP="008C4E38">
            <w:pPr>
              <w:spacing w:line="276" w:lineRule="auto"/>
              <w:ind w:right="-108"/>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Comisionada Presidenta</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Pr="003E788E" w:rsidRDefault="00545FBC" w:rsidP="008C4E38">
            <w:pPr>
              <w:spacing w:line="276" w:lineRule="auto"/>
              <w:ind w:right="-108"/>
              <w:jc w:val="center"/>
              <w:rPr>
                <w:rFonts w:ascii="Palatino Linotype" w:eastAsia="Calibri" w:hAnsi="Palatino Linotype" w:cs="Tahoma"/>
                <w:b/>
                <w:sz w:val="22"/>
                <w:szCs w:val="24"/>
              </w:rPr>
            </w:pPr>
          </w:p>
        </w:tc>
      </w:tr>
      <w:tr w:rsidR="002F6616" w:rsidRPr="003E788E" w:rsidTr="008C4E38">
        <w:tc>
          <w:tcPr>
            <w:tcW w:w="3402" w:type="dxa"/>
          </w:tcPr>
          <w:p w:rsidR="002F6616"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545FBC">
            <w:pPr>
              <w:spacing w:line="276" w:lineRule="auto"/>
              <w:rPr>
                <w:rFonts w:ascii="Palatino Linotype" w:eastAsia="Calibri" w:hAnsi="Palatino Linotype" w:cs="Tahoma"/>
                <w:sz w:val="22"/>
                <w:szCs w:val="24"/>
                <w:lang w:eastAsia="es-MX"/>
              </w:rPr>
            </w:pPr>
          </w:p>
          <w:p w:rsidR="002F6616" w:rsidRPr="003E788E" w:rsidRDefault="002F6616" w:rsidP="008C4E38">
            <w:pPr>
              <w:spacing w:line="276" w:lineRule="auto"/>
              <w:ind w:right="-108"/>
              <w:jc w:val="center"/>
              <w:rPr>
                <w:rFonts w:ascii="Palatino Linotype" w:eastAsia="Calibri" w:hAnsi="Palatino Linotype" w:cs="Tahoma"/>
                <w:b/>
                <w:sz w:val="22"/>
                <w:szCs w:val="24"/>
              </w:rPr>
            </w:pPr>
          </w:p>
          <w:p w:rsidR="002F6616" w:rsidRDefault="002F6616" w:rsidP="008C4E38">
            <w:pPr>
              <w:spacing w:line="276" w:lineRule="auto"/>
              <w:ind w:right="-108"/>
              <w:jc w:val="center"/>
              <w:rPr>
                <w:rFonts w:ascii="Palatino Linotype" w:eastAsia="Calibri" w:hAnsi="Palatino Linotype" w:cs="Tahoma"/>
                <w:b/>
                <w:sz w:val="22"/>
                <w:szCs w:val="24"/>
              </w:rPr>
            </w:pPr>
            <w:r w:rsidRPr="003E788E">
              <w:rPr>
                <w:rFonts w:ascii="Palatino Linotype" w:eastAsia="Calibri" w:hAnsi="Palatino Linotype" w:cs="Tahoma"/>
                <w:b/>
                <w:sz w:val="22"/>
                <w:szCs w:val="24"/>
              </w:rPr>
              <w:t xml:space="preserve">Eva Abaid Yapur </w:t>
            </w:r>
          </w:p>
          <w:p w:rsidR="002F6616" w:rsidRDefault="002F6616" w:rsidP="008C4E38">
            <w:pPr>
              <w:spacing w:line="276" w:lineRule="auto"/>
              <w:ind w:right="-108"/>
              <w:jc w:val="center"/>
              <w:rPr>
                <w:rFonts w:ascii="Palatino Linotype" w:eastAsia="Calibri" w:hAnsi="Palatino Linotype" w:cs="Tahoma"/>
                <w:b/>
                <w:sz w:val="22"/>
                <w:szCs w:val="24"/>
              </w:rPr>
            </w:pPr>
            <w:r w:rsidRPr="003E788E">
              <w:rPr>
                <w:rFonts w:ascii="Palatino Linotype" w:eastAsia="Calibri" w:hAnsi="Palatino Linotype" w:cs="Tahoma"/>
                <w:b/>
                <w:sz w:val="22"/>
                <w:szCs w:val="24"/>
              </w:rPr>
              <w:t>Comisionada</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Pr="003E788E" w:rsidRDefault="00545FBC" w:rsidP="008C4E38">
            <w:pPr>
              <w:spacing w:line="276" w:lineRule="auto"/>
              <w:ind w:right="-108"/>
              <w:jc w:val="center"/>
              <w:rPr>
                <w:rFonts w:ascii="Palatino Linotype" w:eastAsia="Batang" w:hAnsi="Palatino Linotype" w:cs="Tahoma"/>
                <w:b/>
                <w:sz w:val="22"/>
                <w:szCs w:val="24"/>
              </w:rPr>
            </w:pPr>
          </w:p>
        </w:tc>
        <w:tc>
          <w:tcPr>
            <w:tcW w:w="1985" w:type="dxa"/>
          </w:tcPr>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Batang" w:hAnsi="Palatino Linotype" w:cs="Tahoma"/>
                <w:b/>
                <w:sz w:val="22"/>
                <w:szCs w:val="24"/>
              </w:rPr>
            </w:pPr>
          </w:p>
        </w:tc>
        <w:tc>
          <w:tcPr>
            <w:tcW w:w="3685" w:type="dxa"/>
          </w:tcPr>
          <w:p w:rsidR="002F6616" w:rsidRDefault="002F6616" w:rsidP="008C4E38">
            <w:pPr>
              <w:spacing w:line="276" w:lineRule="auto"/>
              <w:ind w:right="-108"/>
              <w:jc w:val="center"/>
              <w:rPr>
                <w:rFonts w:ascii="Palatino Linotype" w:eastAsia="Calibri" w:hAnsi="Palatino Linotype" w:cs="Tahoma"/>
                <w:b/>
                <w:sz w:val="22"/>
                <w:szCs w:val="24"/>
              </w:rPr>
            </w:pPr>
          </w:p>
          <w:p w:rsidR="002F6616" w:rsidRDefault="002F6616" w:rsidP="008C4E38">
            <w:pPr>
              <w:spacing w:line="276" w:lineRule="auto"/>
              <w:ind w:right="-108"/>
              <w:jc w:val="center"/>
              <w:rPr>
                <w:rFonts w:ascii="Palatino Linotype" w:eastAsia="Calibri" w:hAnsi="Palatino Linotype" w:cs="Tahoma"/>
                <w:b/>
                <w:sz w:val="22"/>
                <w:szCs w:val="24"/>
              </w:rPr>
            </w:pPr>
          </w:p>
          <w:p w:rsidR="00545FBC" w:rsidRPr="003E788E" w:rsidRDefault="00545FBC" w:rsidP="00545FBC">
            <w:pPr>
              <w:spacing w:line="276" w:lineRule="auto"/>
              <w:ind w:right="-108"/>
              <w:rPr>
                <w:rFonts w:ascii="Palatino Linotype" w:eastAsia="Calibri" w:hAnsi="Palatino Linotype" w:cs="Tahoma"/>
                <w:b/>
                <w:sz w:val="22"/>
                <w:szCs w:val="24"/>
              </w:rPr>
            </w:pPr>
          </w:p>
          <w:p w:rsidR="002F6616" w:rsidRPr="003E788E" w:rsidRDefault="002F6616" w:rsidP="008C4E38">
            <w:pPr>
              <w:spacing w:line="276" w:lineRule="auto"/>
              <w:ind w:right="-108"/>
              <w:jc w:val="center"/>
              <w:rPr>
                <w:rFonts w:ascii="Palatino Linotype" w:eastAsia="Calibri" w:hAnsi="Palatino Linotype" w:cs="Tahoma"/>
                <w:b/>
                <w:sz w:val="22"/>
                <w:szCs w:val="24"/>
                <w:lang w:eastAsia="es-MX"/>
              </w:rPr>
            </w:pPr>
            <w:r w:rsidRPr="003E788E">
              <w:rPr>
                <w:rFonts w:ascii="Palatino Linotype" w:eastAsia="Calibri" w:hAnsi="Palatino Linotype" w:cs="Tahoma"/>
                <w:b/>
                <w:sz w:val="22"/>
                <w:szCs w:val="24"/>
                <w:lang w:eastAsia="es-MX"/>
              </w:rPr>
              <w:t>José Guadalupe Luna Hernández</w:t>
            </w:r>
          </w:p>
          <w:p w:rsidR="002F6616" w:rsidRDefault="002F6616" w:rsidP="008C4E38">
            <w:pPr>
              <w:spacing w:line="276" w:lineRule="auto"/>
              <w:ind w:right="-108"/>
              <w:jc w:val="center"/>
              <w:rPr>
                <w:rFonts w:ascii="Palatino Linotype" w:eastAsia="Calibri" w:hAnsi="Palatino Linotype" w:cs="Tahoma"/>
                <w:b/>
                <w:sz w:val="22"/>
                <w:szCs w:val="24"/>
                <w:lang w:eastAsia="es-MX"/>
              </w:rPr>
            </w:pPr>
            <w:r w:rsidRPr="003E788E">
              <w:rPr>
                <w:rFonts w:ascii="Palatino Linotype" w:eastAsia="Calibri" w:hAnsi="Palatino Linotype" w:cs="Tahoma"/>
                <w:b/>
                <w:sz w:val="22"/>
                <w:szCs w:val="24"/>
                <w:lang w:eastAsia="es-MX"/>
              </w:rPr>
              <w:t>Comisionado</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Pr="003E788E" w:rsidRDefault="00545FBC" w:rsidP="008C4E38">
            <w:pPr>
              <w:spacing w:line="276" w:lineRule="auto"/>
              <w:ind w:right="-108"/>
              <w:jc w:val="center"/>
              <w:rPr>
                <w:rFonts w:ascii="Palatino Linotype" w:eastAsia="Batang" w:hAnsi="Palatino Linotype" w:cs="Tahoma"/>
                <w:b/>
                <w:sz w:val="22"/>
                <w:szCs w:val="24"/>
              </w:rPr>
            </w:pPr>
          </w:p>
        </w:tc>
      </w:tr>
      <w:tr w:rsidR="002F6616" w:rsidRPr="003E788E" w:rsidTr="008C4E38">
        <w:tc>
          <w:tcPr>
            <w:tcW w:w="3402" w:type="dxa"/>
          </w:tcPr>
          <w:p w:rsidR="002F6616" w:rsidRDefault="002F6616" w:rsidP="008C4E38">
            <w:pPr>
              <w:spacing w:line="276" w:lineRule="auto"/>
              <w:jc w:val="center"/>
              <w:rPr>
                <w:rFonts w:ascii="Palatino Linotype" w:eastAsia="Calibri" w:hAnsi="Palatino Linotype" w:cs="Tahoma"/>
                <w:b/>
                <w:sz w:val="22"/>
                <w:szCs w:val="24"/>
              </w:rPr>
            </w:pPr>
          </w:p>
          <w:p w:rsidR="002F6616"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sz w:val="22"/>
                <w:szCs w:val="24"/>
                <w:lang w:eastAsia="es-MX"/>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Default="002F6616" w:rsidP="008C4E38">
            <w:pPr>
              <w:spacing w:line="276" w:lineRule="auto"/>
              <w:jc w:val="center"/>
              <w:rPr>
                <w:rFonts w:ascii="Palatino Linotype" w:eastAsia="Calibri" w:hAnsi="Palatino Linotype" w:cs="Tahoma"/>
                <w:b/>
                <w:sz w:val="22"/>
                <w:szCs w:val="24"/>
              </w:rPr>
            </w:pPr>
            <w:r w:rsidRPr="003E788E">
              <w:rPr>
                <w:rFonts w:ascii="Palatino Linotype" w:eastAsia="Calibri" w:hAnsi="Palatino Linotype" w:cs="Tahoma"/>
                <w:b/>
                <w:sz w:val="22"/>
                <w:szCs w:val="24"/>
                <w:lang w:val="es-ES_tradnl"/>
              </w:rPr>
              <w:t xml:space="preserve">Javier Martínez Cruz </w:t>
            </w:r>
            <w:r w:rsidRPr="003E788E">
              <w:rPr>
                <w:rFonts w:ascii="Palatino Linotype" w:eastAsia="Calibri" w:hAnsi="Palatino Linotype" w:cs="Tahoma"/>
                <w:b/>
                <w:sz w:val="22"/>
                <w:szCs w:val="24"/>
              </w:rPr>
              <w:t>Comisionado</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Pr="003E788E" w:rsidRDefault="00545FBC" w:rsidP="008C4E38">
            <w:pPr>
              <w:spacing w:line="276" w:lineRule="auto"/>
              <w:jc w:val="center"/>
              <w:rPr>
                <w:rFonts w:ascii="Palatino Linotype" w:eastAsia="Batang" w:hAnsi="Palatino Linotype" w:cs="Tahoma"/>
                <w:b/>
                <w:sz w:val="22"/>
                <w:szCs w:val="24"/>
              </w:rPr>
            </w:pPr>
          </w:p>
        </w:tc>
        <w:tc>
          <w:tcPr>
            <w:tcW w:w="1985" w:type="dxa"/>
          </w:tcPr>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b/>
                <w:sz w:val="22"/>
                <w:szCs w:val="24"/>
              </w:rPr>
            </w:pPr>
          </w:p>
          <w:p w:rsidR="002F6616" w:rsidRDefault="002F6616" w:rsidP="008C4E38">
            <w:pPr>
              <w:spacing w:line="276" w:lineRule="auto"/>
              <w:jc w:val="center"/>
              <w:rPr>
                <w:rFonts w:ascii="Palatino Linotype" w:eastAsia="Batang" w:hAnsi="Palatino Linotype" w:cs="Tahoma"/>
                <w:b/>
                <w:sz w:val="22"/>
                <w:szCs w:val="24"/>
              </w:rPr>
            </w:pPr>
          </w:p>
          <w:p w:rsidR="002F6616" w:rsidRDefault="002F6616" w:rsidP="008C4E38">
            <w:pPr>
              <w:spacing w:line="276" w:lineRule="auto"/>
              <w:jc w:val="center"/>
              <w:rPr>
                <w:rFonts w:ascii="Palatino Linotype" w:eastAsia="Batang" w:hAnsi="Palatino Linotype" w:cs="Tahoma"/>
                <w:b/>
                <w:sz w:val="22"/>
                <w:szCs w:val="24"/>
              </w:rPr>
            </w:pPr>
          </w:p>
          <w:p w:rsidR="002F6616" w:rsidRDefault="002F6616" w:rsidP="008C4E38">
            <w:pPr>
              <w:spacing w:line="276" w:lineRule="auto"/>
              <w:jc w:val="center"/>
              <w:rPr>
                <w:rFonts w:ascii="Palatino Linotype" w:eastAsia="Batang" w:hAnsi="Palatino Linotype" w:cs="Tahoma"/>
                <w:b/>
                <w:sz w:val="22"/>
                <w:szCs w:val="24"/>
              </w:rPr>
            </w:pPr>
          </w:p>
          <w:p w:rsidR="002F6616" w:rsidRDefault="002F6616" w:rsidP="008C4E38">
            <w:pPr>
              <w:spacing w:line="276" w:lineRule="auto"/>
              <w:jc w:val="center"/>
              <w:rPr>
                <w:rFonts w:ascii="Palatino Linotype" w:eastAsia="Batang" w:hAnsi="Palatino Linotype" w:cs="Tahoma"/>
                <w:b/>
                <w:sz w:val="22"/>
                <w:szCs w:val="24"/>
              </w:rPr>
            </w:pPr>
          </w:p>
          <w:p w:rsidR="002F6616" w:rsidRPr="003E788E" w:rsidRDefault="002F6616" w:rsidP="008C4E38">
            <w:pPr>
              <w:spacing w:line="276" w:lineRule="auto"/>
              <w:jc w:val="center"/>
              <w:rPr>
                <w:rFonts w:ascii="Palatino Linotype" w:eastAsia="Batang" w:hAnsi="Palatino Linotype" w:cs="Tahoma"/>
                <w:b/>
                <w:sz w:val="22"/>
                <w:szCs w:val="24"/>
              </w:rPr>
            </w:pPr>
          </w:p>
        </w:tc>
        <w:tc>
          <w:tcPr>
            <w:tcW w:w="3685" w:type="dxa"/>
          </w:tcPr>
          <w:p w:rsidR="002F6616" w:rsidRDefault="002F6616" w:rsidP="008C4E38">
            <w:pPr>
              <w:spacing w:line="276" w:lineRule="auto"/>
              <w:ind w:right="-108"/>
              <w:jc w:val="center"/>
              <w:rPr>
                <w:rFonts w:ascii="Palatino Linotype" w:eastAsia="Calibri" w:hAnsi="Palatino Linotype" w:cs="Tahoma"/>
                <w:b/>
                <w:sz w:val="22"/>
                <w:szCs w:val="24"/>
              </w:rPr>
            </w:pPr>
          </w:p>
          <w:p w:rsidR="002F6616" w:rsidRDefault="002F6616" w:rsidP="008C4E38">
            <w:pPr>
              <w:spacing w:line="276" w:lineRule="auto"/>
              <w:ind w:right="-108"/>
              <w:jc w:val="center"/>
              <w:rPr>
                <w:rFonts w:ascii="Palatino Linotype" w:eastAsia="Calibri" w:hAnsi="Palatino Linotype" w:cs="Tahoma"/>
                <w:b/>
                <w:sz w:val="22"/>
                <w:szCs w:val="24"/>
              </w:rPr>
            </w:pPr>
          </w:p>
          <w:p w:rsidR="002F6616" w:rsidRPr="003E788E" w:rsidRDefault="002F6616" w:rsidP="008C4E38">
            <w:pPr>
              <w:spacing w:line="276" w:lineRule="auto"/>
              <w:ind w:right="-108"/>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sz w:val="22"/>
                <w:szCs w:val="24"/>
                <w:lang w:eastAsia="es-MX"/>
              </w:rPr>
            </w:pPr>
          </w:p>
          <w:p w:rsidR="002F6616" w:rsidRPr="003E788E" w:rsidRDefault="002F6616" w:rsidP="008C4E38">
            <w:pPr>
              <w:spacing w:line="276" w:lineRule="auto"/>
              <w:ind w:right="-108"/>
              <w:jc w:val="center"/>
              <w:rPr>
                <w:rFonts w:ascii="Palatino Linotype" w:eastAsia="Calibri" w:hAnsi="Palatino Linotype" w:cs="Tahoma"/>
                <w:sz w:val="22"/>
                <w:szCs w:val="24"/>
                <w:lang w:eastAsia="es-MX"/>
              </w:rPr>
            </w:pPr>
          </w:p>
          <w:p w:rsidR="002F6616" w:rsidRPr="003E788E" w:rsidRDefault="002F6616" w:rsidP="008C4E38">
            <w:pPr>
              <w:spacing w:line="276" w:lineRule="auto"/>
              <w:ind w:right="-108"/>
              <w:jc w:val="center"/>
              <w:rPr>
                <w:rFonts w:ascii="Palatino Linotype" w:eastAsia="Calibri" w:hAnsi="Palatino Linotype" w:cs="Tahoma"/>
                <w:b/>
                <w:sz w:val="22"/>
                <w:szCs w:val="24"/>
              </w:rPr>
            </w:pPr>
            <w:r w:rsidRPr="003E788E">
              <w:rPr>
                <w:rFonts w:ascii="Palatino Linotype" w:eastAsia="Calibri" w:hAnsi="Palatino Linotype" w:cs="Tahoma"/>
                <w:b/>
                <w:sz w:val="22"/>
                <w:szCs w:val="24"/>
                <w:lang w:val="es-ES_tradnl"/>
              </w:rPr>
              <w:t>Luis Gustavo Parra Noriega</w:t>
            </w:r>
          </w:p>
          <w:p w:rsidR="002F6616" w:rsidRDefault="002F6616" w:rsidP="008C4E38">
            <w:pPr>
              <w:spacing w:line="276" w:lineRule="auto"/>
              <w:ind w:right="-108"/>
              <w:jc w:val="center"/>
              <w:rPr>
                <w:rFonts w:ascii="Palatino Linotype" w:eastAsia="Calibri" w:hAnsi="Palatino Linotype" w:cs="Tahoma"/>
                <w:b/>
                <w:sz w:val="22"/>
                <w:szCs w:val="24"/>
              </w:rPr>
            </w:pPr>
            <w:r w:rsidRPr="003E788E">
              <w:rPr>
                <w:rFonts w:ascii="Palatino Linotype" w:eastAsia="Calibri" w:hAnsi="Palatino Linotype" w:cs="Tahoma"/>
                <w:b/>
                <w:sz w:val="22"/>
                <w:szCs w:val="24"/>
              </w:rPr>
              <w:t>Comisionado</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Pr="003E788E" w:rsidRDefault="00545FBC" w:rsidP="008C4E38">
            <w:pPr>
              <w:spacing w:line="276" w:lineRule="auto"/>
              <w:ind w:right="-108"/>
              <w:jc w:val="center"/>
              <w:rPr>
                <w:rFonts w:ascii="Palatino Linotype" w:eastAsia="Batang" w:hAnsi="Palatino Linotype" w:cs="Tahoma"/>
                <w:b/>
                <w:sz w:val="22"/>
                <w:szCs w:val="24"/>
              </w:rPr>
            </w:pPr>
          </w:p>
        </w:tc>
      </w:tr>
      <w:tr w:rsidR="002F6616" w:rsidRPr="003E788E" w:rsidTr="008C4E38">
        <w:tc>
          <w:tcPr>
            <w:tcW w:w="9072" w:type="dxa"/>
            <w:gridSpan w:val="3"/>
          </w:tcPr>
          <w:p w:rsidR="002F6616" w:rsidRPr="003E788E" w:rsidRDefault="002F6616" w:rsidP="008C4E38">
            <w:pPr>
              <w:spacing w:line="276" w:lineRule="auto"/>
              <w:jc w:val="center"/>
              <w:rPr>
                <w:rFonts w:ascii="Palatino Linotype" w:eastAsia="Calibri" w:hAnsi="Palatino Linotype" w:cs="Tahoma"/>
                <w:sz w:val="22"/>
                <w:szCs w:val="24"/>
                <w:lang w:eastAsia="es-MX"/>
              </w:rPr>
            </w:pPr>
          </w:p>
          <w:p w:rsidR="002F6616" w:rsidRPr="003E788E" w:rsidRDefault="002F6616" w:rsidP="008C4E38">
            <w:pPr>
              <w:spacing w:line="276" w:lineRule="auto"/>
              <w:jc w:val="center"/>
              <w:rPr>
                <w:rFonts w:ascii="Palatino Linotype" w:eastAsia="Calibri" w:hAnsi="Palatino Linotype" w:cs="Tahoma"/>
                <w:sz w:val="22"/>
                <w:szCs w:val="24"/>
                <w:lang w:eastAsia="es-MX"/>
              </w:rPr>
            </w:pPr>
          </w:p>
          <w:p w:rsidR="002F6616" w:rsidRPr="003E788E" w:rsidRDefault="002F6616" w:rsidP="008C4E38">
            <w:pPr>
              <w:spacing w:line="276" w:lineRule="auto"/>
              <w:jc w:val="center"/>
              <w:rPr>
                <w:rFonts w:ascii="Palatino Linotype" w:eastAsia="Calibri" w:hAnsi="Palatino Linotype" w:cs="Tahoma"/>
                <w:sz w:val="22"/>
                <w:szCs w:val="24"/>
                <w:lang w:eastAsia="es-MX"/>
              </w:rPr>
            </w:pPr>
          </w:p>
          <w:p w:rsidR="002F6616" w:rsidRPr="003E788E" w:rsidRDefault="002F6616" w:rsidP="008C4E38">
            <w:pPr>
              <w:spacing w:line="276" w:lineRule="auto"/>
              <w:jc w:val="center"/>
              <w:rPr>
                <w:rFonts w:ascii="Palatino Linotype" w:eastAsia="Calibri" w:hAnsi="Palatino Linotype" w:cs="Tahoma"/>
                <w:b/>
                <w:sz w:val="22"/>
                <w:szCs w:val="24"/>
              </w:rPr>
            </w:pPr>
            <w:r w:rsidRPr="003E788E">
              <w:rPr>
                <w:rFonts w:ascii="Palatino Linotype" w:eastAsia="Calibri" w:hAnsi="Palatino Linotype" w:cs="Tahoma"/>
                <w:b/>
                <w:sz w:val="22"/>
                <w:szCs w:val="24"/>
              </w:rPr>
              <w:t>Alexis Tapia Ramírez</w:t>
            </w:r>
          </w:p>
          <w:p w:rsidR="002F6616" w:rsidRDefault="002F6616" w:rsidP="008C4E38">
            <w:pPr>
              <w:spacing w:line="276" w:lineRule="auto"/>
              <w:jc w:val="center"/>
              <w:rPr>
                <w:rFonts w:ascii="Palatino Linotype" w:eastAsia="Calibri" w:hAnsi="Palatino Linotype" w:cs="Tahoma"/>
                <w:b/>
                <w:sz w:val="22"/>
                <w:szCs w:val="24"/>
              </w:rPr>
            </w:pPr>
            <w:r w:rsidRPr="003E788E">
              <w:rPr>
                <w:rFonts w:ascii="Palatino Linotype" w:eastAsia="Calibri" w:hAnsi="Palatino Linotype" w:cs="Tahoma"/>
                <w:b/>
                <w:sz w:val="22"/>
                <w:szCs w:val="24"/>
              </w:rPr>
              <w:t>Secretario Técnico del Pleno</w:t>
            </w:r>
          </w:p>
          <w:p w:rsidR="00545FBC" w:rsidRPr="002F6616" w:rsidRDefault="00545FBC" w:rsidP="00545FBC">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545FBC" w:rsidRDefault="00545FBC" w:rsidP="008C4E38">
            <w:pPr>
              <w:spacing w:line="276" w:lineRule="auto"/>
              <w:jc w:val="center"/>
              <w:rPr>
                <w:rFonts w:ascii="Palatino Linotype" w:eastAsia="Calibri" w:hAnsi="Palatino Linotype" w:cs="Tahoma"/>
                <w:b/>
                <w:sz w:val="22"/>
                <w:szCs w:val="24"/>
              </w:rPr>
            </w:pPr>
          </w:p>
          <w:p w:rsidR="002F6616" w:rsidRDefault="002F6616" w:rsidP="008C4E38">
            <w:pPr>
              <w:spacing w:line="276" w:lineRule="auto"/>
              <w:jc w:val="center"/>
              <w:rPr>
                <w:rFonts w:ascii="Palatino Linotype" w:eastAsia="Calibri" w:hAnsi="Palatino Linotype" w:cs="Tahoma"/>
                <w:b/>
                <w:sz w:val="22"/>
                <w:szCs w:val="24"/>
              </w:rPr>
            </w:pPr>
          </w:p>
          <w:p w:rsidR="002F6616" w:rsidRPr="003E788E" w:rsidRDefault="002F6616" w:rsidP="008C4E38">
            <w:pPr>
              <w:spacing w:line="276" w:lineRule="auto"/>
              <w:jc w:val="center"/>
              <w:rPr>
                <w:rFonts w:ascii="Palatino Linotype" w:eastAsia="Calibri" w:hAnsi="Palatino Linotype" w:cs="Tahoma"/>
                <w:color w:val="000000"/>
                <w:sz w:val="10"/>
                <w:szCs w:val="14"/>
              </w:rPr>
            </w:pPr>
          </w:p>
        </w:tc>
      </w:tr>
    </w:tbl>
    <w:p w:rsidR="00F4018F" w:rsidRDefault="002F6616" w:rsidP="002F6616">
      <w:pPr>
        <w:spacing w:line="276" w:lineRule="auto"/>
        <w:ind w:right="-93"/>
        <w:jc w:val="both"/>
        <w:rPr>
          <w:rFonts w:ascii="Palatino Linotype" w:eastAsia="Calibri" w:hAnsi="Palatino Linotype" w:cs="Arial"/>
          <w:sz w:val="22"/>
          <w:szCs w:val="22"/>
          <w:lang w:eastAsia="en-US"/>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treinta y uno </w:t>
      </w:r>
      <w:r w:rsidRPr="00775937">
        <w:rPr>
          <w:rFonts w:ascii="Palatino Linotype" w:eastAsia="Calibri" w:hAnsi="Palatino Linotype" w:cs="Tahoma"/>
          <w:sz w:val="22"/>
          <w:lang w:eastAsia="en-US"/>
        </w:rPr>
        <w:t>de octubre de dos mil dieciocho, emitida en el recurso de revisión número</w:t>
      </w:r>
      <w:r>
        <w:rPr>
          <w:rFonts w:ascii="Palatino Linotype" w:eastAsia="Calibri" w:hAnsi="Palatino Linotype" w:cs="Tahoma"/>
          <w:sz w:val="22"/>
          <w:lang w:eastAsia="en-US"/>
        </w:rPr>
        <w:t xml:space="preserve"> </w:t>
      </w:r>
      <w:r w:rsidRPr="002F6616">
        <w:rPr>
          <w:rFonts w:ascii="Palatino Linotype" w:eastAsia="Calibri" w:hAnsi="Palatino Linotype" w:cs="Tahoma"/>
          <w:sz w:val="22"/>
          <w:lang w:eastAsia="en-US"/>
        </w:rPr>
        <w:t>03461/INFOEM/IP/RR/2018</w:t>
      </w:r>
      <w:r>
        <w:rPr>
          <w:rFonts w:ascii="Palatino Linotype" w:eastAsia="Calibri" w:hAnsi="Palatino Linotype" w:cs="Tahoma"/>
          <w:sz w:val="22"/>
          <w:lang w:eastAsia="en-US"/>
        </w:rPr>
        <w:t>.</w:t>
      </w:r>
    </w:p>
    <w:sectPr w:rsidR="00F4018F"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0F5" w:rsidRDefault="008470F5" w:rsidP="00B31222">
      <w:r>
        <w:separator/>
      </w:r>
    </w:p>
  </w:endnote>
  <w:endnote w:type="continuationSeparator" w:id="0">
    <w:p w:rsidR="008470F5" w:rsidRDefault="008470F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34158C" w:rsidRDefault="003415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7EBF">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7EBF">
              <w:rPr>
                <w:b/>
                <w:bCs/>
                <w:noProof/>
              </w:rPr>
              <w:t>33</w:t>
            </w:r>
            <w:r>
              <w:rPr>
                <w:b/>
                <w:bCs/>
                <w:sz w:val="24"/>
                <w:szCs w:val="24"/>
              </w:rPr>
              <w:fldChar w:fldCharType="end"/>
            </w:r>
          </w:p>
        </w:sdtContent>
      </w:sdt>
    </w:sdtContent>
  </w:sdt>
  <w:p w:rsidR="0034158C" w:rsidRDefault="003415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34158C" w:rsidRDefault="003415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72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72B1">
              <w:rPr>
                <w:b/>
                <w:bCs/>
                <w:noProof/>
              </w:rPr>
              <w:t>33</w:t>
            </w:r>
            <w:r>
              <w:rPr>
                <w:b/>
                <w:bCs/>
                <w:sz w:val="24"/>
                <w:szCs w:val="24"/>
              </w:rPr>
              <w:fldChar w:fldCharType="end"/>
            </w:r>
          </w:p>
        </w:sdtContent>
      </w:sdt>
    </w:sdtContent>
  </w:sdt>
  <w:p w:rsidR="0034158C" w:rsidRDefault="003415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0F5" w:rsidRDefault="008470F5" w:rsidP="00B31222">
      <w:r>
        <w:separator/>
      </w:r>
    </w:p>
  </w:footnote>
  <w:footnote w:type="continuationSeparator" w:id="0">
    <w:p w:rsidR="008470F5" w:rsidRDefault="008470F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4158C" w:rsidRPr="005C106F" w:rsidTr="00202DB8">
      <w:trPr>
        <w:trHeight w:val="1435"/>
      </w:trPr>
      <w:tc>
        <w:tcPr>
          <w:tcW w:w="2835" w:type="dxa"/>
          <w:shd w:val="clear" w:color="auto" w:fill="auto"/>
        </w:tcPr>
        <w:p w:rsidR="0034158C" w:rsidRPr="005C106F" w:rsidRDefault="0034158C" w:rsidP="00EF4A64">
          <w:pPr>
            <w:tabs>
              <w:tab w:val="right" w:pos="4273"/>
            </w:tabs>
            <w:rPr>
              <w:rFonts w:ascii="Garamond" w:eastAsia="Calibri" w:hAnsi="Garamond"/>
              <w:sz w:val="16"/>
              <w:szCs w:val="16"/>
              <w:lang w:eastAsia="en-US"/>
            </w:rPr>
          </w:pPr>
        </w:p>
      </w:tc>
      <w:tc>
        <w:tcPr>
          <w:tcW w:w="6733" w:type="dxa"/>
          <w:shd w:val="clear" w:color="auto" w:fill="auto"/>
        </w:tcPr>
        <w:p w:rsidR="0034158C" w:rsidRDefault="0034158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4158C" w:rsidTr="005743D2">
            <w:trPr>
              <w:gridBefore w:val="1"/>
              <w:gridAfter w:val="1"/>
              <w:wBefore w:w="572" w:type="dxa"/>
              <w:wAfter w:w="77" w:type="dxa"/>
              <w:trHeight w:val="144"/>
            </w:trPr>
            <w:tc>
              <w:tcPr>
                <w:tcW w:w="2698" w:type="dxa"/>
                <w:gridSpan w:val="2"/>
              </w:tcPr>
              <w:p w:rsidR="0034158C" w:rsidRPr="00E10748" w:rsidRDefault="0034158C"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Recurso de Revisión:</w:t>
                </w:r>
              </w:p>
            </w:tc>
            <w:tc>
              <w:tcPr>
                <w:tcW w:w="2972" w:type="dxa"/>
              </w:tcPr>
              <w:p w:rsidR="0034158C" w:rsidRPr="00E10748" w:rsidRDefault="0034158C" w:rsidP="005743D2">
                <w:pPr>
                  <w:tabs>
                    <w:tab w:val="right" w:pos="8838"/>
                  </w:tabs>
                  <w:jc w:val="both"/>
                  <w:rPr>
                    <w:rFonts w:ascii="Tahoma" w:eastAsia="Calibri" w:hAnsi="Tahoma" w:cs="Tahoma"/>
                    <w:bCs/>
                    <w:sz w:val="22"/>
                    <w:szCs w:val="22"/>
                    <w:lang w:eastAsia="en-US"/>
                  </w:rPr>
                </w:pPr>
                <w:r>
                  <w:rPr>
                    <w:rFonts w:ascii="Tahoma" w:eastAsia="Calibri" w:hAnsi="Tahoma" w:cs="Tahoma"/>
                    <w:bCs/>
                    <w:sz w:val="22"/>
                    <w:szCs w:val="22"/>
                    <w:lang w:eastAsia="en-US"/>
                  </w:rPr>
                  <w:t>03461</w:t>
                </w:r>
                <w:r w:rsidRPr="00264223">
                  <w:rPr>
                    <w:rFonts w:ascii="Tahoma" w:eastAsia="Calibri" w:hAnsi="Tahoma" w:cs="Tahoma"/>
                    <w:bCs/>
                    <w:sz w:val="22"/>
                    <w:szCs w:val="22"/>
                    <w:lang w:eastAsia="en-US"/>
                  </w:rPr>
                  <w:t>/INFOEM/IP/RR/2018</w:t>
                </w:r>
              </w:p>
            </w:tc>
          </w:tr>
          <w:tr w:rsidR="0034158C" w:rsidTr="005743D2">
            <w:trPr>
              <w:gridBefore w:val="1"/>
              <w:gridAfter w:val="1"/>
              <w:wBefore w:w="572" w:type="dxa"/>
              <w:wAfter w:w="77" w:type="dxa"/>
              <w:trHeight w:val="144"/>
            </w:trPr>
            <w:tc>
              <w:tcPr>
                <w:tcW w:w="2698" w:type="dxa"/>
                <w:gridSpan w:val="2"/>
              </w:tcPr>
              <w:p w:rsidR="0034158C" w:rsidRPr="00E10748" w:rsidRDefault="00F1442D" w:rsidP="005743D2">
                <w:pPr>
                  <w:tabs>
                    <w:tab w:val="right" w:pos="8838"/>
                  </w:tabs>
                  <w:rPr>
                    <w:rFonts w:ascii="Tahoma" w:eastAsia="Calibri" w:hAnsi="Tahoma" w:cs="Tahoma"/>
                    <w:b/>
                    <w:sz w:val="22"/>
                    <w:szCs w:val="22"/>
                    <w:lang w:val="es-MX" w:eastAsia="en-US"/>
                  </w:rPr>
                </w:pPr>
                <w:r>
                  <w:rPr>
                    <w:rFonts w:ascii="Tahoma" w:eastAsia="Calibri" w:hAnsi="Tahoma" w:cs="Tahoma"/>
                    <w:b/>
                    <w:sz w:val="22"/>
                    <w:szCs w:val="22"/>
                    <w:lang w:val="es-MX" w:eastAsia="en-US"/>
                  </w:rPr>
                  <w:t>Sujeto Obligado</w:t>
                </w:r>
                <w:r w:rsidR="0034158C" w:rsidRPr="00E10748">
                  <w:rPr>
                    <w:rFonts w:ascii="Tahoma" w:eastAsia="Calibri" w:hAnsi="Tahoma" w:cs="Tahoma"/>
                    <w:b/>
                    <w:sz w:val="22"/>
                    <w:szCs w:val="22"/>
                    <w:lang w:val="es-MX" w:eastAsia="en-US"/>
                  </w:rPr>
                  <w:t>:</w:t>
                </w:r>
              </w:p>
            </w:tc>
            <w:tc>
              <w:tcPr>
                <w:tcW w:w="2972" w:type="dxa"/>
              </w:tcPr>
              <w:p w:rsidR="0034158C" w:rsidRPr="00E10748" w:rsidRDefault="0034158C" w:rsidP="005743D2">
                <w:pPr>
                  <w:tabs>
                    <w:tab w:val="right" w:pos="8838"/>
                  </w:tabs>
                  <w:jc w:val="both"/>
                  <w:rPr>
                    <w:rFonts w:ascii="Tahoma" w:eastAsia="Calibri" w:hAnsi="Tahoma" w:cs="Tahoma"/>
                    <w:sz w:val="22"/>
                    <w:szCs w:val="22"/>
                    <w:lang w:val="es-MX" w:eastAsia="en-US"/>
                  </w:rPr>
                </w:pPr>
                <w:r w:rsidRPr="00806E45">
                  <w:rPr>
                    <w:rFonts w:ascii="Tahoma" w:eastAsia="Calibri" w:hAnsi="Tahoma" w:cs="Tahoma"/>
                    <w:sz w:val="22"/>
                    <w:szCs w:val="22"/>
                    <w:lang w:val="es-MX" w:eastAsia="en-US"/>
                  </w:rPr>
                  <w:t>Ayuntamiento de Cuautitlán Izcalli</w:t>
                </w:r>
              </w:p>
            </w:tc>
          </w:tr>
          <w:tr w:rsidR="0034158C" w:rsidTr="005743D2">
            <w:trPr>
              <w:gridBefore w:val="1"/>
              <w:gridAfter w:val="1"/>
              <w:wBefore w:w="572" w:type="dxa"/>
              <w:wAfter w:w="77" w:type="dxa"/>
              <w:trHeight w:val="138"/>
            </w:trPr>
            <w:tc>
              <w:tcPr>
                <w:tcW w:w="2698" w:type="dxa"/>
                <w:gridSpan w:val="2"/>
              </w:tcPr>
              <w:p w:rsidR="0034158C" w:rsidRPr="00E10748" w:rsidRDefault="0034158C"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2972" w:type="dxa"/>
              </w:tcPr>
              <w:p w:rsidR="0034158C" w:rsidRPr="00E10748" w:rsidRDefault="0034158C"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34158C" w:rsidTr="00DB7E5F">
            <w:trPr>
              <w:trHeight w:val="283"/>
            </w:trPr>
            <w:tc>
              <w:tcPr>
                <w:tcW w:w="2698" w:type="dxa"/>
                <w:gridSpan w:val="2"/>
              </w:tcPr>
              <w:p w:rsidR="0034158C" w:rsidRPr="00E10748" w:rsidRDefault="0034158C" w:rsidP="005743D2">
                <w:pPr>
                  <w:tabs>
                    <w:tab w:val="right" w:pos="8838"/>
                  </w:tabs>
                  <w:rPr>
                    <w:rFonts w:ascii="Tahoma" w:eastAsia="Calibri" w:hAnsi="Tahoma" w:cs="Tahoma"/>
                    <w:b/>
                    <w:sz w:val="22"/>
                    <w:szCs w:val="22"/>
                    <w:lang w:val="es-MX" w:eastAsia="en-US"/>
                  </w:rPr>
                </w:pPr>
              </w:p>
            </w:tc>
            <w:tc>
              <w:tcPr>
                <w:tcW w:w="3621" w:type="dxa"/>
                <w:gridSpan w:val="3"/>
              </w:tcPr>
              <w:p w:rsidR="0034158C" w:rsidRPr="00E10748" w:rsidRDefault="0034158C" w:rsidP="005743D2">
                <w:pPr>
                  <w:tabs>
                    <w:tab w:val="right" w:pos="8838"/>
                  </w:tabs>
                  <w:jc w:val="both"/>
                  <w:rPr>
                    <w:rFonts w:ascii="Tahoma" w:eastAsia="Calibri" w:hAnsi="Tahoma" w:cs="Tahoma"/>
                    <w:b/>
                    <w:sz w:val="22"/>
                    <w:szCs w:val="22"/>
                    <w:lang w:val="es-MX" w:eastAsia="en-US"/>
                  </w:rPr>
                </w:pPr>
              </w:p>
            </w:tc>
          </w:tr>
        </w:tbl>
        <w:p w:rsidR="0034158C" w:rsidRPr="005C106F" w:rsidRDefault="0034158C" w:rsidP="005743D2">
          <w:pPr>
            <w:tabs>
              <w:tab w:val="right" w:pos="8838"/>
            </w:tabs>
            <w:ind w:left="-28"/>
            <w:jc w:val="both"/>
            <w:rPr>
              <w:rFonts w:ascii="Arial" w:eastAsia="Calibri" w:hAnsi="Arial" w:cs="Arial"/>
              <w:b/>
              <w:sz w:val="22"/>
              <w:szCs w:val="22"/>
              <w:lang w:eastAsia="en-US"/>
            </w:rPr>
          </w:pPr>
        </w:p>
      </w:tc>
    </w:tr>
  </w:tbl>
  <w:p w:rsidR="0034158C" w:rsidRPr="00443C6B" w:rsidRDefault="0034158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4158C" w:rsidRPr="005C106F" w:rsidTr="003B165A">
      <w:trPr>
        <w:trHeight w:val="1435"/>
      </w:trPr>
      <w:tc>
        <w:tcPr>
          <w:tcW w:w="2835" w:type="dxa"/>
          <w:shd w:val="clear" w:color="auto" w:fill="auto"/>
        </w:tcPr>
        <w:p w:rsidR="0034158C" w:rsidRPr="005C106F" w:rsidRDefault="0034158C" w:rsidP="00DB7E5F">
          <w:pPr>
            <w:tabs>
              <w:tab w:val="right" w:pos="4273"/>
            </w:tabs>
            <w:rPr>
              <w:rFonts w:ascii="Garamond" w:eastAsia="Calibri" w:hAnsi="Garamond"/>
              <w:sz w:val="16"/>
              <w:szCs w:val="16"/>
              <w:lang w:eastAsia="en-US"/>
            </w:rPr>
          </w:pPr>
        </w:p>
      </w:tc>
      <w:tc>
        <w:tcPr>
          <w:tcW w:w="6733" w:type="dxa"/>
          <w:shd w:val="clear" w:color="auto" w:fill="auto"/>
        </w:tcPr>
        <w:p w:rsidR="0034158C" w:rsidRPr="005C106F" w:rsidRDefault="0034158C" w:rsidP="00DB7E5F">
          <w:pPr>
            <w:tabs>
              <w:tab w:val="right" w:pos="8838"/>
            </w:tabs>
            <w:ind w:left="-28"/>
            <w:jc w:val="both"/>
            <w:rPr>
              <w:rFonts w:ascii="Arial" w:eastAsia="Calibri" w:hAnsi="Arial" w:cs="Arial"/>
              <w:b/>
              <w:sz w:val="22"/>
              <w:szCs w:val="22"/>
              <w:lang w:eastAsia="en-US"/>
            </w:rPr>
          </w:pPr>
        </w:p>
      </w:tc>
    </w:tr>
  </w:tbl>
  <w:p w:rsidR="0034158C" w:rsidRDefault="0034158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A41721"/>
    <w:multiLevelType w:val="hybridMultilevel"/>
    <w:tmpl w:val="A6848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FA2171"/>
    <w:multiLevelType w:val="hybridMultilevel"/>
    <w:tmpl w:val="23805BEA"/>
    <w:lvl w:ilvl="0" w:tplc="080A000F">
      <w:start w:val="1"/>
      <w:numFmt w:val="decimal"/>
      <w:lvlText w:val="%1."/>
      <w:lvlJc w:val="left"/>
      <w:pPr>
        <w:ind w:left="720" w:hanging="360"/>
      </w:pPr>
    </w:lvl>
    <w:lvl w:ilvl="1" w:tplc="89E6D6B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
  </w:num>
  <w:num w:numId="4">
    <w:abstractNumId w:val="19"/>
  </w:num>
  <w:num w:numId="5">
    <w:abstractNumId w:val="5"/>
  </w:num>
  <w:num w:numId="6">
    <w:abstractNumId w:val="18"/>
  </w:num>
  <w:num w:numId="7">
    <w:abstractNumId w:val="4"/>
  </w:num>
  <w:num w:numId="8">
    <w:abstractNumId w:val="17"/>
  </w:num>
  <w:num w:numId="9">
    <w:abstractNumId w:val="9"/>
  </w:num>
  <w:num w:numId="10">
    <w:abstractNumId w:val="1"/>
  </w:num>
  <w:num w:numId="11">
    <w:abstractNumId w:val="7"/>
  </w:num>
  <w:num w:numId="12">
    <w:abstractNumId w:val="14"/>
  </w:num>
  <w:num w:numId="13">
    <w:abstractNumId w:val="16"/>
  </w:num>
  <w:num w:numId="14">
    <w:abstractNumId w:val="8"/>
  </w:num>
  <w:num w:numId="15">
    <w:abstractNumId w:val="13"/>
  </w:num>
  <w:num w:numId="16">
    <w:abstractNumId w:val="15"/>
  </w:num>
  <w:num w:numId="17">
    <w:abstractNumId w:val="22"/>
  </w:num>
  <w:num w:numId="18">
    <w:abstractNumId w:val="12"/>
  </w:num>
  <w:num w:numId="19">
    <w:abstractNumId w:val="20"/>
  </w:num>
  <w:num w:numId="20">
    <w:abstractNumId w:val="11"/>
  </w:num>
  <w:num w:numId="21">
    <w:abstractNumId w:val="3"/>
  </w:num>
  <w:num w:numId="22">
    <w:abstractNumId w:val="10"/>
  </w:num>
  <w:num w:numId="2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212E5"/>
    <w:rsid w:val="00021C64"/>
    <w:rsid w:val="000241C5"/>
    <w:rsid w:val="00026C8E"/>
    <w:rsid w:val="000313A7"/>
    <w:rsid w:val="00032F5B"/>
    <w:rsid w:val="00034552"/>
    <w:rsid w:val="00034E9D"/>
    <w:rsid w:val="000373BC"/>
    <w:rsid w:val="00037B34"/>
    <w:rsid w:val="00037F4B"/>
    <w:rsid w:val="00043C4B"/>
    <w:rsid w:val="0004646B"/>
    <w:rsid w:val="00047D67"/>
    <w:rsid w:val="000526CE"/>
    <w:rsid w:val="000528E6"/>
    <w:rsid w:val="0006017B"/>
    <w:rsid w:val="0006783C"/>
    <w:rsid w:val="000813B0"/>
    <w:rsid w:val="0008148B"/>
    <w:rsid w:val="0008165E"/>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251A"/>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1ADD"/>
    <w:rsid w:val="0017459B"/>
    <w:rsid w:val="00182F0F"/>
    <w:rsid w:val="00183D24"/>
    <w:rsid w:val="001851A6"/>
    <w:rsid w:val="001875A7"/>
    <w:rsid w:val="001879E1"/>
    <w:rsid w:val="0019389B"/>
    <w:rsid w:val="001A1B94"/>
    <w:rsid w:val="001A22F5"/>
    <w:rsid w:val="001A7FD2"/>
    <w:rsid w:val="001B107D"/>
    <w:rsid w:val="001B2CD9"/>
    <w:rsid w:val="001B62A0"/>
    <w:rsid w:val="001C282F"/>
    <w:rsid w:val="001D0086"/>
    <w:rsid w:val="001D0094"/>
    <w:rsid w:val="001D7012"/>
    <w:rsid w:val="001D7BD2"/>
    <w:rsid w:val="001E2A4D"/>
    <w:rsid w:val="001E53C2"/>
    <w:rsid w:val="001F0CDF"/>
    <w:rsid w:val="001F0E9C"/>
    <w:rsid w:val="001F1540"/>
    <w:rsid w:val="001F652C"/>
    <w:rsid w:val="001F739F"/>
    <w:rsid w:val="001F78D9"/>
    <w:rsid w:val="00202DB8"/>
    <w:rsid w:val="00207736"/>
    <w:rsid w:val="00212460"/>
    <w:rsid w:val="00214C56"/>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81A35"/>
    <w:rsid w:val="00283E90"/>
    <w:rsid w:val="00284486"/>
    <w:rsid w:val="00285644"/>
    <w:rsid w:val="0028581E"/>
    <w:rsid w:val="00293491"/>
    <w:rsid w:val="002A0FB8"/>
    <w:rsid w:val="002A6193"/>
    <w:rsid w:val="002A7BD4"/>
    <w:rsid w:val="002A7F32"/>
    <w:rsid w:val="002B20A1"/>
    <w:rsid w:val="002B226E"/>
    <w:rsid w:val="002B46D4"/>
    <w:rsid w:val="002B54CF"/>
    <w:rsid w:val="002D1BE4"/>
    <w:rsid w:val="002E5015"/>
    <w:rsid w:val="002E7ACF"/>
    <w:rsid w:val="002F0CE9"/>
    <w:rsid w:val="002F3BD0"/>
    <w:rsid w:val="002F6616"/>
    <w:rsid w:val="00300A0B"/>
    <w:rsid w:val="00301F46"/>
    <w:rsid w:val="00303CAD"/>
    <w:rsid w:val="00306418"/>
    <w:rsid w:val="003100F3"/>
    <w:rsid w:val="00310C11"/>
    <w:rsid w:val="00315492"/>
    <w:rsid w:val="00316600"/>
    <w:rsid w:val="003172EC"/>
    <w:rsid w:val="0032170B"/>
    <w:rsid w:val="00323325"/>
    <w:rsid w:val="0032342B"/>
    <w:rsid w:val="003243B0"/>
    <w:rsid w:val="00325EC0"/>
    <w:rsid w:val="003340EC"/>
    <w:rsid w:val="003350FF"/>
    <w:rsid w:val="0034057C"/>
    <w:rsid w:val="0034158C"/>
    <w:rsid w:val="00350142"/>
    <w:rsid w:val="00353B6D"/>
    <w:rsid w:val="00354920"/>
    <w:rsid w:val="00355DC6"/>
    <w:rsid w:val="003604D7"/>
    <w:rsid w:val="0036351E"/>
    <w:rsid w:val="00364521"/>
    <w:rsid w:val="00365026"/>
    <w:rsid w:val="00367F82"/>
    <w:rsid w:val="003756AF"/>
    <w:rsid w:val="00375815"/>
    <w:rsid w:val="00380441"/>
    <w:rsid w:val="003809B7"/>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2140"/>
    <w:rsid w:val="003B5A37"/>
    <w:rsid w:val="003C28B8"/>
    <w:rsid w:val="003C6934"/>
    <w:rsid w:val="003C7FD0"/>
    <w:rsid w:val="003D0268"/>
    <w:rsid w:val="003D1A43"/>
    <w:rsid w:val="003D1A64"/>
    <w:rsid w:val="003E31E5"/>
    <w:rsid w:val="003E32ED"/>
    <w:rsid w:val="003E3A39"/>
    <w:rsid w:val="003E58C9"/>
    <w:rsid w:val="003E5CB3"/>
    <w:rsid w:val="003F578D"/>
    <w:rsid w:val="003F650B"/>
    <w:rsid w:val="004004E9"/>
    <w:rsid w:val="00400FDE"/>
    <w:rsid w:val="00402595"/>
    <w:rsid w:val="004052C5"/>
    <w:rsid w:val="004100AA"/>
    <w:rsid w:val="00412203"/>
    <w:rsid w:val="00417DE3"/>
    <w:rsid w:val="00420B07"/>
    <w:rsid w:val="00422869"/>
    <w:rsid w:val="00426448"/>
    <w:rsid w:val="0043257A"/>
    <w:rsid w:val="00436FD3"/>
    <w:rsid w:val="004406CF"/>
    <w:rsid w:val="00441804"/>
    <w:rsid w:val="004435B4"/>
    <w:rsid w:val="00443787"/>
    <w:rsid w:val="0046048A"/>
    <w:rsid w:val="00466346"/>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4ACC"/>
    <w:rsid w:val="004C7E83"/>
    <w:rsid w:val="004D5DB3"/>
    <w:rsid w:val="004E2E15"/>
    <w:rsid w:val="004E345F"/>
    <w:rsid w:val="004E41C7"/>
    <w:rsid w:val="004F2D88"/>
    <w:rsid w:val="004F4B65"/>
    <w:rsid w:val="005070C3"/>
    <w:rsid w:val="0050763D"/>
    <w:rsid w:val="005124DC"/>
    <w:rsid w:val="005220BE"/>
    <w:rsid w:val="0052246F"/>
    <w:rsid w:val="00535676"/>
    <w:rsid w:val="00542D5F"/>
    <w:rsid w:val="005435DE"/>
    <w:rsid w:val="00544C28"/>
    <w:rsid w:val="00545FBC"/>
    <w:rsid w:val="00546BAE"/>
    <w:rsid w:val="00552EBD"/>
    <w:rsid w:val="00553827"/>
    <w:rsid w:val="00555F71"/>
    <w:rsid w:val="005740F6"/>
    <w:rsid w:val="005743D2"/>
    <w:rsid w:val="00575DE3"/>
    <w:rsid w:val="00575E04"/>
    <w:rsid w:val="00576F74"/>
    <w:rsid w:val="005802BD"/>
    <w:rsid w:val="00586FA8"/>
    <w:rsid w:val="00587F23"/>
    <w:rsid w:val="00590CCB"/>
    <w:rsid w:val="00591E3A"/>
    <w:rsid w:val="00593CB4"/>
    <w:rsid w:val="005B0D7C"/>
    <w:rsid w:val="005B0E86"/>
    <w:rsid w:val="005B5DEE"/>
    <w:rsid w:val="005B6854"/>
    <w:rsid w:val="005C4034"/>
    <w:rsid w:val="005C465F"/>
    <w:rsid w:val="005C651C"/>
    <w:rsid w:val="005D1427"/>
    <w:rsid w:val="005D1AB3"/>
    <w:rsid w:val="005D49C8"/>
    <w:rsid w:val="005D5607"/>
    <w:rsid w:val="005E37E9"/>
    <w:rsid w:val="005F03DB"/>
    <w:rsid w:val="005F70C4"/>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44C"/>
    <w:rsid w:val="00666F25"/>
    <w:rsid w:val="00667C1C"/>
    <w:rsid w:val="00673DD4"/>
    <w:rsid w:val="00674AEB"/>
    <w:rsid w:val="0068455C"/>
    <w:rsid w:val="00685328"/>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1A7A"/>
    <w:rsid w:val="006F01E7"/>
    <w:rsid w:val="006F1F3A"/>
    <w:rsid w:val="006F7EB8"/>
    <w:rsid w:val="00702DD7"/>
    <w:rsid w:val="007047D3"/>
    <w:rsid w:val="00705C40"/>
    <w:rsid w:val="0071087E"/>
    <w:rsid w:val="00716EEF"/>
    <w:rsid w:val="007229A1"/>
    <w:rsid w:val="007235AA"/>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A93"/>
    <w:rsid w:val="00770792"/>
    <w:rsid w:val="00774FFE"/>
    <w:rsid w:val="00775638"/>
    <w:rsid w:val="00775677"/>
    <w:rsid w:val="0077599A"/>
    <w:rsid w:val="00777353"/>
    <w:rsid w:val="00780CD6"/>
    <w:rsid w:val="00782EA4"/>
    <w:rsid w:val="00785461"/>
    <w:rsid w:val="00786FF3"/>
    <w:rsid w:val="007876CF"/>
    <w:rsid w:val="00793090"/>
    <w:rsid w:val="00796F2A"/>
    <w:rsid w:val="007A0176"/>
    <w:rsid w:val="007A2F67"/>
    <w:rsid w:val="007A3918"/>
    <w:rsid w:val="007B0E89"/>
    <w:rsid w:val="007B2C38"/>
    <w:rsid w:val="007B2E54"/>
    <w:rsid w:val="007B6F5A"/>
    <w:rsid w:val="007B7498"/>
    <w:rsid w:val="007B7AEE"/>
    <w:rsid w:val="007C7EB6"/>
    <w:rsid w:val="007D2F75"/>
    <w:rsid w:val="007E22E7"/>
    <w:rsid w:val="007E2F03"/>
    <w:rsid w:val="007E4232"/>
    <w:rsid w:val="007E69BB"/>
    <w:rsid w:val="007E6AB8"/>
    <w:rsid w:val="007F2109"/>
    <w:rsid w:val="007F21C5"/>
    <w:rsid w:val="007F3EF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470F5"/>
    <w:rsid w:val="00851AE4"/>
    <w:rsid w:val="00854E77"/>
    <w:rsid w:val="0085598D"/>
    <w:rsid w:val="00862771"/>
    <w:rsid w:val="0086682F"/>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848"/>
    <w:rsid w:val="008C2FA1"/>
    <w:rsid w:val="008D2C4C"/>
    <w:rsid w:val="008D7E0D"/>
    <w:rsid w:val="008D7EDB"/>
    <w:rsid w:val="008E065E"/>
    <w:rsid w:val="008E1829"/>
    <w:rsid w:val="008E2327"/>
    <w:rsid w:val="008E5077"/>
    <w:rsid w:val="008E64F0"/>
    <w:rsid w:val="008E6FF3"/>
    <w:rsid w:val="008E7B05"/>
    <w:rsid w:val="008F18ED"/>
    <w:rsid w:val="008F46C2"/>
    <w:rsid w:val="009020A8"/>
    <w:rsid w:val="00903D37"/>
    <w:rsid w:val="00907E2A"/>
    <w:rsid w:val="0091055D"/>
    <w:rsid w:val="00914C61"/>
    <w:rsid w:val="00917D6F"/>
    <w:rsid w:val="00921B1A"/>
    <w:rsid w:val="00921DDA"/>
    <w:rsid w:val="0092600D"/>
    <w:rsid w:val="00927A7C"/>
    <w:rsid w:val="00927D70"/>
    <w:rsid w:val="00927EBF"/>
    <w:rsid w:val="0093039D"/>
    <w:rsid w:val="00931E4F"/>
    <w:rsid w:val="0093364D"/>
    <w:rsid w:val="00936574"/>
    <w:rsid w:val="00936D29"/>
    <w:rsid w:val="00943BCE"/>
    <w:rsid w:val="00944FCB"/>
    <w:rsid w:val="00960346"/>
    <w:rsid w:val="00961771"/>
    <w:rsid w:val="009617D3"/>
    <w:rsid w:val="0096463B"/>
    <w:rsid w:val="00967869"/>
    <w:rsid w:val="00971F54"/>
    <w:rsid w:val="009725C5"/>
    <w:rsid w:val="00973F40"/>
    <w:rsid w:val="00977B4C"/>
    <w:rsid w:val="009849EF"/>
    <w:rsid w:val="00986DB7"/>
    <w:rsid w:val="00992EF8"/>
    <w:rsid w:val="009934CF"/>
    <w:rsid w:val="009A0D75"/>
    <w:rsid w:val="009A347A"/>
    <w:rsid w:val="009A620E"/>
    <w:rsid w:val="009A704C"/>
    <w:rsid w:val="009B4703"/>
    <w:rsid w:val="009B548D"/>
    <w:rsid w:val="009B6A6F"/>
    <w:rsid w:val="009C1AFE"/>
    <w:rsid w:val="009C5F24"/>
    <w:rsid w:val="009D048B"/>
    <w:rsid w:val="009D69C6"/>
    <w:rsid w:val="009E5419"/>
    <w:rsid w:val="009E5A6E"/>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916"/>
    <w:rsid w:val="00A536DA"/>
    <w:rsid w:val="00A571CD"/>
    <w:rsid w:val="00A57C3D"/>
    <w:rsid w:val="00A6697B"/>
    <w:rsid w:val="00A74C2D"/>
    <w:rsid w:val="00A76B34"/>
    <w:rsid w:val="00A83487"/>
    <w:rsid w:val="00A854FF"/>
    <w:rsid w:val="00A87035"/>
    <w:rsid w:val="00A8745D"/>
    <w:rsid w:val="00A90F9B"/>
    <w:rsid w:val="00A92694"/>
    <w:rsid w:val="00A93072"/>
    <w:rsid w:val="00A9629C"/>
    <w:rsid w:val="00AA0FC8"/>
    <w:rsid w:val="00AA35D5"/>
    <w:rsid w:val="00AA417B"/>
    <w:rsid w:val="00AA533F"/>
    <w:rsid w:val="00AA5A86"/>
    <w:rsid w:val="00AB010D"/>
    <w:rsid w:val="00AB0749"/>
    <w:rsid w:val="00AB76D8"/>
    <w:rsid w:val="00AB7E6A"/>
    <w:rsid w:val="00AC1B61"/>
    <w:rsid w:val="00AC2C6E"/>
    <w:rsid w:val="00AC5EE6"/>
    <w:rsid w:val="00AD0D24"/>
    <w:rsid w:val="00AD1923"/>
    <w:rsid w:val="00AD2611"/>
    <w:rsid w:val="00AD3AC5"/>
    <w:rsid w:val="00AD3D57"/>
    <w:rsid w:val="00AE47BF"/>
    <w:rsid w:val="00AF6432"/>
    <w:rsid w:val="00AF79BD"/>
    <w:rsid w:val="00B07F12"/>
    <w:rsid w:val="00B10248"/>
    <w:rsid w:val="00B1415B"/>
    <w:rsid w:val="00B15278"/>
    <w:rsid w:val="00B234EC"/>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B375D"/>
    <w:rsid w:val="00BB49A0"/>
    <w:rsid w:val="00BB515F"/>
    <w:rsid w:val="00BC1FA5"/>
    <w:rsid w:val="00BC2C0C"/>
    <w:rsid w:val="00BC732A"/>
    <w:rsid w:val="00BC758B"/>
    <w:rsid w:val="00BD2EAC"/>
    <w:rsid w:val="00BD4BB3"/>
    <w:rsid w:val="00BE17C6"/>
    <w:rsid w:val="00BE2BD3"/>
    <w:rsid w:val="00BE4865"/>
    <w:rsid w:val="00BE69BF"/>
    <w:rsid w:val="00BE725A"/>
    <w:rsid w:val="00BE7430"/>
    <w:rsid w:val="00BE7B48"/>
    <w:rsid w:val="00BF3381"/>
    <w:rsid w:val="00C07B97"/>
    <w:rsid w:val="00C10FCF"/>
    <w:rsid w:val="00C16B4B"/>
    <w:rsid w:val="00C17427"/>
    <w:rsid w:val="00C20C00"/>
    <w:rsid w:val="00C210FD"/>
    <w:rsid w:val="00C22901"/>
    <w:rsid w:val="00C25238"/>
    <w:rsid w:val="00C305F2"/>
    <w:rsid w:val="00C3345C"/>
    <w:rsid w:val="00C407E5"/>
    <w:rsid w:val="00C42DAC"/>
    <w:rsid w:val="00C4342B"/>
    <w:rsid w:val="00C437DF"/>
    <w:rsid w:val="00C459A9"/>
    <w:rsid w:val="00C502A5"/>
    <w:rsid w:val="00C521F7"/>
    <w:rsid w:val="00C53008"/>
    <w:rsid w:val="00C55151"/>
    <w:rsid w:val="00C558FF"/>
    <w:rsid w:val="00C560FA"/>
    <w:rsid w:val="00C570C5"/>
    <w:rsid w:val="00C57FF9"/>
    <w:rsid w:val="00C64434"/>
    <w:rsid w:val="00C7063C"/>
    <w:rsid w:val="00C73C57"/>
    <w:rsid w:val="00C74D43"/>
    <w:rsid w:val="00C75CA7"/>
    <w:rsid w:val="00C8079B"/>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3A5D"/>
    <w:rsid w:val="00CD5FD4"/>
    <w:rsid w:val="00CE00C1"/>
    <w:rsid w:val="00CE0DCE"/>
    <w:rsid w:val="00CE1BC9"/>
    <w:rsid w:val="00CE33C1"/>
    <w:rsid w:val="00CE4DD6"/>
    <w:rsid w:val="00CE52E8"/>
    <w:rsid w:val="00CE76FF"/>
    <w:rsid w:val="00CF4012"/>
    <w:rsid w:val="00CF443A"/>
    <w:rsid w:val="00CF5C25"/>
    <w:rsid w:val="00D02BC6"/>
    <w:rsid w:val="00D0310D"/>
    <w:rsid w:val="00D05803"/>
    <w:rsid w:val="00D05C7C"/>
    <w:rsid w:val="00D06906"/>
    <w:rsid w:val="00D07742"/>
    <w:rsid w:val="00D1276A"/>
    <w:rsid w:val="00D14DB7"/>
    <w:rsid w:val="00D15ED5"/>
    <w:rsid w:val="00D22B6A"/>
    <w:rsid w:val="00D348F7"/>
    <w:rsid w:val="00D40BC3"/>
    <w:rsid w:val="00D434EC"/>
    <w:rsid w:val="00D44E9D"/>
    <w:rsid w:val="00D472A7"/>
    <w:rsid w:val="00D546DC"/>
    <w:rsid w:val="00D606D1"/>
    <w:rsid w:val="00D61A0E"/>
    <w:rsid w:val="00D71CF9"/>
    <w:rsid w:val="00D80F9D"/>
    <w:rsid w:val="00D81BAE"/>
    <w:rsid w:val="00D84B17"/>
    <w:rsid w:val="00D8507D"/>
    <w:rsid w:val="00D86735"/>
    <w:rsid w:val="00D8718E"/>
    <w:rsid w:val="00D871FB"/>
    <w:rsid w:val="00D90C9D"/>
    <w:rsid w:val="00D90E57"/>
    <w:rsid w:val="00D91910"/>
    <w:rsid w:val="00D91AA8"/>
    <w:rsid w:val="00D944A6"/>
    <w:rsid w:val="00D957B7"/>
    <w:rsid w:val="00D95B92"/>
    <w:rsid w:val="00D9652C"/>
    <w:rsid w:val="00D96FC3"/>
    <w:rsid w:val="00DA12C3"/>
    <w:rsid w:val="00DA495D"/>
    <w:rsid w:val="00DA7BA0"/>
    <w:rsid w:val="00DB469A"/>
    <w:rsid w:val="00DB52C3"/>
    <w:rsid w:val="00DB5DA3"/>
    <w:rsid w:val="00DB72B1"/>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04A4C"/>
    <w:rsid w:val="00E104F6"/>
    <w:rsid w:val="00E10748"/>
    <w:rsid w:val="00E12F57"/>
    <w:rsid w:val="00E14282"/>
    <w:rsid w:val="00E27DDF"/>
    <w:rsid w:val="00E27E01"/>
    <w:rsid w:val="00E30A90"/>
    <w:rsid w:val="00E32DBA"/>
    <w:rsid w:val="00E350F4"/>
    <w:rsid w:val="00E43469"/>
    <w:rsid w:val="00E445DA"/>
    <w:rsid w:val="00E45379"/>
    <w:rsid w:val="00E46352"/>
    <w:rsid w:val="00E50B22"/>
    <w:rsid w:val="00E51E18"/>
    <w:rsid w:val="00E533BD"/>
    <w:rsid w:val="00E53706"/>
    <w:rsid w:val="00E57CE2"/>
    <w:rsid w:val="00E617BD"/>
    <w:rsid w:val="00E705B4"/>
    <w:rsid w:val="00E72967"/>
    <w:rsid w:val="00E741E2"/>
    <w:rsid w:val="00E8155D"/>
    <w:rsid w:val="00E94F09"/>
    <w:rsid w:val="00EA0E04"/>
    <w:rsid w:val="00EA220D"/>
    <w:rsid w:val="00EA3156"/>
    <w:rsid w:val="00EA40A2"/>
    <w:rsid w:val="00EA4CD5"/>
    <w:rsid w:val="00EA5D2C"/>
    <w:rsid w:val="00EA5D8E"/>
    <w:rsid w:val="00EB07CF"/>
    <w:rsid w:val="00EB3AB5"/>
    <w:rsid w:val="00EB3B88"/>
    <w:rsid w:val="00EB5E78"/>
    <w:rsid w:val="00EB6B5B"/>
    <w:rsid w:val="00EB71D5"/>
    <w:rsid w:val="00EC3B8F"/>
    <w:rsid w:val="00EC5CA0"/>
    <w:rsid w:val="00EC7372"/>
    <w:rsid w:val="00ED30E8"/>
    <w:rsid w:val="00ED3B69"/>
    <w:rsid w:val="00ED6CD1"/>
    <w:rsid w:val="00EE5F2E"/>
    <w:rsid w:val="00EF378C"/>
    <w:rsid w:val="00EF4A64"/>
    <w:rsid w:val="00F02171"/>
    <w:rsid w:val="00F033EF"/>
    <w:rsid w:val="00F061A6"/>
    <w:rsid w:val="00F11AB3"/>
    <w:rsid w:val="00F1442D"/>
    <w:rsid w:val="00F20633"/>
    <w:rsid w:val="00F25CFE"/>
    <w:rsid w:val="00F307E6"/>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2D11"/>
    <w:rsid w:val="00F73751"/>
    <w:rsid w:val="00F75EAD"/>
    <w:rsid w:val="00F77154"/>
    <w:rsid w:val="00F80F33"/>
    <w:rsid w:val="00F846D6"/>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B7EC7"/>
    <w:rsid w:val="00FC0B63"/>
    <w:rsid w:val="00FC2209"/>
    <w:rsid w:val="00FC7531"/>
    <w:rsid w:val="00FC7EAA"/>
    <w:rsid w:val="00FD4FA5"/>
    <w:rsid w:val="00FD5166"/>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5F7D-D16D-4C52-87F3-05681F90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10995</Words>
  <Characters>60474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6</cp:revision>
  <cp:lastPrinted>2018-11-06T21:17:00Z</cp:lastPrinted>
  <dcterms:created xsi:type="dcterms:W3CDTF">2018-10-25T18:46:00Z</dcterms:created>
  <dcterms:modified xsi:type="dcterms:W3CDTF">2018-11-29T01:48:00Z</dcterms:modified>
</cp:coreProperties>
</file>