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2207BD" w:rsidRDefault="006168E4" w:rsidP="002207BD">
      <w:pPr>
        <w:shd w:val="clear" w:color="auto" w:fill="FFFFFF"/>
        <w:spacing w:before="240" w:after="240" w:line="360" w:lineRule="auto"/>
        <w:jc w:val="both"/>
        <w:rPr>
          <w:rFonts w:ascii="Palatino Linotype" w:eastAsia="Times New Roman" w:hAnsi="Palatino Linotype" w:cs="Arial"/>
          <w:color w:val="000000"/>
          <w:sz w:val="24"/>
          <w:szCs w:val="24"/>
          <w:lang w:eastAsia="es-MX"/>
        </w:rPr>
      </w:pPr>
      <w:bookmarkStart w:id="0" w:name="_GoBack"/>
      <w:bookmarkEnd w:id="0"/>
      <w:r w:rsidRPr="002207B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A251C7">
        <w:rPr>
          <w:rFonts w:ascii="Palatino Linotype" w:eastAsia="Times New Roman" w:hAnsi="Palatino Linotype" w:cs="Arial"/>
          <w:color w:val="000000"/>
          <w:sz w:val="24"/>
          <w:szCs w:val="24"/>
          <w:lang w:eastAsia="es-MX"/>
        </w:rPr>
        <w:t>a</w:t>
      </w:r>
      <w:r w:rsidR="002C5DF9">
        <w:rPr>
          <w:rFonts w:ascii="Palatino Linotype" w:eastAsia="Times New Roman" w:hAnsi="Palatino Linotype" w:cs="Arial"/>
          <w:color w:val="000000"/>
          <w:sz w:val="24"/>
          <w:szCs w:val="24"/>
          <w:lang w:eastAsia="es-MX"/>
        </w:rPr>
        <w:t xml:space="preserve"> catorce de noviembre </w:t>
      </w:r>
      <w:r w:rsidR="00D06CA0" w:rsidRPr="00A251C7">
        <w:rPr>
          <w:rFonts w:ascii="Palatino Linotype" w:eastAsia="Times New Roman" w:hAnsi="Palatino Linotype" w:cs="Arial"/>
          <w:color w:val="000000"/>
          <w:sz w:val="24"/>
          <w:szCs w:val="24"/>
          <w:lang w:eastAsia="es-MX"/>
        </w:rPr>
        <w:t xml:space="preserve">de </w:t>
      </w:r>
      <w:r w:rsidRPr="00A251C7">
        <w:rPr>
          <w:rFonts w:ascii="Palatino Linotype" w:eastAsia="Times New Roman" w:hAnsi="Palatino Linotype" w:cs="Arial"/>
          <w:color w:val="000000"/>
          <w:sz w:val="24"/>
          <w:szCs w:val="24"/>
          <w:lang w:eastAsia="es-MX"/>
        </w:rPr>
        <w:t>dos mil dieci</w:t>
      </w:r>
      <w:r w:rsidR="00B1546B" w:rsidRPr="00A251C7">
        <w:rPr>
          <w:rFonts w:ascii="Palatino Linotype" w:eastAsia="Times New Roman" w:hAnsi="Palatino Linotype" w:cs="Arial"/>
          <w:color w:val="000000"/>
          <w:sz w:val="24"/>
          <w:szCs w:val="24"/>
          <w:lang w:eastAsia="es-MX"/>
        </w:rPr>
        <w:t>ocho</w:t>
      </w:r>
      <w:r w:rsidRPr="00A251C7">
        <w:rPr>
          <w:rFonts w:ascii="Palatino Linotype" w:eastAsia="Times New Roman" w:hAnsi="Palatino Linotype" w:cs="Arial"/>
          <w:color w:val="000000"/>
          <w:sz w:val="24"/>
          <w:szCs w:val="24"/>
          <w:lang w:eastAsia="es-MX"/>
        </w:rPr>
        <w:t>.</w:t>
      </w:r>
    </w:p>
    <w:p w:rsidR="006168E4" w:rsidRPr="002207BD" w:rsidRDefault="006168E4" w:rsidP="002207BD">
      <w:pPr>
        <w:tabs>
          <w:tab w:val="left" w:pos="1701"/>
        </w:tabs>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VISTO</w:t>
      </w:r>
      <w:r w:rsidR="00555012" w:rsidRPr="002207BD">
        <w:rPr>
          <w:rFonts w:ascii="Palatino Linotype" w:hAnsi="Palatino Linotype" w:cs="Arial"/>
          <w:b/>
          <w:sz w:val="24"/>
          <w:szCs w:val="24"/>
        </w:rPr>
        <w:t xml:space="preserve">S </w:t>
      </w:r>
      <w:r w:rsidR="00B1546B" w:rsidRPr="002207BD">
        <w:rPr>
          <w:rFonts w:ascii="Palatino Linotype" w:hAnsi="Palatino Linotype" w:cs="Arial"/>
          <w:b/>
          <w:sz w:val="24"/>
          <w:szCs w:val="24"/>
        </w:rPr>
        <w:t>e</w:t>
      </w:r>
      <w:r w:rsidR="00555012" w:rsidRPr="002207BD">
        <w:rPr>
          <w:rFonts w:ascii="Palatino Linotype" w:hAnsi="Palatino Linotype" w:cs="Arial"/>
          <w:sz w:val="24"/>
          <w:szCs w:val="24"/>
        </w:rPr>
        <w:t xml:space="preserve">l </w:t>
      </w:r>
      <w:r w:rsidRPr="002207BD">
        <w:rPr>
          <w:rFonts w:ascii="Palatino Linotype" w:hAnsi="Palatino Linotype" w:cs="Arial"/>
          <w:sz w:val="24"/>
          <w:szCs w:val="24"/>
        </w:rPr>
        <w:t>expediente electrónico formado con motivo del recurso de revisión número</w:t>
      </w:r>
      <w:r w:rsidR="00BD24DD" w:rsidRPr="002207BD">
        <w:rPr>
          <w:rFonts w:ascii="Palatino Linotype" w:hAnsi="Palatino Linotype" w:cs="Arial"/>
          <w:sz w:val="24"/>
          <w:szCs w:val="24"/>
        </w:rPr>
        <w:t xml:space="preserve"> </w:t>
      </w:r>
      <w:r w:rsidR="0069045D" w:rsidRPr="002207BD">
        <w:rPr>
          <w:rFonts w:ascii="Palatino Linotype" w:hAnsi="Palatino Linotype" w:cs="Arial"/>
          <w:b/>
          <w:sz w:val="24"/>
          <w:szCs w:val="24"/>
        </w:rPr>
        <w:t>0</w:t>
      </w:r>
      <w:r w:rsidR="00D0152C">
        <w:rPr>
          <w:rFonts w:ascii="Palatino Linotype" w:hAnsi="Palatino Linotype" w:cs="Arial"/>
          <w:b/>
          <w:sz w:val="24"/>
          <w:szCs w:val="24"/>
        </w:rPr>
        <w:t>3</w:t>
      </w:r>
      <w:r w:rsidR="00713618">
        <w:rPr>
          <w:rFonts w:ascii="Palatino Linotype" w:hAnsi="Palatino Linotype" w:cs="Arial"/>
          <w:b/>
          <w:sz w:val="24"/>
          <w:szCs w:val="24"/>
        </w:rPr>
        <w:t>485</w:t>
      </w:r>
      <w:r w:rsidR="00D06CA0" w:rsidRPr="002207BD">
        <w:rPr>
          <w:rFonts w:ascii="Palatino Linotype" w:hAnsi="Palatino Linotype" w:cs="Arial"/>
          <w:b/>
          <w:bCs/>
          <w:sz w:val="24"/>
          <w:szCs w:val="24"/>
          <w:lang w:eastAsia="es-MX"/>
        </w:rPr>
        <w:t>/INFOEM/IP/RR/201</w:t>
      </w:r>
      <w:r w:rsidR="00B22296" w:rsidRPr="002207BD">
        <w:rPr>
          <w:rFonts w:ascii="Palatino Linotype" w:hAnsi="Palatino Linotype" w:cs="Arial"/>
          <w:b/>
          <w:bCs/>
          <w:sz w:val="24"/>
          <w:szCs w:val="24"/>
          <w:lang w:eastAsia="es-MX"/>
        </w:rPr>
        <w:t>8</w:t>
      </w:r>
      <w:r w:rsidRPr="002207BD">
        <w:rPr>
          <w:rFonts w:ascii="Palatino Linotype" w:hAnsi="Palatino Linotype" w:cs="Arial"/>
          <w:sz w:val="24"/>
          <w:szCs w:val="24"/>
        </w:rPr>
        <w:t>, interpuesto</w:t>
      </w:r>
      <w:r w:rsidR="008B6B4F" w:rsidRPr="002207BD">
        <w:rPr>
          <w:rFonts w:ascii="Palatino Linotype" w:hAnsi="Palatino Linotype" w:cs="Arial"/>
          <w:sz w:val="24"/>
          <w:szCs w:val="24"/>
        </w:rPr>
        <w:t>s</w:t>
      </w:r>
      <w:r w:rsidRPr="002207BD">
        <w:rPr>
          <w:rFonts w:ascii="Palatino Linotype" w:hAnsi="Palatino Linotype" w:cs="Arial"/>
          <w:sz w:val="24"/>
          <w:szCs w:val="24"/>
        </w:rPr>
        <w:t xml:space="preserve"> por </w:t>
      </w:r>
      <w:r w:rsidR="00D459B4">
        <w:rPr>
          <w:rFonts w:ascii="Palatino Linotype" w:hAnsi="Palatino Linotype" w:cs="Arial"/>
          <w:sz w:val="24"/>
          <w:szCs w:val="24"/>
        </w:rPr>
        <w:t>e</w:t>
      </w:r>
      <w:r w:rsidRPr="002207BD">
        <w:rPr>
          <w:rFonts w:ascii="Palatino Linotype" w:hAnsi="Palatino Linotype" w:cs="Arial"/>
          <w:sz w:val="24"/>
          <w:szCs w:val="24"/>
        </w:rPr>
        <w:t xml:space="preserve">l </w:t>
      </w:r>
      <w:r w:rsidRPr="002207BD">
        <w:rPr>
          <w:rFonts w:ascii="Palatino Linotype" w:hAnsi="Palatino Linotype" w:cs="Arial"/>
          <w:b/>
          <w:sz w:val="24"/>
          <w:szCs w:val="24"/>
        </w:rPr>
        <w:t xml:space="preserve">C. </w:t>
      </w:r>
      <w:r w:rsidR="008A13C8">
        <w:rPr>
          <w:rFonts w:ascii="Palatino Linotype" w:hAnsi="Palatino Linotype" w:cs="Arial"/>
          <w:b/>
          <w:color w:val="000000" w:themeColor="text1"/>
          <w:sz w:val="24"/>
          <w:szCs w:val="24"/>
        </w:rPr>
        <w:t>XXXXXXXXXXXXXXXX</w:t>
      </w:r>
      <w:r w:rsidR="00447E36">
        <w:rPr>
          <w:rFonts w:ascii="Palatino Linotype" w:hAnsi="Palatino Linotype" w:cs="Arial"/>
          <w:color w:val="000000" w:themeColor="text1"/>
          <w:sz w:val="24"/>
          <w:szCs w:val="24"/>
        </w:rPr>
        <w:t>,</w:t>
      </w:r>
      <w:r w:rsidR="00BA6499" w:rsidRPr="002207BD">
        <w:rPr>
          <w:rFonts w:ascii="Palatino Linotype" w:hAnsi="Palatino Linotype" w:cs="Arial"/>
          <w:b/>
          <w:color w:val="000000" w:themeColor="text1"/>
          <w:sz w:val="24"/>
          <w:szCs w:val="24"/>
        </w:rPr>
        <w:t xml:space="preserve"> </w:t>
      </w:r>
      <w:r w:rsidRPr="002207BD">
        <w:rPr>
          <w:rFonts w:ascii="Palatino Linotype" w:hAnsi="Palatino Linotype" w:cs="Arial"/>
          <w:sz w:val="24"/>
          <w:szCs w:val="24"/>
        </w:rPr>
        <w:t xml:space="preserve">en lo sucesivo </w:t>
      </w:r>
      <w:r w:rsidR="00D459B4">
        <w:rPr>
          <w:rFonts w:ascii="Palatino Linotype" w:hAnsi="Palatino Linotype" w:cs="Arial"/>
          <w:sz w:val="24"/>
          <w:szCs w:val="24"/>
        </w:rPr>
        <w:t>e</w:t>
      </w:r>
      <w:r w:rsidR="00447E36">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en contra de la respuesta de</w:t>
      </w:r>
      <w:r w:rsidR="00447E36">
        <w:rPr>
          <w:rFonts w:ascii="Palatino Linotype" w:hAnsi="Palatino Linotype" w:cs="Arial"/>
          <w:sz w:val="24"/>
          <w:szCs w:val="24"/>
        </w:rPr>
        <w:t xml:space="preserve">l </w:t>
      </w:r>
      <w:r w:rsidR="00DA0FE1">
        <w:rPr>
          <w:rFonts w:ascii="Palatino Linotype" w:hAnsi="Palatino Linotype" w:cs="Arial"/>
          <w:b/>
          <w:sz w:val="24"/>
          <w:szCs w:val="24"/>
        </w:rPr>
        <w:t xml:space="preserve">Ayuntamiento de </w:t>
      </w:r>
      <w:r w:rsidR="00713618">
        <w:rPr>
          <w:rFonts w:ascii="Palatino Linotype" w:hAnsi="Palatino Linotype" w:cs="Arial"/>
          <w:b/>
          <w:sz w:val="24"/>
          <w:szCs w:val="24"/>
        </w:rPr>
        <w:t>Cuautitlán Izcalli</w:t>
      </w:r>
      <w:r w:rsidRPr="002207BD">
        <w:rPr>
          <w:rFonts w:ascii="Palatino Linotype" w:hAnsi="Palatino Linotype" w:cs="Arial"/>
          <w:sz w:val="24"/>
          <w:szCs w:val="24"/>
        </w:rPr>
        <w:t>, en lo subsecuente</w:t>
      </w:r>
      <w:r w:rsidRPr="002207BD">
        <w:rPr>
          <w:rFonts w:ascii="Palatino Linotype" w:hAnsi="Palatino Linotype" w:cs="Arial"/>
          <w:b/>
          <w:sz w:val="24"/>
          <w:szCs w:val="24"/>
        </w:rPr>
        <w:t xml:space="preserve"> </w:t>
      </w:r>
      <w:r w:rsidR="00A61DB9" w:rsidRPr="00A61DB9">
        <w:rPr>
          <w:rFonts w:ascii="Palatino Linotype" w:hAnsi="Palatino Linotype" w:cs="Arial"/>
          <w:sz w:val="24"/>
          <w:szCs w:val="24"/>
        </w:rPr>
        <w:t>el</w:t>
      </w:r>
      <w:r w:rsidRPr="002207BD">
        <w:rPr>
          <w:rFonts w:ascii="Palatino Linotype" w:hAnsi="Palatino Linotype" w:cs="Arial"/>
          <w:b/>
          <w:sz w:val="24"/>
          <w:szCs w:val="24"/>
        </w:rPr>
        <w:t xml:space="preserve"> Sujeto Obligado, </w:t>
      </w:r>
      <w:r w:rsidRPr="002207BD">
        <w:rPr>
          <w:rFonts w:ascii="Palatino Linotype" w:hAnsi="Palatino Linotype" w:cs="Arial"/>
          <w:sz w:val="24"/>
          <w:szCs w:val="24"/>
        </w:rPr>
        <w:t>se procede a dictar la presente resolución.</w:t>
      </w:r>
    </w:p>
    <w:p w:rsidR="005A68D6" w:rsidRPr="002207BD" w:rsidRDefault="005A68D6" w:rsidP="002207BD">
      <w:pPr>
        <w:tabs>
          <w:tab w:val="left" w:pos="1701"/>
        </w:tabs>
        <w:spacing w:before="240" w:after="240" w:line="360" w:lineRule="auto"/>
        <w:jc w:val="both"/>
        <w:rPr>
          <w:rFonts w:ascii="Palatino Linotype" w:hAnsi="Palatino Linotype" w:cs="Arial"/>
          <w:sz w:val="24"/>
          <w:szCs w:val="24"/>
        </w:rPr>
      </w:pPr>
    </w:p>
    <w:p w:rsidR="006168E4" w:rsidRPr="002207BD" w:rsidRDefault="006168E4" w:rsidP="002207BD">
      <w:pPr>
        <w:spacing w:before="240" w:after="240" w:line="360" w:lineRule="auto"/>
        <w:jc w:val="center"/>
        <w:rPr>
          <w:rFonts w:ascii="Palatino Linotype" w:hAnsi="Palatino Linotype"/>
          <w:b/>
          <w:sz w:val="24"/>
          <w:szCs w:val="24"/>
        </w:rPr>
      </w:pPr>
      <w:r w:rsidRPr="002207BD">
        <w:rPr>
          <w:rFonts w:ascii="Palatino Linotype" w:hAnsi="Palatino Linotype"/>
          <w:b/>
          <w:sz w:val="24"/>
          <w:szCs w:val="24"/>
        </w:rPr>
        <w:t>A N T E C E D E N T E S   D E L   A S U N T O</w:t>
      </w:r>
    </w:p>
    <w:p w:rsidR="00607A73" w:rsidRPr="002207BD" w:rsidRDefault="00607A73" w:rsidP="002207BD">
      <w:pPr>
        <w:spacing w:before="240" w:after="240" w:line="360" w:lineRule="auto"/>
        <w:jc w:val="both"/>
        <w:rPr>
          <w:rFonts w:ascii="Palatino Linotype" w:hAnsi="Palatino Linotype" w:cs="Arial"/>
          <w:b/>
          <w:sz w:val="24"/>
          <w:szCs w:val="24"/>
        </w:rPr>
      </w:pPr>
    </w:p>
    <w:p w:rsidR="006168E4" w:rsidRPr="002207BD" w:rsidRDefault="006168E4" w:rsidP="002207BD">
      <w:pPr>
        <w:spacing w:before="240" w:after="240" w:line="360" w:lineRule="auto"/>
        <w:jc w:val="both"/>
        <w:rPr>
          <w:rFonts w:ascii="Palatino Linotype" w:hAnsi="Palatino Linotype"/>
          <w:sz w:val="24"/>
          <w:szCs w:val="24"/>
        </w:rPr>
      </w:pPr>
      <w:r w:rsidRPr="002207BD">
        <w:rPr>
          <w:rFonts w:ascii="Palatino Linotype" w:hAnsi="Palatino Linotype" w:cs="Arial"/>
          <w:b/>
          <w:sz w:val="24"/>
          <w:szCs w:val="24"/>
        </w:rPr>
        <w:t>PRIMERO.</w:t>
      </w:r>
      <w:r w:rsidRPr="002207BD">
        <w:rPr>
          <w:rFonts w:ascii="Palatino Linotype" w:hAnsi="Palatino Linotype" w:cs="Arial"/>
          <w:sz w:val="24"/>
          <w:szCs w:val="24"/>
        </w:rPr>
        <w:t xml:space="preserve"> </w:t>
      </w:r>
      <w:r w:rsidRPr="002207BD">
        <w:rPr>
          <w:rFonts w:ascii="Palatino Linotype" w:hAnsi="Palatino Linotype"/>
          <w:b/>
          <w:sz w:val="24"/>
          <w:szCs w:val="24"/>
        </w:rPr>
        <w:t>De la Solicitud de Información.</w:t>
      </w:r>
    </w:p>
    <w:p w:rsidR="006168E4" w:rsidRPr="002207BD" w:rsidRDefault="006168E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Con fecha </w:t>
      </w:r>
      <w:r w:rsidR="007D3FAC">
        <w:rPr>
          <w:rFonts w:ascii="Palatino Linotype" w:hAnsi="Palatino Linotype" w:cs="Arial"/>
          <w:sz w:val="24"/>
          <w:szCs w:val="24"/>
        </w:rPr>
        <w:t>veintisiete de agosto</w:t>
      </w:r>
      <w:r w:rsidR="00C0666D">
        <w:rPr>
          <w:rFonts w:ascii="Palatino Linotype" w:hAnsi="Palatino Linotype" w:cs="Arial"/>
          <w:sz w:val="24"/>
          <w:szCs w:val="24"/>
        </w:rPr>
        <w:t xml:space="preserve"> </w:t>
      </w:r>
      <w:r w:rsidR="001948C2" w:rsidRPr="002207BD">
        <w:rPr>
          <w:rFonts w:ascii="Palatino Linotype" w:hAnsi="Palatino Linotype" w:cs="Arial"/>
          <w:sz w:val="24"/>
          <w:szCs w:val="24"/>
        </w:rPr>
        <w:t>de</w:t>
      </w:r>
      <w:r w:rsidR="00B91140" w:rsidRPr="002207BD">
        <w:rPr>
          <w:rFonts w:ascii="Palatino Linotype" w:hAnsi="Palatino Linotype" w:cs="Arial"/>
          <w:sz w:val="24"/>
          <w:szCs w:val="24"/>
        </w:rPr>
        <w:t xml:space="preserve"> </w:t>
      </w:r>
      <w:r w:rsidRPr="002207BD">
        <w:rPr>
          <w:rFonts w:ascii="Palatino Linotype" w:hAnsi="Palatino Linotype" w:cs="Arial"/>
          <w:sz w:val="24"/>
          <w:szCs w:val="24"/>
        </w:rPr>
        <w:t>dos mil dieci</w:t>
      </w:r>
      <w:r w:rsidR="001948C2" w:rsidRPr="002207BD">
        <w:rPr>
          <w:rFonts w:ascii="Palatino Linotype" w:hAnsi="Palatino Linotype" w:cs="Arial"/>
          <w:sz w:val="24"/>
          <w:szCs w:val="24"/>
        </w:rPr>
        <w:t>ocho</w:t>
      </w:r>
      <w:r w:rsidRPr="002207BD">
        <w:rPr>
          <w:rFonts w:ascii="Palatino Linotype" w:hAnsi="Palatino Linotype" w:cs="Arial"/>
          <w:sz w:val="24"/>
          <w:szCs w:val="24"/>
        </w:rPr>
        <w:t xml:space="preserve">, </w:t>
      </w:r>
      <w:r w:rsidR="00C0666D">
        <w:rPr>
          <w:rFonts w:ascii="Palatino Linotype" w:hAnsi="Palatino Linotype" w:cs="Arial"/>
          <w:sz w:val="24"/>
          <w:szCs w:val="24"/>
        </w:rPr>
        <w:t>e</w:t>
      </w:r>
      <w:r w:rsidR="001948C2" w:rsidRPr="008068F7">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xml:space="preserve"> presentó </w:t>
      </w:r>
      <w:r w:rsidR="002C2643" w:rsidRPr="002207BD">
        <w:rPr>
          <w:rFonts w:ascii="Palatino Linotype" w:eastAsia="Times New Roman" w:hAnsi="Palatino Linotype" w:cs="Arial"/>
          <w:sz w:val="24"/>
          <w:szCs w:val="24"/>
          <w:lang w:val="es-ES" w:eastAsia="es-ES"/>
        </w:rPr>
        <w:t xml:space="preserve">su solicitud de acceso a la información a través de </w:t>
      </w:r>
      <w:r w:rsidR="008068F7" w:rsidRPr="008152AB">
        <w:rPr>
          <w:rFonts w:ascii="Palatino Linotype" w:hAnsi="Palatino Linotype"/>
          <w:sz w:val="24"/>
          <w:szCs w:val="24"/>
        </w:rPr>
        <w:t xml:space="preserve">Sistema de Acceso a la Información Mexiquense </w:t>
      </w:r>
      <w:r w:rsidR="0034144D">
        <w:rPr>
          <w:rFonts w:ascii="Palatino Linotype" w:hAnsi="Palatino Linotype"/>
          <w:sz w:val="24"/>
          <w:szCs w:val="24"/>
        </w:rPr>
        <w:t>(</w:t>
      </w:r>
      <w:r w:rsidR="008068F7">
        <w:rPr>
          <w:rFonts w:ascii="Palatino Linotype" w:hAnsi="Palatino Linotype"/>
          <w:sz w:val="24"/>
          <w:szCs w:val="24"/>
        </w:rPr>
        <w:t xml:space="preserve">en lo subsecuente </w:t>
      </w:r>
      <w:r w:rsidR="008068F7" w:rsidRPr="008152AB">
        <w:rPr>
          <w:rFonts w:ascii="Palatino Linotype" w:hAnsi="Palatino Linotype"/>
          <w:b/>
          <w:sz w:val="24"/>
          <w:szCs w:val="24"/>
        </w:rPr>
        <w:t>SAIMEX</w:t>
      </w:r>
      <w:r w:rsidR="0034144D" w:rsidRPr="0034144D">
        <w:rPr>
          <w:rFonts w:ascii="Palatino Linotype" w:hAnsi="Palatino Linotype"/>
          <w:sz w:val="24"/>
          <w:szCs w:val="24"/>
        </w:rPr>
        <w:t>)</w:t>
      </w:r>
      <w:r w:rsidR="002C2643" w:rsidRPr="002207BD">
        <w:rPr>
          <w:rFonts w:ascii="Palatino Linotype" w:hAnsi="Palatino Linotype" w:cs="Arial"/>
          <w:sz w:val="24"/>
          <w:szCs w:val="24"/>
        </w:rPr>
        <w:t xml:space="preserve"> </w:t>
      </w:r>
      <w:r w:rsidRPr="002207BD">
        <w:rPr>
          <w:rFonts w:ascii="Palatino Linotype" w:hAnsi="Palatino Linotype" w:cs="Arial"/>
          <w:sz w:val="24"/>
          <w:szCs w:val="24"/>
        </w:rPr>
        <w:t xml:space="preserve">ante </w:t>
      </w:r>
      <w:r w:rsidR="00D5722D" w:rsidRPr="00D5722D">
        <w:rPr>
          <w:rFonts w:ascii="Palatino Linotype" w:hAnsi="Palatino Linotype" w:cs="Arial"/>
          <w:sz w:val="24"/>
          <w:szCs w:val="24"/>
        </w:rPr>
        <w:t>el</w:t>
      </w:r>
      <w:r w:rsidRPr="002207BD">
        <w:rPr>
          <w:rFonts w:ascii="Palatino Linotype" w:hAnsi="Palatino Linotype" w:cs="Arial"/>
          <w:b/>
          <w:sz w:val="24"/>
          <w:szCs w:val="24"/>
        </w:rPr>
        <w:t xml:space="preserve"> Sujeto Obligado</w:t>
      </w:r>
      <w:r w:rsidRPr="002207BD">
        <w:rPr>
          <w:rFonts w:ascii="Palatino Linotype" w:hAnsi="Palatino Linotype" w:cs="Arial"/>
          <w:sz w:val="24"/>
          <w:szCs w:val="24"/>
        </w:rPr>
        <w:t xml:space="preserve">, </w:t>
      </w:r>
      <w:r w:rsidR="00F64BEB" w:rsidRPr="002207BD">
        <w:rPr>
          <w:rFonts w:ascii="Palatino Linotype" w:hAnsi="Palatino Linotype" w:cs="Arial"/>
          <w:sz w:val="24"/>
          <w:szCs w:val="24"/>
        </w:rPr>
        <w:t xml:space="preserve">solicitud de registrada bajo </w:t>
      </w:r>
      <w:r w:rsidR="001948C2" w:rsidRPr="002207BD">
        <w:rPr>
          <w:rFonts w:ascii="Palatino Linotype" w:hAnsi="Palatino Linotype" w:cs="Arial"/>
          <w:sz w:val="24"/>
          <w:szCs w:val="24"/>
        </w:rPr>
        <w:t>e</w:t>
      </w:r>
      <w:r w:rsidR="00F64BEB" w:rsidRPr="002207BD">
        <w:rPr>
          <w:rFonts w:ascii="Palatino Linotype" w:hAnsi="Palatino Linotype" w:cs="Arial"/>
          <w:sz w:val="24"/>
          <w:szCs w:val="24"/>
        </w:rPr>
        <w:t>l número de expediente</w:t>
      </w:r>
      <w:r w:rsidRPr="002207BD">
        <w:rPr>
          <w:rFonts w:ascii="Palatino Linotype" w:hAnsi="Palatino Linotype" w:cs="Arial"/>
          <w:b/>
          <w:sz w:val="24"/>
          <w:szCs w:val="24"/>
        </w:rPr>
        <w:t xml:space="preserve"> </w:t>
      </w:r>
      <w:r w:rsidR="00F075E6" w:rsidRPr="002207BD">
        <w:rPr>
          <w:rFonts w:ascii="Palatino Linotype" w:hAnsi="Palatino Linotype" w:cs="Arial"/>
          <w:b/>
          <w:sz w:val="24"/>
          <w:szCs w:val="24"/>
        </w:rPr>
        <w:t>00</w:t>
      </w:r>
      <w:r w:rsidR="00F2399C">
        <w:rPr>
          <w:rFonts w:ascii="Palatino Linotype" w:hAnsi="Palatino Linotype" w:cs="Arial"/>
          <w:b/>
          <w:sz w:val="24"/>
          <w:szCs w:val="24"/>
        </w:rPr>
        <w:t>288</w:t>
      </w:r>
      <w:r w:rsidR="00F075E6" w:rsidRPr="002207BD">
        <w:rPr>
          <w:rFonts w:ascii="Palatino Linotype" w:hAnsi="Palatino Linotype" w:cs="Arial"/>
          <w:b/>
          <w:sz w:val="24"/>
          <w:szCs w:val="24"/>
        </w:rPr>
        <w:t>/</w:t>
      </w:r>
      <w:r w:rsidR="00F2399C">
        <w:rPr>
          <w:rFonts w:ascii="Palatino Linotype" w:hAnsi="Palatino Linotype" w:cs="Arial"/>
          <w:b/>
          <w:sz w:val="24"/>
          <w:szCs w:val="24"/>
        </w:rPr>
        <w:t>CUAUTIZC</w:t>
      </w:r>
      <w:r w:rsidR="00F075E6" w:rsidRPr="002207BD">
        <w:rPr>
          <w:rFonts w:ascii="Palatino Linotype" w:hAnsi="Palatino Linotype" w:cs="Arial"/>
          <w:b/>
          <w:sz w:val="24"/>
          <w:szCs w:val="24"/>
        </w:rPr>
        <w:t>/IP/201</w:t>
      </w:r>
      <w:r w:rsidR="001948C2" w:rsidRPr="002207BD">
        <w:rPr>
          <w:rFonts w:ascii="Palatino Linotype" w:hAnsi="Palatino Linotype" w:cs="Arial"/>
          <w:b/>
          <w:sz w:val="24"/>
          <w:szCs w:val="24"/>
        </w:rPr>
        <w:t>8</w:t>
      </w:r>
      <w:r w:rsidR="00D476FE" w:rsidRPr="002207BD">
        <w:rPr>
          <w:rFonts w:ascii="Palatino Linotype" w:hAnsi="Palatino Linotype" w:cs="Arial"/>
          <w:b/>
          <w:sz w:val="24"/>
          <w:szCs w:val="24"/>
        </w:rPr>
        <w:t xml:space="preserve">, </w:t>
      </w:r>
      <w:r w:rsidRPr="002207BD">
        <w:rPr>
          <w:rFonts w:ascii="Palatino Linotype" w:hAnsi="Palatino Linotype" w:cs="Arial"/>
          <w:sz w:val="24"/>
          <w:szCs w:val="24"/>
        </w:rPr>
        <w:t xml:space="preserve">mediante </w:t>
      </w:r>
      <w:r w:rsidR="001948C2" w:rsidRPr="002207BD">
        <w:rPr>
          <w:rFonts w:ascii="Palatino Linotype" w:hAnsi="Palatino Linotype" w:cs="Arial"/>
          <w:sz w:val="24"/>
          <w:szCs w:val="24"/>
        </w:rPr>
        <w:t>e</w:t>
      </w:r>
      <w:r w:rsidRPr="002207BD">
        <w:rPr>
          <w:rFonts w:ascii="Palatino Linotype" w:hAnsi="Palatino Linotype" w:cs="Arial"/>
          <w:sz w:val="24"/>
          <w:szCs w:val="24"/>
        </w:rPr>
        <w:t>l</w:t>
      </w:r>
      <w:r w:rsidR="006C62D0" w:rsidRPr="002207BD">
        <w:rPr>
          <w:rFonts w:ascii="Palatino Linotype" w:hAnsi="Palatino Linotype" w:cs="Arial"/>
          <w:sz w:val="24"/>
          <w:szCs w:val="24"/>
        </w:rPr>
        <w:t xml:space="preserve"> cual </w:t>
      </w:r>
      <w:r w:rsidRPr="002207BD">
        <w:rPr>
          <w:rFonts w:ascii="Palatino Linotype" w:hAnsi="Palatino Linotype" w:cs="Arial"/>
          <w:sz w:val="24"/>
          <w:szCs w:val="24"/>
        </w:rPr>
        <w:t>solicitó información en el tenor siguiente:</w:t>
      </w:r>
    </w:p>
    <w:p w:rsidR="003974CC" w:rsidRPr="008068F7" w:rsidRDefault="008068F7" w:rsidP="008068F7">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8068F7">
        <w:rPr>
          <w:rFonts w:ascii="Palatino Linotype" w:eastAsia="Times New Roman" w:hAnsi="Palatino Linotype" w:cs="Times New Roman"/>
          <w:i/>
          <w:sz w:val="24"/>
          <w:szCs w:val="24"/>
          <w:lang w:eastAsia="es-ES"/>
        </w:rPr>
        <w:t>“</w:t>
      </w:r>
      <w:r w:rsidR="00F2399C" w:rsidRPr="00F2399C">
        <w:rPr>
          <w:rFonts w:ascii="Palatino Linotype" w:eastAsia="Times New Roman" w:hAnsi="Palatino Linotype" w:cs="Times New Roman"/>
          <w:i/>
          <w:sz w:val="24"/>
          <w:szCs w:val="24"/>
          <w:lang w:eastAsia="es-ES"/>
        </w:rPr>
        <w:t xml:space="preserve">solicito se me informe en versión pública las percepciones netas mensual del mes de Marzo, Abril y Mayo de 2018, de cada uno de los servidores públicos titulares de: Titular o Encargado de Despacho de la Comisaría General de Seguridad Pública y Tránsito (comisario), Titulares o Encargados de Despacho de las tres </w:t>
      </w:r>
      <w:r w:rsidR="00F2399C" w:rsidRPr="00F2399C">
        <w:rPr>
          <w:rFonts w:ascii="Palatino Linotype" w:eastAsia="Times New Roman" w:hAnsi="Palatino Linotype" w:cs="Times New Roman"/>
          <w:i/>
          <w:sz w:val="24"/>
          <w:szCs w:val="24"/>
          <w:lang w:eastAsia="es-ES"/>
        </w:rPr>
        <w:lastRenderedPageBreak/>
        <w:t>Coordinaciones, Titulares o Encargados de Despacho de las dos Direcciones, Titulares o Encargados de Despacho de los ocho Departamentos y Titulares o Encargados de Despacho de las dos Unidades, áreas adscritas a la Comisaría General de Seguridad Pública y Tránsito; conforme a su estructura orgánica señalada en su portal de IPOMEX artículo 92 fracción II A "estructura orgánica" ejercicio actual 2018; así como el soporte documental del mismo.</w:t>
      </w:r>
      <w:r w:rsidRPr="008068F7">
        <w:rPr>
          <w:rFonts w:ascii="Palatino Linotype" w:eastAsia="Times New Roman" w:hAnsi="Palatino Linotype" w:cs="Times New Roman"/>
          <w:i/>
          <w:sz w:val="24"/>
          <w:szCs w:val="24"/>
          <w:lang w:eastAsia="es-ES"/>
        </w:rPr>
        <w:t xml:space="preserve">” </w:t>
      </w:r>
      <w:r w:rsidRPr="008068F7">
        <w:rPr>
          <w:rFonts w:ascii="Palatino Linotype" w:hAnsi="Palatino Linotype" w:cs="Arial"/>
          <w:i/>
          <w:sz w:val="24"/>
          <w:szCs w:val="24"/>
        </w:rPr>
        <w:t>[Sic]</w:t>
      </w:r>
    </w:p>
    <w:p w:rsidR="007635C6" w:rsidRPr="00162BD0" w:rsidRDefault="007635C6" w:rsidP="007635C6">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Haciéndose constar que del acuse de solicitud de información contenida en el expediente electrónico del </w:t>
      </w:r>
      <w:r w:rsidRPr="008068F7">
        <w:rPr>
          <w:rFonts w:ascii="Palatino Linotype" w:hAnsi="Palatino Linotype" w:cs="Arial"/>
          <w:b/>
          <w:sz w:val="24"/>
          <w:szCs w:val="24"/>
        </w:rPr>
        <w:t>SAIMEX</w:t>
      </w:r>
      <w:r w:rsidRPr="002207BD">
        <w:rPr>
          <w:rFonts w:ascii="Palatino Linotype" w:hAnsi="Palatino Linotype" w:cs="Arial"/>
          <w:sz w:val="24"/>
          <w:szCs w:val="24"/>
        </w:rPr>
        <w:t>, se aprecia que</w:t>
      </w:r>
      <w:r>
        <w:rPr>
          <w:rFonts w:ascii="Palatino Linotype" w:hAnsi="Palatino Linotype" w:cs="Arial"/>
          <w:sz w:val="24"/>
          <w:szCs w:val="24"/>
        </w:rPr>
        <w:t xml:space="preserve"> el</w:t>
      </w:r>
      <w:r w:rsidRPr="002207BD">
        <w:rPr>
          <w:rFonts w:ascii="Palatino Linotype" w:hAnsi="Palatino Linotype" w:cs="Arial"/>
          <w:sz w:val="24"/>
          <w:szCs w:val="24"/>
        </w:rPr>
        <w:t xml:space="preserve"> </w:t>
      </w:r>
      <w:r w:rsidRPr="002207BD">
        <w:rPr>
          <w:rFonts w:ascii="Palatino Linotype" w:hAnsi="Palatino Linotype" w:cs="Arial"/>
          <w:b/>
          <w:sz w:val="24"/>
          <w:szCs w:val="24"/>
        </w:rPr>
        <w:t>Recurrente</w:t>
      </w:r>
      <w:r w:rsidRPr="002207BD">
        <w:rPr>
          <w:rFonts w:ascii="Palatino Linotype" w:hAnsi="Palatino Linotype" w:cs="Arial"/>
          <w:sz w:val="24"/>
          <w:szCs w:val="24"/>
        </w:rPr>
        <w:t xml:space="preserve"> eligió como modalidad de entrega </w:t>
      </w:r>
      <w:r w:rsidRPr="00970B3D">
        <w:rPr>
          <w:rFonts w:ascii="Palatino Linotype" w:hAnsi="Palatino Linotype" w:cs="Arial"/>
          <w:i/>
          <w:sz w:val="24"/>
          <w:szCs w:val="24"/>
        </w:rPr>
        <w:t>“a través del SAIMEX”</w:t>
      </w:r>
      <w:r>
        <w:rPr>
          <w:rFonts w:ascii="Palatino Linotype" w:hAnsi="Palatino Linotype" w:cs="Arial"/>
          <w:sz w:val="24"/>
          <w:szCs w:val="24"/>
        </w:rPr>
        <w:t>.</w:t>
      </w:r>
    </w:p>
    <w:p w:rsidR="00162BD0" w:rsidRDefault="00162BD0" w:rsidP="002207BD">
      <w:pPr>
        <w:spacing w:before="240" w:after="240" w:line="360" w:lineRule="auto"/>
        <w:rPr>
          <w:rFonts w:ascii="Palatino Linotype" w:hAnsi="Palatino Linotype" w:cs="Arial"/>
          <w:b/>
          <w:sz w:val="24"/>
          <w:szCs w:val="24"/>
        </w:rPr>
      </w:pPr>
    </w:p>
    <w:p w:rsidR="00162BD0" w:rsidRPr="002207BD" w:rsidRDefault="00D0152C" w:rsidP="00162BD0">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SEGUNDO.</w:t>
      </w:r>
      <w:r w:rsidR="00162BD0">
        <w:rPr>
          <w:rFonts w:ascii="Palatino Linotype" w:hAnsi="Palatino Linotype" w:cs="Arial"/>
          <w:b/>
          <w:sz w:val="24"/>
          <w:szCs w:val="24"/>
        </w:rPr>
        <w:t xml:space="preserve"> </w:t>
      </w:r>
      <w:r w:rsidR="00162BD0" w:rsidRPr="002207BD">
        <w:rPr>
          <w:rFonts w:ascii="Palatino Linotype" w:hAnsi="Palatino Linotype" w:cs="Arial"/>
          <w:b/>
          <w:sz w:val="24"/>
          <w:szCs w:val="24"/>
        </w:rPr>
        <w:t>De la respuesta del Sujeto Obligado.</w:t>
      </w:r>
    </w:p>
    <w:p w:rsidR="006951F2" w:rsidRDefault="001F079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En el expediente electrónico formado en el sistema </w:t>
      </w:r>
      <w:r w:rsidRPr="002207BD">
        <w:rPr>
          <w:rFonts w:ascii="Palatino Linotype" w:hAnsi="Palatino Linotype" w:cs="Arial"/>
          <w:b/>
          <w:sz w:val="24"/>
          <w:szCs w:val="24"/>
        </w:rPr>
        <w:t>SAIMEX</w:t>
      </w:r>
      <w:r w:rsidRPr="002207BD">
        <w:rPr>
          <w:rFonts w:ascii="Palatino Linotype" w:hAnsi="Palatino Linotype" w:cs="Arial"/>
          <w:sz w:val="24"/>
          <w:szCs w:val="24"/>
        </w:rPr>
        <w:t>, se aprecia que e</w:t>
      </w:r>
      <w:r w:rsidR="00970B3D">
        <w:rPr>
          <w:rFonts w:ascii="Palatino Linotype" w:hAnsi="Palatino Linotype" w:cs="Arial"/>
          <w:sz w:val="24"/>
          <w:szCs w:val="24"/>
        </w:rPr>
        <w:t xml:space="preserve">l </w:t>
      </w:r>
      <w:r w:rsidR="00F2399C">
        <w:rPr>
          <w:rFonts w:ascii="Palatino Linotype" w:hAnsi="Palatino Linotype" w:cs="Arial"/>
          <w:sz w:val="24"/>
          <w:szCs w:val="24"/>
        </w:rPr>
        <w:t>diecisiete</w:t>
      </w:r>
      <w:r w:rsidR="006951F2">
        <w:rPr>
          <w:rFonts w:ascii="Palatino Linotype" w:hAnsi="Palatino Linotype" w:cs="Arial"/>
          <w:sz w:val="24"/>
          <w:szCs w:val="24"/>
        </w:rPr>
        <w:t xml:space="preserve"> de </w:t>
      </w:r>
      <w:r w:rsidR="007D3FAC">
        <w:rPr>
          <w:rFonts w:ascii="Palatino Linotype" w:hAnsi="Palatino Linotype" w:cs="Arial"/>
          <w:sz w:val="24"/>
          <w:szCs w:val="24"/>
        </w:rPr>
        <w:t>septiembre</w:t>
      </w:r>
      <w:r w:rsidR="006951F2">
        <w:rPr>
          <w:rFonts w:ascii="Palatino Linotype" w:hAnsi="Palatino Linotype" w:cs="Arial"/>
          <w:sz w:val="24"/>
          <w:szCs w:val="24"/>
        </w:rPr>
        <w:t xml:space="preserve"> </w:t>
      </w:r>
      <w:r w:rsidRPr="002207BD">
        <w:rPr>
          <w:rFonts w:ascii="Palatino Linotype" w:hAnsi="Palatino Linotype" w:cs="Arial"/>
          <w:sz w:val="24"/>
          <w:szCs w:val="24"/>
        </w:rPr>
        <w:t xml:space="preserve">de dos mil dieciocho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6951F2">
        <w:rPr>
          <w:rFonts w:ascii="Palatino Linotype" w:hAnsi="Palatino Linotype" w:cs="Arial"/>
          <w:sz w:val="24"/>
          <w:szCs w:val="24"/>
        </w:rPr>
        <w:t>remitió la siguiente respuesta:</w:t>
      </w:r>
    </w:p>
    <w:tbl>
      <w:tblPr>
        <w:tblW w:w="7931" w:type="dxa"/>
        <w:jc w:val="center"/>
        <w:tblCellSpacing w:w="0" w:type="dxa"/>
        <w:tblCellMar>
          <w:left w:w="0" w:type="dxa"/>
          <w:right w:w="0" w:type="dxa"/>
        </w:tblCellMar>
        <w:tblLook w:val="04A0" w:firstRow="1" w:lastRow="0" w:firstColumn="1" w:lastColumn="0" w:noHBand="0" w:noVBand="1"/>
      </w:tblPr>
      <w:tblGrid>
        <w:gridCol w:w="7931"/>
      </w:tblGrid>
      <w:tr w:rsidR="00F2399C" w:rsidRPr="00F3197E" w:rsidTr="00F3197E">
        <w:trPr>
          <w:trHeight w:val="300"/>
          <w:tblCellSpacing w:w="0" w:type="dxa"/>
          <w:jc w:val="center"/>
        </w:trPr>
        <w:tc>
          <w:tcPr>
            <w:tcW w:w="7931" w:type="dxa"/>
            <w:vAlign w:val="center"/>
            <w:hideMark/>
          </w:tcPr>
          <w:p w:rsidR="00F2399C" w:rsidRPr="00F3197E" w:rsidRDefault="00F3197E" w:rsidP="00F3197E">
            <w:pPr>
              <w:spacing w:before="120" w:after="120" w:line="240" w:lineRule="auto"/>
              <w:jc w:val="right"/>
              <w:rPr>
                <w:rFonts w:ascii="Palatino Linotype" w:hAnsi="Palatino Linotype" w:cs="Arial"/>
                <w:i/>
                <w:sz w:val="24"/>
                <w:szCs w:val="24"/>
              </w:rPr>
            </w:pPr>
            <w:r>
              <w:rPr>
                <w:rFonts w:ascii="Palatino Linotype" w:hAnsi="Palatino Linotype" w:cs="Arial"/>
                <w:i/>
                <w:sz w:val="24"/>
                <w:szCs w:val="24"/>
              </w:rPr>
              <w:t>“</w:t>
            </w:r>
            <w:r w:rsidR="00F2399C" w:rsidRPr="00F3197E">
              <w:rPr>
                <w:rFonts w:ascii="Palatino Linotype" w:hAnsi="Palatino Linotype" w:cs="Arial"/>
                <w:i/>
                <w:sz w:val="24"/>
                <w:szCs w:val="24"/>
              </w:rPr>
              <w:t>Cuautitlán Izcalli, México a 17 de Septiembre de 2018</w:t>
            </w:r>
          </w:p>
        </w:tc>
      </w:tr>
      <w:tr w:rsidR="00F2399C" w:rsidRPr="00F3197E" w:rsidTr="00F3197E">
        <w:trPr>
          <w:trHeight w:val="300"/>
          <w:tblCellSpacing w:w="0" w:type="dxa"/>
          <w:jc w:val="center"/>
        </w:trPr>
        <w:tc>
          <w:tcPr>
            <w:tcW w:w="7931" w:type="dxa"/>
            <w:vAlign w:val="center"/>
            <w:hideMark/>
          </w:tcPr>
          <w:p w:rsidR="00F2399C" w:rsidRPr="00F3197E" w:rsidRDefault="00F2399C" w:rsidP="008A13C8">
            <w:pPr>
              <w:spacing w:before="120" w:after="120" w:line="240" w:lineRule="auto"/>
              <w:jc w:val="right"/>
              <w:rPr>
                <w:rFonts w:ascii="Palatino Linotype" w:hAnsi="Palatino Linotype" w:cs="Arial"/>
                <w:i/>
                <w:sz w:val="24"/>
                <w:szCs w:val="24"/>
              </w:rPr>
            </w:pPr>
            <w:r w:rsidRPr="00F3197E">
              <w:rPr>
                <w:rFonts w:ascii="Palatino Linotype" w:hAnsi="Palatino Linotype" w:cs="Arial"/>
                <w:i/>
                <w:sz w:val="24"/>
                <w:szCs w:val="24"/>
              </w:rPr>
              <w:t xml:space="preserve">Nombre del solicitante: </w:t>
            </w:r>
            <w:r w:rsidR="008A13C8">
              <w:rPr>
                <w:rFonts w:ascii="Palatino Linotype" w:hAnsi="Palatino Linotype" w:cs="Arial"/>
                <w:i/>
                <w:sz w:val="24"/>
                <w:szCs w:val="24"/>
              </w:rPr>
              <w:t>XXXXXXXXXXXXXXX</w:t>
            </w:r>
          </w:p>
        </w:tc>
      </w:tr>
      <w:tr w:rsidR="00F2399C" w:rsidRPr="00F3197E" w:rsidTr="00F3197E">
        <w:trPr>
          <w:trHeight w:val="300"/>
          <w:tblCellSpacing w:w="0" w:type="dxa"/>
          <w:jc w:val="center"/>
        </w:trPr>
        <w:tc>
          <w:tcPr>
            <w:tcW w:w="7931" w:type="dxa"/>
            <w:vAlign w:val="center"/>
            <w:hideMark/>
          </w:tcPr>
          <w:p w:rsidR="00F2399C" w:rsidRPr="00F3197E" w:rsidRDefault="00F2399C" w:rsidP="00F3197E">
            <w:pPr>
              <w:spacing w:before="120" w:after="120" w:line="240" w:lineRule="auto"/>
              <w:jc w:val="right"/>
              <w:rPr>
                <w:rFonts w:ascii="Palatino Linotype" w:hAnsi="Palatino Linotype" w:cs="Arial"/>
                <w:i/>
                <w:sz w:val="24"/>
                <w:szCs w:val="24"/>
              </w:rPr>
            </w:pPr>
            <w:r w:rsidRPr="00F3197E">
              <w:rPr>
                <w:rFonts w:ascii="Palatino Linotype" w:hAnsi="Palatino Linotype" w:cs="Arial"/>
                <w:i/>
                <w:sz w:val="24"/>
                <w:szCs w:val="24"/>
              </w:rPr>
              <w:t>Folio de la solicitud: 00288/CUAUTIZC/IP/2018</w:t>
            </w:r>
          </w:p>
        </w:tc>
      </w:tr>
      <w:tr w:rsidR="00F2399C" w:rsidRPr="00F3197E" w:rsidTr="00F3197E">
        <w:trPr>
          <w:trHeight w:val="150"/>
          <w:tblCellSpacing w:w="0" w:type="dxa"/>
          <w:jc w:val="center"/>
        </w:trPr>
        <w:tc>
          <w:tcPr>
            <w:tcW w:w="7931" w:type="dxa"/>
            <w:vAlign w:val="center"/>
            <w:hideMark/>
          </w:tcPr>
          <w:p w:rsidR="00F2399C" w:rsidRPr="00F3197E" w:rsidRDefault="00F2399C" w:rsidP="00F2399C">
            <w:pPr>
              <w:spacing w:before="120" w:after="120" w:line="240" w:lineRule="auto"/>
              <w:jc w:val="both"/>
              <w:rPr>
                <w:rFonts w:ascii="Palatino Linotype" w:hAnsi="Palatino Linotype" w:cs="Arial"/>
                <w:i/>
                <w:sz w:val="24"/>
                <w:szCs w:val="24"/>
              </w:rPr>
            </w:pPr>
            <w:r w:rsidRPr="00F3197E">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2399C" w:rsidRPr="00F3197E" w:rsidTr="00F3197E">
        <w:trPr>
          <w:trHeight w:val="150"/>
          <w:tblCellSpacing w:w="0" w:type="dxa"/>
          <w:jc w:val="center"/>
        </w:trPr>
        <w:tc>
          <w:tcPr>
            <w:tcW w:w="7931" w:type="dxa"/>
            <w:vAlign w:val="center"/>
            <w:hideMark/>
          </w:tcPr>
          <w:p w:rsidR="00F2399C" w:rsidRPr="00F3197E" w:rsidRDefault="00F2399C" w:rsidP="00F2399C">
            <w:pPr>
              <w:spacing w:before="120" w:after="120" w:line="240" w:lineRule="auto"/>
              <w:jc w:val="both"/>
              <w:rPr>
                <w:rFonts w:ascii="Palatino Linotype" w:hAnsi="Palatino Linotype" w:cs="Arial"/>
                <w:i/>
                <w:sz w:val="24"/>
                <w:szCs w:val="24"/>
              </w:rPr>
            </w:pPr>
            <w:r w:rsidRPr="00F3197E">
              <w:rPr>
                <w:rFonts w:ascii="Palatino Linotype" w:hAnsi="Palatino Linotype" w:cs="Arial"/>
                <w:i/>
                <w:sz w:val="24"/>
                <w:szCs w:val="24"/>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w:t>
            </w:r>
            <w:r w:rsidRPr="00F3197E">
              <w:rPr>
                <w:rFonts w:ascii="Palatino Linotype" w:hAnsi="Palatino Linotype" w:cs="Arial"/>
                <w:i/>
                <w:sz w:val="24"/>
                <w:szCs w:val="24"/>
              </w:rPr>
              <w:lastRenderedPageBreak/>
              <w:t xml:space="preserve">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le informo la contestación que a su solicitud efectuó (1) Dirección General de Administración 1.- “En atención a la Solicitud de Información Pública marcada con el número de folio 00288/CUAUTIZC/IP/2018 turnada a través del Sistema SAIMEX a esta Unidad Administrativa, en la cual solicita la información siguiente: DESCRIPCIÓN DE LA INFORMACIÓN SOLICITADA: “solicito se me informe en versión pública las percepciones netas mensual del mes de Marzo, Abril y Mayo de 2018, de cada uno de los servidores públicos titulares de: Titular o Encargado de Despacho de la Comisaría General de Seguridad Pública y Tránsito (comisario), Titulares o Encargados de Despacho de las tres Coordinaciones, Titulares o Encargados de Despacho de las dos Direcciones, Titulares o Encargados de Despacho de los ocho Departamentos y Titulares o Encargados de Despacho de las dos Unidades, áreas adscritas a la Comisaría General de Seguridad Pública y Tránsito; conforme a su estructura orgánica señalada en su portal de IPOMEX artículo 92 fracción II A "estructura orgánica" ejercicio actual 2018; así como el soporte documental del mismo.” (sic). Al respecto me permito informar a Usted que la información pública requerida puede ser consultada en la siguiente dirección electrónica del Sistema de Información Pública Mexiquense (IPOMEX): https://www.ipomex.org.mx/ipo3/lgt/indice/cuautitlanizcalli/art_92_viii.web, ello en lo que respecta a la remuneración de los servidores públicos. Cabe hacer mención que la información le es proporcionada a través de la plataforma web antes mencionada, esto en virtud de haber sido está diseñada y puesta a disposición a todos los Sujetos Obligados por parte del Instituto de Transparencia, Acceso a la Información Pública y Protección de Datos Personales del Estado de México y Municipios para el cumplimiento de las obligaciones en materia de Transparencia Común, de entre las cuales se encuentra contemplada la información requerida en su solicitud; ahora bien, es obligación de los Sujetos Obligados, según lo contemplado en la Ley de la Materia, el fomentar, crear y hacer uso de sistemas de tecnología sistematizados y avanzados, y adoptar las nuevas herramientas para que los ciudadanos consulten información oficial de manera directa, sencilla y rápida. Por otra parte le informo que este Sujeto Obligado tiene la obligación de proporcionar a los particulares la información que estos requieran en </w:t>
            </w:r>
            <w:r w:rsidRPr="00F3197E">
              <w:rPr>
                <w:rFonts w:ascii="Palatino Linotype" w:hAnsi="Palatino Linotype" w:cs="Arial"/>
                <w:i/>
                <w:sz w:val="24"/>
                <w:szCs w:val="24"/>
              </w:rPr>
              <w:lastRenderedPageBreak/>
              <w:t>cumplimientos a sus derechos de acceso a la información pública, siempre y cuando esta no contemple el acceso a datos personales o información que encuadre en los supuestos señalados en la Ley de Protección de Datos Personales en Posesión de Sujetos Obligados del Estado de México y Municipios para ser clasificada como reservada o confidencial; no obstante, la obligación de proporcionar información no comprende el procesamiento de la misma, ni el presentarla conforme al interés del solicitante. Lo anterior con fundamento en el artículo 12, 24 fracciones IX, XVII y XXV, 36 fracción VIII y 92 fracciones II, VII y VIII de la Ley de Transparencia y Acceso a la Información Pública del Estado de México y Municipios. Sin otro particular por el momento, hago propicia la ocasión para enviarle un saludo cordial.”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tc>
      </w:tr>
      <w:tr w:rsidR="00F2399C" w:rsidRPr="00F3197E" w:rsidTr="00F3197E">
        <w:trPr>
          <w:trHeight w:val="150"/>
          <w:tblCellSpacing w:w="0" w:type="dxa"/>
          <w:jc w:val="center"/>
        </w:trPr>
        <w:tc>
          <w:tcPr>
            <w:tcW w:w="7931" w:type="dxa"/>
            <w:vAlign w:val="center"/>
            <w:hideMark/>
          </w:tcPr>
          <w:p w:rsidR="00F2399C" w:rsidRPr="00F3197E" w:rsidRDefault="00F2399C" w:rsidP="00F2399C">
            <w:pPr>
              <w:spacing w:before="120" w:after="120" w:line="240" w:lineRule="auto"/>
              <w:jc w:val="both"/>
              <w:rPr>
                <w:rFonts w:ascii="Palatino Linotype" w:hAnsi="Palatino Linotype" w:cs="Arial"/>
                <w:i/>
                <w:sz w:val="24"/>
                <w:szCs w:val="24"/>
              </w:rPr>
            </w:pPr>
            <w:r w:rsidRPr="00F3197E">
              <w:rPr>
                <w:rFonts w:ascii="Palatino Linotype" w:hAnsi="Palatino Linotype" w:cs="Arial"/>
                <w:i/>
                <w:sz w:val="24"/>
                <w:szCs w:val="24"/>
              </w:rPr>
              <w:lastRenderedPageBreak/>
              <w:t>ATENTAMENTE</w:t>
            </w:r>
          </w:p>
        </w:tc>
      </w:tr>
      <w:tr w:rsidR="00F2399C" w:rsidRPr="00F3197E" w:rsidTr="00F3197E">
        <w:trPr>
          <w:trHeight w:val="150"/>
          <w:tblCellSpacing w:w="0" w:type="dxa"/>
          <w:jc w:val="center"/>
        </w:trPr>
        <w:tc>
          <w:tcPr>
            <w:tcW w:w="7931" w:type="dxa"/>
            <w:vAlign w:val="center"/>
            <w:hideMark/>
          </w:tcPr>
          <w:p w:rsidR="00F2399C" w:rsidRPr="00F3197E" w:rsidRDefault="00F2399C" w:rsidP="00F2399C">
            <w:pPr>
              <w:spacing w:before="120" w:after="120" w:line="240" w:lineRule="auto"/>
              <w:jc w:val="both"/>
              <w:rPr>
                <w:rFonts w:ascii="Palatino Linotype" w:hAnsi="Palatino Linotype" w:cs="Arial"/>
                <w:i/>
                <w:sz w:val="24"/>
                <w:szCs w:val="24"/>
              </w:rPr>
            </w:pPr>
            <w:r w:rsidRPr="00F3197E">
              <w:rPr>
                <w:rFonts w:ascii="Palatino Linotype" w:hAnsi="Palatino Linotype" w:cs="Arial"/>
                <w:i/>
                <w:sz w:val="24"/>
                <w:szCs w:val="24"/>
              </w:rPr>
              <w:t>LIC. EDNA PAOLA RAUDA ARANDA</w:t>
            </w:r>
            <w:r w:rsidR="00F3197E">
              <w:rPr>
                <w:rFonts w:ascii="Palatino Linotype" w:hAnsi="Palatino Linotype" w:cs="Arial"/>
                <w:i/>
                <w:sz w:val="24"/>
                <w:szCs w:val="24"/>
              </w:rPr>
              <w:t>” (Sic)</w:t>
            </w:r>
          </w:p>
        </w:tc>
      </w:tr>
    </w:tbl>
    <w:p w:rsidR="0037776C" w:rsidRPr="008D68AD" w:rsidRDefault="008D68AD" w:rsidP="00F3197E">
      <w:pPr>
        <w:spacing w:before="240" w:after="240" w:line="360" w:lineRule="auto"/>
        <w:jc w:val="both"/>
        <w:rPr>
          <w:rFonts w:ascii="Palatino Linotype" w:hAnsi="Palatino Linotype" w:cs="Arial"/>
        </w:rPr>
      </w:pPr>
      <w:r>
        <w:rPr>
          <w:rFonts w:ascii="Palatino Linotype" w:hAnsi="Palatino Linotype" w:cs="Arial"/>
          <w:sz w:val="24"/>
          <w:szCs w:val="24"/>
        </w:rPr>
        <w:t xml:space="preserve">Adjuntando </w:t>
      </w:r>
      <w:r w:rsidR="00F3197E">
        <w:rPr>
          <w:rFonts w:ascii="Palatino Linotype" w:hAnsi="Palatino Linotype" w:cs="Arial"/>
          <w:sz w:val="24"/>
          <w:szCs w:val="24"/>
        </w:rPr>
        <w:t>e</w:t>
      </w:r>
      <w:r>
        <w:rPr>
          <w:rFonts w:ascii="Palatino Linotype" w:hAnsi="Palatino Linotype" w:cs="Arial"/>
          <w:sz w:val="24"/>
          <w:szCs w:val="24"/>
        </w:rPr>
        <w:t xml:space="preserve">l archivo electrónico </w:t>
      </w:r>
      <w:r w:rsidR="00C0666D">
        <w:rPr>
          <w:rFonts w:ascii="Palatino Linotype" w:hAnsi="Palatino Linotype" w:cs="Arial"/>
          <w:sz w:val="24"/>
          <w:szCs w:val="24"/>
        </w:rPr>
        <w:t xml:space="preserve">denominado </w:t>
      </w:r>
      <w:r w:rsidR="000866A2" w:rsidRPr="000866A2">
        <w:rPr>
          <w:rFonts w:ascii="Palatino Linotype" w:hAnsi="Palatino Linotype" w:cs="Arial"/>
          <w:b/>
          <w:sz w:val="24"/>
          <w:szCs w:val="24"/>
        </w:rPr>
        <w:t>“</w:t>
      </w:r>
      <w:r w:rsidR="00F3197E" w:rsidRPr="00F3197E">
        <w:rPr>
          <w:rFonts w:ascii="Palatino Linotype" w:hAnsi="Palatino Linotype" w:cs="Arial"/>
          <w:b/>
          <w:sz w:val="24"/>
          <w:szCs w:val="24"/>
        </w:rPr>
        <w:t>OF_0707.pdf</w:t>
      </w:r>
      <w:r w:rsidR="000866A2">
        <w:rPr>
          <w:rFonts w:ascii="Palatino Linotype" w:hAnsi="Palatino Linotype" w:cs="Arial"/>
          <w:b/>
          <w:i/>
          <w:color w:val="000000" w:themeColor="text1"/>
          <w:sz w:val="24"/>
          <w:szCs w:val="24"/>
        </w:rPr>
        <w:t>”</w:t>
      </w:r>
      <w:r w:rsidRPr="00F3197E">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w:t>
      </w:r>
      <w:r w:rsidR="00F3197E">
        <w:rPr>
          <w:rFonts w:ascii="Palatino Linotype" w:hAnsi="Palatino Linotype" w:cs="Arial"/>
          <w:color w:val="000000" w:themeColor="text1"/>
          <w:sz w:val="24"/>
          <w:szCs w:val="24"/>
        </w:rPr>
        <w:t>el cual no se inserta por ser de conocimientos de las partes</w:t>
      </w:r>
      <w:r w:rsidR="004D2218" w:rsidRPr="00577ACF">
        <w:rPr>
          <w:rStyle w:val="Hipervnculo"/>
          <w:rFonts w:ascii="Palatino Linotype" w:hAnsi="Palatino Linotype" w:cs="Arial"/>
          <w:bCs/>
          <w:color w:val="000000" w:themeColor="text1"/>
          <w:u w:val="none"/>
        </w:rPr>
        <w:t>.</w:t>
      </w:r>
    </w:p>
    <w:p w:rsidR="00FB50F5" w:rsidRDefault="00FB50F5" w:rsidP="002207BD">
      <w:pPr>
        <w:spacing w:before="240" w:after="240" w:line="360" w:lineRule="auto"/>
        <w:jc w:val="both"/>
        <w:rPr>
          <w:rFonts w:ascii="Palatino Linotype" w:hAnsi="Palatino Linotype" w:cs="Arial"/>
          <w:b/>
          <w:sz w:val="24"/>
          <w:szCs w:val="24"/>
        </w:rPr>
      </w:pPr>
    </w:p>
    <w:p w:rsidR="00076C8D" w:rsidRPr="002207BD" w:rsidRDefault="00382BCB" w:rsidP="002207BD">
      <w:pPr>
        <w:spacing w:before="240" w:after="240" w:line="360" w:lineRule="auto"/>
        <w:jc w:val="both"/>
        <w:rPr>
          <w:rFonts w:ascii="Palatino Linotype" w:hAnsi="Palatino Linotype"/>
          <w:b/>
          <w:sz w:val="24"/>
          <w:szCs w:val="24"/>
        </w:rPr>
      </w:pPr>
      <w:r>
        <w:rPr>
          <w:rFonts w:ascii="Palatino Linotype" w:hAnsi="Palatino Linotype" w:cs="Arial"/>
          <w:b/>
          <w:sz w:val="24"/>
          <w:szCs w:val="24"/>
        </w:rPr>
        <w:t>TERCERO</w:t>
      </w:r>
      <w:r w:rsidR="00076C8D" w:rsidRPr="002207BD">
        <w:rPr>
          <w:rFonts w:ascii="Palatino Linotype" w:hAnsi="Palatino Linotype" w:cs="Arial"/>
          <w:b/>
          <w:sz w:val="24"/>
          <w:szCs w:val="24"/>
        </w:rPr>
        <w:t xml:space="preserve">. </w:t>
      </w:r>
      <w:r w:rsidR="00076C8D" w:rsidRPr="002207BD">
        <w:rPr>
          <w:rFonts w:ascii="Palatino Linotype" w:hAnsi="Palatino Linotype"/>
          <w:b/>
          <w:sz w:val="24"/>
          <w:szCs w:val="24"/>
        </w:rPr>
        <w:t>Del recurso de revisión.</w:t>
      </w:r>
    </w:p>
    <w:p w:rsidR="00076C8D" w:rsidRPr="002207BD" w:rsidRDefault="00D2394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Inconforme con la respuesta notificada por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3C2B64"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en</w:t>
      </w:r>
      <w:r w:rsidR="00894047" w:rsidRPr="002207BD">
        <w:rPr>
          <w:rFonts w:ascii="Palatino Linotype" w:hAnsi="Palatino Linotype" w:cs="Arial"/>
          <w:sz w:val="24"/>
          <w:szCs w:val="24"/>
        </w:rPr>
        <w:t xml:space="preserve"> fecha </w:t>
      </w:r>
      <w:r w:rsidR="00F3197E">
        <w:rPr>
          <w:rFonts w:ascii="Palatino Linotype" w:hAnsi="Palatino Linotype" w:cs="Arial"/>
          <w:sz w:val="24"/>
          <w:szCs w:val="24"/>
        </w:rPr>
        <w:t>diecinueve</w:t>
      </w:r>
      <w:r w:rsidR="000866A2">
        <w:rPr>
          <w:rFonts w:ascii="Palatino Linotype" w:hAnsi="Palatino Linotype" w:cs="Arial"/>
          <w:sz w:val="24"/>
          <w:szCs w:val="24"/>
        </w:rPr>
        <w:t xml:space="preserve"> de </w:t>
      </w:r>
      <w:r w:rsidR="00382BCB">
        <w:rPr>
          <w:rFonts w:ascii="Palatino Linotype" w:hAnsi="Palatino Linotype" w:cs="Arial"/>
          <w:sz w:val="24"/>
          <w:szCs w:val="24"/>
        </w:rPr>
        <w:t>septiembre</w:t>
      </w:r>
      <w:r w:rsidR="000866A2">
        <w:rPr>
          <w:rFonts w:ascii="Palatino Linotype" w:hAnsi="Palatino Linotype" w:cs="Arial"/>
          <w:sz w:val="24"/>
          <w:szCs w:val="24"/>
        </w:rPr>
        <w:t xml:space="preserve"> </w:t>
      </w:r>
      <w:r w:rsidR="00FB50F5">
        <w:rPr>
          <w:rFonts w:ascii="Palatino Linotype" w:hAnsi="Palatino Linotype" w:cs="Arial"/>
          <w:sz w:val="24"/>
          <w:szCs w:val="24"/>
        </w:rPr>
        <w:t xml:space="preserve">del </w:t>
      </w:r>
      <w:r w:rsidR="00894047" w:rsidRPr="002207BD">
        <w:rPr>
          <w:rFonts w:ascii="Palatino Linotype" w:hAnsi="Palatino Linotype" w:cs="Arial"/>
          <w:sz w:val="24"/>
          <w:szCs w:val="24"/>
        </w:rPr>
        <w:t>año en curso</w:t>
      </w:r>
      <w:r w:rsidR="005230A8" w:rsidRPr="002207BD">
        <w:rPr>
          <w:rFonts w:ascii="Palatino Linotype" w:hAnsi="Palatino Linotype" w:cs="Arial"/>
          <w:sz w:val="24"/>
          <w:szCs w:val="24"/>
        </w:rPr>
        <w:t xml:space="preserve">, </w:t>
      </w:r>
      <w:r w:rsidR="00D5415F">
        <w:rPr>
          <w:rFonts w:ascii="Palatino Linotype" w:hAnsi="Palatino Linotype" w:cs="Arial"/>
          <w:sz w:val="24"/>
          <w:szCs w:val="24"/>
        </w:rPr>
        <w:t>e</w:t>
      </w:r>
      <w:r w:rsidR="003C2B64" w:rsidRPr="00162BD0">
        <w:rPr>
          <w:rFonts w:ascii="Palatino Linotype" w:hAnsi="Palatino Linotype" w:cs="Arial"/>
          <w:sz w:val="24"/>
          <w:szCs w:val="24"/>
        </w:rPr>
        <w:t>l</w:t>
      </w:r>
      <w:r w:rsidR="003C2B64" w:rsidRPr="002207BD">
        <w:rPr>
          <w:rFonts w:ascii="Palatino Linotype" w:hAnsi="Palatino Linotype" w:cs="Arial"/>
          <w:b/>
          <w:sz w:val="24"/>
          <w:szCs w:val="24"/>
        </w:rPr>
        <w:t xml:space="preserve"> Recurrente</w:t>
      </w:r>
      <w:r w:rsidR="005230A8" w:rsidRPr="002207BD">
        <w:rPr>
          <w:rFonts w:ascii="Palatino Linotype" w:hAnsi="Palatino Linotype" w:cs="Arial"/>
          <w:sz w:val="24"/>
          <w:szCs w:val="24"/>
        </w:rPr>
        <w:t xml:space="preserve"> </w:t>
      </w:r>
      <w:r w:rsidR="00076C8D" w:rsidRPr="002207BD">
        <w:rPr>
          <w:rFonts w:ascii="Palatino Linotype" w:hAnsi="Palatino Linotype" w:cs="Arial"/>
          <w:sz w:val="24"/>
          <w:szCs w:val="24"/>
        </w:rPr>
        <w:t xml:space="preserve">interpuso recurso de revisión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fue registrado en el </w:t>
      </w:r>
      <w:r w:rsidR="00076C8D" w:rsidRPr="002207BD">
        <w:rPr>
          <w:rFonts w:ascii="Palatino Linotype" w:hAnsi="Palatino Linotype" w:cs="Arial"/>
          <w:b/>
          <w:sz w:val="24"/>
          <w:szCs w:val="24"/>
        </w:rPr>
        <w:t>SAIMEX</w:t>
      </w:r>
      <w:r w:rsidR="00076C8D" w:rsidRPr="002207BD">
        <w:rPr>
          <w:rFonts w:ascii="Palatino Linotype" w:hAnsi="Palatino Linotype" w:cs="Arial"/>
          <w:sz w:val="24"/>
          <w:szCs w:val="24"/>
        </w:rPr>
        <w:t xml:space="preserve"> con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expediente número </w:t>
      </w:r>
      <w:r w:rsidR="00076C8D" w:rsidRPr="002207BD">
        <w:rPr>
          <w:rFonts w:ascii="Palatino Linotype" w:hAnsi="Palatino Linotype" w:cs="Arial"/>
          <w:b/>
          <w:sz w:val="24"/>
          <w:szCs w:val="24"/>
        </w:rPr>
        <w:t>0</w:t>
      </w:r>
      <w:r w:rsidR="0031291E">
        <w:rPr>
          <w:rFonts w:ascii="Palatino Linotype" w:hAnsi="Palatino Linotype" w:cs="Arial"/>
          <w:b/>
          <w:sz w:val="24"/>
          <w:szCs w:val="24"/>
        </w:rPr>
        <w:t>3</w:t>
      </w:r>
      <w:r w:rsidR="00F3197E">
        <w:rPr>
          <w:rFonts w:ascii="Palatino Linotype" w:hAnsi="Palatino Linotype" w:cs="Arial"/>
          <w:b/>
          <w:sz w:val="24"/>
          <w:szCs w:val="24"/>
        </w:rPr>
        <w:t>485</w:t>
      </w:r>
      <w:r w:rsidR="00076C8D" w:rsidRPr="002207BD">
        <w:rPr>
          <w:rFonts w:ascii="Palatino Linotype" w:hAnsi="Palatino Linotype" w:cs="Arial"/>
          <w:b/>
          <w:sz w:val="24"/>
          <w:szCs w:val="24"/>
        </w:rPr>
        <w:t>/INFOEM/IP/RR/201</w:t>
      </w:r>
      <w:r w:rsidR="00894047" w:rsidRPr="002207BD">
        <w:rPr>
          <w:rFonts w:ascii="Palatino Linotype" w:hAnsi="Palatino Linotype" w:cs="Arial"/>
          <w:b/>
          <w:sz w:val="24"/>
          <w:szCs w:val="24"/>
        </w:rPr>
        <w:t>8</w:t>
      </w:r>
      <w:r w:rsidR="00076C8D" w:rsidRPr="002207BD">
        <w:rPr>
          <w:rFonts w:ascii="Palatino Linotype" w:hAnsi="Palatino Linotype" w:cs="Arial"/>
          <w:sz w:val="24"/>
          <w:szCs w:val="24"/>
        </w:rPr>
        <w:t xml:space="preserve">, en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w:t>
      </w:r>
      <w:r w:rsidR="002B183F" w:rsidRPr="002207BD">
        <w:rPr>
          <w:rFonts w:ascii="Palatino Linotype" w:hAnsi="Palatino Linotype" w:cs="Arial"/>
          <w:sz w:val="24"/>
          <w:szCs w:val="24"/>
        </w:rPr>
        <w:t>manifiesta lo</w:t>
      </w:r>
      <w:r w:rsidR="00076C8D" w:rsidRPr="002207BD">
        <w:rPr>
          <w:rFonts w:ascii="Palatino Linotype" w:hAnsi="Palatino Linotype" w:cs="Arial"/>
          <w:sz w:val="24"/>
          <w:szCs w:val="24"/>
        </w:rPr>
        <w:t xml:space="preserve"> siguiente:</w:t>
      </w:r>
    </w:p>
    <w:p w:rsidR="00076C8D" w:rsidRPr="002207BD" w:rsidRDefault="00076C8D" w:rsidP="002207BD">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lastRenderedPageBreak/>
        <w:t>Acto Impugnado:</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F3197E" w:rsidRPr="00F3197E">
        <w:rPr>
          <w:rFonts w:ascii="Palatino Linotype" w:hAnsi="Palatino Linotype" w:cs="Arial"/>
          <w:i/>
          <w:sz w:val="24"/>
          <w:szCs w:val="24"/>
        </w:rPr>
        <w:t xml:space="preserve">1.- La respuesta proporcionada por el sujeto obligado "Ayuntamiento de Cuautitlán Izcalli" refirió que la información se encuentra en su portal de Transparencia (IPOMEX), por lo que al seguir la liga electrónica proporcionada en su respuesta "https://www.ipomex.org.mx/ipo3/lgt/indice/cuautitlanizcalli/art_92_viii.web" únicamente se encuentran datos del presidente Municipal y lo relativo al IMCUFIDE, por lo que la información solicitada no existe en su portal actualmente, que consistía en las percepciones netas mensuales del mes de Marzo, Abril y Mayo del año 2018 de diferentes servidores públicos adscritos a la Dirección de Seguridad Pública, descritos en mi folio 00288/CUAUTIZC/IP/2018. 2.- no proporcionaron el soporte documental de dicha información que se solicitó en versión pública. </w:t>
      </w:r>
      <w:r w:rsidRPr="002207BD">
        <w:rPr>
          <w:rFonts w:ascii="Palatino Linotype" w:hAnsi="Palatino Linotype" w:cs="Arial"/>
          <w:i/>
          <w:sz w:val="24"/>
          <w:szCs w:val="24"/>
        </w:rPr>
        <w:t>" [Sic]</w:t>
      </w:r>
    </w:p>
    <w:p w:rsidR="00F3197E" w:rsidRDefault="00F3197E" w:rsidP="002207BD">
      <w:pPr>
        <w:spacing w:before="240" w:after="240" w:line="360" w:lineRule="auto"/>
        <w:jc w:val="both"/>
        <w:rPr>
          <w:rFonts w:ascii="Palatino Linotype" w:hAnsi="Palatino Linotype" w:cs="Arial"/>
          <w:b/>
          <w:sz w:val="24"/>
          <w:szCs w:val="24"/>
        </w:rPr>
      </w:pP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Razones o Motivos de Inconformidad</w:t>
      </w:r>
      <w:r w:rsidRPr="002207BD">
        <w:rPr>
          <w:rFonts w:ascii="Palatino Linotype" w:hAnsi="Palatino Linotype" w:cs="Arial"/>
          <w:sz w:val="24"/>
          <w:szCs w:val="24"/>
        </w:rPr>
        <w:t xml:space="preserve">: </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F3197E" w:rsidRPr="00F3197E">
        <w:rPr>
          <w:rFonts w:ascii="Palatino Linotype" w:hAnsi="Palatino Linotype" w:cs="Arial"/>
          <w:i/>
          <w:sz w:val="24"/>
          <w:szCs w:val="24"/>
        </w:rPr>
        <w:t>Con fundamento en el artículo 179 fracciones I, V y XII de la Ley de Transparencia y Acceso a la Información Pública del Estado de México y Municipios, ya que la liga electrónica a la refirieron que se podría encontrar la información no cuenta con dicha información solicitada; asimismo, se solicitó el soporte documental en versión pública, misma que no fue proporcionada. Con fundamento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publicado en el Diario Oficial de la Federación en fecha 4 de mayo de 2016, la información se debe de publicar mínimo cada trimestre en los referente a la fracción VIII referente a las "remuneraciones"</w:t>
      </w:r>
      <w:r w:rsidRPr="002207BD">
        <w:rPr>
          <w:rFonts w:ascii="Palatino Linotype" w:hAnsi="Palatino Linotype" w:cs="Arial"/>
          <w:i/>
          <w:sz w:val="24"/>
          <w:szCs w:val="24"/>
        </w:rPr>
        <w:t>” [Sic]</w:t>
      </w:r>
    </w:p>
    <w:p w:rsidR="007A684A" w:rsidRPr="007A684A" w:rsidRDefault="007A684A" w:rsidP="007A684A">
      <w:pPr>
        <w:spacing w:before="240" w:after="240" w:line="360" w:lineRule="auto"/>
        <w:jc w:val="both"/>
        <w:rPr>
          <w:rFonts w:ascii="Palatino Linotype" w:hAnsi="Palatino Linotype" w:cs="Arial"/>
          <w:sz w:val="24"/>
          <w:szCs w:val="24"/>
        </w:rPr>
      </w:pPr>
    </w:p>
    <w:p w:rsidR="00076C8D" w:rsidRPr="002207BD" w:rsidRDefault="00382BCB" w:rsidP="002207BD">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lastRenderedPageBreak/>
        <w:t>CUARTO</w:t>
      </w:r>
      <w:r w:rsidR="00076C8D" w:rsidRPr="00755EC4">
        <w:rPr>
          <w:rFonts w:ascii="Palatino Linotype" w:hAnsi="Palatino Linotype" w:cs="Arial"/>
          <w:b/>
          <w:sz w:val="24"/>
          <w:szCs w:val="24"/>
        </w:rPr>
        <w:t>.</w:t>
      </w:r>
      <w:r w:rsidR="00076C8D" w:rsidRPr="002207BD">
        <w:rPr>
          <w:rFonts w:ascii="Palatino Linotype" w:hAnsi="Palatino Linotype" w:cs="Arial"/>
          <w:b/>
          <w:sz w:val="24"/>
          <w:szCs w:val="24"/>
        </w:rPr>
        <w:t xml:space="preserve"> Del turno del recurso de revisión.</w:t>
      </w:r>
    </w:p>
    <w:p w:rsidR="00076C8D" w:rsidRPr="002207BD" w:rsidRDefault="00927CA1"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El</w:t>
      </w:r>
      <w:r w:rsidR="00076C8D" w:rsidRPr="002207BD">
        <w:rPr>
          <w:rFonts w:ascii="Palatino Linotype" w:hAnsi="Palatino Linotype" w:cs="Arial"/>
          <w:b/>
          <w:sz w:val="24"/>
          <w:szCs w:val="24"/>
        </w:rPr>
        <w:t xml:space="preserve"> </w:t>
      </w:r>
      <w:r w:rsidR="00076C8D" w:rsidRPr="002207BD">
        <w:rPr>
          <w:rFonts w:ascii="Palatino Linotype" w:hAnsi="Palatino Linotype" w:cs="Arial"/>
          <w:sz w:val="24"/>
          <w:szCs w:val="24"/>
        </w:rPr>
        <w:t>medio de impugnación fue turnado a</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l</w:t>
      </w:r>
      <w:r w:rsidRPr="002207BD">
        <w:rPr>
          <w:rFonts w:ascii="Palatino Linotype" w:hAnsi="Palatino Linotype" w:cs="Arial"/>
          <w:sz w:val="24"/>
          <w:szCs w:val="24"/>
        </w:rPr>
        <w:t>a</w:t>
      </w:r>
      <w:r w:rsidR="00076C8D" w:rsidRPr="002207BD">
        <w:rPr>
          <w:rFonts w:ascii="Palatino Linotype" w:hAnsi="Palatino Linotype" w:cs="Arial"/>
          <w:sz w:val="24"/>
          <w:szCs w:val="24"/>
        </w:rPr>
        <w:t xml:space="preserve"> </w:t>
      </w:r>
      <w:r w:rsidR="00076C8D" w:rsidRPr="002207BD">
        <w:rPr>
          <w:rFonts w:ascii="Palatino Linotype" w:hAnsi="Palatino Linotype" w:cs="Arial"/>
          <w:b/>
          <w:sz w:val="24"/>
          <w:szCs w:val="24"/>
        </w:rPr>
        <w:t>Comisi</w:t>
      </w:r>
      <w:r w:rsidR="002B423F" w:rsidRPr="002207BD">
        <w:rPr>
          <w:rFonts w:ascii="Palatino Linotype" w:hAnsi="Palatino Linotype" w:cs="Arial"/>
          <w:b/>
          <w:sz w:val="24"/>
          <w:szCs w:val="24"/>
        </w:rPr>
        <w:t>onad</w:t>
      </w:r>
      <w:r w:rsidRPr="002207BD">
        <w:rPr>
          <w:rFonts w:ascii="Palatino Linotype" w:hAnsi="Palatino Linotype" w:cs="Arial"/>
          <w:b/>
          <w:sz w:val="24"/>
          <w:szCs w:val="24"/>
        </w:rPr>
        <w:t>a</w:t>
      </w:r>
      <w:r w:rsidR="002B423F" w:rsidRPr="002207BD">
        <w:rPr>
          <w:rFonts w:ascii="Palatino Linotype" w:hAnsi="Palatino Linotype" w:cs="Arial"/>
          <w:b/>
          <w:sz w:val="24"/>
          <w:szCs w:val="24"/>
        </w:rPr>
        <w:t xml:space="preserve"> Zulema Martínez Sánchez</w:t>
      </w:r>
      <w:r w:rsidR="00076C8D" w:rsidRPr="002207BD">
        <w:rPr>
          <w:rFonts w:ascii="Palatino Linotype" w:hAnsi="Palatino Linotype" w:cs="Arial"/>
          <w:sz w:val="24"/>
          <w:szCs w:val="24"/>
        </w:rPr>
        <w:t>, en términos del arábigo 185 fracción I de la Ley de Transparencia y Acceso a la Información Pública del Estado de México y Municipios</w:t>
      </w:r>
      <w:r w:rsidR="00F3197E">
        <w:rPr>
          <w:rFonts w:ascii="Palatino Linotype" w:hAnsi="Palatino Linotype" w:cs="Arial"/>
          <w:sz w:val="24"/>
          <w:szCs w:val="24"/>
        </w:rPr>
        <w:t>,</w:t>
      </w:r>
      <w:r w:rsidR="00076C8D" w:rsidRPr="002207BD">
        <w:rPr>
          <w:rFonts w:ascii="Palatino Linotype" w:hAnsi="Palatino Linotype" w:cs="Arial"/>
          <w:sz w:val="24"/>
          <w:szCs w:val="24"/>
        </w:rPr>
        <w:t xml:space="preserve"> mismo que en fecha </w:t>
      </w:r>
      <w:r w:rsidR="00EC6CC9">
        <w:rPr>
          <w:rFonts w:ascii="Palatino Linotype" w:hAnsi="Palatino Linotype" w:cs="Arial"/>
          <w:sz w:val="24"/>
          <w:szCs w:val="24"/>
        </w:rPr>
        <w:t>veinticinco</w:t>
      </w:r>
      <w:r w:rsidR="00755EC4">
        <w:rPr>
          <w:rFonts w:ascii="Palatino Linotype" w:hAnsi="Palatino Linotype" w:cs="Arial"/>
          <w:sz w:val="24"/>
          <w:szCs w:val="24"/>
        </w:rPr>
        <w:t xml:space="preserve"> </w:t>
      </w:r>
      <w:r w:rsidR="00FB50F5">
        <w:rPr>
          <w:rFonts w:ascii="Palatino Linotype" w:hAnsi="Palatino Linotype" w:cs="Arial"/>
          <w:sz w:val="24"/>
          <w:szCs w:val="24"/>
        </w:rPr>
        <w:t xml:space="preserve">de </w:t>
      </w:r>
      <w:r w:rsidR="00755EC4">
        <w:rPr>
          <w:rFonts w:ascii="Palatino Linotype" w:hAnsi="Palatino Linotype" w:cs="Arial"/>
          <w:sz w:val="24"/>
          <w:szCs w:val="24"/>
        </w:rPr>
        <w:t>septiembre</w:t>
      </w:r>
      <w:r w:rsidR="00076C8D" w:rsidRPr="002207BD">
        <w:rPr>
          <w:rFonts w:ascii="Palatino Linotype" w:hAnsi="Palatino Linotype" w:cs="Arial"/>
          <w:sz w:val="24"/>
          <w:szCs w:val="24"/>
        </w:rPr>
        <w:t xml:space="preserve"> </w:t>
      </w:r>
      <w:r w:rsidR="00FB50F5">
        <w:rPr>
          <w:rFonts w:ascii="Palatino Linotype" w:hAnsi="Palatino Linotype" w:cs="Arial"/>
          <w:sz w:val="24"/>
          <w:szCs w:val="24"/>
        </w:rPr>
        <w:t>de</w:t>
      </w:r>
      <w:r w:rsidR="00076C8D" w:rsidRPr="002207BD">
        <w:rPr>
          <w:rFonts w:ascii="Palatino Linotype" w:hAnsi="Palatino Linotype" w:cs="Arial"/>
          <w:sz w:val="24"/>
          <w:szCs w:val="24"/>
        </w:rPr>
        <w:t xml:space="preserve"> dos mil dieci</w:t>
      </w:r>
      <w:r w:rsidR="004116DA" w:rsidRPr="002207BD">
        <w:rPr>
          <w:rFonts w:ascii="Palatino Linotype" w:hAnsi="Palatino Linotype" w:cs="Arial"/>
          <w:sz w:val="24"/>
          <w:szCs w:val="24"/>
        </w:rPr>
        <w:t>ocho</w:t>
      </w:r>
      <w:r w:rsidR="00076C8D" w:rsidRPr="002207BD">
        <w:rPr>
          <w:rFonts w:ascii="Palatino Linotype" w:hAnsi="Palatino Linotype" w:cs="Arial"/>
          <w:sz w:val="24"/>
          <w:szCs w:val="24"/>
        </w:rPr>
        <w:t xml:space="preserve"> se admiti</w:t>
      </w:r>
      <w:r w:rsidR="004116DA" w:rsidRPr="002207BD">
        <w:rPr>
          <w:rFonts w:ascii="Palatino Linotype" w:hAnsi="Palatino Linotype" w:cs="Arial"/>
          <w:sz w:val="24"/>
          <w:szCs w:val="24"/>
        </w:rPr>
        <w:t>ó</w:t>
      </w:r>
      <w:r w:rsidR="00076C8D" w:rsidRPr="002207BD">
        <w:rPr>
          <w:rFonts w:ascii="Palatino Linotype" w:hAnsi="Palatino Linotype" w:cs="Arial"/>
          <w:sz w:val="24"/>
          <w:szCs w:val="24"/>
        </w:rPr>
        <w:t xml:space="preserve"> en la vía interpuesta, poniendo </w:t>
      </w:r>
      <w:r w:rsidR="004116DA" w:rsidRPr="002207BD">
        <w:rPr>
          <w:rFonts w:ascii="Palatino Linotype" w:hAnsi="Palatino Linotype" w:cs="Arial"/>
          <w:sz w:val="24"/>
          <w:szCs w:val="24"/>
        </w:rPr>
        <w:t>e</w:t>
      </w:r>
      <w:r w:rsidR="00076C8D" w:rsidRPr="002207BD">
        <w:rPr>
          <w:rFonts w:ascii="Palatino Linotype" w:hAnsi="Palatino Linotype" w:cs="Arial"/>
          <w:sz w:val="24"/>
          <w:szCs w:val="24"/>
        </w:rPr>
        <w:t>l expediente a disposición de las partes para que en un plazo máximo de siete días, manifestaran lo que a su derecho corresponda</w:t>
      </w:r>
      <w:r w:rsidR="00A105CD">
        <w:rPr>
          <w:rFonts w:ascii="Palatino Linotype" w:hAnsi="Palatino Linotype" w:cs="Arial"/>
          <w:sz w:val="24"/>
          <w:szCs w:val="24"/>
        </w:rPr>
        <w:t>,</w:t>
      </w:r>
      <w:r w:rsidR="00076C8D" w:rsidRPr="002207BD">
        <w:rPr>
          <w:rFonts w:ascii="Palatino Linotype" w:hAnsi="Palatino Linotype" w:cs="Arial"/>
          <w:sz w:val="24"/>
          <w:szCs w:val="24"/>
        </w:rPr>
        <w:t xml:space="preserve"> ofrecer pruebas, informe justificado y presentar alegatos, con fundamento en el artículo 185 fracciones I, II y IV de la Ley de Transparencia y Acceso a la Información Pública del Estado de México y Municipios.</w:t>
      </w:r>
    </w:p>
    <w:p w:rsidR="00B40BB3" w:rsidRPr="002207BD" w:rsidRDefault="00B40BB3" w:rsidP="002207BD">
      <w:pPr>
        <w:spacing w:before="240" w:after="240" w:line="360" w:lineRule="auto"/>
        <w:jc w:val="both"/>
        <w:rPr>
          <w:rFonts w:ascii="Palatino Linotype" w:hAnsi="Palatino Linotype" w:cs="Arial"/>
          <w:b/>
          <w:sz w:val="24"/>
          <w:szCs w:val="24"/>
        </w:rPr>
      </w:pPr>
    </w:p>
    <w:p w:rsidR="00401D13" w:rsidRPr="002207BD" w:rsidRDefault="00382BCB" w:rsidP="004E2ECF">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QUINTO</w:t>
      </w:r>
      <w:r w:rsidR="00401D13" w:rsidRPr="002207BD">
        <w:rPr>
          <w:rFonts w:ascii="Palatino Linotype" w:hAnsi="Palatino Linotype" w:cs="Arial"/>
          <w:b/>
          <w:sz w:val="24"/>
          <w:szCs w:val="24"/>
        </w:rPr>
        <w:t>.</w:t>
      </w:r>
      <w:r>
        <w:rPr>
          <w:rFonts w:ascii="Palatino Linotype" w:hAnsi="Palatino Linotype" w:cs="Arial"/>
          <w:b/>
          <w:sz w:val="24"/>
          <w:szCs w:val="24"/>
        </w:rPr>
        <w:t xml:space="preserve"> </w:t>
      </w:r>
      <w:r w:rsidR="00401D13" w:rsidRPr="002207BD">
        <w:rPr>
          <w:rFonts w:ascii="Palatino Linotype" w:hAnsi="Palatino Linotype" w:cs="Arial"/>
          <w:b/>
          <w:sz w:val="24"/>
          <w:szCs w:val="24"/>
        </w:rPr>
        <w:t>De la etapa de instrucción.</w:t>
      </w:r>
    </w:p>
    <w:p w:rsidR="008F3BC9" w:rsidRDefault="00382BCB" w:rsidP="008623E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C</w:t>
      </w:r>
      <w:r w:rsidR="00970B3D">
        <w:rPr>
          <w:rFonts w:ascii="Palatino Linotype" w:hAnsi="Palatino Linotype" w:cs="Arial"/>
          <w:sz w:val="24"/>
          <w:szCs w:val="24"/>
        </w:rPr>
        <w:t xml:space="preserve">omo se puede apreciar en la siguiente imagen, </w:t>
      </w:r>
      <w:r w:rsidR="00401D13" w:rsidRPr="002207BD">
        <w:rPr>
          <w:rFonts w:ascii="Palatino Linotype" w:hAnsi="Palatino Linotype" w:cs="Arial"/>
          <w:sz w:val="24"/>
          <w:szCs w:val="24"/>
        </w:rPr>
        <w:t>se advierte que el</w:t>
      </w:r>
      <w:r w:rsidR="00401D13" w:rsidRPr="002207BD">
        <w:rPr>
          <w:rFonts w:ascii="Palatino Linotype" w:hAnsi="Palatino Linotype" w:cs="Arial"/>
          <w:b/>
          <w:sz w:val="24"/>
          <w:szCs w:val="24"/>
        </w:rPr>
        <w:t xml:space="preserve"> Sujeto Obligado</w:t>
      </w:r>
      <w:r w:rsidR="008777A9">
        <w:rPr>
          <w:rFonts w:ascii="Palatino Linotype" w:hAnsi="Palatino Linotype" w:cs="Arial"/>
          <w:b/>
          <w:sz w:val="24"/>
          <w:szCs w:val="24"/>
        </w:rPr>
        <w:t xml:space="preserve"> </w:t>
      </w:r>
      <w:r>
        <w:rPr>
          <w:rFonts w:ascii="Palatino Linotype" w:hAnsi="Palatino Linotype" w:cs="Arial"/>
          <w:sz w:val="24"/>
          <w:szCs w:val="24"/>
        </w:rPr>
        <w:t>p</w:t>
      </w:r>
      <w:r w:rsidR="008777A9">
        <w:rPr>
          <w:rFonts w:ascii="Palatino Linotype" w:hAnsi="Palatino Linotype" w:cs="Arial"/>
          <w:sz w:val="24"/>
          <w:szCs w:val="24"/>
        </w:rPr>
        <w:t>resentó su informe justificado</w:t>
      </w:r>
      <w:r w:rsidR="00EC6CC9">
        <w:rPr>
          <w:rFonts w:ascii="Palatino Linotype" w:hAnsi="Palatino Linotype" w:cs="Arial"/>
          <w:sz w:val="24"/>
          <w:szCs w:val="24"/>
        </w:rPr>
        <w:t xml:space="preserve"> el cuatro de octubre del presente año</w:t>
      </w:r>
      <w:r w:rsidR="00BC02B7">
        <w:rPr>
          <w:rFonts w:ascii="Palatino Linotype" w:hAnsi="Palatino Linotype" w:cs="Arial"/>
          <w:sz w:val="24"/>
          <w:szCs w:val="24"/>
        </w:rPr>
        <w:t xml:space="preserve">, el cual conirma la respuesta inicial; no obstante, en aras de generar certeza en el presente procedimiento, </w:t>
      </w:r>
      <w:r w:rsidR="00EC6CC9">
        <w:rPr>
          <w:rFonts w:ascii="Palatino Linotype" w:hAnsi="Palatino Linotype" w:cs="Arial"/>
          <w:color w:val="000000" w:themeColor="text1"/>
          <w:sz w:val="24"/>
          <w:szCs w:val="24"/>
        </w:rPr>
        <w:t xml:space="preserve">se puso a la vista del </w:t>
      </w:r>
      <w:r w:rsidR="00EC6CC9" w:rsidRPr="00BC02B7">
        <w:rPr>
          <w:rFonts w:ascii="Palatino Linotype" w:hAnsi="Palatino Linotype" w:cs="Arial"/>
          <w:b/>
          <w:color w:val="000000" w:themeColor="text1"/>
          <w:sz w:val="24"/>
          <w:szCs w:val="24"/>
        </w:rPr>
        <w:t>Recurrente</w:t>
      </w:r>
      <w:r w:rsidR="00EC6CC9">
        <w:rPr>
          <w:rFonts w:ascii="Palatino Linotype" w:hAnsi="Palatino Linotype" w:cs="Arial"/>
          <w:color w:val="000000" w:themeColor="text1"/>
          <w:sz w:val="24"/>
          <w:szCs w:val="24"/>
        </w:rPr>
        <w:t xml:space="preserve"> para que manifestada lo que a su derecho con</w:t>
      </w:r>
      <w:r w:rsidR="00EC6CC9">
        <w:rPr>
          <w:rFonts w:ascii="Palatino Linotype" w:hAnsi="Palatino Linotype" w:cs="Arial"/>
          <w:sz w:val="24"/>
          <w:szCs w:val="24"/>
        </w:rPr>
        <w:t>venga; asi</w:t>
      </w:r>
      <w:r>
        <w:rPr>
          <w:rFonts w:ascii="Palatino Linotype" w:hAnsi="Palatino Linotype" w:cs="Arial"/>
          <w:sz w:val="24"/>
          <w:szCs w:val="24"/>
        </w:rPr>
        <w:t>mismo,</w:t>
      </w:r>
      <w:r w:rsidR="005D4A99">
        <w:rPr>
          <w:rFonts w:ascii="Palatino Linotype" w:hAnsi="Palatino Linotype" w:cs="Arial"/>
          <w:sz w:val="24"/>
          <w:szCs w:val="24"/>
        </w:rPr>
        <w:t xml:space="preserve"> </w:t>
      </w:r>
      <w:r w:rsidR="00BC02B7">
        <w:rPr>
          <w:rFonts w:ascii="Palatino Linotype" w:hAnsi="Palatino Linotype" w:cs="Arial"/>
          <w:sz w:val="24"/>
          <w:szCs w:val="24"/>
        </w:rPr>
        <w:t>éste</w:t>
      </w:r>
      <w:r w:rsidR="008777A9">
        <w:rPr>
          <w:rFonts w:ascii="Palatino Linotype" w:hAnsi="Palatino Linotype" w:cs="Arial"/>
          <w:sz w:val="24"/>
          <w:szCs w:val="24"/>
        </w:rPr>
        <w:t xml:space="preserve"> </w:t>
      </w:r>
      <w:r>
        <w:rPr>
          <w:rFonts w:ascii="Palatino Linotype" w:hAnsi="Palatino Linotype" w:cs="Arial"/>
          <w:sz w:val="24"/>
          <w:szCs w:val="24"/>
        </w:rPr>
        <w:t xml:space="preserve">fue omiso en </w:t>
      </w:r>
      <w:r w:rsidR="00A63003">
        <w:rPr>
          <w:rFonts w:ascii="Palatino Linotype" w:hAnsi="Palatino Linotype" w:cs="Arial"/>
          <w:sz w:val="24"/>
          <w:szCs w:val="24"/>
        </w:rPr>
        <w:t>present</w:t>
      </w:r>
      <w:r>
        <w:rPr>
          <w:rFonts w:ascii="Palatino Linotype" w:hAnsi="Palatino Linotype" w:cs="Arial"/>
          <w:sz w:val="24"/>
          <w:szCs w:val="24"/>
        </w:rPr>
        <w:t>ar</w:t>
      </w:r>
      <w:r w:rsidR="00A63003">
        <w:rPr>
          <w:rFonts w:ascii="Palatino Linotype" w:hAnsi="Palatino Linotype" w:cs="Arial"/>
          <w:sz w:val="24"/>
          <w:szCs w:val="24"/>
        </w:rPr>
        <w:t xml:space="preserve"> manifestaciones</w:t>
      </w:r>
      <w:r w:rsidR="008623E3">
        <w:rPr>
          <w:rFonts w:ascii="Palatino Linotype" w:hAnsi="Palatino Linotype" w:cs="Arial"/>
          <w:sz w:val="24"/>
          <w:szCs w:val="24"/>
        </w:rPr>
        <w:t>.</w:t>
      </w:r>
    </w:p>
    <w:p w:rsidR="00382BCB" w:rsidRDefault="00122C17" w:rsidP="00122C17">
      <w:pPr>
        <w:spacing w:before="240" w:after="240" w:line="360" w:lineRule="auto"/>
        <w:ind w:firstLine="567"/>
        <w:jc w:val="both"/>
        <w:rPr>
          <w:rFonts w:ascii="Palatino Linotype" w:hAnsi="Palatino Linotype" w:cs="Arial"/>
          <w:sz w:val="24"/>
          <w:szCs w:val="24"/>
        </w:rPr>
      </w:pPr>
      <w:r>
        <w:rPr>
          <w:noProof/>
          <w:lang w:eastAsia="es-MX"/>
        </w:rPr>
        <w:lastRenderedPageBreak/>
        <w:drawing>
          <wp:inline distT="0" distB="0" distL="0" distR="0" wp14:anchorId="7AC5678D" wp14:editId="19D63DF0">
            <wp:extent cx="4791075" cy="29944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20" t="29266" r="24916" b="13995"/>
                    <a:stretch/>
                  </pic:blipFill>
                  <pic:spPr bwMode="auto">
                    <a:xfrm>
                      <a:off x="0" y="0"/>
                      <a:ext cx="4798998" cy="2999374"/>
                    </a:xfrm>
                    <a:prstGeom prst="rect">
                      <a:avLst/>
                    </a:prstGeom>
                    <a:ln>
                      <a:noFill/>
                    </a:ln>
                    <a:extLst>
                      <a:ext uri="{53640926-AAD7-44D8-BBD7-CCE9431645EC}">
                        <a14:shadowObscured xmlns:a14="http://schemas.microsoft.com/office/drawing/2010/main"/>
                      </a:ext>
                    </a:extLst>
                  </pic:spPr>
                </pic:pic>
              </a:graphicData>
            </a:graphic>
          </wp:inline>
        </w:drawing>
      </w:r>
    </w:p>
    <w:p w:rsidR="009A55D6" w:rsidRDefault="009A55D6" w:rsidP="002207BD">
      <w:pPr>
        <w:spacing w:before="240" w:after="240" w:line="360" w:lineRule="auto"/>
        <w:jc w:val="both"/>
        <w:rPr>
          <w:rFonts w:ascii="Palatino Linotype" w:hAnsi="Palatino Linotype" w:cs="Arial"/>
          <w:b/>
          <w:sz w:val="24"/>
          <w:szCs w:val="24"/>
        </w:rPr>
      </w:pPr>
    </w:p>
    <w:p w:rsidR="00C44DA8" w:rsidRDefault="00C44DA8" w:rsidP="002207BD">
      <w:pPr>
        <w:spacing w:before="240" w:after="240" w:line="360" w:lineRule="auto"/>
        <w:jc w:val="both"/>
        <w:rPr>
          <w:rFonts w:ascii="Palatino Linotype" w:hAnsi="Palatino Linotype" w:cs="Arial"/>
          <w:sz w:val="24"/>
          <w:szCs w:val="24"/>
        </w:rPr>
      </w:pPr>
      <w:r w:rsidRPr="00C44DA8">
        <w:rPr>
          <w:rFonts w:ascii="Palatino Linotype" w:hAnsi="Palatino Linotype" w:cs="Arial"/>
          <w:b/>
          <w:sz w:val="24"/>
          <w:szCs w:val="24"/>
        </w:rPr>
        <w:t>S</w:t>
      </w:r>
      <w:r w:rsidR="00382BCB">
        <w:rPr>
          <w:rFonts w:ascii="Palatino Linotype" w:hAnsi="Palatino Linotype" w:cs="Arial"/>
          <w:b/>
          <w:sz w:val="24"/>
          <w:szCs w:val="24"/>
        </w:rPr>
        <w:t>EXTO</w:t>
      </w:r>
      <w:r w:rsidRPr="00C44DA8">
        <w:rPr>
          <w:rFonts w:ascii="Palatino Linotype" w:hAnsi="Palatino Linotype" w:cs="Arial"/>
          <w:b/>
          <w:sz w:val="24"/>
          <w:szCs w:val="24"/>
        </w:rPr>
        <w:t>. De</w:t>
      </w:r>
      <w:r w:rsidR="00FE4E1B">
        <w:rPr>
          <w:rFonts w:ascii="Palatino Linotype" w:hAnsi="Palatino Linotype" w:cs="Arial"/>
          <w:b/>
          <w:sz w:val="24"/>
          <w:szCs w:val="24"/>
        </w:rPr>
        <w:t>l cierre del periodo de instrucción</w:t>
      </w:r>
      <w:r>
        <w:rPr>
          <w:rFonts w:ascii="Palatino Linotype" w:hAnsi="Palatino Linotype" w:cs="Arial"/>
          <w:b/>
          <w:sz w:val="24"/>
          <w:szCs w:val="24"/>
        </w:rPr>
        <w:t>.</w:t>
      </w:r>
      <w:r>
        <w:rPr>
          <w:rFonts w:ascii="Palatino Linotype" w:hAnsi="Palatino Linotype" w:cs="Arial"/>
          <w:sz w:val="24"/>
          <w:szCs w:val="24"/>
        </w:rPr>
        <w:t xml:space="preserve"> </w:t>
      </w:r>
    </w:p>
    <w:p w:rsidR="002C5DF9" w:rsidRDefault="008623E3"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A68D6" w:rsidRPr="002207BD">
        <w:rPr>
          <w:rFonts w:ascii="Palatino Linotype" w:hAnsi="Palatino Linotype" w:cs="Arial"/>
          <w:sz w:val="24"/>
          <w:szCs w:val="24"/>
        </w:rPr>
        <w:t xml:space="preserve">no habiendo prueba pendiente por desahogar, ni documentos que integrar al expediente electrónico, se decretó el cierre de instrucción con fecha </w:t>
      </w:r>
      <w:r w:rsidR="00122C17">
        <w:rPr>
          <w:rFonts w:ascii="Palatino Linotype" w:hAnsi="Palatino Linotype" w:cs="Arial"/>
          <w:sz w:val="24"/>
          <w:szCs w:val="24"/>
        </w:rPr>
        <w:t>quince de octubre</w:t>
      </w:r>
      <w:r w:rsidR="00A63003">
        <w:rPr>
          <w:rFonts w:ascii="Palatino Linotype" w:hAnsi="Palatino Linotype" w:cs="Arial"/>
          <w:sz w:val="24"/>
          <w:szCs w:val="24"/>
        </w:rPr>
        <w:t xml:space="preserve"> </w:t>
      </w:r>
      <w:r w:rsidR="005A68D6" w:rsidRPr="002207BD">
        <w:rPr>
          <w:rFonts w:ascii="Palatino Linotype" w:hAnsi="Palatino Linotype" w:cs="Arial"/>
          <w:sz w:val="24"/>
          <w:szCs w:val="24"/>
        </w:rPr>
        <w:t>de dos mil dieciocho, en términos del artículo 185 fracción VI de la Ley de Transparencia y Acceso a la Información Pública del Estado de México y Municipios, ordenándose turnar el expediente a la resolución que en derecho proceda</w:t>
      </w:r>
      <w:r w:rsidR="002C5DF9">
        <w:rPr>
          <w:rFonts w:ascii="Palatino Linotype" w:hAnsi="Palatino Linotype" w:cs="Arial"/>
          <w:sz w:val="24"/>
          <w:szCs w:val="24"/>
        </w:rPr>
        <w:t>.</w:t>
      </w:r>
    </w:p>
    <w:p w:rsidR="002C5DF9" w:rsidRDefault="002C5DF9" w:rsidP="002207BD">
      <w:pPr>
        <w:spacing w:before="240" w:after="240" w:line="360" w:lineRule="auto"/>
        <w:jc w:val="both"/>
        <w:rPr>
          <w:rFonts w:ascii="Palatino Linotype" w:hAnsi="Palatino Linotype" w:cs="Arial"/>
          <w:sz w:val="24"/>
          <w:szCs w:val="24"/>
        </w:rPr>
      </w:pPr>
    </w:p>
    <w:p w:rsidR="002C5DF9" w:rsidRPr="00196908" w:rsidRDefault="002C5DF9" w:rsidP="002C5DF9">
      <w:pPr>
        <w:spacing w:before="240" w:after="240" w:line="360" w:lineRule="auto"/>
        <w:jc w:val="both"/>
        <w:rPr>
          <w:rFonts w:ascii="Palatino Linotype" w:hAnsi="Palatino Linotype" w:cs="Arial"/>
          <w:sz w:val="24"/>
          <w:szCs w:val="24"/>
        </w:rPr>
      </w:pPr>
      <w:r>
        <w:rPr>
          <w:rFonts w:ascii="Palatino Linotype" w:hAnsi="Palatino Linotype" w:cs="Arial"/>
          <w:b/>
          <w:bCs/>
          <w:sz w:val="24"/>
          <w:szCs w:val="24"/>
        </w:rPr>
        <w:t>SÉPTIMO</w:t>
      </w:r>
      <w:r w:rsidRPr="00196908">
        <w:rPr>
          <w:rFonts w:ascii="Palatino Linotype" w:hAnsi="Palatino Linotype" w:cs="Arial"/>
          <w:b/>
          <w:bCs/>
          <w:sz w:val="24"/>
          <w:szCs w:val="24"/>
        </w:rPr>
        <w:t>. De la ampliación del término para resolver.</w:t>
      </w:r>
    </w:p>
    <w:p w:rsidR="00C06713" w:rsidRDefault="002C5DF9"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00E12CC8">
        <w:rPr>
          <w:rFonts w:ascii="Palatino Linotype" w:hAnsi="Palatino Linotype" w:cs="Arial"/>
          <w:sz w:val="24"/>
          <w:szCs w:val="24"/>
        </w:rPr>
        <w:t>siete</w:t>
      </w:r>
      <w:r>
        <w:rPr>
          <w:rFonts w:ascii="Palatino Linotype" w:hAnsi="Palatino Linotype" w:cs="Arial"/>
          <w:sz w:val="24"/>
          <w:szCs w:val="24"/>
        </w:rPr>
        <w:t xml:space="preserve"> de </w:t>
      </w:r>
      <w:r w:rsidR="00E12CC8">
        <w:rPr>
          <w:rFonts w:ascii="Palatino Linotype" w:hAnsi="Palatino Linotype" w:cs="Arial"/>
          <w:sz w:val="24"/>
          <w:szCs w:val="24"/>
        </w:rPr>
        <w:t>noviembre</w:t>
      </w:r>
      <w:r>
        <w:rPr>
          <w:rFonts w:ascii="Palatino Linotype" w:hAnsi="Palatino Linotype" w:cs="Arial"/>
          <w:sz w:val="24"/>
          <w:szCs w:val="24"/>
        </w:rPr>
        <w:t xml:space="preserve"> de dos mil dieciocho, se amplió el término para resolver el recurso de revisión en términos del artículo 181 párrafo tercero de la Ley de </w:t>
      </w:r>
      <w:r>
        <w:rPr>
          <w:rFonts w:ascii="Palatino Linotype" w:hAnsi="Palatino Linotype" w:cs="Arial"/>
          <w:sz w:val="24"/>
          <w:szCs w:val="24"/>
        </w:rPr>
        <w:lastRenderedPageBreak/>
        <w:t>Transparencia y Acceso a la Información Pública del Estado de México y Municipios por un plazo de quince días hábiles; y</w:t>
      </w:r>
      <w:r w:rsidR="005A68D6" w:rsidRPr="002207BD">
        <w:rPr>
          <w:rFonts w:ascii="Palatino Linotype" w:hAnsi="Palatino Linotype" w:cs="Arial"/>
          <w:sz w:val="24"/>
          <w:szCs w:val="24"/>
        </w:rPr>
        <w:t xml:space="preserve"> </w:t>
      </w:r>
    </w:p>
    <w:p w:rsidR="00E12CC8" w:rsidRPr="002207BD" w:rsidRDefault="00E12CC8" w:rsidP="002207BD">
      <w:pPr>
        <w:spacing w:before="240" w:after="240" w:line="360" w:lineRule="auto"/>
        <w:jc w:val="both"/>
        <w:rPr>
          <w:rFonts w:ascii="Palatino Linotype" w:hAnsi="Palatino Linotype" w:cs="Arial"/>
          <w:sz w:val="24"/>
          <w:szCs w:val="24"/>
        </w:rPr>
      </w:pPr>
    </w:p>
    <w:p w:rsidR="00076C8D" w:rsidRPr="002207BD" w:rsidRDefault="00076C8D" w:rsidP="002207BD">
      <w:pPr>
        <w:spacing w:before="240" w:after="240" w:line="360" w:lineRule="auto"/>
        <w:jc w:val="center"/>
        <w:rPr>
          <w:rFonts w:ascii="Palatino Linotype" w:hAnsi="Palatino Linotype" w:cs="Arial"/>
          <w:b/>
          <w:sz w:val="24"/>
          <w:szCs w:val="24"/>
        </w:rPr>
      </w:pPr>
      <w:r w:rsidRPr="002207BD">
        <w:rPr>
          <w:rFonts w:ascii="Palatino Linotype" w:hAnsi="Palatino Linotype" w:cs="Arial"/>
          <w:b/>
          <w:sz w:val="24"/>
          <w:szCs w:val="24"/>
        </w:rPr>
        <w:t>C O N S I D E R A N D O</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PRIMERO. De la competencia</w:t>
      </w:r>
      <w:r w:rsidRPr="002207BD">
        <w:rPr>
          <w:rFonts w:ascii="Palatino Linotype" w:hAnsi="Palatino Linotype" w:cs="Arial"/>
          <w:sz w:val="24"/>
          <w:szCs w:val="24"/>
        </w:rPr>
        <w:t>.</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Este Instituto de Transparencia, Acceso a la Información Pública y Protección de Datos Personales del Estado de México y Municipios es competente para conocer y resolver los presentes recursos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Default="00076C8D" w:rsidP="002207BD">
      <w:pPr>
        <w:spacing w:before="240" w:after="240" w:line="360" w:lineRule="auto"/>
        <w:jc w:val="both"/>
        <w:rPr>
          <w:rFonts w:ascii="Palatino Linotype" w:hAnsi="Palatino Linotype" w:cs="Arial"/>
          <w:sz w:val="24"/>
          <w:szCs w:val="24"/>
        </w:rPr>
      </w:pPr>
    </w:p>
    <w:p w:rsidR="00076C8D" w:rsidRPr="002207BD" w:rsidRDefault="003749AD" w:rsidP="002207BD">
      <w:pPr>
        <w:pStyle w:val="Prrafodelista"/>
        <w:autoSpaceDE w:val="0"/>
        <w:autoSpaceDN w:val="0"/>
        <w:adjustRightInd w:val="0"/>
        <w:spacing w:before="240" w:after="240" w:line="360" w:lineRule="auto"/>
        <w:ind w:left="0"/>
        <w:jc w:val="both"/>
        <w:rPr>
          <w:rFonts w:ascii="Palatino Linotype" w:hAnsi="Palatino Linotype" w:cs="Arial"/>
          <w:b/>
        </w:rPr>
      </w:pPr>
      <w:r w:rsidRPr="002207BD">
        <w:rPr>
          <w:rFonts w:ascii="Palatino Linotype" w:hAnsi="Palatino Linotype" w:cs="Arial"/>
          <w:b/>
        </w:rPr>
        <w:t>SEGUNDO</w:t>
      </w:r>
      <w:r w:rsidR="00076C8D" w:rsidRPr="002207BD">
        <w:rPr>
          <w:rFonts w:ascii="Palatino Linotype" w:hAnsi="Palatino Linotype" w:cs="Arial"/>
          <w:b/>
        </w:rPr>
        <w:t>.</w:t>
      </w:r>
      <w:r w:rsidR="00E973BD">
        <w:rPr>
          <w:rFonts w:ascii="Palatino Linotype" w:hAnsi="Palatino Linotype" w:cs="Arial"/>
          <w:b/>
        </w:rPr>
        <w:t xml:space="preserve"> </w:t>
      </w:r>
      <w:r w:rsidR="00076C8D" w:rsidRPr="002207BD">
        <w:rPr>
          <w:rFonts w:ascii="Palatino Linotype" w:hAnsi="Palatino Linotype" w:cs="Arial"/>
          <w:b/>
        </w:rPr>
        <w:t xml:space="preserve">Sobre los alcances del recurso de revisión. </w:t>
      </w:r>
    </w:p>
    <w:p w:rsidR="00DC50BD" w:rsidRDefault="00DC50BD" w:rsidP="00DC50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alcance que señalan los numerales 176, 179, 181 párrafo cuarto, 194 y 195 y demás </w:t>
      </w:r>
      <w:r w:rsidRPr="00B10F60">
        <w:rPr>
          <w:rFonts w:ascii="Palatino Linotype" w:hAnsi="Palatino Linotype" w:cs="Arial"/>
        </w:rPr>
        <w:lastRenderedPageBreak/>
        <w:t>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DC50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r>
        <w:rPr>
          <w:rFonts w:ascii="Palatino Linotype" w:hAnsi="Palatino Linotype" w:cs="Arial"/>
          <w:b/>
        </w:rPr>
        <w:t>TERCERO</w:t>
      </w:r>
      <w:r w:rsidR="00FF61A8" w:rsidRPr="002207BD">
        <w:rPr>
          <w:rFonts w:ascii="Palatino Linotype" w:hAnsi="Palatino Linotype" w:cs="Arial"/>
          <w:b/>
        </w:rPr>
        <w:t>. De las causas de improcedencia.</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En el procedimiento de acceso</w:t>
      </w:r>
      <w:r w:rsidR="00992B24">
        <w:rPr>
          <w:rFonts w:ascii="Palatino Linotype" w:hAnsi="Palatino Linotype"/>
        </w:rPr>
        <w:t xml:space="preserve">, cancelación y oposición al tratamiento de datos personales y </w:t>
      </w:r>
      <w:r w:rsidRPr="002207BD">
        <w:rPr>
          <w:rFonts w:ascii="Palatino Linotype" w:hAnsi="Palatino Linotype"/>
        </w:rPr>
        <w:t>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w:t>
      </w:r>
      <w:r w:rsidRPr="002207BD">
        <w:rPr>
          <w:rFonts w:ascii="Palatino Linotype" w:hAnsi="Palatino Linotype"/>
        </w:rPr>
        <w:lastRenderedPageBreak/>
        <w:t>incompatibles con el derecho de acceso a la justicia, ya que éste no se coarta por regular causas de improcedencia y sobreseimiento con tales fines</w:t>
      </w:r>
      <w:r w:rsidRPr="002207BD">
        <w:rPr>
          <w:rFonts w:ascii="Palatino Linotype" w:hAnsi="Palatino Linotype"/>
          <w:vertAlign w:val="superscript"/>
        </w:rPr>
        <w:footnoteReference w:id="1"/>
      </w:r>
      <w:r w:rsidRPr="002207BD">
        <w:rPr>
          <w:rFonts w:ascii="Palatino Linotype" w:hAnsi="Palatino Linotype"/>
        </w:rPr>
        <w:t>.</w:t>
      </w:r>
    </w:p>
    <w:p w:rsidR="00B40BB3"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43376B" w:rsidRDefault="0043376B"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b/>
        </w:rPr>
        <w:t>CUARTO</w:t>
      </w:r>
      <w:r w:rsidR="00FF61A8" w:rsidRPr="002207BD">
        <w:rPr>
          <w:rFonts w:ascii="Palatino Linotype" w:hAnsi="Palatino Linotype" w:cs="Arial"/>
          <w:b/>
        </w:rPr>
        <w:t>.</w:t>
      </w:r>
      <w:r w:rsidR="00FF61A8" w:rsidRPr="002207BD">
        <w:rPr>
          <w:rFonts w:ascii="Palatino Linotype" w:hAnsi="Palatino Linotype" w:cs="Arial"/>
        </w:rPr>
        <w:t xml:space="preserve"> </w:t>
      </w:r>
      <w:r w:rsidR="00FF61A8" w:rsidRPr="002207BD">
        <w:rPr>
          <w:rFonts w:ascii="Palatino Linotype" w:hAnsi="Palatino Linotype" w:cs="Arial"/>
          <w:b/>
        </w:rPr>
        <w:t>Estudio y resolución del asunto.</w:t>
      </w:r>
    </w:p>
    <w:p w:rsidR="00A06D55" w:rsidRPr="002207BD" w:rsidRDefault="00A06D5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w:t>
      </w:r>
      <w:r w:rsidRPr="002207BD">
        <w:rPr>
          <w:rFonts w:ascii="Palatino Linotype" w:hAnsi="Palatino Linotype" w:cs="Arial"/>
        </w:rPr>
        <w:lastRenderedPageBreak/>
        <w:t>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06D55" w:rsidRDefault="005B7E2D" w:rsidP="002207B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F07BDC">
        <w:rPr>
          <w:rFonts w:ascii="Palatino Linotype" w:hAnsi="Palatino Linotype" w:cs="Arial"/>
          <w:color w:val="000000" w:themeColor="text1"/>
        </w:rPr>
        <w:t>Primeramente, c</w:t>
      </w:r>
      <w:r w:rsidR="00A06D55" w:rsidRPr="00F07BDC">
        <w:rPr>
          <w:rFonts w:ascii="Palatino Linotype" w:hAnsi="Palatino Linotype" w:cs="Arial"/>
          <w:color w:val="000000" w:themeColor="text1"/>
        </w:rPr>
        <w:t xml:space="preserve">omo se enunció en los antecedentes de la presente resolución, </w:t>
      </w:r>
      <w:r w:rsidR="00A25ABB">
        <w:rPr>
          <w:rFonts w:ascii="Palatino Linotype" w:hAnsi="Palatino Linotype" w:cs="Arial"/>
          <w:color w:val="000000" w:themeColor="text1"/>
        </w:rPr>
        <w:t>e</w:t>
      </w:r>
      <w:r w:rsidR="002C592F">
        <w:rPr>
          <w:rFonts w:ascii="Palatino Linotype" w:hAnsi="Palatino Linotype" w:cs="Arial"/>
          <w:color w:val="000000" w:themeColor="text1"/>
        </w:rPr>
        <w:t>n síntesis e</w:t>
      </w:r>
      <w:r w:rsidR="00A06D55" w:rsidRPr="00F07BDC">
        <w:rPr>
          <w:rFonts w:ascii="Palatino Linotype" w:hAnsi="Palatino Linotype" w:cs="Arial"/>
          <w:color w:val="000000" w:themeColor="text1"/>
        </w:rPr>
        <w:t>l</w:t>
      </w:r>
      <w:r w:rsidR="00944B9B" w:rsidRPr="00F07BDC">
        <w:rPr>
          <w:rFonts w:ascii="Palatino Linotype" w:hAnsi="Palatino Linotype" w:cs="Arial"/>
          <w:color w:val="000000" w:themeColor="text1"/>
        </w:rPr>
        <w:t xml:space="preserve"> </w:t>
      </w:r>
      <w:r w:rsidR="00944B9B" w:rsidRPr="00F07BDC">
        <w:rPr>
          <w:rFonts w:ascii="Palatino Linotype" w:hAnsi="Palatino Linotype" w:cs="Arial"/>
          <w:b/>
          <w:color w:val="000000" w:themeColor="text1"/>
        </w:rPr>
        <w:t>Recurrente</w:t>
      </w:r>
      <w:r w:rsidR="00944B9B" w:rsidRPr="00F07BDC">
        <w:rPr>
          <w:rFonts w:ascii="Palatino Linotype" w:hAnsi="Palatino Linotype" w:cs="Arial"/>
          <w:color w:val="000000" w:themeColor="text1"/>
        </w:rPr>
        <w:t xml:space="preserve"> </w:t>
      </w:r>
      <w:r w:rsidR="00A06D55" w:rsidRPr="00F07BDC">
        <w:rPr>
          <w:rFonts w:ascii="Palatino Linotype" w:hAnsi="Palatino Linotype" w:cs="Arial"/>
          <w:color w:val="000000" w:themeColor="text1"/>
        </w:rPr>
        <w:t>solicit</w:t>
      </w:r>
      <w:r w:rsidR="002C592F">
        <w:rPr>
          <w:rFonts w:ascii="Palatino Linotype" w:hAnsi="Palatino Linotype" w:cs="Arial"/>
          <w:color w:val="000000" w:themeColor="text1"/>
        </w:rPr>
        <w:t>a</w:t>
      </w:r>
      <w:r w:rsidR="00A06D55" w:rsidRPr="00F07BDC">
        <w:rPr>
          <w:rFonts w:ascii="Palatino Linotype" w:hAnsi="Palatino Linotype" w:cs="Arial"/>
          <w:color w:val="000000" w:themeColor="text1"/>
        </w:rPr>
        <w:t xml:space="preserve"> lo siguiente:</w:t>
      </w:r>
    </w:p>
    <w:p w:rsidR="002C592F" w:rsidRPr="002C592F" w:rsidRDefault="002C592F" w:rsidP="00B979BE">
      <w:pPr>
        <w:pStyle w:val="Prrafodelista"/>
        <w:numPr>
          <w:ilvl w:val="0"/>
          <w:numId w:val="48"/>
        </w:numPr>
        <w:autoSpaceDE w:val="0"/>
        <w:autoSpaceDN w:val="0"/>
        <w:adjustRightInd w:val="0"/>
        <w:spacing w:before="240" w:after="240" w:line="360" w:lineRule="auto"/>
        <w:jc w:val="both"/>
        <w:rPr>
          <w:rFonts w:ascii="Palatino Linotype" w:hAnsi="Palatino Linotype" w:cs="Arial"/>
          <w:color w:val="000000" w:themeColor="text1"/>
        </w:rPr>
      </w:pPr>
      <w:r w:rsidRPr="002C592F">
        <w:rPr>
          <w:rFonts w:ascii="Palatino Linotype" w:hAnsi="Palatino Linotype" w:cs="Arial"/>
          <w:color w:val="000000" w:themeColor="text1"/>
        </w:rPr>
        <w:t xml:space="preserve">El soporte documental de las percepciones netas mensuales de marzo, abril y mayo de 2018 de </w:t>
      </w:r>
      <w:r w:rsidR="008E701B">
        <w:rPr>
          <w:rFonts w:ascii="Palatino Linotype" w:hAnsi="Palatino Linotype" w:cs="Arial"/>
          <w:color w:val="000000" w:themeColor="text1"/>
        </w:rPr>
        <w:t>cada uno de los servidores públicos que ostentan l</w:t>
      </w:r>
      <w:r w:rsidR="00C57419">
        <w:rPr>
          <w:rFonts w:ascii="Palatino Linotype" w:hAnsi="Palatino Linotype" w:cs="Arial"/>
          <w:color w:val="000000" w:themeColor="text1"/>
        </w:rPr>
        <w:t xml:space="preserve">os cargos medios y superiores </w:t>
      </w:r>
      <w:r w:rsidRPr="002C592F">
        <w:rPr>
          <w:rFonts w:ascii="Palatino Linotype" w:hAnsi="Palatino Linotype" w:cs="Arial"/>
          <w:color w:val="000000" w:themeColor="text1"/>
        </w:rPr>
        <w:t>adscritas a la Comisaría General de Seguridad Pública y Tránsito conforme a la estructura orgánica señalada en el portor de IPOMEX.</w:t>
      </w:r>
    </w:p>
    <w:p w:rsidR="002C592F" w:rsidRDefault="002C5DF9" w:rsidP="006F024B">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764736" behindDoc="0" locked="0" layoutInCell="1" allowOverlap="1">
                <wp:simplePos x="0" y="0"/>
                <wp:positionH relativeFrom="column">
                  <wp:posOffset>-27306</wp:posOffset>
                </wp:positionH>
                <wp:positionV relativeFrom="paragraph">
                  <wp:posOffset>1295399</wp:posOffset>
                </wp:positionV>
                <wp:extent cx="5648325" cy="26574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648325" cy="2657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D79D56" id="Conector recto 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2.15pt,102pt" to="442.6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" strokecolor="#5b9bd5 [3204]" strokeweight=".5pt">
                <v:stroke joinstyle="miter"/>
              </v:line>
            </w:pict>
          </mc:Fallback>
        </mc:AlternateContent>
      </w:r>
      <w:r w:rsidR="002C592F">
        <w:rPr>
          <w:rFonts w:ascii="Palatino Linotype" w:hAnsi="Palatino Linotype" w:cs="Arial"/>
          <w:color w:val="000000" w:themeColor="text1"/>
          <w:sz w:val="24"/>
          <w:szCs w:val="24"/>
        </w:rPr>
        <w:t xml:space="preserve">De este modo, </w:t>
      </w:r>
      <w:r w:rsidR="00BF189A">
        <w:rPr>
          <w:rFonts w:ascii="Palatino Linotype" w:hAnsi="Palatino Linotype" w:cs="Arial"/>
          <w:color w:val="000000" w:themeColor="text1"/>
          <w:sz w:val="24"/>
          <w:szCs w:val="24"/>
        </w:rPr>
        <w:t xml:space="preserve">de una inspección al portal de IPOMEX </w:t>
      </w:r>
      <w:r w:rsidR="00BF189A" w:rsidRPr="00BF189A">
        <w:rPr>
          <w:rFonts w:ascii="Palatino Linotype" w:hAnsi="Palatino Linotype" w:cs="Arial"/>
          <w:color w:val="000000" w:themeColor="text1"/>
          <w:sz w:val="24"/>
          <w:szCs w:val="24"/>
        </w:rPr>
        <w:t>https://www.ipomex.org.mx/ipo3/lgt/indice/cuautitlanizcalli/organigramas.web</w:t>
      </w:r>
      <w:r w:rsidR="00BF189A">
        <w:rPr>
          <w:rFonts w:ascii="Palatino Linotype" w:hAnsi="Palatino Linotype" w:cs="Arial"/>
          <w:color w:val="000000" w:themeColor="text1"/>
          <w:sz w:val="24"/>
          <w:szCs w:val="24"/>
        </w:rPr>
        <w:t>, se aprecia que la estructura orgánica de la Comisaría General de Seguridad Pública y Tránsito consta de:</w:t>
      </w:r>
    </w:p>
    <w:p w:rsidR="00BF189A" w:rsidRDefault="00BF189A" w:rsidP="00BF189A">
      <w:pPr>
        <w:spacing w:before="240" w:after="240" w:line="360" w:lineRule="auto"/>
        <w:ind w:firstLine="567"/>
        <w:jc w:val="both"/>
        <w:rPr>
          <w:rFonts w:ascii="Palatino Linotype" w:hAnsi="Palatino Linotype" w:cs="Arial"/>
          <w:color w:val="000000" w:themeColor="text1"/>
          <w:sz w:val="24"/>
          <w:szCs w:val="24"/>
        </w:rPr>
      </w:pPr>
      <w:r>
        <w:rPr>
          <w:noProof/>
          <w:lang w:eastAsia="es-MX"/>
        </w:rPr>
        <w:lastRenderedPageBreak/>
        <w:drawing>
          <wp:inline distT="0" distB="0" distL="0" distR="0" wp14:anchorId="17554401" wp14:editId="4B5E560E">
            <wp:extent cx="4780915" cy="47244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55" t="14035" r="36338" b="5634"/>
                    <a:stretch/>
                  </pic:blipFill>
                  <pic:spPr bwMode="auto">
                    <a:xfrm>
                      <a:off x="0" y="0"/>
                      <a:ext cx="4791969" cy="4735323"/>
                    </a:xfrm>
                    <a:prstGeom prst="rect">
                      <a:avLst/>
                    </a:prstGeom>
                    <a:ln>
                      <a:noFill/>
                    </a:ln>
                    <a:extLst>
                      <a:ext uri="{53640926-AAD7-44D8-BBD7-CCE9431645EC}">
                        <a14:shadowObscured xmlns:a14="http://schemas.microsoft.com/office/drawing/2010/main"/>
                      </a:ext>
                    </a:extLst>
                  </pic:spPr>
                </pic:pic>
              </a:graphicData>
            </a:graphic>
          </wp:inline>
        </w:drawing>
      </w:r>
    </w:p>
    <w:p w:rsidR="00BF189A" w:rsidRDefault="00D94C2A" w:rsidP="006F024B">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w:t>
      </w:r>
      <w:r w:rsidR="00353295" w:rsidRPr="00353295">
        <w:rPr>
          <w:rFonts w:ascii="Palatino Linotype" w:hAnsi="Palatino Linotype" w:cs="Arial"/>
          <w:color w:val="000000" w:themeColor="text1"/>
          <w:sz w:val="24"/>
          <w:szCs w:val="24"/>
        </w:rPr>
        <w:t>l</w:t>
      </w:r>
      <w:r w:rsidR="00BF189A">
        <w:rPr>
          <w:rFonts w:ascii="Palatino Linotype" w:hAnsi="Palatino Linotype" w:cs="Arial"/>
          <w:color w:val="000000" w:themeColor="text1"/>
          <w:sz w:val="24"/>
          <w:szCs w:val="24"/>
        </w:rPr>
        <w:t xml:space="preserve">a parte medular de la respuesta emitida por el </w:t>
      </w:r>
      <w:r w:rsidR="00BF189A" w:rsidRPr="00BF189A">
        <w:rPr>
          <w:rFonts w:ascii="Palatino Linotype" w:hAnsi="Palatino Linotype" w:cs="Arial"/>
          <w:b/>
          <w:color w:val="000000" w:themeColor="text1"/>
          <w:sz w:val="24"/>
          <w:szCs w:val="24"/>
        </w:rPr>
        <w:t>Sujeto Obligado</w:t>
      </w:r>
      <w:r w:rsidR="00BF189A">
        <w:rPr>
          <w:rFonts w:ascii="Palatino Linotype" w:hAnsi="Palatino Linotype" w:cs="Arial"/>
          <w:color w:val="000000" w:themeColor="text1"/>
          <w:sz w:val="24"/>
          <w:szCs w:val="24"/>
        </w:rPr>
        <w:t xml:space="preserve"> consistió en lo siguiente:</w:t>
      </w:r>
    </w:p>
    <w:p w:rsidR="00BF189A" w:rsidRDefault="00BF189A" w:rsidP="00BF189A">
      <w:pPr>
        <w:spacing w:before="120" w:after="120" w:line="240" w:lineRule="auto"/>
        <w:ind w:left="567" w:right="567"/>
        <w:jc w:val="both"/>
        <w:rPr>
          <w:rFonts w:ascii="Palatino Linotype" w:hAnsi="Palatino Linotype" w:cs="Arial"/>
          <w:color w:val="000000" w:themeColor="text1"/>
          <w:sz w:val="24"/>
          <w:szCs w:val="24"/>
        </w:rPr>
      </w:pPr>
      <w:r>
        <w:rPr>
          <w:rFonts w:ascii="Palatino Linotype" w:hAnsi="Palatino Linotype" w:cs="Arial"/>
          <w:i/>
          <w:sz w:val="24"/>
          <w:szCs w:val="24"/>
        </w:rPr>
        <w:t xml:space="preserve">“… </w:t>
      </w:r>
      <w:r w:rsidRPr="00F3197E">
        <w:rPr>
          <w:rFonts w:ascii="Palatino Linotype" w:hAnsi="Palatino Linotype" w:cs="Arial"/>
          <w:i/>
          <w:sz w:val="24"/>
          <w:szCs w:val="24"/>
        </w:rPr>
        <w:t>Al respecto me permito informar a Usted que la información pública requerida puede ser consultada en la siguiente dirección electrónica del Sistema de Información Pública Mexiquense (IPOMEX): https://www.ipomex.org.mx/ipo3/lgt/indice/cuautitlanizcalli/art_92_viii.web, ello en lo que respecta a la remuneración de los servidores públicos</w:t>
      </w:r>
      <w:r w:rsidR="00FD6601">
        <w:rPr>
          <w:rFonts w:ascii="Palatino Linotype" w:hAnsi="Palatino Linotype" w:cs="Arial"/>
          <w:i/>
          <w:sz w:val="24"/>
          <w:szCs w:val="24"/>
        </w:rPr>
        <w:t>…</w:t>
      </w:r>
      <w:r>
        <w:rPr>
          <w:rFonts w:ascii="Palatino Linotype" w:hAnsi="Palatino Linotype" w:cs="Arial"/>
          <w:i/>
          <w:sz w:val="24"/>
          <w:szCs w:val="24"/>
        </w:rPr>
        <w:t>”. (Sic)</w:t>
      </w:r>
    </w:p>
    <w:p w:rsidR="0041538F" w:rsidRDefault="008509EB" w:rsidP="00BC02B7">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t xml:space="preserve">Consecuentemente, el </w:t>
      </w:r>
      <w:r w:rsidRPr="000974DF">
        <w:rPr>
          <w:rFonts w:ascii="Palatino Linotype" w:hAnsi="Palatino Linotype" w:cs="Segoe UI"/>
          <w:b/>
          <w:sz w:val="24"/>
          <w:szCs w:val="24"/>
        </w:rPr>
        <w:t>Recurrente</w:t>
      </w:r>
      <w:r>
        <w:rPr>
          <w:rFonts w:ascii="Palatino Linotype" w:hAnsi="Palatino Linotype" w:cs="Segoe UI"/>
          <w:sz w:val="24"/>
          <w:szCs w:val="24"/>
        </w:rPr>
        <w:t xml:space="preserve"> se inconformó contra </w:t>
      </w:r>
      <w:r w:rsidR="0041538F">
        <w:rPr>
          <w:rFonts w:ascii="Palatino Linotype" w:hAnsi="Palatino Linotype" w:cs="Segoe UI"/>
          <w:sz w:val="24"/>
          <w:szCs w:val="24"/>
        </w:rPr>
        <w:t xml:space="preserve">la respuesta que emitió el </w:t>
      </w:r>
      <w:r w:rsidR="0041538F" w:rsidRPr="000974DF">
        <w:rPr>
          <w:rFonts w:ascii="Palatino Linotype" w:hAnsi="Palatino Linotype" w:cs="Segoe UI"/>
          <w:b/>
          <w:sz w:val="24"/>
          <w:szCs w:val="24"/>
        </w:rPr>
        <w:t>Sujeto Obligado</w:t>
      </w:r>
      <w:r w:rsidR="0041538F">
        <w:rPr>
          <w:rFonts w:ascii="Palatino Linotype" w:hAnsi="Palatino Linotype" w:cs="Segoe UI"/>
          <w:sz w:val="24"/>
          <w:szCs w:val="24"/>
        </w:rPr>
        <w:t xml:space="preserve">, manifestando como razones o motivos de inconformidad </w:t>
      </w:r>
      <w:r w:rsidR="00FD6601">
        <w:rPr>
          <w:rFonts w:ascii="Palatino Linotype" w:hAnsi="Palatino Linotype" w:cs="Segoe UI"/>
          <w:sz w:val="24"/>
          <w:szCs w:val="24"/>
        </w:rPr>
        <w:t xml:space="preserve">que la </w:t>
      </w:r>
      <w:r w:rsidR="00FD6601">
        <w:rPr>
          <w:rFonts w:ascii="Palatino Linotype" w:hAnsi="Palatino Linotype" w:cs="Segoe UI"/>
          <w:sz w:val="24"/>
          <w:szCs w:val="24"/>
        </w:rPr>
        <w:lastRenderedPageBreak/>
        <w:t xml:space="preserve">liga electrónica a la cual fue referida no cuenta con la información solicitada y que no se le proporcionó </w:t>
      </w:r>
      <w:r w:rsidR="00BC02B7">
        <w:rPr>
          <w:rFonts w:ascii="Palatino Linotype" w:hAnsi="Palatino Linotype" w:cs="Segoe UI"/>
          <w:sz w:val="24"/>
          <w:szCs w:val="24"/>
        </w:rPr>
        <w:t>el soporte documental solicitado.</w:t>
      </w:r>
    </w:p>
    <w:p w:rsidR="00BC02B7" w:rsidRDefault="00BC02B7" w:rsidP="00BC02B7">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t xml:space="preserve">Por su parte, el </w:t>
      </w:r>
      <w:r w:rsidRPr="00BC02B7">
        <w:rPr>
          <w:rFonts w:ascii="Palatino Linotype" w:hAnsi="Palatino Linotype" w:cs="Segoe UI"/>
          <w:b/>
          <w:sz w:val="24"/>
          <w:szCs w:val="24"/>
        </w:rPr>
        <w:t>Sujeto Obligado</w:t>
      </w:r>
      <w:r>
        <w:rPr>
          <w:rFonts w:ascii="Palatino Linotype" w:hAnsi="Palatino Linotype" w:cs="Segoe UI"/>
          <w:sz w:val="24"/>
          <w:szCs w:val="24"/>
        </w:rPr>
        <w:t xml:space="preserve"> mediante </w:t>
      </w:r>
      <w:r w:rsidR="00C57419">
        <w:rPr>
          <w:rFonts w:ascii="Palatino Linotype" w:hAnsi="Palatino Linotype" w:cs="Segoe UI"/>
          <w:sz w:val="24"/>
          <w:szCs w:val="24"/>
        </w:rPr>
        <w:t>informe</w:t>
      </w:r>
      <w:r>
        <w:rPr>
          <w:rFonts w:ascii="Palatino Linotype" w:hAnsi="Palatino Linotype" w:cs="Segoe UI"/>
          <w:sz w:val="24"/>
          <w:szCs w:val="24"/>
        </w:rPr>
        <w:t xml:space="preserve"> justificado confirmó su respuesta primigenia, manifestando lo siguiente:</w:t>
      </w:r>
    </w:p>
    <w:p w:rsidR="00BC02B7" w:rsidRDefault="00BC02B7" w:rsidP="00BC02B7">
      <w:pPr>
        <w:spacing w:before="240" w:after="240" w:line="360" w:lineRule="auto"/>
        <w:ind w:firstLine="567"/>
        <w:jc w:val="both"/>
        <w:rPr>
          <w:rFonts w:ascii="Palatino Linotype" w:hAnsi="Palatino Linotype" w:cs="Segoe UI"/>
          <w:sz w:val="24"/>
          <w:szCs w:val="24"/>
        </w:rPr>
      </w:pPr>
      <w:r>
        <w:rPr>
          <w:noProof/>
          <w:lang w:eastAsia="es-MX"/>
        </w:rPr>
        <w:drawing>
          <wp:inline distT="0" distB="0" distL="0" distR="0" wp14:anchorId="3B069DF8" wp14:editId="4792AA93">
            <wp:extent cx="4962525" cy="27455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60" t="18515" r="22564" b="25642"/>
                    <a:stretch/>
                  </pic:blipFill>
                  <pic:spPr bwMode="auto">
                    <a:xfrm>
                      <a:off x="0" y="0"/>
                      <a:ext cx="4969606" cy="2749457"/>
                    </a:xfrm>
                    <a:prstGeom prst="rect">
                      <a:avLst/>
                    </a:prstGeom>
                    <a:ln>
                      <a:noFill/>
                    </a:ln>
                    <a:extLst>
                      <a:ext uri="{53640926-AAD7-44D8-BBD7-CCE9431645EC}">
                        <a14:shadowObscured xmlns:a14="http://schemas.microsoft.com/office/drawing/2010/main"/>
                      </a:ext>
                    </a:extLst>
                  </pic:spPr>
                </pic:pic>
              </a:graphicData>
            </a:graphic>
          </wp:inline>
        </w:drawing>
      </w:r>
    </w:p>
    <w:p w:rsidR="0041538F" w:rsidRPr="007B0C47" w:rsidRDefault="0041538F" w:rsidP="0041538F">
      <w:pPr>
        <w:spacing w:before="240" w:after="240" w:line="360" w:lineRule="auto"/>
        <w:ind w:right="-1"/>
        <w:jc w:val="both"/>
        <w:rPr>
          <w:rFonts w:ascii="Palatino Linotype" w:hAnsi="Palatino Linotype"/>
          <w:sz w:val="24"/>
          <w:szCs w:val="24"/>
        </w:rPr>
      </w:pPr>
      <w:r w:rsidRPr="007B0C47">
        <w:rPr>
          <w:rFonts w:ascii="Palatino Linotype" w:hAnsi="Palatino Linotype"/>
          <w:sz w:val="24"/>
          <w:szCs w:val="24"/>
        </w:rPr>
        <w:t xml:space="preserve">Por lo anterior, </w:t>
      </w:r>
      <w:r>
        <w:rPr>
          <w:rFonts w:ascii="Palatino Linotype" w:hAnsi="Palatino Linotype"/>
          <w:sz w:val="24"/>
          <w:szCs w:val="24"/>
        </w:rPr>
        <w:t xml:space="preserve">la Litis en el presente asunto consistirá en determinar si la respuesta del </w:t>
      </w:r>
      <w:r w:rsidRPr="00CB7E62">
        <w:rPr>
          <w:rFonts w:ascii="Palatino Linotype" w:hAnsi="Palatino Linotype"/>
          <w:b/>
          <w:sz w:val="24"/>
          <w:szCs w:val="24"/>
        </w:rPr>
        <w:t>Sujeto Obligado</w:t>
      </w:r>
      <w:r>
        <w:rPr>
          <w:rFonts w:ascii="Palatino Linotype" w:hAnsi="Palatino Linotype"/>
          <w:sz w:val="24"/>
          <w:szCs w:val="24"/>
        </w:rPr>
        <w:t xml:space="preserve"> colma por completo la solicitud de información o en su defecto, se actualiza </w:t>
      </w:r>
      <w:r w:rsidR="00BC02B7">
        <w:rPr>
          <w:rFonts w:ascii="Palatino Linotype" w:hAnsi="Palatino Linotype"/>
          <w:sz w:val="24"/>
          <w:szCs w:val="24"/>
        </w:rPr>
        <w:t xml:space="preserve">alguna de las siguientes hipótesis </w:t>
      </w:r>
      <w:r>
        <w:rPr>
          <w:rFonts w:ascii="Palatino Linotype" w:hAnsi="Palatino Linotype"/>
          <w:sz w:val="24"/>
          <w:szCs w:val="24"/>
        </w:rPr>
        <w:t>del artículo 179, de la Ley de Transparencia local que dice así:</w:t>
      </w:r>
    </w:p>
    <w:p w:rsidR="00BC02B7" w:rsidRDefault="0041538F" w:rsidP="0041538F">
      <w:pPr>
        <w:autoSpaceDE w:val="0"/>
        <w:autoSpaceDN w:val="0"/>
        <w:adjustRightInd w:val="0"/>
        <w:spacing w:before="120" w:after="120" w:line="240" w:lineRule="auto"/>
        <w:ind w:left="567" w:right="567"/>
        <w:jc w:val="both"/>
        <w:rPr>
          <w:rFonts w:ascii="Palatino Linotype" w:hAnsi="Palatino Linotype" w:cs="Segoe UI"/>
          <w:bCs/>
          <w:i/>
          <w:iCs/>
          <w:sz w:val="24"/>
          <w:szCs w:val="24"/>
        </w:rPr>
      </w:pPr>
      <w:r w:rsidRPr="00723473">
        <w:rPr>
          <w:rStyle w:val="normaltextrun"/>
          <w:rFonts w:ascii="Palatino Linotype" w:hAnsi="Palatino Linotype" w:cs="Segoe UI"/>
          <w:bCs/>
          <w:i/>
          <w:iCs/>
          <w:sz w:val="24"/>
          <w:szCs w:val="24"/>
        </w:rPr>
        <w:t>“</w:t>
      </w:r>
      <w:r w:rsidRPr="00723473">
        <w:rPr>
          <w:rFonts w:ascii="Palatino Linotype" w:hAnsi="Palatino Linotype" w:cs="Segoe UI"/>
          <w:bCs/>
          <w:i/>
          <w:iCs/>
          <w:sz w:val="24"/>
          <w:szCs w:val="24"/>
        </w:rPr>
        <w:t xml:space="preserve">Artículo 179. </w:t>
      </w:r>
      <w:r w:rsidRPr="00464102">
        <w:rPr>
          <w:rFonts w:ascii="Palatino Linotype" w:hAnsi="Palatino Linotype" w:cs="Segoe UI"/>
          <w:b/>
          <w:bCs/>
          <w:i/>
          <w:iCs/>
          <w:sz w:val="24"/>
          <w:szCs w:val="24"/>
        </w:rPr>
        <w:t>El recurso de revisión es un medio de protección que la Ley otorga a los particulares, para</w:t>
      </w:r>
      <w:r>
        <w:rPr>
          <w:rFonts w:ascii="Palatino Linotype" w:hAnsi="Palatino Linotype" w:cs="Segoe UI"/>
          <w:b/>
          <w:bCs/>
          <w:i/>
          <w:iCs/>
          <w:sz w:val="24"/>
          <w:szCs w:val="24"/>
        </w:rPr>
        <w:t xml:space="preserve"> </w:t>
      </w:r>
      <w:r w:rsidRPr="00464102">
        <w:rPr>
          <w:rFonts w:ascii="Palatino Linotype" w:hAnsi="Palatino Linotype" w:cs="Segoe UI"/>
          <w:b/>
          <w:bCs/>
          <w:i/>
          <w:iCs/>
          <w:sz w:val="24"/>
          <w:szCs w:val="24"/>
        </w:rPr>
        <w:t>hacer valer su derecho de acceso a la información pública</w:t>
      </w:r>
      <w:r w:rsidRPr="00723473">
        <w:rPr>
          <w:rFonts w:ascii="Palatino Linotype" w:hAnsi="Palatino Linotype" w:cs="Segoe UI"/>
          <w:bCs/>
          <w:i/>
          <w:iCs/>
          <w:sz w:val="24"/>
          <w:szCs w:val="24"/>
        </w:rPr>
        <w:t xml:space="preserve">, y procederá en </w:t>
      </w:r>
      <w:r w:rsidRPr="00464102">
        <w:rPr>
          <w:rFonts w:ascii="Palatino Linotype" w:hAnsi="Palatino Linotype" w:cs="Segoe UI"/>
          <w:b/>
          <w:bCs/>
          <w:i/>
          <w:iCs/>
          <w:sz w:val="24"/>
          <w:szCs w:val="24"/>
        </w:rPr>
        <w:t>contra de las siguientes causas</w:t>
      </w:r>
      <w:r w:rsidRPr="00723473">
        <w:rPr>
          <w:rFonts w:ascii="Palatino Linotype" w:hAnsi="Palatino Linotype" w:cs="Segoe UI"/>
          <w:bCs/>
          <w:i/>
          <w:iCs/>
          <w:sz w:val="24"/>
          <w:szCs w:val="24"/>
        </w:rPr>
        <w:t>:</w:t>
      </w:r>
    </w:p>
    <w:p w:rsidR="0041538F" w:rsidRPr="00723473" w:rsidRDefault="00BC02B7" w:rsidP="0041538F">
      <w:pPr>
        <w:autoSpaceDE w:val="0"/>
        <w:autoSpaceDN w:val="0"/>
        <w:adjustRightInd w:val="0"/>
        <w:spacing w:before="120" w:after="120" w:line="240" w:lineRule="auto"/>
        <w:ind w:left="567" w:right="567"/>
        <w:jc w:val="both"/>
        <w:rPr>
          <w:rFonts w:ascii="Palatino Linotype" w:hAnsi="Palatino Linotype" w:cs="Segoe UI"/>
          <w:bCs/>
          <w:i/>
          <w:iCs/>
          <w:sz w:val="24"/>
          <w:szCs w:val="24"/>
        </w:rPr>
      </w:pPr>
      <w:r>
        <w:rPr>
          <w:rFonts w:ascii="Palatino Linotype" w:hAnsi="Palatino Linotype" w:cs="Segoe UI"/>
          <w:bCs/>
          <w:i/>
          <w:iCs/>
          <w:sz w:val="24"/>
          <w:szCs w:val="24"/>
        </w:rPr>
        <w:t xml:space="preserve">I. </w:t>
      </w:r>
      <w:r w:rsidRPr="00786A82">
        <w:rPr>
          <w:rFonts w:ascii="Palatino Linotype" w:hAnsi="Palatino Linotype" w:cs="Segoe UI"/>
          <w:b/>
          <w:bCs/>
          <w:i/>
          <w:iCs/>
          <w:sz w:val="24"/>
          <w:szCs w:val="24"/>
        </w:rPr>
        <w:t>La negativa a la información solicitada;</w:t>
      </w:r>
      <w:r w:rsidR="0041538F" w:rsidRPr="00786A82">
        <w:rPr>
          <w:rFonts w:ascii="Palatino Linotype" w:hAnsi="Palatino Linotype" w:cs="Segoe UI"/>
          <w:b/>
          <w:bCs/>
          <w:i/>
          <w:iCs/>
          <w:sz w:val="24"/>
          <w:szCs w:val="24"/>
        </w:rPr>
        <w:t xml:space="preserve"> </w:t>
      </w:r>
    </w:p>
    <w:p w:rsidR="0041538F" w:rsidRDefault="0041538F" w:rsidP="0041538F">
      <w:pPr>
        <w:autoSpaceDE w:val="0"/>
        <w:autoSpaceDN w:val="0"/>
        <w:adjustRightInd w:val="0"/>
        <w:spacing w:before="120" w:after="120" w:line="240" w:lineRule="auto"/>
        <w:ind w:left="567" w:right="567"/>
        <w:jc w:val="both"/>
        <w:rPr>
          <w:rStyle w:val="normaltextrun"/>
          <w:rFonts w:ascii="Palatino Linotype" w:hAnsi="Palatino Linotype" w:cs="Segoe UI"/>
          <w:bCs/>
          <w:i/>
          <w:iCs/>
          <w:sz w:val="24"/>
          <w:szCs w:val="24"/>
        </w:rPr>
      </w:pPr>
      <w:r w:rsidRPr="00492E1C">
        <w:rPr>
          <w:rStyle w:val="normaltextrun"/>
          <w:rFonts w:ascii="Palatino Linotype" w:hAnsi="Palatino Linotype" w:cs="Segoe UI"/>
          <w:bCs/>
          <w:i/>
          <w:iCs/>
          <w:sz w:val="24"/>
          <w:szCs w:val="24"/>
        </w:rPr>
        <w:t>…</w:t>
      </w:r>
    </w:p>
    <w:p w:rsidR="0041538F" w:rsidRDefault="0041538F" w:rsidP="0041538F">
      <w:pPr>
        <w:autoSpaceDE w:val="0"/>
        <w:autoSpaceDN w:val="0"/>
        <w:adjustRightInd w:val="0"/>
        <w:spacing w:before="120" w:after="120" w:line="240" w:lineRule="auto"/>
        <w:ind w:left="567" w:right="567"/>
        <w:jc w:val="both"/>
        <w:rPr>
          <w:rFonts w:ascii="Palatino Linotype" w:eastAsiaTheme="minorEastAsia" w:hAnsi="Palatino Linotype" w:cs="Bookman Old Style"/>
          <w:i/>
          <w:sz w:val="24"/>
          <w:szCs w:val="24"/>
        </w:rPr>
      </w:pPr>
      <w:r w:rsidRPr="00CE27BB">
        <w:rPr>
          <w:rFonts w:ascii="Palatino Linotype" w:eastAsiaTheme="minorEastAsia" w:hAnsi="Palatino Linotype" w:cs="Bookman Old Style"/>
          <w:i/>
          <w:sz w:val="24"/>
          <w:szCs w:val="24"/>
        </w:rPr>
        <w:t xml:space="preserve">V. </w:t>
      </w:r>
      <w:r w:rsidRPr="00464102">
        <w:rPr>
          <w:rFonts w:ascii="Palatino Linotype" w:eastAsiaTheme="minorEastAsia" w:hAnsi="Palatino Linotype" w:cs="Bookman Old Style"/>
          <w:b/>
          <w:i/>
          <w:sz w:val="24"/>
          <w:szCs w:val="24"/>
        </w:rPr>
        <w:t xml:space="preserve">La </w:t>
      </w:r>
      <w:r>
        <w:rPr>
          <w:rFonts w:ascii="Palatino Linotype" w:eastAsiaTheme="minorEastAsia" w:hAnsi="Palatino Linotype" w:cs="Bookman Old Style"/>
          <w:b/>
          <w:i/>
          <w:sz w:val="24"/>
          <w:szCs w:val="24"/>
        </w:rPr>
        <w:t>entrega de información incompleta</w:t>
      </w:r>
      <w:r w:rsidRPr="00CE27BB">
        <w:rPr>
          <w:rFonts w:ascii="Palatino Linotype" w:eastAsiaTheme="minorEastAsia" w:hAnsi="Palatino Linotype" w:cs="Bookman Old Style"/>
          <w:i/>
          <w:sz w:val="24"/>
          <w:szCs w:val="24"/>
        </w:rPr>
        <w:t>;</w:t>
      </w:r>
    </w:p>
    <w:p w:rsidR="00786A82" w:rsidRPr="00786A82" w:rsidRDefault="00786A82" w:rsidP="0041538F">
      <w:pPr>
        <w:autoSpaceDE w:val="0"/>
        <w:autoSpaceDN w:val="0"/>
        <w:adjustRightInd w:val="0"/>
        <w:spacing w:before="120" w:after="120" w:line="240" w:lineRule="auto"/>
        <w:ind w:left="567" w:right="567"/>
        <w:jc w:val="both"/>
        <w:rPr>
          <w:rFonts w:ascii="Palatino Linotype" w:eastAsiaTheme="minorEastAsia" w:hAnsi="Palatino Linotype" w:cs="Bookman Old Style"/>
          <w:b/>
          <w:i/>
          <w:sz w:val="24"/>
          <w:szCs w:val="24"/>
        </w:rPr>
      </w:pPr>
      <w:r>
        <w:rPr>
          <w:rFonts w:ascii="Palatino Linotype" w:eastAsiaTheme="minorEastAsia" w:hAnsi="Palatino Linotype" w:cs="Bookman Old Style"/>
          <w:i/>
          <w:sz w:val="24"/>
          <w:szCs w:val="24"/>
        </w:rPr>
        <w:lastRenderedPageBreak/>
        <w:t xml:space="preserve">VI. </w:t>
      </w:r>
      <w:r w:rsidRPr="00786A82">
        <w:rPr>
          <w:rFonts w:ascii="Palatino Linotype" w:eastAsiaTheme="minorEastAsia" w:hAnsi="Palatino Linotype" w:cs="Bookman Old Style"/>
          <w:b/>
          <w:i/>
          <w:sz w:val="24"/>
          <w:szCs w:val="24"/>
        </w:rPr>
        <w:t>La entrega de información que no corresponde con lo solicitado;</w:t>
      </w:r>
    </w:p>
    <w:p w:rsidR="0041538F" w:rsidRDefault="0041538F" w:rsidP="0041538F">
      <w:pPr>
        <w:spacing w:before="120" w:after="120" w:line="240" w:lineRule="auto"/>
        <w:ind w:left="567"/>
        <w:jc w:val="both"/>
        <w:rPr>
          <w:rFonts w:ascii="Palatino Linotype" w:hAnsi="Palatino Linotype" w:cs="Segoe UI"/>
          <w:sz w:val="24"/>
          <w:szCs w:val="24"/>
        </w:rPr>
      </w:pPr>
      <w:r>
        <w:rPr>
          <w:rFonts w:ascii="Palatino Linotype" w:eastAsiaTheme="minorEastAsia" w:hAnsi="Palatino Linotype" w:cs="Bookman Old Style"/>
          <w:i/>
          <w:sz w:val="24"/>
          <w:szCs w:val="24"/>
        </w:rPr>
        <w:t>…</w:t>
      </w:r>
      <w:r>
        <w:rPr>
          <w:rStyle w:val="normaltextrun"/>
          <w:rFonts w:ascii="Palatino Linotype" w:hAnsi="Palatino Linotype" w:cs="Segoe UI"/>
          <w:bCs/>
          <w:i/>
          <w:iCs/>
          <w:sz w:val="24"/>
          <w:szCs w:val="24"/>
        </w:rPr>
        <w:t>”</w:t>
      </w:r>
    </w:p>
    <w:p w:rsidR="0041538F" w:rsidRDefault="0041538F" w:rsidP="0041538F">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Siendo así, esta ponencia considera necesario estudiar en conjunto las actuaciones que obran en el expediente electrónico para así determinar si en efecto, la respuesta del </w:t>
      </w:r>
      <w:r w:rsidRPr="00D21F81">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transgrede el derecho de acceso a la información del </w:t>
      </w:r>
      <w:r w:rsidRPr="00C06713">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w:t>
      </w:r>
    </w:p>
    <w:p w:rsidR="0041538F" w:rsidRDefault="0041538F" w:rsidP="0041538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3F309F">
        <w:rPr>
          <w:rFonts w:ascii="Palatino Linotype" w:hAnsi="Palatino Linotype" w:cs="Arial"/>
          <w:color w:val="000000" w:themeColor="text1"/>
          <w:lang w:val="es-MX"/>
        </w:rPr>
        <w:t xml:space="preserve">Es de precisar que se obvia el análisis de la competencia por parte del </w:t>
      </w:r>
      <w:r w:rsidRPr="003F309F">
        <w:rPr>
          <w:rFonts w:ascii="Palatino Linotype" w:hAnsi="Palatino Linotype" w:cs="Arial"/>
          <w:b/>
          <w:color w:val="000000" w:themeColor="text1"/>
          <w:lang w:val="es-MX"/>
        </w:rPr>
        <w:t>Sujeto Obligado</w:t>
      </w:r>
      <w:r w:rsidRPr="003F309F">
        <w:rPr>
          <w:rFonts w:ascii="Palatino Linotype" w:hAnsi="Palatino Linotype" w:cs="Arial"/>
          <w:color w:val="000000" w:themeColor="text1"/>
          <w:lang w:val="es-MX"/>
        </w:rPr>
        <w:t xml:space="preserve"> para generar, administrar o poseer la información solicitada, dado que éste ha asumido la misma, en razón de que </w:t>
      </w:r>
      <w:r>
        <w:rPr>
          <w:rFonts w:ascii="Palatino Linotype" w:hAnsi="Palatino Linotype" w:cs="Arial"/>
          <w:color w:val="000000" w:themeColor="text1"/>
          <w:lang w:val="es-MX"/>
        </w:rPr>
        <w:t xml:space="preserve">existe un pronunciamiento expreso </w:t>
      </w:r>
      <w:r w:rsidRPr="003F309F">
        <w:rPr>
          <w:rFonts w:ascii="Palatino Linotype" w:hAnsi="Palatino Linotype" w:cs="Arial"/>
          <w:color w:val="000000" w:themeColor="text1"/>
          <w:lang w:val="es-MX"/>
        </w:rPr>
        <w:t xml:space="preserve">referente </w:t>
      </w:r>
      <w:r>
        <w:rPr>
          <w:rFonts w:ascii="Palatino Linotype" w:hAnsi="Palatino Linotype" w:cs="Arial"/>
          <w:color w:val="000000" w:themeColor="text1"/>
          <w:lang w:val="es-MX"/>
        </w:rPr>
        <w:t>a la información solicitada;</w:t>
      </w:r>
      <w:r w:rsidRPr="003F309F">
        <w:rPr>
          <w:rFonts w:ascii="Palatino Linotype" w:hAnsi="Palatino Linotype" w:cs="Arial"/>
          <w:color w:val="000000" w:themeColor="text1"/>
          <w:lang w:val="es-MX"/>
        </w:rPr>
        <w:t xml:space="preserve"> por lo tanto, el hecho de que </w:t>
      </w:r>
      <w:r>
        <w:rPr>
          <w:rFonts w:ascii="Palatino Linotype" w:hAnsi="Palatino Linotype" w:cs="Arial"/>
          <w:color w:val="000000" w:themeColor="text1"/>
          <w:lang w:val="es-MX"/>
        </w:rPr>
        <w:t>e</w:t>
      </w:r>
      <w:r w:rsidRPr="003F309F">
        <w:rPr>
          <w:rFonts w:ascii="Palatino Linotype" w:hAnsi="Palatino Linotype" w:cs="Arial"/>
          <w:color w:val="000000" w:themeColor="text1"/>
          <w:lang w:val="es-MX"/>
        </w:rPr>
        <w:t>l</w:t>
      </w:r>
      <w:r w:rsidRPr="003F309F">
        <w:rPr>
          <w:rFonts w:ascii="Palatino Linotype" w:hAnsi="Palatino Linotype" w:cs="Arial"/>
          <w:b/>
          <w:color w:val="000000" w:themeColor="text1"/>
          <w:lang w:val="es-MX"/>
        </w:rPr>
        <w:t xml:space="preserve"> Sujeto Obligado</w:t>
      </w:r>
      <w:r w:rsidRPr="003F309F">
        <w:rPr>
          <w:rFonts w:ascii="Palatino Linotype" w:hAnsi="Palatino Linotype" w:cs="Arial"/>
          <w:color w:val="000000" w:themeColor="text1"/>
          <w:lang w:val="es-MX"/>
        </w:rPr>
        <w:t xml:space="preserve"> haya </w:t>
      </w:r>
      <w:r>
        <w:rPr>
          <w:rFonts w:ascii="Palatino Linotype" w:hAnsi="Palatino Linotype" w:cs="Arial"/>
          <w:color w:val="000000" w:themeColor="text1"/>
          <w:lang w:val="es-MX"/>
        </w:rPr>
        <w:t xml:space="preserve">pretendido </w:t>
      </w:r>
      <w:r w:rsidRPr="003F309F">
        <w:rPr>
          <w:rFonts w:ascii="Palatino Linotype" w:hAnsi="Palatino Linotype" w:cs="Arial"/>
          <w:color w:val="000000" w:themeColor="text1"/>
          <w:lang w:val="es-MX"/>
        </w:rPr>
        <w:t>otorgar lo solicitado a</w:t>
      </w:r>
      <w:r>
        <w:rPr>
          <w:rFonts w:ascii="Palatino Linotype" w:hAnsi="Palatino Linotype" w:cs="Arial"/>
          <w:color w:val="000000" w:themeColor="text1"/>
          <w:lang w:val="es-MX"/>
        </w:rPr>
        <w:t>l</w:t>
      </w:r>
      <w:r w:rsidRPr="003F309F">
        <w:rPr>
          <w:rFonts w:ascii="Palatino Linotype" w:hAnsi="Palatino Linotype" w:cs="Arial"/>
          <w:b/>
          <w:color w:val="000000" w:themeColor="text1"/>
          <w:lang w:val="es-MX"/>
        </w:rPr>
        <w:t xml:space="preserve"> Recurrente</w:t>
      </w:r>
      <w:r w:rsidRPr="003F309F">
        <w:rPr>
          <w:rFonts w:ascii="Palatino Linotype" w:hAnsi="Palatino Linotype" w:cs="Arial"/>
          <w:color w:val="000000" w:themeColor="text1"/>
          <w:lang w:val="es-MX"/>
        </w:rPr>
        <w:t>,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rsidR="0041538F" w:rsidRDefault="0041538F" w:rsidP="0041538F">
      <w:pPr>
        <w:spacing w:before="240" w:after="240" w:line="360" w:lineRule="auto"/>
        <w:jc w:val="both"/>
        <w:rPr>
          <w:rFonts w:ascii="Palatino Linotype" w:hAnsi="Palatino Linotype" w:cs="Arial"/>
          <w:sz w:val="24"/>
          <w:szCs w:val="24"/>
        </w:rPr>
      </w:pPr>
      <w:r w:rsidRPr="006676E2">
        <w:rPr>
          <w:rFonts w:ascii="Palatino Linotype" w:hAnsi="Palatino Linotype"/>
          <w:sz w:val="24"/>
          <w:szCs w:val="24"/>
        </w:rPr>
        <w:t>De hecho el estudio de la naturaleza jurídica de la información pública solicitada, tiene por objeto determinar si ésta la genera, posee o adm</w:t>
      </w:r>
      <w:r>
        <w:rPr>
          <w:rFonts w:ascii="Palatino Linotype" w:hAnsi="Palatino Linotype"/>
          <w:sz w:val="24"/>
          <w:szCs w:val="24"/>
        </w:rPr>
        <w:t>inistra el</w:t>
      </w:r>
      <w:r w:rsidRPr="00E6099D">
        <w:rPr>
          <w:rFonts w:ascii="Palatino Linotype" w:hAnsi="Palatino Linotype"/>
          <w:b/>
          <w:sz w:val="24"/>
          <w:szCs w:val="24"/>
        </w:rPr>
        <w:t xml:space="preserve"> Sujeto Obligado</w:t>
      </w:r>
      <w:r w:rsidRPr="006676E2">
        <w:rPr>
          <w:rFonts w:ascii="Palatino Linotype" w:hAnsi="Palatino Linotype"/>
          <w:sz w:val="24"/>
          <w:szCs w:val="24"/>
        </w:rPr>
        <w:t>; sin embargo, en aquellos casos en que éste la asume, implica en automático que la genera, posee o administra; por consiguiente, a nada práctico nos conduciría su estudio, ya que se insiste la información pública solicitada, ya f</w:t>
      </w:r>
      <w:r>
        <w:rPr>
          <w:rFonts w:ascii="Palatino Linotype" w:hAnsi="Palatino Linotype"/>
          <w:sz w:val="24"/>
          <w:szCs w:val="24"/>
        </w:rPr>
        <w:t>ue asumida por el</w:t>
      </w:r>
      <w:r w:rsidRPr="00E6099D">
        <w:rPr>
          <w:rFonts w:ascii="Palatino Linotype" w:hAnsi="Palatino Linotype"/>
          <w:b/>
          <w:sz w:val="24"/>
          <w:szCs w:val="24"/>
        </w:rPr>
        <w:t xml:space="preserve"> Sujeto Obligado</w:t>
      </w:r>
      <w:r w:rsidRPr="006676E2">
        <w:rPr>
          <w:rFonts w:ascii="Palatino Linotype" w:hAnsi="Palatino Linotype"/>
          <w:sz w:val="24"/>
          <w:szCs w:val="24"/>
        </w:rPr>
        <w:t>.</w:t>
      </w:r>
    </w:p>
    <w:p w:rsidR="00786A82" w:rsidRPr="0001308A" w:rsidRDefault="0041538F" w:rsidP="00786A82">
      <w:pPr>
        <w:spacing w:before="240" w:after="240" w:line="360" w:lineRule="auto"/>
        <w:jc w:val="both"/>
        <w:rPr>
          <w:rFonts w:ascii="Palatino Linotype" w:hAnsi="Palatino Linotype"/>
          <w:b/>
          <w:sz w:val="24"/>
          <w:szCs w:val="24"/>
        </w:rPr>
      </w:pPr>
      <w:r w:rsidRPr="001D41C1">
        <w:rPr>
          <w:rFonts w:ascii="Palatino Linotype" w:hAnsi="Palatino Linotype" w:cs="Arial"/>
          <w:sz w:val="24"/>
          <w:szCs w:val="24"/>
        </w:rPr>
        <w:t xml:space="preserve">De este modo, </w:t>
      </w:r>
      <w:r w:rsidR="006F761F" w:rsidRPr="001D41C1">
        <w:rPr>
          <w:rFonts w:ascii="Palatino Linotype" w:hAnsi="Palatino Linotype" w:cs="Arial"/>
          <w:sz w:val="24"/>
          <w:szCs w:val="24"/>
        </w:rPr>
        <w:t xml:space="preserve">para la debida evaluación de la información proporcionada por el </w:t>
      </w:r>
      <w:r w:rsidR="006F761F" w:rsidRPr="001D41C1">
        <w:rPr>
          <w:rFonts w:ascii="Palatino Linotype" w:hAnsi="Palatino Linotype" w:cs="Arial"/>
          <w:b/>
          <w:sz w:val="24"/>
          <w:szCs w:val="24"/>
        </w:rPr>
        <w:t xml:space="preserve">Sujeto Obligado </w:t>
      </w:r>
      <w:r w:rsidR="006F761F" w:rsidRPr="001D41C1">
        <w:rPr>
          <w:rFonts w:ascii="Palatino Linotype" w:hAnsi="Palatino Linotype" w:cs="Arial"/>
          <w:sz w:val="24"/>
          <w:szCs w:val="24"/>
        </w:rPr>
        <w:t xml:space="preserve">en contraste con la solicitada por el </w:t>
      </w:r>
      <w:r w:rsidR="006F761F" w:rsidRPr="001D41C1">
        <w:rPr>
          <w:rFonts w:ascii="Palatino Linotype" w:hAnsi="Palatino Linotype" w:cs="Arial"/>
          <w:b/>
          <w:sz w:val="24"/>
          <w:szCs w:val="24"/>
        </w:rPr>
        <w:t>Recurrente</w:t>
      </w:r>
      <w:r w:rsidR="006F761F" w:rsidRPr="001D41C1">
        <w:rPr>
          <w:rFonts w:ascii="Palatino Linotype" w:hAnsi="Palatino Linotype" w:cs="Arial"/>
          <w:sz w:val="24"/>
          <w:szCs w:val="24"/>
        </w:rPr>
        <w:t xml:space="preserve">, </w:t>
      </w:r>
      <w:r w:rsidR="006F761F">
        <w:rPr>
          <w:rFonts w:ascii="Palatino Linotype" w:hAnsi="Palatino Linotype" w:cs="Arial"/>
          <w:sz w:val="24"/>
          <w:szCs w:val="24"/>
        </w:rPr>
        <w:t xml:space="preserve">se considera </w:t>
      </w:r>
      <w:r w:rsidR="006F761F">
        <w:rPr>
          <w:rFonts w:ascii="Palatino Linotype" w:hAnsi="Palatino Linotype" w:cs="Arial"/>
          <w:sz w:val="24"/>
          <w:szCs w:val="24"/>
        </w:rPr>
        <w:lastRenderedPageBreak/>
        <w:t>oportuno traer a contexto los</w:t>
      </w:r>
      <w:r w:rsidR="00786A82">
        <w:rPr>
          <w:rFonts w:ascii="Palatino Linotype" w:hAnsi="Palatino Linotype" w:cs="Arial"/>
          <w:sz w:val="24"/>
          <w:szCs w:val="24"/>
        </w:rPr>
        <w:t xml:space="preserve"> siguientes dispositivos legales de </w:t>
      </w:r>
      <w:r w:rsidR="00786A82" w:rsidRPr="00786A82">
        <w:rPr>
          <w:rFonts w:ascii="Palatino Linotype" w:hAnsi="Palatino Linotype"/>
          <w:sz w:val="24"/>
          <w:szCs w:val="24"/>
        </w:rPr>
        <w:t>la Ley de Transparencia y Acceso a la Información Pública del Estado de México y Municipios</w:t>
      </w:r>
      <w:r w:rsidR="00786A82">
        <w:rPr>
          <w:rFonts w:ascii="Palatino Linotype" w:hAnsi="Palatino Linotype"/>
          <w:sz w:val="24"/>
          <w:szCs w:val="24"/>
        </w:rPr>
        <w:t>:</w:t>
      </w:r>
      <w:r w:rsidR="00786A82" w:rsidRPr="00786A82">
        <w:rPr>
          <w:rFonts w:ascii="Palatino Linotype" w:hAnsi="Palatino Linotype"/>
          <w:sz w:val="24"/>
          <w:szCs w:val="24"/>
        </w:rPr>
        <w:t xml:space="preserve">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i/>
          <w:sz w:val="24"/>
          <w:szCs w:val="24"/>
        </w:rPr>
      </w:pPr>
      <w:r w:rsidRPr="005A30A5">
        <w:rPr>
          <w:rFonts w:ascii="Palatino Linotype" w:hAnsi="Palatino Linotype" w:cs="Arial"/>
          <w:i/>
          <w:sz w:val="24"/>
          <w:szCs w:val="24"/>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i/>
          <w:sz w:val="24"/>
          <w:szCs w:val="24"/>
        </w:rPr>
        <w:t>…</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11. </w:t>
      </w:r>
      <w:r w:rsidRPr="005A30A5">
        <w:rPr>
          <w:rFonts w:ascii="Palatino Linotype" w:hAnsi="Palatino Linotype" w:cs="Arial"/>
          <w:bCs/>
          <w:i/>
          <w:sz w:val="24"/>
          <w:szCs w:val="24"/>
          <w:u w:val="single"/>
        </w:rPr>
        <w:t>En la</w:t>
      </w:r>
      <w:r w:rsidRPr="005A30A5">
        <w:rPr>
          <w:rFonts w:ascii="Palatino Linotype" w:hAnsi="Palatino Linotype" w:cs="Arial"/>
          <w:bCs/>
          <w:i/>
          <w:sz w:val="24"/>
          <w:szCs w:val="24"/>
        </w:rPr>
        <w:t xml:space="preserve"> generación, publicación y </w:t>
      </w:r>
      <w:r w:rsidRPr="005A30A5">
        <w:rPr>
          <w:rFonts w:ascii="Palatino Linotype" w:hAnsi="Palatino Linotype" w:cs="Arial"/>
          <w:bCs/>
          <w:i/>
          <w:sz w:val="24"/>
          <w:szCs w:val="24"/>
          <w:u w:val="single"/>
        </w:rPr>
        <w:t xml:space="preserve">entrega de información se deberá garantizar que ésta </w:t>
      </w:r>
      <w:r w:rsidRPr="00786A82">
        <w:rPr>
          <w:rFonts w:ascii="Palatino Linotype" w:hAnsi="Palatino Linotype" w:cs="Arial"/>
          <w:bCs/>
          <w:i/>
          <w:sz w:val="24"/>
          <w:szCs w:val="24"/>
          <w:u w:val="single"/>
        </w:rPr>
        <w:t>sea accesible</w:t>
      </w:r>
      <w:r w:rsidRPr="005A30A5">
        <w:rPr>
          <w:rFonts w:ascii="Palatino Linotype" w:hAnsi="Palatino Linotype" w:cs="Arial"/>
          <w:bCs/>
          <w:i/>
          <w:sz w:val="24"/>
          <w:szCs w:val="24"/>
        </w:rPr>
        <w:t xml:space="preserve">, actualizada, </w:t>
      </w:r>
      <w:r w:rsidRPr="00B07089">
        <w:rPr>
          <w:rFonts w:ascii="Palatino Linotype" w:hAnsi="Palatino Linotype" w:cs="Arial"/>
          <w:bCs/>
          <w:i/>
          <w:sz w:val="24"/>
          <w:szCs w:val="24"/>
          <w:u w:val="single"/>
        </w:rPr>
        <w:t>completa,</w:t>
      </w:r>
      <w:r w:rsidRPr="005A30A5">
        <w:rPr>
          <w:rFonts w:ascii="Palatino Linotype" w:hAnsi="Palatino Linotype" w:cs="Arial"/>
          <w:bCs/>
          <w:i/>
          <w:sz w:val="24"/>
          <w:szCs w:val="24"/>
        </w:rPr>
        <w:t xml:space="preserve"> </w:t>
      </w:r>
      <w:r w:rsidRPr="005A30A5">
        <w:rPr>
          <w:rFonts w:ascii="Palatino Linotype" w:hAnsi="Palatino Linotype" w:cs="Arial"/>
          <w:bCs/>
          <w:i/>
          <w:sz w:val="24"/>
          <w:szCs w:val="24"/>
          <w:u w:val="single"/>
        </w:rPr>
        <w:t>congruente</w:t>
      </w:r>
      <w:r w:rsidRPr="005A30A5">
        <w:rPr>
          <w:rFonts w:ascii="Palatino Linotype" w:hAnsi="Palatino Linotype" w:cs="Arial"/>
          <w:bCs/>
          <w:i/>
          <w:sz w:val="24"/>
          <w:szCs w:val="24"/>
        </w:rPr>
        <w:t xml:space="preserve">, confiable, verificable, veraz, integral, </w:t>
      </w:r>
      <w:r w:rsidRPr="00786A82">
        <w:rPr>
          <w:rFonts w:ascii="Palatino Linotype" w:hAnsi="Palatino Linotype" w:cs="Arial"/>
          <w:bCs/>
          <w:i/>
          <w:sz w:val="24"/>
          <w:szCs w:val="24"/>
          <w:u w:val="single"/>
        </w:rPr>
        <w:t>oportuna y expedita</w:t>
      </w:r>
      <w:r w:rsidRPr="005A30A5">
        <w:rPr>
          <w:rFonts w:ascii="Palatino Linotype" w:hAnsi="Palatino Linotype" w:cs="Arial"/>
          <w:bCs/>
          <w:i/>
          <w:sz w:val="24"/>
          <w:szCs w:val="24"/>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Artículo 12.</w:t>
      </w:r>
      <w:r w:rsidRPr="005A30A5">
        <w:rPr>
          <w:rFonts w:ascii="Palatino Linotype" w:hAnsi="Palatino Linotype" w:cs="Arial"/>
          <w:bCs/>
          <w:i/>
          <w:sz w:val="24"/>
          <w:szCs w:val="24"/>
          <w:u w:val="single"/>
        </w:rPr>
        <w:t xml:space="preserve"> Quienes generen, recopilen, administren, manejen, procesen, archiven o conserven información pública serán responsables de la misma en los términos de las disposiciones jurídicas aplicables</w:t>
      </w:r>
      <w:r w:rsidRPr="005A30A5">
        <w:rPr>
          <w:rFonts w:ascii="Palatino Linotype" w:hAnsi="Palatino Linotype" w:cs="Arial"/>
          <w:bCs/>
          <w:i/>
          <w:sz w:val="24"/>
          <w:szCs w:val="24"/>
        </w:rPr>
        <w:t xml:space="preserve">.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B07089">
        <w:rPr>
          <w:rFonts w:ascii="Palatino Linotype" w:hAnsi="Palatino Linotype" w:cs="Arial"/>
          <w:bCs/>
          <w:i/>
          <w:sz w:val="24"/>
          <w:szCs w:val="24"/>
          <w:u w:val="single"/>
        </w:rPr>
        <w:t>Los sujetos obligados sólo proporcionarán la información pública que se les requiera y que obre en sus archivos y en el estado en que ésta se encuentre.</w:t>
      </w:r>
      <w:r w:rsidRPr="005A30A5">
        <w:rPr>
          <w:rFonts w:ascii="Palatino Linotype" w:hAnsi="Palatino Linotype" w:cs="Arial"/>
          <w:bCs/>
          <w:i/>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23. </w:t>
      </w:r>
      <w:r w:rsidRPr="005A30A5">
        <w:rPr>
          <w:rFonts w:ascii="Palatino Linotype" w:hAnsi="Palatino Linotype" w:cs="Arial"/>
          <w:bCs/>
          <w:i/>
          <w:sz w:val="24"/>
          <w:szCs w:val="24"/>
          <w:u w:val="single"/>
        </w:rPr>
        <w:t>Son sujetos obligados a transparentar y permitir el acceso a su información</w:t>
      </w:r>
      <w:r w:rsidRPr="005A30A5">
        <w:rPr>
          <w:rFonts w:ascii="Palatino Linotype" w:hAnsi="Palatino Linotype" w:cs="Arial"/>
          <w:bCs/>
          <w:i/>
          <w:sz w:val="24"/>
          <w:szCs w:val="24"/>
        </w:rPr>
        <w:t xml:space="preserve"> y proteger los datos personales que obren en su poder: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IV. </w:t>
      </w:r>
      <w:r w:rsidRPr="005A30A5">
        <w:rPr>
          <w:rFonts w:ascii="Palatino Linotype" w:hAnsi="Palatino Linotype" w:cs="Arial"/>
          <w:bCs/>
          <w:i/>
          <w:sz w:val="24"/>
          <w:szCs w:val="24"/>
          <w:u w:val="single"/>
        </w:rPr>
        <w:t>Los ayuntamientos</w:t>
      </w:r>
      <w:r w:rsidRPr="005A30A5">
        <w:rPr>
          <w:rFonts w:ascii="Palatino Linotype" w:hAnsi="Palatino Linotype" w:cs="Arial"/>
          <w:bCs/>
          <w:i/>
          <w:sz w:val="24"/>
          <w:szCs w:val="24"/>
        </w:rPr>
        <w:t xml:space="preserve"> y las dependencias, organismos, órganos y entidades de la administración municipal;</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u w:val="single"/>
        </w:rPr>
        <w:lastRenderedPageBreak/>
        <w:t>Los sujetos obligados deberán hacer pública toda aquella información relativa a los montos y las personas a quienes entreguen, por cualquier motivo, recursos públicos,</w:t>
      </w:r>
      <w:r w:rsidRPr="005A30A5">
        <w:rPr>
          <w:rFonts w:ascii="Palatino Linotype" w:hAnsi="Palatino Linotype" w:cs="Arial"/>
          <w:bCs/>
          <w:i/>
          <w:sz w:val="24"/>
          <w:szCs w:val="24"/>
        </w:rPr>
        <w:t xml:space="preserve"> así como los informes que dichas personas les entreguen sobre el uso y destino de dichos recursos.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u w:val="single"/>
        </w:rPr>
      </w:pPr>
      <w:r w:rsidRPr="005A30A5">
        <w:rPr>
          <w:rFonts w:ascii="Palatino Linotype" w:hAnsi="Palatino Linotype" w:cs="Arial"/>
          <w:bCs/>
          <w:i/>
          <w:sz w:val="24"/>
          <w:szCs w:val="24"/>
          <w:u w:val="single"/>
        </w:rPr>
        <w:t>Los servidores públicos deberán transparentar sus acciones así como garantizar y respetar el derecho de acceso a la información pública.</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24. Para el cumplimiento de los objetivos de esta Ley, </w:t>
      </w:r>
      <w:r w:rsidRPr="005A30A5">
        <w:rPr>
          <w:rFonts w:ascii="Palatino Linotype" w:hAnsi="Palatino Linotype" w:cs="Arial"/>
          <w:bCs/>
          <w:i/>
          <w:sz w:val="24"/>
          <w:szCs w:val="24"/>
          <w:u w:val="single"/>
        </w:rPr>
        <w:t>los sujetos obligados deberán cumplir con las siguientes obligaciones</w:t>
      </w:r>
      <w:r w:rsidRPr="005A30A5">
        <w:rPr>
          <w:rFonts w:ascii="Palatino Linotype" w:hAnsi="Palatino Linotype" w:cs="Arial"/>
          <w:bCs/>
          <w:i/>
          <w:sz w:val="24"/>
          <w:szCs w:val="24"/>
        </w:rPr>
        <w:t xml:space="preserve">, según corresponda, de acuerdo a su naturaleza: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XI. </w:t>
      </w:r>
      <w:r w:rsidRPr="005A30A5">
        <w:rPr>
          <w:rFonts w:ascii="Palatino Linotype" w:hAnsi="Palatino Linotype" w:cs="Arial"/>
          <w:bCs/>
          <w:i/>
          <w:sz w:val="24"/>
          <w:szCs w:val="24"/>
          <w:u w:val="single"/>
        </w:rPr>
        <w:t>Dar acceso a la información pública que le sea requerida</w:t>
      </w:r>
      <w:r w:rsidRPr="005A30A5">
        <w:rPr>
          <w:rFonts w:ascii="Palatino Linotype" w:hAnsi="Palatino Linotype" w:cs="Arial"/>
          <w:bCs/>
          <w:i/>
          <w:sz w:val="24"/>
          <w:szCs w:val="24"/>
        </w:rPr>
        <w:t xml:space="preserve">, en los términos de la Ley General, esta Ley y demás disposiciones jurídicas aplicables;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XVIII. </w:t>
      </w:r>
      <w:r w:rsidRPr="005A30A5">
        <w:rPr>
          <w:rFonts w:ascii="Palatino Linotype" w:hAnsi="Palatino Linotype" w:cs="Arial"/>
          <w:bCs/>
          <w:i/>
          <w:sz w:val="24"/>
          <w:szCs w:val="24"/>
          <w:u w:val="single"/>
        </w:rPr>
        <w:t>Hacer pública toda aquella información relativa a los montos y las personas a quienes entreguen, por cualquier motivo, recursos públicos</w:t>
      </w:r>
      <w:r w:rsidRPr="005A30A5">
        <w:rPr>
          <w:rFonts w:ascii="Palatino Linotype" w:hAnsi="Palatino Linotype" w:cs="Arial"/>
          <w:bCs/>
          <w:i/>
          <w:sz w:val="24"/>
          <w:szCs w:val="24"/>
        </w:rPr>
        <w:t xml:space="preserve">, así como los informes que dichas personas les entreguen sobre el uso y destino de dichos recursos;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XIX. </w:t>
      </w:r>
      <w:r w:rsidRPr="005A30A5">
        <w:rPr>
          <w:rFonts w:ascii="Palatino Linotype" w:hAnsi="Palatino Linotype" w:cs="Arial"/>
          <w:bCs/>
          <w:i/>
          <w:sz w:val="24"/>
          <w:szCs w:val="24"/>
          <w:u w:val="single"/>
        </w:rPr>
        <w:t>Transparentar sus acciones, así como garantizar y respetar el derecho a la información pública</w:t>
      </w:r>
      <w:r w:rsidRPr="005A30A5">
        <w:rPr>
          <w:rFonts w:ascii="Palatino Linotype" w:hAnsi="Palatino Linotype" w:cs="Arial"/>
          <w:bCs/>
          <w:i/>
          <w:sz w:val="24"/>
          <w:szCs w:val="24"/>
        </w:rPr>
        <w:t xml:space="preserve">;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XXII. </w:t>
      </w:r>
      <w:r w:rsidRPr="005A30A5">
        <w:rPr>
          <w:rFonts w:ascii="Palatino Linotype" w:hAnsi="Palatino Linotype" w:cs="Arial"/>
          <w:bCs/>
          <w:i/>
          <w:sz w:val="24"/>
          <w:szCs w:val="24"/>
          <w:u w:val="single"/>
        </w:rPr>
        <w:t>Documentar todo acto que derive del ejercicio de sus facultades, competencias o funciones y abstenerse de destruirlos u ocultarlos</w:t>
      </w:r>
      <w:r w:rsidRPr="005A30A5">
        <w:rPr>
          <w:rFonts w:ascii="Palatino Linotype" w:hAnsi="Palatino Linotype" w:cs="Arial"/>
          <w:bCs/>
          <w:i/>
          <w:sz w:val="24"/>
          <w:szCs w:val="24"/>
        </w:rPr>
        <w:t xml:space="preserve">, dentro de los que destacan los procesos deliberativos y de decisión definitiva; </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u w:val="single"/>
        </w:rPr>
        <w:t>En la administración, gestión y custodia de los archivos de información pública, los sujetos obligados, los servidores públicos habilitados y los servidores públicos en general, se ajustarán a lo establecido por la normatividad aplicable</w:t>
      </w:r>
      <w:r w:rsidRPr="005A30A5">
        <w:rPr>
          <w:rFonts w:ascii="Palatino Linotype" w:hAnsi="Palatino Linotype" w:cs="Arial"/>
          <w:bCs/>
          <w:i/>
          <w:sz w:val="24"/>
          <w:szCs w:val="24"/>
        </w:rPr>
        <w:t xml:space="preserve">. </w:t>
      </w:r>
    </w:p>
    <w:p w:rsidR="00786A82" w:rsidRDefault="00786A82" w:rsidP="00786A82">
      <w:pPr>
        <w:tabs>
          <w:tab w:val="left" w:pos="709"/>
        </w:tabs>
        <w:spacing w:before="120" w:after="120" w:line="240" w:lineRule="auto"/>
        <w:ind w:left="567" w:right="567"/>
        <w:jc w:val="both"/>
        <w:rPr>
          <w:rFonts w:ascii="Palatino Linotype" w:hAnsi="Palatino Linotype" w:cs="Arial"/>
          <w:bCs/>
          <w:i/>
          <w:sz w:val="24"/>
          <w:szCs w:val="24"/>
          <w:u w:val="single"/>
        </w:rPr>
      </w:pPr>
      <w:r w:rsidRPr="005A30A5">
        <w:rPr>
          <w:rFonts w:ascii="Palatino Linotype" w:hAnsi="Palatino Linotype" w:cs="Arial"/>
          <w:bCs/>
          <w:i/>
          <w:sz w:val="24"/>
          <w:szCs w:val="24"/>
          <w:u w:val="single"/>
        </w:rPr>
        <w:t>Los sujetos obligados solo proporcionarán la información pública que generen, administren o posean en el ejercicio de sus atribuciones.</w:t>
      </w:r>
    </w:p>
    <w:p w:rsidR="00786A82"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w:t>
      </w:r>
    </w:p>
    <w:p w:rsidR="00B979BE" w:rsidRDefault="00B979BE" w:rsidP="00786A82">
      <w:pPr>
        <w:tabs>
          <w:tab w:val="left" w:pos="709"/>
        </w:tabs>
        <w:spacing w:before="120" w:after="120" w:line="240" w:lineRule="auto"/>
        <w:ind w:left="567" w:right="567"/>
        <w:jc w:val="both"/>
        <w:rPr>
          <w:rFonts w:ascii="Palatino Linotype" w:hAnsi="Palatino Linotype" w:cs="Arial"/>
          <w:bCs/>
          <w:i/>
          <w:sz w:val="24"/>
          <w:szCs w:val="24"/>
        </w:rPr>
      </w:pPr>
      <w:r w:rsidRPr="00B979BE">
        <w:rPr>
          <w:rFonts w:ascii="Palatino Linotype" w:hAnsi="Palatino Linotype" w:cs="Arial"/>
          <w:bCs/>
          <w:i/>
          <w:sz w:val="24"/>
          <w:szCs w:val="24"/>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979BE" w:rsidRDefault="00B979BE" w:rsidP="00786A82">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rsidR="00B979BE" w:rsidRDefault="00B979BE" w:rsidP="00786A82">
      <w:pPr>
        <w:tabs>
          <w:tab w:val="left" w:pos="709"/>
        </w:tabs>
        <w:spacing w:before="120" w:after="120" w:line="240" w:lineRule="auto"/>
        <w:ind w:left="567" w:right="567"/>
        <w:jc w:val="both"/>
        <w:rPr>
          <w:rFonts w:ascii="Palatino Linotype" w:hAnsi="Palatino Linotype" w:cs="Arial"/>
          <w:bCs/>
          <w:i/>
          <w:sz w:val="24"/>
          <w:szCs w:val="24"/>
        </w:rPr>
      </w:pPr>
      <w:r w:rsidRPr="00B979BE">
        <w:rPr>
          <w:rFonts w:ascii="Palatino Linotype" w:hAnsi="Palatino Linotype" w:cs="Arial"/>
          <w:bCs/>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B979BE" w:rsidRPr="00707624" w:rsidRDefault="00B979BE" w:rsidP="00786A82">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rsidR="00786A82"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Artículo 166. </w:t>
      </w:r>
      <w:r w:rsidRPr="00707624">
        <w:rPr>
          <w:rFonts w:ascii="Palatino Linotype" w:hAnsi="Palatino Linotype" w:cs="Arial"/>
          <w:bCs/>
          <w:i/>
          <w:sz w:val="24"/>
          <w:szCs w:val="24"/>
          <w:u w:val="single"/>
        </w:rPr>
        <w:t>La obligación de acceso a la información pública se tendrá por cumplida cuando el solicitante tenga a su disposición la información requerida</w:t>
      </w:r>
      <w:r w:rsidRPr="00707624">
        <w:rPr>
          <w:rFonts w:ascii="Palatino Linotype" w:hAnsi="Palatino Linotype" w:cs="Arial"/>
          <w:bCs/>
          <w:i/>
          <w:sz w:val="24"/>
          <w:szCs w:val="24"/>
        </w:rPr>
        <w:t>, o cuando realice la consulta de la misma en el lugar en el que ésta se localice.</w:t>
      </w:r>
    </w:p>
    <w:p w:rsidR="00786A82"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rsidR="00786A82"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Artículo 179. </w:t>
      </w:r>
      <w:r w:rsidRPr="00707624">
        <w:rPr>
          <w:rFonts w:ascii="Palatino Linotype" w:hAnsi="Palatino Linotype" w:cs="Arial"/>
          <w:bCs/>
          <w:i/>
          <w:sz w:val="24"/>
          <w:szCs w:val="24"/>
          <w:u w:val="single"/>
        </w:rPr>
        <w:t>El recurso de revisión es un medio de protección que la Ley otorga a los particulares, para hacer valer su derecho de acceso a la información pública, y procederá en contra de las siguientes causas</w:t>
      </w:r>
      <w:r w:rsidRPr="00707624">
        <w:rPr>
          <w:rFonts w:ascii="Palatino Linotype" w:hAnsi="Palatino Linotype" w:cs="Arial"/>
          <w:bCs/>
          <w:i/>
          <w:sz w:val="24"/>
          <w:szCs w:val="24"/>
        </w:rPr>
        <w:t>:</w:t>
      </w:r>
    </w:p>
    <w:p w:rsidR="00B979BE" w:rsidRDefault="00B979BE" w:rsidP="00786A82">
      <w:pPr>
        <w:tabs>
          <w:tab w:val="left" w:pos="709"/>
        </w:tabs>
        <w:spacing w:before="120" w:after="120" w:line="240" w:lineRule="auto"/>
        <w:ind w:left="567" w:right="567"/>
        <w:jc w:val="both"/>
        <w:rPr>
          <w:rFonts w:ascii="Palatino Linotype" w:hAnsi="Palatino Linotype" w:cs="Arial"/>
          <w:bCs/>
          <w:i/>
          <w:sz w:val="24"/>
          <w:szCs w:val="24"/>
        </w:rPr>
      </w:pPr>
      <w:r w:rsidRPr="00B979BE">
        <w:rPr>
          <w:rFonts w:ascii="Palatino Linotype" w:hAnsi="Palatino Linotype" w:cs="Arial"/>
          <w:bCs/>
          <w:i/>
          <w:iCs/>
          <w:sz w:val="24"/>
          <w:szCs w:val="24"/>
        </w:rPr>
        <w:t xml:space="preserve">I. </w:t>
      </w:r>
      <w:r w:rsidRPr="00B979BE">
        <w:rPr>
          <w:rFonts w:ascii="Palatino Linotype" w:hAnsi="Palatino Linotype" w:cs="Arial"/>
          <w:bCs/>
          <w:i/>
          <w:iCs/>
          <w:sz w:val="24"/>
          <w:szCs w:val="24"/>
          <w:u w:val="single"/>
        </w:rPr>
        <w:t>La negativa a la información solicitada;</w:t>
      </w:r>
    </w:p>
    <w:p w:rsidR="00786A82"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rsidR="00B979BE" w:rsidRDefault="00B979BE" w:rsidP="00786A82">
      <w:pPr>
        <w:tabs>
          <w:tab w:val="left" w:pos="709"/>
        </w:tabs>
        <w:spacing w:before="120" w:after="120" w:line="240" w:lineRule="auto"/>
        <w:ind w:left="567" w:right="567"/>
        <w:jc w:val="both"/>
        <w:rPr>
          <w:rFonts w:ascii="Palatino Linotype" w:hAnsi="Palatino Linotype" w:cs="Arial"/>
          <w:bCs/>
          <w:i/>
          <w:sz w:val="24"/>
          <w:szCs w:val="24"/>
        </w:rPr>
      </w:pPr>
      <w:r w:rsidRPr="00CE27BB">
        <w:rPr>
          <w:rFonts w:ascii="Palatino Linotype" w:eastAsiaTheme="minorEastAsia" w:hAnsi="Palatino Linotype" w:cs="Bookman Old Style"/>
          <w:i/>
          <w:sz w:val="24"/>
          <w:szCs w:val="24"/>
        </w:rPr>
        <w:t xml:space="preserve">V. </w:t>
      </w:r>
      <w:r w:rsidRPr="00B979BE">
        <w:rPr>
          <w:rFonts w:ascii="Palatino Linotype" w:eastAsiaTheme="minorEastAsia" w:hAnsi="Palatino Linotype" w:cs="Bookman Old Style"/>
          <w:i/>
          <w:sz w:val="24"/>
          <w:szCs w:val="24"/>
        </w:rPr>
        <w:t>La entrega de información incompleta;</w:t>
      </w:r>
    </w:p>
    <w:p w:rsidR="00786A82" w:rsidRDefault="00786A82" w:rsidP="00786A82">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VI. </w:t>
      </w:r>
      <w:r w:rsidRPr="00707624">
        <w:rPr>
          <w:rFonts w:ascii="Palatino Linotype" w:hAnsi="Palatino Linotype" w:cs="Arial"/>
          <w:bCs/>
          <w:i/>
          <w:sz w:val="24"/>
          <w:szCs w:val="24"/>
          <w:u w:val="single"/>
        </w:rPr>
        <w:t>La entrega de información que no corresponda con lo solicitado</w:t>
      </w:r>
      <w:r w:rsidRPr="00707624">
        <w:rPr>
          <w:rFonts w:ascii="Palatino Linotype" w:hAnsi="Palatino Linotype" w:cs="Arial"/>
          <w:bCs/>
          <w:i/>
          <w:sz w:val="24"/>
          <w:szCs w:val="24"/>
        </w:rPr>
        <w:t>;</w:t>
      </w:r>
    </w:p>
    <w:p w:rsidR="00786A82" w:rsidRPr="005A30A5" w:rsidRDefault="00786A82" w:rsidP="00786A82">
      <w:pPr>
        <w:tabs>
          <w:tab w:val="left" w:pos="709"/>
        </w:tabs>
        <w:spacing w:before="120" w:after="120" w:line="240" w:lineRule="auto"/>
        <w:ind w:left="567" w:right="567"/>
        <w:jc w:val="both"/>
        <w:rPr>
          <w:rFonts w:ascii="Palatino Linotype" w:hAnsi="Palatino Linotype" w:cs="Arial"/>
          <w:bCs/>
          <w:i/>
          <w:sz w:val="24"/>
          <w:szCs w:val="24"/>
          <w:u w:val="single"/>
        </w:rPr>
      </w:pPr>
      <w:r>
        <w:rPr>
          <w:rFonts w:ascii="Palatino Linotype" w:hAnsi="Palatino Linotype" w:cs="Arial"/>
          <w:bCs/>
          <w:i/>
          <w:sz w:val="24"/>
          <w:szCs w:val="24"/>
        </w:rPr>
        <w:t>…</w:t>
      </w:r>
      <w:r w:rsidRPr="00707624">
        <w:rPr>
          <w:rFonts w:ascii="Palatino Linotype" w:hAnsi="Palatino Linotype" w:cs="Arial"/>
          <w:bCs/>
          <w:i/>
          <w:sz w:val="24"/>
          <w:szCs w:val="24"/>
        </w:rPr>
        <w:t>”</w:t>
      </w:r>
      <w:r w:rsidRPr="005A30A5">
        <w:rPr>
          <w:rFonts w:ascii="Palatino Linotype" w:hAnsi="Palatino Linotype" w:cs="Arial"/>
          <w:bCs/>
          <w:i/>
          <w:sz w:val="24"/>
          <w:szCs w:val="24"/>
        </w:rPr>
        <w:t xml:space="preserve"> (Énfasis añadido)</w:t>
      </w:r>
    </w:p>
    <w:p w:rsidR="00B979BE" w:rsidRDefault="00786A82" w:rsidP="00786A82">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 xml:space="preserve">Bajo esas premisas legales, se tiene que toda información generada, poseída o administrada por las autoridades en ejercicio de sus facultades, es de carácter pública; debiendo todo </w:t>
      </w:r>
      <w:r w:rsidRPr="00B979BE">
        <w:rPr>
          <w:rFonts w:ascii="Palatino Linotype" w:hAnsi="Palatino Linotype" w:cs="Arial"/>
          <w:b/>
          <w:bCs/>
          <w:sz w:val="24"/>
          <w:szCs w:val="24"/>
        </w:rPr>
        <w:t>Sujeto Obligado</w:t>
      </w:r>
      <w:r>
        <w:rPr>
          <w:rFonts w:ascii="Palatino Linotype" w:hAnsi="Palatino Linotype" w:cs="Arial"/>
          <w:bCs/>
          <w:sz w:val="24"/>
          <w:szCs w:val="24"/>
        </w:rPr>
        <w:t xml:space="preserve"> poner a disposición de los solicitantes los documentos en los que conste lo solicitado; además</w:t>
      </w:r>
      <w:r w:rsidR="00B979BE">
        <w:rPr>
          <w:rFonts w:ascii="Palatino Linotype" w:hAnsi="Palatino Linotype" w:cs="Arial"/>
          <w:bCs/>
          <w:sz w:val="24"/>
          <w:szCs w:val="24"/>
        </w:rPr>
        <w:t xml:space="preserve">, </w:t>
      </w:r>
      <w:r>
        <w:rPr>
          <w:rFonts w:ascii="Palatino Linotype" w:hAnsi="Palatino Linotype" w:cs="Arial"/>
          <w:bCs/>
          <w:sz w:val="24"/>
          <w:szCs w:val="24"/>
        </w:rPr>
        <w:t xml:space="preserve">este Instituto como Órgano garante, está facultado para que vía Recurso de Revisión subsane aquellas violaciones </w:t>
      </w:r>
      <w:r>
        <w:rPr>
          <w:rFonts w:ascii="Palatino Linotype" w:hAnsi="Palatino Linotype" w:cs="Arial"/>
          <w:bCs/>
          <w:sz w:val="24"/>
          <w:szCs w:val="24"/>
        </w:rPr>
        <w:lastRenderedPageBreak/>
        <w:t>que los Sujeto Obligados del Estado de México cometan al derecho de acceso a la información pública</w:t>
      </w:r>
      <w:r w:rsidR="00B979BE">
        <w:rPr>
          <w:rFonts w:ascii="Palatino Linotype" w:hAnsi="Palatino Linotype" w:cs="Arial"/>
          <w:bCs/>
          <w:sz w:val="24"/>
          <w:szCs w:val="24"/>
        </w:rPr>
        <w:t xml:space="preserve">. </w:t>
      </w:r>
    </w:p>
    <w:p w:rsidR="00FF2DE7" w:rsidRDefault="00B979BE" w:rsidP="00786A82">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 xml:space="preserve">De este modo, se tiene que </w:t>
      </w:r>
      <w:r w:rsidRPr="00B979BE">
        <w:rPr>
          <w:rFonts w:ascii="Palatino Linotype" w:hAnsi="Palatino Linotype" w:cs="Arial"/>
          <w:b/>
          <w:bCs/>
          <w:sz w:val="24"/>
          <w:szCs w:val="24"/>
        </w:rPr>
        <w:t>Recurrente</w:t>
      </w:r>
      <w:r>
        <w:rPr>
          <w:rFonts w:ascii="Palatino Linotype" w:hAnsi="Palatino Linotype" w:cs="Arial"/>
          <w:bCs/>
          <w:sz w:val="24"/>
          <w:szCs w:val="24"/>
        </w:rPr>
        <w:t xml:space="preserve"> solicita el soporte documental en el que consten las percepciones netas de los meses marzo, abril y mayo de 2018, </w:t>
      </w:r>
      <w:r w:rsidR="00FF2DE7">
        <w:rPr>
          <w:rFonts w:ascii="Palatino Linotype" w:hAnsi="Palatino Linotype" w:cs="Arial"/>
          <w:bCs/>
          <w:sz w:val="24"/>
          <w:szCs w:val="24"/>
        </w:rPr>
        <w:t xml:space="preserve">de los </w:t>
      </w:r>
      <w:r>
        <w:rPr>
          <w:rFonts w:ascii="Palatino Linotype" w:hAnsi="Palatino Linotype" w:cs="Arial"/>
          <w:bCs/>
          <w:sz w:val="24"/>
          <w:szCs w:val="24"/>
        </w:rPr>
        <w:t xml:space="preserve">mandos medios y superiores que integran la Comisaría de Seguridad Pública y Tránsito del Ayuntamiento de Cuautitlán Izcalli; y, el </w:t>
      </w:r>
      <w:r w:rsidRPr="00FF2DE7">
        <w:rPr>
          <w:rFonts w:ascii="Palatino Linotype" w:hAnsi="Palatino Linotype" w:cs="Arial"/>
          <w:b/>
          <w:bCs/>
          <w:sz w:val="24"/>
          <w:szCs w:val="24"/>
        </w:rPr>
        <w:t>Sujeto Obligado</w:t>
      </w:r>
      <w:r>
        <w:rPr>
          <w:rFonts w:ascii="Palatino Linotype" w:hAnsi="Palatino Linotype" w:cs="Arial"/>
          <w:bCs/>
          <w:sz w:val="24"/>
          <w:szCs w:val="24"/>
        </w:rPr>
        <w:t xml:space="preserve"> vía respuesta e informe justifica</w:t>
      </w:r>
      <w:r w:rsidR="00C57419">
        <w:rPr>
          <w:rFonts w:ascii="Palatino Linotype" w:hAnsi="Palatino Linotype" w:cs="Arial"/>
          <w:bCs/>
          <w:sz w:val="24"/>
          <w:szCs w:val="24"/>
        </w:rPr>
        <w:t>do</w:t>
      </w:r>
      <w:r>
        <w:rPr>
          <w:rFonts w:ascii="Palatino Linotype" w:hAnsi="Palatino Linotype" w:cs="Arial"/>
          <w:bCs/>
          <w:sz w:val="24"/>
          <w:szCs w:val="24"/>
        </w:rPr>
        <w:t xml:space="preserve"> se limitó a remitir al </w:t>
      </w:r>
      <w:r w:rsidRPr="00FF2DE7">
        <w:rPr>
          <w:rFonts w:ascii="Palatino Linotype" w:hAnsi="Palatino Linotype" w:cs="Arial"/>
          <w:b/>
          <w:bCs/>
          <w:sz w:val="24"/>
          <w:szCs w:val="24"/>
        </w:rPr>
        <w:t>Recurrente</w:t>
      </w:r>
      <w:r>
        <w:rPr>
          <w:rFonts w:ascii="Palatino Linotype" w:hAnsi="Palatino Linotype" w:cs="Arial"/>
          <w:bCs/>
          <w:sz w:val="24"/>
          <w:szCs w:val="24"/>
        </w:rPr>
        <w:t xml:space="preserve"> a un determinado sitio de internet para </w:t>
      </w:r>
      <w:r w:rsidR="00C57419">
        <w:rPr>
          <w:rFonts w:ascii="Palatino Linotype" w:hAnsi="Palatino Linotype" w:cs="Arial"/>
          <w:bCs/>
          <w:sz w:val="24"/>
          <w:szCs w:val="24"/>
        </w:rPr>
        <w:t>la</w:t>
      </w:r>
      <w:r>
        <w:rPr>
          <w:rFonts w:ascii="Palatino Linotype" w:hAnsi="Palatino Linotype" w:cs="Arial"/>
          <w:bCs/>
          <w:sz w:val="24"/>
          <w:szCs w:val="24"/>
        </w:rPr>
        <w:t xml:space="preserve"> consulta </w:t>
      </w:r>
      <w:r w:rsidR="00C57419">
        <w:rPr>
          <w:rFonts w:ascii="Palatino Linotype" w:hAnsi="Palatino Linotype" w:cs="Arial"/>
          <w:bCs/>
          <w:sz w:val="24"/>
          <w:szCs w:val="24"/>
        </w:rPr>
        <w:t xml:space="preserve">de </w:t>
      </w:r>
      <w:r>
        <w:rPr>
          <w:rFonts w:ascii="Palatino Linotype" w:hAnsi="Palatino Linotype" w:cs="Arial"/>
          <w:bCs/>
          <w:sz w:val="24"/>
          <w:szCs w:val="24"/>
        </w:rPr>
        <w:t xml:space="preserve">la información </w:t>
      </w:r>
      <w:r w:rsidR="00C57419">
        <w:rPr>
          <w:rFonts w:ascii="Palatino Linotype" w:hAnsi="Palatino Linotype" w:cs="Arial"/>
          <w:bCs/>
          <w:sz w:val="24"/>
          <w:szCs w:val="24"/>
        </w:rPr>
        <w:t>solicitada</w:t>
      </w:r>
      <w:r w:rsidR="00FF2DE7">
        <w:rPr>
          <w:rFonts w:ascii="Palatino Linotype" w:hAnsi="Palatino Linotype" w:cs="Arial"/>
          <w:bCs/>
          <w:sz w:val="24"/>
          <w:szCs w:val="24"/>
        </w:rPr>
        <w:t xml:space="preserve">; con ese orden de ideas, se procedió a verificar la liga electrónica proporcionada por el </w:t>
      </w:r>
      <w:r w:rsidR="00FF2DE7" w:rsidRPr="00FF2DE7">
        <w:rPr>
          <w:rFonts w:ascii="Palatino Linotype" w:hAnsi="Palatino Linotype" w:cs="Arial"/>
          <w:b/>
          <w:bCs/>
          <w:sz w:val="24"/>
          <w:szCs w:val="24"/>
        </w:rPr>
        <w:t>Sujeto Obligado</w:t>
      </w:r>
      <w:r w:rsidR="00FF2DE7">
        <w:rPr>
          <w:rFonts w:ascii="Palatino Linotype" w:hAnsi="Palatino Linotype" w:cs="Arial"/>
          <w:bCs/>
          <w:sz w:val="24"/>
          <w:szCs w:val="24"/>
        </w:rPr>
        <w:t xml:space="preserve"> (</w:t>
      </w:r>
      <w:r w:rsidR="00FF2DE7" w:rsidRPr="00F3197E">
        <w:rPr>
          <w:rFonts w:ascii="Palatino Linotype" w:hAnsi="Palatino Linotype" w:cs="Arial"/>
          <w:i/>
          <w:sz w:val="24"/>
          <w:szCs w:val="24"/>
        </w:rPr>
        <w:t>https://www.ipomex.org.mx/ipo3/lgt/indice/cuautitlanizcalli/art_92_viii.web</w:t>
      </w:r>
      <w:r w:rsidR="00FF2DE7">
        <w:rPr>
          <w:rFonts w:ascii="Palatino Linotype" w:hAnsi="Palatino Linotype" w:cs="Arial"/>
          <w:i/>
          <w:sz w:val="24"/>
          <w:szCs w:val="24"/>
        </w:rPr>
        <w:t>)</w:t>
      </w:r>
      <w:r w:rsidR="00FF2DE7">
        <w:rPr>
          <w:rFonts w:ascii="Palatino Linotype" w:hAnsi="Palatino Linotype" w:cs="Arial"/>
          <w:bCs/>
          <w:sz w:val="24"/>
          <w:szCs w:val="24"/>
        </w:rPr>
        <w:t>, en la cual se encontró que dicho sitio conlleva a la página de internet</w:t>
      </w:r>
      <w:r w:rsidR="008B19E1">
        <w:rPr>
          <w:rFonts w:ascii="Palatino Linotype" w:hAnsi="Palatino Linotype" w:cs="Arial"/>
          <w:bCs/>
          <w:sz w:val="24"/>
          <w:szCs w:val="24"/>
        </w:rPr>
        <w:t xml:space="preserve"> del portal de</w:t>
      </w:r>
      <w:r w:rsidR="00FF2DE7">
        <w:rPr>
          <w:rFonts w:ascii="Palatino Linotype" w:hAnsi="Palatino Linotype" w:cs="Arial"/>
          <w:bCs/>
          <w:sz w:val="24"/>
          <w:szCs w:val="24"/>
        </w:rPr>
        <w:t xml:space="preserve"> </w:t>
      </w:r>
      <w:r w:rsidR="00FF2DE7" w:rsidRPr="008B19E1">
        <w:rPr>
          <w:rFonts w:ascii="Palatino Linotype" w:hAnsi="Palatino Linotype" w:cs="Arial"/>
          <w:bCs/>
          <w:i/>
          <w:sz w:val="24"/>
          <w:szCs w:val="24"/>
        </w:rPr>
        <w:t>Información Pública de Oficio Mexiquense</w:t>
      </w:r>
      <w:r w:rsidR="00FF2DE7">
        <w:rPr>
          <w:rFonts w:ascii="Palatino Linotype" w:hAnsi="Palatino Linotype" w:cs="Arial"/>
          <w:bCs/>
          <w:sz w:val="24"/>
          <w:szCs w:val="24"/>
        </w:rPr>
        <w:t xml:space="preserve"> (IPOMEX) que contiene el listado de remuneraciones (conforme a la fracción VIII de las obligación </w:t>
      </w:r>
      <w:r w:rsidR="00C57B36">
        <w:rPr>
          <w:rFonts w:ascii="Palatino Linotype" w:hAnsi="Palatino Linotype" w:cs="Arial"/>
          <w:bCs/>
          <w:sz w:val="24"/>
          <w:szCs w:val="24"/>
        </w:rPr>
        <w:t xml:space="preserve">de transparencia </w:t>
      </w:r>
      <w:r w:rsidR="00FF2DE7">
        <w:rPr>
          <w:rFonts w:ascii="Palatino Linotype" w:hAnsi="Palatino Linotype" w:cs="Arial"/>
          <w:bCs/>
          <w:sz w:val="24"/>
          <w:szCs w:val="24"/>
        </w:rPr>
        <w:t>común comprendidas en el artículo 92 de la Ley de Transparencia local)</w:t>
      </w:r>
      <w:r w:rsidR="00C57B36">
        <w:rPr>
          <w:rFonts w:ascii="Palatino Linotype" w:hAnsi="Palatino Linotype" w:cs="Arial"/>
          <w:bCs/>
          <w:sz w:val="24"/>
          <w:szCs w:val="24"/>
        </w:rPr>
        <w:t>.</w:t>
      </w:r>
    </w:p>
    <w:p w:rsidR="00C57B36" w:rsidRDefault="00C57B36" w:rsidP="00786A82">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 xml:space="preserve">Así, se tiene que la información proporcionada por el </w:t>
      </w:r>
      <w:r w:rsidRPr="00C57B36">
        <w:rPr>
          <w:rFonts w:ascii="Palatino Linotype" w:hAnsi="Palatino Linotype" w:cs="Arial"/>
          <w:b/>
          <w:bCs/>
          <w:sz w:val="24"/>
          <w:szCs w:val="24"/>
        </w:rPr>
        <w:t>Sujeto Obligado</w:t>
      </w:r>
      <w:r>
        <w:rPr>
          <w:rFonts w:ascii="Palatino Linotype" w:hAnsi="Palatino Linotype" w:cs="Arial"/>
          <w:bCs/>
          <w:sz w:val="24"/>
          <w:szCs w:val="24"/>
        </w:rPr>
        <w:t xml:space="preserve"> </w:t>
      </w:r>
      <w:r w:rsidR="00C57419">
        <w:rPr>
          <w:rFonts w:ascii="Palatino Linotype" w:hAnsi="Palatino Linotype" w:cs="Arial"/>
          <w:bCs/>
          <w:sz w:val="24"/>
          <w:szCs w:val="24"/>
        </w:rPr>
        <w:t xml:space="preserve">(vía portal IPOMEX) </w:t>
      </w:r>
      <w:r>
        <w:rPr>
          <w:rFonts w:ascii="Palatino Linotype" w:hAnsi="Palatino Linotype" w:cs="Arial"/>
          <w:bCs/>
          <w:sz w:val="24"/>
          <w:szCs w:val="24"/>
        </w:rPr>
        <w:t xml:space="preserve">consiste en las remuneraciones brutas y netas que perciben mensualmente los siguientes servidores públicos adscritos a la Comisaria </w:t>
      </w:r>
      <w:r w:rsidR="00442A67">
        <w:rPr>
          <w:rFonts w:ascii="Palatino Linotype" w:hAnsi="Palatino Linotype" w:cs="Arial"/>
          <w:bCs/>
          <w:sz w:val="24"/>
          <w:szCs w:val="24"/>
        </w:rPr>
        <w:t xml:space="preserve">General </w:t>
      </w:r>
      <w:r>
        <w:rPr>
          <w:rFonts w:ascii="Palatino Linotype" w:hAnsi="Palatino Linotype" w:cs="Arial"/>
          <w:bCs/>
          <w:sz w:val="24"/>
          <w:szCs w:val="24"/>
        </w:rPr>
        <w:t>de Seguridad Pública y Tránsito:</w:t>
      </w:r>
    </w:p>
    <w:p w:rsidR="00C57B36" w:rsidRDefault="00C57B36"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t>Comisario General de Seguridad Pública y Tránsito.</w:t>
      </w:r>
    </w:p>
    <w:p w:rsidR="00C57B36" w:rsidRDefault="00C57B36"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t>Coordinador de Control Operativo.</w:t>
      </w:r>
    </w:p>
    <w:p w:rsidR="00C57B36" w:rsidRDefault="00C57B36"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t>Coordinador de Formación Policial.</w:t>
      </w:r>
    </w:p>
    <w:p w:rsidR="00C57B36" w:rsidRDefault="00442A67"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t>Coordinador de Prevención de Conductas Antisociales.</w:t>
      </w:r>
    </w:p>
    <w:p w:rsidR="00442A67" w:rsidRDefault="00442A67"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t>Director de Seguridad Pública.</w:t>
      </w:r>
    </w:p>
    <w:p w:rsidR="00442A67" w:rsidRDefault="00442A67"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lastRenderedPageBreak/>
        <w:t>Jefe de Departamento de Grupo Modelo.</w:t>
      </w:r>
    </w:p>
    <w:p w:rsidR="00442A67" w:rsidRDefault="00442A67"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t>Jefe del Departamento de Infracciones.</w:t>
      </w:r>
    </w:p>
    <w:p w:rsidR="00442A67" w:rsidRDefault="00442A67"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t>Jefe del Departamento Técnico Operativo.</w:t>
      </w:r>
    </w:p>
    <w:p w:rsidR="00442A67" w:rsidRDefault="00442A67"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t>Jefe de la Unidad de Apoyo Jurídico.</w:t>
      </w:r>
    </w:p>
    <w:p w:rsidR="00442A67" w:rsidRDefault="00442A67"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t>Jefe de la Unidad Central de Emergencias y Análisis de Información.</w:t>
      </w:r>
    </w:p>
    <w:p w:rsidR="00442A67" w:rsidRDefault="00442A67" w:rsidP="00442A67">
      <w:pPr>
        <w:pStyle w:val="Prrafodelista"/>
        <w:numPr>
          <w:ilvl w:val="0"/>
          <w:numId w:val="49"/>
        </w:numPr>
        <w:spacing w:before="120" w:after="120"/>
        <w:ind w:left="714" w:hanging="357"/>
        <w:jc w:val="both"/>
        <w:rPr>
          <w:rFonts w:ascii="Palatino Linotype" w:hAnsi="Palatino Linotype" w:cs="Arial"/>
          <w:bCs/>
        </w:rPr>
      </w:pPr>
      <w:r>
        <w:rPr>
          <w:rFonts w:ascii="Palatino Linotype" w:hAnsi="Palatino Linotype" w:cs="Arial"/>
          <w:bCs/>
        </w:rPr>
        <w:t>Enlace administrativo.</w:t>
      </w:r>
    </w:p>
    <w:p w:rsidR="00F53347" w:rsidRDefault="00442A67" w:rsidP="001054BA">
      <w:pPr>
        <w:spacing w:before="240" w:after="240" w:line="360" w:lineRule="auto"/>
        <w:jc w:val="both"/>
        <w:rPr>
          <w:rFonts w:ascii="Palatino Linotype" w:hAnsi="Palatino Linotype" w:cs="Arial"/>
          <w:bCs/>
        </w:rPr>
      </w:pPr>
      <w:r w:rsidRPr="00442A67">
        <w:rPr>
          <w:rFonts w:ascii="Palatino Linotype" w:hAnsi="Palatino Linotype" w:cs="Arial"/>
          <w:bCs/>
          <w:sz w:val="24"/>
          <w:szCs w:val="24"/>
        </w:rPr>
        <w:t xml:space="preserve">Por lo anterior, </w:t>
      </w:r>
      <w:r w:rsidR="00F53347">
        <w:rPr>
          <w:rFonts w:ascii="Palatino Linotype" w:hAnsi="Palatino Linotype" w:cs="Arial"/>
          <w:bCs/>
          <w:sz w:val="24"/>
          <w:szCs w:val="24"/>
        </w:rPr>
        <w:t xml:space="preserve">del análisis a la respuesta proporcionada por el </w:t>
      </w:r>
      <w:r w:rsidR="00F53347" w:rsidRPr="00F53347">
        <w:rPr>
          <w:rFonts w:ascii="Palatino Linotype" w:hAnsi="Palatino Linotype" w:cs="Arial"/>
          <w:b/>
          <w:bCs/>
          <w:sz w:val="24"/>
          <w:szCs w:val="24"/>
        </w:rPr>
        <w:t>Sujeto Obligado</w:t>
      </w:r>
      <w:r w:rsidR="00F53347">
        <w:rPr>
          <w:rFonts w:ascii="Palatino Linotype" w:hAnsi="Palatino Linotype" w:cs="Arial"/>
          <w:bCs/>
          <w:sz w:val="24"/>
          <w:szCs w:val="24"/>
        </w:rPr>
        <w:t xml:space="preserve"> se puede concluir que ésta </w:t>
      </w:r>
      <w:r w:rsidR="001054BA">
        <w:rPr>
          <w:rFonts w:ascii="Palatino Linotype" w:hAnsi="Palatino Linotype" w:cs="Arial"/>
          <w:bCs/>
          <w:sz w:val="24"/>
          <w:szCs w:val="24"/>
        </w:rPr>
        <w:t xml:space="preserve">solo evidencia la percepción neta y bruta de algunos servidores públicos de la referida Comisaría, situación que no puede </w:t>
      </w:r>
      <w:r w:rsidR="00F53347">
        <w:rPr>
          <w:rFonts w:ascii="Palatino Linotype" w:hAnsi="Palatino Linotype" w:cs="Arial"/>
          <w:bCs/>
          <w:sz w:val="24"/>
          <w:szCs w:val="24"/>
        </w:rPr>
        <w:t>colma</w:t>
      </w:r>
      <w:r w:rsidR="001054BA">
        <w:rPr>
          <w:rFonts w:ascii="Palatino Linotype" w:hAnsi="Palatino Linotype" w:cs="Arial"/>
          <w:bCs/>
          <w:sz w:val="24"/>
          <w:szCs w:val="24"/>
        </w:rPr>
        <w:t>r</w:t>
      </w:r>
      <w:r w:rsidR="00F53347">
        <w:rPr>
          <w:rFonts w:ascii="Palatino Linotype" w:hAnsi="Palatino Linotype" w:cs="Arial"/>
          <w:bCs/>
          <w:sz w:val="24"/>
          <w:szCs w:val="24"/>
        </w:rPr>
        <w:t xml:space="preserve"> la solicitud de información por las consideraciones siguientes:</w:t>
      </w:r>
    </w:p>
    <w:p w:rsidR="001054BA" w:rsidRDefault="001054BA" w:rsidP="001D1607">
      <w:pPr>
        <w:pStyle w:val="Prrafodelista"/>
        <w:numPr>
          <w:ilvl w:val="0"/>
          <w:numId w:val="50"/>
        </w:numPr>
        <w:spacing w:before="120" w:after="120" w:line="300" w:lineRule="auto"/>
        <w:ind w:left="714" w:hanging="357"/>
        <w:jc w:val="both"/>
        <w:rPr>
          <w:rFonts w:ascii="Palatino Linotype" w:hAnsi="Palatino Linotype" w:cs="Arial"/>
          <w:bCs/>
        </w:rPr>
      </w:pPr>
      <w:r>
        <w:rPr>
          <w:rFonts w:ascii="Palatino Linotype" w:hAnsi="Palatino Linotype" w:cs="Arial"/>
          <w:bCs/>
        </w:rPr>
        <w:t xml:space="preserve">No se exhibe el soporte documental de las percepciones solicitadas por el </w:t>
      </w:r>
      <w:r w:rsidRPr="00E7310B">
        <w:rPr>
          <w:rFonts w:ascii="Palatino Linotype" w:hAnsi="Palatino Linotype" w:cs="Arial"/>
          <w:b/>
          <w:bCs/>
        </w:rPr>
        <w:t>Recurrente</w:t>
      </w:r>
      <w:r>
        <w:rPr>
          <w:rFonts w:ascii="Palatino Linotype" w:hAnsi="Palatino Linotype" w:cs="Arial"/>
          <w:bCs/>
        </w:rPr>
        <w:t>.</w:t>
      </w:r>
    </w:p>
    <w:p w:rsidR="00E7310B" w:rsidRPr="001054BA" w:rsidRDefault="00F53347" w:rsidP="00860660">
      <w:pPr>
        <w:pStyle w:val="Prrafodelista"/>
        <w:numPr>
          <w:ilvl w:val="0"/>
          <w:numId w:val="50"/>
        </w:numPr>
        <w:spacing w:before="120" w:after="120" w:line="300" w:lineRule="auto"/>
        <w:ind w:left="714" w:hanging="357"/>
        <w:jc w:val="both"/>
        <w:rPr>
          <w:rFonts w:ascii="Palatino Linotype" w:hAnsi="Palatino Linotype" w:cs="Arial"/>
          <w:bCs/>
        </w:rPr>
      </w:pPr>
      <w:r w:rsidRPr="001054BA">
        <w:rPr>
          <w:rFonts w:ascii="Palatino Linotype" w:hAnsi="Palatino Linotype" w:cs="Arial"/>
          <w:bCs/>
        </w:rPr>
        <w:t xml:space="preserve">No se expone la temporalidad </w:t>
      </w:r>
      <w:r w:rsidR="00E7310B" w:rsidRPr="001054BA">
        <w:rPr>
          <w:rFonts w:ascii="Palatino Linotype" w:hAnsi="Palatino Linotype" w:cs="Arial"/>
          <w:bCs/>
        </w:rPr>
        <w:t xml:space="preserve">solicitada por el </w:t>
      </w:r>
      <w:r w:rsidR="00E7310B" w:rsidRPr="001054BA">
        <w:rPr>
          <w:rFonts w:ascii="Palatino Linotype" w:hAnsi="Palatino Linotype" w:cs="Arial"/>
          <w:b/>
          <w:bCs/>
        </w:rPr>
        <w:t>Recurrente</w:t>
      </w:r>
      <w:r w:rsidR="00E7310B" w:rsidRPr="001054BA">
        <w:rPr>
          <w:rFonts w:ascii="Palatino Linotype" w:hAnsi="Palatino Linotype" w:cs="Arial"/>
          <w:bCs/>
        </w:rPr>
        <w:t>.</w:t>
      </w:r>
    </w:p>
    <w:p w:rsidR="00F53347" w:rsidRDefault="00E7310B" w:rsidP="00442A67">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 xml:space="preserve">Por todo lo anteriormente expuesto, resulta procedente ordenar al </w:t>
      </w:r>
      <w:r w:rsidRPr="00E7310B">
        <w:rPr>
          <w:rFonts w:ascii="Palatino Linotype" w:hAnsi="Palatino Linotype" w:cs="Arial"/>
          <w:b/>
          <w:bCs/>
          <w:sz w:val="24"/>
          <w:szCs w:val="24"/>
        </w:rPr>
        <w:t>Sujeto Obligado</w:t>
      </w:r>
      <w:r>
        <w:rPr>
          <w:rFonts w:ascii="Palatino Linotype" w:hAnsi="Palatino Linotype" w:cs="Arial"/>
          <w:bCs/>
          <w:sz w:val="24"/>
          <w:szCs w:val="24"/>
        </w:rPr>
        <w:t xml:space="preserve"> hacer entrega al </w:t>
      </w:r>
      <w:r w:rsidRPr="00E7310B">
        <w:rPr>
          <w:rFonts w:ascii="Palatino Linotype" w:hAnsi="Palatino Linotype" w:cs="Arial"/>
          <w:b/>
          <w:bCs/>
          <w:sz w:val="24"/>
          <w:szCs w:val="24"/>
        </w:rPr>
        <w:t>Recurrente</w:t>
      </w:r>
      <w:r>
        <w:rPr>
          <w:rFonts w:ascii="Palatino Linotype" w:hAnsi="Palatino Linotype" w:cs="Arial"/>
          <w:bCs/>
          <w:sz w:val="24"/>
          <w:szCs w:val="24"/>
        </w:rPr>
        <w:t xml:space="preserve"> del o los documentos donde consten las percepciones mensuales netas por los meses de marzo, abril y mayo del presente año, de los servidores públicos que constituyen la estructura orgánica de la Comisaría General de Seguridad Pública y Tránsito del Ayuntamiento de Cuautitlán Izcalli.</w:t>
      </w:r>
    </w:p>
    <w:p w:rsidR="009B6404" w:rsidRPr="005A30A5" w:rsidRDefault="009B6404" w:rsidP="009B6404">
      <w:pPr>
        <w:autoSpaceDE w:val="0"/>
        <w:autoSpaceDN w:val="0"/>
        <w:adjustRightInd w:val="0"/>
        <w:spacing w:before="240" w:after="240" w:line="360" w:lineRule="auto"/>
        <w:jc w:val="both"/>
        <w:rPr>
          <w:rFonts w:ascii="Palatino Linotype" w:hAnsi="Palatino Linotype" w:cs="Arial"/>
          <w:sz w:val="24"/>
          <w:szCs w:val="24"/>
        </w:rPr>
      </w:pPr>
      <w:r w:rsidRPr="005A30A5">
        <w:rPr>
          <w:rFonts w:ascii="Palatino Linotype" w:hAnsi="Palatino Linotype" w:cs="Arial"/>
          <w:sz w:val="24"/>
          <w:szCs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9B6404" w:rsidRPr="005A30A5" w:rsidRDefault="009B6404" w:rsidP="009B6404">
      <w:pPr>
        <w:autoSpaceDE w:val="0"/>
        <w:autoSpaceDN w:val="0"/>
        <w:adjustRightInd w:val="0"/>
        <w:spacing w:before="240" w:after="240" w:line="240" w:lineRule="auto"/>
        <w:ind w:left="567" w:right="567"/>
        <w:jc w:val="both"/>
        <w:rPr>
          <w:rFonts w:ascii="Palatino Linotype" w:hAnsi="Palatino Linotype" w:cs="Arial"/>
          <w:b/>
          <w:i/>
          <w:sz w:val="24"/>
          <w:szCs w:val="24"/>
        </w:rPr>
      </w:pPr>
      <w:r w:rsidRPr="005A30A5">
        <w:rPr>
          <w:rFonts w:ascii="Palatino Linotype" w:hAnsi="Palatino Linotype" w:cs="Arial"/>
          <w:i/>
          <w:sz w:val="24"/>
          <w:szCs w:val="24"/>
        </w:rPr>
        <w:lastRenderedPageBreak/>
        <w:t>“</w:t>
      </w:r>
      <w:r w:rsidRPr="005A30A5">
        <w:rPr>
          <w:rFonts w:ascii="Palatino Linotype" w:hAnsi="Palatino Linotype" w:cs="Arial"/>
          <w:b/>
          <w:i/>
          <w:sz w:val="24"/>
          <w:szCs w:val="24"/>
        </w:rPr>
        <w:t>Criterio 01/2003.</w:t>
      </w:r>
    </w:p>
    <w:p w:rsidR="009B6404" w:rsidRPr="005A30A5" w:rsidRDefault="009B6404" w:rsidP="009B6404">
      <w:pPr>
        <w:autoSpaceDE w:val="0"/>
        <w:autoSpaceDN w:val="0"/>
        <w:adjustRightInd w:val="0"/>
        <w:spacing w:before="240" w:after="240" w:line="240" w:lineRule="auto"/>
        <w:ind w:left="567" w:right="567"/>
        <w:jc w:val="both"/>
        <w:rPr>
          <w:rFonts w:ascii="Palatino Linotype" w:hAnsi="Palatino Linotype" w:cs="Arial"/>
          <w:i/>
          <w:sz w:val="24"/>
          <w:szCs w:val="24"/>
        </w:rPr>
      </w:pPr>
      <w:r w:rsidRPr="005A30A5">
        <w:rPr>
          <w:rFonts w:ascii="Palatino Linotype" w:hAnsi="Palatino Linotype" w:cs="Arial"/>
          <w:b/>
          <w:i/>
          <w:sz w:val="24"/>
          <w:szCs w:val="24"/>
        </w:rPr>
        <w:t>INGRESOS DE LOS SERVIDORES PÚBLICOS. CONSTITUYEN INFORMACIÓN PÚBLICA AÚN Y CUANDO SU DIFUSIÓN PUEDE AFECTAR LA VIDA O LA SEGURIDAD DE AQUELLOS.</w:t>
      </w:r>
      <w:r w:rsidRPr="005A30A5">
        <w:rPr>
          <w:rFonts w:ascii="Palatino Linotype" w:hAnsi="Palatino Linotype" w:cs="Arial"/>
          <w:i/>
          <w:sz w:val="24"/>
          <w:szCs w:val="24"/>
        </w:rPr>
        <w:t xml:space="preserve"> </w:t>
      </w:r>
      <w:r w:rsidRPr="005A30A5">
        <w:rPr>
          <w:rFonts w:ascii="Palatino Linotype" w:hAnsi="Palatino Linotype" w:cs="Arial"/>
          <w:i/>
          <w:sz w:val="24"/>
          <w:szCs w:val="24"/>
          <w:u w:val="single"/>
        </w:rPr>
        <w:t>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w:t>
      </w:r>
      <w:r w:rsidRPr="005A30A5">
        <w:rPr>
          <w:rFonts w:ascii="Palatino Linotype" w:hAnsi="Palatino Linotype" w:cs="Arial"/>
          <w:i/>
          <w:sz w:val="24"/>
          <w:szCs w:val="24"/>
        </w:rPr>
        <w:t xml:space="preserve"> ello no obsta para reconocer que el legislador estableció en el artículo 7 de ese mismo ordenamiento que la referida información, como una obligación de trasparencia, </w:t>
      </w:r>
      <w:r w:rsidRPr="005A30A5">
        <w:rPr>
          <w:rFonts w:ascii="Palatino Linotype" w:hAnsi="Palatino Linotype" w:cs="Arial"/>
          <w:b/>
          <w:i/>
          <w:sz w:val="24"/>
          <w:szCs w:val="24"/>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9B6404" w:rsidRPr="005A30A5" w:rsidRDefault="009B6404" w:rsidP="009B6404">
      <w:pPr>
        <w:autoSpaceDE w:val="0"/>
        <w:autoSpaceDN w:val="0"/>
        <w:adjustRightInd w:val="0"/>
        <w:spacing w:before="240" w:after="240" w:line="240" w:lineRule="auto"/>
        <w:ind w:left="567" w:right="567"/>
        <w:jc w:val="both"/>
        <w:rPr>
          <w:rFonts w:ascii="Palatino Linotype" w:hAnsi="Palatino Linotype" w:cs="Arial"/>
          <w:b/>
          <w:i/>
          <w:sz w:val="24"/>
          <w:szCs w:val="24"/>
        </w:rPr>
      </w:pPr>
      <w:r w:rsidRPr="005A30A5">
        <w:rPr>
          <w:rFonts w:ascii="Palatino Linotype" w:hAnsi="Palatino Linotype" w:cs="Arial"/>
          <w:i/>
          <w:sz w:val="24"/>
          <w:szCs w:val="24"/>
        </w:rPr>
        <w:t>“</w:t>
      </w:r>
      <w:r w:rsidRPr="005A30A5">
        <w:rPr>
          <w:rFonts w:ascii="Palatino Linotype" w:hAnsi="Palatino Linotype" w:cs="Arial"/>
          <w:b/>
          <w:i/>
          <w:sz w:val="24"/>
          <w:szCs w:val="24"/>
        </w:rPr>
        <w:t>Criterio 02/2003.</w:t>
      </w:r>
    </w:p>
    <w:p w:rsidR="009B6404" w:rsidRPr="005A30A5" w:rsidRDefault="009B6404" w:rsidP="009B6404">
      <w:pPr>
        <w:autoSpaceDE w:val="0"/>
        <w:autoSpaceDN w:val="0"/>
        <w:adjustRightInd w:val="0"/>
        <w:spacing w:before="240" w:after="240" w:line="240" w:lineRule="auto"/>
        <w:ind w:left="567" w:right="567"/>
        <w:jc w:val="both"/>
        <w:rPr>
          <w:rFonts w:ascii="Palatino Linotype" w:hAnsi="Palatino Linotype" w:cs="Arial"/>
          <w:i/>
          <w:sz w:val="24"/>
          <w:szCs w:val="24"/>
        </w:rPr>
      </w:pPr>
      <w:r w:rsidRPr="005A30A5">
        <w:rPr>
          <w:rFonts w:ascii="Palatino Linotype" w:hAnsi="Palatino Linotype" w:cs="Arial"/>
          <w:b/>
          <w:i/>
          <w:sz w:val="24"/>
          <w:szCs w:val="24"/>
        </w:rPr>
        <w:t>INGRESOS DE LOS SERVIDORES PÚBLICOS, SON INFORMACIÓN PÚBLICA AÚN Y CUANDO CONSTITUYEN DATOS PERSONALES QUE SE REFIEREN AL PATRIMONIO DE AQUÉLLOS.</w:t>
      </w:r>
      <w:r w:rsidRPr="005A30A5">
        <w:rPr>
          <w:rFonts w:ascii="Palatino Linotype" w:hAnsi="Palatino Linotype" w:cs="Arial"/>
          <w:i/>
          <w:sz w:val="24"/>
          <w:szCs w:val="24"/>
        </w:rPr>
        <w:t xml:space="preserve"> De la interpretación sistemática de lo previsto en los artículos 3º, fracción II; 7º, 9º y 18, fracción II, de la Ley Federal de Transparencia y Acceso a la Información Pública Gubernamental </w:t>
      </w:r>
      <w:r w:rsidRPr="005A30A5">
        <w:rPr>
          <w:rFonts w:ascii="Palatino Linotype" w:hAnsi="Palatino Linotype" w:cs="Arial"/>
          <w:i/>
          <w:sz w:val="24"/>
          <w:szCs w:val="24"/>
          <w:u w:val="single"/>
        </w:rPr>
        <w:t>se advierte que no constituye información confidencial la relativa a los ingresos que reciben los servidores públicos, ya que aun y cuando se trata de datos personales relativos a su patrimonio</w:t>
      </w:r>
      <w:r w:rsidRPr="005A30A5">
        <w:rPr>
          <w:rFonts w:ascii="Palatino Linotype" w:hAnsi="Palatino Linotype" w:cs="Arial"/>
          <w:i/>
          <w:sz w:val="24"/>
          <w:szCs w:val="24"/>
        </w:rPr>
        <w:t xml:space="preserve">, para su difusión no se requiere consentimiento de aquellos, </w:t>
      </w:r>
      <w:r w:rsidRPr="005A30A5">
        <w:rPr>
          <w:rFonts w:ascii="Palatino Linotype" w:hAnsi="Palatino Linotype" w:cs="Arial"/>
          <w:b/>
          <w:i/>
          <w:sz w:val="24"/>
          <w:szCs w:val="24"/>
          <w:u w:val="single"/>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w:t>
      </w:r>
      <w:r w:rsidRPr="005A30A5">
        <w:rPr>
          <w:rFonts w:ascii="Palatino Linotype" w:hAnsi="Palatino Linotype" w:cs="Arial"/>
          <w:b/>
          <w:i/>
          <w:sz w:val="24"/>
          <w:szCs w:val="24"/>
          <w:u w:val="single"/>
        </w:rPr>
        <w:lastRenderedPageBreak/>
        <w:t>mensuales por puesto incluso el sistema de compensación…</w:t>
      </w:r>
      <w:r w:rsidRPr="005A30A5">
        <w:rPr>
          <w:rFonts w:ascii="Palatino Linotype" w:hAnsi="Palatino Linotype" w:cs="Arial"/>
          <w:i/>
          <w:sz w:val="24"/>
          <w:szCs w:val="24"/>
        </w:rPr>
        <w:t>”</w:t>
      </w:r>
      <w:r>
        <w:rPr>
          <w:rFonts w:ascii="Palatino Linotype" w:hAnsi="Palatino Linotype" w:cs="Arial"/>
          <w:i/>
          <w:sz w:val="24"/>
          <w:szCs w:val="24"/>
        </w:rPr>
        <w:t xml:space="preserve"> </w:t>
      </w:r>
      <w:r w:rsidRPr="005A30A5">
        <w:rPr>
          <w:rFonts w:ascii="Palatino Linotype" w:hAnsi="Palatino Linotype" w:cs="Arial"/>
          <w:i/>
          <w:sz w:val="24"/>
          <w:szCs w:val="24"/>
        </w:rPr>
        <w:t>(Énfasis añadido)</w:t>
      </w:r>
    </w:p>
    <w:p w:rsidR="009B6404" w:rsidRPr="005A30A5" w:rsidRDefault="009B6404" w:rsidP="009B6404">
      <w:pPr>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 xml:space="preserve">Ahora bien, hecho lo anterior, </w:t>
      </w:r>
      <w:r>
        <w:rPr>
          <w:rFonts w:ascii="Palatino Linotype" w:hAnsi="Palatino Linotype" w:cs="Arial"/>
          <w:sz w:val="24"/>
          <w:szCs w:val="24"/>
        </w:rPr>
        <w:t xml:space="preserve">cabe indicar de manera enunciativa más no limitativa que los recibos de nómina podrían ser documentos idóneos para la satisfacción de los solicitado; al respecto, </w:t>
      </w:r>
      <w:r w:rsidRPr="005A30A5">
        <w:rPr>
          <w:rFonts w:ascii="Palatino Linotype" w:hAnsi="Palatino Linotype" w:cs="Arial"/>
          <w:sz w:val="24"/>
          <w:szCs w:val="24"/>
        </w:rPr>
        <w:t>debe precisarse que si bien es cierto, en nuestra legislación no existe como tal una definición de “recibos de nómina” como tal, tanto en el “Glosario de Términos Usuales de Finanzas Públicas” del Centro de Estudios de las Finanzas Públicas de la Cámara de Diputados del H. Congreso de la Unión, como en el “Glosario de Términos Administrativos”, emitido por el Instituto Nacional de Administración Pública, A.C. y en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encontramos la siguiente definición de la palabra nómina:</w:t>
      </w:r>
    </w:p>
    <w:p w:rsidR="009B6404" w:rsidRPr="005A30A5" w:rsidRDefault="009B6404" w:rsidP="009B6404">
      <w:pPr>
        <w:pStyle w:val="Prrafodelista"/>
        <w:spacing w:before="120" w:after="120"/>
        <w:ind w:left="567" w:right="567"/>
        <w:jc w:val="both"/>
        <w:rPr>
          <w:rFonts w:ascii="Palatino Linotype" w:hAnsi="Palatino Linotype" w:cs="Arial"/>
          <w:i/>
        </w:rPr>
      </w:pPr>
      <w:r w:rsidRPr="005A30A5">
        <w:rPr>
          <w:rFonts w:ascii="Palatino Linotype" w:hAnsi="Palatino Linotype" w:cs="Arial"/>
          <w:i/>
        </w:rPr>
        <w:t>“</w:t>
      </w:r>
      <w:r w:rsidRPr="005A30A5">
        <w:rPr>
          <w:rFonts w:ascii="Palatino Linotype" w:hAnsi="Palatino Linotype" w:cs="Arial"/>
          <w:b/>
          <w:i/>
        </w:rPr>
        <w:t>NÓMINA</w:t>
      </w:r>
      <w:r w:rsidRPr="005A30A5">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9B6404" w:rsidRPr="005A30A5" w:rsidRDefault="009B6404" w:rsidP="009B6404">
      <w:pPr>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 xml:space="preserve">Aunado a lo anterior, debe destacarse que dicho término es mencionado en diferentes ordenamientos legales, tal es el caso del artículo 804 de la Ley Federal de Trabajo, fracción II que establece: </w:t>
      </w:r>
    </w:p>
    <w:p w:rsidR="009B6404" w:rsidRPr="005A30A5" w:rsidRDefault="009B6404" w:rsidP="009B6404">
      <w:pPr>
        <w:pStyle w:val="Textosinformato"/>
        <w:tabs>
          <w:tab w:val="right" w:leader="dot" w:pos="8505"/>
        </w:tabs>
        <w:spacing w:before="120" w:after="120"/>
        <w:ind w:left="567" w:right="567"/>
        <w:jc w:val="both"/>
        <w:rPr>
          <w:rFonts w:ascii="Palatino Linotype" w:eastAsia="MS Mincho" w:hAnsi="Palatino Linotype" w:cs="Arial"/>
          <w:b/>
          <w:i/>
          <w:sz w:val="24"/>
          <w:szCs w:val="24"/>
        </w:rPr>
      </w:pPr>
      <w:r w:rsidRPr="005A30A5">
        <w:rPr>
          <w:rFonts w:ascii="Palatino Linotype" w:eastAsia="MS Mincho" w:hAnsi="Palatino Linotype" w:cs="Arial"/>
          <w:b/>
          <w:bCs/>
          <w:i/>
          <w:sz w:val="24"/>
          <w:szCs w:val="24"/>
        </w:rPr>
        <w:t>“Artículo 804.-</w:t>
      </w:r>
      <w:r w:rsidRPr="005A30A5">
        <w:rPr>
          <w:rFonts w:ascii="Palatino Linotype" w:eastAsia="MS Mincho" w:hAnsi="Palatino Linotype" w:cs="Arial"/>
          <w:i/>
          <w:sz w:val="24"/>
          <w:szCs w:val="24"/>
        </w:rPr>
        <w:t xml:space="preserve"> </w:t>
      </w:r>
      <w:r w:rsidRPr="005A30A5">
        <w:rPr>
          <w:rFonts w:ascii="Palatino Linotype" w:eastAsia="MS Mincho" w:hAnsi="Palatino Linotype" w:cs="Arial"/>
          <w:b/>
          <w:i/>
          <w:sz w:val="24"/>
          <w:szCs w:val="24"/>
        </w:rPr>
        <w:t>El patrón tiene obligación de conservar y exhibir en juicio los documentos que a continuación se precisan:</w:t>
      </w:r>
    </w:p>
    <w:p w:rsidR="009B6404" w:rsidRPr="005A30A5" w:rsidRDefault="009B6404" w:rsidP="009B6404">
      <w:pPr>
        <w:pStyle w:val="Textosinformato"/>
        <w:tabs>
          <w:tab w:val="right" w:leader="dot" w:pos="8505"/>
        </w:tabs>
        <w:spacing w:before="120" w:after="120"/>
        <w:ind w:left="567" w:right="567"/>
        <w:jc w:val="both"/>
        <w:rPr>
          <w:rFonts w:ascii="Palatino Linotype" w:eastAsia="MS Mincho" w:hAnsi="Palatino Linotype" w:cs="Arial"/>
          <w:i/>
          <w:sz w:val="24"/>
          <w:szCs w:val="24"/>
        </w:rPr>
      </w:pPr>
      <w:r w:rsidRPr="005A30A5">
        <w:rPr>
          <w:rFonts w:ascii="Palatino Linotype" w:eastAsia="MS Mincho" w:hAnsi="Palatino Linotype" w:cs="Arial"/>
          <w:i/>
          <w:sz w:val="24"/>
          <w:szCs w:val="24"/>
        </w:rPr>
        <w:t>…</w:t>
      </w:r>
    </w:p>
    <w:p w:rsidR="009B6404" w:rsidRPr="005A30A5" w:rsidRDefault="009B6404" w:rsidP="009B6404">
      <w:pPr>
        <w:pStyle w:val="Textosinformato"/>
        <w:tabs>
          <w:tab w:val="right" w:leader="dot" w:pos="8505"/>
        </w:tabs>
        <w:spacing w:before="120" w:after="120"/>
        <w:ind w:left="567" w:right="567"/>
        <w:jc w:val="both"/>
        <w:rPr>
          <w:rFonts w:ascii="Palatino Linotype" w:eastAsia="MS Mincho" w:hAnsi="Palatino Linotype" w:cs="Arial"/>
          <w:i/>
          <w:sz w:val="24"/>
          <w:szCs w:val="24"/>
          <w:u w:val="single"/>
        </w:rPr>
      </w:pPr>
      <w:r w:rsidRPr="005A30A5">
        <w:rPr>
          <w:rFonts w:ascii="Palatino Linotype" w:eastAsia="MS Mincho" w:hAnsi="Palatino Linotype" w:cs="Arial"/>
          <w:b/>
          <w:i/>
          <w:sz w:val="24"/>
          <w:szCs w:val="24"/>
        </w:rPr>
        <w:lastRenderedPageBreak/>
        <w:t>II.</w:t>
      </w:r>
      <w:r w:rsidRPr="005A30A5">
        <w:rPr>
          <w:rFonts w:ascii="Palatino Linotype" w:eastAsia="MS Mincho" w:hAnsi="Palatino Linotype" w:cs="Arial"/>
          <w:i/>
          <w:sz w:val="24"/>
          <w:szCs w:val="24"/>
        </w:rPr>
        <w:t xml:space="preserve"> Listas</w:t>
      </w:r>
      <w:r w:rsidRPr="005A30A5">
        <w:rPr>
          <w:rFonts w:ascii="Palatino Linotype" w:eastAsia="MS Mincho" w:hAnsi="Palatino Linotype" w:cs="Arial"/>
          <w:b/>
          <w:i/>
          <w:sz w:val="24"/>
          <w:szCs w:val="24"/>
        </w:rPr>
        <w:t xml:space="preserve"> </w:t>
      </w:r>
      <w:r w:rsidRPr="005A30A5">
        <w:rPr>
          <w:rFonts w:ascii="Palatino Linotype" w:eastAsia="MS Mincho" w:hAnsi="Palatino Linotype" w:cs="Arial"/>
          <w:i/>
          <w:sz w:val="24"/>
          <w:szCs w:val="24"/>
        </w:rPr>
        <w:t xml:space="preserve">de raya o nómina de personal, cuando se lleven en el centro de trabajo; o </w:t>
      </w:r>
      <w:r w:rsidRPr="005A30A5">
        <w:rPr>
          <w:rFonts w:ascii="Palatino Linotype" w:eastAsia="MS Mincho" w:hAnsi="Palatino Linotype" w:cs="Arial"/>
          <w:b/>
          <w:i/>
          <w:sz w:val="24"/>
          <w:szCs w:val="24"/>
          <w:u w:val="single"/>
        </w:rPr>
        <w:t>recibos de pagos de salarios</w:t>
      </w:r>
      <w:r w:rsidRPr="005A30A5">
        <w:rPr>
          <w:rFonts w:ascii="Palatino Linotype" w:eastAsia="MS Mincho" w:hAnsi="Palatino Linotype" w:cs="Arial"/>
          <w:i/>
          <w:sz w:val="24"/>
          <w:szCs w:val="24"/>
          <w:u w:val="single"/>
        </w:rPr>
        <w:t>;</w:t>
      </w:r>
    </w:p>
    <w:p w:rsidR="009B6404" w:rsidRPr="005A30A5" w:rsidRDefault="009B6404" w:rsidP="009B6404">
      <w:pPr>
        <w:pStyle w:val="Textosinformato"/>
        <w:tabs>
          <w:tab w:val="right" w:leader="dot" w:pos="8505"/>
        </w:tabs>
        <w:spacing w:before="120" w:after="120"/>
        <w:ind w:left="567" w:right="567"/>
        <w:jc w:val="both"/>
        <w:rPr>
          <w:rFonts w:ascii="Palatino Linotype" w:eastAsia="MS Mincho" w:hAnsi="Palatino Linotype" w:cs="Arial"/>
          <w:i/>
          <w:sz w:val="24"/>
          <w:szCs w:val="24"/>
        </w:rPr>
      </w:pPr>
      <w:r w:rsidRPr="005A30A5">
        <w:rPr>
          <w:rFonts w:ascii="Palatino Linotype" w:eastAsia="MS Mincho" w:hAnsi="Palatino Linotype" w:cs="Arial"/>
          <w:i/>
          <w:sz w:val="24"/>
          <w:szCs w:val="24"/>
        </w:rPr>
        <w:t>…</w:t>
      </w:r>
    </w:p>
    <w:p w:rsidR="009B6404" w:rsidRPr="005A30A5" w:rsidRDefault="009B6404" w:rsidP="009B6404">
      <w:pPr>
        <w:pStyle w:val="Texto"/>
        <w:tabs>
          <w:tab w:val="right" w:leader="dot" w:pos="8505"/>
        </w:tabs>
        <w:spacing w:before="120" w:after="120" w:line="240" w:lineRule="auto"/>
        <w:ind w:left="567" w:right="567" w:firstLine="0"/>
        <w:rPr>
          <w:rFonts w:ascii="Palatino Linotype" w:hAnsi="Palatino Linotype"/>
          <w:i/>
          <w:sz w:val="24"/>
          <w:szCs w:val="24"/>
        </w:rPr>
      </w:pPr>
      <w:r w:rsidRPr="005A30A5">
        <w:rPr>
          <w:rFonts w:ascii="Palatino Linotype" w:hAnsi="Palatino Linotype"/>
          <w:i/>
          <w:sz w:val="24"/>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r>
        <w:rPr>
          <w:rFonts w:ascii="Palatino Linotype" w:hAnsi="Palatino Linotype"/>
          <w:i/>
          <w:sz w:val="24"/>
          <w:szCs w:val="24"/>
        </w:rPr>
        <w:t xml:space="preserve"> </w:t>
      </w:r>
      <w:r w:rsidRPr="005A30A5">
        <w:rPr>
          <w:rFonts w:ascii="Palatino Linotype" w:hAnsi="Palatino Linotype"/>
          <w:i/>
          <w:sz w:val="24"/>
          <w:szCs w:val="24"/>
        </w:rPr>
        <w:t>(Énfasis añadido)</w:t>
      </w:r>
    </w:p>
    <w:p w:rsidR="009B6404" w:rsidRPr="005A30A5" w:rsidRDefault="009B6404" w:rsidP="009B6404">
      <w:pPr>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Ahora bien, tratándose de servidores públicos de los Municipios la Ley del Trabajo de los Servidores Públicos del Estado y Municipios, en su artículo 220-K fracciones II y IV y último párrafo, establecen lo siguiente:</w:t>
      </w:r>
    </w:p>
    <w:p w:rsidR="009B6404" w:rsidRPr="005A30A5" w:rsidRDefault="009B6404" w:rsidP="009B6404">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
          <w:bCs/>
          <w:i/>
          <w:sz w:val="24"/>
          <w:szCs w:val="24"/>
        </w:rPr>
        <w:t>“ARTÍCULO 220 K.-</w:t>
      </w:r>
      <w:r w:rsidRPr="005A30A5">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9B6404" w:rsidRPr="005A30A5" w:rsidRDefault="009B6404" w:rsidP="009B6404">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
          <w:bCs/>
          <w:i/>
          <w:sz w:val="24"/>
          <w:szCs w:val="24"/>
        </w:rPr>
        <w:t>(…</w:t>
      </w:r>
      <w:r w:rsidRPr="005A30A5">
        <w:rPr>
          <w:rFonts w:ascii="Palatino Linotype" w:eastAsia="Times New Roman" w:hAnsi="Palatino Linotype"/>
          <w:bCs/>
          <w:i/>
          <w:sz w:val="24"/>
          <w:szCs w:val="24"/>
        </w:rPr>
        <w:t>)</w:t>
      </w:r>
    </w:p>
    <w:p w:rsidR="009B6404" w:rsidRPr="005A30A5" w:rsidRDefault="009B6404" w:rsidP="009B6404">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
          <w:bCs/>
          <w:i/>
          <w:sz w:val="24"/>
          <w:szCs w:val="24"/>
        </w:rPr>
        <w:t>II.</w:t>
      </w:r>
      <w:r w:rsidRPr="005A30A5">
        <w:rPr>
          <w:rFonts w:ascii="Palatino Linotype" w:eastAsia="Times New Roman" w:hAnsi="Palatino Linotype"/>
          <w:bCs/>
          <w:i/>
          <w:sz w:val="24"/>
          <w:szCs w:val="24"/>
        </w:rPr>
        <w:t xml:space="preserve"> </w:t>
      </w:r>
      <w:r w:rsidRPr="005A30A5">
        <w:rPr>
          <w:rFonts w:ascii="Palatino Linotype" w:eastAsia="Times New Roman" w:hAnsi="Palatino Linotype"/>
          <w:b/>
          <w:bCs/>
          <w:i/>
          <w:sz w:val="24"/>
          <w:szCs w:val="24"/>
        </w:rPr>
        <w:t>Recibos de pagos de salarios</w:t>
      </w:r>
      <w:r w:rsidRPr="005A30A5">
        <w:rPr>
          <w:rFonts w:ascii="Palatino Linotype" w:eastAsia="Times New Roman" w:hAnsi="Palatino Linotype"/>
          <w:bCs/>
          <w:i/>
          <w:sz w:val="24"/>
          <w:szCs w:val="24"/>
        </w:rPr>
        <w:t xml:space="preserve"> o las constancias documentales del pago de salario cuando sea por depósito o mediante información electrónica;</w:t>
      </w:r>
    </w:p>
    <w:p w:rsidR="009B6404" w:rsidRPr="005A30A5" w:rsidRDefault="009B6404" w:rsidP="009B6404">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
          <w:bCs/>
          <w:i/>
          <w:sz w:val="24"/>
          <w:szCs w:val="24"/>
        </w:rPr>
        <w:t>(…)</w:t>
      </w:r>
    </w:p>
    <w:p w:rsidR="009B6404" w:rsidRPr="005A30A5" w:rsidRDefault="009B6404" w:rsidP="009B6404">
      <w:pPr>
        <w:tabs>
          <w:tab w:val="left" w:pos="9072"/>
        </w:tabs>
        <w:spacing w:before="120" w:after="120" w:line="240" w:lineRule="auto"/>
        <w:ind w:left="567" w:right="567"/>
        <w:jc w:val="both"/>
        <w:rPr>
          <w:rFonts w:ascii="Palatino Linotype" w:eastAsia="Times New Roman" w:hAnsi="Palatino Linotype"/>
          <w:b/>
          <w:bCs/>
          <w:i/>
          <w:sz w:val="24"/>
          <w:szCs w:val="24"/>
        </w:rPr>
      </w:pPr>
      <w:r w:rsidRPr="005A30A5">
        <w:rPr>
          <w:rFonts w:ascii="Palatino Linotype" w:eastAsia="Times New Roman" w:hAnsi="Palatino Linotype"/>
          <w:b/>
          <w:bCs/>
          <w:i/>
          <w:sz w:val="24"/>
          <w:szCs w:val="24"/>
        </w:rPr>
        <w:t>IV.</w:t>
      </w:r>
      <w:r w:rsidRPr="005A30A5">
        <w:rPr>
          <w:rFonts w:ascii="Palatino Linotype" w:eastAsia="Times New Roman" w:hAnsi="Palatino Linotype"/>
          <w:bCs/>
          <w:i/>
          <w:sz w:val="24"/>
          <w:szCs w:val="24"/>
        </w:rPr>
        <w:t xml:space="preserve"> </w:t>
      </w:r>
      <w:r w:rsidRPr="005A30A5">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9B6404" w:rsidRPr="005A30A5" w:rsidRDefault="009B6404" w:rsidP="009B6404">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
          <w:bCs/>
          <w:i/>
          <w:sz w:val="24"/>
          <w:szCs w:val="24"/>
        </w:rPr>
        <w:t>Los documentos señalados en la fracción I de este artículo, deberán conservarse mientras dure la relación laboral y hasta un año después;</w:t>
      </w:r>
      <w:r w:rsidRPr="005A30A5">
        <w:rPr>
          <w:rFonts w:ascii="Palatino Linotype" w:eastAsia="Times New Roman" w:hAnsi="Palatino Linotype"/>
          <w:bCs/>
          <w:i/>
          <w:sz w:val="24"/>
          <w:szCs w:val="24"/>
        </w:rPr>
        <w:t xml:space="preserve"> los señalados por las fracciones II, III, IV durante el último año y un año después de que se extinga la relación laboral, y los mencionados en la fracción V, conforme lo señalen las leyes que los rijan.</w:t>
      </w:r>
    </w:p>
    <w:p w:rsidR="009B6404" w:rsidRPr="005A30A5" w:rsidRDefault="009B6404" w:rsidP="009B6404">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Cs/>
          <w:i/>
          <w:sz w:val="24"/>
          <w:szCs w:val="24"/>
        </w:rPr>
        <w:t xml:space="preserve">Los documentos y constancias aquí señalados, la institución o dependencia podrá conservarlos por medio de los sistemas de digitalización o de información magnética o electrónica o cualquier medio descubierto por la ciencia y las </w:t>
      </w:r>
      <w:r w:rsidRPr="005A30A5">
        <w:rPr>
          <w:rFonts w:ascii="Palatino Linotype" w:eastAsia="Times New Roman" w:hAnsi="Palatino Linotype"/>
          <w:bCs/>
          <w:i/>
          <w:sz w:val="24"/>
          <w:szCs w:val="24"/>
        </w:rPr>
        <w:lastRenderedPageBreak/>
        <w:t>constancias expedidas por el encargado del área de personal de éstas, harán prueba plena.</w:t>
      </w:r>
    </w:p>
    <w:p w:rsidR="009B6404" w:rsidRPr="005A30A5" w:rsidRDefault="009B6404" w:rsidP="009B6404">
      <w:pPr>
        <w:spacing w:before="120" w:after="120" w:line="240" w:lineRule="auto"/>
        <w:ind w:left="567" w:right="567"/>
        <w:jc w:val="both"/>
        <w:rPr>
          <w:rFonts w:ascii="Palatino Linotype" w:hAnsi="Palatino Linotype"/>
          <w:i/>
          <w:sz w:val="24"/>
          <w:szCs w:val="24"/>
        </w:rPr>
      </w:pPr>
      <w:r w:rsidRPr="005A30A5">
        <w:rPr>
          <w:rFonts w:ascii="Palatino Linotype" w:eastAsia="Times New Roman" w:hAnsi="Palatino Linotype"/>
          <w:bCs/>
          <w:i/>
          <w:sz w:val="24"/>
          <w:szCs w:val="24"/>
        </w:rPr>
        <w:t>El incumplimiento por lo dispuesto por este artículo, establecerá la presunción de ser ciertos los hechos que el actor exprese en su demanda, en relación con tales documentos, salvo prueba en contrario.” (Sic)</w:t>
      </w:r>
      <w:r>
        <w:rPr>
          <w:rFonts w:ascii="Palatino Linotype" w:eastAsia="Times New Roman" w:hAnsi="Palatino Linotype"/>
          <w:bCs/>
          <w:i/>
          <w:sz w:val="24"/>
          <w:szCs w:val="24"/>
        </w:rPr>
        <w:t xml:space="preserve"> </w:t>
      </w:r>
      <w:r w:rsidRPr="005A30A5">
        <w:rPr>
          <w:rFonts w:ascii="Palatino Linotype" w:hAnsi="Palatino Linotype"/>
          <w:i/>
          <w:sz w:val="24"/>
          <w:szCs w:val="24"/>
        </w:rPr>
        <w:t>(Énfasis añadido).</w:t>
      </w:r>
    </w:p>
    <w:p w:rsidR="009B6404" w:rsidRPr="005A30A5" w:rsidRDefault="009B6404" w:rsidP="009B6404">
      <w:pPr>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 xml:space="preserve">De lo anterior, se advierte que toda institución o dependencia pública del Estado de México </w:t>
      </w:r>
      <w:r w:rsidRPr="005A30A5">
        <w:rPr>
          <w:rFonts w:ascii="Palatino Linotype" w:hAnsi="Palatino Linotype" w:cs="Arial"/>
          <w:b/>
          <w:sz w:val="24"/>
          <w:szCs w:val="24"/>
          <w:u w:val="single"/>
        </w:rPr>
        <w:t>debe conservar los recibos o constancias de pago de salarios y demás prestaciones legales de acuerdo con la forma en que se haya realizado el pago</w:t>
      </w:r>
      <w:r w:rsidRPr="005A30A5">
        <w:rPr>
          <w:rFonts w:ascii="Palatino Linotype" w:hAnsi="Palatino Linotype" w:cs="Arial"/>
          <w:sz w:val="24"/>
          <w:szCs w:val="24"/>
        </w:rPr>
        <w:t>;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9B6404" w:rsidRPr="005A30A5" w:rsidRDefault="009B6404" w:rsidP="009B6404">
      <w:pPr>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 xml:space="preserve">Ahora, si bien es cierto que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w:t>
      </w:r>
      <w:r w:rsidRPr="005A30A5">
        <w:rPr>
          <w:rFonts w:ascii="Palatino Linotype" w:hAnsi="Palatino Linotype" w:cs="Arial"/>
          <w:b/>
          <w:sz w:val="24"/>
          <w:szCs w:val="24"/>
        </w:rPr>
        <w:t>Sujeto Obligado</w:t>
      </w:r>
      <w:r w:rsidRPr="005A30A5">
        <w:rPr>
          <w:rFonts w:ascii="Palatino Linotype" w:hAnsi="Palatino Linotype" w:cs="Arial"/>
          <w:sz w:val="24"/>
          <w:szCs w:val="24"/>
        </w:rPr>
        <w:t xml:space="preserve"> acredita las remuneraciones al personal y que de acuerdo al uso implantado en la colectividad se denominan “recibos de nómina”. Una vez puntualizado lo anterior, se colige que los recibos de nómina contienen la información relativa a las remuneraciones de los servidores públicos en este sentido. </w:t>
      </w:r>
    </w:p>
    <w:p w:rsidR="009B6404" w:rsidRPr="005A30A5" w:rsidRDefault="009B6404" w:rsidP="009B6404">
      <w:pPr>
        <w:autoSpaceDE w:val="0"/>
        <w:autoSpaceDN w:val="0"/>
        <w:adjustRightInd w:val="0"/>
        <w:spacing w:before="240" w:after="240" w:line="360" w:lineRule="auto"/>
        <w:jc w:val="both"/>
        <w:rPr>
          <w:rFonts w:ascii="Palatino Linotype" w:hAnsi="Palatino Linotype" w:cs="Arial"/>
          <w:sz w:val="24"/>
          <w:szCs w:val="24"/>
        </w:rPr>
      </w:pPr>
      <w:r w:rsidRPr="005A30A5">
        <w:rPr>
          <w:rFonts w:ascii="Palatino Linotype" w:hAnsi="Palatino Linotype" w:cs="Arial"/>
          <w:sz w:val="24"/>
          <w:szCs w:val="24"/>
        </w:rPr>
        <w:t xml:space="preserve">Además de lo anterior, conviene mencionar que de acuerdo a los Lineamientos para la elaboración y Presentación del Informe Mensual 2018, emitidos por el Órgano </w:t>
      </w:r>
      <w:r w:rsidRPr="005A30A5">
        <w:rPr>
          <w:rFonts w:ascii="Palatino Linotype" w:hAnsi="Palatino Linotype" w:cs="Arial"/>
          <w:sz w:val="24"/>
          <w:szCs w:val="24"/>
        </w:rPr>
        <w:lastRenderedPageBreak/>
        <w:t xml:space="preserve">Superior de Fiscalización del Estado de México, contienen los formatos e información que debe ser proporcionada para la integración de los informes mensuales que se entregan a éste de forma digitalizada, siendo los recibos de nómina en los cuales se puede advertir el pago de las remuneraciones de cada uno de los trabajadores de la entidad fiscalizable de que se trate, correspondiente a un periodo determinado; de tal manera, dichos formatos constituyen un soporte documental de que la información solicitada por la </w:t>
      </w:r>
      <w:r w:rsidRPr="005A30A5">
        <w:rPr>
          <w:rFonts w:ascii="Palatino Linotype" w:hAnsi="Palatino Linotype" w:cs="Arial"/>
          <w:b/>
          <w:sz w:val="24"/>
          <w:szCs w:val="24"/>
        </w:rPr>
        <w:t>Recurrente</w:t>
      </w:r>
      <w:r w:rsidRPr="005A30A5">
        <w:rPr>
          <w:rFonts w:ascii="Palatino Linotype" w:hAnsi="Palatino Linotype" w:cs="Arial"/>
          <w:sz w:val="24"/>
          <w:szCs w:val="24"/>
        </w:rPr>
        <w:t xml:space="preserve"> obra en los archivos del </w:t>
      </w:r>
      <w:r w:rsidRPr="005A30A5">
        <w:rPr>
          <w:rFonts w:ascii="Palatino Linotype" w:hAnsi="Palatino Linotype" w:cs="Arial"/>
          <w:b/>
          <w:sz w:val="24"/>
          <w:szCs w:val="24"/>
        </w:rPr>
        <w:t>Sujeto Obligado</w:t>
      </w:r>
      <w:r w:rsidRPr="005A30A5">
        <w:rPr>
          <w:rFonts w:ascii="Palatino Linotype" w:hAnsi="Palatino Linotype" w:cs="Arial"/>
          <w:sz w:val="24"/>
          <w:szCs w:val="24"/>
        </w:rPr>
        <w:t>, como se advierte a continuación:</w:t>
      </w:r>
    </w:p>
    <w:p w:rsidR="009B6404" w:rsidRPr="005A30A5" w:rsidRDefault="009B6404" w:rsidP="009B6404">
      <w:pPr>
        <w:autoSpaceDE w:val="0"/>
        <w:autoSpaceDN w:val="0"/>
        <w:adjustRightInd w:val="0"/>
        <w:spacing w:before="240" w:after="240" w:line="360" w:lineRule="auto"/>
        <w:jc w:val="both"/>
        <w:rPr>
          <w:rFonts w:ascii="Palatino Linotype" w:hAnsi="Palatino Linotype" w:cs="Arial"/>
          <w:sz w:val="24"/>
          <w:szCs w:val="24"/>
        </w:rPr>
      </w:pPr>
      <w:r w:rsidRPr="005A30A5">
        <w:rPr>
          <w:rFonts w:ascii="Palatino Linotype" w:hAnsi="Palatino Linotype" w:cs="Arial"/>
          <w:noProof/>
          <w:sz w:val="24"/>
          <w:szCs w:val="24"/>
          <w:lang w:eastAsia="es-MX"/>
        </w:rPr>
        <w:drawing>
          <wp:inline distT="0" distB="0" distL="0" distR="0" wp14:anchorId="3441DFDD" wp14:editId="5E35FE1F">
            <wp:extent cx="5760720" cy="31419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141980"/>
                    </a:xfrm>
                    <a:prstGeom prst="rect">
                      <a:avLst/>
                    </a:prstGeom>
                  </pic:spPr>
                </pic:pic>
              </a:graphicData>
            </a:graphic>
          </wp:inline>
        </w:drawing>
      </w:r>
    </w:p>
    <w:p w:rsidR="009B6404" w:rsidRPr="005A30A5" w:rsidRDefault="009B6404" w:rsidP="009B6404">
      <w:pPr>
        <w:autoSpaceDE w:val="0"/>
        <w:autoSpaceDN w:val="0"/>
        <w:adjustRightInd w:val="0"/>
        <w:spacing w:before="240" w:after="240" w:line="360" w:lineRule="auto"/>
        <w:jc w:val="both"/>
        <w:rPr>
          <w:rFonts w:ascii="Palatino Linotype" w:hAnsi="Palatino Linotype" w:cs="Arial"/>
          <w:sz w:val="24"/>
          <w:szCs w:val="24"/>
        </w:rPr>
      </w:pPr>
      <w:r w:rsidRPr="005A30A5">
        <w:rPr>
          <w:rFonts w:ascii="Palatino Linotype" w:hAnsi="Palatino Linotype" w:cs="Arial"/>
          <w:sz w:val="24"/>
          <w:szCs w:val="24"/>
        </w:rPr>
        <w:t xml:space="preserve">Asimismo, los LINEAMIENTOS DE CONTROL FINANCIERO Y ADMINISTRATIVO PARA LAS ENTIDADES FISCALIZABLES MUNICIPALES DEL ESTADO DE MÉXICO, emitidos por el Órgano Superior de Fiscalización del Estado de México, publicados en el Periódico Oficial del Gobierno del Estado Libre y </w:t>
      </w:r>
      <w:r w:rsidRPr="005A30A5">
        <w:rPr>
          <w:rFonts w:ascii="Palatino Linotype" w:hAnsi="Palatino Linotype" w:cs="Arial"/>
          <w:sz w:val="24"/>
          <w:szCs w:val="24"/>
        </w:rPr>
        <w:lastRenderedPageBreak/>
        <w:t>Soberano de México “Gaceta del Gobierno” de fecha once de julio de dos mil trece, vigentes a partir de esa fecha, en su punto 69 establecen:</w:t>
      </w:r>
    </w:p>
    <w:p w:rsidR="009B6404" w:rsidRPr="005A30A5" w:rsidRDefault="009B6404" w:rsidP="009B6404">
      <w:pPr>
        <w:tabs>
          <w:tab w:val="left" w:pos="8647"/>
        </w:tabs>
        <w:spacing w:before="120" w:after="120" w:line="240" w:lineRule="auto"/>
        <w:ind w:left="567" w:right="284"/>
        <w:jc w:val="both"/>
        <w:rPr>
          <w:rFonts w:ascii="Palatino Linotype" w:eastAsia="Times New Roman" w:hAnsi="Palatino Linotype" w:cs="Arial"/>
          <w:b/>
          <w:i/>
          <w:sz w:val="24"/>
          <w:szCs w:val="24"/>
        </w:rPr>
      </w:pPr>
      <w:r w:rsidRPr="005A30A5">
        <w:rPr>
          <w:rFonts w:ascii="Palatino Linotype" w:eastAsia="Times New Roman" w:hAnsi="Palatino Linotype" w:cs="Arial"/>
          <w:b/>
          <w:i/>
          <w:sz w:val="24"/>
          <w:szCs w:val="24"/>
        </w:rPr>
        <w:t>SUELDOS Y SALARIOS POR PAGAR</w:t>
      </w:r>
    </w:p>
    <w:p w:rsidR="009B6404" w:rsidRPr="005A30A5" w:rsidRDefault="009B6404" w:rsidP="009B6404">
      <w:pPr>
        <w:tabs>
          <w:tab w:val="left" w:pos="8647"/>
        </w:tabs>
        <w:spacing w:before="120" w:after="120" w:line="240" w:lineRule="auto"/>
        <w:ind w:left="567" w:right="284"/>
        <w:jc w:val="both"/>
        <w:rPr>
          <w:rFonts w:ascii="Palatino Linotype" w:eastAsia="Times New Roman" w:hAnsi="Palatino Linotype" w:cs="Arial"/>
          <w:b/>
          <w:i/>
          <w:sz w:val="24"/>
          <w:szCs w:val="24"/>
        </w:rPr>
      </w:pPr>
      <w:r w:rsidRPr="005A30A5">
        <w:rPr>
          <w:rFonts w:ascii="Palatino Linotype" w:eastAsia="Times New Roman" w:hAnsi="Palatino Linotype" w:cs="Arial"/>
          <w:b/>
          <w:i/>
          <w:sz w:val="24"/>
          <w:szCs w:val="24"/>
        </w:rPr>
        <w:t>[…]</w:t>
      </w:r>
    </w:p>
    <w:p w:rsidR="009B6404" w:rsidRPr="005A30A5" w:rsidRDefault="009B6404" w:rsidP="009B6404">
      <w:pPr>
        <w:spacing w:before="120" w:after="120" w:line="240" w:lineRule="auto"/>
        <w:ind w:left="567" w:right="284"/>
        <w:jc w:val="both"/>
        <w:rPr>
          <w:rFonts w:ascii="Palatino Linotype" w:eastAsia="Times New Roman" w:hAnsi="Palatino Linotype" w:cs="Arial"/>
          <w:b/>
          <w:i/>
          <w:sz w:val="24"/>
          <w:szCs w:val="24"/>
        </w:rPr>
      </w:pPr>
      <w:r w:rsidRPr="005A30A5">
        <w:rPr>
          <w:rFonts w:ascii="Palatino Linotype" w:eastAsia="Times New Roman" w:hAnsi="Palatino Linotype" w:cs="Arial"/>
          <w:b/>
          <w:i/>
          <w:sz w:val="24"/>
          <w:szCs w:val="24"/>
        </w:rPr>
        <w:t>69.</w:t>
      </w:r>
      <w:r w:rsidRPr="005A30A5">
        <w:rPr>
          <w:rFonts w:ascii="Palatino Linotype" w:eastAsia="Times New Roman" w:hAnsi="Palatino Linotype" w:cs="Arial"/>
          <w:i/>
          <w:sz w:val="24"/>
          <w:szCs w:val="24"/>
        </w:rPr>
        <w:t xml:space="preserve"> </w:t>
      </w:r>
      <w:r w:rsidRPr="005A30A5">
        <w:rPr>
          <w:rFonts w:ascii="Palatino Linotype" w:eastAsia="Times New Roman" w:hAnsi="Palatino Linotype" w:cs="Arial"/>
          <w:b/>
          <w:i/>
          <w:sz w:val="24"/>
          <w:szCs w:val="24"/>
        </w:rPr>
        <w:t>El Tesorero</w:t>
      </w:r>
      <w:r w:rsidRPr="005A30A5">
        <w:rPr>
          <w:rFonts w:ascii="Palatino Linotype" w:eastAsia="Times New Roman" w:hAnsi="Palatino Linotype" w:cs="Arial"/>
          <w:i/>
          <w:sz w:val="24"/>
          <w:szCs w:val="24"/>
        </w:rPr>
        <w:t xml:space="preserve"> o en su caso, el titular del área administrativa, </w:t>
      </w:r>
      <w:r w:rsidRPr="005A30A5">
        <w:rPr>
          <w:rFonts w:ascii="Palatino Linotype" w:eastAsia="Times New Roman" w:hAnsi="Palatino Linotype" w:cs="Arial"/>
          <w:b/>
          <w:i/>
          <w:sz w:val="24"/>
          <w:szCs w:val="24"/>
        </w:rPr>
        <w:t xml:space="preserve">deberá cerciorarse que </w:t>
      </w:r>
      <w:r w:rsidRPr="005A30A5">
        <w:rPr>
          <w:rFonts w:ascii="Palatino Linotype" w:eastAsia="Times New Roman" w:hAnsi="Palatino Linotype" w:cs="Arial"/>
          <w:b/>
          <w:i/>
          <w:sz w:val="24"/>
          <w:szCs w:val="24"/>
          <w:u w:val="single"/>
        </w:rPr>
        <w:t>haya un recibo firmado</w:t>
      </w:r>
      <w:r w:rsidRPr="005A30A5">
        <w:rPr>
          <w:rFonts w:ascii="Palatino Linotype" w:eastAsia="Times New Roman" w:hAnsi="Palatino Linotype" w:cs="Arial"/>
          <w:b/>
          <w:i/>
          <w:sz w:val="24"/>
          <w:szCs w:val="24"/>
        </w:rPr>
        <w:t xml:space="preserve"> por cada pago de nómina, o cualquier pago relacionado con servicios personales, que se haga a los servidores públicos.</w:t>
      </w:r>
    </w:p>
    <w:p w:rsidR="009B6404" w:rsidRDefault="009B6404" w:rsidP="009B6404">
      <w:pPr>
        <w:spacing w:before="240" w:after="240" w:line="360" w:lineRule="auto"/>
        <w:ind w:left="567"/>
        <w:jc w:val="both"/>
        <w:rPr>
          <w:rFonts w:ascii="Palatino Linotype" w:hAnsi="Palatino Linotype" w:cs="Arial"/>
          <w:bCs/>
          <w:sz w:val="24"/>
          <w:szCs w:val="24"/>
        </w:rPr>
      </w:pPr>
      <w:r w:rsidRPr="005A30A5">
        <w:rPr>
          <w:rFonts w:ascii="Palatino Linotype" w:eastAsia="Times New Roman" w:hAnsi="Palatino Linotype" w:cs="Arial"/>
          <w:i/>
          <w:sz w:val="24"/>
          <w:szCs w:val="24"/>
        </w:rPr>
        <w:t>(Énfasis añadido)</w:t>
      </w:r>
    </w:p>
    <w:p w:rsidR="00E924A0" w:rsidRDefault="00E924A0" w:rsidP="00FD78E8">
      <w:pPr>
        <w:spacing w:before="240" w:after="240" w:line="360" w:lineRule="auto"/>
        <w:jc w:val="both"/>
        <w:rPr>
          <w:rFonts w:ascii="Palatino Linotype" w:hAnsi="Palatino Linotype" w:cs="Arial"/>
          <w:sz w:val="24"/>
          <w:szCs w:val="24"/>
        </w:rPr>
      </w:pPr>
    </w:p>
    <w:p w:rsidR="00FD78E8" w:rsidRPr="00E870CC" w:rsidRDefault="00FD78E8" w:rsidP="00E870CC">
      <w:pPr>
        <w:pStyle w:val="Prrafodelista"/>
        <w:numPr>
          <w:ilvl w:val="0"/>
          <w:numId w:val="46"/>
        </w:numPr>
        <w:spacing w:before="240" w:after="240" w:line="360" w:lineRule="auto"/>
        <w:jc w:val="both"/>
        <w:rPr>
          <w:rFonts w:ascii="Palatino Linotype" w:hAnsi="Palatino Linotype" w:cs="Arial"/>
          <w:b/>
        </w:rPr>
      </w:pPr>
      <w:r w:rsidRPr="00E870CC">
        <w:rPr>
          <w:rFonts w:ascii="Palatino Linotype" w:hAnsi="Palatino Linotype" w:cs="Arial"/>
          <w:b/>
        </w:rPr>
        <w:t>De la Versión Pública</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Respecto de los documentos que se ordena su entrega cabe señalar que el derecho</w:t>
      </w:r>
      <w:r w:rsidR="00E924A0">
        <w:rPr>
          <w:rFonts w:ascii="Palatino Linotype" w:hAnsi="Palatino Linotype" w:cs="Arial"/>
          <w:sz w:val="24"/>
          <w:szCs w:val="24"/>
        </w:rPr>
        <w:t xml:space="preserve"> </w:t>
      </w:r>
      <w:r w:rsidRPr="00FD78E8">
        <w:rPr>
          <w:rFonts w:ascii="Palatino Linotype" w:hAnsi="Palatino Linotype" w:cs="Arial"/>
          <w:sz w:val="24"/>
          <w:szCs w:val="24"/>
        </w:rPr>
        <w:t>de acceso a la información pública tiene como limitante el respeto a la intimidad y a</w:t>
      </w:r>
      <w:r w:rsidR="00E924A0">
        <w:rPr>
          <w:rFonts w:ascii="Palatino Linotype" w:hAnsi="Palatino Linotype" w:cs="Arial"/>
          <w:sz w:val="24"/>
          <w:szCs w:val="24"/>
        </w:rPr>
        <w:t xml:space="preserve"> </w:t>
      </w:r>
      <w:r w:rsidRPr="00FD78E8">
        <w:rPr>
          <w:rFonts w:ascii="Palatino Linotype" w:hAnsi="Palatino Linotype" w:cs="Arial"/>
          <w:sz w:val="24"/>
          <w:szCs w:val="24"/>
        </w:rPr>
        <w:t>la vida privada de las personas, por lo que la entrega de la información, en caso de</w:t>
      </w:r>
      <w:r w:rsidR="00E924A0">
        <w:rPr>
          <w:rFonts w:ascii="Palatino Linotype" w:hAnsi="Palatino Linotype" w:cs="Arial"/>
          <w:sz w:val="24"/>
          <w:szCs w:val="24"/>
        </w:rPr>
        <w:t xml:space="preserve">  </w:t>
      </w:r>
      <w:r w:rsidRPr="00FD78E8">
        <w:rPr>
          <w:rFonts w:ascii="Palatino Linotype" w:hAnsi="Palatino Linotype" w:cs="Arial"/>
          <w:sz w:val="24"/>
          <w:szCs w:val="24"/>
        </w:rPr>
        <w:t>contener datos personales, deberá ser en versión pública, esto es, omitiendo,</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eliminando o suprimiendo la información personal de cada funcionario público, </w:t>
      </w:r>
      <w:r w:rsidR="00E924A0">
        <w:rPr>
          <w:rFonts w:ascii="Palatino Linotype" w:hAnsi="Palatino Linotype" w:cs="Arial"/>
          <w:sz w:val="24"/>
          <w:szCs w:val="24"/>
        </w:rPr>
        <w:t xml:space="preserve"> </w:t>
      </w:r>
      <w:r w:rsidRPr="00FD78E8">
        <w:rPr>
          <w:rFonts w:ascii="Palatino Linotype" w:hAnsi="Palatino Linotype" w:cs="Arial"/>
          <w:sz w:val="24"/>
          <w:szCs w:val="24"/>
        </w:rPr>
        <w:t>susceptibles de ser clasificadas como confidencial o cualquier otro dato que ponga</w:t>
      </w:r>
      <w:r w:rsidR="00E924A0">
        <w:rPr>
          <w:rFonts w:ascii="Palatino Linotype" w:hAnsi="Palatino Linotype" w:cs="Arial"/>
          <w:sz w:val="24"/>
          <w:szCs w:val="24"/>
        </w:rPr>
        <w:t xml:space="preserve"> </w:t>
      </w:r>
      <w:r w:rsidRPr="00FD78E8">
        <w:rPr>
          <w:rFonts w:ascii="Palatino Linotype" w:hAnsi="Palatino Linotype" w:cs="Arial"/>
          <w:sz w:val="24"/>
          <w:szCs w:val="24"/>
        </w:rPr>
        <w:t>en riesgo la vida, seguridad o salud de dicha persona.</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 este respecto, los artículos 3, fracciones IX, XX, XXI y XLV; 51 y 52 de la Ley de</w:t>
      </w:r>
      <w:r w:rsidR="00E924A0">
        <w:rPr>
          <w:rFonts w:ascii="Palatino Linotype" w:hAnsi="Palatino Linotype" w:cs="Arial"/>
          <w:sz w:val="24"/>
          <w:szCs w:val="24"/>
        </w:rPr>
        <w:t xml:space="preserve"> </w:t>
      </w:r>
      <w:r w:rsidRPr="00FD78E8">
        <w:rPr>
          <w:rFonts w:ascii="Palatino Linotype" w:hAnsi="Palatino Linotype" w:cs="Arial"/>
          <w:sz w:val="24"/>
          <w:szCs w:val="24"/>
        </w:rPr>
        <w:t>Transparencia y Acceso a la Información Pública del Estado de México y Municipios</w:t>
      </w:r>
      <w:r w:rsidR="00E924A0">
        <w:rPr>
          <w:rFonts w:ascii="Palatino Linotype" w:hAnsi="Palatino Linotype" w:cs="Arial"/>
          <w:sz w:val="24"/>
          <w:szCs w:val="24"/>
        </w:rPr>
        <w:t xml:space="preserve"> </w:t>
      </w:r>
      <w:r w:rsidRPr="00FD78E8">
        <w:rPr>
          <w:rFonts w:ascii="Palatino Linotype" w:hAnsi="Palatino Linotype" w:cs="Arial"/>
          <w:sz w:val="24"/>
          <w:szCs w:val="24"/>
        </w:rPr>
        <w:t>establecen:</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3. Para los efectos de la presente Ley se entenderá por:</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lastRenderedPageBreak/>
        <w:t>IX. Datos personales: La información concerniente a una persona,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identificada o identificable según lo dispuesto por la Ley de Protección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Datos Personales del Estado de México;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XX. Información clasificada: Aquella considerada por la presente Ley</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como reservada o confidencial;</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XXI. Información confidencial: Se considera como información</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confidencial los secretos bancario, fiduciario, industrial, comercial, fiscal,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bursátil y postal, cuya titularidad corresponda a particulares, sujetos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derecho internacional o a sujetos obligados cuando no involucren el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ejercicio de recursos públicos;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XLV. Versión pública: Documento en el que se elimine, suprime o borra la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información clasificada como reservada o confidencial para permitir su</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acceso.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51. Los sujetos obligados designaran a un responsable para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atender la Unidad de Transparencia, quien fungirá como enlace entre éstos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y los solicitantes. Dicha Unidad será la encargada de tramitar internamente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 solicitud de información y tendrá la responsabilidad de verificar en</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cada caso que la misma no sea confidencial o reservada. Dicha Unidad</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contará con las facultades internas necesarias para gestionar la atención 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las solicitudes de información en los términos de la Ley General y la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presente Ley.</w:t>
      </w:r>
    </w:p>
    <w:p w:rsidR="00261075" w:rsidRPr="00FD78E8" w:rsidRDefault="00FD78E8" w:rsidP="00E870CC">
      <w:pPr>
        <w:spacing w:before="120" w:after="120" w:line="240" w:lineRule="auto"/>
        <w:ind w:left="567" w:right="567"/>
        <w:jc w:val="both"/>
        <w:rPr>
          <w:rFonts w:ascii="Palatino Linotype" w:hAnsi="Palatino Linotype" w:cs="Arial"/>
          <w:sz w:val="24"/>
          <w:szCs w:val="24"/>
        </w:rPr>
      </w:pPr>
      <w:r w:rsidRPr="00E870CC">
        <w:rPr>
          <w:rFonts w:ascii="Palatino Linotype" w:hAnsi="Palatino Linotype" w:cs="Arial"/>
          <w:i/>
          <w:sz w:val="24"/>
          <w:szCs w:val="24"/>
        </w:rPr>
        <w:t>Artículo 52. Las solicitudes de acceso a la información y las respuestas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que se les dé, incluyendo, en su caso, la información entregada, así como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las resoluciones a los recursos que en su caso se promuevan serán</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públicas, y de ser el caso que contenga datos personales que deban ser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protegidos se podrá dar su acceso en su versión pública, siempre y cuando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 resolución de referencia se someta a un proceso de disociación, es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decir, no haga identificable al titular de tales datos personales.”</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Así, los datos personales que obren en poder de los Sujetos Obligados deben estar</w:t>
      </w:r>
      <w:r w:rsidR="00E924A0">
        <w:rPr>
          <w:rFonts w:ascii="Palatino Linotype" w:hAnsi="Palatino Linotype" w:cs="Arial"/>
          <w:sz w:val="24"/>
          <w:szCs w:val="24"/>
        </w:rPr>
        <w:t xml:space="preserve"> </w:t>
      </w:r>
      <w:r w:rsidRPr="00FD78E8">
        <w:rPr>
          <w:rFonts w:ascii="Palatino Linotype" w:hAnsi="Palatino Linotype" w:cs="Arial"/>
          <w:sz w:val="24"/>
          <w:szCs w:val="24"/>
        </w:rPr>
        <w:t>protegidos, adoptando las medidas de seguridad administrativas, físicas y técnicas</w:t>
      </w:r>
      <w:r w:rsidR="00E924A0">
        <w:rPr>
          <w:rFonts w:ascii="Palatino Linotype" w:hAnsi="Palatino Linotype" w:cs="Arial"/>
          <w:sz w:val="24"/>
          <w:szCs w:val="24"/>
        </w:rPr>
        <w:t xml:space="preserve"> </w:t>
      </w:r>
      <w:r w:rsidRPr="00FD78E8">
        <w:rPr>
          <w:rFonts w:ascii="Palatino Linotype" w:hAnsi="Palatino Linotype" w:cs="Arial"/>
          <w:sz w:val="24"/>
          <w:szCs w:val="24"/>
        </w:rPr>
        <w:t>necesarias para garantizar la integridad, confidencialidad y disponibilidad de los</w:t>
      </w:r>
      <w:r w:rsidR="00E924A0">
        <w:rPr>
          <w:rFonts w:ascii="Palatino Linotype" w:hAnsi="Palatino Linotype" w:cs="Arial"/>
          <w:sz w:val="24"/>
          <w:szCs w:val="24"/>
        </w:rPr>
        <w:t xml:space="preserve"> </w:t>
      </w:r>
      <w:r w:rsidRPr="00FD78E8">
        <w:rPr>
          <w:rFonts w:ascii="Palatino Linotype" w:hAnsi="Palatino Linotype" w:cs="Arial"/>
          <w:sz w:val="24"/>
          <w:szCs w:val="24"/>
        </w:rPr>
        <w:t>datos personales, considerando además, que conforme al principio de finalidad, todo</w:t>
      </w:r>
      <w:r w:rsidR="00E924A0">
        <w:rPr>
          <w:rFonts w:ascii="Palatino Linotype" w:hAnsi="Palatino Linotype" w:cs="Arial"/>
          <w:sz w:val="24"/>
          <w:szCs w:val="24"/>
        </w:rPr>
        <w:t xml:space="preserve"> </w:t>
      </w:r>
      <w:r w:rsidRPr="00FD78E8">
        <w:rPr>
          <w:rFonts w:ascii="Palatino Linotype" w:hAnsi="Palatino Linotype" w:cs="Arial"/>
          <w:sz w:val="24"/>
          <w:szCs w:val="24"/>
        </w:rPr>
        <w:t>tratamiento de datos personales que efectúen deberá estar justificado en la Ley, lo</w:t>
      </w:r>
      <w:r w:rsidR="00E924A0">
        <w:rPr>
          <w:rFonts w:ascii="Palatino Linotype" w:hAnsi="Palatino Linotype" w:cs="Arial"/>
          <w:sz w:val="24"/>
          <w:szCs w:val="24"/>
        </w:rPr>
        <w:t xml:space="preserve"> </w:t>
      </w:r>
      <w:r w:rsidRPr="00FD78E8">
        <w:rPr>
          <w:rFonts w:ascii="Palatino Linotype" w:hAnsi="Palatino Linotype" w:cs="Arial"/>
          <w:sz w:val="24"/>
          <w:szCs w:val="24"/>
        </w:rPr>
        <w:t>anterior, en términos de lo dispuesto por el artículo 22 con relación con el 38 de la</w:t>
      </w:r>
      <w:r w:rsidR="00E924A0">
        <w:rPr>
          <w:rFonts w:ascii="Palatino Linotype" w:hAnsi="Palatino Linotype" w:cs="Arial"/>
          <w:sz w:val="24"/>
          <w:szCs w:val="24"/>
        </w:rPr>
        <w:t xml:space="preserve"> </w:t>
      </w:r>
      <w:r w:rsidRPr="00FD78E8">
        <w:rPr>
          <w:rFonts w:ascii="Palatino Linotype" w:hAnsi="Palatino Linotype" w:cs="Arial"/>
          <w:sz w:val="24"/>
          <w:szCs w:val="24"/>
        </w:rPr>
        <w:lastRenderedPageBreak/>
        <w:t>Ley de Protección de Datos Personales en Posesión de Sujetos Obligados del</w:t>
      </w:r>
      <w:r w:rsidR="00E924A0">
        <w:rPr>
          <w:rFonts w:ascii="Palatino Linotype" w:hAnsi="Palatino Linotype" w:cs="Arial"/>
          <w:sz w:val="24"/>
          <w:szCs w:val="24"/>
        </w:rPr>
        <w:t xml:space="preserve"> </w:t>
      </w:r>
      <w:r w:rsidRPr="00FD78E8">
        <w:rPr>
          <w:rFonts w:ascii="Palatino Linotype" w:hAnsi="Palatino Linotype" w:cs="Arial"/>
          <w:sz w:val="24"/>
          <w:szCs w:val="24"/>
        </w:rPr>
        <w:t>Estado de México y Municipios, los cuales se transcriben para mayor referencia: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22. Todo tratamiento de datos personales que efectúe el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responsable deberá estar justificado por finalidades concretas, lícitas,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explícitas y legítimas, relacionadas con las atribuciones que la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normatividad aplicable les confiera.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El responsable podrá tratar datos personales para finalidades distintas 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aquéllas establecidas en el aviso de privacidad, en los casos siguientes: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 Cuente con atribuciones conferidas en ley y medie el consentimiento del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titular.</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 Se trate de una persona reportada como desaparecida, en los términos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previstos en la presente Ley y demás disposiciones legales aplicables...</w:t>
      </w:r>
    </w:p>
    <w:p w:rsidR="00FD78E8" w:rsidRPr="00FD78E8" w:rsidRDefault="00FD78E8" w:rsidP="00E870CC">
      <w:pPr>
        <w:spacing w:before="120" w:after="120" w:line="240" w:lineRule="auto"/>
        <w:ind w:left="567" w:right="567"/>
        <w:jc w:val="both"/>
        <w:rPr>
          <w:rFonts w:ascii="Palatino Linotype" w:hAnsi="Palatino Linotype" w:cs="Arial"/>
          <w:sz w:val="24"/>
          <w:szCs w:val="24"/>
        </w:rPr>
      </w:pPr>
      <w:r w:rsidRPr="00E870CC">
        <w:rPr>
          <w:rFonts w:ascii="Palatino Linotype" w:hAnsi="Palatino Linotype" w:cs="Arial"/>
          <w:i/>
          <w:sz w:val="24"/>
          <w:szCs w:val="24"/>
        </w:rPr>
        <w:t>Artículo 38. Con independencia del tipo de sistema y base de datos en el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que se encuentren los datos personales o el tipo de tratamiento que se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efectúe, el responsable adoptará, establecerá, mantendrá y documentará</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las medidas de seguridad administrativas, físicas y técnicas para garantizar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 integridad, confidencialidad y disponibilidad de los datos personales, 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través de controles y acciones que eviten su daño, alteración, pérdida,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destrucción, o el uso, transferencia, acceso o cualquier tratamiento no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autorizado o ilícito, de conformidad con lo dispuesto en los lineamientos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que al efecto se expidan.”</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De este modo, en armonía entre los principios constitucionales de máxima publicidad</w:t>
      </w:r>
      <w:r w:rsidR="00E924A0">
        <w:rPr>
          <w:rFonts w:ascii="Palatino Linotype" w:hAnsi="Palatino Linotype" w:cs="Arial"/>
          <w:sz w:val="24"/>
          <w:szCs w:val="24"/>
        </w:rPr>
        <w:t xml:space="preserve"> </w:t>
      </w:r>
      <w:r w:rsidRPr="00FD78E8">
        <w:rPr>
          <w:rFonts w:ascii="Palatino Linotype" w:hAnsi="Palatino Linotype" w:cs="Arial"/>
          <w:sz w:val="24"/>
          <w:szCs w:val="24"/>
        </w:rPr>
        <w:t>y de protección de datos personales, la Ley permite la elaboración de versiones</w:t>
      </w:r>
      <w:r w:rsidR="00E924A0">
        <w:rPr>
          <w:rFonts w:ascii="Palatino Linotype" w:hAnsi="Palatino Linotype" w:cs="Arial"/>
          <w:sz w:val="24"/>
          <w:szCs w:val="24"/>
        </w:rPr>
        <w:t xml:space="preserve"> </w:t>
      </w:r>
      <w:r w:rsidRPr="00FD78E8">
        <w:rPr>
          <w:rFonts w:ascii="Palatino Linotype" w:hAnsi="Palatino Linotype" w:cs="Arial"/>
          <w:sz w:val="24"/>
          <w:szCs w:val="24"/>
        </w:rPr>
        <w:t>públicas en las que se suprima aquella información relacionada con la vida privada</w:t>
      </w:r>
      <w:r w:rsidR="00E924A0">
        <w:rPr>
          <w:rFonts w:ascii="Palatino Linotype" w:hAnsi="Palatino Linotype" w:cs="Arial"/>
          <w:sz w:val="24"/>
          <w:szCs w:val="24"/>
        </w:rPr>
        <w:t xml:space="preserve"> </w:t>
      </w:r>
      <w:r w:rsidRPr="00FD78E8">
        <w:rPr>
          <w:rFonts w:ascii="Palatino Linotype" w:hAnsi="Palatino Linotype" w:cs="Arial"/>
          <w:sz w:val="24"/>
          <w:szCs w:val="24"/>
        </w:rPr>
        <w:t>de los particulares y de los servidores públicos toda vez que ésta tiene por objeto proteger datos personales, entendiéndose por tales, aquéllos que hacen identificable</w:t>
      </w:r>
      <w:r w:rsidR="00E924A0">
        <w:rPr>
          <w:rFonts w:ascii="Palatino Linotype" w:hAnsi="Palatino Linotype" w:cs="Arial"/>
          <w:sz w:val="24"/>
          <w:szCs w:val="24"/>
        </w:rPr>
        <w:t xml:space="preserve"> </w:t>
      </w:r>
      <w:r w:rsidRPr="00FD78E8">
        <w:rPr>
          <w:rFonts w:ascii="Palatino Linotype" w:hAnsi="Palatino Linotype" w:cs="Arial"/>
          <w:sz w:val="24"/>
          <w:szCs w:val="24"/>
        </w:rPr>
        <w:t>a una persona.</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En efecto, toda la información relativa a una persona física que le pueda hacer</w:t>
      </w:r>
      <w:r w:rsidR="00E924A0">
        <w:rPr>
          <w:rFonts w:ascii="Palatino Linotype" w:hAnsi="Palatino Linotype" w:cs="Arial"/>
          <w:sz w:val="24"/>
          <w:szCs w:val="24"/>
        </w:rPr>
        <w:t xml:space="preserve"> </w:t>
      </w:r>
      <w:r w:rsidRPr="00FD78E8">
        <w:rPr>
          <w:rFonts w:ascii="Palatino Linotype" w:hAnsi="Palatino Linotype" w:cs="Arial"/>
          <w:sz w:val="24"/>
          <w:szCs w:val="24"/>
        </w:rPr>
        <w:t>identificada o identificable constituye un dato personal en términos del artículo 4</w:t>
      </w:r>
      <w:r w:rsidR="00E924A0">
        <w:rPr>
          <w:rFonts w:ascii="Palatino Linotype" w:hAnsi="Palatino Linotype" w:cs="Arial"/>
          <w:sz w:val="24"/>
          <w:szCs w:val="24"/>
        </w:rPr>
        <w:t xml:space="preserve"> </w:t>
      </w:r>
      <w:r w:rsidRPr="00FD78E8">
        <w:rPr>
          <w:rFonts w:ascii="Palatino Linotype" w:hAnsi="Palatino Linotype" w:cs="Arial"/>
          <w:sz w:val="24"/>
          <w:szCs w:val="24"/>
        </w:rPr>
        <w:t>fracción XI, de la Ley de Protección de Datos Personales en Posesión de Sujetos</w:t>
      </w:r>
      <w:r w:rsidR="00E924A0">
        <w:rPr>
          <w:rFonts w:ascii="Palatino Linotype" w:hAnsi="Palatino Linotype" w:cs="Arial"/>
          <w:sz w:val="24"/>
          <w:szCs w:val="24"/>
        </w:rPr>
        <w:t xml:space="preserve"> </w:t>
      </w:r>
      <w:r w:rsidRPr="00FD78E8">
        <w:rPr>
          <w:rFonts w:ascii="Palatino Linotype" w:hAnsi="Palatino Linotype" w:cs="Arial"/>
          <w:sz w:val="24"/>
          <w:szCs w:val="24"/>
        </w:rPr>
        <w:lastRenderedPageBreak/>
        <w:t>Obligados del Estado de México y Municipios; por consiguiente, se trata de</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información confidencial, que debe ser protegida por el </w:t>
      </w:r>
      <w:r w:rsidRPr="00406BA7">
        <w:rPr>
          <w:rFonts w:ascii="Palatino Linotype" w:hAnsi="Palatino Linotype" w:cs="Arial"/>
          <w:b/>
          <w:sz w:val="24"/>
          <w:szCs w:val="24"/>
        </w:rPr>
        <w:t>Sujeto Obligado</w:t>
      </w:r>
      <w:r w:rsidRPr="00FD78E8">
        <w:rPr>
          <w:rFonts w:ascii="Palatino Linotype" w:hAnsi="Palatino Linotype" w:cs="Arial"/>
          <w:sz w:val="24"/>
          <w:szCs w:val="24"/>
        </w:rPr>
        <w:t>, en ese</w:t>
      </w:r>
      <w:r w:rsidR="00E924A0">
        <w:rPr>
          <w:rFonts w:ascii="Palatino Linotype" w:hAnsi="Palatino Linotype" w:cs="Arial"/>
          <w:sz w:val="24"/>
          <w:szCs w:val="24"/>
        </w:rPr>
        <w:t xml:space="preserve"> </w:t>
      </w:r>
      <w:r w:rsidRPr="00FD78E8">
        <w:rPr>
          <w:rFonts w:ascii="Palatino Linotype" w:hAnsi="Palatino Linotype" w:cs="Arial"/>
          <w:sz w:val="24"/>
          <w:szCs w:val="24"/>
        </w:rPr>
        <w:t>contexto, todo dato personal susceptible de clasificación debe ser protegido.</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 xml:space="preserve">Asimismo, de la versión pública deberá dejarse a la vista de la </w:t>
      </w:r>
      <w:r w:rsidRPr="00406BA7">
        <w:rPr>
          <w:rFonts w:ascii="Palatino Linotype" w:hAnsi="Palatino Linotype" w:cs="Arial"/>
          <w:b/>
          <w:sz w:val="24"/>
          <w:szCs w:val="24"/>
        </w:rPr>
        <w:t>Recurrente</w:t>
      </w:r>
      <w:r w:rsidRPr="00FD78E8">
        <w:rPr>
          <w:rFonts w:ascii="Palatino Linotype" w:hAnsi="Palatino Linotype" w:cs="Arial"/>
          <w:sz w:val="24"/>
          <w:szCs w:val="24"/>
        </w:rPr>
        <w:t xml:space="preserve"> los</w:t>
      </w:r>
      <w:r w:rsidR="00E924A0">
        <w:rPr>
          <w:rFonts w:ascii="Palatino Linotype" w:hAnsi="Palatino Linotype" w:cs="Arial"/>
          <w:sz w:val="24"/>
          <w:szCs w:val="24"/>
        </w:rPr>
        <w:t xml:space="preserve"> </w:t>
      </w:r>
      <w:r w:rsidRPr="00FD78E8">
        <w:rPr>
          <w:rFonts w:ascii="Palatino Linotype" w:hAnsi="Palatino Linotype" w:cs="Arial"/>
          <w:sz w:val="24"/>
          <w:szCs w:val="24"/>
        </w:rPr>
        <w:t>siguientes elementos de información pública: monto total del sueldo neto y bruto,</w:t>
      </w:r>
      <w:r w:rsidR="00E924A0">
        <w:rPr>
          <w:rFonts w:ascii="Palatino Linotype" w:hAnsi="Palatino Linotype" w:cs="Arial"/>
          <w:sz w:val="24"/>
          <w:szCs w:val="24"/>
        </w:rPr>
        <w:t xml:space="preserve"> </w:t>
      </w:r>
      <w:r w:rsidRPr="00FD78E8">
        <w:rPr>
          <w:rFonts w:ascii="Palatino Linotype" w:hAnsi="Palatino Linotype" w:cs="Arial"/>
          <w:sz w:val="24"/>
          <w:szCs w:val="24"/>
        </w:rPr>
        <w:t>compensaciones, prestaciones, aguinaldos, bonos, pagos por concepto de gasolina,</w:t>
      </w:r>
      <w:r w:rsidR="00E924A0">
        <w:rPr>
          <w:rFonts w:ascii="Palatino Linotype" w:hAnsi="Palatino Linotype" w:cs="Arial"/>
          <w:sz w:val="24"/>
          <w:szCs w:val="24"/>
        </w:rPr>
        <w:t xml:space="preserve"> </w:t>
      </w:r>
      <w:r w:rsidRPr="00FD78E8">
        <w:rPr>
          <w:rFonts w:ascii="Palatino Linotype" w:hAnsi="Palatino Linotype" w:cs="Arial"/>
          <w:sz w:val="24"/>
          <w:szCs w:val="24"/>
        </w:rPr>
        <w:t>de servicio de telefonía celular, el nombre del servidor público, el cargo que</w:t>
      </w:r>
      <w:r w:rsidR="00E924A0">
        <w:rPr>
          <w:rFonts w:ascii="Palatino Linotype" w:hAnsi="Palatino Linotype" w:cs="Arial"/>
          <w:sz w:val="24"/>
          <w:szCs w:val="24"/>
        </w:rPr>
        <w:t xml:space="preserve"> </w:t>
      </w:r>
      <w:r w:rsidRPr="00FD78E8">
        <w:rPr>
          <w:rFonts w:ascii="Palatino Linotype" w:hAnsi="Palatino Linotype" w:cs="Arial"/>
          <w:sz w:val="24"/>
          <w:szCs w:val="24"/>
        </w:rPr>
        <w:t>desempeña, área de adscripción, número de empleado (sólo en caso de no arrojar</w:t>
      </w:r>
      <w:r w:rsidR="00E924A0">
        <w:rPr>
          <w:rFonts w:ascii="Palatino Linotype" w:hAnsi="Palatino Linotype" w:cs="Arial"/>
          <w:sz w:val="24"/>
          <w:szCs w:val="24"/>
        </w:rPr>
        <w:t xml:space="preserve"> </w:t>
      </w:r>
      <w:r w:rsidRPr="00FD78E8">
        <w:rPr>
          <w:rFonts w:ascii="Palatino Linotype" w:hAnsi="Palatino Linotype" w:cs="Arial"/>
          <w:sz w:val="24"/>
          <w:szCs w:val="24"/>
        </w:rPr>
        <w:t>datos personales) y el período de la nómina respectiva, básicamente.</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Robustece lo anterior, el criterio sustentado por la Segunda Sala de la Suprema</w:t>
      </w:r>
      <w:r w:rsidR="00E924A0">
        <w:rPr>
          <w:rFonts w:ascii="Palatino Linotype" w:hAnsi="Palatino Linotype" w:cs="Arial"/>
          <w:sz w:val="24"/>
          <w:szCs w:val="24"/>
        </w:rPr>
        <w:t xml:space="preserve"> </w:t>
      </w:r>
      <w:r w:rsidRPr="00FD78E8">
        <w:rPr>
          <w:rFonts w:ascii="Palatino Linotype" w:hAnsi="Palatino Linotype" w:cs="Arial"/>
          <w:sz w:val="24"/>
          <w:szCs w:val="24"/>
        </w:rPr>
        <w:t>Corte de Justicia de la Nación, visible en la página 2518 del Tomo XXII, de la</w:t>
      </w:r>
      <w:r w:rsidR="00E924A0">
        <w:rPr>
          <w:rFonts w:ascii="Palatino Linotype" w:hAnsi="Palatino Linotype" w:cs="Arial"/>
          <w:sz w:val="24"/>
          <w:szCs w:val="24"/>
        </w:rPr>
        <w:t xml:space="preserve"> </w:t>
      </w:r>
      <w:r w:rsidRPr="00FD78E8">
        <w:rPr>
          <w:rFonts w:ascii="Palatino Linotype" w:hAnsi="Palatino Linotype" w:cs="Arial"/>
          <w:sz w:val="24"/>
          <w:szCs w:val="24"/>
        </w:rPr>
        <w:t>Novena Época del Semanario Judicial de la Federación y su Gaceta, Julio de 2008,</w:t>
      </w:r>
      <w:r w:rsidR="00E924A0">
        <w:rPr>
          <w:rFonts w:ascii="Palatino Linotype" w:hAnsi="Palatino Linotype" w:cs="Arial"/>
          <w:sz w:val="24"/>
          <w:szCs w:val="24"/>
        </w:rPr>
        <w:t xml:space="preserve"> </w:t>
      </w:r>
      <w:r w:rsidRPr="00FD78E8">
        <w:rPr>
          <w:rFonts w:ascii="Palatino Linotype" w:hAnsi="Palatino Linotype" w:cs="Arial"/>
          <w:sz w:val="24"/>
          <w:szCs w:val="24"/>
        </w:rPr>
        <w:t>de rubro y texto siguientes:</w:t>
      </w:r>
    </w:p>
    <w:p w:rsidR="00FD78E8" w:rsidRPr="00E870CC" w:rsidRDefault="00E870CC" w:rsidP="00E870CC">
      <w:pPr>
        <w:spacing w:before="120" w:after="120" w:line="240" w:lineRule="auto"/>
        <w:ind w:left="567" w:right="566"/>
        <w:jc w:val="both"/>
        <w:rPr>
          <w:rFonts w:ascii="Palatino Linotype" w:hAnsi="Palatino Linotype" w:cs="Arial"/>
          <w:i/>
          <w:sz w:val="24"/>
          <w:szCs w:val="24"/>
        </w:rPr>
      </w:pPr>
      <w:r w:rsidRPr="00E870CC">
        <w:rPr>
          <w:rFonts w:ascii="Palatino Linotype" w:hAnsi="Palatino Linotype" w:cs="Arial"/>
          <w:i/>
          <w:sz w:val="24"/>
          <w:szCs w:val="24"/>
        </w:rPr>
        <w:t>“</w:t>
      </w:r>
      <w:r w:rsidR="00FD78E8" w:rsidRPr="00E870CC">
        <w:rPr>
          <w:rFonts w:ascii="Palatino Linotype" w:hAnsi="Palatino Linotype" w:cs="Arial"/>
          <w:i/>
          <w:sz w:val="24"/>
          <w:szCs w:val="24"/>
        </w:rPr>
        <w:t>TRANSPARENCIA Y ACCESO A LA INFORMACIÓN PÚBLICA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GUBERNAMENTAL. LOS ARTÍCULOS 3o., FRACCIÓN II, Y 18, FRACCIÓN</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II, DE LA LEY FEDERAL RELATIVA, NO VIOLAN LA GARANTÍA DE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IGUALDAD, AL TUTELAR EL DERECHO A LA PROTECCIÓN DE DATOS</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PERSONALES SÓLO DE LAS PERSONAS FÍSICAS. Si se toma en cuenta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que la garantía constitucional indicada no implica que todos los sujetos de la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norma siempre se encuentren en condiciones de absoluta igualdad, sino que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gocen de una igualdad jurídica traducida en la seguridad de no tener que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soportar un perjuicio (o privarse de un beneficio) desigual e injustificado, se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concluye que los artículos 3o., fracción II, y 18, fracción II, de la Ley Federal de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Transparencia y Acceso a la Información Pública Gubernamental, al tutelar sólo el derecho a la protección de datos personales de las personas físicas y no de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las morales, colectivas o jurídicas privadas, no violan la indicada garantía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contenida en el artículo 1o. de la Constitución Política de los Estados Unidos</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lastRenderedPageBreak/>
        <w:t>Mexicanos, pues tal distinción se justifica porque el derecho a la protección de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los datos personales se refiere únicamente a las personas físicas por estar</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encausado al respeto de un derecho personalísimo, como es el de la intimidad,</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del cual derivó aquél. Esto es, en el apuntado supuesto no se actualiza una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igualdad jurídica entre las personas físicas y las morales porque ambas están en</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situaciones de derecho dispares, ya que la protección de datos personales,</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entre ellos el del patrimonio y su confidencialidad, es una derivación del derecho</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a la intimidad, del cual únicamente goza el individuo, entendido como la persona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humana.</w:t>
      </w:r>
      <w:r>
        <w:rPr>
          <w:rFonts w:ascii="Palatino Linotype" w:hAnsi="Palatino Linotype" w:cs="Arial"/>
          <w:i/>
          <w:sz w:val="24"/>
          <w:szCs w:val="24"/>
        </w:rPr>
        <w:t>”</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 xml:space="preserve">Por ende, en el presente caso el </w:t>
      </w:r>
      <w:r w:rsidRPr="00E870CC">
        <w:rPr>
          <w:rFonts w:ascii="Palatino Linotype" w:hAnsi="Palatino Linotype" w:cs="Arial"/>
          <w:b/>
          <w:sz w:val="24"/>
          <w:szCs w:val="24"/>
        </w:rPr>
        <w:t>Sujeto Obligado</w:t>
      </w:r>
      <w:r w:rsidRPr="00FD78E8">
        <w:rPr>
          <w:rFonts w:ascii="Palatino Linotype" w:hAnsi="Palatino Linotype" w:cs="Arial"/>
          <w:sz w:val="24"/>
          <w:szCs w:val="24"/>
        </w:rPr>
        <w:t xml:space="preserve"> sólo podrá testar los datos</w:t>
      </w:r>
      <w:r w:rsidR="00E924A0">
        <w:rPr>
          <w:rFonts w:ascii="Palatino Linotype" w:hAnsi="Palatino Linotype" w:cs="Arial"/>
          <w:sz w:val="24"/>
          <w:szCs w:val="24"/>
        </w:rPr>
        <w:t xml:space="preserve"> </w:t>
      </w:r>
      <w:r w:rsidRPr="00FD78E8">
        <w:rPr>
          <w:rFonts w:ascii="Palatino Linotype" w:hAnsi="Palatino Linotype" w:cs="Arial"/>
          <w:sz w:val="24"/>
          <w:szCs w:val="24"/>
        </w:rPr>
        <w:t>referidos con antelación, clasificación que tiene que efectuar mediante las</w:t>
      </w:r>
      <w:r w:rsidR="00E924A0">
        <w:rPr>
          <w:rFonts w:ascii="Palatino Linotype" w:hAnsi="Palatino Linotype" w:cs="Arial"/>
          <w:sz w:val="24"/>
          <w:szCs w:val="24"/>
        </w:rPr>
        <w:t xml:space="preserve"> </w:t>
      </w:r>
      <w:r w:rsidRPr="00FD78E8">
        <w:rPr>
          <w:rFonts w:ascii="Palatino Linotype" w:hAnsi="Palatino Linotype" w:cs="Arial"/>
          <w:sz w:val="24"/>
          <w:szCs w:val="24"/>
        </w:rPr>
        <w:t>formalidades que la Ley impone, es decir, resulta necesario que el Comité de</w:t>
      </w:r>
      <w:r w:rsidR="00E924A0">
        <w:rPr>
          <w:rFonts w:ascii="Palatino Linotype" w:hAnsi="Palatino Linotype" w:cs="Arial"/>
          <w:sz w:val="24"/>
          <w:szCs w:val="24"/>
        </w:rPr>
        <w:t xml:space="preserve"> </w:t>
      </w:r>
      <w:r w:rsidRPr="00FD78E8">
        <w:rPr>
          <w:rFonts w:ascii="Palatino Linotype" w:hAnsi="Palatino Linotype" w:cs="Arial"/>
          <w:sz w:val="24"/>
          <w:szCs w:val="24"/>
        </w:rPr>
        <w:t>Transparencia del Sujeto Obligado emita el Acuerdo de Clasificación</w:t>
      </w:r>
      <w:r w:rsidR="00E924A0">
        <w:rPr>
          <w:rFonts w:ascii="Palatino Linotype" w:hAnsi="Palatino Linotype" w:cs="Arial"/>
          <w:sz w:val="24"/>
          <w:szCs w:val="24"/>
        </w:rPr>
        <w:t xml:space="preserve"> </w:t>
      </w:r>
      <w:r w:rsidRPr="00FD78E8">
        <w:rPr>
          <w:rFonts w:ascii="Palatino Linotype" w:hAnsi="Palatino Linotype" w:cs="Arial"/>
          <w:sz w:val="24"/>
          <w:szCs w:val="24"/>
        </w:rPr>
        <w:t>correspondiente debidamente fundado y motivado, que sustente la versión pública,</w:t>
      </w:r>
      <w:r w:rsidR="00E924A0">
        <w:rPr>
          <w:rFonts w:ascii="Palatino Linotype" w:hAnsi="Palatino Linotype" w:cs="Arial"/>
          <w:sz w:val="24"/>
          <w:szCs w:val="24"/>
        </w:rPr>
        <w:t xml:space="preserve"> </w:t>
      </w:r>
      <w:r w:rsidRPr="00FD78E8">
        <w:rPr>
          <w:rFonts w:ascii="Palatino Linotype" w:hAnsi="Palatino Linotype" w:cs="Arial"/>
          <w:sz w:val="24"/>
          <w:szCs w:val="24"/>
        </w:rPr>
        <w:t>el cual deberá cumplir cabalmente con las formalidades previstas en el artículo 137</w:t>
      </w:r>
      <w:r w:rsidR="00E924A0">
        <w:rPr>
          <w:rFonts w:ascii="Palatino Linotype" w:hAnsi="Palatino Linotype" w:cs="Arial"/>
          <w:sz w:val="24"/>
          <w:szCs w:val="24"/>
        </w:rPr>
        <w:t xml:space="preserve"> </w:t>
      </w:r>
      <w:r w:rsidRPr="00FD78E8">
        <w:rPr>
          <w:rFonts w:ascii="Palatino Linotype" w:hAnsi="Palatino Linotype" w:cs="Arial"/>
          <w:sz w:val="24"/>
          <w:szCs w:val="24"/>
        </w:rPr>
        <w:t>de la Ley de Transparencia y Acceso a la Información Pública del Estado de México</w:t>
      </w:r>
      <w:r w:rsidR="00E924A0">
        <w:rPr>
          <w:rFonts w:ascii="Palatino Linotype" w:hAnsi="Palatino Linotype" w:cs="Arial"/>
          <w:sz w:val="24"/>
          <w:szCs w:val="24"/>
        </w:rPr>
        <w:t xml:space="preserve"> </w:t>
      </w:r>
      <w:r w:rsidRPr="00FD78E8">
        <w:rPr>
          <w:rFonts w:ascii="Palatino Linotype" w:hAnsi="Palatino Linotype" w:cs="Arial"/>
          <w:sz w:val="24"/>
          <w:szCs w:val="24"/>
        </w:rPr>
        <w:t>y Municipios, así como con los numerales aplicables de los LINEAMIENTOS</w:t>
      </w:r>
      <w:r w:rsidR="00E924A0">
        <w:rPr>
          <w:rFonts w:ascii="Palatino Linotype" w:hAnsi="Palatino Linotype" w:cs="Arial"/>
          <w:sz w:val="24"/>
          <w:szCs w:val="24"/>
        </w:rPr>
        <w:t xml:space="preserve"> </w:t>
      </w:r>
      <w:r w:rsidRPr="00FD78E8">
        <w:rPr>
          <w:rFonts w:ascii="Palatino Linotype" w:hAnsi="Palatino Linotype" w:cs="Arial"/>
          <w:sz w:val="24"/>
          <w:szCs w:val="24"/>
        </w:rPr>
        <w:t>GENERALES EN MATERIA DE CLASIFICACIÓN Y DESCLASIFICACIÓN DE</w:t>
      </w:r>
      <w:r w:rsidR="00E924A0">
        <w:rPr>
          <w:rFonts w:ascii="Palatino Linotype" w:hAnsi="Palatino Linotype" w:cs="Arial"/>
          <w:sz w:val="24"/>
          <w:szCs w:val="24"/>
        </w:rPr>
        <w:t xml:space="preserve"> </w:t>
      </w:r>
      <w:r w:rsidRPr="00FD78E8">
        <w:rPr>
          <w:rFonts w:ascii="Palatino Linotype" w:hAnsi="Palatino Linotype" w:cs="Arial"/>
          <w:sz w:val="24"/>
          <w:szCs w:val="24"/>
        </w:rPr>
        <w:t>LA INFORMACIÓN, ASÍ COMO PARA LA ELABORACIÓN DE VERSIONES</w:t>
      </w:r>
      <w:r w:rsidR="00E924A0">
        <w:rPr>
          <w:rFonts w:ascii="Palatino Linotype" w:hAnsi="Palatino Linotype" w:cs="Arial"/>
          <w:sz w:val="24"/>
          <w:szCs w:val="24"/>
        </w:rPr>
        <w:t xml:space="preserve"> </w:t>
      </w:r>
      <w:r w:rsidRPr="00FD78E8">
        <w:rPr>
          <w:rFonts w:ascii="Palatino Linotype" w:hAnsi="Palatino Linotype" w:cs="Arial"/>
          <w:sz w:val="24"/>
          <w:szCs w:val="24"/>
        </w:rPr>
        <w:t>PÚBLICAS, publicados en el Diario Oficial de la Federación en fecha quince de abril</w:t>
      </w:r>
      <w:r w:rsidR="00E924A0">
        <w:rPr>
          <w:rFonts w:ascii="Palatino Linotype" w:hAnsi="Palatino Linotype" w:cs="Arial"/>
          <w:sz w:val="24"/>
          <w:szCs w:val="24"/>
        </w:rPr>
        <w:t xml:space="preserve"> </w:t>
      </w:r>
      <w:r w:rsidRPr="00FD78E8">
        <w:rPr>
          <w:rFonts w:ascii="Palatino Linotype" w:hAnsi="Palatino Linotype" w:cs="Arial"/>
          <w:sz w:val="24"/>
          <w:szCs w:val="24"/>
        </w:rPr>
        <w:t>del año dos mil dieciséis, mediante Acuerdo del Consejo Nacional del Sistema</w:t>
      </w:r>
      <w:r w:rsidR="00E924A0">
        <w:rPr>
          <w:rFonts w:ascii="Palatino Linotype" w:hAnsi="Palatino Linotype" w:cs="Arial"/>
          <w:sz w:val="24"/>
          <w:szCs w:val="24"/>
        </w:rPr>
        <w:t xml:space="preserve"> </w:t>
      </w:r>
      <w:r w:rsidRPr="00FD78E8">
        <w:rPr>
          <w:rFonts w:ascii="Palatino Linotype" w:hAnsi="Palatino Linotype" w:cs="Arial"/>
          <w:sz w:val="24"/>
          <w:szCs w:val="24"/>
        </w:rPr>
        <w:t>Nacional de Transparencia, Acceso a la Información Pública y Protección de Datos</w:t>
      </w:r>
      <w:r w:rsidR="00E924A0">
        <w:rPr>
          <w:rFonts w:ascii="Palatino Linotype" w:hAnsi="Palatino Linotype" w:cs="Arial"/>
          <w:sz w:val="24"/>
          <w:szCs w:val="24"/>
        </w:rPr>
        <w:t xml:space="preserve"> </w:t>
      </w:r>
      <w:r w:rsidRPr="00FD78E8">
        <w:rPr>
          <w:rFonts w:ascii="Palatino Linotype" w:hAnsi="Palatino Linotype" w:cs="Arial"/>
          <w:sz w:val="24"/>
          <w:szCs w:val="24"/>
        </w:rPr>
        <w:t>Personales.</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En caso específico, de los documentos solicitados obran datos que son</w:t>
      </w:r>
      <w:r w:rsidR="00E924A0">
        <w:rPr>
          <w:rFonts w:ascii="Palatino Linotype" w:hAnsi="Palatino Linotype" w:cs="Arial"/>
          <w:sz w:val="24"/>
          <w:szCs w:val="24"/>
        </w:rPr>
        <w:t xml:space="preserve"> </w:t>
      </w:r>
      <w:r w:rsidRPr="00FD78E8">
        <w:rPr>
          <w:rFonts w:ascii="Palatino Linotype" w:hAnsi="Palatino Linotype" w:cs="Arial"/>
          <w:sz w:val="24"/>
          <w:szCs w:val="24"/>
        </w:rPr>
        <w:t>considerados confidenciales, cuyo acceso debe ser restringido, los cuales deben</w:t>
      </w:r>
      <w:r w:rsidR="00E924A0">
        <w:rPr>
          <w:rFonts w:ascii="Palatino Linotype" w:hAnsi="Palatino Linotype" w:cs="Arial"/>
          <w:sz w:val="24"/>
          <w:szCs w:val="24"/>
        </w:rPr>
        <w:t xml:space="preserve"> </w:t>
      </w:r>
      <w:r w:rsidRPr="00FD78E8">
        <w:rPr>
          <w:rFonts w:ascii="Palatino Linotype" w:hAnsi="Palatino Linotype" w:cs="Arial"/>
          <w:sz w:val="24"/>
          <w:szCs w:val="24"/>
        </w:rPr>
        <w:t>testarse al momento de la elaboración de versiones públicas, como es el caso del</w:t>
      </w:r>
      <w:r w:rsidR="00E924A0">
        <w:rPr>
          <w:rFonts w:ascii="Palatino Linotype" w:hAnsi="Palatino Linotype" w:cs="Arial"/>
          <w:sz w:val="24"/>
          <w:szCs w:val="24"/>
        </w:rPr>
        <w:t xml:space="preserve"> </w:t>
      </w:r>
      <w:r w:rsidRPr="00FD78E8">
        <w:rPr>
          <w:rFonts w:ascii="Palatino Linotype" w:hAnsi="Palatino Linotype" w:cs="Arial"/>
          <w:sz w:val="24"/>
          <w:szCs w:val="24"/>
        </w:rPr>
        <w:t>Registro Federal de Contribuyentes (RFC), la Clave Única de Registro de</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Población (CURP), la Clave de cualquier tipo de seguridad social (ISSEMYM, u otros), así como, los </w:t>
      </w:r>
      <w:r w:rsidRPr="00FD78E8">
        <w:rPr>
          <w:rFonts w:ascii="Palatino Linotype" w:hAnsi="Palatino Linotype" w:cs="Arial"/>
          <w:sz w:val="24"/>
          <w:szCs w:val="24"/>
        </w:rPr>
        <w:lastRenderedPageBreak/>
        <w:t>préstamos o descuentos que se le hagan al servidor público,</w:t>
      </w:r>
      <w:r w:rsidR="00E924A0">
        <w:rPr>
          <w:rFonts w:ascii="Palatino Linotype" w:hAnsi="Palatino Linotype" w:cs="Arial"/>
          <w:sz w:val="24"/>
          <w:szCs w:val="24"/>
        </w:rPr>
        <w:t xml:space="preserve"> </w:t>
      </w:r>
      <w:r w:rsidRPr="00FD78E8">
        <w:rPr>
          <w:rFonts w:ascii="Palatino Linotype" w:hAnsi="Palatino Linotype" w:cs="Arial"/>
          <w:sz w:val="24"/>
          <w:szCs w:val="24"/>
        </w:rPr>
        <w:t>que no se encuentren relacionados con los impuestos o la cuotas por</w:t>
      </w:r>
      <w:r w:rsidR="00E924A0">
        <w:rPr>
          <w:rFonts w:ascii="Palatino Linotype" w:hAnsi="Palatino Linotype" w:cs="Arial"/>
          <w:sz w:val="24"/>
          <w:szCs w:val="24"/>
        </w:rPr>
        <w:t xml:space="preserve"> </w:t>
      </w:r>
      <w:r w:rsidRPr="00FD78E8">
        <w:rPr>
          <w:rFonts w:ascii="Palatino Linotype" w:hAnsi="Palatino Linotype" w:cs="Arial"/>
          <w:sz w:val="24"/>
          <w:szCs w:val="24"/>
        </w:rPr>
        <w:t>seguridad social.</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cuanto hace al Registro Federal de Contribuyentes de las personas físicas</w:t>
      </w:r>
      <w:r w:rsidR="00E924A0">
        <w:rPr>
          <w:rFonts w:ascii="Palatino Linotype" w:hAnsi="Palatino Linotype" w:cs="Arial"/>
          <w:sz w:val="24"/>
          <w:szCs w:val="24"/>
        </w:rPr>
        <w:t xml:space="preserve"> </w:t>
      </w:r>
      <w:r w:rsidRPr="00FD78E8">
        <w:rPr>
          <w:rFonts w:ascii="Palatino Linotype" w:hAnsi="Palatino Linotype" w:cs="Arial"/>
          <w:sz w:val="24"/>
          <w:szCs w:val="24"/>
        </w:rPr>
        <w:t>constituye un dato personal, ya que se genera con caracteres alfanuméricos</w:t>
      </w:r>
      <w:r w:rsidR="00E924A0">
        <w:rPr>
          <w:rFonts w:ascii="Palatino Linotype" w:hAnsi="Palatino Linotype" w:cs="Arial"/>
          <w:sz w:val="24"/>
          <w:szCs w:val="24"/>
        </w:rPr>
        <w:t xml:space="preserve"> </w:t>
      </w:r>
      <w:r w:rsidRPr="00FD78E8">
        <w:rPr>
          <w:rFonts w:ascii="Palatino Linotype" w:hAnsi="Palatino Linotype" w:cs="Arial"/>
          <w:sz w:val="24"/>
          <w:szCs w:val="24"/>
        </w:rPr>
        <w:t>obtenidos a partir del nombre en mayúsculas sin acentos ni diéresis y la fecha de</w:t>
      </w:r>
      <w:r w:rsidR="00E924A0">
        <w:rPr>
          <w:rFonts w:ascii="Palatino Linotype" w:hAnsi="Palatino Linotype" w:cs="Arial"/>
          <w:sz w:val="24"/>
          <w:szCs w:val="24"/>
        </w:rPr>
        <w:t xml:space="preserve"> </w:t>
      </w:r>
      <w:r w:rsidRPr="00FD78E8">
        <w:rPr>
          <w:rFonts w:ascii="Palatino Linotype" w:hAnsi="Palatino Linotype" w:cs="Arial"/>
          <w:sz w:val="24"/>
          <w:szCs w:val="24"/>
        </w:rPr>
        <w:t>nacimiento de cada persona; es decir la primera letra del apellido paterno; seguida</w:t>
      </w:r>
      <w:r w:rsidR="00E924A0">
        <w:rPr>
          <w:rFonts w:ascii="Palatino Linotype" w:hAnsi="Palatino Linotype" w:cs="Arial"/>
          <w:sz w:val="24"/>
          <w:szCs w:val="24"/>
        </w:rPr>
        <w:t xml:space="preserve"> </w:t>
      </w:r>
      <w:r w:rsidRPr="00FD78E8">
        <w:rPr>
          <w:rFonts w:ascii="Palatino Linotype" w:hAnsi="Palatino Linotype" w:cs="Arial"/>
          <w:sz w:val="24"/>
          <w:szCs w:val="24"/>
        </w:rPr>
        <w:t>de la primera letra vocal del primer apellido; seguida de la primera letra del segundo</w:t>
      </w:r>
      <w:r w:rsidR="00E924A0">
        <w:rPr>
          <w:rFonts w:ascii="Palatino Linotype" w:hAnsi="Palatino Linotype" w:cs="Arial"/>
          <w:sz w:val="24"/>
          <w:szCs w:val="24"/>
        </w:rPr>
        <w:t xml:space="preserve"> </w:t>
      </w:r>
      <w:r w:rsidRPr="00FD78E8">
        <w:rPr>
          <w:rFonts w:ascii="Palatino Linotype" w:hAnsi="Palatino Linotype" w:cs="Arial"/>
          <w:sz w:val="24"/>
          <w:szCs w:val="24"/>
        </w:rPr>
        <w:t>apellido y por último la primera letra del nombre, posterior la fecha de nacimiento</w:t>
      </w:r>
      <w:r w:rsidR="00E924A0">
        <w:rPr>
          <w:rFonts w:ascii="Palatino Linotype" w:hAnsi="Palatino Linotype" w:cs="Arial"/>
          <w:sz w:val="24"/>
          <w:szCs w:val="24"/>
        </w:rPr>
        <w:t xml:space="preserve"> </w:t>
      </w:r>
      <w:r w:rsidRPr="00FD78E8">
        <w:rPr>
          <w:rFonts w:ascii="Palatino Linotype" w:hAnsi="Palatino Linotype" w:cs="Arial"/>
          <w:sz w:val="24"/>
          <w:szCs w:val="24"/>
        </w:rPr>
        <w:t>año/mes/día y finalmente la homoclave; la cual para su obtención es necesario</w:t>
      </w:r>
      <w:r w:rsidR="00E924A0">
        <w:rPr>
          <w:rFonts w:ascii="Palatino Linotype" w:hAnsi="Palatino Linotype" w:cs="Arial"/>
          <w:sz w:val="24"/>
          <w:szCs w:val="24"/>
        </w:rPr>
        <w:t xml:space="preserve"> </w:t>
      </w:r>
      <w:r w:rsidRPr="00FD78E8">
        <w:rPr>
          <w:rFonts w:ascii="Palatino Linotype" w:hAnsi="Palatino Linotype" w:cs="Arial"/>
          <w:sz w:val="24"/>
          <w:szCs w:val="24"/>
        </w:rPr>
        <w:t>acreditar personalidad, fecha de nacimiento entre otros con documentos oficiales.</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Al respecto, el Instituto Nacional Transparencia, Acceso a la Información y</w:t>
      </w:r>
      <w:r w:rsidR="00E924A0">
        <w:rPr>
          <w:rFonts w:ascii="Palatino Linotype" w:hAnsi="Palatino Linotype" w:cs="Arial"/>
          <w:sz w:val="24"/>
          <w:szCs w:val="24"/>
        </w:rPr>
        <w:t xml:space="preserve"> </w:t>
      </w:r>
      <w:r w:rsidRPr="00FD78E8">
        <w:rPr>
          <w:rFonts w:ascii="Palatino Linotype" w:hAnsi="Palatino Linotype" w:cs="Arial"/>
          <w:sz w:val="24"/>
          <w:szCs w:val="24"/>
        </w:rPr>
        <w:t>Protección de Datos Personales (INAI) a través del Criterio 19/17, señala</w:t>
      </w:r>
      <w:r w:rsidR="00E924A0">
        <w:rPr>
          <w:rFonts w:ascii="Palatino Linotype" w:hAnsi="Palatino Linotype" w:cs="Arial"/>
          <w:sz w:val="24"/>
          <w:szCs w:val="24"/>
        </w:rPr>
        <w:t xml:space="preserve"> </w:t>
      </w:r>
      <w:r w:rsidRPr="00FD78E8">
        <w:rPr>
          <w:rFonts w:ascii="Palatino Linotype" w:hAnsi="Palatino Linotype" w:cs="Arial"/>
          <w:sz w:val="24"/>
          <w:szCs w:val="24"/>
        </w:rPr>
        <w:t>literalmente lo siguiente:</w:t>
      </w:r>
      <w:r w:rsidR="00E924A0">
        <w:rPr>
          <w:rFonts w:ascii="Palatino Linotype" w:hAnsi="Palatino Linotype" w:cs="Arial"/>
          <w:sz w:val="24"/>
          <w:szCs w:val="24"/>
        </w:rPr>
        <w:t xml:space="preserve"> </w:t>
      </w:r>
    </w:p>
    <w:p w:rsidR="00FD78E8" w:rsidRPr="00E870CC" w:rsidRDefault="00FD78E8" w:rsidP="00E870CC">
      <w:pPr>
        <w:spacing w:before="120" w:after="120" w:line="240" w:lineRule="auto"/>
        <w:ind w:left="567" w:right="566"/>
        <w:jc w:val="both"/>
        <w:rPr>
          <w:rFonts w:ascii="Palatino Linotype" w:hAnsi="Palatino Linotype" w:cs="Arial"/>
          <w:i/>
          <w:sz w:val="24"/>
          <w:szCs w:val="24"/>
        </w:rPr>
      </w:pPr>
      <w:r w:rsidRPr="00E870CC">
        <w:rPr>
          <w:rFonts w:ascii="Palatino Linotype" w:hAnsi="Palatino Linotype" w:cs="Arial"/>
          <w:i/>
          <w:sz w:val="24"/>
          <w:szCs w:val="24"/>
        </w:rPr>
        <w:t>“Registro Federal de Contribuyentes (RFC) de personas físicas. El RFC es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una clave de carácter fiscal, única e irrepetible, que permite identificar al titular,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su edad y fecha de nacimiento, por lo que es un dato personal de carácter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confidencial.</w:t>
      </w:r>
      <w:r w:rsidR="00E870CC">
        <w:rPr>
          <w:rFonts w:ascii="Palatino Linotype" w:hAnsi="Palatino Linotype" w:cs="Arial"/>
          <w:i/>
          <w:sz w:val="24"/>
          <w:szCs w:val="24"/>
        </w:rPr>
        <w:t>”</w:t>
      </w:r>
    </w:p>
    <w:p w:rsidR="00E924A0"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De lo anterior, se desprende que el Registro Federal de Contribuyentes se vincula al</w:t>
      </w:r>
      <w:r w:rsidR="00E924A0">
        <w:rPr>
          <w:rFonts w:ascii="Palatino Linotype" w:hAnsi="Palatino Linotype" w:cs="Arial"/>
          <w:sz w:val="24"/>
          <w:szCs w:val="24"/>
        </w:rPr>
        <w:t xml:space="preserve"> </w:t>
      </w:r>
      <w:r w:rsidRPr="00FD78E8">
        <w:rPr>
          <w:rFonts w:ascii="Palatino Linotype" w:hAnsi="Palatino Linotype" w:cs="Arial"/>
          <w:sz w:val="24"/>
          <w:szCs w:val="24"/>
        </w:rPr>
        <w:t>nombre de su titular, permitiendo identificar la edad de la persona, fecha de</w:t>
      </w:r>
      <w:r w:rsidR="00E924A0">
        <w:rPr>
          <w:rFonts w:ascii="Palatino Linotype" w:hAnsi="Palatino Linotype" w:cs="Arial"/>
          <w:sz w:val="24"/>
          <w:szCs w:val="24"/>
        </w:rPr>
        <w:t xml:space="preserve"> </w:t>
      </w:r>
      <w:r w:rsidRPr="00FD78E8">
        <w:rPr>
          <w:rFonts w:ascii="Palatino Linotype" w:hAnsi="Palatino Linotype" w:cs="Arial"/>
          <w:sz w:val="24"/>
          <w:szCs w:val="24"/>
        </w:rPr>
        <w:t>nacimiento, así como su homoclave, determinando la identificación de dicha persona</w:t>
      </w:r>
      <w:r w:rsidR="00E924A0">
        <w:rPr>
          <w:rFonts w:ascii="Palatino Linotype" w:hAnsi="Palatino Linotype" w:cs="Arial"/>
          <w:sz w:val="24"/>
          <w:szCs w:val="24"/>
        </w:rPr>
        <w:t xml:space="preserve">  </w:t>
      </w:r>
      <w:r w:rsidRPr="00FD78E8">
        <w:rPr>
          <w:rFonts w:ascii="Palatino Linotype" w:hAnsi="Palatino Linotype" w:cs="Arial"/>
          <w:sz w:val="24"/>
          <w:szCs w:val="24"/>
        </w:rPr>
        <w:t>para efectos fiscales, por lo que éste constituye un dato personal que concierne a</w:t>
      </w:r>
      <w:r w:rsidR="00E924A0">
        <w:rPr>
          <w:rFonts w:ascii="Palatino Linotype" w:hAnsi="Palatino Linotype" w:cs="Arial"/>
          <w:sz w:val="24"/>
          <w:szCs w:val="24"/>
        </w:rPr>
        <w:t xml:space="preserve"> </w:t>
      </w:r>
      <w:r w:rsidRPr="00FD78E8">
        <w:rPr>
          <w:rFonts w:ascii="Palatino Linotype" w:hAnsi="Palatino Linotype" w:cs="Arial"/>
          <w:sz w:val="24"/>
          <w:szCs w:val="24"/>
        </w:rPr>
        <w:t>una persona física identificada e identificable en términos de los artículos 2 fracción</w:t>
      </w:r>
      <w:r w:rsidR="00E924A0">
        <w:rPr>
          <w:rFonts w:ascii="Palatino Linotype" w:hAnsi="Palatino Linotype" w:cs="Arial"/>
          <w:sz w:val="24"/>
          <w:szCs w:val="24"/>
        </w:rPr>
        <w:t xml:space="preserve"> </w:t>
      </w:r>
      <w:r w:rsidRPr="00FD78E8">
        <w:rPr>
          <w:rFonts w:ascii="Palatino Linotype" w:hAnsi="Palatino Linotype" w:cs="Arial"/>
          <w:sz w:val="24"/>
          <w:szCs w:val="24"/>
        </w:rPr>
        <w:t>II de la Ley de Transparencia y Acceso a la Información Pública del Estado de</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México y </w:t>
      </w:r>
      <w:r w:rsidRPr="00FD78E8">
        <w:rPr>
          <w:rFonts w:ascii="Palatino Linotype" w:hAnsi="Palatino Linotype" w:cs="Arial"/>
          <w:sz w:val="24"/>
          <w:szCs w:val="24"/>
        </w:rPr>
        <w:lastRenderedPageBreak/>
        <w:t>Municipios y 4 fracción XI de la Ley de Protección de Datos Personales en</w:t>
      </w:r>
      <w:r w:rsidR="00E924A0">
        <w:rPr>
          <w:rFonts w:ascii="Palatino Linotype" w:hAnsi="Palatino Linotype" w:cs="Arial"/>
          <w:sz w:val="24"/>
          <w:szCs w:val="24"/>
        </w:rPr>
        <w:t xml:space="preserve"> </w:t>
      </w:r>
      <w:r w:rsidRPr="00FD78E8">
        <w:rPr>
          <w:rFonts w:ascii="Palatino Linotype" w:hAnsi="Palatino Linotype" w:cs="Arial"/>
          <w:sz w:val="24"/>
          <w:szCs w:val="24"/>
        </w:rPr>
        <w:t>Posesión de Sujetos Obligados del Estado de México y Municipios.</w:t>
      </w:r>
      <w:r w:rsidR="00E924A0">
        <w:rPr>
          <w:rFonts w:ascii="Palatino Linotype" w:hAnsi="Palatino Linotype" w:cs="Arial"/>
          <w:sz w:val="24"/>
          <w:szCs w:val="24"/>
        </w:rPr>
        <w:t xml:space="preserve"> </w:t>
      </w:r>
    </w:p>
    <w:p w:rsid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cuanto hace a la Clave Única de Registro de Población, constituye un dato</w:t>
      </w:r>
      <w:r w:rsidR="00E924A0">
        <w:rPr>
          <w:rFonts w:ascii="Palatino Linotype" w:hAnsi="Palatino Linotype" w:cs="Arial"/>
          <w:sz w:val="24"/>
          <w:szCs w:val="24"/>
        </w:rPr>
        <w:t xml:space="preserve"> </w:t>
      </w:r>
      <w:r w:rsidRPr="00FD78E8">
        <w:rPr>
          <w:rFonts w:ascii="Palatino Linotype" w:hAnsi="Palatino Linotype" w:cs="Arial"/>
          <w:sz w:val="24"/>
          <w:szCs w:val="24"/>
        </w:rPr>
        <w:t>personal, ya que tiene como finalidad registrar a cada una de las personas que</w:t>
      </w:r>
      <w:r w:rsidR="00E924A0">
        <w:rPr>
          <w:rFonts w:ascii="Palatino Linotype" w:hAnsi="Palatino Linotype" w:cs="Arial"/>
          <w:sz w:val="24"/>
          <w:szCs w:val="24"/>
        </w:rPr>
        <w:t xml:space="preserve"> </w:t>
      </w:r>
      <w:r w:rsidRPr="00FD78E8">
        <w:rPr>
          <w:rFonts w:ascii="Palatino Linotype" w:hAnsi="Palatino Linotype" w:cs="Arial"/>
          <w:sz w:val="24"/>
          <w:szCs w:val="24"/>
        </w:rPr>
        <w:t>integran la población del país, con los datos que permitan certificar y acreditar</w:t>
      </w:r>
      <w:r w:rsidR="00E924A0">
        <w:rPr>
          <w:rFonts w:ascii="Palatino Linotype" w:hAnsi="Palatino Linotype" w:cs="Arial"/>
          <w:sz w:val="24"/>
          <w:szCs w:val="24"/>
        </w:rPr>
        <w:t xml:space="preserve"> </w:t>
      </w:r>
      <w:r w:rsidRPr="00FD78E8">
        <w:rPr>
          <w:rFonts w:ascii="Palatino Linotype" w:hAnsi="Palatino Linotype" w:cs="Arial"/>
          <w:sz w:val="24"/>
          <w:szCs w:val="24"/>
        </w:rPr>
        <w:t>fehacientemente su identidad, la cual servirá para identificarla de manera individual.</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Lo anterior, tiene sustento en los artículos 86 y 91 de la Ley General de Población, la</w:t>
      </w:r>
      <w:r w:rsidR="00E924A0">
        <w:rPr>
          <w:rFonts w:ascii="Palatino Linotype" w:hAnsi="Palatino Linotype" w:cs="Arial"/>
          <w:sz w:val="24"/>
          <w:szCs w:val="24"/>
        </w:rPr>
        <w:t xml:space="preserve"> </w:t>
      </w:r>
      <w:r w:rsidRPr="00FD78E8">
        <w:rPr>
          <w:rFonts w:ascii="Palatino Linotype" w:hAnsi="Palatino Linotype" w:cs="Arial"/>
          <w:sz w:val="24"/>
          <w:szCs w:val="24"/>
        </w:rPr>
        <w:t>cual señala lo siguiente:</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86. El Registro Nacional de Población tiene como finalidad registrar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a cada una de las personas que integran la población del país, con los datos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que permitan certificar y acreditar fehacientemente su identidad.</w:t>
      </w:r>
      <w:r w:rsidR="00E924A0" w:rsidRPr="00E870CC">
        <w:rPr>
          <w:rFonts w:ascii="Palatino Linotype" w:hAnsi="Palatino Linotype" w:cs="Arial"/>
          <w:i/>
          <w:sz w:val="24"/>
          <w:szCs w:val="24"/>
        </w:rPr>
        <w:t xml:space="preserve"> </w:t>
      </w:r>
    </w:p>
    <w:p w:rsidR="00FD78E8" w:rsidRPr="00FD78E8" w:rsidRDefault="00FD78E8" w:rsidP="00E870CC">
      <w:pPr>
        <w:spacing w:before="120" w:after="120" w:line="240" w:lineRule="auto"/>
        <w:ind w:left="567" w:right="567"/>
        <w:jc w:val="both"/>
        <w:rPr>
          <w:rFonts w:ascii="Palatino Linotype" w:hAnsi="Palatino Linotype" w:cs="Arial"/>
          <w:sz w:val="24"/>
          <w:szCs w:val="24"/>
        </w:rPr>
      </w:pPr>
      <w:r w:rsidRPr="00E870CC">
        <w:rPr>
          <w:rFonts w:ascii="Palatino Linotype" w:hAnsi="Palatino Linotype" w:cs="Arial"/>
          <w:i/>
          <w:sz w:val="24"/>
          <w:szCs w:val="24"/>
        </w:rPr>
        <w:t>Artículo 91. Al incorporar a una persona en el Registro Nacional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Población, se le asignará una clave que se denominará Clave Única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Registro de Población. Esta servirá para registrarla e identificarla en forma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individual.”</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Al respecto, el Instituto Nacional de Transparencia, Acceso a la Información y</w:t>
      </w:r>
      <w:r w:rsidR="00E924A0">
        <w:rPr>
          <w:rFonts w:ascii="Palatino Linotype" w:hAnsi="Palatino Linotype" w:cs="Arial"/>
          <w:sz w:val="24"/>
          <w:szCs w:val="24"/>
        </w:rPr>
        <w:t xml:space="preserve"> </w:t>
      </w:r>
      <w:r w:rsidRPr="00FD78E8">
        <w:rPr>
          <w:rFonts w:ascii="Palatino Linotype" w:hAnsi="Palatino Linotype" w:cs="Arial"/>
          <w:sz w:val="24"/>
          <w:szCs w:val="24"/>
        </w:rPr>
        <w:t>Protección de Datos Personales (INAI) a través del Criterio 18/17, señala</w:t>
      </w:r>
      <w:r w:rsidR="00E924A0">
        <w:rPr>
          <w:rFonts w:ascii="Palatino Linotype" w:hAnsi="Palatino Linotype" w:cs="Arial"/>
          <w:sz w:val="24"/>
          <w:szCs w:val="24"/>
        </w:rPr>
        <w:t xml:space="preserve"> </w:t>
      </w:r>
      <w:r w:rsidRPr="00FD78E8">
        <w:rPr>
          <w:rFonts w:ascii="Palatino Linotype" w:hAnsi="Palatino Linotype" w:cs="Arial"/>
          <w:sz w:val="24"/>
          <w:szCs w:val="24"/>
        </w:rPr>
        <w:t>literalmente lo siguiente:</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Clave Única de Registro de Población (CURP). La Clave Única de Registro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Población se integra por datos personales que sólo conciernen al particular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titular de la misma, como lo son su nombre, apellidos, fecha de nacimiento, lugar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 nacimiento y sexo. Dichos datos, constituyen información que distingue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plenamente a una persona física del resto de los habitantes del país, por lo que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 CURP está considerada como información confidencial.</w:t>
      </w:r>
      <w:r w:rsidR="00E924A0" w:rsidRPr="00E870CC">
        <w:rPr>
          <w:rFonts w:ascii="Palatino Linotype" w:hAnsi="Palatino Linotype" w:cs="Arial"/>
          <w:i/>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De lo anterior, se desprende que la Clave Única de Registro de Población, se</w:t>
      </w:r>
      <w:r w:rsidR="00E924A0">
        <w:rPr>
          <w:rFonts w:ascii="Palatino Linotype" w:hAnsi="Palatino Linotype" w:cs="Arial"/>
          <w:sz w:val="24"/>
          <w:szCs w:val="24"/>
        </w:rPr>
        <w:t xml:space="preserve"> </w:t>
      </w:r>
      <w:r w:rsidRPr="00FD78E8">
        <w:rPr>
          <w:rFonts w:ascii="Palatino Linotype" w:hAnsi="Palatino Linotype" w:cs="Arial"/>
          <w:sz w:val="24"/>
          <w:szCs w:val="24"/>
        </w:rPr>
        <w:t>encuentra vinculada al nombre de la persona, permitiendo identificar la edad, fecha</w:t>
      </w:r>
      <w:r w:rsidR="00E924A0">
        <w:rPr>
          <w:rFonts w:ascii="Palatino Linotype" w:hAnsi="Palatino Linotype" w:cs="Arial"/>
          <w:sz w:val="24"/>
          <w:szCs w:val="24"/>
        </w:rPr>
        <w:t xml:space="preserve"> </w:t>
      </w:r>
      <w:r w:rsidRPr="00FD78E8">
        <w:rPr>
          <w:rFonts w:ascii="Palatino Linotype" w:hAnsi="Palatino Linotype" w:cs="Arial"/>
          <w:sz w:val="24"/>
          <w:szCs w:val="24"/>
        </w:rPr>
        <w:lastRenderedPageBreak/>
        <w:t>de nacimiento, sexo, lugar de nacimiento, así como el código identificador; datos que</w:t>
      </w:r>
      <w:r w:rsidR="00E924A0">
        <w:rPr>
          <w:rFonts w:ascii="Palatino Linotype" w:hAnsi="Palatino Linotype" w:cs="Arial"/>
          <w:sz w:val="24"/>
          <w:szCs w:val="24"/>
        </w:rPr>
        <w:t xml:space="preserve"> </w:t>
      </w:r>
      <w:r w:rsidRPr="00FD78E8">
        <w:rPr>
          <w:rFonts w:ascii="Palatino Linotype" w:hAnsi="Palatino Linotype" w:cs="Arial"/>
          <w:sz w:val="24"/>
          <w:szCs w:val="24"/>
        </w:rPr>
        <w:t>únicamente le atañen a un particular, por lo que ésta constituye un dato personal</w:t>
      </w:r>
      <w:r w:rsidR="00E924A0">
        <w:rPr>
          <w:rFonts w:ascii="Palatino Linotype" w:hAnsi="Palatino Linotype" w:cs="Arial"/>
          <w:sz w:val="24"/>
          <w:szCs w:val="24"/>
        </w:rPr>
        <w:t xml:space="preserve"> </w:t>
      </w:r>
      <w:r w:rsidRPr="00FD78E8">
        <w:rPr>
          <w:rFonts w:ascii="Palatino Linotype" w:hAnsi="Palatino Linotype" w:cs="Arial"/>
          <w:sz w:val="24"/>
          <w:szCs w:val="24"/>
        </w:rPr>
        <w:t>que concierne a una persona física identificada e identificable en términos de los</w:t>
      </w:r>
      <w:r w:rsidR="00E924A0">
        <w:rPr>
          <w:rFonts w:ascii="Palatino Linotype" w:hAnsi="Palatino Linotype" w:cs="Arial"/>
          <w:sz w:val="24"/>
          <w:szCs w:val="24"/>
        </w:rPr>
        <w:t xml:space="preserve"> </w:t>
      </w:r>
      <w:r w:rsidRPr="00FD78E8">
        <w:rPr>
          <w:rFonts w:ascii="Palatino Linotype" w:hAnsi="Palatino Linotype" w:cs="Arial"/>
          <w:sz w:val="24"/>
          <w:szCs w:val="24"/>
        </w:rPr>
        <w:t>artículos 2 fracción II de la Ley de Transparencia y Acceso a la Información Pública</w:t>
      </w:r>
      <w:r w:rsidR="00E924A0">
        <w:rPr>
          <w:rFonts w:ascii="Palatino Linotype" w:hAnsi="Palatino Linotype" w:cs="Arial"/>
          <w:sz w:val="24"/>
          <w:szCs w:val="24"/>
        </w:rPr>
        <w:t xml:space="preserve"> </w:t>
      </w:r>
      <w:r w:rsidRPr="00FD78E8">
        <w:rPr>
          <w:rFonts w:ascii="Palatino Linotype" w:hAnsi="Palatino Linotype" w:cs="Arial"/>
          <w:sz w:val="24"/>
          <w:szCs w:val="24"/>
        </w:rPr>
        <w:t>del Estado de México y Municipios y 4 fracción XI de la Ley de Protección de Datos</w:t>
      </w:r>
      <w:r w:rsidR="00E924A0">
        <w:rPr>
          <w:rFonts w:ascii="Palatino Linotype" w:hAnsi="Palatino Linotype" w:cs="Arial"/>
          <w:sz w:val="24"/>
          <w:szCs w:val="24"/>
        </w:rPr>
        <w:t xml:space="preserve"> </w:t>
      </w:r>
      <w:r w:rsidRPr="00FD78E8">
        <w:rPr>
          <w:rFonts w:ascii="Palatino Linotype" w:hAnsi="Palatino Linotype" w:cs="Arial"/>
          <w:sz w:val="24"/>
          <w:szCs w:val="24"/>
        </w:rPr>
        <w:t>Personales en Posesión de Sujetos Obligados del Estado de México y Municipios.</w:t>
      </w:r>
      <w:r w:rsidR="00E924A0">
        <w:rPr>
          <w:rFonts w:ascii="Palatino Linotype" w:hAnsi="Palatino Linotype" w:cs="Arial"/>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cuanto hace a la Clave de cualquier tipo de seguridad social (ISSEMYM, u</w:t>
      </w:r>
      <w:r w:rsidR="00E924A0">
        <w:rPr>
          <w:rFonts w:ascii="Palatino Linotype" w:hAnsi="Palatino Linotype" w:cs="Arial"/>
          <w:sz w:val="24"/>
          <w:szCs w:val="24"/>
        </w:rPr>
        <w:t xml:space="preserve"> </w:t>
      </w:r>
      <w:r w:rsidRPr="00FD78E8">
        <w:rPr>
          <w:rFonts w:ascii="Palatino Linotype" w:hAnsi="Palatino Linotype" w:cs="Arial"/>
          <w:sz w:val="24"/>
          <w:szCs w:val="24"/>
        </w:rPr>
        <w:t>otros), está integrado por una secuencia de números con los que se identifica a los</w:t>
      </w:r>
      <w:r w:rsidR="00E924A0">
        <w:rPr>
          <w:rFonts w:ascii="Palatino Linotype" w:hAnsi="Palatino Linotype" w:cs="Arial"/>
          <w:sz w:val="24"/>
          <w:szCs w:val="24"/>
        </w:rPr>
        <w:t xml:space="preserve"> </w:t>
      </w:r>
      <w:r w:rsidRPr="00FD78E8">
        <w:rPr>
          <w:rFonts w:ascii="Palatino Linotype" w:hAnsi="Palatino Linotype" w:cs="Arial"/>
          <w:sz w:val="24"/>
          <w:szCs w:val="24"/>
        </w:rPr>
        <w:t>trabajadores que cubren las cuotas respectivas, asimismo, lo identifica con la fuente</w:t>
      </w:r>
      <w:r w:rsidR="00E924A0">
        <w:rPr>
          <w:rFonts w:ascii="Palatino Linotype" w:hAnsi="Palatino Linotype" w:cs="Arial"/>
          <w:sz w:val="24"/>
          <w:szCs w:val="24"/>
        </w:rPr>
        <w:t xml:space="preserve"> </w:t>
      </w:r>
      <w:r w:rsidRPr="00FD78E8">
        <w:rPr>
          <w:rFonts w:ascii="Palatino Linotype" w:hAnsi="Palatino Linotype" w:cs="Arial"/>
          <w:sz w:val="24"/>
          <w:szCs w:val="24"/>
        </w:rPr>
        <w:t>de trabajo; por lo que al ser una clave de identificación de los trabajadores,</w:t>
      </w:r>
      <w:r w:rsidR="00E924A0">
        <w:rPr>
          <w:rFonts w:ascii="Palatino Linotype" w:hAnsi="Palatino Linotype" w:cs="Arial"/>
          <w:sz w:val="24"/>
          <w:szCs w:val="24"/>
        </w:rPr>
        <w:t xml:space="preserve"> </w:t>
      </w:r>
      <w:r w:rsidRPr="00FD78E8">
        <w:rPr>
          <w:rFonts w:ascii="Palatino Linotype" w:hAnsi="Palatino Linotype" w:cs="Arial"/>
          <w:sz w:val="24"/>
          <w:szCs w:val="24"/>
        </w:rPr>
        <w:t>constituye información confidencial, dato que únicamente le atañe al servidor</w:t>
      </w:r>
      <w:r w:rsidR="00E924A0">
        <w:rPr>
          <w:rFonts w:ascii="Palatino Linotype" w:hAnsi="Palatino Linotype" w:cs="Arial"/>
          <w:sz w:val="24"/>
          <w:szCs w:val="24"/>
        </w:rPr>
        <w:t xml:space="preserve"> </w:t>
      </w:r>
      <w:r w:rsidRPr="00FD78E8">
        <w:rPr>
          <w:rFonts w:ascii="Palatino Linotype" w:hAnsi="Palatino Linotype" w:cs="Arial"/>
          <w:sz w:val="24"/>
          <w:szCs w:val="24"/>
        </w:rPr>
        <w:t>público, por lo que constituye un dato personal que concierne a una persona física</w:t>
      </w:r>
      <w:r w:rsidR="00E924A0">
        <w:rPr>
          <w:rFonts w:ascii="Palatino Linotype" w:hAnsi="Palatino Linotype" w:cs="Arial"/>
          <w:sz w:val="24"/>
          <w:szCs w:val="24"/>
        </w:rPr>
        <w:t xml:space="preserve"> </w:t>
      </w:r>
      <w:r w:rsidRPr="00FD78E8">
        <w:rPr>
          <w:rFonts w:ascii="Palatino Linotype" w:hAnsi="Palatino Linotype" w:cs="Arial"/>
          <w:sz w:val="24"/>
          <w:szCs w:val="24"/>
        </w:rPr>
        <w:t>identificada e identificable en términos de los artículos 2 fracción II de la Ley de</w:t>
      </w:r>
      <w:r w:rsidR="00E924A0">
        <w:rPr>
          <w:rFonts w:ascii="Palatino Linotype" w:hAnsi="Palatino Linotype" w:cs="Arial"/>
          <w:sz w:val="24"/>
          <w:szCs w:val="24"/>
        </w:rPr>
        <w:t xml:space="preserve"> </w:t>
      </w:r>
      <w:r w:rsidRPr="00FD78E8">
        <w:rPr>
          <w:rFonts w:ascii="Palatino Linotype" w:hAnsi="Palatino Linotype" w:cs="Arial"/>
          <w:sz w:val="24"/>
          <w:szCs w:val="24"/>
        </w:rPr>
        <w:t>Transparencia y Acceso a la Información Pública del Estado de México y Municipios</w:t>
      </w:r>
      <w:r w:rsidR="00E924A0">
        <w:rPr>
          <w:rFonts w:ascii="Palatino Linotype" w:hAnsi="Palatino Linotype" w:cs="Arial"/>
          <w:sz w:val="24"/>
          <w:szCs w:val="24"/>
        </w:rPr>
        <w:t xml:space="preserve"> </w:t>
      </w:r>
      <w:r w:rsidRPr="00FD78E8">
        <w:rPr>
          <w:rFonts w:ascii="Palatino Linotype" w:hAnsi="Palatino Linotype" w:cs="Arial"/>
          <w:sz w:val="24"/>
          <w:szCs w:val="24"/>
        </w:rPr>
        <w:t>y 4 fracción XI de la Ley de Protección de Datos Personales en Posesión de Sujetos</w:t>
      </w:r>
      <w:r w:rsidR="00E924A0">
        <w:rPr>
          <w:rFonts w:ascii="Palatino Linotype" w:hAnsi="Palatino Linotype" w:cs="Arial"/>
          <w:sz w:val="24"/>
          <w:szCs w:val="24"/>
        </w:rPr>
        <w:t xml:space="preserve"> </w:t>
      </w:r>
      <w:r w:rsidRPr="00FD78E8">
        <w:rPr>
          <w:rFonts w:ascii="Palatino Linotype" w:hAnsi="Palatino Linotype" w:cs="Arial"/>
          <w:sz w:val="24"/>
          <w:szCs w:val="24"/>
        </w:rPr>
        <w:t>Obligados del Estado de México y Municipios.</w:t>
      </w:r>
      <w:r w:rsidR="00E924A0">
        <w:rPr>
          <w:rFonts w:ascii="Palatino Linotype" w:hAnsi="Palatino Linotype" w:cs="Arial"/>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Respecto de los préstamos o descuentos de carácter personal, éstos no deben</w:t>
      </w:r>
      <w:r w:rsidR="00E924A0">
        <w:rPr>
          <w:rFonts w:ascii="Palatino Linotype" w:hAnsi="Palatino Linotype" w:cs="Arial"/>
          <w:sz w:val="24"/>
          <w:szCs w:val="24"/>
        </w:rPr>
        <w:t xml:space="preserve"> </w:t>
      </w:r>
      <w:r w:rsidRPr="00FD78E8">
        <w:rPr>
          <w:rFonts w:ascii="Palatino Linotype" w:hAnsi="Palatino Linotype" w:cs="Arial"/>
          <w:sz w:val="24"/>
          <w:szCs w:val="24"/>
        </w:rPr>
        <w:t>tener relación con la prestación del servicio; es decir, son confidenciales los</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préstamos o descuentos que se le hagan a la persona en los que no se involucren instituciones </w:t>
      </w:r>
      <w:r w:rsidR="00E924A0">
        <w:rPr>
          <w:rFonts w:ascii="Palatino Linotype" w:hAnsi="Palatino Linotype" w:cs="Arial"/>
          <w:sz w:val="24"/>
          <w:szCs w:val="24"/>
        </w:rPr>
        <w:t xml:space="preserve">  </w:t>
      </w:r>
      <w:r w:rsidRPr="00FD78E8">
        <w:rPr>
          <w:rFonts w:ascii="Palatino Linotype" w:hAnsi="Palatino Linotype" w:cs="Arial"/>
          <w:sz w:val="24"/>
          <w:szCs w:val="24"/>
        </w:rPr>
        <w:t>públicas, en virtud de no favorecer en la transparencia y rendición de</w:t>
      </w:r>
      <w:r w:rsidR="00E924A0">
        <w:rPr>
          <w:rFonts w:ascii="Palatino Linotype" w:hAnsi="Palatino Linotype" w:cs="Arial"/>
          <w:sz w:val="24"/>
          <w:szCs w:val="24"/>
        </w:rPr>
        <w:t xml:space="preserve"> </w:t>
      </w:r>
      <w:r w:rsidRPr="00FD78E8">
        <w:rPr>
          <w:rFonts w:ascii="Palatino Linotype" w:hAnsi="Palatino Linotype" w:cs="Arial"/>
          <w:sz w:val="24"/>
          <w:szCs w:val="24"/>
        </w:rPr>
        <w:t>cuentas, sino, por el contrario con ello se violentaría la protección de información</w:t>
      </w:r>
      <w:r w:rsidR="00E924A0">
        <w:rPr>
          <w:rFonts w:ascii="Palatino Linotype" w:hAnsi="Palatino Linotype" w:cs="Arial"/>
          <w:sz w:val="24"/>
          <w:szCs w:val="24"/>
        </w:rPr>
        <w:t xml:space="preserve"> </w:t>
      </w:r>
      <w:r w:rsidRPr="00FD78E8">
        <w:rPr>
          <w:rFonts w:ascii="Palatino Linotype" w:hAnsi="Palatino Linotype" w:cs="Arial"/>
          <w:sz w:val="24"/>
          <w:szCs w:val="24"/>
        </w:rPr>
        <w:t>confidencial, porque incide en la intimidad de un individuo identificado.</w:t>
      </w:r>
      <w:r w:rsidR="00E924A0">
        <w:rPr>
          <w:rFonts w:ascii="Palatino Linotype" w:hAnsi="Palatino Linotype" w:cs="Arial"/>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lastRenderedPageBreak/>
        <w:t>Por su parte, el artículo 84 de la Ley del Trabajo de los Servidores Públicos del</w:t>
      </w:r>
      <w:r w:rsidR="00E924A0">
        <w:rPr>
          <w:rFonts w:ascii="Palatino Linotype" w:hAnsi="Palatino Linotype" w:cs="Arial"/>
          <w:sz w:val="24"/>
          <w:szCs w:val="24"/>
        </w:rPr>
        <w:t xml:space="preserve"> </w:t>
      </w:r>
      <w:r w:rsidRPr="00FD78E8">
        <w:rPr>
          <w:rFonts w:ascii="Palatino Linotype" w:hAnsi="Palatino Linotype" w:cs="Arial"/>
          <w:sz w:val="24"/>
          <w:szCs w:val="24"/>
        </w:rPr>
        <w:t>Estado y Municipios, señala:</w:t>
      </w:r>
    </w:p>
    <w:p w:rsidR="00FD78E8" w:rsidRPr="00E870CC" w:rsidRDefault="00E870CC"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w:t>
      </w:r>
      <w:r w:rsidR="00FD78E8" w:rsidRPr="00E870CC">
        <w:rPr>
          <w:rFonts w:ascii="Palatino Linotype" w:hAnsi="Palatino Linotype" w:cs="Arial"/>
          <w:i/>
          <w:sz w:val="24"/>
          <w:szCs w:val="24"/>
        </w:rPr>
        <w:t>ARTICULO 84. Sólo podrán hacerse retenciones, descuentos o</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deducciones al sueldo de los servidores públicos por concepto de:</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 Gravámenes fiscales relacionados con el sueldo;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 Deudas contraídas con las instituciones públicas o dependencias por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concepto de anticipos de sueldo, pagos hechos con exceso, errores 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pérdidas debidamente comprobados;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III. Cuotas sindicales;</w:t>
      </w:r>
    </w:p>
    <w:p w:rsidR="00E924A0"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IV. Cuotas de aportación a fondos para la constitución de cooperativas y</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 cajas de ahorro, siempre que el servidor público hubiese manifestado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previamente, de manera expresa, su conformidad;</w:t>
      </w:r>
      <w:r w:rsidR="00E924A0" w:rsidRPr="00E870CC">
        <w:rPr>
          <w:rFonts w:ascii="Palatino Linotype" w:hAnsi="Palatino Linotype" w:cs="Arial"/>
          <w:i/>
          <w:sz w:val="24"/>
          <w:szCs w:val="24"/>
        </w:rPr>
        <w:t xml:space="preserve"> </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V. Descuentos ordenados por el Instituto de Seguridad Social del Estado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 México y Municipios, con motivo de cuotas y obligaciones contraídas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 éste por los servidores públicos;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VI. Obligaciones a cargo del servidor público con las que haya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consentido, derivadas de la adquisición o del uso de habitaciones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consideradas como de interés social;</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VII. Faltas de puntualidad o de asistencia injustificadas;</w:t>
      </w:r>
    </w:p>
    <w:p w:rsidR="00E924A0"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VIII. Pensiones alimenticias ordenadas por la autoridad judicial; o</w:t>
      </w:r>
      <w:r w:rsidR="00E924A0" w:rsidRPr="00E870CC">
        <w:rPr>
          <w:rFonts w:ascii="Palatino Linotype" w:hAnsi="Palatino Linotype" w:cs="Arial"/>
          <w:i/>
          <w:sz w:val="24"/>
          <w:szCs w:val="24"/>
        </w:rPr>
        <w:t xml:space="preserve"> </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IX. Cualquier otro convenido con instituciones de servicios y aceptado por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el servidor público.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El monto total de las retenciones, descuentos o deducciones no podrá</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exceder del 30% de la remuneración total, excepto en los casos a que se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refieren las fracciones IV, V y VI de este artículo, en que podrán ser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hasta el 50%, salvo en los casos en que se demuestre que el crédito se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concedió con base en los ingresos familiares para hacer posible el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derecho constitucional a una vivienda digna, o se refieran a lo establecido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en la fracción VIII de este artículo, en que se ajustará a lo determinado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por la autoridad judicial.</w:t>
      </w:r>
      <w:r w:rsidR="00E870CC" w:rsidRPr="00E870CC">
        <w:rPr>
          <w:rFonts w:ascii="Palatino Linotype" w:hAnsi="Palatino Linotype" w:cs="Arial"/>
          <w:i/>
          <w:sz w:val="24"/>
          <w:szCs w:val="24"/>
        </w:rPr>
        <w:t>”</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lastRenderedPageBreak/>
        <w:t>Derivado de lo anterior, la Ley establece claramente cuáles son esos descuentos o</w:t>
      </w:r>
      <w:r w:rsidR="00E924A0">
        <w:rPr>
          <w:rFonts w:ascii="Palatino Linotype" w:hAnsi="Palatino Linotype" w:cs="Arial"/>
          <w:sz w:val="24"/>
          <w:szCs w:val="24"/>
        </w:rPr>
        <w:t xml:space="preserve"> </w:t>
      </w:r>
      <w:r w:rsidRPr="00FD78E8">
        <w:rPr>
          <w:rFonts w:ascii="Palatino Linotype" w:hAnsi="Palatino Linotype" w:cs="Arial"/>
          <w:sz w:val="24"/>
          <w:szCs w:val="24"/>
        </w:rPr>
        <w:t>gravámenes que directamente se relacionan con las obligaciones adquiridas como</w:t>
      </w:r>
      <w:r w:rsidR="00E924A0">
        <w:rPr>
          <w:rFonts w:ascii="Palatino Linotype" w:hAnsi="Palatino Linotype" w:cs="Arial"/>
          <w:sz w:val="24"/>
          <w:szCs w:val="24"/>
        </w:rPr>
        <w:t xml:space="preserve"> </w:t>
      </w:r>
      <w:r w:rsidRPr="00FD78E8">
        <w:rPr>
          <w:rFonts w:ascii="Palatino Linotype" w:hAnsi="Palatino Linotype" w:cs="Arial"/>
          <w:sz w:val="24"/>
          <w:szCs w:val="24"/>
        </w:rPr>
        <w:t>servidores públicos y aquéllos que únicamente inciden en su vida privada. De este</w:t>
      </w:r>
      <w:r w:rsidR="00E924A0">
        <w:rPr>
          <w:rFonts w:ascii="Palatino Linotype" w:hAnsi="Palatino Linotype" w:cs="Arial"/>
          <w:sz w:val="24"/>
          <w:szCs w:val="24"/>
        </w:rPr>
        <w:t xml:space="preserve"> </w:t>
      </w:r>
      <w:r w:rsidRPr="00FD78E8">
        <w:rPr>
          <w:rFonts w:ascii="Palatino Linotype" w:hAnsi="Palatino Linotype" w:cs="Arial"/>
          <w:sz w:val="24"/>
          <w:szCs w:val="24"/>
        </w:rPr>
        <w:t>modo, descuentos por pensiones alimenticias o créditos adquiridos con instituciones</w:t>
      </w:r>
      <w:r w:rsidR="00E924A0">
        <w:rPr>
          <w:rFonts w:ascii="Palatino Linotype" w:hAnsi="Palatino Linotype" w:cs="Arial"/>
          <w:sz w:val="24"/>
          <w:szCs w:val="24"/>
        </w:rPr>
        <w:t xml:space="preserve"> </w:t>
      </w:r>
      <w:r w:rsidRPr="00FD78E8">
        <w:rPr>
          <w:rFonts w:ascii="Palatino Linotype" w:hAnsi="Palatino Linotype" w:cs="Arial"/>
          <w:sz w:val="24"/>
          <w:szCs w:val="24"/>
        </w:rPr>
        <w:t>privadas o públicas pero que fueron contraídas en forma individual, son información</w:t>
      </w:r>
      <w:r w:rsidR="00E924A0">
        <w:rPr>
          <w:rFonts w:ascii="Palatino Linotype" w:hAnsi="Palatino Linotype" w:cs="Arial"/>
          <w:sz w:val="24"/>
          <w:szCs w:val="24"/>
        </w:rPr>
        <w:t xml:space="preserve"> </w:t>
      </w:r>
      <w:r w:rsidRPr="00FD78E8">
        <w:rPr>
          <w:rFonts w:ascii="Palatino Linotype" w:hAnsi="Palatino Linotype" w:cs="Arial"/>
          <w:sz w:val="24"/>
          <w:szCs w:val="24"/>
        </w:rPr>
        <w:t>que debe clasificarse como confidencial.</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 xml:space="preserve">Por ende, en el presente caso el </w:t>
      </w:r>
      <w:r w:rsidRPr="00406BA7">
        <w:rPr>
          <w:rFonts w:ascii="Palatino Linotype" w:hAnsi="Palatino Linotype" w:cs="Arial"/>
          <w:b/>
          <w:sz w:val="24"/>
          <w:szCs w:val="24"/>
        </w:rPr>
        <w:t>Sujeto Obligado</w:t>
      </w:r>
      <w:r w:rsidRPr="00FD78E8">
        <w:rPr>
          <w:rFonts w:ascii="Palatino Linotype" w:hAnsi="Palatino Linotype" w:cs="Arial"/>
          <w:sz w:val="24"/>
          <w:szCs w:val="24"/>
        </w:rPr>
        <w:t xml:space="preserve"> debe atender las disposiciones en</w:t>
      </w:r>
      <w:r w:rsidR="00E924A0">
        <w:rPr>
          <w:rFonts w:ascii="Palatino Linotype" w:hAnsi="Palatino Linotype" w:cs="Arial"/>
          <w:sz w:val="24"/>
          <w:szCs w:val="24"/>
        </w:rPr>
        <w:t xml:space="preserve"> </w:t>
      </w:r>
      <w:r w:rsidRPr="00FD78E8">
        <w:rPr>
          <w:rFonts w:ascii="Palatino Linotype" w:hAnsi="Palatino Linotype" w:cs="Arial"/>
          <w:sz w:val="24"/>
          <w:szCs w:val="24"/>
        </w:rPr>
        <w:t>materia de protección de datos, a fin de salvaguardar los datos de particulares</w:t>
      </w:r>
      <w:r w:rsidR="00E924A0">
        <w:rPr>
          <w:rFonts w:ascii="Palatino Linotype" w:hAnsi="Palatino Linotype" w:cs="Arial"/>
          <w:sz w:val="24"/>
          <w:szCs w:val="24"/>
        </w:rPr>
        <w:t xml:space="preserve"> </w:t>
      </w:r>
      <w:r w:rsidRPr="00FD78E8">
        <w:rPr>
          <w:rFonts w:ascii="Palatino Linotype" w:hAnsi="Palatino Linotype" w:cs="Arial"/>
          <w:sz w:val="24"/>
          <w:szCs w:val="24"/>
        </w:rPr>
        <w:t>testando estos y emitir el debido Acuerdo que sustente la versión pública que se</w:t>
      </w:r>
      <w:r w:rsidR="00E924A0">
        <w:rPr>
          <w:rFonts w:ascii="Palatino Linotype" w:hAnsi="Palatino Linotype" w:cs="Arial"/>
          <w:sz w:val="24"/>
          <w:szCs w:val="24"/>
        </w:rPr>
        <w:t xml:space="preserve"> </w:t>
      </w:r>
      <w:r w:rsidRPr="00FD78E8">
        <w:rPr>
          <w:rFonts w:ascii="Palatino Linotype" w:hAnsi="Palatino Linotype" w:cs="Arial"/>
          <w:sz w:val="24"/>
          <w:szCs w:val="24"/>
        </w:rPr>
        <w:t>genere, ya que la clasificación de la información no se da por el simple mandato de</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la Ley, sino que es necesario que el </w:t>
      </w:r>
      <w:r w:rsidRPr="00406BA7">
        <w:rPr>
          <w:rFonts w:ascii="Palatino Linotype" w:hAnsi="Palatino Linotype" w:cs="Arial"/>
          <w:b/>
          <w:sz w:val="24"/>
          <w:szCs w:val="24"/>
        </w:rPr>
        <w:t>Sujeto Obligado</w:t>
      </w:r>
      <w:r w:rsidRPr="00FD78E8">
        <w:rPr>
          <w:rFonts w:ascii="Palatino Linotype" w:hAnsi="Palatino Linotype" w:cs="Arial"/>
          <w:sz w:val="24"/>
          <w:szCs w:val="24"/>
        </w:rPr>
        <w:t xml:space="preserve"> cuando clasifique un</w:t>
      </w:r>
      <w:r w:rsidR="00E924A0">
        <w:rPr>
          <w:rFonts w:ascii="Palatino Linotype" w:hAnsi="Palatino Linotype" w:cs="Arial"/>
          <w:sz w:val="24"/>
          <w:szCs w:val="24"/>
        </w:rPr>
        <w:t xml:space="preserve"> </w:t>
      </w:r>
      <w:r w:rsidRPr="00FD78E8">
        <w:rPr>
          <w:rFonts w:ascii="Palatino Linotype" w:hAnsi="Palatino Linotype" w:cs="Arial"/>
          <w:sz w:val="24"/>
          <w:szCs w:val="24"/>
        </w:rPr>
        <w:t>documento, ya sea en todo o en parte, debe atender lo dispuesto por la Ley de la</w:t>
      </w:r>
      <w:r w:rsidR="00E924A0">
        <w:rPr>
          <w:rFonts w:ascii="Palatino Linotype" w:hAnsi="Palatino Linotype" w:cs="Arial"/>
          <w:sz w:val="24"/>
          <w:szCs w:val="24"/>
        </w:rPr>
        <w:t xml:space="preserve"> </w:t>
      </w:r>
      <w:r w:rsidRPr="00FD78E8">
        <w:rPr>
          <w:rFonts w:ascii="Palatino Linotype" w:hAnsi="Palatino Linotype" w:cs="Arial"/>
          <w:sz w:val="24"/>
          <w:szCs w:val="24"/>
        </w:rPr>
        <w:t>materia, siendo que dicha clasificación es un trabajo en conjunto tanto de los</w:t>
      </w:r>
      <w:r w:rsidR="00E924A0">
        <w:rPr>
          <w:rFonts w:ascii="Palatino Linotype" w:hAnsi="Palatino Linotype" w:cs="Arial"/>
          <w:sz w:val="24"/>
          <w:szCs w:val="24"/>
        </w:rPr>
        <w:t xml:space="preserve"> </w:t>
      </w:r>
      <w:r w:rsidRPr="00FD78E8">
        <w:rPr>
          <w:rFonts w:ascii="Palatino Linotype" w:hAnsi="Palatino Linotype" w:cs="Arial"/>
          <w:sz w:val="24"/>
          <w:szCs w:val="24"/>
        </w:rPr>
        <w:t>Servidores Públicos Habilitados, de las Unidades de Transparencia y del Comité de</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Transparencia del </w:t>
      </w:r>
      <w:r w:rsidRPr="00406BA7">
        <w:rPr>
          <w:rFonts w:ascii="Palatino Linotype" w:hAnsi="Palatino Linotype" w:cs="Arial"/>
          <w:b/>
          <w:sz w:val="24"/>
          <w:szCs w:val="24"/>
        </w:rPr>
        <w:t>Sujeto Obligado</w:t>
      </w:r>
      <w:r w:rsidRPr="00FD78E8">
        <w:rPr>
          <w:rFonts w:ascii="Palatino Linotype" w:hAnsi="Palatino Linotype" w:cs="Arial"/>
          <w:sz w:val="24"/>
          <w:szCs w:val="24"/>
        </w:rPr>
        <w:t>, teniendo el deber los primeros, de presentar</w:t>
      </w:r>
      <w:r w:rsidR="00E924A0">
        <w:rPr>
          <w:rFonts w:ascii="Palatino Linotype" w:hAnsi="Palatino Linotype" w:cs="Arial"/>
          <w:sz w:val="24"/>
          <w:szCs w:val="24"/>
        </w:rPr>
        <w:t xml:space="preserve"> </w:t>
      </w:r>
      <w:r w:rsidRPr="00FD78E8">
        <w:rPr>
          <w:rFonts w:ascii="Palatino Linotype" w:hAnsi="Palatino Linotype" w:cs="Arial"/>
          <w:sz w:val="24"/>
          <w:szCs w:val="24"/>
        </w:rPr>
        <w:t>ante la Unidad de Transparencia la propuesta de clasificación de la información,</w:t>
      </w:r>
      <w:r w:rsidR="00515995">
        <w:rPr>
          <w:rFonts w:ascii="Palatino Linotype" w:hAnsi="Palatino Linotype" w:cs="Arial"/>
          <w:sz w:val="24"/>
          <w:szCs w:val="24"/>
        </w:rPr>
        <w:t xml:space="preserve"> </w:t>
      </w:r>
      <w:r w:rsidRPr="00FD78E8">
        <w:rPr>
          <w:rFonts w:ascii="Palatino Linotype" w:hAnsi="Palatino Linotype" w:cs="Arial"/>
          <w:sz w:val="24"/>
          <w:szCs w:val="24"/>
        </w:rPr>
        <w:t>para que luego ésta se presente ante el Comité de Transparencia de así resultar</w:t>
      </w:r>
      <w:r w:rsidR="00515995">
        <w:rPr>
          <w:rFonts w:ascii="Palatino Linotype" w:hAnsi="Palatino Linotype" w:cs="Arial"/>
          <w:sz w:val="24"/>
          <w:szCs w:val="24"/>
        </w:rPr>
        <w:t xml:space="preserve"> </w:t>
      </w:r>
      <w:r w:rsidRPr="00FD78E8">
        <w:rPr>
          <w:rFonts w:ascii="Palatino Linotype" w:hAnsi="Palatino Linotype" w:cs="Arial"/>
          <w:sz w:val="24"/>
          <w:szCs w:val="24"/>
        </w:rPr>
        <w:t>procedente el proyecto de clasificación de la información y finalmente sea éste último</w:t>
      </w:r>
      <w:r w:rsidR="00515995">
        <w:rPr>
          <w:rFonts w:ascii="Palatino Linotype" w:hAnsi="Palatino Linotype" w:cs="Arial"/>
          <w:sz w:val="24"/>
          <w:szCs w:val="24"/>
        </w:rPr>
        <w:t xml:space="preserve"> </w:t>
      </w:r>
      <w:r w:rsidRPr="00FD78E8">
        <w:rPr>
          <w:rFonts w:ascii="Palatino Linotype" w:hAnsi="Palatino Linotype" w:cs="Arial"/>
          <w:sz w:val="24"/>
          <w:szCs w:val="24"/>
        </w:rPr>
        <w:t>quien apruebe, modifique o revoque la clasificación de la información solicitada.</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 xml:space="preserve">Así, el </w:t>
      </w:r>
      <w:r w:rsidRPr="00406BA7">
        <w:rPr>
          <w:rFonts w:ascii="Palatino Linotype" w:hAnsi="Palatino Linotype" w:cs="Arial"/>
          <w:b/>
          <w:sz w:val="24"/>
          <w:szCs w:val="24"/>
        </w:rPr>
        <w:t>Sujeto Obligado</w:t>
      </w:r>
      <w:r w:rsidRPr="00FD78E8">
        <w:rPr>
          <w:rFonts w:ascii="Palatino Linotype" w:hAnsi="Palatino Linotype" w:cs="Arial"/>
          <w:sz w:val="24"/>
          <w:szCs w:val="24"/>
        </w:rPr>
        <w:t xml:space="preserve"> deberá cumplir con todos y cada uno de los requisitos</w:t>
      </w:r>
      <w:r w:rsidR="00515995">
        <w:rPr>
          <w:rFonts w:ascii="Palatino Linotype" w:hAnsi="Palatino Linotype" w:cs="Arial"/>
          <w:sz w:val="24"/>
          <w:szCs w:val="24"/>
        </w:rPr>
        <w:t xml:space="preserve"> </w:t>
      </w:r>
      <w:r w:rsidRPr="00FD78E8">
        <w:rPr>
          <w:rFonts w:ascii="Palatino Linotype" w:hAnsi="Palatino Linotype" w:cs="Arial"/>
          <w:sz w:val="24"/>
          <w:szCs w:val="24"/>
        </w:rPr>
        <w:t>señalados en la Ley de Protección de Datos Personales en Posesión de Sujetos</w:t>
      </w:r>
      <w:r w:rsidR="00515995">
        <w:rPr>
          <w:rFonts w:ascii="Palatino Linotype" w:hAnsi="Palatino Linotype" w:cs="Arial"/>
          <w:sz w:val="24"/>
          <w:szCs w:val="24"/>
        </w:rPr>
        <w:t xml:space="preserve"> </w:t>
      </w:r>
      <w:r w:rsidRPr="00FD78E8">
        <w:rPr>
          <w:rFonts w:ascii="Palatino Linotype" w:hAnsi="Palatino Linotype" w:cs="Arial"/>
          <w:sz w:val="24"/>
          <w:szCs w:val="24"/>
        </w:rPr>
        <w:t>Obligados del Estado de México y Municipios, en la Ley de Transparencia y Acceso</w:t>
      </w:r>
      <w:r w:rsidR="00515995">
        <w:rPr>
          <w:rFonts w:ascii="Palatino Linotype" w:hAnsi="Palatino Linotype" w:cs="Arial"/>
          <w:sz w:val="24"/>
          <w:szCs w:val="24"/>
        </w:rPr>
        <w:t xml:space="preserve"> </w:t>
      </w:r>
      <w:r w:rsidRPr="00FD78E8">
        <w:rPr>
          <w:rFonts w:ascii="Palatino Linotype" w:hAnsi="Palatino Linotype" w:cs="Arial"/>
          <w:sz w:val="24"/>
          <w:szCs w:val="24"/>
        </w:rPr>
        <w:t>a la Información Pública del Estado de México y Municipios, y con los Lineamientos</w:t>
      </w:r>
      <w:r w:rsidR="00515995">
        <w:rPr>
          <w:rFonts w:ascii="Palatino Linotype" w:hAnsi="Palatino Linotype" w:cs="Arial"/>
          <w:sz w:val="24"/>
          <w:szCs w:val="24"/>
        </w:rPr>
        <w:t xml:space="preserve"> </w:t>
      </w:r>
      <w:r w:rsidRPr="00FD78E8">
        <w:rPr>
          <w:rFonts w:ascii="Palatino Linotype" w:hAnsi="Palatino Linotype" w:cs="Arial"/>
          <w:sz w:val="24"/>
          <w:szCs w:val="24"/>
        </w:rPr>
        <w:lastRenderedPageBreak/>
        <w:t>Generales en Materia de Clasificación y Desclasificación de la información, así como</w:t>
      </w:r>
      <w:r w:rsidR="00515995">
        <w:rPr>
          <w:rFonts w:ascii="Palatino Linotype" w:hAnsi="Palatino Linotype" w:cs="Arial"/>
          <w:sz w:val="24"/>
          <w:szCs w:val="24"/>
        </w:rPr>
        <w:t xml:space="preserve"> </w:t>
      </w:r>
      <w:r w:rsidRPr="00FD78E8">
        <w:rPr>
          <w:rFonts w:ascii="Palatino Linotype" w:hAnsi="Palatino Linotype" w:cs="Arial"/>
          <w:sz w:val="24"/>
          <w:szCs w:val="24"/>
        </w:rPr>
        <w:t>para la elaboración de Versiones Públicas; máxime que de conformidad con lo</w:t>
      </w:r>
      <w:r w:rsidR="00515995">
        <w:rPr>
          <w:rFonts w:ascii="Palatino Linotype" w:hAnsi="Palatino Linotype" w:cs="Arial"/>
          <w:sz w:val="24"/>
          <w:szCs w:val="24"/>
        </w:rPr>
        <w:t xml:space="preserve"> </w:t>
      </w:r>
      <w:r w:rsidRPr="00FD78E8">
        <w:rPr>
          <w:rFonts w:ascii="Palatino Linotype" w:hAnsi="Palatino Linotype" w:cs="Arial"/>
          <w:sz w:val="24"/>
          <w:szCs w:val="24"/>
        </w:rPr>
        <w:t>establecido en las Leyes y Lineamientos citados, para fundar la clasificación de la información se debe señalar el artículo, fracción, inciso, párrafo o numeral de la Ley</w:t>
      </w:r>
      <w:r w:rsidR="00515995">
        <w:rPr>
          <w:rFonts w:ascii="Palatino Linotype" w:hAnsi="Palatino Linotype" w:cs="Arial"/>
          <w:sz w:val="24"/>
          <w:szCs w:val="24"/>
        </w:rPr>
        <w:t xml:space="preserve"> </w:t>
      </w:r>
      <w:r w:rsidRPr="00FD78E8">
        <w:rPr>
          <w:rFonts w:ascii="Palatino Linotype" w:hAnsi="Palatino Linotype" w:cs="Arial"/>
          <w:sz w:val="24"/>
          <w:szCs w:val="24"/>
        </w:rPr>
        <w:t>que expresamente le otorga el carácter de confidencial.</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Ello, sin pasar por alto que la clasificación respectiva tiene que cumplirse mediante</w:t>
      </w:r>
      <w:r w:rsidR="00515995">
        <w:rPr>
          <w:rFonts w:ascii="Palatino Linotype" w:hAnsi="Palatino Linotype" w:cs="Arial"/>
          <w:sz w:val="24"/>
          <w:szCs w:val="24"/>
        </w:rPr>
        <w:t xml:space="preserve"> </w:t>
      </w:r>
      <w:r w:rsidRPr="00FD78E8">
        <w:rPr>
          <w:rFonts w:ascii="Palatino Linotype" w:hAnsi="Palatino Linotype" w:cs="Arial"/>
          <w:sz w:val="24"/>
          <w:szCs w:val="24"/>
        </w:rPr>
        <w:t>las formalidades impuestas por la ley; es decir, mediante Acuerdo debidamente</w:t>
      </w:r>
      <w:r w:rsidR="00515995">
        <w:rPr>
          <w:rFonts w:ascii="Palatino Linotype" w:hAnsi="Palatino Linotype" w:cs="Arial"/>
          <w:sz w:val="24"/>
          <w:szCs w:val="24"/>
        </w:rPr>
        <w:t xml:space="preserve"> </w:t>
      </w:r>
      <w:r w:rsidRPr="00FD78E8">
        <w:rPr>
          <w:rFonts w:ascii="Palatino Linotype" w:hAnsi="Palatino Linotype" w:cs="Arial"/>
          <w:sz w:val="24"/>
          <w:szCs w:val="24"/>
        </w:rPr>
        <w:t>fundado y motivado, en términos de los numerales 49 fracción VIII y 132 fracciones</w:t>
      </w:r>
      <w:r w:rsidR="00515995">
        <w:rPr>
          <w:rFonts w:ascii="Palatino Linotype" w:hAnsi="Palatino Linotype" w:cs="Arial"/>
          <w:sz w:val="24"/>
          <w:szCs w:val="24"/>
        </w:rPr>
        <w:t xml:space="preserve"> </w:t>
      </w:r>
      <w:r w:rsidRPr="00FD78E8">
        <w:rPr>
          <w:rFonts w:ascii="Palatino Linotype" w:hAnsi="Palatino Linotype" w:cs="Arial"/>
          <w:sz w:val="24"/>
          <w:szCs w:val="24"/>
        </w:rPr>
        <w:t>I,</w:t>
      </w:r>
      <w:r w:rsidR="00515995">
        <w:rPr>
          <w:rFonts w:ascii="Palatino Linotype" w:hAnsi="Palatino Linotype" w:cs="Arial"/>
          <w:sz w:val="24"/>
          <w:szCs w:val="24"/>
        </w:rPr>
        <w:t xml:space="preserve"> </w:t>
      </w:r>
      <w:r w:rsidRPr="00FD78E8">
        <w:rPr>
          <w:rFonts w:ascii="Palatino Linotype" w:hAnsi="Palatino Linotype" w:cs="Arial"/>
          <w:sz w:val="24"/>
          <w:szCs w:val="24"/>
        </w:rPr>
        <w:t>II y III de la Ley de Transparencia y Acceso a la Información Pública del Estado de</w:t>
      </w:r>
      <w:r w:rsidR="00515995">
        <w:rPr>
          <w:rFonts w:ascii="Palatino Linotype" w:hAnsi="Palatino Linotype" w:cs="Arial"/>
          <w:sz w:val="24"/>
          <w:szCs w:val="24"/>
        </w:rPr>
        <w:t xml:space="preserve"> </w:t>
      </w:r>
      <w:r w:rsidRPr="00FD78E8">
        <w:rPr>
          <w:rFonts w:ascii="Palatino Linotype" w:hAnsi="Palatino Linotype" w:cs="Arial"/>
          <w:sz w:val="24"/>
          <w:szCs w:val="24"/>
        </w:rPr>
        <w:t>México y Municipios en vigor, así como los numerales Segundo, fracción XVIII, y del</w:t>
      </w:r>
      <w:r w:rsidR="00515995">
        <w:rPr>
          <w:rFonts w:ascii="Palatino Linotype" w:hAnsi="Palatino Linotype" w:cs="Arial"/>
          <w:sz w:val="24"/>
          <w:szCs w:val="24"/>
        </w:rPr>
        <w:t xml:space="preserve"> </w:t>
      </w:r>
      <w:r w:rsidRPr="00FD78E8">
        <w:rPr>
          <w:rFonts w:ascii="Palatino Linotype" w:hAnsi="Palatino Linotype" w:cs="Arial"/>
          <w:sz w:val="24"/>
          <w:szCs w:val="24"/>
        </w:rPr>
        <w:t>Cuarto al Décimo Primero de los Lineamientos Generales en materia de</w:t>
      </w:r>
      <w:r w:rsidR="00515995">
        <w:rPr>
          <w:rFonts w:ascii="Palatino Linotype" w:hAnsi="Palatino Linotype" w:cs="Arial"/>
          <w:sz w:val="24"/>
          <w:szCs w:val="24"/>
        </w:rPr>
        <w:t xml:space="preserve"> </w:t>
      </w:r>
      <w:r w:rsidRPr="00FD78E8">
        <w:rPr>
          <w:rFonts w:ascii="Palatino Linotype" w:hAnsi="Palatino Linotype" w:cs="Arial"/>
          <w:sz w:val="24"/>
          <w:szCs w:val="24"/>
        </w:rPr>
        <w:t>Clasificación y Desclasificación de la Información, así como para la elaboración de</w:t>
      </w:r>
      <w:r w:rsidR="00515995">
        <w:rPr>
          <w:rFonts w:ascii="Palatino Linotype" w:hAnsi="Palatino Linotype" w:cs="Arial"/>
          <w:sz w:val="24"/>
          <w:szCs w:val="24"/>
        </w:rPr>
        <w:t xml:space="preserve"> </w:t>
      </w:r>
      <w:r w:rsidRPr="00FD78E8">
        <w:rPr>
          <w:rFonts w:ascii="Palatino Linotype" w:hAnsi="Palatino Linotype" w:cs="Arial"/>
          <w:sz w:val="24"/>
          <w:szCs w:val="24"/>
        </w:rPr>
        <w:t>Versiones Públicas, que literalmente expresan:</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49. Los Comités de Transparencia tendrán las siguientes atribuciones: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VIII. Aprobar, modificar o revocar la clasificación de la información;</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132. La clasificación de la información se llevará a cabo en el momento en</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que:</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 Se reciba una solicitud de acceso a la información;</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 Se determine mediante resolución de autoridad competente; 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III. Se generen versiones públicas para dar cumplimiento a las obligaciones de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transparencia previstas en esta Ley.”</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“Segundo.- Para efectos de los presentes Lineamientos Generales, se entenderá por:</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XVIII. Versión pública: El documento a partir del que se otorga acceso a la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 xml:space="preserve">información, en el que se testan partes o secciones clasificadas, indicando el </w:t>
      </w:r>
      <w:r w:rsidRPr="00E870CC">
        <w:rPr>
          <w:rFonts w:ascii="Palatino Linotype" w:hAnsi="Palatino Linotype" w:cs="Arial"/>
          <w:i/>
          <w:sz w:val="24"/>
          <w:szCs w:val="24"/>
        </w:rPr>
        <w:lastRenderedPageBreak/>
        <w:t>contenido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 xml:space="preserve">de éstas de manera genérica, fundando y motivando la reserva o </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confidencialidad, 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través de la resolución que para tal efecto emita el Comité de Transparencia.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Cuarto. Para clasificar la información como reservada o confidencial, de manera total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parcial, el titular del área del sujeto obligado deberá atender lo dispuesto por el Título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Sexto de la Ley General, en relación con las disposiciones contenidas en los presentes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lineamientos, así como en aquellas disposiciones legales aplicables a la materia en el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ámbito de sus respectivas competencias, en tanto estas últimas no contravengan lo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dispuesto en la Ley General.</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Los Sujetos Obligados deberán aplicar, de manera estricta, las excepciones al derecho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 acceso a la información y sólo podrán invocarlas cuando acrediten su procedencia.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Quinto. La carga de la prueba para justificar toda negativa de acceso a la información,</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por actualizarse cualquiera de los supuestos de clasificación previstos en la Ley</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 xml:space="preserve">General, la Ley Federal y leyes estatales, corresponderá a los Sujetos Obligados, por </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que deberán fundar y motivar debidamente la clasificación de la información ante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una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solicitud de acceso o al momento en que generen versiones públicas para dar</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cumplimiento a las obligaciones de transparencia, observando lo dispuesto en la Ley</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General y las demás disposiciones aplicables en la materia.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Sexto. Los Sujetos Obligados no podrán emitir acuerdos de carácter general ni</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particular que clasifiquen documentos o expedientes como reservados, ni clasificar</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documentos antes de que se genere la información o cuando éstos no obren en sus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archivos.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La clasificación de información se realizará conforme a un análisis caso por caso,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mediante la aplicación de la prueba de daño y de interés público.</w:t>
      </w:r>
      <w:r w:rsidR="00515995" w:rsidRPr="00E870CC">
        <w:rPr>
          <w:rFonts w:ascii="Palatino Linotype" w:hAnsi="Palatino Linotype" w:cs="Arial"/>
          <w:i/>
          <w:sz w:val="24"/>
          <w:szCs w:val="24"/>
        </w:rPr>
        <w:t xml:space="preserve"> </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Séptimo. La clasificación de la información se llevará a cabo en el momento en que:</w:t>
      </w:r>
      <w:r w:rsidR="00515995" w:rsidRPr="00E870CC">
        <w:rPr>
          <w:rFonts w:ascii="Palatino Linotype" w:hAnsi="Palatino Linotype" w:cs="Arial"/>
          <w:i/>
          <w:sz w:val="24"/>
          <w:szCs w:val="24"/>
        </w:rPr>
        <w:t xml:space="preserve"> </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 Se reciba una solicitud de acceso a la información;</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 Se determine mediante resolución de autoridad competente, 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III. Se generen versiones públicas para dar cumplimiento a las obligaciones de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transparencia previstas en la Ley General, la Ley Federal y las correspondientes de las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entidades federativas.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lastRenderedPageBreak/>
        <w:t>Los titulares de las áreas deberán revisar la clasificación al momento de la recepción</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una solicitud de acceso a la información, para verificar si encuadra en una causal de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reserva o de confidencialidad.</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Octavo. Para fundar la clasificación de la información se debe señalar el artículo,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fracción, inciso, párrafo o numeral de la ley o tratado internacional suscrito por el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Estado mexicano que expresamente le otorga el carácter de reservada o confidencial.</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Para motivar la clasificación se deberán señalar las razones o circunstancias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especiales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que lo llevaron a concluir que el caso particular se ajusta al supuesto previsto por la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norma legal invocada como fundamento.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En caso de referirse a información reservada, la motivación de la clasificación también</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deberá comprender las circunstancias que justifican el establecimiento de determinado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plazo de reserva.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Tratándose de información clasificada como confidencial respecto de la cual se haya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determinado su conservación permanente por tener valor histórico, ésta conservará</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tal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carácter de conformidad con la normativa aplicable en materia de archivos.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 xml:space="preserve">Los documentos contenidos en los archivos históricos y los identificados como </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históricos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confidenciales no serán susceptibles de clasificación como reservados.</w:t>
      </w:r>
      <w:r w:rsidR="00515995" w:rsidRPr="00E870CC">
        <w:rPr>
          <w:rFonts w:ascii="Palatino Linotype" w:hAnsi="Palatino Linotype" w:cs="Arial"/>
          <w:i/>
          <w:sz w:val="24"/>
          <w:szCs w:val="24"/>
        </w:rPr>
        <w:t xml:space="preserve"> </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Noveno. En los casos en que se solicite un documento o expediente que contenga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partes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o secciones clasificadas, los titulares de las áreas deberán elaborar una versión pública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fundando y motivando la clasificación de las partes o secciones que se testen, siguiendo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los procedimientos establecidos en el Capítulo IX de los presentes lineamientos.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Décimo. Los titulares de las áreas, deberán tener conocimiento y llevar un registro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personal que, por la naturaleza de sus atribuciones, tenga acceso a los documentos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clasificados. Asimismo, deberán asegurarse de que dicho personal cuente con los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conocimientos técnicos y legales que le permitan manejar adecuadamente la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información clasificada, en los términos de los Lineamientos para la Organización y</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Conservación de Archivos.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En ausencia de los titulares de las áreas, la información será clasificada 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desclasificada por la persona que lo supla, en términos de la normativa que rija la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actuación del sujeto obligado.</w:t>
      </w:r>
    </w:p>
    <w:p w:rsidR="00FD78E8" w:rsidRPr="00FD78E8" w:rsidRDefault="00FD78E8" w:rsidP="00E870CC">
      <w:pPr>
        <w:spacing w:before="120" w:after="120" w:line="240" w:lineRule="auto"/>
        <w:ind w:left="567" w:right="567"/>
        <w:jc w:val="both"/>
        <w:rPr>
          <w:rFonts w:ascii="Palatino Linotype" w:hAnsi="Palatino Linotype" w:cs="Arial"/>
          <w:sz w:val="24"/>
          <w:szCs w:val="24"/>
        </w:rPr>
      </w:pPr>
      <w:r w:rsidRPr="00E870CC">
        <w:rPr>
          <w:rFonts w:ascii="Palatino Linotype" w:hAnsi="Palatino Linotype" w:cs="Arial"/>
          <w:i/>
          <w:sz w:val="24"/>
          <w:szCs w:val="24"/>
        </w:rPr>
        <w:lastRenderedPageBreak/>
        <w:t>Décimo primero. En el intercambio de información entre Sujetos Obligados para el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ejercicio de sus atribuciones, los documentos que se encuentren clasificados deberán</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llevar la leyenda correspondiente de conformidad con lo dispuesto en el Capítulo VIII de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los presentes lineamientos.”</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De este modo, como ha sido señalado en la presente resolución, en armonía entre</w:t>
      </w:r>
      <w:r w:rsidR="00515995">
        <w:rPr>
          <w:rFonts w:ascii="Palatino Linotype" w:hAnsi="Palatino Linotype" w:cs="Arial"/>
          <w:sz w:val="24"/>
          <w:szCs w:val="24"/>
        </w:rPr>
        <w:t xml:space="preserve"> </w:t>
      </w:r>
      <w:r w:rsidRPr="00FD78E8">
        <w:rPr>
          <w:rFonts w:ascii="Palatino Linotype" w:hAnsi="Palatino Linotype" w:cs="Arial"/>
          <w:sz w:val="24"/>
          <w:szCs w:val="24"/>
        </w:rPr>
        <w:t>los principios constitucionales de máxima publicidad y de protección de datos</w:t>
      </w:r>
      <w:r w:rsidR="00515995">
        <w:rPr>
          <w:rFonts w:ascii="Palatino Linotype" w:hAnsi="Palatino Linotype" w:cs="Arial"/>
          <w:sz w:val="24"/>
          <w:szCs w:val="24"/>
        </w:rPr>
        <w:t xml:space="preserve"> </w:t>
      </w:r>
      <w:r w:rsidRPr="00FD78E8">
        <w:rPr>
          <w:rFonts w:ascii="Palatino Linotype" w:hAnsi="Palatino Linotype" w:cs="Arial"/>
          <w:sz w:val="24"/>
          <w:szCs w:val="24"/>
        </w:rPr>
        <w:t>personales, la Ley de Transparencia y Acceso a la Información Pública del Estado</w:t>
      </w:r>
      <w:r w:rsidR="00515995">
        <w:rPr>
          <w:rFonts w:ascii="Palatino Linotype" w:hAnsi="Palatino Linotype" w:cs="Arial"/>
          <w:sz w:val="24"/>
          <w:szCs w:val="24"/>
        </w:rPr>
        <w:t xml:space="preserve"> </w:t>
      </w:r>
      <w:r w:rsidRPr="00FD78E8">
        <w:rPr>
          <w:rFonts w:ascii="Palatino Linotype" w:hAnsi="Palatino Linotype" w:cs="Arial"/>
          <w:sz w:val="24"/>
          <w:szCs w:val="24"/>
        </w:rPr>
        <w:t>de México y Municipios permite la elaboración de versiones públicas en las que se</w:t>
      </w:r>
      <w:r w:rsidR="00515995">
        <w:rPr>
          <w:rFonts w:ascii="Palatino Linotype" w:hAnsi="Palatino Linotype" w:cs="Arial"/>
          <w:sz w:val="24"/>
          <w:szCs w:val="24"/>
        </w:rPr>
        <w:t xml:space="preserve"> </w:t>
      </w:r>
      <w:r w:rsidRPr="00FD78E8">
        <w:rPr>
          <w:rFonts w:ascii="Palatino Linotype" w:hAnsi="Palatino Linotype" w:cs="Arial"/>
          <w:sz w:val="24"/>
          <w:szCs w:val="24"/>
        </w:rPr>
        <w:t>suprima aquella información relacionada con la vida privada de particulares mediante</w:t>
      </w:r>
      <w:r w:rsidR="00515995">
        <w:rPr>
          <w:rFonts w:ascii="Palatino Linotype" w:hAnsi="Palatino Linotype" w:cs="Arial"/>
          <w:sz w:val="24"/>
          <w:szCs w:val="24"/>
        </w:rPr>
        <w:t xml:space="preserve"> </w:t>
      </w:r>
      <w:r w:rsidRPr="00FD78E8">
        <w:rPr>
          <w:rFonts w:ascii="Palatino Linotype" w:hAnsi="Palatino Linotype" w:cs="Arial"/>
          <w:sz w:val="24"/>
          <w:szCs w:val="24"/>
        </w:rPr>
        <w:t>el debido Acuerdo fundado y motivado en el que el Sujeto Obligado precise las</w:t>
      </w:r>
      <w:r w:rsidR="00515995">
        <w:rPr>
          <w:rFonts w:ascii="Palatino Linotype" w:hAnsi="Palatino Linotype" w:cs="Arial"/>
          <w:sz w:val="24"/>
          <w:szCs w:val="24"/>
        </w:rPr>
        <w:t xml:space="preserve"> </w:t>
      </w:r>
      <w:r w:rsidRPr="00FD78E8">
        <w:rPr>
          <w:rFonts w:ascii="Palatino Linotype" w:hAnsi="Palatino Linotype" w:cs="Arial"/>
          <w:sz w:val="24"/>
          <w:szCs w:val="24"/>
        </w:rPr>
        <w:t>razones objetivas por las que la apertura de la información generaría una afectación,</w:t>
      </w:r>
      <w:r w:rsidR="00515995">
        <w:rPr>
          <w:rFonts w:ascii="Palatino Linotype" w:hAnsi="Palatino Linotype" w:cs="Arial"/>
          <w:sz w:val="24"/>
          <w:szCs w:val="24"/>
        </w:rPr>
        <w:t xml:space="preserve"> </w:t>
      </w:r>
      <w:r w:rsidRPr="00FD78E8">
        <w:rPr>
          <w:rFonts w:ascii="Palatino Linotype" w:hAnsi="Palatino Linotype" w:cs="Arial"/>
          <w:sz w:val="24"/>
          <w:szCs w:val="24"/>
        </w:rPr>
        <w:t>asimismo, es claro que el mismo debe aplicar de manera restrictiva y limitada las</w:t>
      </w:r>
      <w:r w:rsidR="00515995">
        <w:rPr>
          <w:rFonts w:ascii="Palatino Linotype" w:hAnsi="Palatino Linotype" w:cs="Arial"/>
          <w:sz w:val="24"/>
          <w:szCs w:val="24"/>
        </w:rPr>
        <w:t xml:space="preserve"> </w:t>
      </w:r>
      <w:r w:rsidRPr="00FD78E8">
        <w:rPr>
          <w:rFonts w:ascii="Palatino Linotype" w:hAnsi="Palatino Linotype" w:cs="Arial"/>
          <w:sz w:val="24"/>
          <w:szCs w:val="24"/>
        </w:rPr>
        <w:t>hipótesis de clasificación y no hacerlas valer de manera general. Es importante</w:t>
      </w:r>
      <w:r w:rsidR="00515995">
        <w:rPr>
          <w:rFonts w:ascii="Palatino Linotype" w:hAnsi="Palatino Linotype" w:cs="Arial"/>
          <w:sz w:val="24"/>
          <w:szCs w:val="24"/>
        </w:rPr>
        <w:t xml:space="preserve"> </w:t>
      </w:r>
      <w:r w:rsidRPr="00FD78E8">
        <w:rPr>
          <w:rFonts w:ascii="Palatino Linotype" w:hAnsi="Palatino Linotype" w:cs="Arial"/>
          <w:sz w:val="24"/>
          <w:szCs w:val="24"/>
        </w:rPr>
        <w:t>señalar que, para acreditar dichos supuestos jurídicos se debe fundar y motivar</w:t>
      </w:r>
      <w:r w:rsidR="00515995">
        <w:rPr>
          <w:rFonts w:ascii="Palatino Linotype" w:hAnsi="Palatino Linotype" w:cs="Arial"/>
          <w:sz w:val="24"/>
          <w:szCs w:val="24"/>
        </w:rPr>
        <w:t xml:space="preserve"> </w:t>
      </w:r>
      <w:r w:rsidRPr="00FD78E8">
        <w:rPr>
          <w:rFonts w:ascii="Palatino Linotype" w:hAnsi="Palatino Linotype" w:cs="Arial"/>
          <w:sz w:val="24"/>
          <w:szCs w:val="24"/>
        </w:rPr>
        <w:t>correctamente la categorización de la información.</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tanto, la fundamentación y motivación consiste en la obligación que tiene todo</w:t>
      </w:r>
      <w:r w:rsidR="00515995">
        <w:rPr>
          <w:rFonts w:ascii="Palatino Linotype" w:hAnsi="Palatino Linotype" w:cs="Arial"/>
          <w:sz w:val="24"/>
          <w:szCs w:val="24"/>
        </w:rPr>
        <w:t xml:space="preserve"> </w:t>
      </w:r>
      <w:r w:rsidRPr="00FD78E8">
        <w:rPr>
          <w:rFonts w:ascii="Palatino Linotype" w:hAnsi="Palatino Linotype" w:cs="Arial"/>
          <w:sz w:val="24"/>
          <w:szCs w:val="24"/>
        </w:rPr>
        <w:t>ente público de expresar los preceptos jurídicos aplicables al asunto motivo del acto</w:t>
      </w:r>
      <w:r w:rsidR="00515995">
        <w:rPr>
          <w:rFonts w:ascii="Palatino Linotype" w:hAnsi="Palatino Linotype" w:cs="Arial"/>
          <w:sz w:val="24"/>
          <w:szCs w:val="24"/>
        </w:rPr>
        <w:t xml:space="preserve"> </w:t>
      </w:r>
      <w:r w:rsidRPr="00FD78E8">
        <w:rPr>
          <w:rFonts w:ascii="Palatino Linotype" w:hAnsi="Palatino Linotype" w:cs="Arial"/>
          <w:sz w:val="24"/>
          <w:szCs w:val="24"/>
        </w:rPr>
        <w:t>y las razones o argumentos de su actuar.</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Al respecto, el máximo tribunal del país ha establecido jurisprudencia respecto a qué</w:t>
      </w:r>
      <w:r w:rsidR="00515995">
        <w:rPr>
          <w:rFonts w:ascii="Palatino Linotype" w:hAnsi="Palatino Linotype" w:cs="Arial"/>
          <w:sz w:val="24"/>
          <w:szCs w:val="24"/>
        </w:rPr>
        <w:t xml:space="preserve"> </w:t>
      </w:r>
      <w:r w:rsidRPr="00FD78E8">
        <w:rPr>
          <w:rFonts w:ascii="Palatino Linotype" w:hAnsi="Palatino Linotype" w:cs="Arial"/>
          <w:sz w:val="24"/>
          <w:szCs w:val="24"/>
        </w:rPr>
        <w:t>debe entenderse por fundamentación y motivación, en los siguientes términos:</w:t>
      </w:r>
    </w:p>
    <w:p w:rsidR="00FD78E8" w:rsidRPr="00E870CC" w:rsidRDefault="00E870CC"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w:t>
      </w:r>
      <w:r w:rsidR="00FD78E8" w:rsidRPr="00E870CC">
        <w:rPr>
          <w:rFonts w:ascii="Palatino Linotype" w:hAnsi="Palatino Linotype" w:cs="Arial"/>
          <w:i/>
          <w:sz w:val="24"/>
          <w:szCs w:val="24"/>
        </w:rPr>
        <w:t>FUNDAMENTACIÓN Y MOTIVACIÓN. La debida fundamentación y motivación</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legal, deben entenderse, por lo primero, la cita del precepto legal aplicable al</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caso, y por lo segundo, las razones, motivos o circunstancias especiales que</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llevaron a la autoridad a concluir que el caso particular encuadra en el supuesto</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previsto por la norma legal invocada como fundamento.</w:t>
      </w:r>
      <w:r w:rsidRPr="00E870CC">
        <w:rPr>
          <w:rFonts w:ascii="Palatino Linotype" w:hAnsi="Palatino Linotype" w:cs="Arial"/>
          <w:i/>
          <w:sz w:val="24"/>
          <w:szCs w:val="24"/>
        </w:rPr>
        <w:t>”</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lastRenderedPageBreak/>
        <w:t>Así, en un acto de autoridad se surte la debida fundamentación cuando se cita el</w:t>
      </w:r>
      <w:r w:rsidR="00515995">
        <w:rPr>
          <w:rFonts w:ascii="Palatino Linotype" w:hAnsi="Palatino Linotype" w:cs="Arial"/>
          <w:sz w:val="24"/>
          <w:szCs w:val="24"/>
        </w:rPr>
        <w:t xml:space="preserve"> </w:t>
      </w:r>
      <w:r w:rsidRPr="00FD78E8">
        <w:rPr>
          <w:rFonts w:ascii="Palatino Linotype" w:hAnsi="Palatino Linotype" w:cs="Arial"/>
          <w:sz w:val="24"/>
          <w:szCs w:val="24"/>
        </w:rPr>
        <w:t>precepto legal aplicable al caso concreto y la debida motivación cuando se expresan</w:t>
      </w:r>
      <w:r w:rsidR="00515995">
        <w:rPr>
          <w:rFonts w:ascii="Palatino Linotype" w:hAnsi="Palatino Linotype" w:cs="Arial"/>
          <w:sz w:val="24"/>
          <w:szCs w:val="24"/>
        </w:rPr>
        <w:t xml:space="preserve"> </w:t>
      </w:r>
      <w:r w:rsidRPr="00FD78E8">
        <w:rPr>
          <w:rFonts w:ascii="Palatino Linotype" w:hAnsi="Palatino Linotype" w:cs="Arial"/>
          <w:sz w:val="24"/>
          <w:szCs w:val="24"/>
        </w:rPr>
        <w:t>las razones, motivos o circunstancias que tomó en cuenta la autoridad para adecuar</w:t>
      </w:r>
      <w:r w:rsidR="00515995">
        <w:rPr>
          <w:rFonts w:ascii="Palatino Linotype" w:hAnsi="Palatino Linotype" w:cs="Arial"/>
          <w:sz w:val="24"/>
          <w:szCs w:val="24"/>
        </w:rPr>
        <w:t xml:space="preserve"> </w:t>
      </w:r>
      <w:r w:rsidRPr="00FD78E8">
        <w:rPr>
          <w:rFonts w:ascii="Palatino Linotype" w:hAnsi="Palatino Linotype" w:cs="Arial"/>
          <w:sz w:val="24"/>
          <w:szCs w:val="24"/>
        </w:rPr>
        <w:t>el hecho a los fundamentos de derecho.</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Más aún, a través de diversa jurisprudencia dictada por el Poder Judicial de la</w:t>
      </w:r>
      <w:r w:rsidR="00515995">
        <w:rPr>
          <w:rFonts w:ascii="Palatino Linotype" w:hAnsi="Palatino Linotype" w:cs="Arial"/>
          <w:sz w:val="24"/>
          <w:szCs w:val="24"/>
        </w:rPr>
        <w:t xml:space="preserve"> </w:t>
      </w:r>
      <w:r w:rsidRPr="00FD78E8">
        <w:rPr>
          <w:rFonts w:ascii="Palatino Linotype" w:hAnsi="Palatino Linotype" w:cs="Arial"/>
          <w:sz w:val="24"/>
          <w:szCs w:val="24"/>
        </w:rPr>
        <w:t>Federación se sostiene que la finalidad de la fundamentación o motivación es la de</w:t>
      </w:r>
      <w:r w:rsidR="00515995">
        <w:rPr>
          <w:rFonts w:ascii="Palatino Linotype" w:hAnsi="Palatino Linotype" w:cs="Arial"/>
          <w:sz w:val="24"/>
          <w:szCs w:val="24"/>
        </w:rPr>
        <w:t xml:space="preserve"> </w:t>
      </w:r>
      <w:r w:rsidRPr="00FD78E8">
        <w:rPr>
          <w:rFonts w:ascii="Palatino Linotype" w:hAnsi="Palatino Linotype" w:cs="Arial"/>
          <w:sz w:val="24"/>
          <w:szCs w:val="24"/>
        </w:rPr>
        <w:t>explicar, justificar, posibilitar la defensa y comunicar la decisión de la autoridad:</w:t>
      </w:r>
    </w:p>
    <w:p w:rsidR="00FD78E8" w:rsidRPr="00E870CC" w:rsidRDefault="003D126E"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w:t>
      </w:r>
      <w:r w:rsidR="00FD78E8" w:rsidRPr="00E870CC">
        <w:rPr>
          <w:rFonts w:ascii="Palatino Linotype" w:hAnsi="Palatino Linotype" w:cs="Arial"/>
          <w:i/>
          <w:sz w:val="24"/>
          <w:szCs w:val="24"/>
        </w:rPr>
        <w:t>FUNDAMENTACIÓN Y MOTIVACIÓN. EL ASPECTO FORMAL DE LA</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GARANTÍA Y SU FINALIDAD SE TRADUCEN EN EXPLICAR, JUSTIFICAR,</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POSIBILITAR LA DEFENSA Y COMUNICAR LA DECISIÓN. El contenido</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formal de la garantía de legalidad prevista en el artículo 16 constitucional relativa</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a la fundamentación y motivación tiene como propósito primordial y ratio que el</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 xml:space="preserve">justiciable conozca el </w:t>
      </w:r>
      <w:r w:rsidR="00E870CC">
        <w:rPr>
          <w:rFonts w:ascii="Palatino Linotype" w:hAnsi="Palatino Linotype" w:cs="Arial"/>
          <w:i/>
          <w:sz w:val="24"/>
          <w:szCs w:val="24"/>
        </w:rPr>
        <w:t>“</w:t>
      </w:r>
      <w:r w:rsidR="00FD78E8" w:rsidRPr="00E870CC">
        <w:rPr>
          <w:rFonts w:ascii="Palatino Linotype" w:hAnsi="Palatino Linotype" w:cs="Arial"/>
          <w:i/>
          <w:sz w:val="24"/>
          <w:szCs w:val="24"/>
        </w:rPr>
        <w:t>para qué</w:t>
      </w:r>
      <w:r w:rsidR="00E870CC">
        <w:rPr>
          <w:rFonts w:ascii="Palatino Linotype" w:hAnsi="Palatino Linotype" w:cs="Arial"/>
          <w:i/>
          <w:sz w:val="24"/>
          <w:szCs w:val="24"/>
        </w:rPr>
        <w:t>”</w:t>
      </w:r>
      <w:r w:rsidR="00FD78E8" w:rsidRPr="00E870CC">
        <w:rPr>
          <w:rFonts w:ascii="Palatino Linotype" w:hAnsi="Palatino Linotype" w:cs="Arial"/>
          <w:i/>
          <w:sz w:val="24"/>
          <w:szCs w:val="24"/>
        </w:rPr>
        <w:t>; de la conducta de la autoridad, lo que se</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traduce en darle a conocer en detalle y de manera completa la esencia de todas</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las circunstancias y condiciones que determinaron el acto de voluntad, de</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manera que sea evidente y muy claro para el afectado poder cuestionar y</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controvertir el mérito de la decisión, permitiéndole una real y auténtica defensa.</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Por tanto, no basta que el acto de autoridad apenas observe una motivación p</w:t>
      </w:r>
      <w:r w:rsidR="00515995" w:rsidRPr="00E870CC">
        <w:rPr>
          <w:rFonts w:ascii="Palatino Linotype" w:hAnsi="Palatino Linotype" w:cs="Arial"/>
          <w:i/>
          <w:sz w:val="24"/>
          <w:szCs w:val="24"/>
        </w:rPr>
        <w:t>r</w:t>
      </w:r>
      <w:r w:rsidR="00FD78E8" w:rsidRPr="00E870CC">
        <w:rPr>
          <w:rFonts w:ascii="Palatino Linotype" w:hAnsi="Palatino Linotype" w:cs="Arial"/>
          <w:i/>
          <w:sz w:val="24"/>
          <w:szCs w:val="24"/>
        </w:rPr>
        <w:t>oforma pero de una manera incongruente, insuficiente o imprecisa, que impida la</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 xml:space="preserve">finalidad del conocimiento, </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comprobación y defensa pertinente, ni es válido</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exigirle una amplitud o abundancia superflua, pues es suficiente la expresión de</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lo estrictamente necesario para explicar, justificar y posibilitar la defensa, así</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como para comunicar la decisión a efecto de que se considere debidamente</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fundado y motivado, exponiendo los hechos relevantes para decidir, citando la</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norma habilitante y un argumento mínimo pero suficiente para acreditar el</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razonamiento del que se deduzca la relación de pertenencia lógica de los</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hechos al derecho invocado, que es la subsunción.</w:t>
      </w:r>
      <w:r w:rsidR="00E870CC">
        <w:rPr>
          <w:rFonts w:ascii="Palatino Linotype" w:hAnsi="Palatino Linotype" w:cs="Arial"/>
          <w:i/>
          <w:sz w:val="24"/>
          <w:szCs w:val="24"/>
        </w:rPr>
        <w:t>”</w:t>
      </w:r>
      <w:r w:rsidRPr="00E870CC">
        <w:rPr>
          <w:rFonts w:ascii="Palatino Linotype" w:hAnsi="Palatino Linotype" w:cs="Arial"/>
          <w:i/>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En consecuencia, la fundamentación y motivación implica que en el acto de</w:t>
      </w:r>
      <w:r w:rsidR="003D126E">
        <w:rPr>
          <w:rFonts w:ascii="Palatino Linotype" w:hAnsi="Palatino Linotype" w:cs="Arial"/>
          <w:sz w:val="24"/>
          <w:szCs w:val="24"/>
        </w:rPr>
        <w:t xml:space="preserve"> </w:t>
      </w:r>
      <w:r w:rsidRPr="00FD78E8">
        <w:rPr>
          <w:rFonts w:ascii="Palatino Linotype" w:hAnsi="Palatino Linotype" w:cs="Arial"/>
          <w:sz w:val="24"/>
          <w:szCs w:val="24"/>
        </w:rPr>
        <w:t>autoridad, además de contenerse los supuestos jurídicos aplicables se expliquen</w:t>
      </w:r>
      <w:r w:rsidR="003D126E">
        <w:rPr>
          <w:rFonts w:ascii="Palatino Linotype" w:hAnsi="Palatino Linotype" w:cs="Arial"/>
          <w:sz w:val="24"/>
          <w:szCs w:val="24"/>
        </w:rPr>
        <w:t xml:space="preserve"> </w:t>
      </w:r>
      <w:r w:rsidRPr="00FD78E8">
        <w:rPr>
          <w:rFonts w:ascii="Palatino Linotype" w:hAnsi="Palatino Linotype" w:cs="Arial"/>
          <w:sz w:val="24"/>
          <w:szCs w:val="24"/>
        </w:rPr>
        <w:lastRenderedPageBreak/>
        <w:t>claramente, por qué, a través de la utilización de la norma se emitió el acto. De este</w:t>
      </w:r>
      <w:r w:rsidR="003D126E">
        <w:rPr>
          <w:rFonts w:ascii="Palatino Linotype" w:hAnsi="Palatino Linotype" w:cs="Arial"/>
          <w:sz w:val="24"/>
          <w:szCs w:val="24"/>
        </w:rPr>
        <w:t xml:space="preserve"> </w:t>
      </w:r>
      <w:r w:rsidRPr="00FD78E8">
        <w:rPr>
          <w:rFonts w:ascii="Palatino Linotype" w:hAnsi="Palatino Linotype" w:cs="Arial"/>
          <w:sz w:val="24"/>
          <w:szCs w:val="24"/>
        </w:rPr>
        <w:t>modo, la persona que se siente afectada pueda impugnar la decisión, permitiéndole</w:t>
      </w:r>
      <w:r w:rsidR="003D126E">
        <w:rPr>
          <w:rFonts w:ascii="Palatino Linotype" w:hAnsi="Palatino Linotype" w:cs="Arial"/>
          <w:sz w:val="24"/>
          <w:szCs w:val="24"/>
        </w:rPr>
        <w:t xml:space="preserve"> </w:t>
      </w:r>
      <w:r w:rsidRPr="00FD78E8">
        <w:rPr>
          <w:rFonts w:ascii="Palatino Linotype" w:hAnsi="Palatino Linotype" w:cs="Arial"/>
          <w:sz w:val="24"/>
          <w:szCs w:val="24"/>
        </w:rPr>
        <w:t>una real y auténtica defensa.</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lo tanto, la entrega de documentos en su versión pública debe acompañarse</w:t>
      </w:r>
      <w:r w:rsidR="003D126E">
        <w:rPr>
          <w:rFonts w:ascii="Palatino Linotype" w:hAnsi="Palatino Linotype" w:cs="Arial"/>
          <w:sz w:val="24"/>
          <w:szCs w:val="24"/>
        </w:rPr>
        <w:t xml:space="preserve"> </w:t>
      </w:r>
      <w:r w:rsidRPr="00FD78E8">
        <w:rPr>
          <w:rFonts w:ascii="Palatino Linotype" w:hAnsi="Palatino Linotype" w:cs="Arial"/>
          <w:sz w:val="24"/>
          <w:szCs w:val="24"/>
        </w:rPr>
        <w:t>necesariamente del Acuerdo del Comité de Transparencia del Sujeto Obligado que</w:t>
      </w:r>
      <w:r w:rsidR="003D126E">
        <w:rPr>
          <w:rFonts w:ascii="Palatino Linotype" w:hAnsi="Palatino Linotype" w:cs="Arial"/>
          <w:sz w:val="24"/>
          <w:szCs w:val="24"/>
        </w:rPr>
        <w:t xml:space="preserve"> </w:t>
      </w:r>
      <w:r w:rsidRPr="00FD78E8">
        <w:rPr>
          <w:rFonts w:ascii="Palatino Linotype" w:hAnsi="Palatino Linotype" w:cs="Arial"/>
          <w:sz w:val="24"/>
          <w:szCs w:val="24"/>
        </w:rPr>
        <w:t>la sustente, en el que se expongan los fundamentos y razones que llevaron a la</w:t>
      </w:r>
      <w:r w:rsidR="003D126E">
        <w:rPr>
          <w:rFonts w:ascii="Palatino Linotype" w:hAnsi="Palatino Linotype" w:cs="Arial"/>
          <w:sz w:val="24"/>
          <w:szCs w:val="24"/>
        </w:rPr>
        <w:t xml:space="preserve"> </w:t>
      </w:r>
      <w:r w:rsidRPr="00FD78E8">
        <w:rPr>
          <w:rFonts w:ascii="Palatino Linotype" w:hAnsi="Palatino Linotype" w:cs="Arial"/>
          <w:sz w:val="24"/>
          <w:szCs w:val="24"/>
        </w:rPr>
        <w:t>autoridad a testar, suprimir o eliminar datos de dicho soporte documental, ya que el</w:t>
      </w:r>
      <w:r w:rsidR="003D126E">
        <w:rPr>
          <w:rFonts w:ascii="Palatino Linotype" w:hAnsi="Palatino Linotype" w:cs="Arial"/>
          <w:sz w:val="24"/>
          <w:szCs w:val="24"/>
        </w:rPr>
        <w:t xml:space="preserve"> </w:t>
      </w:r>
      <w:r w:rsidRPr="00FD78E8">
        <w:rPr>
          <w:rFonts w:ascii="Palatino Linotype" w:hAnsi="Palatino Linotype" w:cs="Arial"/>
          <w:sz w:val="24"/>
          <w:szCs w:val="24"/>
        </w:rPr>
        <w:t>no hacerlo implica que lo entregado no es legal ni formalmente una versión pública,</w:t>
      </w:r>
      <w:r w:rsidR="003D126E">
        <w:rPr>
          <w:rFonts w:ascii="Palatino Linotype" w:hAnsi="Palatino Linotype" w:cs="Arial"/>
          <w:sz w:val="24"/>
          <w:szCs w:val="24"/>
        </w:rPr>
        <w:t xml:space="preserve"> </w:t>
      </w:r>
      <w:r w:rsidRPr="00FD78E8">
        <w:rPr>
          <w:rFonts w:ascii="Palatino Linotype" w:hAnsi="Palatino Linotype" w:cs="Arial"/>
          <w:sz w:val="24"/>
          <w:szCs w:val="24"/>
        </w:rPr>
        <w:t>sino más bien una documentación ilegible, incompleta o tachada; pues no señalar</w:t>
      </w:r>
      <w:r w:rsidR="003D126E">
        <w:rPr>
          <w:rFonts w:ascii="Palatino Linotype" w:hAnsi="Palatino Linotype" w:cs="Arial"/>
          <w:sz w:val="24"/>
          <w:szCs w:val="24"/>
        </w:rPr>
        <w:t xml:space="preserve"> </w:t>
      </w:r>
      <w:r w:rsidRPr="00FD78E8">
        <w:rPr>
          <w:rFonts w:ascii="Palatino Linotype" w:hAnsi="Palatino Linotype" w:cs="Arial"/>
          <w:sz w:val="24"/>
          <w:szCs w:val="24"/>
        </w:rPr>
        <w:t>las razones por las que no se aprecian determinados datos, ya sea porque se testan</w:t>
      </w:r>
      <w:r w:rsidR="003D126E">
        <w:rPr>
          <w:rFonts w:ascii="Palatino Linotype" w:hAnsi="Palatino Linotype" w:cs="Arial"/>
          <w:sz w:val="24"/>
          <w:szCs w:val="24"/>
        </w:rPr>
        <w:t xml:space="preserve"> </w:t>
      </w:r>
      <w:r w:rsidRPr="00FD78E8">
        <w:rPr>
          <w:rFonts w:ascii="Palatino Linotype" w:hAnsi="Palatino Linotype" w:cs="Arial"/>
          <w:sz w:val="24"/>
          <w:szCs w:val="24"/>
        </w:rPr>
        <w:t>o suprimen, deja al solicitante en estado de incertidumbre, al no conocer o</w:t>
      </w:r>
      <w:r w:rsidR="003D126E">
        <w:rPr>
          <w:rFonts w:ascii="Palatino Linotype" w:hAnsi="Palatino Linotype" w:cs="Arial"/>
          <w:sz w:val="24"/>
          <w:szCs w:val="24"/>
        </w:rPr>
        <w:t xml:space="preserve"> </w:t>
      </w:r>
      <w:r w:rsidRPr="00FD78E8">
        <w:rPr>
          <w:rFonts w:ascii="Palatino Linotype" w:hAnsi="Palatino Linotype" w:cs="Arial"/>
          <w:sz w:val="24"/>
          <w:szCs w:val="24"/>
        </w:rPr>
        <w:t>comprender porque no aparecen en la documentación respectiva, es decir, si no se</w:t>
      </w:r>
      <w:r w:rsidR="003D126E">
        <w:rPr>
          <w:rFonts w:ascii="Palatino Linotype" w:hAnsi="Palatino Linotype" w:cs="Arial"/>
          <w:sz w:val="24"/>
          <w:szCs w:val="24"/>
        </w:rPr>
        <w:t xml:space="preserve"> </w:t>
      </w:r>
      <w:r w:rsidRPr="00FD78E8">
        <w:rPr>
          <w:rFonts w:ascii="Palatino Linotype" w:hAnsi="Palatino Linotype" w:cs="Arial"/>
          <w:sz w:val="24"/>
          <w:szCs w:val="24"/>
        </w:rPr>
        <w:t>exponen de manera puntual las razones de ello se estaría violentando desde un</w:t>
      </w:r>
      <w:r w:rsidR="003D126E">
        <w:rPr>
          <w:rFonts w:ascii="Palatino Linotype" w:hAnsi="Palatino Linotype" w:cs="Arial"/>
          <w:sz w:val="24"/>
          <w:szCs w:val="24"/>
        </w:rPr>
        <w:t xml:space="preserve"> </w:t>
      </w:r>
      <w:r w:rsidRPr="00FD78E8">
        <w:rPr>
          <w:rFonts w:ascii="Palatino Linotype" w:hAnsi="Palatino Linotype" w:cs="Arial"/>
          <w:sz w:val="24"/>
          <w:szCs w:val="24"/>
        </w:rPr>
        <w:t>inicio el derecho de acceso a la información del solicitante.</w:t>
      </w:r>
      <w:r w:rsidR="003D126E">
        <w:rPr>
          <w:rFonts w:ascii="Palatino Linotype" w:hAnsi="Palatino Linotype" w:cs="Arial"/>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En ese tenor y de acuerdo a la interpretación en el orden administrativo que le da la</w:t>
      </w:r>
      <w:r w:rsidR="003D126E">
        <w:rPr>
          <w:rFonts w:ascii="Palatino Linotype" w:hAnsi="Palatino Linotype" w:cs="Arial"/>
          <w:sz w:val="24"/>
          <w:szCs w:val="24"/>
        </w:rPr>
        <w:t xml:space="preserve"> </w:t>
      </w:r>
      <w:r w:rsidRPr="00FD78E8">
        <w:rPr>
          <w:rFonts w:ascii="Palatino Linotype" w:hAnsi="Palatino Linotype" w:cs="Arial"/>
          <w:sz w:val="24"/>
          <w:szCs w:val="24"/>
        </w:rPr>
        <w:t>Ley de la materia a este Instituto específicamente, en términos de su artículo 36,</w:t>
      </w:r>
      <w:r w:rsidR="003D126E">
        <w:rPr>
          <w:rFonts w:ascii="Palatino Linotype" w:hAnsi="Palatino Linotype" w:cs="Arial"/>
          <w:sz w:val="24"/>
          <w:szCs w:val="24"/>
        </w:rPr>
        <w:t xml:space="preserve"> </w:t>
      </w:r>
      <w:r w:rsidRPr="00FD78E8">
        <w:rPr>
          <w:rFonts w:ascii="Palatino Linotype" w:hAnsi="Palatino Linotype" w:cs="Arial"/>
          <w:sz w:val="24"/>
          <w:szCs w:val="24"/>
        </w:rPr>
        <w:t>fracción I, de la Ley de Transparencia y Acceso a la Información Pública del Estado</w:t>
      </w:r>
      <w:r w:rsidR="003D126E">
        <w:rPr>
          <w:rFonts w:ascii="Palatino Linotype" w:hAnsi="Palatino Linotype" w:cs="Arial"/>
          <w:sz w:val="24"/>
          <w:szCs w:val="24"/>
        </w:rPr>
        <w:t xml:space="preserve"> </w:t>
      </w:r>
      <w:r w:rsidRPr="00FD78E8">
        <w:rPr>
          <w:rFonts w:ascii="Palatino Linotype" w:hAnsi="Palatino Linotype" w:cs="Arial"/>
          <w:sz w:val="24"/>
          <w:szCs w:val="24"/>
        </w:rPr>
        <w:t>de México y Municipios, a efecto de salvaguardar el derecho de acceso a la</w:t>
      </w:r>
      <w:r w:rsidR="003D126E">
        <w:rPr>
          <w:rFonts w:ascii="Palatino Linotype" w:hAnsi="Palatino Linotype" w:cs="Arial"/>
          <w:sz w:val="24"/>
          <w:szCs w:val="24"/>
        </w:rPr>
        <w:t xml:space="preserve"> </w:t>
      </w:r>
      <w:r w:rsidRPr="00FD78E8">
        <w:rPr>
          <w:rFonts w:ascii="Palatino Linotype" w:hAnsi="Palatino Linotype" w:cs="Arial"/>
          <w:sz w:val="24"/>
          <w:szCs w:val="24"/>
        </w:rPr>
        <w:t xml:space="preserve">información pública consignado a favor del </w:t>
      </w:r>
      <w:r w:rsidRPr="00406BA7">
        <w:rPr>
          <w:rFonts w:ascii="Palatino Linotype" w:hAnsi="Palatino Linotype" w:cs="Arial"/>
          <w:b/>
          <w:sz w:val="24"/>
          <w:szCs w:val="24"/>
        </w:rPr>
        <w:t>Recurrente</w:t>
      </w:r>
      <w:r w:rsidRPr="00FD78E8">
        <w:rPr>
          <w:rFonts w:ascii="Palatino Linotype" w:hAnsi="Palatino Linotype" w:cs="Arial"/>
          <w:sz w:val="24"/>
          <w:szCs w:val="24"/>
        </w:rPr>
        <w:t>.</w:t>
      </w:r>
      <w:r w:rsidR="003D126E">
        <w:rPr>
          <w:rFonts w:ascii="Palatino Linotype" w:hAnsi="Palatino Linotype" w:cs="Arial"/>
          <w:sz w:val="24"/>
          <w:szCs w:val="24"/>
        </w:rPr>
        <w:t xml:space="preserve"> </w:t>
      </w:r>
    </w:p>
    <w:p w:rsidR="006B3AB3" w:rsidRPr="00631AAA" w:rsidRDefault="00A5373F" w:rsidP="006B3AB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los razonamientos señalados en párrafos que preceden, se concluye que resultan fundados los motivos y/o razones de inconformidad hechos valer por el </w:t>
      </w:r>
      <w:r>
        <w:rPr>
          <w:rFonts w:ascii="Palatino Linotype" w:hAnsi="Palatino Linotype" w:cs="Arial"/>
          <w:b/>
          <w:sz w:val="24"/>
          <w:szCs w:val="24"/>
        </w:rPr>
        <w:t>Recurrente</w:t>
      </w:r>
      <w:r>
        <w:rPr>
          <w:rFonts w:ascii="Palatino Linotype" w:hAnsi="Palatino Linotype" w:cs="Arial"/>
          <w:sz w:val="24"/>
          <w:szCs w:val="24"/>
        </w:rPr>
        <w:t xml:space="preserve">, por ello con fundamento en la primera hipótesis de la fracción III del artículo 186 de la Ley de Transparencia y Acceso a la Información Pública del Estado de México y </w:t>
      </w:r>
      <w:r>
        <w:rPr>
          <w:rFonts w:ascii="Palatino Linotype" w:hAnsi="Palatino Linotype" w:cs="Arial"/>
          <w:sz w:val="24"/>
          <w:szCs w:val="24"/>
        </w:rPr>
        <w:lastRenderedPageBreak/>
        <w:t xml:space="preserve">Municipios, se </w:t>
      </w:r>
      <w:r>
        <w:rPr>
          <w:rFonts w:ascii="Palatino Linotype" w:hAnsi="Palatino Linotype" w:cs="Arial"/>
          <w:b/>
          <w:sz w:val="24"/>
          <w:szCs w:val="24"/>
        </w:rPr>
        <w:t>REVOCA</w:t>
      </w:r>
      <w:r>
        <w:rPr>
          <w:rFonts w:ascii="Palatino Linotype" w:hAnsi="Palatino Linotype" w:cs="Arial"/>
          <w:sz w:val="24"/>
          <w:szCs w:val="24"/>
        </w:rPr>
        <w:t xml:space="preserve"> la respuesta emitida por el </w:t>
      </w:r>
      <w:r>
        <w:rPr>
          <w:rFonts w:ascii="Palatino Linotype" w:hAnsi="Palatino Linotype" w:cs="Arial"/>
          <w:b/>
          <w:sz w:val="24"/>
          <w:szCs w:val="24"/>
        </w:rPr>
        <w:t>Sujeto Obligado</w:t>
      </w:r>
      <w:r>
        <w:rPr>
          <w:rFonts w:ascii="Palatino Linotype" w:hAnsi="Palatino Linotype" w:cs="Arial"/>
          <w:sz w:val="24"/>
          <w:szCs w:val="24"/>
        </w:rPr>
        <w:t>, que ha sido materia del presente fallo, por lo antes expuesto y fundado.</w:t>
      </w:r>
    </w:p>
    <w:p w:rsidR="006B3AB3" w:rsidRPr="003B785E" w:rsidRDefault="006B3AB3" w:rsidP="006B3AB3">
      <w:pPr>
        <w:autoSpaceDE w:val="0"/>
        <w:autoSpaceDN w:val="0"/>
        <w:adjustRightInd w:val="0"/>
        <w:spacing w:before="240" w:after="240" w:line="360" w:lineRule="auto"/>
        <w:ind w:right="-234"/>
        <w:jc w:val="both"/>
        <w:rPr>
          <w:rFonts w:ascii="Palatino Linotype" w:hAnsi="Palatino Linotype" w:cs="Arial"/>
          <w:sz w:val="24"/>
          <w:szCs w:val="24"/>
          <w:lang w:eastAsia="es-MX"/>
        </w:rPr>
      </w:pPr>
      <w:r w:rsidRPr="003B785E">
        <w:rPr>
          <w:rFonts w:ascii="Palatino Linotype" w:hAnsi="Palatino Linotype" w:cs="Arial"/>
          <w:sz w:val="24"/>
          <w:szCs w:val="24"/>
          <w:lang w:eastAsia="es-MX"/>
        </w:rPr>
        <w:t>Por lo antes expuesto y fundado es de resolverse y,</w:t>
      </w:r>
    </w:p>
    <w:p w:rsidR="00F63E44" w:rsidRDefault="00F63E44" w:rsidP="006B3AB3">
      <w:pPr>
        <w:spacing w:line="276" w:lineRule="auto"/>
        <w:ind w:right="-234" w:firstLine="567"/>
        <w:jc w:val="center"/>
        <w:rPr>
          <w:rFonts w:ascii="Palatino Linotype" w:hAnsi="Palatino Linotype"/>
          <w:b/>
          <w:sz w:val="28"/>
          <w:szCs w:val="24"/>
          <w:lang w:val="pt-BR"/>
        </w:rPr>
      </w:pPr>
    </w:p>
    <w:p w:rsidR="006B3AB3" w:rsidRDefault="006B3AB3" w:rsidP="006B3AB3">
      <w:pPr>
        <w:spacing w:line="276" w:lineRule="auto"/>
        <w:ind w:right="-234" w:firstLine="567"/>
        <w:jc w:val="center"/>
        <w:rPr>
          <w:rFonts w:ascii="Palatino Linotype" w:hAnsi="Palatino Linotype"/>
          <w:b/>
          <w:sz w:val="28"/>
          <w:szCs w:val="24"/>
          <w:lang w:val="pt-BR"/>
        </w:rPr>
      </w:pPr>
      <w:r w:rsidRPr="00C92FAC">
        <w:rPr>
          <w:rFonts w:ascii="Palatino Linotype" w:hAnsi="Palatino Linotype"/>
          <w:b/>
          <w:sz w:val="28"/>
          <w:szCs w:val="24"/>
          <w:lang w:val="pt-BR"/>
        </w:rPr>
        <w:t>SE   R E S U E L V E</w:t>
      </w:r>
    </w:p>
    <w:p w:rsidR="00EE33D2" w:rsidRDefault="00EE33D2" w:rsidP="006B3AB3">
      <w:pPr>
        <w:tabs>
          <w:tab w:val="left" w:pos="8647"/>
        </w:tabs>
        <w:spacing w:after="0" w:line="360" w:lineRule="auto"/>
        <w:jc w:val="both"/>
        <w:rPr>
          <w:rFonts w:ascii="Palatino Linotype" w:hAnsi="Palatino Linotype" w:cs="Arial"/>
          <w:b/>
          <w:sz w:val="24"/>
          <w:szCs w:val="24"/>
          <w:lang w:val="es-ES_tradnl"/>
        </w:rPr>
      </w:pPr>
    </w:p>
    <w:p w:rsidR="006B3AB3" w:rsidRDefault="006B3AB3" w:rsidP="006B3AB3">
      <w:pPr>
        <w:tabs>
          <w:tab w:val="left" w:pos="8647"/>
        </w:tabs>
        <w:spacing w:after="0" w:line="360" w:lineRule="auto"/>
        <w:jc w:val="both"/>
        <w:rPr>
          <w:rFonts w:ascii="Palatino Linotype" w:hAnsi="Palatino Linotype" w:cs="Arial"/>
          <w:b/>
          <w:sz w:val="28"/>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sidR="00A5373F">
        <w:rPr>
          <w:rFonts w:ascii="Palatino Linotype" w:hAnsi="Palatino Linotype" w:cs="Arial"/>
          <w:b/>
          <w:sz w:val="24"/>
          <w:szCs w:val="24"/>
        </w:rPr>
        <w:t>REVOCA</w:t>
      </w:r>
      <w:r>
        <w:rPr>
          <w:rFonts w:ascii="Palatino Linotype" w:hAnsi="Palatino Linotype" w:cs="Arial"/>
          <w:b/>
          <w:sz w:val="24"/>
          <w:szCs w:val="24"/>
        </w:rPr>
        <w:t xml:space="preserve"> </w:t>
      </w:r>
      <w:r>
        <w:rPr>
          <w:rFonts w:ascii="Palatino Linotype" w:hAnsi="Palatino Linotype" w:cs="Arial"/>
          <w:sz w:val="24"/>
          <w:szCs w:val="24"/>
        </w:rPr>
        <w:t xml:space="preserve">la respuesta entregada por </w:t>
      </w:r>
      <w:r w:rsidRPr="00C51D6F">
        <w:rPr>
          <w:rFonts w:ascii="Palatino Linotype" w:hAnsi="Palatino Linotype" w:cs="Arial"/>
          <w:sz w:val="24"/>
          <w:szCs w:val="24"/>
        </w:rPr>
        <w:t>el</w:t>
      </w:r>
      <w:r>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Pr>
          <w:rFonts w:ascii="Palatino Linotype" w:hAnsi="Palatino Linotype" w:cs="Arial"/>
          <w:b/>
          <w:sz w:val="24"/>
        </w:rPr>
        <w:t>00</w:t>
      </w:r>
      <w:r w:rsidR="009B6404">
        <w:rPr>
          <w:rFonts w:ascii="Palatino Linotype" w:hAnsi="Palatino Linotype" w:cs="Arial"/>
          <w:b/>
          <w:sz w:val="24"/>
        </w:rPr>
        <w:t>288</w:t>
      </w:r>
      <w:r>
        <w:rPr>
          <w:rFonts w:ascii="Palatino Linotype" w:hAnsi="Palatino Linotype" w:cs="Arial"/>
          <w:b/>
          <w:sz w:val="24"/>
        </w:rPr>
        <w:t>/</w:t>
      </w:r>
      <w:r w:rsidR="009B6404">
        <w:rPr>
          <w:rFonts w:ascii="Palatino Linotype" w:hAnsi="Palatino Linotype" w:cs="Arial"/>
          <w:b/>
          <w:sz w:val="24"/>
        </w:rPr>
        <w:t>CUAUTIZC</w:t>
      </w:r>
      <w:r>
        <w:rPr>
          <w:rFonts w:ascii="Palatino Linotype" w:hAnsi="Palatino Linotype" w:cs="Arial"/>
          <w:b/>
          <w:sz w:val="24"/>
        </w:rPr>
        <w:t>/IP/2018</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por resultar fundados los motivos de inconformidad </w:t>
      </w:r>
      <w:r w:rsidR="00A5373F">
        <w:rPr>
          <w:rFonts w:ascii="Palatino Linotype" w:hAnsi="Palatino Linotype" w:cs="Arial"/>
          <w:sz w:val="24"/>
        </w:rPr>
        <w:t xml:space="preserve">hechos valer por </w:t>
      </w:r>
      <w:r w:rsidR="003E055C">
        <w:rPr>
          <w:rFonts w:ascii="Palatino Linotype" w:hAnsi="Palatino Linotype" w:cs="Arial"/>
          <w:sz w:val="24"/>
        </w:rPr>
        <w:t>e</w:t>
      </w:r>
      <w:r>
        <w:rPr>
          <w:rFonts w:ascii="Palatino Linotype" w:hAnsi="Palatino Linotype" w:cs="Arial"/>
          <w:sz w:val="24"/>
        </w:rPr>
        <w:t>l</w:t>
      </w:r>
      <w:r>
        <w:rPr>
          <w:rFonts w:ascii="Palatino Linotype" w:hAnsi="Palatino Linotype" w:cs="Arial"/>
          <w:b/>
          <w:sz w:val="24"/>
        </w:rPr>
        <w:t xml:space="preserve"> Recurrente</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en términos del </w:t>
      </w:r>
      <w:r w:rsidRPr="0012305B">
        <w:rPr>
          <w:rFonts w:ascii="Palatino Linotype" w:hAnsi="Palatino Linotype" w:cs="Arial"/>
          <w:b/>
          <w:sz w:val="24"/>
        </w:rPr>
        <w:t>Considerando Cuarto</w:t>
      </w:r>
      <w:r>
        <w:rPr>
          <w:rFonts w:ascii="Palatino Linotype" w:hAnsi="Palatino Linotype" w:cs="Arial"/>
          <w:sz w:val="24"/>
        </w:rPr>
        <w:t xml:space="preserve"> de la presente resolución.</w:t>
      </w:r>
    </w:p>
    <w:p w:rsidR="00B82EE5" w:rsidRDefault="006B3AB3" w:rsidP="006535BA">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sidR="00B82EE5">
        <w:rPr>
          <w:rFonts w:ascii="Palatino Linotype" w:hAnsi="Palatino Linotype" w:cs="Arial"/>
          <w:sz w:val="24"/>
          <w:szCs w:val="24"/>
        </w:rPr>
        <w:t xml:space="preserve">Se </w:t>
      </w:r>
      <w:r w:rsidR="00B82EE5">
        <w:rPr>
          <w:rFonts w:ascii="Palatino Linotype" w:hAnsi="Palatino Linotype" w:cs="Arial"/>
          <w:b/>
          <w:sz w:val="24"/>
          <w:szCs w:val="24"/>
        </w:rPr>
        <w:t xml:space="preserve">ORDENA </w:t>
      </w:r>
      <w:r w:rsidR="00B82EE5">
        <w:rPr>
          <w:rFonts w:ascii="Palatino Linotype" w:hAnsi="Palatino Linotype" w:cs="Arial"/>
          <w:sz w:val="24"/>
          <w:szCs w:val="24"/>
        </w:rPr>
        <w:t xml:space="preserve">al </w:t>
      </w:r>
      <w:r w:rsidR="00B82EE5">
        <w:rPr>
          <w:rFonts w:ascii="Palatino Linotype" w:hAnsi="Palatino Linotype" w:cs="Arial"/>
          <w:b/>
          <w:sz w:val="24"/>
          <w:szCs w:val="24"/>
        </w:rPr>
        <w:t xml:space="preserve">Sujeto </w:t>
      </w:r>
      <w:r w:rsidR="00B82EE5" w:rsidRPr="00BA78A9">
        <w:rPr>
          <w:rFonts w:ascii="Palatino Linotype" w:hAnsi="Palatino Linotype" w:cs="Arial"/>
          <w:b/>
          <w:sz w:val="24"/>
          <w:szCs w:val="24"/>
        </w:rPr>
        <w:t>Obligado</w:t>
      </w:r>
      <w:r w:rsidR="00B82EE5">
        <w:rPr>
          <w:rFonts w:ascii="Palatino Linotype" w:hAnsi="Palatino Linotype" w:cs="Arial"/>
          <w:sz w:val="24"/>
          <w:szCs w:val="24"/>
        </w:rPr>
        <w:t>, que en términos del considerando CUARTO,</w:t>
      </w:r>
      <w:r w:rsidR="003E055C">
        <w:rPr>
          <w:rFonts w:ascii="Palatino Linotype" w:hAnsi="Palatino Linotype" w:cs="Arial"/>
          <w:sz w:val="24"/>
          <w:szCs w:val="24"/>
        </w:rPr>
        <w:t xml:space="preserve"> haga entrega al </w:t>
      </w:r>
      <w:r w:rsidR="00B82EE5">
        <w:rPr>
          <w:rFonts w:ascii="Palatino Linotype" w:hAnsi="Palatino Linotype" w:cs="Arial"/>
          <w:b/>
          <w:sz w:val="24"/>
          <w:szCs w:val="24"/>
        </w:rPr>
        <w:t>Recurrente</w:t>
      </w:r>
      <w:r w:rsidR="00292B8F">
        <w:rPr>
          <w:rFonts w:ascii="Palatino Linotype" w:hAnsi="Palatino Linotype" w:cs="Arial"/>
          <w:sz w:val="24"/>
          <w:szCs w:val="24"/>
        </w:rPr>
        <w:t xml:space="preserve"> en versión pública</w:t>
      </w:r>
      <w:r w:rsidR="00A5373F">
        <w:rPr>
          <w:rFonts w:ascii="Palatino Linotype" w:hAnsi="Palatino Linotype" w:cs="Arial"/>
          <w:sz w:val="24"/>
          <w:szCs w:val="24"/>
        </w:rPr>
        <w:t xml:space="preserve"> </w:t>
      </w:r>
      <w:r w:rsidR="00292B8F">
        <w:rPr>
          <w:rFonts w:ascii="Palatino Linotype" w:hAnsi="Palatino Linotype" w:cs="Arial"/>
          <w:sz w:val="24"/>
          <w:szCs w:val="24"/>
        </w:rPr>
        <w:t xml:space="preserve">y </w:t>
      </w:r>
      <w:r w:rsidR="00B82EE5">
        <w:rPr>
          <w:rFonts w:ascii="Palatino Linotype" w:hAnsi="Palatino Linotype" w:cs="Arial"/>
          <w:sz w:val="24"/>
          <w:szCs w:val="24"/>
        </w:rPr>
        <w:t xml:space="preserve">a través del </w:t>
      </w:r>
      <w:r w:rsidR="00B82EE5" w:rsidRPr="00426A12">
        <w:rPr>
          <w:rFonts w:ascii="Palatino Linotype" w:hAnsi="Palatino Linotype" w:cs="Arial"/>
          <w:sz w:val="24"/>
          <w:szCs w:val="24"/>
        </w:rPr>
        <w:t>SAIMEX</w:t>
      </w:r>
      <w:r w:rsidR="004C2CB3">
        <w:rPr>
          <w:rFonts w:ascii="Palatino Linotype" w:hAnsi="Palatino Linotype" w:cs="Arial"/>
          <w:sz w:val="24"/>
          <w:szCs w:val="24"/>
        </w:rPr>
        <w:t>,</w:t>
      </w:r>
      <w:r w:rsidR="00913DA3" w:rsidRPr="00426A12">
        <w:rPr>
          <w:rFonts w:ascii="Palatino Linotype" w:hAnsi="Palatino Linotype" w:cs="Arial"/>
          <w:sz w:val="24"/>
          <w:szCs w:val="24"/>
        </w:rPr>
        <w:t xml:space="preserve"> </w:t>
      </w:r>
      <w:r w:rsidR="00B82EE5">
        <w:rPr>
          <w:rFonts w:ascii="Palatino Linotype" w:hAnsi="Palatino Linotype" w:cs="Arial"/>
          <w:sz w:val="24"/>
          <w:szCs w:val="24"/>
        </w:rPr>
        <w:t>del</w:t>
      </w:r>
      <w:r w:rsidR="009B6404">
        <w:rPr>
          <w:rFonts w:ascii="Palatino Linotype" w:hAnsi="Palatino Linotype" w:cs="Arial"/>
          <w:sz w:val="24"/>
          <w:szCs w:val="24"/>
        </w:rPr>
        <w:t xml:space="preserve"> o los </w:t>
      </w:r>
      <w:r w:rsidR="00292B8F">
        <w:rPr>
          <w:rFonts w:ascii="Palatino Linotype" w:hAnsi="Palatino Linotype" w:cs="Arial"/>
          <w:sz w:val="24"/>
          <w:szCs w:val="24"/>
        </w:rPr>
        <w:t>document</w:t>
      </w:r>
      <w:r w:rsidR="009B6404">
        <w:rPr>
          <w:rFonts w:ascii="Palatino Linotype" w:hAnsi="Palatino Linotype" w:cs="Arial"/>
          <w:sz w:val="24"/>
          <w:szCs w:val="24"/>
        </w:rPr>
        <w:t xml:space="preserve">os donde consten las percepciones mensuales netas, de los meses </w:t>
      </w:r>
      <w:r w:rsidR="00B73F91">
        <w:rPr>
          <w:rFonts w:ascii="Palatino Linotype" w:hAnsi="Palatino Linotype" w:cs="Arial"/>
          <w:sz w:val="24"/>
          <w:szCs w:val="24"/>
        </w:rPr>
        <w:t>marzo, abril y mayo del presente año, de los siguientes servidores públicos</w:t>
      </w:r>
      <w:r w:rsidR="00B82EE5">
        <w:rPr>
          <w:rFonts w:ascii="Palatino Linotype" w:hAnsi="Palatino Linotype" w:cs="Arial"/>
          <w:sz w:val="24"/>
          <w:szCs w:val="24"/>
        </w:rPr>
        <w:t>:</w:t>
      </w:r>
    </w:p>
    <w:p w:rsidR="00F63E44" w:rsidRPr="00292B8F"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color w:val="000000" w:themeColor="text1"/>
          <w:lang w:val="es-MX"/>
        </w:rPr>
        <w:t>Comisario General de Seguridad Pública y Tránsito</w:t>
      </w:r>
      <w:r>
        <w:rPr>
          <w:rFonts w:ascii="Palatino Linotype" w:hAnsi="Palatino Linotype" w:cs="Arial"/>
          <w:bCs/>
          <w:color w:val="000000" w:themeColor="text1"/>
          <w:lang w:val="es-MX"/>
        </w:rPr>
        <w:t>.</w:t>
      </w:r>
      <w:r w:rsidRPr="00B73F91">
        <w:rPr>
          <w:rFonts w:ascii="Palatino Linotype" w:hAnsi="Palatino Linotype" w:cs="Arial"/>
          <w:bCs/>
          <w:color w:val="000000" w:themeColor="text1"/>
          <w:lang w:val="es-MX"/>
        </w:rPr>
        <w:t xml:space="preserve"> </w:t>
      </w:r>
    </w:p>
    <w:p w:rsidR="00292B8F" w:rsidRPr="00F63E44"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color w:val="000000" w:themeColor="text1"/>
          <w:lang w:val="es-MX"/>
        </w:rPr>
        <w:t>Coordinador de Control Operativo</w:t>
      </w:r>
      <w:r>
        <w:rPr>
          <w:rFonts w:ascii="Palatino Linotype" w:hAnsi="Palatino Linotype" w:cs="Arial"/>
          <w:bCs/>
          <w:color w:val="000000" w:themeColor="text1"/>
          <w:lang w:val="es-MX"/>
        </w:rPr>
        <w:t>.</w:t>
      </w:r>
    </w:p>
    <w:p w:rsidR="00F63E44" w:rsidRPr="00F63E44"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color w:val="000000" w:themeColor="text1"/>
          <w:lang w:val="es-MX"/>
        </w:rPr>
        <w:t>Coordinador de Prevención de Conductas Antisociales</w:t>
      </w:r>
      <w:r w:rsidR="00F63E44" w:rsidRPr="00F63E44">
        <w:rPr>
          <w:rFonts w:ascii="Palatino Linotype" w:hAnsi="Palatino Linotype" w:cs="Arial"/>
        </w:rPr>
        <w:t>.</w:t>
      </w:r>
    </w:p>
    <w:p w:rsidR="00F63E44" w:rsidRPr="002C598C"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color w:val="000000" w:themeColor="text1"/>
          <w:lang w:val="es-MX"/>
        </w:rPr>
        <w:t xml:space="preserve">Coordinador de </w:t>
      </w:r>
      <w:r>
        <w:rPr>
          <w:rFonts w:ascii="Palatino Linotype" w:hAnsi="Palatino Linotype" w:cs="Arial"/>
          <w:bCs/>
          <w:color w:val="000000" w:themeColor="text1"/>
          <w:lang w:val="es-MX"/>
        </w:rPr>
        <w:t>F</w:t>
      </w:r>
      <w:r w:rsidRPr="00B73F91">
        <w:rPr>
          <w:rFonts w:ascii="Palatino Linotype" w:hAnsi="Palatino Linotype" w:cs="Arial"/>
          <w:bCs/>
          <w:color w:val="000000" w:themeColor="text1"/>
          <w:lang w:val="es-MX"/>
        </w:rPr>
        <w:t>ormación Policial</w:t>
      </w:r>
      <w:r w:rsidR="00292B8F">
        <w:rPr>
          <w:rFonts w:ascii="Palatino Linotype" w:hAnsi="Palatino Linotype" w:cs="Arial"/>
          <w:bCs/>
          <w:color w:val="000000" w:themeColor="text1"/>
        </w:rPr>
        <w:t>.</w:t>
      </w:r>
    </w:p>
    <w:p w:rsidR="002C598C" w:rsidRPr="00F63E44"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color w:val="000000" w:themeColor="text1"/>
          <w:lang w:val="es-MX"/>
        </w:rPr>
        <w:t>Jefe de la Unidad Central de Emergencias y Análisis de Información</w:t>
      </w:r>
      <w:r w:rsidR="002C598C">
        <w:rPr>
          <w:rFonts w:ascii="Palatino Linotype" w:hAnsi="Palatino Linotype" w:cs="Arial"/>
          <w:bCs/>
          <w:color w:val="000000" w:themeColor="text1"/>
        </w:rPr>
        <w:t>.</w:t>
      </w:r>
    </w:p>
    <w:p w:rsidR="00F63E44"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color w:val="000000" w:themeColor="text1"/>
          <w:lang w:val="es-MX"/>
        </w:rPr>
        <w:t>Jefe de  la Unidad de Apoyo Jurídico</w:t>
      </w:r>
      <w:r w:rsidR="00F63E44" w:rsidRPr="00F63E44">
        <w:rPr>
          <w:rFonts w:ascii="Palatino Linotype" w:hAnsi="Palatino Linotype" w:cs="Arial"/>
        </w:rPr>
        <w:t>.</w:t>
      </w:r>
    </w:p>
    <w:p w:rsidR="00B73F91" w:rsidRPr="00B73F91"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lang w:val="es-MX"/>
        </w:rPr>
        <w:t>Direc</w:t>
      </w:r>
      <w:r w:rsidR="00935DA5">
        <w:rPr>
          <w:rFonts w:ascii="Palatino Linotype" w:hAnsi="Palatino Linotype" w:cs="Arial"/>
          <w:bCs/>
          <w:lang w:val="es-MX"/>
        </w:rPr>
        <w:t>tor</w:t>
      </w:r>
      <w:r w:rsidRPr="00B73F91">
        <w:rPr>
          <w:rFonts w:ascii="Palatino Linotype" w:hAnsi="Palatino Linotype" w:cs="Arial"/>
          <w:bCs/>
          <w:lang w:val="es-MX"/>
        </w:rPr>
        <w:t xml:space="preserve"> de Seguridad Pública</w:t>
      </w:r>
      <w:r>
        <w:rPr>
          <w:rFonts w:ascii="Palatino Linotype" w:hAnsi="Palatino Linotype" w:cs="Arial"/>
          <w:bCs/>
          <w:lang w:val="es-MX"/>
        </w:rPr>
        <w:t>.</w:t>
      </w:r>
    </w:p>
    <w:p w:rsidR="00B73F91" w:rsidRPr="00B73F91"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lang w:val="es-MX"/>
        </w:rPr>
        <w:t>Direc</w:t>
      </w:r>
      <w:r w:rsidR="00935DA5">
        <w:rPr>
          <w:rFonts w:ascii="Palatino Linotype" w:hAnsi="Palatino Linotype" w:cs="Arial"/>
          <w:bCs/>
          <w:lang w:val="es-MX"/>
        </w:rPr>
        <w:t>tor</w:t>
      </w:r>
      <w:r w:rsidRPr="00B73F91">
        <w:rPr>
          <w:rFonts w:ascii="Palatino Linotype" w:hAnsi="Palatino Linotype" w:cs="Arial"/>
          <w:bCs/>
          <w:lang w:val="es-MX"/>
        </w:rPr>
        <w:t xml:space="preserve"> de Tránsito Municipal</w:t>
      </w:r>
      <w:r>
        <w:rPr>
          <w:rFonts w:ascii="Palatino Linotype" w:hAnsi="Palatino Linotype" w:cs="Arial"/>
          <w:bCs/>
          <w:lang w:val="es-MX"/>
        </w:rPr>
        <w:t>.</w:t>
      </w:r>
    </w:p>
    <w:p w:rsidR="00B73F91" w:rsidRPr="00B73F91"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lang w:val="es-MX"/>
        </w:rPr>
        <w:lastRenderedPageBreak/>
        <w:t>Jefe de Departamento de Grupo Modelo</w:t>
      </w:r>
      <w:r>
        <w:rPr>
          <w:rFonts w:ascii="Palatino Linotype" w:hAnsi="Palatino Linotype" w:cs="Arial"/>
          <w:bCs/>
          <w:lang w:val="es-MX"/>
        </w:rPr>
        <w:t>.</w:t>
      </w:r>
    </w:p>
    <w:p w:rsidR="00B73F91" w:rsidRPr="00B73F91"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lang w:val="es-MX"/>
        </w:rPr>
        <w:t>Jefe de Departamento de Agrupamiento Montado y Canino</w:t>
      </w:r>
      <w:r>
        <w:rPr>
          <w:rFonts w:ascii="Palatino Linotype" w:hAnsi="Palatino Linotype" w:cs="Arial"/>
          <w:bCs/>
          <w:lang w:val="es-MX"/>
        </w:rPr>
        <w:t>.</w:t>
      </w:r>
    </w:p>
    <w:p w:rsidR="00B73F91" w:rsidRPr="00B73F91"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lang w:val="es-MX"/>
        </w:rPr>
        <w:t>Jefe de Departamento Técnico Operativo (adscrito a la Dirección de Seguridad Pública)</w:t>
      </w:r>
      <w:r>
        <w:rPr>
          <w:rFonts w:ascii="Palatino Linotype" w:hAnsi="Palatino Linotype" w:cs="Arial"/>
          <w:bCs/>
          <w:lang w:val="es-MX"/>
        </w:rPr>
        <w:t>.</w:t>
      </w:r>
    </w:p>
    <w:p w:rsidR="00B73F91" w:rsidRPr="00B73F91"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lang w:val="es-MX"/>
        </w:rPr>
        <w:t>Jefe de Departamento Técnico Operativo (adscrito a la Dirección de Tránsito Municipal)</w:t>
      </w:r>
      <w:r>
        <w:rPr>
          <w:rFonts w:ascii="Palatino Linotype" w:hAnsi="Palatino Linotype" w:cs="Arial"/>
          <w:bCs/>
          <w:lang w:val="es-MX"/>
        </w:rPr>
        <w:t>.</w:t>
      </w:r>
    </w:p>
    <w:p w:rsidR="00B73F91" w:rsidRPr="00B73F91"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lang w:val="es-MX"/>
        </w:rPr>
        <w:t>Jefe de Departamento de Agrupamiento Tránsito</w:t>
      </w:r>
      <w:r>
        <w:rPr>
          <w:rFonts w:ascii="Palatino Linotype" w:hAnsi="Palatino Linotype" w:cs="Arial"/>
          <w:bCs/>
          <w:lang w:val="es-MX"/>
        </w:rPr>
        <w:t>.</w:t>
      </w:r>
    </w:p>
    <w:p w:rsidR="00B73F91" w:rsidRPr="00B73F91"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lang w:val="es-MX"/>
        </w:rPr>
        <w:t>Jefe de Departamento de Agrupamiento a Pie</w:t>
      </w:r>
      <w:r>
        <w:rPr>
          <w:rFonts w:ascii="Palatino Linotype" w:hAnsi="Palatino Linotype" w:cs="Arial"/>
          <w:bCs/>
          <w:lang w:val="es-MX"/>
        </w:rPr>
        <w:t>.</w:t>
      </w:r>
    </w:p>
    <w:p w:rsidR="00B73F91" w:rsidRPr="00B73F91" w:rsidRDefault="00B73F91" w:rsidP="00B73F91">
      <w:pPr>
        <w:pStyle w:val="Prrafodelista"/>
        <w:numPr>
          <w:ilvl w:val="0"/>
          <w:numId w:val="44"/>
        </w:numPr>
        <w:spacing w:before="120" w:after="120"/>
        <w:ind w:left="714" w:hanging="357"/>
        <w:jc w:val="both"/>
        <w:rPr>
          <w:rFonts w:ascii="Palatino Linotype" w:hAnsi="Palatino Linotype" w:cs="Arial"/>
        </w:rPr>
      </w:pPr>
      <w:r w:rsidRPr="00B73F91">
        <w:rPr>
          <w:rFonts w:ascii="Palatino Linotype" w:hAnsi="Palatino Linotype" w:cs="Arial"/>
          <w:bCs/>
          <w:lang w:val="es-MX"/>
        </w:rPr>
        <w:t>Jefe de Departamento de Vialidad Escolar y Apoyo a Transporte Público</w:t>
      </w:r>
      <w:r>
        <w:rPr>
          <w:rFonts w:ascii="Palatino Linotype" w:hAnsi="Palatino Linotype" w:cs="Arial"/>
          <w:bCs/>
          <w:lang w:val="es-MX"/>
        </w:rPr>
        <w:t>.</w:t>
      </w:r>
    </w:p>
    <w:p w:rsidR="00B73F91" w:rsidRDefault="00B73F91" w:rsidP="00B73F91">
      <w:pPr>
        <w:pStyle w:val="Prrafodelista"/>
        <w:numPr>
          <w:ilvl w:val="0"/>
          <w:numId w:val="44"/>
        </w:numPr>
        <w:spacing w:before="120" w:after="240"/>
        <w:ind w:left="714" w:hanging="357"/>
        <w:jc w:val="both"/>
        <w:rPr>
          <w:rFonts w:ascii="Palatino Linotype" w:hAnsi="Palatino Linotype" w:cs="Arial"/>
        </w:rPr>
      </w:pPr>
      <w:r w:rsidRPr="00B73F91">
        <w:rPr>
          <w:rFonts w:ascii="Palatino Linotype" w:hAnsi="Palatino Linotype" w:cs="Arial"/>
          <w:bCs/>
          <w:lang w:val="es-MX"/>
        </w:rPr>
        <w:t>Jefe de Departamento de Infracciones</w:t>
      </w:r>
      <w:r>
        <w:rPr>
          <w:rFonts w:ascii="Palatino Linotype" w:hAnsi="Palatino Linotype" w:cs="Arial"/>
          <w:bCs/>
          <w:lang w:val="es-MX"/>
        </w:rPr>
        <w:t>.</w:t>
      </w:r>
    </w:p>
    <w:p w:rsidR="00B82EE5" w:rsidRPr="00292B8F" w:rsidRDefault="002C598C" w:rsidP="00B73F91">
      <w:pPr>
        <w:autoSpaceDE w:val="0"/>
        <w:autoSpaceDN w:val="0"/>
        <w:adjustRightInd w:val="0"/>
        <w:spacing w:before="240" w:after="240" w:line="300" w:lineRule="auto"/>
        <w:ind w:left="425"/>
        <w:jc w:val="both"/>
        <w:rPr>
          <w:rFonts w:ascii="Palatino Linotype" w:hAnsi="Palatino Linotype"/>
          <w:color w:val="000000"/>
          <w:sz w:val="24"/>
          <w:szCs w:val="24"/>
        </w:rPr>
      </w:pPr>
      <w:r>
        <w:rPr>
          <w:rFonts w:ascii="Palatino Linotype" w:hAnsi="Palatino Linotype"/>
          <w:color w:val="000000"/>
          <w:sz w:val="24"/>
          <w:szCs w:val="24"/>
        </w:rPr>
        <w:t>D</w:t>
      </w:r>
      <w:r w:rsidR="00292B8F" w:rsidRPr="00292B8F">
        <w:rPr>
          <w:rFonts w:ascii="Palatino Linotype" w:hAnsi="Palatino Linotype"/>
          <w:color w:val="000000"/>
          <w:sz w:val="24"/>
          <w:szCs w:val="24"/>
        </w:rPr>
        <w:t>eb</w:t>
      </w:r>
      <w:r>
        <w:rPr>
          <w:rFonts w:ascii="Palatino Linotype" w:hAnsi="Palatino Linotype"/>
          <w:color w:val="000000"/>
          <w:sz w:val="24"/>
          <w:szCs w:val="24"/>
        </w:rPr>
        <w:t xml:space="preserve">iendo </w:t>
      </w:r>
      <w:r w:rsidR="00292B8F" w:rsidRPr="00292B8F">
        <w:rPr>
          <w:rFonts w:ascii="Palatino Linotype" w:hAnsi="Palatino Linotype"/>
          <w:color w:val="000000"/>
          <w:sz w:val="24"/>
          <w:szCs w:val="24"/>
        </w:rPr>
        <w:t xml:space="preserve">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00292B8F" w:rsidRPr="00292B8F">
        <w:rPr>
          <w:rFonts w:ascii="Palatino Linotype" w:hAnsi="Palatino Linotype"/>
          <w:b/>
          <w:color w:val="000000"/>
          <w:sz w:val="24"/>
          <w:szCs w:val="24"/>
        </w:rPr>
        <w:t>Recurrente</w:t>
      </w:r>
      <w:r w:rsidR="00292B8F" w:rsidRPr="00292B8F">
        <w:rPr>
          <w:rFonts w:ascii="Palatino Linotype" w:hAnsi="Palatino Linotype"/>
          <w:color w:val="000000"/>
          <w:sz w:val="24"/>
          <w:szCs w:val="24"/>
        </w:rPr>
        <w:t>.</w:t>
      </w:r>
    </w:p>
    <w:p w:rsidR="006B3AB3" w:rsidRPr="0012305B" w:rsidRDefault="006B3AB3" w:rsidP="006B3AB3">
      <w:pPr>
        <w:spacing w:before="240" w:line="360" w:lineRule="auto"/>
        <w:jc w:val="both"/>
        <w:rPr>
          <w:rFonts w:ascii="Palatino Linotype" w:hAnsi="Palatino Linotype" w:cs="Arial"/>
          <w:sz w:val="24"/>
          <w:szCs w:val="24"/>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hd w:val="clear" w:color="auto" w:fill="FFFFFF"/>
        </w:rPr>
        <w:t xml:space="preserve"> </w:t>
      </w:r>
      <w:r w:rsidRPr="0012305B">
        <w:rPr>
          <w:rFonts w:ascii="Palatino Linotype" w:hAnsi="Palatino Linotype"/>
          <w:b/>
          <w:sz w:val="24"/>
          <w:szCs w:val="24"/>
          <w:shd w:val="clear" w:color="auto" w:fill="FFFFFF"/>
        </w:rPr>
        <w:t>Sujeto Obligado</w:t>
      </w:r>
      <w:r w:rsidRPr="00894EE5">
        <w:rPr>
          <w:rFonts w:ascii="Palatino Linotype" w:hAnsi="Palatino Linotype"/>
          <w:sz w:val="24"/>
          <w:szCs w:val="24"/>
          <w:shd w:val="clear" w:color="auto" w:fill="FFFFFF"/>
        </w:rPr>
        <w:t>,</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rsidR="006B3AB3" w:rsidRDefault="006B3AB3" w:rsidP="006B3AB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 xml:space="preserve">la presente resolución al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rsidR="006B3AB3" w:rsidRDefault="006B3AB3" w:rsidP="00B82EE5">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QUINTO. </w:t>
      </w:r>
      <w:r>
        <w:rPr>
          <w:rFonts w:ascii="Palatino Linotype" w:hAnsi="Palatino Linotype" w:cs="Arial"/>
          <w:sz w:val="24"/>
          <w:szCs w:val="24"/>
        </w:rPr>
        <w:t xml:space="preserve">Se hace del conocimiento </w:t>
      </w:r>
      <w:r w:rsidRPr="00417CCD">
        <w:rPr>
          <w:rFonts w:ascii="Palatino Linotype" w:hAnsi="Palatino Linotype" w:cs="Arial"/>
          <w:sz w:val="24"/>
          <w:szCs w:val="24"/>
        </w:rPr>
        <w:t>del</w:t>
      </w:r>
      <w:r w:rsidR="00913DA3">
        <w:rPr>
          <w:rFonts w:ascii="Palatino Linotype" w:hAnsi="Palatino Linotype" w:cs="Arial"/>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01A1A" w:rsidRDefault="00076C8D" w:rsidP="002C5DF9">
      <w:pPr>
        <w:spacing w:after="0" w:line="360" w:lineRule="auto"/>
        <w:jc w:val="both"/>
        <w:rPr>
          <w:rFonts w:ascii="Palatino Linotype" w:hAnsi="Palatino Linotype" w:cs="Arial"/>
          <w:sz w:val="24"/>
          <w:szCs w:val="24"/>
        </w:rPr>
      </w:pPr>
      <w:r w:rsidRPr="006101E4">
        <w:rPr>
          <w:rFonts w:ascii="Palatino Linotype" w:hAnsi="Palatino Linotype" w:cs="Arial"/>
          <w:sz w:val="24"/>
          <w:szCs w:val="24"/>
        </w:rPr>
        <w:t xml:space="preserve">ASÍ LO RESUELVE, </w:t>
      </w:r>
      <w:r w:rsidRPr="009B5A7F">
        <w:rPr>
          <w:rFonts w:ascii="Palatino Linotype" w:hAnsi="Palatino Linotype" w:cs="Arial"/>
          <w:sz w:val="24"/>
          <w:szCs w:val="24"/>
        </w:rPr>
        <w:t>POR UNANIMIDAD</w:t>
      </w:r>
      <w:r w:rsidRPr="00CD6EA1">
        <w:rPr>
          <w:rFonts w:ascii="Palatino Linotype" w:hAnsi="Palatino Linotype" w:cs="Arial"/>
          <w:sz w:val="24"/>
          <w:szCs w:val="24"/>
        </w:rPr>
        <w:t xml:space="preserve"> DE</w:t>
      </w:r>
      <w:r w:rsidRPr="00B076B5">
        <w:rPr>
          <w:rFonts w:ascii="Palatino Linotype" w:hAnsi="Palatino Linotype" w:cs="Arial"/>
          <w:sz w:val="24"/>
          <w:szCs w:val="24"/>
        </w:rPr>
        <w:t xml:space="preserve"> VOTOS, EL</w:t>
      </w:r>
      <w:r w:rsidRPr="004D2BA2">
        <w:rPr>
          <w:rFonts w:ascii="Palatino Linotype" w:hAnsi="Palatino Linotype" w:cs="Arial"/>
          <w:sz w:val="24"/>
          <w:szCs w:val="24"/>
        </w:rPr>
        <w:t xml:space="preserve"> PLENO DEL</w:t>
      </w:r>
      <w:r w:rsidRPr="004D2BA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D2BA2">
        <w:rPr>
          <w:rFonts w:ascii="Palatino Linotype" w:hAnsi="Palatino Linotype" w:cs="Arial"/>
          <w:sz w:val="24"/>
          <w:szCs w:val="24"/>
        </w:rPr>
        <w:t xml:space="preserve">, CONFORMADO POR LOS COMISIONADOS </w:t>
      </w:r>
      <w:r w:rsidR="008C15D6" w:rsidRPr="004D2BA2">
        <w:rPr>
          <w:rFonts w:ascii="Palatino Linotype" w:hAnsi="Palatino Linotype" w:cs="Arial"/>
          <w:sz w:val="24"/>
          <w:szCs w:val="24"/>
        </w:rPr>
        <w:t>ZULEMA MARTÍNEZ SÁNCHEZ</w:t>
      </w:r>
      <w:r w:rsidRPr="004D2BA2">
        <w:rPr>
          <w:rFonts w:ascii="Palatino Linotype" w:hAnsi="Palatino Linotype" w:cs="Arial"/>
          <w:sz w:val="24"/>
          <w:szCs w:val="24"/>
        </w:rPr>
        <w:t>, EVA ABAID YAPUR, JOSÉ GUADALUPE LUNA HERNÁNDEZ</w:t>
      </w:r>
      <w:r w:rsidR="00426A12">
        <w:rPr>
          <w:rFonts w:ascii="Palatino Linotype" w:hAnsi="Palatino Linotype" w:cs="Arial"/>
          <w:sz w:val="24"/>
          <w:szCs w:val="24"/>
        </w:rPr>
        <w:t xml:space="preserve">, </w:t>
      </w:r>
      <w:r w:rsidRPr="004D2BA2">
        <w:rPr>
          <w:rFonts w:ascii="Palatino Linotype" w:hAnsi="Palatino Linotype" w:cs="Arial"/>
          <w:sz w:val="24"/>
          <w:szCs w:val="24"/>
        </w:rPr>
        <w:t>JAVIER MARTÍNEZ CRU</w:t>
      </w:r>
      <w:r w:rsidRPr="00A251C7">
        <w:rPr>
          <w:rFonts w:ascii="Palatino Linotype" w:hAnsi="Palatino Linotype" w:cs="Arial"/>
          <w:sz w:val="24"/>
          <w:szCs w:val="24"/>
        </w:rPr>
        <w:t>Z</w:t>
      </w:r>
      <w:r w:rsidR="00426A12">
        <w:rPr>
          <w:rFonts w:ascii="Palatino Linotype" w:hAnsi="Palatino Linotype" w:cs="Arial"/>
          <w:sz w:val="24"/>
          <w:szCs w:val="24"/>
        </w:rPr>
        <w:t xml:space="preserve"> Y LUIS GUSTAVO PARRA NORIEGA</w:t>
      </w:r>
      <w:r w:rsidRPr="00A251C7">
        <w:rPr>
          <w:rFonts w:ascii="Palatino Linotype" w:hAnsi="Palatino Linotype" w:cs="Arial"/>
          <w:sz w:val="24"/>
          <w:szCs w:val="24"/>
        </w:rPr>
        <w:t xml:space="preserve">, EN LA </w:t>
      </w:r>
      <w:r w:rsidR="002C5DF9">
        <w:rPr>
          <w:rFonts w:ascii="Palatino Linotype" w:eastAsia="Arial Unicode MS" w:hAnsi="Palatino Linotype" w:cs="Arial"/>
          <w:sz w:val="24"/>
          <w:szCs w:val="24"/>
        </w:rPr>
        <w:t>CUADRAGÉSIMA SEGUNDA</w:t>
      </w:r>
      <w:r w:rsidR="00426A12">
        <w:rPr>
          <w:rFonts w:ascii="Palatino Linotype" w:hAnsi="Palatino Linotype" w:cs="Arial"/>
          <w:sz w:val="24"/>
          <w:szCs w:val="24"/>
        </w:rPr>
        <w:t xml:space="preserve"> </w:t>
      </w:r>
      <w:r w:rsidRPr="00A251C7">
        <w:rPr>
          <w:rFonts w:ascii="Palatino Linotype" w:hAnsi="Palatino Linotype" w:cs="Arial"/>
          <w:sz w:val="24"/>
          <w:szCs w:val="24"/>
        </w:rPr>
        <w:t>SESIÓN ORDINARIA CELEBRADA EL</w:t>
      </w:r>
      <w:r w:rsidR="00854E5D">
        <w:rPr>
          <w:rFonts w:ascii="Palatino Linotype" w:hAnsi="Palatino Linotype" w:cs="Arial"/>
          <w:sz w:val="24"/>
          <w:szCs w:val="24"/>
        </w:rPr>
        <w:t xml:space="preserve"> </w:t>
      </w:r>
      <w:r w:rsidR="002C5DF9">
        <w:rPr>
          <w:rFonts w:ascii="Palatino Linotype" w:hAnsi="Palatino Linotype" w:cs="Arial"/>
          <w:sz w:val="24"/>
          <w:szCs w:val="24"/>
        </w:rPr>
        <w:t xml:space="preserve">CATORCE DE NOVIEMBRE </w:t>
      </w:r>
      <w:r w:rsidR="006B3AB3">
        <w:rPr>
          <w:rFonts w:ascii="Palatino Linotype" w:hAnsi="Palatino Linotype" w:cs="Arial"/>
          <w:sz w:val="24"/>
          <w:szCs w:val="24"/>
        </w:rPr>
        <w:t xml:space="preserve">DE </w:t>
      </w:r>
      <w:r w:rsidRPr="00A251C7">
        <w:rPr>
          <w:rFonts w:ascii="Palatino Linotype" w:hAnsi="Palatino Linotype" w:cs="Arial"/>
          <w:sz w:val="24"/>
          <w:szCs w:val="24"/>
        </w:rPr>
        <w:t>DOS MIL DIECI</w:t>
      </w:r>
      <w:r w:rsidR="00B22296" w:rsidRPr="00A251C7">
        <w:rPr>
          <w:rFonts w:ascii="Palatino Linotype" w:hAnsi="Palatino Linotype" w:cs="Arial"/>
          <w:sz w:val="24"/>
          <w:szCs w:val="24"/>
        </w:rPr>
        <w:t>OCHO</w:t>
      </w:r>
      <w:r w:rsidRPr="00A251C7">
        <w:rPr>
          <w:rFonts w:ascii="Palatino Linotype" w:hAnsi="Palatino Linotype" w:cs="Arial"/>
          <w:sz w:val="24"/>
          <w:szCs w:val="24"/>
        </w:rPr>
        <w:t xml:space="preserve">, ANTE </w:t>
      </w:r>
      <w:r w:rsidR="00755FC4" w:rsidRPr="00A251C7">
        <w:rPr>
          <w:rFonts w:ascii="Palatino Linotype" w:hAnsi="Palatino Linotype" w:cs="Arial"/>
          <w:sz w:val="24"/>
          <w:szCs w:val="24"/>
        </w:rPr>
        <w:t>E</w:t>
      </w:r>
      <w:r w:rsidRPr="00A251C7">
        <w:rPr>
          <w:rFonts w:ascii="Palatino Linotype" w:hAnsi="Palatino Linotype" w:cs="Arial"/>
          <w:sz w:val="24"/>
          <w:szCs w:val="24"/>
        </w:rPr>
        <w:t>L SECRETARI</w:t>
      </w:r>
      <w:r w:rsidR="00755FC4" w:rsidRPr="00A251C7">
        <w:rPr>
          <w:rFonts w:ascii="Palatino Linotype" w:hAnsi="Palatino Linotype" w:cs="Arial"/>
          <w:sz w:val="24"/>
          <w:szCs w:val="24"/>
        </w:rPr>
        <w:t>O</w:t>
      </w:r>
      <w:r w:rsidRPr="00A251C7">
        <w:rPr>
          <w:rFonts w:ascii="Palatino Linotype" w:hAnsi="Palatino Linotype" w:cs="Arial"/>
          <w:sz w:val="24"/>
          <w:szCs w:val="24"/>
        </w:rPr>
        <w:t xml:space="preserve"> TÉCNIC</w:t>
      </w:r>
      <w:r w:rsidR="00755FC4" w:rsidRPr="00A251C7">
        <w:rPr>
          <w:rFonts w:ascii="Palatino Linotype" w:hAnsi="Palatino Linotype" w:cs="Arial"/>
          <w:sz w:val="24"/>
          <w:szCs w:val="24"/>
        </w:rPr>
        <w:t>O</w:t>
      </w:r>
      <w:r w:rsidRPr="008C15D6">
        <w:rPr>
          <w:rFonts w:ascii="Palatino Linotype" w:hAnsi="Palatino Linotype" w:cs="Arial"/>
          <w:sz w:val="24"/>
          <w:szCs w:val="24"/>
        </w:rPr>
        <w:t xml:space="preserve"> DEL PLENO, </w:t>
      </w:r>
      <w:r w:rsidR="00755FC4">
        <w:rPr>
          <w:rFonts w:ascii="Palatino Linotype" w:hAnsi="Palatino Linotype" w:cs="Arial"/>
          <w:sz w:val="24"/>
          <w:szCs w:val="24"/>
        </w:rPr>
        <w:t>ALEXIS TAPIA RAMÍREZ</w:t>
      </w:r>
      <w:r w:rsidRPr="008C15D6">
        <w:rPr>
          <w:rFonts w:ascii="Palatino Linotype" w:hAnsi="Palatino Linotype" w:cs="Arial"/>
          <w:sz w:val="24"/>
          <w:szCs w:val="24"/>
        </w:rPr>
        <w:t>.</w:t>
      </w:r>
      <w:r w:rsidR="003F5B5A">
        <w:rPr>
          <w:rFonts w:ascii="Palatino Linotype" w:hAnsi="Palatino Linotype" w:cs="Arial"/>
          <w:sz w:val="24"/>
          <w:szCs w:val="24"/>
        </w:rPr>
        <w:t xml:space="preserve"> </w:t>
      </w:r>
      <w:r w:rsidR="004D2BA2">
        <w:rPr>
          <w:rFonts w:ascii="Palatino Linotype" w:hAnsi="Palatino Linotype" w:cs="Arial"/>
          <w:sz w:val="24"/>
          <w:szCs w:val="24"/>
        </w:rPr>
        <w:t>-------------</w:t>
      </w:r>
      <w:r w:rsidR="002C5DF9">
        <w:rPr>
          <w:rFonts w:ascii="Palatino Linotype" w:hAnsi="Palatino Linotype" w:cs="Arial"/>
          <w:sz w:val="24"/>
          <w:szCs w:val="24"/>
        </w:rPr>
        <w:t>------------------------------------------------------------------------------------------------------------------------------------------------------------------------------------------------------------------------------------------------------------------------------------------------------------------------------------------------------------------------------------------------------------------------------------------------------------------------------------------------------------------------------------------------------------------------------------------------------------------------------------------------------------------------------------------------------------------------------------------------------------------------------------------------------------------------------------------------------------------------------------------------------------------------------------------------------------------------------------------------------------------------------------------------------------------------------------------------------------------------------------------------------</w:t>
      </w:r>
      <w:r w:rsidR="004D2BA2">
        <w:rPr>
          <w:rFonts w:ascii="Palatino Linotype" w:hAnsi="Palatino Linotype" w:cs="Arial"/>
          <w:sz w:val="24"/>
          <w:szCs w:val="24"/>
        </w:rPr>
        <w:t>-------------------------------------------</w:t>
      </w:r>
    </w:p>
    <w:p w:rsidR="006535BA" w:rsidRDefault="006535BA" w:rsidP="00504023">
      <w:pPr>
        <w:spacing w:after="0" w:line="360" w:lineRule="auto"/>
        <w:jc w:val="both"/>
        <w:rPr>
          <w:rFonts w:ascii="Palatino Linotype" w:hAnsi="Palatino Linotype"/>
          <w:sz w:val="24"/>
          <w:szCs w:val="24"/>
        </w:rPr>
      </w:pPr>
    </w:p>
    <w:p w:rsidR="006535BA" w:rsidRDefault="006535BA"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Comisionada Presidenta</w:t>
                            </w:r>
                          </w:p>
                          <w:p w:rsidR="00B979BE" w:rsidRPr="00A43099" w:rsidRDefault="00B979BE"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B979BE" w:rsidRPr="00A43099" w:rsidRDefault="00B979BE"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Comisionada Presidenta</w:t>
                      </w:r>
                    </w:p>
                    <w:p w:rsidR="00B979BE" w:rsidRPr="00A43099" w:rsidRDefault="00B979BE" w:rsidP="00076C8D">
                      <w:pPr>
                        <w:spacing w:after="0" w:line="240" w:lineRule="auto"/>
                        <w:jc w:val="center"/>
                        <w:rPr>
                          <w:rFonts w:ascii="Palatino Linotype" w:hAnsi="Palatino Linotype"/>
                        </w:rPr>
                      </w:pPr>
                      <w:r>
                        <w:rPr>
                          <w:rFonts w:ascii="Palatino Linotype" w:hAnsi="Palatino Linotype"/>
                        </w:rPr>
                        <w:t>(Rúbrica)</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E229C2" w:rsidRDefault="004D2BA2" w:rsidP="004D2BA2">
      <w:pPr>
        <w:tabs>
          <w:tab w:val="left" w:pos="1770"/>
        </w:tabs>
        <w:spacing w:after="0" w:line="360" w:lineRule="auto"/>
        <w:rPr>
          <w:rFonts w:ascii="Palatino Linotype" w:hAnsi="Palatino Linotype"/>
          <w:b/>
          <w:sz w:val="24"/>
          <w:szCs w:val="24"/>
        </w:rPr>
      </w:pPr>
      <w:r>
        <w:rPr>
          <w:rFonts w:ascii="Palatino Linotype" w:hAnsi="Palatino Linotype"/>
          <w:b/>
          <w:sz w:val="24"/>
          <w:szCs w:val="24"/>
        </w:rPr>
        <w:tab/>
      </w:r>
    </w:p>
    <w:p w:rsidR="004D2BA2" w:rsidRPr="007E1813" w:rsidRDefault="004D2BA2" w:rsidP="004D2BA2">
      <w:pPr>
        <w:tabs>
          <w:tab w:val="left" w:pos="1770"/>
        </w:tabs>
        <w:spacing w:after="0" w:line="360" w:lineRule="auto"/>
        <w:rPr>
          <w:rFonts w:ascii="Palatino Linotype" w:hAnsi="Palatino Linotype"/>
          <w:b/>
          <w:sz w:val="24"/>
          <w:szCs w:val="24"/>
        </w:rPr>
      </w:pPr>
    </w:p>
    <w:p w:rsidR="00076C8D" w:rsidRPr="007E1813" w:rsidRDefault="00DF7157"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49DD3AAE" wp14:editId="4720FA7B">
                <wp:simplePos x="0" y="0"/>
                <wp:positionH relativeFrom="margin">
                  <wp:posOffset>3409646</wp:posOffset>
                </wp:positionH>
                <wp:positionV relativeFrom="paragraph">
                  <wp:posOffset>156458</wp:posOffset>
                </wp:positionV>
                <wp:extent cx="2320539" cy="895350"/>
                <wp:effectExtent l="0" t="0" r="22860" b="19050"/>
                <wp:wrapNone/>
                <wp:docPr id="18" name="Cuadro de texto 18"/>
                <wp:cNvGraphicFramePr/>
                <a:graphic xmlns:a="http://schemas.openxmlformats.org/drawingml/2006/main">
                  <a:graphicData uri="http://schemas.microsoft.com/office/word/2010/wordprocessingShape">
                    <wps:wsp>
                      <wps:cNvSpPr txBox="1"/>
                      <wps:spPr>
                        <a:xfrm>
                          <a:off x="0" y="0"/>
                          <a:ext cx="2320539"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3AAE" id="Cuadro de texto 18" o:spid="_x0000_s1027" type="#_x0000_t202" style="position:absolute;margin-left:268.5pt;margin-top:12.3pt;width:182.7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" fillcolor="white [3201]" strokecolor="white [3212]" strokeweight=".5pt">
                <v:textbox>
                  <w:txbxContent>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v:textbox>
                <w10:wrap anchorx="margin"/>
              </v:shape>
            </w:pict>
          </mc:Fallback>
        </mc:AlternateContent>
      </w: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1875CE2" wp14:editId="6103090A">
                <wp:simplePos x="0" y="0"/>
                <wp:positionH relativeFrom="margin">
                  <wp:align>left</wp:align>
                </wp:positionH>
                <wp:positionV relativeFrom="paragraph">
                  <wp:posOffset>164410</wp:posOffset>
                </wp:positionV>
                <wp:extent cx="2623930" cy="971550"/>
                <wp:effectExtent l="0" t="0" r="24130" b="19050"/>
                <wp:wrapNone/>
                <wp:docPr id="19" name="Cuadro de texto 19"/>
                <wp:cNvGraphicFramePr/>
                <a:graphic xmlns:a="http://schemas.openxmlformats.org/drawingml/2006/main">
                  <a:graphicData uri="http://schemas.microsoft.com/office/word/2010/wordprocessingShape">
                    <wps:wsp>
                      <wps:cNvSpPr txBox="1"/>
                      <wps:spPr>
                        <a:xfrm>
                          <a:off x="0" y="0"/>
                          <a:ext cx="26239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076C8D">
                            <w:pPr>
                              <w:spacing w:after="0" w:line="240" w:lineRule="auto"/>
                              <w:jc w:val="center"/>
                              <w:rPr>
                                <w:rFonts w:ascii="Palatino Linotype" w:hAnsi="Palatino Linotype"/>
                                <w:b/>
                              </w:rPr>
                            </w:pPr>
                            <w:r w:rsidRPr="00A43099">
                              <w:rPr>
                                <w:rFonts w:ascii="Palatino Linotype" w:hAnsi="Palatino Linotype"/>
                                <w:b/>
                              </w:rPr>
                              <w:t>Eva Abaid Yapur</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Comisionada</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5CE2" id="Cuadro de texto 19" o:spid="_x0000_s1028" type="#_x0000_t202" style="position:absolute;margin-left:0;margin-top:12.95pt;width:206.6pt;height:7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" fillcolor="white [3201]" strokecolor="white [3212]" strokeweight=".5pt">
                <v:textbox>
                  <w:txbxContent>
                    <w:p w:rsidR="00B979BE" w:rsidRPr="00A43099" w:rsidRDefault="00B979BE"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Comisionada</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2C5DF9" w:rsidRDefault="002C5DF9" w:rsidP="00504023">
      <w:pPr>
        <w:spacing w:after="0" w:line="360" w:lineRule="auto"/>
        <w:rPr>
          <w:rFonts w:ascii="Palatino Linotype" w:hAnsi="Palatino Linotype"/>
          <w:b/>
          <w:sz w:val="24"/>
          <w:szCs w:val="24"/>
        </w:rPr>
      </w:pPr>
    </w:p>
    <w:p w:rsidR="006535BA" w:rsidRPr="007E1813" w:rsidRDefault="006535BA" w:rsidP="00504023">
      <w:pPr>
        <w:spacing w:after="0" w:line="360" w:lineRule="auto"/>
        <w:rPr>
          <w:rFonts w:ascii="Palatino Linotype" w:hAnsi="Palatino Linotype"/>
          <w:b/>
          <w:sz w:val="24"/>
          <w:szCs w:val="24"/>
        </w:rPr>
      </w:pPr>
    </w:p>
    <w:p w:rsidR="00076C8D" w:rsidRPr="007E1813" w:rsidRDefault="00081D89"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align>left</wp:align>
                </wp:positionH>
                <wp:positionV relativeFrom="paragraph">
                  <wp:posOffset>154856</wp:posOffset>
                </wp:positionV>
                <wp:extent cx="2569413" cy="914400"/>
                <wp:effectExtent l="0" t="0" r="21590" b="19050"/>
                <wp:wrapNone/>
                <wp:docPr id="25" name="Cuadro de texto 25"/>
                <wp:cNvGraphicFramePr/>
                <a:graphic xmlns:a="http://schemas.openxmlformats.org/drawingml/2006/main">
                  <a:graphicData uri="http://schemas.microsoft.com/office/word/2010/wordprocessingShape">
                    <wps:wsp>
                      <wps:cNvSpPr txBox="1"/>
                      <wps:spPr>
                        <a:xfrm>
                          <a:off x="0" y="0"/>
                          <a:ext cx="2569413"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b/>
                              </w:rPr>
                              <w:t>Javier Martínez Cruz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29" type="#_x0000_t202" style="position:absolute;margin-left:0;margin-top:12.2pt;width:202.3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" fillcolor="white [3201]" strokecolor="white [3212]" strokeweight=".5pt">
                <v:textbox>
                  <w:txbxContent>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b/>
                        </w:rPr>
                        <w:t>Javier Martínez Cruz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v:textbox>
                <w10:wrap anchorx="margin"/>
              </v:shape>
            </w:pict>
          </mc:Fallback>
        </mc:AlternateContent>
      </w:r>
      <w:r w:rsidR="00A47E10" w:rsidRPr="007E1813">
        <w:rPr>
          <w:rFonts w:ascii="Palatino Linotype" w:hAnsi="Palatino Linotype"/>
          <w:noProof/>
          <w:sz w:val="24"/>
          <w:szCs w:val="24"/>
          <w:lang w:eastAsia="es-MX"/>
        </w:rPr>
        <mc:AlternateContent>
          <mc:Choice Requires="wps">
            <w:drawing>
              <wp:anchor distT="0" distB="0" distL="114300" distR="114300" simplePos="0" relativeHeight="251763712" behindDoc="0" locked="0" layoutInCell="1" allowOverlap="1" wp14:anchorId="14D4201F" wp14:editId="28E0F8F7">
                <wp:simplePos x="0" y="0"/>
                <wp:positionH relativeFrom="margin">
                  <wp:align>right</wp:align>
                </wp:positionH>
                <wp:positionV relativeFrom="paragraph">
                  <wp:posOffset>190500</wp:posOffset>
                </wp:positionV>
                <wp:extent cx="2133600" cy="6858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21336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A47E10">
                            <w:pPr>
                              <w:spacing w:after="0" w:line="240" w:lineRule="auto"/>
                              <w:jc w:val="center"/>
                              <w:rPr>
                                <w:rFonts w:ascii="Palatino Linotype" w:hAnsi="Palatino Linotype"/>
                              </w:rPr>
                            </w:pPr>
                            <w:r>
                              <w:rPr>
                                <w:rFonts w:ascii="Palatino Linotype" w:hAnsi="Palatino Linotype"/>
                                <w:b/>
                              </w:rPr>
                              <w:t>Luis Gustavo Parra Noriega</w:t>
                            </w:r>
                          </w:p>
                          <w:p w:rsidR="00B979BE" w:rsidRDefault="00B979BE" w:rsidP="00A47E10">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A47E10">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A47E10">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201F" id="Cuadro de texto 6" o:spid="_x0000_s1030" type="#_x0000_t202" style="position:absolute;margin-left:116.8pt;margin-top:15pt;width:168pt;height:54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" fillcolor="white [3201]" strokecolor="white [3212]" strokeweight=".5pt">
                <v:textbox>
                  <w:txbxContent>
                    <w:p w:rsidR="00B979BE" w:rsidRPr="00A43099" w:rsidRDefault="00B979BE" w:rsidP="00A47E10">
                      <w:pPr>
                        <w:spacing w:after="0" w:line="240" w:lineRule="auto"/>
                        <w:jc w:val="center"/>
                        <w:rPr>
                          <w:rFonts w:ascii="Palatino Linotype" w:hAnsi="Palatino Linotype"/>
                        </w:rPr>
                      </w:pPr>
                      <w:r>
                        <w:rPr>
                          <w:rFonts w:ascii="Palatino Linotype" w:hAnsi="Palatino Linotype"/>
                          <w:b/>
                        </w:rPr>
                        <w:t>Luis Gustavo Parra Noriega</w:t>
                      </w:r>
                    </w:p>
                    <w:p w:rsidR="00B979BE" w:rsidRDefault="00B979BE" w:rsidP="00A47E10">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A47E10">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A47E10">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Pr="007E1813" w:rsidRDefault="00E229C2"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2545307</wp:posOffset>
                </wp:positionH>
                <wp:positionV relativeFrom="paragraph">
                  <wp:posOffset>69869</wp:posOffset>
                </wp:positionV>
                <wp:extent cx="2906285" cy="730155"/>
                <wp:effectExtent l="0" t="0" r="27940" b="13335"/>
                <wp:wrapNone/>
                <wp:docPr id="27" name="Cuadro de texto 27"/>
                <wp:cNvGraphicFramePr/>
                <a:graphic xmlns:a="http://schemas.openxmlformats.org/drawingml/2006/main">
                  <a:graphicData uri="http://schemas.microsoft.com/office/word/2010/wordprocessingShape">
                    <wps:wsp>
                      <wps:cNvSpPr txBox="1"/>
                      <wps:spPr>
                        <a:xfrm>
                          <a:off x="0" y="0"/>
                          <a:ext cx="2906285" cy="730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1" type="#_x0000_t202" style="position:absolute;margin-left:200.4pt;margin-top:5.5pt;width:228.85pt;height:5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" fillcolor="white [3201]" strokecolor="white [3212]" strokeweight=".5pt">
                <v:textbox>
                  <w:txbxContent>
                    <w:p w:rsidR="00B979BE" w:rsidRPr="00A43099" w:rsidRDefault="00B979BE"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rPr>
                        <w:t xml:space="preserve"> </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4D2BA2" w:rsidRDefault="004D2BA2" w:rsidP="00504023">
      <w:pPr>
        <w:spacing w:after="0" w:line="360" w:lineRule="auto"/>
        <w:jc w:val="both"/>
        <w:rPr>
          <w:rFonts w:ascii="Palatino Linotype" w:hAnsi="Palatino Linotype" w:cs="Arial"/>
          <w:szCs w:val="24"/>
        </w:rPr>
      </w:pPr>
    </w:p>
    <w:p w:rsidR="00076C8D" w:rsidRPr="00F9119C" w:rsidRDefault="00076C8D" w:rsidP="002C5DF9">
      <w:pPr>
        <w:spacing w:after="0" w:line="240" w:lineRule="auto"/>
        <w:jc w:val="both"/>
        <w:rPr>
          <w:rFonts w:ascii="Palatino Linotype" w:hAnsi="Palatino Linotype" w:cs="Arial"/>
          <w:szCs w:val="24"/>
        </w:rPr>
      </w:pPr>
      <w:r w:rsidRPr="00F9119C">
        <w:rPr>
          <w:rFonts w:ascii="Palatino Linotype" w:hAnsi="Palatino Linotype" w:cs="Arial"/>
          <w:szCs w:val="24"/>
        </w:rPr>
        <w:t xml:space="preserve">Esta hoja corresponde a la resolución </w:t>
      </w:r>
      <w:r w:rsidRPr="004D2BA2">
        <w:rPr>
          <w:rFonts w:ascii="Palatino Linotype" w:hAnsi="Palatino Linotype" w:cs="Arial"/>
          <w:szCs w:val="24"/>
        </w:rPr>
        <w:t>de fecha</w:t>
      </w:r>
      <w:r w:rsidR="00A47E10">
        <w:rPr>
          <w:rFonts w:ascii="Palatino Linotype" w:hAnsi="Palatino Linotype" w:cs="Arial"/>
          <w:szCs w:val="24"/>
        </w:rPr>
        <w:t xml:space="preserve"> </w:t>
      </w:r>
      <w:r w:rsidR="002C5DF9">
        <w:rPr>
          <w:rFonts w:ascii="Palatino Linotype" w:hAnsi="Palatino Linotype" w:cs="Arial"/>
          <w:szCs w:val="24"/>
        </w:rPr>
        <w:t xml:space="preserve">catorce de noviembre </w:t>
      </w:r>
      <w:r w:rsidR="00A251C7">
        <w:rPr>
          <w:rFonts w:ascii="Palatino Linotype" w:hAnsi="Palatino Linotype" w:cs="Arial"/>
          <w:szCs w:val="24"/>
        </w:rPr>
        <w:t>de</w:t>
      </w:r>
      <w:r w:rsidRPr="00A251C7">
        <w:rPr>
          <w:rFonts w:ascii="Palatino Linotype" w:hAnsi="Palatino Linotype" w:cs="Arial"/>
          <w:szCs w:val="24"/>
        </w:rPr>
        <w:t xml:space="preserve"> dos mil dieci</w:t>
      </w:r>
      <w:r w:rsidR="00B22296" w:rsidRPr="00A251C7">
        <w:rPr>
          <w:rFonts w:ascii="Palatino Linotype" w:hAnsi="Palatino Linotype" w:cs="Arial"/>
          <w:szCs w:val="24"/>
        </w:rPr>
        <w:t>ocho</w:t>
      </w:r>
      <w:r w:rsidRPr="00A251C7">
        <w:rPr>
          <w:rFonts w:ascii="Palatino Linotype" w:hAnsi="Palatino Linotype" w:cs="Arial"/>
          <w:szCs w:val="24"/>
        </w:rPr>
        <w:t>, emitida en</w:t>
      </w:r>
      <w:r w:rsidRPr="00F9119C">
        <w:rPr>
          <w:rFonts w:ascii="Palatino Linotype" w:hAnsi="Palatino Linotype" w:cs="Arial"/>
          <w:szCs w:val="24"/>
        </w:rPr>
        <w:t xml:space="preserve"> el recurso de revisión </w:t>
      </w:r>
      <w:r>
        <w:rPr>
          <w:rFonts w:ascii="Palatino Linotype" w:hAnsi="Palatino Linotype" w:cs="Arial"/>
          <w:b/>
          <w:szCs w:val="24"/>
        </w:rPr>
        <w:t>0</w:t>
      </w:r>
      <w:r w:rsidR="00D0152C">
        <w:rPr>
          <w:rFonts w:ascii="Palatino Linotype" w:hAnsi="Palatino Linotype" w:cs="Arial"/>
          <w:b/>
          <w:szCs w:val="24"/>
        </w:rPr>
        <w:t>3</w:t>
      </w:r>
      <w:r w:rsidR="00713618">
        <w:rPr>
          <w:rFonts w:ascii="Palatino Linotype" w:hAnsi="Palatino Linotype" w:cs="Arial"/>
          <w:b/>
          <w:szCs w:val="24"/>
        </w:rPr>
        <w:t>485</w:t>
      </w:r>
      <w:r w:rsidRPr="00F9119C">
        <w:rPr>
          <w:rFonts w:ascii="Palatino Linotype" w:hAnsi="Palatino Linotype" w:cs="Arial"/>
          <w:b/>
          <w:szCs w:val="24"/>
        </w:rPr>
        <w:t>/INFOEM/IP/RR/201</w:t>
      </w:r>
      <w:r w:rsidR="00755FC4">
        <w:rPr>
          <w:rFonts w:ascii="Palatino Linotype" w:hAnsi="Palatino Linotype" w:cs="Arial"/>
          <w:b/>
          <w:szCs w:val="24"/>
        </w:rPr>
        <w:t>8</w:t>
      </w:r>
      <w:r w:rsidRPr="00F9119C">
        <w:rPr>
          <w:rFonts w:ascii="Palatino Linotype" w:hAnsi="Palatino Linotype" w:cs="Arial"/>
          <w:szCs w:val="24"/>
        </w:rPr>
        <w:t>.</w:t>
      </w:r>
    </w:p>
    <w:p w:rsidR="00426F5F" w:rsidRDefault="00076C8D" w:rsidP="002C5DF9">
      <w:pPr>
        <w:spacing w:before="120" w:after="120" w:line="360" w:lineRule="auto"/>
        <w:jc w:val="both"/>
        <w:rPr>
          <w:rFonts w:ascii="Palatino Linotype" w:hAnsi="Palatino Linotype" w:cs="Arial"/>
          <w:szCs w:val="24"/>
        </w:rPr>
      </w:pPr>
      <w:r>
        <w:rPr>
          <w:rFonts w:ascii="Palatino Linotype" w:hAnsi="Palatino Linotype" w:cs="Arial"/>
          <w:szCs w:val="24"/>
        </w:rPr>
        <w:t>OSAM</w:t>
      </w:r>
      <w:r w:rsidR="002300A1">
        <w:rPr>
          <w:rFonts w:ascii="Palatino Linotype" w:hAnsi="Palatino Linotype" w:cs="Arial"/>
          <w:szCs w:val="24"/>
        </w:rPr>
        <w:t>/aemp</w:t>
      </w:r>
    </w:p>
    <w:sectPr w:rsidR="00426F5F" w:rsidSect="00721F2D">
      <w:headerReference w:type="default" r:id="rId12"/>
      <w:footerReference w:type="default" r:id="rId13"/>
      <w:headerReference w:type="first" r:id="rId14"/>
      <w:footerReference w:type="first" r:id="rId15"/>
      <w:pgSz w:w="12240" w:h="15840"/>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8C6" w:rsidRDefault="00D318C6" w:rsidP="006168E4">
      <w:pPr>
        <w:spacing w:after="0" w:line="240" w:lineRule="auto"/>
      </w:pPr>
      <w:r>
        <w:separator/>
      </w:r>
    </w:p>
  </w:endnote>
  <w:endnote w:type="continuationSeparator" w:id="0">
    <w:p w:rsidR="00D318C6" w:rsidRDefault="00D318C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BE" w:rsidRPr="000B69FA" w:rsidRDefault="00B979BE"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40890">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40890">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BE" w:rsidRPr="000B69FA" w:rsidRDefault="00B979BE"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4089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40890">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8C6" w:rsidRDefault="00D318C6" w:rsidP="006168E4">
      <w:pPr>
        <w:spacing w:after="0" w:line="240" w:lineRule="auto"/>
      </w:pPr>
      <w:r>
        <w:separator/>
      </w:r>
    </w:p>
  </w:footnote>
  <w:footnote w:type="continuationSeparator" w:id="0">
    <w:p w:rsidR="00D318C6" w:rsidRDefault="00D318C6" w:rsidP="006168E4">
      <w:pPr>
        <w:spacing w:after="0" w:line="240" w:lineRule="auto"/>
      </w:pPr>
      <w:r>
        <w:continuationSeparator/>
      </w:r>
    </w:p>
  </w:footnote>
  <w:footnote w:id="1">
    <w:p w:rsidR="00B979BE" w:rsidRPr="00946E1F" w:rsidRDefault="00B979BE" w:rsidP="00E865C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979BE" w:rsidRPr="00946E1F" w:rsidRDefault="00B979BE" w:rsidP="00E865C5">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BE" w:rsidRDefault="00B979BE">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B979BE" w:rsidTr="00D0152C">
      <w:trPr>
        <w:trHeight w:val="227"/>
      </w:trPr>
      <w:tc>
        <w:tcPr>
          <w:tcW w:w="5387" w:type="dxa"/>
          <w:hideMark/>
        </w:tcPr>
        <w:p w:rsidR="00B979BE" w:rsidRDefault="00B979B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B979BE" w:rsidRDefault="00B979BE" w:rsidP="00713618">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 xml:space="preserve">03485/INFOEM/IP/RR/2018 </w:t>
          </w:r>
        </w:p>
      </w:tc>
    </w:tr>
    <w:tr w:rsidR="00B979BE" w:rsidTr="00D0152C">
      <w:trPr>
        <w:trHeight w:val="242"/>
      </w:trPr>
      <w:tc>
        <w:tcPr>
          <w:tcW w:w="5387" w:type="dxa"/>
          <w:hideMark/>
        </w:tcPr>
        <w:p w:rsidR="00B979BE" w:rsidRDefault="00B979B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B979BE" w:rsidRDefault="00B979BE" w:rsidP="007D3FAC">
          <w:pPr>
            <w:spacing w:after="120" w:line="256" w:lineRule="auto"/>
            <w:ind w:left="497" w:right="214"/>
            <w:jc w:val="both"/>
            <w:rPr>
              <w:rFonts w:ascii="Palatino Linotype" w:hAnsi="Palatino Linotype" w:cs="Arial"/>
              <w:szCs w:val="20"/>
            </w:rPr>
          </w:pPr>
          <w:r>
            <w:rPr>
              <w:rFonts w:ascii="Palatino Linotype" w:hAnsi="Palatino Linotype" w:cs="Arial"/>
              <w:szCs w:val="20"/>
            </w:rPr>
            <w:t>Ayuntamiento de Cuautitlán Izcalli</w:t>
          </w:r>
        </w:p>
      </w:tc>
    </w:tr>
    <w:tr w:rsidR="00B979BE" w:rsidTr="00D0152C">
      <w:trPr>
        <w:trHeight w:val="342"/>
      </w:trPr>
      <w:tc>
        <w:tcPr>
          <w:tcW w:w="5387" w:type="dxa"/>
          <w:hideMark/>
        </w:tcPr>
        <w:p w:rsidR="00B979BE" w:rsidRDefault="00B979BE"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B979BE" w:rsidRDefault="00B979BE"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B979BE" w:rsidRDefault="00B979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6"/>
      <w:gridCol w:w="4819"/>
    </w:tblGrid>
    <w:tr w:rsidR="00B979BE" w:rsidTr="00D0152C">
      <w:trPr>
        <w:trHeight w:val="227"/>
      </w:trPr>
      <w:tc>
        <w:tcPr>
          <w:tcW w:w="5246" w:type="dxa"/>
          <w:hideMark/>
        </w:tcPr>
        <w:p w:rsidR="00B979BE" w:rsidRDefault="00B979B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B979BE" w:rsidRPr="00BD24DD" w:rsidRDefault="00B979BE" w:rsidP="00713618">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 xml:space="preserve">03485/INFOEM/IP/RR/2018 </w:t>
          </w:r>
        </w:p>
      </w:tc>
    </w:tr>
    <w:tr w:rsidR="00B979BE" w:rsidTr="00D0152C">
      <w:trPr>
        <w:trHeight w:val="196"/>
      </w:trPr>
      <w:tc>
        <w:tcPr>
          <w:tcW w:w="5246" w:type="dxa"/>
          <w:hideMark/>
        </w:tcPr>
        <w:p w:rsidR="00B979BE" w:rsidRDefault="00B979B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hideMark/>
        </w:tcPr>
        <w:p w:rsidR="00B979BE" w:rsidRPr="000E6FB8" w:rsidRDefault="008A13C8" w:rsidP="007D3FAC">
          <w:pPr>
            <w:spacing w:after="120" w:line="256" w:lineRule="auto"/>
            <w:ind w:left="639" w:right="214"/>
            <w:jc w:val="both"/>
            <w:rPr>
              <w:rFonts w:ascii="Palatino Linotype" w:hAnsi="Palatino Linotype" w:cs="Arial"/>
            </w:rPr>
          </w:pPr>
          <w:r>
            <w:rPr>
              <w:rFonts w:ascii="Palatino Linotype" w:hAnsi="Palatino Linotype" w:cs="Arial"/>
            </w:rPr>
            <w:t>XXXXXXXXXXXXXXXXXXXX</w:t>
          </w:r>
        </w:p>
      </w:tc>
    </w:tr>
    <w:tr w:rsidR="00B979BE" w:rsidTr="00D0152C">
      <w:trPr>
        <w:trHeight w:val="242"/>
      </w:trPr>
      <w:tc>
        <w:tcPr>
          <w:tcW w:w="5246" w:type="dxa"/>
          <w:hideMark/>
        </w:tcPr>
        <w:p w:rsidR="00B979BE" w:rsidRDefault="00B979B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B979BE" w:rsidRDefault="00B979BE" w:rsidP="00713618">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Cuautitlán Izcalli</w:t>
          </w:r>
        </w:p>
      </w:tc>
    </w:tr>
    <w:tr w:rsidR="00B979BE" w:rsidTr="00D0152C">
      <w:trPr>
        <w:trHeight w:val="342"/>
      </w:trPr>
      <w:tc>
        <w:tcPr>
          <w:tcW w:w="5246" w:type="dxa"/>
          <w:hideMark/>
        </w:tcPr>
        <w:p w:rsidR="00B979BE" w:rsidRDefault="00B979BE"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B979BE" w:rsidRDefault="00B979B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B979BE" w:rsidRDefault="00B979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20A57AF"/>
    <w:multiLevelType w:val="hybridMultilevel"/>
    <w:tmpl w:val="3098C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306084"/>
    <w:multiLevelType w:val="hybridMultilevel"/>
    <w:tmpl w:val="07A81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7C35A7"/>
    <w:multiLevelType w:val="hybridMultilevel"/>
    <w:tmpl w:val="049E6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67495C"/>
    <w:multiLevelType w:val="hybridMultilevel"/>
    <w:tmpl w:val="0D34FA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881CE9"/>
    <w:multiLevelType w:val="hybridMultilevel"/>
    <w:tmpl w:val="7E7E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652F82"/>
    <w:multiLevelType w:val="hybridMultilevel"/>
    <w:tmpl w:val="AAAAC0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8D66E6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6B4EA2"/>
    <w:multiLevelType w:val="hybridMultilevel"/>
    <w:tmpl w:val="C95A1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7" w15:restartNumberingAfterBreak="0">
    <w:nsid w:val="1C3F5545"/>
    <w:multiLevelType w:val="hybridMultilevel"/>
    <w:tmpl w:val="FB8EF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D2D6BF6"/>
    <w:multiLevelType w:val="hybridMultilevel"/>
    <w:tmpl w:val="42DC7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1A73666"/>
    <w:multiLevelType w:val="hybridMultilevel"/>
    <w:tmpl w:val="07A81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24C641F"/>
    <w:multiLevelType w:val="multilevel"/>
    <w:tmpl w:val="AE88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DC2696"/>
    <w:multiLevelType w:val="hybridMultilevel"/>
    <w:tmpl w:val="758AA51C"/>
    <w:lvl w:ilvl="0" w:tplc="C0589D78">
      <w:start w:val="1"/>
      <w:numFmt w:val="upperRoman"/>
      <w:lvlText w:val="%1."/>
      <w:lvlJc w:val="left"/>
      <w:pPr>
        <w:ind w:left="1470" w:hanging="720"/>
      </w:pPr>
      <w:rPr>
        <w:rFonts w:hint="default"/>
        <w:b/>
      </w:r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23" w15:restartNumberingAfterBreak="0">
    <w:nsid w:val="32731963"/>
    <w:multiLevelType w:val="hybridMultilevel"/>
    <w:tmpl w:val="2210288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34317490"/>
    <w:multiLevelType w:val="hybridMultilevel"/>
    <w:tmpl w:val="5B624EE2"/>
    <w:lvl w:ilvl="0" w:tplc="B824BBB8">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493309A"/>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6CA32CB"/>
    <w:multiLevelType w:val="hybridMultilevel"/>
    <w:tmpl w:val="65A0335C"/>
    <w:lvl w:ilvl="0" w:tplc="D180B1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C76C06"/>
    <w:multiLevelType w:val="hybridMultilevel"/>
    <w:tmpl w:val="D95EA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31" w15:restartNumberingAfterBreak="0">
    <w:nsid w:val="4A1C4FED"/>
    <w:multiLevelType w:val="hybridMultilevel"/>
    <w:tmpl w:val="FE48C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4F21B3"/>
    <w:multiLevelType w:val="hybridMultilevel"/>
    <w:tmpl w:val="F6108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34" w15:restartNumberingAfterBreak="0">
    <w:nsid w:val="58353098"/>
    <w:multiLevelType w:val="hybridMultilevel"/>
    <w:tmpl w:val="CFCE8F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EE5D0B"/>
    <w:multiLevelType w:val="hybridMultilevel"/>
    <w:tmpl w:val="8A50B2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03647AA"/>
    <w:multiLevelType w:val="hybridMultilevel"/>
    <w:tmpl w:val="1F4C0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4A24F4"/>
    <w:multiLevelType w:val="hybridMultilevel"/>
    <w:tmpl w:val="C73E1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6A5D42C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3" w15:restartNumberingAfterBreak="0">
    <w:nsid w:val="72265C8E"/>
    <w:multiLevelType w:val="hybridMultilevel"/>
    <w:tmpl w:val="01101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562DC3"/>
    <w:multiLevelType w:val="hybridMultilevel"/>
    <w:tmpl w:val="81B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714674"/>
    <w:multiLevelType w:val="hybridMultilevel"/>
    <w:tmpl w:val="3266ED3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603F1B"/>
    <w:multiLevelType w:val="hybridMultilevel"/>
    <w:tmpl w:val="469C5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5E2D4B"/>
    <w:multiLevelType w:val="hybridMultilevel"/>
    <w:tmpl w:val="CA2EE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DD2751"/>
    <w:multiLevelType w:val="hybridMultilevel"/>
    <w:tmpl w:val="2F16E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2"/>
  </w:num>
  <w:num w:numId="3">
    <w:abstractNumId w:val="8"/>
  </w:num>
  <w:num w:numId="4">
    <w:abstractNumId w:val="0"/>
  </w:num>
  <w:num w:numId="5">
    <w:abstractNumId w:val="1"/>
  </w:num>
  <w:num w:numId="6">
    <w:abstractNumId w:val="33"/>
  </w:num>
  <w:num w:numId="7">
    <w:abstractNumId w:val="30"/>
  </w:num>
  <w:num w:numId="8">
    <w:abstractNumId w:val="11"/>
  </w:num>
  <w:num w:numId="9">
    <w:abstractNumId w:val="16"/>
  </w:num>
  <w:num w:numId="10">
    <w:abstractNumId w:val="9"/>
  </w:num>
  <w:num w:numId="11">
    <w:abstractNumId w:val="19"/>
  </w:num>
  <w:num w:numId="12">
    <w:abstractNumId w:val="46"/>
  </w:num>
  <w:num w:numId="13">
    <w:abstractNumId w:val="29"/>
  </w:num>
  <w:num w:numId="14">
    <w:abstractNumId w:val="41"/>
  </w:num>
  <w:num w:numId="15">
    <w:abstractNumId w:val="27"/>
  </w:num>
  <w:num w:numId="16">
    <w:abstractNumId w:val="37"/>
  </w:num>
  <w:num w:numId="17">
    <w:abstractNumId w:val="17"/>
  </w:num>
  <w:num w:numId="18">
    <w:abstractNumId w:val="47"/>
  </w:num>
  <w:num w:numId="19">
    <w:abstractNumId w:val="24"/>
  </w:num>
  <w:num w:numId="20">
    <w:abstractNumId w:val="5"/>
  </w:num>
  <w:num w:numId="21">
    <w:abstractNumId w:val="39"/>
  </w:num>
  <w:num w:numId="22">
    <w:abstractNumId w:val="4"/>
  </w:num>
  <w:num w:numId="23">
    <w:abstractNumId w:val="36"/>
  </w:num>
  <w:num w:numId="24">
    <w:abstractNumId w:val="23"/>
  </w:num>
  <w:num w:numId="25">
    <w:abstractNumId w:val="40"/>
  </w:num>
  <w:num w:numId="26">
    <w:abstractNumId w:val="44"/>
  </w:num>
  <w:num w:numId="27">
    <w:abstractNumId w:val="25"/>
  </w:num>
  <w:num w:numId="28">
    <w:abstractNumId w:val="13"/>
  </w:num>
  <w:num w:numId="29">
    <w:abstractNumId w:val="14"/>
  </w:num>
  <w:num w:numId="30">
    <w:abstractNumId w:val="22"/>
  </w:num>
  <w:num w:numId="31">
    <w:abstractNumId w:val="31"/>
  </w:num>
  <w:num w:numId="32">
    <w:abstractNumId w:val="6"/>
  </w:num>
  <w:num w:numId="33">
    <w:abstractNumId w:val="35"/>
  </w:num>
  <w:num w:numId="34">
    <w:abstractNumId w:val="21"/>
  </w:num>
  <w:num w:numId="35">
    <w:abstractNumId w:val="10"/>
  </w:num>
  <w:num w:numId="36">
    <w:abstractNumId w:val="43"/>
  </w:num>
  <w:num w:numId="37">
    <w:abstractNumId w:val="45"/>
  </w:num>
  <w:num w:numId="38">
    <w:abstractNumId w:val="2"/>
  </w:num>
  <w:num w:numId="39">
    <w:abstractNumId w:val="34"/>
  </w:num>
  <w:num w:numId="40">
    <w:abstractNumId w:val="32"/>
  </w:num>
  <w:num w:numId="41">
    <w:abstractNumId w:val="48"/>
  </w:num>
  <w:num w:numId="42">
    <w:abstractNumId w:val="49"/>
  </w:num>
  <w:num w:numId="43">
    <w:abstractNumId w:val="3"/>
  </w:num>
  <w:num w:numId="44">
    <w:abstractNumId w:val="20"/>
  </w:num>
  <w:num w:numId="45">
    <w:abstractNumId w:val="28"/>
  </w:num>
  <w:num w:numId="46">
    <w:abstractNumId w:val="38"/>
  </w:num>
  <w:num w:numId="47">
    <w:abstractNumId w:val="26"/>
  </w:num>
  <w:num w:numId="48">
    <w:abstractNumId w:val="15"/>
  </w:num>
  <w:num w:numId="49">
    <w:abstractNumId w:val="7"/>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BFC"/>
    <w:rsid w:val="00000F3E"/>
    <w:rsid w:val="000018E0"/>
    <w:rsid w:val="0000191C"/>
    <w:rsid w:val="00001EA7"/>
    <w:rsid w:val="00002050"/>
    <w:rsid w:val="00003A02"/>
    <w:rsid w:val="000042AB"/>
    <w:rsid w:val="00004393"/>
    <w:rsid w:val="00005F4B"/>
    <w:rsid w:val="00006680"/>
    <w:rsid w:val="000076E3"/>
    <w:rsid w:val="00007B9C"/>
    <w:rsid w:val="00007BAD"/>
    <w:rsid w:val="0001021F"/>
    <w:rsid w:val="00010927"/>
    <w:rsid w:val="0001164E"/>
    <w:rsid w:val="00011FFF"/>
    <w:rsid w:val="000120C7"/>
    <w:rsid w:val="0001308A"/>
    <w:rsid w:val="00015A26"/>
    <w:rsid w:val="00016C30"/>
    <w:rsid w:val="000217FF"/>
    <w:rsid w:val="000223F9"/>
    <w:rsid w:val="0002371E"/>
    <w:rsid w:val="00024B65"/>
    <w:rsid w:val="00025494"/>
    <w:rsid w:val="000306B9"/>
    <w:rsid w:val="00036BE2"/>
    <w:rsid w:val="000372F4"/>
    <w:rsid w:val="00040C24"/>
    <w:rsid w:val="00041DD3"/>
    <w:rsid w:val="00043D33"/>
    <w:rsid w:val="00045C9C"/>
    <w:rsid w:val="00050511"/>
    <w:rsid w:val="00050659"/>
    <w:rsid w:val="000512FF"/>
    <w:rsid w:val="00051411"/>
    <w:rsid w:val="0005195E"/>
    <w:rsid w:val="00051CAD"/>
    <w:rsid w:val="00052E91"/>
    <w:rsid w:val="000530FE"/>
    <w:rsid w:val="00053A4D"/>
    <w:rsid w:val="00053E03"/>
    <w:rsid w:val="000545AA"/>
    <w:rsid w:val="00054F03"/>
    <w:rsid w:val="0005516B"/>
    <w:rsid w:val="00055224"/>
    <w:rsid w:val="00055B3B"/>
    <w:rsid w:val="00057FA7"/>
    <w:rsid w:val="000600F8"/>
    <w:rsid w:val="00060F90"/>
    <w:rsid w:val="00061601"/>
    <w:rsid w:val="00061821"/>
    <w:rsid w:val="00061B7C"/>
    <w:rsid w:val="00061BFC"/>
    <w:rsid w:val="00062718"/>
    <w:rsid w:val="0006411F"/>
    <w:rsid w:val="00066131"/>
    <w:rsid w:val="00070030"/>
    <w:rsid w:val="00071900"/>
    <w:rsid w:val="000721BB"/>
    <w:rsid w:val="0007266D"/>
    <w:rsid w:val="00074137"/>
    <w:rsid w:val="00076C8D"/>
    <w:rsid w:val="0007769D"/>
    <w:rsid w:val="00077EBE"/>
    <w:rsid w:val="000816EC"/>
    <w:rsid w:val="00081D89"/>
    <w:rsid w:val="0008215F"/>
    <w:rsid w:val="000822E9"/>
    <w:rsid w:val="0008333A"/>
    <w:rsid w:val="00083340"/>
    <w:rsid w:val="00083B2C"/>
    <w:rsid w:val="00086468"/>
    <w:rsid w:val="000866A2"/>
    <w:rsid w:val="000879AB"/>
    <w:rsid w:val="00090A05"/>
    <w:rsid w:val="00090D26"/>
    <w:rsid w:val="000914D0"/>
    <w:rsid w:val="00091552"/>
    <w:rsid w:val="00091A33"/>
    <w:rsid w:val="00091C50"/>
    <w:rsid w:val="000921E2"/>
    <w:rsid w:val="0009411F"/>
    <w:rsid w:val="00094B10"/>
    <w:rsid w:val="00096242"/>
    <w:rsid w:val="000974DF"/>
    <w:rsid w:val="000A08DD"/>
    <w:rsid w:val="000A1980"/>
    <w:rsid w:val="000A2227"/>
    <w:rsid w:val="000A4E68"/>
    <w:rsid w:val="000A67C0"/>
    <w:rsid w:val="000A6B5A"/>
    <w:rsid w:val="000A6ED5"/>
    <w:rsid w:val="000B00E5"/>
    <w:rsid w:val="000B0E08"/>
    <w:rsid w:val="000B1758"/>
    <w:rsid w:val="000B1F6A"/>
    <w:rsid w:val="000B273F"/>
    <w:rsid w:val="000B3138"/>
    <w:rsid w:val="000B546B"/>
    <w:rsid w:val="000B54D0"/>
    <w:rsid w:val="000B6D03"/>
    <w:rsid w:val="000C0077"/>
    <w:rsid w:val="000C0F40"/>
    <w:rsid w:val="000C1455"/>
    <w:rsid w:val="000C1D18"/>
    <w:rsid w:val="000C47D8"/>
    <w:rsid w:val="000C487B"/>
    <w:rsid w:val="000C497C"/>
    <w:rsid w:val="000C4CC7"/>
    <w:rsid w:val="000C61C3"/>
    <w:rsid w:val="000C7A42"/>
    <w:rsid w:val="000D110B"/>
    <w:rsid w:val="000D3313"/>
    <w:rsid w:val="000D58A8"/>
    <w:rsid w:val="000D7728"/>
    <w:rsid w:val="000D7F23"/>
    <w:rsid w:val="000E0315"/>
    <w:rsid w:val="000E3C4C"/>
    <w:rsid w:val="000E3DFF"/>
    <w:rsid w:val="000E53D9"/>
    <w:rsid w:val="000E5DC7"/>
    <w:rsid w:val="000E6008"/>
    <w:rsid w:val="000E6FB8"/>
    <w:rsid w:val="000F11CB"/>
    <w:rsid w:val="000F16E3"/>
    <w:rsid w:val="000F53CD"/>
    <w:rsid w:val="000F6230"/>
    <w:rsid w:val="000F6643"/>
    <w:rsid w:val="00100E7A"/>
    <w:rsid w:val="00100F6D"/>
    <w:rsid w:val="001028CB"/>
    <w:rsid w:val="00102FE7"/>
    <w:rsid w:val="00103D6D"/>
    <w:rsid w:val="001044DE"/>
    <w:rsid w:val="0010471A"/>
    <w:rsid w:val="0010522C"/>
    <w:rsid w:val="001054BA"/>
    <w:rsid w:val="0010675B"/>
    <w:rsid w:val="00106CBB"/>
    <w:rsid w:val="00110EB8"/>
    <w:rsid w:val="00112212"/>
    <w:rsid w:val="00112330"/>
    <w:rsid w:val="0011329F"/>
    <w:rsid w:val="001133E4"/>
    <w:rsid w:val="0011385C"/>
    <w:rsid w:val="0011649E"/>
    <w:rsid w:val="001169D3"/>
    <w:rsid w:val="001169E8"/>
    <w:rsid w:val="0011752C"/>
    <w:rsid w:val="00117F28"/>
    <w:rsid w:val="001212CF"/>
    <w:rsid w:val="00122A45"/>
    <w:rsid w:val="00122C17"/>
    <w:rsid w:val="00123706"/>
    <w:rsid w:val="00123DF6"/>
    <w:rsid w:val="00123F4E"/>
    <w:rsid w:val="00124855"/>
    <w:rsid w:val="0012500C"/>
    <w:rsid w:val="001255CB"/>
    <w:rsid w:val="00127266"/>
    <w:rsid w:val="00130CD8"/>
    <w:rsid w:val="00131E98"/>
    <w:rsid w:val="001321B8"/>
    <w:rsid w:val="00132CB8"/>
    <w:rsid w:val="001331B1"/>
    <w:rsid w:val="00133FE3"/>
    <w:rsid w:val="00134C6E"/>
    <w:rsid w:val="00135B06"/>
    <w:rsid w:val="00135B95"/>
    <w:rsid w:val="00135C4A"/>
    <w:rsid w:val="00135EF6"/>
    <w:rsid w:val="00136307"/>
    <w:rsid w:val="00136C69"/>
    <w:rsid w:val="00136F57"/>
    <w:rsid w:val="00137557"/>
    <w:rsid w:val="00140A3A"/>
    <w:rsid w:val="00141862"/>
    <w:rsid w:val="001425BC"/>
    <w:rsid w:val="00144554"/>
    <w:rsid w:val="00144618"/>
    <w:rsid w:val="00144744"/>
    <w:rsid w:val="00144EEA"/>
    <w:rsid w:val="0014508A"/>
    <w:rsid w:val="00145700"/>
    <w:rsid w:val="00150F0F"/>
    <w:rsid w:val="001520A3"/>
    <w:rsid w:val="00153CCA"/>
    <w:rsid w:val="00153D2B"/>
    <w:rsid w:val="0015753B"/>
    <w:rsid w:val="0016009C"/>
    <w:rsid w:val="00162BD0"/>
    <w:rsid w:val="00162C0E"/>
    <w:rsid w:val="00166A09"/>
    <w:rsid w:val="00167F57"/>
    <w:rsid w:val="0017009C"/>
    <w:rsid w:val="001706DA"/>
    <w:rsid w:val="00172C42"/>
    <w:rsid w:val="001744BF"/>
    <w:rsid w:val="0017478D"/>
    <w:rsid w:val="00174E5F"/>
    <w:rsid w:val="00175897"/>
    <w:rsid w:val="00177005"/>
    <w:rsid w:val="00180F7B"/>
    <w:rsid w:val="00181A84"/>
    <w:rsid w:val="00182134"/>
    <w:rsid w:val="0018289B"/>
    <w:rsid w:val="00187198"/>
    <w:rsid w:val="001877C0"/>
    <w:rsid w:val="00190366"/>
    <w:rsid w:val="001923EB"/>
    <w:rsid w:val="00192F71"/>
    <w:rsid w:val="001934C7"/>
    <w:rsid w:val="001942EB"/>
    <w:rsid w:val="001948C2"/>
    <w:rsid w:val="00194D8D"/>
    <w:rsid w:val="001954CD"/>
    <w:rsid w:val="001A02EC"/>
    <w:rsid w:val="001A0E3F"/>
    <w:rsid w:val="001A326C"/>
    <w:rsid w:val="001B07E3"/>
    <w:rsid w:val="001B1B7A"/>
    <w:rsid w:val="001B25C7"/>
    <w:rsid w:val="001B3348"/>
    <w:rsid w:val="001B3A35"/>
    <w:rsid w:val="001B49BA"/>
    <w:rsid w:val="001B4C61"/>
    <w:rsid w:val="001B5610"/>
    <w:rsid w:val="001B5DCD"/>
    <w:rsid w:val="001B757D"/>
    <w:rsid w:val="001B7B88"/>
    <w:rsid w:val="001B7CE7"/>
    <w:rsid w:val="001C09D6"/>
    <w:rsid w:val="001C2903"/>
    <w:rsid w:val="001C290A"/>
    <w:rsid w:val="001C3610"/>
    <w:rsid w:val="001C5374"/>
    <w:rsid w:val="001C5894"/>
    <w:rsid w:val="001C688D"/>
    <w:rsid w:val="001C7545"/>
    <w:rsid w:val="001C7832"/>
    <w:rsid w:val="001C7D49"/>
    <w:rsid w:val="001D0270"/>
    <w:rsid w:val="001D1607"/>
    <w:rsid w:val="001D1B67"/>
    <w:rsid w:val="001D1B94"/>
    <w:rsid w:val="001D25EB"/>
    <w:rsid w:val="001D351D"/>
    <w:rsid w:val="001D41C1"/>
    <w:rsid w:val="001D4768"/>
    <w:rsid w:val="001D5041"/>
    <w:rsid w:val="001D607E"/>
    <w:rsid w:val="001D68B2"/>
    <w:rsid w:val="001D6B42"/>
    <w:rsid w:val="001D715F"/>
    <w:rsid w:val="001D7237"/>
    <w:rsid w:val="001E00E4"/>
    <w:rsid w:val="001E0CE3"/>
    <w:rsid w:val="001E0DC9"/>
    <w:rsid w:val="001E111B"/>
    <w:rsid w:val="001E14D6"/>
    <w:rsid w:val="001E2703"/>
    <w:rsid w:val="001E3AFD"/>
    <w:rsid w:val="001E4FA1"/>
    <w:rsid w:val="001E57C7"/>
    <w:rsid w:val="001E7893"/>
    <w:rsid w:val="001F0086"/>
    <w:rsid w:val="001F0411"/>
    <w:rsid w:val="001F0794"/>
    <w:rsid w:val="001F2F6C"/>
    <w:rsid w:val="001F45B6"/>
    <w:rsid w:val="001F46F0"/>
    <w:rsid w:val="001F6CE4"/>
    <w:rsid w:val="002000F7"/>
    <w:rsid w:val="00200775"/>
    <w:rsid w:val="00200868"/>
    <w:rsid w:val="002015AB"/>
    <w:rsid w:val="00201919"/>
    <w:rsid w:val="00201A24"/>
    <w:rsid w:val="002028DD"/>
    <w:rsid w:val="00202D53"/>
    <w:rsid w:val="002051AB"/>
    <w:rsid w:val="00205ECC"/>
    <w:rsid w:val="002066F7"/>
    <w:rsid w:val="0021120A"/>
    <w:rsid w:val="00211244"/>
    <w:rsid w:val="002122CB"/>
    <w:rsid w:val="00212AEC"/>
    <w:rsid w:val="00214364"/>
    <w:rsid w:val="00215449"/>
    <w:rsid w:val="0021565B"/>
    <w:rsid w:val="0021614F"/>
    <w:rsid w:val="0021623D"/>
    <w:rsid w:val="002168F6"/>
    <w:rsid w:val="002205C0"/>
    <w:rsid w:val="002207BD"/>
    <w:rsid w:val="00220F7D"/>
    <w:rsid w:val="002222BD"/>
    <w:rsid w:val="00222D5D"/>
    <w:rsid w:val="002249B0"/>
    <w:rsid w:val="00224D1D"/>
    <w:rsid w:val="00226247"/>
    <w:rsid w:val="00226E47"/>
    <w:rsid w:val="0022764E"/>
    <w:rsid w:val="00227DEA"/>
    <w:rsid w:val="002300A1"/>
    <w:rsid w:val="00230463"/>
    <w:rsid w:val="00230DD9"/>
    <w:rsid w:val="002321F9"/>
    <w:rsid w:val="00235A27"/>
    <w:rsid w:val="00240D6C"/>
    <w:rsid w:val="00244B71"/>
    <w:rsid w:val="002451BA"/>
    <w:rsid w:val="002457B2"/>
    <w:rsid w:val="00245F18"/>
    <w:rsid w:val="002468EA"/>
    <w:rsid w:val="00247405"/>
    <w:rsid w:val="002511AA"/>
    <w:rsid w:val="00252D08"/>
    <w:rsid w:val="00253F14"/>
    <w:rsid w:val="00254158"/>
    <w:rsid w:val="002546A0"/>
    <w:rsid w:val="00255AEF"/>
    <w:rsid w:val="002570BB"/>
    <w:rsid w:val="002576B6"/>
    <w:rsid w:val="0026015D"/>
    <w:rsid w:val="00261075"/>
    <w:rsid w:val="00261E1B"/>
    <w:rsid w:val="00262935"/>
    <w:rsid w:val="00262CE6"/>
    <w:rsid w:val="00263F7C"/>
    <w:rsid w:val="002648B1"/>
    <w:rsid w:val="002651B6"/>
    <w:rsid w:val="0026613C"/>
    <w:rsid w:val="00266289"/>
    <w:rsid w:val="00266685"/>
    <w:rsid w:val="00266986"/>
    <w:rsid w:val="00266E60"/>
    <w:rsid w:val="002673AB"/>
    <w:rsid w:val="00270139"/>
    <w:rsid w:val="00271D74"/>
    <w:rsid w:val="002728BF"/>
    <w:rsid w:val="00273F03"/>
    <w:rsid w:val="0027433D"/>
    <w:rsid w:val="00275B44"/>
    <w:rsid w:val="00276973"/>
    <w:rsid w:val="00276D7D"/>
    <w:rsid w:val="002777C1"/>
    <w:rsid w:val="00277E7A"/>
    <w:rsid w:val="002807A5"/>
    <w:rsid w:val="00283C91"/>
    <w:rsid w:val="00284768"/>
    <w:rsid w:val="00284E98"/>
    <w:rsid w:val="0028634B"/>
    <w:rsid w:val="00286862"/>
    <w:rsid w:val="0028699F"/>
    <w:rsid w:val="00290043"/>
    <w:rsid w:val="0029103E"/>
    <w:rsid w:val="0029121F"/>
    <w:rsid w:val="00291F6A"/>
    <w:rsid w:val="002920CC"/>
    <w:rsid w:val="002924E1"/>
    <w:rsid w:val="00292B8F"/>
    <w:rsid w:val="0029381E"/>
    <w:rsid w:val="0029469D"/>
    <w:rsid w:val="00294AE7"/>
    <w:rsid w:val="00295AD8"/>
    <w:rsid w:val="002967E8"/>
    <w:rsid w:val="0029710E"/>
    <w:rsid w:val="002974C5"/>
    <w:rsid w:val="00297C8F"/>
    <w:rsid w:val="002A07CB"/>
    <w:rsid w:val="002A2034"/>
    <w:rsid w:val="002A21B3"/>
    <w:rsid w:val="002A4562"/>
    <w:rsid w:val="002A51B2"/>
    <w:rsid w:val="002A6E07"/>
    <w:rsid w:val="002B183F"/>
    <w:rsid w:val="002B2743"/>
    <w:rsid w:val="002B3EF3"/>
    <w:rsid w:val="002B423F"/>
    <w:rsid w:val="002B4D83"/>
    <w:rsid w:val="002B5A57"/>
    <w:rsid w:val="002B6110"/>
    <w:rsid w:val="002B6A49"/>
    <w:rsid w:val="002B7FAE"/>
    <w:rsid w:val="002C002D"/>
    <w:rsid w:val="002C0053"/>
    <w:rsid w:val="002C0DC1"/>
    <w:rsid w:val="002C2468"/>
    <w:rsid w:val="002C2643"/>
    <w:rsid w:val="002C385E"/>
    <w:rsid w:val="002C4AA5"/>
    <w:rsid w:val="002C592F"/>
    <w:rsid w:val="002C598C"/>
    <w:rsid w:val="002C5DF9"/>
    <w:rsid w:val="002C606C"/>
    <w:rsid w:val="002D0FF9"/>
    <w:rsid w:val="002D1BBD"/>
    <w:rsid w:val="002D246F"/>
    <w:rsid w:val="002D2C3C"/>
    <w:rsid w:val="002D30BB"/>
    <w:rsid w:val="002D3D0B"/>
    <w:rsid w:val="002D56FA"/>
    <w:rsid w:val="002D5777"/>
    <w:rsid w:val="002D7BDE"/>
    <w:rsid w:val="002E08EC"/>
    <w:rsid w:val="002E1980"/>
    <w:rsid w:val="002E279C"/>
    <w:rsid w:val="002E2905"/>
    <w:rsid w:val="002E2DE5"/>
    <w:rsid w:val="002E43E7"/>
    <w:rsid w:val="002E480B"/>
    <w:rsid w:val="002E4881"/>
    <w:rsid w:val="002E5386"/>
    <w:rsid w:val="002E5C8A"/>
    <w:rsid w:val="002F0478"/>
    <w:rsid w:val="002F0FBC"/>
    <w:rsid w:val="002F11D4"/>
    <w:rsid w:val="002F37BE"/>
    <w:rsid w:val="002F3A62"/>
    <w:rsid w:val="002F5F89"/>
    <w:rsid w:val="002F71A2"/>
    <w:rsid w:val="00300B3F"/>
    <w:rsid w:val="00300D0B"/>
    <w:rsid w:val="00301FD3"/>
    <w:rsid w:val="00306096"/>
    <w:rsid w:val="003075A6"/>
    <w:rsid w:val="00307823"/>
    <w:rsid w:val="00310EF1"/>
    <w:rsid w:val="003120E7"/>
    <w:rsid w:val="0031291E"/>
    <w:rsid w:val="00312C3F"/>
    <w:rsid w:val="00312CCF"/>
    <w:rsid w:val="003179B6"/>
    <w:rsid w:val="00320E62"/>
    <w:rsid w:val="003210FD"/>
    <w:rsid w:val="003219C2"/>
    <w:rsid w:val="00321F94"/>
    <w:rsid w:val="00323243"/>
    <w:rsid w:val="00324AA8"/>
    <w:rsid w:val="003261D5"/>
    <w:rsid w:val="00327B92"/>
    <w:rsid w:val="0033174C"/>
    <w:rsid w:val="00331A93"/>
    <w:rsid w:val="00331CA1"/>
    <w:rsid w:val="0033255F"/>
    <w:rsid w:val="00332929"/>
    <w:rsid w:val="00333B6B"/>
    <w:rsid w:val="00335815"/>
    <w:rsid w:val="003363CA"/>
    <w:rsid w:val="00337FA7"/>
    <w:rsid w:val="0034144D"/>
    <w:rsid w:val="0034210B"/>
    <w:rsid w:val="003421C7"/>
    <w:rsid w:val="003424D1"/>
    <w:rsid w:val="00342621"/>
    <w:rsid w:val="003428DB"/>
    <w:rsid w:val="003449EA"/>
    <w:rsid w:val="00346A3B"/>
    <w:rsid w:val="00350AC9"/>
    <w:rsid w:val="003514EF"/>
    <w:rsid w:val="00352777"/>
    <w:rsid w:val="00352BE5"/>
    <w:rsid w:val="00352F36"/>
    <w:rsid w:val="00353295"/>
    <w:rsid w:val="00355918"/>
    <w:rsid w:val="00355AF2"/>
    <w:rsid w:val="00356CE0"/>
    <w:rsid w:val="00357914"/>
    <w:rsid w:val="003611D8"/>
    <w:rsid w:val="00361631"/>
    <w:rsid w:val="00361946"/>
    <w:rsid w:val="00361B9C"/>
    <w:rsid w:val="00363A3C"/>
    <w:rsid w:val="0036445D"/>
    <w:rsid w:val="00367721"/>
    <w:rsid w:val="00372B06"/>
    <w:rsid w:val="003730A4"/>
    <w:rsid w:val="0037357A"/>
    <w:rsid w:val="003738A5"/>
    <w:rsid w:val="003749AD"/>
    <w:rsid w:val="003752FF"/>
    <w:rsid w:val="0037534F"/>
    <w:rsid w:val="0037538D"/>
    <w:rsid w:val="0037601C"/>
    <w:rsid w:val="0037741E"/>
    <w:rsid w:val="00377765"/>
    <w:rsid w:val="0037776C"/>
    <w:rsid w:val="00377D3D"/>
    <w:rsid w:val="00380CBC"/>
    <w:rsid w:val="00380ED0"/>
    <w:rsid w:val="00382BCB"/>
    <w:rsid w:val="0038332A"/>
    <w:rsid w:val="00383E93"/>
    <w:rsid w:val="00384128"/>
    <w:rsid w:val="00384EDE"/>
    <w:rsid w:val="0038568B"/>
    <w:rsid w:val="003860B2"/>
    <w:rsid w:val="003865A7"/>
    <w:rsid w:val="003875BA"/>
    <w:rsid w:val="00390335"/>
    <w:rsid w:val="00392816"/>
    <w:rsid w:val="003931C2"/>
    <w:rsid w:val="00393294"/>
    <w:rsid w:val="0039352A"/>
    <w:rsid w:val="00393EB2"/>
    <w:rsid w:val="00394863"/>
    <w:rsid w:val="003949D8"/>
    <w:rsid w:val="00394A36"/>
    <w:rsid w:val="003965ED"/>
    <w:rsid w:val="003973BE"/>
    <w:rsid w:val="003974CC"/>
    <w:rsid w:val="00397561"/>
    <w:rsid w:val="003A0423"/>
    <w:rsid w:val="003A0D41"/>
    <w:rsid w:val="003A1F54"/>
    <w:rsid w:val="003A23DF"/>
    <w:rsid w:val="003A4246"/>
    <w:rsid w:val="003A5966"/>
    <w:rsid w:val="003A5CAF"/>
    <w:rsid w:val="003A5E2D"/>
    <w:rsid w:val="003A61F9"/>
    <w:rsid w:val="003A6B5A"/>
    <w:rsid w:val="003A7DA0"/>
    <w:rsid w:val="003B17B5"/>
    <w:rsid w:val="003B27F0"/>
    <w:rsid w:val="003B418D"/>
    <w:rsid w:val="003B44BC"/>
    <w:rsid w:val="003B56BB"/>
    <w:rsid w:val="003B5ABE"/>
    <w:rsid w:val="003B7261"/>
    <w:rsid w:val="003C08CD"/>
    <w:rsid w:val="003C1332"/>
    <w:rsid w:val="003C2B64"/>
    <w:rsid w:val="003C3A58"/>
    <w:rsid w:val="003C3BC8"/>
    <w:rsid w:val="003C4041"/>
    <w:rsid w:val="003C59D2"/>
    <w:rsid w:val="003C636E"/>
    <w:rsid w:val="003C6699"/>
    <w:rsid w:val="003C6C58"/>
    <w:rsid w:val="003C6D1B"/>
    <w:rsid w:val="003D0BF0"/>
    <w:rsid w:val="003D126E"/>
    <w:rsid w:val="003D1D20"/>
    <w:rsid w:val="003D462E"/>
    <w:rsid w:val="003D47D8"/>
    <w:rsid w:val="003D4C78"/>
    <w:rsid w:val="003D57B5"/>
    <w:rsid w:val="003D5DC1"/>
    <w:rsid w:val="003D7D84"/>
    <w:rsid w:val="003E055C"/>
    <w:rsid w:val="003E32E5"/>
    <w:rsid w:val="003E4C71"/>
    <w:rsid w:val="003E50BF"/>
    <w:rsid w:val="003E51E4"/>
    <w:rsid w:val="003E5605"/>
    <w:rsid w:val="003E5A26"/>
    <w:rsid w:val="003E6DE1"/>
    <w:rsid w:val="003E732C"/>
    <w:rsid w:val="003E7481"/>
    <w:rsid w:val="003E7A5C"/>
    <w:rsid w:val="003F0C51"/>
    <w:rsid w:val="003F1B11"/>
    <w:rsid w:val="003F1DF5"/>
    <w:rsid w:val="003F2C47"/>
    <w:rsid w:val="003F38A6"/>
    <w:rsid w:val="003F3943"/>
    <w:rsid w:val="003F40FB"/>
    <w:rsid w:val="003F52F1"/>
    <w:rsid w:val="003F5B5A"/>
    <w:rsid w:val="004012CF"/>
    <w:rsid w:val="00401301"/>
    <w:rsid w:val="00401CF8"/>
    <w:rsid w:val="00401D13"/>
    <w:rsid w:val="004021AC"/>
    <w:rsid w:val="00402C62"/>
    <w:rsid w:val="00402FF3"/>
    <w:rsid w:val="0040354A"/>
    <w:rsid w:val="00403BEA"/>
    <w:rsid w:val="00404DF1"/>
    <w:rsid w:val="00406009"/>
    <w:rsid w:val="00406BA7"/>
    <w:rsid w:val="00406BDC"/>
    <w:rsid w:val="0040787C"/>
    <w:rsid w:val="0040799B"/>
    <w:rsid w:val="004079D9"/>
    <w:rsid w:val="00407D7F"/>
    <w:rsid w:val="004109E7"/>
    <w:rsid w:val="00410D43"/>
    <w:rsid w:val="00410E95"/>
    <w:rsid w:val="004116DA"/>
    <w:rsid w:val="00411F62"/>
    <w:rsid w:val="00412E56"/>
    <w:rsid w:val="00413662"/>
    <w:rsid w:val="00413A3F"/>
    <w:rsid w:val="00414B3E"/>
    <w:rsid w:val="0041502F"/>
    <w:rsid w:val="0041538F"/>
    <w:rsid w:val="00415A08"/>
    <w:rsid w:val="00415A9C"/>
    <w:rsid w:val="004177E1"/>
    <w:rsid w:val="00420F6F"/>
    <w:rsid w:val="00421277"/>
    <w:rsid w:val="00422633"/>
    <w:rsid w:val="00423213"/>
    <w:rsid w:val="00423B03"/>
    <w:rsid w:val="00425C88"/>
    <w:rsid w:val="00426A12"/>
    <w:rsid w:val="00426F5F"/>
    <w:rsid w:val="004274BC"/>
    <w:rsid w:val="0043003C"/>
    <w:rsid w:val="00430B62"/>
    <w:rsid w:val="00430F5F"/>
    <w:rsid w:val="0043376B"/>
    <w:rsid w:val="00433DE9"/>
    <w:rsid w:val="00435CEF"/>
    <w:rsid w:val="00436ECA"/>
    <w:rsid w:val="004407D2"/>
    <w:rsid w:val="00440F19"/>
    <w:rsid w:val="00441727"/>
    <w:rsid w:val="00442A67"/>
    <w:rsid w:val="00442B82"/>
    <w:rsid w:val="004434B7"/>
    <w:rsid w:val="004436FC"/>
    <w:rsid w:val="0044390D"/>
    <w:rsid w:val="00443A6D"/>
    <w:rsid w:val="004444D1"/>
    <w:rsid w:val="00445860"/>
    <w:rsid w:val="004463BC"/>
    <w:rsid w:val="00446B76"/>
    <w:rsid w:val="00447E0D"/>
    <w:rsid w:val="00447E36"/>
    <w:rsid w:val="00451386"/>
    <w:rsid w:val="00451B1C"/>
    <w:rsid w:val="004521FA"/>
    <w:rsid w:val="00454417"/>
    <w:rsid w:val="00455439"/>
    <w:rsid w:val="00456DFB"/>
    <w:rsid w:val="00457BB6"/>
    <w:rsid w:val="00460A36"/>
    <w:rsid w:val="00461399"/>
    <w:rsid w:val="0046183B"/>
    <w:rsid w:val="00462BFC"/>
    <w:rsid w:val="00463565"/>
    <w:rsid w:val="00463831"/>
    <w:rsid w:val="00464102"/>
    <w:rsid w:val="00464E5C"/>
    <w:rsid w:val="004670BD"/>
    <w:rsid w:val="00470CE1"/>
    <w:rsid w:val="004712C0"/>
    <w:rsid w:val="0047217D"/>
    <w:rsid w:val="00472553"/>
    <w:rsid w:val="00472A5E"/>
    <w:rsid w:val="00473EED"/>
    <w:rsid w:val="00474DF6"/>
    <w:rsid w:val="00475183"/>
    <w:rsid w:val="00475C5E"/>
    <w:rsid w:val="004761EF"/>
    <w:rsid w:val="00476D58"/>
    <w:rsid w:val="00477BB3"/>
    <w:rsid w:val="004810B0"/>
    <w:rsid w:val="00481EF5"/>
    <w:rsid w:val="00482EFB"/>
    <w:rsid w:val="0048322C"/>
    <w:rsid w:val="00483526"/>
    <w:rsid w:val="00484884"/>
    <w:rsid w:val="00485AED"/>
    <w:rsid w:val="00485C89"/>
    <w:rsid w:val="00485E7D"/>
    <w:rsid w:val="00487975"/>
    <w:rsid w:val="0049022A"/>
    <w:rsid w:val="004906C8"/>
    <w:rsid w:val="00490E57"/>
    <w:rsid w:val="004923F7"/>
    <w:rsid w:val="00492E1C"/>
    <w:rsid w:val="00495750"/>
    <w:rsid w:val="00496744"/>
    <w:rsid w:val="00496A93"/>
    <w:rsid w:val="004A0BD5"/>
    <w:rsid w:val="004A14D4"/>
    <w:rsid w:val="004A19D5"/>
    <w:rsid w:val="004A42E4"/>
    <w:rsid w:val="004A54E3"/>
    <w:rsid w:val="004A5F5C"/>
    <w:rsid w:val="004B0354"/>
    <w:rsid w:val="004B1A53"/>
    <w:rsid w:val="004B27ED"/>
    <w:rsid w:val="004B36DF"/>
    <w:rsid w:val="004B39CB"/>
    <w:rsid w:val="004B4546"/>
    <w:rsid w:val="004B5035"/>
    <w:rsid w:val="004B7E2B"/>
    <w:rsid w:val="004C126B"/>
    <w:rsid w:val="004C24C8"/>
    <w:rsid w:val="004C2542"/>
    <w:rsid w:val="004C2CB3"/>
    <w:rsid w:val="004C52C7"/>
    <w:rsid w:val="004C5497"/>
    <w:rsid w:val="004C6E9C"/>
    <w:rsid w:val="004C6F72"/>
    <w:rsid w:val="004D2218"/>
    <w:rsid w:val="004D2698"/>
    <w:rsid w:val="004D26C8"/>
    <w:rsid w:val="004D2BA2"/>
    <w:rsid w:val="004D4B3B"/>
    <w:rsid w:val="004D4B46"/>
    <w:rsid w:val="004D5015"/>
    <w:rsid w:val="004D5C0C"/>
    <w:rsid w:val="004D5D19"/>
    <w:rsid w:val="004D5F3D"/>
    <w:rsid w:val="004E0F49"/>
    <w:rsid w:val="004E167E"/>
    <w:rsid w:val="004E1733"/>
    <w:rsid w:val="004E1FCD"/>
    <w:rsid w:val="004E22D7"/>
    <w:rsid w:val="004E23CC"/>
    <w:rsid w:val="004E2ECF"/>
    <w:rsid w:val="004E3BB8"/>
    <w:rsid w:val="004E46CF"/>
    <w:rsid w:val="004E589B"/>
    <w:rsid w:val="004E6BE9"/>
    <w:rsid w:val="004E6E1F"/>
    <w:rsid w:val="004E7836"/>
    <w:rsid w:val="004E7ED1"/>
    <w:rsid w:val="004F57E1"/>
    <w:rsid w:val="004F5B02"/>
    <w:rsid w:val="004F75DE"/>
    <w:rsid w:val="005012AD"/>
    <w:rsid w:val="00501405"/>
    <w:rsid w:val="005026BD"/>
    <w:rsid w:val="00502958"/>
    <w:rsid w:val="00503676"/>
    <w:rsid w:val="00504023"/>
    <w:rsid w:val="00504986"/>
    <w:rsid w:val="00506E07"/>
    <w:rsid w:val="00510801"/>
    <w:rsid w:val="0051156A"/>
    <w:rsid w:val="00512714"/>
    <w:rsid w:val="00513B23"/>
    <w:rsid w:val="00515995"/>
    <w:rsid w:val="00516875"/>
    <w:rsid w:val="00516C4F"/>
    <w:rsid w:val="00516E6D"/>
    <w:rsid w:val="00517248"/>
    <w:rsid w:val="00517CD2"/>
    <w:rsid w:val="005200A9"/>
    <w:rsid w:val="00521AE5"/>
    <w:rsid w:val="005230A8"/>
    <w:rsid w:val="00523784"/>
    <w:rsid w:val="00524ED6"/>
    <w:rsid w:val="00525A81"/>
    <w:rsid w:val="00526047"/>
    <w:rsid w:val="005264D0"/>
    <w:rsid w:val="00527B2C"/>
    <w:rsid w:val="00527B32"/>
    <w:rsid w:val="0053015D"/>
    <w:rsid w:val="0053256C"/>
    <w:rsid w:val="00532838"/>
    <w:rsid w:val="00532D34"/>
    <w:rsid w:val="00533D04"/>
    <w:rsid w:val="00533E10"/>
    <w:rsid w:val="0053473C"/>
    <w:rsid w:val="00536471"/>
    <w:rsid w:val="00536777"/>
    <w:rsid w:val="005368D8"/>
    <w:rsid w:val="0053707F"/>
    <w:rsid w:val="00540DC8"/>
    <w:rsid w:val="005411C8"/>
    <w:rsid w:val="005412B1"/>
    <w:rsid w:val="00541965"/>
    <w:rsid w:val="00541CB2"/>
    <w:rsid w:val="00552234"/>
    <w:rsid w:val="005537DE"/>
    <w:rsid w:val="005537EB"/>
    <w:rsid w:val="00555012"/>
    <w:rsid w:val="0056044F"/>
    <w:rsid w:val="00560F3C"/>
    <w:rsid w:val="00562653"/>
    <w:rsid w:val="00565B1D"/>
    <w:rsid w:val="00567074"/>
    <w:rsid w:val="005674AA"/>
    <w:rsid w:val="00567B12"/>
    <w:rsid w:val="00567ECF"/>
    <w:rsid w:val="00570046"/>
    <w:rsid w:val="00570339"/>
    <w:rsid w:val="005712B1"/>
    <w:rsid w:val="005712D9"/>
    <w:rsid w:val="005715D8"/>
    <w:rsid w:val="00571921"/>
    <w:rsid w:val="005722BA"/>
    <w:rsid w:val="005733EB"/>
    <w:rsid w:val="00573544"/>
    <w:rsid w:val="00573F62"/>
    <w:rsid w:val="0057472C"/>
    <w:rsid w:val="00574989"/>
    <w:rsid w:val="00575C86"/>
    <w:rsid w:val="005774EC"/>
    <w:rsid w:val="00577ACF"/>
    <w:rsid w:val="0058070E"/>
    <w:rsid w:val="005809F8"/>
    <w:rsid w:val="0058159D"/>
    <w:rsid w:val="00581D68"/>
    <w:rsid w:val="00583D38"/>
    <w:rsid w:val="005858F1"/>
    <w:rsid w:val="0058636C"/>
    <w:rsid w:val="00586BC9"/>
    <w:rsid w:val="00586E3C"/>
    <w:rsid w:val="00587C49"/>
    <w:rsid w:val="0059011F"/>
    <w:rsid w:val="00590224"/>
    <w:rsid w:val="00590FB9"/>
    <w:rsid w:val="00592001"/>
    <w:rsid w:val="00593341"/>
    <w:rsid w:val="0059364C"/>
    <w:rsid w:val="00593761"/>
    <w:rsid w:val="00593AF3"/>
    <w:rsid w:val="00594BF1"/>
    <w:rsid w:val="00595843"/>
    <w:rsid w:val="00595B6E"/>
    <w:rsid w:val="00596F12"/>
    <w:rsid w:val="005977E5"/>
    <w:rsid w:val="00597C54"/>
    <w:rsid w:val="005A185D"/>
    <w:rsid w:val="005A29CF"/>
    <w:rsid w:val="005A5CAF"/>
    <w:rsid w:val="005A65C0"/>
    <w:rsid w:val="005A68D6"/>
    <w:rsid w:val="005B00F4"/>
    <w:rsid w:val="005B030E"/>
    <w:rsid w:val="005B2B2D"/>
    <w:rsid w:val="005B32CC"/>
    <w:rsid w:val="005B35A3"/>
    <w:rsid w:val="005B4C0D"/>
    <w:rsid w:val="005B6A80"/>
    <w:rsid w:val="005B7CB7"/>
    <w:rsid w:val="005B7E2D"/>
    <w:rsid w:val="005B7F7C"/>
    <w:rsid w:val="005C0A35"/>
    <w:rsid w:val="005C0BA0"/>
    <w:rsid w:val="005C1C02"/>
    <w:rsid w:val="005C280C"/>
    <w:rsid w:val="005C2975"/>
    <w:rsid w:val="005C3032"/>
    <w:rsid w:val="005C4154"/>
    <w:rsid w:val="005C4458"/>
    <w:rsid w:val="005C67FB"/>
    <w:rsid w:val="005C689E"/>
    <w:rsid w:val="005C77F3"/>
    <w:rsid w:val="005D0EC1"/>
    <w:rsid w:val="005D1E9F"/>
    <w:rsid w:val="005D2B59"/>
    <w:rsid w:val="005D2E14"/>
    <w:rsid w:val="005D370F"/>
    <w:rsid w:val="005D3EC3"/>
    <w:rsid w:val="005D4639"/>
    <w:rsid w:val="005D4A99"/>
    <w:rsid w:val="005D5108"/>
    <w:rsid w:val="005D58DC"/>
    <w:rsid w:val="005D5B1E"/>
    <w:rsid w:val="005D5F1F"/>
    <w:rsid w:val="005D6441"/>
    <w:rsid w:val="005D67F6"/>
    <w:rsid w:val="005D6ACB"/>
    <w:rsid w:val="005E02EC"/>
    <w:rsid w:val="005E25C7"/>
    <w:rsid w:val="005E2F77"/>
    <w:rsid w:val="005E30A7"/>
    <w:rsid w:val="005E33F0"/>
    <w:rsid w:val="005E3851"/>
    <w:rsid w:val="005E528A"/>
    <w:rsid w:val="005E52F5"/>
    <w:rsid w:val="005E73A8"/>
    <w:rsid w:val="005E7F84"/>
    <w:rsid w:val="005F1B32"/>
    <w:rsid w:val="005F3D94"/>
    <w:rsid w:val="005F3E1B"/>
    <w:rsid w:val="005F3F25"/>
    <w:rsid w:val="005F432F"/>
    <w:rsid w:val="005F462F"/>
    <w:rsid w:val="005F57F0"/>
    <w:rsid w:val="0060042F"/>
    <w:rsid w:val="00604FD5"/>
    <w:rsid w:val="00606BB4"/>
    <w:rsid w:val="006078A5"/>
    <w:rsid w:val="00607A73"/>
    <w:rsid w:val="00607B54"/>
    <w:rsid w:val="00612DB6"/>
    <w:rsid w:val="006131FA"/>
    <w:rsid w:val="00613665"/>
    <w:rsid w:val="006146A6"/>
    <w:rsid w:val="00615707"/>
    <w:rsid w:val="00615872"/>
    <w:rsid w:val="006163DB"/>
    <w:rsid w:val="006164FF"/>
    <w:rsid w:val="00616810"/>
    <w:rsid w:val="006168E4"/>
    <w:rsid w:val="00616A1A"/>
    <w:rsid w:val="0062006B"/>
    <w:rsid w:val="00620C1C"/>
    <w:rsid w:val="00622D12"/>
    <w:rsid w:val="00623914"/>
    <w:rsid w:val="00624021"/>
    <w:rsid w:val="00624410"/>
    <w:rsid w:val="00624EBE"/>
    <w:rsid w:val="00625DB8"/>
    <w:rsid w:val="0062651D"/>
    <w:rsid w:val="0063041F"/>
    <w:rsid w:val="00631AC7"/>
    <w:rsid w:val="00632168"/>
    <w:rsid w:val="00632870"/>
    <w:rsid w:val="0063557B"/>
    <w:rsid w:val="00637C84"/>
    <w:rsid w:val="00640E07"/>
    <w:rsid w:val="00641343"/>
    <w:rsid w:val="006413BF"/>
    <w:rsid w:val="00641B6F"/>
    <w:rsid w:val="00642AF1"/>
    <w:rsid w:val="00643368"/>
    <w:rsid w:val="006438DF"/>
    <w:rsid w:val="0064408F"/>
    <w:rsid w:val="006447DD"/>
    <w:rsid w:val="00646882"/>
    <w:rsid w:val="00646BF7"/>
    <w:rsid w:val="00650372"/>
    <w:rsid w:val="00651862"/>
    <w:rsid w:val="00651A94"/>
    <w:rsid w:val="00652FD4"/>
    <w:rsid w:val="006535BA"/>
    <w:rsid w:val="00656A46"/>
    <w:rsid w:val="0066000E"/>
    <w:rsid w:val="00660E20"/>
    <w:rsid w:val="00660E45"/>
    <w:rsid w:val="006610D3"/>
    <w:rsid w:val="006613CA"/>
    <w:rsid w:val="00661A51"/>
    <w:rsid w:val="00662DB7"/>
    <w:rsid w:val="00663254"/>
    <w:rsid w:val="006632AB"/>
    <w:rsid w:val="00663597"/>
    <w:rsid w:val="00665392"/>
    <w:rsid w:val="00665935"/>
    <w:rsid w:val="00665BD1"/>
    <w:rsid w:val="0066675F"/>
    <w:rsid w:val="006679C8"/>
    <w:rsid w:val="00670080"/>
    <w:rsid w:val="00671508"/>
    <w:rsid w:val="006721C2"/>
    <w:rsid w:val="00672473"/>
    <w:rsid w:val="006725DB"/>
    <w:rsid w:val="00672C6B"/>
    <w:rsid w:val="006735E9"/>
    <w:rsid w:val="00674B47"/>
    <w:rsid w:val="00675113"/>
    <w:rsid w:val="00675562"/>
    <w:rsid w:val="00675581"/>
    <w:rsid w:val="00675F01"/>
    <w:rsid w:val="00676903"/>
    <w:rsid w:val="00676EAB"/>
    <w:rsid w:val="00677770"/>
    <w:rsid w:val="00681051"/>
    <w:rsid w:val="006815A3"/>
    <w:rsid w:val="00681CB2"/>
    <w:rsid w:val="006833E1"/>
    <w:rsid w:val="00684DF0"/>
    <w:rsid w:val="00686C9A"/>
    <w:rsid w:val="00686DC6"/>
    <w:rsid w:val="00690431"/>
    <w:rsid w:val="0069045D"/>
    <w:rsid w:val="00690833"/>
    <w:rsid w:val="006921E7"/>
    <w:rsid w:val="006921E9"/>
    <w:rsid w:val="0069503A"/>
    <w:rsid w:val="006951F2"/>
    <w:rsid w:val="00697647"/>
    <w:rsid w:val="006A0333"/>
    <w:rsid w:val="006A039B"/>
    <w:rsid w:val="006A0C53"/>
    <w:rsid w:val="006A0E2D"/>
    <w:rsid w:val="006A110C"/>
    <w:rsid w:val="006A232A"/>
    <w:rsid w:val="006A369B"/>
    <w:rsid w:val="006A5CFE"/>
    <w:rsid w:val="006A6A29"/>
    <w:rsid w:val="006A6C04"/>
    <w:rsid w:val="006A6FB7"/>
    <w:rsid w:val="006A756D"/>
    <w:rsid w:val="006B1A32"/>
    <w:rsid w:val="006B2871"/>
    <w:rsid w:val="006B2C17"/>
    <w:rsid w:val="006B323A"/>
    <w:rsid w:val="006B3AB3"/>
    <w:rsid w:val="006B3BFD"/>
    <w:rsid w:val="006B5BBC"/>
    <w:rsid w:val="006B73BE"/>
    <w:rsid w:val="006C08D8"/>
    <w:rsid w:val="006C1BDF"/>
    <w:rsid w:val="006C1C5A"/>
    <w:rsid w:val="006C1C77"/>
    <w:rsid w:val="006C2DC6"/>
    <w:rsid w:val="006C32C2"/>
    <w:rsid w:val="006C3753"/>
    <w:rsid w:val="006C515A"/>
    <w:rsid w:val="006C62D0"/>
    <w:rsid w:val="006C666A"/>
    <w:rsid w:val="006C6E6D"/>
    <w:rsid w:val="006C76B8"/>
    <w:rsid w:val="006D033A"/>
    <w:rsid w:val="006D2A3F"/>
    <w:rsid w:val="006D336A"/>
    <w:rsid w:val="006D36AA"/>
    <w:rsid w:val="006D3983"/>
    <w:rsid w:val="006D4720"/>
    <w:rsid w:val="006D522F"/>
    <w:rsid w:val="006D5E0F"/>
    <w:rsid w:val="006D63DC"/>
    <w:rsid w:val="006E1923"/>
    <w:rsid w:val="006E1BAF"/>
    <w:rsid w:val="006E2579"/>
    <w:rsid w:val="006E2867"/>
    <w:rsid w:val="006E5F93"/>
    <w:rsid w:val="006E730D"/>
    <w:rsid w:val="006E7B78"/>
    <w:rsid w:val="006F024B"/>
    <w:rsid w:val="006F3B95"/>
    <w:rsid w:val="006F42D1"/>
    <w:rsid w:val="006F569A"/>
    <w:rsid w:val="006F64C1"/>
    <w:rsid w:val="006F761F"/>
    <w:rsid w:val="0070164F"/>
    <w:rsid w:val="00702675"/>
    <w:rsid w:val="00703DC3"/>
    <w:rsid w:val="00703E5F"/>
    <w:rsid w:val="00703FE4"/>
    <w:rsid w:val="00704122"/>
    <w:rsid w:val="00704286"/>
    <w:rsid w:val="00705077"/>
    <w:rsid w:val="007052FA"/>
    <w:rsid w:val="00705801"/>
    <w:rsid w:val="007071DF"/>
    <w:rsid w:val="00707624"/>
    <w:rsid w:val="00707739"/>
    <w:rsid w:val="00710A62"/>
    <w:rsid w:val="00711E0F"/>
    <w:rsid w:val="00713618"/>
    <w:rsid w:val="00713D6C"/>
    <w:rsid w:val="00713D8F"/>
    <w:rsid w:val="00714C63"/>
    <w:rsid w:val="007159A7"/>
    <w:rsid w:val="00715EA8"/>
    <w:rsid w:val="007168CC"/>
    <w:rsid w:val="00717D4A"/>
    <w:rsid w:val="0072098B"/>
    <w:rsid w:val="007213C3"/>
    <w:rsid w:val="00721838"/>
    <w:rsid w:val="00721F2D"/>
    <w:rsid w:val="00722CE0"/>
    <w:rsid w:val="00723473"/>
    <w:rsid w:val="0072403A"/>
    <w:rsid w:val="00724238"/>
    <w:rsid w:val="00725CB7"/>
    <w:rsid w:val="00726D94"/>
    <w:rsid w:val="00727034"/>
    <w:rsid w:val="0072713E"/>
    <w:rsid w:val="0072726A"/>
    <w:rsid w:val="007302DA"/>
    <w:rsid w:val="007323FE"/>
    <w:rsid w:val="00732531"/>
    <w:rsid w:val="007328BE"/>
    <w:rsid w:val="00732A2A"/>
    <w:rsid w:val="00732D4D"/>
    <w:rsid w:val="00733651"/>
    <w:rsid w:val="00733B49"/>
    <w:rsid w:val="00734975"/>
    <w:rsid w:val="007360FA"/>
    <w:rsid w:val="007403B2"/>
    <w:rsid w:val="00742B6C"/>
    <w:rsid w:val="0074308F"/>
    <w:rsid w:val="0074326C"/>
    <w:rsid w:val="00743815"/>
    <w:rsid w:val="00744433"/>
    <w:rsid w:val="00744BEC"/>
    <w:rsid w:val="00744EEF"/>
    <w:rsid w:val="00745104"/>
    <w:rsid w:val="007456D8"/>
    <w:rsid w:val="0074595D"/>
    <w:rsid w:val="00746B09"/>
    <w:rsid w:val="00747D3F"/>
    <w:rsid w:val="0075052C"/>
    <w:rsid w:val="007517DF"/>
    <w:rsid w:val="00753321"/>
    <w:rsid w:val="007535DF"/>
    <w:rsid w:val="00753E56"/>
    <w:rsid w:val="00754CAE"/>
    <w:rsid w:val="007553F5"/>
    <w:rsid w:val="00755EC4"/>
    <w:rsid w:val="00755FC4"/>
    <w:rsid w:val="007573BA"/>
    <w:rsid w:val="00757F50"/>
    <w:rsid w:val="007621B6"/>
    <w:rsid w:val="0076223D"/>
    <w:rsid w:val="0076263F"/>
    <w:rsid w:val="0076269F"/>
    <w:rsid w:val="007635C6"/>
    <w:rsid w:val="00763795"/>
    <w:rsid w:val="007644A2"/>
    <w:rsid w:val="0076450A"/>
    <w:rsid w:val="007658C0"/>
    <w:rsid w:val="00765C6A"/>
    <w:rsid w:val="00765CA9"/>
    <w:rsid w:val="00766935"/>
    <w:rsid w:val="00767A74"/>
    <w:rsid w:val="00770524"/>
    <w:rsid w:val="0077193C"/>
    <w:rsid w:val="007739C9"/>
    <w:rsid w:val="007748B5"/>
    <w:rsid w:val="00775057"/>
    <w:rsid w:val="007765A0"/>
    <w:rsid w:val="00780ABB"/>
    <w:rsid w:val="00781167"/>
    <w:rsid w:val="007812F5"/>
    <w:rsid w:val="007813E9"/>
    <w:rsid w:val="007815F8"/>
    <w:rsid w:val="007819F7"/>
    <w:rsid w:val="00781DC8"/>
    <w:rsid w:val="0078386E"/>
    <w:rsid w:val="00784466"/>
    <w:rsid w:val="00786A82"/>
    <w:rsid w:val="007873D7"/>
    <w:rsid w:val="0079016D"/>
    <w:rsid w:val="00792627"/>
    <w:rsid w:val="00792A5E"/>
    <w:rsid w:val="007940A2"/>
    <w:rsid w:val="00794F80"/>
    <w:rsid w:val="007955BB"/>
    <w:rsid w:val="00796280"/>
    <w:rsid w:val="007963FD"/>
    <w:rsid w:val="007969B9"/>
    <w:rsid w:val="007976CD"/>
    <w:rsid w:val="007979DC"/>
    <w:rsid w:val="00797A26"/>
    <w:rsid w:val="00797B44"/>
    <w:rsid w:val="007A0331"/>
    <w:rsid w:val="007A2A7F"/>
    <w:rsid w:val="007A39BA"/>
    <w:rsid w:val="007A40E5"/>
    <w:rsid w:val="007A4E06"/>
    <w:rsid w:val="007A684A"/>
    <w:rsid w:val="007A6F75"/>
    <w:rsid w:val="007B026F"/>
    <w:rsid w:val="007B0301"/>
    <w:rsid w:val="007B06C6"/>
    <w:rsid w:val="007B1265"/>
    <w:rsid w:val="007B2C77"/>
    <w:rsid w:val="007B5A25"/>
    <w:rsid w:val="007B6405"/>
    <w:rsid w:val="007B7356"/>
    <w:rsid w:val="007C0279"/>
    <w:rsid w:val="007C03C3"/>
    <w:rsid w:val="007C059D"/>
    <w:rsid w:val="007C124D"/>
    <w:rsid w:val="007C14A7"/>
    <w:rsid w:val="007C266E"/>
    <w:rsid w:val="007C3BE8"/>
    <w:rsid w:val="007C43C0"/>
    <w:rsid w:val="007C5308"/>
    <w:rsid w:val="007C5743"/>
    <w:rsid w:val="007C622A"/>
    <w:rsid w:val="007C6B38"/>
    <w:rsid w:val="007D0691"/>
    <w:rsid w:val="007D0A39"/>
    <w:rsid w:val="007D1A27"/>
    <w:rsid w:val="007D1F15"/>
    <w:rsid w:val="007D25B1"/>
    <w:rsid w:val="007D285D"/>
    <w:rsid w:val="007D2878"/>
    <w:rsid w:val="007D29B6"/>
    <w:rsid w:val="007D2A4F"/>
    <w:rsid w:val="007D3579"/>
    <w:rsid w:val="007D3D3B"/>
    <w:rsid w:val="007D3FAC"/>
    <w:rsid w:val="007D54D3"/>
    <w:rsid w:val="007D54FD"/>
    <w:rsid w:val="007D5E36"/>
    <w:rsid w:val="007E04A9"/>
    <w:rsid w:val="007E11CF"/>
    <w:rsid w:val="007E5DBD"/>
    <w:rsid w:val="007F0428"/>
    <w:rsid w:val="007F19C4"/>
    <w:rsid w:val="007F2555"/>
    <w:rsid w:val="007F2932"/>
    <w:rsid w:val="007F39A9"/>
    <w:rsid w:val="008000E2"/>
    <w:rsid w:val="00800EFB"/>
    <w:rsid w:val="008013DE"/>
    <w:rsid w:val="008028A7"/>
    <w:rsid w:val="008049B9"/>
    <w:rsid w:val="008051F6"/>
    <w:rsid w:val="00805F42"/>
    <w:rsid w:val="008066A3"/>
    <w:rsid w:val="008068F7"/>
    <w:rsid w:val="008071FC"/>
    <w:rsid w:val="00811803"/>
    <w:rsid w:val="00812C48"/>
    <w:rsid w:val="008133A4"/>
    <w:rsid w:val="00813D99"/>
    <w:rsid w:val="00814238"/>
    <w:rsid w:val="008142ED"/>
    <w:rsid w:val="0081527E"/>
    <w:rsid w:val="00815385"/>
    <w:rsid w:val="00815822"/>
    <w:rsid w:val="00815E5E"/>
    <w:rsid w:val="00816B5C"/>
    <w:rsid w:val="00817251"/>
    <w:rsid w:val="00817FCA"/>
    <w:rsid w:val="008206C9"/>
    <w:rsid w:val="008215A5"/>
    <w:rsid w:val="00823A5D"/>
    <w:rsid w:val="00826CE8"/>
    <w:rsid w:val="00830A07"/>
    <w:rsid w:val="008322B4"/>
    <w:rsid w:val="0083233D"/>
    <w:rsid w:val="00834F1D"/>
    <w:rsid w:val="00835CFA"/>
    <w:rsid w:val="0083714A"/>
    <w:rsid w:val="00840890"/>
    <w:rsid w:val="00840BD9"/>
    <w:rsid w:val="00840CBA"/>
    <w:rsid w:val="008417FB"/>
    <w:rsid w:val="00841888"/>
    <w:rsid w:val="00843256"/>
    <w:rsid w:val="00843766"/>
    <w:rsid w:val="00844374"/>
    <w:rsid w:val="00845B3F"/>
    <w:rsid w:val="00846509"/>
    <w:rsid w:val="0084709F"/>
    <w:rsid w:val="00847CCC"/>
    <w:rsid w:val="00847D23"/>
    <w:rsid w:val="008509EB"/>
    <w:rsid w:val="0085196B"/>
    <w:rsid w:val="00852ECF"/>
    <w:rsid w:val="0085352B"/>
    <w:rsid w:val="00854E5D"/>
    <w:rsid w:val="00860159"/>
    <w:rsid w:val="00860701"/>
    <w:rsid w:val="00860736"/>
    <w:rsid w:val="00860FD3"/>
    <w:rsid w:val="00861F02"/>
    <w:rsid w:val="008623E3"/>
    <w:rsid w:val="00863D32"/>
    <w:rsid w:val="0086457C"/>
    <w:rsid w:val="00864F88"/>
    <w:rsid w:val="0086669F"/>
    <w:rsid w:val="00866822"/>
    <w:rsid w:val="0087004E"/>
    <w:rsid w:val="008701F0"/>
    <w:rsid w:val="0087172D"/>
    <w:rsid w:val="008717E2"/>
    <w:rsid w:val="00873A23"/>
    <w:rsid w:val="00875BEF"/>
    <w:rsid w:val="00876A4E"/>
    <w:rsid w:val="008777A9"/>
    <w:rsid w:val="00877948"/>
    <w:rsid w:val="00883EF5"/>
    <w:rsid w:val="00884054"/>
    <w:rsid w:val="00885AD9"/>
    <w:rsid w:val="008864BB"/>
    <w:rsid w:val="00887C51"/>
    <w:rsid w:val="00890005"/>
    <w:rsid w:val="0089170D"/>
    <w:rsid w:val="00891E93"/>
    <w:rsid w:val="0089278C"/>
    <w:rsid w:val="008939C6"/>
    <w:rsid w:val="00893C39"/>
    <w:rsid w:val="00894047"/>
    <w:rsid w:val="00894A63"/>
    <w:rsid w:val="00895329"/>
    <w:rsid w:val="00895BE0"/>
    <w:rsid w:val="00895DE5"/>
    <w:rsid w:val="0089648D"/>
    <w:rsid w:val="00897A40"/>
    <w:rsid w:val="00897F62"/>
    <w:rsid w:val="008A13C8"/>
    <w:rsid w:val="008A1B56"/>
    <w:rsid w:val="008A2703"/>
    <w:rsid w:val="008A2874"/>
    <w:rsid w:val="008A4090"/>
    <w:rsid w:val="008A4197"/>
    <w:rsid w:val="008A45C9"/>
    <w:rsid w:val="008A5A04"/>
    <w:rsid w:val="008A611F"/>
    <w:rsid w:val="008A7559"/>
    <w:rsid w:val="008B021D"/>
    <w:rsid w:val="008B0646"/>
    <w:rsid w:val="008B11C5"/>
    <w:rsid w:val="008B19E1"/>
    <w:rsid w:val="008B5B4C"/>
    <w:rsid w:val="008B6519"/>
    <w:rsid w:val="008B6B4F"/>
    <w:rsid w:val="008B72EB"/>
    <w:rsid w:val="008C15D6"/>
    <w:rsid w:val="008C2175"/>
    <w:rsid w:val="008C249B"/>
    <w:rsid w:val="008C3513"/>
    <w:rsid w:val="008C3C6F"/>
    <w:rsid w:val="008C3F47"/>
    <w:rsid w:val="008C44C7"/>
    <w:rsid w:val="008C48F1"/>
    <w:rsid w:val="008C4CE1"/>
    <w:rsid w:val="008C55A3"/>
    <w:rsid w:val="008C5EF1"/>
    <w:rsid w:val="008C79C6"/>
    <w:rsid w:val="008D1A9A"/>
    <w:rsid w:val="008D68AD"/>
    <w:rsid w:val="008D6C48"/>
    <w:rsid w:val="008D7D80"/>
    <w:rsid w:val="008E1F41"/>
    <w:rsid w:val="008E2337"/>
    <w:rsid w:val="008E286F"/>
    <w:rsid w:val="008E2E77"/>
    <w:rsid w:val="008E3D03"/>
    <w:rsid w:val="008E4475"/>
    <w:rsid w:val="008E549E"/>
    <w:rsid w:val="008E6375"/>
    <w:rsid w:val="008E6886"/>
    <w:rsid w:val="008E701B"/>
    <w:rsid w:val="008E701F"/>
    <w:rsid w:val="008F1151"/>
    <w:rsid w:val="008F26B7"/>
    <w:rsid w:val="008F3BC9"/>
    <w:rsid w:val="008F5EC2"/>
    <w:rsid w:val="008F75AD"/>
    <w:rsid w:val="00900574"/>
    <w:rsid w:val="0090407D"/>
    <w:rsid w:val="00907610"/>
    <w:rsid w:val="00907D81"/>
    <w:rsid w:val="009101C2"/>
    <w:rsid w:val="00910A04"/>
    <w:rsid w:val="00910C6C"/>
    <w:rsid w:val="00911A4A"/>
    <w:rsid w:val="00912353"/>
    <w:rsid w:val="009125D7"/>
    <w:rsid w:val="00912BC2"/>
    <w:rsid w:val="00912F88"/>
    <w:rsid w:val="00913DA3"/>
    <w:rsid w:val="009145D4"/>
    <w:rsid w:val="009146C9"/>
    <w:rsid w:val="00914E4E"/>
    <w:rsid w:val="00914F8E"/>
    <w:rsid w:val="009163EE"/>
    <w:rsid w:val="00917F1D"/>
    <w:rsid w:val="009227B9"/>
    <w:rsid w:val="00922FD0"/>
    <w:rsid w:val="00924020"/>
    <w:rsid w:val="00924450"/>
    <w:rsid w:val="00924F89"/>
    <w:rsid w:val="00925063"/>
    <w:rsid w:val="00925DB4"/>
    <w:rsid w:val="009272AC"/>
    <w:rsid w:val="0092795D"/>
    <w:rsid w:val="00927CA1"/>
    <w:rsid w:val="00927D41"/>
    <w:rsid w:val="00930335"/>
    <w:rsid w:val="00931460"/>
    <w:rsid w:val="00931782"/>
    <w:rsid w:val="0093289F"/>
    <w:rsid w:val="00935132"/>
    <w:rsid w:val="00935DA5"/>
    <w:rsid w:val="009365B5"/>
    <w:rsid w:val="00937C4F"/>
    <w:rsid w:val="00940072"/>
    <w:rsid w:val="009405D8"/>
    <w:rsid w:val="00940F5E"/>
    <w:rsid w:val="009425C2"/>
    <w:rsid w:val="00943B94"/>
    <w:rsid w:val="00944B9B"/>
    <w:rsid w:val="00944D40"/>
    <w:rsid w:val="00944DC9"/>
    <w:rsid w:val="009461B1"/>
    <w:rsid w:val="009472D3"/>
    <w:rsid w:val="00950AD2"/>
    <w:rsid w:val="00951163"/>
    <w:rsid w:val="00951450"/>
    <w:rsid w:val="00951AF7"/>
    <w:rsid w:val="009538AE"/>
    <w:rsid w:val="00953D0F"/>
    <w:rsid w:val="009556A1"/>
    <w:rsid w:val="00956714"/>
    <w:rsid w:val="00956D3D"/>
    <w:rsid w:val="0095765F"/>
    <w:rsid w:val="00960CF1"/>
    <w:rsid w:val="009638F9"/>
    <w:rsid w:val="00963B28"/>
    <w:rsid w:val="00965888"/>
    <w:rsid w:val="0096643B"/>
    <w:rsid w:val="00966A6C"/>
    <w:rsid w:val="00967132"/>
    <w:rsid w:val="00967780"/>
    <w:rsid w:val="00967CD8"/>
    <w:rsid w:val="00967FA0"/>
    <w:rsid w:val="009701AE"/>
    <w:rsid w:val="00970B3D"/>
    <w:rsid w:val="0097228D"/>
    <w:rsid w:val="00972780"/>
    <w:rsid w:val="0097463A"/>
    <w:rsid w:val="00975611"/>
    <w:rsid w:val="009763BD"/>
    <w:rsid w:val="00977B60"/>
    <w:rsid w:val="0098007C"/>
    <w:rsid w:val="00980217"/>
    <w:rsid w:val="009811FE"/>
    <w:rsid w:val="00982A27"/>
    <w:rsid w:val="00983041"/>
    <w:rsid w:val="0098739C"/>
    <w:rsid w:val="00987518"/>
    <w:rsid w:val="00992B24"/>
    <w:rsid w:val="009937C2"/>
    <w:rsid w:val="00994C78"/>
    <w:rsid w:val="0099583C"/>
    <w:rsid w:val="00996170"/>
    <w:rsid w:val="0099751D"/>
    <w:rsid w:val="0099753F"/>
    <w:rsid w:val="009A0035"/>
    <w:rsid w:val="009A0C25"/>
    <w:rsid w:val="009A18D6"/>
    <w:rsid w:val="009A1C37"/>
    <w:rsid w:val="009A33A7"/>
    <w:rsid w:val="009A48EB"/>
    <w:rsid w:val="009A551A"/>
    <w:rsid w:val="009A55D6"/>
    <w:rsid w:val="009A60DF"/>
    <w:rsid w:val="009A7840"/>
    <w:rsid w:val="009B1339"/>
    <w:rsid w:val="009B1AE3"/>
    <w:rsid w:val="009B1D44"/>
    <w:rsid w:val="009B21AF"/>
    <w:rsid w:val="009B2B32"/>
    <w:rsid w:val="009B3487"/>
    <w:rsid w:val="009B37D6"/>
    <w:rsid w:val="009B3996"/>
    <w:rsid w:val="009B500B"/>
    <w:rsid w:val="009B568B"/>
    <w:rsid w:val="009B5A7F"/>
    <w:rsid w:val="009B5DE1"/>
    <w:rsid w:val="009B6404"/>
    <w:rsid w:val="009C0638"/>
    <w:rsid w:val="009C0FB5"/>
    <w:rsid w:val="009C1C9F"/>
    <w:rsid w:val="009C2062"/>
    <w:rsid w:val="009C3E43"/>
    <w:rsid w:val="009C6BA9"/>
    <w:rsid w:val="009C6FEB"/>
    <w:rsid w:val="009C706E"/>
    <w:rsid w:val="009C7248"/>
    <w:rsid w:val="009D1A4C"/>
    <w:rsid w:val="009D1F3F"/>
    <w:rsid w:val="009D256E"/>
    <w:rsid w:val="009D3550"/>
    <w:rsid w:val="009D3555"/>
    <w:rsid w:val="009D3C86"/>
    <w:rsid w:val="009D53C8"/>
    <w:rsid w:val="009D6371"/>
    <w:rsid w:val="009D6861"/>
    <w:rsid w:val="009D687A"/>
    <w:rsid w:val="009E0503"/>
    <w:rsid w:val="009E0517"/>
    <w:rsid w:val="009E06AD"/>
    <w:rsid w:val="009E0875"/>
    <w:rsid w:val="009E08E0"/>
    <w:rsid w:val="009E1DA4"/>
    <w:rsid w:val="009E3508"/>
    <w:rsid w:val="009E3BA1"/>
    <w:rsid w:val="009E416C"/>
    <w:rsid w:val="009E55A5"/>
    <w:rsid w:val="009E55D1"/>
    <w:rsid w:val="009E7B54"/>
    <w:rsid w:val="009F085D"/>
    <w:rsid w:val="009F214C"/>
    <w:rsid w:val="009F2A6B"/>
    <w:rsid w:val="009F2C07"/>
    <w:rsid w:val="009F6101"/>
    <w:rsid w:val="009F6BFB"/>
    <w:rsid w:val="00A00B79"/>
    <w:rsid w:val="00A00C0B"/>
    <w:rsid w:val="00A027C5"/>
    <w:rsid w:val="00A031AD"/>
    <w:rsid w:val="00A03BF2"/>
    <w:rsid w:val="00A049E3"/>
    <w:rsid w:val="00A04EB2"/>
    <w:rsid w:val="00A060A1"/>
    <w:rsid w:val="00A06D55"/>
    <w:rsid w:val="00A07B91"/>
    <w:rsid w:val="00A105CD"/>
    <w:rsid w:val="00A12F4E"/>
    <w:rsid w:val="00A1306A"/>
    <w:rsid w:val="00A13F72"/>
    <w:rsid w:val="00A14118"/>
    <w:rsid w:val="00A1492A"/>
    <w:rsid w:val="00A16F8B"/>
    <w:rsid w:val="00A203C0"/>
    <w:rsid w:val="00A20A65"/>
    <w:rsid w:val="00A21DC4"/>
    <w:rsid w:val="00A22777"/>
    <w:rsid w:val="00A2357B"/>
    <w:rsid w:val="00A251C7"/>
    <w:rsid w:val="00A254BE"/>
    <w:rsid w:val="00A25ABB"/>
    <w:rsid w:val="00A26D51"/>
    <w:rsid w:val="00A27EFE"/>
    <w:rsid w:val="00A3199B"/>
    <w:rsid w:val="00A341D0"/>
    <w:rsid w:val="00A345ED"/>
    <w:rsid w:val="00A369EE"/>
    <w:rsid w:val="00A36F00"/>
    <w:rsid w:val="00A37CDE"/>
    <w:rsid w:val="00A43885"/>
    <w:rsid w:val="00A43E27"/>
    <w:rsid w:val="00A43FB0"/>
    <w:rsid w:val="00A44600"/>
    <w:rsid w:val="00A4582F"/>
    <w:rsid w:val="00A4598E"/>
    <w:rsid w:val="00A45D6F"/>
    <w:rsid w:val="00A479D2"/>
    <w:rsid w:val="00A47BC6"/>
    <w:rsid w:val="00A47E10"/>
    <w:rsid w:val="00A52C01"/>
    <w:rsid w:val="00A53487"/>
    <w:rsid w:val="00A534F8"/>
    <w:rsid w:val="00A5373F"/>
    <w:rsid w:val="00A53F8B"/>
    <w:rsid w:val="00A549D8"/>
    <w:rsid w:val="00A54B83"/>
    <w:rsid w:val="00A5554B"/>
    <w:rsid w:val="00A56379"/>
    <w:rsid w:val="00A577C0"/>
    <w:rsid w:val="00A57E7D"/>
    <w:rsid w:val="00A6015E"/>
    <w:rsid w:val="00A60B01"/>
    <w:rsid w:val="00A61DB9"/>
    <w:rsid w:val="00A625E2"/>
    <w:rsid w:val="00A63003"/>
    <w:rsid w:val="00A64FC2"/>
    <w:rsid w:val="00A664DB"/>
    <w:rsid w:val="00A67744"/>
    <w:rsid w:val="00A70F72"/>
    <w:rsid w:val="00A713C4"/>
    <w:rsid w:val="00A72465"/>
    <w:rsid w:val="00A72506"/>
    <w:rsid w:val="00A72A98"/>
    <w:rsid w:val="00A73A59"/>
    <w:rsid w:val="00A73D2D"/>
    <w:rsid w:val="00A750A4"/>
    <w:rsid w:val="00A75540"/>
    <w:rsid w:val="00A7582E"/>
    <w:rsid w:val="00A767F9"/>
    <w:rsid w:val="00A76ECA"/>
    <w:rsid w:val="00A80C92"/>
    <w:rsid w:val="00A80F7A"/>
    <w:rsid w:val="00A82EED"/>
    <w:rsid w:val="00A83378"/>
    <w:rsid w:val="00A83E9B"/>
    <w:rsid w:val="00A855E5"/>
    <w:rsid w:val="00A8592A"/>
    <w:rsid w:val="00A86260"/>
    <w:rsid w:val="00A86A34"/>
    <w:rsid w:val="00A90C93"/>
    <w:rsid w:val="00A90EA5"/>
    <w:rsid w:val="00A913CD"/>
    <w:rsid w:val="00A9174F"/>
    <w:rsid w:val="00A94D6F"/>
    <w:rsid w:val="00A95D89"/>
    <w:rsid w:val="00A977EA"/>
    <w:rsid w:val="00AA00BC"/>
    <w:rsid w:val="00AA0E43"/>
    <w:rsid w:val="00AA19FB"/>
    <w:rsid w:val="00AA2F80"/>
    <w:rsid w:val="00AA36B1"/>
    <w:rsid w:val="00AA4158"/>
    <w:rsid w:val="00AA4CAC"/>
    <w:rsid w:val="00AA55AD"/>
    <w:rsid w:val="00AA5AFE"/>
    <w:rsid w:val="00AA5BCC"/>
    <w:rsid w:val="00AA6EF5"/>
    <w:rsid w:val="00AA7775"/>
    <w:rsid w:val="00AB1BD1"/>
    <w:rsid w:val="00AB3132"/>
    <w:rsid w:val="00AB3B69"/>
    <w:rsid w:val="00AB493B"/>
    <w:rsid w:val="00AB4B0F"/>
    <w:rsid w:val="00AB527F"/>
    <w:rsid w:val="00AB5559"/>
    <w:rsid w:val="00AB729A"/>
    <w:rsid w:val="00AC3351"/>
    <w:rsid w:val="00AC33C5"/>
    <w:rsid w:val="00AC3451"/>
    <w:rsid w:val="00AC45ED"/>
    <w:rsid w:val="00AC4A9D"/>
    <w:rsid w:val="00AC4F8E"/>
    <w:rsid w:val="00AC5B00"/>
    <w:rsid w:val="00AC5B7C"/>
    <w:rsid w:val="00AC6C82"/>
    <w:rsid w:val="00AC7E5B"/>
    <w:rsid w:val="00AD0294"/>
    <w:rsid w:val="00AD1939"/>
    <w:rsid w:val="00AD215A"/>
    <w:rsid w:val="00AD2A5A"/>
    <w:rsid w:val="00AD2CC3"/>
    <w:rsid w:val="00AD32F3"/>
    <w:rsid w:val="00AD4352"/>
    <w:rsid w:val="00AD64DA"/>
    <w:rsid w:val="00AD665E"/>
    <w:rsid w:val="00AD73C3"/>
    <w:rsid w:val="00AE0EF6"/>
    <w:rsid w:val="00AE2BD3"/>
    <w:rsid w:val="00AE2ED4"/>
    <w:rsid w:val="00AE3F23"/>
    <w:rsid w:val="00AE66D4"/>
    <w:rsid w:val="00AF1702"/>
    <w:rsid w:val="00AF1BF1"/>
    <w:rsid w:val="00AF4DFD"/>
    <w:rsid w:val="00AF4F73"/>
    <w:rsid w:val="00AF4FEB"/>
    <w:rsid w:val="00AF559A"/>
    <w:rsid w:val="00AF55A1"/>
    <w:rsid w:val="00AF63AA"/>
    <w:rsid w:val="00AF64D4"/>
    <w:rsid w:val="00AF67BF"/>
    <w:rsid w:val="00AF6E7D"/>
    <w:rsid w:val="00AF717E"/>
    <w:rsid w:val="00AF73F9"/>
    <w:rsid w:val="00AF7971"/>
    <w:rsid w:val="00B003AB"/>
    <w:rsid w:val="00B05677"/>
    <w:rsid w:val="00B058F7"/>
    <w:rsid w:val="00B06837"/>
    <w:rsid w:val="00B07089"/>
    <w:rsid w:val="00B076B5"/>
    <w:rsid w:val="00B121F3"/>
    <w:rsid w:val="00B14290"/>
    <w:rsid w:val="00B1546B"/>
    <w:rsid w:val="00B16245"/>
    <w:rsid w:val="00B16D3E"/>
    <w:rsid w:val="00B16F45"/>
    <w:rsid w:val="00B17958"/>
    <w:rsid w:val="00B20E00"/>
    <w:rsid w:val="00B21C77"/>
    <w:rsid w:val="00B21D7C"/>
    <w:rsid w:val="00B22296"/>
    <w:rsid w:val="00B232E1"/>
    <w:rsid w:val="00B24BAA"/>
    <w:rsid w:val="00B24D46"/>
    <w:rsid w:val="00B251DF"/>
    <w:rsid w:val="00B25DCF"/>
    <w:rsid w:val="00B2715E"/>
    <w:rsid w:val="00B27582"/>
    <w:rsid w:val="00B31286"/>
    <w:rsid w:val="00B314ED"/>
    <w:rsid w:val="00B31C6A"/>
    <w:rsid w:val="00B32069"/>
    <w:rsid w:val="00B3236C"/>
    <w:rsid w:val="00B32CD3"/>
    <w:rsid w:val="00B335BF"/>
    <w:rsid w:val="00B3403B"/>
    <w:rsid w:val="00B344F9"/>
    <w:rsid w:val="00B3486A"/>
    <w:rsid w:val="00B35235"/>
    <w:rsid w:val="00B3635A"/>
    <w:rsid w:val="00B3646F"/>
    <w:rsid w:val="00B3672D"/>
    <w:rsid w:val="00B370C3"/>
    <w:rsid w:val="00B40BB3"/>
    <w:rsid w:val="00B4146E"/>
    <w:rsid w:val="00B43446"/>
    <w:rsid w:val="00B442A7"/>
    <w:rsid w:val="00B44795"/>
    <w:rsid w:val="00B450AF"/>
    <w:rsid w:val="00B45CC8"/>
    <w:rsid w:val="00B45CC9"/>
    <w:rsid w:val="00B46578"/>
    <w:rsid w:val="00B479A2"/>
    <w:rsid w:val="00B47F03"/>
    <w:rsid w:val="00B500C9"/>
    <w:rsid w:val="00B510C6"/>
    <w:rsid w:val="00B513F3"/>
    <w:rsid w:val="00B5243D"/>
    <w:rsid w:val="00B53CAA"/>
    <w:rsid w:val="00B550A9"/>
    <w:rsid w:val="00B56DAB"/>
    <w:rsid w:val="00B57351"/>
    <w:rsid w:val="00B60EA2"/>
    <w:rsid w:val="00B62F9D"/>
    <w:rsid w:val="00B642D9"/>
    <w:rsid w:val="00B6449E"/>
    <w:rsid w:val="00B65B42"/>
    <w:rsid w:val="00B70B53"/>
    <w:rsid w:val="00B73F91"/>
    <w:rsid w:val="00B7442C"/>
    <w:rsid w:val="00B74977"/>
    <w:rsid w:val="00B74A37"/>
    <w:rsid w:val="00B74AD4"/>
    <w:rsid w:val="00B811E2"/>
    <w:rsid w:val="00B82C8A"/>
    <w:rsid w:val="00B82EE5"/>
    <w:rsid w:val="00B84137"/>
    <w:rsid w:val="00B843C5"/>
    <w:rsid w:val="00B8490B"/>
    <w:rsid w:val="00B85295"/>
    <w:rsid w:val="00B862D7"/>
    <w:rsid w:val="00B8682D"/>
    <w:rsid w:val="00B86B3E"/>
    <w:rsid w:val="00B87252"/>
    <w:rsid w:val="00B87477"/>
    <w:rsid w:val="00B90B38"/>
    <w:rsid w:val="00B91140"/>
    <w:rsid w:val="00B93174"/>
    <w:rsid w:val="00B979BE"/>
    <w:rsid w:val="00BA082E"/>
    <w:rsid w:val="00BA20BD"/>
    <w:rsid w:val="00BA482F"/>
    <w:rsid w:val="00BA6499"/>
    <w:rsid w:val="00BA73E9"/>
    <w:rsid w:val="00BA7AD1"/>
    <w:rsid w:val="00BA7BCA"/>
    <w:rsid w:val="00BB0A7A"/>
    <w:rsid w:val="00BB15F5"/>
    <w:rsid w:val="00BB2209"/>
    <w:rsid w:val="00BB237B"/>
    <w:rsid w:val="00BB2B6E"/>
    <w:rsid w:val="00BB3D0A"/>
    <w:rsid w:val="00BB5D98"/>
    <w:rsid w:val="00BB663F"/>
    <w:rsid w:val="00BB721C"/>
    <w:rsid w:val="00BB77C4"/>
    <w:rsid w:val="00BC02B7"/>
    <w:rsid w:val="00BC0FDD"/>
    <w:rsid w:val="00BC13FC"/>
    <w:rsid w:val="00BC1D57"/>
    <w:rsid w:val="00BC1EEC"/>
    <w:rsid w:val="00BC22E0"/>
    <w:rsid w:val="00BC2585"/>
    <w:rsid w:val="00BC4387"/>
    <w:rsid w:val="00BC5AEC"/>
    <w:rsid w:val="00BC7574"/>
    <w:rsid w:val="00BC7F5A"/>
    <w:rsid w:val="00BD0A72"/>
    <w:rsid w:val="00BD18B1"/>
    <w:rsid w:val="00BD1B1A"/>
    <w:rsid w:val="00BD2230"/>
    <w:rsid w:val="00BD224F"/>
    <w:rsid w:val="00BD24DD"/>
    <w:rsid w:val="00BD3662"/>
    <w:rsid w:val="00BD7669"/>
    <w:rsid w:val="00BE0FC7"/>
    <w:rsid w:val="00BE1309"/>
    <w:rsid w:val="00BE14CA"/>
    <w:rsid w:val="00BE22B6"/>
    <w:rsid w:val="00BE23CE"/>
    <w:rsid w:val="00BE3C9F"/>
    <w:rsid w:val="00BE4820"/>
    <w:rsid w:val="00BE5337"/>
    <w:rsid w:val="00BE7179"/>
    <w:rsid w:val="00BF08E5"/>
    <w:rsid w:val="00BF189A"/>
    <w:rsid w:val="00BF19BD"/>
    <w:rsid w:val="00BF4910"/>
    <w:rsid w:val="00BF5B02"/>
    <w:rsid w:val="00C0044E"/>
    <w:rsid w:val="00C01C5F"/>
    <w:rsid w:val="00C02F1E"/>
    <w:rsid w:val="00C03E99"/>
    <w:rsid w:val="00C0666D"/>
    <w:rsid w:val="00C06713"/>
    <w:rsid w:val="00C071F1"/>
    <w:rsid w:val="00C079C6"/>
    <w:rsid w:val="00C100B7"/>
    <w:rsid w:val="00C10B1C"/>
    <w:rsid w:val="00C11A0F"/>
    <w:rsid w:val="00C14EC0"/>
    <w:rsid w:val="00C150DD"/>
    <w:rsid w:val="00C15607"/>
    <w:rsid w:val="00C165AE"/>
    <w:rsid w:val="00C16E5B"/>
    <w:rsid w:val="00C16FA4"/>
    <w:rsid w:val="00C1707E"/>
    <w:rsid w:val="00C17A49"/>
    <w:rsid w:val="00C17A64"/>
    <w:rsid w:val="00C17EC3"/>
    <w:rsid w:val="00C2207D"/>
    <w:rsid w:val="00C22979"/>
    <w:rsid w:val="00C2340D"/>
    <w:rsid w:val="00C241B1"/>
    <w:rsid w:val="00C26486"/>
    <w:rsid w:val="00C26589"/>
    <w:rsid w:val="00C26B01"/>
    <w:rsid w:val="00C30912"/>
    <w:rsid w:val="00C31890"/>
    <w:rsid w:val="00C31AB9"/>
    <w:rsid w:val="00C3264A"/>
    <w:rsid w:val="00C348DA"/>
    <w:rsid w:val="00C353FD"/>
    <w:rsid w:val="00C35567"/>
    <w:rsid w:val="00C35AF8"/>
    <w:rsid w:val="00C37D0C"/>
    <w:rsid w:val="00C404EF"/>
    <w:rsid w:val="00C408C7"/>
    <w:rsid w:val="00C40F16"/>
    <w:rsid w:val="00C44042"/>
    <w:rsid w:val="00C444F5"/>
    <w:rsid w:val="00C44DA8"/>
    <w:rsid w:val="00C4633F"/>
    <w:rsid w:val="00C463F9"/>
    <w:rsid w:val="00C466E6"/>
    <w:rsid w:val="00C46C55"/>
    <w:rsid w:val="00C46C6B"/>
    <w:rsid w:val="00C46DA6"/>
    <w:rsid w:val="00C47A1C"/>
    <w:rsid w:val="00C47BF4"/>
    <w:rsid w:val="00C50FE4"/>
    <w:rsid w:val="00C51811"/>
    <w:rsid w:val="00C5190D"/>
    <w:rsid w:val="00C52798"/>
    <w:rsid w:val="00C53C77"/>
    <w:rsid w:val="00C53F0B"/>
    <w:rsid w:val="00C53FDD"/>
    <w:rsid w:val="00C557B0"/>
    <w:rsid w:val="00C55B03"/>
    <w:rsid w:val="00C56825"/>
    <w:rsid w:val="00C57419"/>
    <w:rsid w:val="00C57B36"/>
    <w:rsid w:val="00C6085B"/>
    <w:rsid w:val="00C60EC3"/>
    <w:rsid w:val="00C63467"/>
    <w:rsid w:val="00C64B4B"/>
    <w:rsid w:val="00C666C8"/>
    <w:rsid w:val="00C67915"/>
    <w:rsid w:val="00C67CA6"/>
    <w:rsid w:val="00C7160C"/>
    <w:rsid w:val="00C72B7E"/>
    <w:rsid w:val="00C7355D"/>
    <w:rsid w:val="00C74AED"/>
    <w:rsid w:val="00C74CA8"/>
    <w:rsid w:val="00C7515B"/>
    <w:rsid w:val="00C755F8"/>
    <w:rsid w:val="00C7799D"/>
    <w:rsid w:val="00C81527"/>
    <w:rsid w:val="00C847F5"/>
    <w:rsid w:val="00C857B3"/>
    <w:rsid w:val="00C85A80"/>
    <w:rsid w:val="00C85E42"/>
    <w:rsid w:val="00C86230"/>
    <w:rsid w:val="00C87AE0"/>
    <w:rsid w:val="00C87D2E"/>
    <w:rsid w:val="00C90354"/>
    <w:rsid w:val="00C90C51"/>
    <w:rsid w:val="00C9475E"/>
    <w:rsid w:val="00C948DB"/>
    <w:rsid w:val="00C95465"/>
    <w:rsid w:val="00C9648D"/>
    <w:rsid w:val="00C9682C"/>
    <w:rsid w:val="00C972AE"/>
    <w:rsid w:val="00C97EF5"/>
    <w:rsid w:val="00CA1F36"/>
    <w:rsid w:val="00CA2F33"/>
    <w:rsid w:val="00CA381C"/>
    <w:rsid w:val="00CA3A5E"/>
    <w:rsid w:val="00CA4AC5"/>
    <w:rsid w:val="00CA5A69"/>
    <w:rsid w:val="00CA6A2A"/>
    <w:rsid w:val="00CA74C9"/>
    <w:rsid w:val="00CA752A"/>
    <w:rsid w:val="00CB134B"/>
    <w:rsid w:val="00CB156E"/>
    <w:rsid w:val="00CB2683"/>
    <w:rsid w:val="00CB39F9"/>
    <w:rsid w:val="00CB4B4F"/>
    <w:rsid w:val="00CB4CE2"/>
    <w:rsid w:val="00CB5D20"/>
    <w:rsid w:val="00CB5DDE"/>
    <w:rsid w:val="00CB6810"/>
    <w:rsid w:val="00CC153A"/>
    <w:rsid w:val="00CC2798"/>
    <w:rsid w:val="00CC3C77"/>
    <w:rsid w:val="00CC60AC"/>
    <w:rsid w:val="00CD0864"/>
    <w:rsid w:val="00CD0B22"/>
    <w:rsid w:val="00CD0E1E"/>
    <w:rsid w:val="00CD1DA7"/>
    <w:rsid w:val="00CD39B6"/>
    <w:rsid w:val="00CD43BD"/>
    <w:rsid w:val="00CD4A21"/>
    <w:rsid w:val="00CD542F"/>
    <w:rsid w:val="00CD6EA1"/>
    <w:rsid w:val="00CD7EE2"/>
    <w:rsid w:val="00CE0764"/>
    <w:rsid w:val="00CE2905"/>
    <w:rsid w:val="00CE2ADF"/>
    <w:rsid w:val="00CE367F"/>
    <w:rsid w:val="00CE4165"/>
    <w:rsid w:val="00CE490C"/>
    <w:rsid w:val="00CE4F42"/>
    <w:rsid w:val="00CE6422"/>
    <w:rsid w:val="00CE773F"/>
    <w:rsid w:val="00CF0487"/>
    <w:rsid w:val="00CF07E1"/>
    <w:rsid w:val="00CF21CE"/>
    <w:rsid w:val="00CF22BD"/>
    <w:rsid w:val="00CF23C3"/>
    <w:rsid w:val="00CF302F"/>
    <w:rsid w:val="00CF3DE8"/>
    <w:rsid w:val="00CF4169"/>
    <w:rsid w:val="00CF47BB"/>
    <w:rsid w:val="00CF6AF4"/>
    <w:rsid w:val="00CF7066"/>
    <w:rsid w:val="00CF7069"/>
    <w:rsid w:val="00CF7916"/>
    <w:rsid w:val="00D01343"/>
    <w:rsid w:val="00D0152C"/>
    <w:rsid w:val="00D022D4"/>
    <w:rsid w:val="00D02DB0"/>
    <w:rsid w:val="00D0355A"/>
    <w:rsid w:val="00D0359B"/>
    <w:rsid w:val="00D052EC"/>
    <w:rsid w:val="00D05B60"/>
    <w:rsid w:val="00D062D3"/>
    <w:rsid w:val="00D06CA0"/>
    <w:rsid w:val="00D0709D"/>
    <w:rsid w:val="00D075A5"/>
    <w:rsid w:val="00D118E1"/>
    <w:rsid w:val="00D13D28"/>
    <w:rsid w:val="00D13E6E"/>
    <w:rsid w:val="00D148E6"/>
    <w:rsid w:val="00D1584E"/>
    <w:rsid w:val="00D15C03"/>
    <w:rsid w:val="00D15FD7"/>
    <w:rsid w:val="00D1616E"/>
    <w:rsid w:val="00D16424"/>
    <w:rsid w:val="00D16636"/>
    <w:rsid w:val="00D17001"/>
    <w:rsid w:val="00D17A73"/>
    <w:rsid w:val="00D2155F"/>
    <w:rsid w:val="00D21758"/>
    <w:rsid w:val="00D21F81"/>
    <w:rsid w:val="00D22818"/>
    <w:rsid w:val="00D22DF1"/>
    <w:rsid w:val="00D230E7"/>
    <w:rsid w:val="00D23944"/>
    <w:rsid w:val="00D25451"/>
    <w:rsid w:val="00D25B45"/>
    <w:rsid w:val="00D27A25"/>
    <w:rsid w:val="00D27AAE"/>
    <w:rsid w:val="00D27DDC"/>
    <w:rsid w:val="00D30349"/>
    <w:rsid w:val="00D304E4"/>
    <w:rsid w:val="00D30A5C"/>
    <w:rsid w:val="00D3121A"/>
    <w:rsid w:val="00D318C6"/>
    <w:rsid w:val="00D319A0"/>
    <w:rsid w:val="00D32535"/>
    <w:rsid w:val="00D32F97"/>
    <w:rsid w:val="00D331F4"/>
    <w:rsid w:val="00D34362"/>
    <w:rsid w:val="00D35D29"/>
    <w:rsid w:val="00D35D48"/>
    <w:rsid w:val="00D364A8"/>
    <w:rsid w:val="00D36675"/>
    <w:rsid w:val="00D3729C"/>
    <w:rsid w:val="00D40542"/>
    <w:rsid w:val="00D40E05"/>
    <w:rsid w:val="00D41C4F"/>
    <w:rsid w:val="00D41D66"/>
    <w:rsid w:val="00D4228F"/>
    <w:rsid w:val="00D43E5F"/>
    <w:rsid w:val="00D459B4"/>
    <w:rsid w:val="00D463E7"/>
    <w:rsid w:val="00D46DDC"/>
    <w:rsid w:val="00D47178"/>
    <w:rsid w:val="00D476FE"/>
    <w:rsid w:val="00D50F9D"/>
    <w:rsid w:val="00D516F2"/>
    <w:rsid w:val="00D5207D"/>
    <w:rsid w:val="00D534CB"/>
    <w:rsid w:val="00D537B1"/>
    <w:rsid w:val="00D53904"/>
    <w:rsid w:val="00D5415F"/>
    <w:rsid w:val="00D5488F"/>
    <w:rsid w:val="00D55FCD"/>
    <w:rsid w:val="00D57223"/>
    <w:rsid w:val="00D5722D"/>
    <w:rsid w:val="00D5734B"/>
    <w:rsid w:val="00D57552"/>
    <w:rsid w:val="00D60303"/>
    <w:rsid w:val="00D606A0"/>
    <w:rsid w:val="00D60CCA"/>
    <w:rsid w:val="00D60E60"/>
    <w:rsid w:val="00D61FBE"/>
    <w:rsid w:val="00D62BFD"/>
    <w:rsid w:val="00D63005"/>
    <w:rsid w:val="00D655DC"/>
    <w:rsid w:val="00D658AD"/>
    <w:rsid w:val="00D664E4"/>
    <w:rsid w:val="00D709B4"/>
    <w:rsid w:val="00D70C3A"/>
    <w:rsid w:val="00D71873"/>
    <w:rsid w:val="00D72652"/>
    <w:rsid w:val="00D726B5"/>
    <w:rsid w:val="00D72D16"/>
    <w:rsid w:val="00D73430"/>
    <w:rsid w:val="00D745DE"/>
    <w:rsid w:val="00D75771"/>
    <w:rsid w:val="00D759A9"/>
    <w:rsid w:val="00D76D6B"/>
    <w:rsid w:val="00D77D34"/>
    <w:rsid w:val="00D803C2"/>
    <w:rsid w:val="00D81593"/>
    <w:rsid w:val="00D8248B"/>
    <w:rsid w:val="00D83AE9"/>
    <w:rsid w:val="00D83CAF"/>
    <w:rsid w:val="00D8425B"/>
    <w:rsid w:val="00D84A3A"/>
    <w:rsid w:val="00D84EA8"/>
    <w:rsid w:val="00D8665B"/>
    <w:rsid w:val="00D866E3"/>
    <w:rsid w:val="00D86767"/>
    <w:rsid w:val="00D86BDD"/>
    <w:rsid w:val="00D87B4D"/>
    <w:rsid w:val="00D91106"/>
    <w:rsid w:val="00D92351"/>
    <w:rsid w:val="00D925AB"/>
    <w:rsid w:val="00D92640"/>
    <w:rsid w:val="00D9303D"/>
    <w:rsid w:val="00D93956"/>
    <w:rsid w:val="00D94C2A"/>
    <w:rsid w:val="00D96B7B"/>
    <w:rsid w:val="00D96BD3"/>
    <w:rsid w:val="00D96C10"/>
    <w:rsid w:val="00D97FD8"/>
    <w:rsid w:val="00DA0FE1"/>
    <w:rsid w:val="00DA11A0"/>
    <w:rsid w:val="00DA263A"/>
    <w:rsid w:val="00DA2774"/>
    <w:rsid w:val="00DA3185"/>
    <w:rsid w:val="00DA3382"/>
    <w:rsid w:val="00DA46D8"/>
    <w:rsid w:val="00DA4843"/>
    <w:rsid w:val="00DA4D28"/>
    <w:rsid w:val="00DA51A9"/>
    <w:rsid w:val="00DA59C8"/>
    <w:rsid w:val="00DA5ECC"/>
    <w:rsid w:val="00DA6725"/>
    <w:rsid w:val="00DA6CD0"/>
    <w:rsid w:val="00DA6DFC"/>
    <w:rsid w:val="00DA72E9"/>
    <w:rsid w:val="00DA7994"/>
    <w:rsid w:val="00DB0183"/>
    <w:rsid w:val="00DB190A"/>
    <w:rsid w:val="00DB2013"/>
    <w:rsid w:val="00DB2B06"/>
    <w:rsid w:val="00DB2B15"/>
    <w:rsid w:val="00DB3194"/>
    <w:rsid w:val="00DB3E24"/>
    <w:rsid w:val="00DB5C0A"/>
    <w:rsid w:val="00DB6BE2"/>
    <w:rsid w:val="00DB7344"/>
    <w:rsid w:val="00DC062B"/>
    <w:rsid w:val="00DC08F7"/>
    <w:rsid w:val="00DC20A0"/>
    <w:rsid w:val="00DC3CDC"/>
    <w:rsid w:val="00DC467A"/>
    <w:rsid w:val="00DC4CDB"/>
    <w:rsid w:val="00DC50BD"/>
    <w:rsid w:val="00DC7FC7"/>
    <w:rsid w:val="00DC7FE2"/>
    <w:rsid w:val="00DD017C"/>
    <w:rsid w:val="00DD13E2"/>
    <w:rsid w:val="00DD2056"/>
    <w:rsid w:val="00DD4348"/>
    <w:rsid w:val="00DD4480"/>
    <w:rsid w:val="00DE1212"/>
    <w:rsid w:val="00DE15A9"/>
    <w:rsid w:val="00DE32B8"/>
    <w:rsid w:val="00DE482B"/>
    <w:rsid w:val="00DE5087"/>
    <w:rsid w:val="00DE58AC"/>
    <w:rsid w:val="00DE7266"/>
    <w:rsid w:val="00DE79F4"/>
    <w:rsid w:val="00DE7BE0"/>
    <w:rsid w:val="00DF003C"/>
    <w:rsid w:val="00DF0142"/>
    <w:rsid w:val="00DF0845"/>
    <w:rsid w:val="00DF0BC7"/>
    <w:rsid w:val="00DF0DB4"/>
    <w:rsid w:val="00DF1B60"/>
    <w:rsid w:val="00DF2C06"/>
    <w:rsid w:val="00DF30A3"/>
    <w:rsid w:val="00DF30AC"/>
    <w:rsid w:val="00DF42CA"/>
    <w:rsid w:val="00DF4501"/>
    <w:rsid w:val="00DF4B36"/>
    <w:rsid w:val="00DF4DBA"/>
    <w:rsid w:val="00DF592C"/>
    <w:rsid w:val="00DF5FBA"/>
    <w:rsid w:val="00DF625D"/>
    <w:rsid w:val="00DF63B3"/>
    <w:rsid w:val="00DF647A"/>
    <w:rsid w:val="00DF7142"/>
    <w:rsid w:val="00DF7157"/>
    <w:rsid w:val="00DF7569"/>
    <w:rsid w:val="00DF7EF5"/>
    <w:rsid w:val="00E01A1A"/>
    <w:rsid w:val="00E01CB5"/>
    <w:rsid w:val="00E02599"/>
    <w:rsid w:val="00E02668"/>
    <w:rsid w:val="00E02F3C"/>
    <w:rsid w:val="00E03E9F"/>
    <w:rsid w:val="00E0515C"/>
    <w:rsid w:val="00E06BE3"/>
    <w:rsid w:val="00E107F7"/>
    <w:rsid w:val="00E110A7"/>
    <w:rsid w:val="00E11403"/>
    <w:rsid w:val="00E12036"/>
    <w:rsid w:val="00E12CC8"/>
    <w:rsid w:val="00E131CD"/>
    <w:rsid w:val="00E13394"/>
    <w:rsid w:val="00E140B1"/>
    <w:rsid w:val="00E14310"/>
    <w:rsid w:val="00E14F6A"/>
    <w:rsid w:val="00E16D64"/>
    <w:rsid w:val="00E209D8"/>
    <w:rsid w:val="00E209E8"/>
    <w:rsid w:val="00E21E0D"/>
    <w:rsid w:val="00E229C2"/>
    <w:rsid w:val="00E23D96"/>
    <w:rsid w:val="00E248C4"/>
    <w:rsid w:val="00E2672F"/>
    <w:rsid w:val="00E26769"/>
    <w:rsid w:val="00E27A1D"/>
    <w:rsid w:val="00E30BAE"/>
    <w:rsid w:val="00E312D5"/>
    <w:rsid w:val="00E32391"/>
    <w:rsid w:val="00E32CC0"/>
    <w:rsid w:val="00E33269"/>
    <w:rsid w:val="00E332C0"/>
    <w:rsid w:val="00E3474C"/>
    <w:rsid w:val="00E349AF"/>
    <w:rsid w:val="00E3504D"/>
    <w:rsid w:val="00E35403"/>
    <w:rsid w:val="00E35698"/>
    <w:rsid w:val="00E37530"/>
    <w:rsid w:val="00E376CF"/>
    <w:rsid w:val="00E37A07"/>
    <w:rsid w:val="00E37EF3"/>
    <w:rsid w:val="00E402B0"/>
    <w:rsid w:val="00E4031F"/>
    <w:rsid w:val="00E41394"/>
    <w:rsid w:val="00E420F0"/>
    <w:rsid w:val="00E43CF8"/>
    <w:rsid w:val="00E43DC5"/>
    <w:rsid w:val="00E43F55"/>
    <w:rsid w:val="00E45301"/>
    <w:rsid w:val="00E45FFB"/>
    <w:rsid w:val="00E50507"/>
    <w:rsid w:val="00E5529B"/>
    <w:rsid w:val="00E5668B"/>
    <w:rsid w:val="00E56D74"/>
    <w:rsid w:val="00E57D6E"/>
    <w:rsid w:val="00E6008F"/>
    <w:rsid w:val="00E60B4E"/>
    <w:rsid w:val="00E61F94"/>
    <w:rsid w:val="00E62233"/>
    <w:rsid w:val="00E6268B"/>
    <w:rsid w:val="00E632C1"/>
    <w:rsid w:val="00E64830"/>
    <w:rsid w:val="00E6577F"/>
    <w:rsid w:val="00E65C12"/>
    <w:rsid w:val="00E65F28"/>
    <w:rsid w:val="00E665A7"/>
    <w:rsid w:val="00E66E12"/>
    <w:rsid w:val="00E703E6"/>
    <w:rsid w:val="00E70D0F"/>
    <w:rsid w:val="00E7136D"/>
    <w:rsid w:val="00E71AB4"/>
    <w:rsid w:val="00E7310B"/>
    <w:rsid w:val="00E74841"/>
    <w:rsid w:val="00E74913"/>
    <w:rsid w:val="00E74F54"/>
    <w:rsid w:val="00E75A29"/>
    <w:rsid w:val="00E767B1"/>
    <w:rsid w:val="00E76FA2"/>
    <w:rsid w:val="00E771A5"/>
    <w:rsid w:val="00E7736B"/>
    <w:rsid w:val="00E777C9"/>
    <w:rsid w:val="00E77B94"/>
    <w:rsid w:val="00E77BCC"/>
    <w:rsid w:val="00E80493"/>
    <w:rsid w:val="00E82D32"/>
    <w:rsid w:val="00E830EE"/>
    <w:rsid w:val="00E865C5"/>
    <w:rsid w:val="00E870CC"/>
    <w:rsid w:val="00E91A6D"/>
    <w:rsid w:val="00E91F44"/>
    <w:rsid w:val="00E92287"/>
    <w:rsid w:val="00E924A0"/>
    <w:rsid w:val="00E93E2B"/>
    <w:rsid w:val="00E96560"/>
    <w:rsid w:val="00E973BD"/>
    <w:rsid w:val="00EA06AD"/>
    <w:rsid w:val="00EA09CB"/>
    <w:rsid w:val="00EA0B72"/>
    <w:rsid w:val="00EA1F89"/>
    <w:rsid w:val="00EA27A7"/>
    <w:rsid w:val="00EA329D"/>
    <w:rsid w:val="00EA33DD"/>
    <w:rsid w:val="00EA3F7A"/>
    <w:rsid w:val="00EA4D2B"/>
    <w:rsid w:val="00EA58B2"/>
    <w:rsid w:val="00EA5945"/>
    <w:rsid w:val="00EA5CD2"/>
    <w:rsid w:val="00EA6647"/>
    <w:rsid w:val="00EA674B"/>
    <w:rsid w:val="00EA7549"/>
    <w:rsid w:val="00EB0A6D"/>
    <w:rsid w:val="00EB1D3F"/>
    <w:rsid w:val="00EB1DF8"/>
    <w:rsid w:val="00EB3178"/>
    <w:rsid w:val="00EB3B7F"/>
    <w:rsid w:val="00EB422E"/>
    <w:rsid w:val="00EB47AC"/>
    <w:rsid w:val="00EB5B86"/>
    <w:rsid w:val="00EB78F5"/>
    <w:rsid w:val="00EB79CD"/>
    <w:rsid w:val="00EB79FE"/>
    <w:rsid w:val="00EC131D"/>
    <w:rsid w:val="00EC1936"/>
    <w:rsid w:val="00EC382F"/>
    <w:rsid w:val="00EC46AD"/>
    <w:rsid w:val="00EC5DB2"/>
    <w:rsid w:val="00EC5F55"/>
    <w:rsid w:val="00EC67F9"/>
    <w:rsid w:val="00EC6A27"/>
    <w:rsid w:val="00EC6CC9"/>
    <w:rsid w:val="00ED0A46"/>
    <w:rsid w:val="00ED1529"/>
    <w:rsid w:val="00ED1575"/>
    <w:rsid w:val="00ED1ADD"/>
    <w:rsid w:val="00ED23FC"/>
    <w:rsid w:val="00ED2CC2"/>
    <w:rsid w:val="00ED2D1D"/>
    <w:rsid w:val="00ED31CC"/>
    <w:rsid w:val="00ED469D"/>
    <w:rsid w:val="00ED4DEC"/>
    <w:rsid w:val="00ED5AF7"/>
    <w:rsid w:val="00ED6B56"/>
    <w:rsid w:val="00ED7318"/>
    <w:rsid w:val="00EE0393"/>
    <w:rsid w:val="00EE046A"/>
    <w:rsid w:val="00EE1E4A"/>
    <w:rsid w:val="00EE2A41"/>
    <w:rsid w:val="00EE33D2"/>
    <w:rsid w:val="00EE3450"/>
    <w:rsid w:val="00EE35F7"/>
    <w:rsid w:val="00EE4316"/>
    <w:rsid w:val="00EE6693"/>
    <w:rsid w:val="00EF314A"/>
    <w:rsid w:val="00EF367B"/>
    <w:rsid w:val="00EF47A2"/>
    <w:rsid w:val="00EF49C9"/>
    <w:rsid w:val="00EF4DDE"/>
    <w:rsid w:val="00EF67DB"/>
    <w:rsid w:val="00EF76D5"/>
    <w:rsid w:val="00EF7714"/>
    <w:rsid w:val="00F006CA"/>
    <w:rsid w:val="00F00D5E"/>
    <w:rsid w:val="00F02F52"/>
    <w:rsid w:val="00F03227"/>
    <w:rsid w:val="00F0351B"/>
    <w:rsid w:val="00F0472E"/>
    <w:rsid w:val="00F06500"/>
    <w:rsid w:val="00F06878"/>
    <w:rsid w:val="00F075E6"/>
    <w:rsid w:val="00F075F8"/>
    <w:rsid w:val="00F07BDC"/>
    <w:rsid w:val="00F107C0"/>
    <w:rsid w:val="00F120B7"/>
    <w:rsid w:val="00F1434E"/>
    <w:rsid w:val="00F1477C"/>
    <w:rsid w:val="00F14C68"/>
    <w:rsid w:val="00F14EC1"/>
    <w:rsid w:val="00F1534D"/>
    <w:rsid w:val="00F1685F"/>
    <w:rsid w:val="00F17CF5"/>
    <w:rsid w:val="00F17EDC"/>
    <w:rsid w:val="00F20606"/>
    <w:rsid w:val="00F21752"/>
    <w:rsid w:val="00F21E4B"/>
    <w:rsid w:val="00F22566"/>
    <w:rsid w:val="00F2259F"/>
    <w:rsid w:val="00F2399C"/>
    <w:rsid w:val="00F2475C"/>
    <w:rsid w:val="00F26F22"/>
    <w:rsid w:val="00F3197E"/>
    <w:rsid w:val="00F32B51"/>
    <w:rsid w:val="00F3356E"/>
    <w:rsid w:val="00F342D7"/>
    <w:rsid w:val="00F347B5"/>
    <w:rsid w:val="00F347FD"/>
    <w:rsid w:val="00F36C47"/>
    <w:rsid w:val="00F36E7E"/>
    <w:rsid w:val="00F3761C"/>
    <w:rsid w:val="00F379E6"/>
    <w:rsid w:val="00F41254"/>
    <w:rsid w:val="00F42EC9"/>
    <w:rsid w:val="00F43600"/>
    <w:rsid w:val="00F4383F"/>
    <w:rsid w:val="00F438E8"/>
    <w:rsid w:val="00F4472B"/>
    <w:rsid w:val="00F447F1"/>
    <w:rsid w:val="00F44E15"/>
    <w:rsid w:val="00F453F6"/>
    <w:rsid w:val="00F47F9D"/>
    <w:rsid w:val="00F47FB5"/>
    <w:rsid w:val="00F50884"/>
    <w:rsid w:val="00F51125"/>
    <w:rsid w:val="00F51887"/>
    <w:rsid w:val="00F519BC"/>
    <w:rsid w:val="00F5224B"/>
    <w:rsid w:val="00F52531"/>
    <w:rsid w:val="00F52F35"/>
    <w:rsid w:val="00F53347"/>
    <w:rsid w:val="00F53881"/>
    <w:rsid w:val="00F5449B"/>
    <w:rsid w:val="00F55460"/>
    <w:rsid w:val="00F574CA"/>
    <w:rsid w:val="00F612C8"/>
    <w:rsid w:val="00F62BF2"/>
    <w:rsid w:val="00F63E44"/>
    <w:rsid w:val="00F63FBA"/>
    <w:rsid w:val="00F64BEB"/>
    <w:rsid w:val="00F65CCD"/>
    <w:rsid w:val="00F66510"/>
    <w:rsid w:val="00F66DA2"/>
    <w:rsid w:val="00F6719D"/>
    <w:rsid w:val="00F67CDC"/>
    <w:rsid w:val="00F71839"/>
    <w:rsid w:val="00F71D1F"/>
    <w:rsid w:val="00F727B0"/>
    <w:rsid w:val="00F72D21"/>
    <w:rsid w:val="00F730F2"/>
    <w:rsid w:val="00F74283"/>
    <w:rsid w:val="00F75F18"/>
    <w:rsid w:val="00F7684C"/>
    <w:rsid w:val="00F7696F"/>
    <w:rsid w:val="00F77A99"/>
    <w:rsid w:val="00F8035F"/>
    <w:rsid w:val="00F81EDD"/>
    <w:rsid w:val="00F8203D"/>
    <w:rsid w:val="00F8214E"/>
    <w:rsid w:val="00F82173"/>
    <w:rsid w:val="00F848AA"/>
    <w:rsid w:val="00F84955"/>
    <w:rsid w:val="00F84A2C"/>
    <w:rsid w:val="00F85A10"/>
    <w:rsid w:val="00F86536"/>
    <w:rsid w:val="00F87ACA"/>
    <w:rsid w:val="00F92585"/>
    <w:rsid w:val="00F94948"/>
    <w:rsid w:val="00F9563B"/>
    <w:rsid w:val="00F960B7"/>
    <w:rsid w:val="00FA0420"/>
    <w:rsid w:val="00FA10AD"/>
    <w:rsid w:val="00FA168A"/>
    <w:rsid w:val="00FA3474"/>
    <w:rsid w:val="00FA3DAE"/>
    <w:rsid w:val="00FA5E75"/>
    <w:rsid w:val="00FA656B"/>
    <w:rsid w:val="00FA66F1"/>
    <w:rsid w:val="00FA68D5"/>
    <w:rsid w:val="00FA6FC0"/>
    <w:rsid w:val="00FB007F"/>
    <w:rsid w:val="00FB0CE1"/>
    <w:rsid w:val="00FB0F27"/>
    <w:rsid w:val="00FB139F"/>
    <w:rsid w:val="00FB1970"/>
    <w:rsid w:val="00FB32CB"/>
    <w:rsid w:val="00FB33A0"/>
    <w:rsid w:val="00FB4167"/>
    <w:rsid w:val="00FB45BD"/>
    <w:rsid w:val="00FB50F5"/>
    <w:rsid w:val="00FB5EAB"/>
    <w:rsid w:val="00FB63ED"/>
    <w:rsid w:val="00FB66D3"/>
    <w:rsid w:val="00FB6D06"/>
    <w:rsid w:val="00FB7DEB"/>
    <w:rsid w:val="00FC0D35"/>
    <w:rsid w:val="00FC0DE1"/>
    <w:rsid w:val="00FC108C"/>
    <w:rsid w:val="00FC2C1B"/>
    <w:rsid w:val="00FC3248"/>
    <w:rsid w:val="00FC4285"/>
    <w:rsid w:val="00FC7457"/>
    <w:rsid w:val="00FC7793"/>
    <w:rsid w:val="00FD00E7"/>
    <w:rsid w:val="00FD02E7"/>
    <w:rsid w:val="00FD04A3"/>
    <w:rsid w:val="00FD08F0"/>
    <w:rsid w:val="00FD283B"/>
    <w:rsid w:val="00FD3189"/>
    <w:rsid w:val="00FD418B"/>
    <w:rsid w:val="00FD4599"/>
    <w:rsid w:val="00FD4784"/>
    <w:rsid w:val="00FD479E"/>
    <w:rsid w:val="00FD4E15"/>
    <w:rsid w:val="00FD5C2E"/>
    <w:rsid w:val="00FD65FE"/>
    <w:rsid w:val="00FD6601"/>
    <w:rsid w:val="00FD78E8"/>
    <w:rsid w:val="00FE4E1B"/>
    <w:rsid w:val="00FE5EC0"/>
    <w:rsid w:val="00FE6082"/>
    <w:rsid w:val="00FE6666"/>
    <w:rsid w:val="00FE78DE"/>
    <w:rsid w:val="00FE7AE4"/>
    <w:rsid w:val="00FF136C"/>
    <w:rsid w:val="00FF2DE7"/>
    <w:rsid w:val="00FF2F0D"/>
    <w:rsid w:val="00FF4DE2"/>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2">
    <w:name w:val="heading 2"/>
    <w:basedOn w:val="Normal"/>
    <w:next w:val="Normal"/>
    <w:link w:val="Ttulo2Car"/>
    <w:uiPriority w:val="9"/>
    <w:unhideWhenUsed/>
    <w:qFormat/>
    <w:rsid w:val="009830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552234"/>
    <w:pPr>
      <w:spacing w:after="0" w:line="240" w:lineRule="auto"/>
    </w:pPr>
  </w:style>
  <w:style w:type="table" w:styleId="Tablaconcuadrcula">
    <w:name w:val="Table Grid"/>
    <w:basedOn w:val="Tablanormal"/>
    <w:uiPriority w:val="59"/>
    <w:rsid w:val="0006271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14310"/>
  </w:style>
  <w:style w:type="paragraph" w:customStyle="1" w:styleId="paragraph">
    <w:name w:val="paragraph"/>
    <w:basedOn w:val="Normal"/>
    <w:rsid w:val="00E143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14310"/>
  </w:style>
  <w:style w:type="character" w:styleId="nfasisintenso">
    <w:name w:val="Intense Emphasis"/>
    <w:basedOn w:val="Fuentedeprrafopredeter"/>
    <w:uiPriority w:val="21"/>
    <w:qFormat/>
    <w:rsid w:val="00271D74"/>
    <w:rPr>
      <w:i/>
      <w:iCs/>
      <w:color w:val="5B9BD5" w:themeColor="accent1"/>
    </w:rPr>
  </w:style>
  <w:style w:type="paragraph" w:styleId="Textonotaalfinal">
    <w:name w:val="endnote text"/>
    <w:basedOn w:val="Normal"/>
    <w:link w:val="TextonotaalfinalCar"/>
    <w:uiPriority w:val="99"/>
    <w:semiHidden/>
    <w:unhideWhenUsed/>
    <w:rsid w:val="00E01C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1CB5"/>
    <w:rPr>
      <w:sz w:val="20"/>
      <w:szCs w:val="20"/>
    </w:rPr>
  </w:style>
  <w:style w:type="character" w:styleId="Refdenotaalfinal">
    <w:name w:val="endnote reference"/>
    <w:basedOn w:val="Fuentedeprrafopredeter"/>
    <w:uiPriority w:val="99"/>
    <w:semiHidden/>
    <w:unhideWhenUsed/>
    <w:rsid w:val="00E01CB5"/>
    <w:rPr>
      <w:vertAlign w:val="superscript"/>
    </w:rPr>
  </w:style>
  <w:style w:type="character" w:customStyle="1" w:styleId="Ttulo2Car">
    <w:name w:val="Título 2 Car"/>
    <w:basedOn w:val="Fuentedeprrafopredeter"/>
    <w:link w:val="Ttulo2"/>
    <w:uiPriority w:val="9"/>
    <w:rsid w:val="00983041"/>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9B640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9B6404"/>
    <w:rPr>
      <w:rFonts w:ascii="Courier New" w:eastAsia="Times New Roman" w:hAnsi="Courier New" w:cs="Times New Roman"/>
      <w:sz w:val="20"/>
      <w:szCs w:val="20"/>
      <w:lang w:val="es-ES" w:eastAsia="es-ES"/>
    </w:rPr>
  </w:style>
  <w:style w:type="paragraph" w:customStyle="1" w:styleId="Texto">
    <w:name w:val="Texto"/>
    <w:basedOn w:val="Normal"/>
    <w:rsid w:val="009B6404"/>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333">
      <w:bodyDiv w:val="1"/>
      <w:marLeft w:val="0"/>
      <w:marRight w:val="0"/>
      <w:marTop w:val="0"/>
      <w:marBottom w:val="0"/>
      <w:divBdr>
        <w:top w:val="none" w:sz="0" w:space="0" w:color="auto"/>
        <w:left w:val="none" w:sz="0" w:space="0" w:color="auto"/>
        <w:bottom w:val="none" w:sz="0" w:space="0" w:color="auto"/>
        <w:right w:val="none" w:sz="0" w:space="0" w:color="auto"/>
      </w:divBdr>
      <w:divsChild>
        <w:div w:id="101149769">
          <w:marLeft w:val="0"/>
          <w:marRight w:val="0"/>
          <w:marTop w:val="0"/>
          <w:marBottom w:val="101"/>
          <w:divBdr>
            <w:top w:val="none" w:sz="0" w:space="0" w:color="auto"/>
            <w:left w:val="none" w:sz="0" w:space="0" w:color="auto"/>
            <w:bottom w:val="none" w:sz="0" w:space="0" w:color="auto"/>
            <w:right w:val="none" w:sz="0" w:space="0" w:color="auto"/>
          </w:divBdr>
        </w:div>
        <w:div w:id="1390037925">
          <w:marLeft w:val="288"/>
          <w:marRight w:val="0"/>
          <w:marTop w:val="0"/>
          <w:marBottom w:val="101"/>
          <w:divBdr>
            <w:top w:val="none" w:sz="0" w:space="0" w:color="auto"/>
            <w:left w:val="none" w:sz="0" w:space="0" w:color="auto"/>
            <w:bottom w:val="none" w:sz="0" w:space="0" w:color="auto"/>
            <w:right w:val="none" w:sz="0" w:space="0" w:color="auto"/>
          </w:divBdr>
        </w:div>
        <w:div w:id="104422721">
          <w:marLeft w:val="288"/>
          <w:marRight w:val="0"/>
          <w:marTop w:val="0"/>
          <w:marBottom w:val="101"/>
          <w:divBdr>
            <w:top w:val="none" w:sz="0" w:space="0" w:color="auto"/>
            <w:left w:val="none" w:sz="0" w:space="0" w:color="auto"/>
            <w:bottom w:val="none" w:sz="0" w:space="0" w:color="auto"/>
            <w:right w:val="none" w:sz="0" w:space="0" w:color="auto"/>
          </w:divBdr>
        </w:div>
        <w:div w:id="850534354">
          <w:marLeft w:val="288"/>
          <w:marRight w:val="0"/>
          <w:marTop w:val="0"/>
          <w:marBottom w:val="101"/>
          <w:divBdr>
            <w:top w:val="none" w:sz="0" w:space="0" w:color="auto"/>
            <w:left w:val="none" w:sz="0" w:space="0" w:color="auto"/>
            <w:bottom w:val="none" w:sz="0" w:space="0" w:color="auto"/>
            <w:right w:val="none" w:sz="0" w:space="0" w:color="auto"/>
          </w:divBdr>
        </w:div>
        <w:div w:id="1496073210">
          <w:marLeft w:val="288"/>
          <w:marRight w:val="0"/>
          <w:marTop w:val="0"/>
          <w:marBottom w:val="101"/>
          <w:divBdr>
            <w:top w:val="none" w:sz="0" w:space="0" w:color="auto"/>
            <w:left w:val="none" w:sz="0" w:space="0" w:color="auto"/>
            <w:bottom w:val="none" w:sz="0" w:space="0" w:color="auto"/>
            <w:right w:val="none" w:sz="0" w:space="0" w:color="auto"/>
          </w:divBdr>
        </w:div>
        <w:div w:id="1884518836">
          <w:marLeft w:val="288"/>
          <w:marRight w:val="0"/>
          <w:marTop w:val="0"/>
          <w:marBottom w:val="101"/>
          <w:divBdr>
            <w:top w:val="none" w:sz="0" w:space="0" w:color="auto"/>
            <w:left w:val="none" w:sz="0" w:space="0" w:color="auto"/>
            <w:bottom w:val="none" w:sz="0" w:space="0" w:color="auto"/>
            <w:right w:val="none" w:sz="0" w:space="0" w:color="auto"/>
          </w:divBdr>
        </w:div>
        <w:div w:id="143545186">
          <w:marLeft w:val="288"/>
          <w:marRight w:val="0"/>
          <w:marTop w:val="0"/>
          <w:marBottom w:val="101"/>
          <w:divBdr>
            <w:top w:val="none" w:sz="0" w:space="0" w:color="auto"/>
            <w:left w:val="none" w:sz="0" w:space="0" w:color="auto"/>
            <w:bottom w:val="none" w:sz="0" w:space="0" w:color="auto"/>
            <w:right w:val="none" w:sz="0" w:space="0" w:color="auto"/>
          </w:divBdr>
        </w:div>
        <w:div w:id="1919945246">
          <w:marLeft w:val="288"/>
          <w:marRight w:val="0"/>
          <w:marTop w:val="0"/>
          <w:marBottom w:val="101"/>
          <w:divBdr>
            <w:top w:val="none" w:sz="0" w:space="0" w:color="auto"/>
            <w:left w:val="none" w:sz="0" w:space="0" w:color="auto"/>
            <w:bottom w:val="none" w:sz="0" w:space="0" w:color="auto"/>
            <w:right w:val="none" w:sz="0" w:space="0" w:color="auto"/>
          </w:divBdr>
        </w:div>
        <w:div w:id="424229869">
          <w:marLeft w:val="288"/>
          <w:marRight w:val="0"/>
          <w:marTop w:val="0"/>
          <w:marBottom w:val="101"/>
          <w:divBdr>
            <w:top w:val="none" w:sz="0" w:space="0" w:color="auto"/>
            <w:left w:val="none" w:sz="0" w:space="0" w:color="auto"/>
            <w:bottom w:val="none" w:sz="0" w:space="0" w:color="auto"/>
            <w:right w:val="none" w:sz="0" w:space="0" w:color="auto"/>
          </w:divBdr>
        </w:div>
        <w:div w:id="2136752465">
          <w:marLeft w:val="288"/>
          <w:marRight w:val="0"/>
          <w:marTop w:val="0"/>
          <w:marBottom w:val="101"/>
          <w:divBdr>
            <w:top w:val="none" w:sz="0" w:space="0" w:color="auto"/>
            <w:left w:val="none" w:sz="0" w:space="0" w:color="auto"/>
            <w:bottom w:val="none" w:sz="0" w:space="0" w:color="auto"/>
            <w:right w:val="none" w:sz="0" w:space="0" w:color="auto"/>
          </w:divBdr>
        </w:div>
        <w:div w:id="1617517748">
          <w:marLeft w:val="288"/>
          <w:marRight w:val="0"/>
          <w:marTop w:val="0"/>
          <w:marBottom w:val="101"/>
          <w:divBdr>
            <w:top w:val="none" w:sz="0" w:space="0" w:color="auto"/>
            <w:left w:val="none" w:sz="0" w:space="0" w:color="auto"/>
            <w:bottom w:val="none" w:sz="0" w:space="0" w:color="auto"/>
            <w:right w:val="none" w:sz="0" w:space="0" w:color="auto"/>
          </w:divBdr>
        </w:div>
      </w:divsChild>
    </w:div>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82607899">
      <w:bodyDiv w:val="1"/>
      <w:marLeft w:val="0"/>
      <w:marRight w:val="0"/>
      <w:marTop w:val="0"/>
      <w:marBottom w:val="0"/>
      <w:divBdr>
        <w:top w:val="none" w:sz="0" w:space="0" w:color="auto"/>
        <w:left w:val="none" w:sz="0" w:space="0" w:color="auto"/>
        <w:bottom w:val="none" w:sz="0" w:space="0" w:color="auto"/>
        <w:right w:val="none" w:sz="0" w:space="0" w:color="auto"/>
      </w:divBdr>
    </w:div>
    <w:div w:id="92210612">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39856884">
      <w:bodyDiv w:val="1"/>
      <w:marLeft w:val="0"/>
      <w:marRight w:val="0"/>
      <w:marTop w:val="0"/>
      <w:marBottom w:val="0"/>
      <w:divBdr>
        <w:top w:val="none" w:sz="0" w:space="0" w:color="auto"/>
        <w:left w:val="none" w:sz="0" w:space="0" w:color="auto"/>
        <w:bottom w:val="none" w:sz="0" w:space="0" w:color="auto"/>
        <w:right w:val="none" w:sz="0" w:space="0" w:color="auto"/>
      </w:divBdr>
    </w:div>
    <w:div w:id="140269470">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39604153">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33069446">
      <w:bodyDiv w:val="1"/>
      <w:marLeft w:val="0"/>
      <w:marRight w:val="0"/>
      <w:marTop w:val="0"/>
      <w:marBottom w:val="0"/>
      <w:divBdr>
        <w:top w:val="none" w:sz="0" w:space="0" w:color="auto"/>
        <w:left w:val="none" w:sz="0" w:space="0" w:color="auto"/>
        <w:bottom w:val="none" w:sz="0" w:space="0" w:color="auto"/>
        <w:right w:val="none" w:sz="0" w:space="0" w:color="auto"/>
      </w:divBdr>
      <w:divsChild>
        <w:div w:id="805396192">
          <w:marLeft w:val="0"/>
          <w:marRight w:val="0"/>
          <w:marTop w:val="0"/>
          <w:marBottom w:val="101"/>
          <w:divBdr>
            <w:top w:val="none" w:sz="0" w:space="0" w:color="auto"/>
            <w:left w:val="none" w:sz="0" w:space="0" w:color="auto"/>
            <w:bottom w:val="none" w:sz="0" w:space="0" w:color="auto"/>
            <w:right w:val="none" w:sz="0" w:space="0" w:color="auto"/>
          </w:divBdr>
        </w:div>
        <w:div w:id="1545941216">
          <w:marLeft w:val="0"/>
          <w:marRight w:val="0"/>
          <w:marTop w:val="0"/>
          <w:marBottom w:val="101"/>
          <w:divBdr>
            <w:top w:val="none" w:sz="0" w:space="0" w:color="auto"/>
            <w:left w:val="none" w:sz="0" w:space="0" w:color="auto"/>
            <w:bottom w:val="none" w:sz="0" w:space="0" w:color="auto"/>
            <w:right w:val="none" w:sz="0" w:space="0" w:color="auto"/>
          </w:divBdr>
        </w:div>
        <w:div w:id="698625922">
          <w:marLeft w:val="0"/>
          <w:marRight w:val="0"/>
          <w:marTop w:val="0"/>
          <w:marBottom w:val="101"/>
          <w:divBdr>
            <w:top w:val="none" w:sz="0" w:space="0" w:color="auto"/>
            <w:left w:val="none" w:sz="0" w:space="0" w:color="auto"/>
            <w:bottom w:val="none" w:sz="0" w:space="0" w:color="auto"/>
            <w:right w:val="none" w:sz="0" w:space="0" w:color="auto"/>
          </w:divBdr>
        </w:div>
      </w:divsChild>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374542538">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46972152">
      <w:bodyDiv w:val="1"/>
      <w:marLeft w:val="0"/>
      <w:marRight w:val="0"/>
      <w:marTop w:val="0"/>
      <w:marBottom w:val="0"/>
      <w:divBdr>
        <w:top w:val="none" w:sz="0" w:space="0" w:color="auto"/>
        <w:left w:val="none" w:sz="0" w:space="0" w:color="auto"/>
        <w:bottom w:val="none" w:sz="0" w:space="0" w:color="auto"/>
        <w:right w:val="none" w:sz="0" w:space="0" w:color="auto"/>
      </w:divBdr>
    </w:div>
    <w:div w:id="481891404">
      <w:bodyDiv w:val="1"/>
      <w:marLeft w:val="0"/>
      <w:marRight w:val="0"/>
      <w:marTop w:val="0"/>
      <w:marBottom w:val="0"/>
      <w:divBdr>
        <w:top w:val="none" w:sz="0" w:space="0" w:color="auto"/>
        <w:left w:val="none" w:sz="0" w:space="0" w:color="auto"/>
        <w:bottom w:val="none" w:sz="0" w:space="0" w:color="auto"/>
        <w:right w:val="none" w:sz="0" w:space="0" w:color="auto"/>
      </w:divBdr>
    </w:div>
    <w:div w:id="530873173">
      <w:bodyDiv w:val="1"/>
      <w:marLeft w:val="0"/>
      <w:marRight w:val="0"/>
      <w:marTop w:val="0"/>
      <w:marBottom w:val="0"/>
      <w:divBdr>
        <w:top w:val="none" w:sz="0" w:space="0" w:color="auto"/>
        <w:left w:val="none" w:sz="0" w:space="0" w:color="auto"/>
        <w:bottom w:val="none" w:sz="0" w:space="0" w:color="auto"/>
        <w:right w:val="none" w:sz="0" w:space="0" w:color="auto"/>
      </w:divBdr>
      <w:divsChild>
        <w:div w:id="910431209">
          <w:marLeft w:val="0"/>
          <w:marRight w:val="0"/>
          <w:marTop w:val="0"/>
          <w:marBottom w:val="101"/>
          <w:divBdr>
            <w:top w:val="none" w:sz="0" w:space="0" w:color="auto"/>
            <w:left w:val="none" w:sz="0" w:space="0" w:color="auto"/>
            <w:bottom w:val="none" w:sz="0" w:space="0" w:color="auto"/>
            <w:right w:val="none" w:sz="0" w:space="0" w:color="auto"/>
          </w:divBdr>
        </w:div>
        <w:div w:id="1773166718">
          <w:marLeft w:val="0"/>
          <w:marRight w:val="0"/>
          <w:marTop w:val="0"/>
          <w:marBottom w:val="101"/>
          <w:divBdr>
            <w:top w:val="none" w:sz="0" w:space="0" w:color="auto"/>
            <w:left w:val="none" w:sz="0" w:space="0" w:color="auto"/>
            <w:bottom w:val="none" w:sz="0" w:space="0" w:color="auto"/>
            <w:right w:val="none" w:sz="0" w:space="0" w:color="auto"/>
          </w:divBdr>
        </w:div>
        <w:div w:id="2025207656">
          <w:marLeft w:val="0"/>
          <w:marRight w:val="0"/>
          <w:marTop w:val="0"/>
          <w:marBottom w:val="101"/>
          <w:divBdr>
            <w:top w:val="none" w:sz="0" w:space="0" w:color="auto"/>
            <w:left w:val="none" w:sz="0" w:space="0" w:color="auto"/>
            <w:bottom w:val="none" w:sz="0" w:space="0" w:color="auto"/>
            <w:right w:val="none" w:sz="0" w:space="0" w:color="auto"/>
          </w:divBdr>
        </w:div>
      </w:divsChild>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561600355">
      <w:bodyDiv w:val="1"/>
      <w:marLeft w:val="0"/>
      <w:marRight w:val="0"/>
      <w:marTop w:val="0"/>
      <w:marBottom w:val="0"/>
      <w:divBdr>
        <w:top w:val="none" w:sz="0" w:space="0" w:color="auto"/>
        <w:left w:val="none" w:sz="0" w:space="0" w:color="auto"/>
        <w:bottom w:val="none" w:sz="0" w:space="0" w:color="auto"/>
        <w:right w:val="none" w:sz="0" w:space="0" w:color="auto"/>
      </w:divBdr>
      <w:divsChild>
        <w:div w:id="722097016">
          <w:marLeft w:val="0"/>
          <w:marRight w:val="0"/>
          <w:marTop w:val="0"/>
          <w:marBottom w:val="80"/>
          <w:divBdr>
            <w:top w:val="none" w:sz="0" w:space="0" w:color="auto"/>
            <w:left w:val="none" w:sz="0" w:space="0" w:color="auto"/>
            <w:bottom w:val="none" w:sz="0" w:space="0" w:color="auto"/>
            <w:right w:val="none" w:sz="0" w:space="0" w:color="auto"/>
          </w:divBdr>
        </w:div>
        <w:div w:id="1285233644">
          <w:marLeft w:val="864"/>
          <w:marRight w:val="0"/>
          <w:marTop w:val="0"/>
          <w:marBottom w:val="80"/>
          <w:divBdr>
            <w:top w:val="none" w:sz="0" w:space="0" w:color="auto"/>
            <w:left w:val="none" w:sz="0" w:space="0" w:color="auto"/>
            <w:bottom w:val="none" w:sz="0" w:space="0" w:color="auto"/>
            <w:right w:val="none" w:sz="0" w:space="0" w:color="auto"/>
          </w:divBdr>
        </w:div>
        <w:div w:id="728725241">
          <w:marLeft w:val="864"/>
          <w:marRight w:val="0"/>
          <w:marTop w:val="0"/>
          <w:marBottom w:val="80"/>
          <w:divBdr>
            <w:top w:val="none" w:sz="0" w:space="0" w:color="auto"/>
            <w:left w:val="none" w:sz="0" w:space="0" w:color="auto"/>
            <w:bottom w:val="none" w:sz="0" w:space="0" w:color="auto"/>
            <w:right w:val="none" w:sz="0" w:space="0" w:color="auto"/>
          </w:divBdr>
        </w:div>
        <w:div w:id="1596939354">
          <w:marLeft w:val="864"/>
          <w:marRight w:val="0"/>
          <w:marTop w:val="0"/>
          <w:marBottom w:val="80"/>
          <w:divBdr>
            <w:top w:val="none" w:sz="0" w:space="0" w:color="auto"/>
            <w:left w:val="none" w:sz="0" w:space="0" w:color="auto"/>
            <w:bottom w:val="none" w:sz="0" w:space="0" w:color="auto"/>
            <w:right w:val="none" w:sz="0" w:space="0" w:color="auto"/>
          </w:divBdr>
        </w:div>
        <w:div w:id="311062464">
          <w:marLeft w:val="864"/>
          <w:marRight w:val="0"/>
          <w:marTop w:val="0"/>
          <w:marBottom w:val="80"/>
          <w:divBdr>
            <w:top w:val="none" w:sz="0" w:space="0" w:color="auto"/>
            <w:left w:val="none" w:sz="0" w:space="0" w:color="auto"/>
            <w:bottom w:val="none" w:sz="0" w:space="0" w:color="auto"/>
            <w:right w:val="none" w:sz="0" w:space="0" w:color="auto"/>
          </w:divBdr>
        </w:div>
        <w:div w:id="938827562">
          <w:marLeft w:val="864"/>
          <w:marRight w:val="0"/>
          <w:marTop w:val="0"/>
          <w:marBottom w:val="80"/>
          <w:divBdr>
            <w:top w:val="none" w:sz="0" w:space="0" w:color="auto"/>
            <w:left w:val="none" w:sz="0" w:space="0" w:color="auto"/>
            <w:bottom w:val="none" w:sz="0" w:space="0" w:color="auto"/>
            <w:right w:val="none" w:sz="0" w:space="0" w:color="auto"/>
          </w:divBdr>
        </w:div>
        <w:div w:id="1904487082">
          <w:marLeft w:val="864"/>
          <w:marRight w:val="0"/>
          <w:marTop w:val="0"/>
          <w:marBottom w:val="80"/>
          <w:divBdr>
            <w:top w:val="none" w:sz="0" w:space="0" w:color="auto"/>
            <w:left w:val="none" w:sz="0" w:space="0" w:color="auto"/>
            <w:bottom w:val="none" w:sz="0" w:space="0" w:color="auto"/>
            <w:right w:val="none" w:sz="0" w:space="0" w:color="auto"/>
          </w:divBdr>
        </w:div>
        <w:div w:id="1638148393">
          <w:marLeft w:val="864"/>
          <w:marRight w:val="0"/>
          <w:marTop w:val="0"/>
          <w:marBottom w:val="80"/>
          <w:divBdr>
            <w:top w:val="none" w:sz="0" w:space="0" w:color="auto"/>
            <w:left w:val="none" w:sz="0" w:space="0" w:color="auto"/>
            <w:bottom w:val="none" w:sz="0" w:space="0" w:color="auto"/>
            <w:right w:val="none" w:sz="0" w:space="0" w:color="auto"/>
          </w:divBdr>
        </w:div>
      </w:divsChild>
    </w:div>
    <w:div w:id="591090629">
      <w:bodyDiv w:val="1"/>
      <w:marLeft w:val="0"/>
      <w:marRight w:val="0"/>
      <w:marTop w:val="0"/>
      <w:marBottom w:val="0"/>
      <w:divBdr>
        <w:top w:val="none" w:sz="0" w:space="0" w:color="auto"/>
        <w:left w:val="none" w:sz="0" w:space="0" w:color="auto"/>
        <w:bottom w:val="none" w:sz="0" w:space="0" w:color="auto"/>
        <w:right w:val="none" w:sz="0" w:space="0" w:color="auto"/>
      </w:divBdr>
    </w:div>
    <w:div w:id="642393062">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16517003">
      <w:bodyDiv w:val="1"/>
      <w:marLeft w:val="0"/>
      <w:marRight w:val="0"/>
      <w:marTop w:val="0"/>
      <w:marBottom w:val="0"/>
      <w:divBdr>
        <w:top w:val="none" w:sz="0" w:space="0" w:color="auto"/>
        <w:left w:val="none" w:sz="0" w:space="0" w:color="auto"/>
        <w:bottom w:val="none" w:sz="0" w:space="0" w:color="auto"/>
        <w:right w:val="none" w:sz="0" w:space="0" w:color="auto"/>
      </w:divBdr>
      <w:divsChild>
        <w:div w:id="591669108">
          <w:marLeft w:val="0"/>
          <w:marRight w:val="0"/>
          <w:marTop w:val="0"/>
          <w:marBottom w:val="80"/>
          <w:divBdr>
            <w:top w:val="none" w:sz="0" w:space="0" w:color="auto"/>
            <w:left w:val="none" w:sz="0" w:space="0" w:color="auto"/>
            <w:bottom w:val="none" w:sz="0" w:space="0" w:color="auto"/>
            <w:right w:val="none" w:sz="0" w:space="0" w:color="auto"/>
          </w:divBdr>
        </w:div>
        <w:div w:id="395007118">
          <w:marLeft w:val="864"/>
          <w:marRight w:val="0"/>
          <w:marTop w:val="0"/>
          <w:marBottom w:val="80"/>
          <w:divBdr>
            <w:top w:val="none" w:sz="0" w:space="0" w:color="auto"/>
            <w:left w:val="none" w:sz="0" w:space="0" w:color="auto"/>
            <w:bottom w:val="none" w:sz="0" w:space="0" w:color="auto"/>
            <w:right w:val="none" w:sz="0" w:space="0" w:color="auto"/>
          </w:divBdr>
        </w:div>
        <w:div w:id="1789205587">
          <w:marLeft w:val="864"/>
          <w:marRight w:val="0"/>
          <w:marTop w:val="0"/>
          <w:marBottom w:val="80"/>
          <w:divBdr>
            <w:top w:val="none" w:sz="0" w:space="0" w:color="auto"/>
            <w:left w:val="none" w:sz="0" w:space="0" w:color="auto"/>
            <w:bottom w:val="none" w:sz="0" w:space="0" w:color="auto"/>
            <w:right w:val="none" w:sz="0" w:space="0" w:color="auto"/>
          </w:divBdr>
        </w:div>
        <w:div w:id="1004895054">
          <w:marLeft w:val="864"/>
          <w:marRight w:val="0"/>
          <w:marTop w:val="0"/>
          <w:marBottom w:val="80"/>
          <w:divBdr>
            <w:top w:val="none" w:sz="0" w:space="0" w:color="auto"/>
            <w:left w:val="none" w:sz="0" w:space="0" w:color="auto"/>
            <w:bottom w:val="none" w:sz="0" w:space="0" w:color="auto"/>
            <w:right w:val="none" w:sz="0" w:space="0" w:color="auto"/>
          </w:divBdr>
        </w:div>
        <w:div w:id="227541379">
          <w:marLeft w:val="864"/>
          <w:marRight w:val="0"/>
          <w:marTop w:val="0"/>
          <w:marBottom w:val="80"/>
          <w:divBdr>
            <w:top w:val="none" w:sz="0" w:space="0" w:color="auto"/>
            <w:left w:val="none" w:sz="0" w:space="0" w:color="auto"/>
            <w:bottom w:val="none" w:sz="0" w:space="0" w:color="auto"/>
            <w:right w:val="none" w:sz="0" w:space="0" w:color="auto"/>
          </w:divBdr>
        </w:div>
        <w:div w:id="153885287">
          <w:marLeft w:val="864"/>
          <w:marRight w:val="0"/>
          <w:marTop w:val="0"/>
          <w:marBottom w:val="80"/>
          <w:divBdr>
            <w:top w:val="none" w:sz="0" w:space="0" w:color="auto"/>
            <w:left w:val="none" w:sz="0" w:space="0" w:color="auto"/>
            <w:bottom w:val="none" w:sz="0" w:space="0" w:color="auto"/>
            <w:right w:val="none" w:sz="0" w:space="0" w:color="auto"/>
          </w:divBdr>
        </w:div>
        <w:div w:id="2080400709">
          <w:marLeft w:val="864"/>
          <w:marRight w:val="0"/>
          <w:marTop w:val="0"/>
          <w:marBottom w:val="80"/>
          <w:divBdr>
            <w:top w:val="none" w:sz="0" w:space="0" w:color="auto"/>
            <w:left w:val="none" w:sz="0" w:space="0" w:color="auto"/>
            <w:bottom w:val="none" w:sz="0" w:space="0" w:color="auto"/>
            <w:right w:val="none" w:sz="0" w:space="0" w:color="auto"/>
          </w:divBdr>
        </w:div>
        <w:div w:id="666712052">
          <w:marLeft w:val="864"/>
          <w:marRight w:val="0"/>
          <w:marTop w:val="0"/>
          <w:marBottom w:val="80"/>
          <w:divBdr>
            <w:top w:val="none" w:sz="0" w:space="0" w:color="auto"/>
            <w:left w:val="none" w:sz="0" w:space="0" w:color="auto"/>
            <w:bottom w:val="none" w:sz="0" w:space="0" w:color="auto"/>
            <w:right w:val="none" w:sz="0" w:space="0" w:color="auto"/>
          </w:divBdr>
        </w:div>
      </w:divsChild>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89517800">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20004112">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55465002">
      <w:bodyDiv w:val="1"/>
      <w:marLeft w:val="0"/>
      <w:marRight w:val="0"/>
      <w:marTop w:val="0"/>
      <w:marBottom w:val="0"/>
      <w:divBdr>
        <w:top w:val="none" w:sz="0" w:space="0" w:color="auto"/>
        <w:left w:val="none" w:sz="0" w:space="0" w:color="auto"/>
        <w:bottom w:val="none" w:sz="0" w:space="0" w:color="auto"/>
        <w:right w:val="none" w:sz="0" w:space="0" w:color="auto"/>
      </w:divBdr>
      <w:divsChild>
        <w:div w:id="1877741918">
          <w:marLeft w:val="0"/>
          <w:marRight w:val="0"/>
          <w:marTop w:val="0"/>
          <w:marBottom w:val="80"/>
          <w:divBdr>
            <w:top w:val="none" w:sz="0" w:space="0" w:color="auto"/>
            <w:left w:val="none" w:sz="0" w:space="0" w:color="auto"/>
            <w:bottom w:val="none" w:sz="0" w:space="0" w:color="auto"/>
            <w:right w:val="none" w:sz="0" w:space="0" w:color="auto"/>
          </w:divBdr>
        </w:div>
        <w:div w:id="1431242461">
          <w:marLeft w:val="864"/>
          <w:marRight w:val="0"/>
          <w:marTop w:val="0"/>
          <w:marBottom w:val="80"/>
          <w:divBdr>
            <w:top w:val="none" w:sz="0" w:space="0" w:color="auto"/>
            <w:left w:val="none" w:sz="0" w:space="0" w:color="auto"/>
            <w:bottom w:val="none" w:sz="0" w:space="0" w:color="auto"/>
            <w:right w:val="none" w:sz="0" w:space="0" w:color="auto"/>
          </w:divBdr>
        </w:div>
        <w:div w:id="1497843782">
          <w:marLeft w:val="864"/>
          <w:marRight w:val="0"/>
          <w:marTop w:val="0"/>
          <w:marBottom w:val="80"/>
          <w:divBdr>
            <w:top w:val="none" w:sz="0" w:space="0" w:color="auto"/>
            <w:left w:val="none" w:sz="0" w:space="0" w:color="auto"/>
            <w:bottom w:val="none" w:sz="0" w:space="0" w:color="auto"/>
            <w:right w:val="none" w:sz="0" w:space="0" w:color="auto"/>
          </w:divBdr>
        </w:div>
        <w:div w:id="992413043">
          <w:marLeft w:val="864"/>
          <w:marRight w:val="0"/>
          <w:marTop w:val="0"/>
          <w:marBottom w:val="80"/>
          <w:divBdr>
            <w:top w:val="none" w:sz="0" w:space="0" w:color="auto"/>
            <w:left w:val="none" w:sz="0" w:space="0" w:color="auto"/>
            <w:bottom w:val="none" w:sz="0" w:space="0" w:color="auto"/>
            <w:right w:val="none" w:sz="0" w:space="0" w:color="auto"/>
          </w:divBdr>
        </w:div>
        <w:div w:id="530143566">
          <w:marLeft w:val="864"/>
          <w:marRight w:val="0"/>
          <w:marTop w:val="0"/>
          <w:marBottom w:val="80"/>
          <w:divBdr>
            <w:top w:val="none" w:sz="0" w:space="0" w:color="auto"/>
            <w:left w:val="none" w:sz="0" w:space="0" w:color="auto"/>
            <w:bottom w:val="none" w:sz="0" w:space="0" w:color="auto"/>
            <w:right w:val="none" w:sz="0" w:space="0" w:color="auto"/>
          </w:divBdr>
        </w:div>
        <w:div w:id="491796931">
          <w:marLeft w:val="864"/>
          <w:marRight w:val="0"/>
          <w:marTop w:val="0"/>
          <w:marBottom w:val="80"/>
          <w:divBdr>
            <w:top w:val="none" w:sz="0" w:space="0" w:color="auto"/>
            <w:left w:val="none" w:sz="0" w:space="0" w:color="auto"/>
            <w:bottom w:val="none" w:sz="0" w:space="0" w:color="auto"/>
            <w:right w:val="none" w:sz="0" w:space="0" w:color="auto"/>
          </w:divBdr>
        </w:div>
        <w:div w:id="60521839">
          <w:marLeft w:val="864"/>
          <w:marRight w:val="0"/>
          <w:marTop w:val="0"/>
          <w:marBottom w:val="80"/>
          <w:divBdr>
            <w:top w:val="none" w:sz="0" w:space="0" w:color="auto"/>
            <w:left w:val="none" w:sz="0" w:space="0" w:color="auto"/>
            <w:bottom w:val="none" w:sz="0" w:space="0" w:color="auto"/>
            <w:right w:val="none" w:sz="0" w:space="0" w:color="auto"/>
          </w:divBdr>
        </w:div>
        <w:div w:id="1201284807">
          <w:marLeft w:val="864"/>
          <w:marRight w:val="0"/>
          <w:marTop w:val="0"/>
          <w:marBottom w:val="80"/>
          <w:divBdr>
            <w:top w:val="none" w:sz="0" w:space="0" w:color="auto"/>
            <w:left w:val="none" w:sz="0" w:space="0" w:color="auto"/>
            <w:bottom w:val="none" w:sz="0" w:space="0" w:color="auto"/>
            <w:right w:val="none" w:sz="0" w:space="0" w:color="auto"/>
          </w:divBdr>
        </w:div>
      </w:divsChild>
    </w:div>
    <w:div w:id="870337628">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386700">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46564024">
      <w:bodyDiv w:val="1"/>
      <w:marLeft w:val="0"/>
      <w:marRight w:val="0"/>
      <w:marTop w:val="0"/>
      <w:marBottom w:val="0"/>
      <w:divBdr>
        <w:top w:val="none" w:sz="0" w:space="0" w:color="auto"/>
        <w:left w:val="none" w:sz="0" w:space="0" w:color="auto"/>
        <w:bottom w:val="none" w:sz="0" w:space="0" w:color="auto"/>
        <w:right w:val="none" w:sz="0" w:space="0" w:color="auto"/>
      </w:divBdr>
    </w:div>
    <w:div w:id="1054619002">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246110501">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7556884">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483623714">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2898509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83374809">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4169834">
      <w:bodyDiv w:val="1"/>
      <w:marLeft w:val="0"/>
      <w:marRight w:val="0"/>
      <w:marTop w:val="0"/>
      <w:marBottom w:val="0"/>
      <w:divBdr>
        <w:top w:val="none" w:sz="0" w:space="0" w:color="auto"/>
        <w:left w:val="none" w:sz="0" w:space="0" w:color="auto"/>
        <w:bottom w:val="none" w:sz="0" w:space="0" w:color="auto"/>
        <w:right w:val="none" w:sz="0" w:space="0" w:color="auto"/>
      </w:divBdr>
    </w:div>
    <w:div w:id="1638952430">
      <w:bodyDiv w:val="1"/>
      <w:marLeft w:val="0"/>
      <w:marRight w:val="0"/>
      <w:marTop w:val="0"/>
      <w:marBottom w:val="0"/>
      <w:divBdr>
        <w:top w:val="none" w:sz="0" w:space="0" w:color="auto"/>
        <w:left w:val="none" w:sz="0" w:space="0" w:color="auto"/>
        <w:bottom w:val="none" w:sz="0" w:space="0" w:color="auto"/>
        <w:right w:val="none" w:sz="0" w:space="0" w:color="auto"/>
      </w:divBdr>
      <w:divsChild>
        <w:div w:id="1579708395">
          <w:marLeft w:val="0"/>
          <w:marRight w:val="0"/>
          <w:marTop w:val="0"/>
          <w:marBottom w:val="80"/>
          <w:divBdr>
            <w:top w:val="none" w:sz="0" w:space="0" w:color="auto"/>
            <w:left w:val="none" w:sz="0" w:space="0" w:color="auto"/>
            <w:bottom w:val="none" w:sz="0" w:space="0" w:color="auto"/>
            <w:right w:val="none" w:sz="0" w:space="0" w:color="auto"/>
          </w:divBdr>
        </w:div>
        <w:div w:id="836309456">
          <w:marLeft w:val="864"/>
          <w:marRight w:val="0"/>
          <w:marTop w:val="0"/>
          <w:marBottom w:val="80"/>
          <w:divBdr>
            <w:top w:val="none" w:sz="0" w:space="0" w:color="auto"/>
            <w:left w:val="none" w:sz="0" w:space="0" w:color="auto"/>
            <w:bottom w:val="none" w:sz="0" w:space="0" w:color="auto"/>
            <w:right w:val="none" w:sz="0" w:space="0" w:color="auto"/>
          </w:divBdr>
        </w:div>
        <w:div w:id="1978601797">
          <w:marLeft w:val="864"/>
          <w:marRight w:val="0"/>
          <w:marTop w:val="0"/>
          <w:marBottom w:val="80"/>
          <w:divBdr>
            <w:top w:val="none" w:sz="0" w:space="0" w:color="auto"/>
            <w:left w:val="none" w:sz="0" w:space="0" w:color="auto"/>
            <w:bottom w:val="none" w:sz="0" w:space="0" w:color="auto"/>
            <w:right w:val="none" w:sz="0" w:space="0" w:color="auto"/>
          </w:divBdr>
        </w:div>
        <w:div w:id="109708647">
          <w:marLeft w:val="864"/>
          <w:marRight w:val="0"/>
          <w:marTop w:val="0"/>
          <w:marBottom w:val="80"/>
          <w:divBdr>
            <w:top w:val="none" w:sz="0" w:space="0" w:color="auto"/>
            <w:left w:val="none" w:sz="0" w:space="0" w:color="auto"/>
            <w:bottom w:val="none" w:sz="0" w:space="0" w:color="auto"/>
            <w:right w:val="none" w:sz="0" w:space="0" w:color="auto"/>
          </w:divBdr>
        </w:div>
        <w:div w:id="1010528054">
          <w:marLeft w:val="864"/>
          <w:marRight w:val="0"/>
          <w:marTop w:val="0"/>
          <w:marBottom w:val="80"/>
          <w:divBdr>
            <w:top w:val="none" w:sz="0" w:space="0" w:color="auto"/>
            <w:left w:val="none" w:sz="0" w:space="0" w:color="auto"/>
            <w:bottom w:val="none" w:sz="0" w:space="0" w:color="auto"/>
            <w:right w:val="none" w:sz="0" w:space="0" w:color="auto"/>
          </w:divBdr>
        </w:div>
        <w:div w:id="227113781">
          <w:marLeft w:val="864"/>
          <w:marRight w:val="0"/>
          <w:marTop w:val="0"/>
          <w:marBottom w:val="80"/>
          <w:divBdr>
            <w:top w:val="none" w:sz="0" w:space="0" w:color="auto"/>
            <w:left w:val="none" w:sz="0" w:space="0" w:color="auto"/>
            <w:bottom w:val="none" w:sz="0" w:space="0" w:color="auto"/>
            <w:right w:val="none" w:sz="0" w:space="0" w:color="auto"/>
          </w:divBdr>
        </w:div>
        <w:div w:id="1507477007">
          <w:marLeft w:val="864"/>
          <w:marRight w:val="0"/>
          <w:marTop w:val="0"/>
          <w:marBottom w:val="80"/>
          <w:divBdr>
            <w:top w:val="none" w:sz="0" w:space="0" w:color="auto"/>
            <w:left w:val="none" w:sz="0" w:space="0" w:color="auto"/>
            <w:bottom w:val="none" w:sz="0" w:space="0" w:color="auto"/>
            <w:right w:val="none" w:sz="0" w:space="0" w:color="auto"/>
          </w:divBdr>
        </w:div>
        <w:div w:id="1395394813">
          <w:marLeft w:val="864"/>
          <w:marRight w:val="0"/>
          <w:marTop w:val="0"/>
          <w:marBottom w:val="80"/>
          <w:divBdr>
            <w:top w:val="none" w:sz="0" w:space="0" w:color="auto"/>
            <w:left w:val="none" w:sz="0" w:space="0" w:color="auto"/>
            <w:bottom w:val="none" w:sz="0" w:space="0" w:color="auto"/>
            <w:right w:val="none" w:sz="0" w:space="0" w:color="auto"/>
          </w:divBdr>
        </w:div>
      </w:divsChild>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27603371">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93548705">
      <w:bodyDiv w:val="1"/>
      <w:marLeft w:val="0"/>
      <w:marRight w:val="0"/>
      <w:marTop w:val="0"/>
      <w:marBottom w:val="0"/>
      <w:divBdr>
        <w:top w:val="none" w:sz="0" w:space="0" w:color="auto"/>
        <w:left w:val="none" w:sz="0" w:space="0" w:color="auto"/>
        <w:bottom w:val="none" w:sz="0" w:space="0" w:color="auto"/>
        <w:right w:val="none" w:sz="0" w:space="0" w:color="auto"/>
      </w:divBdr>
      <w:divsChild>
        <w:div w:id="533927313">
          <w:marLeft w:val="0"/>
          <w:marRight w:val="0"/>
          <w:marTop w:val="0"/>
          <w:marBottom w:val="80"/>
          <w:divBdr>
            <w:top w:val="none" w:sz="0" w:space="0" w:color="auto"/>
            <w:left w:val="none" w:sz="0" w:space="0" w:color="auto"/>
            <w:bottom w:val="none" w:sz="0" w:space="0" w:color="auto"/>
            <w:right w:val="none" w:sz="0" w:space="0" w:color="auto"/>
          </w:divBdr>
        </w:div>
        <w:div w:id="1984000531">
          <w:marLeft w:val="864"/>
          <w:marRight w:val="0"/>
          <w:marTop w:val="0"/>
          <w:marBottom w:val="80"/>
          <w:divBdr>
            <w:top w:val="none" w:sz="0" w:space="0" w:color="auto"/>
            <w:left w:val="none" w:sz="0" w:space="0" w:color="auto"/>
            <w:bottom w:val="none" w:sz="0" w:space="0" w:color="auto"/>
            <w:right w:val="none" w:sz="0" w:space="0" w:color="auto"/>
          </w:divBdr>
        </w:div>
        <w:div w:id="2081631941">
          <w:marLeft w:val="864"/>
          <w:marRight w:val="0"/>
          <w:marTop w:val="0"/>
          <w:marBottom w:val="80"/>
          <w:divBdr>
            <w:top w:val="none" w:sz="0" w:space="0" w:color="auto"/>
            <w:left w:val="none" w:sz="0" w:space="0" w:color="auto"/>
            <w:bottom w:val="none" w:sz="0" w:space="0" w:color="auto"/>
            <w:right w:val="none" w:sz="0" w:space="0" w:color="auto"/>
          </w:divBdr>
        </w:div>
        <w:div w:id="1361123575">
          <w:marLeft w:val="864"/>
          <w:marRight w:val="0"/>
          <w:marTop w:val="0"/>
          <w:marBottom w:val="80"/>
          <w:divBdr>
            <w:top w:val="none" w:sz="0" w:space="0" w:color="auto"/>
            <w:left w:val="none" w:sz="0" w:space="0" w:color="auto"/>
            <w:bottom w:val="none" w:sz="0" w:space="0" w:color="auto"/>
            <w:right w:val="none" w:sz="0" w:space="0" w:color="auto"/>
          </w:divBdr>
        </w:div>
        <w:div w:id="1291747286">
          <w:marLeft w:val="864"/>
          <w:marRight w:val="0"/>
          <w:marTop w:val="0"/>
          <w:marBottom w:val="80"/>
          <w:divBdr>
            <w:top w:val="none" w:sz="0" w:space="0" w:color="auto"/>
            <w:left w:val="none" w:sz="0" w:space="0" w:color="auto"/>
            <w:bottom w:val="none" w:sz="0" w:space="0" w:color="auto"/>
            <w:right w:val="none" w:sz="0" w:space="0" w:color="auto"/>
          </w:divBdr>
        </w:div>
        <w:div w:id="1766342307">
          <w:marLeft w:val="864"/>
          <w:marRight w:val="0"/>
          <w:marTop w:val="0"/>
          <w:marBottom w:val="80"/>
          <w:divBdr>
            <w:top w:val="none" w:sz="0" w:space="0" w:color="auto"/>
            <w:left w:val="none" w:sz="0" w:space="0" w:color="auto"/>
            <w:bottom w:val="none" w:sz="0" w:space="0" w:color="auto"/>
            <w:right w:val="none" w:sz="0" w:space="0" w:color="auto"/>
          </w:divBdr>
        </w:div>
        <w:div w:id="326131876">
          <w:marLeft w:val="864"/>
          <w:marRight w:val="0"/>
          <w:marTop w:val="0"/>
          <w:marBottom w:val="80"/>
          <w:divBdr>
            <w:top w:val="none" w:sz="0" w:space="0" w:color="auto"/>
            <w:left w:val="none" w:sz="0" w:space="0" w:color="auto"/>
            <w:bottom w:val="none" w:sz="0" w:space="0" w:color="auto"/>
            <w:right w:val="none" w:sz="0" w:space="0" w:color="auto"/>
          </w:divBdr>
        </w:div>
        <w:div w:id="589503406">
          <w:marLeft w:val="864"/>
          <w:marRight w:val="0"/>
          <w:marTop w:val="0"/>
          <w:marBottom w:val="80"/>
          <w:divBdr>
            <w:top w:val="none" w:sz="0" w:space="0" w:color="auto"/>
            <w:left w:val="none" w:sz="0" w:space="0" w:color="auto"/>
            <w:bottom w:val="none" w:sz="0" w:space="0" w:color="auto"/>
            <w:right w:val="none" w:sz="0" w:space="0" w:color="auto"/>
          </w:divBdr>
        </w:div>
      </w:divsChild>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5967929">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29608424">
      <w:bodyDiv w:val="1"/>
      <w:marLeft w:val="0"/>
      <w:marRight w:val="0"/>
      <w:marTop w:val="0"/>
      <w:marBottom w:val="0"/>
      <w:divBdr>
        <w:top w:val="none" w:sz="0" w:space="0" w:color="auto"/>
        <w:left w:val="none" w:sz="0" w:space="0" w:color="auto"/>
        <w:bottom w:val="none" w:sz="0" w:space="0" w:color="auto"/>
        <w:right w:val="none" w:sz="0" w:space="0" w:color="auto"/>
      </w:divBdr>
      <w:divsChild>
        <w:div w:id="317736833">
          <w:marLeft w:val="0"/>
          <w:marRight w:val="0"/>
          <w:marTop w:val="0"/>
          <w:marBottom w:val="80"/>
          <w:divBdr>
            <w:top w:val="none" w:sz="0" w:space="0" w:color="auto"/>
            <w:left w:val="none" w:sz="0" w:space="0" w:color="auto"/>
            <w:bottom w:val="none" w:sz="0" w:space="0" w:color="auto"/>
            <w:right w:val="none" w:sz="0" w:space="0" w:color="auto"/>
          </w:divBdr>
        </w:div>
        <w:div w:id="972372025">
          <w:marLeft w:val="864"/>
          <w:marRight w:val="0"/>
          <w:marTop w:val="0"/>
          <w:marBottom w:val="80"/>
          <w:divBdr>
            <w:top w:val="none" w:sz="0" w:space="0" w:color="auto"/>
            <w:left w:val="none" w:sz="0" w:space="0" w:color="auto"/>
            <w:bottom w:val="none" w:sz="0" w:space="0" w:color="auto"/>
            <w:right w:val="none" w:sz="0" w:space="0" w:color="auto"/>
          </w:divBdr>
        </w:div>
        <w:div w:id="1881091733">
          <w:marLeft w:val="864"/>
          <w:marRight w:val="0"/>
          <w:marTop w:val="0"/>
          <w:marBottom w:val="80"/>
          <w:divBdr>
            <w:top w:val="none" w:sz="0" w:space="0" w:color="auto"/>
            <w:left w:val="none" w:sz="0" w:space="0" w:color="auto"/>
            <w:bottom w:val="none" w:sz="0" w:space="0" w:color="auto"/>
            <w:right w:val="none" w:sz="0" w:space="0" w:color="auto"/>
          </w:divBdr>
        </w:div>
        <w:div w:id="228617746">
          <w:marLeft w:val="864"/>
          <w:marRight w:val="0"/>
          <w:marTop w:val="0"/>
          <w:marBottom w:val="80"/>
          <w:divBdr>
            <w:top w:val="none" w:sz="0" w:space="0" w:color="auto"/>
            <w:left w:val="none" w:sz="0" w:space="0" w:color="auto"/>
            <w:bottom w:val="none" w:sz="0" w:space="0" w:color="auto"/>
            <w:right w:val="none" w:sz="0" w:space="0" w:color="auto"/>
          </w:divBdr>
        </w:div>
        <w:div w:id="1571305951">
          <w:marLeft w:val="864"/>
          <w:marRight w:val="0"/>
          <w:marTop w:val="0"/>
          <w:marBottom w:val="80"/>
          <w:divBdr>
            <w:top w:val="none" w:sz="0" w:space="0" w:color="auto"/>
            <w:left w:val="none" w:sz="0" w:space="0" w:color="auto"/>
            <w:bottom w:val="none" w:sz="0" w:space="0" w:color="auto"/>
            <w:right w:val="none" w:sz="0" w:space="0" w:color="auto"/>
          </w:divBdr>
        </w:div>
        <w:div w:id="805052990">
          <w:marLeft w:val="864"/>
          <w:marRight w:val="0"/>
          <w:marTop w:val="0"/>
          <w:marBottom w:val="80"/>
          <w:divBdr>
            <w:top w:val="none" w:sz="0" w:space="0" w:color="auto"/>
            <w:left w:val="none" w:sz="0" w:space="0" w:color="auto"/>
            <w:bottom w:val="none" w:sz="0" w:space="0" w:color="auto"/>
            <w:right w:val="none" w:sz="0" w:space="0" w:color="auto"/>
          </w:divBdr>
        </w:div>
        <w:div w:id="1048602173">
          <w:marLeft w:val="864"/>
          <w:marRight w:val="0"/>
          <w:marTop w:val="0"/>
          <w:marBottom w:val="80"/>
          <w:divBdr>
            <w:top w:val="none" w:sz="0" w:space="0" w:color="auto"/>
            <w:left w:val="none" w:sz="0" w:space="0" w:color="auto"/>
            <w:bottom w:val="none" w:sz="0" w:space="0" w:color="auto"/>
            <w:right w:val="none" w:sz="0" w:space="0" w:color="auto"/>
          </w:divBdr>
        </w:div>
        <w:div w:id="1691642990">
          <w:marLeft w:val="864"/>
          <w:marRight w:val="0"/>
          <w:marTop w:val="0"/>
          <w:marBottom w:val="80"/>
          <w:divBdr>
            <w:top w:val="none" w:sz="0" w:space="0" w:color="auto"/>
            <w:left w:val="none" w:sz="0" w:space="0" w:color="auto"/>
            <w:bottom w:val="none" w:sz="0" w:space="0" w:color="auto"/>
            <w:right w:val="none" w:sz="0" w:space="0" w:color="auto"/>
          </w:divBdr>
        </w:div>
      </w:divsChild>
    </w:div>
    <w:div w:id="194079019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1969780047">
      <w:bodyDiv w:val="1"/>
      <w:marLeft w:val="0"/>
      <w:marRight w:val="0"/>
      <w:marTop w:val="0"/>
      <w:marBottom w:val="0"/>
      <w:divBdr>
        <w:top w:val="none" w:sz="0" w:space="0" w:color="auto"/>
        <w:left w:val="none" w:sz="0" w:space="0" w:color="auto"/>
        <w:bottom w:val="none" w:sz="0" w:space="0" w:color="auto"/>
        <w:right w:val="none" w:sz="0" w:space="0" w:color="auto"/>
      </w:divBdr>
    </w:div>
    <w:div w:id="2010211769">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082217381">
      <w:bodyDiv w:val="1"/>
      <w:marLeft w:val="0"/>
      <w:marRight w:val="0"/>
      <w:marTop w:val="0"/>
      <w:marBottom w:val="0"/>
      <w:divBdr>
        <w:top w:val="none" w:sz="0" w:space="0" w:color="auto"/>
        <w:left w:val="none" w:sz="0" w:space="0" w:color="auto"/>
        <w:bottom w:val="none" w:sz="0" w:space="0" w:color="auto"/>
        <w:right w:val="none" w:sz="0" w:space="0" w:color="auto"/>
      </w:divBdr>
    </w:div>
    <w:div w:id="2139955335">
      <w:bodyDiv w:val="1"/>
      <w:marLeft w:val="0"/>
      <w:marRight w:val="0"/>
      <w:marTop w:val="0"/>
      <w:marBottom w:val="0"/>
      <w:divBdr>
        <w:top w:val="none" w:sz="0" w:space="0" w:color="auto"/>
        <w:left w:val="none" w:sz="0" w:space="0" w:color="auto"/>
        <w:bottom w:val="none" w:sz="0" w:space="0" w:color="auto"/>
        <w:right w:val="none" w:sz="0" w:space="0" w:color="auto"/>
      </w:divBdr>
      <w:divsChild>
        <w:div w:id="123162600">
          <w:marLeft w:val="0"/>
          <w:marRight w:val="0"/>
          <w:marTop w:val="0"/>
          <w:marBottom w:val="101"/>
          <w:divBdr>
            <w:top w:val="none" w:sz="0" w:space="0" w:color="auto"/>
            <w:left w:val="none" w:sz="0" w:space="0" w:color="auto"/>
            <w:bottom w:val="none" w:sz="0" w:space="0" w:color="auto"/>
            <w:right w:val="none" w:sz="0" w:space="0" w:color="auto"/>
          </w:divBdr>
        </w:div>
        <w:div w:id="463352915">
          <w:marLeft w:val="288"/>
          <w:marRight w:val="0"/>
          <w:marTop w:val="0"/>
          <w:marBottom w:val="101"/>
          <w:divBdr>
            <w:top w:val="none" w:sz="0" w:space="0" w:color="auto"/>
            <w:left w:val="none" w:sz="0" w:space="0" w:color="auto"/>
            <w:bottom w:val="none" w:sz="0" w:space="0" w:color="auto"/>
            <w:right w:val="none" w:sz="0" w:space="0" w:color="auto"/>
          </w:divBdr>
        </w:div>
        <w:div w:id="1944721462">
          <w:marLeft w:val="288"/>
          <w:marRight w:val="0"/>
          <w:marTop w:val="0"/>
          <w:marBottom w:val="101"/>
          <w:divBdr>
            <w:top w:val="none" w:sz="0" w:space="0" w:color="auto"/>
            <w:left w:val="none" w:sz="0" w:space="0" w:color="auto"/>
            <w:bottom w:val="none" w:sz="0" w:space="0" w:color="auto"/>
            <w:right w:val="none" w:sz="0" w:space="0" w:color="auto"/>
          </w:divBdr>
        </w:div>
        <w:div w:id="1558512889">
          <w:marLeft w:val="288"/>
          <w:marRight w:val="0"/>
          <w:marTop w:val="0"/>
          <w:marBottom w:val="101"/>
          <w:divBdr>
            <w:top w:val="none" w:sz="0" w:space="0" w:color="auto"/>
            <w:left w:val="none" w:sz="0" w:space="0" w:color="auto"/>
            <w:bottom w:val="none" w:sz="0" w:space="0" w:color="auto"/>
            <w:right w:val="none" w:sz="0" w:space="0" w:color="auto"/>
          </w:divBdr>
        </w:div>
        <w:div w:id="1254777095">
          <w:marLeft w:val="288"/>
          <w:marRight w:val="0"/>
          <w:marTop w:val="0"/>
          <w:marBottom w:val="101"/>
          <w:divBdr>
            <w:top w:val="none" w:sz="0" w:space="0" w:color="auto"/>
            <w:left w:val="none" w:sz="0" w:space="0" w:color="auto"/>
            <w:bottom w:val="none" w:sz="0" w:space="0" w:color="auto"/>
            <w:right w:val="none" w:sz="0" w:space="0" w:color="auto"/>
          </w:divBdr>
        </w:div>
        <w:div w:id="2115905200">
          <w:marLeft w:val="288"/>
          <w:marRight w:val="0"/>
          <w:marTop w:val="0"/>
          <w:marBottom w:val="101"/>
          <w:divBdr>
            <w:top w:val="none" w:sz="0" w:space="0" w:color="auto"/>
            <w:left w:val="none" w:sz="0" w:space="0" w:color="auto"/>
            <w:bottom w:val="none" w:sz="0" w:space="0" w:color="auto"/>
            <w:right w:val="none" w:sz="0" w:space="0" w:color="auto"/>
          </w:divBdr>
        </w:div>
        <w:div w:id="1402677973">
          <w:marLeft w:val="288"/>
          <w:marRight w:val="0"/>
          <w:marTop w:val="0"/>
          <w:marBottom w:val="101"/>
          <w:divBdr>
            <w:top w:val="none" w:sz="0" w:space="0" w:color="auto"/>
            <w:left w:val="none" w:sz="0" w:space="0" w:color="auto"/>
            <w:bottom w:val="none" w:sz="0" w:space="0" w:color="auto"/>
            <w:right w:val="none" w:sz="0" w:space="0" w:color="auto"/>
          </w:divBdr>
        </w:div>
        <w:div w:id="1386762213">
          <w:marLeft w:val="288"/>
          <w:marRight w:val="0"/>
          <w:marTop w:val="0"/>
          <w:marBottom w:val="101"/>
          <w:divBdr>
            <w:top w:val="none" w:sz="0" w:space="0" w:color="auto"/>
            <w:left w:val="none" w:sz="0" w:space="0" w:color="auto"/>
            <w:bottom w:val="none" w:sz="0" w:space="0" w:color="auto"/>
            <w:right w:val="none" w:sz="0" w:space="0" w:color="auto"/>
          </w:divBdr>
        </w:div>
        <w:div w:id="476578271">
          <w:marLeft w:val="288"/>
          <w:marRight w:val="0"/>
          <w:marTop w:val="0"/>
          <w:marBottom w:val="101"/>
          <w:divBdr>
            <w:top w:val="none" w:sz="0" w:space="0" w:color="auto"/>
            <w:left w:val="none" w:sz="0" w:space="0" w:color="auto"/>
            <w:bottom w:val="none" w:sz="0" w:space="0" w:color="auto"/>
            <w:right w:val="none" w:sz="0" w:space="0" w:color="auto"/>
          </w:divBdr>
        </w:div>
        <w:div w:id="1352485934">
          <w:marLeft w:val="288"/>
          <w:marRight w:val="0"/>
          <w:marTop w:val="0"/>
          <w:marBottom w:val="101"/>
          <w:divBdr>
            <w:top w:val="none" w:sz="0" w:space="0" w:color="auto"/>
            <w:left w:val="none" w:sz="0" w:space="0" w:color="auto"/>
            <w:bottom w:val="none" w:sz="0" w:space="0" w:color="auto"/>
            <w:right w:val="none" w:sz="0" w:space="0" w:color="auto"/>
          </w:divBdr>
        </w:div>
        <w:div w:id="829176806">
          <w:marLeft w:val="288"/>
          <w:marRight w:val="0"/>
          <w:marTop w:val="0"/>
          <w:marBottom w:val="101"/>
          <w:divBdr>
            <w:top w:val="none" w:sz="0" w:space="0" w:color="auto"/>
            <w:left w:val="none" w:sz="0" w:space="0" w:color="auto"/>
            <w:bottom w:val="none" w:sz="0" w:space="0" w:color="auto"/>
            <w:right w:val="none" w:sz="0" w:space="0" w:color="auto"/>
          </w:divBdr>
        </w:div>
      </w:divsChild>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3A4D-D519-4D9B-A45E-B5B46949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10892</Words>
  <Characters>59910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2018-11-14T22:11:00Z</cp:lastPrinted>
  <dcterms:created xsi:type="dcterms:W3CDTF">2018-11-26T18:40:00Z</dcterms:created>
  <dcterms:modified xsi:type="dcterms:W3CDTF">2018-11-26T18:40:00Z</dcterms:modified>
</cp:coreProperties>
</file>