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veintidós de noviembre de dos mil dieciocho.</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03494/INFOEM/IP/RR/2018</w:t>
      </w:r>
      <w:r>
        <w:rPr>
          <w:rFonts w:ascii="Palatino Linotype" w:eastAsia="Palatino Linotype" w:hAnsi="Palatino Linotype" w:cs="Palatino Linotype"/>
        </w:rPr>
        <w:t xml:space="preserve">, interpuesto por </w:t>
      </w:r>
      <w:r w:rsidR="00463C95">
        <w:rPr>
          <w:rFonts w:ascii="Palatino Linotype" w:eastAsia="Palatino Linotype" w:hAnsi="Palatino Linotype" w:cs="Palatino Linotype"/>
          <w:b/>
        </w:rPr>
        <w:t>Xxxxxx Xxxxxx Xxxxxx</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 </w:t>
      </w:r>
      <w:r>
        <w:rPr>
          <w:rFonts w:ascii="Palatino Linotype" w:eastAsia="Palatino Linotype" w:hAnsi="Palatino Linotype" w:cs="Palatino Linotype"/>
          <w:b/>
        </w:rPr>
        <w:t>00043/OCOYOAC/IP/2018</w:t>
      </w:r>
      <w:r>
        <w:rPr>
          <w:rFonts w:ascii="Palatino Linotype" w:eastAsia="Palatino Linotype" w:hAnsi="Palatino Linotype" w:cs="Palatino Linotype"/>
        </w:rPr>
        <w:t xml:space="preserve">, por parte del </w:t>
      </w:r>
      <w:r>
        <w:rPr>
          <w:rFonts w:ascii="Palatino Linotype" w:eastAsia="Palatino Linotype" w:hAnsi="Palatino Linotype" w:cs="Palatino Linotype"/>
          <w:b/>
        </w:rPr>
        <w:t>Ay</w:t>
      </w:r>
      <w:bookmarkStart w:id="0" w:name="_GoBack"/>
      <w:bookmarkEnd w:id="0"/>
      <w:r>
        <w:rPr>
          <w:rFonts w:ascii="Palatino Linotype" w:eastAsia="Palatino Linotype" w:hAnsi="Palatino Linotype" w:cs="Palatino Linotype"/>
          <w:b/>
        </w:rPr>
        <w:t>untamiento de Ocoyoacac</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207F36" w:rsidRDefault="00B53F5B">
      <w:pPr>
        <w:numPr>
          <w:ilvl w:val="0"/>
          <w:numId w:val="1"/>
        </w:numPr>
        <w:pBdr>
          <w:top w:val="nil"/>
          <w:left w:val="nil"/>
          <w:bottom w:val="nil"/>
          <w:right w:val="nil"/>
          <w:between w:val="nil"/>
        </w:pBdr>
        <w:spacing w:line="360" w:lineRule="auto"/>
        <w:ind w:left="1077"/>
        <w:contextualSpacing/>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rsidR="00207F36" w:rsidRDefault="00B53F5B">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treinta de julio de dos mil dieciocho,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207F36" w:rsidRDefault="00B53F5B">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color w:val="000000"/>
        </w:rPr>
        <w:t>“</w:t>
      </w:r>
      <w:r>
        <w:rPr>
          <w:rFonts w:ascii="Palatino Linotype" w:eastAsia="Palatino Linotype" w:hAnsi="Palatino Linotype" w:cs="Palatino Linotype"/>
          <w:i/>
        </w:rPr>
        <w:t xml:space="preserve">Hola, quiero conocer: 1.- el organigrama actual, 2.- los manuales de procedimiento . 3.- numero de manuales de organización 4.- reglamentos internos o similar vigentes del ayuntamiento. 5. bando municipal actual. 6.- los requerimientos del 2016 a la fecha que han recibido del osfem hacia la administración de la actual presidenta. 7.- conocer los oficios recibidos del OSFEM sobre las recomendaciones a las evaluaciones trimestrales desde el 2016 a la fecha. Y conforme a los lineamientos para la integración del informe mensual 2016, 2017 y 2018, solicito lo siguiente:el programa operativo anual 2016, 2017 y 2018. Así como la información en digital y en versión pública del disco 6 correspondiente al </w:t>
      </w:r>
      <w:r>
        <w:rPr>
          <w:rFonts w:ascii="Palatino Linotype" w:eastAsia="Palatino Linotype" w:hAnsi="Palatino Linotype" w:cs="Palatino Linotype"/>
          <w:i/>
        </w:rPr>
        <w:lastRenderedPageBreak/>
        <w:t>mes de diciembre de 2015, 2016 y 2017. lo anterior a través de este medio, versión pública y digital.” (Sic)</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Prorroga, </w:t>
      </w:r>
      <w:r>
        <w:rPr>
          <w:rFonts w:ascii="Palatino Linotype" w:eastAsia="Palatino Linotype" w:hAnsi="Palatino Linotype" w:cs="Palatino Linotype"/>
        </w:rPr>
        <w:t>de las constancias que obran en el expediente electrónico del SAIMEX, se desprende que el responsable de la unidad de transparencia, el veinte de agosto de dos mil dieciocho notificó una prórroga de siete días más a los quince días que señala el artículo 163 de la Ley de Transparencia y Acceso a la Información Pública vigente en la entidad; para emitir su respuesta correspondiente, argumentando lo siguiente:</w:t>
      </w:r>
    </w:p>
    <w:p w:rsidR="00207F36" w:rsidRDefault="00B53F5B">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207F36" w:rsidRDefault="00B53F5B">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Estimado Servidor Público Habilitado, en términos de lo dispuesto por el artículo 222 de la Ley de Transparencia y Acceso a la Información Pública del Estado de México y Municipios, se le recuerda que omitir cumplir con las obligaciones establecidas en la materia, es causa de Responsabilidad Administrativa; evite sanciones.</w:t>
      </w:r>
    </w:p>
    <w:p w:rsidR="00207F36" w:rsidRDefault="00B53F5B">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Gamaliel Ibarra Contreras</w:t>
      </w:r>
    </w:p>
    <w:p w:rsidR="00207F36" w:rsidRDefault="00B53F5B">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Responsable de la Unidad de Transparencia” (Sic)</w:t>
      </w:r>
    </w:p>
    <w:p w:rsidR="00207F36" w:rsidRDefault="00207F36">
      <w:pPr>
        <w:ind w:right="758"/>
        <w:jc w:val="both"/>
        <w:rPr>
          <w:rFonts w:ascii="Palatino Linotype" w:eastAsia="Palatino Linotype" w:hAnsi="Palatino Linotype" w:cs="Palatino Linotype"/>
          <w:i/>
          <w:sz w:val="22"/>
          <w:szCs w:val="22"/>
        </w:rPr>
      </w:pP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Respuesta. </w:t>
      </w:r>
      <w:r>
        <w:rPr>
          <w:rFonts w:ascii="Palatino Linotype" w:eastAsia="Palatino Linotype" w:hAnsi="Palatino Linotype" w:cs="Palatino Linotype"/>
        </w:rPr>
        <w:t xml:space="preserve">Con fecha veintinueve de agosto de dos mil dieciocho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rsidR="00207F36" w:rsidRDefault="00B53F5B">
      <w:pPr>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“En vía de notificación, adjunto al presente, remito a usted los archivos con los cuales, los servidores públicos habilitados por parte de la Secretaría del Ayuntamiento; Dirección General de Administración; Tesorería Municipal; Contraloría Municipal; Unidad de Información, Planeación, Programación y Evaluación, brindan atención a su solicitud </w:t>
      </w:r>
      <w:r>
        <w:rPr>
          <w:rFonts w:ascii="Palatino Linotype" w:eastAsia="Palatino Linotype" w:hAnsi="Palatino Linotype" w:cs="Palatino Linotype"/>
          <w:i/>
          <w:color w:val="000000"/>
        </w:rPr>
        <w:lastRenderedPageBreak/>
        <w:t>de información. Así mismo, se adjunta el Acta de Octava Sesión Ordinaria del Comité de Transparencia Municipal, por medio de la cual se autorizó la versión pública de la información solicitada.No omito mencionar que, en términos de lo dispuesto por el artículo 12 párrafo segundo de la Ley de Transparencia y Acceso a la Información Pública del Estado de México y Municipios, la obligación de proporcionar información no comprende el procesamiento de la misma, ni el presentarla conforme al interés del solicitante; no estarán obligados a generarla, resumirla, efectuar cálculos o practicar investigaciones.</w:t>
      </w:r>
    </w:p>
    <w:p w:rsidR="00207F36" w:rsidRDefault="00B53F5B">
      <w:pPr>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ATENTAMENTE</w:t>
      </w:r>
    </w:p>
    <w:p w:rsidR="00207F36" w:rsidRDefault="00B53F5B">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Gamaliel Ibarra Contreras</w:t>
      </w:r>
      <w:r>
        <w:rPr>
          <w:rFonts w:ascii="Palatino Linotype" w:eastAsia="Palatino Linotype" w:hAnsi="Palatino Linotype" w:cs="Palatino Linotype"/>
          <w:i/>
        </w:rPr>
        <w:t>” (Sic)</w:t>
      </w:r>
    </w:p>
    <w:p w:rsidR="00207F36" w:rsidRDefault="00207F36">
      <w:pPr>
        <w:ind w:left="851" w:right="902"/>
        <w:jc w:val="both"/>
        <w:rPr>
          <w:rFonts w:ascii="Palatino Linotype" w:eastAsia="Palatino Linotype" w:hAnsi="Palatino Linotype" w:cs="Palatino Linotype"/>
          <w:i/>
        </w:rPr>
      </w:pP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Adjuntando a su respuesta los archivos electrónicos: “</w:t>
      </w:r>
      <w:hyperlink r:id="rId7">
        <w:r>
          <w:rPr>
            <w:rFonts w:ascii="Palatino Linotype" w:eastAsia="Palatino Linotype" w:hAnsi="Palatino Linotype" w:cs="Palatino Linotype"/>
          </w:rPr>
          <w:t>02a16.pdf</w:t>
        </w:r>
      </w:hyperlink>
      <w:r>
        <w:rPr>
          <w:rFonts w:ascii="Palatino Linotype" w:eastAsia="Palatino Linotype" w:hAnsi="Palatino Linotype" w:cs="Palatino Linotype"/>
        </w:rPr>
        <w:t>”, “</w:t>
      </w:r>
      <w:hyperlink r:id="rId8">
        <w:r>
          <w:rPr>
            <w:rFonts w:ascii="Palatino Linotype" w:eastAsia="Palatino Linotype" w:hAnsi="Palatino Linotype" w:cs="Palatino Linotype"/>
          </w:rPr>
          <w:t>02a18.pdf</w:t>
        </w:r>
      </w:hyperlink>
      <w:r>
        <w:rPr>
          <w:rFonts w:ascii="Palatino Linotype" w:eastAsia="Palatino Linotype" w:hAnsi="Palatino Linotype" w:cs="Palatino Linotype"/>
        </w:rPr>
        <w:t>”, “</w:t>
      </w:r>
      <w:hyperlink r:id="rId9">
        <w:r>
          <w:rPr>
            <w:rFonts w:ascii="Palatino Linotype" w:eastAsia="Palatino Linotype" w:hAnsi="Palatino Linotype" w:cs="Palatino Linotype"/>
          </w:rPr>
          <w:t>02a17.pdf</w:t>
        </w:r>
      </w:hyperlink>
      <w:r>
        <w:rPr>
          <w:rFonts w:ascii="Palatino Linotype" w:eastAsia="Palatino Linotype" w:hAnsi="Palatino Linotype" w:cs="Palatino Linotype"/>
        </w:rPr>
        <w:t>”, “</w:t>
      </w:r>
      <w:hyperlink r:id="rId10">
        <w:r>
          <w:rPr>
            <w:rFonts w:ascii="Palatino Linotype" w:eastAsia="Palatino Linotype" w:hAnsi="Palatino Linotype" w:cs="Palatino Linotype"/>
          </w:rPr>
          <w:t>DISCO 6 2017.zip</w:t>
        </w:r>
      </w:hyperlink>
      <w:r>
        <w:rPr>
          <w:rFonts w:ascii="Palatino Linotype" w:eastAsia="Palatino Linotype" w:hAnsi="Palatino Linotype" w:cs="Palatino Linotype"/>
        </w:rPr>
        <w:t>”, “</w:t>
      </w:r>
      <w:hyperlink r:id="rId11">
        <w:r>
          <w:rPr>
            <w:rFonts w:ascii="Palatino Linotype" w:eastAsia="Palatino Linotype" w:hAnsi="Palatino Linotype" w:cs="Palatino Linotype"/>
          </w:rPr>
          <w:t>DISCO 6 2016.zip</w:t>
        </w:r>
      </w:hyperlink>
      <w:r>
        <w:rPr>
          <w:rFonts w:ascii="Palatino Linotype" w:eastAsia="Palatino Linotype" w:hAnsi="Palatino Linotype" w:cs="Palatino Linotype"/>
        </w:rPr>
        <w:t>”, “</w:t>
      </w:r>
      <w:hyperlink r:id="rId12">
        <w:r>
          <w:rPr>
            <w:rFonts w:ascii="Palatino Linotype" w:eastAsia="Palatino Linotype" w:hAnsi="Palatino Linotype" w:cs="Palatino Linotype"/>
          </w:rPr>
          <w:t>DISCO 6 2015.zip</w:t>
        </w:r>
      </w:hyperlink>
      <w:r>
        <w:rPr>
          <w:rFonts w:ascii="Palatino Linotype" w:eastAsia="Palatino Linotype" w:hAnsi="Palatino Linotype" w:cs="Palatino Linotype"/>
        </w:rPr>
        <w:t>”, “</w:t>
      </w:r>
      <w:hyperlink r:id="rId13">
        <w:r>
          <w:rPr>
            <w:rFonts w:ascii="Palatino Linotype" w:eastAsia="Palatino Linotype" w:hAnsi="Palatino Linotype" w:cs="Palatino Linotype"/>
          </w:rPr>
          <w:t>43-18 DGA.PDF</w:t>
        </w:r>
      </w:hyperlink>
      <w:r>
        <w:rPr>
          <w:rFonts w:ascii="Palatino Linotype" w:eastAsia="Palatino Linotype" w:hAnsi="Palatino Linotype" w:cs="Palatino Linotype"/>
        </w:rPr>
        <w:t>”, “</w:t>
      </w:r>
      <w:hyperlink r:id="rId14">
        <w:r>
          <w:rPr>
            <w:rFonts w:ascii="Palatino Linotype" w:eastAsia="Palatino Linotype" w:hAnsi="Palatino Linotype" w:cs="Palatino Linotype"/>
          </w:rPr>
          <w:t>43-18 OSFEM 16.PDF</w:t>
        </w:r>
      </w:hyperlink>
      <w:r>
        <w:rPr>
          <w:rFonts w:ascii="Palatino Linotype" w:eastAsia="Palatino Linotype" w:hAnsi="Palatino Linotype" w:cs="Palatino Linotype"/>
        </w:rPr>
        <w:t>”, “</w:t>
      </w:r>
      <w:hyperlink r:id="rId15">
        <w:r>
          <w:rPr>
            <w:rFonts w:ascii="Palatino Linotype" w:eastAsia="Palatino Linotype" w:hAnsi="Palatino Linotype" w:cs="Palatino Linotype"/>
          </w:rPr>
          <w:t>SESION COMITE TRANSPARENCIA 8 16082018.pdf</w:t>
        </w:r>
      </w:hyperlink>
      <w:r>
        <w:rPr>
          <w:rFonts w:ascii="Palatino Linotype" w:eastAsia="Palatino Linotype" w:hAnsi="Palatino Linotype" w:cs="Palatino Linotype"/>
        </w:rPr>
        <w:t>” , “</w:t>
      </w:r>
      <w:hyperlink r:id="rId16">
        <w:r>
          <w:rPr>
            <w:rFonts w:ascii="Palatino Linotype" w:eastAsia="Palatino Linotype" w:hAnsi="Palatino Linotype" w:cs="Palatino Linotype"/>
          </w:rPr>
          <w:t>43-18 CONTRALORIA.PDF</w:t>
        </w:r>
      </w:hyperlink>
      <w:r>
        <w:rPr>
          <w:rFonts w:ascii="Palatino Linotype" w:eastAsia="Palatino Linotype" w:hAnsi="Palatino Linotype" w:cs="Palatino Linotype"/>
        </w:rPr>
        <w:t>”, “</w:t>
      </w:r>
      <w:hyperlink r:id="rId17">
        <w:r>
          <w:rPr>
            <w:rFonts w:ascii="Palatino Linotype" w:eastAsia="Palatino Linotype" w:hAnsi="Palatino Linotype" w:cs="Palatino Linotype"/>
          </w:rPr>
          <w:t>43-18 SECRETARIA.PDF</w:t>
        </w:r>
      </w:hyperlink>
      <w:r>
        <w:rPr>
          <w:rFonts w:ascii="Palatino Linotype" w:eastAsia="Palatino Linotype" w:hAnsi="Palatino Linotype" w:cs="Palatino Linotype"/>
        </w:rPr>
        <w:t>” y “</w:t>
      </w:r>
      <w:hyperlink r:id="rId18">
        <w:r>
          <w:rPr>
            <w:rFonts w:ascii="Palatino Linotype" w:eastAsia="Palatino Linotype" w:hAnsi="Palatino Linotype" w:cs="Palatino Linotype"/>
          </w:rPr>
          <w:t>43-18 OSFEM 17.pdf</w:t>
        </w:r>
      </w:hyperlink>
      <w:r>
        <w:rPr>
          <w:rFonts w:ascii="Palatino Linotype" w:eastAsia="Palatino Linotype" w:hAnsi="Palatino Linotype" w:cs="Palatino Linotype"/>
        </w:rPr>
        <w:t>”, los cuales serán detallados y analizados más adelante en el apartado correspondiente.</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Interposición del recurso de revisión. </w:t>
      </w:r>
      <w:r>
        <w:rPr>
          <w:rFonts w:ascii="Palatino Linotype" w:eastAsia="Palatino Linotype" w:hAnsi="Palatino Linotype" w:cs="Palatino Linotype"/>
        </w:rPr>
        <w:t xml:space="preserve">Inconforme el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recurso de revisión a través del SAIMEX en fecha diecinueve de septiembre de dos mil dieciocho, a través del cual expresó lo siguiente:</w:t>
      </w:r>
    </w:p>
    <w:p w:rsidR="00207F36" w:rsidRDefault="00B53F5B">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207F36" w:rsidRDefault="00B53F5B">
      <w:pPr>
        <w:spacing w:after="240"/>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 xml:space="preserve">Lamentablemente la falta de información en el IPOMEX de ocoyoacac no responde a las obligaciones solicitadas, ya que no cuentan con la información además de la poca que hay no esta actualizada, ejemplo los manuales o reglamentos, por ello pregunte con cuantos cuenta el sujeto obligado. también no me dan el programa operativo anual 2018.” </w:t>
      </w:r>
      <w:r>
        <w:rPr>
          <w:rFonts w:ascii="Palatino Linotype" w:eastAsia="Palatino Linotype" w:hAnsi="Palatino Linotype" w:cs="Palatino Linotype"/>
          <w:i/>
        </w:rPr>
        <w:t>(Sic)</w:t>
      </w:r>
    </w:p>
    <w:p w:rsidR="00207F36" w:rsidRDefault="00B53F5B">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b) Motivos de inconformidad.</w:t>
      </w:r>
    </w:p>
    <w:p w:rsidR="00207F36" w:rsidRDefault="00B53F5B">
      <w:pPr>
        <w:spacing w:after="240"/>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rPr>
        <w:t>“</w:t>
      </w:r>
      <w:r>
        <w:rPr>
          <w:rFonts w:ascii="Palatino Linotype" w:eastAsia="Palatino Linotype" w:hAnsi="Palatino Linotype" w:cs="Palatino Linotype"/>
          <w:i/>
          <w:color w:val="000000"/>
        </w:rPr>
        <w:t>no me entregan la información solictada correspondiente al 2018. Si cumplieran con las obligaciones en el IPOMEX, el sujeto obligado mostraría la transparencia en su actuar y ejecución de recursos financieros.” (Sic)</w:t>
      </w:r>
    </w:p>
    <w:p w:rsidR="00207F36" w:rsidRDefault="00B53F5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Adjuntado los archivos electrónicos “</w:t>
      </w:r>
      <w:hyperlink r:id="rId19">
        <w:r>
          <w:rPr>
            <w:rFonts w:ascii="Palatino Linotype" w:eastAsia="Palatino Linotype" w:hAnsi="Palatino Linotype" w:cs="Palatino Linotype"/>
          </w:rPr>
          <w:t>ANEXO UNO (1).pdf</w:t>
        </w:r>
      </w:hyperlink>
      <w:r>
        <w:rPr>
          <w:rFonts w:ascii="Palatino Linotype" w:eastAsia="Palatino Linotype" w:hAnsi="Palatino Linotype" w:cs="Palatino Linotype"/>
        </w:rPr>
        <w:t xml:space="preserve">, </w:t>
      </w:r>
      <w:hyperlink r:id="rId20">
        <w:r>
          <w:rPr>
            <w:rFonts w:ascii="Palatino Linotype" w:eastAsia="Palatino Linotype" w:hAnsi="Palatino Linotype" w:cs="Palatino Linotype"/>
          </w:rPr>
          <w:t>Contestación al punto 3.xlsx</w:t>
        </w:r>
      </w:hyperlink>
      <w:r>
        <w:rPr>
          <w:rFonts w:ascii="Palatino Linotype" w:eastAsia="Palatino Linotype" w:hAnsi="Palatino Linotype" w:cs="Palatino Linotype"/>
        </w:rPr>
        <w:t xml:space="preserve">, </w:t>
      </w:r>
      <w:hyperlink r:id="rId21">
        <w:r>
          <w:rPr>
            <w:rFonts w:ascii="Palatino Linotype" w:eastAsia="Palatino Linotype" w:hAnsi="Palatino Linotype" w:cs="Palatino Linotype"/>
          </w:rPr>
          <w:t>ANEXO TRES.pdf</w:t>
        </w:r>
      </w:hyperlink>
      <w:r>
        <w:rPr>
          <w:rFonts w:ascii="Palatino Linotype" w:eastAsia="Palatino Linotype" w:hAnsi="Palatino Linotype" w:cs="Palatino Linotype"/>
        </w:rPr>
        <w:t xml:space="preserve">, </w:t>
      </w:r>
      <w:hyperlink r:id="rId22">
        <w:r>
          <w:rPr>
            <w:rFonts w:ascii="Palatino Linotype" w:eastAsia="Palatino Linotype" w:hAnsi="Palatino Linotype" w:cs="Palatino Linotype"/>
          </w:rPr>
          <w:t>Complemento del anexo tres.pdf</w:t>
        </w:r>
      </w:hyperlink>
      <w:r>
        <w:rPr>
          <w:rFonts w:ascii="Palatino Linotype" w:eastAsia="Palatino Linotype" w:hAnsi="Palatino Linotype" w:cs="Palatino Linotype"/>
        </w:rPr>
        <w:t xml:space="preserve"> y </w:t>
      </w:r>
      <w:hyperlink r:id="rId23">
        <w:r>
          <w:rPr>
            <w:rFonts w:ascii="Palatino Linotype" w:eastAsia="Palatino Linotype" w:hAnsi="Palatino Linotype" w:cs="Palatino Linotype"/>
          </w:rPr>
          <w:t>ANEXO DOS (1).pdf</w:t>
        </w:r>
      </w:hyperlink>
      <w:r>
        <w:rPr>
          <w:rFonts w:ascii="Palatino Linotype" w:eastAsia="Palatino Linotype" w:hAnsi="Palatino Linotype" w:cs="Palatino Linotype"/>
        </w:rPr>
        <w:t xml:space="preserve">”; archivos que son los mismos que exhibió el Sujeto Obligado en su respuesta y los cuales se describirán más adelante </w:t>
      </w:r>
    </w:p>
    <w:p w:rsidR="00207F36" w:rsidRDefault="00207F36">
      <w:pPr>
        <w:spacing w:line="360" w:lineRule="auto"/>
        <w:jc w:val="both"/>
        <w:rPr>
          <w:rFonts w:ascii="Palatino Linotype" w:eastAsia="Palatino Linotype" w:hAnsi="Palatino Linotype" w:cs="Palatino Linotype"/>
        </w:rPr>
      </w:pPr>
    </w:p>
    <w:p w:rsidR="00207F36" w:rsidRDefault="00B53F5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número </w:t>
      </w:r>
      <w:r>
        <w:rPr>
          <w:rFonts w:ascii="Palatino Linotype" w:eastAsia="Palatino Linotype" w:hAnsi="Palatino Linotype" w:cs="Palatino Linotype"/>
          <w:b/>
        </w:rPr>
        <w:t xml:space="preserve">03494/INFOEM/IP/RR/2018 </w:t>
      </w:r>
      <w:r>
        <w:rPr>
          <w:rFonts w:ascii="Palatino Linotype" w:eastAsia="Palatino Linotype" w:hAnsi="Palatino Linotype" w:cs="Palatino Linotype"/>
        </w:rPr>
        <w:t>fue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turnado por el sistema electrónico del Instituto de Transparencia, Acceso a la Información Pública y Protección de Datos Personales del Estado de México y Municipios, al Comisionado Ponente </w:t>
      </w:r>
      <w:r>
        <w:rPr>
          <w:rFonts w:ascii="Palatino Linotype" w:eastAsia="Palatino Linotype" w:hAnsi="Palatino Linotype" w:cs="Palatino Linotype"/>
          <w:b/>
        </w:rPr>
        <w:t>Javier Martínez Cruz</w:t>
      </w:r>
      <w:r>
        <w:rPr>
          <w:rFonts w:ascii="Palatino Linotype" w:eastAsia="Palatino Linotype" w:hAnsi="Palatino Linotype" w:cs="Palatino Linotype"/>
        </w:rPr>
        <w:t>, para su análisis, estudio, elaboración del proyecto y presentación ante el pleno de este Instituto.</w:t>
      </w:r>
    </w:p>
    <w:p w:rsidR="00207F36" w:rsidRDefault="00207F36">
      <w:pPr>
        <w:spacing w:line="360" w:lineRule="auto"/>
        <w:jc w:val="both"/>
        <w:rPr>
          <w:rFonts w:ascii="Palatino Linotype" w:eastAsia="Palatino Linotype" w:hAnsi="Palatino Linotype" w:cs="Palatino Linotype"/>
        </w:rPr>
      </w:pPr>
    </w:p>
    <w:p w:rsidR="00207F36" w:rsidRDefault="00B53F5B">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6. Admisión del recurso de revisión: </w:t>
      </w:r>
      <w:r>
        <w:rPr>
          <w:rFonts w:ascii="Palatino Linotype" w:eastAsia="Palatino Linotype" w:hAnsi="Palatino Linotype" w:cs="Palatino Linotype"/>
        </w:rPr>
        <w:t xml:space="preserve">En fecha veinticinco de septiembre de dos mil dieciocho, el Comisionado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207F36" w:rsidRDefault="00B53F5B" w:rsidP="00B53F5B">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7. Manifestaciones</w:t>
      </w:r>
      <w:r>
        <w:rPr>
          <w:rFonts w:ascii="Palatino Linotype" w:eastAsia="Palatino Linotype" w:hAnsi="Palatino Linotype" w:cs="Palatino Linotype"/>
          <w:color w:val="000000"/>
        </w:rPr>
        <w:t>: De las constancias que integran el expediente en que se actúa se advierte que el recurrente fue omiso en ofrecer pruebas y alegatos.</w:t>
      </w:r>
    </w:p>
    <w:p w:rsidR="00207F36" w:rsidRDefault="00B53F5B">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 ocho de octubre del dos mil dieciocho, remite en vía informe justificado el archivo adjunto denominado: “</w:t>
      </w:r>
      <w:hyperlink r:id="rId24">
        <w:r>
          <w:rPr>
            <w:rFonts w:ascii="Palatino Linotype" w:eastAsia="Palatino Linotype" w:hAnsi="Palatino Linotype" w:cs="Palatino Linotype"/>
            <w:b/>
          </w:rPr>
          <w:t>Manifestaciones.PDF</w:t>
        </w:r>
      </w:hyperlink>
      <w:r>
        <w:rPr>
          <w:rFonts w:ascii="Palatino Linotype" w:eastAsia="Palatino Linotype" w:hAnsi="Palatino Linotype" w:cs="Palatino Linotype"/>
          <w:b/>
        </w:rPr>
        <w:t xml:space="preserve">”, </w:t>
      </w:r>
      <w:r>
        <w:rPr>
          <w:rFonts w:ascii="Palatino Linotype" w:eastAsia="Palatino Linotype" w:hAnsi="Palatino Linotype" w:cs="Palatino Linotype"/>
        </w:rPr>
        <w:t>archivo electrónico que en fecha veintitrés de octubre del dos mil dieciocho, se puso a la vista del recurrente, en términos de la fracción III del artículo 185 de la Ley de Transparencia y Acceso a la Información Pública del Estado de México y Municipios; para que en el término de tres días manifestara lo que a su derecho convenga respecto de lo manifestado por el Sujeto Obligado, por tener relación con la solicitud de acceso a la información de la recurrente, sin que se pronunciara al respecto, se hará referencia al documento referido durante el estudio correspondiente.</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En fecha cinco de noviembre de dos mil dieciocho el Comisionado ponente determinó el cierre de instrucción en términos de la fracción VI del artículo 185 de la Ley de Transparencia y Acceso a la Información Pública del Estado de México y Municipios.</w:t>
      </w:r>
    </w:p>
    <w:p w:rsidR="00207F36" w:rsidRDefault="00B53F5B">
      <w:pPr>
        <w:widowControl w:val="0"/>
        <w:spacing w:before="240" w:after="240"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rPr>
        <w:t>9.-</w:t>
      </w:r>
      <w:r>
        <w:rPr>
          <w:rFonts w:ascii="Palatino Linotype" w:eastAsia="Palatino Linotype" w:hAnsi="Palatino Linotype" w:cs="Palatino Linotype"/>
        </w:rPr>
        <w:t xml:space="preserve"> </w:t>
      </w:r>
      <w:r>
        <w:rPr>
          <w:rFonts w:ascii="Palatino Linotype" w:eastAsia="Palatino Linotype" w:hAnsi="Palatino Linotype" w:cs="Palatino Linotype"/>
          <w:b/>
        </w:rPr>
        <w:t>Ampliación del plazo para emitir resolución</w:t>
      </w:r>
      <w:r>
        <w:rPr>
          <w:rFonts w:ascii="Palatino Linotype" w:eastAsia="Palatino Linotype" w:hAnsi="Palatino Linotype" w:cs="Palatino Linotype"/>
        </w:rPr>
        <w:t>. En fecha siete de noviembre de dos mil dieciocho,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rsidR="00207F36" w:rsidRDefault="00B53F5B">
      <w:pPr>
        <w:numPr>
          <w:ilvl w:val="0"/>
          <w:numId w:val="1"/>
        </w:numPr>
        <w:pBdr>
          <w:top w:val="nil"/>
          <w:left w:val="nil"/>
          <w:bottom w:val="nil"/>
          <w:right w:val="nil"/>
          <w:between w:val="nil"/>
        </w:pBdr>
        <w:spacing w:line="360" w:lineRule="auto"/>
        <w:ind w:left="720"/>
        <w:contextualSpacing/>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rsidR="00207F36" w:rsidRDefault="00B53F5B">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w:t>
      </w:r>
      <w:r>
        <w:rPr>
          <w:rFonts w:ascii="Palatino Linotype" w:eastAsia="Palatino Linotype" w:hAnsi="Palatino Linotype" w:cs="Palatino Linotype"/>
          <w:highlight w:val="white"/>
        </w:rPr>
        <w:lastRenderedPageBreak/>
        <w:t xml:space="preserve">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De conformidad con los requisitos de Oportunidad y Procedibilidad que deben reunir los recursos de revisión interpuestos,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Sujeto Obligado emitió su respuesta a la solicitud planteada por el solicitante en fecha veintinueve de agosto de año dos mil dieciocho y el recurrente presentó su recurso de revisión el diecinueve de septiembre del año en curso, esto es al quince día hábil siguiente de aquel en que tuvo conocimiento de la respuesta</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207F36" w:rsidRDefault="00B53F5B">
      <w:p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Así también,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Pr>
          <w:rFonts w:ascii="Palatino Linotype" w:eastAsia="Palatino Linotype" w:hAnsi="Palatino Linotype" w:cs="Palatino Linotype"/>
          <w:b/>
          <w:color w:val="000000"/>
        </w:rPr>
        <w:t>EL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w:t>
      </w:r>
    </w:p>
    <w:p w:rsidR="00207F36" w:rsidRDefault="00B53F5B">
      <w:p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resulta procedente la interposición del recurso, según lo aducido por el recurrente tanto en el acto impugnado como en sus razones o motivos de inconformidad, de acuerdo al artículo 179 fracciones V de la Ley de Transparencia y Acceso a la Información Pública del Estado de México y Municipios; que a la letra dice:</w:t>
      </w:r>
    </w:p>
    <w:p w:rsidR="00207F36" w:rsidRDefault="00B53F5B">
      <w:pPr>
        <w:pBdr>
          <w:top w:val="nil"/>
          <w:left w:val="nil"/>
          <w:bottom w:val="nil"/>
          <w:right w:val="nil"/>
          <w:between w:val="nil"/>
        </w:pBdr>
        <w:spacing w:before="240" w:after="240"/>
        <w:ind w:left="993" w:right="104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179</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El recurso de revisión</w:t>
      </w:r>
      <w:r>
        <w:rPr>
          <w:rFonts w:ascii="Palatino Linotype" w:eastAsia="Palatino Linotype" w:hAnsi="Palatino Linotype" w:cs="Palatino Linotype"/>
          <w:i/>
          <w:color w:val="000000"/>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rPr>
        <w:t>, y procederá en contra de las siguientes causas</w:t>
      </w:r>
      <w:r>
        <w:rPr>
          <w:rFonts w:ascii="Palatino Linotype" w:eastAsia="Palatino Linotype" w:hAnsi="Palatino Linotype" w:cs="Palatino Linotype"/>
          <w:i/>
          <w:color w:val="000000"/>
        </w:rPr>
        <w:t>:</w:t>
      </w:r>
    </w:p>
    <w:p w:rsidR="00207F36" w:rsidRDefault="00B53F5B">
      <w:pPr>
        <w:pBdr>
          <w:top w:val="nil"/>
          <w:left w:val="nil"/>
          <w:bottom w:val="nil"/>
          <w:right w:val="nil"/>
          <w:between w:val="nil"/>
        </w:pBdr>
        <w:spacing w:line="360" w:lineRule="auto"/>
        <w:ind w:left="993" w:right="104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V.</w:t>
      </w:r>
      <w:r>
        <w:rPr>
          <w:rFonts w:ascii="Palatino Linotype" w:eastAsia="Palatino Linotype" w:hAnsi="Palatino Linotype" w:cs="Palatino Linotype"/>
          <w:i/>
          <w:color w:val="000000"/>
        </w:rPr>
        <w:t xml:space="preserve"> La entrega de la información incompleta;…”(Sic)</w:t>
      </w:r>
    </w:p>
    <w:p w:rsidR="00207F36" w:rsidRDefault="00207F36">
      <w:pPr>
        <w:pBdr>
          <w:top w:val="nil"/>
          <w:left w:val="nil"/>
          <w:bottom w:val="nil"/>
          <w:right w:val="nil"/>
          <w:between w:val="nil"/>
        </w:pBdr>
        <w:spacing w:line="360" w:lineRule="auto"/>
        <w:ind w:right="-91"/>
        <w:jc w:val="both"/>
        <w:rPr>
          <w:rFonts w:ascii="Palatino Linotype" w:eastAsia="Palatino Linotype" w:hAnsi="Palatino Linotype" w:cs="Palatino Linotype"/>
          <w:color w:val="000000"/>
        </w:rPr>
      </w:pPr>
    </w:p>
    <w:p w:rsidR="00207F36" w:rsidRDefault="00B53F5B">
      <w:p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Con base en las constancias que obran en el expediente que se actúa, este Instituto tiene la convicción de que la presente resolución tiene como objetivo central determinar si la respuesta proporcionada por el Sujeto Obligado, es correcta y suficiente para tener por atendida la solicitud de acceso a la información.</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Cuarto. Estudio de fondo del asunto. </w:t>
      </w:r>
      <w:r>
        <w:rPr>
          <w:rFonts w:ascii="Palatino Linotype" w:eastAsia="Palatino Linotype" w:hAnsi="Palatino Linotype" w:cs="Palatino Linotype"/>
        </w:rPr>
        <w:t>Del análisis de la solicitud de información motivo del recurso de revisión que ahora se resuelve se advierte que el particular requirió al Ayuntamiento de Ocoyoacac:</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1.- El organigrama actual. </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2.- Los manuales de procedimientos.</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3.- Número de manuales de organización.</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4.- Reglamentos internos o similares vigentes del ayuntamiento.</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5. Bando municipal actual.</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6.- Los requerimientos que han recibido del Órgano Superior de Fiscalización del Estado de México, desde el año 2016 a la fecha de la solicitud.</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7.- Los oficios rendidos por Órgano Superior de Fiscalización del Estado de México, sobre las recomendaciones a las evaluaciones trimestrales desde el año 2016 a la fecha de la solicitud.</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8.- El programa operativo anual 2016, 2017 y 2018, conforme a los lineamientos para la integración del informe mensual 2016, 2017 y 2018.</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9.- La información digital y en versión pública del disco 6 correspondiente al mes de diciembre de los años 2015, 2016 y 2017.</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el Sujeto Obligado emitió su respuesta a través de los archivos adjuntos siguientes:</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w:t>
      </w:r>
      <w:hyperlink r:id="rId25">
        <w:r>
          <w:rPr>
            <w:rFonts w:ascii="Palatino Linotype" w:eastAsia="Palatino Linotype" w:hAnsi="Palatino Linotype" w:cs="Palatino Linotype"/>
          </w:rPr>
          <w:t>02a16.pdf</w:t>
        </w:r>
      </w:hyperlink>
      <w:r>
        <w:rPr>
          <w:rFonts w:ascii="Palatino Linotype" w:eastAsia="Palatino Linotype" w:hAnsi="Palatino Linotype" w:cs="Palatino Linotype"/>
        </w:rPr>
        <w:t>”, el cual contiene sesenta y tres formatos de la Calendarización de Metas de Actividad por Proyecto (PbRM-02a) del presupuesto basado en resultados municipal, a nombre del Sujeto Obligado correspondientes a diversas unidades administrativas de este, para el año fiscal 2016.</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26">
        <w:r>
          <w:rPr>
            <w:rFonts w:ascii="Palatino Linotype" w:eastAsia="Palatino Linotype" w:hAnsi="Palatino Linotype" w:cs="Palatino Linotype"/>
          </w:rPr>
          <w:t>02a18.pdf</w:t>
        </w:r>
      </w:hyperlink>
      <w:r>
        <w:rPr>
          <w:rFonts w:ascii="Palatino Linotype" w:eastAsia="Palatino Linotype" w:hAnsi="Palatino Linotype" w:cs="Palatino Linotype"/>
        </w:rPr>
        <w:t>”, el cual contiene cincuenta formatos de la Calendarización de Metas de Actividad por Proyecto (PbRM-02a) del presupuesto basado en resultados municipal, a nombre del Sujeto Obligado correspondientes a diversas unidades administrativas de este, del primero de enero al treinta y uno de diciembre del 2018.</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27">
        <w:r>
          <w:rPr>
            <w:rFonts w:ascii="Palatino Linotype" w:eastAsia="Palatino Linotype" w:hAnsi="Palatino Linotype" w:cs="Palatino Linotype"/>
          </w:rPr>
          <w:t>02a17.pdf</w:t>
        </w:r>
      </w:hyperlink>
      <w:r>
        <w:rPr>
          <w:rFonts w:ascii="Palatino Linotype" w:eastAsia="Palatino Linotype" w:hAnsi="Palatino Linotype" w:cs="Palatino Linotype"/>
        </w:rPr>
        <w:t>”, el cual contiene cincuenta formatos de la Calendarización de Metas de Actividad por Proyecto (PbRM-02a) del presupuesto basado en resultados municipal, a nombre del Sujeto Obligado correspondientes a diversas unidades administrativas de este, del ejercicio fiscal 2017.</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28">
        <w:r>
          <w:rPr>
            <w:rFonts w:ascii="Palatino Linotype" w:eastAsia="Palatino Linotype" w:hAnsi="Palatino Linotype" w:cs="Palatino Linotype"/>
          </w:rPr>
          <w:t>DISCO 6 2017.zip</w:t>
        </w:r>
      </w:hyperlink>
      <w:r>
        <w:rPr>
          <w:rFonts w:ascii="Palatino Linotype" w:eastAsia="Palatino Linotype" w:hAnsi="Palatino Linotype" w:cs="Palatino Linotype"/>
        </w:rPr>
        <w:t xml:space="preserve">”, el cual contiene una carpeta denominada “Disco 6 2017” misma que se integra por los siguientes archivos: </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carpeta denominada: “6.7 Mapa de Pobreza Municipal” la cual contiene tres archivos en formato pdf el primero “agebs GEO referenciados 2017-model.pdf” el cual no se pudo abrir porque al dar click en el archivo aparece que no es un tipo de archivo admitido o está dañado, el segundo “INFORME ANUAL DE SITUACIÓN DE POBREZA 2017.pdf”, el cual de igual forma no se pudo abrir porque al dar click en el archivo aparece que no es un tipo de archivo admitido o está dañado, el tercero “PPT_Rezago_Social_2010.pdf”, el cual de igual forma no se pudo abrir porque al dar click en el archivo aparece que no es un tipo de archivo admitido o </w:t>
      </w:r>
      <w:r>
        <w:rPr>
          <w:rFonts w:ascii="Palatino Linotype" w:eastAsia="Palatino Linotype" w:hAnsi="Palatino Linotype" w:cs="Palatino Linotype"/>
        </w:rPr>
        <w:lastRenderedPageBreak/>
        <w:t>está dañado y un archivo en formato Word denominado “ZAPS SECRETARÍA DE DESARROLLO SOCIAL.docx” el cual contiene una hoja en blanco.</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Siete archivos en formato txt, denominados: “6.4 IS0039201704.TXT”, “6.14 INDGEST0039S22017.txt”, “6.15 INDGEST0039A12017.txt”, 6.16 AM0039201704.TXT”, “IS0039201701.TXT”, “IS0039201702.TXT” y “IS0039201703.TXT”, los cuales contienen diversos temas en bloc de notas y diversas páginas de internet del IPOMEX del Sujeto Obligado referente a las obligaciones de trasparencia de todas las fracciones a que se refiere el artículo 92 de la Ley de la Materia.</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Once archivos en formato pdf, denominados: “6.5 SIAVAMEN.pdf”, el cual contiene un oficio dirigido a la Directora General de Inversión, por medio del cual el Presidente y el Tesorero del Sujeto Obligado, remiten el SISTEMA DE AVANCE MENSUAL (SIAVAMEN), en sus dos vertientes Fondo para la Infraestructura Social Municipal y de las Demarcaciones Territoriales del Distrito Federal (FISMDF) de los años de ejercicios 2014, 2015 y 2017, anexando únicamente el año 2014, 2015 y diciembre del 2017, y Fondo de Aportaciones para el Fortalecimiento de los Municipios y de las Demarcaciones Territoriales del Distrito Federal (FORTAMUNDF) ejercicio 2017, con corte al 31 de Diciembre de 2017, anexando únicamente el mes de diciembre del 2017</w:t>
      </w:r>
      <w:r>
        <w:rPr>
          <w:rFonts w:ascii="Palatino Linotype" w:eastAsia="Palatino Linotype" w:hAnsi="Palatino Linotype" w:cs="Palatino Linotype"/>
          <w:sz w:val="16"/>
          <w:szCs w:val="16"/>
        </w:rPr>
        <w:t>.</w:t>
      </w:r>
      <w:r>
        <w:rPr>
          <w:rFonts w:ascii="Palatino Linotype" w:eastAsia="Palatino Linotype" w:hAnsi="Palatino Linotype" w:cs="Palatino Linotype"/>
        </w:rPr>
        <w:t xml:space="preserve">, “6.6 ESTADO DE CUENTA FISMDF.pdf”, el cual contiene un estado de cuenta FISMDF a nombre del Sujeto Obligado en versión pública testando el número de cuenta bancaria como la clabe así como todo el detalle de movimientos del mes de diciembre del 2017, “6.6 ESTADO DE CUENTA FORTAMUNDF.pdf” el cual contiene un estado de cuenta FORTAMUNDF a nombre del Sujeto Obligado en versión pública testando el </w:t>
      </w:r>
      <w:r>
        <w:rPr>
          <w:rFonts w:ascii="Palatino Linotype" w:eastAsia="Palatino Linotype" w:hAnsi="Palatino Linotype" w:cs="Palatino Linotype"/>
        </w:rPr>
        <w:lastRenderedPageBreak/>
        <w:t xml:space="preserve">número de cuenta bancaria como la clabe así como todo el detalle de movimientos del mes de diciembre del 2017, “6.8 COMPETENCIA LABORAL TESORERO.pdf” el cual contiene la competencia laboral del tesorero del Sujeto Obligado en versión publica al 31 de diciembre del 2017, apreciándose que se testo la fotografía del certificado de competencia laboral y del certificado de estudios y no así las calificaciones de esté, “6.9 COMPETENCIA LABORAL DEL SECRETARIO DEL AYUNTAMIENTO.pdf”, el cual contiene la competencia laboral del secretaria del ayuntamiento de Ocoyoacac en versión pública al 31 de diciembre del 2017, apreciándose que se testo la fotografía del certificado de competencia laboral y del título, “6.10 COMPETENCIA LABORAL DE CONTRALOR INTERNO.pdf”, el cual contiene la competencia laboral del contralor interno del Sujeto Obligado en versión pública al 31 de diciembre del 2017, apreciándose que se testo la fotografía del certificado de competencia y del título, “6.11 COMPETENCIA LABORAL DEL DIRECTOR DE OBRAS.pdf”, el cual contiene la competencia laboral de la directora de obras del Sujeto Obligado en versión pública al 31 de diciembre del 2017, apreciándose que se testo la fotografía del certificado de competencia y del título, “6.12 COMPETENCIA LABORAL DEL DIRECTOR DE DESARROLLO ECONOMICO.pdf”, el cual contiene un oficio del encargado de la Dirección General de Desarrollo Económico donde se le hace saber al tesorero municipal, ambos del Sujeto Obligado que el certificado de competencia laboral del Director de Desarrollo Económico está en proceso de fecha 13 de julio del 2017, “6.13 COMPETENCIA LABORAL DEL DIRECTOR DE CATASTRO.pdf”, el cual contiene la competencia laboral del Director de Catastro del Sujeto Obligado en versión pública al 31 de diciembre del 2017, apreciándose que se testo la fotografía </w:t>
      </w:r>
      <w:r>
        <w:rPr>
          <w:rFonts w:ascii="Palatino Linotype" w:eastAsia="Palatino Linotype" w:hAnsi="Palatino Linotype" w:cs="Palatino Linotype"/>
        </w:rPr>
        <w:lastRenderedPageBreak/>
        <w:t>del certificado de competencia y de la cédula de pasante, “6.14 DOCUMENTOS PARA EL DESARROLLO INSTITUCIONAL.pdf”, el cual contiene los documentos que tiene el Sujeto Obligado del primero de julio al treinta y uno de diciembre del 2017, para el desarrollo institucional y “6.15 TRANSPARENCIA EN EL AMBITO MUNICIPAL.pdf”, el cual contiene un cuadro de las obligaciones de trasparencia que señala el artículo 92 de la ley de la Materia en cuanto a que si cumple o no respecto de cada fracción de dicho ordenamiento legal, como sus evidencias documentales y sus respectivas observaciones del primero de enero al treinta y uno de diciembre del 2017 del Sujeto Obligado.</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29">
        <w:r>
          <w:rPr>
            <w:rFonts w:ascii="Palatino Linotype" w:eastAsia="Palatino Linotype" w:hAnsi="Palatino Linotype" w:cs="Palatino Linotype"/>
          </w:rPr>
          <w:t>DISCO 6 2016.zip</w:t>
        </w:r>
      </w:hyperlink>
      <w:r>
        <w:rPr>
          <w:rFonts w:ascii="Palatino Linotype" w:eastAsia="Palatino Linotype" w:hAnsi="Palatino Linotype" w:cs="Palatino Linotype"/>
        </w:rPr>
        <w:t xml:space="preserve">”, el cual contiene una carpeta denominada “6.7 15062_OCOYOACAC”, que a su vez tiene cinco carpetas: la primera “150620001_OCOYOACA” la que tiene la carpeta “ZAP_Urbana_2015” dentro de la cual se encuentran cinco archivos en pdf que integran las ubicaciones geográficas del Sujeto Obligado de las diferentes regiones que lo conforman del 2015 y un archivo en pdf “150620001_OCOYOACAC,pdf” que contiene un plano llave de las localidades con zonas de atención prioritaria urbana 2015 del Municipio de Ocoyoacac, la segunda “150620014_EL_PEDREGAL_DE_GUADALUPE_HIDALGO”, se conforma de na carpeta denominada “ZAP_Urbana_2015” la que no tiene ningún archivo, la tercera “150620020_SAN_JERÓNIMO_ACAZULCO”, la que contiene la carpeta “ZAP_Urbana_2015”, que a su vez contiene tres archivos en pdf los cuales; el primero “1506200200048” contiene un plano de la localidad de San Jerónimo Acazulco del Sujeto Obligado, el segundo “150620002000137” y tercero “1506200200279” no se pueden abrir porque al darles click en el archivo aparece </w:t>
      </w:r>
      <w:r>
        <w:rPr>
          <w:rFonts w:ascii="Palatino Linotype" w:eastAsia="Palatino Linotype" w:hAnsi="Palatino Linotype" w:cs="Palatino Linotype"/>
        </w:rPr>
        <w:lastRenderedPageBreak/>
        <w:t>que no es un tipo de archivo admitido o está dañado, la cuarta “150620022_SAN_PEDRO_ATLAPULCO”, la cual se integra por una carpeta “ZAP_Urbana_2015”, que a su vez se integra de cuatro archivos pdf denominados“150620020067.pdf”, “150620020141.pdf”, “150620020160.pdf” y 2150620020283.pdf” los cuales no se pueden abrir porque al darles click en el archivo aparece que no es un tipo de archivo admitido o está dañado y un archivo en pdf “150620022_SAN PEDRO ATLAPULCO”, el cual no se puede abrir porque a darle click en el archivo aparece que no es un tipo de archivo admitido o está dañado y la quinta “150620023_SAN_PEDRO_CHOLULA”, la que se integra de una carpeta denominada “ZAP_Urbana_2015” dentro se localiza un archivo en formato pdf “1506200230033.pdf” consistente en un plano de ubicación geográfica del poblado de San Pedro Cholula del Municipio de Ocoyoacac y un archivo en formato pdf “150620023_SAN PEDRO CHOLULA.pdf”, el cual no se puede abrir porque al darle click al archivo aparece que al archivo está dañado y no puede repararse.</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mismo, contiene cuatro archivos en formato txt, denominados “6.3 INDGEST0039A12016.txt”, “6.4 INDGEST0039S42016.TXT”, “6.15 AM0039201604.TXT” y “IS0039201604.TXT”, y siete archivos en formato pdf, nombrados: “6.5 SIAVAMEN DIC 16.pdf” Contiene un oficio dirigido a la Directora General de Inversión, por medio del cual el Presidente y el Tesorero del Sujeto Obligado, remiten el SISTEMA DE AVANCE MENSUAL (SIAVAMEN), en sus dos vertientes Fondo para la Infraestructura Social Municipal y de las Demarcaciones Territoriales del Distrito Federal (FISMDF) de los años de ejercicios 2014, 2015 y 2016, anexando únicamente el año ejercicio fiscal 2014 y 2015 de </w:t>
      </w:r>
      <w:r>
        <w:rPr>
          <w:rFonts w:ascii="Palatino Linotype" w:eastAsia="Palatino Linotype" w:hAnsi="Palatino Linotype" w:cs="Palatino Linotype"/>
        </w:rPr>
        <w:lastRenderedPageBreak/>
        <w:t>diciembre del 2016, y Fondo de Aportaciones para el Fortalecimiento de los Municipios y de las Demarcaciones Territoriales del Distrito Federal (FORTAMUNDF) ejercicio 2016, con corte al 31 de Diciembre de 2016, anexando únicamente el mes de diciembre del 2016., “6.6 ESTADO DE CUENTA FISM.pdf” el cual contiene un estado de cuenta FISMDf, a nombre del Sujeto Obligado en versión pública testando el número de cuenta bancaria del ENLACE GLOBAL PM C/INTERESES, y la descripción del cargo o abono del mes de diciembre del 2016, “6.6 ESTADO DE CUENTA FORTAMUN.pdf” el cual contiene un estado de cuenta FORTAMUMDF 2016 a nombre del Sujeto Obligado en versión pública testando el número de cuenta bancaria del ENLACE GLOBAL PM C/INTERESES, y la descripción del cargo o abono del mes de diciembre del 2016, “6.7 Grados de Resago Social GRS_2010.pdf”, el cual contiene las Localidades con los dos mayores grados de rezago social del municipio de diversos estados de la república, 2010 y en donde se observan en la página 299 diez registros a nombre del Sujeto Obligado, “6.7 SITUACION DE POBREZA Y REZAGO SOCIAL 062.pdf”, el cual contiene el informe anual sobre la situación de pobreza y rezago social 2016 del municipio de Ocoyoacac, “6.7 ZAP_Urbanas_2016-2 (1)pdf”, el cual contiene el decreto por el cual se formula la Declaratoria de 188 zonas da Atención Prioritaria para al año 2016, donde se ubican cinco registros del municipio de Ocoyoacac, “6.7 ZAP_Urbanas_2016-2 (1)pdf”, el cual contiene el decreto por el que se formula la Declaratoria de las Zonas de Atención Prioritaria para el año 2016, donde se ubican en la página 26 cinco registros a nombre del Sujeto Obligado.</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30">
        <w:r>
          <w:rPr>
            <w:rFonts w:ascii="Palatino Linotype" w:eastAsia="Palatino Linotype" w:hAnsi="Palatino Linotype" w:cs="Palatino Linotype"/>
          </w:rPr>
          <w:t>DISCO 6 2015.zip</w:t>
        </w:r>
      </w:hyperlink>
      <w:r>
        <w:rPr>
          <w:rFonts w:ascii="Palatino Linotype" w:eastAsia="Palatino Linotype" w:hAnsi="Palatino Linotype" w:cs="Palatino Linotype"/>
        </w:rPr>
        <w:t xml:space="preserve">”, el cual contiene cinco archivos en formato pdf, el primero “ficha-pbrm-08b 2015.pdf”consistente en noventa y un formatos de la ficha técnica </w:t>
      </w:r>
      <w:r>
        <w:rPr>
          <w:rFonts w:ascii="Palatino Linotype" w:eastAsia="Palatino Linotype" w:hAnsi="Palatino Linotype" w:cs="Palatino Linotype"/>
        </w:rPr>
        <w:lastRenderedPageBreak/>
        <w:t>de seguimiento de indicadores estratégicos o de gestión del año 2015 (pbrm-08b), a nombre del Sujeto Obligado, el segundo “FISM 2015.pdf”, el cual contiene un estado de cuenta del FISM 2015 en versión pública a nombre del Sujeto Obligado del mes de diciembre del 2015, en donde se aprecia que se testaron el número de cuenta bancaria y clabe, el tercero “FORTAMUN 2015.pdf”, consistente en un estado de cuenta FORTAMUN 2015 en versión pública a nombre del Sujeto Obligado del mes de diciembre del 2015, en donde se aprecia que se testaron el número de cuenta bancaria, clabe y el detalle de operaciones, el cuarto “meta-pbrm-03c2015.pdf” el cual se integra de sesenta y cuatro formatos de Metas de Acciones por Proyecto (PbRM-08c) del presupuesto basado en resultados municipal, a nombre del Sujeto Obligado correspondientes a diversas unidades administrativas de este, del ejercicio anual del 2015 sobre el trimestre octubre-diciembre y el quinto denominados: “SIAVAMEN 2015.pdf”, el cual contiene el Registro de Avances Físicos y Financieros, en sus dos vertientes Fondo para la Infraestructura Social Municipal y de las Demarcaciones Territoriales del Distrito Federal (FISMDF) de los ejercicios fiscales 2013, 2014 y 2015 y Fondo de Aportaciones para el Fortalecimiento de los Municipios y de las Demarcaciones Territoriales del Distrito Federal (FORTAMUNDF) del mes de diciembre del 2015 de los ejercicios fiscales 2013, 2014 y 2015.</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Tres archivos en formato txt, es decir en bloc de notas denominados “AM003920154.TXT”, INDGEST0039A12015.txt” y “INDGEST0039S42015.txt”.</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31">
        <w:r>
          <w:rPr>
            <w:rFonts w:ascii="Palatino Linotype" w:eastAsia="Palatino Linotype" w:hAnsi="Palatino Linotype" w:cs="Palatino Linotype"/>
          </w:rPr>
          <w:t>43-18 DGA.PDF</w:t>
        </w:r>
      </w:hyperlink>
      <w:r>
        <w:rPr>
          <w:rFonts w:ascii="Palatino Linotype" w:eastAsia="Palatino Linotype" w:hAnsi="Palatino Linotype" w:cs="Palatino Linotype"/>
        </w:rPr>
        <w:t xml:space="preserve">”, el cual se integra de un oficio de la Dirección General de Administración por medio del cual le hace del conocimiento al Titular de la Unidad de Transparencia ambos del Sujeto Obligado, que respecto de la solicitud </w:t>
      </w:r>
      <w:r>
        <w:rPr>
          <w:rFonts w:ascii="Palatino Linotype" w:eastAsia="Palatino Linotype" w:hAnsi="Palatino Linotype" w:cs="Palatino Linotype"/>
        </w:rPr>
        <w:lastRenderedPageBreak/>
        <w:t xml:space="preserve">de información con número de folio 00043/0COYOAC/I P/2018, en la cual el particular solicita el organigrama actual, donde se precisa que lo requerido corresponde a información pública de oficio, lo que se puede apreciar en el portal de trasparencia del Ayuntamiento de Ocoyoacac proporcionado las ligas: </w:t>
      </w:r>
      <w:hyperlink r:id="rId32">
        <w:r>
          <w:rPr>
            <w:rFonts w:ascii="Palatino Linotype" w:eastAsia="Palatino Linotype" w:hAnsi="Palatino Linotype" w:cs="Palatino Linotype"/>
          </w:rPr>
          <w:t>http://ocoyoac</w:t>
        </w:r>
      </w:hyperlink>
      <w:r>
        <w:rPr>
          <w:rFonts w:ascii="Palatino Linotype" w:eastAsia="Palatino Linotype" w:hAnsi="Palatino Linotype" w:cs="Palatino Linotype"/>
        </w:rPr>
        <w:t xml:space="preserve"> ac.edomex.gob. mx/ o bien en http: //www .infoem. org.mx/; describiendo el Servidor Público Habilitado los pasos a seguir, ilustrándolo con imágenes, para acceder en dichas ligas de internet y así llegar a tener acceso al organigrama actual del Sujeto Obligado, lo que efectivamente fue corroborado por este dictaminador.</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33">
        <w:r>
          <w:rPr>
            <w:rFonts w:ascii="Palatino Linotype" w:eastAsia="Palatino Linotype" w:hAnsi="Palatino Linotype" w:cs="Palatino Linotype"/>
          </w:rPr>
          <w:t>43-18 OSFEM 16.PDF</w:t>
        </w:r>
      </w:hyperlink>
      <w:r>
        <w:rPr>
          <w:rFonts w:ascii="Palatino Linotype" w:eastAsia="Palatino Linotype" w:hAnsi="Palatino Linotype" w:cs="Palatino Linotype"/>
        </w:rPr>
        <w:t>”, consistente en las recomendaciones que hace el Órgano Superior de Fiscalización del Estado de México al Sujeto Obligado derivadas de la revisión de los informes mensuales municipales por el periodo de enero a marzo, abril a junio, julio a septiembre y octubre a diciembre todos del ejercicio fiscal 2016.</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34">
        <w:r>
          <w:rPr>
            <w:rFonts w:ascii="Palatino Linotype" w:eastAsia="Palatino Linotype" w:hAnsi="Palatino Linotype" w:cs="Palatino Linotype"/>
          </w:rPr>
          <w:t>SESION COMITE TRANSPARENCIA 8 16082018.pdf</w:t>
        </w:r>
      </w:hyperlink>
      <w:r>
        <w:rPr>
          <w:rFonts w:ascii="Palatino Linotype" w:eastAsia="Palatino Linotype" w:hAnsi="Palatino Linotype" w:cs="Palatino Linotype"/>
        </w:rPr>
        <w:t>”, consistente en acuerdo de clasificación de información como confidencial que hace el Comité de Transparencia del Sujeto Obligado, por medio del cual se aprueba la versión pública de los estados de cuenta bancarios y documentos de competencia laboral integrados en el disco número 6, de los informes mensuales correspondientes a diciembre de 2015, 2016 y 2017 que el Ayuntamiento de Ocoyoacac remitió al Órgano Superior de Fiscalización del Estado de México.</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35">
        <w:r>
          <w:rPr>
            <w:rFonts w:ascii="Palatino Linotype" w:eastAsia="Palatino Linotype" w:hAnsi="Palatino Linotype" w:cs="Palatino Linotype"/>
          </w:rPr>
          <w:t>43-18 CONTRALORIA.PDF</w:t>
        </w:r>
      </w:hyperlink>
      <w:r>
        <w:rPr>
          <w:rFonts w:ascii="Palatino Linotype" w:eastAsia="Palatino Linotype" w:hAnsi="Palatino Linotype" w:cs="Palatino Linotype"/>
        </w:rPr>
        <w:t xml:space="preserve">”, el cual contiene un oficio del Contralo Municipal dirigido al Titular de la Unidad de Transparencia ambos del Sujeto Obligado, en donde le hace del conocimiento en cuanto al numeral 6 de la solicitud de </w:t>
      </w:r>
      <w:r>
        <w:rPr>
          <w:rFonts w:ascii="Palatino Linotype" w:eastAsia="Palatino Linotype" w:hAnsi="Palatino Linotype" w:cs="Palatino Linotype"/>
        </w:rPr>
        <w:lastRenderedPageBreak/>
        <w:t>información referente a los requerimientos del 2016 a la fecha que han recibido del OSFEM hacia la administración de la actual presidenta, esta información no obra en poder de la Contraloría Municipal y en cuanto al numeral 7 de la solicitud de información referente a las recomendaciones a las evaluaciones trimestrales desde el 2016 a la fecha le envía copia de los oficios recibidos del Órgano Superior de Fiscalización del Estado de México, referente a las recomendaciones de evaluaciones trimestrales de los años 2016 y 2017.</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36">
        <w:r>
          <w:rPr>
            <w:rFonts w:ascii="Palatino Linotype" w:eastAsia="Palatino Linotype" w:hAnsi="Palatino Linotype" w:cs="Palatino Linotype"/>
          </w:rPr>
          <w:t>43-18 SECRETARIA.PDF</w:t>
        </w:r>
      </w:hyperlink>
      <w:r>
        <w:rPr>
          <w:rFonts w:ascii="Palatino Linotype" w:eastAsia="Palatino Linotype" w:hAnsi="Palatino Linotype" w:cs="Palatino Linotype"/>
        </w:rPr>
        <w:t xml:space="preserve">”, el que se integra por un oficio de la Secretaria del Ayuntamiento dirigido al titular de la Unidad de Transparencia ambos del Sujeto Obligado, por medio del cual hace del conocimiento que respecto de los numerales 2, 3, 4 y 5 señalados en la solicitud de acceso a la información del particular, estos se encuentran publicados en el portal de transparencia del Municipio de Ocoyoacac, todos ellos vigentes, mismos que podrán ser consultados a través del enlace </w:t>
      </w:r>
      <w:hyperlink r:id="rId37">
        <w:r>
          <w:rPr>
            <w:rFonts w:ascii="Palatino Linotype" w:eastAsia="Palatino Linotype" w:hAnsi="Palatino Linotype" w:cs="Palatino Linotype"/>
            <w:color w:val="0000FF"/>
            <w:u w:val="single"/>
          </w:rPr>
          <w:t>https://www.ipomex.org.mx/ipo3/lgt/indice/ocoyoac.wed</w:t>
        </w:r>
      </w:hyperlink>
      <w:r>
        <w:rPr>
          <w:rFonts w:ascii="Palatino Linotype" w:eastAsia="Palatino Linotype" w:hAnsi="Palatino Linotype" w:cs="Palatino Linotype"/>
        </w:rPr>
        <w:t>, señalando el procedimiento con sus respectivas imágenes que de manera ilustrativa indico el Servidor Público Habilitado, lo que fue efectivamente corroborado por este dictaminador; sin embargo respecto del número 5 referente al bando municipal actual del Sujeto Obligado este no fue localizado en la página del IPOMEX del Sujeto Obligado en la fracción I respecto a su normatividad.</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38">
        <w:r>
          <w:rPr>
            <w:rFonts w:ascii="Palatino Linotype" w:eastAsia="Palatino Linotype" w:hAnsi="Palatino Linotype" w:cs="Palatino Linotype"/>
          </w:rPr>
          <w:t>43-18 OSFEM 17.pdf</w:t>
        </w:r>
      </w:hyperlink>
      <w:r>
        <w:rPr>
          <w:rFonts w:ascii="Palatino Linotype" w:eastAsia="Palatino Linotype" w:hAnsi="Palatino Linotype" w:cs="Palatino Linotype"/>
        </w:rPr>
        <w:t>”, consistente en las recomendaciones que hace el Órgano Superior de Fiscalización del Estado de México al Sujeto Obligado derivadas de la revisión de los informes mensuales municipales por el periodo de enero a marzo, abril a junio, julio a septiembre y octubre a diciembre todos del ejercicio fiscal 2017.</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Derivado de dicha respuesta el recurrente manifestó, en esencia, dentro de su acto impugnado que “…</w:t>
      </w:r>
      <w:r>
        <w:rPr>
          <w:rFonts w:ascii="Palatino Linotype" w:eastAsia="Palatino Linotype" w:hAnsi="Palatino Linotype" w:cs="Palatino Linotype"/>
          <w:i/>
        </w:rPr>
        <w:t>la falta de información en el IPOMEX de Ocoyoacac no responde a las obligaciones solicitadas, ya que no cuentan con la información actualizada… y no me dan el programa operativo anual 2018</w:t>
      </w:r>
      <w:r>
        <w:rPr>
          <w:rFonts w:ascii="Palatino Linotype" w:eastAsia="Palatino Linotype" w:hAnsi="Palatino Linotype" w:cs="Palatino Linotype"/>
        </w:rPr>
        <w:t>” (Sic) y en sus razones o motivos de inconformidad, “</w:t>
      </w:r>
      <w:r>
        <w:rPr>
          <w:rFonts w:ascii="Palatino Linotype" w:eastAsia="Palatino Linotype" w:hAnsi="Palatino Linotype" w:cs="Palatino Linotype"/>
          <w:i/>
        </w:rPr>
        <w:t>no me entregan la información solicitada correspondiente al 2018..</w:t>
      </w:r>
      <w:r>
        <w:rPr>
          <w:rFonts w:ascii="Palatino Linotype" w:eastAsia="Palatino Linotype" w:hAnsi="Palatino Linotype" w:cs="Palatino Linotype"/>
        </w:rPr>
        <w:t>” (Sic), es decir, que el recurrente se queja de la información pública de oficio del Sujeto Obligado no colma su solicitud y porque no se le entrega la información del 2018.</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Ante la interposición del Recurso de Revisión el Sujeto Obligado emite su informe justificado a través del archivo electrónico: “</w:t>
      </w:r>
      <w:hyperlink r:id="rId39">
        <w:r>
          <w:rPr>
            <w:rFonts w:ascii="Palatino Linotype" w:eastAsia="Palatino Linotype" w:hAnsi="Palatino Linotype" w:cs="Palatino Linotype"/>
          </w:rPr>
          <w:t>Manifestaciones.PDF</w:t>
        </w:r>
      </w:hyperlink>
      <w:r>
        <w:rPr>
          <w:rFonts w:ascii="Palatino Linotype" w:eastAsia="Palatino Linotype" w:hAnsi="Palatino Linotype" w:cs="Palatino Linotype"/>
        </w:rPr>
        <w:t xml:space="preserve">”; por medio del cual el Sujeto Obligado informa que respecto del número de manuales de organización así como reglamentos internos o similares vigentes del ayuntamiento corresponde a Información Pública de Oficio que en cumplimiento de sus obligaciones se publica de manera clara y oportuna en el portal de trasparencia del municipio de Ocoyoacac, manifestando que en aras de garantizar el derecho de acceso a la información pública del recurrente, en el momento en que rindió su informe justificado el Sujeto Obligado llevó a cabo la actualización de la información cuestionable, en el portal de trasparencia del Sujeto Obligado proporcionando el enlace https:// www.ipomex. org.mx/ipo3/lgt/indice/ocoyoac/art_92_i.web, diciéndole el procedimiento a seguir para acceder a dicho enlace con sus respectivas imágenes ilustrativas. Por otro lado informa que respecto del programa operativo anual 2016, 2017 y 2018, el Servidor Público Habilitado de la Unidad de Información, Planeación, Programación y Evaluación del Ayuntamiento de Ocoyoacac, manifestó que de acuerdo a lo </w:t>
      </w:r>
      <w:r>
        <w:rPr>
          <w:rFonts w:ascii="Palatino Linotype" w:eastAsia="Palatino Linotype" w:hAnsi="Palatino Linotype" w:cs="Palatino Linotype"/>
        </w:rPr>
        <w:lastRenderedPageBreak/>
        <w:t>señalado en los Lineamientos para la Elaboración y Presentación del Informe Mensual Municipal 2018, publicados por el Órgano Superior de Fiscalización Superior del Estado de México el término “programa operativo anual” a que hace referencia el particular no existe y solicita sobreseer el presente Recurso de Revisión por actualizar la causal prevista en el artículo 192 fracción III de la Ley de la Materia.</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 bien es cierto que el Sujeto Obligado modifica su respuesta inicial con el archivo antes descrito, pretendiendo colmar el derecho de acceso a la información pública del recurrente; lo cierto es</w:t>
      </w:r>
      <w:r w:rsidR="0028552A">
        <w:rPr>
          <w:rFonts w:ascii="Palatino Linotype" w:eastAsia="Palatino Linotype" w:hAnsi="Palatino Linotype" w:cs="Palatino Linotype"/>
        </w:rPr>
        <w:t>,</w:t>
      </w:r>
      <w:r>
        <w:rPr>
          <w:rFonts w:ascii="Palatino Linotype" w:eastAsia="Palatino Linotype" w:hAnsi="Palatino Linotype" w:cs="Palatino Linotype"/>
        </w:rPr>
        <w:t xml:space="preserve"> que en su conjunto no cumplen con lo establecido por los artículos 4 y 12 de la ley de la materia, como más adelante así se establecerá.</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 contexto, del análisis de las constancias que integran el expediente en que se actúa así como de la materia sobre la que versa la solicitud de acceso a la información pública, se advierte que los motivos de inconformidad acontecen fundados y suficientes para modificar la respuesta del Sujeto Obligado en razón de las consideraciones de derecho que a continuación se exponen:</w:t>
      </w:r>
    </w:p>
    <w:p w:rsidR="00207F36" w:rsidRDefault="00B53F5B">
      <w:pPr>
        <w:pBdr>
          <w:top w:val="nil"/>
          <w:left w:val="nil"/>
          <w:bottom w:val="nil"/>
          <w:right w:val="nil"/>
          <w:between w:val="nil"/>
        </w:pBdr>
        <w:spacing w:before="240" w:after="240" w:line="360" w:lineRule="auto"/>
        <w:ind w:right="-9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Ante todo, es conveniente analizar si la respuesta del Sujeto Obligado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207F36" w:rsidRDefault="00B53F5B">
      <w:pPr>
        <w:spacing w:before="240"/>
        <w:ind w:left="709" w:right="76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r w:rsidRPr="0028552A">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207F36" w:rsidRDefault="00B53F5B">
      <w:pPr>
        <w:ind w:left="709" w:right="760"/>
        <w:jc w:val="both"/>
        <w:rPr>
          <w:rFonts w:ascii="Palatino Linotype" w:eastAsia="Palatino Linotype" w:hAnsi="Palatino Linotype" w:cs="Palatino Linotype"/>
          <w:i/>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207F36" w:rsidRDefault="00B53F5B">
      <w:pPr>
        <w:ind w:left="709" w:right="760"/>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rPr>
        <w:t>.”(Sic)</w:t>
      </w:r>
    </w:p>
    <w:p w:rsidR="00207F36" w:rsidRDefault="00207F36">
      <w:pPr>
        <w:ind w:left="709" w:right="760"/>
        <w:jc w:val="both"/>
        <w:rPr>
          <w:rFonts w:ascii="Palatino Linotype" w:eastAsia="Palatino Linotype" w:hAnsi="Palatino Linotype" w:cs="Palatino Linotype"/>
          <w:i/>
        </w:rPr>
      </w:pP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207F36" w:rsidRDefault="00B53F5B">
      <w:pPr>
        <w:ind w:left="567" w:right="758"/>
        <w:jc w:val="both"/>
        <w:rPr>
          <w:rFonts w:ascii="Palatino Linotype" w:eastAsia="Palatino Linotype" w:hAnsi="Palatino Linotype" w:cs="Palatino Linotype"/>
          <w:i/>
        </w:rPr>
      </w:pPr>
      <w:r>
        <w:rPr>
          <w:rFonts w:ascii="Palatino Linotype" w:eastAsia="Palatino Linotype" w:hAnsi="Palatino Linotype" w:cs="Palatino Linotype"/>
          <w:i/>
        </w:rPr>
        <w:t>“</w:t>
      </w:r>
      <w:r w:rsidRPr="0028552A">
        <w:rPr>
          <w:rFonts w:ascii="Palatino Linotype" w:eastAsia="Palatino Linotype" w:hAnsi="Palatino Linotype" w:cs="Palatino Linotype"/>
          <w:b/>
          <w:i/>
        </w:rPr>
        <w:t>Artículo12.-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207F36" w:rsidRDefault="00207F36">
      <w:pPr>
        <w:ind w:left="567" w:right="758"/>
        <w:jc w:val="both"/>
        <w:rPr>
          <w:rFonts w:ascii="Palatino Linotype" w:eastAsia="Palatino Linotype" w:hAnsi="Palatino Linotype" w:cs="Palatino Linotype"/>
          <w:i/>
        </w:rPr>
      </w:pPr>
    </w:p>
    <w:p w:rsidR="00207F36" w:rsidRDefault="00B53F5B">
      <w:pPr>
        <w:ind w:left="567" w:right="758"/>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w:t>
      </w:r>
    </w:p>
    <w:p w:rsidR="00207F36" w:rsidRDefault="00207F36">
      <w:pPr>
        <w:spacing w:line="360" w:lineRule="auto"/>
        <w:ind w:right="-93"/>
        <w:jc w:val="both"/>
        <w:rPr>
          <w:rFonts w:ascii="Palatino Linotype" w:eastAsia="Palatino Linotype" w:hAnsi="Palatino Linotype" w:cs="Palatino Linotype"/>
          <w:color w:val="000000"/>
        </w:rPr>
      </w:pPr>
    </w:p>
    <w:p w:rsidR="00207F36" w:rsidRDefault="00B53F5B">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rsidR="00207F36" w:rsidRDefault="00207F36">
      <w:pPr>
        <w:spacing w:line="360" w:lineRule="auto"/>
        <w:ind w:right="-93"/>
        <w:jc w:val="both"/>
        <w:rPr>
          <w:rFonts w:ascii="Palatino Linotype" w:eastAsia="Palatino Linotype" w:hAnsi="Palatino Linotype" w:cs="Palatino Linotype"/>
          <w:color w:val="000000"/>
        </w:rPr>
      </w:pPr>
    </w:p>
    <w:p w:rsidR="00207F36" w:rsidRDefault="00B53F5B">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virtud de lo anterior, se procede a realizar un cuadro comparativo de la solicitud del recurrente con la respuesta emitida por el Sujeto Obligado y su Informe Justificado, para determinar si la respuesta cumple con lo establecido con los artículos 4 y 12 de la Ley de la materia enunciados anteriormente:</w:t>
      </w:r>
    </w:p>
    <w:p w:rsidR="00207F36" w:rsidRDefault="00207F36">
      <w:pPr>
        <w:spacing w:after="240" w:line="360" w:lineRule="auto"/>
        <w:ind w:right="49"/>
        <w:jc w:val="both"/>
        <w:rPr>
          <w:rFonts w:ascii="Palatino Linotype" w:eastAsia="Palatino Linotype" w:hAnsi="Palatino Linotype" w:cs="Palatino Linotype"/>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207F36">
        <w:tc>
          <w:tcPr>
            <w:tcW w:w="2942" w:type="dxa"/>
          </w:tcPr>
          <w:p w:rsidR="00207F36" w:rsidRDefault="00B53F5B">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rPr>
              <w:t>Solicitud</w:t>
            </w:r>
          </w:p>
        </w:tc>
        <w:tc>
          <w:tcPr>
            <w:tcW w:w="2943" w:type="dxa"/>
          </w:tcPr>
          <w:p w:rsidR="00207F36" w:rsidRDefault="00B53F5B">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rPr>
              <w:t xml:space="preserve">Respuesta </w:t>
            </w:r>
          </w:p>
        </w:tc>
        <w:tc>
          <w:tcPr>
            <w:tcW w:w="2943" w:type="dxa"/>
          </w:tcPr>
          <w:p w:rsidR="00207F36" w:rsidRDefault="00B53F5B">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rPr>
              <w:t>Informe justificado.</w:t>
            </w:r>
          </w:p>
        </w:tc>
      </w:tr>
      <w:tr w:rsidR="00207F36">
        <w:trPr>
          <w:trHeight w:val="740"/>
        </w:trPr>
        <w:tc>
          <w:tcPr>
            <w:tcW w:w="2942" w:type="dxa"/>
          </w:tcPr>
          <w:p w:rsidR="00207F36" w:rsidRDefault="00B53F5B">
            <w:pPr>
              <w:spacing w:before="240" w:after="240"/>
              <w:jc w:val="both"/>
              <w:rPr>
                <w:rFonts w:ascii="Palatino Linotype" w:eastAsia="Palatino Linotype" w:hAnsi="Palatino Linotype" w:cs="Palatino Linotype"/>
              </w:rPr>
            </w:pPr>
            <w:r>
              <w:rPr>
                <w:rFonts w:ascii="Palatino Linotype" w:eastAsia="Palatino Linotype" w:hAnsi="Palatino Linotype" w:cs="Palatino Linotype"/>
              </w:rPr>
              <w:t>1.-El organigrama actual.</w:t>
            </w:r>
          </w:p>
        </w:tc>
        <w:tc>
          <w:tcPr>
            <w:tcW w:w="2943" w:type="dxa"/>
          </w:tcPr>
          <w:p w:rsidR="00207F36" w:rsidRDefault="00B53F5B">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Cumple</w:t>
            </w:r>
          </w:p>
        </w:tc>
        <w:tc>
          <w:tcPr>
            <w:tcW w:w="2943" w:type="dxa"/>
          </w:tcPr>
          <w:p w:rsidR="00207F36" w:rsidRDefault="00B53F5B">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No hay manifestación.</w:t>
            </w:r>
          </w:p>
        </w:tc>
      </w:tr>
      <w:tr w:rsidR="00207F36">
        <w:tc>
          <w:tcPr>
            <w:tcW w:w="2942" w:type="dxa"/>
          </w:tcPr>
          <w:p w:rsidR="00207F36" w:rsidRDefault="00B53F5B">
            <w:pPr>
              <w:spacing w:before="240" w:after="240"/>
              <w:jc w:val="both"/>
              <w:rPr>
                <w:rFonts w:ascii="Palatino Linotype" w:eastAsia="Palatino Linotype" w:hAnsi="Palatino Linotype" w:cs="Palatino Linotype"/>
              </w:rPr>
            </w:pPr>
            <w:r>
              <w:rPr>
                <w:rFonts w:ascii="Palatino Linotype" w:eastAsia="Palatino Linotype" w:hAnsi="Palatino Linotype" w:cs="Palatino Linotype"/>
              </w:rPr>
              <w:t>2.-Los manuales de procedimiento.</w:t>
            </w:r>
          </w:p>
        </w:tc>
        <w:tc>
          <w:tcPr>
            <w:tcW w:w="2943" w:type="dxa"/>
          </w:tcPr>
          <w:p w:rsidR="00207F36" w:rsidRDefault="00B53F5B">
            <w:pPr>
              <w:spacing w:before="240"/>
              <w:ind w:right="51"/>
              <w:jc w:val="center"/>
              <w:rPr>
                <w:rFonts w:ascii="Palatino Linotype" w:eastAsia="Palatino Linotype" w:hAnsi="Palatino Linotype" w:cs="Palatino Linotype"/>
              </w:rPr>
            </w:pPr>
            <w:r>
              <w:rPr>
                <w:rFonts w:ascii="Palatino Linotype" w:eastAsia="Palatino Linotype" w:hAnsi="Palatino Linotype" w:cs="Palatino Linotype"/>
              </w:rPr>
              <w:t xml:space="preserve">Cumple </w:t>
            </w:r>
          </w:p>
          <w:p w:rsidR="00207F36" w:rsidRDefault="00207F36">
            <w:pPr>
              <w:spacing w:after="240"/>
              <w:ind w:right="51"/>
              <w:jc w:val="center"/>
              <w:rPr>
                <w:rFonts w:ascii="Palatino Linotype" w:eastAsia="Palatino Linotype" w:hAnsi="Palatino Linotype" w:cs="Palatino Linotype"/>
              </w:rPr>
            </w:pPr>
          </w:p>
        </w:tc>
        <w:tc>
          <w:tcPr>
            <w:tcW w:w="2943" w:type="dxa"/>
          </w:tcPr>
          <w:p w:rsidR="00207F36" w:rsidRDefault="00B53F5B">
            <w:pPr>
              <w:spacing w:before="240" w:after="240"/>
              <w:ind w:right="51"/>
              <w:jc w:val="center"/>
              <w:rPr>
                <w:rFonts w:ascii="Palatino Linotype" w:eastAsia="Palatino Linotype" w:hAnsi="Palatino Linotype" w:cs="Palatino Linotype"/>
              </w:rPr>
            </w:pPr>
            <w:r>
              <w:rPr>
                <w:rFonts w:ascii="Palatino Linotype" w:eastAsia="Palatino Linotype" w:hAnsi="Palatino Linotype" w:cs="Palatino Linotype"/>
              </w:rPr>
              <w:t>Confirma</w:t>
            </w:r>
          </w:p>
        </w:tc>
      </w:tr>
      <w:tr w:rsidR="00207F36">
        <w:tc>
          <w:tcPr>
            <w:tcW w:w="2942" w:type="dxa"/>
          </w:tcPr>
          <w:p w:rsidR="00207F36" w:rsidRDefault="00B53F5B">
            <w:pPr>
              <w:spacing w:before="240" w:after="240"/>
              <w:jc w:val="both"/>
              <w:rPr>
                <w:rFonts w:ascii="Palatino Linotype" w:eastAsia="Palatino Linotype" w:hAnsi="Palatino Linotype" w:cs="Palatino Linotype"/>
              </w:rPr>
            </w:pPr>
            <w:r>
              <w:rPr>
                <w:rFonts w:ascii="Palatino Linotype" w:eastAsia="Palatino Linotype" w:hAnsi="Palatino Linotype" w:cs="Palatino Linotype"/>
              </w:rPr>
              <w:lastRenderedPageBreak/>
              <w:t>3.- Número de manuales de organización.</w:t>
            </w:r>
          </w:p>
        </w:tc>
        <w:tc>
          <w:tcPr>
            <w:tcW w:w="2943" w:type="dxa"/>
          </w:tcPr>
          <w:p w:rsidR="00207F36" w:rsidRDefault="00B53F5B">
            <w:pPr>
              <w:spacing w:before="240" w:after="240"/>
              <w:ind w:right="51"/>
              <w:jc w:val="center"/>
              <w:rPr>
                <w:rFonts w:ascii="Palatino Linotype" w:eastAsia="Palatino Linotype" w:hAnsi="Palatino Linotype" w:cs="Palatino Linotype"/>
              </w:rPr>
            </w:pPr>
            <w:r>
              <w:rPr>
                <w:rFonts w:ascii="Palatino Linotype" w:eastAsia="Palatino Linotype" w:hAnsi="Palatino Linotype" w:cs="Palatino Linotype"/>
              </w:rPr>
              <w:t>Cumple</w:t>
            </w:r>
          </w:p>
        </w:tc>
        <w:tc>
          <w:tcPr>
            <w:tcW w:w="2943" w:type="dxa"/>
          </w:tcPr>
          <w:p w:rsidR="00207F36" w:rsidRDefault="00B53F5B">
            <w:pPr>
              <w:spacing w:before="240" w:after="240"/>
              <w:ind w:right="51"/>
              <w:jc w:val="center"/>
              <w:rPr>
                <w:rFonts w:ascii="Palatino Linotype" w:eastAsia="Palatino Linotype" w:hAnsi="Palatino Linotype" w:cs="Palatino Linotype"/>
              </w:rPr>
            </w:pPr>
            <w:r>
              <w:rPr>
                <w:rFonts w:ascii="Palatino Linotype" w:eastAsia="Palatino Linotype" w:hAnsi="Palatino Linotype" w:cs="Palatino Linotype"/>
              </w:rPr>
              <w:t>Confirma</w:t>
            </w:r>
          </w:p>
        </w:tc>
      </w:tr>
      <w:tr w:rsidR="00207F36">
        <w:tc>
          <w:tcPr>
            <w:tcW w:w="2942" w:type="dxa"/>
          </w:tcPr>
          <w:p w:rsidR="00207F36" w:rsidRDefault="00B53F5B">
            <w:pPr>
              <w:spacing w:before="240" w:after="240"/>
              <w:jc w:val="both"/>
              <w:rPr>
                <w:rFonts w:ascii="Palatino Linotype" w:eastAsia="Palatino Linotype" w:hAnsi="Palatino Linotype" w:cs="Palatino Linotype"/>
              </w:rPr>
            </w:pPr>
            <w:r>
              <w:rPr>
                <w:rFonts w:ascii="Palatino Linotype" w:eastAsia="Palatino Linotype" w:hAnsi="Palatino Linotype" w:cs="Palatino Linotype"/>
              </w:rPr>
              <w:t>4.- Reglamentos internos o similar vigentes del ayuntamiento.</w:t>
            </w:r>
          </w:p>
        </w:tc>
        <w:tc>
          <w:tcPr>
            <w:tcW w:w="2943" w:type="dxa"/>
          </w:tcPr>
          <w:p w:rsidR="00207F36" w:rsidRDefault="00B53F5B">
            <w:pPr>
              <w:spacing w:before="240" w:after="240"/>
              <w:ind w:right="51"/>
              <w:jc w:val="center"/>
              <w:rPr>
                <w:rFonts w:ascii="Palatino Linotype" w:eastAsia="Palatino Linotype" w:hAnsi="Palatino Linotype" w:cs="Palatino Linotype"/>
              </w:rPr>
            </w:pPr>
            <w:r>
              <w:rPr>
                <w:rFonts w:ascii="Palatino Linotype" w:eastAsia="Palatino Linotype" w:hAnsi="Palatino Linotype" w:cs="Palatino Linotype"/>
              </w:rPr>
              <w:t>Cumple</w:t>
            </w:r>
          </w:p>
        </w:tc>
        <w:tc>
          <w:tcPr>
            <w:tcW w:w="2943" w:type="dxa"/>
          </w:tcPr>
          <w:p w:rsidR="00207F36" w:rsidRDefault="00B53F5B">
            <w:pPr>
              <w:spacing w:before="240" w:after="240"/>
              <w:ind w:right="51"/>
              <w:jc w:val="center"/>
              <w:rPr>
                <w:rFonts w:ascii="Palatino Linotype" w:eastAsia="Palatino Linotype" w:hAnsi="Palatino Linotype" w:cs="Palatino Linotype"/>
              </w:rPr>
            </w:pPr>
            <w:r>
              <w:rPr>
                <w:rFonts w:ascii="Palatino Linotype" w:eastAsia="Palatino Linotype" w:hAnsi="Palatino Linotype" w:cs="Palatino Linotype"/>
              </w:rPr>
              <w:t>Confirma</w:t>
            </w:r>
          </w:p>
        </w:tc>
      </w:tr>
      <w:tr w:rsidR="00207F36">
        <w:tc>
          <w:tcPr>
            <w:tcW w:w="2942" w:type="dxa"/>
          </w:tcPr>
          <w:p w:rsidR="00207F36" w:rsidRDefault="00B53F5B">
            <w:pPr>
              <w:spacing w:before="240" w:after="240"/>
              <w:jc w:val="both"/>
              <w:rPr>
                <w:rFonts w:ascii="Palatino Linotype" w:eastAsia="Palatino Linotype" w:hAnsi="Palatino Linotype" w:cs="Palatino Linotype"/>
              </w:rPr>
            </w:pPr>
            <w:r>
              <w:rPr>
                <w:rFonts w:ascii="Palatino Linotype" w:eastAsia="Palatino Linotype" w:hAnsi="Palatino Linotype" w:cs="Palatino Linotype"/>
              </w:rPr>
              <w:t>5.- Bando Municipal actual.</w:t>
            </w:r>
          </w:p>
        </w:tc>
        <w:tc>
          <w:tcPr>
            <w:tcW w:w="2943" w:type="dxa"/>
          </w:tcPr>
          <w:p w:rsidR="00207F36" w:rsidRDefault="00B53F5B">
            <w:pPr>
              <w:spacing w:before="240" w:after="240"/>
              <w:ind w:right="51"/>
              <w:jc w:val="center"/>
              <w:rPr>
                <w:rFonts w:ascii="Palatino Linotype" w:eastAsia="Palatino Linotype" w:hAnsi="Palatino Linotype" w:cs="Palatino Linotype"/>
              </w:rPr>
            </w:pPr>
            <w:r>
              <w:rPr>
                <w:rFonts w:ascii="Palatino Linotype" w:eastAsia="Palatino Linotype" w:hAnsi="Palatino Linotype" w:cs="Palatino Linotype"/>
              </w:rPr>
              <w:t>No cumple.</w:t>
            </w:r>
          </w:p>
        </w:tc>
        <w:tc>
          <w:tcPr>
            <w:tcW w:w="2943" w:type="dxa"/>
          </w:tcPr>
          <w:p w:rsidR="00207F36" w:rsidRDefault="00B53F5B">
            <w:pPr>
              <w:spacing w:before="240" w:after="240"/>
              <w:ind w:right="51"/>
              <w:jc w:val="center"/>
              <w:rPr>
                <w:rFonts w:ascii="Palatino Linotype" w:eastAsia="Palatino Linotype" w:hAnsi="Palatino Linotype" w:cs="Palatino Linotype"/>
              </w:rPr>
            </w:pPr>
            <w:r>
              <w:rPr>
                <w:rFonts w:ascii="Palatino Linotype" w:eastAsia="Palatino Linotype" w:hAnsi="Palatino Linotype" w:cs="Palatino Linotype"/>
              </w:rPr>
              <w:t>No hay manifestación.</w:t>
            </w:r>
          </w:p>
        </w:tc>
      </w:tr>
      <w:tr w:rsidR="00207F36">
        <w:tc>
          <w:tcPr>
            <w:tcW w:w="2942" w:type="dxa"/>
          </w:tcPr>
          <w:p w:rsidR="00207F36" w:rsidRDefault="00B53F5B">
            <w:pPr>
              <w:spacing w:before="240" w:after="240"/>
              <w:jc w:val="both"/>
              <w:rPr>
                <w:rFonts w:ascii="Palatino Linotype" w:eastAsia="Palatino Linotype" w:hAnsi="Palatino Linotype" w:cs="Palatino Linotype"/>
              </w:rPr>
            </w:pPr>
            <w:r>
              <w:rPr>
                <w:rFonts w:ascii="Palatino Linotype" w:eastAsia="Palatino Linotype" w:hAnsi="Palatino Linotype" w:cs="Palatino Linotype"/>
              </w:rPr>
              <w:t>6.- Los requerimientos del 2016 a la fecha que han recibido del OSFEM hacia la administración de la actual presidenta.</w:t>
            </w:r>
          </w:p>
        </w:tc>
        <w:tc>
          <w:tcPr>
            <w:tcW w:w="2943" w:type="dxa"/>
          </w:tcPr>
          <w:p w:rsidR="00207F36" w:rsidRDefault="00B53F5B">
            <w:pPr>
              <w:spacing w:before="240" w:after="240"/>
              <w:ind w:right="51"/>
              <w:jc w:val="center"/>
              <w:rPr>
                <w:rFonts w:ascii="Palatino Linotype" w:eastAsia="Palatino Linotype" w:hAnsi="Palatino Linotype" w:cs="Palatino Linotype"/>
              </w:rPr>
            </w:pPr>
            <w:r>
              <w:rPr>
                <w:rFonts w:ascii="Palatino Linotype" w:eastAsia="Palatino Linotype" w:hAnsi="Palatino Linotype" w:cs="Palatino Linotype"/>
              </w:rPr>
              <w:t>No cumple.</w:t>
            </w:r>
          </w:p>
        </w:tc>
        <w:tc>
          <w:tcPr>
            <w:tcW w:w="2943" w:type="dxa"/>
          </w:tcPr>
          <w:p w:rsidR="00207F36" w:rsidRDefault="00B53F5B">
            <w:pPr>
              <w:spacing w:before="240" w:after="240"/>
              <w:ind w:right="51"/>
              <w:jc w:val="center"/>
              <w:rPr>
                <w:rFonts w:ascii="Palatino Linotype" w:eastAsia="Palatino Linotype" w:hAnsi="Palatino Linotype" w:cs="Palatino Linotype"/>
              </w:rPr>
            </w:pPr>
            <w:r>
              <w:rPr>
                <w:rFonts w:ascii="Palatino Linotype" w:eastAsia="Palatino Linotype" w:hAnsi="Palatino Linotype" w:cs="Palatino Linotype"/>
              </w:rPr>
              <w:t>No hay manifestación.</w:t>
            </w:r>
          </w:p>
        </w:tc>
      </w:tr>
      <w:tr w:rsidR="00207F36">
        <w:tc>
          <w:tcPr>
            <w:tcW w:w="2942" w:type="dxa"/>
          </w:tcPr>
          <w:p w:rsidR="00207F36" w:rsidRDefault="00B53F5B">
            <w:pPr>
              <w:spacing w:before="240" w:after="240"/>
              <w:jc w:val="both"/>
              <w:rPr>
                <w:rFonts w:ascii="Palatino Linotype" w:eastAsia="Palatino Linotype" w:hAnsi="Palatino Linotype" w:cs="Palatino Linotype"/>
              </w:rPr>
            </w:pPr>
            <w:r>
              <w:rPr>
                <w:rFonts w:ascii="Palatino Linotype" w:eastAsia="Palatino Linotype" w:hAnsi="Palatino Linotype" w:cs="Palatino Linotype"/>
              </w:rPr>
              <w:t>7.- Conocer los oficios recibidos del OSFEM sobre las recomendaciones a las evaluaciones trimestrales desde el 2016 a la fecha.</w:t>
            </w:r>
          </w:p>
        </w:tc>
        <w:tc>
          <w:tcPr>
            <w:tcW w:w="2943" w:type="dxa"/>
          </w:tcPr>
          <w:p w:rsidR="00207F36" w:rsidRDefault="00B53F5B">
            <w:pPr>
              <w:spacing w:before="240" w:after="240"/>
              <w:ind w:right="51"/>
              <w:jc w:val="center"/>
              <w:rPr>
                <w:rFonts w:ascii="Palatino Linotype" w:eastAsia="Palatino Linotype" w:hAnsi="Palatino Linotype" w:cs="Palatino Linotype"/>
              </w:rPr>
            </w:pPr>
            <w:r>
              <w:rPr>
                <w:rFonts w:ascii="Palatino Linotype" w:eastAsia="Palatino Linotype" w:hAnsi="Palatino Linotype" w:cs="Palatino Linotype"/>
              </w:rPr>
              <w:t>Cumple Parcialmente.</w:t>
            </w:r>
          </w:p>
        </w:tc>
        <w:tc>
          <w:tcPr>
            <w:tcW w:w="2943" w:type="dxa"/>
          </w:tcPr>
          <w:p w:rsidR="00207F36" w:rsidRDefault="00B53F5B">
            <w:pPr>
              <w:spacing w:before="240" w:after="240"/>
              <w:ind w:right="51"/>
              <w:jc w:val="center"/>
              <w:rPr>
                <w:rFonts w:ascii="Palatino Linotype" w:eastAsia="Palatino Linotype" w:hAnsi="Palatino Linotype" w:cs="Palatino Linotype"/>
              </w:rPr>
            </w:pPr>
            <w:r>
              <w:rPr>
                <w:rFonts w:ascii="Palatino Linotype" w:eastAsia="Palatino Linotype" w:hAnsi="Palatino Linotype" w:cs="Palatino Linotype"/>
              </w:rPr>
              <w:t>No hay Manifestación.</w:t>
            </w:r>
          </w:p>
        </w:tc>
      </w:tr>
      <w:tr w:rsidR="00207F36">
        <w:tc>
          <w:tcPr>
            <w:tcW w:w="2942" w:type="dxa"/>
          </w:tcPr>
          <w:p w:rsidR="00207F36" w:rsidRDefault="00B53F5B">
            <w:pPr>
              <w:spacing w:before="240" w:after="240"/>
              <w:jc w:val="both"/>
              <w:rPr>
                <w:rFonts w:ascii="Palatino Linotype" w:eastAsia="Palatino Linotype" w:hAnsi="Palatino Linotype" w:cs="Palatino Linotype"/>
              </w:rPr>
            </w:pPr>
            <w:r>
              <w:rPr>
                <w:rFonts w:ascii="Palatino Linotype" w:eastAsia="Palatino Linotype" w:hAnsi="Palatino Linotype" w:cs="Palatino Linotype"/>
              </w:rPr>
              <w:t>8.- Conforme a los lineamientos para la integración del informe mensual 2016, 2017 y 2018, solicito lo siguiente: el programa operativo anual 2016, 2017 y 2018.</w:t>
            </w:r>
          </w:p>
        </w:tc>
        <w:tc>
          <w:tcPr>
            <w:tcW w:w="2943" w:type="dxa"/>
          </w:tcPr>
          <w:p w:rsidR="00207F36" w:rsidRDefault="00B53F5B">
            <w:pPr>
              <w:spacing w:before="240" w:after="240"/>
              <w:ind w:right="51"/>
              <w:jc w:val="center"/>
              <w:rPr>
                <w:rFonts w:ascii="Palatino Linotype" w:eastAsia="Palatino Linotype" w:hAnsi="Palatino Linotype" w:cs="Palatino Linotype"/>
              </w:rPr>
            </w:pPr>
            <w:r>
              <w:rPr>
                <w:rFonts w:ascii="Palatino Linotype" w:eastAsia="Palatino Linotype" w:hAnsi="Palatino Linotype" w:cs="Palatino Linotype"/>
              </w:rPr>
              <w:t>No cumple.</w:t>
            </w:r>
          </w:p>
        </w:tc>
        <w:tc>
          <w:tcPr>
            <w:tcW w:w="2943" w:type="dxa"/>
          </w:tcPr>
          <w:p w:rsidR="00207F36" w:rsidRDefault="00B53F5B">
            <w:pPr>
              <w:spacing w:before="240" w:after="240"/>
              <w:ind w:right="51"/>
              <w:jc w:val="center"/>
              <w:rPr>
                <w:rFonts w:ascii="Palatino Linotype" w:eastAsia="Palatino Linotype" w:hAnsi="Palatino Linotype" w:cs="Palatino Linotype"/>
              </w:rPr>
            </w:pPr>
            <w:r>
              <w:rPr>
                <w:rFonts w:ascii="Palatino Linotype" w:eastAsia="Palatino Linotype" w:hAnsi="Palatino Linotype" w:cs="Palatino Linotype"/>
              </w:rPr>
              <w:t>No cumple.</w:t>
            </w:r>
          </w:p>
        </w:tc>
      </w:tr>
      <w:tr w:rsidR="00207F36">
        <w:tc>
          <w:tcPr>
            <w:tcW w:w="2942" w:type="dxa"/>
          </w:tcPr>
          <w:p w:rsidR="00207F36" w:rsidRDefault="00B53F5B">
            <w:pPr>
              <w:spacing w:before="240" w:after="240"/>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9.- La información en digital y en versión </w:t>
            </w:r>
            <w:r>
              <w:rPr>
                <w:rFonts w:ascii="Palatino Linotype" w:eastAsia="Palatino Linotype" w:hAnsi="Palatino Linotype" w:cs="Palatino Linotype"/>
              </w:rPr>
              <w:lastRenderedPageBreak/>
              <w:t>pública del disco 6 correspondiente al mes de diciembre de 2015, 2016 y 2017.</w:t>
            </w:r>
          </w:p>
        </w:tc>
        <w:tc>
          <w:tcPr>
            <w:tcW w:w="2943" w:type="dxa"/>
          </w:tcPr>
          <w:p w:rsidR="00207F36" w:rsidRDefault="00B53F5B">
            <w:pPr>
              <w:spacing w:before="240" w:after="240"/>
              <w:ind w:right="51"/>
              <w:jc w:val="center"/>
              <w:rPr>
                <w:rFonts w:ascii="Palatino Linotype" w:eastAsia="Palatino Linotype" w:hAnsi="Palatino Linotype" w:cs="Palatino Linotype"/>
              </w:rPr>
            </w:pPr>
            <w:r>
              <w:rPr>
                <w:rFonts w:ascii="Palatino Linotype" w:eastAsia="Palatino Linotype" w:hAnsi="Palatino Linotype" w:cs="Palatino Linotype"/>
              </w:rPr>
              <w:lastRenderedPageBreak/>
              <w:t>Cumple Parcialmente.</w:t>
            </w:r>
          </w:p>
        </w:tc>
        <w:tc>
          <w:tcPr>
            <w:tcW w:w="2943" w:type="dxa"/>
          </w:tcPr>
          <w:p w:rsidR="00207F36" w:rsidRDefault="00B53F5B">
            <w:pPr>
              <w:spacing w:before="240" w:after="240"/>
              <w:ind w:right="51"/>
              <w:jc w:val="center"/>
              <w:rPr>
                <w:rFonts w:ascii="Palatino Linotype" w:eastAsia="Palatino Linotype" w:hAnsi="Palatino Linotype" w:cs="Palatino Linotype"/>
              </w:rPr>
            </w:pPr>
            <w:r>
              <w:rPr>
                <w:rFonts w:ascii="Palatino Linotype" w:eastAsia="Palatino Linotype" w:hAnsi="Palatino Linotype" w:cs="Palatino Linotype"/>
              </w:rPr>
              <w:t>No hay manifestación.</w:t>
            </w:r>
          </w:p>
        </w:tc>
      </w:tr>
    </w:tbl>
    <w:p w:rsidR="00207F36" w:rsidRDefault="00207F36">
      <w:pPr>
        <w:spacing w:before="240" w:line="360" w:lineRule="auto"/>
        <w:ind w:right="49"/>
        <w:jc w:val="both"/>
        <w:rPr>
          <w:rFonts w:ascii="Palatino Linotype" w:eastAsia="Palatino Linotype" w:hAnsi="Palatino Linotype" w:cs="Palatino Linotype"/>
        </w:rPr>
      </w:pPr>
    </w:p>
    <w:p w:rsidR="00207F36" w:rsidRDefault="00B53F5B">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base en el cuadro comparativo anterior, se procede a determinar que la respuesta e informe justificado emitido por el Sujeto Obligado cumplen parcialmente con lo solicitado por el recurrente; a lo cual</w:t>
      </w:r>
      <w:r w:rsidR="0028552A">
        <w:rPr>
          <w:rFonts w:ascii="Palatino Linotype" w:eastAsia="Palatino Linotype" w:hAnsi="Palatino Linotype" w:cs="Palatino Linotype"/>
        </w:rPr>
        <w:t>,</w:t>
      </w:r>
      <w:r>
        <w:rPr>
          <w:rFonts w:ascii="Palatino Linotype" w:eastAsia="Palatino Linotype" w:hAnsi="Palatino Linotype" w:cs="Palatino Linotype"/>
        </w:rPr>
        <w:t xml:space="preserve"> se procede a establecer lo siguiente:</w:t>
      </w:r>
    </w:p>
    <w:p w:rsidR="00207F36" w:rsidRDefault="00207F36">
      <w:pPr>
        <w:spacing w:line="360" w:lineRule="auto"/>
        <w:ind w:right="49"/>
        <w:jc w:val="both"/>
        <w:rPr>
          <w:rFonts w:ascii="Palatino Linotype" w:eastAsia="Palatino Linotype" w:hAnsi="Palatino Linotype" w:cs="Palatino Linotype"/>
        </w:rPr>
      </w:pPr>
    </w:p>
    <w:p w:rsidR="00207F36" w:rsidRDefault="00B53F5B">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primer lugar, respecto de los puntos señalados en la solicitud del particular con los números 1, 2, 3 y 4, estos fueron atendidos por el Sujeto Obligado en atención a que en su respuesta, le informa al particular que dicha información se encuentra disponible en el enlace de la página de internet del IPOMEX (Información Pública de Oficio Mexiquense) del Ayuntamiento de Ocoyoacac en la fracción I de la normatividad aplicable, señalándole el procedimiento de manera ilustrativa para acceder la dicha información; lo cual fue corroborado por esta ponencia resolutora, resultando la información respecto del organigrama actual, los manuales de procedimiento, en cuanto el número de manuales de organización este se puede deducir de los manuales que se advierten de dicha normatividad que contempla el Sujeto Obligado en dicho enlace y los reglamentos internos o similares, los cuales se consideran vigentes por así manifestarlo el Sujeto Obligado en su archivo que adjuntó a su respuesta denominado “</w:t>
      </w:r>
      <w:hyperlink r:id="rId40">
        <w:r>
          <w:rPr>
            <w:rFonts w:ascii="Palatino Linotype" w:eastAsia="Palatino Linotype" w:hAnsi="Palatino Linotype" w:cs="Palatino Linotype"/>
          </w:rPr>
          <w:t>43-18 SECRETARIA.PDF</w:t>
        </w:r>
      </w:hyperlink>
      <w:r>
        <w:rPr>
          <w:rFonts w:ascii="Palatino Linotype" w:eastAsia="Palatino Linotype" w:hAnsi="Palatino Linotype" w:cs="Palatino Linotype"/>
        </w:rPr>
        <w:t xml:space="preserve">”, descrito en el apartado de antecedentes del presente fallo; razón por la cual se le tiene por </w:t>
      </w:r>
      <w:r>
        <w:rPr>
          <w:rFonts w:ascii="Palatino Linotype" w:eastAsia="Palatino Linotype" w:hAnsi="Palatino Linotype" w:cs="Palatino Linotype"/>
        </w:rPr>
        <w:lastRenderedPageBreak/>
        <w:t>colmado el derecho del acceso a la información del recurrente en cuanto a estos temas.</w:t>
      </w:r>
    </w:p>
    <w:p w:rsidR="00207F36" w:rsidRDefault="00207F36">
      <w:pPr>
        <w:spacing w:line="360" w:lineRule="auto"/>
        <w:ind w:right="49"/>
        <w:jc w:val="both"/>
        <w:rPr>
          <w:rFonts w:ascii="Palatino Linotype" w:eastAsia="Palatino Linotype" w:hAnsi="Palatino Linotype" w:cs="Palatino Linotype"/>
        </w:rPr>
      </w:pPr>
    </w:p>
    <w:p w:rsidR="00207F36" w:rsidRDefault="00B53F5B">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segundo lugar, respecto del punto señalado en la solicitud del particular con el número cinco, si bien es cierto que el Sujeto Obligado en respuesta dice que este se encuentra en el de la página de internet del IPOMEX (Información Pública de Oficio Mexiquense) del Ayuntamiento de Ocoyoacac en la fracción I de la normatividad aplicable, el bando municipal actual no fue localizado por este dictaminador en dicho enlace; por consiguiente, se procede a determina lo siguiente:</w:t>
      </w:r>
    </w:p>
    <w:p w:rsidR="00207F36" w:rsidRDefault="00207F36">
      <w:pPr>
        <w:spacing w:line="360" w:lineRule="auto"/>
        <w:ind w:right="49"/>
        <w:jc w:val="both"/>
        <w:rPr>
          <w:rFonts w:ascii="Palatino Linotype" w:eastAsia="Palatino Linotype" w:hAnsi="Palatino Linotype" w:cs="Palatino Linotype"/>
        </w:rPr>
      </w:pPr>
    </w:p>
    <w:p w:rsidR="00207F36" w:rsidRDefault="00B53F5B">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Primero, es dable precisar que los ayuntamientos que conforman el Estado de México entre ellos el Sujeto Obligado, duraran en servicio tres años; es decir, que cambiaran de administración pública cada tres años, mediante el proceso de votación que hagan los ciudadanos o habitantes del municipio respectivo; como así se encuentra reglamentado en el artículo 16 de la Ley Orgánica Municipal del Estado de México, que establece literalmente lo siguiente:</w:t>
      </w:r>
    </w:p>
    <w:p w:rsidR="00207F36" w:rsidRDefault="00207F36">
      <w:pPr>
        <w:spacing w:line="360" w:lineRule="auto"/>
        <w:jc w:val="both"/>
        <w:rPr>
          <w:rFonts w:ascii="Palatino Linotype" w:eastAsia="Palatino Linotype" w:hAnsi="Palatino Linotype" w:cs="Palatino Linotype"/>
        </w:rPr>
      </w:pP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 Los Ayuntamientos se renovarán cada tres años, iniciarán su periodo el 1 de enero del año inmediato siguiente al de las elecciones municipales ordinarias</w:t>
      </w:r>
      <w:r>
        <w:rPr>
          <w:rFonts w:ascii="Palatino Linotype" w:eastAsia="Palatino Linotype" w:hAnsi="Palatino Linotype" w:cs="Palatino Linotype"/>
          <w:i/>
          <w:sz w:val="22"/>
          <w:szCs w:val="22"/>
        </w:rPr>
        <w:t xml:space="preserve"> y concluirán el 31 de diciembre del año de las elecciones para su renovación; y se integrarán por:</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Un presidente, un síndico y seis regidores, electos por planilla según el principio de mayoría relativa y hasta cuatro regidores designados según el principio de representación proporcional, cuando se trate de municipios que tengan una población de menos de 150 mil habitantes;</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Un presidente, un síndico y siete regidores, electos por planilla según el principio de mayoría relativa y hasta seis regidores designados según el principio de </w:t>
      </w:r>
      <w:r>
        <w:rPr>
          <w:rFonts w:ascii="Palatino Linotype" w:eastAsia="Palatino Linotype" w:hAnsi="Palatino Linotype" w:cs="Palatino Linotype"/>
          <w:i/>
          <w:sz w:val="22"/>
          <w:szCs w:val="22"/>
        </w:rPr>
        <w:lastRenderedPageBreak/>
        <w:t>representación proporcional, cuando se trate de municipios que tengan una población de más de 150 mil y menos de 500 mil habitantes;</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Un presidente, dos síndicos y nueve regidores, electos por planilla según el principio de mayoría relativa. Habrá un síndico y hasta siete regidores según el principio de representación proporcional, cuando se trate de municipios que tengan una población de más de 500 mil y menos de un millón de habitantes; y</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Un presidente, dos síndicos y once regidores, electos por planilla según el principio de mayoría relativa y un síndico y hasta ocho regidores designados por el principio de representación proporcional, cuando se trate de municipios que tengan una población de más de un millón de habitantes.”(Sic)</w:t>
      </w:r>
    </w:p>
    <w:p w:rsidR="00207F36" w:rsidRDefault="00207F36">
      <w:pPr>
        <w:spacing w:line="360" w:lineRule="auto"/>
        <w:jc w:val="both"/>
        <w:rPr>
          <w:rFonts w:ascii="Palatino Linotype" w:eastAsia="Palatino Linotype" w:hAnsi="Palatino Linotype" w:cs="Palatino Linotype"/>
        </w:rPr>
      </w:pPr>
    </w:p>
    <w:p w:rsidR="00207F36" w:rsidRDefault="00B53F5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tenemos entonces que de acuerdo a la Ley Orgánica Municipal del Estado de México, el Sujeto Obligado renovará su administración pública cada tres años, cambiando de presidente municipal, síndicos y regidores; iniciando la administración entrante su gestión el primero de enero siguiente a las elecciones municipales ordinarias, en dicha fecha a las nueve horas se llevará a cabo la entrega y recepción de las oficinas municipales, como así lo establece el artículo 19 de la referida Ley Orgánica Municipal, que a la letra se trascribe en seguida:</w:t>
      </w:r>
    </w:p>
    <w:p w:rsidR="00207F36" w:rsidRDefault="00207F36">
      <w:pPr>
        <w:spacing w:line="360" w:lineRule="auto"/>
        <w:jc w:val="both"/>
        <w:rPr>
          <w:rFonts w:ascii="Palatino Linotype" w:eastAsia="Palatino Linotype" w:hAnsi="Palatino Linotype" w:cs="Palatino Linotype"/>
        </w:rPr>
      </w:pP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19.- A las nueve horas del día 1 de enero del año inmediato siguiente a aquel en que se hayan efectuado las elecciones municipales, el ayuntamiento saliente dará posesión de las oficinas municipales a los miembros del ayuntamiento entrante</w:t>
      </w:r>
      <w:r>
        <w:rPr>
          <w:rFonts w:ascii="Palatino Linotype" w:eastAsia="Palatino Linotype" w:hAnsi="Palatino Linotype" w:cs="Palatino Linotype"/>
          <w:i/>
          <w:sz w:val="22"/>
          <w:szCs w:val="22"/>
        </w:rPr>
        <w:t>, que hubieren rendido la protesta de ley, cuyo presidente municipal hará la siguiente declaratoria formal y solemne: “Queda legítimamente instalado el ayuntamiento del municipio de…, que deberá funcionar durante los años de…” (Sic)</w:t>
      </w:r>
    </w:p>
    <w:p w:rsidR="00207F36" w:rsidRDefault="00207F36">
      <w:pPr>
        <w:ind w:left="567" w:right="616"/>
        <w:jc w:val="both"/>
        <w:rPr>
          <w:rFonts w:ascii="Palatino Linotype" w:eastAsia="Palatino Linotype" w:hAnsi="Palatino Linotype" w:cs="Palatino Linotype"/>
          <w:i/>
          <w:sz w:val="22"/>
          <w:szCs w:val="22"/>
        </w:rPr>
      </w:pPr>
    </w:p>
    <w:p w:rsidR="00207F36" w:rsidRDefault="00B53F5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que la administración pública entrante toma posesión de las oficinas o instalaciones del municipio; éste revisará el estado en que se encuentra la administración pública que dejó la administración saliente y de acuerdo a sus </w:t>
      </w:r>
      <w:r>
        <w:rPr>
          <w:rFonts w:ascii="Palatino Linotype" w:eastAsia="Palatino Linotype" w:hAnsi="Palatino Linotype" w:cs="Palatino Linotype"/>
        </w:rPr>
        <w:lastRenderedPageBreak/>
        <w:t>atribuciones podrá expedir y reformar el bando municipal, como así se lo faculta el artículo 31 de la repetitiva Ley Orgánica Municipal, que establece:</w:t>
      </w:r>
    </w:p>
    <w:p w:rsidR="00207F36" w:rsidRDefault="00207F36">
      <w:pPr>
        <w:spacing w:line="360" w:lineRule="auto"/>
        <w:jc w:val="both"/>
        <w:rPr>
          <w:rFonts w:ascii="Palatino Linotype" w:eastAsia="Palatino Linotype" w:hAnsi="Palatino Linotype" w:cs="Palatino Linotype"/>
        </w:rPr>
      </w:pPr>
    </w:p>
    <w:p w:rsidR="00207F36" w:rsidRDefault="00B53F5B">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31.- </w:t>
      </w:r>
      <w:r>
        <w:rPr>
          <w:rFonts w:ascii="Palatino Linotype" w:eastAsia="Palatino Linotype" w:hAnsi="Palatino Linotype" w:cs="Palatino Linotype"/>
          <w:b/>
          <w:i/>
          <w:sz w:val="22"/>
          <w:szCs w:val="22"/>
        </w:rPr>
        <w:t>Son atribuciones de los ayuntamientos</w:t>
      </w:r>
      <w:r>
        <w:rPr>
          <w:rFonts w:ascii="Palatino Linotype" w:eastAsia="Palatino Linotype" w:hAnsi="Palatino Linotype" w:cs="Palatino Linotype"/>
          <w:i/>
          <w:sz w:val="22"/>
          <w:szCs w:val="22"/>
        </w:rPr>
        <w:t>:</w:t>
      </w:r>
    </w:p>
    <w:p w:rsidR="00207F36" w:rsidRDefault="00B53F5B">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w:t>
      </w:r>
      <w:r>
        <w:rPr>
          <w:rFonts w:ascii="Palatino Linotype" w:eastAsia="Palatino Linotype" w:hAnsi="Palatino Linotype" w:cs="Palatino Linotype"/>
          <w:b/>
          <w:i/>
          <w:sz w:val="22"/>
          <w:szCs w:val="22"/>
        </w:rPr>
        <w:t>Expedir y reformar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Bando Municipal</w:t>
      </w:r>
      <w:r>
        <w:rPr>
          <w:rFonts w:ascii="Palatino Linotype" w:eastAsia="Palatino Linotype" w:hAnsi="Palatino Linotype" w:cs="Palatino Linotype"/>
          <w:i/>
          <w:sz w:val="22"/>
          <w:szCs w:val="22"/>
        </w:rPr>
        <w:t>, así como los reglamentos, circulares y disposiciones administrativas de observancia general dentro del territorio del municipio, que sean necesarios para su organización, prestación de los servicios públicos y, en general, para el cumplimiento de sus atribuciones…(Sic)</w:t>
      </w:r>
    </w:p>
    <w:p w:rsidR="00207F36" w:rsidRDefault="00207F36">
      <w:pPr>
        <w:spacing w:line="360" w:lineRule="auto"/>
        <w:jc w:val="both"/>
        <w:rPr>
          <w:rFonts w:ascii="Palatino Linotype" w:eastAsia="Palatino Linotype" w:hAnsi="Palatino Linotype" w:cs="Palatino Linotype"/>
        </w:rPr>
      </w:pPr>
    </w:p>
    <w:p w:rsidR="00207F36" w:rsidRDefault="00B53F5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ahí que el Bando Municipal que deberá ser promulgado y difundido por el presidente municipal en la gaceta municipal y en los estrados del ayuntamiento a más tardar el cinco de febrero del cada año, como así lo obliga al Sujeto Obligado el artículo 160 de la alusiva Ley Orgánica Municipal, que instaura:</w:t>
      </w:r>
    </w:p>
    <w:p w:rsidR="00207F36" w:rsidRDefault="00207F36">
      <w:pPr>
        <w:spacing w:line="360" w:lineRule="auto"/>
        <w:jc w:val="both"/>
        <w:rPr>
          <w:rFonts w:ascii="Palatino Linotype" w:eastAsia="Palatino Linotype" w:hAnsi="Palatino Linotype" w:cs="Palatino Linotype"/>
        </w:rPr>
      </w:pPr>
    </w:p>
    <w:p w:rsidR="00207F36" w:rsidRDefault="00B53F5B">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160</w:t>
      </w:r>
      <w:r>
        <w:rPr>
          <w:rFonts w:ascii="Palatino Linotype" w:eastAsia="Palatino Linotype" w:hAnsi="Palatino Linotype" w:cs="Palatino Linotype"/>
          <w:i/>
          <w:sz w:val="22"/>
          <w:szCs w:val="22"/>
        </w:rPr>
        <w:t>.- Los ayuntamientos expedirán el Bando Municipal y los presidentes municipales lo promulgarán y difundirán en la Gaceta Municipal y en los estrados de los Ayuntamientos, así como por los medios que estime conveniente.</w:t>
      </w:r>
    </w:p>
    <w:p w:rsidR="00207F36" w:rsidRDefault="00B53F5B">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5 de febrero de cada año el presidente municipal acompañado de los demás miembros del ayuntamiento en acto solemne dará publicidad al bando municipal o sus modificaciones.”(Sic)</w:t>
      </w:r>
    </w:p>
    <w:p w:rsidR="00207F36" w:rsidRDefault="00207F36">
      <w:pPr>
        <w:ind w:left="567" w:right="618"/>
        <w:jc w:val="both"/>
        <w:rPr>
          <w:rFonts w:ascii="Palatino Linotype" w:eastAsia="Palatino Linotype" w:hAnsi="Palatino Linotype" w:cs="Palatino Linotype"/>
          <w:i/>
          <w:sz w:val="22"/>
          <w:szCs w:val="22"/>
        </w:rPr>
      </w:pPr>
    </w:p>
    <w:p w:rsidR="00207F36" w:rsidRDefault="00207F36">
      <w:pPr>
        <w:spacing w:line="360" w:lineRule="auto"/>
        <w:jc w:val="both"/>
        <w:rPr>
          <w:rFonts w:ascii="Palatino Linotype" w:eastAsia="Palatino Linotype" w:hAnsi="Palatino Linotype" w:cs="Palatino Linotype"/>
        </w:rPr>
      </w:pPr>
    </w:p>
    <w:p w:rsidR="00207F36" w:rsidRDefault="00B53F5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se tiene entonces que la administración pública entrante que haya ganado en las elecciones electorales correspondientes, tomará posesión de las oficinas del ayuntamiento para iniciar su gestión pública el primero de enero siguiente a las elecciones ordinarias y una vez que toma posesión éste procederá a expedir y reformar el bando municipal, documento que a través del presidente municipal será promulgado y difundido por medio de la gaceta municipal y los estrados del ayuntamiento; esto es, que si bien los ayuntamientos duraran en su </w:t>
      </w:r>
      <w:r>
        <w:rPr>
          <w:rFonts w:ascii="Palatino Linotype" w:eastAsia="Palatino Linotype" w:hAnsi="Palatino Linotype" w:cs="Palatino Linotype"/>
        </w:rPr>
        <w:lastRenderedPageBreak/>
        <w:t>gestión tres años, estos deberán expedir o modificar el bando municipal por cada año de su gestión a más tardar el cinco de febrero del año correspondiente en presencia de los miembros del ayuntamiento y en evento solemne.</w:t>
      </w:r>
    </w:p>
    <w:p w:rsidR="00207F36" w:rsidRDefault="00207F36">
      <w:pPr>
        <w:spacing w:line="360" w:lineRule="auto"/>
        <w:jc w:val="both"/>
        <w:rPr>
          <w:rFonts w:ascii="Palatino Linotype" w:eastAsia="Palatino Linotype" w:hAnsi="Palatino Linotype" w:cs="Palatino Linotype"/>
        </w:rPr>
      </w:pPr>
    </w:p>
    <w:p w:rsidR="00207F36" w:rsidRDefault="00B53F5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resumen, se acredita que el Ayuntamiento de Ocoyoacac para la gestión administrativa 2016-2018, debió haber expedido un nuevo bando municipal o bien modificado el bando municipal del año 2017, a más tardar el cinco de febrero del dos mil dieciocho; razón por la cual es dable ordenarle al Sujeto Obligado entregue al recurrente el Bando Municipal para el año 2018, en la modalidad solicitada; máxime que se trata de una obligación de transparencia común que señala la Ley de Transparencia que nos ocupa.</w:t>
      </w:r>
      <w:r>
        <w:rPr>
          <w:rFonts w:ascii="Palatino Linotype" w:eastAsia="Palatino Linotype" w:hAnsi="Palatino Linotype" w:cs="Palatino Linotype"/>
          <w:vertAlign w:val="superscript"/>
        </w:rPr>
        <w:footnoteReference w:id="1"/>
      </w:r>
    </w:p>
    <w:p w:rsidR="00207F36" w:rsidRDefault="00207F36">
      <w:pPr>
        <w:spacing w:line="360" w:lineRule="auto"/>
        <w:jc w:val="both"/>
        <w:rPr>
          <w:rFonts w:ascii="Palatino Linotype" w:eastAsia="Palatino Linotype" w:hAnsi="Palatino Linotype" w:cs="Palatino Linotype"/>
        </w:rPr>
      </w:pPr>
    </w:p>
    <w:p w:rsidR="00207F36" w:rsidRDefault="0028552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tercer</w:t>
      </w:r>
      <w:r w:rsidR="00B53F5B">
        <w:rPr>
          <w:rFonts w:ascii="Palatino Linotype" w:eastAsia="Palatino Linotype" w:hAnsi="Palatino Linotype" w:cs="Palatino Linotype"/>
        </w:rPr>
        <w:t xml:space="preserve"> lugar, respecto del tema señalado en la solicitud del particular con el número 6; correspondiente a los requerimientos del Órgano Superior de Fiscalización del Estado de México que ha hecho a la Administración de la Actual Presidenta del Sujeto Obligado de los años 2016 a la fecha, antes que todo, es pertinente precisar que el particular omitió mencionar el periodo temporal de la información solicitada, por lo que este Instituto con fundamento en lo dispuesto por el artículo 13 y 181, párrafo cuarto de la Ley de Transparencia y Acceso a la Información Pública de la entidad, procede a suplir la deficiencia señalada para determinar el periodo temporal de la información solicitada, por lo que </w:t>
      </w:r>
      <w:r w:rsidR="00B53F5B">
        <w:rPr>
          <w:rFonts w:ascii="Palatino Linotype" w:eastAsia="Palatino Linotype" w:hAnsi="Palatino Linotype" w:cs="Palatino Linotype"/>
        </w:rPr>
        <w:lastRenderedPageBreak/>
        <w:t xml:space="preserve">considerando el año señalado por el particular, así como las manifestaciones vertidas en el rubro del acto impugnado y motivos de inconformidad de su recurso de revisión, en el cual señaló como referencia el presente año, por lo tanto, se determina como periodo temporal de la información solicitada es del año 2016 al treinta de julio del año 2018, discernimiento que encuentra apoyo en los criterios emitidos por el “Comité de Acceso a la Información y Protección de Datos personales” de la Suprema Corte de Justicia de la Nación que disponen: </w:t>
      </w:r>
    </w:p>
    <w:p w:rsidR="00207F36" w:rsidRDefault="00207F36">
      <w:pPr>
        <w:tabs>
          <w:tab w:val="left" w:pos="7088"/>
        </w:tabs>
        <w:ind w:left="851" w:right="900"/>
        <w:rPr>
          <w:rFonts w:ascii="Palatino Linotype" w:eastAsia="Palatino Linotype" w:hAnsi="Palatino Linotype" w:cs="Palatino Linotype"/>
          <w:i/>
        </w:rPr>
      </w:pPr>
    </w:p>
    <w:p w:rsidR="00207F36" w:rsidRDefault="00B53F5B">
      <w:pPr>
        <w:tabs>
          <w:tab w:val="left" w:pos="7088"/>
        </w:tabs>
        <w:ind w:left="851" w:right="900"/>
        <w:rPr>
          <w:rFonts w:ascii="Palatino Linotype" w:eastAsia="Palatino Linotype" w:hAnsi="Palatino Linotype" w:cs="Palatino Linotype"/>
          <w:i/>
        </w:rPr>
      </w:pPr>
      <w:r>
        <w:rPr>
          <w:rFonts w:ascii="Palatino Linotype" w:eastAsia="Palatino Linotype" w:hAnsi="Palatino Linotype" w:cs="Palatino Linotype"/>
          <w:i/>
        </w:rPr>
        <w:t>Criterio 1/2010</w:t>
      </w:r>
    </w:p>
    <w:p w:rsidR="00207F36" w:rsidRDefault="00B53F5B">
      <w:pPr>
        <w:tabs>
          <w:tab w:val="left" w:pos="6574"/>
        </w:tabs>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b/>
      </w:r>
    </w:p>
    <w:p w:rsidR="00207F36" w:rsidRDefault="00B53F5B">
      <w:pPr>
        <w:tabs>
          <w:tab w:val="left" w:pos="7088"/>
        </w:tabs>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SOLICITUD DE ACCESO A LA INFORMACIÓN. SU OTORGAMIENTO ES RESPECTO DE AQUELLA QUE EXISTA Y SE HUBIESE GENERADO AL MOMENTO DE LA PETICIÓN.</w:t>
      </w:r>
    </w:p>
    <w:p w:rsidR="00207F36" w:rsidRDefault="00207F36">
      <w:pPr>
        <w:tabs>
          <w:tab w:val="left" w:pos="7088"/>
        </w:tabs>
        <w:ind w:left="851" w:right="900"/>
        <w:jc w:val="both"/>
        <w:rPr>
          <w:rFonts w:ascii="Palatino Linotype" w:eastAsia="Palatino Linotype" w:hAnsi="Palatino Linotype" w:cs="Palatino Linotype"/>
          <w:i/>
        </w:rPr>
      </w:pPr>
    </w:p>
    <w:p w:rsidR="00207F36" w:rsidRDefault="00B53F5B">
      <w:pPr>
        <w:tabs>
          <w:tab w:val="left" w:pos="7088"/>
        </w:tabs>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rsidR="00207F36" w:rsidRDefault="00207F36">
      <w:pPr>
        <w:tabs>
          <w:tab w:val="left" w:pos="7088"/>
        </w:tabs>
        <w:ind w:left="851" w:right="900"/>
        <w:jc w:val="both"/>
        <w:rPr>
          <w:rFonts w:ascii="Palatino Linotype" w:eastAsia="Palatino Linotype" w:hAnsi="Palatino Linotype" w:cs="Palatino Linotype"/>
          <w:i/>
        </w:rPr>
      </w:pPr>
    </w:p>
    <w:p w:rsidR="00207F36" w:rsidRDefault="00B53F5B">
      <w:pPr>
        <w:tabs>
          <w:tab w:val="left" w:pos="7088"/>
        </w:tabs>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Clasificación de Información 69/2009-A. 30 de septiembre de 2009. Unanimidad de votos.</w:t>
      </w:r>
    </w:p>
    <w:p w:rsidR="00207F36" w:rsidRDefault="00207F36">
      <w:pPr>
        <w:tabs>
          <w:tab w:val="left" w:pos="7088"/>
        </w:tabs>
        <w:ind w:left="851" w:right="900"/>
        <w:jc w:val="both"/>
        <w:rPr>
          <w:rFonts w:ascii="Palatino Linotype" w:eastAsia="Palatino Linotype" w:hAnsi="Palatino Linotype" w:cs="Palatino Linotype"/>
          <w:i/>
        </w:rPr>
      </w:pPr>
    </w:p>
    <w:p w:rsidR="00207F36" w:rsidRDefault="00B53F5B">
      <w:pPr>
        <w:tabs>
          <w:tab w:val="left" w:pos="7088"/>
        </w:tabs>
        <w:ind w:left="851" w:right="900"/>
        <w:rPr>
          <w:rFonts w:ascii="Palatino Linotype" w:eastAsia="Palatino Linotype" w:hAnsi="Palatino Linotype" w:cs="Palatino Linotype"/>
          <w:i/>
        </w:rPr>
      </w:pPr>
      <w:r>
        <w:rPr>
          <w:rFonts w:ascii="Palatino Linotype" w:eastAsia="Palatino Linotype" w:hAnsi="Palatino Linotype" w:cs="Palatino Linotype"/>
          <w:i/>
        </w:rPr>
        <w:t>Criterio 2/2010.</w:t>
      </w:r>
    </w:p>
    <w:p w:rsidR="00207F36" w:rsidRDefault="00B53F5B">
      <w:pPr>
        <w:tabs>
          <w:tab w:val="left" w:pos="7088"/>
        </w:tabs>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SOLICITUD DE ACCESO A LA INFORMACIÓN. ES MATERIA DE ANÁLISIS Y OTORGAMIENTO LA GENERADA HASTA LA FECHA DE LA SOLICITUD EN CASO DE IMPRECISIÓN TEMPORAL. </w:t>
      </w:r>
    </w:p>
    <w:p w:rsidR="00207F36" w:rsidRDefault="00B53F5B">
      <w:pPr>
        <w:tabs>
          <w:tab w:val="left" w:pos="7088"/>
        </w:tabs>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rsidR="00207F36" w:rsidRDefault="00207F36">
      <w:pPr>
        <w:tabs>
          <w:tab w:val="left" w:pos="7088"/>
        </w:tabs>
        <w:ind w:left="851" w:right="900"/>
        <w:jc w:val="both"/>
        <w:rPr>
          <w:rFonts w:ascii="Palatino Linotype" w:eastAsia="Palatino Linotype" w:hAnsi="Palatino Linotype" w:cs="Palatino Linotype"/>
          <w:i/>
        </w:rPr>
      </w:pPr>
    </w:p>
    <w:p w:rsidR="00207F36" w:rsidRDefault="00B53F5B">
      <w:pPr>
        <w:tabs>
          <w:tab w:val="left" w:pos="7088"/>
        </w:tabs>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Clasificación de Información 69/2009-A. 30 de septiembre de 2009. Unanimidad de votos.</w:t>
      </w:r>
    </w:p>
    <w:p w:rsidR="00207F36" w:rsidRDefault="00207F36">
      <w:pPr>
        <w:rPr>
          <w:rFonts w:ascii="Calibri" w:eastAsia="Calibri" w:hAnsi="Calibri" w:cs="Calibri"/>
        </w:rPr>
      </w:pPr>
    </w:p>
    <w:p w:rsidR="00207F36" w:rsidRDefault="00B53F5B">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Ahora bien, el Sujeto Obligado se pronunció en cuanto a este punto, en el sentido de que dicha información no obra en poder de la Contraloría Municipal del Sujeto Obligado, ésta manifestación no es suficiente para ésta ponencia resolutora para tener por colmando el derecho de acceso de la información del recurrente en atención a que el particular solicito información de la Presidenta actual y porque el artículo 23, fracción XXIV del Reglamento Orgánico Municipal de Ocoyoacac vigente, indica lo siguiente:</w:t>
      </w:r>
    </w:p>
    <w:p w:rsidR="00207F36" w:rsidRDefault="00207F36">
      <w:pPr>
        <w:spacing w:line="360" w:lineRule="auto"/>
        <w:ind w:right="49"/>
        <w:jc w:val="both"/>
        <w:rPr>
          <w:rFonts w:ascii="Palatino Linotype" w:eastAsia="Palatino Linotype" w:hAnsi="Palatino Linotype" w:cs="Palatino Linotype"/>
        </w:rPr>
      </w:pP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23.-</w:t>
      </w:r>
      <w:r>
        <w:rPr>
          <w:rFonts w:ascii="Palatino Linotype" w:eastAsia="Palatino Linotype" w:hAnsi="Palatino Linotype" w:cs="Palatino Linotype"/>
          <w:i/>
          <w:sz w:val="22"/>
          <w:szCs w:val="22"/>
        </w:rPr>
        <w:t xml:space="preserve"> Corresponderá a los titulares de las dependencias y entidades de la Administración Pública Municipal, cumplir con las siguientes responsabilidades y facultades genéricas relativas al ejercicio de su encargo y al área de competencia:</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XXIV.</w:t>
      </w:r>
      <w:r>
        <w:rPr>
          <w:rFonts w:ascii="Palatino Linotype" w:eastAsia="Palatino Linotype" w:hAnsi="Palatino Linotype" w:cs="Palatino Linotype"/>
          <w:i/>
          <w:sz w:val="22"/>
          <w:szCs w:val="22"/>
        </w:rPr>
        <w:t>- Atender en tiempo y forma las observaciones y recomendaciones que resulten con motivo de las auditorías practicadas por la Contraloría Municipal, los Órganos Superiores de Fiscalización tanto a nivel federal como estatal, así como atender los requerimientos de información que en su caso realice la Comisión Edilicia de Hacienda…”(Sic)</w:t>
      </w:r>
    </w:p>
    <w:p w:rsidR="00207F36" w:rsidRDefault="00207F36">
      <w:pPr>
        <w:ind w:left="567" w:right="616"/>
        <w:jc w:val="both"/>
        <w:rPr>
          <w:rFonts w:ascii="Palatino Linotype" w:eastAsia="Palatino Linotype" w:hAnsi="Palatino Linotype" w:cs="Palatino Linotype"/>
          <w:i/>
          <w:sz w:val="22"/>
          <w:szCs w:val="22"/>
        </w:rPr>
      </w:pPr>
    </w:p>
    <w:p w:rsidR="00207F36" w:rsidRDefault="00B53F5B">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Si bien, del artículo anterior, no se advierte que los titulares de las dependencias y entidades que conforman la administración pública municipal del Sujeto Obligado, deban atender requerimientos del Órgano Superior de Fiscalización del Estado de México si no únicamente las observaciones y recomendaciones que le haga esté; pero en aras del principio de máxima publicidad que consagra la Ley de Transparencia que nos ocupa para el efecto de garantizar el ejercicio del derecho de acceso a la información del recúrrete, es por lo que, se aplica la suplencia de la queja señalada en los artículos 13</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xml:space="preserve"> y 181, párrafo cuarto</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xml:space="preserve"> de la Ley de Transparencia y Acceso a la Información Pública de la entidad, a favor del particular en atención a no es un experto en temas de la revisión y fiscalización de las cuentas públicas del Sujeto obligado; razón por la cual para mejor proveer se determina lo siguiente:</w:t>
      </w:r>
    </w:p>
    <w:p w:rsidR="00207F36" w:rsidRDefault="00207F36">
      <w:pPr>
        <w:spacing w:line="360" w:lineRule="auto"/>
        <w:ind w:right="49"/>
        <w:jc w:val="both"/>
        <w:rPr>
          <w:rFonts w:ascii="Palatino Linotype" w:eastAsia="Palatino Linotype" w:hAnsi="Palatino Linotype" w:cs="Palatino Linotype"/>
        </w:rPr>
      </w:pPr>
    </w:p>
    <w:p w:rsidR="00207F36" w:rsidRDefault="00B53F5B">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Debido a lo que establece la Ley de Fiscalización del Estado de México, se advierte en su artículo 8, que el Órgano Superior de Fiscalización del Estado de México tendrá las atribuciones siguientes:</w:t>
      </w:r>
    </w:p>
    <w:p w:rsidR="00207F36" w:rsidRDefault="00207F36">
      <w:pPr>
        <w:spacing w:line="360" w:lineRule="auto"/>
        <w:ind w:right="49"/>
        <w:jc w:val="both"/>
        <w:rPr>
          <w:rFonts w:ascii="Palatino Linotype" w:eastAsia="Palatino Linotype" w:hAnsi="Palatino Linotype" w:cs="Palatino Linotype"/>
        </w:rPr>
      </w:pP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8.-</w:t>
      </w:r>
      <w:r>
        <w:rPr>
          <w:rFonts w:ascii="Palatino Linotype" w:eastAsia="Palatino Linotype" w:hAnsi="Palatino Linotype" w:cs="Palatino Linotype"/>
          <w:i/>
          <w:sz w:val="22"/>
          <w:szCs w:val="22"/>
        </w:rPr>
        <w:t xml:space="preserve"> El Órgano Superior tendrá las siguientes atribuciones:</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Fiscalizar en todo momento los ingresos y egresos de las entidades fiscalizables a efecto de comprobar que su recaudación, administración, desempeño, niveles de deuda y aplicación se apegue a las disposiciones legales, administrativas, presupuestales, financieras y de planeación aplicables;</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II. Fiscalizar, en todo momento, el ejercicio, la custodia y aplicación de los recursos estatales y municipales así como los recursos federales en términos de los convenios correspondientes;</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Revisar las cuentas públicas de las entidades fiscalizables y entregar a la Legislatura, a través de la Comisión, el informe de resultados y los informes de auditorías que correspondan.</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Requerir y revisar de manera casuística y concreta, la información y documentación relativa a ejercicios anteriores al de la cuenta pública en revisión, sin que con este motivo se entienda para todos los efectos legales, abierta nuevamente la cuenta pública del ejercicio al que pertenece la información solicitada, exclusivamente cuando el programa, proyecto o la erogación, contenidos en el presupuesto en revisión, abarque para su ejecución y pago diversos ejercicios fiscales, o se trate de revisiones sobre el cumplimiento de los objetivos de los programas estatales y municipales.</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Verificar que las entidades fiscalizables que hubieren recaudado, manejado, administrado o ejercido recursos públicos, se hayan conducido conforme a los programas aprobados y montos autorizados; y que los egresos se hayan ejercido con cargo a las partidas correspondientes y con apego a las disposiciones legales, reglamentarias y administrativas aplicables;</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Practicar auditorías de desempeño en el cumplimiento de los objetivos contenidos en los programas, conforme a los indicadores que correspondan y evaluar la eficacia, eficiencia y economía en el uso de los recursos públicos por las entidades fiscalizables, la congruencia del ejercicio de los presupuestos con los programas y de estos con los planes y políticas públicas conforme a los estándares internacionales</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 Realizar, de acuerdo con el programa anual de auditorías aprobado, las auditorías y revisiones, conforme a las normas profesionales homologadas emitidas por el Sistema Nacional de Fiscalización, el Sistema Estatal de Fiscalización y otras normas de auditoría, procedimientos de auditoría, métodos y sistemas de contabilidad y de archivo de los libros y documentos justificativos y comprobatorios del ingreso y del gasto público, que le permitan la práctica idónea de las auditorias y revisiones, que respondan a los estándares internacionales, con apego a las disposiciones legales, reglamentarias y administrativas aplicables.</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 Establecer los lineamientos, criterios, procedimientos, métodos y sistemas para las acciones de control y evaluación, necesarios para la fiscalización de las cuentas públicas y los informes mensuales.</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 Fiscalizar las obras públicas y servicios relacionados con las mismas que, por sí o por conducto de terceros realicen las entidades fiscalizables de conformidad con la ley de la materia.</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XIII. Fiscalizar la adquisición, enajenación y arrendamiento de bienes, así como la contratación de servicios de cualquier naturaleza, que realicen las entidades fiscalizables de conformidad con la ley de la materia.</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XIV. Verificar que las cuentas públicas, los informes mensuales y la información financiera, se hayan presentado de conformidad con lo dispuesto en la Ley General de Contabilidad Gubernamental, la Ley de Disciplina Financiera de las Entidades Federativas y los Municipios y demás disposiciones aplicables.</w:t>
      </w:r>
    </w:p>
    <w:p w:rsidR="00207F36" w:rsidRDefault="00B53F5B">
      <w:pPr>
        <w:ind w:left="567" w:right="616"/>
        <w:jc w:val="both"/>
        <w:rPr>
          <w:rFonts w:ascii="Palatino Linotype" w:eastAsia="Palatino Linotype" w:hAnsi="Palatino Linotype" w:cs="Palatino Linotype"/>
          <w:i/>
          <w:sz w:val="22"/>
          <w:szCs w:val="22"/>
        </w:rPr>
      </w:pPr>
      <w:r w:rsidRPr="0028552A">
        <w:rPr>
          <w:rFonts w:ascii="Palatino Linotype" w:eastAsia="Palatino Linotype" w:hAnsi="Palatino Linotype" w:cs="Palatino Linotype"/>
          <w:i/>
          <w:sz w:val="22"/>
          <w:szCs w:val="22"/>
        </w:rPr>
        <w:t>XVI. Requerir,</w:t>
      </w:r>
      <w:r>
        <w:rPr>
          <w:rFonts w:ascii="Palatino Linotype" w:eastAsia="Palatino Linotype" w:hAnsi="Palatino Linotype" w:cs="Palatino Linotype"/>
          <w:i/>
          <w:sz w:val="22"/>
          <w:szCs w:val="22"/>
        </w:rPr>
        <w:t xml:space="preserve"> según corresponda, a los titulares de la Secretaría de la Contraloría del Poder Ejecutivo y de los demás órganos de control interno de las entidades fiscalizables, en términos de las disposiciones legales aplicables, los dictámenes de acciones de control y evaluación por ellos practicadas, relacionados con las cuentas públicas que el Órgano Superior esté fiscalizando, así como las observaciones y recomendaciones formuladas, las sanciones impuestas y los seguimientos practicados;</w:t>
      </w:r>
    </w:p>
    <w:p w:rsidR="00207F36" w:rsidRDefault="00B53F5B">
      <w:pPr>
        <w:ind w:left="567" w:right="616"/>
        <w:jc w:val="both"/>
        <w:rPr>
          <w:rFonts w:ascii="Palatino Linotype" w:eastAsia="Palatino Linotype" w:hAnsi="Palatino Linotype" w:cs="Palatino Linotype"/>
          <w:i/>
          <w:sz w:val="22"/>
          <w:szCs w:val="22"/>
        </w:rPr>
      </w:pPr>
      <w:r w:rsidRPr="0028552A">
        <w:rPr>
          <w:rFonts w:ascii="Palatino Linotype" w:eastAsia="Palatino Linotype" w:hAnsi="Palatino Linotype" w:cs="Palatino Linotype"/>
          <w:i/>
          <w:sz w:val="22"/>
          <w:szCs w:val="22"/>
        </w:rPr>
        <w:t>XVII. Requerir</w:t>
      </w:r>
      <w:r>
        <w:rPr>
          <w:rFonts w:ascii="Palatino Linotype" w:eastAsia="Palatino Linotype" w:hAnsi="Palatino Linotype" w:cs="Palatino Linotype"/>
          <w:i/>
          <w:sz w:val="22"/>
          <w:szCs w:val="22"/>
        </w:rPr>
        <w:t xml:space="preserve">, según corresponda, por conducto de los titulares de la Secretaría de la Contraloría del Poder Ejecutivo y de los demás órganos de control interno de las entidades fiscalizables, a los profesionistas independientes y auditores externos que sean autorizados legalmente, los dictámenes de las auditorías y revisiones por ellos practicadas; </w:t>
      </w:r>
    </w:p>
    <w:p w:rsidR="00207F36" w:rsidRDefault="00B53F5B">
      <w:pPr>
        <w:ind w:left="567" w:right="616"/>
        <w:jc w:val="both"/>
        <w:rPr>
          <w:rFonts w:ascii="Palatino Linotype" w:eastAsia="Palatino Linotype" w:hAnsi="Palatino Linotype" w:cs="Palatino Linotype"/>
          <w:i/>
          <w:sz w:val="22"/>
          <w:szCs w:val="22"/>
        </w:rPr>
      </w:pPr>
      <w:r w:rsidRPr="0028552A">
        <w:rPr>
          <w:rFonts w:ascii="Palatino Linotype" w:eastAsia="Palatino Linotype" w:hAnsi="Palatino Linotype" w:cs="Palatino Linotype"/>
          <w:i/>
          <w:sz w:val="22"/>
          <w:szCs w:val="22"/>
        </w:rPr>
        <w:t>XVIII. Requerir</w:t>
      </w:r>
      <w:r>
        <w:rPr>
          <w:rFonts w:ascii="Palatino Linotype" w:eastAsia="Palatino Linotype" w:hAnsi="Palatino Linotype" w:cs="Palatino Linotype"/>
          <w:i/>
          <w:sz w:val="22"/>
          <w:szCs w:val="22"/>
        </w:rPr>
        <w:t>, en su caso, a los terceros que hubieren contratado obras, bienes o servicios, mediante cualquier título legal, con las entidades fiscalizables, la información relacionada con la documentación justificativa y comprobatoria de las cuentas públicas, con la única finalidad de realizar la compulsa correspondiente;</w:t>
      </w:r>
    </w:p>
    <w:p w:rsidR="00207F36" w:rsidRDefault="00B53F5B">
      <w:pPr>
        <w:ind w:left="567" w:right="616"/>
        <w:jc w:val="both"/>
        <w:rPr>
          <w:rFonts w:ascii="Palatino Linotype" w:eastAsia="Palatino Linotype" w:hAnsi="Palatino Linotype" w:cs="Palatino Linotype"/>
          <w:i/>
          <w:sz w:val="22"/>
          <w:szCs w:val="22"/>
        </w:rPr>
      </w:pPr>
      <w:r w:rsidRPr="0028552A">
        <w:rPr>
          <w:rFonts w:ascii="Palatino Linotype" w:eastAsia="Palatino Linotype" w:hAnsi="Palatino Linotype" w:cs="Palatino Linotype"/>
          <w:i/>
          <w:sz w:val="22"/>
          <w:szCs w:val="22"/>
        </w:rPr>
        <w:t>XIX. Requerir</w:t>
      </w:r>
      <w:r>
        <w:rPr>
          <w:rFonts w:ascii="Palatino Linotype" w:eastAsia="Palatino Linotype" w:hAnsi="Palatino Linotype" w:cs="Palatino Linotype"/>
          <w:i/>
          <w:sz w:val="22"/>
          <w:szCs w:val="22"/>
        </w:rPr>
        <w:t xml:space="preserve"> a las entidades fiscalizables la información y documentos necesarios para los actos de fiscalización, así como solicitar a otras autoridades el auxilio o colaboración para el cumplimiento de sus atribuciones.</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 no proporcionar la información, los responsables serán sancionados en los términos de la legislación aplicable.</w:t>
      </w:r>
    </w:p>
    <w:p w:rsidR="00207F36" w:rsidRDefault="00207F36">
      <w:pPr>
        <w:ind w:left="567" w:right="616"/>
        <w:jc w:val="both"/>
        <w:rPr>
          <w:rFonts w:ascii="Palatino Linotype" w:eastAsia="Palatino Linotype" w:hAnsi="Palatino Linotype" w:cs="Palatino Linotype"/>
          <w:i/>
          <w:sz w:val="22"/>
          <w:szCs w:val="22"/>
        </w:rPr>
      </w:pPr>
    </w:p>
    <w:p w:rsidR="00207F36" w:rsidRDefault="00B53F5B">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las anteriores atribuciones se puede observar que el Órgano Superior de Fiscalización de la entidad, puede realizar diversos requerimientos al Sujeto Obligado como ente fiscalizable</w:t>
      </w:r>
      <w:r>
        <w:rPr>
          <w:rFonts w:ascii="Palatino Linotype" w:eastAsia="Palatino Linotype" w:hAnsi="Palatino Linotype" w:cs="Palatino Linotype"/>
          <w:vertAlign w:val="superscript"/>
        </w:rPr>
        <w:footnoteReference w:id="4"/>
      </w:r>
      <w:r>
        <w:rPr>
          <w:rFonts w:ascii="Palatino Linotype" w:eastAsia="Palatino Linotype" w:hAnsi="Palatino Linotype" w:cs="Palatino Linotype"/>
        </w:rPr>
        <w:t xml:space="preserve">, para el cumplimiento de su obligación en la revisión y rendición de cuentas públicas; máxime que el artículo 26 de la misma </w:t>
      </w:r>
      <w:r>
        <w:rPr>
          <w:rFonts w:ascii="Palatino Linotype" w:eastAsia="Palatino Linotype" w:hAnsi="Palatino Linotype" w:cs="Palatino Linotype"/>
        </w:rPr>
        <w:lastRenderedPageBreak/>
        <w:t>Ley de Fiscalización</w:t>
      </w:r>
      <w:r>
        <w:rPr>
          <w:rFonts w:ascii="Palatino Linotype" w:eastAsia="Palatino Linotype" w:hAnsi="Palatino Linotype" w:cs="Palatino Linotype"/>
          <w:vertAlign w:val="superscript"/>
        </w:rPr>
        <w:footnoteReference w:id="5"/>
      </w:r>
      <w:r>
        <w:rPr>
          <w:rFonts w:ascii="Palatino Linotype" w:eastAsia="Palatino Linotype" w:hAnsi="Palatino Linotype" w:cs="Palatino Linotype"/>
        </w:rPr>
        <w:t xml:space="preserve"> señala que el Órgano de Fiscalización contara con una unidad de asuntos jurídicos, la cual tendrá como facultad el de elaborar y someter a la consideración del Auditor Superior, los requerimientos relacionados con el cumplimiento de obligaciones periódicas de las entidades fiscalizables.</w:t>
      </w:r>
    </w:p>
    <w:p w:rsidR="00207F36" w:rsidRDefault="00207F36">
      <w:pPr>
        <w:spacing w:line="360" w:lineRule="auto"/>
        <w:ind w:right="49"/>
        <w:jc w:val="both"/>
        <w:rPr>
          <w:rFonts w:ascii="Palatino Linotype" w:eastAsia="Palatino Linotype" w:hAnsi="Palatino Linotype" w:cs="Palatino Linotype"/>
        </w:rPr>
      </w:pPr>
    </w:p>
    <w:p w:rsidR="00207F36" w:rsidRDefault="00B53F5B">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ahí que, se acredita que el Sujeto Obligado debe poseer o administrar la información respecto de los requerimientos relacionada con el cumplimiento de sus obligaciones para las rendiciones de cuentas públicas que ha recibido del Órgano Superior de Fiscalización del Estado de México, en el periodo referido por el particular; razón por lo cual es dable ordenarle al Sujeto Obligado entregue al particular en la modalidad solicita, en versión publica de ser procedente, los requerimientos que ha recibido del OSFEM del 2016, 2017 y del primero de enero al treinta de julio del 2018; debiendo acatar lo establecido por el artículo 162 de la Ley de Transparencia, para que la Unidad de Transparencia del Sujeto Obligado remita la solicitud a todas las áreas que considere competentes que cuenten con la información que aquí se ordena o que deban tenerla de acuerdo a sus atribuciones, facultades, competencias y funciones, con la finalidad que realicen la búsqueda exhaustiva y razonable de la información ordenada en cuanto a éste punto.</w:t>
      </w:r>
    </w:p>
    <w:p w:rsidR="00B53F5B" w:rsidRDefault="00B53F5B">
      <w:pPr>
        <w:spacing w:line="360" w:lineRule="auto"/>
        <w:ind w:right="49"/>
        <w:jc w:val="both"/>
        <w:rPr>
          <w:rFonts w:ascii="Palatino Linotype" w:eastAsia="Palatino Linotype" w:hAnsi="Palatino Linotype" w:cs="Palatino Linotype"/>
        </w:rPr>
      </w:pPr>
    </w:p>
    <w:p w:rsidR="00207F36" w:rsidRDefault="0028552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En cuarto</w:t>
      </w:r>
      <w:r w:rsidR="00B53F5B">
        <w:rPr>
          <w:rFonts w:ascii="Palatino Linotype" w:eastAsia="Palatino Linotype" w:hAnsi="Palatino Linotype" w:cs="Palatino Linotype"/>
        </w:rPr>
        <w:t xml:space="preserve"> lugar, respecto del punto señalado en la solicitud de acceso a la información del particular con el número 7, correspondiente al acceso a la información de los oficios recibidos por el OSFEM sobre las recomendaciones a las evaluaciones trimestrales de los años 2016 a la fecha de la solicitud, procede a decretar lo siguiente:</w:t>
      </w:r>
    </w:p>
    <w:p w:rsidR="00207F36" w:rsidRDefault="00207F36">
      <w:pPr>
        <w:spacing w:line="360" w:lineRule="auto"/>
        <w:ind w:right="49"/>
        <w:jc w:val="both"/>
        <w:rPr>
          <w:rFonts w:ascii="Palatino Linotype" w:eastAsia="Palatino Linotype" w:hAnsi="Palatino Linotype" w:cs="Palatino Linotype"/>
        </w:rPr>
      </w:pPr>
    </w:p>
    <w:p w:rsidR="00207F36" w:rsidRDefault="00B53F5B">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Antes que nada, es pertinente precisar que el particular omitió mencionar el periodo temporal de la información solicitada, por lo que este Instituto con fundamento en lo dispuesto por el artículo 13 y 181, párrafo cuarto de la Ley de Transparencia y Acceso a la Información Pública de la entidad, procede a suplir la deficiencia señalada para determinar el periodo temporal de la información solicitada, por lo que, considerando el año señalado por el particular, así como las manifestaciones vertidas en el rubro del acto impugnado y motivos de inconformidad de su recurso de revisión, en el cual señaló como referencia el presente año, por lo tanto, se determina como periodo temporal de la información solicitada es del año 2016 al treinta de julio del año 2018, discernimiento que encuentra apoyo en los criterios emitidos por el “Comité de Acceso a la Información y Protección de Datos personales” de la Suprema Corte de Justicia de la Nación, los que ya fueron referidos en el análisis del punto 6.</w:t>
      </w:r>
    </w:p>
    <w:p w:rsidR="00207F36" w:rsidRDefault="00207F36">
      <w:pPr>
        <w:spacing w:line="360" w:lineRule="auto"/>
        <w:ind w:right="49"/>
        <w:jc w:val="both"/>
        <w:rPr>
          <w:rFonts w:ascii="Palatino Linotype" w:eastAsia="Palatino Linotype" w:hAnsi="Palatino Linotype" w:cs="Palatino Linotype"/>
        </w:rPr>
      </w:pPr>
    </w:p>
    <w:p w:rsidR="00207F36" w:rsidRDefault="00B53F5B">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Después, se debe resaltar que el Sujeto Obligado no niega contar con la información solicitada por el recurrente, por el contrario, aceptó expresamente en su respuesta como en los archivos que adjuntó a ésta, a través de su Contraloría Municipal que contaba con los oficios recibidos del Órgano Superior de </w:t>
      </w:r>
      <w:r>
        <w:rPr>
          <w:rFonts w:ascii="Palatino Linotype" w:eastAsia="Palatino Linotype" w:hAnsi="Palatino Linotype" w:cs="Palatino Linotype"/>
        </w:rPr>
        <w:lastRenderedPageBreak/>
        <w:t>Fiscalización del Estado de México, referente a las recomendaciones de evaluaciones trimestrales de los años 2016 y 2017, enviando copia de los mismos.</w:t>
      </w:r>
    </w:p>
    <w:p w:rsidR="00207F36" w:rsidRDefault="00207F36">
      <w:pPr>
        <w:spacing w:line="360" w:lineRule="auto"/>
        <w:ind w:right="49"/>
        <w:jc w:val="both"/>
        <w:rPr>
          <w:rFonts w:ascii="Palatino Linotype" w:eastAsia="Palatino Linotype" w:hAnsi="Palatino Linotype" w:cs="Palatino Linotype"/>
        </w:rPr>
      </w:pPr>
    </w:p>
    <w:p w:rsidR="00207F36" w:rsidRDefault="00B53F5B">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tal tesitura el estudio de la naturaleza de la información se obvia, como así se aprecia en la siguiente imagen que de manera ilustrativa se inserta de la </w:t>
      </w:r>
      <w:r w:rsidR="000548AB">
        <w:rPr>
          <w:rFonts w:ascii="Palatino Linotype" w:eastAsia="Palatino Linotype" w:hAnsi="Palatino Linotype" w:cs="Palatino Linotype"/>
        </w:rPr>
        <w:t>referente</w:t>
      </w:r>
      <w:r>
        <w:rPr>
          <w:rFonts w:ascii="Palatino Linotype" w:eastAsia="Palatino Linotype" w:hAnsi="Palatino Linotype" w:cs="Palatino Linotype"/>
        </w:rPr>
        <w:t xml:space="preserve"> respuesta:</w:t>
      </w:r>
    </w:p>
    <w:p w:rsidR="00207F36" w:rsidRDefault="00B53F5B">
      <w:pPr>
        <w:spacing w:line="360" w:lineRule="auto"/>
        <w:ind w:right="49"/>
        <w:jc w:val="both"/>
        <w:rPr>
          <w:rFonts w:ascii="Palatino Linotype" w:eastAsia="Palatino Linotype" w:hAnsi="Palatino Linotype" w:cs="Palatino Linotype"/>
        </w:rPr>
      </w:pPr>
      <w:r>
        <w:rPr>
          <w:noProof/>
          <w:lang w:val="es-MX"/>
        </w:rPr>
        <w:drawing>
          <wp:anchor distT="0" distB="0" distL="0" distR="0" simplePos="0" relativeHeight="251658240" behindDoc="0" locked="0" layoutInCell="1" hidden="0" allowOverlap="1">
            <wp:simplePos x="0" y="0"/>
            <wp:positionH relativeFrom="column">
              <wp:posOffset>123825</wp:posOffset>
            </wp:positionH>
            <wp:positionV relativeFrom="paragraph">
              <wp:posOffset>46355</wp:posOffset>
            </wp:positionV>
            <wp:extent cx="5553710" cy="3796030"/>
            <wp:effectExtent l="0" t="0" r="8890" b="0"/>
            <wp:wrapNone/>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l="20065" t="9716" r="42348" b="5894"/>
                    <a:stretch>
                      <a:fillRect/>
                    </a:stretch>
                  </pic:blipFill>
                  <pic:spPr>
                    <a:xfrm>
                      <a:off x="0" y="0"/>
                      <a:ext cx="5553710" cy="3796030"/>
                    </a:xfrm>
                    <a:prstGeom prst="rect">
                      <a:avLst/>
                    </a:prstGeom>
                    <a:ln/>
                  </pic:spPr>
                </pic:pic>
              </a:graphicData>
            </a:graphic>
          </wp:anchor>
        </w:drawing>
      </w:r>
    </w:p>
    <w:p w:rsidR="00207F36" w:rsidRDefault="00207F36">
      <w:pPr>
        <w:spacing w:line="360" w:lineRule="auto"/>
        <w:ind w:right="49"/>
        <w:jc w:val="both"/>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before="240" w:after="240" w:line="360" w:lineRule="auto"/>
        <w:jc w:val="both"/>
        <w:rPr>
          <w:rFonts w:ascii="Palatino Linotype" w:eastAsia="Palatino Linotype" w:hAnsi="Palatino Linotype" w:cs="Palatino Linotype"/>
        </w:rPr>
      </w:pPr>
    </w:p>
    <w:p w:rsidR="00207F36" w:rsidRDefault="00207F36">
      <w:pPr>
        <w:spacing w:before="240" w:after="240" w:line="360" w:lineRule="auto"/>
        <w:jc w:val="both"/>
        <w:rPr>
          <w:rFonts w:ascii="Palatino Linotype" w:eastAsia="Palatino Linotype" w:hAnsi="Palatino Linotype" w:cs="Palatino Linotype"/>
        </w:rPr>
      </w:pPr>
    </w:p>
    <w:p w:rsidR="00207F36" w:rsidRDefault="00207F36">
      <w:pPr>
        <w:spacing w:before="240" w:after="240" w:line="360" w:lineRule="auto"/>
        <w:jc w:val="both"/>
        <w:rPr>
          <w:rFonts w:ascii="Palatino Linotype" w:eastAsia="Palatino Linotype" w:hAnsi="Palatino Linotype" w:cs="Palatino Linotype"/>
        </w:rPr>
      </w:pPr>
    </w:p>
    <w:p w:rsidR="00207F36" w:rsidRDefault="00207F36">
      <w:pPr>
        <w:spacing w:before="240" w:after="240" w:line="360" w:lineRule="auto"/>
        <w:jc w:val="both"/>
        <w:rPr>
          <w:rFonts w:ascii="Palatino Linotype" w:eastAsia="Palatino Linotype" w:hAnsi="Palatino Linotype" w:cs="Palatino Linotype"/>
        </w:rPr>
      </w:pPr>
    </w:p>
    <w:p w:rsidR="00207F36" w:rsidRDefault="00207F36">
      <w:pPr>
        <w:spacing w:before="240" w:after="240" w:line="360" w:lineRule="auto"/>
        <w:jc w:val="both"/>
        <w:rPr>
          <w:rFonts w:ascii="Palatino Linotype" w:eastAsia="Palatino Linotype" w:hAnsi="Palatino Linotype" w:cs="Palatino Linotype"/>
        </w:rPr>
      </w:pP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es así, ya que para llegar a determinar la entrega de la información que es solicitada a través del derecho de acceso a la información pública, si bien es necesario analizar las atribuciones de los Sujetos Obligados en relación con la información que le es solicitada, para determinar si cuenta con ella y si se encuentra en posibilidades de entregarla, lo cierto es, que ello no es necesario si el Sujeto Obligado asume la posesión de la información.</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cambio, en la solicitud se aprecia que el partic</w:t>
      </w:r>
      <w:r w:rsidR="000548AB">
        <w:rPr>
          <w:rFonts w:ascii="Palatino Linotype" w:eastAsia="Palatino Linotype" w:hAnsi="Palatino Linotype" w:cs="Palatino Linotype"/>
        </w:rPr>
        <w:t>ular requirió la información de los</w:t>
      </w:r>
      <w:r>
        <w:rPr>
          <w:rFonts w:ascii="Palatino Linotype" w:eastAsia="Palatino Linotype" w:hAnsi="Palatino Linotype" w:cs="Palatino Linotype"/>
        </w:rPr>
        <w:t xml:space="preserve"> </w:t>
      </w:r>
      <w:r w:rsidR="000548AB">
        <w:rPr>
          <w:rFonts w:ascii="Palatino Linotype" w:eastAsia="Palatino Linotype" w:hAnsi="Palatino Linotype" w:cs="Palatino Linotype"/>
        </w:rPr>
        <w:t xml:space="preserve">años 2016, 2017 y del </w:t>
      </w:r>
      <w:r>
        <w:rPr>
          <w:rFonts w:ascii="Palatino Linotype" w:eastAsia="Palatino Linotype" w:hAnsi="Palatino Linotype" w:cs="Palatino Linotype"/>
        </w:rPr>
        <w:t xml:space="preserve">primero de enero al treinta de julio del dos mil dieciocho, y de la </w:t>
      </w:r>
      <w:r w:rsidR="000548AB">
        <w:rPr>
          <w:rFonts w:ascii="Palatino Linotype" w:eastAsia="Palatino Linotype" w:hAnsi="Palatino Linotype" w:cs="Palatino Linotype"/>
        </w:rPr>
        <w:t>respuesta</w:t>
      </w:r>
      <w:r>
        <w:rPr>
          <w:rFonts w:ascii="Palatino Linotype" w:eastAsia="Palatino Linotype" w:hAnsi="Palatino Linotype" w:cs="Palatino Linotype"/>
        </w:rPr>
        <w:t xml:space="preserve"> </w:t>
      </w:r>
      <w:r w:rsidR="000548AB">
        <w:rPr>
          <w:rFonts w:ascii="Palatino Linotype" w:eastAsia="Palatino Linotype" w:hAnsi="Palatino Linotype" w:cs="Palatino Linotype"/>
        </w:rPr>
        <w:t xml:space="preserve">referida </w:t>
      </w:r>
      <w:r>
        <w:rPr>
          <w:rFonts w:ascii="Palatino Linotype" w:eastAsia="Palatino Linotype" w:hAnsi="Palatino Linotype" w:cs="Palatino Linotype"/>
        </w:rPr>
        <w:t>en los párrafos anteriores</w:t>
      </w:r>
      <w:r w:rsidR="000548AB">
        <w:rPr>
          <w:rFonts w:ascii="Palatino Linotype" w:eastAsia="Palatino Linotype" w:hAnsi="Palatino Linotype" w:cs="Palatino Linotype"/>
        </w:rPr>
        <w:t>,</w:t>
      </w:r>
      <w:r>
        <w:rPr>
          <w:rFonts w:ascii="Palatino Linotype" w:eastAsia="Palatino Linotype" w:hAnsi="Palatino Linotype" w:cs="Palatino Linotype"/>
        </w:rPr>
        <w:t xml:space="preserve"> se denota que el Sujeto Obligado sólo remitió la información trimestral de los años 2016 y 2017, omitiendo la información del año 2018; por lo tanto, en aplicación a lo señalado por los artículos 23, fracción XXIV del Reglamento Orgánico Municipal de Ocoyoacac vigente ya referido en éste considerando, 8, fracciones XVI, XXV, 13, fracción IV de la Ley de Fiscalización Superior del Estado de México</w:t>
      </w:r>
      <w:r>
        <w:rPr>
          <w:rFonts w:ascii="Palatino Linotype" w:eastAsia="Palatino Linotype" w:hAnsi="Palatino Linotype" w:cs="Palatino Linotype"/>
          <w:vertAlign w:val="superscript"/>
        </w:rPr>
        <w:footnoteReference w:id="6"/>
      </w:r>
      <w:r>
        <w:rPr>
          <w:rFonts w:ascii="Palatino Linotype" w:eastAsia="Palatino Linotype" w:hAnsi="Palatino Linotype" w:cs="Palatino Linotype"/>
        </w:rPr>
        <w:t xml:space="preserve">; es por lo que, es procedente ordenar al Sujeto Obligado entregue al particular en la modalidad </w:t>
      </w:r>
      <w:r w:rsidR="000548AB">
        <w:rPr>
          <w:rFonts w:ascii="Palatino Linotype" w:eastAsia="Palatino Linotype" w:hAnsi="Palatino Linotype" w:cs="Palatino Linotype"/>
        </w:rPr>
        <w:t>adoptada por éste, en versión pú</w:t>
      </w:r>
      <w:r>
        <w:rPr>
          <w:rFonts w:ascii="Palatino Linotype" w:eastAsia="Palatino Linotype" w:hAnsi="Palatino Linotype" w:cs="Palatino Linotype"/>
        </w:rPr>
        <w:t>blica de ser procedente, los oficios que contengan las recomendaciones a las evaluaciones trimestrales hechas por el Órgano Superior de Fiscalización del Estado de México al Ayuntamiento de Ocoyoacac, del primero de enero al treinta de julio del dos mil dieciocho, es decir, que la información que se ordena solo corresponderá a los dos primeros trimestres que van del presente año, en atención a que la fecha en que se presentó la solicitud abarca los meses de enero a marzo y abril a junio todos de la anualidad en curso.</w:t>
      </w:r>
    </w:p>
    <w:p w:rsidR="00207F36" w:rsidRDefault="00F00CE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En quinto</w:t>
      </w:r>
      <w:r w:rsidR="00B53F5B">
        <w:rPr>
          <w:rFonts w:ascii="Palatino Linotype" w:eastAsia="Palatino Linotype" w:hAnsi="Palatino Linotype" w:cs="Palatino Linotype"/>
        </w:rPr>
        <w:t xml:space="preserve"> lugar, respecto del punto señalado en la solicitud de acceso a la información del particular, correspondiente al programa operativo anual de los años 2016, 2017 y 2018, conforme a los lineamientos para la integración del informe mensual 2016, 2017 y 2018; el Sujeto Obligado al momento de su respuesta adjuntó los archivos electrónicos que a continuación se muestran:</w:t>
      </w:r>
    </w:p>
    <w:tbl>
      <w:tblPr>
        <w:tblStyle w:val="a0"/>
        <w:tblW w:w="11700" w:type="dxa"/>
        <w:jc w:val="center"/>
        <w:tblInd w:w="0" w:type="dxa"/>
        <w:tblLayout w:type="fixed"/>
        <w:tblLook w:val="0400" w:firstRow="0" w:lastRow="0" w:firstColumn="0" w:lastColumn="0" w:noHBand="0" w:noVBand="1"/>
      </w:tblPr>
      <w:tblGrid>
        <w:gridCol w:w="11700"/>
      </w:tblGrid>
      <w:tr w:rsidR="00207F36">
        <w:trPr>
          <w:jc w:val="center"/>
        </w:trPr>
        <w:tc>
          <w:tcPr>
            <w:tcW w:w="11700" w:type="dxa"/>
            <w:vAlign w:val="center"/>
          </w:tcPr>
          <w:p w:rsidR="00207F36" w:rsidRDefault="00207F36">
            <w:pPr>
              <w:rPr>
                <w:sz w:val="20"/>
                <w:szCs w:val="20"/>
              </w:rPr>
            </w:pPr>
          </w:p>
        </w:tc>
      </w:tr>
      <w:tr w:rsidR="00207F36">
        <w:trPr>
          <w:jc w:val="center"/>
        </w:trPr>
        <w:tc>
          <w:tcPr>
            <w:tcW w:w="11700" w:type="dxa"/>
            <w:vAlign w:val="center"/>
          </w:tcPr>
          <w:p w:rsidR="00207F36" w:rsidRDefault="00207F36">
            <w:pPr>
              <w:widowControl w:val="0"/>
              <w:pBdr>
                <w:top w:val="nil"/>
                <w:left w:val="nil"/>
                <w:bottom w:val="nil"/>
                <w:right w:val="nil"/>
                <w:between w:val="nil"/>
              </w:pBdr>
              <w:spacing w:line="276" w:lineRule="auto"/>
              <w:rPr>
                <w:sz w:val="20"/>
                <w:szCs w:val="20"/>
              </w:rPr>
            </w:pPr>
          </w:p>
          <w:tbl>
            <w:tblPr>
              <w:tblStyle w:val="a1"/>
              <w:tblW w:w="8930" w:type="dxa"/>
              <w:tblInd w:w="136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643"/>
              <w:gridCol w:w="5287"/>
            </w:tblGrid>
            <w:tr w:rsidR="00207F36">
              <w:tc>
                <w:tcPr>
                  <w:tcW w:w="3643" w:type="dxa"/>
                  <w:tcBorders>
                    <w:top w:val="single" w:sz="6" w:space="0" w:color="000000"/>
                    <w:left w:val="single" w:sz="6" w:space="0" w:color="000000"/>
                    <w:bottom w:val="single" w:sz="6" w:space="0" w:color="000000"/>
                    <w:right w:val="single" w:sz="6" w:space="0" w:color="000000"/>
                  </w:tcBorders>
                  <w:shd w:val="clear" w:color="auto" w:fill="DFDFDF"/>
                  <w:vAlign w:val="center"/>
                </w:tcPr>
                <w:p w:rsidR="00207F36" w:rsidRDefault="00B53F5B">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Nombre del Archivo</w:t>
                  </w:r>
                </w:p>
              </w:tc>
              <w:tc>
                <w:tcPr>
                  <w:tcW w:w="5287" w:type="dxa"/>
                  <w:tcBorders>
                    <w:top w:val="single" w:sz="6" w:space="0" w:color="000000"/>
                    <w:left w:val="single" w:sz="6" w:space="0" w:color="000000"/>
                    <w:bottom w:val="single" w:sz="6" w:space="0" w:color="000000"/>
                    <w:right w:val="single" w:sz="6" w:space="0" w:color="000000"/>
                  </w:tcBorders>
                  <w:shd w:val="clear" w:color="auto" w:fill="DFDFDF"/>
                  <w:vAlign w:val="center"/>
                </w:tcPr>
                <w:p w:rsidR="00207F36" w:rsidRDefault="00B53F5B">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Contenido.</w:t>
                  </w:r>
                </w:p>
              </w:tc>
            </w:tr>
            <w:tr w:rsidR="00207F36">
              <w:tc>
                <w:tcPr>
                  <w:tcW w:w="3643"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hyperlink r:id="rId42">
                    <w:r>
                      <w:rPr>
                        <w:rFonts w:ascii="Palatino Linotype" w:eastAsia="Palatino Linotype" w:hAnsi="Palatino Linotype" w:cs="Palatino Linotype"/>
                        <w:sz w:val="22"/>
                        <w:szCs w:val="22"/>
                      </w:rPr>
                      <w:t>02a16.pdf</w:t>
                    </w:r>
                  </w:hyperlink>
                  <w:r>
                    <w:rPr>
                      <w:rFonts w:ascii="Palatino Linotype" w:eastAsia="Palatino Linotype" w:hAnsi="Palatino Linotype" w:cs="Palatino Linotype"/>
                      <w:sz w:val="22"/>
                      <w:szCs w:val="22"/>
                    </w:rPr>
                    <w:t>”,</w:t>
                  </w:r>
                </w:p>
              </w:tc>
              <w:tc>
                <w:tcPr>
                  <w:tcW w:w="5287"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Contiene sesenta y tres formatos de la Calendarización de Metas de Actividad por Proyecto (formato PbRM-02a) del presupuesto basado en resultados municipal, a nombre del Sujeto Obligado correspondientes a diversas unidades administrativas de este, para el año fiscal 2016</w:t>
                  </w:r>
                </w:p>
              </w:tc>
            </w:tr>
            <w:tr w:rsidR="00207F36">
              <w:tc>
                <w:tcPr>
                  <w:tcW w:w="3643"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hyperlink r:id="rId43">
                    <w:r>
                      <w:rPr>
                        <w:rFonts w:ascii="Palatino Linotype" w:eastAsia="Palatino Linotype" w:hAnsi="Palatino Linotype" w:cs="Palatino Linotype"/>
                        <w:sz w:val="22"/>
                        <w:szCs w:val="22"/>
                      </w:rPr>
                      <w:t>02a17.pdf</w:t>
                    </w:r>
                  </w:hyperlink>
                  <w:r>
                    <w:rPr>
                      <w:rFonts w:ascii="Palatino Linotype" w:eastAsia="Palatino Linotype" w:hAnsi="Palatino Linotype" w:cs="Palatino Linotype"/>
                      <w:sz w:val="22"/>
                      <w:szCs w:val="22"/>
                    </w:rPr>
                    <w:t>”,</w:t>
                  </w:r>
                </w:p>
              </w:tc>
              <w:tc>
                <w:tcPr>
                  <w:tcW w:w="5287"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Contiene cincuenta formatos de la Calendarización de Metas de Actividad por Proyecto (formato PbRM-02a) del presupuesto basado en resultados municipal, a nombre del Sujeto Obligado correspondientes a diversas unidades administrativas de este, del ejercicio fiscal 2017.</w:t>
                  </w:r>
                </w:p>
                <w:p w:rsidR="00207F36" w:rsidRDefault="00207F36">
                  <w:pPr>
                    <w:jc w:val="both"/>
                    <w:rPr>
                      <w:rFonts w:ascii="Palatino Linotype" w:eastAsia="Palatino Linotype" w:hAnsi="Palatino Linotype" w:cs="Palatino Linotype"/>
                      <w:sz w:val="22"/>
                      <w:szCs w:val="22"/>
                    </w:rPr>
                  </w:pPr>
                </w:p>
              </w:tc>
            </w:tr>
            <w:tr w:rsidR="00207F36">
              <w:tc>
                <w:tcPr>
                  <w:tcW w:w="3643"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sz w:val="20"/>
                      <w:szCs w:val="20"/>
                    </w:rPr>
                  </w:pPr>
                  <w:r>
                    <w:rPr>
                      <w:rFonts w:ascii="Palatino Linotype" w:eastAsia="Palatino Linotype" w:hAnsi="Palatino Linotype" w:cs="Palatino Linotype"/>
                    </w:rPr>
                    <w:t>“</w:t>
                  </w:r>
                  <w:hyperlink r:id="rId44">
                    <w:r>
                      <w:rPr>
                        <w:rFonts w:ascii="Palatino Linotype" w:eastAsia="Palatino Linotype" w:hAnsi="Palatino Linotype" w:cs="Palatino Linotype"/>
                      </w:rPr>
                      <w:t>02a18.pdf</w:t>
                    </w:r>
                  </w:hyperlink>
                  <w:r>
                    <w:rPr>
                      <w:rFonts w:ascii="Palatino Linotype" w:eastAsia="Palatino Linotype" w:hAnsi="Palatino Linotype" w:cs="Palatino Linotype"/>
                    </w:rPr>
                    <w:t>”</w:t>
                  </w:r>
                </w:p>
              </w:tc>
              <w:tc>
                <w:tcPr>
                  <w:tcW w:w="5287"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2"/>
                      <w:szCs w:val="22"/>
                    </w:rPr>
                    <w:t>Contiene cincuenta formatos de la Calendarización de Metas de Actividad por Proyecto (formato PbRM-02a) del presupuesto basado en resultados municipal, a nombre del Sujeto Obligado correspondientes a diversas unidades administrativas de este, del primero de enero al treinta y uno de diciembre del 2018.</w:t>
                  </w:r>
                </w:p>
              </w:tc>
            </w:tr>
          </w:tbl>
          <w:p w:rsidR="00207F36" w:rsidRDefault="00207F36">
            <w:pPr>
              <w:rPr>
                <w:rFonts w:ascii="Arial" w:eastAsia="Arial" w:hAnsi="Arial" w:cs="Arial"/>
              </w:rPr>
            </w:pPr>
          </w:p>
        </w:tc>
      </w:tr>
    </w:tbl>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Una vez precisado lo anterior, es pertinente insertar la naturaleza jurídica de la información materia del requerimiento en estudio, lo anterior, con la finalidad de determinar si la información que entregó el Sujeto Obligado satisface lo peticionado.</w:t>
      </w:r>
    </w:p>
    <w:p w:rsidR="00207F36" w:rsidRDefault="00B53F5B">
      <w:pPr>
        <w:spacing w:before="240" w:after="240" w:line="360" w:lineRule="auto"/>
        <w:jc w:val="both"/>
        <w:rPr>
          <w:rFonts w:ascii="Palatino Linotype" w:eastAsia="Palatino Linotype" w:hAnsi="Palatino Linotype" w:cs="Palatino Linotype"/>
          <w:highlight w:val="yellow"/>
        </w:rPr>
      </w:pPr>
      <w:r>
        <w:rPr>
          <w:rFonts w:ascii="Palatino Linotype" w:eastAsia="Palatino Linotype" w:hAnsi="Palatino Linotype" w:cs="Palatino Linotype"/>
        </w:rPr>
        <w:lastRenderedPageBreak/>
        <w:t>En este sentido, es pertinente referir que conforme a lo establecido en el artículo 285 del Código Financiero del Estado de México y Municipios, el Presupuesto de Egresos de los Municipios se constituye en el instrumento jurídico, de política económica y de política de gasto, que aprueba el Ayuntamiento en el cual se establece el ejercicio, control y evaluación del gasto público, precepto cuyo texto y sentido literal es el siguiente:</w:t>
      </w:r>
    </w:p>
    <w:p w:rsidR="00207F36" w:rsidRDefault="00207F36">
      <w:pPr>
        <w:pBdr>
          <w:top w:val="nil"/>
          <w:left w:val="nil"/>
          <w:bottom w:val="nil"/>
          <w:right w:val="nil"/>
          <w:between w:val="nil"/>
        </w:pBdr>
        <w:ind w:left="851" w:right="851" w:hanging="708"/>
        <w:jc w:val="both"/>
        <w:rPr>
          <w:rFonts w:ascii="Palatino Linotype" w:eastAsia="Palatino Linotype" w:hAnsi="Palatino Linotype" w:cs="Palatino Linotype"/>
          <w:i/>
          <w:color w:val="000000"/>
          <w:sz w:val="22"/>
          <w:szCs w:val="22"/>
        </w:rPr>
      </w:pPr>
    </w:p>
    <w:p w:rsidR="00207F36" w:rsidRDefault="00B53F5B" w:rsidP="000548AB">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285</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Presupuesto de Egresos</w:t>
      </w:r>
      <w:r>
        <w:rPr>
          <w:rFonts w:ascii="Palatino Linotype" w:eastAsia="Palatino Linotype" w:hAnsi="Palatino Linotype" w:cs="Palatino Linotype"/>
          <w:i/>
          <w:color w:val="000000"/>
          <w:sz w:val="22"/>
          <w:szCs w:val="22"/>
        </w:rPr>
        <w:t xml:space="preserve"> del Estado </w:t>
      </w:r>
      <w:r>
        <w:rPr>
          <w:rFonts w:ascii="Palatino Linotype" w:eastAsia="Palatino Linotype" w:hAnsi="Palatino Linotype" w:cs="Palatino Linotype"/>
          <w:b/>
          <w:i/>
          <w:color w:val="000000"/>
          <w:sz w:val="22"/>
          <w:szCs w:val="22"/>
        </w:rPr>
        <w:t>es el instrumento jurídico, de política económica y de política de gasto</w:t>
      </w:r>
      <w:r>
        <w:rPr>
          <w:rFonts w:ascii="Palatino Linotype" w:eastAsia="Palatino Linotype" w:hAnsi="Palatino Linotype" w:cs="Palatino Linotype"/>
          <w:i/>
          <w:color w:val="000000"/>
          <w:sz w:val="22"/>
          <w:szCs w:val="22"/>
        </w:rPr>
        <w:t>, que aprueba la Legislatura conforme a la iniciativa que presenta el Gobernador, en el cual se establece el ejercicio, control y evaluación del gasto público de las Dependencias, Entidades Públicas y Organismos Autónomos a través de los programas derivados del Plan de Desarrollo del Estado de México, durante el ejercicio fiscal correspondiente, así como de aquellos de naturaleza multianual propuestos por la Secretaría.</w:t>
      </w:r>
    </w:p>
    <w:p w:rsidR="00207F36" w:rsidRDefault="00B53F5B" w:rsidP="000548AB">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207F36" w:rsidRPr="000548AB" w:rsidRDefault="00B53F5B" w:rsidP="000548AB">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En el caso de los municipios, el Presupuesto de Egresos, será el que</w:t>
      </w:r>
      <w:r w:rsidR="000548AB">
        <w:rPr>
          <w:rFonts w:ascii="Palatino Linotype" w:eastAsia="Palatino Linotype" w:hAnsi="Palatino Linotype" w:cs="Palatino Linotype"/>
          <w:b/>
          <w:i/>
          <w:color w:val="000000"/>
          <w:sz w:val="22"/>
          <w:szCs w:val="22"/>
          <w:u w:val="single"/>
        </w:rPr>
        <w:t xml:space="preserve"> se apruebe por el Ayuntamiento</w:t>
      </w:r>
      <w:r>
        <w:rPr>
          <w:rFonts w:ascii="Palatino Linotype" w:eastAsia="Palatino Linotype" w:hAnsi="Palatino Linotype" w:cs="Palatino Linotype"/>
          <w:b/>
          <w:i/>
          <w:color w:val="000000"/>
          <w:sz w:val="22"/>
          <w:szCs w:val="22"/>
        </w:rPr>
        <w:t>…”</w:t>
      </w:r>
    </w:p>
    <w:p w:rsidR="00207F36" w:rsidRDefault="00207F36">
      <w:pPr>
        <w:pBdr>
          <w:top w:val="nil"/>
          <w:left w:val="nil"/>
          <w:bottom w:val="nil"/>
          <w:right w:val="nil"/>
          <w:between w:val="nil"/>
        </w:pBdr>
        <w:ind w:left="851" w:right="851" w:hanging="708"/>
        <w:jc w:val="both"/>
        <w:rPr>
          <w:rFonts w:ascii="Palatino Linotype" w:eastAsia="Palatino Linotype" w:hAnsi="Palatino Linotype" w:cs="Palatino Linotype"/>
          <w:i/>
          <w:color w:val="000000"/>
          <w:sz w:val="22"/>
          <w:szCs w:val="22"/>
        </w:rPr>
      </w:pP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el Manual para la Planeación, Programación y Presupuesto de Egresos Municipal para el Ejercicio Fiscal 2016, 2017 y 2018, publicados en el Periódico Oficial “Gaceta del Gobierno” del Estado de México, en fechas treinta de octubre del dos mil quince, veintiocho de octubre de dos mil dieciséis y veinticuatro de octubre de dos mil diecisiete, respectivamente, en el Marco Conceptual numeral 1.2, definen al presupuesto como:</w:t>
      </w:r>
    </w:p>
    <w:p w:rsidR="00207F36" w:rsidRDefault="00B53F5B" w:rsidP="000548AB">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w:t>
      </w:r>
      <w:r>
        <w:rPr>
          <w:rFonts w:ascii="Palatino Linotype" w:eastAsia="Palatino Linotype" w:hAnsi="Palatino Linotype" w:cs="Palatino Linotype"/>
          <w:i/>
          <w:color w:val="000000"/>
          <w:sz w:val="22"/>
          <w:szCs w:val="22"/>
        </w:rPr>
        <w:lastRenderedPageBreak/>
        <w:t>público de las Dependencias y Organismos Municipales, a través de los programas derivados del Plan de Desarrollo Municipal, durante el ejercicio fiscal correspondiente.</w:t>
      </w:r>
    </w:p>
    <w:p w:rsidR="00207F36" w:rsidRDefault="00B53F5B" w:rsidP="000548AB">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w:t>
      </w:r>
    </w:p>
    <w:p w:rsidR="00207F36" w:rsidRDefault="00B53F5B" w:rsidP="000548AB">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planeación.”(Sic)</w:t>
      </w:r>
    </w:p>
    <w:p w:rsidR="00207F36" w:rsidRDefault="00207F36">
      <w:pPr>
        <w:pBdr>
          <w:top w:val="nil"/>
          <w:left w:val="nil"/>
          <w:bottom w:val="nil"/>
          <w:right w:val="nil"/>
          <w:between w:val="nil"/>
        </w:pBdr>
        <w:ind w:left="851" w:right="851" w:hanging="708"/>
        <w:jc w:val="both"/>
        <w:rPr>
          <w:rFonts w:ascii="Palatino Linotype" w:eastAsia="Palatino Linotype" w:hAnsi="Palatino Linotype" w:cs="Palatino Linotype"/>
          <w:i/>
          <w:color w:val="000000"/>
          <w:sz w:val="22"/>
          <w:szCs w:val="22"/>
        </w:rPr>
      </w:pPr>
    </w:p>
    <w:p w:rsidR="00207F36" w:rsidRDefault="00B53F5B">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tanto, efectivamente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operación.</w:t>
      </w:r>
    </w:p>
    <w:p w:rsidR="00207F36" w:rsidRDefault="00207F36">
      <w:pPr>
        <w:spacing w:line="360" w:lineRule="auto"/>
        <w:jc w:val="both"/>
        <w:rPr>
          <w:rFonts w:ascii="Palatino Linotype" w:eastAsia="Palatino Linotype" w:hAnsi="Palatino Linotype" w:cs="Palatino Linotype"/>
        </w:rPr>
      </w:pPr>
    </w:p>
    <w:p w:rsidR="00207F36" w:rsidRDefault="00B53F5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Conjuntamente, en el citado Manual se estipula que los Ayuntamientos deberán realizar un Presupuesto basado en resultados, que será constituido por el área de planeación, con base en la información proporcionada por cada una de las áreas que integran al Ayuntamiento, que fijaran las bases para sustentar la asignación de recursos.</w:t>
      </w:r>
    </w:p>
    <w:p w:rsidR="00207F36" w:rsidRDefault="00207F36">
      <w:pPr>
        <w:spacing w:line="360" w:lineRule="auto"/>
        <w:jc w:val="both"/>
        <w:rPr>
          <w:rFonts w:ascii="Palatino Linotype" w:eastAsia="Palatino Linotype" w:hAnsi="Palatino Linotype" w:cs="Palatino Linotype"/>
        </w:rPr>
      </w:pPr>
    </w:p>
    <w:p w:rsidR="00207F36" w:rsidRDefault="00B53F5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mismo modo, los multicitados Manuales para la Planeación, Programación y Presupuesto de Egresos Municipal para el Ejercicio Fiscal 2016, 2017 y 2018, refieren que el Programa Anual permite traducir los lineamientos generales de la planeación del desarrollo económico y social del estado, en objetivos y metas </w:t>
      </w:r>
      <w:r>
        <w:rPr>
          <w:rFonts w:ascii="Palatino Linotype" w:eastAsia="Palatino Linotype" w:hAnsi="Palatino Linotype" w:cs="Palatino Linotype"/>
        </w:rPr>
        <w:lastRenderedPageBreak/>
        <w:t>concretas a desarrollar en el corto plazo, definiendo responsables, temporalidad y especialidad de las acciones, para lo cual se asignan recursos en función de las disponibilidades y necesidades contenidas en los balances de recursos humanos, materiales y financieros para su ejecución.</w:t>
      </w:r>
    </w:p>
    <w:p w:rsidR="00207F36" w:rsidRDefault="00207F36">
      <w:pPr>
        <w:spacing w:line="360" w:lineRule="auto"/>
        <w:jc w:val="both"/>
        <w:rPr>
          <w:rFonts w:ascii="Palatino Linotype" w:eastAsia="Palatino Linotype" w:hAnsi="Palatino Linotype" w:cs="Palatino Linotype"/>
        </w:rPr>
      </w:pPr>
    </w:p>
    <w:p w:rsidR="00207F36" w:rsidRDefault="00B53F5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en los propósitos de los r</w:t>
      </w:r>
      <w:r w:rsidR="000548AB">
        <w:rPr>
          <w:rFonts w:ascii="Palatino Linotype" w:eastAsia="Palatino Linotype" w:hAnsi="Palatino Linotype" w:cs="Palatino Linotype"/>
        </w:rPr>
        <w:t>eferidos manuales establecen</w:t>
      </w:r>
      <w:r>
        <w:rPr>
          <w:rFonts w:ascii="Palatino Linotype" w:eastAsia="Palatino Linotype" w:hAnsi="Palatino Linotype" w:cs="Palatino Linotype"/>
        </w:rPr>
        <w:t xml:space="preserve"> en </w:t>
      </w:r>
      <w:r w:rsidR="000548AB">
        <w:rPr>
          <w:rFonts w:ascii="Palatino Linotype" w:eastAsia="Palatino Linotype" w:hAnsi="Palatino Linotype" w:cs="Palatino Linotype"/>
        </w:rPr>
        <w:t>su capítulo segundo,</w:t>
      </w:r>
      <w:r>
        <w:rPr>
          <w:rFonts w:ascii="Palatino Linotype" w:eastAsia="Palatino Linotype" w:hAnsi="Palatino Linotype" w:cs="Palatino Linotype"/>
        </w:rPr>
        <w:t xml:space="preserve"> que los ayuntamientos a través de la aplicación de los recursos públicos serán una parte para operar el programa anual mediante la clasificación funcional-programática para ser identificable y así dar un seguimiento y evaluación respectiva, lo que se transcribe en seguida para mejor entendimiento:</w:t>
      </w:r>
    </w:p>
    <w:p w:rsidR="00207F36" w:rsidRDefault="00207F36">
      <w:pPr>
        <w:spacing w:line="360" w:lineRule="auto"/>
        <w:jc w:val="both"/>
        <w:rPr>
          <w:rFonts w:ascii="Palatino Linotype" w:eastAsia="Palatino Linotype" w:hAnsi="Palatino Linotype" w:cs="Palatino Linotype"/>
        </w:rPr>
      </w:pPr>
    </w:p>
    <w:p w:rsidR="00207F36" w:rsidRDefault="00B53F5B">
      <w:pPr>
        <w:ind w:left="567" w:right="616"/>
        <w:jc w:val="both"/>
        <w:rPr>
          <w:rFonts w:ascii="Palatino Linotype" w:eastAsia="Palatino Linotype" w:hAnsi="Palatino Linotype" w:cs="Palatino Linotype"/>
          <w:b/>
          <w:i/>
        </w:rPr>
      </w:pPr>
      <w:r>
        <w:rPr>
          <w:rFonts w:ascii="Palatino Linotype" w:eastAsia="Palatino Linotype" w:hAnsi="Palatino Linotype" w:cs="Palatino Linotype"/>
          <w:b/>
          <w:i/>
        </w:rPr>
        <w:t>2016</w:t>
      </w:r>
    </w:p>
    <w:p w:rsidR="00207F36" w:rsidRDefault="00B53F5B">
      <w:pPr>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“En el segundo capítulo se describe </w:t>
      </w:r>
      <w:r>
        <w:rPr>
          <w:rFonts w:ascii="Palatino Linotype" w:eastAsia="Palatino Linotype" w:hAnsi="Palatino Linotype" w:cs="Palatino Linotype"/>
          <w:b/>
          <w:i/>
        </w:rPr>
        <w:t>la estructura programática municipal con la que operan los Ayuntamientos</w:t>
      </w:r>
      <w:r>
        <w:rPr>
          <w:rFonts w:ascii="Palatino Linotype" w:eastAsia="Palatino Linotype" w:hAnsi="Palatino Linotype" w:cs="Palatino Linotype"/>
          <w:i/>
        </w:rPr>
        <w:t xml:space="preserve">, misma que se define como un instrumento fundamental para la planeación, programación, presupuesto y evaluación de las acciones y la aplicación de los recursos y apoya a la identificación y vinculación que el presupuesto tiene con otros elementos del proceso </w:t>
      </w:r>
      <w:r>
        <w:rPr>
          <w:rFonts w:ascii="Palatino Linotype" w:eastAsia="Palatino Linotype" w:hAnsi="Palatino Linotype" w:cs="Palatino Linotype"/>
          <w:b/>
          <w:i/>
        </w:rPr>
        <w:t>de planeación municipal</w:t>
      </w:r>
      <w:r>
        <w:rPr>
          <w:rFonts w:ascii="Palatino Linotype" w:eastAsia="Palatino Linotype" w:hAnsi="Palatino Linotype" w:cs="Palatino Linotype"/>
          <w:i/>
        </w:rPr>
        <w:t xml:space="preserve">, como son el Plan de Desarrollo Municipal y el </w:t>
      </w:r>
      <w:r>
        <w:rPr>
          <w:rFonts w:ascii="Palatino Linotype" w:eastAsia="Palatino Linotype" w:hAnsi="Palatino Linotype" w:cs="Palatino Linotype"/>
          <w:b/>
          <w:i/>
        </w:rPr>
        <w:t>Programa Anual</w:t>
      </w:r>
      <w:r>
        <w:rPr>
          <w:rFonts w:ascii="Palatino Linotype" w:eastAsia="Palatino Linotype" w:hAnsi="Palatino Linotype" w:cs="Palatino Linotype"/>
          <w:i/>
        </w:rPr>
        <w:t>, donde se derivan los componentes de la estructura programática municipal.”(Sic)</w:t>
      </w:r>
    </w:p>
    <w:p w:rsidR="00207F36" w:rsidRDefault="00B53F5B">
      <w:pPr>
        <w:ind w:left="567" w:right="616"/>
        <w:jc w:val="both"/>
        <w:rPr>
          <w:rFonts w:ascii="Palatino Linotype" w:eastAsia="Palatino Linotype" w:hAnsi="Palatino Linotype" w:cs="Palatino Linotype"/>
          <w:b/>
          <w:i/>
        </w:rPr>
      </w:pPr>
      <w:r>
        <w:rPr>
          <w:rFonts w:ascii="Palatino Linotype" w:eastAsia="Palatino Linotype" w:hAnsi="Palatino Linotype" w:cs="Palatino Linotype"/>
          <w:b/>
          <w:i/>
        </w:rPr>
        <w:t>2017</w:t>
      </w:r>
    </w:p>
    <w:p w:rsidR="00207F36" w:rsidRDefault="00B53F5B">
      <w:pPr>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“En el segundo capítulo se describe la </w:t>
      </w:r>
      <w:r>
        <w:rPr>
          <w:rFonts w:ascii="Palatino Linotype" w:eastAsia="Palatino Linotype" w:hAnsi="Palatino Linotype" w:cs="Palatino Linotype"/>
          <w:b/>
          <w:i/>
        </w:rPr>
        <w:t>estructura programática municipal</w:t>
      </w:r>
      <w:r>
        <w:rPr>
          <w:rFonts w:ascii="Palatino Linotype" w:eastAsia="Palatino Linotype" w:hAnsi="Palatino Linotype" w:cs="Palatino Linotype"/>
          <w:i/>
        </w:rPr>
        <w:t xml:space="preserve"> </w:t>
      </w:r>
      <w:r>
        <w:rPr>
          <w:rFonts w:ascii="Palatino Linotype" w:eastAsia="Palatino Linotype" w:hAnsi="Palatino Linotype" w:cs="Palatino Linotype"/>
          <w:b/>
          <w:i/>
        </w:rPr>
        <w:t>con la que operan los Ayuntamientos</w:t>
      </w:r>
      <w:r>
        <w:rPr>
          <w:rFonts w:ascii="Palatino Linotype" w:eastAsia="Palatino Linotype" w:hAnsi="Palatino Linotype" w:cs="Palatino Linotype"/>
          <w:i/>
        </w:rPr>
        <w:t xml:space="preserve">, misma que se define como un instrumento fundamental para la planeación, programación, elaboración del presupuesto, seguimiento y evaluación del desempeño. La aplicación de los recursos y apoya a la identificación y vinculación que el presupuesto tiene con otros elementos </w:t>
      </w:r>
      <w:r>
        <w:rPr>
          <w:rFonts w:ascii="Palatino Linotype" w:eastAsia="Palatino Linotype" w:hAnsi="Palatino Linotype" w:cs="Palatino Linotype"/>
          <w:b/>
          <w:i/>
        </w:rPr>
        <w:t>de la planeación municipal</w:t>
      </w:r>
      <w:r>
        <w:rPr>
          <w:rFonts w:ascii="Palatino Linotype" w:eastAsia="Palatino Linotype" w:hAnsi="Palatino Linotype" w:cs="Palatino Linotype"/>
          <w:i/>
        </w:rPr>
        <w:t>, como son el Plan de Desarrollo Municipal y</w:t>
      </w:r>
      <w:r>
        <w:rPr>
          <w:rFonts w:ascii="Palatino Linotype" w:eastAsia="Palatino Linotype" w:hAnsi="Palatino Linotype" w:cs="Palatino Linotype"/>
          <w:b/>
          <w:i/>
        </w:rPr>
        <w:t xml:space="preserve"> el Programa Anual</w:t>
      </w:r>
      <w:r>
        <w:rPr>
          <w:rFonts w:ascii="Palatino Linotype" w:eastAsia="Palatino Linotype" w:hAnsi="Palatino Linotype" w:cs="Palatino Linotype"/>
          <w:i/>
        </w:rPr>
        <w:t>, donde se derivan los componentes de la estructura programática municipal.”(Sic)</w:t>
      </w:r>
    </w:p>
    <w:p w:rsidR="00207F36" w:rsidRDefault="00B53F5B">
      <w:pPr>
        <w:ind w:left="567" w:right="616"/>
        <w:jc w:val="both"/>
        <w:rPr>
          <w:rFonts w:ascii="Palatino Linotype" w:eastAsia="Palatino Linotype" w:hAnsi="Palatino Linotype" w:cs="Palatino Linotype"/>
          <w:b/>
        </w:rPr>
      </w:pPr>
      <w:r>
        <w:rPr>
          <w:rFonts w:ascii="Palatino Linotype" w:eastAsia="Palatino Linotype" w:hAnsi="Palatino Linotype" w:cs="Palatino Linotype"/>
          <w:b/>
        </w:rPr>
        <w:t>2018</w:t>
      </w:r>
    </w:p>
    <w:p w:rsidR="00207F36" w:rsidRDefault="00B53F5B">
      <w:pPr>
        <w:ind w:left="567" w:right="616"/>
        <w:jc w:val="both"/>
        <w:rPr>
          <w:rFonts w:ascii="Palatino Linotype" w:eastAsia="Palatino Linotype" w:hAnsi="Palatino Linotype" w:cs="Palatino Linotype"/>
          <w:i/>
        </w:rPr>
      </w:pPr>
      <w:r>
        <w:rPr>
          <w:rFonts w:ascii="Palatino Linotype" w:eastAsia="Palatino Linotype" w:hAnsi="Palatino Linotype" w:cs="Palatino Linotype"/>
        </w:rPr>
        <w:lastRenderedPageBreak/>
        <w:t>“</w:t>
      </w:r>
      <w:r>
        <w:rPr>
          <w:rFonts w:ascii="Palatino Linotype" w:eastAsia="Palatino Linotype" w:hAnsi="Palatino Linotype" w:cs="Palatino Linotype"/>
          <w:i/>
        </w:rPr>
        <w:t xml:space="preserve">la </w:t>
      </w:r>
      <w:r>
        <w:rPr>
          <w:rFonts w:ascii="Palatino Linotype" w:eastAsia="Palatino Linotype" w:hAnsi="Palatino Linotype" w:cs="Palatino Linotype"/>
          <w:b/>
          <w:i/>
        </w:rPr>
        <w:t xml:space="preserve">Clasificación Funcional-Programática (estructura programática) Municipal con la que han de </w:t>
      </w:r>
      <w:r>
        <w:rPr>
          <w:rFonts w:ascii="Palatino Linotype" w:eastAsia="Palatino Linotype" w:hAnsi="Palatino Linotype" w:cs="Palatino Linotype"/>
          <w:b/>
          <w:i/>
          <w:u w:val="single"/>
        </w:rPr>
        <w:t>operar</w:t>
      </w:r>
      <w:r>
        <w:rPr>
          <w:rFonts w:ascii="Palatino Linotype" w:eastAsia="Palatino Linotype" w:hAnsi="Palatino Linotype" w:cs="Palatino Linotype"/>
          <w:i/>
        </w:rPr>
        <w:t xml:space="preserve"> </w:t>
      </w:r>
      <w:r>
        <w:rPr>
          <w:rFonts w:ascii="Palatino Linotype" w:eastAsia="Palatino Linotype" w:hAnsi="Palatino Linotype" w:cs="Palatino Linotype"/>
          <w:b/>
          <w:i/>
        </w:rPr>
        <w:t>los Ayuntamientos</w:t>
      </w:r>
      <w:r>
        <w:rPr>
          <w:rFonts w:ascii="Palatino Linotype" w:eastAsia="Palatino Linotype" w:hAnsi="Palatino Linotype" w:cs="Palatino Linotype"/>
          <w:i/>
        </w:rPr>
        <w:t xml:space="preserve">, misma que se define como un instrumento fundamental para la planeación, programación, elaboración del presupuesto, seguimiento y evaluación del desempeño. La aplicación de los recursos apoya a la identificación y vinculación que el presupuesto tiene con otros elementos </w:t>
      </w:r>
      <w:r>
        <w:rPr>
          <w:rFonts w:ascii="Palatino Linotype" w:eastAsia="Palatino Linotype" w:hAnsi="Palatino Linotype" w:cs="Palatino Linotype"/>
          <w:b/>
          <w:i/>
        </w:rPr>
        <w:t>de la planeación municipal</w:t>
      </w:r>
      <w:r>
        <w:rPr>
          <w:rFonts w:ascii="Palatino Linotype" w:eastAsia="Palatino Linotype" w:hAnsi="Palatino Linotype" w:cs="Palatino Linotype"/>
          <w:i/>
        </w:rPr>
        <w:t xml:space="preserve">, como son el Plan de Desarrollo Municipal y </w:t>
      </w:r>
      <w:r>
        <w:rPr>
          <w:rFonts w:ascii="Palatino Linotype" w:eastAsia="Palatino Linotype" w:hAnsi="Palatino Linotype" w:cs="Palatino Linotype"/>
          <w:b/>
          <w:i/>
        </w:rPr>
        <w:t>el Programa Anual</w:t>
      </w:r>
      <w:r>
        <w:rPr>
          <w:rFonts w:ascii="Palatino Linotype" w:eastAsia="Palatino Linotype" w:hAnsi="Palatino Linotype" w:cs="Palatino Linotype"/>
          <w:i/>
        </w:rPr>
        <w:t>, donde se derivan los componentes de la estructura programática municipal”(Sic)</w:t>
      </w:r>
    </w:p>
    <w:p w:rsidR="00207F36" w:rsidRDefault="00207F36">
      <w:pPr>
        <w:spacing w:line="360" w:lineRule="auto"/>
        <w:jc w:val="both"/>
        <w:rPr>
          <w:rFonts w:ascii="Palatino Linotype" w:eastAsia="Palatino Linotype" w:hAnsi="Palatino Linotype" w:cs="Palatino Linotype"/>
          <w:i/>
        </w:rPr>
      </w:pPr>
    </w:p>
    <w:p w:rsidR="00207F36" w:rsidRDefault="000548A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w:t>
      </w:r>
      <w:r w:rsidR="00B53F5B">
        <w:rPr>
          <w:rFonts w:ascii="Palatino Linotype" w:eastAsia="Palatino Linotype" w:hAnsi="Palatino Linotype" w:cs="Palatino Linotype"/>
        </w:rPr>
        <w:t xml:space="preserve"> narran el procedimiento específico para la realización del Presupuesto de Egresos, refiriéndose que se deben de considerar en su formulación la información de los formatos que conforman el Programa Anual (</w:t>
      </w:r>
      <w:r w:rsidR="00B53F5B">
        <w:rPr>
          <w:rFonts w:ascii="Palatino Linotype" w:eastAsia="Palatino Linotype" w:hAnsi="Palatino Linotype" w:cs="Palatino Linotype"/>
          <w:b/>
        </w:rPr>
        <w:t>PbRM-01a, PbRM-01b, PbRM-01c, PbRM-01d, PbRM-01e</w:t>
      </w:r>
      <w:r w:rsidR="00B53F5B">
        <w:rPr>
          <w:rFonts w:ascii="Palatino Linotype" w:eastAsia="Palatino Linotype" w:hAnsi="Palatino Linotype" w:cs="Palatino Linotype"/>
        </w:rPr>
        <w:t>), así como del Presupuesto de Egresos Detallado (</w:t>
      </w:r>
      <w:r w:rsidR="00B53F5B">
        <w:rPr>
          <w:rFonts w:ascii="Palatino Linotype" w:eastAsia="Palatino Linotype" w:hAnsi="Palatino Linotype" w:cs="Palatino Linotype"/>
          <w:b/>
        </w:rPr>
        <w:t>PbRM-04a</w:t>
      </w:r>
      <w:r w:rsidR="00B53F5B">
        <w:rPr>
          <w:rFonts w:ascii="Palatino Linotype" w:eastAsia="Palatino Linotype" w:hAnsi="Palatino Linotype" w:cs="Palatino Linotype"/>
        </w:rPr>
        <w:t xml:space="preserve">), formato en el que se deberá registrar los proyectos por partida de gasto los cuales tendrán que coincidir en estructura programática y gasto estimado por proyecto, con los formatos PbRM 01a y PbRM 01c, correspondiente a cada año y finalmente al contar con un presupuesto definido se deben corroborar las metas de actividad a realizar e identificar los tiempos de su ejecución por lo que para este fin se requisita el formato </w:t>
      </w:r>
      <w:r w:rsidR="00B53F5B">
        <w:rPr>
          <w:rFonts w:ascii="Palatino Linotype" w:eastAsia="Palatino Linotype" w:hAnsi="Palatino Linotype" w:cs="Palatino Linotype"/>
          <w:b/>
        </w:rPr>
        <w:t>PbRM-02a</w:t>
      </w:r>
      <w:r w:rsidR="00B53F5B">
        <w:rPr>
          <w:rFonts w:ascii="Palatino Linotype" w:eastAsia="Palatino Linotype" w:hAnsi="Palatino Linotype" w:cs="Palatino Linotype"/>
        </w:rPr>
        <w:t xml:space="preserve"> “Calendarización de Metas de actividad”, el cual tiene por objeto identificar trimestralmente las cantidades de las metas programadas anuales por proyecto, mismas que fueron planteadas en el formato PbR-01c; en este formato se identifica el compromiso de fechas en que se realizarán las metas. Así mismo será necesario revisar los indicadores en el formato PbRM-01d “Ficha técnica del diseño de indicadores estratégicos o de gestión” y actualizar las metas de indicador, con el propósito de presentarlos en su versión final en el Presupuesto de Egresos Municipal correspondiente, será necesario poner especial atención a aquellos </w:t>
      </w:r>
      <w:r w:rsidR="00B53F5B">
        <w:rPr>
          <w:rFonts w:ascii="Palatino Linotype" w:eastAsia="Palatino Linotype" w:hAnsi="Palatino Linotype" w:cs="Palatino Linotype"/>
        </w:rPr>
        <w:lastRenderedPageBreak/>
        <w:t>indicadores que sus variables se encuentren vinculadas directamente a las metas de actividad del formato PbRM-02a.</w:t>
      </w:r>
    </w:p>
    <w:p w:rsidR="00207F36" w:rsidRDefault="00207F36">
      <w:pPr>
        <w:spacing w:line="360" w:lineRule="auto"/>
        <w:jc w:val="both"/>
        <w:rPr>
          <w:rFonts w:ascii="Palatino Linotype" w:eastAsia="Palatino Linotype" w:hAnsi="Palatino Linotype" w:cs="Palatino Linotype"/>
        </w:rPr>
      </w:pPr>
    </w:p>
    <w:p w:rsidR="00207F36" w:rsidRDefault="00B53F5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Aunado a lo anterior, el Órgano Superior de Fiscalización del Estado de México (OSFEM), emitió los Lineamientos para la Entrega del Presupuesto de Egresos Municipal del Ejercicio Fiscal 2016, 2017 y 2018, para la presentación de la información que deberán ingresar a más tardar el día 25 de febrero de 2018.</w:t>
      </w:r>
    </w:p>
    <w:p w:rsidR="000548AB" w:rsidRDefault="000548AB">
      <w:pPr>
        <w:spacing w:after="240" w:line="360" w:lineRule="auto"/>
        <w:jc w:val="both"/>
        <w:rPr>
          <w:rFonts w:ascii="Palatino Linotype" w:eastAsia="Palatino Linotype" w:hAnsi="Palatino Linotype" w:cs="Palatino Linotype"/>
        </w:rPr>
      </w:pPr>
    </w:p>
    <w:p w:rsidR="00207F36" w:rsidRDefault="00F43CBC">
      <w:pPr>
        <w:spacing w:after="240" w:line="360" w:lineRule="auto"/>
        <w:jc w:val="both"/>
        <w:rPr>
          <w:rFonts w:ascii="Palatino Linotype" w:eastAsia="Palatino Linotype" w:hAnsi="Palatino Linotype" w:cs="Palatino Linotype"/>
        </w:rPr>
      </w:pPr>
      <w:r>
        <w:rPr>
          <w:noProof/>
          <w:lang w:val="es-MX"/>
        </w:rPr>
        <w:drawing>
          <wp:anchor distT="0" distB="0" distL="0" distR="0" simplePos="0" relativeHeight="251499008" behindDoc="1" locked="0" layoutInCell="1" hidden="0" allowOverlap="1">
            <wp:simplePos x="0" y="0"/>
            <wp:positionH relativeFrom="column">
              <wp:posOffset>246058</wp:posOffset>
            </wp:positionH>
            <wp:positionV relativeFrom="paragraph">
              <wp:posOffset>1530046</wp:posOffset>
            </wp:positionV>
            <wp:extent cx="5450205" cy="3272790"/>
            <wp:effectExtent l="0" t="0" r="0" b="381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5450205" cy="3272790"/>
                    </a:xfrm>
                    <a:prstGeom prst="rect">
                      <a:avLst/>
                    </a:prstGeom>
                    <a:ln/>
                  </pic:spPr>
                </pic:pic>
              </a:graphicData>
            </a:graphic>
          </wp:anchor>
        </w:drawing>
      </w:r>
      <w:r w:rsidR="00B53F5B">
        <w:rPr>
          <w:rFonts w:ascii="Palatino Linotype" w:eastAsia="Palatino Linotype" w:hAnsi="Palatino Linotype" w:cs="Palatino Linotype"/>
        </w:rPr>
        <w:t>Por otro lado, el Manual para la Planeación, Programación y Presupuesto de Egresos Municipal para el Ejercicio Fiscal 2017 y 2018, establece los documentos que integran el Programa Operativo Anual (POA) y que a saber se componen de seis formatos según se muestra a continuación de la inser</w:t>
      </w:r>
      <w:r>
        <w:rPr>
          <w:rFonts w:ascii="Palatino Linotype" w:eastAsia="Palatino Linotype" w:hAnsi="Palatino Linotype" w:cs="Palatino Linotype"/>
        </w:rPr>
        <w:t>ción de pantalla que se muestra:</w:t>
      </w:r>
    </w:p>
    <w:p w:rsidR="00207F36" w:rsidRDefault="00207F36">
      <w:pPr>
        <w:pBdr>
          <w:top w:val="nil"/>
          <w:left w:val="nil"/>
          <w:bottom w:val="nil"/>
          <w:right w:val="nil"/>
          <w:between w:val="nil"/>
        </w:pBdr>
        <w:spacing w:before="240" w:after="240" w:line="360" w:lineRule="auto"/>
        <w:ind w:left="708" w:right="49" w:hanging="708"/>
        <w:jc w:val="both"/>
        <w:rPr>
          <w:rFonts w:ascii="Palatino Linotype" w:eastAsia="Palatino Linotype" w:hAnsi="Palatino Linotype" w:cs="Palatino Linotype"/>
          <w:color w:val="000000"/>
          <w:sz w:val="22"/>
          <w:szCs w:val="22"/>
        </w:rPr>
      </w:pPr>
    </w:p>
    <w:p w:rsidR="00207F36" w:rsidRDefault="00207F36">
      <w:pPr>
        <w:spacing w:before="240" w:line="360" w:lineRule="auto"/>
        <w:jc w:val="both"/>
        <w:rPr>
          <w:rFonts w:ascii="Palatino Linotype" w:eastAsia="Palatino Linotype" w:hAnsi="Palatino Linotype" w:cs="Palatino Linotype"/>
        </w:rPr>
      </w:pPr>
    </w:p>
    <w:p w:rsidR="00207F36" w:rsidRDefault="00207F36">
      <w:pPr>
        <w:spacing w:line="360" w:lineRule="auto"/>
        <w:jc w:val="both"/>
        <w:rPr>
          <w:rFonts w:ascii="Palatino Linotype" w:eastAsia="Palatino Linotype" w:hAnsi="Palatino Linotype" w:cs="Palatino Linotype"/>
        </w:rPr>
      </w:pPr>
    </w:p>
    <w:p w:rsidR="00207F36" w:rsidRDefault="00207F36">
      <w:pPr>
        <w:spacing w:line="360" w:lineRule="auto"/>
        <w:jc w:val="both"/>
        <w:rPr>
          <w:rFonts w:ascii="Palatino Linotype" w:eastAsia="Palatino Linotype" w:hAnsi="Palatino Linotype" w:cs="Palatino Linotype"/>
        </w:rPr>
      </w:pPr>
    </w:p>
    <w:p w:rsidR="00207F36" w:rsidRDefault="00207F36">
      <w:pPr>
        <w:spacing w:line="360" w:lineRule="auto"/>
        <w:jc w:val="both"/>
        <w:rPr>
          <w:rFonts w:ascii="Palatino Linotype" w:eastAsia="Palatino Linotype" w:hAnsi="Palatino Linotype" w:cs="Palatino Linotype"/>
        </w:rPr>
      </w:pPr>
    </w:p>
    <w:p w:rsidR="00207F36" w:rsidRDefault="00B53F5B">
      <w:pPr>
        <w:spacing w:line="360" w:lineRule="auto"/>
        <w:jc w:val="both"/>
        <w:rPr>
          <w:rFonts w:ascii="Palatino Linotype" w:eastAsia="Palatino Linotype" w:hAnsi="Palatino Linotype" w:cs="Palatino Linotype"/>
        </w:rPr>
      </w:pPr>
      <w:r>
        <w:rPr>
          <w:noProof/>
          <w:lang w:val="es-MX"/>
        </w:rPr>
        <mc:AlternateContent>
          <mc:Choice Requires="wps">
            <w:drawing>
              <wp:anchor distT="0" distB="0" distL="114300" distR="114300" simplePos="0" relativeHeight="251660288" behindDoc="0" locked="0" layoutInCell="1" hidden="0" allowOverlap="1">
                <wp:simplePos x="0" y="0"/>
                <wp:positionH relativeFrom="column">
                  <wp:posOffset>1739900</wp:posOffset>
                </wp:positionH>
                <wp:positionV relativeFrom="paragraph">
                  <wp:posOffset>50800</wp:posOffset>
                </wp:positionV>
                <wp:extent cx="798830" cy="391160"/>
                <wp:effectExtent l="0" t="0" r="0" b="0"/>
                <wp:wrapNone/>
                <wp:docPr id="8" name="Flecha derecha 8"/>
                <wp:cNvGraphicFramePr/>
                <a:graphic xmlns:a="http://schemas.openxmlformats.org/drawingml/2006/main">
                  <a:graphicData uri="http://schemas.microsoft.com/office/word/2010/wordprocessingShape">
                    <wps:wsp>
                      <wps:cNvSpPr/>
                      <wps:spPr>
                        <a:xfrm>
                          <a:off x="4952935" y="3590770"/>
                          <a:ext cx="786130" cy="378460"/>
                        </a:xfrm>
                        <a:prstGeom prst="rightArrow">
                          <a:avLst>
                            <a:gd name="adj1" fmla="val 50000"/>
                            <a:gd name="adj2" fmla="val 50000"/>
                          </a:avLst>
                        </a:prstGeom>
                        <a:solidFill>
                          <a:schemeClr val="dk1"/>
                        </a:solidFill>
                        <a:ln w="12700" cap="flat" cmpd="sng">
                          <a:solidFill>
                            <a:srgbClr val="42719B"/>
                          </a:solidFill>
                          <a:prstDash val="solid"/>
                          <a:miter lim="800000"/>
                          <a:headEnd type="none" w="sm" len="sm"/>
                          <a:tailEnd type="none" w="sm" len="sm"/>
                        </a:ln>
                      </wps:spPr>
                      <wps:txbx>
                        <w:txbxContent>
                          <w:p w:rsidR="00296D3F" w:rsidRDefault="00296D3F">
                            <w:pPr>
                              <w:textDirection w:val="btLr"/>
                            </w:pPr>
                          </w:p>
                        </w:txbxContent>
                      </wps:txbx>
                      <wps:bodyPr spcFirstLastPara="1" wrap="square" lIns="91425" tIns="91425" rIns="91425" bIns="91425" anchor="ctr" anchorCtr="0"/>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8" o:spid="_x0000_s1026" type="#_x0000_t13" style="position:absolute;left:0;text-align:left;margin-left:137pt;margin-top:4pt;width:62.9pt;height:30.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" adj="16401" fillcolor="black [3200]" strokecolor="#42719b" strokeweight="1pt">
                <v:stroke startarrowwidth="narrow" startarrowlength="short" endarrowwidth="narrow" endarrowlength="short"/>
                <v:textbox inset="2.53958mm,2.53958mm,2.53958mm,2.53958mm">
                  <w:txbxContent>
                    <w:p w:rsidR="00296D3F" w:rsidRDefault="00296D3F">
                      <w:pPr>
                        <w:textDirection w:val="btLr"/>
                      </w:pPr>
                    </w:p>
                  </w:txbxContent>
                </v:textbox>
              </v:shape>
            </w:pict>
          </mc:Fallback>
        </mc:AlternateContent>
      </w:r>
    </w:p>
    <w:p w:rsidR="00207F36" w:rsidRDefault="00207F36">
      <w:pPr>
        <w:spacing w:line="360" w:lineRule="auto"/>
        <w:jc w:val="both"/>
        <w:rPr>
          <w:rFonts w:ascii="Palatino Linotype" w:eastAsia="Palatino Linotype" w:hAnsi="Palatino Linotype" w:cs="Palatino Linotype"/>
        </w:rPr>
      </w:pPr>
    </w:p>
    <w:p w:rsidR="00207F36" w:rsidRDefault="00207F36">
      <w:pPr>
        <w:spacing w:line="360" w:lineRule="auto"/>
        <w:jc w:val="both"/>
        <w:rPr>
          <w:rFonts w:ascii="Palatino Linotype" w:eastAsia="Palatino Linotype" w:hAnsi="Palatino Linotype" w:cs="Palatino Linotype"/>
        </w:rPr>
      </w:pPr>
    </w:p>
    <w:p w:rsidR="00207F36" w:rsidRDefault="00207F36">
      <w:pPr>
        <w:spacing w:line="360" w:lineRule="auto"/>
        <w:jc w:val="both"/>
        <w:rPr>
          <w:rFonts w:ascii="Palatino Linotype" w:eastAsia="Palatino Linotype" w:hAnsi="Palatino Linotype" w:cs="Palatino Linotype"/>
        </w:rPr>
      </w:pPr>
    </w:p>
    <w:p w:rsidR="00207F36" w:rsidRDefault="00B53F5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Y respecto del Manual para la Planeación, Programación y Presupuesto de Egresos Municipal para el Ejercicio Fiscal 2016, si bien aborda más detalles para su debida integración de estos formatos prácticamente comprende los mismos formatos que integran </w:t>
      </w:r>
      <w:r w:rsidR="00F43CBC">
        <w:rPr>
          <w:rFonts w:ascii="Palatino Linotype" w:eastAsia="Palatino Linotype" w:hAnsi="Palatino Linotype" w:cs="Palatino Linotype"/>
        </w:rPr>
        <w:t>el Programa Operativo Anual</w:t>
      </w:r>
      <w:r>
        <w:rPr>
          <w:rFonts w:ascii="Palatino Linotype" w:eastAsia="Palatino Linotype" w:hAnsi="Palatino Linotype" w:cs="Palatino Linotype"/>
        </w:rPr>
        <w:t>, señalados en la imagen anterior.</w:t>
      </w:r>
    </w:p>
    <w:p w:rsidR="00207F36" w:rsidRDefault="00207F36">
      <w:pPr>
        <w:spacing w:line="360" w:lineRule="auto"/>
        <w:jc w:val="both"/>
        <w:rPr>
          <w:rFonts w:ascii="Palatino Linotype" w:eastAsia="Palatino Linotype" w:hAnsi="Palatino Linotype" w:cs="Palatino Linotype"/>
        </w:rPr>
      </w:pPr>
    </w:p>
    <w:p w:rsidR="00207F36" w:rsidRDefault="00B53F5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advierte que efectivamente dentro del presupuesto de egresos se contiene información relativa al Programa Anual, y que dicha información deberá de ser enviada de forma digital.</w:t>
      </w:r>
    </w:p>
    <w:p w:rsidR="00207F36" w:rsidRDefault="00207F36">
      <w:pPr>
        <w:spacing w:line="360" w:lineRule="auto"/>
        <w:jc w:val="both"/>
        <w:rPr>
          <w:rFonts w:ascii="Palatino Linotype" w:eastAsia="Palatino Linotype" w:hAnsi="Palatino Linotype" w:cs="Palatino Linotype"/>
        </w:rPr>
      </w:pPr>
    </w:p>
    <w:p w:rsidR="00207F36" w:rsidRDefault="00B53F5B">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la Ley de Fiscalización Superior del Estado de México, en su artículo 47, señala:</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47.- </w:t>
      </w:r>
      <w:r>
        <w:rPr>
          <w:rFonts w:ascii="Palatino Linotype" w:eastAsia="Palatino Linotype" w:hAnsi="Palatino Linotype" w:cs="Palatino Linotype"/>
          <w:b/>
          <w:i/>
          <w:color w:val="000000"/>
          <w:sz w:val="22"/>
          <w:szCs w:val="22"/>
          <w:u w:val="single"/>
        </w:rPr>
        <w:t>Los Presidentes Municipales y los Síndicos estarán obligados a informar al Órgano Superior, a más tardar el 25 de febrero de cada año, el Presupuesto de Egresos Municipal que haya aprobado el Ayuntamiento correspondiente</w:t>
      </w:r>
      <w:r>
        <w:rPr>
          <w:rFonts w:ascii="Palatino Linotype" w:eastAsia="Palatino Linotype" w:hAnsi="Palatino Linotype" w:cs="Palatino Linotype"/>
          <w:i/>
          <w:color w:val="000000"/>
          <w:sz w:val="22"/>
          <w:szCs w:val="22"/>
        </w:rPr>
        <w:t>.”(Sic)</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Aunado a ello, la Ley Orgánica Municipal del Estado de México, señala las atribuciones de las autoridades municipales respecto de la aprobación, integración, aplicación y formulación del Presupuesto de Egresos conforme lo siguiente:</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b/>
          <w:i/>
          <w:color w:val="000000"/>
          <w:sz w:val="22"/>
          <w:szCs w:val="22"/>
        </w:rPr>
        <w:t>Artículo 31</w:t>
      </w:r>
      <w:r>
        <w:rPr>
          <w:rFonts w:ascii="Palatino Linotype" w:eastAsia="Palatino Linotype" w:hAnsi="Palatino Linotype" w:cs="Palatino Linotype"/>
          <w:i/>
          <w:color w:val="000000"/>
          <w:sz w:val="22"/>
          <w:szCs w:val="22"/>
        </w:rPr>
        <w:t>.- Son atribuciones de los ayuntamientos:</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XVIII. Administrar su hacienda en términos de ley, y controlar a través del presidente y síndico la aplicación del presupuesto de egresos del municipio;</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XIX. </w:t>
      </w:r>
      <w:r>
        <w:rPr>
          <w:rFonts w:ascii="Palatino Linotype" w:eastAsia="Palatino Linotype" w:hAnsi="Palatino Linotype" w:cs="Palatino Linotype"/>
          <w:b/>
          <w:i/>
          <w:color w:val="000000"/>
          <w:sz w:val="22"/>
          <w:szCs w:val="22"/>
          <w:u w:val="single"/>
        </w:rPr>
        <w:t>Aprobar anualmente a más tardar el 20 de diciembre, su Presupuesto de Egresos, en base a los ingresos presupuestados para el ejercicio que corresponda</w:t>
      </w:r>
      <w:r>
        <w:rPr>
          <w:rFonts w:ascii="Palatino Linotype" w:eastAsia="Palatino Linotype" w:hAnsi="Palatino Linotype" w:cs="Palatino Linotype"/>
          <w:i/>
          <w:color w:val="000000"/>
          <w:sz w:val="22"/>
          <w:szCs w:val="22"/>
        </w:rPr>
        <w:t>, el cual podrá ser adecuado en función de las implicaciones que deriven de la aprobación de la Ley de Ingresos Municipal que haga la Legislatura, así como por la asignación de las participaciones y aportaciones federales y estatales.</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w:t>
      </w:r>
    </w:p>
    <w:p w:rsidR="00207F36" w:rsidRDefault="00207F36">
      <w:pPr>
        <w:pBdr>
          <w:top w:val="nil"/>
          <w:left w:val="nil"/>
          <w:bottom w:val="nil"/>
          <w:right w:val="nil"/>
          <w:between w:val="nil"/>
        </w:pBdr>
        <w:ind w:left="851" w:right="851" w:hanging="708"/>
        <w:jc w:val="both"/>
        <w:rPr>
          <w:rFonts w:ascii="Palatino Linotype" w:eastAsia="Palatino Linotype" w:hAnsi="Palatino Linotype" w:cs="Palatino Linotype"/>
          <w:i/>
          <w:color w:val="000000"/>
          <w:sz w:val="22"/>
          <w:szCs w:val="22"/>
        </w:rPr>
      </w:pP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100.-</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i/>
          <w:color w:val="000000"/>
          <w:sz w:val="22"/>
          <w:szCs w:val="22"/>
          <w:u w:val="single"/>
        </w:rPr>
        <w:t>El presupuesto de egresos deberá contener las previsiones de gasto público que habrán de realizar los municipios</w:t>
      </w:r>
      <w:r>
        <w:rPr>
          <w:rFonts w:ascii="Palatino Linotype" w:eastAsia="Palatino Linotype" w:hAnsi="Palatino Linotype" w:cs="Palatino Linotype"/>
          <w:i/>
          <w:color w:val="000000"/>
          <w:sz w:val="22"/>
          <w:szCs w:val="22"/>
        </w:rPr>
        <w:t xml:space="preserve">. </w:t>
      </w:r>
    </w:p>
    <w:p w:rsidR="00207F36" w:rsidRDefault="00207F36">
      <w:pPr>
        <w:pBdr>
          <w:top w:val="nil"/>
          <w:left w:val="nil"/>
          <w:bottom w:val="nil"/>
          <w:right w:val="nil"/>
          <w:between w:val="nil"/>
        </w:pBdr>
        <w:ind w:left="851" w:right="851" w:hanging="708"/>
        <w:jc w:val="both"/>
        <w:rPr>
          <w:rFonts w:ascii="Palatino Linotype" w:eastAsia="Palatino Linotype" w:hAnsi="Palatino Linotype" w:cs="Palatino Linotype"/>
          <w:i/>
          <w:color w:val="000000"/>
          <w:sz w:val="22"/>
          <w:szCs w:val="22"/>
        </w:rPr>
      </w:pP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101.</w:t>
      </w:r>
      <w:r>
        <w:rPr>
          <w:rFonts w:ascii="Palatino Linotype" w:eastAsia="Palatino Linotype" w:hAnsi="Palatino Linotype" w:cs="Palatino Linotype"/>
          <w:i/>
          <w:color w:val="000000"/>
          <w:sz w:val="22"/>
          <w:szCs w:val="22"/>
        </w:rPr>
        <w:t>- El proyecto del presupuesto de egresos se integrará básicamente con:</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Los programas en que se señalen objetivos, metas y unidades responsables para su ejecución, así como la valuación estimada del programa;</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II. Estimación de los ingresos y gastos del ejercicio fiscal calendarizados</w:t>
      </w:r>
      <w:r>
        <w:rPr>
          <w:rFonts w:ascii="Palatino Linotype" w:eastAsia="Palatino Linotype" w:hAnsi="Palatino Linotype" w:cs="Palatino Linotype"/>
          <w:i/>
          <w:color w:val="000000"/>
          <w:sz w:val="22"/>
          <w:szCs w:val="22"/>
        </w:rPr>
        <w:t>;</w:t>
      </w:r>
    </w:p>
    <w:p w:rsidR="00207F36" w:rsidRDefault="00F43CBC"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El proyecto de presupuesto de egresos deberá realizarse con base en los criterios de proporcionalidad y equidad, considerando las necesidades básicas de las localidades que integran al municipio</w:t>
      </w:r>
      <w:r w:rsidR="00F43CBC">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i/>
          <w:color w:val="000000"/>
          <w:sz w:val="22"/>
          <w:szCs w:val="22"/>
        </w:rPr>
        <w:t>”</w:t>
      </w:r>
      <w:r w:rsidR="00F43CBC">
        <w:rPr>
          <w:rFonts w:ascii="Palatino Linotype" w:eastAsia="Palatino Linotype" w:hAnsi="Palatino Linotype" w:cs="Palatino Linotype"/>
          <w:i/>
          <w:color w:val="000000"/>
          <w:sz w:val="22"/>
          <w:szCs w:val="22"/>
        </w:rPr>
        <w:t xml:space="preserve"> (Sic)</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otro lado el Reglamento de la Ley de Planeación del Estado de México y Municipios, en su numeral 20 establece lo siguiente en la parte aplicable al presente recurso:</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20</w:t>
      </w:r>
      <w:r>
        <w:rPr>
          <w:rFonts w:ascii="Palatino Linotype" w:eastAsia="Palatino Linotype" w:hAnsi="Palatino Linotype" w:cs="Palatino Linotype"/>
          <w:i/>
          <w:color w:val="000000"/>
          <w:sz w:val="22"/>
          <w:szCs w:val="22"/>
        </w:rPr>
        <w:t xml:space="preserve">.- En el caso de los Ayuntamientos, las unidades administrativas o servidores públicos que realicen las tareas de información, planeación, programación y evaluación tendrán las siguientes funciones: </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 En materia de planeación: </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 Elaborar en coordinación con la Tesorería el proyecto de presupuesto por programas, asegurando en todo momento la congruencia con los objetivos y metas establecidos en el Plan de Desarrollo Municipal y sus programas; </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 Elaborar en su caso, las propuestas de reconducción y/o actualización del Plan de Desarrollo Municipal y de los programas anuales que conforman su presupuesto por programas; </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En materia de información:</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b) Ser el canal único de información para la planeación entre el Ayuntamiento y las dependencias Federales y Estatales, así como, otros tipos de usuarios que la requieran; </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 Proporcionar con oportunidad la información que le sea solicitada por las dependencias y organismos que integran la administración municipal para apoyar sus procesos internos, así como, para la toma de decisiones; </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En materia de programación: </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 Promover y verificar que los programas, proyectos y acciones que deban integrarse al proyecto de presupuesto por programas, guarden total vinculación y congruencia con el Plan de Desarrollo Municipal y sus programas; y </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b) Definir las estrategias que darán viabilidad al cumplimiento de los objetivos y las metas planteadas en los programas que se derivan del Plan de Desarrollo Municipal, así como en los programas regionales en donde participe el municipio. </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En materia de presupuestación: </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 Integrar en coordinación con la Tesorería, las dependencias y organismos que conforman la Administración Pública Municipal, el proyecto de presupuesto por programas; </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b) Verificar y validar la calendarización anual para el ejercicio de los recursos autorizados para la ejecución de los programas y proyectos en el año fiscal que corresponda; </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 Verificar, en coordinación con la Contraloría Interna, que la asignación y ejercicio de los recursos se lleve a cabo en alcance de los objetivos, metas y prioridades establecidas en el Plan de Desarrollo Municipal y los programas autorizados; y </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En materia de seguimiento y control: </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 Dar seguimiento en coordinación con la Tesorería al avance del ejercicio presupuestal y al cumplimiento de las metas establecidas en el programa anual autorizado; </w:t>
      </w:r>
    </w:p>
    <w:p w:rsidR="00207F36" w:rsidRDefault="00B53F5B" w:rsidP="00F43CB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b) Consolidar conjuntamente con la Tesorería el informe mensual de avance del Ejercicio de los recursos financieros que debe ser enviado al Ór</w:t>
      </w:r>
      <w:r w:rsidR="00F43CBC">
        <w:rPr>
          <w:rFonts w:ascii="Palatino Linotype" w:eastAsia="Palatino Linotype" w:hAnsi="Palatino Linotype" w:cs="Palatino Linotype"/>
          <w:i/>
          <w:color w:val="000000"/>
          <w:sz w:val="22"/>
          <w:szCs w:val="22"/>
        </w:rPr>
        <w:t>gano Superior de Fiscalización… (Sic)</w:t>
      </w:r>
    </w:p>
    <w:p w:rsidR="00207F36" w:rsidRDefault="00207F36">
      <w:pPr>
        <w:pBdr>
          <w:top w:val="nil"/>
          <w:left w:val="nil"/>
          <w:bottom w:val="nil"/>
          <w:right w:val="nil"/>
          <w:between w:val="nil"/>
        </w:pBdr>
        <w:ind w:left="851" w:right="851" w:hanging="708"/>
        <w:jc w:val="both"/>
        <w:rPr>
          <w:rFonts w:ascii="Palatino Linotype" w:eastAsia="Palatino Linotype" w:hAnsi="Palatino Linotype" w:cs="Palatino Linotype"/>
          <w:i/>
          <w:color w:val="000000"/>
          <w:sz w:val="22"/>
          <w:szCs w:val="22"/>
        </w:rPr>
      </w:pPr>
    </w:p>
    <w:p w:rsidR="00207F36" w:rsidRDefault="00B53F5B">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transcrito, se advierte que las unidades administrativas o servidores públicos que realicen las tareas de información, planeación, programación y evaluación  tienen atribuciones en materia de planeación del Programa Anual y que el Cabildo </w:t>
      </w:r>
      <w:r>
        <w:rPr>
          <w:rFonts w:ascii="Palatino Linotype" w:eastAsia="Palatino Linotype" w:hAnsi="Palatino Linotype" w:cs="Palatino Linotype"/>
        </w:rPr>
        <w:lastRenderedPageBreak/>
        <w:t>deben aprobar</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rPr>
        <w:t>anualmente a más tardar el veinte de diciembre de cada año, su Presupuesto de Egresos, con base a los ingresos presupuestados para el ejercicio que corresponda, considerando las políticas y determinaciones que establezca la Secretaría de Finanzas, en este sentido es importante referir que el particular solicitó el Programa Operativo Anual del año 2016,2017 y 2018, y de acuerdo a lo analizado, así como a la información proporcionada por el Sujeto Obligado al momento de dar su respuesta se aprecia que cuenta con la atribución infalible de aprobar anualmente a más tardar el 20 de diciembre de cada año, su Presupuesto de Egresos, con base a los ingresos presupuestados para el ejercicio que corresponda, además que dentro de la información que se contiene es lo relativo al Programa Operativo Anual para el ejercicio fiscal 2016, 2017 y 2018.</w:t>
      </w:r>
    </w:p>
    <w:p w:rsidR="00207F36" w:rsidRDefault="00207F36">
      <w:pPr>
        <w:spacing w:line="360" w:lineRule="auto"/>
        <w:jc w:val="both"/>
        <w:rPr>
          <w:rFonts w:ascii="Palatino Linotype" w:eastAsia="Palatino Linotype" w:hAnsi="Palatino Linotype" w:cs="Palatino Linotype"/>
        </w:rPr>
      </w:pPr>
    </w:p>
    <w:p w:rsidR="00207F36" w:rsidRDefault="00B53F5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contexto, es de suma importancia referir que el Sujeto Obligado al momento de rendir su respuesta envió algunos archivos y/o formatos que integran el Programa Operativo Anual, para demostrar lo anterior, es preciso mencionar que cuales son las características de todos y cada uno de los formatos en mención, de acuerdo a lo establecido en los Manuales para la Planeación, Programación y Presupuesto de Egresos Municipal para el Ejercicio Fiscal 2016, 2017 y 2018, lo anterior para determinar si la información entregada por el Sujeto Obligado cumple con las formalidades establecidas en los Manuales de referencia.</w:t>
      </w:r>
    </w:p>
    <w:p w:rsidR="00207F36" w:rsidRDefault="00207F36">
      <w:pPr>
        <w:spacing w:line="360" w:lineRule="auto"/>
        <w:jc w:val="both"/>
        <w:rPr>
          <w:rFonts w:ascii="Palatino Linotype" w:eastAsia="Palatino Linotype" w:hAnsi="Palatino Linotype" w:cs="Palatino Linotype"/>
        </w:rPr>
      </w:pPr>
    </w:p>
    <w:p w:rsidR="00207F36" w:rsidRDefault="00B53F5B">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esta tesitura, debe precisarse que los Manuales para la Planeación, Programación y Presupuesto de Egresos Municipal para el Ejercicio Fiscal 2016, </w:t>
      </w:r>
      <w:r>
        <w:rPr>
          <w:rFonts w:ascii="Palatino Linotype" w:eastAsia="Palatino Linotype" w:hAnsi="Palatino Linotype" w:cs="Palatino Linotype"/>
        </w:rPr>
        <w:lastRenderedPageBreak/>
        <w:t>2017 y 2018, establece que el Programa Operativo Anual se integra por los siguientes documentos:</w:t>
      </w:r>
    </w:p>
    <w:p w:rsidR="00207F36" w:rsidRDefault="00B53F5B" w:rsidP="00F43CBC">
      <w:pPr>
        <w:numPr>
          <w:ilvl w:val="0"/>
          <w:numId w:val="4"/>
        </w:numPr>
        <w:pBdr>
          <w:top w:val="nil"/>
          <w:left w:val="nil"/>
          <w:bottom w:val="nil"/>
          <w:right w:val="nil"/>
          <w:between w:val="nil"/>
        </w:pBdr>
        <w:spacing w:line="360" w:lineRule="auto"/>
        <w:ind w:hanging="11"/>
        <w:contextualSpacing/>
        <w:jc w:val="both"/>
        <w:rPr>
          <w:color w:val="000000"/>
          <w:sz w:val="22"/>
          <w:szCs w:val="22"/>
        </w:rPr>
      </w:pPr>
      <w:r>
        <w:rPr>
          <w:rFonts w:ascii="Palatino Linotype" w:eastAsia="Palatino Linotype" w:hAnsi="Palatino Linotype" w:cs="Palatino Linotype"/>
          <w:b/>
          <w:color w:val="000000"/>
          <w:sz w:val="22"/>
          <w:szCs w:val="22"/>
        </w:rPr>
        <w:t>PbRM-01a:</w:t>
      </w:r>
    </w:p>
    <w:p w:rsidR="00207F36" w:rsidRDefault="00B53F5B" w:rsidP="00F43CBC">
      <w:pPr>
        <w:pBdr>
          <w:top w:val="nil"/>
          <w:left w:val="nil"/>
          <w:bottom w:val="nil"/>
          <w:right w:val="nil"/>
          <w:between w:val="nil"/>
        </w:pBdr>
        <w:spacing w:line="360" w:lineRule="auto"/>
        <w:ind w:left="720" w:hanging="1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2016 y 2017:</w:t>
      </w:r>
    </w:p>
    <w:p w:rsidR="00207F36" w:rsidRDefault="00B53F5B" w:rsidP="00F43CBC">
      <w:pPr>
        <w:pBdr>
          <w:top w:val="nil"/>
          <w:left w:val="nil"/>
          <w:bottom w:val="nil"/>
          <w:right w:val="nil"/>
          <w:between w:val="nil"/>
        </w:pBdr>
        <w:spacing w:line="360" w:lineRule="auto"/>
        <w:ind w:left="720" w:hanging="1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cual tiene como propósito identificar a nivel de estructura administrativa los programas y proyectos de los cuales se responsabiliza cada una de las Dependencias Generales y Auxiliares Municipales.</w:t>
      </w:r>
    </w:p>
    <w:p w:rsidR="00207F36" w:rsidRDefault="00B53F5B" w:rsidP="00F43CBC">
      <w:pPr>
        <w:pBdr>
          <w:top w:val="nil"/>
          <w:left w:val="nil"/>
          <w:bottom w:val="nil"/>
          <w:right w:val="nil"/>
          <w:between w:val="nil"/>
        </w:pBdr>
        <w:spacing w:line="360" w:lineRule="auto"/>
        <w:ind w:left="720" w:hanging="1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2018:</w:t>
      </w:r>
    </w:p>
    <w:p w:rsidR="00207F36" w:rsidRDefault="00B53F5B" w:rsidP="00F43CBC">
      <w:pPr>
        <w:pBdr>
          <w:top w:val="nil"/>
          <w:left w:val="nil"/>
          <w:bottom w:val="nil"/>
          <w:right w:val="nil"/>
          <w:between w:val="nil"/>
        </w:pBdr>
        <w:spacing w:line="360" w:lineRule="auto"/>
        <w:ind w:left="720" w:hanging="1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Tiene como propósito identificar a nivel de estructura administrativa los programas y proyectos de los cuales se responsabiliza cada una de las Dependencias y Organismos municipales.</w:t>
      </w:r>
    </w:p>
    <w:p w:rsidR="00207F36" w:rsidRDefault="00B53F5B" w:rsidP="00F43CBC">
      <w:pPr>
        <w:numPr>
          <w:ilvl w:val="0"/>
          <w:numId w:val="4"/>
        </w:numPr>
        <w:pBdr>
          <w:top w:val="nil"/>
          <w:left w:val="nil"/>
          <w:bottom w:val="nil"/>
          <w:right w:val="nil"/>
          <w:between w:val="nil"/>
        </w:pBdr>
        <w:spacing w:line="360" w:lineRule="auto"/>
        <w:ind w:hanging="11"/>
        <w:contextualSpacing/>
        <w:jc w:val="both"/>
        <w:rPr>
          <w:color w:val="000000"/>
          <w:sz w:val="22"/>
          <w:szCs w:val="22"/>
        </w:rPr>
      </w:pPr>
      <w:r>
        <w:rPr>
          <w:rFonts w:ascii="Palatino Linotype" w:eastAsia="Palatino Linotype" w:hAnsi="Palatino Linotype" w:cs="Palatino Linotype"/>
          <w:b/>
          <w:color w:val="000000"/>
          <w:sz w:val="22"/>
          <w:szCs w:val="22"/>
        </w:rPr>
        <w:t>PbRM-01b:</w:t>
      </w:r>
    </w:p>
    <w:p w:rsidR="00207F36" w:rsidRPr="00F43CBC" w:rsidRDefault="00B53F5B" w:rsidP="00F43CBC">
      <w:pPr>
        <w:pBdr>
          <w:top w:val="nil"/>
          <w:left w:val="nil"/>
          <w:bottom w:val="nil"/>
          <w:right w:val="nil"/>
          <w:between w:val="nil"/>
        </w:pBdr>
        <w:spacing w:line="360" w:lineRule="auto"/>
        <w:ind w:left="720" w:hanging="11"/>
        <w:jc w:val="both"/>
        <w:rPr>
          <w:rFonts w:ascii="Palatino Linotype" w:eastAsia="Palatino Linotype" w:hAnsi="Palatino Linotype" w:cs="Palatino Linotype"/>
          <w:b/>
          <w:color w:val="000000"/>
          <w:sz w:val="22"/>
          <w:szCs w:val="22"/>
        </w:rPr>
      </w:pPr>
      <w:r w:rsidRPr="00F43CBC">
        <w:rPr>
          <w:rFonts w:ascii="Palatino Linotype" w:eastAsia="Palatino Linotype" w:hAnsi="Palatino Linotype" w:cs="Palatino Linotype"/>
          <w:b/>
          <w:color w:val="000000"/>
          <w:sz w:val="22"/>
          <w:szCs w:val="22"/>
        </w:rPr>
        <w:t>2016:</w:t>
      </w:r>
    </w:p>
    <w:p w:rsidR="00207F36" w:rsidRDefault="00B53F5B" w:rsidP="00F43CBC">
      <w:pPr>
        <w:pBdr>
          <w:top w:val="nil"/>
          <w:left w:val="nil"/>
          <w:bottom w:val="nil"/>
          <w:right w:val="nil"/>
          <w:between w:val="nil"/>
        </w:pBdr>
        <w:spacing w:line="360" w:lineRule="auto"/>
        <w:ind w:left="720" w:hanging="1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Tiene como propósito, identificar el diagnóstico del entorno de responsabilidad del programa respectivo para sustentar y justificar la asignación del presupuesto del ejercicio fiscal 2016; definir los objetivos que se pretenden alcanzar, y establecer las estrategias que serán aplicadas para dar viabilidad al logro de dichos objetivos.</w:t>
      </w:r>
    </w:p>
    <w:p w:rsidR="00207F36" w:rsidRDefault="00B53F5B" w:rsidP="00F43CBC">
      <w:pPr>
        <w:pBdr>
          <w:top w:val="nil"/>
          <w:left w:val="nil"/>
          <w:bottom w:val="nil"/>
          <w:right w:val="nil"/>
          <w:between w:val="nil"/>
        </w:pBdr>
        <w:spacing w:line="360" w:lineRule="auto"/>
        <w:ind w:left="720" w:hanging="1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llenado de este formato es responsabilidad de los titulares de las dependencias y organismos municipales ejecutores de los programas, según sea el caso, en coordinación con el titular del área de planeación o su equivalente, según la estructura orgánica de cada Ayuntamiento y con la Tesorería la cual para asignar recursos deberá tener en cuenta la situación diagnóstica y los objetivos de cada programa y proyecto</w:t>
      </w:r>
    </w:p>
    <w:p w:rsidR="00207F36" w:rsidRPr="00F43CBC" w:rsidRDefault="00B53F5B" w:rsidP="00F43CBC">
      <w:pPr>
        <w:pBdr>
          <w:top w:val="nil"/>
          <w:left w:val="nil"/>
          <w:bottom w:val="nil"/>
          <w:right w:val="nil"/>
          <w:between w:val="nil"/>
        </w:pBdr>
        <w:spacing w:line="360" w:lineRule="auto"/>
        <w:ind w:left="720" w:hanging="11"/>
        <w:jc w:val="both"/>
        <w:rPr>
          <w:rFonts w:ascii="Palatino Linotype" w:eastAsia="Palatino Linotype" w:hAnsi="Palatino Linotype" w:cs="Palatino Linotype"/>
          <w:b/>
          <w:color w:val="000000"/>
          <w:sz w:val="22"/>
          <w:szCs w:val="22"/>
        </w:rPr>
      </w:pPr>
      <w:r w:rsidRPr="00F43CBC">
        <w:rPr>
          <w:rFonts w:ascii="Palatino Linotype" w:eastAsia="Palatino Linotype" w:hAnsi="Palatino Linotype" w:cs="Palatino Linotype"/>
          <w:b/>
          <w:color w:val="000000"/>
          <w:sz w:val="22"/>
          <w:szCs w:val="22"/>
        </w:rPr>
        <w:t>2017:</w:t>
      </w:r>
    </w:p>
    <w:p w:rsidR="00207F36" w:rsidRDefault="00B53F5B" w:rsidP="00F43CBC">
      <w:pPr>
        <w:pBdr>
          <w:top w:val="nil"/>
          <w:left w:val="nil"/>
          <w:bottom w:val="nil"/>
          <w:right w:val="nil"/>
          <w:between w:val="nil"/>
        </w:pBdr>
        <w:spacing w:line="360" w:lineRule="auto"/>
        <w:ind w:left="720" w:hanging="1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Tiene como propósito, identificar el diagnóstico del entorno de responsabilidad del programa respectivo para sustentar y justificar la asignación del presupuesto del </w:t>
      </w:r>
      <w:r>
        <w:rPr>
          <w:rFonts w:ascii="Palatino Linotype" w:eastAsia="Palatino Linotype" w:hAnsi="Palatino Linotype" w:cs="Palatino Linotype"/>
          <w:color w:val="000000"/>
          <w:sz w:val="22"/>
          <w:szCs w:val="22"/>
        </w:rPr>
        <w:lastRenderedPageBreak/>
        <w:t xml:space="preserve">ejercicio fiscal 2017; definir los objetivos que se pretenden alcanzar, y establecer las estrategias que serán aplicadas para dar viabilidad al logro de dichos objetivos. </w:t>
      </w:r>
    </w:p>
    <w:p w:rsidR="00207F36" w:rsidRDefault="00B53F5B" w:rsidP="00F43CBC">
      <w:pPr>
        <w:pBdr>
          <w:top w:val="nil"/>
          <w:left w:val="nil"/>
          <w:bottom w:val="nil"/>
          <w:right w:val="nil"/>
          <w:between w:val="nil"/>
        </w:pBdr>
        <w:spacing w:line="360" w:lineRule="auto"/>
        <w:ind w:left="720" w:hanging="1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llenado de este formato es responsabilidad de los titulares de las Dependencias y Organismos Municipales ejecutores de los programas, según sea el caso, en coordinación con el titular del área de planeación o su equivalente, según la estructura orgánica de cada Ayuntamiento y con la Tesorería la cual para asignar recursos deberá tener en cuenta la situación diagnóstica y los objetivos de cada programa y proyecto.</w:t>
      </w:r>
    </w:p>
    <w:p w:rsidR="00207F36" w:rsidRPr="00F43CBC" w:rsidRDefault="00B53F5B" w:rsidP="00F43CBC">
      <w:pPr>
        <w:pBdr>
          <w:top w:val="nil"/>
          <w:left w:val="nil"/>
          <w:bottom w:val="nil"/>
          <w:right w:val="nil"/>
          <w:between w:val="nil"/>
        </w:pBdr>
        <w:spacing w:line="360" w:lineRule="auto"/>
        <w:ind w:left="720" w:hanging="11"/>
        <w:jc w:val="both"/>
        <w:rPr>
          <w:rFonts w:ascii="Palatino Linotype" w:eastAsia="Palatino Linotype" w:hAnsi="Palatino Linotype" w:cs="Palatino Linotype"/>
          <w:b/>
          <w:color w:val="000000"/>
          <w:sz w:val="22"/>
          <w:szCs w:val="22"/>
        </w:rPr>
      </w:pPr>
      <w:r w:rsidRPr="00F43CBC">
        <w:rPr>
          <w:rFonts w:ascii="Palatino Linotype" w:eastAsia="Palatino Linotype" w:hAnsi="Palatino Linotype" w:cs="Palatino Linotype"/>
          <w:b/>
          <w:color w:val="000000"/>
          <w:sz w:val="22"/>
          <w:szCs w:val="22"/>
        </w:rPr>
        <w:t>2018:</w:t>
      </w:r>
    </w:p>
    <w:p w:rsidR="00207F36" w:rsidRDefault="00B53F5B" w:rsidP="00F43CBC">
      <w:pPr>
        <w:pBdr>
          <w:top w:val="nil"/>
          <w:left w:val="nil"/>
          <w:bottom w:val="nil"/>
          <w:right w:val="nil"/>
          <w:between w:val="nil"/>
        </w:pBdr>
        <w:spacing w:line="360" w:lineRule="auto"/>
        <w:ind w:left="720" w:hanging="1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Tiene como propósito, identificar el diagnóstico del entorno de responsabilidad del programa respectivo para sustentar y justificar la asignación del presupuesto del ejercicio fiscal 2018; definir los objetivos que se pretenden alcanzar, y establecer las estrategias que serán aplicadas para dar viabilidad al logro de dichos objetivos. </w:t>
      </w:r>
    </w:p>
    <w:p w:rsidR="00207F36" w:rsidRDefault="00B53F5B" w:rsidP="00F43CBC">
      <w:pPr>
        <w:pBdr>
          <w:top w:val="nil"/>
          <w:left w:val="nil"/>
          <w:bottom w:val="nil"/>
          <w:right w:val="nil"/>
          <w:between w:val="nil"/>
        </w:pBdr>
        <w:spacing w:line="360" w:lineRule="auto"/>
        <w:ind w:left="720" w:hanging="1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llenado de este formato es responsabilidad de los titulares de las Dependencias y Organismos Municipales ejecutores de los programas, según sea el caso, en coordinación con el titular de la UIPPE o su equivalente, según la estructura orgánica de cada Ayuntamiento y con la Tesorería la cual para asignar recursos deberá tener en cuenta la situación diagnóstica y los objetivos de cada programa y proyecto.</w:t>
      </w:r>
    </w:p>
    <w:p w:rsidR="00207F36" w:rsidRDefault="00B53F5B" w:rsidP="00F43CBC">
      <w:pPr>
        <w:numPr>
          <w:ilvl w:val="0"/>
          <w:numId w:val="4"/>
        </w:numPr>
        <w:pBdr>
          <w:top w:val="nil"/>
          <w:left w:val="nil"/>
          <w:bottom w:val="nil"/>
          <w:right w:val="nil"/>
          <w:between w:val="nil"/>
        </w:pBdr>
        <w:spacing w:line="360" w:lineRule="auto"/>
        <w:ind w:hanging="11"/>
        <w:contextualSpacing/>
        <w:jc w:val="both"/>
        <w:rPr>
          <w:color w:val="000000"/>
          <w:sz w:val="22"/>
          <w:szCs w:val="22"/>
        </w:rPr>
      </w:pPr>
      <w:r>
        <w:rPr>
          <w:rFonts w:ascii="Palatino Linotype" w:eastAsia="Palatino Linotype" w:hAnsi="Palatino Linotype" w:cs="Palatino Linotype"/>
          <w:b/>
          <w:color w:val="000000"/>
          <w:sz w:val="22"/>
          <w:szCs w:val="22"/>
        </w:rPr>
        <w:t>PbRM-01c:</w:t>
      </w:r>
    </w:p>
    <w:p w:rsidR="00207F36" w:rsidRDefault="00B53F5B" w:rsidP="00F43CBC">
      <w:pPr>
        <w:pBdr>
          <w:top w:val="nil"/>
          <w:left w:val="nil"/>
          <w:bottom w:val="nil"/>
          <w:right w:val="nil"/>
          <w:between w:val="nil"/>
        </w:pBdr>
        <w:spacing w:line="360" w:lineRule="auto"/>
        <w:ind w:left="720" w:hanging="11"/>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2016:</w:t>
      </w:r>
    </w:p>
    <w:p w:rsidR="00207F36" w:rsidRDefault="00B53F5B" w:rsidP="00F43CBC">
      <w:pPr>
        <w:pBdr>
          <w:top w:val="nil"/>
          <w:left w:val="nil"/>
          <w:bottom w:val="nil"/>
          <w:right w:val="nil"/>
          <w:between w:val="nil"/>
        </w:pBdr>
        <w:spacing w:line="360" w:lineRule="auto"/>
        <w:ind w:left="720" w:hanging="1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Tiene como propósito establecer las acciones relevantes y sustantivas para cada proyecto, mismas que deberán reflejar la diferencia entre el cumplimiento alcanzado durante el ejercicio fiscal 2015 y las cifras programadas que se estimen alcanzar en el ejercicio 2016.</w:t>
      </w:r>
    </w:p>
    <w:p w:rsidR="00207F36" w:rsidRDefault="00B53F5B" w:rsidP="00F43CBC">
      <w:pPr>
        <w:pBdr>
          <w:top w:val="nil"/>
          <w:left w:val="nil"/>
          <w:bottom w:val="nil"/>
          <w:right w:val="nil"/>
          <w:between w:val="nil"/>
        </w:pBdr>
        <w:spacing w:line="360" w:lineRule="auto"/>
        <w:ind w:left="720" w:hanging="1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Las acciones relevantes que se definan deberán interrelacionarse con los fines y resultados y representar los logros y productos que se pretenden con los proyectos, </w:t>
      </w:r>
      <w:r>
        <w:rPr>
          <w:rFonts w:ascii="Palatino Linotype" w:eastAsia="Palatino Linotype" w:hAnsi="Palatino Linotype" w:cs="Palatino Linotype"/>
          <w:color w:val="000000"/>
          <w:sz w:val="22"/>
          <w:szCs w:val="22"/>
        </w:rPr>
        <w:lastRenderedPageBreak/>
        <w:t>y que en su conjunto permitan alcanzar los objetivos determinados y pueden llegar a generar un impacto o beneficio social; en estas acciones estarán ya incluidas las de carácter adjetivo, mismas que no se habrán de referenciar en su Programa Anual, ya que suelen ser de tipo administrativo; como lo son por mencionar sólo un ejemplo la compra de bienes muebles, vehículos o insumos que permiten la ejecución de acciones de gran impacto.</w:t>
      </w:r>
    </w:p>
    <w:p w:rsidR="00207F36" w:rsidRDefault="00B53F5B" w:rsidP="00F43CBC">
      <w:pPr>
        <w:pBdr>
          <w:top w:val="nil"/>
          <w:left w:val="nil"/>
          <w:bottom w:val="nil"/>
          <w:right w:val="nil"/>
          <w:between w:val="nil"/>
        </w:pBdr>
        <w:spacing w:line="360" w:lineRule="auto"/>
        <w:ind w:left="720" w:hanging="11"/>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2017:</w:t>
      </w:r>
    </w:p>
    <w:p w:rsidR="00207F36" w:rsidRDefault="00B53F5B" w:rsidP="00F43CBC">
      <w:pPr>
        <w:pBdr>
          <w:top w:val="nil"/>
          <w:left w:val="nil"/>
          <w:bottom w:val="nil"/>
          <w:right w:val="nil"/>
          <w:between w:val="nil"/>
        </w:pBdr>
        <w:spacing w:line="360" w:lineRule="auto"/>
        <w:ind w:left="720" w:hanging="1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Tiene como propósito establecer las acciones relevantes y sustantivas para cada proyecto, mismas que deberán reflejar la diferencia entre el cumplimiento alcanzado durante el ejercicio fiscal 2016 y las cifras programadas que se estimen alcanzar en el ejercicio 2017.</w:t>
      </w:r>
    </w:p>
    <w:p w:rsidR="00207F36" w:rsidRDefault="00B53F5B" w:rsidP="00F43CBC">
      <w:pPr>
        <w:pBdr>
          <w:top w:val="nil"/>
          <w:left w:val="nil"/>
          <w:bottom w:val="nil"/>
          <w:right w:val="nil"/>
          <w:between w:val="nil"/>
        </w:pBdr>
        <w:spacing w:line="360" w:lineRule="auto"/>
        <w:ind w:left="720" w:hanging="1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Las acciones relevantes que se definan deberán interrelacionarse con los fines y resultados, representando los logros y productos que se pretenden otorgar con los proyectos, que en su conjunto permitan alcanzar los objetivos determinados y pueden llegar a generar un impacto o beneficio social; en estas acciones estarán ya incluidas las de carácter adjetivo, mismas que no se habrán de referenciar en su Programa Anual, ya que suelen ser de tipo administrativo; como lo son por mencionar sólo un ejemplo, la compra de bienes muebles, vehículos o insumos que permiten la ejecución de acciones de gran impacto</w:t>
      </w:r>
    </w:p>
    <w:p w:rsidR="00207F36" w:rsidRDefault="00B53F5B" w:rsidP="00F43CBC">
      <w:pPr>
        <w:pBdr>
          <w:top w:val="nil"/>
          <w:left w:val="nil"/>
          <w:bottom w:val="nil"/>
          <w:right w:val="nil"/>
          <w:between w:val="nil"/>
        </w:pBdr>
        <w:spacing w:line="360" w:lineRule="auto"/>
        <w:ind w:left="720" w:hanging="11"/>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2018:</w:t>
      </w:r>
    </w:p>
    <w:p w:rsidR="00207F36" w:rsidRDefault="00B53F5B" w:rsidP="00F43CBC">
      <w:pPr>
        <w:pBdr>
          <w:top w:val="nil"/>
          <w:left w:val="nil"/>
          <w:bottom w:val="nil"/>
          <w:right w:val="nil"/>
          <w:between w:val="nil"/>
        </w:pBdr>
        <w:spacing w:line="360" w:lineRule="auto"/>
        <w:ind w:left="720" w:hanging="1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Tiene como propósito establecer las acciones sustantivas para cada proyecto, mismas que deberán reflejar la diferencia entre el cumplimiento alcanzado durante el ejercicio fiscal 2017 y las cifras programadas que se estimen alcanzar en el ejercicio 2018, es importante destacar que la determinación de las metas de actividad sirve de base eventualmente para la construcción de los indicadores, por lo que en cada una de ellas se observará de manera analítica y responsable esta relación, sin perder de vista la asignación presupuestaria.</w:t>
      </w:r>
    </w:p>
    <w:p w:rsidR="00207F36" w:rsidRDefault="00B53F5B" w:rsidP="00F43CBC">
      <w:pPr>
        <w:numPr>
          <w:ilvl w:val="0"/>
          <w:numId w:val="4"/>
        </w:numPr>
        <w:pBdr>
          <w:top w:val="nil"/>
          <w:left w:val="nil"/>
          <w:bottom w:val="nil"/>
          <w:right w:val="nil"/>
          <w:between w:val="nil"/>
        </w:pBdr>
        <w:spacing w:line="360" w:lineRule="auto"/>
        <w:ind w:hanging="11"/>
        <w:contextualSpacing/>
        <w:jc w:val="both"/>
        <w:rPr>
          <w:color w:val="000000"/>
          <w:sz w:val="22"/>
          <w:szCs w:val="22"/>
        </w:rPr>
      </w:pPr>
      <w:r>
        <w:rPr>
          <w:rFonts w:ascii="Palatino Linotype" w:eastAsia="Palatino Linotype" w:hAnsi="Palatino Linotype" w:cs="Palatino Linotype"/>
          <w:b/>
          <w:color w:val="000000"/>
          <w:sz w:val="22"/>
          <w:szCs w:val="22"/>
        </w:rPr>
        <w:lastRenderedPageBreak/>
        <w:t>PbRM-01d:</w:t>
      </w:r>
    </w:p>
    <w:p w:rsidR="00207F36" w:rsidRDefault="00B53F5B" w:rsidP="00F43CBC">
      <w:pPr>
        <w:pBdr>
          <w:top w:val="nil"/>
          <w:left w:val="nil"/>
          <w:bottom w:val="nil"/>
          <w:right w:val="nil"/>
          <w:between w:val="nil"/>
        </w:pBdr>
        <w:spacing w:line="360" w:lineRule="auto"/>
        <w:ind w:left="720" w:hanging="11"/>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2016 y 2017:</w:t>
      </w:r>
    </w:p>
    <w:p w:rsidR="00207F36" w:rsidRDefault="00B53F5B" w:rsidP="00F43CBC">
      <w:pPr>
        <w:pBdr>
          <w:top w:val="nil"/>
          <w:left w:val="nil"/>
          <w:bottom w:val="nil"/>
          <w:right w:val="nil"/>
          <w:between w:val="nil"/>
        </w:pBdr>
        <w:spacing w:line="360" w:lineRule="auto"/>
        <w:ind w:left="720" w:hanging="1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Tiene como finalidad el registro de los indicadores de gestión que se manejan en el SEGEMUM, mismos que deberán estar vinculados directamente a las metas programadas en el formato PbRM-01e, en la Matriz de Indicadores para Resultados por Programa presupuestario, éstos indicadores están alineados a nivel estratégico o de gestión.</w:t>
      </w:r>
    </w:p>
    <w:p w:rsidR="00207F36" w:rsidRDefault="00B53F5B" w:rsidP="00F43CBC">
      <w:pPr>
        <w:pBdr>
          <w:top w:val="nil"/>
          <w:left w:val="nil"/>
          <w:bottom w:val="nil"/>
          <w:right w:val="nil"/>
          <w:between w:val="nil"/>
        </w:pBdr>
        <w:spacing w:line="360" w:lineRule="auto"/>
        <w:ind w:left="720" w:hanging="1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llenado de estos formatos, es responsabilidad compartida de los titulares de las dependencias generales, auxiliares y organismos municipales ejecutores de los programas, y el titular del área de planeación o su equivalente, quienes deberán de realizar esta actividad de manera conjunta.</w:t>
      </w:r>
    </w:p>
    <w:p w:rsidR="00207F36" w:rsidRDefault="00B53F5B" w:rsidP="00F43CBC">
      <w:pPr>
        <w:pBdr>
          <w:top w:val="nil"/>
          <w:left w:val="nil"/>
          <w:bottom w:val="nil"/>
          <w:right w:val="nil"/>
          <w:between w:val="nil"/>
        </w:pBdr>
        <w:spacing w:line="360" w:lineRule="auto"/>
        <w:ind w:left="720" w:hanging="11"/>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2018:</w:t>
      </w:r>
    </w:p>
    <w:p w:rsidR="00207F36" w:rsidRDefault="00B53F5B" w:rsidP="00F43CBC">
      <w:pPr>
        <w:pBdr>
          <w:top w:val="nil"/>
          <w:left w:val="nil"/>
          <w:bottom w:val="nil"/>
          <w:right w:val="nil"/>
          <w:between w:val="nil"/>
        </w:pBdr>
        <w:spacing w:line="360" w:lineRule="auto"/>
        <w:ind w:left="720" w:hanging="1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Tiene como finalidad el registro de los indicadores de gestión que se manejan en el SEGEMUM, mismos que deberán estar vinculados directamente a las metas programadas en el formato PbRM-01e “Matriz de Indicadores para Resultados por Programa presupuestario y Dependencia General”, éstos indicadores están alineados a nivel estratégico o de gestión.</w:t>
      </w:r>
    </w:p>
    <w:p w:rsidR="00207F36" w:rsidRDefault="00B53F5B" w:rsidP="00F43CBC">
      <w:pPr>
        <w:pBdr>
          <w:top w:val="nil"/>
          <w:left w:val="nil"/>
          <w:bottom w:val="nil"/>
          <w:right w:val="nil"/>
          <w:between w:val="nil"/>
        </w:pBdr>
        <w:spacing w:line="360" w:lineRule="auto"/>
        <w:ind w:left="720" w:hanging="1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llenado de estos formatos, es responsabilidad de los titulares de las Dependencias Generales, Auxiliares y Organismos Municipales ejecutores de los programas, el proceso de coordinación corresponde a la UIPPE municipal o su equivalente, quienes deberán de realizar esta actividad de manera conjunta.</w:t>
      </w:r>
    </w:p>
    <w:p w:rsidR="00207F36" w:rsidRDefault="00B53F5B" w:rsidP="00F43CBC">
      <w:pPr>
        <w:numPr>
          <w:ilvl w:val="0"/>
          <w:numId w:val="4"/>
        </w:numPr>
        <w:pBdr>
          <w:top w:val="nil"/>
          <w:left w:val="nil"/>
          <w:bottom w:val="nil"/>
          <w:right w:val="nil"/>
          <w:between w:val="nil"/>
        </w:pBdr>
        <w:spacing w:line="360" w:lineRule="auto"/>
        <w:ind w:hanging="11"/>
        <w:contextualSpacing/>
        <w:jc w:val="both"/>
        <w:rPr>
          <w:color w:val="000000"/>
          <w:sz w:val="22"/>
          <w:szCs w:val="22"/>
        </w:rPr>
      </w:pPr>
      <w:r>
        <w:rPr>
          <w:rFonts w:ascii="Palatino Linotype" w:eastAsia="Palatino Linotype" w:hAnsi="Palatino Linotype" w:cs="Palatino Linotype"/>
          <w:b/>
          <w:color w:val="000000"/>
          <w:sz w:val="22"/>
          <w:szCs w:val="22"/>
        </w:rPr>
        <w:t>PbRM-01e:</w:t>
      </w:r>
    </w:p>
    <w:p w:rsidR="00207F36" w:rsidRDefault="00B53F5B" w:rsidP="00F43CBC">
      <w:pPr>
        <w:pBdr>
          <w:top w:val="nil"/>
          <w:left w:val="nil"/>
          <w:bottom w:val="nil"/>
          <w:right w:val="nil"/>
          <w:between w:val="nil"/>
        </w:pBdr>
        <w:spacing w:after="240" w:line="360" w:lineRule="auto"/>
        <w:ind w:left="720" w:hanging="11"/>
        <w:jc w:val="both"/>
        <w:rPr>
          <w:rFonts w:ascii="Palatino Linotype" w:eastAsia="Palatino Linotype" w:hAnsi="Palatino Linotype" w:cs="Palatino Linotype"/>
          <w:b/>
          <w:color w:val="000000"/>
          <w:sz w:val="22"/>
          <w:szCs w:val="22"/>
        </w:rPr>
      </w:pPr>
      <w:bookmarkStart w:id="1" w:name="_gjdgxs" w:colFirst="0" w:colLast="0"/>
      <w:bookmarkEnd w:id="1"/>
      <w:r>
        <w:rPr>
          <w:rFonts w:ascii="Palatino Linotype" w:eastAsia="Palatino Linotype" w:hAnsi="Palatino Linotype" w:cs="Palatino Linotype"/>
          <w:b/>
          <w:color w:val="000000"/>
          <w:sz w:val="22"/>
          <w:szCs w:val="22"/>
        </w:rPr>
        <w:t>2016, 2017 y 2018</w:t>
      </w:r>
    </w:p>
    <w:p w:rsidR="00207F36" w:rsidRDefault="00B53F5B" w:rsidP="00F43CBC">
      <w:pPr>
        <w:pBdr>
          <w:top w:val="nil"/>
          <w:left w:val="nil"/>
          <w:bottom w:val="nil"/>
          <w:right w:val="nil"/>
          <w:between w:val="nil"/>
        </w:pBdr>
        <w:spacing w:before="240" w:line="360" w:lineRule="auto"/>
        <w:ind w:left="720" w:hanging="1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Tiene una relación con el formato PbRM-01d, su finalidad consiste en conjuntar la totalidad de los indicadores que permitan identificar el logro o beneficio que se espera alcanzar y que a través de los procesos de evaluación se medirán para </w:t>
      </w:r>
      <w:r>
        <w:rPr>
          <w:rFonts w:ascii="Palatino Linotype" w:eastAsia="Palatino Linotype" w:hAnsi="Palatino Linotype" w:cs="Palatino Linotype"/>
          <w:color w:val="000000"/>
          <w:sz w:val="22"/>
          <w:szCs w:val="22"/>
        </w:rPr>
        <w:lastRenderedPageBreak/>
        <w:t>conocer el nivel de cumplimiento de los objetivos y metas de cada uno de los Programas presupuestarios que comprende el programa anual del ejercicio fiscal 2016, 2017 y 2018, respectivamente.</w:t>
      </w:r>
    </w:p>
    <w:p w:rsidR="00207F36" w:rsidRDefault="00B53F5B" w:rsidP="00F43CBC">
      <w:pPr>
        <w:numPr>
          <w:ilvl w:val="0"/>
          <w:numId w:val="4"/>
        </w:numPr>
        <w:pBdr>
          <w:top w:val="nil"/>
          <w:left w:val="nil"/>
          <w:bottom w:val="nil"/>
          <w:right w:val="nil"/>
          <w:between w:val="nil"/>
        </w:pBdr>
        <w:spacing w:line="360" w:lineRule="auto"/>
        <w:ind w:hanging="11"/>
        <w:contextualSpacing/>
        <w:jc w:val="both"/>
        <w:rPr>
          <w:color w:val="000000"/>
          <w:sz w:val="22"/>
          <w:szCs w:val="22"/>
        </w:rPr>
      </w:pPr>
      <w:r>
        <w:rPr>
          <w:rFonts w:ascii="Palatino Linotype" w:eastAsia="Palatino Linotype" w:hAnsi="Palatino Linotype" w:cs="Palatino Linotype"/>
          <w:color w:val="000000"/>
          <w:sz w:val="22"/>
          <w:szCs w:val="22"/>
        </w:rPr>
        <w:t xml:space="preserve">Al contar con un presupuesto definido se deben corroborar las metas de actividad a realizar e identificar los tiempos de su ejecución por lo que para este fin se requisita el </w:t>
      </w:r>
      <w:r>
        <w:rPr>
          <w:rFonts w:ascii="Palatino Linotype" w:eastAsia="Palatino Linotype" w:hAnsi="Palatino Linotype" w:cs="Palatino Linotype"/>
          <w:b/>
          <w:color w:val="000000"/>
          <w:sz w:val="22"/>
          <w:szCs w:val="22"/>
        </w:rPr>
        <w:t>formato PbRM-02a</w:t>
      </w:r>
      <w:r>
        <w:rPr>
          <w:rFonts w:ascii="Palatino Linotype" w:eastAsia="Palatino Linotype" w:hAnsi="Palatino Linotype" w:cs="Palatino Linotype"/>
          <w:color w:val="000000"/>
          <w:sz w:val="22"/>
          <w:szCs w:val="22"/>
        </w:rPr>
        <w:t xml:space="preserve"> “Calendarización de Metas de actividad”, el cual tiene por objeto identificar trimestralmente las cantidades de las metas programadas anuales por proyecto, mismas que fueron planteadas en el formato PbR-01c, en este formato se identifica el compromiso de fechas en que se realizarán las metas, formato que se encuentra contemplado de igual forma en el referido manual de los años 2016 y 2017.</w:t>
      </w:r>
    </w:p>
    <w:p w:rsidR="00207F36" w:rsidRDefault="009449B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anchor distT="0" distB="0" distL="114300" distR="114300" simplePos="0" relativeHeight="251724288" behindDoc="0" locked="0" layoutInCell="1" allowOverlap="1">
            <wp:simplePos x="0" y="0"/>
            <wp:positionH relativeFrom="column">
              <wp:posOffset>27314</wp:posOffset>
            </wp:positionH>
            <wp:positionV relativeFrom="paragraph">
              <wp:posOffset>1097620</wp:posOffset>
            </wp:positionV>
            <wp:extent cx="5717973" cy="3481800"/>
            <wp:effectExtent l="0" t="0" r="0" b="4445"/>
            <wp:wrapNone/>
            <wp:docPr id="2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6">
                      <a:extLst>
                        <a:ext uri="{28A0092B-C50C-407E-A947-70E740481C1C}">
                          <a14:useLocalDpi xmlns:a14="http://schemas.microsoft.com/office/drawing/2010/main" val="0"/>
                        </a:ext>
                      </a:extLst>
                    </a:blip>
                    <a:srcRect l="20206" t="19934" r="20358" b="20023"/>
                    <a:stretch>
                      <a:fillRect/>
                    </a:stretch>
                  </pic:blipFill>
                  <pic:spPr>
                    <a:xfrm>
                      <a:off x="0" y="0"/>
                      <a:ext cx="5717973" cy="3481800"/>
                    </a:xfrm>
                    <a:prstGeom prst="rect">
                      <a:avLst/>
                    </a:prstGeom>
                    <a:ln/>
                  </pic:spPr>
                </pic:pic>
              </a:graphicData>
            </a:graphic>
            <wp14:sizeRelH relativeFrom="page">
              <wp14:pctWidth>0</wp14:pctWidth>
            </wp14:sizeRelH>
            <wp14:sizeRelV relativeFrom="page">
              <wp14:pctHeight>0</wp14:pctHeight>
            </wp14:sizeRelV>
          </wp:anchor>
        </w:drawing>
      </w:r>
      <w:r w:rsidR="00B53F5B">
        <w:rPr>
          <w:rFonts w:ascii="Palatino Linotype" w:eastAsia="Palatino Linotype" w:hAnsi="Palatino Linotype" w:cs="Palatino Linotype"/>
        </w:rPr>
        <w:t xml:space="preserve">Por lo que se refiere al formato </w:t>
      </w:r>
      <w:r w:rsidR="00B53F5B">
        <w:rPr>
          <w:rFonts w:ascii="Palatino Linotype" w:eastAsia="Palatino Linotype" w:hAnsi="Palatino Linotype" w:cs="Palatino Linotype"/>
          <w:b/>
        </w:rPr>
        <w:t xml:space="preserve">PbRM-01a, </w:t>
      </w:r>
      <w:r w:rsidR="00B53F5B">
        <w:rPr>
          <w:rFonts w:ascii="Palatino Linotype" w:eastAsia="Palatino Linotype" w:hAnsi="Palatino Linotype" w:cs="Palatino Linotype"/>
        </w:rPr>
        <w:t>los Manuales en comento contiene lo siguiente, para los años 2016, 2017 y 2018, variando únicamente el año del ejercicio fiscal:</w:t>
      </w:r>
    </w:p>
    <w:p w:rsidR="00207F36" w:rsidRDefault="00207F36">
      <w:pPr>
        <w:spacing w:before="240" w:after="240" w:line="360" w:lineRule="auto"/>
        <w:jc w:val="both"/>
        <w:rPr>
          <w:rFonts w:ascii="Palatino Linotype" w:eastAsia="Palatino Linotype" w:hAnsi="Palatino Linotype" w:cs="Palatino Linotype"/>
        </w:rPr>
      </w:pPr>
    </w:p>
    <w:p w:rsidR="00207F36" w:rsidRDefault="00207F36">
      <w:pPr>
        <w:spacing w:before="240" w:after="240" w:line="360" w:lineRule="auto"/>
        <w:jc w:val="both"/>
        <w:rPr>
          <w:rFonts w:ascii="Palatino Linotype" w:eastAsia="Palatino Linotype" w:hAnsi="Palatino Linotype" w:cs="Palatino Linotype"/>
        </w:rPr>
      </w:pPr>
    </w:p>
    <w:p w:rsidR="009449BB" w:rsidRDefault="009449BB">
      <w:pPr>
        <w:spacing w:before="240" w:after="240" w:line="360" w:lineRule="auto"/>
        <w:jc w:val="both"/>
        <w:rPr>
          <w:rFonts w:ascii="Palatino Linotype" w:eastAsia="Palatino Linotype" w:hAnsi="Palatino Linotype" w:cs="Palatino Linotype"/>
        </w:rPr>
      </w:pPr>
    </w:p>
    <w:p w:rsidR="009449BB" w:rsidRDefault="009449BB">
      <w:pPr>
        <w:spacing w:before="240" w:after="240" w:line="360" w:lineRule="auto"/>
        <w:jc w:val="both"/>
        <w:rPr>
          <w:rFonts w:ascii="Palatino Linotype" w:eastAsia="Palatino Linotype" w:hAnsi="Palatino Linotype" w:cs="Palatino Linotype"/>
        </w:rPr>
      </w:pPr>
    </w:p>
    <w:p w:rsidR="009449BB" w:rsidRDefault="009449BB">
      <w:pPr>
        <w:spacing w:before="240" w:after="240" w:line="360" w:lineRule="auto"/>
        <w:jc w:val="both"/>
        <w:rPr>
          <w:rFonts w:ascii="Palatino Linotype" w:eastAsia="Palatino Linotype" w:hAnsi="Palatino Linotype" w:cs="Palatino Linotype"/>
        </w:rPr>
      </w:pPr>
    </w:p>
    <w:p w:rsidR="009449BB" w:rsidRDefault="009449BB">
      <w:pPr>
        <w:spacing w:before="240" w:after="240" w:line="360" w:lineRule="auto"/>
        <w:jc w:val="both"/>
        <w:rPr>
          <w:rFonts w:ascii="Palatino Linotype" w:eastAsia="Palatino Linotype" w:hAnsi="Palatino Linotype" w:cs="Palatino Linotype"/>
        </w:rPr>
      </w:pPr>
    </w:p>
    <w:p w:rsidR="009449BB" w:rsidRDefault="009449BB">
      <w:pPr>
        <w:spacing w:before="240" w:after="240" w:line="360" w:lineRule="auto"/>
        <w:jc w:val="both"/>
        <w:rPr>
          <w:rFonts w:ascii="Palatino Linotype" w:eastAsia="Palatino Linotype" w:hAnsi="Palatino Linotype" w:cs="Palatino Linotype"/>
        </w:rPr>
      </w:pPr>
    </w:p>
    <w:p w:rsidR="00207F36" w:rsidRDefault="00B53F5B">
      <w:pPr>
        <w:numPr>
          <w:ilvl w:val="0"/>
          <w:numId w:val="3"/>
        </w:numPr>
        <w:pBdr>
          <w:top w:val="nil"/>
          <w:left w:val="nil"/>
          <w:bottom w:val="nil"/>
          <w:right w:val="nil"/>
          <w:between w:val="nil"/>
        </w:pBdr>
        <w:spacing w:line="360" w:lineRule="auto"/>
        <w:contextualSpacing/>
        <w:jc w:val="both"/>
        <w:rPr>
          <w:b/>
          <w:color w:val="000000"/>
          <w:sz w:val="22"/>
          <w:szCs w:val="22"/>
        </w:rPr>
      </w:pPr>
      <w:r>
        <w:rPr>
          <w:rFonts w:ascii="Palatino Linotype" w:eastAsia="Palatino Linotype" w:hAnsi="Palatino Linotype" w:cs="Palatino Linotype"/>
          <w:b/>
          <w:color w:val="000000"/>
        </w:rPr>
        <w:lastRenderedPageBreak/>
        <w:t xml:space="preserve">El formato PbRM-01b, su contenido es el siguiente para los años 2016,2017 y 2018, </w:t>
      </w:r>
      <w:r>
        <w:rPr>
          <w:rFonts w:ascii="Palatino Linotype" w:eastAsia="Palatino Linotype" w:hAnsi="Palatino Linotype" w:cs="Palatino Linotype"/>
          <w:color w:val="000000"/>
        </w:rPr>
        <w:t>variando únicamente en el año del ejercicio fiscal</w:t>
      </w:r>
      <w:r>
        <w:rPr>
          <w:rFonts w:ascii="Palatino Linotype" w:eastAsia="Palatino Linotype" w:hAnsi="Palatino Linotype" w:cs="Palatino Linotype"/>
          <w:b/>
          <w:color w:val="000000"/>
        </w:rPr>
        <w:t>:</w:t>
      </w:r>
    </w:p>
    <w:p w:rsidR="00207F36" w:rsidRDefault="009449BB">
      <w:pPr>
        <w:pBdr>
          <w:top w:val="nil"/>
          <w:left w:val="nil"/>
          <w:bottom w:val="nil"/>
          <w:right w:val="nil"/>
          <w:between w:val="nil"/>
        </w:pBdr>
        <w:spacing w:line="360" w:lineRule="auto"/>
        <w:ind w:hanging="708"/>
        <w:jc w:val="both"/>
        <w:rPr>
          <w:rFonts w:ascii="Palatino Linotype" w:eastAsia="Palatino Linotype" w:hAnsi="Palatino Linotype" w:cs="Palatino Linotype"/>
          <w:b/>
          <w:color w:val="000000"/>
          <w:sz w:val="22"/>
          <w:szCs w:val="22"/>
        </w:rPr>
      </w:pPr>
      <w:r>
        <w:rPr>
          <w:noProof/>
          <w:color w:val="000000"/>
          <w:sz w:val="22"/>
          <w:szCs w:val="22"/>
          <w:lang w:val="es-MX"/>
        </w:rPr>
        <w:drawing>
          <wp:anchor distT="0" distB="0" distL="114300" distR="114300" simplePos="0" relativeHeight="251688960" behindDoc="0" locked="0" layoutInCell="1" allowOverlap="1" wp14:anchorId="6A87453B" wp14:editId="6277E08B">
            <wp:simplePos x="0" y="0"/>
            <wp:positionH relativeFrom="column">
              <wp:posOffset>-30507</wp:posOffset>
            </wp:positionH>
            <wp:positionV relativeFrom="paragraph">
              <wp:posOffset>30588</wp:posOffset>
            </wp:positionV>
            <wp:extent cx="5773988" cy="3206840"/>
            <wp:effectExtent l="0" t="0" r="0" b="0"/>
            <wp:wrapNone/>
            <wp:docPr id="2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7">
                      <a:extLst>
                        <a:ext uri="{28A0092B-C50C-407E-A947-70E740481C1C}">
                          <a14:useLocalDpi xmlns:a14="http://schemas.microsoft.com/office/drawing/2010/main" val="0"/>
                        </a:ext>
                      </a:extLst>
                    </a:blip>
                    <a:srcRect l="21462" t="13214" r="20437" b="13442"/>
                    <a:stretch>
                      <a:fillRect/>
                    </a:stretch>
                  </pic:blipFill>
                  <pic:spPr>
                    <a:xfrm>
                      <a:off x="0" y="0"/>
                      <a:ext cx="5776032" cy="3207975"/>
                    </a:xfrm>
                    <a:prstGeom prst="rect">
                      <a:avLst/>
                    </a:prstGeom>
                    <a:ln/>
                  </pic:spPr>
                </pic:pic>
              </a:graphicData>
            </a:graphic>
            <wp14:sizeRelH relativeFrom="page">
              <wp14:pctWidth>0</wp14:pctWidth>
            </wp14:sizeRelH>
            <wp14:sizeRelV relativeFrom="page">
              <wp14:pctHeight>0</wp14:pctHeight>
            </wp14:sizeRelV>
          </wp:anchor>
        </w:drawing>
      </w:r>
    </w:p>
    <w:p w:rsidR="00DF33E2" w:rsidRDefault="00DF33E2">
      <w:pPr>
        <w:pBdr>
          <w:top w:val="nil"/>
          <w:left w:val="nil"/>
          <w:bottom w:val="nil"/>
          <w:right w:val="nil"/>
          <w:between w:val="nil"/>
        </w:pBdr>
        <w:spacing w:line="360" w:lineRule="auto"/>
        <w:ind w:hanging="708"/>
        <w:jc w:val="both"/>
        <w:rPr>
          <w:rFonts w:ascii="Palatino Linotype" w:eastAsia="Palatino Linotype" w:hAnsi="Palatino Linotype" w:cs="Palatino Linotype"/>
          <w:b/>
          <w:color w:val="000000"/>
          <w:sz w:val="22"/>
          <w:szCs w:val="22"/>
        </w:rPr>
      </w:pPr>
    </w:p>
    <w:p w:rsidR="00DF33E2" w:rsidRDefault="00DF33E2">
      <w:pPr>
        <w:pBdr>
          <w:top w:val="nil"/>
          <w:left w:val="nil"/>
          <w:bottom w:val="nil"/>
          <w:right w:val="nil"/>
          <w:between w:val="nil"/>
        </w:pBdr>
        <w:spacing w:line="360" w:lineRule="auto"/>
        <w:ind w:hanging="708"/>
        <w:jc w:val="both"/>
        <w:rPr>
          <w:rFonts w:ascii="Palatino Linotype" w:eastAsia="Palatino Linotype" w:hAnsi="Palatino Linotype" w:cs="Palatino Linotype"/>
          <w:b/>
          <w:color w:val="000000"/>
          <w:sz w:val="22"/>
          <w:szCs w:val="22"/>
        </w:rPr>
      </w:pPr>
    </w:p>
    <w:p w:rsidR="00DF33E2" w:rsidRDefault="00DF33E2">
      <w:pPr>
        <w:pBdr>
          <w:top w:val="nil"/>
          <w:left w:val="nil"/>
          <w:bottom w:val="nil"/>
          <w:right w:val="nil"/>
          <w:between w:val="nil"/>
        </w:pBdr>
        <w:spacing w:line="360" w:lineRule="auto"/>
        <w:ind w:hanging="708"/>
        <w:jc w:val="both"/>
        <w:rPr>
          <w:rFonts w:ascii="Palatino Linotype" w:eastAsia="Palatino Linotype" w:hAnsi="Palatino Linotype" w:cs="Palatino Linotype"/>
          <w:b/>
          <w:color w:val="000000"/>
          <w:sz w:val="22"/>
          <w:szCs w:val="22"/>
        </w:rPr>
      </w:pPr>
    </w:p>
    <w:p w:rsidR="00DF33E2" w:rsidRDefault="00DF33E2">
      <w:pPr>
        <w:pBdr>
          <w:top w:val="nil"/>
          <w:left w:val="nil"/>
          <w:bottom w:val="nil"/>
          <w:right w:val="nil"/>
          <w:between w:val="nil"/>
        </w:pBdr>
        <w:spacing w:line="360" w:lineRule="auto"/>
        <w:ind w:hanging="708"/>
        <w:jc w:val="both"/>
        <w:rPr>
          <w:rFonts w:ascii="Palatino Linotype" w:eastAsia="Palatino Linotype" w:hAnsi="Palatino Linotype" w:cs="Palatino Linotype"/>
          <w:b/>
          <w:color w:val="000000"/>
          <w:sz w:val="22"/>
          <w:szCs w:val="22"/>
        </w:rPr>
      </w:pPr>
    </w:p>
    <w:p w:rsidR="009449BB" w:rsidRDefault="009449BB">
      <w:pPr>
        <w:pBdr>
          <w:top w:val="nil"/>
          <w:left w:val="nil"/>
          <w:bottom w:val="nil"/>
          <w:right w:val="nil"/>
          <w:between w:val="nil"/>
        </w:pBdr>
        <w:spacing w:line="360" w:lineRule="auto"/>
        <w:ind w:hanging="708"/>
        <w:jc w:val="both"/>
        <w:rPr>
          <w:rFonts w:ascii="Palatino Linotype" w:eastAsia="Palatino Linotype" w:hAnsi="Palatino Linotype" w:cs="Palatino Linotype"/>
          <w:b/>
          <w:color w:val="000000"/>
          <w:sz w:val="22"/>
          <w:szCs w:val="22"/>
        </w:rPr>
      </w:pPr>
    </w:p>
    <w:p w:rsidR="009449BB" w:rsidRDefault="009449BB">
      <w:pPr>
        <w:pBdr>
          <w:top w:val="nil"/>
          <w:left w:val="nil"/>
          <w:bottom w:val="nil"/>
          <w:right w:val="nil"/>
          <w:between w:val="nil"/>
        </w:pBdr>
        <w:spacing w:line="360" w:lineRule="auto"/>
        <w:ind w:hanging="708"/>
        <w:jc w:val="both"/>
        <w:rPr>
          <w:rFonts w:ascii="Palatino Linotype" w:eastAsia="Palatino Linotype" w:hAnsi="Palatino Linotype" w:cs="Palatino Linotype"/>
          <w:b/>
          <w:color w:val="000000"/>
          <w:sz w:val="22"/>
          <w:szCs w:val="22"/>
        </w:rPr>
      </w:pPr>
    </w:p>
    <w:p w:rsidR="009449BB" w:rsidRDefault="009449BB">
      <w:pPr>
        <w:pBdr>
          <w:top w:val="nil"/>
          <w:left w:val="nil"/>
          <w:bottom w:val="nil"/>
          <w:right w:val="nil"/>
          <w:between w:val="nil"/>
        </w:pBdr>
        <w:spacing w:line="360" w:lineRule="auto"/>
        <w:ind w:hanging="708"/>
        <w:jc w:val="both"/>
        <w:rPr>
          <w:rFonts w:ascii="Palatino Linotype" w:eastAsia="Palatino Linotype" w:hAnsi="Palatino Linotype" w:cs="Palatino Linotype"/>
          <w:b/>
          <w:color w:val="000000"/>
          <w:sz w:val="22"/>
          <w:szCs w:val="22"/>
        </w:rPr>
      </w:pPr>
    </w:p>
    <w:p w:rsidR="009449BB" w:rsidRDefault="009449BB">
      <w:pPr>
        <w:pBdr>
          <w:top w:val="nil"/>
          <w:left w:val="nil"/>
          <w:bottom w:val="nil"/>
          <w:right w:val="nil"/>
          <w:between w:val="nil"/>
        </w:pBdr>
        <w:spacing w:line="360" w:lineRule="auto"/>
        <w:ind w:hanging="708"/>
        <w:jc w:val="both"/>
        <w:rPr>
          <w:rFonts w:ascii="Palatino Linotype" w:eastAsia="Palatino Linotype" w:hAnsi="Palatino Linotype" w:cs="Palatino Linotype"/>
          <w:b/>
          <w:color w:val="000000"/>
          <w:sz w:val="22"/>
          <w:szCs w:val="22"/>
        </w:rPr>
      </w:pPr>
    </w:p>
    <w:p w:rsidR="009449BB" w:rsidRDefault="009449BB">
      <w:pPr>
        <w:pBdr>
          <w:top w:val="nil"/>
          <w:left w:val="nil"/>
          <w:bottom w:val="nil"/>
          <w:right w:val="nil"/>
          <w:between w:val="nil"/>
        </w:pBdr>
        <w:spacing w:line="360" w:lineRule="auto"/>
        <w:ind w:hanging="708"/>
        <w:jc w:val="both"/>
        <w:rPr>
          <w:rFonts w:ascii="Palatino Linotype" w:eastAsia="Palatino Linotype" w:hAnsi="Palatino Linotype" w:cs="Palatino Linotype"/>
          <w:b/>
          <w:color w:val="000000"/>
          <w:sz w:val="22"/>
          <w:szCs w:val="22"/>
        </w:rPr>
      </w:pPr>
      <w:r>
        <w:rPr>
          <w:noProof/>
          <w:lang w:val="es-MX"/>
        </w:rPr>
        <w:drawing>
          <wp:anchor distT="0" distB="0" distL="114300" distR="114300" simplePos="0" relativeHeight="251550208" behindDoc="0" locked="0" layoutInCell="1" hidden="0" allowOverlap="1">
            <wp:simplePos x="0" y="0"/>
            <wp:positionH relativeFrom="column">
              <wp:posOffset>1164385</wp:posOffset>
            </wp:positionH>
            <wp:positionV relativeFrom="paragraph">
              <wp:posOffset>65395</wp:posOffset>
            </wp:positionV>
            <wp:extent cx="3272878" cy="5594985"/>
            <wp:effectExtent l="952" t="0" r="4763" b="4762"/>
            <wp:wrapNone/>
            <wp:docPr id="3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8"/>
                    <a:srcRect l="36192" t="26267" r="36819" b="9303"/>
                    <a:stretch>
                      <a:fillRect/>
                    </a:stretch>
                  </pic:blipFill>
                  <pic:spPr>
                    <a:xfrm rot="5400000">
                      <a:off x="0" y="0"/>
                      <a:ext cx="3274040" cy="5596971"/>
                    </a:xfrm>
                    <a:prstGeom prst="rect">
                      <a:avLst/>
                    </a:prstGeom>
                    <a:ln/>
                  </pic:spPr>
                </pic:pic>
              </a:graphicData>
            </a:graphic>
            <wp14:sizeRelH relativeFrom="margin">
              <wp14:pctWidth>0</wp14:pctWidth>
            </wp14:sizeRelH>
          </wp:anchor>
        </w:drawing>
      </w:r>
    </w:p>
    <w:p w:rsidR="009449BB" w:rsidRDefault="009449BB">
      <w:pPr>
        <w:pBdr>
          <w:top w:val="nil"/>
          <w:left w:val="nil"/>
          <w:bottom w:val="nil"/>
          <w:right w:val="nil"/>
          <w:between w:val="nil"/>
        </w:pBdr>
        <w:spacing w:line="360" w:lineRule="auto"/>
        <w:ind w:hanging="708"/>
        <w:jc w:val="both"/>
        <w:rPr>
          <w:rFonts w:ascii="Palatino Linotype" w:eastAsia="Palatino Linotype" w:hAnsi="Palatino Linotype" w:cs="Palatino Linotype"/>
          <w:b/>
          <w:color w:val="000000"/>
          <w:sz w:val="22"/>
          <w:szCs w:val="22"/>
        </w:rPr>
      </w:pPr>
    </w:p>
    <w:p w:rsidR="00DF33E2" w:rsidRDefault="00DF33E2">
      <w:pPr>
        <w:pBdr>
          <w:top w:val="nil"/>
          <w:left w:val="nil"/>
          <w:bottom w:val="nil"/>
          <w:right w:val="nil"/>
          <w:between w:val="nil"/>
        </w:pBdr>
        <w:spacing w:line="360" w:lineRule="auto"/>
        <w:ind w:hanging="708"/>
        <w:jc w:val="both"/>
        <w:rPr>
          <w:rFonts w:ascii="Palatino Linotype" w:eastAsia="Palatino Linotype" w:hAnsi="Palatino Linotype" w:cs="Palatino Linotype"/>
          <w:b/>
          <w:color w:val="000000"/>
          <w:sz w:val="22"/>
          <w:szCs w:val="22"/>
        </w:rPr>
      </w:pPr>
    </w:p>
    <w:p w:rsidR="00207F36" w:rsidRDefault="00B53F5B">
      <w:pPr>
        <w:numPr>
          <w:ilvl w:val="0"/>
          <w:numId w:val="4"/>
        </w:numPr>
        <w:pBdr>
          <w:top w:val="nil"/>
          <w:left w:val="nil"/>
          <w:bottom w:val="nil"/>
          <w:right w:val="nil"/>
          <w:between w:val="nil"/>
        </w:pBdr>
        <w:spacing w:line="360" w:lineRule="auto"/>
        <w:contextualSpacing/>
        <w:jc w:val="both"/>
        <w:rPr>
          <w:color w:val="000000"/>
          <w:sz w:val="22"/>
          <w:szCs w:val="22"/>
        </w:rPr>
      </w:pPr>
      <w:r>
        <w:rPr>
          <w:rFonts w:ascii="Palatino Linotype" w:eastAsia="Palatino Linotype" w:hAnsi="Palatino Linotype" w:cs="Palatino Linotype"/>
          <w:b/>
          <w:color w:val="000000"/>
          <w:sz w:val="22"/>
          <w:szCs w:val="22"/>
        </w:rPr>
        <w:t>PbRM-01c, su contenido es el siguiente para el año 2016:</w:t>
      </w:r>
    </w:p>
    <w:p w:rsidR="00207F36" w:rsidRDefault="00207F36">
      <w:pPr>
        <w:pBdr>
          <w:top w:val="nil"/>
          <w:left w:val="nil"/>
          <w:bottom w:val="nil"/>
          <w:right w:val="nil"/>
          <w:between w:val="nil"/>
        </w:pBdr>
        <w:spacing w:line="360" w:lineRule="auto"/>
        <w:ind w:left="720" w:hanging="708"/>
        <w:jc w:val="both"/>
        <w:rPr>
          <w:rFonts w:ascii="Palatino Linotype" w:eastAsia="Palatino Linotype" w:hAnsi="Palatino Linotype" w:cs="Palatino Linotype"/>
          <w:color w:val="000000"/>
          <w:sz w:val="22"/>
          <w:szCs w:val="22"/>
        </w:rPr>
      </w:pPr>
    </w:p>
    <w:p w:rsidR="009449BB" w:rsidRDefault="009449BB">
      <w:pPr>
        <w:pBdr>
          <w:top w:val="nil"/>
          <w:left w:val="nil"/>
          <w:bottom w:val="nil"/>
          <w:right w:val="nil"/>
          <w:between w:val="nil"/>
        </w:pBdr>
        <w:spacing w:line="360" w:lineRule="auto"/>
        <w:ind w:left="720" w:hanging="708"/>
        <w:jc w:val="both"/>
        <w:rPr>
          <w:rFonts w:ascii="Palatino Linotype" w:eastAsia="Palatino Linotype" w:hAnsi="Palatino Linotype" w:cs="Palatino Linotype"/>
          <w:color w:val="000000"/>
          <w:sz w:val="22"/>
          <w:szCs w:val="22"/>
        </w:rPr>
      </w:pPr>
    </w:p>
    <w:p w:rsidR="009449BB" w:rsidRDefault="009449BB">
      <w:pPr>
        <w:pBdr>
          <w:top w:val="nil"/>
          <w:left w:val="nil"/>
          <w:bottom w:val="nil"/>
          <w:right w:val="nil"/>
          <w:between w:val="nil"/>
        </w:pBdr>
        <w:spacing w:line="360" w:lineRule="auto"/>
        <w:ind w:left="720" w:hanging="708"/>
        <w:jc w:val="both"/>
        <w:rPr>
          <w:rFonts w:ascii="Palatino Linotype" w:eastAsia="Palatino Linotype" w:hAnsi="Palatino Linotype" w:cs="Palatino Linotype"/>
          <w:color w:val="000000"/>
          <w:sz w:val="22"/>
          <w:szCs w:val="22"/>
        </w:rPr>
      </w:pPr>
    </w:p>
    <w:p w:rsidR="009449BB" w:rsidRDefault="009449BB">
      <w:pPr>
        <w:pBdr>
          <w:top w:val="nil"/>
          <w:left w:val="nil"/>
          <w:bottom w:val="nil"/>
          <w:right w:val="nil"/>
          <w:between w:val="nil"/>
        </w:pBdr>
        <w:spacing w:line="360" w:lineRule="auto"/>
        <w:ind w:left="720" w:hanging="708"/>
        <w:jc w:val="both"/>
        <w:rPr>
          <w:rFonts w:ascii="Palatino Linotype" w:eastAsia="Palatino Linotype" w:hAnsi="Palatino Linotype" w:cs="Palatino Linotype"/>
          <w:color w:val="000000"/>
          <w:sz w:val="22"/>
          <w:szCs w:val="22"/>
        </w:rPr>
      </w:pPr>
    </w:p>
    <w:p w:rsidR="009449BB" w:rsidRDefault="009449BB">
      <w:pPr>
        <w:pBdr>
          <w:top w:val="nil"/>
          <w:left w:val="nil"/>
          <w:bottom w:val="nil"/>
          <w:right w:val="nil"/>
          <w:between w:val="nil"/>
        </w:pBdr>
        <w:spacing w:line="360" w:lineRule="auto"/>
        <w:ind w:left="720" w:hanging="708"/>
        <w:jc w:val="both"/>
        <w:rPr>
          <w:rFonts w:ascii="Palatino Linotype" w:eastAsia="Palatino Linotype" w:hAnsi="Palatino Linotype" w:cs="Palatino Linotype"/>
          <w:color w:val="000000"/>
          <w:sz w:val="22"/>
          <w:szCs w:val="22"/>
        </w:rPr>
      </w:pPr>
    </w:p>
    <w:p w:rsidR="009449BB" w:rsidRDefault="009449BB">
      <w:pPr>
        <w:pBdr>
          <w:top w:val="nil"/>
          <w:left w:val="nil"/>
          <w:bottom w:val="nil"/>
          <w:right w:val="nil"/>
          <w:between w:val="nil"/>
        </w:pBdr>
        <w:spacing w:line="360" w:lineRule="auto"/>
        <w:ind w:left="720" w:hanging="708"/>
        <w:jc w:val="both"/>
        <w:rPr>
          <w:rFonts w:ascii="Palatino Linotype" w:eastAsia="Palatino Linotype" w:hAnsi="Palatino Linotype" w:cs="Palatino Linotype"/>
          <w:color w:val="000000"/>
          <w:sz w:val="22"/>
          <w:szCs w:val="22"/>
        </w:rPr>
      </w:pPr>
    </w:p>
    <w:p w:rsidR="009449BB" w:rsidRDefault="009449BB">
      <w:pPr>
        <w:pBdr>
          <w:top w:val="nil"/>
          <w:left w:val="nil"/>
          <w:bottom w:val="nil"/>
          <w:right w:val="nil"/>
          <w:between w:val="nil"/>
        </w:pBdr>
        <w:spacing w:line="360" w:lineRule="auto"/>
        <w:ind w:left="720" w:hanging="708"/>
        <w:jc w:val="both"/>
        <w:rPr>
          <w:rFonts w:ascii="Palatino Linotype" w:eastAsia="Palatino Linotype" w:hAnsi="Palatino Linotype" w:cs="Palatino Linotype"/>
          <w:color w:val="000000"/>
          <w:sz w:val="22"/>
          <w:szCs w:val="22"/>
        </w:rPr>
      </w:pPr>
    </w:p>
    <w:p w:rsidR="009449BB" w:rsidRDefault="009449BB">
      <w:pPr>
        <w:pBdr>
          <w:top w:val="nil"/>
          <w:left w:val="nil"/>
          <w:bottom w:val="nil"/>
          <w:right w:val="nil"/>
          <w:between w:val="nil"/>
        </w:pBdr>
        <w:spacing w:line="360" w:lineRule="auto"/>
        <w:ind w:left="720" w:hanging="708"/>
        <w:jc w:val="both"/>
        <w:rPr>
          <w:rFonts w:ascii="Palatino Linotype" w:eastAsia="Palatino Linotype" w:hAnsi="Palatino Linotype" w:cs="Palatino Linotype"/>
          <w:color w:val="000000"/>
          <w:sz w:val="22"/>
          <w:szCs w:val="22"/>
        </w:rPr>
      </w:pPr>
    </w:p>
    <w:p w:rsidR="009449BB" w:rsidRDefault="009449BB">
      <w:pPr>
        <w:pBdr>
          <w:top w:val="nil"/>
          <w:left w:val="nil"/>
          <w:bottom w:val="nil"/>
          <w:right w:val="nil"/>
          <w:between w:val="nil"/>
        </w:pBdr>
        <w:spacing w:line="360" w:lineRule="auto"/>
        <w:ind w:left="720" w:hanging="708"/>
        <w:jc w:val="both"/>
        <w:rPr>
          <w:rFonts w:ascii="Palatino Linotype" w:eastAsia="Palatino Linotype" w:hAnsi="Palatino Linotype" w:cs="Palatino Linotype"/>
          <w:color w:val="000000"/>
          <w:sz w:val="22"/>
          <w:szCs w:val="22"/>
        </w:rPr>
      </w:pPr>
    </w:p>
    <w:p w:rsidR="009449BB" w:rsidRDefault="009449BB">
      <w:pPr>
        <w:pBdr>
          <w:top w:val="nil"/>
          <w:left w:val="nil"/>
          <w:bottom w:val="nil"/>
          <w:right w:val="nil"/>
          <w:between w:val="nil"/>
        </w:pBdr>
        <w:spacing w:line="360" w:lineRule="auto"/>
        <w:ind w:left="720" w:hanging="708"/>
        <w:jc w:val="both"/>
        <w:rPr>
          <w:rFonts w:ascii="Palatino Linotype" w:eastAsia="Palatino Linotype" w:hAnsi="Palatino Linotype" w:cs="Palatino Linotype"/>
          <w:color w:val="000000"/>
          <w:sz w:val="22"/>
          <w:szCs w:val="22"/>
        </w:rPr>
      </w:pPr>
    </w:p>
    <w:p w:rsidR="009449BB" w:rsidRDefault="009449BB">
      <w:pPr>
        <w:pBdr>
          <w:top w:val="nil"/>
          <w:left w:val="nil"/>
          <w:bottom w:val="nil"/>
          <w:right w:val="nil"/>
          <w:between w:val="nil"/>
        </w:pBdr>
        <w:spacing w:line="360" w:lineRule="auto"/>
        <w:ind w:left="720" w:hanging="708"/>
        <w:jc w:val="both"/>
        <w:rPr>
          <w:rFonts w:ascii="Palatino Linotype" w:eastAsia="Palatino Linotype" w:hAnsi="Palatino Linotype" w:cs="Palatino Linotype"/>
          <w:color w:val="000000"/>
          <w:sz w:val="22"/>
          <w:szCs w:val="22"/>
        </w:rPr>
      </w:pPr>
    </w:p>
    <w:p w:rsidR="009449BB" w:rsidRDefault="009449BB">
      <w:pPr>
        <w:pBdr>
          <w:top w:val="nil"/>
          <w:left w:val="nil"/>
          <w:bottom w:val="nil"/>
          <w:right w:val="nil"/>
          <w:between w:val="nil"/>
        </w:pBdr>
        <w:spacing w:line="360" w:lineRule="auto"/>
        <w:ind w:left="720" w:hanging="708"/>
        <w:jc w:val="both"/>
        <w:rPr>
          <w:rFonts w:ascii="Palatino Linotype" w:eastAsia="Palatino Linotype" w:hAnsi="Palatino Linotype" w:cs="Palatino Linotype"/>
          <w:color w:val="000000"/>
          <w:sz w:val="22"/>
          <w:szCs w:val="22"/>
        </w:rPr>
      </w:pPr>
    </w:p>
    <w:p w:rsidR="00207F36" w:rsidRDefault="009449BB" w:rsidP="009449BB">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noProof/>
          <w:lang w:val="es-MX"/>
        </w:rPr>
        <w:lastRenderedPageBreak/>
        <w:drawing>
          <wp:anchor distT="0" distB="0" distL="114300" distR="114300" simplePos="0" relativeHeight="251523584" behindDoc="0" locked="0" layoutInCell="1" hidden="0" allowOverlap="1">
            <wp:simplePos x="0" y="0"/>
            <wp:positionH relativeFrom="column">
              <wp:posOffset>20507</wp:posOffset>
            </wp:positionH>
            <wp:positionV relativeFrom="paragraph">
              <wp:posOffset>533203</wp:posOffset>
            </wp:positionV>
            <wp:extent cx="5788025" cy="3088005"/>
            <wp:effectExtent l="0" t="0" r="0" b="0"/>
            <wp:wrapTopAndBottom distT="0" distB="0"/>
            <wp:docPr id="3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9"/>
                    <a:srcRect l="19200" t="22695" r="19468" b="17337"/>
                    <a:stretch>
                      <a:fillRect/>
                    </a:stretch>
                  </pic:blipFill>
                  <pic:spPr>
                    <a:xfrm>
                      <a:off x="0" y="0"/>
                      <a:ext cx="5788025" cy="3088005"/>
                    </a:xfrm>
                    <a:prstGeom prst="rect">
                      <a:avLst/>
                    </a:prstGeom>
                    <a:ln/>
                  </pic:spPr>
                </pic:pic>
              </a:graphicData>
            </a:graphic>
          </wp:anchor>
        </w:drawing>
      </w:r>
      <w:r w:rsidR="00B53F5B">
        <w:rPr>
          <w:rFonts w:ascii="Palatino Linotype" w:eastAsia="Palatino Linotype" w:hAnsi="Palatino Linotype" w:cs="Palatino Linotype"/>
          <w:color w:val="000000"/>
          <w:sz w:val="22"/>
          <w:szCs w:val="22"/>
        </w:rPr>
        <w:t>2017:</w:t>
      </w:r>
    </w:p>
    <w:p w:rsidR="009449BB" w:rsidRDefault="009449BB">
      <w:pPr>
        <w:pBdr>
          <w:top w:val="nil"/>
          <w:left w:val="nil"/>
          <w:bottom w:val="nil"/>
          <w:right w:val="nil"/>
          <w:between w:val="nil"/>
        </w:pBdr>
        <w:spacing w:line="360" w:lineRule="auto"/>
        <w:ind w:left="720" w:hanging="708"/>
        <w:jc w:val="both"/>
        <w:rPr>
          <w:rFonts w:ascii="Palatino Linotype" w:eastAsia="Palatino Linotype" w:hAnsi="Palatino Linotype" w:cs="Palatino Linotype"/>
          <w:color w:val="000000"/>
          <w:sz w:val="22"/>
          <w:szCs w:val="22"/>
        </w:rPr>
      </w:pPr>
    </w:p>
    <w:p w:rsidR="00207F36" w:rsidRDefault="00B53F5B">
      <w:pPr>
        <w:pBdr>
          <w:top w:val="nil"/>
          <w:left w:val="nil"/>
          <w:bottom w:val="nil"/>
          <w:right w:val="nil"/>
          <w:between w:val="nil"/>
        </w:pBdr>
        <w:spacing w:line="360" w:lineRule="auto"/>
        <w:ind w:left="720" w:hanging="70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2018:</w:t>
      </w:r>
    </w:p>
    <w:p w:rsidR="00207F36" w:rsidRDefault="009449BB">
      <w:pPr>
        <w:pBdr>
          <w:top w:val="nil"/>
          <w:left w:val="nil"/>
          <w:bottom w:val="nil"/>
          <w:right w:val="nil"/>
          <w:between w:val="nil"/>
        </w:pBdr>
        <w:spacing w:after="240" w:line="360" w:lineRule="auto"/>
        <w:ind w:left="720" w:hanging="708"/>
        <w:jc w:val="both"/>
        <w:rPr>
          <w:rFonts w:ascii="Palatino Linotype" w:eastAsia="Palatino Linotype" w:hAnsi="Palatino Linotype" w:cs="Palatino Linotype"/>
          <w:color w:val="000000"/>
          <w:sz w:val="22"/>
          <w:szCs w:val="22"/>
        </w:rPr>
      </w:pPr>
      <w:r>
        <w:rPr>
          <w:noProof/>
          <w:lang w:val="es-MX"/>
        </w:rPr>
        <w:drawing>
          <wp:anchor distT="0" distB="0" distL="114300" distR="114300" simplePos="0" relativeHeight="251772416" behindDoc="0" locked="0" layoutInCell="1" allowOverlap="1">
            <wp:simplePos x="0" y="0"/>
            <wp:positionH relativeFrom="column">
              <wp:posOffset>-31464</wp:posOffset>
            </wp:positionH>
            <wp:positionV relativeFrom="paragraph">
              <wp:posOffset>232294</wp:posOffset>
            </wp:positionV>
            <wp:extent cx="5662431" cy="3151551"/>
            <wp:effectExtent l="0" t="0" r="0" b="0"/>
            <wp:wrapNone/>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0">
                      <a:extLst>
                        <a:ext uri="{28A0092B-C50C-407E-A947-70E740481C1C}">
                          <a14:useLocalDpi xmlns:a14="http://schemas.microsoft.com/office/drawing/2010/main" val="0"/>
                        </a:ext>
                      </a:extLst>
                    </a:blip>
                    <a:srcRect l="20990" t="13676" r="20880" b="15374"/>
                    <a:stretch>
                      <a:fillRect/>
                    </a:stretch>
                  </pic:blipFill>
                  <pic:spPr>
                    <a:xfrm>
                      <a:off x="0" y="0"/>
                      <a:ext cx="5662431" cy="3151551"/>
                    </a:xfrm>
                    <a:prstGeom prst="rect">
                      <a:avLst/>
                    </a:prstGeom>
                    <a:ln/>
                  </pic:spPr>
                </pic:pic>
              </a:graphicData>
            </a:graphic>
            <wp14:sizeRelH relativeFrom="page">
              <wp14:pctWidth>0</wp14:pctWidth>
            </wp14:sizeRelH>
            <wp14:sizeRelV relativeFrom="page">
              <wp14:pctHeight>0</wp14:pctHeight>
            </wp14:sizeRelV>
          </wp:anchor>
        </w:drawing>
      </w:r>
    </w:p>
    <w:p w:rsidR="00207F36" w:rsidRDefault="00207F36">
      <w:pPr>
        <w:spacing w:before="240" w:after="240" w:line="360" w:lineRule="auto"/>
        <w:jc w:val="both"/>
        <w:rPr>
          <w:rFonts w:ascii="Palatino Linotype" w:eastAsia="Palatino Linotype" w:hAnsi="Palatino Linotype" w:cs="Palatino Linotype"/>
        </w:rPr>
      </w:pPr>
    </w:p>
    <w:p w:rsidR="009449BB" w:rsidRDefault="009449BB">
      <w:pPr>
        <w:spacing w:before="240" w:after="240" w:line="360" w:lineRule="auto"/>
        <w:jc w:val="both"/>
        <w:rPr>
          <w:rFonts w:ascii="Palatino Linotype" w:eastAsia="Palatino Linotype" w:hAnsi="Palatino Linotype" w:cs="Palatino Linotype"/>
        </w:rPr>
      </w:pPr>
    </w:p>
    <w:p w:rsidR="009449BB" w:rsidRDefault="009449BB">
      <w:pPr>
        <w:spacing w:before="240" w:after="240" w:line="360" w:lineRule="auto"/>
        <w:jc w:val="both"/>
        <w:rPr>
          <w:rFonts w:ascii="Palatino Linotype" w:eastAsia="Palatino Linotype" w:hAnsi="Palatino Linotype" w:cs="Palatino Linotype"/>
        </w:rPr>
      </w:pPr>
    </w:p>
    <w:p w:rsidR="009449BB" w:rsidRDefault="009449BB">
      <w:pPr>
        <w:spacing w:before="240" w:after="240" w:line="360" w:lineRule="auto"/>
        <w:jc w:val="both"/>
        <w:rPr>
          <w:rFonts w:ascii="Palatino Linotype" w:eastAsia="Palatino Linotype" w:hAnsi="Palatino Linotype" w:cs="Palatino Linotype"/>
        </w:rPr>
      </w:pPr>
    </w:p>
    <w:p w:rsidR="009449BB" w:rsidRDefault="009449BB">
      <w:pPr>
        <w:spacing w:before="240" w:after="240" w:line="360" w:lineRule="auto"/>
        <w:jc w:val="both"/>
        <w:rPr>
          <w:rFonts w:ascii="Palatino Linotype" w:eastAsia="Palatino Linotype" w:hAnsi="Palatino Linotype" w:cs="Palatino Linotype"/>
        </w:rPr>
      </w:pPr>
    </w:p>
    <w:p w:rsidR="009449BB" w:rsidRDefault="009449BB">
      <w:pPr>
        <w:spacing w:before="240" w:after="240" w:line="360" w:lineRule="auto"/>
        <w:jc w:val="both"/>
        <w:rPr>
          <w:rFonts w:ascii="Palatino Linotype" w:eastAsia="Palatino Linotype" w:hAnsi="Palatino Linotype" w:cs="Palatino Linotype"/>
        </w:rPr>
      </w:pPr>
    </w:p>
    <w:p w:rsidR="009449BB" w:rsidRDefault="009449BB">
      <w:pPr>
        <w:spacing w:before="240" w:after="240" w:line="360" w:lineRule="auto"/>
        <w:jc w:val="both"/>
        <w:rPr>
          <w:rFonts w:ascii="Palatino Linotype" w:eastAsia="Palatino Linotype" w:hAnsi="Palatino Linotype" w:cs="Palatino Linotype"/>
        </w:rPr>
      </w:pPr>
    </w:p>
    <w:p w:rsidR="00207F36" w:rsidRDefault="009449BB">
      <w:pPr>
        <w:numPr>
          <w:ilvl w:val="0"/>
          <w:numId w:val="4"/>
        </w:numPr>
        <w:pBdr>
          <w:top w:val="nil"/>
          <w:left w:val="nil"/>
          <w:bottom w:val="nil"/>
          <w:right w:val="nil"/>
          <w:between w:val="nil"/>
        </w:pBdr>
        <w:spacing w:line="360" w:lineRule="auto"/>
        <w:contextualSpacing/>
        <w:jc w:val="both"/>
        <w:rPr>
          <w:b/>
          <w:color w:val="000000"/>
          <w:sz w:val="22"/>
          <w:szCs w:val="22"/>
        </w:rPr>
      </w:pPr>
      <w:r w:rsidRPr="002863BD">
        <w:rPr>
          <w:b/>
          <w:noProof/>
          <w:lang w:val="es-MX"/>
        </w:rPr>
        <w:lastRenderedPageBreak/>
        <w:drawing>
          <wp:anchor distT="0" distB="0" distL="114300" distR="114300" simplePos="0" relativeHeight="251793920" behindDoc="0" locked="0" layoutInCell="1" allowOverlap="1" wp14:anchorId="45E04308" wp14:editId="477865B1">
            <wp:simplePos x="0" y="0"/>
            <wp:positionH relativeFrom="column">
              <wp:posOffset>-88900</wp:posOffset>
            </wp:positionH>
            <wp:positionV relativeFrom="paragraph">
              <wp:posOffset>332105</wp:posOffset>
            </wp:positionV>
            <wp:extent cx="5810885" cy="2997835"/>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9720" t="19375" r="18845" b="8299"/>
                    <a:stretch/>
                  </pic:blipFill>
                  <pic:spPr bwMode="auto">
                    <a:xfrm>
                      <a:off x="0" y="0"/>
                      <a:ext cx="5810885" cy="2997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3F5B">
        <w:rPr>
          <w:rFonts w:ascii="Palatino Linotype" w:eastAsia="Palatino Linotype" w:hAnsi="Palatino Linotype" w:cs="Palatino Linotype"/>
          <w:b/>
          <w:color w:val="000000"/>
          <w:sz w:val="22"/>
          <w:szCs w:val="22"/>
        </w:rPr>
        <w:t>PbRM-01d, su contenido es el siguiente para el año 2016 y 2017</w:t>
      </w:r>
      <w:r w:rsidR="00FC7E1A">
        <w:rPr>
          <w:rFonts w:ascii="Palatino Linotype" w:eastAsia="Palatino Linotype" w:hAnsi="Palatino Linotype" w:cs="Palatino Linotype"/>
          <w:b/>
          <w:color w:val="000000"/>
          <w:sz w:val="22"/>
          <w:szCs w:val="22"/>
        </w:rPr>
        <w:t>, variando de año</w:t>
      </w:r>
      <w:r w:rsidR="00B53F5B">
        <w:rPr>
          <w:rFonts w:ascii="Palatino Linotype" w:eastAsia="Palatino Linotype" w:hAnsi="Palatino Linotype" w:cs="Palatino Linotype"/>
          <w:b/>
          <w:color w:val="000000"/>
          <w:sz w:val="22"/>
          <w:szCs w:val="22"/>
        </w:rPr>
        <w:t>:</w:t>
      </w:r>
      <w:r w:rsidR="00B53F5B">
        <w:rPr>
          <w:noProof/>
          <w:lang w:val="es-MX"/>
        </w:rPr>
        <w:drawing>
          <wp:anchor distT="0" distB="0" distL="114300" distR="114300" simplePos="0" relativeHeight="251554304" behindDoc="0" locked="0" layoutInCell="1" hidden="0" allowOverlap="1">
            <wp:simplePos x="0" y="0"/>
            <wp:positionH relativeFrom="column">
              <wp:posOffset>-210820</wp:posOffset>
            </wp:positionH>
            <wp:positionV relativeFrom="paragraph">
              <wp:posOffset>-5382895</wp:posOffset>
            </wp:positionV>
            <wp:extent cx="5810885" cy="2997835"/>
            <wp:effectExtent l="0" t="0" r="0" b="0"/>
            <wp:wrapNone/>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2"/>
                    <a:srcRect l="19720" t="19374" r="18844" b="8298"/>
                    <a:stretch>
                      <a:fillRect/>
                    </a:stretch>
                  </pic:blipFill>
                  <pic:spPr>
                    <a:xfrm>
                      <a:off x="0" y="0"/>
                      <a:ext cx="5810885" cy="2997835"/>
                    </a:xfrm>
                    <a:prstGeom prst="rect">
                      <a:avLst/>
                    </a:prstGeom>
                    <a:ln/>
                  </pic:spPr>
                </pic:pic>
              </a:graphicData>
            </a:graphic>
          </wp:anchor>
        </w:drawing>
      </w:r>
    </w:p>
    <w:p w:rsidR="00207F36" w:rsidRDefault="00207F36">
      <w:pPr>
        <w:pBdr>
          <w:top w:val="nil"/>
          <w:left w:val="nil"/>
          <w:bottom w:val="nil"/>
          <w:right w:val="nil"/>
          <w:between w:val="nil"/>
        </w:pBdr>
        <w:spacing w:line="360" w:lineRule="auto"/>
        <w:ind w:left="720" w:hanging="708"/>
        <w:jc w:val="both"/>
        <w:rPr>
          <w:rFonts w:ascii="Palatino Linotype" w:eastAsia="Palatino Linotype" w:hAnsi="Palatino Linotype" w:cs="Palatino Linotype"/>
          <w:color w:val="000000"/>
          <w:sz w:val="22"/>
          <w:szCs w:val="22"/>
        </w:rPr>
      </w:pPr>
    </w:p>
    <w:p w:rsidR="009449BB" w:rsidRDefault="009449BB">
      <w:pPr>
        <w:pBdr>
          <w:top w:val="nil"/>
          <w:left w:val="nil"/>
          <w:bottom w:val="nil"/>
          <w:right w:val="nil"/>
          <w:between w:val="nil"/>
        </w:pBdr>
        <w:spacing w:after="240" w:line="360" w:lineRule="auto"/>
        <w:ind w:left="720" w:hanging="708"/>
        <w:jc w:val="both"/>
        <w:rPr>
          <w:rFonts w:ascii="Palatino Linotype" w:eastAsia="Palatino Linotype" w:hAnsi="Palatino Linotype" w:cs="Palatino Linotype"/>
          <w:color w:val="000000"/>
          <w:sz w:val="22"/>
          <w:szCs w:val="22"/>
        </w:rPr>
      </w:pPr>
    </w:p>
    <w:p w:rsidR="009449BB" w:rsidRDefault="009449BB">
      <w:pPr>
        <w:pBdr>
          <w:top w:val="nil"/>
          <w:left w:val="nil"/>
          <w:bottom w:val="nil"/>
          <w:right w:val="nil"/>
          <w:between w:val="nil"/>
        </w:pBdr>
        <w:spacing w:after="240" w:line="360" w:lineRule="auto"/>
        <w:ind w:left="720" w:hanging="708"/>
        <w:jc w:val="both"/>
        <w:rPr>
          <w:rFonts w:ascii="Palatino Linotype" w:eastAsia="Palatino Linotype" w:hAnsi="Palatino Linotype" w:cs="Palatino Linotype"/>
          <w:color w:val="000000"/>
          <w:sz w:val="22"/>
          <w:szCs w:val="22"/>
        </w:rPr>
      </w:pPr>
    </w:p>
    <w:p w:rsidR="009449BB" w:rsidRDefault="009449BB">
      <w:pPr>
        <w:pBdr>
          <w:top w:val="nil"/>
          <w:left w:val="nil"/>
          <w:bottom w:val="nil"/>
          <w:right w:val="nil"/>
          <w:between w:val="nil"/>
        </w:pBdr>
        <w:spacing w:after="240" w:line="360" w:lineRule="auto"/>
        <w:ind w:left="720" w:hanging="708"/>
        <w:jc w:val="both"/>
        <w:rPr>
          <w:rFonts w:ascii="Palatino Linotype" w:eastAsia="Palatino Linotype" w:hAnsi="Palatino Linotype" w:cs="Palatino Linotype"/>
          <w:color w:val="000000"/>
          <w:sz w:val="22"/>
          <w:szCs w:val="22"/>
        </w:rPr>
      </w:pPr>
    </w:p>
    <w:p w:rsidR="009449BB" w:rsidRDefault="009449BB">
      <w:pPr>
        <w:pBdr>
          <w:top w:val="nil"/>
          <w:left w:val="nil"/>
          <w:bottom w:val="nil"/>
          <w:right w:val="nil"/>
          <w:between w:val="nil"/>
        </w:pBdr>
        <w:spacing w:after="240" w:line="360" w:lineRule="auto"/>
        <w:ind w:left="720" w:hanging="708"/>
        <w:jc w:val="both"/>
        <w:rPr>
          <w:rFonts w:ascii="Palatino Linotype" w:eastAsia="Palatino Linotype" w:hAnsi="Palatino Linotype" w:cs="Palatino Linotype"/>
          <w:color w:val="000000"/>
          <w:sz w:val="22"/>
          <w:szCs w:val="22"/>
        </w:rPr>
      </w:pPr>
    </w:p>
    <w:p w:rsidR="009449BB" w:rsidRDefault="009449BB">
      <w:pPr>
        <w:pBdr>
          <w:top w:val="nil"/>
          <w:left w:val="nil"/>
          <w:bottom w:val="nil"/>
          <w:right w:val="nil"/>
          <w:between w:val="nil"/>
        </w:pBdr>
        <w:spacing w:after="240" w:line="360" w:lineRule="auto"/>
        <w:ind w:left="720" w:hanging="708"/>
        <w:jc w:val="both"/>
        <w:rPr>
          <w:rFonts w:ascii="Palatino Linotype" w:eastAsia="Palatino Linotype" w:hAnsi="Palatino Linotype" w:cs="Palatino Linotype"/>
          <w:color w:val="000000"/>
          <w:sz w:val="22"/>
          <w:szCs w:val="22"/>
        </w:rPr>
      </w:pPr>
    </w:p>
    <w:p w:rsidR="009449BB" w:rsidRDefault="009449BB">
      <w:pPr>
        <w:pBdr>
          <w:top w:val="nil"/>
          <w:left w:val="nil"/>
          <w:bottom w:val="nil"/>
          <w:right w:val="nil"/>
          <w:between w:val="nil"/>
        </w:pBdr>
        <w:spacing w:after="240" w:line="360" w:lineRule="auto"/>
        <w:ind w:left="720" w:hanging="708"/>
        <w:jc w:val="both"/>
        <w:rPr>
          <w:rFonts w:ascii="Palatino Linotype" w:eastAsia="Palatino Linotype" w:hAnsi="Palatino Linotype" w:cs="Palatino Linotype"/>
          <w:color w:val="000000"/>
          <w:sz w:val="22"/>
          <w:szCs w:val="22"/>
        </w:rPr>
      </w:pPr>
    </w:p>
    <w:p w:rsidR="009449BB" w:rsidRDefault="009449BB">
      <w:pPr>
        <w:pBdr>
          <w:top w:val="nil"/>
          <w:left w:val="nil"/>
          <w:bottom w:val="nil"/>
          <w:right w:val="nil"/>
          <w:between w:val="nil"/>
        </w:pBdr>
        <w:spacing w:after="240" w:line="360" w:lineRule="auto"/>
        <w:ind w:left="720" w:hanging="708"/>
        <w:jc w:val="both"/>
        <w:rPr>
          <w:rFonts w:ascii="Palatino Linotype" w:eastAsia="Palatino Linotype" w:hAnsi="Palatino Linotype" w:cs="Palatino Linotype"/>
          <w:color w:val="000000"/>
          <w:sz w:val="22"/>
          <w:szCs w:val="22"/>
        </w:rPr>
      </w:pPr>
    </w:p>
    <w:p w:rsidR="00207F36" w:rsidRDefault="009449BB">
      <w:pPr>
        <w:pBdr>
          <w:top w:val="nil"/>
          <w:left w:val="nil"/>
          <w:bottom w:val="nil"/>
          <w:right w:val="nil"/>
          <w:between w:val="nil"/>
        </w:pBdr>
        <w:spacing w:after="240" w:line="360" w:lineRule="auto"/>
        <w:ind w:left="720" w:hanging="708"/>
        <w:jc w:val="both"/>
        <w:rPr>
          <w:rFonts w:ascii="Palatino Linotype" w:eastAsia="Palatino Linotype" w:hAnsi="Palatino Linotype" w:cs="Palatino Linotype"/>
          <w:color w:val="000000"/>
          <w:sz w:val="22"/>
          <w:szCs w:val="22"/>
        </w:rPr>
      </w:pPr>
      <w:r>
        <w:rPr>
          <w:noProof/>
          <w:lang w:val="es-MX"/>
        </w:rPr>
        <w:drawing>
          <wp:anchor distT="0" distB="0" distL="114300" distR="114300" simplePos="0" relativeHeight="251791872" behindDoc="0" locked="0" layoutInCell="1" allowOverlap="1">
            <wp:simplePos x="0" y="0"/>
            <wp:positionH relativeFrom="column">
              <wp:posOffset>-12489</wp:posOffset>
            </wp:positionH>
            <wp:positionV relativeFrom="paragraph">
              <wp:posOffset>181816</wp:posOffset>
            </wp:positionV>
            <wp:extent cx="5612130" cy="3464994"/>
            <wp:effectExtent l="0" t="0" r="7620" b="2540"/>
            <wp:wrapNone/>
            <wp:docPr id="3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3">
                      <a:extLst>
                        <a:ext uri="{28A0092B-C50C-407E-A947-70E740481C1C}">
                          <a14:useLocalDpi xmlns:a14="http://schemas.microsoft.com/office/drawing/2010/main" val="0"/>
                        </a:ext>
                      </a:extLst>
                    </a:blip>
                    <a:srcRect l="23072" t="20169" r="25441" b="12840"/>
                    <a:stretch>
                      <a:fillRect/>
                    </a:stretch>
                  </pic:blipFill>
                  <pic:spPr>
                    <a:xfrm>
                      <a:off x="0" y="0"/>
                      <a:ext cx="5612130" cy="3464994"/>
                    </a:xfrm>
                    <a:prstGeom prst="rect">
                      <a:avLst/>
                    </a:prstGeom>
                    <a:ln/>
                  </pic:spPr>
                </pic:pic>
              </a:graphicData>
            </a:graphic>
            <wp14:sizeRelH relativeFrom="page">
              <wp14:pctWidth>0</wp14:pctWidth>
            </wp14:sizeRelH>
            <wp14:sizeRelV relativeFrom="page">
              <wp14:pctHeight>0</wp14:pctHeight>
            </wp14:sizeRelV>
          </wp:anchor>
        </w:drawing>
      </w:r>
      <w:r w:rsidR="00B53F5B">
        <w:rPr>
          <w:rFonts w:ascii="Palatino Linotype" w:eastAsia="Palatino Linotype" w:hAnsi="Palatino Linotype" w:cs="Palatino Linotype"/>
          <w:color w:val="000000"/>
          <w:sz w:val="22"/>
          <w:szCs w:val="22"/>
        </w:rPr>
        <w:t>Para el año 2018:</w:t>
      </w:r>
    </w:p>
    <w:p w:rsidR="00207F36" w:rsidRDefault="00207F36">
      <w:pPr>
        <w:spacing w:before="240" w:after="240" w:line="360" w:lineRule="auto"/>
        <w:jc w:val="both"/>
        <w:rPr>
          <w:rFonts w:ascii="Palatino Linotype" w:eastAsia="Palatino Linotype" w:hAnsi="Palatino Linotype" w:cs="Palatino Linotype"/>
        </w:rPr>
      </w:pPr>
    </w:p>
    <w:p w:rsidR="009449BB" w:rsidRDefault="009449BB">
      <w:pPr>
        <w:spacing w:before="240" w:after="240" w:line="360" w:lineRule="auto"/>
        <w:jc w:val="both"/>
        <w:rPr>
          <w:rFonts w:ascii="Palatino Linotype" w:eastAsia="Palatino Linotype" w:hAnsi="Palatino Linotype" w:cs="Palatino Linotype"/>
        </w:rPr>
      </w:pPr>
    </w:p>
    <w:p w:rsidR="009449BB" w:rsidRDefault="009449BB">
      <w:pPr>
        <w:spacing w:before="240" w:after="240" w:line="360" w:lineRule="auto"/>
        <w:jc w:val="both"/>
        <w:rPr>
          <w:rFonts w:ascii="Palatino Linotype" w:eastAsia="Palatino Linotype" w:hAnsi="Palatino Linotype" w:cs="Palatino Linotype"/>
        </w:rPr>
      </w:pPr>
    </w:p>
    <w:p w:rsidR="009449BB" w:rsidRDefault="009449BB">
      <w:pPr>
        <w:spacing w:before="240" w:after="240" w:line="360" w:lineRule="auto"/>
        <w:jc w:val="both"/>
        <w:rPr>
          <w:rFonts w:ascii="Palatino Linotype" w:eastAsia="Palatino Linotype" w:hAnsi="Palatino Linotype" w:cs="Palatino Linotype"/>
        </w:rPr>
      </w:pPr>
    </w:p>
    <w:p w:rsidR="009449BB" w:rsidRDefault="009449BB">
      <w:pPr>
        <w:spacing w:before="240" w:after="240" w:line="360" w:lineRule="auto"/>
        <w:jc w:val="both"/>
        <w:rPr>
          <w:rFonts w:ascii="Palatino Linotype" w:eastAsia="Palatino Linotype" w:hAnsi="Palatino Linotype" w:cs="Palatino Linotype"/>
        </w:rPr>
      </w:pPr>
    </w:p>
    <w:p w:rsidR="009449BB" w:rsidRDefault="009449BB">
      <w:pPr>
        <w:spacing w:before="240" w:after="240" w:line="360" w:lineRule="auto"/>
        <w:jc w:val="both"/>
        <w:rPr>
          <w:rFonts w:ascii="Palatino Linotype" w:eastAsia="Palatino Linotype" w:hAnsi="Palatino Linotype" w:cs="Palatino Linotype"/>
        </w:rPr>
      </w:pPr>
    </w:p>
    <w:p w:rsidR="009449BB" w:rsidRDefault="009449BB">
      <w:pPr>
        <w:spacing w:before="240" w:after="240" w:line="360" w:lineRule="auto"/>
        <w:jc w:val="both"/>
        <w:rPr>
          <w:rFonts w:ascii="Palatino Linotype" w:eastAsia="Palatino Linotype" w:hAnsi="Palatino Linotype" w:cs="Palatino Linotype"/>
        </w:rPr>
      </w:pPr>
    </w:p>
    <w:p w:rsidR="00207F36" w:rsidRPr="00FC7E1A" w:rsidRDefault="00B53F5B">
      <w:pPr>
        <w:numPr>
          <w:ilvl w:val="0"/>
          <w:numId w:val="4"/>
        </w:numPr>
        <w:pBdr>
          <w:top w:val="nil"/>
          <w:left w:val="nil"/>
          <w:bottom w:val="nil"/>
          <w:right w:val="nil"/>
          <w:between w:val="nil"/>
        </w:pBdr>
        <w:spacing w:line="360" w:lineRule="auto"/>
        <w:contextualSpacing/>
        <w:jc w:val="both"/>
        <w:rPr>
          <w:color w:val="000000"/>
          <w:sz w:val="22"/>
          <w:szCs w:val="22"/>
        </w:rPr>
      </w:pPr>
      <w:r>
        <w:rPr>
          <w:rFonts w:ascii="Palatino Linotype" w:eastAsia="Palatino Linotype" w:hAnsi="Palatino Linotype" w:cs="Palatino Linotype"/>
          <w:b/>
          <w:color w:val="000000"/>
          <w:sz w:val="22"/>
          <w:szCs w:val="22"/>
        </w:rPr>
        <w:lastRenderedPageBreak/>
        <w:t>PbRM-01e, corresponde al mismo formato para los años 2016, 2017 y 2018, variando únicamente en el año del ejercicio fiscal, el cual contiene:</w:t>
      </w:r>
    </w:p>
    <w:p w:rsidR="00FC7E1A" w:rsidRDefault="00FC7E1A">
      <w:pPr>
        <w:spacing w:before="240" w:after="240" w:line="360" w:lineRule="auto"/>
        <w:jc w:val="both"/>
        <w:rPr>
          <w:rFonts w:ascii="Palatino Linotype" w:eastAsia="Palatino Linotype" w:hAnsi="Palatino Linotype" w:cs="Palatino Linotype"/>
        </w:rPr>
      </w:pPr>
      <w:r>
        <w:rPr>
          <w:noProof/>
          <w:lang w:val="es-MX"/>
        </w:rPr>
        <w:drawing>
          <wp:anchor distT="0" distB="0" distL="114300" distR="114300" simplePos="0" relativeHeight="251806208" behindDoc="0" locked="0" layoutInCell="1" allowOverlap="1">
            <wp:simplePos x="0" y="0"/>
            <wp:positionH relativeFrom="column">
              <wp:posOffset>-6163</wp:posOffset>
            </wp:positionH>
            <wp:positionV relativeFrom="paragraph">
              <wp:posOffset>84455</wp:posOffset>
            </wp:positionV>
            <wp:extent cx="5655445" cy="3045041"/>
            <wp:effectExtent l="0" t="0" r="2540" b="3175"/>
            <wp:wrapNone/>
            <wp:docPr id="3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4">
                      <a:extLst>
                        <a:ext uri="{28A0092B-C50C-407E-A947-70E740481C1C}">
                          <a14:useLocalDpi xmlns:a14="http://schemas.microsoft.com/office/drawing/2010/main" val="0"/>
                        </a:ext>
                      </a:extLst>
                    </a:blip>
                    <a:srcRect l="18119" t="11591" r="18925" b="8442"/>
                    <a:stretch>
                      <a:fillRect/>
                    </a:stretch>
                  </pic:blipFill>
                  <pic:spPr>
                    <a:xfrm>
                      <a:off x="0" y="0"/>
                      <a:ext cx="5655445" cy="3045041"/>
                    </a:xfrm>
                    <a:prstGeom prst="rect">
                      <a:avLst/>
                    </a:prstGeom>
                    <a:ln/>
                  </pic:spPr>
                </pic:pic>
              </a:graphicData>
            </a:graphic>
            <wp14:sizeRelH relativeFrom="page">
              <wp14:pctWidth>0</wp14:pctWidth>
            </wp14:sizeRelH>
            <wp14:sizeRelV relativeFrom="page">
              <wp14:pctHeight>0</wp14:pctHeight>
            </wp14:sizeRelV>
          </wp:anchor>
        </w:drawing>
      </w:r>
    </w:p>
    <w:p w:rsidR="00FC7E1A" w:rsidRDefault="00FC7E1A">
      <w:pPr>
        <w:spacing w:before="240" w:after="240" w:line="360" w:lineRule="auto"/>
        <w:jc w:val="both"/>
        <w:rPr>
          <w:rFonts w:ascii="Palatino Linotype" w:eastAsia="Palatino Linotype" w:hAnsi="Palatino Linotype" w:cs="Palatino Linotype"/>
        </w:rPr>
      </w:pPr>
    </w:p>
    <w:p w:rsidR="00FC7E1A" w:rsidRDefault="00FC7E1A">
      <w:pPr>
        <w:spacing w:before="240" w:after="240" w:line="360" w:lineRule="auto"/>
        <w:jc w:val="both"/>
        <w:rPr>
          <w:rFonts w:ascii="Palatino Linotype" w:eastAsia="Palatino Linotype" w:hAnsi="Palatino Linotype" w:cs="Palatino Linotype"/>
        </w:rPr>
      </w:pPr>
    </w:p>
    <w:p w:rsidR="00FC7E1A" w:rsidRDefault="00FC7E1A">
      <w:pPr>
        <w:spacing w:before="240" w:after="240" w:line="360" w:lineRule="auto"/>
        <w:jc w:val="both"/>
        <w:rPr>
          <w:rFonts w:ascii="Palatino Linotype" w:eastAsia="Palatino Linotype" w:hAnsi="Palatino Linotype" w:cs="Palatino Linotype"/>
        </w:rPr>
      </w:pPr>
    </w:p>
    <w:p w:rsidR="00FC7E1A" w:rsidRDefault="00FC7E1A">
      <w:pPr>
        <w:spacing w:before="240" w:after="240" w:line="360" w:lineRule="auto"/>
        <w:jc w:val="both"/>
        <w:rPr>
          <w:rFonts w:ascii="Palatino Linotype" w:eastAsia="Palatino Linotype" w:hAnsi="Palatino Linotype" w:cs="Palatino Linotype"/>
        </w:rPr>
      </w:pPr>
    </w:p>
    <w:p w:rsidR="00FC7E1A" w:rsidRDefault="00FC7E1A">
      <w:pPr>
        <w:spacing w:before="240" w:after="240" w:line="360" w:lineRule="auto"/>
        <w:jc w:val="both"/>
        <w:rPr>
          <w:rFonts w:ascii="Palatino Linotype" w:eastAsia="Palatino Linotype" w:hAnsi="Palatino Linotype" w:cs="Palatino Linotype"/>
        </w:rPr>
      </w:pPr>
    </w:p>
    <w:p w:rsidR="00FC7E1A" w:rsidRDefault="00FC7E1A">
      <w:pPr>
        <w:spacing w:before="240" w:after="240" w:line="360" w:lineRule="auto"/>
        <w:jc w:val="both"/>
        <w:rPr>
          <w:rFonts w:ascii="Palatino Linotype" w:eastAsia="Palatino Linotype" w:hAnsi="Palatino Linotype" w:cs="Palatino Linotype"/>
        </w:rPr>
      </w:pPr>
    </w:p>
    <w:p w:rsidR="00207F36" w:rsidRDefault="00FC7E1A">
      <w:pPr>
        <w:numPr>
          <w:ilvl w:val="0"/>
          <w:numId w:val="4"/>
        </w:numPr>
        <w:pBdr>
          <w:top w:val="nil"/>
          <w:left w:val="nil"/>
          <w:bottom w:val="nil"/>
          <w:right w:val="nil"/>
          <w:between w:val="nil"/>
        </w:pBdr>
        <w:spacing w:line="360" w:lineRule="auto"/>
        <w:ind w:left="360"/>
        <w:contextualSpacing/>
        <w:jc w:val="both"/>
        <w:rPr>
          <w:color w:val="000000"/>
          <w:sz w:val="22"/>
          <w:szCs w:val="22"/>
        </w:rPr>
      </w:pPr>
      <w:r>
        <w:rPr>
          <w:noProof/>
          <w:color w:val="000000"/>
          <w:sz w:val="22"/>
          <w:szCs w:val="22"/>
          <w:lang w:val="es-MX"/>
        </w:rPr>
        <w:drawing>
          <wp:anchor distT="0" distB="0" distL="114300" distR="114300" simplePos="0" relativeHeight="251819520" behindDoc="0" locked="0" layoutInCell="1" allowOverlap="1">
            <wp:simplePos x="0" y="0"/>
            <wp:positionH relativeFrom="column">
              <wp:posOffset>-43806</wp:posOffset>
            </wp:positionH>
            <wp:positionV relativeFrom="paragraph">
              <wp:posOffset>529519</wp:posOffset>
            </wp:positionV>
            <wp:extent cx="5612130" cy="3070860"/>
            <wp:effectExtent l="0" t="0" r="7620" b="0"/>
            <wp:wrapNone/>
            <wp:docPr id="3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5">
                      <a:extLst>
                        <a:ext uri="{28A0092B-C50C-407E-A947-70E740481C1C}">
                          <a14:useLocalDpi xmlns:a14="http://schemas.microsoft.com/office/drawing/2010/main" val="0"/>
                        </a:ext>
                      </a:extLst>
                    </a:blip>
                    <a:srcRect l="24509" t="19007" r="25311" b="30683"/>
                    <a:stretch>
                      <a:fillRect/>
                    </a:stretch>
                  </pic:blipFill>
                  <pic:spPr>
                    <a:xfrm>
                      <a:off x="0" y="0"/>
                      <a:ext cx="5612130" cy="3070860"/>
                    </a:xfrm>
                    <a:prstGeom prst="rect">
                      <a:avLst/>
                    </a:prstGeom>
                    <a:ln/>
                  </pic:spPr>
                </pic:pic>
              </a:graphicData>
            </a:graphic>
            <wp14:sizeRelH relativeFrom="page">
              <wp14:pctWidth>0</wp14:pctWidth>
            </wp14:sizeRelH>
            <wp14:sizeRelV relativeFrom="page">
              <wp14:pctHeight>0</wp14:pctHeight>
            </wp14:sizeRelV>
          </wp:anchor>
        </w:drawing>
      </w:r>
      <w:r w:rsidR="00B53F5B">
        <w:rPr>
          <w:rFonts w:ascii="Palatino Linotype" w:eastAsia="Palatino Linotype" w:hAnsi="Palatino Linotype" w:cs="Palatino Linotype"/>
          <w:b/>
          <w:color w:val="000000"/>
          <w:sz w:val="22"/>
          <w:szCs w:val="22"/>
        </w:rPr>
        <w:t>formato PbRM-02a, corresponde al mismo formato para los años 2016, 2017 y 2018, variando únicamente en el año del ejercicio fiscal, el cual contiene:</w:t>
      </w:r>
    </w:p>
    <w:p w:rsidR="00DF33E2" w:rsidRDefault="00DF33E2">
      <w:pPr>
        <w:spacing w:before="240" w:after="240" w:line="360" w:lineRule="auto"/>
        <w:jc w:val="both"/>
        <w:rPr>
          <w:rFonts w:ascii="Palatino Linotype" w:eastAsia="Palatino Linotype" w:hAnsi="Palatino Linotype" w:cs="Palatino Linotype"/>
        </w:rPr>
      </w:pPr>
    </w:p>
    <w:p w:rsidR="00DF33E2" w:rsidRDefault="00DF33E2">
      <w:pPr>
        <w:spacing w:before="240" w:after="240" w:line="360" w:lineRule="auto"/>
        <w:jc w:val="both"/>
        <w:rPr>
          <w:rFonts w:ascii="Palatino Linotype" w:eastAsia="Palatino Linotype" w:hAnsi="Palatino Linotype" w:cs="Palatino Linotype"/>
        </w:rPr>
      </w:pPr>
    </w:p>
    <w:p w:rsidR="00DF33E2" w:rsidRDefault="00DF33E2">
      <w:pPr>
        <w:spacing w:before="240" w:after="240" w:line="360" w:lineRule="auto"/>
        <w:jc w:val="both"/>
        <w:rPr>
          <w:rFonts w:ascii="Palatino Linotype" w:eastAsia="Palatino Linotype" w:hAnsi="Palatino Linotype" w:cs="Palatino Linotype"/>
        </w:rPr>
      </w:pPr>
    </w:p>
    <w:p w:rsidR="00DF33E2" w:rsidRDefault="00DF33E2">
      <w:pPr>
        <w:spacing w:before="240" w:after="240" w:line="360" w:lineRule="auto"/>
        <w:jc w:val="both"/>
        <w:rPr>
          <w:rFonts w:ascii="Palatino Linotype" w:eastAsia="Palatino Linotype" w:hAnsi="Palatino Linotype" w:cs="Palatino Linotype"/>
        </w:rPr>
      </w:pPr>
    </w:p>
    <w:p w:rsidR="00DF33E2" w:rsidRDefault="00DF33E2">
      <w:pPr>
        <w:spacing w:before="240" w:after="240" w:line="360" w:lineRule="auto"/>
        <w:jc w:val="both"/>
        <w:rPr>
          <w:rFonts w:ascii="Palatino Linotype" w:eastAsia="Palatino Linotype" w:hAnsi="Palatino Linotype" w:cs="Palatino Linotype"/>
        </w:rPr>
      </w:pPr>
    </w:p>
    <w:p w:rsidR="00DF33E2" w:rsidRDefault="00DF33E2">
      <w:pPr>
        <w:spacing w:before="240" w:after="240" w:line="360" w:lineRule="auto"/>
        <w:jc w:val="both"/>
        <w:rPr>
          <w:rFonts w:ascii="Palatino Linotype" w:eastAsia="Palatino Linotype" w:hAnsi="Palatino Linotype" w:cs="Palatino Linotype"/>
        </w:rPr>
      </w:pP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Formatos que en su conjunto conforman el Programa Operativo Anual requerido por el particular en su solicitud de acceso a la información pública.</w:t>
      </w:r>
    </w:p>
    <w:p w:rsidR="00207F36" w:rsidRDefault="00FC7E1A">
      <w:pPr>
        <w:spacing w:before="240" w:after="240" w:line="360" w:lineRule="auto"/>
        <w:jc w:val="both"/>
        <w:rPr>
          <w:rFonts w:ascii="Palatino Linotype" w:eastAsia="Palatino Linotype" w:hAnsi="Palatino Linotype" w:cs="Palatino Linotype"/>
        </w:rPr>
      </w:pPr>
      <w:r>
        <w:rPr>
          <w:noProof/>
          <w:lang w:val="es-MX"/>
        </w:rPr>
        <w:drawing>
          <wp:anchor distT="0" distB="0" distL="0" distR="0" simplePos="0" relativeHeight="251558400" behindDoc="0" locked="0" layoutInCell="1" hidden="0" allowOverlap="1">
            <wp:simplePos x="0" y="0"/>
            <wp:positionH relativeFrom="column">
              <wp:posOffset>171022</wp:posOffset>
            </wp:positionH>
            <wp:positionV relativeFrom="paragraph">
              <wp:posOffset>2808060</wp:posOffset>
            </wp:positionV>
            <wp:extent cx="5384800" cy="4069723"/>
            <wp:effectExtent l="0" t="0" r="6350" b="6985"/>
            <wp:wrapNone/>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6"/>
                    <a:srcRect l="8928" t="5540" r="30150" b="10513"/>
                    <a:stretch>
                      <a:fillRect/>
                    </a:stretch>
                  </pic:blipFill>
                  <pic:spPr>
                    <a:xfrm>
                      <a:off x="0" y="0"/>
                      <a:ext cx="5384800" cy="4069723"/>
                    </a:xfrm>
                    <a:prstGeom prst="rect">
                      <a:avLst/>
                    </a:prstGeom>
                    <a:ln/>
                  </pic:spPr>
                </pic:pic>
              </a:graphicData>
            </a:graphic>
            <wp14:sizeRelV relativeFrom="margin">
              <wp14:pctHeight>0</wp14:pctHeight>
            </wp14:sizeRelV>
          </wp:anchor>
        </w:drawing>
      </w:r>
      <w:r>
        <w:rPr>
          <w:noProof/>
          <w:lang w:val="es-MX"/>
        </w:rPr>
        <mc:AlternateContent>
          <mc:Choice Requires="wps">
            <w:drawing>
              <wp:anchor distT="0" distB="0" distL="114300" distR="114300" simplePos="0" relativeHeight="251560448" behindDoc="0" locked="0" layoutInCell="1" hidden="0" allowOverlap="1">
                <wp:simplePos x="0" y="0"/>
                <wp:positionH relativeFrom="column">
                  <wp:posOffset>2603500</wp:posOffset>
                </wp:positionH>
                <wp:positionV relativeFrom="paragraph">
                  <wp:posOffset>2769235</wp:posOffset>
                </wp:positionV>
                <wp:extent cx="521970" cy="248285"/>
                <wp:effectExtent l="0" t="0" r="0" b="0"/>
                <wp:wrapNone/>
                <wp:docPr id="7" name="Rectángulo 7"/>
                <wp:cNvGraphicFramePr/>
                <a:graphic xmlns:a="http://schemas.openxmlformats.org/drawingml/2006/main">
                  <a:graphicData uri="http://schemas.microsoft.com/office/word/2010/wordprocessingShape">
                    <wps:wsp>
                      <wps:cNvSpPr/>
                      <wps:spPr>
                        <a:xfrm>
                          <a:off x="0" y="0"/>
                          <a:ext cx="521970" cy="248285"/>
                        </a:xfrm>
                        <a:prstGeom prst="rect">
                          <a:avLst/>
                        </a:prstGeom>
                        <a:noFill/>
                        <a:ln w="44450" cap="flat" cmpd="sng">
                          <a:solidFill>
                            <a:srgbClr val="FF0000"/>
                          </a:solidFill>
                          <a:prstDash val="solid"/>
                          <a:miter lim="800000"/>
                          <a:headEnd type="none" w="sm" len="sm"/>
                          <a:tailEnd type="none" w="sm" len="sm"/>
                        </a:ln>
                      </wps:spPr>
                      <wps:txbx>
                        <w:txbxContent>
                          <w:p w:rsidR="00296D3F" w:rsidRDefault="00296D3F">
                            <w:pPr>
                              <w:textDirection w:val="btLr"/>
                            </w:pPr>
                          </w:p>
                        </w:txbxContent>
                      </wps:txbx>
                      <wps:bodyPr spcFirstLastPara="1" wrap="square" lIns="91425" tIns="91425" rIns="91425" bIns="91425" anchor="ctr" anchorCtr="0"/>
                    </wps:wsp>
                  </a:graphicData>
                </a:graphic>
              </wp:anchor>
            </w:drawing>
          </mc:Choice>
          <mc:Fallback>
            <w:pict>
              <v:rect id="Rectángulo 7" o:spid="_x0000_s1027" style="position:absolute;left:0;text-align:left;margin-left:205pt;margin-top:218.05pt;width:41.1pt;height:19.55pt;z-index:25156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" filled="f" strokecolor="red" strokeweight="3.5pt">
                <v:stroke startarrowwidth="narrow" startarrowlength="short" endarrowwidth="narrow" endarrowlength="short"/>
                <v:textbox inset="2.53958mm,2.53958mm,2.53958mm,2.53958mm">
                  <w:txbxContent>
                    <w:p w:rsidR="00296D3F" w:rsidRDefault="00296D3F">
                      <w:pPr>
                        <w:textDirection w:val="btLr"/>
                      </w:pPr>
                    </w:p>
                  </w:txbxContent>
                </v:textbox>
              </v:rect>
            </w:pict>
          </mc:Fallback>
        </mc:AlternateContent>
      </w:r>
      <w:r w:rsidR="00B53F5B">
        <w:rPr>
          <w:rFonts w:ascii="Palatino Linotype" w:eastAsia="Palatino Linotype" w:hAnsi="Palatino Linotype" w:cs="Palatino Linotype"/>
        </w:rPr>
        <w:t xml:space="preserve">En este sentido, con la finalidad de garantizar el pleno ejercicio del derecho de acceso a la información este Instituto procedió a analizar el contenido de los archivos proporcionados por el Sujeto Obligado en su respuesta, arribando a la conclusión de que la misma atiende parcialmente lo relativo al Programa Operativo Anual 2016, 2017 y 2018, se afirma lo anterior, toda vez de los archivos remitidos contienen únicamente el formato PbRM-02 como así se aprecia en las siguientes imágenes que de manera </w:t>
      </w:r>
      <w:r>
        <w:rPr>
          <w:rFonts w:ascii="Palatino Linotype" w:eastAsia="Palatino Linotype" w:hAnsi="Palatino Linotype" w:cs="Palatino Linotype"/>
        </w:rPr>
        <w:t>ilustrativa se insertan, solo la</w:t>
      </w:r>
      <w:r w:rsidR="00B53F5B">
        <w:rPr>
          <w:rFonts w:ascii="Palatino Linotype" w:eastAsia="Palatino Linotype" w:hAnsi="Palatino Linotype" w:cs="Palatino Linotype"/>
        </w:rPr>
        <w:t xml:space="preserve"> página uno de cada archivo por corresponder a sesenta y tres formatos para el año 2016 y cincuenta para el 2017 y 2018</w:t>
      </w:r>
      <w:r>
        <w:rPr>
          <w:rFonts w:ascii="Palatino Linotype" w:eastAsia="Palatino Linotype" w:hAnsi="Palatino Linotype" w:cs="Palatino Linotype"/>
        </w:rPr>
        <w:t>, respectivamente</w:t>
      </w:r>
      <w:r w:rsidR="00B53F5B">
        <w:rPr>
          <w:rFonts w:ascii="Palatino Linotype" w:eastAsia="Palatino Linotype" w:hAnsi="Palatino Linotype" w:cs="Palatino Linotype"/>
        </w:rPr>
        <w:t>:</w:t>
      </w:r>
    </w:p>
    <w:p w:rsidR="00207F36" w:rsidRDefault="00207F36">
      <w:pPr>
        <w:spacing w:before="240" w:after="240" w:line="360" w:lineRule="auto"/>
        <w:jc w:val="both"/>
        <w:rPr>
          <w:rFonts w:ascii="Palatino Linotype" w:eastAsia="Palatino Linotype" w:hAnsi="Palatino Linotype" w:cs="Palatino Linotype"/>
        </w:rPr>
      </w:pPr>
    </w:p>
    <w:p w:rsidR="00207F36" w:rsidRDefault="00B53F5B">
      <w:pPr>
        <w:spacing w:before="240" w:after="240" w:line="360" w:lineRule="auto"/>
        <w:jc w:val="both"/>
        <w:rPr>
          <w:rFonts w:ascii="Palatino Linotype" w:eastAsia="Palatino Linotype" w:hAnsi="Palatino Linotype" w:cs="Palatino Linotype"/>
        </w:rPr>
      </w:pPr>
      <w:r>
        <w:rPr>
          <w:noProof/>
          <w:lang w:val="es-MX"/>
        </w:rPr>
        <mc:AlternateContent>
          <mc:Choice Requires="wps">
            <w:drawing>
              <wp:anchor distT="0" distB="0" distL="114300" distR="114300" simplePos="0" relativeHeight="251666432" behindDoc="0" locked="0" layoutInCell="1" hidden="0" allowOverlap="1">
                <wp:simplePos x="0" y="0"/>
                <wp:positionH relativeFrom="column">
                  <wp:posOffset>4660900</wp:posOffset>
                </wp:positionH>
                <wp:positionV relativeFrom="paragraph">
                  <wp:posOffset>37921</wp:posOffset>
                </wp:positionV>
                <wp:extent cx="892195" cy="277406"/>
                <wp:effectExtent l="0" t="0" r="0" b="0"/>
                <wp:wrapNone/>
                <wp:docPr id="10" name="Rectángulo 10"/>
                <wp:cNvGraphicFramePr/>
                <a:graphic xmlns:a="http://schemas.openxmlformats.org/drawingml/2006/main">
                  <a:graphicData uri="http://schemas.microsoft.com/office/word/2010/wordprocessingShape">
                    <wps:wsp>
                      <wps:cNvSpPr/>
                      <wps:spPr>
                        <a:xfrm>
                          <a:off x="0" y="0"/>
                          <a:ext cx="892195" cy="277406"/>
                        </a:xfrm>
                        <a:prstGeom prst="rect">
                          <a:avLst/>
                        </a:prstGeom>
                        <a:noFill/>
                        <a:ln w="44450" cap="flat" cmpd="sng">
                          <a:solidFill>
                            <a:srgbClr val="FF0000"/>
                          </a:solidFill>
                          <a:prstDash val="solid"/>
                          <a:miter lim="800000"/>
                          <a:headEnd type="none" w="sm" len="sm"/>
                          <a:tailEnd type="none" w="sm" len="sm"/>
                        </a:ln>
                      </wps:spPr>
                      <wps:txbx>
                        <w:txbxContent>
                          <w:p w:rsidR="00296D3F" w:rsidRDefault="00296D3F">
                            <w:pPr>
                              <w:textDirection w:val="btLr"/>
                            </w:pPr>
                          </w:p>
                        </w:txbxContent>
                      </wps:txbx>
                      <wps:bodyPr spcFirstLastPara="1" wrap="square" lIns="91425" tIns="91425" rIns="91425" bIns="91425" anchor="ctr" anchorCtr="0"/>
                    </wps:wsp>
                  </a:graphicData>
                </a:graphic>
              </wp:anchor>
            </w:drawing>
          </mc:Choice>
          <mc:Fallback>
            <w:pict>
              <v:rect id="Rectángulo 10" o:spid="_x0000_s1028" style="position:absolute;left:0;text-align:left;margin-left:367pt;margin-top:3pt;width:70.25pt;height:21.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" filled="f" strokecolor="red" strokeweight="3.5pt">
                <v:stroke startarrowwidth="narrow" startarrowlength="short" endarrowwidth="narrow" endarrowlength="short"/>
                <v:textbox inset="2.53958mm,2.53958mm,2.53958mm,2.53958mm">
                  <w:txbxContent>
                    <w:p w:rsidR="00296D3F" w:rsidRDefault="00296D3F">
                      <w:pPr>
                        <w:textDirection w:val="btLr"/>
                      </w:pPr>
                    </w:p>
                  </w:txbxContent>
                </v:textbox>
              </v:rect>
            </w:pict>
          </mc:Fallback>
        </mc:AlternateContent>
      </w:r>
    </w:p>
    <w:p w:rsidR="00207F36" w:rsidRDefault="00B53F5B">
      <w:pPr>
        <w:spacing w:before="240" w:after="240" w:line="360" w:lineRule="auto"/>
        <w:jc w:val="both"/>
      </w:pPr>
      <w:r>
        <w:rPr>
          <w:noProof/>
          <w:lang w:val="es-MX"/>
        </w:rPr>
        <mc:AlternateContent>
          <mc:Choice Requires="wps">
            <w:drawing>
              <wp:anchor distT="0" distB="0" distL="114300" distR="114300" simplePos="0" relativeHeight="251667456" behindDoc="0" locked="0" layoutInCell="1" hidden="0" allowOverlap="1">
                <wp:simplePos x="0" y="0"/>
                <wp:positionH relativeFrom="column">
                  <wp:posOffset>76200</wp:posOffset>
                </wp:positionH>
                <wp:positionV relativeFrom="paragraph">
                  <wp:posOffset>259187</wp:posOffset>
                </wp:positionV>
                <wp:extent cx="609397" cy="300715"/>
                <wp:effectExtent l="0" t="0" r="0" b="0"/>
                <wp:wrapNone/>
                <wp:docPr id="9" name="Rectángulo 9"/>
                <wp:cNvGraphicFramePr/>
                <a:graphic xmlns:a="http://schemas.openxmlformats.org/drawingml/2006/main">
                  <a:graphicData uri="http://schemas.microsoft.com/office/word/2010/wordprocessingShape">
                    <wps:wsp>
                      <wps:cNvSpPr/>
                      <wps:spPr>
                        <a:xfrm>
                          <a:off x="0" y="0"/>
                          <a:ext cx="609397" cy="300715"/>
                        </a:xfrm>
                        <a:prstGeom prst="rect">
                          <a:avLst/>
                        </a:prstGeom>
                        <a:noFill/>
                        <a:ln w="44450" cap="flat" cmpd="sng">
                          <a:solidFill>
                            <a:srgbClr val="FF0000"/>
                          </a:solidFill>
                          <a:prstDash val="solid"/>
                          <a:miter lim="800000"/>
                          <a:headEnd type="none" w="sm" len="sm"/>
                          <a:tailEnd type="none" w="sm" len="sm"/>
                        </a:ln>
                      </wps:spPr>
                      <wps:txbx>
                        <w:txbxContent>
                          <w:p w:rsidR="00296D3F" w:rsidRDefault="00296D3F">
                            <w:pPr>
                              <w:textDirection w:val="btLr"/>
                            </w:pPr>
                          </w:p>
                        </w:txbxContent>
                      </wps:txbx>
                      <wps:bodyPr spcFirstLastPara="1" wrap="square" lIns="91425" tIns="91425" rIns="91425" bIns="91425" anchor="ctr" anchorCtr="0"/>
                    </wps:wsp>
                  </a:graphicData>
                </a:graphic>
              </wp:anchor>
            </w:drawing>
          </mc:Choice>
          <mc:Fallback>
            <w:pict>
              <v:rect id="Rectángulo 9" o:spid="_x0000_s1029" style="position:absolute;left:0;text-align:left;margin-left:6pt;margin-top:20.4pt;width:48pt;height:23.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" filled="f" strokecolor="red" strokeweight="3.5pt">
                <v:stroke startarrowwidth="narrow" startarrowlength="short" endarrowwidth="narrow" endarrowlength="short"/>
                <v:textbox inset="2.53958mm,2.53958mm,2.53958mm,2.53958mm">
                  <w:txbxContent>
                    <w:p w:rsidR="00296D3F" w:rsidRDefault="00296D3F">
                      <w:pPr>
                        <w:textDirection w:val="btLr"/>
                      </w:pPr>
                    </w:p>
                  </w:txbxContent>
                </v:textbox>
              </v:rect>
            </w:pict>
          </mc:Fallback>
        </mc:AlternateContent>
      </w:r>
    </w:p>
    <w:p w:rsidR="00207F36" w:rsidRDefault="00207F36">
      <w:pPr>
        <w:spacing w:before="240" w:after="240" w:line="360" w:lineRule="auto"/>
        <w:jc w:val="both"/>
        <w:rPr>
          <w:rFonts w:ascii="Palatino Linotype" w:eastAsia="Palatino Linotype" w:hAnsi="Palatino Linotype" w:cs="Palatino Linotype"/>
        </w:rPr>
      </w:pPr>
    </w:p>
    <w:p w:rsidR="00207F36" w:rsidRDefault="00207F36">
      <w:pPr>
        <w:spacing w:before="240" w:after="240" w:line="360" w:lineRule="auto"/>
        <w:jc w:val="both"/>
        <w:rPr>
          <w:rFonts w:ascii="Palatino Linotype" w:eastAsia="Palatino Linotype" w:hAnsi="Palatino Linotype" w:cs="Palatino Linotype"/>
        </w:rPr>
      </w:pPr>
    </w:p>
    <w:p w:rsidR="00207F36" w:rsidRDefault="00207F36">
      <w:pPr>
        <w:spacing w:before="240" w:after="240" w:line="360" w:lineRule="auto"/>
        <w:jc w:val="both"/>
        <w:rPr>
          <w:rFonts w:ascii="Palatino Linotype" w:eastAsia="Palatino Linotype" w:hAnsi="Palatino Linotype" w:cs="Palatino Linotype"/>
        </w:rPr>
      </w:pPr>
    </w:p>
    <w:p w:rsidR="00207F36" w:rsidRDefault="00207F36">
      <w:pPr>
        <w:spacing w:before="240" w:after="240" w:line="360" w:lineRule="auto"/>
        <w:jc w:val="both"/>
        <w:rPr>
          <w:rFonts w:ascii="Palatino Linotype" w:eastAsia="Palatino Linotype" w:hAnsi="Palatino Linotype" w:cs="Palatino Linotype"/>
        </w:rPr>
      </w:pPr>
    </w:p>
    <w:p w:rsidR="00207F36" w:rsidRDefault="00207F36">
      <w:pPr>
        <w:spacing w:before="240" w:after="240" w:line="360" w:lineRule="auto"/>
        <w:jc w:val="both"/>
        <w:rPr>
          <w:rFonts w:ascii="Palatino Linotype" w:eastAsia="Palatino Linotype" w:hAnsi="Palatino Linotype" w:cs="Palatino Linotype"/>
        </w:rPr>
      </w:pPr>
    </w:p>
    <w:p w:rsidR="00207F36" w:rsidRDefault="00207F36">
      <w:pPr>
        <w:spacing w:before="240" w:after="240" w:line="360" w:lineRule="auto"/>
        <w:jc w:val="both"/>
        <w:rPr>
          <w:rFonts w:ascii="Palatino Linotype" w:eastAsia="Palatino Linotype" w:hAnsi="Palatino Linotype" w:cs="Palatino Linotype"/>
        </w:rPr>
      </w:pPr>
    </w:p>
    <w:p w:rsidR="00207F36" w:rsidRDefault="00FC7E1A">
      <w:pPr>
        <w:spacing w:before="240" w:after="240" w:line="360" w:lineRule="auto"/>
        <w:jc w:val="both"/>
        <w:rPr>
          <w:rFonts w:ascii="Palatino Linotype" w:eastAsia="Palatino Linotype" w:hAnsi="Palatino Linotype" w:cs="Palatino Linotype"/>
        </w:rPr>
      </w:pPr>
      <w:r>
        <w:rPr>
          <w:noProof/>
          <w:lang w:val="es-MX"/>
        </w:rPr>
        <w:lastRenderedPageBreak/>
        <w:drawing>
          <wp:anchor distT="0" distB="0" distL="0" distR="0" simplePos="0" relativeHeight="251563520" behindDoc="0" locked="0" layoutInCell="1" hidden="0" allowOverlap="1">
            <wp:simplePos x="0" y="0"/>
            <wp:positionH relativeFrom="column">
              <wp:posOffset>149225</wp:posOffset>
            </wp:positionH>
            <wp:positionV relativeFrom="paragraph">
              <wp:posOffset>-21134</wp:posOffset>
            </wp:positionV>
            <wp:extent cx="5468620" cy="3783330"/>
            <wp:effectExtent l="0" t="0" r="0" b="7620"/>
            <wp:wrapNone/>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7"/>
                    <a:srcRect l="7887" t="4798" r="29845" b="7746"/>
                    <a:stretch>
                      <a:fillRect/>
                    </a:stretch>
                  </pic:blipFill>
                  <pic:spPr>
                    <a:xfrm>
                      <a:off x="0" y="0"/>
                      <a:ext cx="5468620" cy="3783330"/>
                    </a:xfrm>
                    <a:prstGeom prst="rect">
                      <a:avLst/>
                    </a:prstGeom>
                    <a:ln/>
                  </pic:spPr>
                </pic:pic>
              </a:graphicData>
            </a:graphic>
          </wp:anchor>
        </w:drawing>
      </w:r>
      <w:r>
        <w:rPr>
          <w:noProof/>
          <w:lang w:val="es-MX"/>
        </w:rPr>
        <mc:AlternateContent>
          <mc:Choice Requires="wps">
            <w:drawing>
              <wp:anchor distT="0" distB="0" distL="114300" distR="114300" simplePos="0" relativeHeight="251565568" behindDoc="0" locked="0" layoutInCell="1" hidden="0" allowOverlap="1">
                <wp:simplePos x="0" y="0"/>
                <wp:positionH relativeFrom="column">
                  <wp:posOffset>2692400</wp:posOffset>
                </wp:positionH>
                <wp:positionV relativeFrom="paragraph">
                  <wp:posOffset>-19882</wp:posOffset>
                </wp:positionV>
                <wp:extent cx="469617" cy="300715"/>
                <wp:effectExtent l="0" t="0" r="0" b="0"/>
                <wp:wrapNone/>
                <wp:docPr id="4" name="Rectángulo 4"/>
                <wp:cNvGraphicFramePr/>
                <a:graphic xmlns:a="http://schemas.openxmlformats.org/drawingml/2006/main">
                  <a:graphicData uri="http://schemas.microsoft.com/office/word/2010/wordprocessingShape">
                    <wps:wsp>
                      <wps:cNvSpPr/>
                      <wps:spPr>
                        <a:xfrm>
                          <a:off x="0" y="0"/>
                          <a:ext cx="469617" cy="300715"/>
                        </a:xfrm>
                        <a:prstGeom prst="rect">
                          <a:avLst/>
                        </a:prstGeom>
                        <a:noFill/>
                        <a:ln w="44450" cap="flat" cmpd="sng">
                          <a:solidFill>
                            <a:srgbClr val="FF0000"/>
                          </a:solidFill>
                          <a:prstDash val="solid"/>
                          <a:miter lim="800000"/>
                          <a:headEnd type="none" w="sm" len="sm"/>
                          <a:tailEnd type="none" w="sm" len="sm"/>
                        </a:ln>
                      </wps:spPr>
                      <wps:txbx>
                        <w:txbxContent>
                          <w:p w:rsidR="00296D3F" w:rsidRDefault="00296D3F">
                            <w:pPr>
                              <w:textDirection w:val="btLr"/>
                            </w:pPr>
                          </w:p>
                        </w:txbxContent>
                      </wps:txbx>
                      <wps:bodyPr spcFirstLastPara="1" wrap="square" lIns="91425" tIns="91425" rIns="91425" bIns="91425" anchor="ctr" anchorCtr="0"/>
                    </wps:wsp>
                  </a:graphicData>
                </a:graphic>
              </wp:anchor>
            </w:drawing>
          </mc:Choice>
          <mc:Fallback>
            <w:pict>
              <v:rect id="Rectángulo 4" o:spid="_x0000_s1030" style="position:absolute;left:0;text-align:left;margin-left:212pt;margin-top:-1.55pt;width:37pt;height:23.7pt;z-index:25156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" filled="f" strokecolor="red" strokeweight="3.5pt">
                <v:stroke startarrowwidth="narrow" startarrowlength="short" endarrowwidth="narrow" endarrowlength="short"/>
                <v:textbox inset="2.53958mm,2.53958mm,2.53958mm,2.53958mm">
                  <w:txbxContent>
                    <w:p w:rsidR="00296D3F" w:rsidRDefault="00296D3F">
                      <w:pPr>
                        <w:textDirection w:val="btLr"/>
                      </w:pPr>
                    </w:p>
                  </w:txbxContent>
                </v:textbox>
              </v:rect>
            </w:pict>
          </mc:Fallback>
        </mc:AlternateContent>
      </w:r>
    </w:p>
    <w:p w:rsidR="00207F36" w:rsidRDefault="00FC7E1A">
      <w:pPr>
        <w:spacing w:before="240" w:after="240" w:line="360" w:lineRule="auto"/>
        <w:jc w:val="both"/>
      </w:pPr>
      <w:r>
        <w:rPr>
          <w:noProof/>
          <w:lang w:val="es-MX"/>
        </w:rPr>
        <mc:AlternateContent>
          <mc:Choice Requires="wps">
            <w:drawing>
              <wp:anchor distT="0" distB="0" distL="114300" distR="114300" simplePos="0" relativeHeight="251567616" behindDoc="0" locked="0" layoutInCell="1" hidden="0" allowOverlap="1">
                <wp:simplePos x="0" y="0"/>
                <wp:positionH relativeFrom="column">
                  <wp:posOffset>4578797</wp:posOffset>
                </wp:positionH>
                <wp:positionV relativeFrom="paragraph">
                  <wp:posOffset>168105</wp:posOffset>
                </wp:positionV>
                <wp:extent cx="1011203" cy="248297"/>
                <wp:effectExtent l="0" t="0" r="0" b="0"/>
                <wp:wrapNone/>
                <wp:docPr id="3" name="Rectángulo 3"/>
                <wp:cNvGraphicFramePr/>
                <a:graphic xmlns:a="http://schemas.openxmlformats.org/drawingml/2006/main">
                  <a:graphicData uri="http://schemas.microsoft.com/office/word/2010/wordprocessingShape">
                    <wps:wsp>
                      <wps:cNvSpPr/>
                      <wps:spPr>
                        <a:xfrm>
                          <a:off x="0" y="0"/>
                          <a:ext cx="1011203" cy="248297"/>
                        </a:xfrm>
                        <a:prstGeom prst="rect">
                          <a:avLst/>
                        </a:prstGeom>
                        <a:noFill/>
                        <a:ln w="44450" cap="flat" cmpd="sng">
                          <a:solidFill>
                            <a:srgbClr val="FF0000"/>
                          </a:solidFill>
                          <a:prstDash val="solid"/>
                          <a:miter lim="800000"/>
                          <a:headEnd type="none" w="sm" len="sm"/>
                          <a:tailEnd type="none" w="sm" len="sm"/>
                        </a:ln>
                      </wps:spPr>
                      <wps:txbx>
                        <w:txbxContent>
                          <w:p w:rsidR="00296D3F" w:rsidRDefault="00296D3F">
                            <w:pPr>
                              <w:textDirection w:val="btLr"/>
                            </w:pPr>
                          </w:p>
                        </w:txbxContent>
                      </wps:txbx>
                      <wps:bodyPr spcFirstLastPara="1" wrap="square" lIns="91425" tIns="91425" rIns="91425" bIns="91425" anchor="ctr" anchorCtr="0"/>
                    </wps:wsp>
                  </a:graphicData>
                </a:graphic>
              </wp:anchor>
            </w:drawing>
          </mc:Choice>
          <mc:Fallback>
            <w:pict>
              <v:rect id="Rectángulo 3" o:spid="_x0000_s1031" style="position:absolute;left:0;text-align:left;margin-left:360.55pt;margin-top:13.25pt;width:79.6pt;height:19.55pt;z-index:25156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" filled="f" strokecolor="red" strokeweight="3.5pt">
                <v:stroke startarrowwidth="narrow" startarrowlength="short" endarrowwidth="narrow" endarrowlength="short"/>
                <v:textbox inset="2.53958mm,2.53958mm,2.53958mm,2.53958mm">
                  <w:txbxContent>
                    <w:p w:rsidR="00296D3F" w:rsidRDefault="00296D3F">
                      <w:pPr>
                        <w:textDirection w:val="btLr"/>
                      </w:pPr>
                    </w:p>
                  </w:txbxContent>
                </v:textbox>
              </v:rect>
            </w:pict>
          </mc:Fallback>
        </mc:AlternateContent>
      </w:r>
    </w:p>
    <w:p w:rsidR="00207F36" w:rsidRDefault="00FC7E1A">
      <w:pPr>
        <w:spacing w:before="240" w:after="240" w:line="360" w:lineRule="auto"/>
        <w:jc w:val="both"/>
        <w:rPr>
          <w:rFonts w:ascii="Palatino Linotype" w:eastAsia="Palatino Linotype" w:hAnsi="Palatino Linotype" w:cs="Palatino Linotype"/>
        </w:rPr>
      </w:pPr>
      <w:r>
        <w:rPr>
          <w:noProof/>
          <w:lang w:val="es-MX"/>
        </w:rPr>
        <mc:AlternateContent>
          <mc:Choice Requires="wps">
            <w:drawing>
              <wp:anchor distT="0" distB="0" distL="114300" distR="114300" simplePos="0" relativeHeight="251568640" behindDoc="0" locked="0" layoutInCell="1" hidden="0" allowOverlap="1">
                <wp:simplePos x="0" y="0"/>
                <wp:positionH relativeFrom="column">
                  <wp:posOffset>235039</wp:posOffset>
                </wp:positionH>
                <wp:positionV relativeFrom="paragraph">
                  <wp:posOffset>405202</wp:posOffset>
                </wp:positionV>
                <wp:extent cx="451691" cy="300715"/>
                <wp:effectExtent l="0" t="0" r="0" b="0"/>
                <wp:wrapNone/>
                <wp:docPr id="6" name="Rectángulo 6"/>
                <wp:cNvGraphicFramePr/>
                <a:graphic xmlns:a="http://schemas.openxmlformats.org/drawingml/2006/main">
                  <a:graphicData uri="http://schemas.microsoft.com/office/word/2010/wordprocessingShape">
                    <wps:wsp>
                      <wps:cNvSpPr/>
                      <wps:spPr>
                        <a:xfrm>
                          <a:off x="0" y="0"/>
                          <a:ext cx="451691" cy="300715"/>
                        </a:xfrm>
                        <a:prstGeom prst="rect">
                          <a:avLst/>
                        </a:prstGeom>
                        <a:noFill/>
                        <a:ln w="44450" cap="flat" cmpd="sng">
                          <a:solidFill>
                            <a:srgbClr val="FF0000"/>
                          </a:solidFill>
                          <a:prstDash val="solid"/>
                          <a:miter lim="800000"/>
                          <a:headEnd type="none" w="sm" len="sm"/>
                          <a:tailEnd type="none" w="sm" len="sm"/>
                        </a:ln>
                      </wps:spPr>
                      <wps:txbx>
                        <w:txbxContent>
                          <w:p w:rsidR="00296D3F" w:rsidRDefault="00296D3F">
                            <w:pPr>
                              <w:textDirection w:val="btLr"/>
                            </w:pPr>
                          </w:p>
                        </w:txbxContent>
                      </wps:txbx>
                      <wps:bodyPr spcFirstLastPara="1" wrap="square" lIns="91425" tIns="91425" rIns="91425" bIns="91425" anchor="ctr" anchorCtr="0"/>
                    </wps:wsp>
                  </a:graphicData>
                </a:graphic>
              </wp:anchor>
            </w:drawing>
          </mc:Choice>
          <mc:Fallback>
            <w:pict>
              <v:rect id="Rectángulo 6" o:spid="_x0000_s1032" style="position:absolute;left:0;text-align:left;margin-left:18.5pt;margin-top:31.9pt;width:35.55pt;height:23.7pt;z-index:25156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" filled="f" strokecolor="red" strokeweight="3.5pt">
                <v:stroke startarrowwidth="narrow" startarrowlength="short" endarrowwidth="narrow" endarrowlength="short"/>
                <v:textbox inset="2.53958mm,2.53958mm,2.53958mm,2.53958mm">
                  <w:txbxContent>
                    <w:p w:rsidR="00296D3F" w:rsidRDefault="00296D3F">
                      <w:pPr>
                        <w:textDirection w:val="btLr"/>
                      </w:pPr>
                    </w:p>
                  </w:txbxContent>
                </v:textbox>
              </v:rect>
            </w:pict>
          </mc:Fallback>
        </mc:AlternateContent>
      </w:r>
    </w:p>
    <w:p w:rsidR="00207F36" w:rsidRDefault="00207F36">
      <w:pPr>
        <w:spacing w:before="240" w:after="240" w:line="360" w:lineRule="auto"/>
        <w:jc w:val="both"/>
        <w:rPr>
          <w:rFonts w:ascii="Palatino Linotype" w:eastAsia="Palatino Linotype" w:hAnsi="Palatino Linotype" w:cs="Palatino Linotype"/>
        </w:rPr>
      </w:pPr>
    </w:p>
    <w:p w:rsidR="00207F36" w:rsidRDefault="00207F36">
      <w:pPr>
        <w:spacing w:before="240" w:after="240" w:line="360" w:lineRule="auto"/>
        <w:jc w:val="both"/>
        <w:rPr>
          <w:rFonts w:ascii="Palatino Linotype" w:eastAsia="Palatino Linotype" w:hAnsi="Palatino Linotype" w:cs="Palatino Linotype"/>
        </w:rPr>
      </w:pPr>
    </w:p>
    <w:p w:rsidR="00207F36" w:rsidRDefault="00207F36">
      <w:pPr>
        <w:spacing w:before="240" w:after="240" w:line="360" w:lineRule="auto"/>
        <w:jc w:val="both"/>
        <w:rPr>
          <w:rFonts w:ascii="Palatino Linotype" w:eastAsia="Palatino Linotype" w:hAnsi="Palatino Linotype" w:cs="Palatino Linotype"/>
        </w:rPr>
      </w:pPr>
    </w:p>
    <w:p w:rsidR="00207F36" w:rsidRDefault="00207F36">
      <w:pPr>
        <w:spacing w:before="240" w:after="240" w:line="360" w:lineRule="auto"/>
        <w:jc w:val="both"/>
        <w:rPr>
          <w:rFonts w:ascii="Palatino Linotype" w:eastAsia="Palatino Linotype" w:hAnsi="Palatino Linotype" w:cs="Palatino Linotype"/>
        </w:rPr>
      </w:pPr>
    </w:p>
    <w:p w:rsidR="00207F36" w:rsidRDefault="00207F36">
      <w:pPr>
        <w:spacing w:before="240" w:after="240" w:line="360" w:lineRule="auto"/>
        <w:jc w:val="both"/>
        <w:rPr>
          <w:rFonts w:ascii="Palatino Linotype" w:eastAsia="Palatino Linotype" w:hAnsi="Palatino Linotype" w:cs="Palatino Linotype"/>
        </w:rPr>
      </w:pPr>
    </w:p>
    <w:p w:rsidR="00207F36" w:rsidRDefault="00FC7E1A">
      <w:pPr>
        <w:spacing w:before="240" w:after="240" w:line="360" w:lineRule="auto"/>
        <w:jc w:val="both"/>
        <w:rPr>
          <w:rFonts w:ascii="Palatino Linotype" w:eastAsia="Palatino Linotype" w:hAnsi="Palatino Linotype" w:cs="Palatino Linotype"/>
        </w:rPr>
      </w:pPr>
      <w:r>
        <w:rPr>
          <w:noProof/>
          <w:lang w:val="es-MX"/>
        </w:rPr>
        <w:drawing>
          <wp:anchor distT="0" distB="0" distL="0" distR="0" simplePos="0" relativeHeight="251569664" behindDoc="0" locked="0" layoutInCell="1" hidden="0" allowOverlap="1">
            <wp:simplePos x="0" y="0"/>
            <wp:positionH relativeFrom="column">
              <wp:posOffset>230927</wp:posOffset>
            </wp:positionH>
            <wp:positionV relativeFrom="paragraph">
              <wp:posOffset>226784</wp:posOffset>
            </wp:positionV>
            <wp:extent cx="5467575" cy="3710018"/>
            <wp:effectExtent l="0" t="0" r="0" b="0"/>
            <wp:wrapSquare wrapText="bothSides" distT="0" distB="0" distL="0" distR="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8"/>
                    <a:srcRect l="8614" t="4245" r="30468" b="6638"/>
                    <a:stretch>
                      <a:fillRect/>
                    </a:stretch>
                  </pic:blipFill>
                  <pic:spPr>
                    <a:xfrm>
                      <a:off x="0" y="0"/>
                      <a:ext cx="5467575" cy="3710018"/>
                    </a:xfrm>
                    <a:prstGeom prst="rect">
                      <a:avLst/>
                    </a:prstGeom>
                    <a:ln/>
                  </pic:spPr>
                </pic:pic>
              </a:graphicData>
            </a:graphic>
          </wp:anchor>
        </w:drawing>
      </w:r>
      <w:r>
        <w:rPr>
          <w:noProof/>
          <w:lang w:val="es-MX"/>
        </w:rPr>
        <mc:AlternateContent>
          <mc:Choice Requires="wps">
            <w:drawing>
              <wp:anchor distT="0" distB="0" distL="114300" distR="114300" simplePos="0" relativeHeight="251571712" behindDoc="0" locked="0" layoutInCell="1" hidden="0" allowOverlap="1">
                <wp:simplePos x="0" y="0"/>
                <wp:positionH relativeFrom="column">
                  <wp:posOffset>2781836</wp:posOffset>
                </wp:positionH>
                <wp:positionV relativeFrom="paragraph">
                  <wp:posOffset>223950</wp:posOffset>
                </wp:positionV>
                <wp:extent cx="487089" cy="300715"/>
                <wp:effectExtent l="0" t="0" r="0" b="0"/>
                <wp:wrapNone/>
                <wp:docPr id="5" name="Rectángulo 5"/>
                <wp:cNvGraphicFramePr/>
                <a:graphic xmlns:a="http://schemas.openxmlformats.org/drawingml/2006/main">
                  <a:graphicData uri="http://schemas.microsoft.com/office/word/2010/wordprocessingShape">
                    <wps:wsp>
                      <wps:cNvSpPr/>
                      <wps:spPr>
                        <a:xfrm>
                          <a:off x="0" y="0"/>
                          <a:ext cx="487089" cy="300715"/>
                        </a:xfrm>
                        <a:prstGeom prst="rect">
                          <a:avLst/>
                        </a:prstGeom>
                        <a:noFill/>
                        <a:ln w="44450" cap="flat" cmpd="sng">
                          <a:solidFill>
                            <a:srgbClr val="FF0000"/>
                          </a:solidFill>
                          <a:prstDash val="solid"/>
                          <a:miter lim="800000"/>
                          <a:headEnd type="none" w="sm" len="sm"/>
                          <a:tailEnd type="none" w="sm" len="sm"/>
                        </a:ln>
                      </wps:spPr>
                      <wps:txbx>
                        <w:txbxContent>
                          <w:p w:rsidR="00296D3F" w:rsidRDefault="00296D3F">
                            <w:pPr>
                              <w:textDirection w:val="btLr"/>
                            </w:pPr>
                          </w:p>
                        </w:txbxContent>
                      </wps:txbx>
                      <wps:bodyPr spcFirstLastPara="1" wrap="square" lIns="91425" tIns="91425" rIns="91425" bIns="91425" anchor="ctr" anchorCtr="0"/>
                    </wps:wsp>
                  </a:graphicData>
                </a:graphic>
              </wp:anchor>
            </w:drawing>
          </mc:Choice>
          <mc:Fallback>
            <w:pict>
              <v:rect id="Rectángulo 5" o:spid="_x0000_s1033" style="position:absolute;left:0;text-align:left;margin-left:219.05pt;margin-top:17.65pt;width:38.35pt;height:23.7pt;z-index:25157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" filled="f" strokecolor="red" strokeweight="3.5pt">
                <v:stroke startarrowwidth="narrow" startarrowlength="short" endarrowwidth="narrow" endarrowlength="short"/>
                <v:textbox inset="2.53958mm,2.53958mm,2.53958mm,2.53958mm">
                  <w:txbxContent>
                    <w:p w:rsidR="00296D3F" w:rsidRDefault="00296D3F">
                      <w:pPr>
                        <w:textDirection w:val="btLr"/>
                      </w:pPr>
                    </w:p>
                  </w:txbxContent>
                </v:textbox>
              </v:rect>
            </w:pict>
          </mc:Fallback>
        </mc:AlternateContent>
      </w:r>
    </w:p>
    <w:p w:rsidR="00207F36" w:rsidRDefault="00B53F5B">
      <w:pPr>
        <w:spacing w:before="240" w:after="240" w:line="360" w:lineRule="auto"/>
        <w:jc w:val="both"/>
        <w:rPr>
          <w:rFonts w:ascii="Palatino Linotype" w:eastAsia="Palatino Linotype" w:hAnsi="Palatino Linotype" w:cs="Palatino Linotype"/>
        </w:rPr>
      </w:pPr>
      <w:r>
        <w:rPr>
          <w:noProof/>
          <w:lang w:val="es-MX"/>
        </w:rPr>
        <mc:AlternateContent>
          <mc:Choice Requires="wps">
            <w:drawing>
              <wp:anchor distT="0" distB="0" distL="114300" distR="114300" simplePos="0" relativeHeight="251674624" behindDoc="0" locked="0" layoutInCell="1" hidden="0" allowOverlap="1">
                <wp:simplePos x="0" y="0"/>
                <wp:positionH relativeFrom="column">
                  <wp:posOffset>4577393</wp:posOffset>
                </wp:positionH>
                <wp:positionV relativeFrom="paragraph">
                  <wp:posOffset>439670</wp:posOffset>
                </wp:positionV>
                <wp:extent cx="1115832" cy="160615"/>
                <wp:effectExtent l="0" t="0" r="0" b="0"/>
                <wp:wrapNone/>
                <wp:docPr id="2" name="Rectángulo 2"/>
                <wp:cNvGraphicFramePr/>
                <a:graphic xmlns:a="http://schemas.openxmlformats.org/drawingml/2006/main">
                  <a:graphicData uri="http://schemas.microsoft.com/office/word/2010/wordprocessingShape">
                    <wps:wsp>
                      <wps:cNvSpPr/>
                      <wps:spPr>
                        <a:xfrm>
                          <a:off x="0" y="0"/>
                          <a:ext cx="1115832" cy="160615"/>
                        </a:xfrm>
                        <a:prstGeom prst="rect">
                          <a:avLst/>
                        </a:prstGeom>
                        <a:noFill/>
                        <a:ln w="44450" cap="flat" cmpd="sng">
                          <a:solidFill>
                            <a:srgbClr val="FF0000"/>
                          </a:solidFill>
                          <a:prstDash val="solid"/>
                          <a:miter lim="800000"/>
                          <a:headEnd type="none" w="sm" len="sm"/>
                          <a:tailEnd type="none" w="sm" len="sm"/>
                        </a:ln>
                      </wps:spPr>
                      <wps:txbx>
                        <w:txbxContent>
                          <w:p w:rsidR="00296D3F" w:rsidRDefault="00296D3F">
                            <w:pPr>
                              <w:textDirection w:val="btLr"/>
                            </w:pPr>
                          </w:p>
                        </w:txbxContent>
                      </wps:txbx>
                      <wps:bodyPr spcFirstLastPara="1" wrap="square" lIns="91425" tIns="91425" rIns="91425" bIns="91425" anchor="ctr" anchorCtr="0"/>
                    </wps:wsp>
                  </a:graphicData>
                </a:graphic>
              </wp:anchor>
            </w:drawing>
          </mc:Choice>
          <mc:Fallback>
            <w:pict>
              <v:rect id="Rectángulo 2" o:spid="_x0000_s1034" style="position:absolute;left:0;text-align:left;margin-left:360.4pt;margin-top:34.6pt;width:87.85pt;height:12.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" filled="f" strokecolor="red" strokeweight="3.5pt">
                <v:stroke startarrowwidth="narrow" startarrowlength="short" endarrowwidth="narrow" endarrowlength="short"/>
                <v:textbox inset="2.53958mm,2.53958mm,2.53958mm,2.53958mm">
                  <w:txbxContent>
                    <w:p w:rsidR="00296D3F" w:rsidRDefault="00296D3F">
                      <w:pPr>
                        <w:textDirection w:val="btLr"/>
                      </w:pPr>
                    </w:p>
                  </w:txbxContent>
                </v:textbox>
              </v:rect>
            </w:pict>
          </mc:Fallback>
        </mc:AlternateContent>
      </w:r>
    </w:p>
    <w:p w:rsidR="00207F36" w:rsidRDefault="00B53F5B">
      <w:pPr>
        <w:spacing w:before="240" w:after="240" w:line="360" w:lineRule="auto"/>
        <w:jc w:val="both"/>
        <w:rPr>
          <w:rFonts w:ascii="Palatino Linotype" w:eastAsia="Palatino Linotype" w:hAnsi="Palatino Linotype" w:cs="Palatino Linotype"/>
        </w:rPr>
      </w:pPr>
      <w:r>
        <w:rPr>
          <w:noProof/>
          <w:lang w:val="es-MX"/>
        </w:rPr>
        <mc:AlternateContent>
          <mc:Choice Requires="wps">
            <w:drawing>
              <wp:anchor distT="0" distB="0" distL="114300" distR="114300" simplePos="0" relativeHeight="251675648" behindDoc="0" locked="0" layoutInCell="1" hidden="0" allowOverlap="1">
                <wp:simplePos x="0" y="0"/>
                <wp:positionH relativeFrom="column">
                  <wp:posOffset>266700</wp:posOffset>
                </wp:positionH>
                <wp:positionV relativeFrom="paragraph">
                  <wp:posOffset>401749</wp:posOffset>
                </wp:positionV>
                <wp:extent cx="487089" cy="207527"/>
                <wp:effectExtent l="0" t="0" r="0" b="0"/>
                <wp:wrapNone/>
                <wp:docPr id="1" name="Rectángulo 1"/>
                <wp:cNvGraphicFramePr/>
                <a:graphic xmlns:a="http://schemas.openxmlformats.org/drawingml/2006/main">
                  <a:graphicData uri="http://schemas.microsoft.com/office/word/2010/wordprocessingShape">
                    <wps:wsp>
                      <wps:cNvSpPr/>
                      <wps:spPr>
                        <a:xfrm>
                          <a:off x="0" y="0"/>
                          <a:ext cx="487089" cy="207527"/>
                        </a:xfrm>
                        <a:prstGeom prst="rect">
                          <a:avLst/>
                        </a:prstGeom>
                        <a:noFill/>
                        <a:ln w="44450" cap="flat" cmpd="sng">
                          <a:solidFill>
                            <a:srgbClr val="FF0000"/>
                          </a:solidFill>
                          <a:prstDash val="solid"/>
                          <a:miter lim="800000"/>
                          <a:headEnd type="none" w="sm" len="sm"/>
                          <a:tailEnd type="none" w="sm" len="sm"/>
                        </a:ln>
                      </wps:spPr>
                      <wps:txbx>
                        <w:txbxContent>
                          <w:p w:rsidR="00296D3F" w:rsidRDefault="00296D3F">
                            <w:pPr>
                              <w:textDirection w:val="btLr"/>
                            </w:pPr>
                          </w:p>
                        </w:txbxContent>
                      </wps:txbx>
                      <wps:bodyPr spcFirstLastPara="1" wrap="square" lIns="91425" tIns="91425" rIns="91425" bIns="91425" anchor="ctr" anchorCtr="0"/>
                    </wps:wsp>
                  </a:graphicData>
                </a:graphic>
              </wp:anchor>
            </w:drawing>
          </mc:Choice>
          <mc:Fallback>
            <w:pict>
              <v:rect id="Rectángulo 1" o:spid="_x0000_s1035" style="position:absolute;left:0;text-align:left;margin-left:21pt;margin-top:31.65pt;width:38.35pt;height:16.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" filled="f" strokecolor="red" strokeweight="3.5pt">
                <v:stroke startarrowwidth="narrow" startarrowlength="short" endarrowwidth="narrow" endarrowlength="short"/>
                <v:textbox inset="2.53958mm,2.53958mm,2.53958mm,2.53958mm">
                  <w:txbxContent>
                    <w:p w:rsidR="00296D3F" w:rsidRDefault="00296D3F">
                      <w:pPr>
                        <w:textDirection w:val="btLr"/>
                      </w:pPr>
                    </w:p>
                  </w:txbxContent>
                </v:textbox>
              </v:rect>
            </w:pict>
          </mc:Fallback>
        </mc:AlternateContent>
      </w:r>
    </w:p>
    <w:p w:rsidR="00207F36" w:rsidRDefault="00207F36">
      <w:pPr>
        <w:spacing w:before="240" w:after="240" w:line="360" w:lineRule="auto"/>
        <w:jc w:val="both"/>
        <w:rPr>
          <w:rFonts w:ascii="Palatino Linotype" w:eastAsia="Palatino Linotype" w:hAnsi="Palatino Linotype" w:cs="Palatino Linotype"/>
        </w:rPr>
      </w:pPr>
    </w:p>
    <w:p w:rsidR="00207F36" w:rsidRDefault="00207F36">
      <w:pPr>
        <w:spacing w:before="240" w:after="240" w:line="360" w:lineRule="auto"/>
        <w:jc w:val="both"/>
        <w:rPr>
          <w:rFonts w:ascii="Palatino Linotype" w:eastAsia="Palatino Linotype" w:hAnsi="Palatino Linotype" w:cs="Palatino Linotype"/>
        </w:rPr>
      </w:pPr>
    </w:p>
    <w:p w:rsidR="00207F36" w:rsidRDefault="00207F36">
      <w:pPr>
        <w:spacing w:before="240" w:after="240" w:line="360" w:lineRule="auto"/>
        <w:jc w:val="both"/>
        <w:rPr>
          <w:rFonts w:ascii="Palatino Linotype" w:eastAsia="Palatino Linotype" w:hAnsi="Palatino Linotype" w:cs="Palatino Linotype"/>
        </w:rPr>
      </w:pPr>
    </w:p>
    <w:p w:rsidR="00207F36" w:rsidRDefault="00207F36">
      <w:pPr>
        <w:spacing w:before="240" w:after="240" w:line="360" w:lineRule="auto"/>
        <w:jc w:val="both"/>
        <w:rPr>
          <w:rFonts w:ascii="Palatino Linotype" w:eastAsia="Palatino Linotype" w:hAnsi="Palatino Linotype" w:cs="Palatino Linotype"/>
        </w:rPr>
      </w:pPr>
    </w:p>
    <w:p w:rsidR="00FC7E1A" w:rsidRDefault="00FC7E1A">
      <w:pPr>
        <w:spacing w:before="240" w:after="240" w:line="360" w:lineRule="auto"/>
        <w:jc w:val="both"/>
        <w:rPr>
          <w:rFonts w:ascii="Palatino Linotype" w:eastAsia="Palatino Linotype" w:hAnsi="Palatino Linotype" w:cs="Palatino Linotype"/>
        </w:rPr>
      </w:pP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todos y cada uno de los formatos contemplados para la integración del Programa Operativo Anual de acuerdo a cada uno de los Manuales para la Planeación, Programación y Presupuesto de Egresos Municipal para el Ejercicio Fiscal 2016, 2017 y 2018, respectivamente, omitiendo remitir los demás formatos que debió generar el Sujeto Obligado; por lo tanto, en aplicación a lo señalado en los preceptos legales 285 del Código Financiero del Estado de México, 47 de la Ley de Fiscalización Superior del Estado de México, 31 fracciones XVIII, XI, 100 y 101 de la Ley Orgánica Municipal del Estado de México y 20 de Reglamento de la Ley de Planeación del Estado de México y Municipios alusivos en este punto; es por lo que, es procedente ordenar al Sujeto Obligado entregue al particular en </w:t>
      </w:r>
      <w:r w:rsidR="00FC7E1A">
        <w:rPr>
          <w:rFonts w:ascii="Palatino Linotype" w:eastAsia="Palatino Linotype" w:hAnsi="Palatino Linotype" w:cs="Palatino Linotype"/>
        </w:rPr>
        <w:t xml:space="preserve">la modalidad adoptada por éste y </w:t>
      </w:r>
      <w:r>
        <w:rPr>
          <w:rFonts w:ascii="Palatino Linotype" w:eastAsia="Palatino Linotype" w:hAnsi="Palatino Linotype" w:cs="Palatino Linotype"/>
        </w:rPr>
        <w:t>en versión publica de ser procedente, el programa operativo anual del año 2016, 2017 y 2018; con excepción del formato “PbRM-02”, de acuerdo</w:t>
      </w:r>
      <w:r w:rsidR="00FC7E1A">
        <w:rPr>
          <w:rFonts w:ascii="Palatino Linotype" w:eastAsia="Palatino Linotype" w:hAnsi="Palatino Linotype" w:cs="Palatino Linotype"/>
        </w:rPr>
        <w:t xml:space="preserve"> a los términos precisados en los</w:t>
      </w:r>
      <w:r>
        <w:rPr>
          <w:rFonts w:ascii="Palatino Linotype" w:eastAsia="Palatino Linotype" w:hAnsi="Palatino Linotype" w:cs="Palatino Linotype"/>
        </w:rPr>
        <w:t xml:space="preserve"> considerando</w:t>
      </w:r>
      <w:r w:rsidR="00FC7E1A">
        <w:rPr>
          <w:rFonts w:ascii="Palatino Linotype" w:eastAsia="Palatino Linotype" w:hAnsi="Palatino Linotype" w:cs="Palatino Linotype"/>
        </w:rPr>
        <w:t>s cuarto y quinto</w:t>
      </w:r>
      <w:r>
        <w:rPr>
          <w:rFonts w:ascii="Palatino Linotype" w:eastAsia="Palatino Linotype" w:hAnsi="Palatino Linotype" w:cs="Palatino Linotype"/>
        </w:rPr>
        <w:t>.</w:t>
      </w:r>
    </w:p>
    <w:p w:rsidR="00207F36" w:rsidRDefault="00F00CE7">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sexto</w:t>
      </w:r>
      <w:r w:rsidR="00B53F5B">
        <w:rPr>
          <w:rFonts w:ascii="Palatino Linotype" w:eastAsia="Palatino Linotype" w:hAnsi="Palatino Linotype" w:cs="Palatino Linotype"/>
        </w:rPr>
        <w:t xml:space="preserve"> lugar, respecto del punto señalado en la solicitud de acceso a la información del particular, correspondiente a la información en digital y en versión pública del disco 6 correspondiente al mes de diciembre de 2015, 2016 y 2017, el Sujeto Obligado al momento de emitir su respuesta adjuntó los archivos siguientes:</w:t>
      </w:r>
    </w:p>
    <w:tbl>
      <w:tblPr>
        <w:tblStyle w:val="a2"/>
        <w:tblW w:w="11700" w:type="dxa"/>
        <w:jc w:val="center"/>
        <w:tblInd w:w="0" w:type="dxa"/>
        <w:tblLayout w:type="fixed"/>
        <w:tblLook w:val="0400" w:firstRow="0" w:lastRow="0" w:firstColumn="0" w:lastColumn="0" w:noHBand="0" w:noVBand="1"/>
      </w:tblPr>
      <w:tblGrid>
        <w:gridCol w:w="11700"/>
      </w:tblGrid>
      <w:tr w:rsidR="00207F36">
        <w:trPr>
          <w:jc w:val="center"/>
        </w:trPr>
        <w:tc>
          <w:tcPr>
            <w:tcW w:w="11700" w:type="dxa"/>
            <w:vAlign w:val="center"/>
          </w:tcPr>
          <w:p w:rsidR="00207F36" w:rsidRDefault="00207F36">
            <w:pPr>
              <w:rPr>
                <w:sz w:val="20"/>
                <w:szCs w:val="20"/>
              </w:rPr>
            </w:pPr>
          </w:p>
        </w:tc>
      </w:tr>
      <w:tr w:rsidR="00207F36">
        <w:trPr>
          <w:jc w:val="center"/>
        </w:trPr>
        <w:tc>
          <w:tcPr>
            <w:tcW w:w="11700" w:type="dxa"/>
            <w:vAlign w:val="center"/>
          </w:tcPr>
          <w:p w:rsidR="00207F36" w:rsidRDefault="00207F36">
            <w:pPr>
              <w:widowControl w:val="0"/>
              <w:pBdr>
                <w:top w:val="nil"/>
                <w:left w:val="nil"/>
                <w:bottom w:val="nil"/>
                <w:right w:val="nil"/>
                <w:between w:val="nil"/>
              </w:pBdr>
              <w:spacing w:line="276" w:lineRule="auto"/>
              <w:rPr>
                <w:sz w:val="20"/>
                <w:szCs w:val="20"/>
              </w:rPr>
            </w:pPr>
          </w:p>
          <w:tbl>
            <w:tblPr>
              <w:tblStyle w:val="a3"/>
              <w:tblW w:w="8647" w:type="dxa"/>
              <w:tblInd w:w="136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77"/>
              <w:gridCol w:w="3724"/>
              <w:gridCol w:w="2446"/>
            </w:tblGrid>
            <w:tr w:rsidR="00207F36">
              <w:tc>
                <w:tcPr>
                  <w:tcW w:w="2477" w:type="dxa"/>
                  <w:tcBorders>
                    <w:top w:val="single" w:sz="6" w:space="0" w:color="000000"/>
                    <w:left w:val="single" w:sz="6" w:space="0" w:color="000000"/>
                    <w:bottom w:val="single" w:sz="6" w:space="0" w:color="000000"/>
                    <w:right w:val="single" w:sz="6" w:space="0" w:color="000000"/>
                  </w:tcBorders>
                  <w:shd w:val="clear" w:color="auto" w:fill="DFDFDF"/>
                  <w:vAlign w:val="center"/>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Nombre del Archivo formato “zip”</w:t>
                  </w:r>
                </w:p>
              </w:tc>
              <w:tc>
                <w:tcPr>
                  <w:tcW w:w="3724" w:type="dxa"/>
                  <w:tcBorders>
                    <w:top w:val="single" w:sz="6" w:space="0" w:color="000000"/>
                    <w:left w:val="single" w:sz="6" w:space="0" w:color="000000"/>
                    <w:bottom w:val="single" w:sz="6" w:space="0" w:color="000000"/>
                    <w:right w:val="single" w:sz="6" w:space="0" w:color="000000"/>
                  </w:tcBorders>
                  <w:shd w:val="clear" w:color="auto" w:fill="DFDFDF"/>
                  <w:vAlign w:val="center"/>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Nombre del Archivo.</w:t>
                  </w:r>
                </w:p>
              </w:tc>
              <w:tc>
                <w:tcPr>
                  <w:tcW w:w="2446" w:type="dxa"/>
                  <w:tcBorders>
                    <w:top w:val="single" w:sz="6" w:space="0" w:color="000000"/>
                    <w:left w:val="single" w:sz="6" w:space="0" w:color="000000"/>
                    <w:bottom w:val="single" w:sz="6" w:space="0" w:color="000000"/>
                    <w:right w:val="single" w:sz="6" w:space="0" w:color="000000"/>
                  </w:tcBorders>
                  <w:shd w:val="clear" w:color="auto" w:fill="DFDFDF"/>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Contenido</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hyperlink r:id="rId59">
                    <w:r>
                      <w:rPr>
                        <w:rFonts w:ascii="Palatino Linotype" w:eastAsia="Palatino Linotype" w:hAnsi="Palatino Linotype" w:cs="Palatino Linotype"/>
                        <w:sz w:val="16"/>
                        <w:szCs w:val="16"/>
                      </w:rPr>
                      <w:t>DISCO 6 2015.zip</w:t>
                    </w:r>
                  </w:hyperlink>
                  <w:r>
                    <w:rPr>
                      <w:rFonts w:ascii="Palatino Linotype" w:eastAsia="Palatino Linotype" w:hAnsi="Palatino Linotype" w:cs="Palatino Linotype"/>
                      <w:sz w:val="16"/>
                      <w:szCs w:val="16"/>
                    </w:rPr>
                    <w:t>”</w:t>
                  </w: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“ficha-pbrm-08b 2015.pdf”</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Contiene noventa y un formatos de la ficha técnica de seguimiento de indicadores estratégicos o de gestión del año 2015 (pbrm-08b), a nombre del Sujeto Obligado.</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center"/>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“FISM 2015.pdf”</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Contiene un estado de cuenta del FISM 2015 en versión </w:t>
                  </w:r>
                  <w:r>
                    <w:rPr>
                      <w:rFonts w:ascii="Palatino Linotype" w:eastAsia="Palatino Linotype" w:hAnsi="Palatino Linotype" w:cs="Palatino Linotype"/>
                      <w:sz w:val="16"/>
                      <w:szCs w:val="16"/>
                    </w:rPr>
                    <w:lastRenderedPageBreak/>
                    <w:t>pública a nombre del Sujeto Obligado del mes de diciembre del 2015, en donde se aprecia que se testaron el número de cuenta bancaria y clabe.</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center"/>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“FORTAMUN 2015.pdf”</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Contiene en un estado de cuenta FORTAMUN 2015 en versión pública a nombre del Sujeto Obligado del mes de diciembre del 2015, en donde se aprecia que se testaron el número de cuenta bancaria, clabe y el detalle de operaciones.</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center"/>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“meta-pbrm-03c2015.pdf”</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Contiene sesenta y cuatro formatos de Metas de Acciones por Proyecto (PbRM-08c) del presupuesto basado en resultados municipal, a nombre del Sujeto Obligado correspondientes a diversas unidades administrativas de este, del ejercicio anual del 2015 sobre el trimestre octubre-diciembre.</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center"/>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spacing w:before="240" w:after="240" w:line="360" w:lineRule="auto"/>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“SIAVAMEN 2015.pdf”</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Contiene el Registro de Avances Físicos y Financieros, en sus dos vertientes Fondo para la Infraestructura Social Municipal y de las Demarcaciones Territoriales del Distrito Federal (FISMDF) de los ejercicios fiscales 2013, 2014 y 2015 y Fondo de Aportaciones para el Fortalecimiento de los Municipios y de las Demarcaciones Territoriales del Distrito Federal (FORTAMUNDF) del mes de diciembre del 2015 de los ejercicios fiscales 2013, 2014 y 2015.</w:t>
                  </w:r>
                </w:p>
                <w:p w:rsidR="00207F36" w:rsidRDefault="00207F36">
                  <w:pPr>
                    <w:jc w:val="both"/>
                    <w:rPr>
                      <w:rFonts w:ascii="Palatino Linotype" w:eastAsia="Palatino Linotype" w:hAnsi="Palatino Linotype" w:cs="Palatino Linotype"/>
                      <w:sz w:val="16"/>
                      <w:szCs w:val="16"/>
                    </w:rPr>
                  </w:pP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center"/>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spacing w:before="240" w:after="240" w:line="360" w:lineRule="auto"/>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“AM003920154.TXT”</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Bloc de notas.</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center"/>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spacing w:before="240" w:after="240" w:line="360" w:lineRule="auto"/>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“INDGEST0039A12015.txt”</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Bloc de notas.</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center"/>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spacing w:before="240" w:after="240" w:line="360" w:lineRule="auto"/>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“INDGEST0039S42015.txt”.</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Bloc de notas.</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hyperlink r:id="rId60">
                    <w:r>
                      <w:rPr>
                        <w:rFonts w:ascii="Palatino Linotype" w:eastAsia="Palatino Linotype" w:hAnsi="Palatino Linotype" w:cs="Palatino Linotype"/>
                        <w:sz w:val="16"/>
                        <w:szCs w:val="16"/>
                      </w:rPr>
                      <w:t>DISCO 6 2016.zip</w:t>
                    </w:r>
                  </w:hyperlink>
                  <w:r>
                    <w:rPr>
                      <w:rFonts w:ascii="Palatino Linotype" w:eastAsia="Palatino Linotype" w:hAnsi="Palatino Linotype" w:cs="Palatino Linotype"/>
                      <w:sz w:val="16"/>
                      <w:szCs w:val="16"/>
                    </w:rPr>
                    <w:t>”, el cual contiene una carpeta denominada “6.7 15062_OCOYOACAC”, que a su vez tiene la carpeta “15062_OCOYOACAC” y esta se divide en cinco carpetas: la primera “150620001_OCOYOACA” la que tiene la carpeta:</w:t>
                  </w: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“ZAP_Urbana_2015” se integra de cinco archivos pdf que contienen las ubicaciones geográficas del Sujeto Obligado de las diferentes regiones que lo conforman del 2015 y un archivo pdf que </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Contiene un plano llave de las localidades con zonas de atención prioritaria urbana 2015 del Municipio de Ocoyoacac.</w:t>
                  </w:r>
                </w:p>
                <w:p w:rsidR="00207F36" w:rsidRDefault="00207F36">
                  <w:pPr>
                    <w:jc w:val="both"/>
                    <w:rPr>
                      <w:rFonts w:ascii="Palatino Linotype" w:eastAsia="Palatino Linotype" w:hAnsi="Palatino Linotype" w:cs="Palatino Linotype"/>
                      <w:sz w:val="16"/>
                      <w:szCs w:val="16"/>
                    </w:rPr>
                  </w:pPr>
                </w:p>
                <w:p w:rsidR="00207F36" w:rsidRDefault="00207F36">
                  <w:pPr>
                    <w:jc w:val="both"/>
                    <w:rPr>
                      <w:rFonts w:ascii="Palatino Linotype" w:eastAsia="Palatino Linotype" w:hAnsi="Palatino Linotype" w:cs="Palatino Linotype"/>
                      <w:sz w:val="16"/>
                      <w:szCs w:val="16"/>
                    </w:rPr>
                  </w:pP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both"/>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“150620014_EL_</w:t>
                  </w:r>
                </w:p>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PEDREGAL_DE_</w:t>
                  </w:r>
                </w:p>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GUADALUPE</w:t>
                  </w:r>
                </w:p>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_HIDALGO”</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Se conforma de una carpeta denominada “ZAP_Urbana_2015” la que no tiene ningún archivo.</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both"/>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“150620020_SAN_JERÓNIMO_ACAZULCO”</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Contiene la carpeta “ZAP_Urbana_2015”, que a su vez contiene tres archivos en pdf los cuales; el primero “1506200200048” contiene un plano de la localidad de San Jerónimo Acazulco del Sujeto Obligado, el segundo “150620002000137” y tercero “1506200200279” no se pueden abrir porque al darles click en el archivo aparece que no es un tipo de archivo admitido o está dañado. Y un archivo en formato pdf, que contiene un plano llave de las manzanas zap del Sujeto Obligado.</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both"/>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“150620022_SAN_PEDRO_ATLAPULCO</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Contiene una carpeta “ZAP_Urbana_2015”, que a su vez se integra de cuatro archivos pdf denominados“150620020067.pdf”, “150620020141.pdf”, “150620020160.pdf” y 2150620020283.pdf” los cuales no se pueden abrir porque al darles click en el archivo aparece que no es un tipo de archivo admitido o está dañado.</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both"/>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“150620022_SAN PEDRO ATLAPULCO.pdf”</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Los archivos contenidos en esta carpeta no se pudieron abrir porque a darle click en el archivo aparece que no es un tipo de archivo admitido o está dañado.</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both"/>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“150620023_SAN_PEDRO_CHOLULA”</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La que se integra de una </w:t>
                  </w:r>
                  <w:r>
                    <w:rPr>
                      <w:rFonts w:ascii="Palatino Linotype" w:eastAsia="Palatino Linotype" w:hAnsi="Palatino Linotype" w:cs="Palatino Linotype"/>
                      <w:sz w:val="16"/>
                      <w:szCs w:val="16"/>
                    </w:rPr>
                    <w:lastRenderedPageBreak/>
                    <w:t>carpeta denominada “ZAP_Urbana_2015” dentro se localiza un archivo en formato pdf “1506200230033.pdf” consistente en un plano de ubicación geográfica del poblado de San Pedro Cholula del Municipio de Ocoyoacac y un archivo en formato pdf “150620023_SAN PEDRO CHOLULA.pdf”, el cual no se puede abrir porque al darle click al archivo aparece que al archivo está dañado y no puede repararse.</w:t>
                  </w:r>
                </w:p>
                <w:p w:rsidR="00207F36" w:rsidRDefault="00207F36">
                  <w:pPr>
                    <w:jc w:val="both"/>
                    <w:rPr>
                      <w:rFonts w:ascii="Palatino Linotype" w:eastAsia="Palatino Linotype" w:hAnsi="Palatino Linotype" w:cs="Palatino Linotype"/>
                      <w:sz w:val="16"/>
                      <w:szCs w:val="16"/>
                    </w:rPr>
                  </w:pP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center"/>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rPr>
                    <w:t>“</w:t>
                  </w:r>
                  <w:r>
                    <w:rPr>
                      <w:rFonts w:ascii="Palatino Linotype" w:eastAsia="Palatino Linotype" w:hAnsi="Palatino Linotype" w:cs="Palatino Linotype"/>
                      <w:sz w:val="16"/>
                      <w:szCs w:val="16"/>
                    </w:rPr>
                    <w:t>6.3 INDGEST0039A12016.txt”</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center"/>
                    <w:rPr>
                      <w:rFonts w:ascii="Palatino Linotype" w:eastAsia="Palatino Linotype" w:hAnsi="Palatino Linotype" w:cs="Palatino Linotype"/>
                      <w:color w:val="FF0000"/>
                      <w:sz w:val="16"/>
                      <w:szCs w:val="16"/>
                    </w:rPr>
                  </w:pPr>
                  <w:r>
                    <w:rPr>
                      <w:rFonts w:ascii="Palatino Linotype" w:eastAsia="Palatino Linotype" w:hAnsi="Palatino Linotype" w:cs="Palatino Linotype"/>
                      <w:sz w:val="16"/>
                      <w:szCs w:val="16"/>
                    </w:rPr>
                    <w:t>Bloc de notas</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center"/>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rPr>
                  </w:pPr>
                  <w:r>
                    <w:rPr>
                      <w:rFonts w:ascii="Palatino Linotype" w:eastAsia="Palatino Linotype" w:hAnsi="Palatino Linotype" w:cs="Palatino Linotype"/>
                      <w:sz w:val="16"/>
                      <w:szCs w:val="16"/>
                    </w:rPr>
                    <w:t>“6.4 INDGEST0039S42016.TXT”</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Bloc de notas.</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center"/>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rPr>
                  </w:pPr>
                  <w:r>
                    <w:rPr>
                      <w:rFonts w:ascii="Palatino Linotype" w:eastAsia="Palatino Linotype" w:hAnsi="Palatino Linotype" w:cs="Palatino Linotype"/>
                      <w:sz w:val="16"/>
                      <w:szCs w:val="16"/>
                    </w:rPr>
                    <w:t>“6.15 AM0039201604.TXT”</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Bloc de notas.</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center"/>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rPr>
                  </w:pPr>
                  <w:r>
                    <w:rPr>
                      <w:rFonts w:ascii="Palatino Linotype" w:eastAsia="Palatino Linotype" w:hAnsi="Palatino Linotype" w:cs="Palatino Linotype"/>
                      <w:sz w:val="16"/>
                      <w:szCs w:val="16"/>
                    </w:rPr>
                    <w:t>“IS0039201604.TXT”</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Bloc de notas.</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center"/>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rPr>
                  </w:pPr>
                  <w:r>
                    <w:rPr>
                      <w:rFonts w:ascii="Palatino Linotype" w:eastAsia="Palatino Linotype" w:hAnsi="Palatino Linotype" w:cs="Palatino Linotype"/>
                      <w:sz w:val="16"/>
                      <w:szCs w:val="16"/>
                    </w:rPr>
                    <w:t>“6.5 SIAVAMEN DIC 16.pdf”</w:t>
                  </w:r>
                  <w:r>
                    <w:rPr>
                      <w:rFonts w:ascii="Palatino Linotype" w:eastAsia="Palatino Linotype" w:hAnsi="Palatino Linotype" w:cs="Palatino Linotype"/>
                    </w:rPr>
                    <w:t xml:space="preserve"> </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Contiene un oficio dirigido a la Directora General de Inversión, por medio del cual el Presidente y el Tesorero del Sujeto Obligado, remiten el SISTEMA DE AVANCE MENSUAL (SIAVAMEN), en sus dos vertientes Fondo para la Infraestructura Social Municipal y de las Demarcaciones Territoriales del Distrito Federal (FISMDF) de los años de ejercicios 2014, 2015 y 2016, anexando únicamente el año 2014, 2015, y diciembre del 2016, y Fondo de Aportaciones para el Fortalecimiento de los Municipios y de las Demarcaciones Territoriales del Distrito Federal (FORTAMUNDF) ejercicio 2016, con corte al 31 de Diciembre de 2016, anexando únicamente el mes de diciembre del 2016.</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center"/>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rPr>
                  </w:pPr>
                  <w:r>
                    <w:rPr>
                      <w:rFonts w:ascii="Palatino Linotype" w:eastAsia="Palatino Linotype" w:hAnsi="Palatino Linotype" w:cs="Palatino Linotype"/>
                      <w:sz w:val="16"/>
                      <w:szCs w:val="16"/>
                    </w:rPr>
                    <w:t>“6.6 ESTADO DE CUENTA FISM.pdf”</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Contiene un estado de cuenta FISMDF, a nombre del Sujeto Obligado en versión pública testando el número de cuenta bancaria del ENLACE GLOBAL PM C/INTERESES, y la descripción del cargo o abono del mes de diciembre </w:t>
                  </w:r>
                  <w:r>
                    <w:rPr>
                      <w:rFonts w:ascii="Palatino Linotype" w:eastAsia="Palatino Linotype" w:hAnsi="Palatino Linotype" w:cs="Palatino Linotype"/>
                      <w:sz w:val="16"/>
                      <w:szCs w:val="16"/>
                    </w:rPr>
                    <w:lastRenderedPageBreak/>
                    <w:t>del 2016.</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center"/>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rPr>
                  </w:pPr>
                  <w:r>
                    <w:rPr>
                      <w:rFonts w:ascii="Palatino Linotype" w:eastAsia="Palatino Linotype" w:hAnsi="Palatino Linotype" w:cs="Palatino Linotype"/>
                      <w:sz w:val="16"/>
                      <w:szCs w:val="16"/>
                    </w:rPr>
                    <w:t>“6.6 ESTADO DE CUENTA FORTAMUN.pdf”</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Contiene un estado de cuenta FORTAMUMDF 2016 a nombre del Sujeto Obligado en versión pública testando el número de cuenta bancaria del ENLACE GLOBAL PM C/INTERESES, y la descripción del cargo o abono del mes de diciembre del 2016.</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center"/>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rPr>
                  </w:pPr>
                  <w:r>
                    <w:rPr>
                      <w:rFonts w:ascii="Palatino Linotype" w:eastAsia="Palatino Linotype" w:hAnsi="Palatino Linotype" w:cs="Palatino Linotype"/>
                      <w:sz w:val="16"/>
                      <w:szCs w:val="16"/>
                    </w:rPr>
                    <w:t>“6.7 Grados de Resago Social GRS_2010.pdf”</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Contiene las Localidades con los dos mayores grados de rezago social del municipio de diversos estados de la república, 2010 y en donde se observan en la página 299 diez registros a nombre del Sujeto Obligado.</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center"/>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rPr>
                  </w:pPr>
                  <w:r>
                    <w:rPr>
                      <w:rFonts w:ascii="Palatino Linotype" w:eastAsia="Palatino Linotype" w:hAnsi="Palatino Linotype" w:cs="Palatino Linotype"/>
                      <w:sz w:val="16"/>
                      <w:szCs w:val="16"/>
                    </w:rPr>
                    <w:t>“6.7 SITUACION DE POBREZA Y REZAGO SOCIAL 062.pdf”</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Contiene el informe anual sobre la situación de pobreza y rezago social 2016 del municipio de Ocoyoacac.</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center"/>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“6.7 ZAP_Urbanas_2016-2 (1)pdf”</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Contiene el decreto por el cual se formula la Declaratoria de 188 zonas da Atención Prioritaria para al año 2016, donde se ubican cinco registros del municipio de Ocoyoacac.</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center"/>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“6.7 ZAP_Urbanas_2016-2 (1)pdf”, </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Contiene el decreto por el que se formula la Declaratoria de las Zonas de Atención Prioritaria para el año 2016, donde se ubican en la página 26 cinco registros a nombre del Sujeto Obligado.</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hyperlink r:id="rId61">
                    <w:r>
                      <w:rPr>
                        <w:rFonts w:ascii="Palatino Linotype" w:eastAsia="Palatino Linotype" w:hAnsi="Palatino Linotype" w:cs="Palatino Linotype"/>
                        <w:sz w:val="16"/>
                        <w:szCs w:val="16"/>
                      </w:rPr>
                      <w:t>DISCO 6 2017.zip</w:t>
                    </w:r>
                  </w:hyperlink>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“Disco 6 2017”</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 Contiene una carpeta denominada: “6.7 Mapa de Pobreza Municipal” la cual contiene tres archivos en formato pdf el primero “agebs GEO referenciados 2017-model.pdf” el cual no se pudo abrir porque al dar click en el archivo aparece que no es un tipo de archivo admitido o está dañado, el segundo “INFORME ANUAL DE SITUACIÓN DE POBREZA 2017.pdf”, el cual de igual forma no se pudo abrir porque al dar click en el archivo aparece que no es un tipo de archivo admitido o está dañado, el tercero </w:t>
                  </w:r>
                  <w:r>
                    <w:rPr>
                      <w:rFonts w:ascii="Palatino Linotype" w:eastAsia="Palatino Linotype" w:hAnsi="Palatino Linotype" w:cs="Palatino Linotype"/>
                      <w:sz w:val="16"/>
                      <w:szCs w:val="16"/>
                    </w:rPr>
                    <w:lastRenderedPageBreak/>
                    <w:t>“PPT_Rezago_Social_2010.pdf”, el cual de igual forma no se pudo abrir porque al dar click en el archivo aparece que no es un tipo de archivo admitido o está dañado y un archivo en formato Word denominado “ZAPS SECRETARÍA DE DESARROLLO SOCIAL.docx” el cual contiene una hoja en blanco.</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center"/>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Siete archivos en formato txt, denominados: “6.4 IS0039201704.TXT”, “6.14 INDGEST0039S22017.txt”, “6.15 INDGEST0039A12017.txt”, “6.16 AM0039201704.TXT”, “IS0039201701.TXT”, “IS0039201702.TXT” y “IS0039201703.TXT”.</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Contienen diversos temas en bloc de notas y diversas páginas de internet del IPOMEX del Sujeto Obligado referente a las obligaciones de trasparencia de todas las fracciones a que se refiere el artículo 92 de la Ley de la Materia.</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center"/>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“6.5 SIAVAMEN.pdf”</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Contiene un oficio dirigido a la Directora General de Inversión, por medio del cual el Presidente y el Tesorero del Sujeto Obligado, remiten el SISTEMA DE AVANCE MENSUAL (SIAVAMEN), en sus dos vertientes Fondo para la Infraestructura Social Municipal y de las Demarcaciones Territoriales del Distrito Federal (FISMDF) de los años de ejercicios 2014, 2015 y 2017, anexando únicamente el año 2014, 2015, y diciembre del 2017, y Fondo de Aportaciones para el Fortalecimiento de los Municipios y de las Demarcaciones Territoriales del Distrito Federal (FORTAMUNDF) ejercicio 2017, con corte al 31 de Diciembre de 2017, anexando únicamente el mes de diciembre del 2017.</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center"/>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“6.6 ESTADO DE CUENTA FISMDF.pdf”</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Contiene un estado de cuenta FISMDF a nombre del Sujeto Obligado en versión pública testando el número de cuenta bancaria como la clabe así como todo el detalle de movimientos del mes de diciembre del 2017.</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center"/>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“6.6 ESTADO DE CUENTA </w:t>
                  </w:r>
                  <w:r>
                    <w:rPr>
                      <w:rFonts w:ascii="Palatino Linotype" w:eastAsia="Palatino Linotype" w:hAnsi="Palatino Linotype" w:cs="Palatino Linotype"/>
                      <w:sz w:val="16"/>
                      <w:szCs w:val="16"/>
                    </w:rPr>
                    <w:lastRenderedPageBreak/>
                    <w:t>FORTAMUNDF.pdf”</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lastRenderedPageBreak/>
                    <w:t xml:space="preserve">Contiene un estado de cuenta </w:t>
                  </w:r>
                  <w:r>
                    <w:rPr>
                      <w:rFonts w:ascii="Palatino Linotype" w:eastAsia="Palatino Linotype" w:hAnsi="Palatino Linotype" w:cs="Palatino Linotype"/>
                      <w:sz w:val="16"/>
                      <w:szCs w:val="16"/>
                    </w:rPr>
                    <w:lastRenderedPageBreak/>
                    <w:t>FORTAMUNDF a nombre del Sujeto Obligado en versión pública testando el número de cuenta bancaria como la clabe así como todo el detalle de movimientos del mes de diciembre del 2017.</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center"/>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“6.8 COMPETENCIA LABORAL TESORERO.pdf”</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Contiene la competencia laboral del tesorero del Sujeto Obligado en versión publica al 31 de diciembre del 2017, apreciándose que se testo la fotografía del certificado de competencia laboral y del certificado de estudios y no así las calificaciones de esté.</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center"/>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“6.9 COMPETENCIA LABORAL DEL SECRETARIO DEL AYUNTAMIENTO.pdf”</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Contiene la competencia laboral de la secretaria del ayuntamiento de Ocoyoacac en versión pública al 31 de diciembre del 2017, apreciándose que se testo la fotografía del certificado de competencia laboral y del título.</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center"/>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“6.10 COMPETENCIA LABORAL DE CONTRALOR INTERNO.pdf”</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Contiene la competencia laboral del contralor interno del Sujeto Obligado en versión pública al 31 de diciembre del 2017, apreciándose que se testo la fotografía del certificado de competencia y del título.</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center"/>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“6.11 COMPETENCIA LABORAL DEL DIRECTOR DE OBRAS.pdf”</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Contiene la competencia laboral de la directora de obras del Sujeto Obligado en versión pública al 31 de diciembre del 2017, apreciándose que se testo la fotografía del certificado de competencia y del título.</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center"/>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“6.12 COMPETENCIA LABORAL DEL DIRECTOR DE DESARROLLO ECONOMICO.pdf”</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Contiene un oficio del encargado de la Dirección General de Desarrollo Económico donde se le hace saber al tesorero municipal, ambos del Sujeto Obligado que el certificado de competencia laboral del Director de Desarrollo Económico está en proceso de fecha 13 de julio del 2017.</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center"/>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“6.13 COMPETENCIA LABORAL DEL DIRECTOR DE CATASTRO.pdf”</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Contiene la competencia laboral del Director de Catastro del Sujeto Obligado en versión pública al 31 de </w:t>
                  </w:r>
                  <w:r>
                    <w:rPr>
                      <w:rFonts w:ascii="Palatino Linotype" w:eastAsia="Palatino Linotype" w:hAnsi="Palatino Linotype" w:cs="Palatino Linotype"/>
                      <w:sz w:val="16"/>
                      <w:szCs w:val="16"/>
                    </w:rPr>
                    <w:lastRenderedPageBreak/>
                    <w:t>diciembre del 2017, apreciándose que se testo la fotografía del certificado de competencia y de la cédula de pasante.</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center"/>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“6.14 DOCUMENTOS PARA EL DESARROLLO INSTITUCIONAL.pdf”</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Contiene los documentos que tiene el Sujeto Obligado del primero de julio al treinta y uno de diciembre del 2017, para el desarrollo institucional.</w:t>
                  </w:r>
                </w:p>
              </w:tc>
            </w:tr>
            <w:tr w:rsidR="00207F36">
              <w:tc>
                <w:tcPr>
                  <w:tcW w:w="2477" w:type="dxa"/>
                  <w:tcBorders>
                    <w:top w:val="single" w:sz="6" w:space="0" w:color="000000"/>
                    <w:left w:val="single" w:sz="6" w:space="0" w:color="000000"/>
                    <w:bottom w:val="single" w:sz="6" w:space="0" w:color="000000"/>
                    <w:right w:val="single" w:sz="6" w:space="0" w:color="000000"/>
                  </w:tcBorders>
                  <w:vAlign w:val="center"/>
                </w:tcPr>
                <w:p w:rsidR="00207F36" w:rsidRDefault="00207F36">
                  <w:pPr>
                    <w:jc w:val="center"/>
                    <w:rPr>
                      <w:rFonts w:ascii="Palatino Linotype" w:eastAsia="Palatino Linotype" w:hAnsi="Palatino Linotype" w:cs="Palatino Linotype"/>
                      <w:sz w:val="16"/>
                      <w:szCs w:val="16"/>
                    </w:rPr>
                  </w:pPr>
                </w:p>
              </w:tc>
              <w:tc>
                <w:tcPr>
                  <w:tcW w:w="3724" w:type="dxa"/>
                  <w:tcBorders>
                    <w:top w:val="single" w:sz="6" w:space="0" w:color="000000"/>
                    <w:left w:val="single" w:sz="6" w:space="0" w:color="000000"/>
                    <w:bottom w:val="single" w:sz="6" w:space="0" w:color="000000"/>
                    <w:right w:val="single" w:sz="6" w:space="0" w:color="000000"/>
                  </w:tcBorders>
                  <w:vAlign w:val="center"/>
                </w:tcPr>
                <w:p w:rsidR="00207F36" w:rsidRDefault="00B53F5B">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“6.15 TRANSPARENCIA EN EL AMBITO MUNICIPAL.pdf”</w:t>
                  </w:r>
                </w:p>
              </w:tc>
              <w:tc>
                <w:tcPr>
                  <w:tcW w:w="2446" w:type="dxa"/>
                  <w:tcBorders>
                    <w:top w:val="single" w:sz="6" w:space="0" w:color="000000"/>
                    <w:left w:val="single" w:sz="6" w:space="0" w:color="000000"/>
                    <w:bottom w:val="single" w:sz="6" w:space="0" w:color="000000"/>
                    <w:right w:val="single" w:sz="6" w:space="0" w:color="000000"/>
                  </w:tcBorders>
                </w:tcPr>
                <w:p w:rsidR="00207F36" w:rsidRDefault="00B53F5B">
                  <w:pPr>
                    <w:spacing w:before="24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Contiene un cuadro de las obligaciones de trasparencia que señala el artículo 92 de la ley de la Materia en cuanto a que si cumple o no respecto de cada fracción de dicho ordenamiento legal, como sus evidencias documentales y sus respectivas observaciones del primero de enero al treinta y uno de diciembre del 2017 del Sujeto Obligado.</w:t>
                  </w:r>
                </w:p>
                <w:p w:rsidR="00207F36" w:rsidRDefault="00207F36">
                  <w:pPr>
                    <w:jc w:val="both"/>
                    <w:rPr>
                      <w:rFonts w:ascii="Palatino Linotype" w:eastAsia="Palatino Linotype" w:hAnsi="Palatino Linotype" w:cs="Palatino Linotype"/>
                      <w:sz w:val="16"/>
                      <w:szCs w:val="16"/>
                    </w:rPr>
                  </w:pPr>
                </w:p>
              </w:tc>
            </w:tr>
          </w:tbl>
          <w:p w:rsidR="00207F36" w:rsidRDefault="00207F36">
            <w:pPr>
              <w:rPr>
                <w:rFonts w:ascii="Arial" w:eastAsia="Arial" w:hAnsi="Arial" w:cs="Arial"/>
              </w:rPr>
            </w:pPr>
          </w:p>
        </w:tc>
      </w:tr>
    </w:tbl>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Una vez precisado lo anterior, es pertinente insertar la naturaleza jurídica de la información materia del requerimiento en estudio, lo anterior, con la finalidad de determinar si la información que entregó el Sujeto Obligado satisface lo peticionado.</w:t>
      </w:r>
    </w:p>
    <w:p w:rsidR="00207F36" w:rsidRDefault="00B53F5B">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este sentido, es pertinente referir que conforme a lo establecido por la Ley de Fiscalización Superior del Estado de México, en su artículo 2 fracción XI, entiende al informe mensual como:</w:t>
      </w:r>
    </w:p>
    <w:p w:rsidR="00207F36" w:rsidRDefault="00207F36">
      <w:pPr>
        <w:spacing w:line="360" w:lineRule="auto"/>
        <w:ind w:right="49"/>
        <w:jc w:val="both"/>
        <w:rPr>
          <w:rFonts w:ascii="Palatino Linotype" w:eastAsia="Palatino Linotype" w:hAnsi="Palatino Linotype" w:cs="Palatino Linotype"/>
        </w:rPr>
      </w:pP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2…</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 Informe Mensual: Al documento que mensualmente envían para su análisis al Órgano Superior de Fiscalización de la Legislatura, las Tesorerías Municipales y la Secretaría de Finanzas…”(Sic)</w:t>
      </w:r>
    </w:p>
    <w:p w:rsidR="00207F36" w:rsidRDefault="00207F36">
      <w:pPr>
        <w:spacing w:line="360" w:lineRule="auto"/>
        <w:ind w:right="49"/>
        <w:jc w:val="both"/>
        <w:rPr>
          <w:rFonts w:ascii="Palatino Linotype" w:eastAsia="Palatino Linotype" w:hAnsi="Palatino Linotype" w:cs="Palatino Linotype"/>
        </w:rPr>
      </w:pPr>
    </w:p>
    <w:p w:rsidR="00207F36" w:rsidRDefault="00B53F5B">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Es decir, el informe mensual, es el documento por medio del cual la Tesorería del Sujeto Obligado, describe las características y realidades de un asunto o tema en particular, el cual deberá enviar al Órgano Superior de Fiscalización para su estudio de manera mensual.</w:t>
      </w:r>
    </w:p>
    <w:p w:rsidR="00207F36" w:rsidRDefault="00207F36">
      <w:pPr>
        <w:spacing w:line="360" w:lineRule="auto"/>
        <w:ind w:right="49"/>
        <w:jc w:val="both"/>
        <w:rPr>
          <w:rFonts w:ascii="Palatino Linotype" w:eastAsia="Palatino Linotype" w:hAnsi="Palatino Linotype" w:cs="Palatino Linotype"/>
        </w:rPr>
      </w:pPr>
    </w:p>
    <w:p w:rsidR="00207F36" w:rsidRDefault="00B53F5B">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Ahora bien, los informes que deba remitir mensualmente el Tesorero del Sujeto Obligado al OSFEM, deben contener todo lo relacionado al tema a examinar y toda vez que el OSFEM es el órgano encargado de fiscalizar al Sujeto Obligado</w:t>
      </w:r>
      <w:r>
        <w:rPr>
          <w:rFonts w:ascii="Palatino Linotype" w:eastAsia="Palatino Linotype" w:hAnsi="Palatino Linotype" w:cs="Palatino Linotype"/>
          <w:vertAlign w:val="superscript"/>
        </w:rPr>
        <w:footnoteReference w:id="7"/>
      </w:r>
      <w:r>
        <w:rPr>
          <w:rFonts w:ascii="Palatino Linotype" w:eastAsia="Palatino Linotype" w:hAnsi="Palatino Linotype" w:cs="Palatino Linotype"/>
        </w:rPr>
        <w:t>; éste de acuerdo a la Ley de Fiscalización Superior del Estado de México lo faculta para crear los lineamientos, criterios, procedimientos, métodos y sistemas para las acciones de control y evaluación que se deben de seguir para los informes mensuales; como así lo establece el artículo 8, que a la letra dice:</w:t>
      </w:r>
    </w:p>
    <w:p w:rsidR="00207F36" w:rsidRDefault="00207F36">
      <w:pPr>
        <w:spacing w:line="360" w:lineRule="auto"/>
        <w:ind w:right="49"/>
        <w:jc w:val="both"/>
        <w:rPr>
          <w:rFonts w:ascii="Palatino Linotype" w:eastAsia="Palatino Linotype" w:hAnsi="Palatino Linotype" w:cs="Palatino Linotype"/>
        </w:rPr>
      </w:pPr>
    </w:p>
    <w:p w:rsidR="00207F36" w:rsidRDefault="00B53F5B">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E15BCA">
        <w:rPr>
          <w:rFonts w:ascii="Palatino Linotype" w:eastAsia="Palatino Linotype" w:hAnsi="Palatino Linotype" w:cs="Palatino Linotype"/>
          <w:b/>
          <w:i/>
          <w:sz w:val="22"/>
          <w:szCs w:val="22"/>
        </w:rPr>
        <w:t>Artículo 8.-</w:t>
      </w:r>
      <w:r>
        <w:rPr>
          <w:rFonts w:ascii="Palatino Linotype" w:eastAsia="Palatino Linotype" w:hAnsi="Palatino Linotype" w:cs="Palatino Linotype"/>
          <w:i/>
          <w:sz w:val="22"/>
          <w:szCs w:val="22"/>
        </w:rPr>
        <w:t xml:space="preserve"> El Órgano Superior tendrá las siguientes atribuciones:</w:t>
      </w:r>
    </w:p>
    <w:p w:rsidR="00207F36" w:rsidRDefault="00B53F5B">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 Establecer los lineamientos, criterios, procedimientos, métodos y sistemas para las acciones de control y evaluación, necesarios para la fiscalización de las cuentas públicas y los informes mensuales.”(Sic)</w:t>
      </w:r>
    </w:p>
    <w:p w:rsidR="00207F36" w:rsidRDefault="00207F36">
      <w:pPr>
        <w:spacing w:line="360" w:lineRule="auto"/>
        <w:ind w:right="49"/>
        <w:jc w:val="both"/>
        <w:rPr>
          <w:rFonts w:ascii="Palatino Linotype" w:eastAsia="Palatino Linotype" w:hAnsi="Palatino Linotype" w:cs="Palatino Linotype"/>
        </w:rPr>
      </w:pPr>
    </w:p>
    <w:p w:rsidR="00207F36" w:rsidRDefault="00B53F5B">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ese orden de ideas, en dichos lineamientos se especifican los temas que por separado deban incluir los informes mensuales y en atención a que la solicitud de acceso a la información del recurrente requiere el informe del mes de</w:t>
      </w:r>
      <w:r w:rsidR="00E15BCA">
        <w:rPr>
          <w:rFonts w:ascii="Palatino Linotype" w:eastAsia="Palatino Linotype" w:hAnsi="Palatino Linotype" w:cs="Palatino Linotype"/>
        </w:rPr>
        <w:t xml:space="preserve"> diciembre</w:t>
      </w:r>
      <w:r>
        <w:rPr>
          <w:rFonts w:ascii="Palatino Linotype" w:eastAsia="Palatino Linotype" w:hAnsi="Palatino Linotype" w:cs="Palatino Linotype"/>
        </w:rPr>
        <w:t xml:space="preserve"> </w:t>
      </w:r>
      <w:r w:rsidR="00E15BCA">
        <w:rPr>
          <w:rFonts w:ascii="Palatino Linotype" w:eastAsia="Palatino Linotype" w:hAnsi="Palatino Linotype" w:cs="Palatino Linotype"/>
        </w:rPr>
        <w:t>del disco 6 correspondiente al</w:t>
      </w:r>
      <w:r>
        <w:rPr>
          <w:rFonts w:ascii="Palatino Linotype" w:eastAsia="Palatino Linotype" w:hAnsi="Palatino Linotype" w:cs="Palatino Linotype"/>
        </w:rPr>
        <w:t xml:space="preserve"> </w:t>
      </w:r>
      <w:r w:rsidR="00E15BCA">
        <w:rPr>
          <w:rFonts w:ascii="Palatino Linotype" w:eastAsia="Palatino Linotype" w:hAnsi="Palatino Linotype" w:cs="Palatino Linotype"/>
        </w:rPr>
        <w:t xml:space="preserve">año </w:t>
      </w:r>
      <w:r>
        <w:rPr>
          <w:rFonts w:ascii="Palatino Linotype" w:eastAsia="Palatino Linotype" w:hAnsi="Palatino Linotype" w:cs="Palatino Linotype"/>
        </w:rPr>
        <w:t xml:space="preserve">2015, </w:t>
      </w:r>
      <w:r w:rsidR="00E15BCA">
        <w:rPr>
          <w:rFonts w:ascii="Palatino Linotype" w:eastAsia="Palatino Linotype" w:hAnsi="Palatino Linotype" w:cs="Palatino Linotype"/>
        </w:rPr>
        <w:t xml:space="preserve">todo el disco 6 de los años </w:t>
      </w:r>
      <w:r>
        <w:rPr>
          <w:rFonts w:ascii="Palatino Linotype" w:eastAsia="Palatino Linotype" w:hAnsi="Palatino Linotype" w:cs="Palatino Linotype"/>
        </w:rPr>
        <w:t xml:space="preserve">2016 y 2017; es por lo que, es necesario a traer lo establecido en la presentación de los </w:t>
      </w:r>
      <w:r>
        <w:rPr>
          <w:rFonts w:ascii="Palatino Linotype" w:eastAsia="Palatino Linotype" w:hAnsi="Palatino Linotype" w:cs="Palatino Linotype"/>
        </w:rPr>
        <w:lastRenderedPageBreak/>
        <w:t>Lineamientos para la Elaboración y Presentación del Informe Mensual Municipal que creó el Órgano Superior de Fiscalización del Estado de México para los ejercicios fiscales 2015, 2016 y 2017, que apuntan:</w:t>
      </w:r>
    </w:p>
    <w:p w:rsidR="00207F36" w:rsidRDefault="00207F36">
      <w:pPr>
        <w:spacing w:line="360" w:lineRule="auto"/>
        <w:ind w:right="49"/>
        <w:jc w:val="both"/>
        <w:rPr>
          <w:rFonts w:ascii="Palatino Linotype" w:eastAsia="Palatino Linotype" w:hAnsi="Palatino Linotype" w:cs="Palatino Linotype"/>
        </w:rPr>
      </w:pPr>
    </w:p>
    <w:p w:rsidR="00207F36" w:rsidRPr="00E15BCA" w:rsidRDefault="00B53F5B">
      <w:pPr>
        <w:ind w:right="616"/>
        <w:jc w:val="both"/>
        <w:rPr>
          <w:rFonts w:ascii="Palatino Linotype" w:eastAsia="Palatino Linotype" w:hAnsi="Palatino Linotype" w:cs="Palatino Linotype"/>
          <w:b/>
        </w:rPr>
      </w:pPr>
      <w:r w:rsidRPr="00E15BCA">
        <w:rPr>
          <w:rFonts w:ascii="Palatino Linotype" w:eastAsia="Palatino Linotype" w:hAnsi="Palatino Linotype" w:cs="Palatino Linotype"/>
          <w:b/>
        </w:rPr>
        <w:t>2015:</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contenido de los lineamientos se divide en: la presentación, el objetivo, el marco legal de actuación, las disposiciones generales, las disposiciones específicas y la integración del informe mensual, en la cual se detalla la información de los 6 discos que se deberán entregar mensualmente, dentro de los 20 días hábiles siguientes terminado el mes, conforme a lo siguiente:</w:t>
      </w:r>
    </w:p>
    <w:p w:rsidR="00207F36" w:rsidRDefault="00207F36">
      <w:pPr>
        <w:ind w:left="567" w:right="616"/>
        <w:jc w:val="both"/>
        <w:rPr>
          <w:rFonts w:ascii="Palatino Linotype" w:eastAsia="Palatino Linotype" w:hAnsi="Palatino Linotype" w:cs="Palatino Linotype"/>
          <w:i/>
          <w:sz w:val="22"/>
          <w:szCs w:val="22"/>
        </w:rPr>
      </w:pP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Disco 1.- Información Patrimonial (Contable y Administrativa) y para el Sistema Electrónico Auditor (Archivos txt).</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Disco 2.- Información Presupuestal, de Bienes Muebles e Inmuebles y de Recaudación de Predio y Agua.</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Disco 3.- Información de Obra.</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4.- Información de Nómina.</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Disco 5.- Imágenes Digitalizadas</w:t>
      </w:r>
    </w:p>
    <w:p w:rsidR="00207F36" w:rsidRDefault="00B53F5B">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Disco 6.- Información de Evaluación Programática, Archivo txt.”(Sic)</w:t>
      </w:r>
    </w:p>
    <w:p w:rsidR="00207F36" w:rsidRDefault="00207F36">
      <w:pPr>
        <w:ind w:left="567" w:right="616"/>
        <w:jc w:val="both"/>
        <w:rPr>
          <w:rFonts w:ascii="Palatino Linotype" w:eastAsia="Palatino Linotype" w:hAnsi="Palatino Linotype" w:cs="Palatino Linotype"/>
          <w:i/>
          <w:sz w:val="22"/>
          <w:szCs w:val="22"/>
        </w:rPr>
      </w:pPr>
    </w:p>
    <w:p w:rsidR="00207F36" w:rsidRPr="00E15BCA" w:rsidRDefault="00B53F5B">
      <w:pPr>
        <w:ind w:right="616"/>
        <w:jc w:val="both"/>
        <w:rPr>
          <w:rFonts w:ascii="Palatino Linotype" w:eastAsia="Palatino Linotype" w:hAnsi="Palatino Linotype" w:cs="Palatino Linotype"/>
          <w:b/>
        </w:rPr>
      </w:pPr>
      <w:r w:rsidRPr="00E15BCA">
        <w:rPr>
          <w:rFonts w:ascii="Palatino Linotype" w:eastAsia="Palatino Linotype" w:hAnsi="Palatino Linotype" w:cs="Palatino Linotype"/>
          <w:b/>
        </w:rPr>
        <w:t>2016:</w:t>
      </w:r>
    </w:p>
    <w:p w:rsidR="00207F36" w:rsidRDefault="00207F36">
      <w:pPr>
        <w:ind w:right="616"/>
        <w:jc w:val="both"/>
        <w:rPr>
          <w:rFonts w:ascii="Palatino Linotype" w:eastAsia="Palatino Linotype" w:hAnsi="Palatino Linotype" w:cs="Palatino Linotype"/>
        </w:rPr>
      </w:pP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“El contenido de los lineamientos se divide en: la presentación, el objetivo, el marco legal de actuación, las disposiciones generales, las disposiciones específicas y la integración del informe mensual, en la cual se detalla la información de los 6 discos que se deberán entregar mensualmente, dentro de los 20 días hábiles siguientes terminado el mes, conforme a lo siguiente:</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Disco 1.- Información Patrimonial (Contable y Administrativa) y para el Sistema Electrónico Auditor (Archivos txt).</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Disco 2.- Información Presupuestal, de Bienes Muebles e Inmuebles y de Recaudación de Predio y Agua.</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Disco 3.- Información de Obra.</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Disco 4.- Información de Nómina.</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Disco 5.Imágenes Digitalizadas</w:t>
      </w:r>
    </w:p>
    <w:p w:rsidR="00207F36" w:rsidRDefault="00B53F5B">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Disco 6.- Información de Evaluación Programática, Archivo txt.(Sic)</w:t>
      </w:r>
    </w:p>
    <w:p w:rsidR="00207F36" w:rsidRDefault="00207F36">
      <w:pPr>
        <w:spacing w:line="360" w:lineRule="auto"/>
        <w:ind w:right="49"/>
        <w:jc w:val="both"/>
        <w:rPr>
          <w:rFonts w:ascii="Palatino Linotype" w:eastAsia="Palatino Linotype" w:hAnsi="Palatino Linotype" w:cs="Palatino Linotype"/>
        </w:rPr>
      </w:pPr>
    </w:p>
    <w:p w:rsidR="00207F36" w:rsidRPr="00E15BCA" w:rsidRDefault="00B53F5B">
      <w:pPr>
        <w:spacing w:line="360" w:lineRule="auto"/>
        <w:ind w:right="49"/>
        <w:jc w:val="both"/>
        <w:rPr>
          <w:rFonts w:ascii="Palatino Linotype" w:eastAsia="Palatino Linotype" w:hAnsi="Palatino Linotype" w:cs="Palatino Linotype"/>
          <w:b/>
        </w:rPr>
      </w:pPr>
      <w:r w:rsidRPr="00E15BCA">
        <w:rPr>
          <w:rFonts w:ascii="Palatino Linotype" w:eastAsia="Palatino Linotype" w:hAnsi="Palatino Linotype" w:cs="Palatino Linotype"/>
          <w:b/>
        </w:rPr>
        <w:lastRenderedPageBreak/>
        <w:t>2017:</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contenido de los lineamientos está dividido en: la presentación, el objetivo, el marco legal de actuación, las disposiciones generales, las disposiciones específicas y la integración del informe mensual, donde se detalla la información de los 6 discos que se deberán entregar mensualmente a esta dependencia, dentro de los 20 días hábiles siguientes al termino del mes, conforme a lo siguiente:</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Disco 1.- Información Patrimonial (Contable y Administrativa) y para el Sistema Electrónico Auditor (Archivos txt).</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Disco 2.- Información Presupuestal, de Bienes Muebles e Inmuebles y de Recaudación de Predio y Agua.</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Disco 3.- Información de Obra.</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Disco 4.- Información de Nómina.</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Disco 5.- Imágenes Digitalizadas</w:t>
      </w:r>
    </w:p>
    <w:p w:rsidR="00207F36" w:rsidRDefault="00B53F5B">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Disco 6.- Información de Evaluación Programática (Archivo de texto plano .txt y PDF)”. (Sic)</w:t>
      </w:r>
    </w:p>
    <w:p w:rsidR="00207F36" w:rsidRDefault="00207F36">
      <w:pPr>
        <w:ind w:left="567" w:right="616"/>
        <w:jc w:val="both"/>
        <w:rPr>
          <w:rFonts w:ascii="Palatino Linotype" w:eastAsia="Palatino Linotype" w:hAnsi="Palatino Linotype" w:cs="Palatino Linotype"/>
          <w:i/>
          <w:sz w:val="22"/>
          <w:szCs w:val="22"/>
        </w:rPr>
      </w:pPr>
    </w:p>
    <w:p w:rsidR="00207F36" w:rsidRDefault="00B53F5B">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lo antepuesto, se advierte que en los lineamientos enunciados para el ejercicio fiscal 2015, 2016 y 2017 contemplan el disco seis, con lo cual se acredita que el Sujeto Obligado debió generar la información del disco 6 para los ejercicios fiscales 2015, 2016 y 2017; máxime que el sujeto obligado asumió contar con la información en el momento de enviar los archivos correspondientes al tema en cuestión abordado en éste punto; de ahí que, es indispensable visualizar qué es lo que contiene el disco 6 para el ejercicio fiscal 2015, 2016 y 2017 según corresponda, a efecto de determinar si la información entregada por el Sujeto Obligado cumple con las formalidades establecidas en los lineamientos de referencia.</w:t>
      </w:r>
    </w:p>
    <w:p w:rsidR="00207F36" w:rsidRDefault="00207F36">
      <w:pPr>
        <w:spacing w:line="360" w:lineRule="auto"/>
        <w:ind w:right="49"/>
        <w:jc w:val="both"/>
        <w:rPr>
          <w:rFonts w:ascii="Palatino Linotype" w:eastAsia="Palatino Linotype" w:hAnsi="Palatino Linotype" w:cs="Palatino Linotype"/>
        </w:rPr>
      </w:pPr>
    </w:p>
    <w:p w:rsidR="00207F36" w:rsidRDefault="00B53F5B">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esta tesitura, debe precisarse que los Lineamientos para la Elaboración y Presentación del Informe Mensual Municipal que creó el Órgano Superior de Fiscalización del Estado de México para los ejercicios fiscales 2015, 2016 y 2017, establecen:</w:t>
      </w:r>
    </w:p>
    <w:p w:rsidR="00207F36" w:rsidRDefault="00B53F5B">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En el disco seis del ejercicio fiscal 2015, se aprecian en la siguiente imagen que de manera ilustrativa se inserta, los temas sobre los cuales el Sujeto Obligado debe rendir su informe mensual:</w:t>
      </w:r>
    </w:p>
    <w:p w:rsidR="00207F36" w:rsidRDefault="00E15BCA">
      <w:pPr>
        <w:spacing w:line="360" w:lineRule="auto"/>
        <w:ind w:right="49"/>
        <w:jc w:val="both"/>
        <w:rPr>
          <w:rFonts w:ascii="Palatino Linotype" w:eastAsia="Palatino Linotype" w:hAnsi="Palatino Linotype" w:cs="Palatino Linotype"/>
        </w:rPr>
      </w:pPr>
      <w:r>
        <w:rPr>
          <w:noProof/>
          <w:lang w:val="es-MX"/>
        </w:rPr>
        <w:drawing>
          <wp:anchor distT="0" distB="0" distL="0" distR="0" simplePos="0" relativeHeight="251575808" behindDoc="0" locked="0" layoutInCell="1" hidden="0" allowOverlap="1">
            <wp:simplePos x="0" y="0"/>
            <wp:positionH relativeFrom="column">
              <wp:posOffset>104721</wp:posOffset>
            </wp:positionH>
            <wp:positionV relativeFrom="paragraph">
              <wp:posOffset>63901</wp:posOffset>
            </wp:positionV>
            <wp:extent cx="5345430" cy="3554569"/>
            <wp:effectExtent l="0" t="0" r="7620" b="8255"/>
            <wp:wrapNone/>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2"/>
                    <a:srcRect l="12039" t="16239" r="35761" b="17709"/>
                    <a:stretch>
                      <a:fillRect/>
                    </a:stretch>
                  </pic:blipFill>
                  <pic:spPr>
                    <a:xfrm>
                      <a:off x="0" y="0"/>
                      <a:ext cx="5347340" cy="3555839"/>
                    </a:xfrm>
                    <a:prstGeom prst="rect">
                      <a:avLst/>
                    </a:prstGeom>
                    <a:ln/>
                  </pic:spPr>
                </pic:pic>
              </a:graphicData>
            </a:graphic>
            <wp14:sizeRelV relativeFrom="margin">
              <wp14:pctHeight>0</wp14:pctHeight>
            </wp14:sizeRelV>
          </wp:anchor>
        </w:drawing>
      </w: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DB6F85">
      <w:pPr>
        <w:spacing w:line="360" w:lineRule="auto"/>
        <w:ind w:right="49"/>
        <w:jc w:val="both"/>
        <w:rPr>
          <w:rFonts w:ascii="Palatino Linotype" w:eastAsia="Palatino Linotype" w:hAnsi="Palatino Linotype" w:cs="Palatino Linotype"/>
        </w:rPr>
      </w:pPr>
      <w:r>
        <w:rPr>
          <w:noProof/>
          <w:lang w:val="es-MX"/>
        </w:rPr>
        <w:drawing>
          <wp:anchor distT="0" distB="0" distL="114300" distR="114300" simplePos="0" relativeHeight="251603456" behindDoc="0" locked="0" layoutInCell="1" hidden="0" allowOverlap="1">
            <wp:simplePos x="0" y="0"/>
            <wp:positionH relativeFrom="column">
              <wp:posOffset>258454</wp:posOffset>
            </wp:positionH>
            <wp:positionV relativeFrom="paragraph">
              <wp:posOffset>224790</wp:posOffset>
            </wp:positionV>
            <wp:extent cx="5306060" cy="3142446"/>
            <wp:effectExtent l="0" t="0" r="0" b="1270"/>
            <wp:wrapNone/>
            <wp:docPr id="2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3"/>
                    <a:srcRect l="13598" t="30640" r="34920" b="19923"/>
                    <a:stretch>
                      <a:fillRect/>
                    </a:stretch>
                  </pic:blipFill>
                  <pic:spPr>
                    <a:xfrm>
                      <a:off x="0" y="0"/>
                      <a:ext cx="5306060" cy="3142446"/>
                    </a:xfrm>
                    <a:prstGeom prst="rect">
                      <a:avLst/>
                    </a:prstGeom>
                    <a:ln/>
                  </pic:spPr>
                </pic:pic>
              </a:graphicData>
            </a:graphic>
            <wp14:sizeRelV relativeFrom="margin">
              <wp14:pctHeight>0</wp14:pctHeight>
            </wp14:sizeRelV>
          </wp:anchor>
        </w:drawing>
      </w: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E15BCA" w:rsidRDefault="00E15BCA">
      <w:pPr>
        <w:spacing w:line="360" w:lineRule="auto"/>
        <w:ind w:right="49"/>
        <w:jc w:val="both"/>
        <w:rPr>
          <w:rFonts w:ascii="Palatino Linotype" w:eastAsia="Palatino Linotype" w:hAnsi="Palatino Linotype" w:cs="Palatino Linotype"/>
        </w:rPr>
      </w:pPr>
    </w:p>
    <w:p w:rsidR="00E15BCA" w:rsidRDefault="00E15BCA">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DB6F85">
      <w:pPr>
        <w:spacing w:line="360" w:lineRule="auto"/>
        <w:ind w:right="49"/>
        <w:jc w:val="both"/>
        <w:rPr>
          <w:rFonts w:ascii="Palatino Linotype" w:eastAsia="Palatino Linotype" w:hAnsi="Palatino Linotype" w:cs="Palatino Linotype"/>
        </w:rPr>
      </w:pPr>
      <w:r>
        <w:rPr>
          <w:noProof/>
          <w:lang w:val="es-MX"/>
        </w:rPr>
        <w:lastRenderedPageBreak/>
        <w:drawing>
          <wp:anchor distT="0" distB="0" distL="0" distR="0" simplePos="0" relativeHeight="251647488" behindDoc="0" locked="0" layoutInCell="1" hidden="0" allowOverlap="1">
            <wp:simplePos x="0" y="0"/>
            <wp:positionH relativeFrom="column">
              <wp:posOffset>290704</wp:posOffset>
            </wp:positionH>
            <wp:positionV relativeFrom="paragraph">
              <wp:posOffset>60960</wp:posOffset>
            </wp:positionV>
            <wp:extent cx="5179060" cy="2990850"/>
            <wp:effectExtent l="0" t="0" r="2540" b="0"/>
            <wp:wrapNone/>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4"/>
                    <a:srcRect l="13807" t="24183" r="36160" b="26009"/>
                    <a:stretch>
                      <a:fillRect/>
                    </a:stretch>
                  </pic:blipFill>
                  <pic:spPr>
                    <a:xfrm>
                      <a:off x="0" y="0"/>
                      <a:ext cx="5179060" cy="2990850"/>
                    </a:xfrm>
                    <a:prstGeom prst="rect">
                      <a:avLst/>
                    </a:prstGeom>
                    <a:ln/>
                  </pic:spPr>
                </pic:pic>
              </a:graphicData>
            </a:graphic>
          </wp:anchor>
        </w:drawing>
      </w: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E15BCA" w:rsidRDefault="00E15BCA">
      <w:pPr>
        <w:spacing w:line="360" w:lineRule="auto"/>
        <w:ind w:right="49"/>
        <w:jc w:val="both"/>
        <w:rPr>
          <w:rFonts w:ascii="Palatino Linotype" w:eastAsia="Palatino Linotype" w:hAnsi="Palatino Linotype" w:cs="Palatino Linotype"/>
        </w:rPr>
      </w:pPr>
    </w:p>
    <w:p w:rsidR="00E15BCA" w:rsidRDefault="00E15BCA">
      <w:pPr>
        <w:spacing w:line="360" w:lineRule="auto"/>
        <w:ind w:right="49"/>
        <w:jc w:val="both"/>
        <w:rPr>
          <w:rFonts w:ascii="Palatino Linotype" w:eastAsia="Palatino Linotype" w:hAnsi="Palatino Linotype" w:cs="Palatino Linotype"/>
        </w:rPr>
      </w:pPr>
    </w:p>
    <w:p w:rsidR="00E15BCA" w:rsidRDefault="00DB6F85">
      <w:pPr>
        <w:spacing w:line="360" w:lineRule="auto"/>
        <w:ind w:right="49"/>
        <w:jc w:val="both"/>
        <w:rPr>
          <w:rFonts w:ascii="Palatino Linotype" w:eastAsia="Palatino Linotype" w:hAnsi="Palatino Linotype" w:cs="Palatino Linotype"/>
        </w:rPr>
      </w:pPr>
      <w:r>
        <w:rPr>
          <w:noProof/>
          <w:lang w:val="es-MX"/>
        </w:rPr>
        <w:drawing>
          <wp:anchor distT="0" distB="0" distL="0" distR="0" simplePos="0" relativeHeight="251652608" behindDoc="0" locked="0" layoutInCell="1" hidden="0" allowOverlap="1">
            <wp:simplePos x="0" y="0"/>
            <wp:positionH relativeFrom="column">
              <wp:posOffset>323662</wp:posOffset>
            </wp:positionH>
            <wp:positionV relativeFrom="paragraph">
              <wp:posOffset>274132</wp:posOffset>
            </wp:positionV>
            <wp:extent cx="5105400" cy="3245476"/>
            <wp:effectExtent l="0" t="0" r="0" b="0"/>
            <wp:wrapNone/>
            <wp:docPr id="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5"/>
                    <a:srcRect l="14010" t="33779" r="36581" b="18817"/>
                    <a:stretch>
                      <a:fillRect/>
                    </a:stretch>
                  </pic:blipFill>
                  <pic:spPr>
                    <a:xfrm>
                      <a:off x="0" y="0"/>
                      <a:ext cx="5116157" cy="3252314"/>
                    </a:xfrm>
                    <a:prstGeom prst="rect">
                      <a:avLst/>
                    </a:prstGeom>
                    <a:ln/>
                  </pic:spPr>
                </pic:pic>
              </a:graphicData>
            </a:graphic>
            <wp14:sizeRelV relativeFrom="margin">
              <wp14:pctHeight>0</wp14:pctHeight>
            </wp14:sizeRelV>
          </wp:anchor>
        </w:drawing>
      </w:r>
    </w:p>
    <w:p w:rsidR="00E15BCA" w:rsidRDefault="00E15BCA">
      <w:pPr>
        <w:spacing w:line="360" w:lineRule="auto"/>
        <w:ind w:right="49"/>
        <w:jc w:val="both"/>
        <w:rPr>
          <w:rFonts w:ascii="Palatino Linotype" w:eastAsia="Palatino Linotype" w:hAnsi="Palatino Linotype" w:cs="Palatino Linotype"/>
        </w:rPr>
      </w:pPr>
    </w:p>
    <w:p w:rsidR="00E15BCA" w:rsidRDefault="00E15BCA">
      <w:pPr>
        <w:spacing w:line="360" w:lineRule="auto"/>
        <w:ind w:right="49"/>
        <w:jc w:val="both"/>
        <w:rPr>
          <w:rFonts w:ascii="Palatino Linotype" w:eastAsia="Palatino Linotype" w:hAnsi="Palatino Linotype" w:cs="Palatino Linotype"/>
        </w:rPr>
      </w:pPr>
    </w:p>
    <w:p w:rsidR="00E15BCA" w:rsidRDefault="00E15BCA">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DB6F85">
      <w:pPr>
        <w:spacing w:line="360" w:lineRule="auto"/>
        <w:ind w:right="49"/>
        <w:jc w:val="both"/>
        <w:rPr>
          <w:rFonts w:ascii="Palatino Linotype" w:eastAsia="Palatino Linotype" w:hAnsi="Palatino Linotype" w:cs="Palatino Linotype"/>
        </w:rPr>
      </w:pPr>
      <w:r>
        <w:rPr>
          <w:noProof/>
          <w:lang w:val="es-MX"/>
        </w:rPr>
        <w:drawing>
          <wp:anchor distT="0" distB="0" distL="0" distR="0" simplePos="0" relativeHeight="251661824" behindDoc="0" locked="0" layoutInCell="1" hidden="0" allowOverlap="1">
            <wp:simplePos x="0" y="0"/>
            <wp:positionH relativeFrom="column">
              <wp:posOffset>323662</wp:posOffset>
            </wp:positionH>
            <wp:positionV relativeFrom="paragraph">
              <wp:posOffset>125739</wp:posOffset>
            </wp:positionV>
            <wp:extent cx="5069205" cy="959637"/>
            <wp:effectExtent l="0" t="0" r="0" b="0"/>
            <wp:wrapNone/>
            <wp:docPr id="2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6"/>
                    <a:srcRect l="14113" t="32359" r="37002" b="54795"/>
                    <a:stretch>
                      <a:fillRect/>
                    </a:stretch>
                  </pic:blipFill>
                  <pic:spPr>
                    <a:xfrm>
                      <a:off x="0" y="0"/>
                      <a:ext cx="5069205" cy="959637"/>
                    </a:xfrm>
                    <a:prstGeom prst="rect">
                      <a:avLst/>
                    </a:prstGeom>
                    <a:ln/>
                  </pic:spPr>
                </pic:pic>
              </a:graphicData>
            </a:graphic>
            <wp14:sizeRelV relativeFrom="margin">
              <wp14:pctHeight>0</wp14:pctHeight>
            </wp14:sizeRelV>
          </wp:anchor>
        </w:drawing>
      </w: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B53F5B">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En el disco seis del ejercicio fiscal 2016, se aprecian en la siguiente imagen que de manera ilustrativa se inserta, los temas sobre los cuales el Sujeto Obligado debe rendir su informe mensual:</w:t>
      </w:r>
    </w:p>
    <w:p w:rsidR="00207F36" w:rsidRDefault="00DB6F85">
      <w:pPr>
        <w:spacing w:line="360" w:lineRule="auto"/>
        <w:ind w:right="49"/>
        <w:jc w:val="both"/>
      </w:pPr>
      <w:r>
        <w:rPr>
          <w:noProof/>
          <w:lang w:val="es-MX"/>
        </w:rPr>
        <w:drawing>
          <wp:anchor distT="0" distB="0" distL="0" distR="0" simplePos="0" relativeHeight="251663872" behindDoc="0" locked="0" layoutInCell="1" hidden="0" allowOverlap="1">
            <wp:simplePos x="0" y="0"/>
            <wp:positionH relativeFrom="column">
              <wp:posOffset>227071</wp:posOffset>
            </wp:positionH>
            <wp:positionV relativeFrom="paragraph">
              <wp:posOffset>154054</wp:posOffset>
            </wp:positionV>
            <wp:extent cx="5317490" cy="2749639"/>
            <wp:effectExtent l="0" t="0" r="0" b="0"/>
            <wp:wrapNone/>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7"/>
                    <a:srcRect l="22728" t="34327" r="23930" b="28226"/>
                    <a:stretch>
                      <a:fillRect/>
                    </a:stretch>
                  </pic:blipFill>
                  <pic:spPr>
                    <a:xfrm>
                      <a:off x="0" y="0"/>
                      <a:ext cx="5320085" cy="2750981"/>
                    </a:xfrm>
                    <a:prstGeom prst="rect">
                      <a:avLst/>
                    </a:prstGeom>
                    <a:ln/>
                  </pic:spPr>
                </pic:pic>
              </a:graphicData>
            </a:graphic>
            <wp14:sizeRelV relativeFrom="margin">
              <wp14:pctHeight>0</wp14:pctHeight>
            </wp14:sizeRelV>
          </wp:anchor>
        </w:drawing>
      </w: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DB6F85">
      <w:pPr>
        <w:spacing w:line="360" w:lineRule="auto"/>
        <w:ind w:right="49"/>
        <w:jc w:val="both"/>
        <w:rPr>
          <w:rFonts w:ascii="Palatino Linotype" w:eastAsia="Palatino Linotype" w:hAnsi="Palatino Linotype" w:cs="Palatino Linotype"/>
        </w:rPr>
      </w:pPr>
      <w:r>
        <w:rPr>
          <w:noProof/>
          <w:lang w:val="es-MX"/>
        </w:rPr>
        <w:drawing>
          <wp:anchor distT="0" distB="0" distL="0" distR="0" simplePos="0" relativeHeight="251668992" behindDoc="0" locked="0" layoutInCell="1" hidden="0" allowOverlap="1">
            <wp:simplePos x="0" y="0"/>
            <wp:positionH relativeFrom="column">
              <wp:posOffset>227071</wp:posOffset>
            </wp:positionH>
            <wp:positionV relativeFrom="paragraph">
              <wp:posOffset>218825</wp:posOffset>
            </wp:positionV>
            <wp:extent cx="5281930" cy="2201169"/>
            <wp:effectExtent l="0" t="0" r="0" b="8890"/>
            <wp:wrapNone/>
            <wp:docPr id="1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8"/>
                    <a:srcRect l="22735" t="37292" r="24221" b="35791"/>
                    <a:stretch>
                      <a:fillRect/>
                    </a:stretch>
                  </pic:blipFill>
                  <pic:spPr>
                    <a:xfrm>
                      <a:off x="0" y="0"/>
                      <a:ext cx="5284517" cy="2202247"/>
                    </a:xfrm>
                    <a:prstGeom prst="rect">
                      <a:avLst/>
                    </a:prstGeom>
                    <a:ln/>
                  </pic:spPr>
                </pic:pic>
              </a:graphicData>
            </a:graphic>
            <wp14:sizeRelV relativeFrom="margin">
              <wp14:pctHeight>0</wp14:pctHeight>
            </wp14:sizeRelV>
          </wp:anchor>
        </w:drawing>
      </w: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DB6F85" w:rsidRDefault="00DB6F85">
      <w:pPr>
        <w:spacing w:line="360" w:lineRule="auto"/>
        <w:ind w:right="49"/>
        <w:jc w:val="both"/>
        <w:rPr>
          <w:rFonts w:ascii="Palatino Linotype" w:eastAsia="Palatino Linotype" w:hAnsi="Palatino Linotype" w:cs="Palatino Linotype"/>
        </w:rPr>
      </w:pPr>
    </w:p>
    <w:p w:rsidR="00DB6F85" w:rsidRDefault="00DB6F85">
      <w:pPr>
        <w:spacing w:line="360" w:lineRule="auto"/>
        <w:ind w:right="49"/>
        <w:jc w:val="both"/>
        <w:rPr>
          <w:rFonts w:ascii="Palatino Linotype" w:eastAsia="Palatino Linotype" w:hAnsi="Palatino Linotype" w:cs="Palatino Linotype"/>
        </w:rPr>
      </w:pPr>
    </w:p>
    <w:p w:rsidR="00DB6F85" w:rsidRDefault="00DB6F85">
      <w:pPr>
        <w:spacing w:line="360" w:lineRule="auto"/>
        <w:ind w:right="49"/>
        <w:jc w:val="both"/>
        <w:rPr>
          <w:rFonts w:ascii="Palatino Linotype" w:eastAsia="Palatino Linotype" w:hAnsi="Palatino Linotype" w:cs="Palatino Linotype"/>
        </w:rPr>
      </w:pPr>
    </w:p>
    <w:p w:rsidR="00DB6F85" w:rsidRDefault="00DB6F85">
      <w:pPr>
        <w:spacing w:line="360" w:lineRule="auto"/>
        <w:ind w:right="49"/>
        <w:jc w:val="both"/>
        <w:rPr>
          <w:rFonts w:ascii="Palatino Linotype" w:eastAsia="Palatino Linotype" w:hAnsi="Palatino Linotype" w:cs="Palatino Linotype"/>
        </w:rPr>
      </w:pPr>
    </w:p>
    <w:p w:rsidR="00DB6F85" w:rsidRDefault="00DB6F85">
      <w:pPr>
        <w:spacing w:line="360" w:lineRule="auto"/>
        <w:ind w:right="49"/>
        <w:jc w:val="both"/>
        <w:rPr>
          <w:rFonts w:ascii="Palatino Linotype" w:eastAsia="Palatino Linotype" w:hAnsi="Palatino Linotype" w:cs="Palatino Linotype"/>
        </w:rPr>
      </w:pPr>
    </w:p>
    <w:p w:rsidR="00207F36" w:rsidRDefault="00B53F5B">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el disco seis del ejercicio fiscal 2017, se aprecian en la siguiente imagen que de manera ilustrativa se inserta, los temas sobre los cuales el Sujeto Obligado debe rendir su informe mensual:</w:t>
      </w:r>
    </w:p>
    <w:p w:rsidR="00207F36" w:rsidRDefault="00DB6F85">
      <w:pPr>
        <w:spacing w:line="360" w:lineRule="auto"/>
        <w:ind w:right="49"/>
        <w:jc w:val="both"/>
        <w:rPr>
          <w:rFonts w:ascii="Palatino Linotype" w:eastAsia="Palatino Linotype" w:hAnsi="Palatino Linotype" w:cs="Palatino Linotype"/>
        </w:rPr>
      </w:pPr>
      <w:r>
        <w:rPr>
          <w:noProof/>
          <w:lang w:val="es-MX"/>
        </w:rPr>
        <w:lastRenderedPageBreak/>
        <w:drawing>
          <wp:anchor distT="0" distB="0" distL="0" distR="0" simplePos="0" relativeHeight="251688448" behindDoc="0" locked="0" layoutInCell="1" hidden="0" allowOverlap="1">
            <wp:simplePos x="0" y="0"/>
            <wp:positionH relativeFrom="column">
              <wp:posOffset>188434</wp:posOffset>
            </wp:positionH>
            <wp:positionV relativeFrom="paragraph">
              <wp:posOffset>48940</wp:posOffset>
            </wp:positionV>
            <wp:extent cx="5326380" cy="2079938"/>
            <wp:effectExtent l="0" t="0" r="7620" b="0"/>
            <wp:wrapNone/>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9"/>
                    <a:srcRect l="20652" t="44668" r="22581" b="21030"/>
                    <a:stretch>
                      <a:fillRect/>
                    </a:stretch>
                  </pic:blipFill>
                  <pic:spPr>
                    <a:xfrm>
                      <a:off x="0" y="0"/>
                      <a:ext cx="5329046" cy="2080979"/>
                    </a:xfrm>
                    <a:prstGeom prst="rect">
                      <a:avLst/>
                    </a:prstGeom>
                    <a:ln/>
                  </pic:spPr>
                </pic:pic>
              </a:graphicData>
            </a:graphic>
            <wp14:sizeRelV relativeFrom="margin">
              <wp14:pctHeight>0</wp14:pctHeight>
            </wp14:sizeRelV>
          </wp:anchor>
        </w:drawing>
      </w: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line="360" w:lineRule="auto"/>
        <w:ind w:right="49"/>
        <w:jc w:val="both"/>
        <w:rPr>
          <w:rFonts w:ascii="Palatino Linotype" w:eastAsia="Palatino Linotype" w:hAnsi="Palatino Linotype" w:cs="Palatino Linotype"/>
        </w:rPr>
      </w:pPr>
    </w:p>
    <w:p w:rsidR="00207F36" w:rsidRDefault="00207F36">
      <w:pPr>
        <w:spacing w:before="240" w:after="240" w:line="360" w:lineRule="auto"/>
        <w:jc w:val="both"/>
        <w:rPr>
          <w:rFonts w:ascii="Palatino Linotype" w:eastAsia="Palatino Linotype" w:hAnsi="Palatino Linotype" w:cs="Palatino Linotype"/>
        </w:rPr>
      </w:pPr>
    </w:p>
    <w:p w:rsidR="00207F36" w:rsidRDefault="00207F36">
      <w:pPr>
        <w:spacing w:before="240" w:after="240" w:line="360" w:lineRule="auto"/>
        <w:jc w:val="both"/>
        <w:rPr>
          <w:rFonts w:ascii="Palatino Linotype" w:eastAsia="Palatino Linotype" w:hAnsi="Palatino Linotype" w:cs="Palatino Linotype"/>
        </w:rPr>
      </w:pPr>
    </w:p>
    <w:p w:rsidR="00207F36" w:rsidRDefault="00DB6F85">
      <w:pPr>
        <w:spacing w:before="240" w:after="240" w:line="360" w:lineRule="auto"/>
        <w:jc w:val="both"/>
        <w:rPr>
          <w:rFonts w:ascii="Palatino Linotype" w:eastAsia="Palatino Linotype" w:hAnsi="Palatino Linotype" w:cs="Palatino Linotype"/>
        </w:rPr>
      </w:pPr>
      <w:r>
        <w:rPr>
          <w:noProof/>
          <w:lang w:val="es-MX"/>
        </w:rPr>
        <w:drawing>
          <wp:anchor distT="0" distB="0" distL="114300" distR="114300" simplePos="0" relativeHeight="251700736" behindDoc="0" locked="0" layoutInCell="1" hidden="0" allowOverlap="1">
            <wp:simplePos x="0" y="0"/>
            <wp:positionH relativeFrom="column">
              <wp:posOffset>188434</wp:posOffset>
            </wp:positionH>
            <wp:positionV relativeFrom="paragraph">
              <wp:posOffset>128950</wp:posOffset>
            </wp:positionV>
            <wp:extent cx="5340150" cy="2809034"/>
            <wp:effectExtent l="0" t="0" r="0" b="0"/>
            <wp:wrapNone/>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0"/>
                    <a:srcRect l="20654" t="23621" r="22477" b="18814"/>
                    <a:stretch>
                      <a:fillRect/>
                    </a:stretch>
                  </pic:blipFill>
                  <pic:spPr>
                    <a:xfrm>
                      <a:off x="0" y="0"/>
                      <a:ext cx="5346626" cy="2812441"/>
                    </a:xfrm>
                    <a:prstGeom prst="rect">
                      <a:avLst/>
                    </a:prstGeom>
                    <a:ln/>
                  </pic:spPr>
                </pic:pic>
              </a:graphicData>
            </a:graphic>
            <wp14:sizeRelV relativeFrom="margin">
              <wp14:pctHeight>0</wp14:pctHeight>
            </wp14:sizeRelV>
          </wp:anchor>
        </w:drawing>
      </w:r>
    </w:p>
    <w:p w:rsidR="00207F36" w:rsidRDefault="00207F36">
      <w:pPr>
        <w:spacing w:before="240" w:after="240" w:line="360" w:lineRule="auto"/>
        <w:jc w:val="both"/>
      </w:pPr>
    </w:p>
    <w:p w:rsidR="00207F36" w:rsidRDefault="00207F36">
      <w:pPr>
        <w:spacing w:before="240" w:after="240" w:line="360" w:lineRule="auto"/>
        <w:jc w:val="both"/>
        <w:rPr>
          <w:rFonts w:ascii="Palatino Linotype" w:eastAsia="Palatino Linotype" w:hAnsi="Palatino Linotype" w:cs="Palatino Linotype"/>
        </w:rPr>
      </w:pPr>
    </w:p>
    <w:p w:rsidR="00DB6F85" w:rsidRDefault="00DB6F85">
      <w:pPr>
        <w:spacing w:before="240" w:after="240" w:line="360" w:lineRule="auto"/>
        <w:jc w:val="both"/>
        <w:rPr>
          <w:rFonts w:ascii="Palatino Linotype" w:eastAsia="Palatino Linotype" w:hAnsi="Palatino Linotype" w:cs="Palatino Linotype"/>
        </w:rPr>
      </w:pPr>
    </w:p>
    <w:p w:rsidR="00DB6F85" w:rsidRDefault="00DB6F85">
      <w:pPr>
        <w:spacing w:before="240" w:after="240" w:line="360" w:lineRule="auto"/>
        <w:jc w:val="both"/>
        <w:rPr>
          <w:rFonts w:ascii="Palatino Linotype" w:eastAsia="Palatino Linotype" w:hAnsi="Palatino Linotype" w:cs="Palatino Linotype"/>
        </w:rPr>
      </w:pPr>
    </w:p>
    <w:p w:rsidR="00DB6F85" w:rsidRDefault="00DB6F85">
      <w:pPr>
        <w:spacing w:before="240" w:after="240" w:line="360" w:lineRule="auto"/>
        <w:jc w:val="both"/>
        <w:rPr>
          <w:rFonts w:ascii="Palatino Linotype" w:eastAsia="Palatino Linotype" w:hAnsi="Palatino Linotype" w:cs="Palatino Linotype"/>
        </w:rPr>
      </w:pPr>
    </w:p>
    <w:p w:rsidR="00DB6F85" w:rsidRDefault="00DB6F85">
      <w:pPr>
        <w:spacing w:before="240" w:after="240" w:line="360" w:lineRule="auto"/>
        <w:jc w:val="both"/>
        <w:rPr>
          <w:rFonts w:ascii="Palatino Linotype" w:eastAsia="Palatino Linotype" w:hAnsi="Palatino Linotype" w:cs="Palatino Linotype"/>
        </w:rPr>
      </w:pP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las anteriores imágenes, se observan diversos temas sobre los cuales el Sujeto debe informar mensualmente al OSFEM para el año 2015, 2016 y 2017, en cambio, de lo informado por el Sujeto Obligado en respuesta se advierte que solo informo lo siguiente:</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consecutivos que conforman el disco 6 para el ejercicio fiscal 2015, a través de la carpeta “DISCO 6 2015” solo envió información respecto de los consecutivos 1,</w:t>
      </w:r>
      <w:r w:rsidR="005B2107">
        <w:rPr>
          <w:rFonts w:ascii="Palatino Linotype" w:eastAsia="Palatino Linotype" w:hAnsi="Palatino Linotype" w:cs="Palatino Linotype"/>
        </w:rPr>
        <w:t>2,3,9, 17,</w:t>
      </w:r>
      <w:r>
        <w:rPr>
          <w:rFonts w:ascii="Palatino Linotype" w:eastAsia="Palatino Linotype" w:hAnsi="Palatino Linotype" w:cs="Palatino Linotype"/>
        </w:rPr>
        <w:t xml:space="preserve"> 23</w:t>
      </w:r>
      <w:r w:rsidR="005B2107">
        <w:rPr>
          <w:rFonts w:ascii="Palatino Linotype" w:eastAsia="Palatino Linotype" w:hAnsi="Palatino Linotype" w:cs="Palatino Linotype"/>
        </w:rPr>
        <w:t>, 24, 27, 28, 30, 31, 32, 34</w:t>
      </w:r>
      <w:r>
        <w:rPr>
          <w:rFonts w:ascii="Palatino Linotype" w:eastAsia="Palatino Linotype" w:hAnsi="Palatino Linotype" w:cs="Palatino Linotype"/>
        </w:rPr>
        <w:t>,41,</w:t>
      </w:r>
      <w:r w:rsidR="005B2107">
        <w:rPr>
          <w:rFonts w:ascii="Palatino Linotype" w:eastAsia="Palatino Linotype" w:hAnsi="Palatino Linotype" w:cs="Palatino Linotype"/>
        </w:rPr>
        <w:t xml:space="preserve"> 42, 48, 52,</w:t>
      </w:r>
      <w:r>
        <w:rPr>
          <w:rFonts w:ascii="Palatino Linotype" w:eastAsia="Palatino Linotype" w:hAnsi="Palatino Linotype" w:cs="Palatino Linotype"/>
        </w:rPr>
        <w:t xml:space="preserve"> 54, 55, 57 y 58, teniéndose por </w:t>
      </w:r>
      <w:r>
        <w:rPr>
          <w:rFonts w:ascii="Palatino Linotype" w:eastAsia="Palatino Linotype" w:hAnsi="Palatino Linotype" w:cs="Palatino Linotype"/>
        </w:rPr>
        <w:lastRenderedPageBreak/>
        <w:t xml:space="preserve">colmado el derecho de acceso a la información del solicitante sólo para los consecutivos señalados, no así respecto de los consecutivos 4, 5, 6, 7, 8, 10, </w:t>
      </w:r>
      <w:r w:rsidR="005B2107">
        <w:rPr>
          <w:rFonts w:ascii="Palatino Linotype" w:eastAsia="Palatino Linotype" w:hAnsi="Palatino Linotype" w:cs="Palatino Linotype"/>
        </w:rPr>
        <w:t xml:space="preserve">11, </w:t>
      </w:r>
      <w:r>
        <w:rPr>
          <w:rFonts w:ascii="Palatino Linotype" w:eastAsia="Palatino Linotype" w:hAnsi="Palatino Linotype" w:cs="Palatino Linotype"/>
        </w:rPr>
        <w:t xml:space="preserve">12, 13, 14, 15, </w:t>
      </w:r>
      <w:r w:rsidR="005B2107">
        <w:rPr>
          <w:rFonts w:ascii="Palatino Linotype" w:eastAsia="Palatino Linotype" w:hAnsi="Palatino Linotype" w:cs="Palatino Linotype"/>
        </w:rPr>
        <w:t xml:space="preserve">16, </w:t>
      </w:r>
      <w:r>
        <w:rPr>
          <w:rFonts w:ascii="Palatino Linotype" w:eastAsia="Palatino Linotype" w:hAnsi="Palatino Linotype" w:cs="Palatino Linotype"/>
        </w:rPr>
        <w:t>18, 19,</w:t>
      </w:r>
      <w:r w:rsidR="005B2107">
        <w:rPr>
          <w:rFonts w:ascii="Palatino Linotype" w:eastAsia="Palatino Linotype" w:hAnsi="Palatino Linotype" w:cs="Palatino Linotype"/>
        </w:rPr>
        <w:t xml:space="preserve"> 20, 21,</w:t>
      </w:r>
      <w:r>
        <w:rPr>
          <w:rFonts w:ascii="Palatino Linotype" w:eastAsia="Palatino Linotype" w:hAnsi="Palatino Linotype" w:cs="Palatino Linotype"/>
        </w:rPr>
        <w:t xml:space="preserve"> 22, 25, 26, 29, 33, 35, 36, 37, 38, 39,</w:t>
      </w:r>
      <w:r w:rsidR="005B2107">
        <w:rPr>
          <w:rFonts w:ascii="Palatino Linotype" w:eastAsia="Palatino Linotype" w:hAnsi="Palatino Linotype" w:cs="Palatino Linotype"/>
        </w:rPr>
        <w:t xml:space="preserve"> 40, 43, 44, 45, 46, 47, 49, 50, 51</w:t>
      </w:r>
      <w:r>
        <w:rPr>
          <w:rFonts w:ascii="Palatino Linotype" w:eastAsia="Palatino Linotype" w:hAnsi="Palatino Linotype" w:cs="Palatino Linotype"/>
        </w:rPr>
        <w:t xml:space="preserve">, 53, 56, y 59; y en base a que dichos lineamientos para el ejercicio fiscal que no ocupa, establece que los ayuntamientos como sujeto de fiscalización tienen el deber de informar al Órgano Superior de Fiscalización del Estado de México la información que contemplan diversos discos entre ellos el 6, lo que ya se refirió en este apartado; en consecuencia, es dable ordenar al Sujeto Obligado, entregue al particular en la modalidad adoptada por éste, en versión pública de ser procedente, la información correspondientes a los consecutivos </w:t>
      </w:r>
      <w:r w:rsidR="005B2107">
        <w:rPr>
          <w:rFonts w:ascii="Palatino Linotype" w:eastAsia="Palatino Linotype" w:hAnsi="Palatino Linotype" w:cs="Palatino Linotype"/>
        </w:rPr>
        <w:t>4, 5, 6, 7, 8, 10, 11, 12, 13, 14, 15, 16, 18, 19, 20, 21, 22, 25, 26, 29, 33, 35, 36, 37, 38, 39, 40, 43, 44, 45, 46, 47, 49, 50, 51, 53, 56, y 59</w:t>
      </w:r>
      <w:r>
        <w:rPr>
          <w:rFonts w:ascii="Palatino Linotype" w:eastAsia="Palatino Linotype" w:hAnsi="Palatino Linotype" w:cs="Palatino Linotype"/>
        </w:rPr>
        <w:t>, del mes de diciembre del dos mil quince.</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orden de ideas, de los consecutivos del disco 6 para el ejercicio fiscal 2016, a través de la carpeta “DISCO 6 2016” sólo envió información respecto de los consecutivos 1, 3, 4, 5 (sólo el mes de diciembre), 6, 7 y 15, teniéndose por colmado el derecho de acceso a la información del solicitante solo para los consecutivos 1, 3 y 4 en virtud de lo siguiente:</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Se tiene por colmado el consecutivo uno en atención a que el Sujeto Obligado remite el archivo “</w:t>
      </w:r>
      <w:hyperlink r:id="rId71">
        <w:r>
          <w:rPr>
            <w:rFonts w:ascii="Palatino Linotype" w:eastAsia="Palatino Linotype" w:hAnsi="Palatino Linotype" w:cs="Palatino Linotype"/>
          </w:rPr>
          <w:t>02a16.pdf</w:t>
        </w:r>
      </w:hyperlink>
      <w:r>
        <w:rPr>
          <w:rFonts w:ascii="Palatino Linotype" w:eastAsia="Palatino Linotype" w:hAnsi="Palatino Linotype" w:cs="Palatino Linotype"/>
        </w:rPr>
        <w:t>” el cual contiene sesenta y tres formatos de calendarización de metas de actividad por proyecto para el ejercicio anual 2016; es decir, que el Sujeto Obligado remitió los formatos de calendarización de metas de actividad por proyecto generados en todo el año 2016, solicitado por el particular.</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 lo referente a las fichas técnicas de diseño de indicadores estratégicos o de gestión 2016 (PbRM-01d), consecutivo 3 y las fichas técnicas de seguimientos de indicadores 2016 de gestión o estratégicos (PbRM-08b), consecutivo 4, adjunta a su respuesta los archivos electrónicos “6.3 INDGEST0039A12016.txt” y “6.4 INDGEST0039S42016.txt” respectivamente, los cuales contiene información en bloc de notas y de acuerdo a la página 71 de los lineamientos para la integración del informe mensual del ejercicio fiscal 2016, estos consecutivos debieron haberse remitido al Organismo Superior de Fiscalización del Estado de México, en archivo de texto .TXT; lo que fue efectivamente acreditado por el Sujeto Obligado con los archivos enviados en respuesta alusivos en este párrafo.</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los consecutivos que conformar el disco 6 para el ejercicio 2016, señalados con el número 2, 8, 9, 10, 11, 12, 13 y 14 se advierte que en la respuesta del Sujeto Obligado, omitió remitir información al respecto.</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de los consecutivos 5, 6, 7 y 15, es necesario aclarar lo siguiente:</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Primeramente del consecutivo 5, en la información enviada en respuesta se advierte que el Sujeto Obligado remite el sistema de avance mensual SIAVAMEN con el sello de recibido por la Dirección General de Planeación y Gasto Público (DGPyGP), a través del archivo denominado “6.5 SIAVAMEN DIC 16.pdf” en doce fojas donde se aprecia información únicamente del mes de diciembre, mientras que de la solicitud se desprende que el particular solicitó todo el año 2016.</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Después el consecutivo 6, si bien el Sujeto Obligado envía en respuesta los estados de cuenta bancarios de los fondos FISMDF y FORTAMUNDF del ejercicio fiscal 2016 de todo el mes de diciembre, pero en versión pública testando la cuenta del </w:t>
      </w:r>
      <w:r>
        <w:rPr>
          <w:rFonts w:ascii="Palatino Linotype" w:eastAsia="Palatino Linotype" w:hAnsi="Palatino Linotype" w:cs="Palatino Linotype"/>
        </w:rPr>
        <w:lastRenderedPageBreak/>
        <w:t>producto/servicio del enlace global pm c/intereses, dos apartados del enlace global pm c/intereses y la descripción del cargo o abono, sustentando la versión publica en el acta de la octava sesión ordinaria del comité de transparencia del Sujeto Obligado; en donde se aprueba la propuesta de la tesorería municipal para llevar a cabo la clasificación parcial, en la modalidad de confidencial, de los estados de cuenta bancarios de los informes mensuales correspondientes a diciembre de 2016 que el Ayuntamiento de Ocoyoacac remitió al Órgano Superior de Fiscalización del Estado de México, por lo que es procedente analizar el acuerdo del comité de transparencia para determinar si la clasificación encuadra en alguno de los supuestos de la clasificación de la información confidencial, conforme a lo establecido en la Ley de Transparencia y Acceso a la Información Pública del Estado de México y Municipios.</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Inicialmente es dable precisar que los artículos 12</w:t>
      </w:r>
      <w:r>
        <w:rPr>
          <w:rFonts w:ascii="Palatino Linotype" w:eastAsia="Palatino Linotype" w:hAnsi="Palatino Linotype" w:cs="Palatino Linotype"/>
          <w:vertAlign w:val="superscript"/>
        </w:rPr>
        <w:footnoteReference w:id="8"/>
      </w:r>
      <w:r>
        <w:rPr>
          <w:rFonts w:ascii="Palatino Linotype" w:eastAsia="Palatino Linotype" w:hAnsi="Palatino Linotype" w:cs="Palatino Linotype"/>
        </w:rPr>
        <w:t xml:space="preserve"> y 23 fracción IV</w:t>
      </w:r>
      <w:r>
        <w:rPr>
          <w:rFonts w:ascii="Palatino Linotype" w:eastAsia="Palatino Linotype" w:hAnsi="Palatino Linotype" w:cs="Palatino Linotype"/>
          <w:vertAlign w:val="superscript"/>
        </w:rPr>
        <w:footnoteReference w:id="9"/>
      </w:r>
      <w:r>
        <w:rPr>
          <w:rFonts w:ascii="Palatino Linotype" w:eastAsia="Palatino Linotype" w:hAnsi="Palatino Linotype" w:cs="Palatino Linotype"/>
        </w:rPr>
        <w:t xml:space="preserve"> de la Ley de la Materia, establecen la obligación de transparentar toda la información pública que generen, recopilen, administren, manejen, procesen, archiven o conserven; así mismo señala como Sujeto Obligado</w:t>
      </w:r>
      <w:r>
        <w:rPr>
          <w:rFonts w:ascii="Palatino Linotype" w:eastAsia="Palatino Linotype" w:hAnsi="Palatino Linotype" w:cs="Palatino Linotype"/>
          <w:b/>
        </w:rPr>
        <w:t xml:space="preserve"> </w:t>
      </w:r>
      <w:r>
        <w:rPr>
          <w:rFonts w:ascii="Palatino Linotype" w:eastAsia="Palatino Linotype" w:hAnsi="Palatino Linotype" w:cs="Palatino Linotype"/>
        </w:rPr>
        <w:t>al Ayuntamiento de Ocoyoacac.</w:t>
      </w:r>
    </w:p>
    <w:p w:rsidR="00207F36" w:rsidRDefault="00B53F5B">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Sin embargo, existen excepciones al derecho de acceso a la información conforme a lo establecido en los artículos 3, fracción XX, XXI, XXXIV y XLV, 91, 122, 135, 140, 141 y 142 de la repetitiva Ley de Transparencia, los cuales establecen lo siguiente:</w:t>
      </w:r>
    </w:p>
    <w:p w:rsidR="00207F36" w:rsidRDefault="00207F36">
      <w:pPr>
        <w:tabs>
          <w:tab w:val="left" w:pos="709"/>
        </w:tabs>
        <w:ind w:left="567" w:right="567"/>
        <w:jc w:val="both"/>
        <w:rPr>
          <w:rFonts w:ascii="Palatino Linotype" w:eastAsia="Palatino Linotype" w:hAnsi="Palatino Linotype" w:cs="Palatino Linotype"/>
          <w:i/>
          <w:sz w:val="22"/>
          <w:szCs w:val="22"/>
        </w:rPr>
      </w:pPr>
    </w:p>
    <w:p w:rsidR="00207F36" w:rsidRDefault="00B53F5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por:…</w:t>
      </w:r>
    </w:p>
    <w:p w:rsidR="00207F36" w:rsidRDefault="00B53F5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w:t>
      </w:r>
      <w:r>
        <w:rPr>
          <w:rFonts w:ascii="Palatino Linotype" w:eastAsia="Palatino Linotype" w:hAnsi="Palatino Linotype" w:cs="Palatino Linotype"/>
          <w:i/>
          <w:sz w:val="22"/>
          <w:szCs w:val="22"/>
        </w:rPr>
        <w:t xml:space="preserve"> Información clasificada: Aquella considerada por la presente Ley como reservada o confidencial; </w:t>
      </w:r>
    </w:p>
    <w:p w:rsidR="00207F36" w:rsidRDefault="00B53F5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w:t>
      </w:r>
      <w:r>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207F36" w:rsidRDefault="00B53F5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07F36" w:rsidRDefault="00B53F5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XXXIV</w:t>
      </w:r>
      <w:r>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rsidR="00207F36" w:rsidRDefault="00B53F5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07F36" w:rsidRDefault="00B53F5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w:t>
      </w:r>
      <w:r>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rsidR="00207F36" w:rsidRDefault="00207F36">
      <w:pPr>
        <w:tabs>
          <w:tab w:val="left" w:pos="709"/>
        </w:tabs>
        <w:ind w:left="567" w:right="567"/>
        <w:jc w:val="both"/>
        <w:rPr>
          <w:rFonts w:ascii="Palatino Linotype" w:eastAsia="Palatino Linotype" w:hAnsi="Palatino Linotype" w:cs="Palatino Linotype"/>
          <w:i/>
          <w:sz w:val="22"/>
          <w:szCs w:val="22"/>
        </w:rPr>
      </w:pPr>
    </w:p>
    <w:p w:rsidR="00207F36" w:rsidRDefault="00B53F5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207F36" w:rsidRDefault="00207F36">
      <w:pPr>
        <w:tabs>
          <w:tab w:val="left" w:pos="709"/>
        </w:tabs>
        <w:ind w:left="567" w:right="567"/>
        <w:jc w:val="both"/>
        <w:rPr>
          <w:rFonts w:ascii="Palatino Linotype" w:eastAsia="Palatino Linotype" w:hAnsi="Palatino Linotype" w:cs="Palatino Linotype"/>
          <w:i/>
          <w:sz w:val="22"/>
          <w:szCs w:val="22"/>
        </w:rPr>
      </w:pPr>
    </w:p>
    <w:p w:rsidR="00207F36" w:rsidRDefault="00B53F5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122.</w:t>
      </w:r>
      <w:r>
        <w:rPr>
          <w:rFonts w:ascii="Palatino Linotype" w:eastAsia="Palatino Linotype" w:hAnsi="Palatino Linotype" w:cs="Palatino Linotype"/>
          <w:i/>
          <w:sz w:val="22"/>
          <w:szCs w:val="22"/>
        </w:rPr>
        <w:t xml:space="preserve"> La clasificación es el proceso mediante el cual el sujeto obligado determina que la información en su poder actualiza alguno de los supuestos de reserva o confidencialidad, de conformidad con lo dispuesto en el presente título.</w:t>
      </w:r>
    </w:p>
    <w:p w:rsidR="00207F36" w:rsidRDefault="00B53F5B">
      <w:pPr>
        <w:tabs>
          <w:tab w:val="left" w:pos="709"/>
        </w:tabs>
        <w:ind w:left="567" w:right="567"/>
        <w:jc w:val="both"/>
        <w:rPr>
          <w:rFonts w:ascii="Palatino Linotype" w:eastAsia="Palatino Linotype" w:hAnsi="Palatino Linotype" w:cs="Palatino Linotype"/>
          <w:i/>
          <w:sz w:val="22"/>
          <w:szCs w:val="22"/>
          <w:highlight w:val="yellow"/>
        </w:rPr>
      </w:pPr>
      <w:r>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rsidR="00207F36" w:rsidRDefault="00B53F5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rsidR="00207F36" w:rsidRDefault="00207F36">
      <w:pPr>
        <w:tabs>
          <w:tab w:val="left" w:pos="709"/>
        </w:tabs>
        <w:ind w:left="567" w:right="567"/>
        <w:jc w:val="both"/>
        <w:rPr>
          <w:rFonts w:ascii="Palatino Linotype" w:eastAsia="Palatino Linotype" w:hAnsi="Palatino Linotype" w:cs="Palatino Linotype"/>
          <w:i/>
          <w:sz w:val="22"/>
          <w:szCs w:val="22"/>
        </w:rPr>
      </w:pPr>
    </w:p>
    <w:p w:rsidR="00207F36" w:rsidRDefault="00B53F5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135.</w:t>
      </w:r>
      <w:r>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rsidR="00207F36" w:rsidRDefault="00207F36">
      <w:pPr>
        <w:tabs>
          <w:tab w:val="left" w:pos="709"/>
        </w:tabs>
        <w:ind w:left="567" w:right="567"/>
        <w:jc w:val="both"/>
        <w:rPr>
          <w:rFonts w:ascii="Palatino Linotype" w:eastAsia="Palatino Linotype" w:hAnsi="Palatino Linotype" w:cs="Palatino Linotype"/>
          <w:i/>
          <w:sz w:val="22"/>
          <w:szCs w:val="22"/>
        </w:rPr>
      </w:pPr>
    </w:p>
    <w:p w:rsidR="00207F36" w:rsidRDefault="00B53F5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207F36" w:rsidRDefault="00B53F5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 </w:t>
      </w:r>
    </w:p>
    <w:p w:rsidR="00207F36" w:rsidRDefault="00B53F5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207F36" w:rsidRDefault="00B53F5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rsidR="00207F36" w:rsidRDefault="00B53F5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207F36" w:rsidRDefault="00B53F5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207F36" w:rsidRDefault="00B53F5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147</w:t>
      </w:r>
      <w:r>
        <w:rPr>
          <w:rFonts w:ascii="Palatino Linotype" w:eastAsia="Palatino Linotype" w:hAnsi="Palatino Linotype" w:cs="Palatino Linotype"/>
          <w:i/>
          <w:sz w:val="22"/>
          <w:szCs w:val="22"/>
        </w:rPr>
        <w:t>. Para que los sujetos obligados puedan permitir el acceso a información confidencial requieren obtener el consentimiento de los particulares titulares de la información.</w:t>
      </w:r>
    </w:p>
    <w:p w:rsidR="00207F36" w:rsidRDefault="00B53F5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148.</w:t>
      </w:r>
      <w:r>
        <w:rPr>
          <w:rFonts w:ascii="Palatino Linotype" w:eastAsia="Palatino Linotype" w:hAnsi="Palatino Linotype" w:cs="Palatino Linotype"/>
          <w:i/>
          <w:sz w:val="22"/>
          <w:szCs w:val="22"/>
        </w:rPr>
        <w:t xml:space="preserve"> No se requerirá el consentimiento del titular de la información confidencial cuando:</w:t>
      </w:r>
    </w:p>
    <w:p w:rsidR="00207F36" w:rsidRDefault="00B53F5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información se encuentre en registros públicos o fuentes de acceso público;</w:t>
      </w:r>
    </w:p>
    <w:p w:rsidR="00207F36" w:rsidRDefault="00B53F5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Por Ley tenga el carácter de pública;</w:t>
      </w:r>
    </w:p>
    <w:p w:rsidR="00207F36" w:rsidRDefault="00B53F5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Exista una orden judicial;</w:t>
      </w:r>
    </w:p>
    <w:p w:rsidR="00207F36" w:rsidRDefault="00B53F5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Por razones de seguridad pública, o para proteger los derechos de terceros, se requiera su publicación; o</w:t>
      </w:r>
    </w:p>
    <w:p w:rsidR="00207F36" w:rsidRDefault="00B53F5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rsidR="00207F36" w:rsidRDefault="00B53F5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207F36" w:rsidRDefault="00B53F5B">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w:t>
      </w:r>
    </w:p>
    <w:p w:rsidR="00207F36" w:rsidRDefault="00207F36">
      <w:pPr>
        <w:tabs>
          <w:tab w:val="left" w:pos="709"/>
        </w:tabs>
        <w:ind w:left="567" w:right="567"/>
        <w:jc w:val="both"/>
        <w:rPr>
          <w:rFonts w:ascii="Palatino Linotype" w:eastAsia="Palatino Linotype" w:hAnsi="Palatino Linotype" w:cs="Palatino Linotype"/>
          <w:i/>
          <w:sz w:val="22"/>
          <w:szCs w:val="22"/>
        </w:rPr>
      </w:pPr>
    </w:p>
    <w:p w:rsidR="00207F36" w:rsidRDefault="00B53F5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los artículos transcritos anteriormente, se observan las excepciones que tiene el derecho de acceso a la información pública, respecto a algunos tipos de información, lo cual restringe su acceso, precisándose de manera clara las hipótesis </w:t>
      </w:r>
      <w:r>
        <w:rPr>
          <w:rFonts w:ascii="Palatino Linotype" w:eastAsia="Palatino Linotype" w:hAnsi="Palatino Linotype" w:cs="Palatino Linotype"/>
        </w:rPr>
        <w:lastRenderedPageBreak/>
        <w:t>que dan lugar a clasificar la información, la cual puede ser de dos maneras: Reservada o Confidencial.</w:t>
      </w:r>
    </w:p>
    <w:p w:rsidR="00207F36" w:rsidRDefault="00207F36">
      <w:pPr>
        <w:spacing w:line="360" w:lineRule="auto"/>
        <w:jc w:val="both"/>
        <w:rPr>
          <w:rFonts w:ascii="Palatino Linotype" w:eastAsia="Palatino Linotype" w:hAnsi="Palatino Linotype" w:cs="Palatino Linotype"/>
        </w:rPr>
      </w:pPr>
    </w:p>
    <w:p w:rsidR="00207F36" w:rsidRDefault="00B53F5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la que presenten los particulares a los sujetos obligados, de conformidad con lo dispuesto por las leyes o los tratados internacionales.</w:t>
      </w:r>
    </w:p>
    <w:p w:rsidR="00207F36" w:rsidRDefault="00207F36">
      <w:pPr>
        <w:spacing w:line="360" w:lineRule="auto"/>
        <w:jc w:val="both"/>
        <w:rPr>
          <w:rFonts w:ascii="Palatino Linotype" w:eastAsia="Palatino Linotype" w:hAnsi="Palatino Linotype" w:cs="Palatino Linotype"/>
        </w:rPr>
      </w:pPr>
    </w:p>
    <w:p w:rsidR="00207F36" w:rsidRDefault="00B53F5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w:t>
      </w:r>
    </w:p>
    <w:p w:rsidR="00207F36" w:rsidRDefault="00207F36">
      <w:pPr>
        <w:spacing w:line="360" w:lineRule="auto"/>
        <w:jc w:val="both"/>
        <w:rPr>
          <w:rFonts w:ascii="Palatino Linotype" w:eastAsia="Palatino Linotype" w:hAnsi="Palatino Linotype" w:cs="Palatino Linotype"/>
        </w:rPr>
      </w:pP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168</w:t>
      </w:r>
      <w:r>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El Área deberá remitir la solicitud, así como un escrito en el que </w:t>
      </w:r>
      <w:r>
        <w:rPr>
          <w:rFonts w:ascii="Palatino Linotype" w:eastAsia="Palatino Linotype" w:hAnsi="Palatino Linotype" w:cs="Palatino Linotype"/>
          <w:b/>
          <w:i/>
          <w:sz w:val="22"/>
          <w:szCs w:val="22"/>
        </w:rPr>
        <w:t>funde y motive la clasificación al Comité de Transparencia</w:t>
      </w:r>
      <w:r>
        <w:rPr>
          <w:rFonts w:ascii="Palatino Linotype" w:eastAsia="Palatino Linotype" w:hAnsi="Palatino Linotype" w:cs="Palatino Linotype"/>
          <w:i/>
          <w:sz w:val="22"/>
          <w:szCs w:val="22"/>
        </w:rPr>
        <w:t>, mismo que deberá resolver para:</w:t>
      </w:r>
    </w:p>
    <w:p w:rsidR="00207F36" w:rsidRDefault="00B53F5B">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a</w:t>
      </w:r>
      <w:r>
        <w:rPr>
          <w:rFonts w:ascii="Palatino Linotype" w:eastAsia="Palatino Linotype" w:hAnsi="Palatino Linotype" w:cs="Palatino Linotype"/>
          <w:b/>
          <w:i/>
          <w:sz w:val="22"/>
          <w:szCs w:val="22"/>
        </w:rPr>
        <w:t>) Confirmar la clasificación;</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rsidR="00207F36" w:rsidRDefault="00B53F5B">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rsidR="00207F36" w:rsidRDefault="00207F36">
      <w:pPr>
        <w:spacing w:line="360" w:lineRule="auto"/>
        <w:jc w:val="both"/>
        <w:rPr>
          <w:rFonts w:ascii="Palatino Linotype" w:eastAsia="Palatino Linotype" w:hAnsi="Palatino Linotype" w:cs="Palatino Linotype"/>
        </w:rPr>
      </w:pPr>
    </w:p>
    <w:p w:rsidR="00207F36" w:rsidRDefault="00B53F5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Hechas estas precisiones, se advierte que el acuerdo del comité de trasparencia carece fundamentación y motivación toda vez que de los estados de cuenta bancarios de los fondos FISMDF y FORTAMUNDF del ejercicio fiscal 2016, se aprecia que se testo información que no se sabe si se trata de datos personales, toda vez que el Comité de Transparencia solo se enfoca a aprobar la clasificación de los estados de cuentas bancarios por contener información privada y datos personales concernientes a una persona física o jurídico colectiva identificada o identificable; sin precisar los motivos por los cuales testo la cuenta del producto/servicio del enlace global pm c/intereses, toda la columna del apartado de cargo/abono y dos apartados del enlace global pm c/intereses; siendo incongruente y creando con ello una incertidumbre jurídica, contraviniendo lo establecido por el artículo 9, fracción I</w:t>
      </w:r>
      <w:r>
        <w:rPr>
          <w:rFonts w:ascii="Palatino Linotype" w:eastAsia="Palatino Linotype" w:hAnsi="Palatino Linotype" w:cs="Palatino Linotype"/>
          <w:vertAlign w:val="superscript"/>
        </w:rPr>
        <w:footnoteReference w:id="10"/>
      </w:r>
      <w:r>
        <w:rPr>
          <w:rFonts w:ascii="Palatino Linotype" w:eastAsia="Palatino Linotype" w:hAnsi="Palatino Linotype" w:cs="Palatino Linotype"/>
        </w:rPr>
        <w:t xml:space="preserve"> y 11 párrafo primero</w:t>
      </w:r>
      <w:r>
        <w:rPr>
          <w:rFonts w:ascii="Palatino Linotype" w:eastAsia="Palatino Linotype" w:hAnsi="Palatino Linotype" w:cs="Palatino Linotype"/>
          <w:vertAlign w:val="superscript"/>
        </w:rPr>
        <w:footnoteReference w:id="11"/>
      </w:r>
      <w:r>
        <w:rPr>
          <w:rFonts w:ascii="Palatino Linotype" w:eastAsia="Palatino Linotype" w:hAnsi="Palatino Linotype" w:cs="Palatino Linotype"/>
        </w:rPr>
        <w:t xml:space="preserve"> de la ley de la Materia.</w:t>
      </w:r>
    </w:p>
    <w:p w:rsidR="00207F36" w:rsidRDefault="00207F36">
      <w:pPr>
        <w:spacing w:line="360" w:lineRule="auto"/>
        <w:jc w:val="both"/>
        <w:rPr>
          <w:rFonts w:ascii="Palatino Linotype" w:eastAsia="Palatino Linotype" w:hAnsi="Palatino Linotype" w:cs="Palatino Linotype"/>
        </w:rPr>
      </w:pPr>
    </w:p>
    <w:p w:rsidR="00207F36" w:rsidRDefault="00B53F5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se desestima el acuerdo del comité de transparencia del Sujeto Obligado de fecha dieciséis de agosto de la anualidad en curso por carecer de fundamentación y motivación la versión pública de los estados de cuentas bancarios de los fondos FISMDF Y FORTAMUNDF del mes de diciembre del 2016 y por consiguiente no se tiene por colmado el derecho de acceso a la información pública del particular, respecto al consecutivo 6; máxime que el particular requirió todo el año 2016, razón por la cual es dable ordenar al Sujeto Obligado haga </w:t>
      </w:r>
      <w:r>
        <w:rPr>
          <w:rFonts w:ascii="Palatino Linotype" w:eastAsia="Palatino Linotype" w:hAnsi="Palatino Linotype" w:cs="Palatino Linotype"/>
        </w:rPr>
        <w:lastRenderedPageBreak/>
        <w:t>entrega al particular en la modalidad adoptada por éste, el consecutivo 6 del disco 6 para el ejercicio fiscal 2016, en versión publica; acompañando el acuerdo del comité de transparencia por medio del cual funde y motive la versión pública, precisando los motivos o razones por los cuales llevaron a testar cada apartado.</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respecta al consecutivo 7, la información fue enviada a través de la carpeta “6.7 15062_OCOYOACAC”, ya explicada en el cuadro expuesto en el presente considerando, sin embargo no puede ser considerada suficiente por esta ponencia resolutora para tener por entregada la información y por consiguiente colmado el derecho de acceso a la información pública del particular, lo anterior en atención a que el Ayuntamiento de Ocoyoacac si bien envía diversos archivos que contienen los mapas de varias áreas geográficas que conforman al municipio, no advierten que se trate de los mapas de pobreza municipal para identificar las zonas a las cuales se les asignara los recursos del Fondo de Aportaciones Para Infraestructura Social de los Municipios y. Demarcaciones Territoriales del Distrito Federal y porque algunos archivos no se pueden abrir por estar dañados o por ser un archivo no admitido.</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en cuanto al consecutivo 15, sobre el avance trimestral de metas de actividad por proyecto (AM) del formato PbRM-08c, el Sujeto Obligado pretende colmar la entrega de la información con un archivo en formato txt de bloc de notas; mientras que el Manual para la Planeación, Programación y Presupuesto de Egresos Municipal para el Ejercicio Fiscal 2016, establece un formato para el avance trimestral de metas de actividad por proyecto (AM), y de acuerdo a los lineamientos para el informe mensual 2016, debió ser remitido a través del formato PbRM-08c, sin que se aprecie dicho formato en la información remitida; razón por </w:t>
      </w:r>
      <w:r>
        <w:rPr>
          <w:rFonts w:ascii="Palatino Linotype" w:eastAsia="Palatino Linotype" w:hAnsi="Palatino Linotype" w:cs="Palatino Linotype"/>
        </w:rPr>
        <w:lastRenderedPageBreak/>
        <w:t>la cual no se tiene por colmado el derecho de acceso a la información pública del particular. Para mejor entendimiento se inserta a continuación la imagen del formato alusivo:</w:t>
      </w:r>
    </w:p>
    <w:p w:rsidR="00207F36" w:rsidRDefault="00B53F5B">
      <w:pPr>
        <w:spacing w:before="240" w:after="240" w:line="360" w:lineRule="auto"/>
        <w:jc w:val="both"/>
        <w:rPr>
          <w:rFonts w:ascii="Palatino Linotype" w:eastAsia="Palatino Linotype" w:hAnsi="Palatino Linotype" w:cs="Palatino Linotype"/>
        </w:rPr>
      </w:pPr>
      <w:r>
        <w:rPr>
          <w:noProof/>
          <w:lang w:val="es-MX"/>
        </w:rPr>
        <w:drawing>
          <wp:anchor distT="0" distB="0" distL="0" distR="0" simplePos="0" relativeHeight="251685888" behindDoc="0" locked="0" layoutInCell="1" hidden="0" allowOverlap="1">
            <wp:simplePos x="0" y="0"/>
            <wp:positionH relativeFrom="column">
              <wp:posOffset>213995</wp:posOffset>
            </wp:positionH>
            <wp:positionV relativeFrom="paragraph">
              <wp:posOffset>-82550</wp:posOffset>
            </wp:positionV>
            <wp:extent cx="5466715" cy="2940685"/>
            <wp:effectExtent l="0" t="0" r="635" b="0"/>
            <wp:wrapNone/>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2"/>
                    <a:srcRect l="28750" t="20117" r="30464" b="9590"/>
                    <a:stretch>
                      <a:fillRect/>
                    </a:stretch>
                  </pic:blipFill>
                  <pic:spPr>
                    <a:xfrm>
                      <a:off x="0" y="0"/>
                      <a:ext cx="5466715" cy="2940685"/>
                    </a:xfrm>
                    <a:prstGeom prst="rect">
                      <a:avLst/>
                    </a:prstGeom>
                    <a:ln/>
                  </pic:spPr>
                </pic:pic>
              </a:graphicData>
            </a:graphic>
          </wp:anchor>
        </w:drawing>
      </w:r>
    </w:p>
    <w:p w:rsidR="00207F36" w:rsidRDefault="00207F36">
      <w:pPr>
        <w:spacing w:before="240" w:after="240" w:line="360" w:lineRule="auto"/>
        <w:jc w:val="both"/>
      </w:pPr>
    </w:p>
    <w:p w:rsidR="00207F36" w:rsidRDefault="00207F36">
      <w:pPr>
        <w:spacing w:before="240" w:after="240" w:line="360" w:lineRule="auto"/>
        <w:jc w:val="both"/>
        <w:rPr>
          <w:rFonts w:ascii="Palatino Linotype" w:eastAsia="Palatino Linotype" w:hAnsi="Palatino Linotype" w:cs="Palatino Linotype"/>
        </w:rPr>
      </w:pPr>
    </w:p>
    <w:p w:rsidR="00207F36" w:rsidRDefault="00207F36">
      <w:pPr>
        <w:spacing w:before="240" w:after="240" w:line="360" w:lineRule="auto"/>
        <w:jc w:val="both"/>
        <w:rPr>
          <w:rFonts w:ascii="Palatino Linotype" w:eastAsia="Palatino Linotype" w:hAnsi="Palatino Linotype" w:cs="Palatino Linotype"/>
        </w:rPr>
      </w:pPr>
    </w:p>
    <w:p w:rsidR="00207F36" w:rsidRDefault="00207F36">
      <w:pPr>
        <w:spacing w:before="240" w:after="240" w:line="360" w:lineRule="auto"/>
        <w:jc w:val="both"/>
        <w:rPr>
          <w:rFonts w:ascii="Palatino Linotype" w:eastAsia="Palatino Linotype" w:hAnsi="Palatino Linotype" w:cs="Palatino Linotype"/>
        </w:rPr>
      </w:pPr>
    </w:p>
    <w:p w:rsidR="00207F36" w:rsidRDefault="00207F36">
      <w:pPr>
        <w:spacing w:before="240" w:after="240" w:line="360" w:lineRule="auto"/>
        <w:jc w:val="both"/>
        <w:rPr>
          <w:rFonts w:ascii="Palatino Linotype" w:eastAsia="Palatino Linotype" w:hAnsi="Palatino Linotype" w:cs="Palatino Linotype"/>
        </w:rPr>
      </w:pPr>
    </w:p>
    <w:p w:rsidR="00207F36" w:rsidRDefault="00207F36">
      <w:pPr>
        <w:spacing w:before="240" w:after="240" w:line="360" w:lineRule="auto"/>
        <w:jc w:val="both"/>
        <w:rPr>
          <w:rFonts w:ascii="Palatino Linotype" w:eastAsia="Palatino Linotype" w:hAnsi="Palatino Linotype" w:cs="Palatino Linotype"/>
        </w:rPr>
      </w:pP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Hechas las precisiones anteriores, es dable ordenar al Sujeto Obligado, entregue al particular en la modalidad adoptada por éste, en versión pública de ser procedente, la información correspondientes a los consecutivos 2, 5 con excepción del mes de diciembre, 6, 7, 8, 9, 10, 11, 12, 13, 14 y 15, del disco 6 para el ejercicio fiscal del dos mil dieciséis, en los términos precisa</w:t>
      </w:r>
      <w:r w:rsidR="007F35C8">
        <w:rPr>
          <w:rFonts w:ascii="Palatino Linotype" w:eastAsia="Palatino Linotype" w:hAnsi="Palatino Linotype" w:cs="Palatino Linotype"/>
        </w:rPr>
        <w:t>dos en el presente considerando y el quinto.</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último, de los consecutivos del disco 6 para el ejercicio fiscal 2017, a través de la carpeta “DISCO 6 2017” solo envió información respecto de los consecutivos 1, 4, 5, 6, 7, 8, 9, 10, 11, 12, 13, 14, 15 y 16, teniéndose por colmado el derecho de acceso a </w:t>
      </w:r>
      <w:r>
        <w:rPr>
          <w:rFonts w:ascii="Palatino Linotype" w:eastAsia="Palatino Linotype" w:hAnsi="Palatino Linotype" w:cs="Palatino Linotype"/>
        </w:rPr>
        <w:lastRenderedPageBreak/>
        <w:t>la información del solicitante solo para los consecutivos 1, 4, 8, 9, 10, 11, 12, 13, 14, 15 y 16, en virtud de lo siguiente:</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Se tiene por colmado el consecutivo 1, en atención a que el Sujeto Obligado remite el archivo “</w:t>
      </w:r>
      <w:hyperlink r:id="rId73">
        <w:r>
          <w:rPr>
            <w:rFonts w:ascii="Palatino Linotype" w:eastAsia="Palatino Linotype" w:hAnsi="Palatino Linotype" w:cs="Palatino Linotype"/>
          </w:rPr>
          <w:t>02a17.pdf</w:t>
        </w:r>
      </w:hyperlink>
      <w:r>
        <w:rPr>
          <w:rFonts w:ascii="Palatino Linotype" w:eastAsia="Palatino Linotype" w:hAnsi="Palatino Linotype" w:cs="Palatino Linotype"/>
        </w:rPr>
        <w:t>” el cual contiene cincuenta formatos de calendarización de metas de actividad por proyecto para el ejercicio anual 2017; es decir, que el Sujeto Obligado remitió los formatos de calendarización de metas de actividad por proyecto generados en todo el año 2017, solicitado por el particular.</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 lo referente a las fichas técnicas de seguimientos de indicadores 2017, de gestión o estratégicos (PbRM-08b), consecutivo 4, adjunta a su respuesta el archivo “6.4 IS0038201704.TXT”, el cual contiene información en bloc de notas y de acuerdo a la página 63 de los lineamientos para la integración del informe mensual del ejercicio fiscal 2017, esté consecutivo debió haberse remitido al Organismo Superior de Fiscalización del Estado de México, en archivo de texto .TXT; lo que fue efectivamente acreditado por el Sujeto Obligado con el archivo enviado en respuesta alusivo en este párrafo.</w:t>
      </w:r>
    </w:p>
    <w:p w:rsidR="00207F36" w:rsidRDefault="00B53F5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consecutivo 12, correspondiente al indicador de puntos: competencia laboral del Director de Desarrollo Económico, el Sujeto Obligado en su respuesta adjunta el archivo denominado “6.12 COMPETENCIA LABORAL DEL DIRECTOR DE DESARROLLO ECONOMICO.pdf”, el cual contiene la información concerniente a este tema, sin embargo se aprecia en dicho documento, que el Sujeto Obligado informó al OSFEM que la competencia laboral del director de desarrollo económico aún se encontraba en proceso; firmado dicho informe el que en ese tiempo fungía como el encargado de la dirección general de desarrollo económico, quien </w:t>
      </w:r>
      <w:r>
        <w:rPr>
          <w:rFonts w:ascii="Palatino Linotype" w:eastAsia="Palatino Linotype" w:hAnsi="Palatino Linotype" w:cs="Palatino Linotype"/>
        </w:rPr>
        <w:lastRenderedPageBreak/>
        <w:t>efectivamente de acuerdo a la información pública de oficio mexiquense (IPOMEX) del Sujeto Obligado para el año 2017 es el servidor público quien fungía como Director General de Desarrollo Económico, lo que se traducen en expresiones que se refieren a un hecho negativo, por tanto, dicha información no puede fácticamente obrar en los archivos del sujeto obligado, ya que no puede probarse por ser lógica y materialmente imposible.</w:t>
      </w:r>
    </w:p>
    <w:p w:rsidR="00DB6F85" w:rsidRDefault="00DB6F85">
      <w:pPr>
        <w:spacing w:line="360" w:lineRule="auto"/>
        <w:jc w:val="both"/>
        <w:rPr>
          <w:rFonts w:ascii="Palatino Linotype" w:eastAsia="Palatino Linotype" w:hAnsi="Palatino Linotype" w:cs="Palatino Linotype"/>
        </w:rPr>
      </w:pPr>
    </w:p>
    <w:p w:rsidR="00207F36" w:rsidRDefault="00B53F5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Aunado a lo anterior, 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207F36" w:rsidRDefault="00207F36">
      <w:pPr>
        <w:spacing w:line="360" w:lineRule="auto"/>
        <w:jc w:val="both"/>
        <w:rPr>
          <w:rFonts w:ascii="Palatino Linotype" w:eastAsia="Palatino Linotype" w:hAnsi="Palatino Linotype" w:cs="Palatino Linotype"/>
        </w:rPr>
      </w:pPr>
    </w:p>
    <w:p w:rsidR="00207F36" w:rsidRDefault="00B53F5B">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HECHOS NEGATIVOS, NO SON SUSCEPTIBLES DE DEMOSTRACIÓN</w:t>
      </w:r>
      <w:r>
        <w:rPr>
          <w:rFonts w:ascii="Palatino Linotype" w:eastAsia="Palatino Linotype" w:hAnsi="Palatino Linotype" w:cs="Palatino Linotype"/>
          <w:i/>
          <w:sz w:val="22"/>
          <w:szCs w:val="22"/>
        </w:rPr>
        <w:t xml:space="preserve">. </w:t>
      </w:r>
    </w:p>
    <w:p w:rsidR="00207F36" w:rsidRDefault="00B53F5B">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rsidR="00207F36" w:rsidRDefault="00207F36">
      <w:pPr>
        <w:ind w:left="851" w:right="851"/>
        <w:jc w:val="both"/>
        <w:rPr>
          <w:rFonts w:ascii="Palatino Linotype" w:eastAsia="Palatino Linotype" w:hAnsi="Palatino Linotype" w:cs="Palatino Linotype"/>
          <w:i/>
          <w:sz w:val="22"/>
          <w:szCs w:val="22"/>
        </w:rPr>
      </w:pPr>
    </w:p>
    <w:p w:rsidR="00207F36" w:rsidRDefault="00B53F5B">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Amparo en revisión 2022/61. José García Florín (Menor). 9 de octubre de 1961. Cinco votos. Ponente: José Rivera Pérez Campos.”</w:t>
      </w:r>
    </w:p>
    <w:p w:rsidR="00207F36" w:rsidRDefault="00207F36">
      <w:pPr>
        <w:pBdr>
          <w:top w:val="nil"/>
          <w:left w:val="nil"/>
          <w:bottom w:val="nil"/>
          <w:right w:val="nil"/>
          <w:between w:val="nil"/>
        </w:pBdr>
        <w:spacing w:before="120" w:after="120" w:line="360" w:lineRule="auto"/>
        <w:jc w:val="both"/>
        <w:rPr>
          <w:rFonts w:ascii="Palatino Linotype" w:eastAsia="Palatino Linotype" w:hAnsi="Palatino Linotype" w:cs="Palatino Linotype"/>
          <w:color w:val="000000"/>
        </w:rPr>
      </w:pPr>
    </w:p>
    <w:p w:rsidR="00207F36" w:rsidRDefault="00B53F5B">
      <w:pPr>
        <w:pBdr>
          <w:top w:val="nil"/>
          <w:left w:val="nil"/>
          <w:bottom w:val="nil"/>
          <w:right w:val="nil"/>
          <w:between w:val="nil"/>
        </w:pBdr>
        <w:spacing w:before="120" w:after="12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Adicionalmente, toda vez que existió un pronunciamiento por parte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este 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w:t>
      </w:r>
      <w:r>
        <w:rPr>
          <w:rFonts w:ascii="Palatino Linotype" w:eastAsia="Palatino Linotype" w:hAnsi="Palatino Linotype" w:cs="Palatino Linotype"/>
          <w:color w:val="000000"/>
        </w:rPr>
        <w:lastRenderedPageBreak/>
        <w:t>Criterio 31-10 emitido por el entonces Instituto Federal de Accesos a la Información y Protección de Datos, que a la letra establece lo siguiente:</w:t>
      </w:r>
    </w:p>
    <w:p w:rsidR="00207F36" w:rsidRDefault="00207F36">
      <w:pPr>
        <w:spacing w:line="360" w:lineRule="auto"/>
        <w:jc w:val="both"/>
        <w:rPr>
          <w:rFonts w:ascii="Palatino Linotype" w:eastAsia="Palatino Linotype" w:hAnsi="Palatino Linotype" w:cs="Palatino Linotype"/>
        </w:rPr>
      </w:pPr>
    </w:p>
    <w:p w:rsidR="00207F36" w:rsidRDefault="00B53F5B">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207F36" w:rsidRDefault="00207F36">
      <w:pPr>
        <w:spacing w:line="360" w:lineRule="auto"/>
        <w:jc w:val="both"/>
        <w:rPr>
          <w:rFonts w:ascii="Palatino Linotype" w:eastAsia="Palatino Linotype" w:hAnsi="Palatino Linotype" w:cs="Palatino Linotype"/>
        </w:rPr>
      </w:pPr>
    </w:p>
    <w:p w:rsidR="00207F36" w:rsidRDefault="00B53F5B" w:rsidP="00DB6F85">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207F36" w:rsidRDefault="00207F36">
      <w:pPr>
        <w:pBdr>
          <w:top w:val="nil"/>
          <w:left w:val="nil"/>
          <w:bottom w:val="nil"/>
          <w:right w:val="nil"/>
          <w:between w:val="nil"/>
        </w:pBdr>
        <w:spacing w:line="360" w:lineRule="auto"/>
        <w:ind w:hanging="708"/>
        <w:jc w:val="both"/>
        <w:rPr>
          <w:rFonts w:ascii="Palatino Linotype" w:eastAsia="Palatino Linotype" w:hAnsi="Palatino Linotype" w:cs="Palatino Linotype"/>
          <w:color w:val="000000"/>
        </w:rPr>
      </w:pPr>
    </w:p>
    <w:p w:rsidR="00207F36" w:rsidRDefault="00B53F5B" w:rsidP="00DB6F85">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consecutivos 8, 9, 10, 11 y13, porque el Sujeto Obligado envió en su respuesta los indicadores de puntos de competencia laboral del tesorero, secretario del ayuntamiento, contralor interno municipal, director de obras y director de catastro, quien efectivamente de acuerdo a la información pública de oficio mexiquense (IPOMEX) del Sujeto Obligado para el año 2017, son los servidores públicos quien </w:t>
      </w:r>
      <w:r>
        <w:rPr>
          <w:rFonts w:ascii="Palatino Linotype" w:eastAsia="Palatino Linotype" w:hAnsi="Palatino Linotype" w:cs="Palatino Linotype"/>
          <w:color w:val="000000"/>
        </w:rPr>
        <w:lastRenderedPageBreak/>
        <w:t>fungía en el año 2017, lo que fue corroborado por esta ponencia resolutora en la página del IPOMEX del Sujeto Obligado apartado de “Directorio de todos los Servidores Públicos “fracción VII y “Remuneraciones” fracción VIII.</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Los consecutivos 14 y 15, el Sujeto Obligado a través de los archivos adjuntos a su respuesta denominados “6.14  DOCUMENTOS PARA EL DESARROLLO INSTITUCIONAL.pdf” y “6.15 TRANSPARENCIA EN EL HAMBITO MUNICIPAL.pdf”, efectivamente remite la información concerniente a estos temas, donde se advierten los documentos para el desarrollo institucional que tenía el ayuntamiento de Coyotepec para el año 2017, así como los indicadores de transparencia que tenía el Sujeto Obligado del primero de enero al treinta y uno de diciembre del 2017, cumpliendo con ello el requerimiento del particular y por consiguiente su derecho de acceso a la información pública.</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último, el consecutivo 16 relativo al avance trimestral de metas de actividad por proyecto (AM) del formato PbRM-08c, si envía la información en un formato txt de bloc de notas cumpliendo con lo señalado por los lineamientos para integración del informe mensual para el ejercicio fiscal 2017, que en su página 63 penúltimo párrafo señala que lo indicadores serán remitidos al OSFEM según la frecuencia en archivo .txt, en el formato concerniente.</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los consecutivos que conformar el disco 6 para el ejercicio 2017, señalados con el número 2 y 3 se advierte que en la respuesta del Sujeto Obligado, omitió remitir información al respecto.</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de los consecutivos 5, 6, 7, 8, 9, 10, 11 y 13, es necesario precisar lo siguiente:</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Primeramente del consecutivo 5, en la información enviada en respuesta se advierte que el Sujeto Obligado remite el sistema de avance mensual SIAVAMEN con el sello de recibido por la Dirección General de Planeación y Gasto Público (DGPyGP), a través del archivo denominado “6.5 SIAVAMEN.pdf” en doce fojas donde se aprecia información únicamente del mes de diciembre, mientras que de la solicitud se desprende que el particular solicitó todo el año 2017.</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Respecto de número 6, se debe estarse al pronunciamiento hecho por estar ponencia resolutora en el consec</w:t>
      </w:r>
      <w:r w:rsidR="007F35C8">
        <w:rPr>
          <w:rFonts w:ascii="Palatino Linotype" w:eastAsia="Palatino Linotype" w:hAnsi="Palatino Linotype" w:cs="Palatino Linotype"/>
        </w:rPr>
        <w:t>utivo 6 del año 2016 (páginas 75 a la 79</w:t>
      </w:r>
      <w:r>
        <w:rPr>
          <w:rFonts w:ascii="Palatino Linotype" w:eastAsia="Palatino Linotype" w:hAnsi="Palatino Linotype" w:cs="Palatino Linotype"/>
        </w:rPr>
        <w:t xml:space="preserve"> de la presente resolución); en atención a que el acuerdo por medio del cual el comité de transparencia avala la versión publica de los estados de cuenta bancarios correspondientes al mes de diciembre del 2016 y 2017, y para el dos mil diecisiete se aprecia que el Sujeto Obligado testo el número de cuenta y cable del apartado de producto del enlace global pm c/intereses, y toda la columna del apartado de descripción/establecimiento de los detalles de movimiento, creando incertidumbre jurídica toda vez que no se precisó en el referido acuerdo el motivo por el cual se testa dichos apartados, ya que no se describe que tipo de dato personal se testo; razón por la cual no se tiene por colmando el derecho de acceso a la información del particular en cuanto a éste punto; máxime que el particular requerido todo el año 2017 y por consiguiente procede ordenar la entrega de la información en los términos precisados en el pronunciamiento en cuestión.</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el consecutivo 7, si bien el Sujeto Obligado envía a través de la carpeta “6.7 Mapa de Pobreza Municipal”, supuesta información sobre el mapa de pobreza municipal, con el cual se pueda identificar las zonas para asignar los recursos del FISMDF, como así se aprecia en el propio nombre de la carpeta </w:t>
      </w:r>
      <w:r>
        <w:rPr>
          <w:rFonts w:ascii="Palatino Linotype" w:eastAsia="Palatino Linotype" w:hAnsi="Palatino Linotype" w:cs="Palatino Linotype"/>
        </w:rPr>
        <w:lastRenderedPageBreak/>
        <w:t>tocante; en cambio al abrir los archivos que contienen la carpeta de mérito; éstos no se pueden abrir porque se encuentran dañados y no pueden repararse, y el archivo en formato Word que contiene la carpeta de mérito si se puede abrir, pero contiene una hoja en blanco.</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respecta a los consecutivos 8, 9, 10, 11 y 13, efectivamente el Sujeto Obligado envía la información solicitada en su respuesta colmando con ello el derecho de acceso a la información pública del particular, mientras que al abrir cada uno de los archivos en formato pdf, concernientes al presente consecutivo se puede apreciar en un primer momento al mover el archivo de arriba hacia abajo y viceversa las fotografías del Tesorero, Secretario del Ayuntamiento, Contralor Interno, Director de Obras y del Director de Catastro; es decir que no fue debidamente testada la fotografía de los servidores públicos por el Sujeto Obligado, vulnerando con ello el derecho de protección de datos personales de los Servidores Públicos mencionados en los indicadores de puntos de competencia laboral; </w:t>
      </w:r>
      <w:r>
        <w:rPr>
          <w:rFonts w:ascii="Palatino Linotype" w:eastAsia="Palatino Linotype" w:hAnsi="Palatino Linotype" w:cs="Palatino Linotype"/>
          <w:color w:val="000000"/>
        </w:rPr>
        <w:t>razón por la cual</w:t>
      </w:r>
      <w:r>
        <w:rPr>
          <w:rFonts w:ascii="Palatino Linotype" w:eastAsia="Palatino Linotype" w:hAnsi="Palatino Linotype" w:cs="Palatino Linotype"/>
        </w:rPr>
        <w:t xml:space="preserve"> en observancia de los que señala el artículo 222, fracción III, de la Ley de la Materia, el Pleno de este Órgano Garante y de conformidad con el artículo 190 de la Ley en cita, ordena se de vista al Titular de la Contraloría Interna y Órgano de Control y Vigilancia de este Instituto a fin de que en ejercicio de sus funciones determine lo conducente.</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Hechas las precisiones anteriores, es dable ordenar al Sujeto Obligado, entregue al particular en la modalidad adoptada por éste, en versión pública de ser procedente, la información correspondientes a los consecutivos 2, 3, 5 con excepción del mes de diciembre, 6 y 7 del disco 6 del ejercicio fiscal 2017, en los términos precisa</w:t>
      </w:r>
      <w:r w:rsidR="007F35C8">
        <w:rPr>
          <w:rFonts w:ascii="Palatino Linotype" w:eastAsia="Palatino Linotype" w:hAnsi="Palatino Linotype" w:cs="Palatino Linotype"/>
        </w:rPr>
        <w:t>dos en el presente considerando y el quinto.</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último, es procedente aclarar que los archivos “</w:t>
      </w:r>
      <w:hyperlink r:id="rId74">
        <w:r>
          <w:rPr>
            <w:rFonts w:ascii="Palatino Linotype" w:eastAsia="Palatino Linotype" w:hAnsi="Palatino Linotype" w:cs="Palatino Linotype"/>
          </w:rPr>
          <w:t>02a16.pdf</w:t>
        </w:r>
      </w:hyperlink>
      <w:r>
        <w:rPr>
          <w:rFonts w:ascii="Palatino Linotype" w:eastAsia="Palatino Linotype" w:hAnsi="Palatino Linotype" w:cs="Palatino Linotype"/>
        </w:rPr>
        <w:t>”, “</w:t>
      </w:r>
      <w:hyperlink r:id="rId75">
        <w:r>
          <w:rPr>
            <w:rFonts w:ascii="Palatino Linotype" w:eastAsia="Palatino Linotype" w:hAnsi="Palatino Linotype" w:cs="Palatino Linotype"/>
          </w:rPr>
          <w:t>02a18.pdf</w:t>
        </w:r>
      </w:hyperlink>
      <w:r>
        <w:rPr>
          <w:rFonts w:ascii="Palatino Linotype" w:eastAsia="Palatino Linotype" w:hAnsi="Palatino Linotype" w:cs="Palatino Linotype"/>
        </w:rPr>
        <w:t>” y  “</w:t>
      </w:r>
      <w:hyperlink r:id="rId76">
        <w:r>
          <w:rPr>
            <w:rFonts w:ascii="Palatino Linotype" w:eastAsia="Palatino Linotype" w:hAnsi="Palatino Linotype" w:cs="Palatino Linotype"/>
          </w:rPr>
          <w:t>02a17.pdf</w:t>
        </w:r>
      </w:hyperlink>
      <w:r>
        <w:rPr>
          <w:rFonts w:ascii="Palatino Linotype" w:eastAsia="Palatino Linotype" w:hAnsi="Palatino Linotype" w:cs="Palatino Linotype"/>
        </w:rPr>
        <w:t>”, forman parte del programa operativo anual 2016, 2017 y 2018, y del consecutivo uno del 2016 y 2017, respectivamente, lo que fue puntualizado en el presente considerando, se tomaron en cuenta para colmar el derecho de acceso a la información del particular para el consecutivo uno del disco 6 para el ejercicio fiscal 2016 y 2017, y parcialmente para el programa operativo anual, solicitados por el particular en su solicitud de acceso a la información.</w:t>
      </w:r>
    </w:p>
    <w:p w:rsidR="00207F36" w:rsidRDefault="00B53F5B">
      <w:pPr>
        <w:shd w:val="clear" w:color="auto" w:fill="FFFFFF"/>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Versión Pública. </w:t>
      </w:r>
      <w:r>
        <w:rPr>
          <w:rFonts w:ascii="Palatino Linotype" w:eastAsia="Palatino Linotype" w:hAnsi="Palatino Linotype" w:cs="Palatino Linotype"/>
        </w:rPr>
        <w:t>Como fue debidamente apuntado, el Sujeto Obligado debe satisfacer la solicitud de acceso a la información; sin embargo, dada la naturaleza de la información de la cual se ordena su entrega, deberá hacerse en versión pública, esto es, omitirá, eliminará o suprimirá la información personal de los servidores públicos referidos, toda vez que en dichos documentos existe la posibilidad de que obren datos que son considerados confidenciales, cuyo acceso debe ser restringido, los cuales deben testarse al momento de la versión pública, atento a lo siguiente:</w:t>
      </w:r>
    </w:p>
    <w:p w:rsidR="00207F36" w:rsidRDefault="00B53F5B">
      <w:pPr>
        <w:shd w:val="clear" w:color="auto" w:fill="FFFFFF"/>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207F36" w:rsidRDefault="00B53F5B">
      <w:pPr>
        <w:shd w:val="clear" w:color="auto" w:fill="FFFFFF"/>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este modo, en armonía entre los principios constitucionales de máxima publicidad y de protección de datos personales, la ley permite la elaboración de </w:t>
      </w:r>
      <w:r>
        <w:rPr>
          <w:rFonts w:ascii="Palatino Linotype" w:eastAsia="Palatino Linotype" w:hAnsi="Palatino Linotype" w:cs="Palatino Linotype"/>
        </w:rPr>
        <w:lastRenderedPageBreak/>
        <w:t>versiones públicas en las que se suprima aquella información relacionada con la vida privada de los particulares y de los servidores públicos.</w:t>
      </w:r>
    </w:p>
    <w:p w:rsidR="00207F36" w:rsidRDefault="00B53F5B">
      <w:pPr>
        <w:shd w:val="clear" w:color="auto" w:fill="FFFFFF"/>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Al respecto, los artículos 3, fracciones IX, XX, XXI, XXXII, XLV; 6, 49 fracción VIII, 91, 137, 143 fracción I, de la Ley de Transparencia y Acceso a la Información Pública del Estado de México y Municipios vigente establecen:</w:t>
      </w:r>
    </w:p>
    <w:p w:rsidR="00207F36" w:rsidRDefault="00B53F5B">
      <w:pPr>
        <w:shd w:val="clear" w:color="auto" w:fill="FFFFFF"/>
        <w:spacing w:before="240" w:after="240"/>
        <w:ind w:left="851"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3. Para los efectos de la presente Ley se entenderá por:</w:t>
      </w:r>
    </w:p>
    <w:p w:rsidR="00207F36" w:rsidRDefault="00B53F5B">
      <w:pPr>
        <w:shd w:val="clear" w:color="auto" w:fill="FFFFFF"/>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07F36" w:rsidRDefault="00B53F5B">
      <w:pPr>
        <w:shd w:val="clear" w:color="auto" w:fill="FFFFFF"/>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rsidR="00207F36" w:rsidRDefault="00B53F5B">
      <w:pPr>
        <w:shd w:val="clear" w:color="auto" w:fill="FFFFFF"/>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07F36" w:rsidRDefault="00B53F5B">
      <w:pPr>
        <w:shd w:val="clear" w:color="auto" w:fill="FFFFFF"/>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rsidR="00207F36" w:rsidRDefault="00B53F5B">
      <w:pPr>
        <w:shd w:val="clear" w:color="auto" w:fill="FFFFFF"/>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207F36" w:rsidRDefault="00B53F5B">
      <w:pPr>
        <w:shd w:val="clear" w:color="auto" w:fill="FFFFFF"/>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07F36" w:rsidRDefault="00B53F5B">
      <w:pPr>
        <w:shd w:val="clear" w:color="auto" w:fill="FFFFFF"/>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Derecho humano que tutela la privacidad de datos personales en poder de los sujetos obligados y sujetos particulares;</w:t>
      </w:r>
    </w:p>
    <w:p w:rsidR="00207F36" w:rsidRDefault="00B53F5B">
      <w:pPr>
        <w:shd w:val="clear" w:color="auto" w:fill="FFFFFF"/>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07F36" w:rsidRDefault="00B53F5B">
      <w:pPr>
        <w:shd w:val="clear" w:color="auto" w:fill="FFFFFF"/>
        <w:spacing w:before="240" w:after="240"/>
        <w:ind w:left="851" w:right="902"/>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207F36" w:rsidRDefault="00B53F5B">
      <w:pPr>
        <w:shd w:val="clear" w:color="auto" w:fill="FFFFFF"/>
        <w:spacing w:before="240" w:after="240"/>
        <w:ind w:left="851" w:right="902"/>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w:t>
      </w:r>
      <w:r>
        <w:rPr>
          <w:rFonts w:ascii="Palatino Linotype" w:eastAsia="Palatino Linotype" w:hAnsi="Palatino Linotype" w:cs="Palatino Linotype"/>
          <w:i/>
          <w:sz w:val="22"/>
          <w:szCs w:val="22"/>
        </w:rPr>
        <w:lastRenderedPageBreak/>
        <w:t>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207F36" w:rsidRDefault="00B53F5B">
      <w:pPr>
        <w:shd w:val="clear" w:color="auto" w:fill="FFFFFF"/>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Los Comités de Transparencia tendrán las siguientes atribuciones:</w:t>
      </w:r>
    </w:p>
    <w:p w:rsidR="00207F36" w:rsidRDefault="00B53F5B">
      <w:pPr>
        <w:shd w:val="clear" w:color="auto" w:fill="FFFFFF"/>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07F36" w:rsidRDefault="00B53F5B">
      <w:pPr>
        <w:shd w:val="clear" w:color="auto" w:fill="FFFFFF"/>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Aprobar, modificar o revocar la clasificación de la información;</w:t>
      </w:r>
    </w:p>
    <w:p w:rsidR="00207F36" w:rsidRDefault="00B53F5B">
      <w:pPr>
        <w:shd w:val="clear" w:color="auto" w:fill="FFFFFF"/>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07F36" w:rsidRDefault="00B53F5B">
      <w:pPr>
        <w:shd w:val="clear" w:color="auto" w:fill="FFFFFF"/>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r>
        <w:rPr>
          <w:rFonts w:ascii="Palatino Linotype" w:eastAsia="Palatino Linotype" w:hAnsi="Palatino Linotype" w:cs="Palatino Linotype"/>
          <w:i/>
          <w:sz w:val="22"/>
          <w:szCs w:val="22"/>
        </w:rPr>
        <w:br/>
        <w:t>(…)</w:t>
      </w:r>
    </w:p>
    <w:p w:rsidR="00207F36" w:rsidRDefault="00B53F5B">
      <w:pPr>
        <w:shd w:val="clear" w:color="auto" w:fill="FFFFFF"/>
        <w:spacing w:before="240" w:after="240"/>
        <w:ind w:left="851" w:right="902"/>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207F36" w:rsidRDefault="00B53F5B">
      <w:pPr>
        <w:shd w:val="clear" w:color="auto" w:fill="FFFFFF"/>
        <w:spacing w:before="240" w:after="240"/>
        <w:ind w:left="851" w:right="902"/>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t> 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207F36" w:rsidRDefault="00B53F5B">
      <w:pPr>
        <w:shd w:val="clear" w:color="auto" w:fill="FFFFFF"/>
        <w:spacing w:before="240" w:after="240"/>
        <w:ind w:left="851" w:right="902"/>
        <w:jc w:val="both"/>
        <w:rPr>
          <w:rFonts w:ascii="Palatino Linotype" w:eastAsia="Palatino Linotype" w:hAnsi="Palatino Linotype" w:cs="Palatino Linotype"/>
        </w:rPr>
      </w:pPr>
      <w:r>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rsidR="00207F36" w:rsidRDefault="00B53F5B">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w:t>
      </w:r>
      <w:r>
        <w:rPr>
          <w:rFonts w:ascii="Palatino Linotype" w:eastAsia="Palatino Linotype" w:hAnsi="Palatino Linotype" w:cs="Palatino Linotype"/>
        </w:rPr>
        <w:lastRenderedPageBreak/>
        <w:t>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207F36" w:rsidRDefault="00B53F5B">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207F36" w:rsidRDefault="00B53F5B">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207F36" w:rsidRDefault="00B53F5B">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207F36" w:rsidRDefault="00207F36">
      <w:pPr>
        <w:ind w:left="992" w:right="1043"/>
        <w:jc w:val="both"/>
        <w:rPr>
          <w:rFonts w:ascii="Palatino Linotype" w:eastAsia="Palatino Linotype" w:hAnsi="Palatino Linotype" w:cs="Palatino Linotype"/>
          <w:i/>
          <w:sz w:val="22"/>
          <w:szCs w:val="22"/>
        </w:rPr>
      </w:pPr>
    </w:p>
    <w:p w:rsidR="00207F36" w:rsidRDefault="00B53F5B">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207F36" w:rsidRDefault="00207F36">
      <w:pPr>
        <w:ind w:left="992" w:right="1043"/>
        <w:jc w:val="both"/>
        <w:rPr>
          <w:rFonts w:ascii="Palatino Linotype" w:eastAsia="Palatino Linotype" w:hAnsi="Palatino Linotype" w:cs="Palatino Linotype"/>
          <w:b/>
          <w:i/>
          <w:sz w:val="22"/>
          <w:szCs w:val="22"/>
        </w:rPr>
      </w:pPr>
    </w:p>
    <w:p w:rsidR="00207F36" w:rsidRDefault="00B53F5B">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207F36" w:rsidRDefault="00B53F5B">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207F36" w:rsidRDefault="00207F36">
      <w:pPr>
        <w:ind w:left="992" w:right="1043"/>
        <w:jc w:val="both"/>
        <w:rPr>
          <w:rFonts w:ascii="Palatino Linotype" w:eastAsia="Palatino Linotype" w:hAnsi="Palatino Linotype" w:cs="Palatino Linotype"/>
          <w:i/>
          <w:sz w:val="22"/>
          <w:szCs w:val="22"/>
        </w:rPr>
      </w:pPr>
    </w:p>
    <w:p w:rsidR="00207F36" w:rsidRDefault="00B53F5B">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207F36" w:rsidRDefault="00207F36">
      <w:pPr>
        <w:ind w:left="992" w:right="1043"/>
        <w:jc w:val="both"/>
        <w:rPr>
          <w:rFonts w:ascii="Palatino Linotype" w:eastAsia="Palatino Linotype" w:hAnsi="Palatino Linotype" w:cs="Palatino Linotype"/>
          <w:b/>
          <w:i/>
          <w:sz w:val="22"/>
          <w:szCs w:val="22"/>
        </w:rPr>
      </w:pPr>
    </w:p>
    <w:p w:rsidR="00207F36" w:rsidRDefault="00B53F5B">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w:t>
      </w:r>
    </w:p>
    <w:p w:rsidR="00207F36" w:rsidRDefault="00207F36">
      <w:pPr>
        <w:ind w:left="992" w:right="1043"/>
        <w:jc w:val="both"/>
        <w:rPr>
          <w:rFonts w:ascii="Palatino Linotype" w:eastAsia="Palatino Linotype" w:hAnsi="Palatino Linotype" w:cs="Palatino Linotype"/>
          <w:i/>
          <w:sz w:val="22"/>
          <w:szCs w:val="22"/>
        </w:rPr>
      </w:pP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cuyo contenido es de la literalidad siguiente:</w:t>
      </w:r>
    </w:p>
    <w:p w:rsidR="00207F36" w:rsidRDefault="00B53F5B">
      <w:pPr>
        <w:spacing w:before="240"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rsidR="00207F36" w:rsidRDefault="00B53F5B">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w:t>
      </w:r>
      <w:r>
        <w:rPr>
          <w:rFonts w:ascii="Palatino Linotype" w:eastAsia="Palatino Linotype" w:hAnsi="Palatino Linotype" w:cs="Palatino Linotype"/>
        </w:rPr>
        <w:lastRenderedPageBreak/>
        <w:t>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caso específico, los requerimientos, recomendaciones hechos por el OSFEM al Sujeto Obligado, el programa operativo anual 2016, 2017 y 2018 y los consecutivos de los discos 6 para el año 2015,2016 y 2017, si bien tienen el carácter información pública en razón de que se trata de documentos que se encuentran en posesión del Sujeto Obligado, derivado del ejercicio de sus atribuciones, tal como quedó acotado en el cuerpo de la presente R</w:t>
      </w:r>
      <w:r w:rsidR="007F35C8">
        <w:rPr>
          <w:rFonts w:ascii="Palatino Linotype" w:eastAsia="Palatino Linotype" w:hAnsi="Palatino Linotype" w:cs="Palatino Linotype"/>
        </w:rPr>
        <w:t>esolución, también pudieren contener</w:t>
      </w:r>
      <w:r>
        <w:rPr>
          <w:rFonts w:ascii="Palatino Linotype" w:eastAsia="Palatino Linotype" w:hAnsi="Palatino Linotype" w:cs="Palatino Linotype"/>
        </w:rPr>
        <w:t xml:space="preserve"> da</w:t>
      </w:r>
      <w:r w:rsidR="007F35C8">
        <w:rPr>
          <w:rFonts w:ascii="Palatino Linotype" w:eastAsia="Palatino Linotype" w:hAnsi="Palatino Linotype" w:cs="Palatino Linotype"/>
        </w:rPr>
        <w:t>tos personales</w:t>
      </w:r>
      <w:r>
        <w:rPr>
          <w:rFonts w:ascii="Palatino Linotype" w:eastAsia="Palatino Linotype" w:hAnsi="Palatino Linotype" w:cs="Palatino Linotype"/>
        </w:rPr>
        <w:t xml:space="preserve">,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 la </w:t>
      </w:r>
      <w:r>
        <w:rPr>
          <w:rFonts w:ascii="Palatino Linotype" w:eastAsia="Palatino Linotype" w:hAnsi="Palatino Linotype" w:cs="Palatino Linotype"/>
          <w:b/>
        </w:rPr>
        <w:t>Clave de cualquier tipo de seguridad social</w:t>
      </w:r>
      <w:r>
        <w:rPr>
          <w:rFonts w:ascii="Palatino Linotype" w:eastAsia="Palatino Linotype" w:hAnsi="Palatino Linotype" w:cs="Palatino Linotype"/>
        </w:rPr>
        <w:t xml:space="preserve"> (ISSEMYM, u otros), así como la </w:t>
      </w:r>
      <w:r>
        <w:rPr>
          <w:rFonts w:ascii="Palatino Linotype" w:eastAsia="Palatino Linotype" w:hAnsi="Palatino Linotype" w:cs="Palatino Linotype"/>
          <w:b/>
        </w:rPr>
        <w:t>fotografía</w:t>
      </w:r>
      <w:r>
        <w:rPr>
          <w:rFonts w:ascii="Palatino Linotype" w:eastAsia="Palatino Linotype" w:hAnsi="Palatino Linotype" w:cs="Palatino Linotype"/>
        </w:rPr>
        <w:t>, de los interesados</w:t>
      </w:r>
      <w:r w:rsidR="007F35C8">
        <w:rPr>
          <w:rFonts w:ascii="Palatino Linotype" w:eastAsia="Palatino Linotype" w:hAnsi="Palatino Linotype" w:cs="Palatino Linotype"/>
        </w:rPr>
        <w:t xml:space="preserve"> o servidores públicos, firmas de interesados</w:t>
      </w:r>
      <w:r>
        <w:rPr>
          <w:rFonts w:ascii="Palatino Linotype" w:eastAsia="Palatino Linotype" w:hAnsi="Palatino Linotype" w:cs="Palatino Linotype"/>
        </w:rPr>
        <w:t xml:space="preserve">, cuentas bancarias de personas físicas o jurídico colectivas y los aquellos </w:t>
      </w:r>
      <w:r>
        <w:rPr>
          <w:rFonts w:ascii="Palatino Linotype" w:eastAsia="Palatino Linotype" w:hAnsi="Palatino Linotype" w:cs="Palatino Linotype"/>
          <w:b/>
        </w:rPr>
        <w:t>datos personales concernientes a la vida privada de las personas</w:t>
      </w:r>
      <w:r w:rsidR="007F35C8">
        <w:rPr>
          <w:rFonts w:ascii="Palatino Linotype" w:eastAsia="Palatino Linotype" w:hAnsi="Palatino Linotype" w:cs="Palatino Linotype"/>
        </w:rPr>
        <w:t xml:space="preserve"> físicas, </w:t>
      </w:r>
      <w:r>
        <w:rPr>
          <w:rFonts w:ascii="Palatino Linotype" w:eastAsia="Palatino Linotype" w:hAnsi="Palatino Linotype" w:cs="Palatino Linotype"/>
        </w:rPr>
        <w:t>jurídico colectivas</w:t>
      </w:r>
      <w:r w:rsidR="007F35C8">
        <w:rPr>
          <w:rFonts w:ascii="Palatino Linotype" w:eastAsia="Palatino Linotype" w:hAnsi="Palatino Linotype" w:cs="Palatino Linotype"/>
        </w:rPr>
        <w:t xml:space="preserve"> o servidores públicos</w:t>
      </w:r>
      <w:r>
        <w:rPr>
          <w:rFonts w:ascii="Palatino Linotype" w:eastAsia="Palatino Linotype" w:hAnsi="Palatino Linotype" w:cs="Palatino Linotype"/>
        </w:rPr>
        <w:t xml:space="preserve"> que pudieran contener los citados documentos.</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cuanto La fotografía</w:t>
      </w:r>
      <w:r>
        <w:rPr>
          <w:rFonts w:ascii="Palatino Linotype" w:eastAsia="Palatino Linotype" w:hAnsi="Palatino Linotype" w:cs="Palatino Linotype"/>
          <w:b/>
        </w:rPr>
        <w:t>,</w:t>
      </w:r>
      <w:r>
        <w:rPr>
          <w:rFonts w:ascii="Palatino Linotype" w:eastAsia="Palatino Linotype" w:hAnsi="Palatino Linotype" w:cs="Palatino Linotype"/>
        </w:rPr>
        <w:t xml:space="preserve"> porque debe señalarse que la misma constituye la reproducción fiel de las características físicas de una persona en un momento determinado, por lo que representa un instrumento de identificación, y </w:t>
      </w:r>
      <w:r>
        <w:rPr>
          <w:rFonts w:ascii="Palatino Linotype" w:eastAsia="Palatino Linotype" w:hAnsi="Palatino Linotype" w:cs="Palatino Linotype"/>
        </w:rPr>
        <w:lastRenderedPageBreak/>
        <w:t>reconocimiento como sujeto individual; por ende, para su difusión se requiere del consentimiento de los individuos; además de que la difusión de las mismas no permite reflejar el desempeño o idoneidad para ocupar un cargo; ni acreditar que se poseen los conocimientos propios de su profesión.</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al Registro Federal de Contribuyentes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compartido por el Instituto </w:t>
      </w:r>
      <w:r>
        <w:rPr>
          <w:rFonts w:ascii="Palatino Linotype" w:eastAsia="Palatino Linotype" w:hAnsi="Palatino Linotype" w:cs="Palatino Linotype"/>
          <w:highlight w:val="white"/>
        </w:rPr>
        <w:t xml:space="preserve">Nacional de Transparencia, Acceso a la Información y Protección de Datos Personales, INAI, a través del Criterio 19/17, </w:t>
      </w:r>
      <w:r>
        <w:rPr>
          <w:rFonts w:ascii="Palatino Linotype" w:eastAsia="Palatino Linotype" w:hAnsi="Palatino Linotype" w:cs="Palatino Linotype"/>
        </w:rPr>
        <w:t>el cual es del tenor literal siguiente:</w:t>
      </w:r>
    </w:p>
    <w:p w:rsidR="00207F36" w:rsidRDefault="00B53F5B">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“Registro Federal de Contribuyentes (RFC) de personas físicas</w:t>
      </w:r>
      <w:r>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rsidR="00207F36" w:rsidRDefault="00B53F5B">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el Registro Federal de Contribuyentes, RFC, se vincula al nombre de su titular y permite identificar la edad de la persona, su fecha de nacimiento, así como su homoclave, la cual es única e irrepetible y determina la identificación de dicha </w:t>
      </w:r>
      <w:r>
        <w:rPr>
          <w:rFonts w:ascii="Palatino Linotype" w:eastAsia="Palatino Linotype" w:hAnsi="Palatino Linotype" w:cs="Palatino Linotype"/>
          <w:color w:val="000000"/>
        </w:rPr>
        <w:lastRenderedPageBreak/>
        <w:t>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207F36" w:rsidRDefault="00B53F5B">
      <w:pPr>
        <w:shd w:val="clear" w:color="auto" w:fill="FFFFFF"/>
        <w:spacing w:before="240" w:after="240" w:line="360" w:lineRule="auto"/>
        <w:ind w:right="49"/>
        <w:jc w:val="both"/>
      </w:pPr>
      <w:r>
        <w:rPr>
          <w:rFonts w:ascii="Palatino Linotype" w:eastAsia="Palatino Linotype" w:hAnsi="Palatino Linotype" w:cs="Palatino Linotype"/>
        </w:rPr>
        <w:t>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contratos y estados de cuentas bancarios que vayan a ser entregados.</w:t>
      </w:r>
    </w:p>
    <w:p w:rsidR="00207F36" w:rsidRDefault="00B53F5B">
      <w:pPr>
        <w:shd w:val="clear" w:color="auto" w:fill="FFFFFF"/>
        <w:spacing w:before="240" w:after="360" w:line="360" w:lineRule="auto"/>
        <w:jc w:val="both"/>
      </w:pPr>
      <w:r>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rsidR="00207F36" w:rsidRDefault="00B53F5B">
      <w:pPr>
        <w:shd w:val="clear" w:color="auto" w:fill="FFFFFF"/>
        <w:spacing w:before="240" w:after="360" w:line="360" w:lineRule="auto"/>
        <w:jc w:val="both"/>
      </w:pPr>
      <w:r>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obtener beneficios y lucros de los recursos públicos por dicha contratación, por lo </w:t>
      </w:r>
      <w:r>
        <w:rPr>
          <w:rFonts w:ascii="Palatino Linotype" w:eastAsia="Palatino Linotype" w:hAnsi="Palatino Linotype" w:cs="Palatino Linotype"/>
        </w:rPr>
        <w:lastRenderedPageBreak/>
        <w:t>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rsidR="00207F36" w:rsidRDefault="00B53F5B">
      <w:pPr>
        <w:shd w:val="clear" w:color="auto" w:fill="FFFFFF"/>
        <w:spacing w:before="240" w:after="360" w:line="360" w:lineRule="auto"/>
        <w:jc w:val="both"/>
      </w:pPr>
      <w:r>
        <w:rPr>
          <w:rFonts w:ascii="Palatino Linotype" w:eastAsia="Palatino Linotype" w:hAnsi="Palatino Linotype" w:cs="Palatino Linotype"/>
        </w:rPr>
        <w:t>Argumentación que guarda sustento en lo estipulado por el artículo 23 de la Ley de Transparencia y Acceso a la Información Pública del Estado de México y Municipios vigente en su penúltimo párrafo, mismo que se lee como sigue:</w:t>
      </w:r>
    </w:p>
    <w:p w:rsidR="00207F36" w:rsidRDefault="00B53F5B">
      <w:pPr>
        <w:shd w:val="clear" w:color="auto" w:fill="FFFFFF"/>
        <w:spacing w:before="240" w:after="360"/>
        <w:ind w:left="993" w:right="1041"/>
        <w:jc w:val="both"/>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23.</w:t>
      </w:r>
      <w:r>
        <w:rPr>
          <w:rFonts w:ascii="Palatino Linotype" w:eastAsia="Palatino Linotype" w:hAnsi="Palatino Linotype" w:cs="Palatino Linotype"/>
          <w:i/>
          <w:sz w:val="22"/>
          <w:szCs w:val="22"/>
        </w:rPr>
        <w:t> (…)</w:t>
      </w:r>
    </w:p>
    <w:p w:rsidR="00207F36" w:rsidRDefault="00B53F5B">
      <w:pPr>
        <w:shd w:val="clear" w:color="auto" w:fill="FFFFFF"/>
        <w:spacing w:before="240" w:after="360"/>
        <w:ind w:left="993" w:right="1041"/>
        <w:jc w:val="both"/>
      </w:pPr>
      <w:r>
        <w:rPr>
          <w:rFonts w:ascii="Palatino Linotype" w:eastAsia="Palatino Linotype" w:hAnsi="Palatino Linotype" w:cs="Palatino Linotype"/>
          <w:b/>
          <w:i/>
          <w:sz w:val="22"/>
          <w:szCs w:val="22"/>
        </w:rPr>
        <w:t>Los sujetos obligados deberán hacer pública toda aquella información relativa a los montos y las personas a quienes entreguen, por cualquier motivo, recursos públicos</w:t>
      </w:r>
      <w:r>
        <w:rPr>
          <w:rFonts w:ascii="Palatino Linotype" w:eastAsia="Palatino Linotype" w:hAnsi="Palatino Linotype" w:cs="Palatino Linotype"/>
          <w:i/>
          <w:sz w:val="22"/>
          <w:szCs w:val="22"/>
        </w:rPr>
        <w:t>, así como los informes que dichas personas les entreguen sobre el uso y destino de dichos recursos…”</w:t>
      </w:r>
    </w:p>
    <w:p w:rsidR="00207F36" w:rsidRDefault="00B53F5B">
      <w:pPr>
        <w:shd w:val="clear" w:color="auto" w:fill="FFFFFF"/>
        <w:spacing w:before="240" w:after="240" w:line="360" w:lineRule="auto"/>
        <w:jc w:val="both"/>
      </w:pPr>
      <w:r>
        <w:rPr>
          <w:rFonts w:ascii="Palatino Linotype" w:eastAsia="Palatino Linotype" w:hAnsi="Palatino Linotype" w:cs="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207F36" w:rsidRDefault="00B53F5B">
      <w:pPr>
        <w:shd w:val="clear" w:color="auto" w:fill="FFFFFF"/>
        <w:spacing w:before="240" w:after="240" w:line="360" w:lineRule="auto"/>
        <w:jc w:val="both"/>
      </w:pPr>
      <w:r>
        <w:rPr>
          <w:rFonts w:ascii="Palatino Linotype" w:eastAsia="Palatino Linotype" w:hAnsi="Palatino Linotype" w:cs="Palatino Linotype"/>
        </w:rPr>
        <w:t>Por lo anterior, el número de cuenta bancaria debe ser clasificado como confidencial con fundamento en la fracciones I y II del artículo 143 de la Ley de la Materia vigente en la Entidad; en razón de que con su difusión se estaría poniendo en riesgo la seguridad de su titular.</w:t>
      </w:r>
    </w:p>
    <w:p w:rsidR="00207F36" w:rsidRDefault="00B53F5B">
      <w:pPr>
        <w:shd w:val="clear" w:color="auto" w:fill="FFFFFF"/>
        <w:spacing w:before="240" w:after="240" w:line="360" w:lineRule="auto"/>
        <w:ind w:right="51"/>
        <w:jc w:val="both"/>
      </w:pPr>
      <w:r>
        <w:rPr>
          <w:rFonts w:ascii="Palatino Linotype" w:eastAsia="Palatino Linotype" w:hAnsi="Palatino Linotype" w:cs="Palatino Linotype"/>
        </w:rPr>
        <w:lastRenderedPageBreak/>
        <w:t>Lo anterior, no es así tratándose de las cuentas bancarias o claves interbancarias de los Sujetos Obligados ya que su publicidad cede a la rendición de cuentas al transparentar la forma en que son transparentados los recursos públicos. Lo argumentado encuentra sustento en los criterios 11/17 y 10/17 emitidos por el Instituto Nacional de Transparencia, Acceso a la Información y Protección de Datos Personales que llevan por rubro y texto los siguientes:</w:t>
      </w:r>
    </w:p>
    <w:p w:rsidR="00207F36" w:rsidRDefault="00B53F5B">
      <w:pPr>
        <w:shd w:val="clear" w:color="auto" w:fill="FFFFFF"/>
        <w:spacing w:before="240" w:after="240"/>
        <w:ind w:left="851" w:right="900"/>
        <w:jc w:val="both"/>
      </w:pPr>
      <w:r>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Pr>
          <w:rFonts w:ascii="Palatino Linotype" w:eastAsia="Palatino Linotype" w:hAnsi="Palatino Linotype" w:cs="Palatino Linotype"/>
          <w:i/>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207F36" w:rsidRDefault="00B53F5B">
      <w:pPr>
        <w:shd w:val="clear" w:color="auto" w:fill="FFFFFF"/>
        <w:spacing w:before="240" w:after="240"/>
        <w:ind w:left="851" w:right="900"/>
        <w:jc w:val="both"/>
      </w:pPr>
      <w:r>
        <w:rPr>
          <w:rFonts w:ascii="Palatino Linotype" w:eastAsia="Palatino Linotype" w:hAnsi="Palatino Linotype" w:cs="Palatino Linotype"/>
          <w:b/>
          <w:i/>
          <w:sz w:val="22"/>
          <w:szCs w:val="22"/>
        </w:rPr>
        <w:t>Cuentas bancarias y/o CLABE interbancaria de personas físicas y morales privadas.</w:t>
      </w:r>
      <w:r>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207F36" w:rsidRDefault="00B53F5B">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Argumento que es compartido por el Instituto </w:t>
      </w:r>
      <w:r>
        <w:rPr>
          <w:rFonts w:ascii="Palatino Linotype" w:eastAsia="Palatino Linotype" w:hAnsi="Palatino Linotype" w:cs="Palatino Linotype"/>
          <w:highlight w:val="white"/>
        </w:rPr>
        <w:t>Nacional de Transparencia, Acceso a la Información y Protección de Datos Personales, INAI</w:t>
      </w:r>
      <w:r>
        <w:rPr>
          <w:rFonts w:ascii="Palatino Linotype" w:eastAsia="Palatino Linotype" w:hAnsi="Palatino Linotype" w:cs="Palatino Linotype"/>
          <w:b/>
        </w:rPr>
        <w:t xml:space="preserve">, conforme al </w:t>
      </w:r>
      <w:r>
        <w:rPr>
          <w:rFonts w:ascii="Palatino Linotype" w:eastAsia="Palatino Linotype" w:hAnsi="Palatino Linotype" w:cs="Palatino Linotype"/>
        </w:rPr>
        <w:t xml:space="preserve">criterio 18/17, el cual refiere: </w:t>
      </w:r>
    </w:p>
    <w:p w:rsidR="00207F36" w:rsidRDefault="00B53F5B">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“Clave Única de Registro de Población (CURP). </w:t>
      </w:r>
      <w:r>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rsidR="00207F36" w:rsidRDefault="00B53F5B">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rPr>
        <w:t>Al respecto, se destaca que la versión pública que elabore el Sujeto Obligado debe cumplir con las formalidades exigidas en la Ley, por lo que para tal efecto emitirá el Acuerdo del Comité de Transparencia en términos de la Ley de Transparencia y Acceso a la Información Pública del Estado de México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 solicitud</w:t>
      </w:r>
      <w:r>
        <w:rPr>
          <w:rFonts w:ascii="Palatino Linotype" w:eastAsia="Palatino Linotype" w:hAnsi="Palatino Linotype" w:cs="Palatino Linotype"/>
          <w:highlight w:val="white"/>
        </w:rPr>
        <w:t>.</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Efectivamente, cuando se clasifica información como confidencial es importante someterlo al Comité de Transparencia, quien debe confirmar, modificar o revocar la clasificación.</w:t>
      </w:r>
    </w:p>
    <w:p w:rsidR="00207F36" w:rsidRDefault="00B53F5B">
      <w:pPr>
        <w:shd w:val="clear" w:color="auto" w:fill="FFFFFF"/>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anteriormente expuesto y con fundamento en lo prescrito en los artículos 5 párrafos vigésimo, vigésimo primero y vigésimo segundo de la Constitución </w:t>
      </w:r>
      <w:r>
        <w:rPr>
          <w:rFonts w:ascii="Palatino Linotype" w:eastAsia="Palatino Linotype" w:hAnsi="Palatino Linotype" w:cs="Palatino Linotype"/>
        </w:rPr>
        <w:lastRenderedPageBreak/>
        <w:t>Política del Estado Libre y Soberano de México; 2, fracción II; 29, 36 fracciones I y II; 176, 178, 181, 185 y 186 fracción III de la Ley de Transparencia y Acceso a la Información Pública del Estado de México y Municipios, este Pleno:</w:t>
      </w:r>
    </w:p>
    <w:p w:rsidR="00207F36" w:rsidRDefault="00B53F5B">
      <w:pPr>
        <w:numPr>
          <w:ilvl w:val="0"/>
          <w:numId w:val="1"/>
        </w:numPr>
        <w:pBdr>
          <w:top w:val="nil"/>
          <w:left w:val="nil"/>
          <w:bottom w:val="nil"/>
          <w:right w:val="nil"/>
          <w:between w:val="nil"/>
        </w:pBdr>
        <w:spacing w:line="360" w:lineRule="auto"/>
        <w:contextualSpacing/>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fundadas las razones o motivos de inconformidad hechos valer por el Recurrente, 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la respuesta emitida por el Sujeto Obligado.</w:t>
      </w:r>
    </w:p>
    <w:p w:rsidR="00207F36" w:rsidRDefault="00B53F5B">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Sujeto Obligado, a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y </w:t>
      </w:r>
      <w:r>
        <w:rPr>
          <w:rFonts w:ascii="Palatino Linotype" w:eastAsia="Palatino Linotype" w:hAnsi="Palatino Linotype" w:cs="Palatino Linotype"/>
          <w:b/>
        </w:rPr>
        <w:t xml:space="preserve">Quinto </w:t>
      </w:r>
      <w:r>
        <w:rPr>
          <w:rFonts w:ascii="Palatino Linotype" w:eastAsia="Palatino Linotype" w:hAnsi="Palatino Linotype" w:cs="Palatino Linotype"/>
        </w:rPr>
        <w:t>de esta resolución, haga entrega al Recurrente vía SAIMEX</w:t>
      </w:r>
      <w:r>
        <w:rPr>
          <w:rFonts w:ascii="Palatino Linotype" w:eastAsia="Palatino Linotype" w:hAnsi="Palatino Linotype" w:cs="Palatino Linotype"/>
          <w:b/>
        </w:rPr>
        <w:t xml:space="preserve">, </w:t>
      </w:r>
      <w:r>
        <w:rPr>
          <w:rFonts w:ascii="Palatino Linotype" w:eastAsia="Palatino Linotype" w:hAnsi="Palatino Linotype" w:cs="Palatino Linotype"/>
        </w:rPr>
        <w:t>en versión pública de ser procedente, los documentos en donde conste lo siguiente:</w:t>
      </w:r>
    </w:p>
    <w:p w:rsidR="00207F36" w:rsidRDefault="00B53F5B">
      <w:pPr>
        <w:numPr>
          <w:ilvl w:val="0"/>
          <w:numId w:val="2"/>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bando municipal del año 2018.</w:t>
      </w:r>
    </w:p>
    <w:p w:rsidR="00207F36" w:rsidRDefault="00B53F5B">
      <w:pPr>
        <w:numPr>
          <w:ilvl w:val="0"/>
          <w:numId w:val="2"/>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requerimientos que ha recibido del Órgano Superior de Fiscalización del Estado de México de los años 2016, 2017 y del primero de enero al treinta de julio del 2018.</w:t>
      </w:r>
    </w:p>
    <w:p w:rsidR="00207F36" w:rsidRDefault="00B53F5B">
      <w:pPr>
        <w:numPr>
          <w:ilvl w:val="0"/>
          <w:numId w:val="2"/>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oficios que contengan las recomendaciones a las evaluaciones trimestrales hechas por el Órgano Superior de Fiscalización del Estado de México</w:t>
      </w:r>
      <w:r>
        <w:rPr>
          <w:rFonts w:ascii="Palatino Linotype" w:eastAsia="Palatino Linotype" w:hAnsi="Palatino Linotype" w:cs="Palatino Linotype"/>
        </w:rPr>
        <w:t xml:space="preserve">, del primero de enero al </w:t>
      </w:r>
      <w:r>
        <w:rPr>
          <w:rFonts w:ascii="Palatino Linotype" w:eastAsia="Palatino Linotype" w:hAnsi="Palatino Linotype" w:cs="Palatino Linotype"/>
          <w:color w:val="000000"/>
        </w:rPr>
        <w:t>treinta de julio del dos mil dieciocho.</w:t>
      </w:r>
    </w:p>
    <w:p w:rsidR="00207F36" w:rsidRDefault="00B53F5B">
      <w:pPr>
        <w:numPr>
          <w:ilvl w:val="0"/>
          <w:numId w:val="2"/>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programa operativo anual de los años 2016, 2017 y 2018.</w:t>
      </w:r>
    </w:p>
    <w:p w:rsidR="00207F36" w:rsidRDefault="00B53F5B">
      <w:pPr>
        <w:numPr>
          <w:ilvl w:val="0"/>
          <w:numId w:val="2"/>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información correspondiente a los consecutivos 4, 5, 6, 7, 8, 10, 12, 13, 14, 15, 18, 19, 22, 25, 26, 29, 33, 35, 36, 37, 38, 39, 42, 43, 44, 45, 46, 47, 48, 49, 50, 51, 52, 53, 56, y 59, del disco 6 para el ejercicio fiscal 2015, únicamente del mes de diciembre.</w:t>
      </w:r>
    </w:p>
    <w:p w:rsidR="00207F36" w:rsidRDefault="00B53F5B">
      <w:pPr>
        <w:numPr>
          <w:ilvl w:val="0"/>
          <w:numId w:val="2"/>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La información correspondiente a los consecutivos 2, 5, 6, 7, 8, 9, 10, 11, 12, 13, 14 y 15, del disco 6 para el ejercicio fiscal 2016.</w:t>
      </w:r>
    </w:p>
    <w:p w:rsidR="00207F36" w:rsidRDefault="00B53F5B">
      <w:pPr>
        <w:numPr>
          <w:ilvl w:val="0"/>
          <w:numId w:val="2"/>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informes correspondiente a los consecutivos 2, 3, 5, 6 y 7, del disco 6 para el ejercicio fiscal 2017.</w:t>
      </w:r>
    </w:p>
    <w:p w:rsidR="00207F36" w:rsidRDefault="00B53F5B">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rsidR="00207F36" w:rsidRDefault="00B53F5B">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 xml:space="preserve">Tercero. Remítase </w:t>
      </w:r>
      <w:r>
        <w:rPr>
          <w:rFonts w:ascii="Palatino Linotype" w:eastAsia="Palatino Linotype" w:hAnsi="Palatino Linotype" w:cs="Palatino Linotype"/>
        </w:rPr>
        <w:t>la presente resolución, al Responsable de la Unidad de Transparencia del Sujeto Obligado</w:t>
      </w:r>
      <w:r>
        <w:rPr>
          <w:rFonts w:ascii="Palatino Linotype" w:eastAsia="Palatino Linotype" w:hAnsi="Palatino Linotype" w:cs="Palatino Linotype"/>
          <w:highlight w:val="white"/>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 Hágase del conocimiento</w:t>
      </w:r>
      <w:r>
        <w:rPr>
          <w:rFonts w:ascii="Palatino Linotype" w:eastAsia="Palatino Linotype" w:hAnsi="Palatino Linotype" w:cs="Palatino Linotype"/>
        </w:rPr>
        <w:t xml:space="preserve"> del Recurrente</w:t>
      </w:r>
      <w:r>
        <w:rPr>
          <w:rFonts w:ascii="Palatino Linotype" w:eastAsia="Palatino Linotype" w:hAnsi="Palatino Linotype" w:cs="Palatino Linotype"/>
          <w:b/>
        </w:rPr>
        <w:t xml:space="preserve">, </w:t>
      </w:r>
      <w:r>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207F36" w:rsidRDefault="00B53F5B">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Quinto. </w:t>
      </w:r>
      <w:r>
        <w:rPr>
          <w:rFonts w:ascii="Palatino Linotype" w:eastAsia="Palatino Linotype" w:hAnsi="Palatino Linotype" w:cs="Palatino Linotype"/>
        </w:rPr>
        <w:t xml:space="preserve">Gírese oficio al Contralor Interno de este Instituto para que actúe en razón de su competencia, en términos de lo expuesto en el considerando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la presente resolución.</w:t>
      </w:r>
    </w:p>
    <w:p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AC1826">
        <w:rPr>
          <w:rFonts w:ascii="Palatino Linotype" w:eastAsia="Palatino Linotype" w:hAnsi="Palatino Linotype" w:cs="Palatino Linotype"/>
        </w:rPr>
        <w:t xml:space="preserve"> EMITIENDO VOTO PARTICULAR</w:t>
      </w:r>
      <w:r>
        <w:rPr>
          <w:rFonts w:ascii="Palatino Linotype" w:eastAsia="Palatino Linotype" w:hAnsi="Palatino Linotype" w:cs="Palatino Linotype"/>
        </w:rPr>
        <w:t>;</w:t>
      </w:r>
      <w:r w:rsidR="00296D3F">
        <w:rPr>
          <w:rFonts w:ascii="Palatino Linotype" w:eastAsia="Palatino Linotype" w:hAnsi="Palatino Linotype" w:cs="Palatino Linotype"/>
        </w:rPr>
        <w:t xml:space="preserve"> JOSÉ GUADALUPE LUNA HERNÁNDEZ,</w:t>
      </w:r>
      <w:r>
        <w:rPr>
          <w:rFonts w:ascii="Palatino Linotype" w:eastAsia="Palatino Linotype" w:hAnsi="Palatino Linotype" w:cs="Palatino Linotype"/>
        </w:rPr>
        <w:t xml:space="preserve"> JAVIER MARTÍNEZ CRUZ</w:t>
      </w:r>
      <w:r w:rsidR="00296D3F">
        <w:rPr>
          <w:rFonts w:ascii="Palatino Linotype" w:eastAsia="Palatino Linotype" w:hAnsi="Palatino Linotype" w:cs="Palatino Linotype"/>
        </w:rPr>
        <w:t xml:space="preserve"> Y LUIS GUSTAVO PARRA NORIEGA</w:t>
      </w:r>
      <w:r>
        <w:rPr>
          <w:rFonts w:ascii="Palatino Linotype" w:eastAsia="Palatino Linotype" w:hAnsi="Palatino Linotype" w:cs="Palatino Linotype"/>
        </w:rPr>
        <w:t>; EN LA CUADRAGÉSIMA TERCERA SESIÓN ORDINARIA CELEBRADA EL VEINTIDÓS DE NOVIEMBRE DE DOS MIL DIECIOCHO, ANTE EL SECRETARIO TÉCNICO DEL PLENO ALEXIS TAPIA RAMÍREZ.</w:t>
      </w:r>
    </w:p>
    <w:tbl>
      <w:tblPr>
        <w:tblStyle w:val="a4"/>
        <w:tblW w:w="88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19"/>
        <w:gridCol w:w="4419"/>
      </w:tblGrid>
      <w:tr w:rsidR="00207F36">
        <w:trPr>
          <w:trHeight w:val="1480"/>
        </w:trPr>
        <w:tc>
          <w:tcPr>
            <w:tcW w:w="8838" w:type="dxa"/>
            <w:gridSpan w:val="2"/>
          </w:tcPr>
          <w:p w:rsidR="00207F36" w:rsidRDefault="00207F36">
            <w:pPr>
              <w:jc w:val="center"/>
              <w:rPr>
                <w:rFonts w:ascii="Palatino Linotype" w:eastAsia="Palatino Linotype" w:hAnsi="Palatino Linotype" w:cs="Palatino Linotype"/>
                <w:b/>
              </w:rPr>
            </w:pPr>
          </w:p>
          <w:p w:rsidR="005B438C" w:rsidRDefault="005B438C">
            <w:pPr>
              <w:jc w:val="center"/>
              <w:rPr>
                <w:rFonts w:ascii="Palatino Linotype" w:eastAsia="Palatino Linotype" w:hAnsi="Palatino Linotype" w:cs="Palatino Linotype"/>
                <w:b/>
              </w:rPr>
            </w:pPr>
          </w:p>
          <w:p w:rsidR="005B438C" w:rsidRDefault="005B438C">
            <w:pPr>
              <w:jc w:val="center"/>
              <w:rPr>
                <w:rFonts w:ascii="Palatino Linotype" w:eastAsia="Palatino Linotype" w:hAnsi="Palatino Linotype" w:cs="Palatino Linotype"/>
                <w:b/>
              </w:rPr>
            </w:pPr>
          </w:p>
          <w:p w:rsidR="00207F36" w:rsidRDefault="00B53F5B">
            <w:pPr>
              <w:jc w:val="center"/>
              <w:rPr>
                <w:rFonts w:ascii="Palatino Linotype" w:eastAsia="Palatino Linotype" w:hAnsi="Palatino Linotype" w:cs="Palatino Linotype"/>
                <w:b/>
              </w:rPr>
            </w:pPr>
            <w:r>
              <w:rPr>
                <w:rFonts w:ascii="Palatino Linotype" w:eastAsia="Palatino Linotype" w:hAnsi="Palatino Linotype" w:cs="Palatino Linotype"/>
                <w:b/>
              </w:rPr>
              <w:t>Zulema Martínez Sánchez</w:t>
            </w:r>
          </w:p>
          <w:p w:rsidR="00207F36" w:rsidRDefault="00B53F5B">
            <w:pPr>
              <w:jc w:val="center"/>
              <w:rPr>
                <w:rFonts w:ascii="Palatino Linotype" w:eastAsia="Palatino Linotype" w:hAnsi="Palatino Linotype" w:cs="Palatino Linotype"/>
              </w:rPr>
            </w:pPr>
            <w:r>
              <w:rPr>
                <w:rFonts w:ascii="Palatino Linotype" w:eastAsia="Palatino Linotype" w:hAnsi="Palatino Linotype" w:cs="Palatino Linotype"/>
              </w:rPr>
              <w:t>Comisionada Presidenta</w:t>
            </w:r>
          </w:p>
          <w:p w:rsidR="00207F36" w:rsidRDefault="00B53F5B">
            <w:pPr>
              <w:jc w:val="center"/>
              <w:rPr>
                <w:rFonts w:ascii="Palatino Linotype" w:eastAsia="Palatino Linotype" w:hAnsi="Palatino Linotype" w:cs="Palatino Linotype"/>
              </w:rPr>
            </w:pPr>
            <w:r>
              <w:rPr>
                <w:rFonts w:ascii="Palatino Linotype" w:eastAsia="Palatino Linotype" w:hAnsi="Palatino Linotype" w:cs="Palatino Linotype"/>
              </w:rPr>
              <w:t>(Rúbrica)</w:t>
            </w:r>
          </w:p>
          <w:p w:rsidR="00207F36" w:rsidRDefault="00207F36">
            <w:pPr>
              <w:jc w:val="center"/>
              <w:rPr>
                <w:rFonts w:ascii="Palatino Linotype" w:eastAsia="Palatino Linotype" w:hAnsi="Palatino Linotype" w:cs="Palatino Linotype"/>
              </w:rPr>
            </w:pPr>
          </w:p>
          <w:p w:rsidR="00207F36" w:rsidRDefault="00207F36">
            <w:pPr>
              <w:jc w:val="center"/>
              <w:rPr>
                <w:rFonts w:ascii="Palatino Linotype" w:eastAsia="Palatino Linotype" w:hAnsi="Palatino Linotype" w:cs="Palatino Linotype"/>
              </w:rPr>
            </w:pPr>
          </w:p>
          <w:p w:rsidR="00207F36" w:rsidRDefault="00207F36">
            <w:pPr>
              <w:jc w:val="center"/>
              <w:rPr>
                <w:rFonts w:ascii="Palatino Linotype" w:eastAsia="Palatino Linotype" w:hAnsi="Palatino Linotype" w:cs="Palatino Linotype"/>
              </w:rPr>
            </w:pPr>
          </w:p>
          <w:p w:rsidR="00207F36" w:rsidRDefault="00207F36">
            <w:pPr>
              <w:jc w:val="center"/>
              <w:rPr>
                <w:rFonts w:ascii="Palatino Linotype" w:eastAsia="Palatino Linotype" w:hAnsi="Palatino Linotype" w:cs="Palatino Linotype"/>
              </w:rPr>
            </w:pPr>
          </w:p>
        </w:tc>
      </w:tr>
      <w:tr w:rsidR="00207F36">
        <w:trPr>
          <w:trHeight w:val="1820"/>
        </w:trPr>
        <w:tc>
          <w:tcPr>
            <w:tcW w:w="4419" w:type="dxa"/>
            <w:vAlign w:val="center"/>
          </w:tcPr>
          <w:p w:rsidR="00207F36" w:rsidRDefault="00B53F5B">
            <w:pPr>
              <w:jc w:val="center"/>
              <w:rPr>
                <w:rFonts w:ascii="Palatino Linotype" w:eastAsia="Palatino Linotype" w:hAnsi="Palatino Linotype" w:cs="Palatino Linotype"/>
                <w:b/>
                <w:sz w:val="25"/>
                <w:szCs w:val="25"/>
              </w:rPr>
            </w:pPr>
            <w:r>
              <w:rPr>
                <w:rFonts w:ascii="Palatino Linotype" w:eastAsia="Palatino Linotype" w:hAnsi="Palatino Linotype" w:cs="Palatino Linotype"/>
                <w:b/>
                <w:sz w:val="25"/>
                <w:szCs w:val="25"/>
              </w:rPr>
              <w:t>Eva Abaid Yapur</w:t>
            </w:r>
          </w:p>
          <w:p w:rsidR="00207F36" w:rsidRDefault="00B53F5B">
            <w:pPr>
              <w:jc w:val="center"/>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Comisionada</w:t>
            </w:r>
          </w:p>
          <w:p w:rsidR="00207F36" w:rsidRDefault="00B53F5B">
            <w:pPr>
              <w:jc w:val="center"/>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(Rúbrica)</w:t>
            </w:r>
          </w:p>
          <w:p w:rsidR="00207F36" w:rsidRDefault="00207F36">
            <w:pPr>
              <w:jc w:val="center"/>
              <w:rPr>
                <w:rFonts w:ascii="Palatino Linotype" w:eastAsia="Palatino Linotype" w:hAnsi="Palatino Linotype" w:cs="Palatino Linotype"/>
                <w:sz w:val="25"/>
                <w:szCs w:val="25"/>
              </w:rPr>
            </w:pPr>
          </w:p>
          <w:p w:rsidR="00207F36" w:rsidRDefault="00207F36">
            <w:pPr>
              <w:jc w:val="center"/>
              <w:rPr>
                <w:rFonts w:ascii="Palatino Linotype" w:eastAsia="Palatino Linotype" w:hAnsi="Palatino Linotype" w:cs="Palatino Linotype"/>
                <w:sz w:val="25"/>
                <w:szCs w:val="25"/>
              </w:rPr>
            </w:pPr>
          </w:p>
          <w:p w:rsidR="00207F36" w:rsidRDefault="00207F36">
            <w:pPr>
              <w:jc w:val="center"/>
              <w:rPr>
                <w:rFonts w:ascii="Palatino Linotype" w:eastAsia="Palatino Linotype" w:hAnsi="Palatino Linotype" w:cs="Palatino Linotype"/>
                <w:sz w:val="25"/>
                <w:szCs w:val="25"/>
              </w:rPr>
            </w:pPr>
          </w:p>
          <w:p w:rsidR="005B438C" w:rsidRDefault="005B438C">
            <w:pPr>
              <w:jc w:val="center"/>
              <w:rPr>
                <w:rFonts w:ascii="Palatino Linotype" w:eastAsia="Palatino Linotype" w:hAnsi="Palatino Linotype" w:cs="Palatino Linotype"/>
                <w:sz w:val="25"/>
                <w:szCs w:val="25"/>
              </w:rPr>
            </w:pPr>
          </w:p>
          <w:p w:rsidR="005B438C" w:rsidRDefault="005B438C">
            <w:pPr>
              <w:jc w:val="center"/>
              <w:rPr>
                <w:rFonts w:ascii="Palatino Linotype" w:eastAsia="Palatino Linotype" w:hAnsi="Palatino Linotype" w:cs="Palatino Linotype"/>
                <w:sz w:val="25"/>
                <w:szCs w:val="25"/>
              </w:rPr>
            </w:pPr>
          </w:p>
          <w:p w:rsidR="00207F36" w:rsidRDefault="00207F36">
            <w:pPr>
              <w:jc w:val="center"/>
              <w:rPr>
                <w:rFonts w:ascii="Palatino Linotype" w:eastAsia="Palatino Linotype" w:hAnsi="Palatino Linotype" w:cs="Palatino Linotype"/>
                <w:sz w:val="25"/>
                <w:szCs w:val="25"/>
              </w:rPr>
            </w:pPr>
          </w:p>
          <w:p w:rsidR="00207F36" w:rsidRDefault="00B53F5B">
            <w:pPr>
              <w:jc w:val="center"/>
              <w:rPr>
                <w:rFonts w:ascii="Palatino Linotype" w:eastAsia="Palatino Linotype" w:hAnsi="Palatino Linotype" w:cs="Palatino Linotype"/>
                <w:b/>
                <w:sz w:val="25"/>
                <w:szCs w:val="25"/>
              </w:rPr>
            </w:pPr>
            <w:r>
              <w:rPr>
                <w:rFonts w:ascii="Palatino Linotype" w:eastAsia="Palatino Linotype" w:hAnsi="Palatino Linotype" w:cs="Palatino Linotype"/>
                <w:b/>
                <w:sz w:val="25"/>
                <w:szCs w:val="25"/>
              </w:rPr>
              <w:t>Javier Martínez Cruz</w:t>
            </w:r>
          </w:p>
          <w:p w:rsidR="00207F36" w:rsidRDefault="00B53F5B">
            <w:pPr>
              <w:jc w:val="center"/>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Comisionado</w:t>
            </w:r>
          </w:p>
          <w:p w:rsidR="00207F36" w:rsidRDefault="00B53F5B">
            <w:pPr>
              <w:jc w:val="center"/>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(Rúbrica)</w:t>
            </w:r>
          </w:p>
        </w:tc>
        <w:tc>
          <w:tcPr>
            <w:tcW w:w="4419" w:type="dxa"/>
            <w:vAlign w:val="center"/>
          </w:tcPr>
          <w:p w:rsidR="00207F36" w:rsidRDefault="00B53F5B">
            <w:pPr>
              <w:jc w:val="center"/>
              <w:rPr>
                <w:rFonts w:ascii="Palatino Linotype" w:eastAsia="Palatino Linotype" w:hAnsi="Palatino Linotype" w:cs="Palatino Linotype"/>
                <w:b/>
                <w:sz w:val="25"/>
                <w:szCs w:val="25"/>
              </w:rPr>
            </w:pPr>
            <w:r>
              <w:rPr>
                <w:rFonts w:ascii="Palatino Linotype" w:eastAsia="Palatino Linotype" w:hAnsi="Palatino Linotype" w:cs="Palatino Linotype"/>
                <w:b/>
                <w:sz w:val="25"/>
                <w:szCs w:val="25"/>
              </w:rPr>
              <w:lastRenderedPageBreak/>
              <w:t>José Guadalupe Luna Hernández</w:t>
            </w:r>
          </w:p>
          <w:p w:rsidR="00207F36" w:rsidRDefault="00B53F5B">
            <w:pPr>
              <w:jc w:val="center"/>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Comisionado</w:t>
            </w:r>
          </w:p>
          <w:p w:rsidR="00207F36" w:rsidRDefault="00B53F5B">
            <w:pPr>
              <w:jc w:val="center"/>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(Rúbrica)</w:t>
            </w:r>
          </w:p>
          <w:p w:rsidR="00207F36" w:rsidRDefault="00207F36">
            <w:pPr>
              <w:jc w:val="center"/>
              <w:rPr>
                <w:rFonts w:ascii="Palatino Linotype" w:eastAsia="Palatino Linotype" w:hAnsi="Palatino Linotype" w:cs="Palatino Linotype"/>
                <w:sz w:val="25"/>
                <w:szCs w:val="25"/>
              </w:rPr>
            </w:pPr>
          </w:p>
          <w:p w:rsidR="00207F36" w:rsidRDefault="00207F36">
            <w:pPr>
              <w:jc w:val="center"/>
              <w:rPr>
                <w:rFonts w:ascii="Palatino Linotype" w:eastAsia="Palatino Linotype" w:hAnsi="Palatino Linotype" w:cs="Palatino Linotype"/>
                <w:sz w:val="25"/>
                <w:szCs w:val="25"/>
              </w:rPr>
            </w:pPr>
          </w:p>
          <w:p w:rsidR="00207F36" w:rsidRDefault="00207F36">
            <w:pPr>
              <w:jc w:val="center"/>
              <w:rPr>
                <w:rFonts w:ascii="Palatino Linotype" w:eastAsia="Palatino Linotype" w:hAnsi="Palatino Linotype" w:cs="Palatino Linotype"/>
                <w:sz w:val="25"/>
                <w:szCs w:val="25"/>
              </w:rPr>
            </w:pPr>
          </w:p>
          <w:p w:rsidR="005B438C" w:rsidRDefault="005B438C">
            <w:pPr>
              <w:jc w:val="center"/>
              <w:rPr>
                <w:rFonts w:ascii="Palatino Linotype" w:eastAsia="Palatino Linotype" w:hAnsi="Palatino Linotype" w:cs="Palatino Linotype"/>
                <w:sz w:val="25"/>
                <w:szCs w:val="25"/>
              </w:rPr>
            </w:pPr>
          </w:p>
          <w:p w:rsidR="00207F36" w:rsidRDefault="00207F36">
            <w:pPr>
              <w:jc w:val="center"/>
              <w:rPr>
                <w:rFonts w:ascii="Palatino Linotype" w:eastAsia="Palatino Linotype" w:hAnsi="Palatino Linotype" w:cs="Palatino Linotype"/>
                <w:sz w:val="25"/>
                <w:szCs w:val="25"/>
              </w:rPr>
            </w:pPr>
          </w:p>
          <w:p w:rsidR="005B438C" w:rsidRDefault="005B438C">
            <w:pPr>
              <w:jc w:val="center"/>
              <w:rPr>
                <w:rFonts w:ascii="Palatino Linotype" w:eastAsia="Palatino Linotype" w:hAnsi="Palatino Linotype" w:cs="Palatino Linotype"/>
                <w:sz w:val="25"/>
                <w:szCs w:val="25"/>
              </w:rPr>
            </w:pPr>
          </w:p>
          <w:p w:rsidR="00207F36" w:rsidRDefault="00B53F5B">
            <w:pPr>
              <w:jc w:val="center"/>
              <w:rPr>
                <w:rFonts w:ascii="Palatino Linotype" w:eastAsia="Palatino Linotype" w:hAnsi="Palatino Linotype" w:cs="Palatino Linotype"/>
                <w:b/>
                <w:sz w:val="25"/>
                <w:szCs w:val="25"/>
              </w:rPr>
            </w:pPr>
            <w:r>
              <w:rPr>
                <w:rFonts w:ascii="Palatino Linotype" w:eastAsia="Palatino Linotype" w:hAnsi="Palatino Linotype" w:cs="Palatino Linotype"/>
                <w:b/>
                <w:sz w:val="25"/>
                <w:szCs w:val="25"/>
              </w:rPr>
              <w:t>Luis Gustavo Parra Noriega</w:t>
            </w:r>
          </w:p>
          <w:p w:rsidR="00207F36" w:rsidRDefault="00B53F5B">
            <w:pPr>
              <w:jc w:val="center"/>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Comisionado</w:t>
            </w:r>
          </w:p>
          <w:p w:rsidR="00207F36" w:rsidRDefault="00B53F5B">
            <w:pPr>
              <w:jc w:val="center"/>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(Rúbrica)</w:t>
            </w:r>
          </w:p>
        </w:tc>
      </w:tr>
      <w:tr w:rsidR="00207F36">
        <w:trPr>
          <w:trHeight w:val="760"/>
        </w:trPr>
        <w:tc>
          <w:tcPr>
            <w:tcW w:w="8838" w:type="dxa"/>
            <w:gridSpan w:val="2"/>
          </w:tcPr>
          <w:p w:rsidR="00207F36" w:rsidRDefault="00207F36">
            <w:pPr>
              <w:jc w:val="center"/>
              <w:rPr>
                <w:rFonts w:ascii="Palatino Linotype" w:eastAsia="Palatino Linotype" w:hAnsi="Palatino Linotype" w:cs="Palatino Linotype"/>
                <w:b/>
              </w:rPr>
            </w:pPr>
          </w:p>
          <w:p w:rsidR="00207F36" w:rsidRDefault="00207F36">
            <w:pPr>
              <w:jc w:val="center"/>
              <w:rPr>
                <w:rFonts w:ascii="Palatino Linotype" w:eastAsia="Palatino Linotype" w:hAnsi="Palatino Linotype" w:cs="Palatino Linotype"/>
                <w:b/>
              </w:rPr>
            </w:pPr>
          </w:p>
          <w:p w:rsidR="00207F36" w:rsidRDefault="00207F36">
            <w:pPr>
              <w:jc w:val="center"/>
              <w:rPr>
                <w:rFonts w:ascii="Palatino Linotype" w:eastAsia="Palatino Linotype" w:hAnsi="Palatino Linotype" w:cs="Palatino Linotype"/>
                <w:b/>
              </w:rPr>
            </w:pPr>
          </w:p>
          <w:p w:rsidR="00207F36" w:rsidRDefault="00207F36">
            <w:pPr>
              <w:jc w:val="center"/>
              <w:rPr>
                <w:rFonts w:ascii="Palatino Linotype" w:eastAsia="Palatino Linotype" w:hAnsi="Palatino Linotype" w:cs="Palatino Linotype"/>
                <w:b/>
              </w:rPr>
            </w:pPr>
          </w:p>
          <w:p w:rsidR="00207F36" w:rsidRDefault="00B53F5B">
            <w:pPr>
              <w:jc w:val="center"/>
              <w:rPr>
                <w:rFonts w:ascii="Palatino Linotype" w:eastAsia="Palatino Linotype" w:hAnsi="Palatino Linotype" w:cs="Palatino Linotype"/>
                <w:b/>
              </w:rPr>
            </w:pPr>
            <w:r>
              <w:rPr>
                <w:rFonts w:ascii="Palatino Linotype" w:eastAsia="Palatino Linotype" w:hAnsi="Palatino Linotype" w:cs="Palatino Linotype"/>
                <w:b/>
              </w:rPr>
              <w:t>Alexis Tapia Ramírez</w:t>
            </w:r>
          </w:p>
          <w:p w:rsidR="00207F36" w:rsidRDefault="00B53F5B">
            <w:pPr>
              <w:jc w:val="center"/>
              <w:rPr>
                <w:rFonts w:ascii="Palatino Linotype" w:eastAsia="Palatino Linotype" w:hAnsi="Palatino Linotype" w:cs="Palatino Linotype"/>
              </w:rPr>
            </w:pPr>
            <w:r>
              <w:rPr>
                <w:rFonts w:ascii="Palatino Linotype" w:eastAsia="Palatino Linotype" w:hAnsi="Palatino Linotype" w:cs="Palatino Linotype"/>
              </w:rPr>
              <w:t>Secretario Técnico del Pleno</w:t>
            </w:r>
          </w:p>
          <w:p w:rsidR="00207F36" w:rsidRDefault="00B53F5B">
            <w:pPr>
              <w:jc w:val="center"/>
              <w:rPr>
                <w:rFonts w:ascii="Palatino Linotype" w:eastAsia="Palatino Linotype" w:hAnsi="Palatino Linotype" w:cs="Palatino Linotype"/>
              </w:rPr>
            </w:pPr>
            <w:r>
              <w:rPr>
                <w:rFonts w:ascii="Palatino Linotype" w:eastAsia="Palatino Linotype" w:hAnsi="Palatino Linotype" w:cs="Palatino Linotype"/>
              </w:rPr>
              <w:t xml:space="preserve">(Rúbrica) </w:t>
            </w:r>
          </w:p>
          <w:p w:rsidR="00207F36" w:rsidRDefault="00207F36">
            <w:pPr>
              <w:jc w:val="center"/>
              <w:rPr>
                <w:rFonts w:ascii="Palatino Linotype" w:eastAsia="Palatino Linotype" w:hAnsi="Palatino Linotype" w:cs="Palatino Linotype"/>
              </w:rPr>
            </w:pPr>
          </w:p>
        </w:tc>
      </w:tr>
    </w:tbl>
    <w:p w:rsidR="00207F36" w:rsidRDefault="00B53F5B">
      <w:pPr>
        <w:jc w:val="both"/>
        <w:rPr>
          <w:rFonts w:ascii="Palatino Linotype" w:eastAsia="Palatino Linotype" w:hAnsi="Palatino Linotype" w:cs="Palatino Linotype"/>
        </w:rPr>
      </w:pPr>
      <w:r>
        <w:rPr>
          <w:rFonts w:ascii="Palatino Linotype" w:eastAsia="Palatino Linotype" w:hAnsi="Palatino Linotype" w:cs="Palatino Linotype"/>
        </w:rPr>
        <w:t xml:space="preserve">Esta hoja corresponde a resolución del veintidós de noviembre de dos mil dieciocho, emitida en el recurso de revisión </w:t>
      </w:r>
      <w:r>
        <w:rPr>
          <w:rFonts w:ascii="Palatino Linotype" w:eastAsia="Palatino Linotype" w:hAnsi="Palatino Linotype" w:cs="Palatino Linotype"/>
          <w:b/>
        </w:rPr>
        <w:t>03494/INFOEM/IP/RR/2018</w:t>
      </w:r>
      <w:r>
        <w:rPr>
          <w:rFonts w:ascii="Palatino Linotype" w:eastAsia="Palatino Linotype" w:hAnsi="Palatino Linotype" w:cs="Palatino Linotype"/>
        </w:rPr>
        <w:t>.</w:t>
      </w:r>
    </w:p>
    <w:sectPr w:rsidR="00207F36">
      <w:headerReference w:type="default" r:id="rId77"/>
      <w:footerReference w:type="default" r:id="rId78"/>
      <w:headerReference w:type="first" r:id="rId79"/>
      <w:footerReference w:type="first" r:id="rId80"/>
      <w:pgSz w:w="12240" w:h="15840"/>
      <w:pgMar w:top="1417" w:right="1701" w:bottom="1417"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0C1B" w:rsidRDefault="00700C1B">
      <w:r>
        <w:separator/>
      </w:r>
    </w:p>
  </w:endnote>
  <w:endnote w:type="continuationSeparator" w:id="0">
    <w:p w:rsidR="00700C1B" w:rsidRDefault="00700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D3F" w:rsidRDefault="00296D3F">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63C95">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63C95">
      <w:rPr>
        <w:rFonts w:ascii="Palatino Linotype" w:eastAsia="Palatino Linotype" w:hAnsi="Palatino Linotype" w:cs="Palatino Linotype"/>
        <w:b/>
        <w:noProof/>
        <w:color w:val="000000"/>
        <w:sz w:val="20"/>
        <w:szCs w:val="20"/>
      </w:rPr>
      <w:t>103</w:t>
    </w:r>
    <w:r>
      <w:rPr>
        <w:rFonts w:ascii="Palatino Linotype" w:eastAsia="Palatino Linotype" w:hAnsi="Palatino Linotype" w:cs="Palatino Linotype"/>
        <w:b/>
        <w:color w:val="000000"/>
        <w:sz w:val="20"/>
        <w:szCs w:val="20"/>
      </w:rPr>
      <w:fldChar w:fldCharType="end"/>
    </w:r>
  </w:p>
  <w:p w:rsidR="00296D3F" w:rsidRDefault="00296D3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D3F" w:rsidRDefault="00296D3F">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63C95">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63C95">
      <w:rPr>
        <w:rFonts w:ascii="Palatino Linotype" w:eastAsia="Palatino Linotype" w:hAnsi="Palatino Linotype" w:cs="Palatino Linotype"/>
        <w:b/>
        <w:noProof/>
        <w:color w:val="000000"/>
        <w:sz w:val="20"/>
        <w:szCs w:val="20"/>
      </w:rPr>
      <w:t>103</w:t>
    </w:r>
    <w:r>
      <w:rPr>
        <w:rFonts w:ascii="Palatino Linotype" w:eastAsia="Palatino Linotype" w:hAnsi="Palatino Linotype" w:cs="Palatino Linotype"/>
        <w:b/>
        <w:color w:val="000000"/>
        <w:sz w:val="20"/>
        <w:szCs w:val="20"/>
      </w:rPr>
      <w:fldChar w:fldCharType="end"/>
    </w:r>
  </w:p>
  <w:p w:rsidR="00296D3F" w:rsidRDefault="00296D3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0C1B" w:rsidRDefault="00700C1B">
      <w:r>
        <w:separator/>
      </w:r>
    </w:p>
  </w:footnote>
  <w:footnote w:type="continuationSeparator" w:id="0">
    <w:p w:rsidR="00700C1B" w:rsidRDefault="00700C1B">
      <w:r>
        <w:continuationSeparator/>
      </w:r>
    </w:p>
  </w:footnote>
  <w:footnote w:id="1">
    <w:p w:rsidR="00296D3F" w:rsidRDefault="00296D3F">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96D3F" w:rsidRDefault="00296D3F">
      <w:pPr>
        <w:pBdr>
          <w:top w:val="nil"/>
          <w:left w:val="nil"/>
          <w:bottom w:val="nil"/>
          <w:right w:val="nil"/>
          <w:between w:val="nil"/>
        </w:pBdr>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 El marco normativo aplicable al sujeto obligado, en el que deberá incluirse leyes, códigos, reglamentos, decretos de creación, acuerdos, convenios, manuales de organización y procedimientos, reglas de operación, criterios, políticas, entre otros…(Sic)</w:t>
      </w:r>
    </w:p>
  </w:footnote>
  <w:footnote w:id="2">
    <w:p w:rsidR="00296D3F" w:rsidRDefault="00296D3F">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13. El Instituto, en el ámbito de sus atribuciones, deberá suplir cualquier deficiencia para garantizar el ejercicio del derecho de acceso a la información.”(Sic)</w:t>
      </w:r>
    </w:p>
  </w:footnote>
  <w:footnote w:id="3">
    <w:p w:rsidR="00296D3F" w:rsidRDefault="00296D3F">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181.parrafo cuarto:</w:t>
      </w:r>
    </w:p>
    <w:p w:rsidR="00296D3F" w:rsidRDefault="00296D3F">
      <w:pPr>
        <w:pBdr>
          <w:top w:val="nil"/>
          <w:left w:val="nil"/>
          <w:bottom w:val="nil"/>
          <w:right w:val="nil"/>
          <w:between w:val="nil"/>
        </w:pBdr>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4">
    <w:p w:rsidR="00296D3F" w:rsidRDefault="00296D3F">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“Ley de Fiscalización del Estado de México:</w:t>
      </w:r>
    </w:p>
    <w:p w:rsidR="00296D3F" w:rsidRDefault="00296D3F">
      <w:pPr>
        <w:pBdr>
          <w:top w:val="nil"/>
          <w:left w:val="nil"/>
          <w:bottom w:val="nil"/>
          <w:right w:val="nil"/>
          <w:between w:val="nil"/>
        </w:pBdr>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Artículo 2. Para los efectos de la presente Ley, se entenderá por:</w:t>
      </w:r>
    </w:p>
    <w:p w:rsidR="00296D3F" w:rsidRDefault="00296D3F">
      <w:pPr>
        <w:pBdr>
          <w:top w:val="nil"/>
          <w:left w:val="nil"/>
          <w:bottom w:val="nil"/>
          <w:right w:val="nil"/>
          <w:between w:val="nil"/>
        </w:pBdr>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w:t>
      </w:r>
    </w:p>
    <w:p w:rsidR="00296D3F" w:rsidRDefault="00296D3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V. </w:t>
      </w:r>
      <w:r>
        <w:rPr>
          <w:rFonts w:ascii="Palatino Linotype" w:eastAsia="Palatino Linotype" w:hAnsi="Palatino Linotype" w:cs="Palatino Linotype"/>
          <w:b/>
          <w:color w:val="000000"/>
          <w:sz w:val="16"/>
          <w:szCs w:val="16"/>
        </w:rPr>
        <w:t>Entidades Fiscalizables</w:t>
      </w:r>
      <w:r>
        <w:rPr>
          <w:rFonts w:ascii="Palatino Linotype" w:eastAsia="Palatino Linotype" w:hAnsi="Palatino Linotype" w:cs="Palatino Linotype"/>
          <w:color w:val="000000"/>
          <w:sz w:val="16"/>
          <w:szCs w:val="16"/>
        </w:rPr>
        <w:t xml:space="preserve">: A los Poderes Públicos, </w:t>
      </w:r>
      <w:r>
        <w:rPr>
          <w:rFonts w:ascii="Palatino Linotype" w:eastAsia="Palatino Linotype" w:hAnsi="Palatino Linotype" w:cs="Palatino Linotype"/>
          <w:b/>
          <w:color w:val="000000"/>
          <w:sz w:val="16"/>
          <w:szCs w:val="16"/>
        </w:rPr>
        <w:t>Municipios</w:t>
      </w:r>
      <w:r>
        <w:rPr>
          <w:rFonts w:ascii="Palatino Linotype" w:eastAsia="Palatino Linotype" w:hAnsi="Palatino Linotype" w:cs="Palatino Linotype"/>
          <w:color w:val="000000"/>
          <w:sz w:val="16"/>
          <w:szCs w:val="16"/>
        </w:rPr>
        <w:t>, organismos autónomos, organismos auxiliares, fideicomisos públicos o privados y en general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federación…”(Sic)</w:t>
      </w:r>
    </w:p>
  </w:footnote>
  <w:footnote w:id="5">
    <w:p w:rsidR="00296D3F" w:rsidRDefault="00296D3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26.- El Órgano Superior contará con una Unidad de Asuntos Jurídicos cuyo titular tendrá las siguientes facultades:</w:t>
      </w:r>
    </w:p>
    <w:p w:rsidR="00296D3F" w:rsidRDefault="00296D3F">
      <w:pPr>
        <w:pBdr>
          <w:top w:val="nil"/>
          <w:left w:val="nil"/>
          <w:bottom w:val="nil"/>
          <w:right w:val="nil"/>
          <w:between w:val="nil"/>
        </w:pBdr>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w:t>
      </w:r>
    </w:p>
    <w:p w:rsidR="00296D3F" w:rsidRDefault="00296D3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 Elaborar y someter a la consideración del Auditor Superior, los requerimientos relacionados con el cumplimiento de obligaciones periódicas de las entidades fiscalizables, así como los medios de apremio que, conforme a las disposiciones legales aplicables, proceda imponer a los servidores públicos de las entidades fiscalizables, diversas a las previstas en las Ley General de Responsabilidades Administrativas y la Ley de Responsabilidades Administrativas del Estado de México y Municipios…”(Sic)</w:t>
      </w:r>
    </w:p>
  </w:footnote>
  <w:footnote w:id="6">
    <w:p w:rsidR="00296D3F" w:rsidRDefault="00296D3F">
      <w:pPr>
        <w:spacing w:before="240"/>
        <w:ind w:right="51"/>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“Artículo 8.- El Órgano Superior tendrá las siguientes atribuciones:</w:t>
      </w:r>
    </w:p>
    <w:p w:rsidR="00296D3F" w:rsidRDefault="00296D3F">
      <w:pPr>
        <w:ind w:right="51"/>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rsidR="00296D3F" w:rsidRDefault="00296D3F">
      <w:pPr>
        <w:ind w:right="51"/>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XVI. Requerir, según corresponda, a los titulares de la Secretaría de la Contraloría del Poder Ejecutivo y de los demás órganos de control interno de las entidades fiscalizables, en términos de las disposiciones legales aplicables, los dictámenes de acciones de control y evaluación por ellos practicadas, relacionados con las cuentas públicas que el Órgano Superior esté fiscalizando, así como las observaciones y recomendaciones formuladas, las sanciones impuestas y los seguimientos practicados;</w:t>
      </w:r>
    </w:p>
    <w:p w:rsidR="00296D3F" w:rsidRDefault="00296D3F">
      <w:pPr>
        <w:ind w:right="51"/>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rsidR="00296D3F" w:rsidRDefault="00296D3F">
      <w:pPr>
        <w:ind w:right="51"/>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XXV. Conocer y en su caso formular recomendaciones sobre los sistemas, procedimientos, controles y métodos de contabilidad, normas de control interno y de registros contables de los libros y documentos justificativos y comprobatorios del ingreso y gasto público de las entidades fiscalizables</w:t>
      </w:r>
    </w:p>
    <w:p w:rsidR="00296D3F" w:rsidRDefault="00296D3F">
      <w:pPr>
        <w:ind w:right="51"/>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rsidR="00296D3F" w:rsidRDefault="00296D3F">
      <w:pPr>
        <w:ind w:right="51"/>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Artículo 13. El Auditor Superior tendrá las siguientes atribuciones:</w:t>
      </w:r>
    </w:p>
    <w:p w:rsidR="00296D3F" w:rsidRDefault="00296D3F">
      <w:pPr>
        <w:spacing w:after="240"/>
        <w:ind w:right="51"/>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IV. Formular los pliegos de observaciones y recomendaciones necesarias a las entidades fiscalizables, así como verificar su debida cumplimentación…(Sic)</w:t>
      </w:r>
    </w:p>
    <w:p w:rsidR="00296D3F" w:rsidRDefault="00296D3F">
      <w:pPr>
        <w:pBdr>
          <w:top w:val="nil"/>
          <w:left w:val="nil"/>
          <w:bottom w:val="nil"/>
          <w:right w:val="nil"/>
          <w:between w:val="nil"/>
        </w:pBdr>
        <w:rPr>
          <w:color w:val="000000"/>
          <w:sz w:val="20"/>
          <w:szCs w:val="20"/>
        </w:rPr>
      </w:pPr>
    </w:p>
  </w:footnote>
  <w:footnote w:id="7">
    <w:p w:rsidR="00296D3F" w:rsidRDefault="00296D3F">
      <w:pPr>
        <w:spacing w:before="240"/>
        <w:ind w:right="51"/>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“LEY DE FISCALIZACIÓN SUPERIOR DEL ESTADO DE MÉXICO:</w:t>
      </w:r>
    </w:p>
    <w:p w:rsidR="00296D3F" w:rsidRDefault="00296D3F">
      <w:pPr>
        <w:ind w:right="51"/>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Artículo 4.- Son sujetos de fiscalización:</w:t>
      </w:r>
    </w:p>
    <w:p w:rsidR="00296D3F" w:rsidRDefault="00296D3F">
      <w:pPr>
        <w:ind w:right="51"/>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rsidR="00296D3F" w:rsidRDefault="00296D3F">
      <w:pPr>
        <w:spacing w:after="240"/>
        <w:ind w:right="51"/>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II. Los municipios del Estado de México;” (Sic)</w:t>
      </w:r>
    </w:p>
  </w:footnote>
  <w:footnote w:id="8">
    <w:p w:rsidR="00296D3F" w:rsidRDefault="00296D3F">
      <w:pPr>
        <w:tabs>
          <w:tab w:val="left" w:pos="709"/>
        </w:tabs>
        <w:ind w:right="567"/>
        <w:jc w:val="both"/>
        <w:rPr>
          <w:rFonts w:ascii="Palatino Linotype" w:eastAsia="Palatino Linotype" w:hAnsi="Palatino Linotype" w:cs="Palatino Linotype"/>
          <w:i/>
          <w:sz w:val="16"/>
          <w:szCs w:val="16"/>
        </w:rPr>
      </w:pPr>
      <w:r>
        <w:rPr>
          <w:vertAlign w:val="superscript"/>
        </w:rPr>
        <w:footnoteRef/>
      </w:r>
      <w:r>
        <w:t xml:space="preserve"> </w:t>
      </w:r>
      <w:r>
        <w:rPr>
          <w:rFonts w:ascii="Palatino Linotype" w:eastAsia="Palatino Linotype" w:hAnsi="Palatino Linotype" w:cs="Palatino Linotype"/>
          <w:i/>
          <w:sz w:val="16"/>
          <w:szCs w:val="16"/>
        </w:rPr>
        <w:t>“</w:t>
      </w:r>
      <w:r>
        <w:rPr>
          <w:rFonts w:ascii="Palatino Linotype" w:eastAsia="Palatino Linotype" w:hAnsi="Palatino Linotype" w:cs="Palatino Linotype"/>
          <w:b/>
          <w:i/>
          <w:sz w:val="16"/>
          <w:szCs w:val="16"/>
        </w:rPr>
        <w:t>Artículo 12.</w:t>
      </w:r>
      <w:r>
        <w:rPr>
          <w:rFonts w:ascii="Palatino Linotype" w:eastAsia="Palatino Linotype" w:hAnsi="Palatino Linotype" w:cs="Palatino Linotype"/>
          <w:i/>
          <w:sz w:val="16"/>
          <w:szCs w:val="16"/>
        </w:rPr>
        <w:t xml:space="preserve"> </w:t>
      </w:r>
      <w:r>
        <w:rPr>
          <w:rFonts w:ascii="Palatino Linotype" w:eastAsia="Palatino Linotype" w:hAnsi="Palatino Linotype" w:cs="Palatino Linotype"/>
          <w:i/>
          <w:sz w:val="16"/>
          <w:szCs w:val="16"/>
          <w:u w:val="single"/>
        </w:rPr>
        <w:t>Quienes generen, recopilen, administren, manejen, procesen, archiven o conserven información pública serán responsables de la misma en los términos de las disposiciones jurídicas aplicables.</w:t>
      </w:r>
    </w:p>
    <w:p w:rsidR="00296D3F" w:rsidRDefault="00296D3F">
      <w:pPr>
        <w:tabs>
          <w:tab w:val="left" w:pos="709"/>
        </w:tabs>
        <w:ind w:right="567"/>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9">
    <w:p w:rsidR="00296D3F" w:rsidRDefault="00296D3F">
      <w:pPr>
        <w:tabs>
          <w:tab w:val="left" w:pos="709"/>
        </w:tabs>
        <w:ind w:right="567"/>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23. Son sujetos obligados a transparentar y permitir el acceso a su información y proteger los datos personales que obren en su poder:</w:t>
      </w:r>
    </w:p>
    <w:p w:rsidR="00296D3F" w:rsidRDefault="00296D3F">
      <w:pPr>
        <w:tabs>
          <w:tab w:val="left" w:pos="709"/>
        </w:tabs>
        <w:ind w:right="567"/>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rsidR="00296D3F" w:rsidRDefault="00296D3F">
      <w:pPr>
        <w:tabs>
          <w:tab w:val="left" w:pos="709"/>
        </w:tabs>
        <w:ind w:right="567"/>
        <w:jc w:val="both"/>
      </w:pPr>
      <w:r>
        <w:rPr>
          <w:rFonts w:ascii="Palatino Linotype" w:eastAsia="Palatino Linotype" w:hAnsi="Palatino Linotype" w:cs="Palatino Linotype"/>
          <w:i/>
          <w:sz w:val="16"/>
          <w:szCs w:val="16"/>
        </w:rPr>
        <w:t xml:space="preserve">IV. Los ayuntamientos y las dependencias, organismos, órganos y entidades de la administración municipal;” </w:t>
      </w:r>
    </w:p>
  </w:footnote>
  <w:footnote w:id="10">
    <w:p w:rsidR="00296D3F" w:rsidRDefault="00296D3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 El Instituto deberá regir su funcionamiento de acuerdo a los siguientes principios:</w:t>
      </w:r>
    </w:p>
    <w:p w:rsidR="00296D3F" w:rsidRDefault="00296D3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 Certeza: Principio que otorga seguridad y certidumbre jurídica a los particulares, en virtud de que permite conocer si las acciones del Instituto son apegadas a derecho y garantiza que los procedimientos sean completamente verificables, fidedignos y confiables…”(Sic)</w:t>
      </w:r>
    </w:p>
  </w:footnote>
  <w:footnote w:id="11">
    <w:p w:rsidR="00296D3F" w:rsidRDefault="00296D3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 xml:space="preserve">Artículo 11. En la generación, publicación y entrega de información se deberá garantizar que ésta sea accesible, actualizada, completa, </w:t>
      </w:r>
      <w:r>
        <w:rPr>
          <w:rFonts w:ascii="Palatino Linotype" w:eastAsia="Palatino Linotype" w:hAnsi="Palatino Linotype" w:cs="Palatino Linotype"/>
          <w:b/>
          <w:color w:val="000000"/>
          <w:sz w:val="16"/>
          <w:szCs w:val="16"/>
        </w:rPr>
        <w:t>congruente</w:t>
      </w:r>
      <w:r>
        <w:rPr>
          <w:rFonts w:ascii="Palatino Linotype" w:eastAsia="Palatino Linotype" w:hAnsi="Palatino Linotype" w:cs="Palatino Linotype"/>
          <w:color w:val="000000"/>
          <w:sz w:val="16"/>
          <w:szCs w:val="16"/>
        </w:rPr>
        <w:t>,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D3F" w:rsidRDefault="00296D3F">
    <w:pPr>
      <w:pBdr>
        <w:top w:val="nil"/>
        <w:left w:val="nil"/>
        <w:bottom w:val="nil"/>
        <w:right w:val="nil"/>
        <w:between w:val="nil"/>
      </w:pBdr>
      <w:tabs>
        <w:tab w:val="center" w:pos="4419"/>
        <w:tab w:val="right" w:pos="8838"/>
      </w:tabs>
      <w:jc w:val="both"/>
      <w:rPr>
        <w:color w:val="000000"/>
      </w:rPr>
    </w:pPr>
  </w:p>
  <w:tbl>
    <w:tblPr>
      <w:tblStyle w:val="a5"/>
      <w:tblW w:w="5670" w:type="dxa"/>
      <w:tblInd w:w="3119" w:type="dxa"/>
      <w:tblLayout w:type="fixed"/>
      <w:tblLook w:val="0400" w:firstRow="0" w:lastRow="0" w:firstColumn="0" w:lastColumn="0" w:noHBand="0" w:noVBand="1"/>
    </w:tblPr>
    <w:tblGrid>
      <w:gridCol w:w="2551"/>
      <w:gridCol w:w="3119"/>
    </w:tblGrid>
    <w:tr w:rsidR="00296D3F">
      <w:tc>
        <w:tcPr>
          <w:tcW w:w="2551" w:type="dxa"/>
          <w:vAlign w:val="center"/>
        </w:tcPr>
        <w:p w:rsidR="00296D3F" w:rsidRDefault="00296D3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296D3F" w:rsidRDefault="00296D3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03494/INFOEM/IP/RR/2018 </w:t>
          </w:r>
        </w:p>
      </w:tc>
    </w:tr>
    <w:tr w:rsidR="00296D3F">
      <w:trPr>
        <w:trHeight w:val="220"/>
      </w:trPr>
      <w:tc>
        <w:tcPr>
          <w:tcW w:w="2551" w:type="dxa"/>
          <w:vAlign w:val="center"/>
        </w:tcPr>
        <w:p w:rsidR="00296D3F" w:rsidRDefault="00296D3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296D3F" w:rsidRDefault="00296D3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Ocoyoacac.</w:t>
          </w:r>
        </w:p>
      </w:tc>
    </w:tr>
    <w:tr w:rsidR="00296D3F">
      <w:tc>
        <w:tcPr>
          <w:tcW w:w="2551" w:type="dxa"/>
          <w:vAlign w:val="center"/>
        </w:tcPr>
        <w:p w:rsidR="00296D3F" w:rsidRDefault="00296D3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119" w:type="dxa"/>
          <w:vAlign w:val="center"/>
        </w:tcPr>
        <w:p w:rsidR="00296D3F" w:rsidRDefault="00296D3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Javier Martínez Cruz</w:t>
          </w:r>
        </w:p>
      </w:tc>
    </w:tr>
  </w:tbl>
  <w:p w:rsidR="00296D3F" w:rsidRDefault="00296D3F">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D3F" w:rsidRDefault="00296D3F">
    <w:pPr>
      <w:pBdr>
        <w:top w:val="nil"/>
        <w:left w:val="nil"/>
        <w:bottom w:val="nil"/>
        <w:right w:val="nil"/>
        <w:between w:val="nil"/>
      </w:pBdr>
      <w:tabs>
        <w:tab w:val="center" w:pos="4419"/>
        <w:tab w:val="right" w:pos="8838"/>
      </w:tabs>
      <w:jc w:val="both"/>
      <w:rPr>
        <w:color w:val="000000"/>
      </w:rPr>
    </w:pPr>
  </w:p>
  <w:tbl>
    <w:tblPr>
      <w:tblStyle w:val="a6"/>
      <w:tblW w:w="5670" w:type="dxa"/>
      <w:tblInd w:w="3119" w:type="dxa"/>
      <w:tblLayout w:type="fixed"/>
      <w:tblLook w:val="0400" w:firstRow="0" w:lastRow="0" w:firstColumn="0" w:lastColumn="0" w:noHBand="0" w:noVBand="1"/>
    </w:tblPr>
    <w:tblGrid>
      <w:gridCol w:w="2551"/>
      <w:gridCol w:w="3119"/>
    </w:tblGrid>
    <w:tr w:rsidR="00296D3F">
      <w:tc>
        <w:tcPr>
          <w:tcW w:w="2551" w:type="dxa"/>
          <w:vAlign w:val="center"/>
        </w:tcPr>
        <w:p w:rsidR="00296D3F" w:rsidRDefault="00296D3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296D3F" w:rsidRDefault="00296D3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03494/INFOEM/IP/RR/2018 </w:t>
          </w:r>
        </w:p>
      </w:tc>
    </w:tr>
    <w:tr w:rsidR="00296D3F">
      <w:tc>
        <w:tcPr>
          <w:tcW w:w="2551" w:type="dxa"/>
          <w:vAlign w:val="center"/>
        </w:tcPr>
        <w:p w:rsidR="00296D3F" w:rsidRDefault="00296D3F">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296D3F" w:rsidRDefault="00463C9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Xxxxxx Xxxxxx</w:t>
          </w:r>
          <w:r w:rsidR="00296D3F">
            <w:rPr>
              <w:rFonts w:ascii="Palatino Linotype" w:eastAsia="Palatino Linotype" w:hAnsi="Palatino Linotype" w:cs="Palatino Linotype"/>
              <w:b/>
              <w:sz w:val="22"/>
              <w:szCs w:val="22"/>
            </w:rPr>
            <w:t>.</w:t>
          </w:r>
        </w:p>
      </w:tc>
    </w:tr>
    <w:tr w:rsidR="00296D3F">
      <w:trPr>
        <w:trHeight w:val="220"/>
      </w:trPr>
      <w:tc>
        <w:tcPr>
          <w:tcW w:w="2551" w:type="dxa"/>
          <w:vAlign w:val="center"/>
        </w:tcPr>
        <w:p w:rsidR="00296D3F" w:rsidRDefault="00296D3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296D3F" w:rsidRDefault="00296D3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Ocoyoacac</w:t>
          </w:r>
        </w:p>
      </w:tc>
    </w:tr>
    <w:tr w:rsidR="00296D3F">
      <w:tc>
        <w:tcPr>
          <w:tcW w:w="2551" w:type="dxa"/>
          <w:vAlign w:val="center"/>
        </w:tcPr>
        <w:p w:rsidR="00296D3F" w:rsidRDefault="00296D3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119" w:type="dxa"/>
          <w:vAlign w:val="center"/>
        </w:tcPr>
        <w:p w:rsidR="00296D3F" w:rsidRDefault="00296D3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Javier Martínez Cruz</w:t>
          </w:r>
        </w:p>
      </w:tc>
    </w:tr>
  </w:tbl>
  <w:p w:rsidR="00296D3F" w:rsidRDefault="00296D3F">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F76B93"/>
    <w:multiLevelType w:val="multilevel"/>
    <w:tmpl w:val="65DCFD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162055F"/>
    <w:multiLevelType w:val="multilevel"/>
    <w:tmpl w:val="6994D100"/>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B08440E"/>
    <w:multiLevelType w:val="multilevel"/>
    <w:tmpl w:val="0E44BA8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B147C36"/>
    <w:multiLevelType w:val="multilevel"/>
    <w:tmpl w:val="11C4F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207F36"/>
    <w:rsid w:val="000548AB"/>
    <w:rsid w:val="0015759F"/>
    <w:rsid w:val="00207F36"/>
    <w:rsid w:val="0028552A"/>
    <w:rsid w:val="00296D3F"/>
    <w:rsid w:val="0044475D"/>
    <w:rsid w:val="00444E4E"/>
    <w:rsid w:val="00463C95"/>
    <w:rsid w:val="004744D4"/>
    <w:rsid w:val="005B2107"/>
    <w:rsid w:val="005B438C"/>
    <w:rsid w:val="00700C1B"/>
    <w:rsid w:val="007F35C8"/>
    <w:rsid w:val="0084290A"/>
    <w:rsid w:val="009449BB"/>
    <w:rsid w:val="00996EBC"/>
    <w:rsid w:val="00A9619B"/>
    <w:rsid w:val="00AC1826"/>
    <w:rsid w:val="00B53F5B"/>
    <w:rsid w:val="00BB6106"/>
    <w:rsid w:val="00BF3E4B"/>
    <w:rsid w:val="00DB6F85"/>
    <w:rsid w:val="00DF33E2"/>
    <w:rsid w:val="00E15BCA"/>
    <w:rsid w:val="00F00CE7"/>
    <w:rsid w:val="00F43CBC"/>
    <w:rsid w:val="00FC7E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7820E9-8748-4F9A-A845-44DDBBDFD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296D3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6D3F"/>
    <w:rPr>
      <w:rFonts w:ascii="Segoe UI" w:hAnsi="Segoe UI" w:cs="Segoe UI"/>
      <w:sz w:val="18"/>
      <w:szCs w:val="18"/>
    </w:rPr>
  </w:style>
  <w:style w:type="paragraph" w:styleId="Encabezado">
    <w:name w:val="header"/>
    <w:basedOn w:val="Normal"/>
    <w:link w:val="EncabezadoCar"/>
    <w:uiPriority w:val="99"/>
    <w:unhideWhenUsed/>
    <w:rsid w:val="00463C95"/>
    <w:pPr>
      <w:tabs>
        <w:tab w:val="center" w:pos="4419"/>
        <w:tab w:val="right" w:pos="8838"/>
      </w:tabs>
    </w:pPr>
  </w:style>
  <w:style w:type="character" w:customStyle="1" w:styleId="EncabezadoCar">
    <w:name w:val="Encabezado Car"/>
    <w:basedOn w:val="Fuentedeprrafopredeter"/>
    <w:link w:val="Encabezado"/>
    <w:uiPriority w:val="99"/>
    <w:rsid w:val="00463C95"/>
  </w:style>
  <w:style w:type="paragraph" w:styleId="Piedepgina">
    <w:name w:val="footer"/>
    <w:basedOn w:val="Normal"/>
    <w:link w:val="PiedepginaCar"/>
    <w:uiPriority w:val="99"/>
    <w:unhideWhenUsed/>
    <w:rsid w:val="00463C95"/>
    <w:pPr>
      <w:tabs>
        <w:tab w:val="center" w:pos="4419"/>
        <w:tab w:val="right" w:pos="8838"/>
      </w:tabs>
    </w:pPr>
  </w:style>
  <w:style w:type="character" w:customStyle="1" w:styleId="PiedepginaCar">
    <w:name w:val="Pie de página Car"/>
    <w:basedOn w:val="Fuentedeprrafopredeter"/>
    <w:link w:val="Piedepgina"/>
    <w:uiPriority w:val="99"/>
    <w:rsid w:val="00463C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aimex.org.mx/saimex/solicitud/downloadAttach/560495.page" TargetMode="External"/><Relationship Id="rId21" Type="http://schemas.openxmlformats.org/officeDocument/2006/relationships/hyperlink" Target="https://www.saimex.org.mx/saimex/solicitud/downloadAttach/544654.page" TargetMode="External"/><Relationship Id="rId42" Type="http://schemas.openxmlformats.org/officeDocument/2006/relationships/hyperlink" Target="https://www.saimex.org.mx/saimex/solicitud/downloadAttach/560494.page" TargetMode="External"/><Relationship Id="rId47" Type="http://schemas.openxmlformats.org/officeDocument/2006/relationships/image" Target="media/image4.png"/><Relationship Id="rId63" Type="http://schemas.openxmlformats.org/officeDocument/2006/relationships/image" Target="media/image17.png"/><Relationship Id="rId68" Type="http://schemas.openxmlformats.org/officeDocument/2006/relationships/image" Target="media/image22.png"/><Relationship Id="rId16" Type="http://schemas.openxmlformats.org/officeDocument/2006/relationships/hyperlink" Target="https://www.saimex.org.mx/saimex/solicitud/downloadAttach/572617.page" TargetMode="External"/><Relationship Id="rId11" Type="http://schemas.openxmlformats.org/officeDocument/2006/relationships/hyperlink" Target="https://www.saimex.org.mx/saimex/solicitud/downloadAttach/561247.page" TargetMode="External"/><Relationship Id="rId32" Type="http://schemas.openxmlformats.org/officeDocument/2006/relationships/hyperlink" Target="http://ocoyoac/" TargetMode="External"/><Relationship Id="rId37" Type="http://schemas.openxmlformats.org/officeDocument/2006/relationships/hyperlink" Target="https://www.ipomex.org.mx/ipo3/lgt/indice/ocoyoac.wed" TargetMode="External"/><Relationship Id="rId53" Type="http://schemas.openxmlformats.org/officeDocument/2006/relationships/image" Target="media/image10.png"/><Relationship Id="rId58" Type="http://schemas.openxmlformats.org/officeDocument/2006/relationships/image" Target="media/image15.png"/><Relationship Id="rId74" Type="http://schemas.openxmlformats.org/officeDocument/2006/relationships/hyperlink" Target="https://www.saimex.org.mx/saimex/solicitud/downloadAttach/560494.page" TargetMode="External"/><Relationship Id="rId79"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yperlink" Target="https://www.saimex.org.mx/saimex/solicitud/downloadAttach/561246.page" TargetMode="External"/><Relationship Id="rId82" Type="http://schemas.openxmlformats.org/officeDocument/2006/relationships/theme" Target="theme/theme1.xml"/><Relationship Id="rId19" Type="http://schemas.openxmlformats.org/officeDocument/2006/relationships/hyperlink" Target="https://www.saimex.org.mx/saimex/solicitud/downloadAttach/544652.page" TargetMode="External"/><Relationship Id="rId14" Type="http://schemas.openxmlformats.org/officeDocument/2006/relationships/hyperlink" Target="https://www.saimex.org.mx/saimex/solicitud/downloadAttach/572615.page" TargetMode="External"/><Relationship Id="rId22" Type="http://schemas.openxmlformats.org/officeDocument/2006/relationships/hyperlink" Target="https://www.saimex.org.mx/saimex/solicitud/downloadAttach/544655.page" TargetMode="External"/><Relationship Id="rId27" Type="http://schemas.openxmlformats.org/officeDocument/2006/relationships/hyperlink" Target="https://www.saimex.org.mx/saimex/solicitud/downloadAttach/560496.page" TargetMode="External"/><Relationship Id="rId30" Type="http://schemas.openxmlformats.org/officeDocument/2006/relationships/hyperlink" Target="https://www.saimex.org.mx/saimex/solicitud/downloadAttach/561248.page" TargetMode="External"/><Relationship Id="rId35" Type="http://schemas.openxmlformats.org/officeDocument/2006/relationships/hyperlink" Target="https://www.saimex.org.mx/saimex/solicitud/downloadAttach/572617.page" TargetMode="External"/><Relationship Id="rId43" Type="http://schemas.openxmlformats.org/officeDocument/2006/relationships/hyperlink" Target="https://www.saimex.org.mx/saimex/solicitud/downloadAttach/560496.page" TargetMode="External"/><Relationship Id="rId48" Type="http://schemas.openxmlformats.org/officeDocument/2006/relationships/image" Target="media/image5.png"/><Relationship Id="rId56" Type="http://schemas.openxmlformats.org/officeDocument/2006/relationships/image" Target="media/image13.png"/><Relationship Id="rId64" Type="http://schemas.openxmlformats.org/officeDocument/2006/relationships/image" Target="media/image18.png"/><Relationship Id="rId69" Type="http://schemas.openxmlformats.org/officeDocument/2006/relationships/image" Target="media/image23.png"/><Relationship Id="rId77" Type="http://schemas.openxmlformats.org/officeDocument/2006/relationships/header" Target="header1.xml"/><Relationship Id="rId8" Type="http://schemas.openxmlformats.org/officeDocument/2006/relationships/hyperlink" Target="https://www.saimex.org.mx/saimex/solicitud/downloadAttach/560495.page" TargetMode="External"/><Relationship Id="rId51" Type="http://schemas.openxmlformats.org/officeDocument/2006/relationships/image" Target="media/image8.png"/><Relationship Id="rId72" Type="http://schemas.openxmlformats.org/officeDocument/2006/relationships/image" Target="media/image25.png"/><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www.saimex.org.mx/saimex/solicitud/downloadAttach/561248.page" TargetMode="External"/><Relationship Id="rId17" Type="http://schemas.openxmlformats.org/officeDocument/2006/relationships/hyperlink" Target="https://www.saimex.org.mx/saimex/solicitud/downloadAttach/572618.page" TargetMode="External"/><Relationship Id="rId25" Type="http://schemas.openxmlformats.org/officeDocument/2006/relationships/hyperlink" Target="https://www.saimex.org.mx/saimex/solicitud/downloadAttach/560494.page" TargetMode="External"/><Relationship Id="rId33" Type="http://schemas.openxmlformats.org/officeDocument/2006/relationships/hyperlink" Target="https://www.saimex.org.mx/saimex/solicitud/downloadAttach/572615.page" TargetMode="External"/><Relationship Id="rId38" Type="http://schemas.openxmlformats.org/officeDocument/2006/relationships/hyperlink" Target="https://www.saimex.org.mx/saimex/solicitud/downloadAttach/572619.page" TargetMode="External"/><Relationship Id="rId46" Type="http://schemas.openxmlformats.org/officeDocument/2006/relationships/image" Target="media/image3.png"/><Relationship Id="rId59" Type="http://schemas.openxmlformats.org/officeDocument/2006/relationships/hyperlink" Target="https://www.saimex.org.mx/saimex/solicitud/downloadAttach/561248.page" TargetMode="External"/><Relationship Id="rId67" Type="http://schemas.openxmlformats.org/officeDocument/2006/relationships/image" Target="media/image21.png"/><Relationship Id="rId20" Type="http://schemas.openxmlformats.org/officeDocument/2006/relationships/hyperlink" Target="https://www.saimex.org.mx/saimex/solicitud/downloadAttach/544653.page" TargetMode="External"/><Relationship Id="rId41" Type="http://schemas.openxmlformats.org/officeDocument/2006/relationships/image" Target="media/image1.png"/><Relationship Id="rId54" Type="http://schemas.openxmlformats.org/officeDocument/2006/relationships/image" Target="media/image11.png"/><Relationship Id="rId62" Type="http://schemas.openxmlformats.org/officeDocument/2006/relationships/image" Target="media/image16.png"/><Relationship Id="rId70" Type="http://schemas.openxmlformats.org/officeDocument/2006/relationships/image" Target="media/image24.png"/><Relationship Id="rId75" Type="http://schemas.openxmlformats.org/officeDocument/2006/relationships/hyperlink" Target="https://www.saimex.org.mx/saimex/solicitud/downloadAttach/560495.pag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aimex.org.mx/saimex/solicitud/downloadAttach/572616.page" TargetMode="External"/><Relationship Id="rId23" Type="http://schemas.openxmlformats.org/officeDocument/2006/relationships/hyperlink" Target="https://www.saimex.org.mx/saimex/solicitud/downloadAttach/544656.page" TargetMode="External"/><Relationship Id="rId28" Type="http://schemas.openxmlformats.org/officeDocument/2006/relationships/hyperlink" Target="https://www.saimex.org.mx/saimex/solicitud/downloadAttach/561246.page" TargetMode="External"/><Relationship Id="rId36" Type="http://schemas.openxmlformats.org/officeDocument/2006/relationships/hyperlink" Target="https://www.saimex.org.mx/saimex/solicitud/downloadAttach/572618.page" TargetMode="External"/><Relationship Id="rId49" Type="http://schemas.openxmlformats.org/officeDocument/2006/relationships/image" Target="media/image6.png"/><Relationship Id="rId57" Type="http://schemas.openxmlformats.org/officeDocument/2006/relationships/image" Target="media/image14.png"/><Relationship Id="rId10" Type="http://schemas.openxmlformats.org/officeDocument/2006/relationships/hyperlink" Target="https://www.saimex.org.mx/saimex/solicitud/downloadAttach/561246.page" TargetMode="External"/><Relationship Id="rId31" Type="http://schemas.openxmlformats.org/officeDocument/2006/relationships/hyperlink" Target="https://www.saimex.org.mx/saimex/solicitud/downloadAttach/572614.page" TargetMode="External"/><Relationship Id="rId44" Type="http://schemas.openxmlformats.org/officeDocument/2006/relationships/hyperlink" Target="https://www.saimex.org.mx/saimex/solicitud/downloadAttach/560495.page" TargetMode="External"/><Relationship Id="rId52" Type="http://schemas.openxmlformats.org/officeDocument/2006/relationships/image" Target="media/image9.png"/><Relationship Id="rId60" Type="http://schemas.openxmlformats.org/officeDocument/2006/relationships/hyperlink" Target="https://www.saimex.org.mx/saimex/solicitud/downloadAttach/561246.page" TargetMode="External"/><Relationship Id="rId65" Type="http://schemas.openxmlformats.org/officeDocument/2006/relationships/image" Target="media/image19.png"/><Relationship Id="rId73" Type="http://schemas.openxmlformats.org/officeDocument/2006/relationships/hyperlink" Target="https://www.saimex.org.mx/saimex/solicitud/downloadAttach/560494.page" TargetMode="External"/><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aimex.org.mx/saimex/solicitud/downloadAttach/560496.page" TargetMode="External"/><Relationship Id="rId13" Type="http://schemas.openxmlformats.org/officeDocument/2006/relationships/hyperlink" Target="https://www.saimex.org.mx/saimex/solicitud/downloadAttach/572614.page" TargetMode="External"/><Relationship Id="rId18" Type="http://schemas.openxmlformats.org/officeDocument/2006/relationships/hyperlink" Target="https://www.saimex.org.mx/saimex/solicitud/downloadAttach/572619.page" TargetMode="External"/><Relationship Id="rId39" Type="http://schemas.openxmlformats.org/officeDocument/2006/relationships/hyperlink" Target="https://www.saimex.org.mx/saimex/solicitud/downloadAttach/589516.page" TargetMode="External"/><Relationship Id="rId34" Type="http://schemas.openxmlformats.org/officeDocument/2006/relationships/hyperlink" Target="https://www.saimex.org.mx/saimex/solicitud/downloadAttach/572616.page" TargetMode="External"/><Relationship Id="rId50" Type="http://schemas.openxmlformats.org/officeDocument/2006/relationships/image" Target="media/image7.png"/><Relationship Id="rId55" Type="http://schemas.openxmlformats.org/officeDocument/2006/relationships/image" Target="media/image12.png"/><Relationship Id="rId76" Type="http://schemas.openxmlformats.org/officeDocument/2006/relationships/hyperlink" Target="https://www.saimex.org.mx/saimex/solicitud/downloadAttach/560496.page" TargetMode="External"/><Relationship Id="rId7" Type="http://schemas.openxmlformats.org/officeDocument/2006/relationships/hyperlink" Target="https://www.saimex.org.mx/saimex/solicitud/downloadAttach/560494.page" TargetMode="External"/><Relationship Id="rId71" Type="http://schemas.openxmlformats.org/officeDocument/2006/relationships/hyperlink" Target="https://www.saimex.org.mx/saimex/solicitud/downloadAttach/560494.page" TargetMode="External"/><Relationship Id="rId2" Type="http://schemas.openxmlformats.org/officeDocument/2006/relationships/styles" Target="styles.xml"/><Relationship Id="rId29" Type="http://schemas.openxmlformats.org/officeDocument/2006/relationships/hyperlink" Target="https://www.saimex.org.mx/saimex/solicitud/downloadAttach/561246.page" TargetMode="External"/><Relationship Id="rId24" Type="http://schemas.openxmlformats.org/officeDocument/2006/relationships/hyperlink" Target="https://www.saimex.org.mx/saimex/solicitud/downloadAttach/589516.page" TargetMode="External"/><Relationship Id="rId40" Type="http://schemas.openxmlformats.org/officeDocument/2006/relationships/hyperlink" Target="https://www.saimex.org.mx/saimex/solicitud/downloadAttach/572618.page" TargetMode="External"/><Relationship Id="rId45" Type="http://schemas.openxmlformats.org/officeDocument/2006/relationships/image" Target="media/image2.png"/><Relationship Id="rId66"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264</TotalTime>
  <Pages>103</Pages>
  <Words>24641</Words>
  <Characters>135529</Characters>
  <Application>Microsoft Office Word</Application>
  <DocSecurity>0</DocSecurity>
  <Lines>1129</Lines>
  <Paragraphs>319</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159851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12</cp:revision>
  <cp:lastPrinted>2018-11-26T23:01:00Z</cp:lastPrinted>
  <dcterms:created xsi:type="dcterms:W3CDTF">2018-11-15T15:04:00Z</dcterms:created>
  <dcterms:modified xsi:type="dcterms:W3CDTF">2019-01-07T22:23:00Z</dcterms:modified>
</cp:coreProperties>
</file>