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1E83" w:rsidRDefault="00B71E83" w:rsidP="00631154">
      <w:pPr>
        <w:shd w:val="clear" w:color="auto" w:fill="FFFFFF"/>
        <w:tabs>
          <w:tab w:val="left" w:pos="5719"/>
        </w:tabs>
        <w:spacing w:before="240" w:line="360" w:lineRule="auto"/>
        <w:jc w:val="both"/>
        <w:rPr>
          <w:rFonts w:ascii="Palatino Linotype" w:eastAsia="Times New Roman" w:hAnsi="Palatino Linotype" w:cs="Arial"/>
          <w:color w:val="000000"/>
          <w:sz w:val="24"/>
          <w:szCs w:val="24"/>
          <w:lang w:eastAsia="es-MX"/>
        </w:rPr>
      </w:pPr>
      <w:bookmarkStart w:id="0" w:name="_GoBack"/>
      <w:bookmarkEnd w:id="0"/>
    </w:p>
    <w:p w:rsidR="00E15E85"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07011C">
        <w:rPr>
          <w:rFonts w:ascii="Palatino Linotype" w:eastAsia="Times New Roman" w:hAnsi="Palatino Linotype" w:cs="Arial"/>
          <w:color w:val="000000"/>
          <w:sz w:val="24"/>
          <w:szCs w:val="24"/>
          <w:lang w:eastAsia="es-MX"/>
        </w:rPr>
        <w:t xml:space="preserve">Resolución del Pleno del </w:t>
      </w:r>
      <w:r>
        <w:rPr>
          <w:rFonts w:ascii="Palatino Linotype" w:eastAsia="Times New Roman" w:hAnsi="Palatino Linotype" w:cs="Arial"/>
          <w:color w:val="000000"/>
          <w:sz w:val="24"/>
          <w:szCs w:val="24"/>
          <w:lang w:eastAsia="es-MX"/>
        </w:rPr>
        <w:t>Instituto de Transparencia, Acceso a la Información Pública y Protección de Datos Personales del Estado de México y Municipios</w:t>
      </w:r>
      <w:r w:rsidRPr="0007011C">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con domicilio en </w:t>
      </w:r>
      <w:r w:rsidRPr="0007011C">
        <w:rPr>
          <w:rFonts w:ascii="Palatino Linotype" w:eastAsia="Times New Roman" w:hAnsi="Palatino Linotype" w:cs="Arial"/>
          <w:color w:val="000000"/>
          <w:sz w:val="24"/>
          <w:szCs w:val="24"/>
          <w:lang w:eastAsia="es-MX"/>
        </w:rPr>
        <w:t xml:space="preserve">Metepec, </w:t>
      </w:r>
      <w:r>
        <w:rPr>
          <w:rFonts w:ascii="Palatino Linotype" w:eastAsia="Times New Roman" w:hAnsi="Palatino Linotype" w:cs="Arial"/>
          <w:color w:val="000000"/>
          <w:sz w:val="24"/>
          <w:szCs w:val="24"/>
          <w:lang w:eastAsia="es-MX"/>
        </w:rPr>
        <w:t xml:space="preserve">Estado de </w:t>
      </w:r>
      <w:r w:rsidRPr="009902AF">
        <w:rPr>
          <w:rFonts w:ascii="Palatino Linotype" w:eastAsia="Times New Roman" w:hAnsi="Palatino Linotype" w:cs="Arial"/>
          <w:color w:val="000000"/>
          <w:sz w:val="24"/>
          <w:szCs w:val="24"/>
          <w:lang w:eastAsia="es-MX"/>
        </w:rPr>
        <w:t xml:space="preserve">México, </w:t>
      </w:r>
      <w:r w:rsidRPr="000F4524">
        <w:rPr>
          <w:rFonts w:ascii="Palatino Linotype" w:eastAsia="Times New Roman" w:hAnsi="Palatino Linotype" w:cs="Arial"/>
          <w:color w:val="000000"/>
          <w:sz w:val="24"/>
          <w:szCs w:val="24"/>
          <w:lang w:eastAsia="es-MX"/>
        </w:rPr>
        <w:t xml:space="preserve">a </w:t>
      </w:r>
      <w:r w:rsidR="00A92871">
        <w:rPr>
          <w:rFonts w:ascii="Palatino Linotype" w:eastAsia="Times New Roman" w:hAnsi="Palatino Linotype" w:cs="Arial"/>
          <w:color w:val="000000"/>
          <w:sz w:val="24"/>
          <w:szCs w:val="24"/>
          <w:lang w:eastAsia="es-MX"/>
        </w:rPr>
        <w:t>veintidós de noviembre de dos mil dieciocho.</w:t>
      </w:r>
    </w:p>
    <w:p w:rsidR="00E15E85" w:rsidRPr="00F07740" w:rsidRDefault="00E15E85" w:rsidP="00E15E85">
      <w:pPr>
        <w:shd w:val="clear" w:color="auto" w:fill="FFFFFF"/>
        <w:spacing w:before="240" w:line="360" w:lineRule="auto"/>
        <w:jc w:val="both"/>
        <w:rPr>
          <w:rFonts w:ascii="Palatino Linotype" w:eastAsia="Times New Roman" w:hAnsi="Palatino Linotype" w:cs="Arial"/>
          <w:color w:val="000000"/>
          <w:sz w:val="24"/>
          <w:szCs w:val="24"/>
          <w:lang w:eastAsia="es-MX"/>
        </w:rPr>
      </w:pPr>
    </w:p>
    <w:p w:rsidR="00E15E85" w:rsidRDefault="00E15E85" w:rsidP="00E15E85">
      <w:pPr>
        <w:tabs>
          <w:tab w:val="left" w:pos="1701"/>
        </w:tabs>
        <w:spacing w:before="240" w:line="360" w:lineRule="auto"/>
        <w:jc w:val="both"/>
        <w:rPr>
          <w:rFonts w:ascii="Palatino Linotype" w:hAnsi="Palatino Linotype" w:cs="Arial"/>
          <w:sz w:val="24"/>
        </w:rPr>
      </w:pPr>
      <w:r>
        <w:rPr>
          <w:rFonts w:ascii="Palatino Linotype" w:hAnsi="Palatino Linotype" w:cs="Arial"/>
          <w:b/>
          <w:sz w:val="24"/>
        </w:rPr>
        <w:t>VISTO</w:t>
      </w:r>
      <w:r>
        <w:rPr>
          <w:rFonts w:ascii="Palatino Linotype" w:hAnsi="Palatino Linotype" w:cs="Arial"/>
          <w:sz w:val="24"/>
        </w:rPr>
        <w:t xml:space="preserve"> el expediente electrónico formado con motivo del recurso de revisión número </w:t>
      </w:r>
      <w:r w:rsidR="00BA4A38" w:rsidRPr="00BA4A38">
        <w:rPr>
          <w:rFonts w:ascii="Palatino Linotype" w:hAnsi="Palatino Linotype" w:cs="Arial"/>
          <w:b/>
          <w:bCs/>
          <w:sz w:val="24"/>
          <w:lang w:eastAsia="es-MX"/>
        </w:rPr>
        <w:t>03625/INFOEM/AD/RR/2018</w:t>
      </w:r>
      <w:r>
        <w:rPr>
          <w:rFonts w:ascii="Palatino Linotype" w:hAnsi="Palatino Linotype" w:cs="Arial"/>
          <w:sz w:val="24"/>
        </w:rPr>
        <w:t xml:space="preserve">, </w:t>
      </w:r>
      <w:r w:rsidR="00E46096">
        <w:rPr>
          <w:rFonts w:ascii="Palatino Linotype" w:hAnsi="Palatino Linotype" w:cs="Arial"/>
          <w:sz w:val="24"/>
        </w:rPr>
        <w:t>interpuesto por la</w:t>
      </w:r>
      <w:r w:rsidRPr="00224181">
        <w:rPr>
          <w:rFonts w:ascii="Palatino Linotype" w:hAnsi="Palatino Linotype" w:cs="Arial"/>
          <w:sz w:val="24"/>
        </w:rPr>
        <w:t xml:space="preserve"> </w:t>
      </w:r>
      <w:r w:rsidRPr="00224181">
        <w:rPr>
          <w:rFonts w:ascii="Palatino Linotype" w:hAnsi="Palatino Linotype" w:cs="Arial"/>
          <w:b/>
          <w:sz w:val="24"/>
          <w:szCs w:val="24"/>
        </w:rPr>
        <w:t xml:space="preserve">C. </w:t>
      </w:r>
      <w:r w:rsidR="00A90667">
        <w:rPr>
          <w:rFonts w:ascii="Palatino Linotype" w:hAnsi="Palatino Linotype" w:cs="Arial"/>
          <w:b/>
          <w:sz w:val="24"/>
          <w:szCs w:val="24"/>
        </w:rPr>
        <w:t>XXXXXXXXXXXXXXX</w:t>
      </w:r>
      <w:r w:rsidR="00631154">
        <w:rPr>
          <w:rFonts w:ascii="Palatino Linotype" w:hAnsi="Palatino Linotype" w:cs="Arial"/>
          <w:b/>
          <w:sz w:val="24"/>
          <w:szCs w:val="24"/>
        </w:rPr>
        <w:t xml:space="preserve"> </w:t>
      </w:r>
      <w:r w:rsidRPr="00224181">
        <w:rPr>
          <w:rFonts w:ascii="Palatino Linotype" w:hAnsi="Palatino Linotype" w:cs="Arial"/>
          <w:sz w:val="24"/>
        </w:rPr>
        <w:t xml:space="preserve">en lo sucesivo </w:t>
      </w:r>
      <w:r w:rsidR="00631154">
        <w:rPr>
          <w:rFonts w:ascii="Palatino Linotype" w:hAnsi="Palatino Linotype" w:cs="Arial"/>
          <w:b/>
          <w:sz w:val="24"/>
        </w:rPr>
        <w:t>La</w:t>
      </w:r>
      <w:r w:rsidRPr="00224181">
        <w:rPr>
          <w:rFonts w:ascii="Palatino Linotype" w:hAnsi="Palatino Linotype" w:cs="Arial"/>
          <w:b/>
          <w:sz w:val="24"/>
        </w:rPr>
        <w:t xml:space="preserve"> Recurrente</w:t>
      </w:r>
      <w:r w:rsidRPr="00224181">
        <w:rPr>
          <w:rFonts w:ascii="Palatino Linotype" w:hAnsi="Palatino Linotype" w:cs="Arial"/>
          <w:sz w:val="24"/>
        </w:rPr>
        <w:t xml:space="preserve">, en contra de la respuesta </w:t>
      </w:r>
      <w:r w:rsidRPr="00224181">
        <w:rPr>
          <w:rFonts w:ascii="Palatino Linotype" w:hAnsi="Palatino Linotype" w:cs="Arial"/>
          <w:sz w:val="24"/>
          <w:szCs w:val="24"/>
        </w:rPr>
        <w:t xml:space="preserve">del </w:t>
      </w:r>
      <w:r w:rsidR="00BA4A38" w:rsidRPr="00BA4A38">
        <w:rPr>
          <w:rFonts w:ascii="Palatino Linotype" w:hAnsi="Palatino Linotype" w:cs="Arial"/>
          <w:b/>
          <w:sz w:val="24"/>
          <w:szCs w:val="24"/>
        </w:rPr>
        <w:t>Instituto de Seguridad Social del Estado de México y Municipios</w:t>
      </w:r>
      <w:r w:rsidRPr="00224181">
        <w:rPr>
          <w:rFonts w:ascii="Palatino Linotype" w:hAnsi="Palatino Linotype" w:cs="Arial"/>
          <w:sz w:val="28"/>
          <w:szCs w:val="24"/>
        </w:rPr>
        <w:t xml:space="preserve">, </w:t>
      </w:r>
      <w:r w:rsidRPr="00224181">
        <w:rPr>
          <w:rFonts w:ascii="Palatino Linotype" w:hAnsi="Palatino Linotype" w:cs="Arial"/>
          <w:sz w:val="24"/>
          <w:szCs w:val="24"/>
        </w:rPr>
        <w:t>en lo subsecuente</w:t>
      </w:r>
      <w:r w:rsidRPr="00224181">
        <w:rPr>
          <w:rFonts w:ascii="Palatino Linotype" w:hAnsi="Palatino Linotype" w:cs="Arial"/>
          <w:b/>
          <w:sz w:val="24"/>
          <w:szCs w:val="24"/>
        </w:rPr>
        <w:t xml:space="preserve"> El Sujeto Obligado, </w:t>
      </w:r>
      <w:r w:rsidRPr="00224181">
        <w:rPr>
          <w:rFonts w:ascii="Palatino Linotype" w:hAnsi="Palatino Linotype" w:cs="Arial"/>
          <w:sz w:val="24"/>
          <w:szCs w:val="24"/>
        </w:rPr>
        <w:t>se procede a</w:t>
      </w:r>
      <w:r w:rsidRPr="00224181">
        <w:rPr>
          <w:rFonts w:ascii="Palatino Linotype" w:hAnsi="Palatino Linotype" w:cs="Arial"/>
          <w:sz w:val="24"/>
        </w:rPr>
        <w:t xml:space="preserve"> dictar la presente resolución.</w:t>
      </w:r>
    </w:p>
    <w:p w:rsidR="00E87E34" w:rsidRDefault="00E87E34" w:rsidP="00E15E85">
      <w:pPr>
        <w:tabs>
          <w:tab w:val="left" w:pos="1701"/>
        </w:tabs>
        <w:spacing w:before="240" w:line="360" w:lineRule="auto"/>
        <w:jc w:val="both"/>
        <w:rPr>
          <w:rFonts w:ascii="Palatino Linotype" w:hAnsi="Palatino Linotype" w:cs="Arial"/>
          <w:sz w:val="24"/>
        </w:rPr>
      </w:pPr>
    </w:p>
    <w:p w:rsidR="00E15E85" w:rsidRDefault="00E15E85" w:rsidP="00E15E85">
      <w:pPr>
        <w:tabs>
          <w:tab w:val="left" w:pos="1701"/>
        </w:tabs>
        <w:spacing w:before="240" w:line="360" w:lineRule="auto"/>
        <w:jc w:val="both"/>
        <w:rPr>
          <w:rFonts w:ascii="Palatino Linotype" w:hAnsi="Palatino Linotype" w:cs="Arial"/>
          <w:sz w:val="24"/>
        </w:rPr>
      </w:pPr>
    </w:p>
    <w:p w:rsidR="00E15E85" w:rsidRPr="00F205B9" w:rsidRDefault="00E15E85" w:rsidP="00E15E85">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rsidR="00E15E85" w:rsidRDefault="00E15E85" w:rsidP="00E15E85">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w:t>
      </w:r>
      <w:r w:rsidR="00631154">
        <w:rPr>
          <w:rFonts w:ascii="Palatino Linotype" w:hAnsi="Palatino Linotype"/>
          <w:b/>
          <w:sz w:val="28"/>
          <w:szCs w:val="28"/>
        </w:rPr>
        <w:t>l Acceso a Datos Personales</w:t>
      </w:r>
      <w:r w:rsidRPr="0087163A">
        <w:rPr>
          <w:rFonts w:ascii="Palatino Linotype" w:hAnsi="Palatino Linotype"/>
          <w:b/>
          <w:sz w:val="28"/>
          <w:szCs w:val="28"/>
        </w:rPr>
        <w:t>.</w:t>
      </w:r>
    </w:p>
    <w:p w:rsidR="00E15E85" w:rsidRDefault="00E15E85" w:rsidP="00E15E85">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BA4A38">
        <w:rPr>
          <w:rFonts w:ascii="Palatino Linotype" w:hAnsi="Palatino Linotype" w:cs="Arial"/>
          <w:sz w:val="24"/>
        </w:rPr>
        <w:t>siete de septiembre de dos mil dieciocho</w:t>
      </w:r>
      <w:r>
        <w:rPr>
          <w:rFonts w:ascii="Palatino Linotype" w:hAnsi="Palatino Linotype" w:cs="Arial"/>
          <w:sz w:val="24"/>
        </w:rPr>
        <w:t xml:space="preserve">, </w:t>
      </w:r>
      <w:r w:rsidR="00875E6F">
        <w:rPr>
          <w:rFonts w:ascii="Palatino Linotype" w:hAnsi="Palatino Linotype" w:cs="Arial"/>
          <w:b/>
          <w:sz w:val="24"/>
        </w:rPr>
        <w:t>La</w:t>
      </w:r>
      <w:r>
        <w:rPr>
          <w:rFonts w:ascii="Palatino Linotype" w:hAnsi="Palatino Linotype" w:cs="Arial"/>
          <w:b/>
          <w:sz w:val="24"/>
        </w:rPr>
        <w:t xml:space="preserve"> Recurrente</w:t>
      </w:r>
      <w:r>
        <w:rPr>
          <w:rFonts w:ascii="Palatino Linotype" w:hAnsi="Palatino Linotype" w:cs="Arial"/>
          <w:sz w:val="24"/>
        </w:rPr>
        <w:t>, presentó</w:t>
      </w:r>
      <w:r w:rsidR="00631154">
        <w:rPr>
          <w:rFonts w:ascii="Palatino Linotype" w:hAnsi="Palatino Linotype" w:cs="Arial"/>
          <w:sz w:val="24"/>
        </w:rPr>
        <w:t xml:space="preserve"> a través del Sistema de Acceso, Rectificación, Cancelación y Oposición de Datos Personales del Estado de México </w:t>
      </w:r>
      <w:r>
        <w:rPr>
          <w:rFonts w:ascii="Palatino Linotype" w:hAnsi="Palatino Linotype" w:cs="Arial"/>
          <w:sz w:val="24"/>
        </w:rPr>
        <w:t>(</w:t>
      </w:r>
      <w:r w:rsidR="00631154">
        <w:rPr>
          <w:rFonts w:ascii="Palatino Linotype" w:hAnsi="Palatino Linotype" w:cs="Arial"/>
          <w:b/>
          <w:sz w:val="24"/>
        </w:rPr>
        <w:t>SARCOEM</w:t>
      </w:r>
      <w:r>
        <w:rPr>
          <w:rFonts w:ascii="Palatino Linotype" w:hAnsi="Palatino Linotype" w:cs="Arial"/>
          <w:b/>
          <w:sz w:val="24"/>
        </w:rPr>
        <w:t>)</w:t>
      </w:r>
      <w:r>
        <w:rPr>
          <w:rFonts w:ascii="Palatino Linotype" w:hAnsi="Palatino Linotype" w:cs="Arial"/>
          <w:sz w:val="24"/>
        </w:rPr>
        <w:t xml:space="preserve"> ante </w:t>
      </w:r>
      <w:r>
        <w:rPr>
          <w:rFonts w:ascii="Palatino Linotype" w:hAnsi="Palatino Linotype" w:cs="Arial"/>
          <w:b/>
          <w:sz w:val="24"/>
        </w:rPr>
        <w:t>El Sujeto Obligado</w:t>
      </w:r>
      <w:r>
        <w:rPr>
          <w:rFonts w:ascii="Palatino Linotype" w:hAnsi="Palatino Linotype" w:cs="Arial"/>
          <w:sz w:val="24"/>
        </w:rPr>
        <w:t>, solicitud de acceso a</w:t>
      </w:r>
      <w:r w:rsidR="002F2F4F">
        <w:rPr>
          <w:rFonts w:ascii="Palatino Linotype" w:hAnsi="Palatino Linotype" w:cs="Arial"/>
          <w:sz w:val="24"/>
        </w:rPr>
        <w:t xml:space="preserve"> datos </w:t>
      </w:r>
      <w:r w:rsidR="002F2F4F">
        <w:rPr>
          <w:rFonts w:ascii="Palatino Linotype" w:hAnsi="Palatino Linotype" w:cs="Arial"/>
          <w:sz w:val="24"/>
        </w:rPr>
        <w:lastRenderedPageBreak/>
        <w:t>personales</w:t>
      </w:r>
      <w:r>
        <w:rPr>
          <w:rFonts w:ascii="Palatino Linotype" w:hAnsi="Palatino Linotype" w:cs="Arial"/>
          <w:sz w:val="24"/>
        </w:rPr>
        <w:t>, registrada bajo el número de expediente</w:t>
      </w:r>
      <w:r>
        <w:rPr>
          <w:rFonts w:ascii="Palatino Linotype" w:hAnsi="Palatino Linotype" w:cs="Arial"/>
          <w:b/>
          <w:sz w:val="24"/>
        </w:rPr>
        <w:t xml:space="preserve"> </w:t>
      </w:r>
      <w:r w:rsidR="00BA4A38" w:rsidRPr="00BA4A38">
        <w:rPr>
          <w:rFonts w:ascii="Palatino Linotype" w:hAnsi="Palatino Linotype" w:cs="Arial"/>
          <w:b/>
          <w:sz w:val="24"/>
        </w:rPr>
        <w:t>00376/ISSEMYM/AD/2018</w:t>
      </w:r>
      <w:r>
        <w:rPr>
          <w:rFonts w:ascii="Palatino Linotype" w:hAnsi="Palatino Linotype" w:cs="Arial"/>
          <w:b/>
          <w:sz w:val="24"/>
          <w:lang w:eastAsia="es-MX"/>
        </w:rPr>
        <w:t xml:space="preserve">, </w:t>
      </w:r>
      <w:r>
        <w:rPr>
          <w:rFonts w:ascii="Palatino Linotype" w:hAnsi="Palatino Linotype" w:cs="Arial"/>
          <w:sz w:val="24"/>
        </w:rPr>
        <w:t xml:space="preserve">mediante la cual solicitó </w:t>
      </w:r>
      <w:r w:rsidR="00C9537F">
        <w:rPr>
          <w:rFonts w:ascii="Palatino Linotype" w:hAnsi="Palatino Linotype" w:cs="Arial"/>
          <w:sz w:val="24"/>
        </w:rPr>
        <w:t>el acceso a datos</w:t>
      </w:r>
      <w:r>
        <w:rPr>
          <w:rFonts w:ascii="Palatino Linotype" w:hAnsi="Palatino Linotype" w:cs="Arial"/>
          <w:sz w:val="24"/>
        </w:rPr>
        <w:t xml:space="preserve"> en el tenor siguiente:</w:t>
      </w:r>
    </w:p>
    <w:p w:rsidR="00E15E85" w:rsidRPr="00DE246E" w:rsidRDefault="00E15E85" w:rsidP="00E15E85">
      <w:pPr>
        <w:ind w:left="851" w:right="850"/>
        <w:jc w:val="both"/>
        <w:rPr>
          <w:rFonts w:ascii="Palatino Linotype" w:eastAsia="Times New Roman" w:hAnsi="Palatino Linotype" w:cs="Times New Roman"/>
          <w:i/>
          <w:lang w:val="es-ES_tradnl" w:eastAsia="es-ES"/>
        </w:rPr>
      </w:pPr>
      <w:r w:rsidRPr="00DE246E">
        <w:rPr>
          <w:rFonts w:ascii="Palatino Linotype" w:eastAsia="Times New Roman" w:hAnsi="Palatino Linotype" w:cs="Times New Roman"/>
          <w:i/>
          <w:lang w:val="es-ES_tradnl" w:eastAsia="es-ES"/>
        </w:rPr>
        <w:t>“</w:t>
      </w:r>
      <w:r w:rsidR="00BA4A38" w:rsidRPr="00BA4A38">
        <w:rPr>
          <w:rFonts w:ascii="Palatino Linotype" w:hAnsi="Palatino Linotype"/>
          <w:i/>
          <w:color w:val="000000"/>
        </w:rPr>
        <w:t xml:space="preserve">años de servicio (antiguedad en el Isemmyn )con clave </w:t>
      </w:r>
      <w:r w:rsidR="00A90667">
        <w:rPr>
          <w:rFonts w:ascii="Palatino Linotype" w:hAnsi="Palatino Linotype"/>
          <w:i/>
          <w:color w:val="000000"/>
        </w:rPr>
        <w:t>XXXXXXXXXX</w:t>
      </w:r>
      <w:r w:rsidR="00BC1C0A" w:rsidRPr="00BC1C0A">
        <w:rPr>
          <w:rFonts w:ascii="Palatino Linotype" w:hAnsi="Palatino Linotype"/>
          <w:i/>
          <w:color w:val="000000"/>
        </w:rPr>
        <w:t>.</w:t>
      </w:r>
      <w:r w:rsidRPr="00DE246E">
        <w:rPr>
          <w:rFonts w:ascii="Palatino Linotype" w:eastAsia="Times New Roman" w:hAnsi="Palatino Linotype" w:cs="Times New Roman"/>
          <w:i/>
          <w:lang w:val="es-ES_tradnl" w:eastAsia="es-ES"/>
        </w:rPr>
        <w:t>” [Sic]</w:t>
      </w:r>
    </w:p>
    <w:p w:rsidR="00E15E85" w:rsidRDefault="00E15E85" w:rsidP="00E15E85">
      <w:pPr>
        <w:spacing w:before="240" w:line="240" w:lineRule="auto"/>
        <w:ind w:right="850"/>
        <w:jc w:val="both"/>
        <w:rPr>
          <w:rFonts w:ascii="Palatino Linotype" w:eastAsia="Times New Roman" w:hAnsi="Palatino Linotype" w:cs="Times New Roman"/>
          <w:sz w:val="24"/>
          <w:szCs w:val="24"/>
          <w:lang w:val="es-ES_tradnl" w:eastAsia="es-ES"/>
        </w:rPr>
      </w:pPr>
      <w:r w:rsidRPr="00CA1161">
        <w:rPr>
          <w:rFonts w:ascii="Palatino Linotype" w:eastAsia="Times New Roman" w:hAnsi="Palatino Linotype" w:cs="Times New Roman"/>
          <w:sz w:val="24"/>
          <w:szCs w:val="24"/>
          <w:lang w:val="es-ES_tradnl" w:eastAsia="es-ES"/>
        </w:rPr>
        <w:t xml:space="preserve">Modalidad de entrega: </w:t>
      </w:r>
      <w:r>
        <w:rPr>
          <w:rFonts w:ascii="Palatino Linotype" w:eastAsia="Times New Roman" w:hAnsi="Palatino Linotype" w:cs="Times New Roman"/>
          <w:sz w:val="24"/>
          <w:szCs w:val="24"/>
          <w:lang w:val="es-ES_tradnl" w:eastAsia="es-ES"/>
        </w:rPr>
        <w:t>a través del SA</w:t>
      </w:r>
      <w:r w:rsidR="00C9537F">
        <w:rPr>
          <w:rFonts w:ascii="Palatino Linotype" w:eastAsia="Times New Roman" w:hAnsi="Palatino Linotype" w:cs="Times New Roman"/>
          <w:sz w:val="24"/>
          <w:szCs w:val="24"/>
          <w:lang w:val="es-ES_tradnl" w:eastAsia="es-ES"/>
        </w:rPr>
        <w:t>RCOEM</w:t>
      </w:r>
      <w:r>
        <w:rPr>
          <w:rFonts w:ascii="Palatino Linotype" w:eastAsia="Times New Roman" w:hAnsi="Palatino Linotype" w:cs="Times New Roman"/>
          <w:sz w:val="24"/>
          <w:szCs w:val="24"/>
          <w:lang w:val="es-ES_tradnl" w:eastAsia="es-ES"/>
        </w:rPr>
        <w:t>.</w:t>
      </w:r>
    </w:p>
    <w:p w:rsidR="0015550A" w:rsidRPr="008A12F6" w:rsidRDefault="0015550A" w:rsidP="00E15E85">
      <w:pPr>
        <w:spacing w:before="240" w:line="240" w:lineRule="auto"/>
        <w:ind w:right="850"/>
        <w:jc w:val="both"/>
        <w:rPr>
          <w:rFonts w:ascii="Palatino Linotype" w:eastAsia="Times New Roman" w:hAnsi="Palatino Linotype" w:cs="Times New Roman"/>
          <w:sz w:val="24"/>
          <w:szCs w:val="24"/>
          <w:lang w:val="es-ES_tradnl" w:eastAsia="es-ES"/>
        </w:rPr>
      </w:pPr>
    </w:p>
    <w:p w:rsidR="00E15E85" w:rsidRDefault="00E15E85" w:rsidP="00E15E85">
      <w:pPr>
        <w:spacing w:before="240" w:line="360" w:lineRule="auto"/>
        <w:jc w:val="both"/>
        <w:rPr>
          <w:rFonts w:ascii="Palatino Linotype" w:hAnsi="Palatino Linotype" w:cs="Arial"/>
          <w:b/>
          <w:sz w:val="28"/>
        </w:rPr>
      </w:pPr>
      <w:r>
        <w:rPr>
          <w:rFonts w:ascii="Palatino Linotype" w:hAnsi="Palatino Linotype" w:cs="Arial"/>
          <w:b/>
          <w:sz w:val="28"/>
        </w:rPr>
        <w:t xml:space="preserve">SEGUNDO. </w:t>
      </w:r>
      <w:r w:rsidRPr="00165D6E">
        <w:rPr>
          <w:rFonts w:ascii="Palatino Linotype" w:hAnsi="Palatino Linotype" w:cs="Arial"/>
          <w:b/>
          <w:sz w:val="28"/>
          <w:szCs w:val="20"/>
        </w:rPr>
        <w:t xml:space="preserve">De la respuesta </w:t>
      </w:r>
      <w:r>
        <w:rPr>
          <w:rFonts w:ascii="Palatino Linotype" w:hAnsi="Palatino Linotype" w:cs="Arial"/>
          <w:b/>
          <w:sz w:val="28"/>
          <w:szCs w:val="20"/>
        </w:rPr>
        <w:t>del Sujeto Obligado</w:t>
      </w:r>
      <w:r w:rsidRPr="00165D6E">
        <w:rPr>
          <w:rFonts w:ascii="Palatino Linotype" w:hAnsi="Palatino Linotype" w:cs="Arial"/>
          <w:b/>
          <w:sz w:val="28"/>
          <w:szCs w:val="20"/>
        </w:rPr>
        <w:t>.</w:t>
      </w:r>
    </w:p>
    <w:p w:rsidR="00DC3B85" w:rsidRDefault="00E15E85" w:rsidP="009C75A5">
      <w:pPr>
        <w:spacing w:before="240" w:line="360" w:lineRule="auto"/>
        <w:jc w:val="both"/>
        <w:rPr>
          <w:rFonts w:ascii="Palatino Linotype" w:hAnsi="Palatino Linotype" w:cs="Arial"/>
          <w:sz w:val="24"/>
        </w:rPr>
      </w:pPr>
      <w:r w:rsidRPr="00A77BF1">
        <w:rPr>
          <w:rFonts w:ascii="Palatino Linotype" w:hAnsi="Palatino Linotype" w:cs="Arial"/>
          <w:sz w:val="24"/>
        </w:rPr>
        <w:t xml:space="preserve">En el expediente electrónico </w:t>
      </w:r>
      <w:r w:rsidRPr="00A77BF1">
        <w:rPr>
          <w:rFonts w:ascii="Palatino Linotype" w:hAnsi="Palatino Linotype" w:cs="Arial"/>
          <w:b/>
          <w:sz w:val="24"/>
        </w:rPr>
        <w:t>SA</w:t>
      </w:r>
      <w:r w:rsidR="00C9537F">
        <w:rPr>
          <w:rFonts w:ascii="Palatino Linotype" w:hAnsi="Palatino Linotype" w:cs="Arial"/>
          <w:b/>
          <w:sz w:val="24"/>
        </w:rPr>
        <w:t>RCOEM</w:t>
      </w:r>
      <w:r w:rsidR="003341B0">
        <w:rPr>
          <w:rFonts w:ascii="Palatino Linotype" w:hAnsi="Palatino Linotype" w:cs="Arial"/>
          <w:sz w:val="24"/>
        </w:rPr>
        <w:t xml:space="preserve">, se aprecia que </w:t>
      </w:r>
      <w:r w:rsidRPr="00A77BF1">
        <w:rPr>
          <w:rFonts w:ascii="Palatino Linotype" w:hAnsi="Palatino Linotype" w:cs="Arial"/>
          <w:b/>
          <w:sz w:val="24"/>
        </w:rPr>
        <w:t>El Sujeto Obligado</w:t>
      </w:r>
      <w:r w:rsidR="00AC1D50">
        <w:rPr>
          <w:rFonts w:ascii="Palatino Linotype" w:hAnsi="Palatino Linotype" w:cs="Arial"/>
          <w:sz w:val="24"/>
        </w:rPr>
        <w:t xml:space="preserve"> </w:t>
      </w:r>
      <w:r w:rsidR="009C75A5">
        <w:rPr>
          <w:rFonts w:ascii="Palatino Linotype" w:hAnsi="Palatino Linotype" w:cs="Arial"/>
          <w:sz w:val="24"/>
        </w:rPr>
        <w:t xml:space="preserve">dio respuesta a la solicitud en fecha </w:t>
      </w:r>
      <w:r w:rsidR="00BA4A38">
        <w:rPr>
          <w:rFonts w:ascii="Palatino Linotype" w:hAnsi="Palatino Linotype" w:cs="Arial"/>
          <w:sz w:val="24"/>
        </w:rPr>
        <w:t>doce de septiembre de dos mil dieciocho</w:t>
      </w:r>
      <w:r w:rsidR="009C75A5">
        <w:rPr>
          <w:rFonts w:ascii="Palatino Linotype" w:hAnsi="Palatino Linotype" w:cs="Arial"/>
          <w:sz w:val="24"/>
        </w:rPr>
        <w:t xml:space="preserve"> adjuntando así </w:t>
      </w:r>
      <w:r w:rsidR="00C9537F">
        <w:rPr>
          <w:rFonts w:ascii="Palatino Linotype" w:hAnsi="Palatino Linotype" w:cs="Arial"/>
          <w:sz w:val="24"/>
        </w:rPr>
        <w:t xml:space="preserve">un archivo tipo .pdf denominado </w:t>
      </w:r>
      <w:r w:rsidR="00C9537F" w:rsidRPr="00C9537F">
        <w:rPr>
          <w:rFonts w:ascii="Palatino Linotype" w:hAnsi="Palatino Linotype" w:cs="Arial"/>
          <w:sz w:val="24"/>
          <w:u w:val="single"/>
        </w:rPr>
        <w:t>“</w:t>
      </w:r>
      <w:r w:rsidR="00BA4A38" w:rsidRPr="00BA4A38">
        <w:rPr>
          <w:rFonts w:ascii="Palatino Linotype" w:hAnsi="Palatino Linotype" w:cs="Arial"/>
          <w:sz w:val="24"/>
          <w:u w:val="single"/>
        </w:rPr>
        <w:t>376.AD.pdf</w:t>
      </w:r>
      <w:r w:rsidR="00C9537F" w:rsidRPr="00C9537F">
        <w:rPr>
          <w:rFonts w:ascii="Palatino Linotype" w:hAnsi="Palatino Linotype" w:cs="Arial"/>
          <w:sz w:val="24"/>
          <w:u w:val="single"/>
        </w:rPr>
        <w:t>”</w:t>
      </w:r>
      <w:r w:rsidR="009C75A5">
        <w:rPr>
          <w:rFonts w:ascii="Palatino Linotype" w:hAnsi="Palatino Linotype" w:cs="Arial"/>
          <w:sz w:val="24"/>
        </w:rPr>
        <w:t xml:space="preserve">, </w:t>
      </w:r>
      <w:r w:rsidR="00C9537F">
        <w:rPr>
          <w:rFonts w:ascii="Palatino Linotype" w:hAnsi="Palatino Linotype" w:cs="Arial"/>
          <w:sz w:val="24"/>
        </w:rPr>
        <w:t>el cual</w:t>
      </w:r>
      <w:r w:rsidR="009C75A5">
        <w:rPr>
          <w:rFonts w:ascii="Palatino Linotype" w:hAnsi="Palatino Linotype" w:cs="Arial"/>
          <w:sz w:val="24"/>
        </w:rPr>
        <w:t xml:space="preserve"> se tien</w:t>
      </w:r>
      <w:r w:rsidR="00C9537F">
        <w:rPr>
          <w:rFonts w:ascii="Palatino Linotype" w:hAnsi="Palatino Linotype" w:cs="Arial"/>
          <w:sz w:val="24"/>
        </w:rPr>
        <w:t>e por reproducido</w:t>
      </w:r>
      <w:r w:rsidR="009C75A5">
        <w:rPr>
          <w:rFonts w:ascii="Palatino Linotype" w:hAnsi="Palatino Linotype" w:cs="Arial"/>
          <w:sz w:val="24"/>
        </w:rPr>
        <w:t xml:space="preserve"> por ser del conocimiento de las partes.</w:t>
      </w:r>
    </w:p>
    <w:p w:rsidR="00BA4A38" w:rsidRPr="00BA4A38" w:rsidRDefault="00BA4A38" w:rsidP="00BA4A38">
      <w:pPr>
        <w:spacing w:before="240" w:line="360" w:lineRule="auto"/>
        <w:jc w:val="right"/>
        <w:rPr>
          <w:rFonts w:ascii="Palatino Linotype" w:hAnsi="Palatino Linotype" w:cs="Arial"/>
          <w:sz w:val="24"/>
        </w:rPr>
      </w:pPr>
    </w:p>
    <w:p w:rsidR="00BA4A38" w:rsidRPr="00BA4A38" w:rsidRDefault="00BA4A38" w:rsidP="00BA4A38">
      <w:pPr>
        <w:spacing w:before="240" w:line="360" w:lineRule="auto"/>
        <w:jc w:val="right"/>
        <w:rPr>
          <w:rFonts w:ascii="Palatino Linotype" w:hAnsi="Palatino Linotype" w:cs="Arial"/>
          <w:sz w:val="24"/>
        </w:rPr>
      </w:pPr>
      <w:r w:rsidRPr="00BA4A38">
        <w:rPr>
          <w:rFonts w:ascii="Palatino Linotype" w:hAnsi="Palatino Linotype" w:cs="Arial"/>
          <w:sz w:val="24"/>
        </w:rPr>
        <w:t>Metepec, México a 12 de Septiembre de 2018</w:t>
      </w:r>
    </w:p>
    <w:p w:rsidR="00BA4A38" w:rsidRPr="00BA4A38" w:rsidRDefault="00BA4A38" w:rsidP="00BA4A38">
      <w:pPr>
        <w:spacing w:before="240" w:line="360" w:lineRule="auto"/>
        <w:jc w:val="right"/>
        <w:rPr>
          <w:rFonts w:ascii="Palatino Linotype" w:hAnsi="Palatino Linotype" w:cs="Arial"/>
          <w:sz w:val="24"/>
        </w:rPr>
      </w:pPr>
      <w:r w:rsidRPr="00BA4A38">
        <w:rPr>
          <w:rFonts w:ascii="Palatino Linotype" w:hAnsi="Palatino Linotype" w:cs="Arial"/>
          <w:sz w:val="24"/>
        </w:rPr>
        <w:t xml:space="preserve">Nombre del solicitante: </w:t>
      </w:r>
      <w:r w:rsidR="00A90667">
        <w:rPr>
          <w:rFonts w:ascii="Palatino Linotype" w:hAnsi="Palatino Linotype" w:cs="Arial"/>
          <w:sz w:val="24"/>
        </w:rPr>
        <w:t>XXXXXXXXXXXXXXXXXXXX</w:t>
      </w:r>
    </w:p>
    <w:p w:rsidR="00BA4A38" w:rsidRPr="00BA4A38" w:rsidRDefault="00BA4A38" w:rsidP="00BA4A38">
      <w:pPr>
        <w:spacing w:before="240" w:line="360" w:lineRule="auto"/>
        <w:jc w:val="right"/>
        <w:rPr>
          <w:rFonts w:ascii="Palatino Linotype" w:hAnsi="Palatino Linotype" w:cs="Arial"/>
          <w:sz w:val="24"/>
        </w:rPr>
      </w:pPr>
      <w:r w:rsidRPr="00BA4A38">
        <w:rPr>
          <w:rFonts w:ascii="Palatino Linotype" w:hAnsi="Palatino Linotype" w:cs="Arial"/>
          <w:sz w:val="24"/>
        </w:rPr>
        <w:t>Folio de la solicitud: 00376/ISSEMYM/AD/2018</w:t>
      </w:r>
    </w:p>
    <w:p w:rsidR="00BA4A38" w:rsidRPr="00BA4A38" w:rsidRDefault="00BA4A38" w:rsidP="00BA4A38">
      <w:pPr>
        <w:spacing w:before="240" w:line="360" w:lineRule="auto"/>
        <w:jc w:val="both"/>
        <w:rPr>
          <w:rFonts w:ascii="Palatino Linotype" w:hAnsi="Palatino Linotype" w:cs="Arial"/>
          <w:sz w:val="24"/>
        </w:rPr>
      </w:pPr>
      <w:r w:rsidRPr="00BA4A38">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A4A38" w:rsidRPr="00BA4A38" w:rsidRDefault="00BA4A38" w:rsidP="00BA4A38">
      <w:pPr>
        <w:spacing w:before="240" w:line="360" w:lineRule="auto"/>
        <w:jc w:val="both"/>
        <w:rPr>
          <w:rFonts w:ascii="Palatino Linotype" w:hAnsi="Palatino Linotype" w:cs="Arial"/>
          <w:sz w:val="24"/>
        </w:rPr>
      </w:pPr>
      <w:r w:rsidRPr="00BA4A38">
        <w:rPr>
          <w:rFonts w:ascii="Palatino Linotype" w:hAnsi="Palatino Linotype" w:cs="Arial"/>
          <w:sz w:val="24"/>
        </w:rPr>
        <w:lastRenderedPageBreak/>
        <w:t>Como archivo adjunto, encontrará el oficio que dará respuesta a su solicitud de información. Para cualquier duda o aclaración respecto a la presente respuesta, nos ponemos a sus órdenes en el teléfono (01722) 2261900 extensiones 1151 y 1177.</w:t>
      </w:r>
    </w:p>
    <w:p w:rsidR="00BA4A38" w:rsidRPr="00BA4A38" w:rsidRDefault="00BA4A38" w:rsidP="00BA4A38">
      <w:pPr>
        <w:spacing w:before="240" w:line="360" w:lineRule="auto"/>
        <w:jc w:val="both"/>
        <w:rPr>
          <w:rFonts w:ascii="Palatino Linotype" w:hAnsi="Palatino Linotype" w:cs="Arial"/>
          <w:sz w:val="24"/>
        </w:rPr>
      </w:pPr>
      <w:r w:rsidRPr="00BA4A38">
        <w:rPr>
          <w:rFonts w:ascii="Palatino Linotype" w:hAnsi="Palatino Linotype" w:cs="Arial"/>
          <w:sz w:val="24"/>
        </w:rPr>
        <w:t>ATENTAMENTE</w:t>
      </w:r>
    </w:p>
    <w:p w:rsidR="00BA4A38" w:rsidRPr="009C75A5" w:rsidRDefault="00BA4A38" w:rsidP="00BA4A38">
      <w:pPr>
        <w:spacing w:before="240" w:line="360" w:lineRule="auto"/>
        <w:jc w:val="both"/>
        <w:rPr>
          <w:rFonts w:ascii="Palatino Linotype" w:hAnsi="Palatino Linotype" w:cs="Arial"/>
          <w:sz w:val="24"/>
        </w:rPr>
      </w:pPr>
      <w:r w:rsidRPr="00BA4A38">
        <w:rPr>
          <w:rFonts w:ascii="Palatino Linotype" w:hAnsi="Palatino Linotype" w:cs="Arial"/>
          <w:sz w:val="24"/>
        </w:rPr>
        <w:t>DR. EN E. CARLOS TENDILLA GONZÁLEZ</w:t>
      </w:r>
    </w:p>
    <w:p w:rsidR="00AC1D50" w:rsidRPr="00C25BA8" w:rsidRDefault="00AC1D50" w:rsidP="00C25BA8">
      <w:pPr>
        <w:spacing w:before="240" w:line="360" w:lineRule="auto"/>
        <w:jc w:val="both"/>
        <w:rPr>
          <w:rFonts w:ascii="Palatino Linotype" w:hAnsi="Palatino Linotype" w:cs="Arial"/>
          <w:b/>
          <w:sz w:val="24"/>
        </w:rPr>
      </w:pPr>
    </w:p>
    <w:p w:rsidR="00E15E85" w:rsidRPr="00441A94" w:rsidRDefault="00E15E85" w:rsidP="00E15E85">
      <w:pPr>
        <w:spacing w:before="240" w:line="360" w:lineRule="auto"/>
        <w:jc w:val="both"/>
        <w:rPr>
          <w:rFonts w:ascii="Palatino Linotype" w:hAnsi="Palatino Linotype" w:cs="Arial"/>
          <w:b/>
          <w:sz w:val="28"/>
        </w:rPr>
      </w:pPr>
      <w:r w:rsidRPr="00441A94">
        <w:rPr>
          <w:rFonts w:ascii="Palatino Linotype" w:hAnsi="Palatino Linotype" w:cs="Arial"/>
          <w:b/>
          <w:sz w:val="28"/>
        </w:rPr>
        <w:t xml:space="preserve">TERCERO. </w:t>
      </w:r>
      <w:r w:rsidRPr="00441A94">
        <w:rPr>
          <w:rFonts w:ascii="Palatino Linotype" w:hAnsi="Palatino Linotype"/>
          <w:b/>
          <w:sz w:val="28"/>
        </w:rPr>
        <w:t>Del recurso de revisión.</w:t>
      </w:r>
    </w:p>
    <w:p w:rsidR="00E15E85" w:rsidRDefault="00E15E85" w:rsidP="00E15E85">
      <w:pPr>
        <w:spacing w:before="240" w:line="360" w:lineRule="auto"/>
        <w:jc w:val="both"/>
        <w:rPr>
          <w:rFonts w:ascii="Palatino Linotype" w:hAnsi="Palatino Linotype" w:cs="Arial"/>
          <w:sz w:val="24"/>
        </w:rPr>
      </w:pPr>
      <w:r w:rsidRPr="00441A94">
        <w:rPr>
          <w:rFonts w:ascii="Palatino Linotype" w:hAnsi="Palatino Linotype" w:cs="Arial"/>
          <w:sz w:val="24"/>
          <w:szCs w:val="24"/>
        </w:rPr>
        <w:t xml:space="preserve">Inconforme con la respuesta por el sujeto obligado, </w:t>
      </w:r>
      <w:r w:rsidR="00FC40AC">
        <w:rPr>
          <w:rFonts w:ascii="Palatino Linotype" w:hAnsi="Palatino Linotype" w:cs="Arial"/>
          <w:b/>
          <w:sz w:val="24"/>
          <w:szCs w:val="24"/>
        </w:rPr>
        <w:t>La</w:t>
      </w:r>
      <w:r w:rsidRPr="00997030">
        <w:rPr>
          <w:rFonts w:ascii="Palatino Linotype" w:hAnsi="Palatino Linotype" w:cs="Arial"/>
          <w:b/>
          <w:sz w:val="24"/>
          <w:szCs w:val="24"/>
        </w:rPr>
        <w:t xml:space="preserve"> Recurrente</w:t>
      </w:r>
      <w:r w:rsidRPr="00441A94">
        <w:rPr>
          <w:rFonts w:ascii="Palatino Linotype" w:hAnsi="Palatino Linotype" w:cs="Arial"/>
          <w:b/>
          <w:sz w:val="24"/>
          <w:szCs w:val="24"/>
        </w:rPr>
        <w:t xml:space="preserve"> </w:t>
      </w:r>
      <w:r w:rsidRPr="00441A94">
        <w:rPr>
          <w:rFonts w:ascii="Palatino Linotype" w:hAnsi="Palatino Linotype" w:cs="Arial"/>
          <w:sz w:val="24"/>
          <w:szCs w:val="24"/>
        </w:rPr>
        <w:t xml:space="preserve">interpuso el recurso de revisión, en fecha </w:t>
      </w:r>
      <w:r w:rsidR="00BA4A38">
        <w:rPr>
          <w:rFonts w:ascii="Palatino Linotype" w:hAnsi="Palatino Linotype" w:cs="Arial"/>
          <w:sz w:val="24"/>
          <w:szCs w:val="24"/>
        </w:rPr>
        <w:t>veinticinco de septiembre de dos mil dieciocho</w:t>
      </w:r>
      <w:r w:rsidRPr="00441A94">
        <w:rPr>
          <w:rFonts w:ascii="Palatino Linotype" w:hAnsi="Palatino Linotype" w:cs="Arial"/>
          <w:sz w:val="24"/>
          <w:szCs w:val="24"/>
        </w:rPr>
        <w:t>, el cual fue</w:t>
      </w:r>
      <w:r w:rsidRPr="0096643B">
        <w:rPr>
          <w:rFonts w:ascii="Palatino Linotype" w:hAnsi="Palatino Linotype" w:cs="Arial"/>
          <w:sz w:val="24"/>
          <w:szCs w:val="24"/>
        </w:rPr>
        <w:t xml:space="preserve"> registrado</w:t>
      </w:r>
      <w:r w:rsidRPr="0096643B">
        <w:rPr>
          <w:rFonts w:ascii="Palatino Linotype" w:hAnsi="Palatino Linotype" w:cs="Arial"/>
          <w:b/>
          <w:sz w:val="24"/>
          <w:szCs w:val="24"/>
        </w:rPr>
        <w:t xml:space="preserve"> </w:t>
      </w:r>
      <w:r w:rsidRPr="0096643B">
        <w:rPr>
          <w:rFonts w:ascii="Palatino Linotype" w:hAnsi="Palatino Linotype" w:cs="Arial"/>
          <w:sz w:val="24"/>
          <w:szCs w:val="24"/>
        </w:rPr>
        <w:t>en el sistema elect</w:t>
      </w:r>
      <w:r w:rsidR="00560146">
        <w:rPr>
          <w:rFonts w:ascii="Palatino Linotype" w:hAnsi="Palatino Linotype" w:cs="Arial"/>
          <w:sz w:val="24"/>
          <w:szCs w:val="24"/>
        </w:rPr>
        <w:t xml:space="preserve">rónico con el expediente número </w:t>
      </w:r>
      <w:r w:rsidR="00560146" w:rsidRPr="00560146">
        <w:rPr>
          <w:rFonts w:ascii="Palatino Linotype" w:hAnsi="Palatino Linotype" w:cs="Arial"/>
          <w:b/>
          <w:bCs/>
          <w:sz w:val="24"/>
          <w:szCs w:val="24"/>
          <w:lang w:eastAsia="es-MX"/>
        </w:rPr>
        <w:t>03625/INFOEM/AD/RR/2018</w:t>
      </w:r>
      <w:r w:rsidRPr="0096643B">
        <w:rPr>
          <w:rFonts w:ascii="Palatino Linotype" w:hAnsi="Palatino Linotype" w:cs="Arial"/>
          <w:sz w:val="24"/>
          <w:szCs w:val="24"/>
        </w:rPr>
        <w:t xml:space="preserve">, en el cual </w:t>
      </w:r>
      <w:r w:rsidRPr="0096643B">
        <w:rPr>
          <w:rFonts w:ascii="Palatino Linotype" w:hAnsi="Palatino Linotype" w:cs="Arial"/>
          <w:sz w:val="24"/>
        </w:rPr>
        <w:t>arguye, las siguientes manifestaciones:</w:t>
      </w:r>
    </w:p>
    <w:p w:rsidR="00E15E85" w:rsidRDefault="00E15E85" w:rsidP="00E15E85">
      <w:pPr>
        <w:spacing w:before="240"/>
        <w:jc w:val="both"/>
        <w:rPr>
          <w:rFonts w:ascii="Palatino Linotype" w:hAnsi="Palatino Linotype" w:cs="Arial"/>
          <w:b/>
          <w:sz w:val="24"/>
        </w:rPr>
      </w:pPr>
      <w:r>
        <w:rPr>
          <w:rFonts w:ascii="Palatino Linotype" w:hAnsi="Palatino Linotype" w:cs="Arial"/>
          <w:b/>
          <w:sz w:val="24"/>
        </w:rPr>
        <w:t>Acto Impugnado:</w:t>
      </w:r>
    </w:p>
    <w:p w:rsidR="00E15E85" w:rsidRPr="00A435E2" w:rsidRDefault="00E15E85" w:rsidP="00E15E85">
      <w:pPr>
        <w:ind w:left="851" w:right="850"/>
        <w:jc w:val="both"/>
        <w:rPr>
          <w:rFonts w:ascii="Palatino Linotype" w:hAnsi="Palatino Linotype"/>
          <w:i/>
          <w:color w:val="000000"/>
        </w:rPr>
      </w:pPr>
      <w:r w:rsidRPr="00A435E2">
        <w:rPr>
          <w:rFonts w:ascii="Palatino Linotype" w:hAnsi="Palatino Linotype"/>
          <w:i/>
          <w:color w:val="000000"/>
        </w:rPr>
        <w:t>“</w:t>
      </w:r>
      <w:r w:rsidR="00BA4A38" w:rsidRPr="00BA4A38">
        <w:rPr>
          <w:rFonts w:ascii="Palatino Linotype" w:hAnsi="Palatino Linotype"/>
          <w:i/>
          <w:color w:val="000000"/>
        </w:rPr>
        <w:t>INFORMACION INCOMPLETA E INADECUADA DEL FOLIO 00376/ISSEÑYM/AD/2018</w:t>
      </w:r>
      <w:r w:rsidR="00350355" w:rsidRPr="00350355">
        <w:rPr>
          <w:rFonts w:ascii="Palatino Linotype" w:hAnsi="Palatino Linotype"/>
          <w:i/>
          <w:color w:val="000000"/>
        </w:rPr>
        <w:t>.</w:t>
      </w:r>
      <w:r w:rsidR="00875499" w:rsidRPr="00875499">
        <w:rPr>
          <w:rFonts w:ascii="Palatino Linotype" w:hAnsi="Palatino Linotype"/>
          <w:i/>
          <w:color w:val="000000"/>
        </w:rPr>
        <w:t>"</w:t>
      </w:r>
      <w:r w:rsidRPr="00A435E2">
        <w:rPr>
          <w:rFonts w:ascii="Palatino Linotype" w:hAnsi="Palatino Linotype"/>
          <w:i/>
          <w:color w:val="000000"/>
        </w:rPr>
        <w:t>[sic]</w:t>
      </w:r>
    </w:p>
    <w:p w:rsidR="00074A99" w:rsidRDefault="00074A99" w:rsidP="00E15E85">
      <w:pPr>
        <w:spacing w:before="240"/>
        <w:jc w:val="both"/>
        <w:rPr>
          <w:rFonts w:ascii="Palatino Linotype" w:hAnsi="Palatino Linotype" w:cs="Arial"/>
          <w:b/>
          <w:sz w:val="24"/>
        </w:rPr>
      </w:pPr>
    </w:p>
    <w:p w:rsidR="00E15E85" w:rsidRDefault="00E15E85" w:rsidP="00E15E85">
      <w:pPr>
        <w:spacing w:before="240"/>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rsidR="00E15E85" w:rsidRDefault="00E15E85" w:rsidP="00BD22FF">
      <w:pPr>
        <w:ind w:left="851" w:right="850"/>
        <w:jc w:val="both"/>
        <w:rPr>
          <w:rFonts w:ascii="Palatino Linotype" w:hAnsi="Palatino Linotype" w:cs="Arial"/>
          <w:i/>
        </w:rPr>
      </w:pPr>
      <w:r w:rsidRPr="004469D5">
        <w:rPr>
          <w:rFonts w:ascii="Palatino Linotype" w:hAnsi="Palatino Linotype" w:cs="Arial"/>
          <w:i/>
        </w:rPr>
        <w:t>“</w:t>
      </w:r>
      <w:r w:rsidR="00BA4A38" w:rsidRPr="00BA4A38">
        <w:rPr>
          <w:rFonts w:ascii="Palatino Linotype" w:hAnsi="Palatino Linotype" w:cs="Arial"/>
          <w:i/>
        </w:rPr>
        <w:t xml:space="preserve">en el docuemnto 203F 80000-UT-913 EN EL DOCUMENTO 203F 80000-UT913-2018 INFORMA QUE EN LA UNIDAD DE ATENCION AL DERECHOHABIENTE ME DAN LA INFORMACION SOLICITADA, y NO ES ASÍ YA QUE YO ASISTI YA DOS VECES Y NINGUN CASO SE ME A OTORGADO LA INFORMACIÓN. RESPECTO A LA INFORMACIÓN QUE ME REMITE REFERENTE A LOS MOVIMIENTOS DE ALTAS Y BAJAS </w:t>
      </w:r>
      <w:r w:rsidR="00BA4A38" w:rsidRPr="00BA4A38">
        <w:rPr>
          <w:rFonts w:ascii="Palatino Linotype" w:hAnsi="Palatino Linotype" w:cs="Arial"/>
          <w:i/>
        </w:rPr>
        <w:lastRenderedPageBreak/>
        <w:t>ESTAN INCOMPLETOS ALGNOS SÓLO MARCAN BAJA Y NO SU ALTA Y VICEVERSA.</w:t>
      </w:r>
      <w:r w:rsidRPr="004469D5">
        <w:rPr>
          <w:rFonts w:ascii="Palatino Linotype" w:hAnsi="Palatino Linotype" w:cs="Arial"/>
          <w:i/>
        </w:rPr>
        <w:t>”</w:t>
      </w:r>
      <w:r w:rsidR="00527856" w:rsidRPr="004469D5">
        <w:rPr>
          <w:rFonts w:ascii="Palatino Linotype" w:hAnsi="Palatino Linotype" w:cs="Arial"/>
          <w:i/>
        </w:rPr>
        <w:t xml:space="preserve"> [</w:t>
      </w:r>
      <w:r w:rsidRPr="004469D5">
        <w:rPr>
          <w:rFonts w:ascii="Palatino Linotype" w:hAnsi="Palatino Linotype" w:cs="Arial"/>
          <w:i/>
        </w:rPr>
        <w:t>sic]</w:t>
      </w:r>
    </w:p>
    <w:p w:rsidR="00BD22FF" w:rsidRPr="00BD22FF" w:rsidRDefault="00BD22FF" w:rsidP="00BD22FF">
      <w:pPr>
        <w:ind w:left="851" w:right="850"/>
        <w:jc w:val="both"/>
        <w:rPr>
          <w:rFonts w:ascii="Palatino Linotype" w:hAnsi="Palatino Linotype" w:cs="Arial"/>
          <w:i/>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Pr="008551ED">
        <w:rPr>
          <w:rFonts w:ascii="Palatino Linotype" w:hAnsi="Palatino Linotype" w:cs="Arial"/>
          <w:b/>
          <w:sz w:val="24"/>
          <w:szCs w:val="24"/>
        </w:rPr>
        <w:t xml:space="preserve">. </w:t>
      </w:r>
      <w:r w:rsidRPr="0087163A">
        <w:rPr>
          <w:rFonts w:ascii="Palatino Linotype" w:hAnsi="Palatino Linotype" w:cs="Arial"/>
          <w:b/>
          <w:sz w:val="28"/>
          <w:szCs w:val="28"/>
        </w:rPr>
        <w:t>Del turno del recurso de revisión.</w:t>
      </w:r>
    </w:p>
    <w:p w:rsidR="00954EEE" w:rsidRDefault="00954EEE" w:rsidP="00954EEE">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Presidenta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 aplicación supletoria de acuerdo a lo dispuesto por el numeral 127 de la Ley de Protección de Datos Personales en Posesión de Sujetos Obligados del Estado de México y Municipios, del cual recayó acuerdo de admisión en fecha </w:t>
      </w:r>
      <w:r w:rsidR="00560146">
        <w:rPr>
          <w:rFonts w:ascii="Palatino Linotype" w:hAnsi="Palatino Linotype" w:cs="Arial"/>
          <w:sz w:val="24"/>
          <w:szCs w:val="24"/>
        </w:rPr>
        <w:t>uno de octubre</w:t>
      </w:r>
      <w:r>
        <w:rPr>
          <w:rFonts w:ascii="Palatino Linotype" w:hAnsi="Palatino Linotype" w:cs="Arial"/>
          <w:sz w:val="24"/>
          <w:szCs w:val="24"/>
        </w:rPr>
        <w:t xml:space="preserve"> de la presente anualidad, determinándose en él, un plazo de siete días para que las partes manifestaran lo que a su derecho corresponda en términos del numeral ya citado.</w:t>
      </w:r>
    </w:p>
    <w:p w:rsidR="00074A99" w:rsidRDefault="00074A99" w:rsidP="00E15E85">
      <w:pPr>
        <w:spacing w:before="240" w:line="360" w:lineRule="auto"/>
        <w:jc w:val="both"/>
        <w:rPr>
          <w:rFonts w:ascii="Palatino Linotype" w:hAnsi="Palatino Linotype" w:cs="Arial"/>
          <w:b/>
          <w:sz w:val="28"/>
        </w:rPr>
      </w:pPr>
    </w:p>
    <w:p w:rsidR="00E15E85" w:rsidRDefault="00E15E85" w:rsidP="00E15E85">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rsidR="00560146" w:rsidRDefault="00954EEE" w:rsidP="00954EEE">
      <w:pPr>
        <w:spacing w:before="240" w:line="360" w:lineRule="auto"/>
        <w:jc w:val="both"/>
        <w:rPr>
          <w:rFonts w:ascii="Palatino Linotype" w:hAnsi="Palatino Linotype" w:cs="Arial"/>
          <w:sz w:val="24"/>
          <w:szCs w:val="24"/>
        </w:rPr>
      </w:pPr>
      <w:r w:rsidRPr="00A4009B">
        <w:rPr>
          <w:rFonts w:ascii="Palatino Linotype" w:hAnsi="Palatino Linotype" w:cs="Arial"/>
          <w:sz w:val="24"/>
          <w:szCs w:val="24"/>
        </w:rPr>
        <w:t xml:space="preserve">Así, </w:t>
      </w:r>
      <w:r>
        <w:rPr>
          <w:rFonts w:ascii="Palatino Linotype" w:hAnsi="Palatino Linotype" w:cs="Arial"/>
          <w:sz w:val="24"/>
          <w:szCs w:val="24"/>
        </w:rPr>
        <w:t>una vez abierta la etapa de instrucción</w:t>
      </w:r>
      <w:r w:rsidRPr="003E076B">
        <w:rPr>
          <w:rFonts w:ascii="Palatino Linotype" w:hAnsi="Palatino Linotype" w:cs="Arial"/>
          <w:sz w:val="24"/>
          <w:szCs w:val="24"/>
        </w:rPr>
        <w:t>,</w:t>
      </w:r>
      <w:r>
        <w:rPr>
          <w:rFonts w:ascii="Palatino Linotype" w:hAnsi="Palatino Linotype" w:cs="Arial"/>
          <w:sz w:val="24"/>
          <w:szCs w:val="24"/>
        </w:rPr>
        <w:t xml:space="preserve"> en el sumario </w:t>
      </w:r>
      <w:r w:rsidR="00560146">
        <w:rPr>
          <w:rFonts w:ascii="Palatino Linotype" w:hAnsi="Palatino Linotype" w:cs="Arial"/>
          <w:sz w:val="24"/>
          <w:szCs w:val="24"/>
        </w:rPr>
        <w:t>se observa que el sujeto obligado en fecha cinco de octubre de los corrientes presento su informe justificado.</w:t>
      </w:r>
    </w:p>
    <w:p w:rsidR="00954EEE" w:rsidRDefault="00560146" w:rsidP="00954EEE">
      <w:pPr>
        <w:spacing w:before="240" w:line="360" w:lineRule="auto"/>
        <w:jc w:val="both"/>
        <w:rPr>
          <w:rFonts w:ascii="Palatino Linotype" w:hAnsi="Palatino Linotype" w:cs="Arial"/>
          <w:sz w:val="24"/>
          <w:szCs w:val="24"/>
        </w:rPr>
      </w:pPr>
      <w:r>
        <w:rPr>
          <w:rFonts w:ascii="Palatino Linotype" w:hAnsi="Palatino Linotype" w:cs="Arial"/>
          <w:sz w:val="24"/>
          <w:szCs w:val="24"/>
        </w:rPr>
        <w:t>Asimismo, no hubo manifestación alguna por parte del recurrente</w:t>
      </w:r>
      <w:r w:rsidR="00954EEE">
        <w:rPr>
          <w:rFonts w:ascii="Palatino Linotype" w:hAnsi="Palatino Linotype" w:cs="Arial"/>
          <w:sz w:val="24"/>
          <w:szCs w:val="24"/>
        </w:rPr>
        <w:t>,</w:t>
      </w:r>
      <w:r>
        <w:rPr>
          <w:rFonts w:ascii="Palatino Linotype" w:hAnsi="Palatino Linotype" w:cs="Arial"/>
          <w:sz w:val="24"/>
          <w:szCs w:val="24"/>
        </w:rPr>
        <w:t xml:space="preserve"> por lo que una vez trascurrido el termino para que las partes manifestaran lo que a su derecho conviniera</w:t>
      </w:r>
      <w:r w:rsidR="0025307F">
        <w:rPr>
          <w:rFonts w:ascii="Palatino Linotype" w:hAnsi="Palatino Linotype" w:cs="Arial"/>
          <w:sz w:val="24"/>
          <w:szCs w:val="24"/>
        </w:rPr>
        <w:t>, en fecha quince de octubre de dos mil dieciocho se decretó el cierre de instrucción</w:t>
      </w:r>
      <w:r w:rsidR="00954EEE" w:rsidRPr="005D4845">
        <w:rPr>
          <w:rFonts w:ascii="Palatino Linotype" w:hAnsi="Palatino Linotype" w:cs="Arial"/>
          <w:sz w:val="24"/>
          <w:szCs w:val="24"/>
        </w:rPr>
        <w:t>,</w:t>
      </w:r>
      <w:r w:rsidR="00954EEE">
        <w:rPr>
          <w:rFonts w:ascii="Palatino Linotype" w:hAnsi="Palatino Linotype" w:cs="Arial"/>
          <w:sz w:val="24"/>
          <w:szCs w:val="24"/>
        </w:rPr>
        <w:t xml:space="preserve"> </w:t>
      </w:r>
      <w:r w:rsidR="00954EEE" w:rsidRPr="00441A94">
        <w:rPr>
          <w:rFonts w:ascii="Palatino Linotype" w:hAnsi="Palatino Linotype" w:cs="Arial"/>
          <w:sz w:val="24"/>
          <w:szCs w:val="24"/>
        </w:rPr>
        <w:t>en</w:t>
      </w:r>
      <w:r w:rsidR="00954EEE" w:rsidRPr="003E076B">
        <w:rPr>
          <w:rFonts w:ascii="Palatino Linotype" w:hAnsi="Palatino Linotype" w:cs="Arial"/>
          <w:sz w:val="24"/>
          <w:szCs w:val="24"/>
        </w:rPr>
        <w:t xml:space="preserve"> términos del artículo 185 </w:t>
      </w:r>
      <w:r w:rsidR="00954EEE">
        <w:rPr>
          <w:rFonts w:ascii="Palatino Linotype" w:hAnsi="Palatino Linotype" w:cs="Arial"/>
          <w:sz w:val="24"/>
          <w:szCs w:val="24"/>
        </w:rPr>
        <w:t>f</w:t>
      </w:r>
      <w:r w:rsidR="00954EEE" w:rsidRPr="003E076B">
        <w:rPr>
          <w:rFonts w:ascii="Palatino Linotype" w:hAnsi="Palatino Linotype" w:cs="Arial"/>
          <w:sz w:val="24"/>
          <w:szCs w:val="24"/>
        </w:rPr>
        <w:t xml:space="preserve">racción VI de la Ley de Transparencia y Acceso a la </w:t>
      </w:r>
      <w:r w:rsidR="00954EEE" w:rsidRPr="003E076B">
        <w:rPr>
          <w:rFonts w:ascii="Palatino Linotype" w:hAnsi="Palatino Linotype" w:cs="Arial"/>
          <w:sz w:val="24"/>
          <w:szCs w:val="24"/>
        </w:rPr>
        <w:lastRenderedPageBreak/>
        <w:t>Información Pública del Estado de México y Municipios</w:t>
      </w:r>
      <w:r w:rsidR="00954EEE">
        <w:rPr>
          <w:rFonts w:ascii="Palatino Linotype" w:hAnsi="Palatino Linotype" w:cs="Arial"/>
          <w:sz w:val="24"/>
          <w:szCs w:val="24"/>
        </w:rPr>
        <w:t>, de aplicación supletoria de acuerdo a lo dispuesto por el numeral 127 de la Ley de Protección de Datos Personales en Posesión de Sujetos Obligados del Estado de México y Municipios.</w:t>
      </w:r>
    </w:p>
    <w:p w:rsidR="00E15E85" w:rsidRDefault="00E15E85" w:rsidP="00E15E85">
      <w:pPr>
        <w:spacing w:before="240" w:line="360" w:lineRule="auto"/>
        <w:jc w:val="center"/>
        <w:rPr>
          <w:rFonts w:ascii="Palatino Linotype" w:hAnsi="Palatino Linotype" w:cs="Arial"/>
          <w:b/>
          <w:sz w:val="24"/>
        </w:rPr>
      </w:pPr>
      <w:r w:rsidRPr="00A60134">
        <w:rPr>
          <w:rFonts w:ascii="Palatino Linotype" w:hAnsi="Palatino Linotype" w:cs="Arial"/>
          <w:b/>
          <w:sz w:val="24"/>
        </w:rPr>
        <w:t>C O N S I D E R A N D O</w:t>
      </w:r>
      <w:r w:rsidRPr="00311A15">
        <w:rPr>
          <w:rFonts w:ascii="Palatino Linotype" w:hAnsi="Palatino Linotype" w:cs="Arial"/>
          <w:b/>
          <w:sz w:val="24"/>
        </w:rPr>
        <w:t xml:space="preserve"> </w:t>
      </w:r>
    </w:p>
    <w:p w:rsidR="00E15E85" w:rsidRPr="00911081" w:rsidRDefault="00E15E85" w:rsidP="00E15E85">
      <w:pPr>
        <w:spacing w:before="240" w:line="360" w:lineRule="auto"/>
        <w:jc w:val="both"/>
        <w:rPr>
          <w:rFonts w:ascii="Palatino Linotype" w:hAnsi="Palatino Linotype" w:cs="Arial"/>
          <w:sz w:val="24"/>
        </w:rPr>
      </w:pPr>
      <w:r w:rsidRPr="00911081">
        <w:rPr>
          <w:rFonts w:ascii="Palatino Linotype" w:hAnsi="Palatino Linotype" w:cs="Arial"/>
          <w:b/>
          <w:sz w:val="28"/>
        </w:rPr>
        <w:t>PRIMERO.</w:t>
      </w:r>
      <w:r w:rsidRPr="00911081">
        <w:rPr>
          <w:rFonts w:ascii="Palatino Linotype" w:hAnsi="Palatino Linotype" w:cs="Arial"/>
          <w:b/>
        </w:rPr>
        <w:t xml:space="preserve"> </w:t>
      </w:r>
      <w:r w:rsidRPr="00911081">
        <w:rPr>
          <w:rFonts w:ascii="Palatino Linotype" w:hAnsi="Palatino Linotype" w:cs="Arial"/>
          <w:b/>
          <w:sz w:val="28"/>
          <w:szCs w:val="28"/>
        </w:rPr>
        <w:t>De la competencia</w:t>
      </w:r>
      <w:r w:rsidRPr="00911081">
        <w:rPr>
          <w:rFonts w:ascii="Palatino Linotype" w:hAnsi="Palatino Linotype" w:cs="Arial"/>
          <w:sz w:val="28"/>
          <w:szCs w:val="28"/>
        </w:rPr>
        <w:t>.</w:t>
      </w:r>
    </w:p>
    <w:p w:rsidR="00954EEE" w:rsidRDefault="00954EEE" w:rsidP="00954EEE">
      <w:pPr>
        <w:spacing w:before="240" w:line="360" w:lineRule="auto"/>
        <w:jc w:val="both"/>
        <w:rPr>
          <w:rFonts w:ascii="Palatino Linotype" w:hAnsi="Palatino Linotype" w:cs="Arial"/>
          <w:sz w:val="24"/>
        </w:rPr>
      </w:pPr>
      <w:r w:rsidRPr="00911081">
        <w:rPr>
          <w:rFonts w:ascii="Palatino Linotype" w:hAnsi="Palatino Linotype" w:cs="Arial"/>
          <w:sz w:val="24"/>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rPr>
        <w:t>La Recurrente</w:t>
      </w:r>
      <w:r w:rsidRPr="00911081">
        <w:rPr>
          <w:rFonts w:ascii="Palatino Linotype" w:hAnsi="Palatino Linotype" w:cs="Arial"/>
          <w:b/>
          <w:sz w:val="24"/>
          <w:szCs w:val="24"/>
        </w:rPr>
        <w:t xml:space="preserve"> </w:t>
      </w:r>
      <w:r w:rsidRPr="00911081">
        <w:rPr>
          <w:rFonts w:ascii="Palatino Linotype" w:hAnsi="Palatino Linotype" w:cs="Arial"/>
          <w:sz w:val="24"/>
        </w:rPr>
        <w:t>conforme a lo dispuesto en los</w:t>
      </w:r>
      <w:r w:rsidRPr="00025A37">
        <w:rPr>
          <w:rFonts w:ascii="Palatino Linotype" w:hAnsi="Palatino Linotype" w:cs="Arial"/>
          <w:sz w:val="24"/>
        </w:rPr>
        <w:t xml:space="preserve"> artículos 6, apartado A, fracción IV</w:t>
      </w:r>
      <w:r>
        <w:rPr>
          <w:rFonts w:ascii="Palatino Linotype" w:hAnsi="Palatino Linotype" w:cs="Arial"/>
          <w:sz w:val="24"/>
        </w:rPr>
        <w:t>, 16 párrafo segundo</w:t>
      </w:r>
      <w:r w:rsidRPr="00025A37">
        <w:rPr>
          <w:rFonts w:ascii="Palatino Linotype" w:hAnsi="Palatino Linotype" w:cs="Arial"/>
          <w:sz w:val="24"/>
        </w:rPr>
        <w:t xml:space="preserve"> de la Constitución Política </w:t>
      </w:r>
      <w:r>
        <w:rPr>
          <w:rFonts w:ascii="Palatino Linotype" w:hAnsi="Palatino Linotype" w:cs="Arial"/>
          <w:sz w:val="24"/>
        </w:rPr>
        <w:t>de los Estados Unidos Mexicanos;</w:t>
      </w:r>
      <w:r w:rsidRPr="00025A37">
        <w:rPr>
          <w:rFonts w:ascii="Palatino Linotype" w:hAnsi="Palatino Linotype" w:cs="Arial"/>
          <w:sz w:val="24"/>
        </w:rPr>
        <w:t xml:space="preserve"> 5, párrafos </w:t>
      </w:r>
      <w:r>
        <w:rPr>
          <w:rFonts w:ascii="Palatino Linotype" w:hAnsi="Palatino Linotype" w:cs="Arial"/>
          <w:sz w:val="24"/>
        </w:rPr>
        <w:t>vigésimo, vigésimo primero y vigésimo segundo</w:t>
      </w:r>
      <w:r w:rsidRPr="00025A37">
        <w:rPr>
          <w:rFonts w:ascii="Palatino Linotype" w:hAnsi="Palatino Linotype" w:cs="Arial"/>
          <w:sz w:val="24"/>
        </w:rPr>
        <w:t xml:space="preserve"> fracción IV</w:t>
      </w:r>
      <w:r>
        <w:rPr>
          <w:rFonts w:ascii="Palatino Linotype" w:hAnsi="Palatino Linotype" w:cs="Arial"/>
          <w:sz w:val="24"/>
        </w:rPr>
        <w:t>, y VIII párrafo cuarto</w:t>
      </w:r>
      <w:r w:rsidRPr="00025A37">
        <w:rPr>
          <w:rFonts w:ascii="Palatino Linotype" w:hAnsi="Palatino Linotype" w:cs="Arial"/>
          <w:sz w:val="24"/>
        </w:rPr>
        <w:t xml:space="preserve"> de la Constitución Política del Estado Libre y Soberano </w:t>
      </w:r>
      <w:r>
        <w:rPr>
          <w:rFonts w:ascii="Palatino Linotype" w:hAnsi="Palatino Linotype" w:cs="Arial"/>
          <w:sz w:val="24"/>
        </w:rPr>
        <w:t>de México;</w:t>
      </w:r>
      <w:r w:rsidRPr="00025A37">
        <w:rPr>
          <w:rFonts w:ascii="Palatino Linotype" w:hAnsi="Palatino Linotype" w:cs="Arial"/>
          <w:sz w:val="24"/>
        </w:rPr>
        <w:t xml:space="preserve"> </w:t>
      </w:r>
      <w:r>
        <w:rPr>
          <w:rFonts w:ascii="Palatino Linotype" w:hAnsi="Palatino Linotype" w:cs="Arial"/>
          <w:sz w:val="24"/>
        </w:rPr>
        <w:t>119, 125, 127, 129, 133 y demás aplicables de la Ley de Protección de Datos Personales en Posesión de Sujetos Obligados del Estado de México y Municipios</w:t>
      </w:r>
      <w:r w:rsidRPr="00025A37">
        <w:rPr>
          <w:rFonts w:ascii="Palatino Linotype" w:hAnsi="Palatino Linotype" w:cs="Arial"/>
          <w:sz w:val="24"/>
        </w:rPr>
        <w:t xml:space="preserve">, </w:t>
      </w:r>
      <w:r>
        <w:rPr>
          <w:rFonts w:ascii="Palatino Linotype" w:hAnsi="Palatino Linotype" w:cs="Arial"/>
          <w:sz w:val="24"/>
        </w:rPr>
        <w:t xml:space="preserve">9 fracciones I, XXIV, </w:t>
      </w:r>
      <w:r w:rsidRPr="00FC4616">
        <w:rPr>
          <w:rFonts w:ascii="Palatino Linotype" w:hAnsi="Palatino Linotype" w:cs="Arial"/>
          <w:sz w:val="24"/>
        </w:rPr>
        <w:t>11</w:t>
      </w:r>
      <w:r w:rsidRPr="00025A37">
        <w:rPr>
          <w:rFonts w:ascii="Palatino Linotype" w:hAnsi="Palatino Linotype" w:cs="Arial"/>
          <w:sz w:val="24"/>
        </w:rPr>
        <w:t xml:space="preserve"> </w:t>
      </w:r>
      <w:r>
        <w:rPr>
          <w:rFonts w:ascii="Palatino Linotype" w:hAnsi="Palatino Linotype" w:cs="Arial"/>
          <w:sz w:val="24"/>
        </w:rPr>
        <w:t xml:space="preserve">y 14 fracción I </w:t>
      </w:r>
      <w:r w:rsidRPr="00025A37">
        <w:rPr>
          <w:rFonts w:ascii="Palatino Linotype" w:hAnsi="Palatino Linotype" w:cs="Arial"/>
          <w:sz w:val="24"/>
        </w:rPr>
        <w:t xml:space="preserve">del Reglamento Interior del </w:t>
      </w:r>
      <w:r>
        <w:rPr>
          <w:rFonts w:ascii="Palatino Linotype" w:hAnsi="Palatino Linotype" w:cs="Arial"/>
          <w:sz w:val="24"/>
        </w:rPr>
        <w:t>Instituto de Transparencia, Acceso a la Información Pública y Protección de Datos Personales del Estado de México</w:t>
      </w:r>
      <w:r w:rsidRPr="00025A37">
        <w:rPr>
          <w:rFonts w:ascii="Palatino Linotype" w:hAnsi="Palatino Linotype" w:cs="Arial"/>
          <w:sz w:val="24"/>
        </w:rPr>
        <w:t>.</w:t>
      </w:r>
    </w:p>
    <w:p w:rsidR="00954EEE" w:rsidRDefault="00954EEE" w:rsidP="00954EEE">
      <w:pPr>
        <w:spacing w:before="240" w:line="360" w:lineRule="auto"/>
        <w:jc w:val="both"/>
        <w:rPr>
          <w:rFonts w:ascii="Palatino Linotype" w:hAnsi="Palatino Linotype" w:cs="Arial"/>
          <w:sz w:val="24"/>
        </w:rPr>
      </w:pPr>
    </w:p>
    <w:p w:rsidR="00E15E85" w:rsidRDefault="00E15E85" w:rsidP="00E15E85">
      <w:pPr>
        <w:spacing w:before="240" w:line="360" w:lineRule="auto"/>
        <w:jc w:val="both"/>
        <w:rPr>
          <w:rFonts w:ascii="Palatino Linotype" w:hAnsi="Palatino Linotype" w:cs="Arial"/>
          <w:sz w:val="24"/>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rsidR="00954EEE" w:rsidRDefault="00954EEE" w:rsidP="00954EE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Derivado de la impugnación realizada, es menester señalar que el recurso de revisión inmerso en la Ley de Protección de Datos Personales en Posesión de Sujetos Obligados del Estado de México y Municipios </w:t>
      </w:r>
      <w:r w:rsidRPr="00B10F60">
        <w:rPr>
          <w:rFonts w:ascii="Palatino Linotype" w:hAnsi="Palatino Linotype" w:cs="Arial"/>
        </w:rPr>
        <w:t xml:space="preserve">tiene el fin y alcance que señalan los numerales </w:t>
      </w:r>
      <w:r>
        <w:rPr>
          <w:rFonts w:ascii="Palatino Linotype" w:hAnsi="Palatino Linotype" w:cs="Arial"/>
        </w:rPr>
        <w:t xml:space="preserve">137 de éste ordenamiento, así como los diversos </w:t>
      </w:r>
      <w:r w:rsidRPr="00B10F60">
        <w:rPr>
          <w:rFonts w:ascii="Palatino Linotype" w:hAnsi="Palatino Linotype" w:cs="Arial"/>
        </w:rPr>
        <w:t>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w:t>
      </w:r>
      <w:r>
        <w:rPr>
          <w:rFonts w:ascii="Palatino Linotype" w:hAnsi="Palatino Linotype" w:cs="Arial"/>
        </w:rPr>
        <w:t xml:space="preserve"> de acceso, rectificación, cancelación y oposición de datos personales.</w:t>
      </w: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rPr>
      </w:pPr>
    </w:p>
    <w:p w:rsidR="00E15E85" w:rsidRDefault="00E15E85" w:rsidP="00E15E85">
      <w:pPr>
        <w:pStyle w:val="Prrafodelista"/>
        <w:autoSpaceDE w:val="0"/>
        <w:autoSpaceDN w:val="0"/>
        <w:adjustRightInd w:val="0"/>
        <w:spacing w:before="240" w:after="160" w:line="360" w:lineRule="auto"/>
        <w:ind w:left="0"/>
        <w:jc w:val="both"/>
        <w:rPr>
          <w:rFonts w:ascii="Palatino Linotype" w:hAnsi="Palatino Linotype" w:cs="Arial"/>
          <w:b/>
        </w:rPr>
      </w:pPr>
      <w:r>
        <w:rPr>
          <w:rFonts w:ascii="Palatino Linotype" w:hAnsi="Palatino Linotype" w:cs="Arial"/>
          <w:b/>
          <w:sz w:val="28"/>
        </w:rPr>
        <w:t>TERCERO</w:t>
      </w:r>
      <w:r w:rsidRPr="00D24A52">
        <w:rPr>
          <w:rFonts w:ascii="Palatino Linotype" w:hAnsi="Palatino Linotype" w:cs="Arial"/>
          <w:b/>
        </w:rPr>
        <w:t xml:space="preserve">. </w:t>
      </w:r>
      <w:r w:rsidR="006C7F73">
        <w:rPr>
          <w:rFonts w:ascii="Palatino Linotype" w:hAnsi="Palatino Linotype" w:cs="Arial"/>
          <w:b/>
          <w:sz w:val="28"/>
          <w:szCs w:val="28"/>
        </w:rPr>
        <w:t>Del estudio de las causas de improcedencia y sobreseimiento</w:t>
      </w:r>
      <w:r w:rsidRPr="0087163A">
        <w:rPr>
          <w:rFonts w:ascii="Palatino Linotype" w:hAnsi="Palatino Linotype" w:cs="Arial"/>
          <w:b/>
          <w:sz w:val="28"/>
          <w:szCs w:val="28"/>
        </w:rPr>
        <w:t>.</w:t>
      </w:r>
    </w:p>
    <w:p w:rsidR="00954EEE" w:rsidRDefault="00954EEE" w:rsidP="00954EEE">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En el procedimiento de acceso a la información y de los medios de impugnación de la materia, se advierten diversos supuestos de procedibilidad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rsidR="00954EEE" w:rsidRDefault="00954EEE" w:rsidP="00954EEE">
      <w:pPr>
        <w:pStyle w:val="Prrafodelista"/>
        <w:autoSpaceDE w:val="0"/>
        <w:autoSpaceDN w:val="0"/>
        <w:adjustRightInd w:val="0"/>
        <w:spacing w:before="240" w:after="160" w:line="360" w:lineRule="auto"/>
        <w:ind w:left="0"/>
        <w:jc w:val="both"/>
        <w:rPr>
          <w:rFonts w:ascii="Palatino Linotype" w:hAnsi="Palatino Linotype" w:cs="Arial"/>
        </w:rPr>
      </w:pPr>
    </w:p>
    <w:p w:rsidR="00954EEE" w:rsidRDefault="00954EEE" w:rsidP="00954EEE">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Siendo una facultad legal entrar al estudio de las causas de improcedencia que hagan valer las partes o que se adviertan de oficio por este Resolutor y por ende objeto de </w:t>
      </w:r>
      <w:r>
        <w:rPr>
          <w:rFonts w:ascii="Palatino Linotype" w:hAnsi="Palatino Linotype" w:cs="Arial"/>
        </w:rPr>
        <w:lastRenderedPageBreak/>
        <w:t>análisis previo al estudio de fondo del asunto; presupuestos procesales de inicio o trámite de un proceso, dotando de seguridad jurídica las resoluciones, máxime que se trata de una figura procesal adoptada en la ley de la materia, la cual permite dilucidar alguna causal que impida el estudio y resolución, cuando una vez admitido el recurso de revisión se advierta una causa de improcedencia que permita sobreseerlo, sin estudiar el fondo del asunto.</w:t>
      </w:r>
    </w:p>
    <w:p w:rsidR="00E15E85" w:rsidRDefault="00E15E85" w:rsidP="00E15E85">
      <w:pPr>
        <w:pStyle w:val="Prrafodelista"/>
        <w:autoSpaceDE w:val="0"/>
        <w:autoSpaceDN w:val="0"/>
        <w:adjustRightInd w:val="0"/>
        <w:spacing w:line="360" w:lineRule="auto"/>
        <w:ind w:left="0"/>
        <w:jc w:val="both"/>
        <w:rPr>
          <w:rFonts w:ascii="Palatino Linotype" w:hAnsi="Palatino Linotype" w:cs="Arial"/>
        </w:rPr>
      </w:pPr>
    </w:p>
    <w:p w:rsidR="00E15E85" w:rsidRDefault="00E15E85" w:rsidP="007A1E3A">
      <w:pPr>
        <w:pStyle w:val="Prrafodelista"/>
        <w:autoSpaceDE w:val="0"/>
        <w:autoSpaceDN w:val="0"/>
        <w:adjustRightInd w:val="0"/>
        <w:spacing w:before="240" w:after="240" w:line="360" w:lineRule="auto"/>
        <w:ind w:left="0"/>
        <w:jc w:val="both"/>
        <w:rPr>
          <w:rFonts w:ascii="Palatino Linotype" w:hAnsi="Palatino Linotype" w:cs="Arial"/>
        </w:rPr>
      </w:pPr>
      <w:r>
        <w:rPr>
          <w:rFonts w:ascii="Palatino Linotype" w:hAnsi="Palatino Linotype" w:cs="Arial"/>
        </w:rPr>
        <w:t>Estudio oficioso o a petición de parte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rsidR="00D42421" w:rsidRDefault="007A1E3A" w:rsidP="007A1E3A">
      <w:pPr>
        <w:tabs>
          <w:tab w:val="left" w:pos="709"/>
        </w:tabs>
        <w:spacing w:before="240" w:after="240" w:line="360" w:lineRule="auto"/>
        <w:jc w:val="both"/>
        <w:rPr>
          <w:rFonts w:ascii="Palatino Linotype" w:hAnsi="Palatino Linotype" w:cs="Arial"/>
          <w:sz w:val="24"/>
          <w:szCs w:val="24"/>
        </w:rPr>
      </w:pPr>
      <w:r>
        <w:rPr>
          <w:rFonts w:ascii="Palatino Linotype" w:hAnsi="Palatino Linotype" w:cs="Arial"/>
          <w:sz w:val="24"/>
          <w:szCs w:val="24"/>
        </w:rPr>
        <w:t>En primer término, e</w:t>
      </w:r>
      <w:r w:rsidR="00E15E85">
        <w:rPr>
          <w:rFonts w:ascii="Palatino Linotype" w:hAnsi="Palatino Linotype" w:cs="Arial"/>
          <w:sz w:val="24"/>
          <w:szCs w:val="24"/>
        </w:rPr>
        <w:t xml:space="preserve">s menester establecer la materia de revisión en el presente asunto, ya que del análisis al medio de impugnación, se aprecia que </w:t>
      </w:r>
      <w:r w:rsidR="00D42421">
        <w:rPr>
          <w:rFonts w:ascii="Palatino Linotype" w:hAnsi="Palatino Linotype" w:cs="Arial"/>
          <w:sz w:val="24"/>
          <w:szCs w:val="24"/>
        </w:rPr>
        <w:t xml:space="preserve">la recurrente señala como </w:t>
      </w:r>
      <w:r w:rsidR="00D42421">
        <w:rPr>
          <w:rFonts w:ascii="Palatino Linotype" w:hAnsi="Palatino Linotype" w:cs="Arial"/>
          <w:sz w:val="24"/>
          <w:szCs w:val="24"/>
        </w:rPr>
        <w:lastRenderedPageBreak/>
        <w:t>acto impugnado “</w:t>
      </w:r>
      <w:r w:rsidR="00852474" w:rsidRPr="00BA4A38">
        <w:rPr>
          <w:rFonts w:ascii="Palatino Linotype" w:hAnsi="Palatino Linotype"/>
          <w:i/>
          <w:color w:val="000000"/>
        </w:rPr>
        <w:t>INFORMACION INCOMPLETA E INADECUADA DEL FOLIO 00376/ISSEÑYM/AD/2018</w:t>
      </w:r>
      <w:r w:rsidR="00D42421" w:rsidRPr="00D42421">
        <w:rPr>
          <w:rFonts w:ascii="Palatino Linotype" w:hAnsi="Palatino Linotype" w:cs="Arial"/>
          <w:sz w:val="24"/>
          <w:szCs w:val="24"/>
        </w:rPr>
        <w:t>.</w:t>
      </w:r>
      <w:r w:rsidR="00D42421">
        <w:rPr>
          <w:rFonts w:ascii="Palatino Linotype" w:hAnsi="Palatino Linotype" w:cs="Arial"/>
          <w:sz w:val="24"/>
          <w:szCs w:val="24"/>
        </w:rPr>
        <w:t>”[Sic].</w:t>
      </w:r>
    </w:p>
    <w:p w:rsidR="00D12150" w:rsidRDefault="00896B26" w:rsidP="00852474">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Así</w:t>
      </w:r>
      <w:r w:rsidR="00D42421">
        <w:rPr>
          <w:rFonts w:ascii="Palatino Linotype" w:hAnsi="Palatino Linotype" w:cs="Arial"/>
          <w:sz w:val="24"/>
          <w:szCs w:val="24"/>
        </w:rPr>
        <w:t xml:space="preserve"> pues, de las constancias que obran en el expediente SARCOEM </w:t>
      </w:r>
      <w:r>
        <w:rPr>
          <w:rFonts w:ascii="Palatino Linotype" w:hAnsi="Palatino Linotype" w:cs="Arial"/>
          <w:sz w:val="24"/>
          <w:szCs w:val="24"/>
        </w:rPr>
        <w:t xml:space="preserve">se denota que en la respuesta </w:t>
      </w:r>
      <w:r w:rsidR="00852474">
        <w:rPr>
          <w:rFonts w:ascii="Palatino Linotype" w:hAnsi="Palatino Linotype" w:cs="Arial"/>
          <w:sz w:val="24"/>
          <w:szCs w:val="24"/>
        </w:rPr>
        <w:t xml:space="preserve">emitida por el Sujeto Obligado, </w:t>
      </w:r>
      <w:r w:rsidR="00E25ACF">
        <w:rPr>
          <w:rFonts w:ascii="Palatino Linotype" w:hAnsi="Palatino Linotype" w:cs="Arial"/>
          <w:sz w:val="24"/>
          <w:szCs w:val="24"/>
        </w:rPr>
        <w:t>aludió que la información solicitada por el particular corresponde a un trámite personal mediante el cual se obtiene un dictamen que contempla los periodos cotizados ante dicho Instituto de Seguridad Social del Estado de México  y Municipios</w:t>
      </w:r>
      <w:r w:rsidR="00BD2894">
        <w:rPr>
          <w:rFonts w:ascii="Palatino Linotype" w:hAnsi="Palatino Linotype" w:cs="Arial"/>
          <w:sz w:val="24"/>
          <w:szCs w:val="24"/>
        </w:rPr>
        <w:t>, añadiendo así una liga electrónica en la cual se puede consultar la dirección y los horarios de atención de la Unidad de Atención al Derechohabiente.</w:t>
      </w:r>
    </w:p>
    <w:p w:rsidR="00BD2894" w:rsidRDefault="00BD2894" w:rsidP="00852474">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Asimismo, se refiere que si bien el particular desee o no tramitar una pensión, dicho trámite se deberá de realizar ante la Unidad de Atención al Derechohabiente en la cual se realizara un cálculo de las cotizaciones y deberá presentar los documentos siguientes:</w:t>
      </w:r>
    </w:p>
    <w:p w:rsidR="00852474" w:rsidRDefault="00BD2894" w:rsidP="00852474">
      <w:pPr>
        <w:tabs>
          <w:tab w:val="left" w:pos="709"/>
        </w:tabs>
        <w:spacing w:line="360" w:lineRule="auto"/>
        <w:jc w:val="both"/>
        <w:rPr>
          <w:rFonts w:ascii="Palatino Linotype" w:hAnsi="Palatino Linotype" w:cs="Arial"/>
          <w:sz w:val="24"/>
          <w:szCs w:val="24"/>
        </w:rPr>
      </w:pPr>
      <w:r w:rsidRPr="00BD2894">
        <w:rPr>
          <w:rFonts w:ascii="Palatino Linotype" w:hAnsi="Palatino Linotype" w:cs="Arial"/>
          <w:noProof/>
          <w:sz w:val="24"/>
          <w:szCs w:val="24"/>
          <w:lang w:eastAsia="es-MX"/>
        </w:rPr>
        <w:lastRenderedPageBreak/>
        <w:drawing>
          <wp:inline distT="0" distB="0" distL="0" distR="0">
            <wp:extent cx="5760720" cy="3173251"/>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173251"/>
                    </a:xfrm>
                    <a:prstGeom prst="rect">
                      <a:avLst/>
                    </a:prstGeom>
                    <a:noFill/>
                    <a:ln>
                      <a:noFill/>
                    </a:ln>
                  </pic:spPr>
                </pic:pic>
              </a:graphicData>
            </a:graphic>
          </wp:inline>
        </w:drawing>
      </w:r>
    </w:p>
    <w:p w:rsidR="00852474" w:rsidRDefault="00BD2894" w:rsidP="00852474">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 xml:space="preserve">De lo anterior se desprende la entrega de documentación adicional a la identificación </w:t>
      </w:r>
      <w:r w:rsidR="005B65E0">
        <w:rPr>
          <w:rFonts w:ascii="Palatino Linotype" w:hAnsi="Palatino Linotype" w:cs="Arial"/>
          <w:sz w:val="24"/>
          <w:szCs w:val="24"/>
        </w:rPr>
        <w:t>oficial y C</w:t>
      </w:r>
      <w:r>
        <w:rPr>
          <w:rFonts w:ascii="Palatino Linotype" w:hAnsi="Palatino Linotype" w:cs="Arial"/>
          <w:sz w:val="24"/>
          <w:szCs w:val="24"/>
        </w:rPr>
        <w:t xml:space="preserve">urp, </w:t>
      </w:r>
      <w:r w:rsidR="005B65E0">
        <w:rPr>
          <w:rFonts w:ascii="Palatino Linotype" w:hAnsi="Palatino Linotype" w:cs="Arial"/>
          <w:sz w:val="24"/>
          <w:szCs w:val="24"/>
        </w:rPr>
        <w:t>como lo es la solicitud de proyecto de pensión, copia certificada del acta de nacimiento, comprobantes de sueldo de los últimos 3 meses, certificación expedida por la Institución Pública, en la que se establezca el tiempo de servicio aportado con base al sueldo sujeto a cotización; dichos documentos deberán de ser presentados ante la Unidad de Atención con la finalidad de realizar el cálculo de las cotizaciones.</w:t>
      </w:r>
    </w:p>
    <w:p w:rsidR="00852474" w:rsidRDefault="007C1DE6" w:rsidP="00852474">
      <w:pPr>
        <w:tabs>
          <w:tab w:val="left" w:pos="709"/>
        </w:tabs>
        <w:spacing w:line="360" w:lineRule="auto"/>
        <w:jc w:val="both"/>
        <w:rPr>
          <w:rFonts w:ascii="Palatino Linotype" w:hAnsi="Palatino Linotype" w:cs="Arial"/>
          <w:sz w:val="24"/>
          <w:szCs w:val="24"/>
        </w:rPr>
      </w:pPr>
      <w:r>
        <w:rPr>
          <w:rFonts w:ascii="Palatino Linotype" w:hAnsi="Palatino Linotype" w:cs="Arial"/>
          <w:sz w:val="24"/>
          <w:szCs w:val="24"/>
        </w:rPr>
        <w:t>Asimismo, el Reglamento de Prestaciones del instituto de Seguridad Social del Estado de México y Municipios publicado en el Periódico Oficial “Gaceta del Gobierno” el 3 de julio del 2009, establece en sus numerales 66, 67, 68 y 82 el tramite denominado Proyecto de Pensión, en el cual el interesado podrá conocer sus periodos cotizados y que a la letra rezan:</w:t>
      </w:r>
    </w:p>
    <w:p w:rsidR="007C1DE6" w:rsidRPr="007C1DE6" w:rsidRDefault="007C1DE6" w:rsidP="007C1DE6">
      <w:pPr>
        <w:tabs>
          <w:tab w:val="left" w:pos="709"/>
        </w:tabs>
        <w:spacing w:before="240" w:line="360" w:lineRule="auto"/>
        <w:ind w:left="708"/>
        <w:jc w:val="both"/>
        <w:rPr>
          <w:rFonts w:ascii="Palatino Linotype" w:hAnsi="Palatino Linotype"/>
          <w:i/>
        </w:rPr>
      </w:pPr>
      <w:r w:rsidRPr="007C1DE6">
        <w:rPr>
          <w:rFonts w:ascii="Palatino Linotype" w:hAnsi="Palatino Linotype"/>
          <w:i/>
        </w:rPr>
        <w:lastRenderedPageBreak/>
        <w:t xml:space="preserve">Artículo 66. El servidor público que tenga derecho a una pensión tendrá la opción de solicitar en la unidad administrativa que determine el Instituto un proyecto de la misma, que deberá tramitarse conforme al formato establecido para tal efecto, debiendo acompañar la documentación indicada en este Reglamento, de acuerdo a la modalidad de pensión que conforme a la Ley le corresponda, exceptuando de este beneficio a las personas que se ubican en el supuesto de pensión por inhabilitación. </w:t>
      </w:r>
    </w:p>
    <w:p w:rsidR="007C1DE6" w:rsidRPr="007C1DE6" w:rsidRDefault="007C1DE6" w:rsidP="007C1DE6">
      <w:pPr>
        <w:tabs>
          <w:tab w:val="left" w:pos="709"/>
        </w:tabs>
        <w:spacing w:before="240" w:line="360" w:lineRule="auto"/>
        <w:ind w:left="708"/>
        <w:jc w:val="both"/>
        <w:rPr>
          <w:rFonts w:ascii="Palatino Linotype" w:hAnsi="Palatino Linotype" w:cs="Arial"/>
          <w:i/>
        </w:rPr>
      </w:pPr>
      <w:r w:rsidRPr="007C1DE6">
        <w:rPr>
          <w:rFonts w:ascii="Palatino Linotype" w:hAnsi="Palatino Linotype"/>
          <w:i/>
        </w:rPr>
        <w:t>Artículo 67. El proyecto de pensión especificará un monto estimado de pensión del sistema solidario de reparto, por lo que sólo tendrá efectos informativos y no obligatorios para el Instituto.</w:t>
      </w:r>
    </w:p>
    <w:p w:rsidR="007C1DE6" w:rsidRPr="007C1DE6" w:rsidRDefault="007C1DE6" w:rsidP="007C1DE6">
      <w:pPr>
        <w:tabs>
          <w:tab w:val="left" w:pos="709"/>
        </w:tabs>
        <w:spacing w:before="240" w:line="360" w:lineRule="auto"/>
        <w:ind w:left="708"/>
        <w:jc w:val="both"/>
        <w:rPr>
          <w:rFonts w:ascii="Palatino Linotype" w:hAnsi="Palatino Linotype"/>
          <w:i/>
        </w:rPr>
      </w:pPr>
      <w:r w:rsidRPr="007C1DE6">
        <w:rPr>
          <w:rFonts w:ascii="Palatino Linotype" w:hAnsi="Palatino Linotype"/>
          <w:i/>
        </w:rPr>
        <w:t xml:space="preserve">Artículo 68. El trámite para el otorgamiento de las pensiones en sus diferentes modalidades, se iniciará a petición de parte, por escrito, mediante los formatos establecidos por el Instituto, debiendo cumplir además con los siguientes requisitos documentales: </w:t>
      </w:r>
    </w:p>
    <w:p w:rsidR="007C1DE6" w:rsidRPr="007C1DE6" w:rsidRDefault="007C1DE6" w:rsidP="007C1DE6">
      <w:pPr>
        <w:pStyle w:val="Prrafodelista"/>
        <w:numPr>
          <w:ilvl w:val="0"/>
          <w:numId w:val="7"/>
        </w:numPr>
        <w:tabs>
          <w:tab w:val="left" w:pos="709"/>
        </w:tabs>
        <w:spacing w:before="240" w:line="360" w:lineRule="auto"/>
        <w:ind w:left="1788"/>
        <w:jc w:val="both"/>
        <w:rPr>
          <w:rFonts w:ascii="Palatino Linotype" w:hAnsi="Palatino Linotype"/>
          <w:i/>
          <w:sz w:val="22"/>
          <w:szCs w:val="22"/>
        </w:rPr>
      </w:pPr>
      <w:r w:rsidRPr="007C1DE6">
        <w:rPr>
          <w:rFonts w:ascii="Palatino Linotype" w:hAnsi="Palatino Linotype"/>
          <w:i/>
          <w:sz w:val="22"/>
          <w:szCs w:val="22"/>
        </w:rPr>
        <w:t xml:space="preserve">Solicitud de pensión debidamente requisitada; </w:t>
      </w:r>
    </w:p>
    <w:p w:rsidR="007C1DE6" w:rsidRPr="007C1DE6" w:rsidRDefault="007C1DE6" w:rsidP="007C1DE6">
      <w:pPr>
        <w:pStyle w:val="Prrafodelista"/>
        <w:numPr>
          <w:ilvl w:val="0"/>
          <w:numId w:val="7"/>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 xml:space="preserve">Copia certificada del acta de nacimiento del servidor público; </w:t>
      </w:r>
    </w:p>
    <w:p w:rsidR="007C1DE6" w:rsidRPr="007C1DE6" w:rsidRDefault="007C1DE6" w:rsidP="007C1DE6">
      <w:pPr>
        <w:pStyle w:val="Prrafodelista"/>
        <w:numPr>
          <w:ilvl w:val="0"/>
          <w:numId w:val="7"/>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 xml:space="preserve">Comprobantes de sueldo de los últimos ocho meses laborados, en el caso de que el servidor público haya mantenido durante sus últimos tres años el mismo nivel y rango; o los comprobantes del sueldo de los últimos tres años, cuando durante dicho plazo haya cambiado su nivel y rango o cuando sus percepciones correspondan a horas clase. </w:t>
      </w:r>
    </w:p>
    <w:p w:rsidR="007C1DE6" w:rsidRPr="007C1DE6" w:rsidRDefault="007C1DE6" w:rsidP="007C1DE6">
      <w:pPr>
        <w:pStyle w:val="Prrafodelista"/>
        <w:tabs>
          <w:tab w:val="left" w:pos="709"/>
        </w:tabs>
        <w:spacing w:before="240" w:line="360" w:lineRule="auto"/>
        <w:ind w:left="1788"/>
        <w:jc w:val="both"/>
        <w:rPr>
          <w:rFonts w:ascii="Palatino Linotype" w:hAnsi="Palatino Linotype"/>
          <w:i/>
          <w:sz w:val="22"/>
          <w:szCs w:val="22"/>
        </w:rPr>
      </w:pPr>
      <w:r w:rsidRPr="007C1DE6">
        <w:rPr>
          <w:rFonts w:ascii="Palatino Linotype" w:hAnsi="Palatino Linotype"/>
          <w:i/>
          <w:sz w:val="22"/>
          <w:szCs w:val="22"/>
        </w:rPr>
        <w:t xml:space="preserve">En caso de no contar con los comprobantes de sueldo a que hace referencia el párrafo anterior, la Institución Pública podrá emitir una certificación con la información que tenga registrada en sus archivos, la cual deberá contener el sueldo sujeto a </w:t>
      </w:r>
      <w:r w:rsidRPr="007C1DE6">
        <w:rPr>
          <w:rFonts w:ascii="Palatino Linotype" w:hAnsi="Palatino Linotype"/>
          <w:i/>
          <w:sz w:val="22"/>
          <w:szCs w:val="22"/>
        </w:rPr>
        <w:lastRenderedPageBreak/>
        <w:t xml:space="preserve">cotización desglosado tanto de percepciones y deducciones percibido durante el periodo en que se ubique el servidor público. </w:t>
      </w:r>
    </w:p>
    <w:p w:rsidR="007C1DE6" w:rsidRPr="007C1DE6" w:rsidRDefault="007C1DE6" w:rsidP="007C1DE6">
      <w:pPr>
        <w:pStyle w:val="Prrafodelista"/>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 xml:space="preserve">Se considerará como último sueldo cotizado aquél que se encuentre en los registros presentados ante el Instituto. Sólo en caso de no haber sido enterados dichos registros, se considerarán los comprobantes de pago expedidos por la Institución Pública; y </w:t>
      </w:r>
    </w:p>
    <w:p w:rsidR="00852474" w:rsidRPr="007C1DE6" w:rsidRDefault="007C1DE6" w:rsidP="007C1DE6">
      <w:pPr>
        <w:pStyle w:val="Prrafodelista"/>
        <w:numPr>
          <w:ilvl w:val="0"/>
          <w:numId w:val="7"/>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Certificación expedida por la Institución Pública en la que se establezca el tiempo de servicio aportado con base al sueldo sujeto a cotización, el desglose del nivel y rango de los últimos tres años y los permisos sin goce de sueldo otorgados; con excepción de aquellas Instituciones Públicas que en las nóminas que presentan ante el Instituto contemplen estos registros.</w:t>
      </w:r>
    </w:p>
    <w:p w:rsidR="007C1DE6" w:rsidRPr="007C1DE6" w:rsidRDefault="007C1DE6" w:rsidP="007C1DE6">
      <w:pPr>
        <w:tabs>
          <w:tab w:val="left" w:pos="709"/>
        </w:tabs>
        <w:spacing w:before="240" w:line="360" w:lineRule="auto"/>
        <w:ind w:left="1068"/>
        <w:jc w:val="both"/>
        <w:rPr>
          <w:rFonts w:ascii="Palatino Linotype" w:hAnsi="Palatino Linotype"/>
          <w:i/>
        </w:rPr>
      </w:pPr>
      <w:r w:rsidRPr="007C1DE6">
        <w:rPr>
          <w:rFonts w:ascii="Palatino Linotype" w:hAnsi="Palatino Linotype"/>
          <w:i/>
        </w:rPr>
        <w:t xml:space="preserve">Artículo 82. Los días, meses y años que labore y cotice al patrimonio del Instituto un servidor público, se sumarán hasta llegar a un sólo total, mismo que será considerado en la hoja de periodos cotizados al Instituto, documento emitido por éste, que será la base para otorgar las diversas prestaciones económicas que señala la Ley. </w:t>
      </w:r>
    </w:p>
    <w:p w:rsidR="007C1DE6" w:rsidRPr="007C1DE6" w:rsidRDefault="007C1DE6" w:rsidP="007C1DE6">
      <w:pPr>
        <w:tabs>
          <w:tab w:val="left" w:pos="709"/>
        </w:tabs>
        <w:spacing w:before="240" w:line="360" w:lineRule="auto"/>
        <w:ind w:left="1068"/>
        <w:jc w:val="both"/>
        <w:rPr>
          <w:rFonts w:ascii="Palatino Linotype" w:hAnsi="Palatino Linotype"/>
          <w:i/>
        </w:rPr>
      </w:pPr>
      <w:r w:rsidRPr="007C1DE6">
        <w:rPr>
          <w:rFonts w:ascii="Palatino Linotype" w:hAnsi="Palatino Linotype"/>
          <w:i/>
        </w:rPr>
        <w:t xml:space="preserve">Se considerará para la integración de la hoja de periodos cotizados al Instituto cualquiera de los documentos siguientes: </w:t>
      </w:r>
    </w:p>
    <w:p w:rsidR="007C1DE6" w:rsidRPr="007C1DE6" w:rsidRDefault="007C1DE6" w:rsidP="007C1DE6">
      <w:pPr>
        <w:pStyle w:val="Prrafodelista"/>
        <w:numPr>
          <w:ilvl w:val="0"/>
          <w:numId w:val="8"/>
        </w:numPr>
        <w:tabs>
          <w:tab w:val="left" w:pos="709"/>
        </w:tabs>
        <w:spacing w:before="240" w:line="360" w:lineRule="auto"/>
        <w:ind w:left="1788"/>
        <w:jc w:val="both"/>
        <w:rPr>
          <w:rFonts w:ascii="Palatino Linotype" w:hAnsi="Palatino Linotype"/>
          <w:i/>
          <w:sz w:val="22"/>
          <w:szCs w:val="22"/>
        </w:rPr>
      </w:pPr>
      <w:r w:rsidRPr="007C1DE6">
        <w:rPr>
          <w:rFonts w:ascii="Palatino Linotype" w:hAnsi="Palatino Linotype"/>
          <w:i/>
          <w:sz w:val="22"/>
          <w:szCs w:val="22"/>
        </w:rPr>
        <w:t xml:space="preserve">Nóminas manuales y automatizadas que haya recibido el Instituto de las Instituciones Públicas; </w:t>
      </w:r>
    </w:p>
    <w:p w:rsidR="007C1DE6" w:rsidRPr="007C1DE6" w:rsidRDefault="007C1DE6" w:rsidP="007C1DE6">
      <w:pPr>
        <w:pStyle w:val="Prrafodelista"/>
        <w:numPr>
          <w:ilvl w:val="0"/>
          <w:numId w:val="8"/>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 xml:space="preserve">Recibo emitido por el Instituto de pago de cuotas y/o aportaciones omitidas; </w:t>
      </w:r>
    </w:p>
    <w:p w:rsidR="007C1DE6" w:rsidRPr="007C1DE6" w:rsidRDefault="007C1DE6" w:rsidP="007C1DE6">
      <w:pPr>
        <w:pStyle w:val="Prrafodelista"/>
        <w:numPr>
          <w:ilvl w:val="0"/>
          <w:numId w:val="8"/>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t xml:space="preserve">Recibo de devolución al Instituto del Fondo de Reintegro por Separación anteriormente denominado Seguro de Cesantía; y </w:t>
      </w:r>
    </w:p>
    <w:p w:rsidR="007C1DE6" w:rsidRPr="00C653BB" w:rsidRDefault="007C1DE6" w:rsidP="007C1DE6">
      <w:pPr>
        <w:pStyle w:val="Prrafodelista"/>
        <w:numPr>
          <w:ilvl w:val="0"/>
          <w:numId w:val="8"/>
        </w:numPr>
        <w:tabs>
          <w:tab w:val="left" w:pos="709"/>
        </w:tabs>
        <w:spacing w:before="240" w:line="360" w:lineRule="auto"/>
        <w:ind w:left="1788"/>
        <w:jc w:val="both"/>
        <w:rPr>
          <w:rFonts w:ascii="Palatino Linotype" w:hAnsi="Palatino Linotype" w:cs="Arial"/>
          <w:i/>
          <w:sz w:val="22"/>
          <w:szCs w:val="22"/>
        </w:rPr>
      </w:pPr>
      <w:r w:rsidRPr="007C1DE6">
        <w:rPr>
          <w:rFonts w:ascii="Palatino Linotype" w:hAnsi="Palatino Linotype"/>
          <w:i/>
          <w:sz w:val="22"/>
          <w:szCs w:val="22"/>
        </w:rPr>
        <w:lastRenderedPageBreak/>
        <w:t>Comprobantes de pago, certificación de la dependencia de percepciones y deducciones que acrediten la cotización al Instituto.</w:t>
      </w:r>
    </w:p>
    <w:p w:rsidR="00C653BB" w:rsidRDefault="004B1366" w:rsidP="00C653BB">
      <w:pPr>
        <w:tabs>
          <w:tab w:val="left" w:pos="709"/>
        </w:tabs>
        <w:spacing w:before="240" w:line="360" w:lineRule="auto"/>
        <w:jc w:val="both"/>
        <w:rPr>
          <w:rFonts w:ascii="Palatino Linotype" w:hAnsi="Palatino Linotype" w:cs="Arial"/>
          <w:sz w:val="24"/>
        </w:rPr>
      </w:pPr>
      <w:r>
        <w:rPr>
          <w:rFonts w:ascii="Palatino Linotype" w:hAnsi="Palatino Linotype" w:cs="Arial"/>
          <w:sz w:val="24"/>
        </w:rPr>
        <w:t>En conclusión, la información solicitada respecto a los años de servicio, se refiere al citado tramite, el cual deberá de iniciar y dar seguimiento mediante la vía administrativa y no así a través de solicitudes de acceso a datos personales; enseguida se le expone el procedimiento para la solicitud de proyecto de pensión del cual se concluye que dicho trámite puede proporcionar la información relacionada al tiempo de servicio de un servidor público, implicaría realizar cálculos y/o practicar investigaciones que deriva de la intervención de distintas unidades administrativas.</w:t>
      </w:r>
    </w:p>
    <w:p w:rsidR="004B1366" w:rsidRDefault="004B1366" w:rsidP="00C653BB">
      <w:pPr>
        <w:tabs>
          <w:tab w:val="left" w:pos="709"/>
        </w:tabs>
        <w:spacing w:before="240" w:line="360" w:lineRule="auto"/>
        <w:jc w:val="both"/>
        <w:rPr>
          <w:rFonts w:ascii="Palatino Linotype" w:hAnsi="Palatino Linotype" w:cs="Arial"/>
          <w:sz w:val="24"/>
        </w:rPr>
      </w:pPr>
      <w:r>
        <w:rPr>
          <w:rFonts w:ascii="Palatino Linotype" w:hAnsi="Palatino Linotype" w:cs="Arial"/>
          <w:sz w:val="24"/>
        </w:rPr>
        <w:t>No pasa desapercibido por este órgano garante, que el sujeto obligado remitió información respecto a los avisos de movimientos generados por parte de las instituciones públicas a favor de la particular, siendo esta la única información con la que cuenta el sujeto obligado.</w:t>
      </w:r>
    </w:p>
    <w:p w:rsidR="004B1366" w:rsidRDefault="004B1366" w:rsidP="004B1366">
      <w:pPr>
        <w:tabs>
          <w:tab w:val="left" w:pos="709"/>
        </w:tabs>
        <w:spacing w:after="0" w:line="240" w:lineRule="auto"/>
        <w:jc w:val="both"/>
        <w:rPr>
          <w:rFonts w:ascii="Palatino Linotype" w:hAnsi="Palatino Linotype" w:cs="Arial"/>
          <w:sz w:val="24"/>
        </w:rPr>
      </w:pPr>
      <w:r w:rsidRPr="004B1366">
        <w:rPr>
          <w:rFonts w:ascii="Palatino Linotype" w:hAnsi="Palatino Linotype" w:cs="Arial"/>
          <w:noProof/>
          <w:sz w:val="24"/>
          <w:lang w:eastAsia="es-MX"/>
        </w:rPr>
        <w:lastRenderedPageBreak/>
        <w:drawing>
          <wp:inline distT="0" distB="0" distL="0" distR="0">
            <wp:extent cx="5760720" cy="298737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987375"/>
                    </a:xfrm>
                    <a:prstGeom prst="rect">
                      <a:avLst/>
                    </a:prstGeom>
                    <a:noFill/>
                    <a:ln>
                      <a:noFill/>
                    </a:ln>
                  </pic:spPr>
                </pic:pic>
              </a:graphicData>
            </a:graphic>
          </wp:inline>
        </w:drawing>
      </w:r>
    </w:p>
    <w:p w:rsidR="004B1366" w:rsidRDefault="004B1366" w:rsidP="004B1366">
      <w:pPr>
        <w:tabs>
          <w:tab w:val="left" w:pos="709"/>
        </w:tabs>
        <w:spacing w:before="240" w:line="360" w:lineRule="auto"/>
        <w:rPr>
          <w:rFonts w:ascii="Palatino Linotype" w:hAnsi="Palatino Linotype" w:cs="Arial"/>
          <w:sz w:val="24"/>
        </w:rPr>
      </w:pPr>
      <w:r w:rsidRPr="004B1366">
        <w:rPr>
          <w:rFonts w:ascii="Palatino Linotype" w:hAnsi="Palatino Linotype" w:cs="Arial"/>
          <w:noProof/>
          <w:sz w:val="24"/>
          <w:lang w:eastAsia="es-MX"/>
        </w:rPr>
        <w:drawing>
          <wp:inline distT="0" distB="0" distL="0" distR="0">
            <wp:extent cx="5760350" cy="235077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105" cy="2351894"/>
                    </a:xfrm>
                    <a:prstGeom prst="rect">
                      <a:avLst/>
                    </a:prstGeom>
                    <a:noFill/>
                    <a:ln>
                      <a:noFill/>
                    </a:ln>
                  </pic:spPr>
                </pic:pic>
              </a:graphicData>
            </a:graphic>
          </wp:inline>
        </w:drawing>
      </w:r>
    </w:p>
    <w:p w:rsidR="004B1366" w:rsidRDefault="004B1366" w:rsidP="00BD11C2">
      <w:pPr>
        <w:tabs>
          <w:tab w:val="left" w:pos="709"/>
        </w:tabs>
        <w:spacing w:before="240" w:line="360" w:lineRule="auto"/>
        <w:jc w:val="both"/>
        <w:rPr>
          <w:rFonts w:ascii="Palatino Linotype" w:hAnsi="Palatino Linotype" w:cs="Arial"/>
          <w:sz w:val="24"/>
        </w:rPr>
      </w:pPr>
      <w:r>
        <w:rPr>
          <w:rFonts w:ascii="Palatino Linotype" w:hAnsi="Palatino Linotype" w:cs="Arial"/>
          <w:sz w:val="24"/>
        </w:rPr>
        <w:t xml:space="preserve">Luego entonces, </w:t>
      </w:r>
      <w:r w:rsidR="00BD11C2">
        <w:rPr>
          <w:rFonts w:ascii="Palatino Linotype" w:hAnsi="Palatino Linotype" w:cs="Arial"/>
          <w:sz w:val="24"/>
        </w:rPr>
        <w:t>con la finalidad de garantizar el derecho de acceso a datos, el sujeto obligado remitió el procedimiento para poder acceder a los datos solicitados por la hoy recurrente.</w:t>
      </w:r>
    </w:p>
    <w:p w:rsidR="00BD11C2" w:rsidRDefault="00BD11C2" w:rsidP="004B1366">
      <w:pPr>
        <w:tabs>
          <w:tab w:val="left" w:pos="709"/>
        </w:tabs>
        <w:spacing w:before="240" w:line="360" w:lineRule="auto"/>
        <w:rPr>
          <w:rFonts w:ascii="Palatino Linotype" w:hAnsi="Palatino Linotype" w:cs="Arial"/>
          <w:sz w:val="24"/>
        </w:rPr>
      </w:pPr>
    </w:p>
    <w:p w:rsidR="00BD11C2" w:rsidRDefault="00BD11C2" w:rsidP="00BD11C2">
      <w:pPr>
        <w:tabs>
          <w:tab w:val="left" w:pos="709"/>
        </w:tabs>
        <w:spacing w:before="240" w:line="360" w:lineRule="auto"/>
        <w:jc w:val="both"/>
        <w:rPr>
          <w:rFonts w:ascii="Palatino Linotype" w:hAnsi="Palatino Linotype" w:cs="Arial"/>
          <w:sz w:val="24"/>
        </w:rPr>
      </w:pPr>
      <w:r>
        <w:rPr>
          <w:rFonts w:ascii="Palatino Linotype" w:hAnsi="Palatino Linotype" w:cs="Arial"/>
          <w:sz w:val="24"/>
        </w:rPr>
        <w:lastRenderedPageBreak/>
        <w:t>Por último, no es óbice mencionar que si bien es cierto que la Ley de Protección de Datos Personales en Posesión de Sujetos Obligados del Estado de México y Municip</w:t>
      </w:r>
      <w:r w:rsidR="006965FB">
        <w:rPr>
          <w:rFonts w:ascii="Palatino Linotype" w:hAnsi="Palatino Linotype" w:cs="Arial"/>
          <w:sz w:val="24"/>
        </w:rPr>
        <w:t>ios establece en su numeral 114</w:t>
      </w:r>
      <w:r w:rsidR="006965FB">
        <w:rPr>
          <w:rStyle w:val="Refdenotaalpie"/>
          <w:rFonts w:ascii="Palatino Linotype" w:hAnsi="Palatino Linotype" w:cs="Arial"/>
          <w:sz w:val="24"/>
        </w:rPr>
        <w:footnoteReference w:id="2"/>
      </w:r>
      <w:r w:rsidR="006965FB">
        <w:rPr>
          <w:rFonts w:ascii="Palatino Linotype" w:hAnsi="Palatino Linotype" w:cs="Arial"/>
          <w:sz w:val="24"/>
        </w:rPr>
        <w:t>, que cuando las disposiciones aplicables a determinados tratamientos de datos personales establezcan un trámite o procedimiento específico para solicitar el ejercicio de los derechos ARCO, el responsable deberá de informar al titular la existencia del mismo, en un plazo no mayor a cinco días siguientes a la presentación de la solicitud a efecto de que este último decida si ejerce sus derechos a través del trámite especifico o bien por el procedimiento para el ejercicio de los derechos ARCO, también lo es que en su párrafo segundo señala, que la generación de nuevos datos, la realización de cálculos o el procesamiento a los datos personales no podrá obtenerse a través del ejercicio de derecho de acceso ya que este implica, obtener únicamente de responsable los datos personales en la manera en la que obren en sus archivos y en el estado en que se encuentren.</w:t>
      </w:r>
    </w:p>
    <w:p w:rsidR="006965FB" w:rsidRDefault="006965FB" w:rsidP="00BD11C2">
      <w:pPr>
        <w:tabs>
          <w:tab w:val="left" w:pos="709"/>
        </w:tabs>
        <w:spacing w:before="240" w:line="360" w:lineRule="auto"/>
        <w:jc w:val="both"/>
        <w:rPr>
          <w:rFonts w:ascii="Palatino Linotype" w:hAnsi="Palatino Linotype" w:cs="Arial"/>
          <w:sz w:val="24"/>
        </w:rPr>
      </w:pPr>
      <w:r>
        <w:rPr>
          <w:rFonts w:ascii="Palatino Linotype" w:hAnsi="Palatino Linotype" w:cs="Arial"/>
          <w:sz w:val="24"/>
        </w:rPr>
        <w:lastRenderedPageBreak/>
        <w:t xml:space="preserve">En ese tenor, como ya se </w:t>
      </w:r>
      <w:r w:rsidR="00FD1BBE">
        <w:rPr>
          <w:rFonts w:ascii="Palatino Linotype" w:hAnsi="Palatino Linotype" w:cs="Arial"/>
          <w:sz w:val="24"/>
        </w:rPr>
        <w:t>mencionó</w:t>
      </w:r>
      <w:r>
        <w:rPr>
          <w:rFonts w:ascii="Palatino Linotype" w:hAnsi="Palatino Linotype" w:cs="Arial"/>
          <w:sz w:val="24"/>
        </w:rPr>
        <w:t xml:space="preserve"> en párrafos que anteceden, los datos a los que pretende acceder la hoy recurrente corresponden a  un </w:t>
      </w:r>
      <w:r w:rsidR="00FD1BBE">
        <w:rPr>
          <w:rFonts w:ascii="Palatino Linotype" w:hAnsi="Palatino Linotype" w:cs="Arial"/>
          <w:sz w:val="24"/>
        </w:rPr>
        <w:t>trámite</w:t>
      </w:r>
      <w:r>
        <w:rPr>
          <w:rFonts w:ascii="Palatino Linotype" w:hAnsi="Palatino Linotype" w:cs="Arial"/>
          <w:sz w:val="24"/>
        </w:rPr>
        <w:t xml:space="preserve"> especifico, por lo que se actualiza el supuesto establecido en el párrafo primero del numeral 114 de la Ley de la Materia, sin embargo </w:t>
      </w:r>
      <w:r w:rsidR="00FD1BBE">
        <w:rPr>
          <w:rFonts w:ascii="Palatino Linotype" w:hAnsi="Palatino Linotype" w:cs="Arial"/>
          <w:sz w:val="24"/>
        </w:rPr>
        <w:t>dicho numeral contiene una excepción la cual es que dicho trámite no procederá cuando se trate de la generación de nuevos datos, la realización de cálculos o el procesamiento a los datos personales, toda vez que de conformidad con el numeral 112 de la Ley de Transparencia y Acceso a la Información Pública del Estado de México y Municipios por aplicación supletoria los sujetos obligados únicamente proporcionaran información que se les requiera y que obre en sus archivos en el estado en que se encuentre.</w:t>
      </w:r>
    </w:p>
    <w:p w:rsidR="00FD1BBE" w:rsidRDefault="00FD1BBE" w:rsidP="00BD11C2">
      <w:pPr>
        <w:tabs>
          <w:tab w:val="left" w:pos="709"/>
        </w:tabs>
        <w:spacing w:before="240" w:line="360" w:lineRule="auto"/>
        <w:jc w:val="both"/>
        <w:rPr>
          <w:rFonts w:ascii="Palatino Linotype" w:hAnsi="Palatino Linotype" w:cs="Arial"/>
          <w:sz w:val="24"/>
        </w:rPr>
      </w:pPr>
      <w:r>
        <w:rPr>
          <w:rFonts w:ascii="Palatino Linotype" w:hAnsi="Palatino Linotype" w:cs="Arial"/>
          <w:sz w:val="24"/>
        </w:rPr>
        <w:t xml:space="preserve">En ese sentido, como ya se </w:t>
      </w:r>
      <w:r w:rsidR="0070304B">
        <w:rPr>
          <w:rFonts w:ascii="Palatino Linotype" w:hAnsi="Palatino Linotype" w:cs="Arial"/>
          <w:sz w:val="24"/>
        </w:rPr>
        <w:t>hizo</w:t>
      </w:r>
      <w:r>
        <w:rPr>
          <w:rFonts w:ascii="Palatino Linotype" w:hAnsi="Palatino Linotype" w:cs="Arial"/>
          <w:sz w:val="24"/>
        </w:rPr>
        <w:t xml:space="preserve"> mención se actualiza el supuesto contenido en el párrafo segundo del diverso 114 de referencia, en virtud de que el soporte documental del sujeto </w:t>
      </w:r>
      <w:r w:rsidR="0070304B">
        <w:rPr>
          <w:rFonts w:ascii="Palatino Linotype" w:hAnsi="Palatino Linotype" w:cs="Arial"/>
          <w:sz w:val="24"/>
        </w:rPr>
        <w:t>obligado</w:t>
      </w:r>
      <w:r>
        <w:rPr>
          <w:rFonts w:ascii="Palatino Linotype" w:hAnsi="Palatino Linotype" w:cs="Arial"/>
          <w:sz w:val="24"/>
        </w:rPr>
        <w:t xml:space="preserve"> no obra como tal un documento en el que conste los años de servicio de la </w:t>
      </w:r>
      <w:r w:rsidR="0070304B">
        <w:rPr>
          <w:rFonts w:ascii="Palatino Linotype" w:hAnsi="Palatino Linotype" w:cs="Arial"/>
          <w:sz w:val="24"/>
        </w:rPr>
        <w:t>servidora</w:t>
      </w:r>
      <w:r>
        <w:rPr>
          <w:rFonts w:ascii="Palatino Linotype" w:hAnsi="Palatino Linotype" w:cs="Arial"/>
          <w:sz w:val="24"/>
        </w:rPr>
        <w:t xml:space="preserve"> publica, la cual además para su obtención requiere el procesamiento y realización del </w:t>
      </w:r>
      <w:r w:rsidR="0070304B">
        <w:rPr>
          <w:rFonts w:ascii="Palatino Linotype" w:hAnsi="Palatino Linotype" w:cs="Arial"/>
          <w:sz w:val="24"/>
        </w:rPr>
        <w:t>cálculo</w:t>
      </w:r>
      <w:r>
        <w:rPr>
          <w:rFonts w:ascii="Palatino Linotype" w:hAnsi="Palatino Linotype" w:cs="Arial"/>
          <w:sz w:val="24"/>
        </w:rPr>
        <w:t xml:space="preserve"> respectivo para la generación de los datos. De lo que resulta evidente, que no puede otorgarse el acceso a los datos en el estado en que estos se encuentren y posea el sujeto obligado, ya que dichos d</w:t>
      </w:r>
      <w:r w:rsidR="0070304B">
        <w:rPr>
          <w:rFonts w:ascii="Palatino Linotype" w:hAnsi="Palatino Linotype" w:cs="Arial"/>
          <w:sz w:val="24"/>
        </w:rPr>
        <w:t>atos deben ser generados mediante trámite.</w:t>
      </w:r>
    </w:p>
    <w:p w:rsidR="0070304B" w:rsidRDefault="0070304B" w:rsidP="00BD11C2">
      <w:pPr>
        <w:tabs>
          <w:tab w:val="left" w:pos="709"/>
        </w:tabs>
        <w:spacing w:before="240" w:line="360" w:lineRule="auto"/>
        <w:jc w:val="both"/>
        <w:rPr>
          <w:rFonts w:ascii="Palatino Linotype" w:hAnsi="Palatino Linotype" w:cs="Arial"/>
          <w:sz w:val="24"/>
        </w:rPr>
      </w:pPr>
      <w:r>
        <w:rPr>
          <w:rFonts w:ascii="Palatino Linotype" w:hAnsi="Palatino Linotype" w:cs="Arial"/>
          <w:sz w:val="24"/>
        </w:rPr>
        <w:t xml:space="preserve">Bajo tal premisa, resulta evidente la afirmación del Instituto de Seguridad Social del Estado de México y Municipios, pues no existe precepto legal o fuente obligacional para que genere la </w:t>
      </w:r>
      <w:r w:rsidR="00281FAE">
        <w:rPr>
          <w:rFonts w:ascii="Palatino Linotype" w:hAnsi="Palatino Linotype" w:cs="Arial"/>
          <w:sz w:val="24"/>
        </w:rPr>
        <w:t>información</w:t>
      </w:r>
      <w:r>
        <w:rPr>
          <w:rFonts w:ascii="Palatino Linotype" w:hAnsi="Palatino Linotype" w:cs="Arial"/>
          <w:sz w:val="24"/>
        </w:rPr>
        <w:t xml:space="preserve"> que no obre en sus archivos, ni generarlo </w:t>
      </w:r>
      <w:r w:rsidR="00281FAE">
        <w:rPr>
          <w:rFonts w:ascii="Palatino Linotype" w:hAnsi="Palatino Linotype" w:cs="Arial"/>
          <w:sz w:val="24"/>
        </w:rPr>
        <w:t>más</w:t>
      </w:r>
      <w:r>
        <w:rPr>
          <w:rFonts w:ascii="Palatino Linotype" w:hAnsi="Palatino Linotype" w:cs="Arial"/>
          <w:sz w:val="24"/>
        </w:rPr>
        <w:t xml:space="preserve"> aun cuando se trata de un </w:t>
      </w:r>
      <w:r w:rsidR="00281FAE">
        <w:rPr>
          <w:rFonts w:ascii="Palatino Linotype" w:hAnsi="Palatino Linotype" w:cs="Arial"/>
          <w:sz w:val="24"/>
        </w:rPr>
        <w:t>trámite</w:t>
      </w:r>
      <w:r>
        <w:rPr>
          <w:rFonts w:ascii="Palatino Linotype" w:hAnsi="Palatino Linotype" w:cs="Arial"/>
          <w:sz w:val="24"/>
        </w:rPr>
        <w:t xml:space="preserve"> </w:t>
      </w:r>
      <w:r w:rsidR="00281FAE">
        <w:rPr>
          <w:rFonts w:ascii="Palatino Linotype" w:hAnsi="Palatino Linotype" w:cs="Arial"/>
          <w:sz w:val="24"/>
        </w:rPr>
        <w:t>específico</w:t>
      </w:r>
      <w:r>
        <w:rPr>
          <w:rFonts w:ascii="Palatino Linotype" w:hAnsi="Palatino Linotype" w:cs="Arial"/>
          <w:sz w:val="24"/>
        </w:rPr>
        <w:t xml:space="preserve"> que como </w:t>
      </w:r>
      <w:r w:rsidR="00281FAE">
        <w:rPr>
          <w:rFonts w:ascii="Palatino Linotype" w:hAnsi="Palatino Linotype" w:cs="Arial"/>
          <w:sz w:val="24"/>
        </w:rPr>
        <w:t>multicitadamente</w:t>
      </w:r>
      <w:r>
        <w:rPr>
          <w:rFonts w:ascii="Palatino Linotype" w:hAnsi="Palatino Linotype" w:cs="Arial"/>
          <w:sz w:val="24"/>
        </w:rPr>
        <w:t xml:space="preserve"> se ha mencionado </w:t>
      </w:r>
      <w:r>
        <w:rPr>
          <w:rFonts w:ascii="Palatino Linotype" w:hAnsi="Palatino Linotype" w:cs="Arial"/>
          <w:sz w:val="24"/>
        </w:rPr>
        <w:lastRenderedPageBreak/>
        <w:t>se requiere el seguimiento de un procedimiento , sumado a la aportación de datos adicionales por parte del particular a los de acreditar su personalidad; cobra aplicación el numeral 172 de la Ley de Transparencia y Acceso a la Información Pública del Estado de México y Municipios de manera supletoria y que a la letra establece:</w:t>
      </w:r>
    </w:p>
    <w:p w:rsidR="00281FAE" w:rsidRPr="00281FAE" w:rsidRDefault="00281FAE" w:rsidP="00281FAE">
      <w:pPr>
        <w:tabs>
          <w:tab w:val="left" w:pos="709"/>
        </w:tabs>
        <w:spacing w:before="240" w:line="360" w:lineRule="auto"/>
        <w:ind w:left="708"/>
        <w:jc w:val="both"/>
        <w:rPr>
          <w:rFonts w:ascii="Palatino Linotype" w:hAnsi="Palatino Linotype"/>
          <w:i/>
        </w:rPr>
      </w:pPr>
      <w:r w:rsidRPr="00281FAE">
        <w:rPr>
          <w:rFonts w:ascii="Palatino Linotype" w:hAnsi="Palatino Linotype"/>
          <w:i/>
        </w:rPr>
        <w:t xml:space="preserve">Artículo 172. Cuando lo solicitado corresponda a información que sea posible obtener mediante un trámite previamente establecido y previsto en una norma, el sujeto obligado orientará al solicitante sobre el procedimiento que corresponda. En esos casos, la solicitud de información podrá desecharse por improcedente, dejando a salvo el derecho del particular de interponer el recurso previsto en la presente Ley, si no estuviere conforme. </w:t>
      </w:r>
    </w:p>
    <w:p w:rsidR="00281FAE" w:rsidRDefault="00281FAE" w:rsidP="00281FAE">
      <w:pPr>
        <w:tabs>
          <w:tab w:val="left" w:pos="709"/>
        </w:tabs>
        <w:spacing w:before="240" w:line="360" w:lineRule="auto"/>
        <w:ind w:left="708"/>
        <w:jc w:val="both"/>
        <w:rPr>
          <w:rFonts w:ascii="Palatino Linotype" w:hAnsi="Palatino Linotype"/>
          <w:i/>
        </w:rPr>
      </w:pPr>
      <w:r w:rsidRPr="00281FAE">
        <w:rPr>
          <w:rFonts w:ascii="Palatino Linotype" w:hAnsi="Palatino Linotype"/>
          <w:i/>
        </w:rPr>
        <w:t>Los argumentos para justificar cualquier negativa de acceso a la información deben recaer en el sujeto obligado al cual la información fue solicitada.</w:t>
      </w:r>
    </w:p>
    <w:p w:rsidR="006C44E8" w:rsidRDefault="006C44E8" w:rsidP="006C44E8">
      <w:pPr>
        <w:tabs>
          <w:tab w:val="left" w:pos="709"/>
        </w:tabs>
        <w:spacing w:before="240" w:line="360" w:lineRule="auto"/>
        <w:jc w:val="both"/>
        <w:rPr>
          <w:rFonts w:ascii="Palatino Linotype" w:hAnsi="Palatino Linotype"/>
          <w:sz w:val="24"/>
        </w:rPr>
      </w:pPr>
      <w:r>
        <w:rPr>
          <w:rFonts w:ascii="Palatino Linotype" w:hAnsi="Palatino Linotype"/>
          <w:sz w:val="24"/>
        </w:rPr>
        <w:t>En ese sentido, como se observa de la respuesta primigenia, así como el informe justificado remitidos por el Instituto de Seguridad Social del Estado de México y Municipios, se le oriento adecuadamente y de manera puntual al hoy recurrente del procedimiento para la obtención de la información y la documentación a presentar para el trámite especifico.</w:t>
      </w:r>
    </w:p>
    <w:p w:rsidR="006C44E8" w:rsidRDefault="006C44E8" w:rsidP="006C44E8">
      <w:pPr>
        <w:tabs>
          <w:tab w:val="left" w:pos="709"/>
        </w:tabs>
        <w:spacing w:before="240" w:line="360" w:lineRule="auto"/>
        <w:jc w:val="both"/>
        <w:rPr>
          <w:rFonts w:ascii="Palatino Linotype" w:hAnsi="Palatino Linotype"/>
          <w:sz w:val="24"/>
        </w:rPr>
      </w:pPr>
      <w:r>
        <w:rPr>
          <w:rFonts w:ascii="Palatino Linotype" w:hAnsi="Palatino Linotype"/>
          <w:sz w:val="24"/>
        </w:rPr>
        <w:t xml:space="preserve">Por último, es de señalar que el recurso de revisión tiene como finalidad el reparar cualquier </w:t>
      </w:r>
      <w:r w:rsidR="00683057">
        <w:rPr>
          <w:rFonts w:ascii="Palatino Linotype" w:hAnsi="Palatino Linotype"/>
          <w:sz w:val="24"/>
        </w:rPr>
        <w:t>afectación</w:t>
      </w:r>
      <w:r>
        <w:rPr>
          <w:rFonts w:ascii="Palatino Linotype" w:hAnsi="Palatino Linotype"/>
          <w:sz w:val="24"/>
        </w:rPr>
        <w:t xml:space="preserve"> posible al derecho de acceso a la </w:t>
      </w:r>
      <w:r w:rsidR="00683057">
        <w:rPr>
          <w:rFonts w:ascii="Palatino Linotype" w:hAnsi="Palatino Linotype"/>
          <w:sz w:val="24"/>
        </w:rPr>
        <w:t xml:space="preserve">información pública, en términos del Capitulo Segundo del </w:t>
      </w:r>
      <w:r w:rsidR="005D6A16">
        <w:rPr>
          <w:rFonts w:ascii="Palatino Linotype" w:hAnsi="Palatino Linotype"/>
          <w:sz w:val="24"/>
        </w:rPr>
        <w:t>Título Decimo Primero de la Ley de Protección de Datos Personales en Posesión de Sujetos Obligados del Estado de México y Municipios.</w:t>
      </w:r>
    </w:p>
    <w:p w:rsidR="005D6A16" w:rsidRDefault="005D6A16" w:rsidP="006C44E8">
      <w:pPr>
        <w:tabs>
          <w:tab w:val="left" w:pos="709"/>
        </w:tabs>
        <w:spacing w:before="240" w:line="360" w:lineRule="auto"/>
        <w:jc w:val="both"/>
        <w:rPr>
          <w:rFonts w:ascii="Palatino Linotype" w:hAnsi="Palatino Linotype"/>
          <w:sz w:val="24"/>
        </w:rPr>
      </w:pPr>
      <w:r>
        <w:rPr>
          <w:rFonts w:ascii="Palatino Linotype" w:hAnsi="Palatino Linotype"/>
          <w:sz w:val="24"/>
        </w:rPr>
        <w:lastRenderedPageBreak/>
        <w:t xml:space="preserve">En consecuencia, es de señalar que para invocar la figura del sobreseimiento del recurso de revisión, se deberán de actualizar alguna de las cinco causales previstas en el numeral 139 de la Ley de la materia, lo cual para el caso en concreto se actualiza la fracción III, </w:t>
      </w:r>
      <w:r w:rsidR="007A1E3A">
        <w:rPr>
          <w:rFonts w:ascii="Palatino Linotype" w:hAnsi="Palatino Linotype"/>
          <w:sz w:val="24"/>
        </w:rPr>
        <w:t xml:space="preserve">de concordancia con el 138 fracción IV </w:t>
      </w:r>
      <w:r>
        <w:rPr>
          <w:rFonts w:ascii="Palatino Linotype" w:hAnsi="Palatino Linotype"/>
          <w:sz w:val="24"/>
        </w:rPr>
        <w:t>que a la letra señala</w:t>
      </w:r>
      <w:r w:rsidR="007A1E3A">
        <w:rPr>
          <w:rFonts w:ascii="Palatino Linotype" w:hAnsi="Palatino Linotype"/>
          <w:sz w:val="24"/>
        </w:rPr>
        <w:t>n</w:t>
      </w:r>
      <w:r>
        <w:rPr>
          <w:rFonts w:ascii="Palatino Linotype" w:hAnsi="Palatino Linotype"/>
          <w:sz w:val="24"/>
        </w:rPr>
        <w:t>:</w:t>
      </w:r>
    </w:p>
    <w:p w:rsidR="005D6A16" w:rsidRPr="005D6A16" w:rsidRDefault="005D6A16" w:rsidP="005D6A16">
      <w:pPr>
        <w:tabs>
          <w:tab w:val="left" w:pos="709"/>
        </w:tabs>
        <w:spacing w:before="240" w:line="360" w:lineRule="auto"/>
        <w:ind w:left="708"/>
        <w:jc w:val="both"/>
        <w:rPr>
          <w:rFonts w:ascii="Palatino Linotype" w:hAnsi="Palatino Linotype"/>
          <w:i/>
        </w:rPr>
      </w:pPr>
      <w:r w:rsidRPr="005D6A16">
        <w:rPr>
          <w:rFonts w:ascii="Palatino Linotype" w:hAnsi="Palatino Linotype"/>
          <w:i/>
        </w:rPr>
        <w:t xml:space="preserve">Causales de Sobreseimiento </w:t>
      </w:r>
    </w:p>
    <w:p w:rsidR="005D6A16" w:rsidRPr="005D6A16" w:rsidRDefault="005D6A16" w:rsidP="005D6A16">
      <w:pPr>
        <w:tabs>
          <w:tab w:val="left" w:pos="709"/>
        </w:tabs>
        <w:spacing w:before="240" w:line="360" w:lineRule="auto"/>
        <w:ind w:left="708"/>
        <w:jc w:val="both"/>
        <w:rPr>
          <w:rFonts w:ascii="Palatino Linotype" w:hAnsi="Palatino Linotype"/>
          <w:i/>
        </w:rPr>
      </w:pPr>
      <w:r w:rsidRPr="005D6A16">
        <w:rPr>
          <w:rFonts w:ascii="Palatino Linotype" w:hAnsi="Palatino Linotype"/>
          <w:i/>
        </w:rPr>
        <w:t xml:space="preserve">Artículo 139. El recurso de revisión sólo podrá ser sobreseído cuando: </w:t>
      </w:r>
    </w:p>
    <w:p w:rsidR="005D6A16" w:rsidRPr="005D6A16" w:rsidRDefault="005D6A16" w:rsidP="005D6A16">
      <w:pPr>
        <w:pStyle w:val="Prrafodelista"/>
        <w:numPr>
          <w:ilvl w:val="0"/>
          <w:numId w:val="9"/>
        </w:numPr>
        <w:tabs>
          <w:tab w:val="left" w:pos="709"/>
        </w:tabs>
        <w:spacing w:before="240" w:line="360" w:lineRule="auto"/>
        <w:ind w:left="1788"/>
        <w:jc w:val="both"/>
        <w:rPr>
          <w:rFonts w:ascii="Palatino Linotype" w:hAnsi="Palatino Linotype"/>
          <w:i/>
          <w:sz w:val="22"/>
          <w:szCs w:val="22"/>
        </w:rPr>
      </w:pPr>
      <w:r w:rsidRPr="005D6A16">
        <w:rPr>
          <w:rFonts w:ascii="Palatino Linotype" w:hAnsi="Palatino Linotype"/>
          <w:i/>
          <w:sz w:val="22"/>
          <w:szCs w:val="22"/>
        </w:rPr>
        <w:t xml:space="preserve">El recurrente se desista expresamente. </w:t>
      </w:r>
    </w:p>
    <w:p w:rsidR="005D6A16" w:rsidRPr="005D6A16" w:rsidRDefault="005D6A16" w:rsidP="005D6A16">
      <w:pPr>
        <w:pStyle w:val="Prrafodelista"/>
        <w:numPr>
          <w:ilvl w:val="0"/>
          <w:numId w:val="9"/>
        </w:numPr>
        <w:tabs>
          <w:tab w:val="left" w:pos="709"/>
        </w:tabs>
        <w:spacing w:before="240" w:line="360" w:lineRule="auto"/>
        <w:ind w:left="1788"/>
        <w:jc w:val="both"/>
        <w:rPr>
          <w:rFonts w:ascii="Palatino Linotype" w:hAnsi="Palatino Linotype"/>
          <w:i/>
          <w:sz w:val="22"/>
          <w:szCs w:val="22"/>
        </w:rPr>
      </w:pPr>
      <w:r w:rsidRPr="005D6A16">
        <w:rPr>
          <w:rFonts w:ascii="Palatino Linotype" w:hAnsi="Palatino Linotype"/>
          <w:i/>
          <w:sz w:val="22"/>
          <w:szCs w:val="22"/>
        </w:rPr>
        <w:t xml:space="preserve">El recurrente fallezca. </w:t>
      </w:r>
    </w:p>
    <w:p w:rsidR="005D6A16" w:rsidRPr="005D6A16" w:rsidRDefault="005D6A16" w:rsidP="005D6A16">
      <w:pPr>
        <w:pStyle w:val="Prrafodelista"/>
        <w:numPr>
          <w:ilvl w:val="0"/>
          <w:numId w:val="9"/>
        </w:numPr>
        <w:tabs>
          <w:tab w:val="left" w:pos="709"/>
        </w:tabs>
        <w:spacing w:before="240" w:line="360" w:lineRule="auto"/>
        <w:ind w:left="1788"/>
        <w:jc w:val="both"/>
        <w:rPr>
          <w:rFonts w:ascii="Palatino Linotype" w:hAnsi="Palatino Linotype"/>
          <w:b/>
          <w:i/>
          <w:sz w:val="22"/>
          <w:szCs w:val="22"/>
        </w:rPr>
      </w:pPr>
      <w:r w:rsidRPr="005D6A16">
        <w:rPr>
          <w:rFonts w:ascii="Palatino Linotype" w:hAnsi="Palatino Linotype"/>
          <w:b/>
          <w:i/>
          <w:sz w:val="22"/>
          <w:szCs w:val="22"/>
        </w:rPr>
        <w:t>Admitido el recurso de revisión, se actualice alguna causal de improcedencia en los términos de la presente Ley.</w:t>
      </w:r>
    </w:p>
    <w:p w:rsidR="005D6A16" w:rsidRDefault="005D6A16" w:rsidP="005D6A16">
      <w:pPr>
        <w:pStyle w:val="Prrafodelista"/>
        <w:numPr>
          <w:ilvl w:val="0"/>
          <w:numId w:val="9"/>
        </w:numPr>
        <w:tabs>
          <w:tab w:val="left" w:pos="709"/>
        </w:tabs>
        <w:spacing w:before="240" w:line="360" w:lineRule="auto"/>
        <w:ind w:left="1788"/>
        <w:jc w:val="both"/>
        <w:rPr>
          <w:rFonts w:ascii="Palatino Linotype" w:hAnsi="Palatino Linotype"/>
          <w:i/>
          <w:sz w:val="22"/>
          <w:szCs w:val="22"/>
        </w:rPr>
      </w:pPr>
      <w:r w:rsidRPr="005D6A16">
        <w:rPr>
          <w:rFonts w:ascii="Palatino Linotype" w:hAnsi="Palatino Linotype"/>
          <w:i/>
          <w:sz w:val="22"/>
          <w:szCs w:val="22"/>
        </w:rPr>
        <w:t>…..</w:t>
      </w:r>
    </w:p>
    <w:p w:rsidR="007A1E3A" w:rsidRPr="007A1E3A" w:rsidRDefault="007A1E3A" w:rsidP="007A1E3A">
      <w:pPr>
        <w:tabs>
          <w:tab w:val="left" w:pos="709"/>
        </w:tabs>
        <w:spacing w:before="240" w:line="360" w:lineRule="auto"/>
        <w:ind w:left="708"/>
        <w:jc w:val="both"/>
        <w:rPr>
          <w:rFonts w:ascii="Palatino Linotype" w:hAnsi="Palatino Linotype"/>
          <w:i/>
        </w:rPr>
      </w:pPr>
      <w:r w:rsidRPr="007A1E3A">
        <w:rPr>
          <w:rFonts w:ascii="Palatino Linotype" w:hAnsi="Palatino Linotype"/>
          <w:i/>
        </w:rPr>
        <w:t xml:space="preserve">Causales de improcedencia </w:t>
      </w:r>
    </w:p>
    <w:p w:rsidR="007A1E3A" w:rsidRPr="007A1E3A" w:rsidRDefault="007A1E3A" w:rsidP="007A1E3A">
      <w:pPr>
        <w:tabs>
          <w:tab w:val="left" w:pos="709"/>
        </w:tabs>
        <w:spacing w:before="240" w:line="360" w:lineRule="auto"/>
        <w:ind w:left="708"/>
        <w:jc w:val="both"/>
        <w:rPr>
          <w:rFonts w:ascii="Palatino Linotype" w:hAnsi="Palatino Linotype"/>
          <w:i/>
        </w:rPr>
      </w:pPr>
      <w:r w:rsidRPr="007A1E3A">
        <w:rPr>
          <w:rFonts w:ascii="Palatino Linotype" w:hAnsi="Palatino Linotype"/>
          <w:i/>
        </w:rPr>
        <w:t xml:space="preserve">Artículo 138. El recurso de revisión podrá ser desechado por improcedente cuando: </w:t>
      </w:r>
    </w:p>
    <w:p w:rsidR="007A1E3A" w:rsidRPr="007A1E3A" w:rsidRDefault="007A1E3A" w:rsidP="007A1E3A">
      <w:pPr>
        <w:pStyle w:val="Prrafodelista"/>
        <w:numPr>
          <w:ilvl w:val="0"/>
          <w:numId w:val="10"/>
        </w:numPr>
        <w:tabs>
          <w:tab w:val="left" w:pos="709"/>
        </w:tabs>
        <w:spacing w:before="240" w:line="360" w:lineRule="auto"/>
        <w:ind w:left="1788"/>
        <w:jc w:val="both"/>
        <w:rPr>
          <w:rFonts w:ascii="Palatino Linotype" w:hAnsi="Palatino Linotype"/>
          <w:i/>
          <w:sz w:val="22"/>
          <w:szCs w:val="22"/>
        </w:rPr>
      </w:pPr>
      <w:r w:rsidRPr="007A1E3A">
        <w:rPr>
          <w:rFonts w:ascii="Palatino Linotype" w:hAnsi="Palatino Linotype"/>
          <w:i/>
          <w:sz w:val="22"/>
          <w:szCs w:val="22"/>
        </w:rPr>
        <w:t xml:space="preserve">Sea extemporáneo por haber transcurrido el plazo establecido en el artículo 128 de la presente Ley. </w:t>
      </w:r>
    </w:p>
    <w:p w:rsidR="007A1E3A" w:rsidRPr="007A1E3A" w:rsidRDefault="007A1E3A" w:rsidP="007A1E3A">
      <w:pPr>
        <w:pStyle w:val="Prrafodelista"/>
        <w:numPr>
          <w:ilvl w:val="0"/>
          <w:numId w:val="10"/>
        </w:numPr>
        <w:tabs>
          <w:tab w:val="left" w:pos="709"/>
        </w:tabs>
        <w:spacing w:before="240" w:line="360" w:lineRule="auto"/>
        <w:ind w:left="1788"/>
        <w:jc w:val="both"/>
        <w:rPr>
          <w:rFonts w:ascii="Palatino Linotype" w:hAnsi="Palatino Linotype"/>
          <w:i/>
          <w:sz w:val="22"/>
          <w:szCs w:val="22"/>
        </w:rPr>
      </w:pPr>
      <w:r w:rsidRPr="007A1E3A">
        <w:rPr>
          <w:rFonts w:ascii="Palatino Linotype" w:hAnsi="Palatino Linotype"/>
          <w:i/>
          <w:sz w:val="22"/>
          <w:szCs w:val="22"/>
        </w:rPr>
        <w:t xml:space="preserve">El titular o su representante no acrediten debidamente su identidad y personalidad de este último. </w:t>
      </w:r>
    </w:p>
    <w:p w:rsidR="007A1E3A" w:rsidRPr="007A1E3A" w:rsidRDefault="007A1E3A" w:rsidP="007A1E3A">
      <w:pPr>
        <w:pStyle w:val="Prrafodelista"/>
        <w:numPr>
          <w:ilvl w:val="0"/>
          <w:numId w:val="10"/>
        </w:numPr>
        <w:tabs>
          <w:tab w:val="left" w:pos="709"/>
        </w:tabs>
        <w:spacing w:before="240" w:line="360" w:lineRule="auto"/>
        <w:ind w:left="1788"/>
        <w:jc w:val="both"/>
        <w:rPr>
          <w:rFonts w:ascii="Palatino Linotype" w:hAnsi="Palatino Linotype"/>
          <w:i/>
          <w:sz w:val="22"/>
          <w:szCs w:val="22"/>
        </w:rPr>
      </w:pPr>
      <w:r w:rsidRPr="007A1E3A">
        <w:rPr>
          <w:rFonts w:ascii="Palatino Linotype" w:hAnsi="Palatino Linotype"/>
          <w:i/>
          <w:sz w:val="22"/>
          <w:szCs w:val="22"/>
        </w:rPr>
        <w:t xml:space="preserve">El Instituto haya resuelto anteriormente en definitiva sobre la materia del mismo. </w:t>
      </w:r>
    </w:p>
    <w:p w:rsidR="007A1E3A" w:rsidRPr="007A1E3A" w:rsidRDefault="007A1E3A" w:rsidP="007A1E3A">
      <w:pPr>
        <w:pStyle w:val="Prrafodelista"/>
        <w:numPr>
          <w:ilvl w:val="0"/>
          <w:numId w:val="10"/>
        </w:numPr>
        <w:tabs>
          <w:tab w:val="left" w:pos="709"/>
        </w:tabs>
        <w:spacing w:before="240" w:line="360" w:lineRule="auto"/>
        <w:ind w:left="1788"/>
        <w:jc w:val="both"/>
        <w:rPr>
          <w:rFonts w:ascii="Palatino Linotype" w:hAnsi="Palatino Linotype"/>
          <w:b/>
          <w:i/>
          <w:sz w:val="22"/>
          <w:szCs w:val="22"/>
        </w:rPr>
      </w:pPr>
      <w:r w:rsidRPr="007A1E3A">
        <w:rPr>
          <w:rFonts w:ascii="Palatino Linotype" w:hAnsi="Palatino Linotype"/>
          <w:b/>
          <w:i/>
          <w:sz w:val="22"/>
          <w:szCs w:val="22"/>
        </w:rPr>
        <w:lastRenderedPageBreak/>
        <w:t>No se actualice alguna de las causales del recurso de revisión previstas en el artículo 129 de la presente Ley.</w:t>
      </w:r>
    </w:p>
    <w:p w:rsidR="007A1E3A" w:rsidRPr="007A1E3A" w:rsidRDefault="007A1E3A" w:rsidP="007A1E3A">
      <w:pPr>
        <w:pStyle w:val="Prrafodelista"/>
        <w:numPr>
          <w:ilvl w:val="0"/>
          <w:numId w:val="10"/>
        </w:numPr>
        <w:tabs>
          <w:tab w:val="left" w:pos="709"/>
        </w:tabs>
        <w:spacing w:before="240" w:line="360" w:lineRule="auto"/>
        <w:ind w:left="1788"/>
        <w:jc w:val="both"/>
        <w:rPr>
          <w:rFonts w:ascii="Palatino Linotype" w:hAnsi="Palatino Linotype"/>
          <w:i/>
          <w:sz w:val="22"/>
          <w:szCs w:val="22"/>
        </w:rPr>
      </w:pPr>
      <w:r w:rsidRPr="007A1E3A">
        <w:rPr>
          <w:rFonts w:ascii="Palatino Linotype" w:hAnsi="Palatino Linotype"/>
          <w:i/>
          <w:sz w:val="22"/>
          <w:szCs w:val="22"/>
        </w:rPr>
        <w:t>…</w:t>
      </w:r>
    </w:p>
    <w:p w:rsidR="006C44E8" w:rsidRPr="007A1E3A" w:rsidRDefault="007A1E3A" w:rsidP="006C44E8">
      <w:pPr>
        <w:tabs>
          <w:tab w:val="left" w:pos="709"/>
        </w:tabs>
        <w:spacing w:before="240" w:line="360" w:lineRule="auto"/>
        <w:jc w:val="both"/>
        <w:rPr>
          <w:rFonts w:ascii="Palatino Linotype" w:hAnsi="Palatino Linotype"/>
        </w:rPr>
      </w:pPr>
      <w:r>
        <w:rPr>
          <w:rFonts w:ascii="Palatino Linotype" w:hAnsi="Palatino Linotype"/>
        </w:rPr>
        <w:t>Así</w:t>
      </w:r>
      <w:r w:rsidR="005D6A16">
        <w:rPr>
          <w:rFonts w:ascii="Palatino Linotype" w:hAnsi="Palatino Linotype"/>
        </w:rPr>
        <w:t xml:space="preserve"> pues, como se advierte de</w:t>
      </w:r>
      <w:r>
        <w:rPr>
          <w:rFonts w:ascii="Palatino Linotype" w:hAnsi="Palatino Linotype"/>
        </w:rPr>
        <w:t xml:space="preserve"> </w:t>
      </w:r>
      <w:r w:rsidR="005D6A16">
        <w:rPr>
          <w:rFonts w:ascii="Palatino Linotype" w:hAnsi="Palatino Linotype"/>
        </w:rPr>
        <w:t>l</w:t>
      </w:r>
      <w:r>
        <w:rPr>
          <w:rFonts w:ascii="Palatino Linotype" w:hAnsi="Palatino Linotype"/>
        </w:rPr>
        <w:t>os</w:t>
      </w:r>
      <w:r w:rsidR="005D6A16">
        <w:rPr>
          <w:rFonts w:ascii="Palatino Linotype" w:hAnsi="Palatino Linotype"/>
        </w:rPr>
        <w:t xml:space="preserve"> numeral</w:t>
      </w:r>
      <w:r>
        <w:rPr>
          <w:rFonts w:ascii="Palatino Linotype" w:hAnsi="Palatino Linotype"/>
        </w:rPr>
        <w:t>es</w:t>
      </w:r>
      <w:r w:rsidR="005D6A16">
        <w:rPr>
          <w:rFonts w:ascii="Palatino Linotype" w:hAnsi="Palatino Linotype"/>
        </w:rPr>
        <w:t xml:space="preserve"> citado</w:t>
      </w:r>
      <w:r>
        <w:rPr>
          <w:rFonts w:ascii="Palatino Linotype" w:hAnsi="Palatino Linotype"/>
        </w:rPr>
        <w:t>s</w:t>
      </w:r>
      <w:r w:rsidR="005D6A16">
        <w:rPr>
          <w:rFonts w:ascii="Palatino Linotype" w:hAnsi="Palatino Linotype"/>
        </w:rPr>
        <w:t xml:space="preserve">, el recurso de revisión </w:t>
      </w:r>
      <w:r>
        <w:rPr>
          <w:rFonts w:ascii="Palatino Linotype" w:hAnsi="Palatino Linotype"/>
        </w:rPr>
        <w:t>podrá sobreseerse cuando una vez admitido se actualice alguna causal de improcedencia y que para mayor referencia se actualiza la fracción IV, que establece que será improcedente cuando no se actualice alguna de las causales previstas en el artículo 129 de la Ley de Datos.</w:t>
      </w:r>
    </w:p>
    <w:p w:rsidR="00683057" w:rsidRDefault="00683057" w:rsidP="00683057">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En mérito</w:t>
      </w:r>
      <w:r w:rsidRPr="00410726">
        <w:rPr>
          <w:rFonts w:ascii="Palatino Linotype" w:hAnsi="Palatino Linotype"/>
          <w:sz w:val="24"/>
          <w:szCs w:val="24"/>
        </w:rPr>
        <w:t xml:space="preserve"> de lo expuesto en líneas anteriores, resultan </w:t>
      </w:r>
      <w:r>
        <w:rPr>
          <w:rFonts w:ascii="Palatino Linotype" w:hAnsi="Palatino Linotype"/>
          <w:sz w:val="24"/>
          <w:szCs w:val="24"/>
        </w:rPr>
        <w:t>infundados</w:t>
      </w:r>
      <w:r w:rsidRPr="00410726">
        <w:rPr>
          <w:rFonts w:ascii="Palatino Linotype" w:hAnsi="Palatino Linotype"/>
          <w:sz w:val="24"/>
          <w:szCs w:val="24"/>
        </w:rPr>
        <w:t xml:space="preserve"> los motivos de inconformidad que arguye el recurrente en su medio de impugnación que fue materia de estudio, por ello </w:t>
      </w:r>
      <w:r>
        <w:rPr>
          <w:rFonts w:ascii="Palatino Linotype" w:hAnsi="Palatino Linotype" w:cs="Arial"/>
          <w:b/>
          <w:sz w:val="24"/>
        </w:rPr>
        <w:t xml:space="preserve">con fundamento </w:t>
      </w:r>
      <w:r w:rsidR="000C58FC">
        <w:rPr>
          <w:rFonts w:ascii="Palatino Linotype" w:hAnsi="Palatino Linotype" w:cs="Arial"/>
          <w:b/>
          <w:sz w:val="24"/>
        </w:rPr>
        <w:t>en el artículo 137 fracción I, en concordancia con el 139 fracción</w:t>
      </w:r>
      <w:r w:rsidR="007A1E3A">
        <w:rPr>
          <w:rFonts w:ascii="Palatino Linotype" w:hAnsi="Palatino Linotype" w:cs="Arial"/>
          <w:b/>
          <w:sz w:val="24"/>
        </w:rPr>
        <w:t xml:space="preserve"> III y 138 fracción IV</w:t>
      </w:r>
      <w:r w:rsidR="000C58FC">
        <w:rPr>
          <w:rFonts w:ascii="Palatino Linotype" w:hAnsi="Palatino Linotype" w:cs="Arial"/>
          <w:b/>
          <w:sz w:val="24"/>
        </w:rPr>
        <w:t xml:space="preserve"> </w:t>
      </w:r>
      <w:r w:rsidR="000C58FC">
        <w:rPr>
          <w:rFonts w:ascii="Palatino Linotype" w:hAnsi="Palatino Linotype" w:cs="Arial"/>
          <w:sz w:val="24"/>
        </w:rPr>
        <w:t>de la Ley de Protección de Datos Personales de Datos Personales en Posesión de Sujetos Obligados</w:t>
      </w:r>
      <w:r w:rsidRPr="00A34889">
        <w:rPr>
          <w:rFonts w:ascii="Palatino Linotype" w:hAnsi="Palatino Linotype" w:cs="Arial"/>
          <w:sz w:val="24"/>
        </w:rPr>
        <w:t xml:space="preserve"> Estado de México y Municipios, se </w:t>
      </w:r>
      <w:r w:rsidRPr="00CD32D8">
        <w:rPr>
          <w:rFonts w:ascii="Palatino Linotype" w:hAnsi="Palatino Linotype" w:cs="Arial"/>
          <w:b/>
          <w:sz w:val="24"/>
        </w:rPr>
        <w:t>SOBRESEE</w:t>
      </w:r>
      <w:r w:rsidRPr="00CD32D8">
        <w:rPr>
          <w:rFonts w:ascii="Palatino Linotype" w:hAnsi="Palatino Linotype"/>
          <w:b/>
          <w:sz w:val="24"/>
          <w:szCs w:val="24"/>
        </w:rPr>
        <w:t xml:space="preserve"> </w:t>
      </w:r>
      <w:r w:rsidR="000C58FC">
        <w:rPr>
          <w:rFonts w:ascii="Palatino Linotype" w:hAnsi="Palatino Linotype"/>
          <w:sz w:val="24"/>
          <w:szCs w:val="24"/>
        </w:rPr>
        <w:t>el recurso de revisión</w:t>
      </w:r>
      <w:r>
        <w:rPr>
          <w:rFonts w:ascii="Palatino Linotype" w:hAnsi="Palatino Linotype"/>
          <w:sz w:val="24"/>
          <w:szCs w:val="24"/>
        </w:rPr>
        <w:t xml:space="preserve"> </w:t>
      </w:r>
      <w:r w:rsidR="000C58FC" w:rsidRPr="00674B30">
        <w:rPr>
          <w:rFonts w:ascii="Palatino Linotype" w:hAnsi="Palatino Linotype" w:cs="Arial"/>
          <w:b/>
          <w:bCs/>
          <w:sz w:val="24"/>
          <w:lang w:eastAsia="es-MX"/>
        </w:rPr>
        <w:t>03625/INFOEM/AD/RR/2018</w:t>
      </w:r>
      <w:r w:rsidR="000C58FC">
        <w:rPr>
          <w:rFonts w:ascii="Palatino Linotype" w:hAnsi="Palatino Linotype"/>
          <w:b/>
          <w:sz w:val="24"/>
          <w:szCs w:val="24"/>
        </w:rPr>
        <w:t>,</w:t>
      </w:r>
      <w:r w:rsidRPr="001F20C7">
        <w:rPr>
          <w:rFonts w:ascii="Palatino Linotype" w:hAnsi="Palatino Linotype"/>
          <w:sz w:val="24"/>
          <w:szCs w:val="24"/>
        </w:rPr>
        <w:t xml:space="preserve"> </w:t>
      </w:r>
      <w:r w:rsidRPr="00410726">
        <w:rPr>
          <w:rFonts w:ascii="Palatino Linotype" w:hAnsi="Palatino Linotype"/>
          <w:sz w:val="24"/>
          <w:szCs w:val="24"/>
        </w:rPr>
        <w:t>que ha sido materia del presente fallo.</w:t>
      </w:r>
    </w:p>
    <w:p w:rsidR="00E15E85" w:rsidRDefault="00E15E85" w:rsidP="00E15E85">
      <w:pPr>
        <w:tabs>
          <w:tab w:val="left" w:pos="8931"/>
        </w:tabs>
        <w:spacing w:before="240" w:line="360" w:lineRule="auto"/>
        <w:ind w:right="51"/>
        <w:jc w:val="both"/>
        <w:rPr>
          <w:rFonts w:ascii="Palatino Linotype" w:hAnsi="Palatino Linotype"/>
          <w:sz w:val="24"/>
          <w:szCs w:val="24"/>
        </w:rPr>
      </w:pPr>
      <w:r w:rsidRPr="00410726">
        <w:rPr>
          <w:rFonts w:ascii="Palatino Linotype" w:hAnsi="Palatino Linotype"/>
          <w:sz w:val="24"/>
          <w:szCs w:val="24"/>
        </w:rPr>
        <w:t>Por lo antes expuesto y fundado</w:t>
      </w:r>
      <w:r>
        <w:rPr>
          <w:rFonts w:ascii="Palatino Linotype" w:hAnsi="Palatino Linotype"/>
          <w:sz w:val="24"/>
          <w:szCs w:val="24"/>
        </w:rPr>
        <w:t xml:space="preserve"> es de resolverse y,</w:t>
      </w:r>
    </w:p>
    <w:p w:rsidR="00E15E85" w:rsidRDefault="00E15E85" w:rsidP="00E15E85">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rsidR="00C27BD7" w:rsidRDefault="00C27BD7" w:rsidP="00C27BD7">
      <w:pPr>
        <w:spacing w:line="360" w:lineRule="auto"/>
        <w:jc w:val="both"/>
        <w:rPr>
          <w:rFonts w:ascii="Palatino Linotype" w:hAnsi="Palatino Linotype" w:cs="Arial"/>
          <w:bCs/>
          <w:sz w:val="24"/>
          <w:szCs w:val="24"/>
          <w:lang w:eastAsia="es-MX"/>
        </w:rPr>
      </w:pPr>
      <w:r w:rsidRPr="00EA3590">
        <w:rPr>
          <w:rFonts w:ascii="Palatino Linotype" w:hAnsi="Palatino Linotype" w:cs="Arial"/>
          <w:b/>
          <w:sz w:val="24"/>
          <w:szCs w:val="24"/>
          <w:lang w:val="es-ES_tradnl"/>
        </w:rPr>
        <w:t>PRIMERO.</w:t>
      </w:r>
      <w:r w:rsidRPr="00EA3590">
        <w:rPr>
          <w:rFonts w:ascii="Palatino Linotype" w:hAnsi="Palatino Linotype" w:cs="Arial"/>
          <w:sz w:val="24"/>
          <w:szCs w:val="24"/>
          <w:lang w:val="es-ES_tradnl"/>
        </w:rPr>
        <w:t xml:space="preserve"> </w:t>
      </w:r>
      <w:r w:rsidRPr="004323FE">
        <w:rPr>
          <w:rFonts w:ascii="Palatino Linotype" w:hAnsi="Palatino Linotype" w:cs="Arial"/>
          <w:sz w:val="24"/>
          <w:szCs w:val="24"/>
          <w:lang w:val="es-ES_tradnl"/>
        </w:rPr>
        <w:t xml:space="preserve">Se </w:t>
      </w:r>
      <w:r w:rsidRPr="004323FE">
        <w:rPr>
          <w:rFonts w:ascii="Palatino Linotype" w:hAnsi="Palatino Linotype" w:cs="Arial"/>
          <w:b/>
          <w:sz w:val="24"/>
          <w:szCs w:val="24"/>
          <w:lang w:val="es-ES_tradnl"/>
        </w:rPr>
        <w:t>SOBRESEE</w:t>
      </w:r>
      <w:r w:rsidR="007A1E3A">
        <w:rPr>
          <w:rFonts w:ascii="Palatino Linotype" w:hAnsi="Palatino Linotype" w:cs="Arial"/>
          <w:b/>
          <w:sz w:val="24"/>
          <w:szCs w:val="24"/>
          <w:lang w:val="es-ES_tradnl"/>
        </w:rPr>
        <w:t xml:space="preserve"> por improcedente</w:t>
      </w:r>
      <w:r w:rsidRPr="004323FE">
        <w:rPr>
          <w:rFonts w:ascii="Palatino Linotype" w:hAnsi="Palatino Linotype" w:cs="Arial"/>
          <w:sz w:val="24"/>
          <w:szCs w:val="24"/>
          <w:lang w:val="es-ES_tradnl"/>
        </w:rPr>
        <w:t xml:space="preserve"> el recurso de revisión número</w:t>
      </w:r>
      <w:r>
        <w:rPr>
          <w:rFonts w:ascii="Palatino Linotype" w:hAnsi="Palatino Linotype" w:cs="Arial"/>
          <w:sz w:val="24"/>
          <w:szCs w:val="24"/>
          <w:lang w:val="es-ES_tradnl"/>
        </w:rPr>
        <w:t xml:space="preserve"> </w:t>
      </w:r>
      <w:r w:rsidR="00674B30" w:rsidRPr="00674B30">
        <w:rPr>
          <w:rFonts w:ascii="Palatino Linotype" w:hAnsi="Palatino Linotype" w:cs="Arial"/>
          <w:b/>
          <w:bCs/>
          <w:sz w:val="24"/>
          <w:lang w:eastAsia="es-MX"/>
        </w:rPr>
        <w:t>03625/INFOEM/AD/RR/2018</w:t>
      </w:r>
      <w:r>
        <w:rPr>
          <w:rFonts w:ascii="Palatino Linotype" w:hAnsi="Palatino Linotype" w:cs="Arial"/>
          <w:b/>
          <w:bCs/>
          <w:sz w:val="24"/>
          <w:lang w:eastAsia="es-MX"/>
        </w:rPr>
        <w:t>,</w:t>
      </w:r>
      <w:r>
        <w:rPr>
          <w:rFonts w:ascii="Palatino Linotype" w:hAnsi="Palatino Linotype" w:cs="Arial"/>
          <w:bCs/>
          <w:sz w:val="24"/>
          <w:lang w:eastAsia="es-MX"/>
        </w:rPr>
        <w:t xml:space="preserve"> </w:t>
      </w:r>
      <w:r w:rsidRPr="004323FE">
        <w:rPr>
          <w:rFonts w:ascii="Palatino Linotype" w:hAnsi="Palatino Linotype" w:cs="Arial"/>
          <w:bCs/>
          <w:sz w:val="24"/>
          <w:szCs w:val="24"/>
          <w:lang w:eastAsia="es-MX"/>
        </w:rPr>
        <w:t xml:space="preserve">por </w:t>
      </w:r>
      <w:r>
        <w:rPr>
          <w:rFonts w:ascii="Palatino Linotype" w:hAnsi="Palatino Linotype" w:cs="Arial"/>
          <w:bCs/>
          <w:sz w:val="24"/>
          <w:szCs w:val="24"/>
          <w:lang w:eastAsia="es-MX"/>
        </w:rPr>
        <w:t xml:space="preserve">las manifestaciones expuestas en el </w:t>
      </w:r>
      <w:r w:rsidRPr="004F5B02">
        <w:rPr>
          <w:rFonts w:ascii="Palatino Linotype" w:hAnsi="Palatino Linotype" w:cs="Arial"/>
          <w:b/>
          <w:bCs/>
          <w:sz w:val="24"/>
          <w:szCs w:val="24"/>
          <w:lang w:eastAsia="es-MX"/>
        </w:rPr>
        <w:t xml:space="preserve">Considerando </w:t>
      </w:r>
      <w:r w:rsidR="006C7F73">
        <w:rPr>
          <w:rFonts w:ascii="Palatino Linotype" w:hAnsi="Palatino Linotype" w:cs="Arial"/>
          <w:b/>
          <w:bCs/>
          <w:sz w:val="24"/>
          <w:szCs w:val="24"/>
          <w:lang w:eastAsia="es-MX"/>
        </w:rPr>
        <w:t>Tercero</w:t>
      </w:r>
      <w:r>
        <w:rPr>
          <w:rFonts w:ascii="Palatino Linotype" w:hAnsi="Palatino Linotype" w:cs="Arial"/>
          <w:bCs/>
          <w:sz w:val="24"/>
          <w:szCs w:val="24"/>
          <w:lang w:eastAsia="es-MX"/>
        </w:rPr>
        <w:t xml:space="preserve"> de la presente resolución.</w:t>
      </w:r>
    </w:p>
    <w:p w:rsidR="00C27BD7" w:rsidRPr="00201B59" w:rsidRDefault="00C27BD7" w:rsidP="00C27BD7">
      <w:pPr>
        <w:spacing w:before="240" w:line="360" w:lineRule="auto"/>
        <w:jc w:val="both"/>
        <w:rPr>
          <w:rFonts w:ascii="Palatino Linotype" w:hAnsi="Palatino Linotype" w:cs="Arial"/>
          <w:sz w:val="20"/>
          <w:szCs w:val="20"/>
        </w:rPr>
      </w:pPr>
    </w:p>
    <w:p w:rsidR="00C27BD7" w:rsidRPr="00674B30" w:rsidRDefault="00C27BD7" w:rsidP="00C27BD7">
      <w:pPr>
        <w:spacing w:line="360" w:lineRule="auto"/>
        <w:ind w:right="333"/>
        <w:jc w:val="both"/>
        <w:rPr>
          <w:rFonts w:ascii="Palatino Linotype" w:hAnsi="Palatino Linotype" w:cs="Arial"/>
          <w:sz w:val="24"/>
        </w:rPr>
      </w:pPr>
      <w:r w:rsidRPr="00120192">
        <w:rPr>
          <w:rFonts w:ascii="Palatino Linotype" w:hAnsi="Palatino Linotype"/>
          <w:b/>
          <w:sz w:val="28"/>
        </w:rPr>
        <w:lastRenderedPageBreak/>
        <w:t>SEGUNDO.</w:t>
      </w:r>
      <w:r w:rsidRPr="00120192">
        <w:rPr>
          <w:rFonts w:ascii="Palatino Linotype" w:hAnsi="Palatino Linotype" w:cs="Arial"/>
        </w:rPr>
        <w:t xml:space="preserve"> </w:t>
      </w:r>
      <w:r>
        <w:rPr>
          <w:rFonts w:ascii="Palatino Linotype" w:hAnsi="Palatino Linotype" w:cs="Arial"/>
          <w:b/>
          <w:sz w:val="24"/>
        </w:rPr>
        <w:t xml:space="preserve">Notifíquese </w:t>
      </w:r>
      <w:r w:rsidR="00674B30">
        <w:rPr>
          <w:rFonts w:ascii="Palatino Linotype" w:hAnsi="Palatino Linotype" w:cs="Arial"/>
          <w:sz w:val="24"/>
        </w:rPr>
        <w:t>vía Sistema de Acceso, Rectificación, Cancelación y Oposición de Datos Personales del Estado de México, (SARCOEM),</w:t>
      </w:r>
      <w:r w:rsidR="00674B30" w:rsidRPr="00674B30">
        <w:rPr>
          <w:rFonts w:ascii="Palatino Linotype" w:hAnsi="Palatino Linotype" w:cs="Arial"/>
          <w:sz w:val="24"/>
        </w:rPr>
        <w:t xml:space="preserve"> </w:t>
      </w:r>
      <w:r w:rsidR="00674B30" w:rsidRPr="004C736E">
        <w:rPr>
          <w:rFonts w:ascii="Palatino Linotype" w:hAnsi="Palatino Linotype" w:cs="Arial"/>
          <w:sz w:val="24"/>
        </w:rPr>
        <w:t>la presente resolución</w:t>
      </w:r>
      <w:r w:rsidR="00674B30">
        <w:rPr>
          <w:rFonts w:ascii="Palatino Linotype" w:hAnsi="Palatino Linotype" w:cs="Arial"/>
          <w:b/>
          <w:sz w:val="24"/>
        </w:rPr>
        <w:t xml:space="preserve"> </w:t>
      </w:r>
      <w:r w:rsidR="00674B30" w:rsidRPr="009B31F5">
        <w:rPr>
          <w:rFonts w:ascii="Palatino Linotype" w:hAnsi="Palatino Linotype" w:cs="Arial"/>
          <w:sz w:val="24"/>
        </w:rPr>
        <w:t xml:space="preserve">al </w:t>
      </w:r>
      <w:r w:rsidR="00674B30" w:rsidRPr="0065646C">
        <w:rPr>
          <w:rFonts w:ascii="Palatino Linotype" w:hAnsi="Palatino Linotype" w:cs="Arial"/>
          <w:b/>
          <w:sz w:val="24"/>
        </w:rPr>
        <w:t>Sujeto Obligado</w:t>
      </w:r>
      <w:r w:rsidR="00674B30">
        <w:rPr>
          <w:rFonts w:ascii="Palatino Linotype" w:hAnsi="Palatino Linotype" w:cs="Arial"/>
          <w:sz w:val="24"/>
        </w:rPr>
        <w:t>.</w:t>
      </w:r>
    </w:p>
    <w:p w:rsidR="00C27BD7" w:rsidRDefault="00C27BD7" w:rsidP="00C27BD7">
      <w:pPr>
        <w:spacing w:line="360" w:lineRule="auto"/>
        <w:ind w:right="333"/>
        <w:jc w:val="both"/>
        <w:rPr>
          <w:rFonts w:ascii="Palatino Linotype" w:hAnsi="Palatino Linotype" w:cs="Arial"/>
          <w:sz w:val="24"/>
        </w:rPr>
      </w:pPr>
    </w:p>
    <w:p w:rsidR="00C27BD7" w:rsidRDefault="00C27BD7" w:rsidP="00C27BD7">
      <w:pPr>
        <w:spacing w:line="360" w:lineRule="auto"/>
        <w:ind w:right="333"/>
        <w:jc w:val="both"/>
        <w:rPr>
          <w:rFonts w:ascii="Palatino Linotype" w:hAnsi="Palatino Linotype"/>
          <w:color w:val="222222"/>
          <w:sz w:val="24"/>
          <w:szCs w:val="24"/>
          <w:shd w:val="clear" w:color="auto" w:fill="FFFFFF"/>
          <w:lang w:val="es-ES"/>
        </w:rPr>
      </w:pPr>
      <w:r w:rsidRPr="00542728">
        <w:rPr>
          <w:rFonts w:ascii="Palatino Linotype" w:hAnsi="Palatino Linotype" w:cs="Arial"/>
          <w:b/>
          <w:sz w:val="28"/>
          <w:szCs w:val="28"/>
        </w:rPr>
        <w:t>TERCERO.</w:t>
      </w:r>
      <w:r w:rsidRPr="00542728">
        <w:rPr>
          <w:rFonts w:ascii="Palatino Linotype" w:hAnsi="Palatino Linotype" w:cs="Arial"/>
          <w:sz w:val="28"/>
          <w:szCs w:val="28"/>
        </w:rPr>
        <w:t xml:space="preserve"> </w:t>
      </w:r>
      <w:r>
        <w:rPr>
          <w:rFonts w:ascii="Palatino Linotype" w:hAnsi="Palatino Linotype" w:cs="Arial"/>
          <w:b/>
          <w:sz w:val="24"/>
        </w:rPr>
        <w:t xml:space="preserve">Notifíquese </w:t>
      </w:r>
      <w:r w:rsidRPr="004C736E">
        <w:rPr>
          <w:rFonts w:ascii="Palatino Linotype" w:hAnsi="Palatino Linotype" w:cs="Arial"/>
          <w:sz w:val="24"/>
        </w:rPr>
        <w:t>la presente resolución</w:t>
      </w:r>
      <w:r>
        <w:rPr>
          <w:rFonts w:ascii="Palatino Linotype" w:hAnsi="Palatino Linotype" w:cs="Arial"/>
          <w:b/>
          <w:sz w:val="24"/>
        </w:rPr>
        <w:t xml:space="preserve"> </w:t>
      </w:r>
      <w:r w:rsidRPr="009B31F5">
        <w:rPr>
          <w:rFonts w:ascii="Palatino Linotype" w:hAnsi="Palatino Linotype" w:cs="Arial"/>
          <w:sz w:val="24"/>
        </w:rPr>
        <w:t xml:space="preserve">a </w:t>
      </w:r>
      <w:r>
        <w:rPr>
          <w:rFonts w:ascii="Palatino Linotype" w:hAnsi="Palatino Linotype" w:cs="Arial"/>
          <w:b/>
          <w:sz w:val="24"/>
        </w:rPr>
        <w:t>La Recurrente</w:t>
      </w:r>
      <w:r>
        <w:rPr>
          <w:rFonts w:ascii="Palatino Linotype" w:hAnsi="Palatino Linotype" w:cs="Arial"/>
          <w:sz w:val="24"/>
        </w:rPr>
        <w:t xml:space="preserve">; asimismo, </w:t>
      </w:r>
      <w:r w:rsidRPr="00141309">
        <w:rPr>
          <w:rFonts w:ascii="Palatino Linotype" w:hAnsi="Palatino Linotype"/>
          <w:color w:val="222222"/>
          <w:sz w:val="24"/>
          <w:szCs w:val="24"/>
          <w:shd w:val="clear" w:color="auto" w:fill="FFFFFF"/>
          <w:lang w:val="es-ES"/>
        </w:rPr>
        <w:t xml:space="preserve">de conformidad con lo establecido en el artículo </w:t>
      </w:r>
      <w:r>
        <w:rPr>
          <w:rFonts w:ascii="Palatino Linotype" w:hAnsi="Palatino Linotype"/>
          <w:color w:val="222222"/>
          <w:sz w:val="24"/>
          <w:szCs w:val="24"/>
          <w:shd w:val="clear" w:color="auto" w:fill="FFFFFF"/>
          <w:lang w:val="es-ES"/>
        </w:rPr>
        <w:t>142 de la Ley de Protección de Datos Personales en Posesión de Sujetos Obligados del Estado de México y Municipios</w:t>
      </w:r>
      <w:r w:rsidRPr="00141309">
        <w:rPr>
          <w:rFonts w:ascii="Palatino Linotype" w:hAnsi="Palatino Linotype"/>
          <w:color w:val="222222"/>
          <w:sz w:val="24"/>
          <w:szCs w:val="24"/>
          <w:shd w:val="clear" w:color="auto" w:fill="FFFFFF"/>
          <w:lang w:val="es-ES"/>
        </w:rPr>
        <w:t>,</w:t>
      </w:r>
      <w:r>
        <w:rPr>
          <w:rStyle w:val="apple-converted-space"/>
          <w:rFonts w:ascii="Palatino Linotype" w:hAnsi="Palatino Linotype"/>
          <w:color w:val="222222"/>
          <w:sz w:val="24"/>
          <w:szCs w:val="24"/>
          <w:shd w:val="clear" w:color="auto" w:fill="FFFFFF"/>
          <w:lang w:val="es-ES"/>
        </w:rPr>
        <w:t xml:space="preserve"> </w:t>
      </w:r>
      <w:r w:rsidRPr="00141309">
        <w:rPr>
          <w:rFonts w:ascii="Palatino Linotype" w:hAnsi="Palatino Linotype"/>
          <w:color w:val="222222"/>
          <w:sz w:val="24"/>
          <w:szCs w:val="24"/>
          <w:shd w:val="clear" w:color="auto" w:fill="FFFFFF"/>
          <w:lang w:val="es-ES"/>
        </w:rPr>
        <w:t xml:space="preserve">podrá </w:t>
      </w:r>
      <w:r>
        <w:rPr>
          <w:rFonts w:ascii="Palatino Linotype" w:hAnsi="Palatino Linotype"/>
          <w:color w:val="222222"/>
          <w:sz w:val="24"/>
          <w:szCs w:val="24"/>
          <w:shd w:val="clear" w:color="auto" w:fill="FFFFFF"/>
          <w:lang w:val="es-ES"/>
        </w:rPr>
        <w:t>promover el</w:t>
      </w:r>
      <w:r w:rsidRPr="00141309">
        <w:rPr>
          <w:rFonts w:ascii="Palatino Linotype" w:hAnsi="Palatino Linotype"/>
          <w:color w:val="222222"/>
          <w:sz w:val="24"/>
          <w:szCs w:val="24"/>
          <w:shd w:val="clear" w:color="auto" w:fill="FFFFFF"/>
          <w:lang w:val="es-ES"/>
        </w:rPr>
        <w:t xml:space="preserve"> Juicio </w:t>
      </w:r>
      <w:r>
        <w:rPr>
          <w:rFonts w:ascii="Palatino Linotype" w:hAnsi="Palatino Linotype"/>
          <w:color w:val="222222"/>
          <w:sz w:val="24"/>
          <w:szCs w:val="24"/>
          <w:shd w:val="clear" w:color="auto" w:fill="FFFFFF"/>
          <w:lang w:val="es-ES"/>
        </w:rPr>
        <w:t>de Amparo en los términos de las</w:t>
      </w:r>
      <w:r w:rsidRPr="00141309">
        <w:rPr>
          <w:rFonts w:ascii="Palatino Linotype" w:hAnsi="Palatino Linotype"/>
          <w:color w:val="222222"/>
          <w:sz w:val="24"/>
          <w:szCs w:val="24"/>
          <w:shd w:val="clear" w:color="auto" w:fill="FFFFFF"/>
          <w:lang w:val="es-ES"/>
        </w:rPr>
        <w:t xml:space="preserve"> leyes aplicables</w:t>
      </w:r>
      <w:r>
        <w:rPr>
          <w:rFonts w:ascii="Palatino Linotype" w:hAnsi="Palatino Linotype"/>
          <w:color w:val="222222"/>
          <w:sz w:val="24"/>
          <w:szCs w:val="24"/>
          <w:shd w:val="clear" w:color="auto" w:fill="FFFFFF"/>
          <w:lang w:val="es-ES"/>
        </w:rPr>
        <w:t>.</w:t>
      </w:r>
    </w:p>
    <w:p w:rsidR="00E15E85" w:rsidRPr="009902AF" w:rsidRDefault="00E15E85" w:rsidP="00E15E85">
      <w:pPr>
        <w:autoSpaceDE w:val="0"/>
        <w:autoSpaceDN w:val="0"/>
        <w:adjustRightInd w:val="0"/>
        <w:spacing w:before="240" w:line="360" w:lineRule="auto"/>
        <w:jc w:val="both"/>
        <w:rPr>
          <w:rFonts w:ascii="Palatino Linotype" w:hAnsi="Palatino Linotype" w:cs="Arial"/>
          <w:b/>
          <w:sz w:val="18"/>
          <w:szCs w:val="18"/>
        </w:rPr>
      </w:pPr>
    </w:p>
    <w:p w:rsidR="00A92871" w:rsidRPr="00E322F9" w:rsidRDefault="00A92871" w:rsidP="00A92871">
      <w:pPr>
        <w:spacing w:after="0" w:line="360" w:lineRule="auto"/>
        <w:jc w:val="both"/>
        <w:rPr>
          <w:rFonts w:ascii="Palatino Linotype" w:hAnsi="Palatino Linotype" w:cs="Arial"/>
          <w:sz w:val="24"/>
          <w:szCs w:val="24"/>
        </w:rPr>
      </w:pPr>
      <w:r w:rsidRPr="0024637B">
        <w:rPr>
          <w:rFonts w:ascii="Palatino Linotype" w:hAnsi="Palatino Linotype" w:cs="Arial"/>
          <w:sz w:val="24"/>
          <w:szCs w:val="24"/>
        </w:rPr>
        <w:t>ASÍ LO RESUELVE, POR UNANIMIDAD DE VOTOS EL PLENO DEL</w:t>
      </w:r>
      <w:r w:rsidRPr="0024637B">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24637B">
        <w:rPr>
          <w:rFonts w:ascii="Palatino Linotype" w:hAnsi="Palatino Linotype" w:cs="Arial"/>
          <w:sz w:val="24"/>
          <w:szCs w:val="24"/>
        </w:rPr>
        <w:t>, CONFORMADO POR LOS COMISIONADOS ZULEMA MARTÍNEZ SÁNCHEZ</w:t>
      </w:r>
      <w:r>
        <w:rPr>
          <w:rFonts w:ascii="Palatino Linotype" w:hAnsi="Palatino Linotype" w:cs="Arial"/>
          <w:sz w:val="24"/>
          <w:szCs w:val="24"/>
        </w:rPr>
        <w:t xml:space="preserve">, </w:t>
      </w:r>
      <w:r w:rsidRPr="0024637B">
        <w:rPr>
          <w:rFonts w:ascii="Palatino Linotype" w:hAnsi="Palatino Linotype" w:cs="Arial"/>
          <w:sz w:val="24"/>
          <w:szCs w:val="24"/>
        </w:rPr>
        <w:t>EVA ABAID YAPUR,</w:t>
      </w:r>
      <w:r>
        <w:rPr>
          <w:rFonts w:ascii="Palatino Linotype" w:hAnsi="Palatino Linotype" w:cs="Arial"/>
          <w:sz w:val="24"/>
          <w:szCs w:val="24"/>
        </w:rPr>
        <w:t xml:space="preserve"> </w:t>
      </w:r>
      <w:r w:rsidRPr="0024637B">
        <w:rPr>
          <w:rFonts w:ascii="Palatino Linotype" w:hAnsi="Palatino Linotype" w:cs="Arial"/>
          <w:sz w:val="24"/>
          <w:szCs w:val="24"/>
        </w:rPr>
        <w:t>JOSÉ GUADALUPE LUNA HERNÁNDEZ</w:t>
      </w:r>
      <w:r>
        <w:rPr>
          <w:rFonts w:ascii="Palatino Linotype" w:hAnsi="Palatino Linotype" w:cs="Arial"/>
          <w:sz w:val="24"/>
          <w:szCs w:val="24"/>
        </w:rPr>
        <w:t xml:space="preserve">, </w:t>
      </w:r>
      <w:r w:rsidRPr="0024637B">
        <w:rPr>
          <w:rFonts w:ascii="Palatino Linotype" w:hAnsi="Palatino Linotype" w:cs="Arial"/>
          <w:sz w:val="24"/>
          <w:szCs w:val="24"/>
        </w:rPr>
        <w:t>JAVIER MARTÍNEZ CRUZ</w:t>
      </w:r>
      <w:r>
        <w:rPr>
          <w:rFonts w:ascii="Palatino Linotype" w:hAnsi="Palatino Linotype" w:cs="Arial"/>
          <w:sz w:val="24"/>
          <w:szCs w:val="24"/>
        </w:rPr>
        <w:t xml:space="preserve"> Y </w:t>
      </w:r>
      <w:r w:rsidRPr="00E07455">
        <w:rPr>
          <w:rFonts w:ascii="Palatino Linotype" w:hAnsi="Palatino Linotype" w:cs="Arial"/>
          <w:sz w:val="24"/>
          <w:szCs w:val="24"/>
        </w:rPr>
        <w:t>LUIS GUSTAVO PARRA NORIEGA</w:t>
      </w:r>
      <w:r>
        <w:rPr>
          <w:rFonts w:ascii="Palatino Linotype" w:hAnsi="Palatino Linotype" w:cs="Arial"/>
          <w:sz w:val="24"/>
          <w:szCs w:val="24"/>
        </w:rPr>
        <w:t xml:space="preserve">, </w:t>
      </w:r>
      <w:r w:rsidRPr="0024637B">
        <w:rPr>
          <w:rFonts w:ascii="Palatino Linotype" w:hAnsi="Palatino Linotype" w:cs="Arial"/>
          <w:sz w:val="24"/>
          <w:szCs w:val="24"/>
        </w:rPr>
        <w:t xml:space="preserve">EN LA </w:t>
      </w:r>
      <w:r>
        <w:rPr>
          <w:rFonts w:ascii="Palatino Linotype" w:hAnsi="Palatino Linotype" w:cs="Arial"/>
          <w:sz w:val="24"/>
          <w:szCs w:val="24"/>
        </w:rPr>
        <w:t>CUADRAGÉSIMA TERCERA SESIÓN ORDINARIA CELEBRADA EL VEINTIDÓS DE NOVIEMBRE</w:t>
      </w:r>
      <w:r>
        <w:rPr>
          <w:rFonts w:ascii="Palatino Linotype" w:eastAsia="Times New Roman" w:hAnsi="Palatino Linotype" w:cs="Arial"/>
          <w:color w:val="000000"/>
          <w:sz w:val="24"/>
          <w:szCs w:val="24"/>
          <w:lang w:eastAsia="es-MX"/>
        </w:rPr>
        <w:t xml:space="preserve"> </w:t>
      </w:r>
      <w:r w:rsidRPr="0024637B">
        <w:rPr>
          <w:rFonts w:ascii="Palatino Linotype" w:hAnsi="Palatino Linotype" w:cs="Arial"/>
          <w:sz w:val="24"/>
          <w:szCs w:val="24"/>
        </w:rPr>
        <w:t>DE DOS MIL DIECI</w:t>
      </w:r>
      <w:r>
        <w:rPr>
          <w:rFonts w:ascii="Palatino Linotype" w:hAnsi="Palatino Linotype" w:cs="Arial"/>
          <w:sz w:val="24"/>
          <w:szCs w:val="24"/>
        </w:rPr>
        <w:t>OCHO</w:t>
      </w:r>
      <w:r w:rsidRPr="0024637B">
        <w:rPr>
          <w:rFonts w:ascii="Palatino Linotype" w:hAnsi="Palatino Linotype" w:cs="Arial"/>
          <w:sz w:val="24"/>
          <w:szCs w:val="24"/>
        </w:rPr>
        <w:t xml:space="preserve">, ANTE </w:t>
      </w:r>
      <w:r>
        <w:rPr>
          <w:rFonts w:ascii="Palatino Linotype" w:hAnsi="Palatino Linotype" w:cs="Arial"/>
          <w:sz w:val="24"/>
          <w:szCs w:val="24"/>
        </w:rPr>
        <w:t>EL</w:t>
      </w:r>
      <w:r w:rsidRPr="0024637B">
        <w:rPr>
          <w:rFonts w:ascii="Palatino Linotype" w:hAnsi="Palatino Linotype" w:cs="Arial"/>
          <w:sz w:val="24"/>
          <w:szCs w:val="24"/>
        </w:rPr>
        <w:t xml:space="preserve"> SECRETARI</w:t>
      </w:r>
      <w:r>
        <w:rPr>
          <w:rFonts w:ascii="Palatino Linotype" w:hAnsi="Palatino Linotype" w:cs="Arial"/>
          <w:sz w:val="24"/>
          <w:szCs w:val="24"/>
        </w:rPr>
        <w:t>O</w:t>
      </w:r>
      <w:r w:rsidRPr="0024637B">
        <w:rPr>
          <w:rFonts w:ascii="Palatino Linotype" w:hAnsi="Palatino Linotype" w:cs="Arial"/>
          <w:sz w:val="24"/>
          <w:szCs w:val="24"/>
        </w:rPr>
        <w:t xml:space="preserve"> TÉCNIC</w:t>
      </w:r>
      <w:r>
        <w:rPr>
          <w:rFonts w:ascii="Palatino Linotype" w:hAnsi="Palatino Linotype" w:cs="Arial"/>
          <w:sz w:val="24"/>
          <w:szCs w:val="24"/>
        </w:rPr>
        <w:t>O</w:t>
      </w:r>
      <w:r w:rsidRPr="0024637B">
        <w:rPr>
          <w:rFonts w:ascii="Palatino Linotype" w:hAnsi="Palatino Linotype" w:cs="Arial"/>
          <w:sz w:val="24"/>
          <w:szCs w:val="24"/>
        </w:rPr>
        <w:t xml:space="preserve"> DEL PLENO, </w:t>
      </w:r>
      <w:r w:rsidRPr="00B86F1F">
        <w:rPr>
          <w:rFonts w:ascii="Palatino Linotype" w:hAnsi="Palatino Linotype" w:cs="Arial"/>
          <w:sz w:val="24"/>
          <w:szCs w:val="24"/>
        </w:rPr>
        <w:t>ALEXIS TAPIA RAMÍREZ</w:t>
      </w:r>
      <w:r>
        <w:rPr>
          <w:rFonts w:ascii="Palatino Linotype" w:hAnsi="Palatino Linotype" w:cs="Arial"/>
          <w:sz w:val="24"/>
          <w:szCs w:val="24"/>
        </w:rPr>
        <w:t>.--------------------------------------------------------------------------------------------------------------------------------------------------------------------------------------------------------------------------------------------------------------------------------------------------------------------------</w:t>
      </w:r>
    </w:p>
    <w:p w:rsidR="00A92871" w:rsidRDefault="00A92871" w:rsidP="00A92871">
      <w:pPr>
        <w:spacing w:before="240"/>
        <w:jc w:val="both"/>
        <w:rPr>
          <w:rFonts w:ascii="Palatino Linotype" w:hAnsi="Palatino Linotype"/>
        </w:rPr>
      </w:pPr>
    </w:p>
    <w:p w:rsidR="00A92871" w:rsidRDefault="00A92871" w:rsidP="00A92871">
      <w:pPr>
        <w:spacing w:before="240"/>
        <w:jc w:val="both"/>
        <w:rPr>
          <w:rFonts w:ascii="Palatino Linotype" w:hAnsi="Palatino Linotype"/>
        </w:rPr>
      </w:pPr>
    </w:p>
    <w:p w:rsidR="00A92871" w:rsidRDefault="00A92871" w:rsidP="00A92871">
      <w:pPr>
        <w:spacing w:before="240"/>
        <w:jc w:val="both"/>
        <w:rPr>
          <w:rFonts w:ascii="Palatino Linotype" w:hAnsi="Palatino Linotype"/>
        </w:rPr>
      </w:pPr>
    </w:p>
    <w:p w:rsidR="00A92871" w:rsidRDefault="00A92871" w:rsidP="00A92871">
      <w:pPr>
        <w:spacing w:before="240"/>
        <w:jc w:val="both"/>
        <w:rPr>
          <w:rFonts w:ascii="Palatino Linotype" w:hAnsi="Palatino Linotype"/>
        </w:rPr>
      </w:pPr>
      <w:r w:rsidRPr="00D54B7D">
        <w:rPr>
          <w:rFonts w:ascii="Palatino Linotype" w:hAnsi="Palatino Linotype"/>
          <w:noProof/>
          <w:lang w:eastAsia="es-MX"/>
        </w:rPr>
        <mc:AlternateContent>
          <mc:Choice Requires="wps">
            <w:drawing>
              <wp:anchor distT="45720" distB="45720" distL="114300" distR="114300" simplePos="0" relativeHeight="251663360" behindDoc="0" locked="0" layoutInCell="1" allowOverlap="1" wp14:anchorId="5B621B46" wp14:editId="5DBD32A1">
                <wp:simplePos x="0" y="0"/>
                <wp:positionH relativeFrom="page">
                  <wp:posOffset>2695575</wp:posOffset>
                </wp:positionH>
                <wp:positionV relativeFrom="paragraph">
                  <wp:posOffset>256540</wp:posOffset>
                </wp:positionV>
                <wp:extent cx="2360930" cy="914400"/>
                <wp:effectExtent l="0" t="0" r="635" b="0"/>
                <wp:wrapSquare wrapText="bothSides"/>
                <wp:docPr id="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noFill/>
                          <a:miter lim="800000"/>
                          <a:headEnd/>
                          <a:tailEnd/>
                        </a:ln>
                      </wps:spPr>
                      <wps:txbx>
                        <w:txbxContent>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92871"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pPr>
                              <w:spacing w:line="240" w:lineRule="auto"/>
                              <w:jc w:val="center"/>
                              <w:rPr>
                                <w:rFonts w:ascii="Palatino Linotype" w:hAnsi="Palatino Linotype"/>
                                <w:sz w:val="24"/>
                                <w:szCs w:val="24"/>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5B621B46" id="_x0000_t202" coordsize="21600,21600" o:spt="202" path="m,l,21600r21600,l21600,xe">
                <v:stroke joinstyle="miter"/>
                <v:path gradientshapeok="t" o:connecttype="rect"/>
              </v:shapetype>
              <v:shape id="Cuadro de texto 2" o:spid="_x0000_s1026" type="#_x0000_t202" style="position:absolute;left:0;text-align:left;margin-left:212.25pt;margin-top:20.2pt;width:185.9pt;height:1in;z-index:251663360;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" stroked="f">
                <v:textbox>
                  <w:txbxContent>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b/>
                          <w:sz w:val="24"/>
                          <w:szCs w:val="24"/>
                        </w:rPr>
                        <w:t>Zulema Martínez Sánchez</w:t>
                      </w:r>
                    </w:p>
                    <w:p w:rsidR="00A92871"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Comisionada</w:t>
                      </w:r>
                      <w:r>
                        <w:rPr>
                          <w:rFonts w:ascii="Palatino Linotype" w:hAnsi="Palatino Linotype"/>
                          <w:sz w:val="24"/>
                          <w:szCs w:val="24"/>
                        </w:rPr>
                        <w:t xml:space="preserve"> Presidenta</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pPr>
                        <w:spacing w:line="240" w:lineRule="auto"/>
                        <w:jc w:val="center"/>
                        <w:rPr>
                          <w:rFonts w:ascii="Palatino Linotype" w:hAnsi="Palatino Linotype"/>
                          <w:sz w:val="24"/>
                          <w:szCs w:val="24"/>
                        </w:rPr>
                      </w:pPr>
                    </w:p>
                  </w:txbxContent>
                </v:textbox>
                <w10:wrap type="square" anchorx="page"/>
              </v:shape>
            </w:pict>
          </mc:Fallback>
        </mc:AlternateContent>
      </w:r>
    </w:p>
    <w:p w:rsidR="00A92871" w:rsidRPr="00D54B7D" w:rsidRDefault="00A92871" w:rsidP="00A92871">
      <w:pPr>
        <w:spacing w:before="240"/>
        <w:jc w:val="both"/>
        <w:rPr>
          <w:rFonts w:ascii="Palatino Linotype" w:hAnsi="Palatino Linotype"/>
        </w:rPr>
      </w:pPr>
    </w:p>
    <w:p w:rsidR="00A92871" w:rsidRPr="00D54B7D" w:rsidRDefault="00A92871" w:rsidP="00A92871">
      <w:pPr>
        <w:spacing w:before="240"/>
        <w:rPr>
          <w:rFonts w:ascii="Palatino Linotype" w:hAnsi="Palatino Linotype"/>
        </w:rPr>
      </w:pPr>
    </w:p>
    <w:p w:rsidR="00A92871" w:rsidRDefault="00A92871" w:rsidP="00A92871">
      <w:pPr>
        <w:spacing w:before="240"/>
        <w:rPr>
          <w:rFonts w:ascii="Palatino Linotype" w:hAnsi="Palatino Linotype"/>
          <w:b/>
        </w:rPr>
      </w:pPr>
    </w:p>
    <w:p w:rsidR="00A92871" w:rsidRDefault="00A92871" w:rsidP="00A92871">
      <w:pPr>
        <w:spacing w:before="240"/>
        <w:rPr>
          <w:rFonts w:ascii="Palatino Linotype" w:hAnsi="Palatino Linotype"/>
          <w:b/>
        </w:rPr>
      </w:pPr>
    </w:p>
    <w:p w:rsidR="00A92871" w:rsidRDefault="00A92871" w:rsidP="00A92871">
      <w:pPr>
        <w:spacing w:before="240"/>
        <w:rPr>
          <w:rFonts w:ascii="Palatino Linotype" w:hAnsi="Palatino Linotype"/>
          <w:b/>
        </w:rPr>
      </w:pPr>
      <w:r w:rsidRPr="00D54B7D">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3E4C4166" wp14:editId="0E75CA03">
                <wp:simplePos x="0" y="0"/>
                <wp:positionH relativeFrom="margin">
                  <wp:align>right</wp:align>
                </wp:positionH>
                <wp:positionV relativeFrom="paragraph">
                  <wp:posOffset>11430</wp:posOffset>
                </wp:positionV>
                <wp:extent cx="2543175" cy="936346"/>
                <wp:effectExtent l="0" t="0" r="28575" b="16510"/>
                <wp:wrapNone/>
                <wp:docPr id="35" name="Cuadro de texto 35"/>
                <wp:cNvGraphicFramePr/>
                <a:graphic xmlns:a="http://schemas.openxmlformats.org/drawingml/2006/main">
                  <a:graphicData uri="http://schemas.microsoft.com/office/word/2010/wordprocessingShape">
                    <wps:wsp>
                      <wps:cNvSpPr txBox="1"/>
                      <wps:spPr>
                        <a:xfrm>
                          <a:off x="0" y="0"/>
                          <a:ext cx="2543175" cy="93634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2871" w:rsidRPr="00EF2FC0" w:rsidRDefault="00A92871" w:rsidP="00A9287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92871"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Pr="00797B31" w:rsidRDefault="00A92871" w:rsidP="00A92871">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4166" id="Cuadro de texto 35" o:spid="_x0000_s1027" type="#_x0000_t202" style="position:absolute;margin-left:149.05pt;margin-top:.9pt;width:200.25pt;height:73.7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" fillcolor="white [3201]" strokecolor="white [3212]" strokeweight=".5pt">
                <v:textbox>
                  <w:txbxContent>
                    <w:p w:rsidR="00A92871" w:rsidRPr="00EF2FC0" w:rsidRDefault="00A92871" w:rsidP="00A92871">
                      <w:pPr>
                        <w:spacing w:line="240" w:lineRule="auto"/>
                        <w:jc w:val="center"/>
                        <w:rPr>
                          <w:rFonts w:ascii="Palatino Linotype" w:hAnsi="Palatino Linotype"/>
                          <w:sz w:val="24"/>
                          <w:szCs w:val="24"/>
                        </w:rPr>
                      </w:pPr>
                      <w:r>
                        <w:rPr>
                          <w:rFonts w:ascii="Palatino Linotype" w:hAnsi="Palatino Linotype"/>
                          <w:b/>
                          <w:sz w:val="24"/>
                          <w:szCs w:val="24"/>
                        </w:rPr>
                        <w:t>José Guadalupe Luna Hernández</w:t>
                      </w:r>
                    </w:p>
                    <w:p w:rsidR="00A92871"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Pr="00797B31" w:rsidRDefault="00A92871" w:rsidP="00A92871">
                      <w:pPr>
                        <w:spacing w:line="240" w:lineRule="auto"/>
                        <w:jc w:val="center"/>
                        <w:rPr>
                          <w:rFonts w:ascii="Palatino Linotype" w:hAnsi="Palatino Linotype"/>
                          <w:sz w:val="24"/>
                          <w:szCs w:val="24"/>
                        </w:rPr>
                      </w:pPr>
                    </w:p>
                  </w:txbxContent>
                </v:textbox>
                <w10:wrap anchorx="margin"/>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57D39467" wp14:editId="6AF11FE9">
                <wp:simplePos x="0" y="0"/>
                <wp:positionH relativeFrom="margin">
                  <wp:align>left</wp:align>
                </wp:positionH>
                <wp:positionV relativeFrom="paragraph">
                  <wp:posOffset>20956</wp:posOffset>
                </wp:positionV>
                <wp:extent cx="1943100" cy="994867"/>
                <wp:effectExtent l="0" t="0" r="19050" b="15240"/>
                <wp:wrapNone/>
                <wp:docPr id="22" name="Cuadro de texto 22"/>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2871" w:rsidRPr="00EF2FC0" w:rsidRDefault="00A92871" w:rsidP="00A92871">
                            <w:pPr>
                              <w:jc w:val="center"/>
                              <w:rPr>
                                <w:rFonts w:ascii="Palatino Linotype" w:hAnsi="Palatino Linotype"/>
                                <w:b/>
                                <w:sz w:val="24"/>
                                <w:szCs w:val="24"/>
                              </w:rPr>
                            </w:pPr>
                            <w:r w:rsidRPr="00EF2FC0">
                              <w:rPr>
                                <w:rFonts w:ascii="Palatino Linotype" w:hAnsi="Palatino Linotype"/>
                                <w:b/>
                                <w:sz w:val="24"/>
                                <w:szCs w:val="24"/>
                              </w:rPr>
                              <w:t>Eva Abaid Yapur</w:t>
                            </w:r>
                          </w:p>
                          <w:p w:rsidR="00A92871" w:rsidRPr="00EF2FC0" w:rsidRDefault="00A92871" w:rsidP="00A92871">
                            <w:pPr>
                              <w:jc w:val="center"/>
                              <w:rPr>
                                <w:rFonts w:ascii="Palatino Linotype" w:hAnsi="Palatino Linotype"/>
                                <w:sz w:val="24"/>
                                <w:szCs w:val="24"/>
                              </w:rPr>
                            </w:pPr>
                            <w:r w:rsidRPr="00EF2FC0">
                              <w:rPr>
                                <w:rFonts w:ascii="Palatino Linotype" w:hAnsi="Palatino Linotype"/>
                                <w:sz w:val="24"/>
                                <w:szCs w:val="24"/>
                              </w:rPr>
                              <w:t>Comisionada</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39467" id="Cuadro de texto 22" o:spid="_x0000_s1028" type="#_x0000_t202" style="position:absolute;margin-left:0;margin-top:1.65pt;width:153pt;height:78.3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zWmQIAAMI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" fillcolor="white [3201]" strokecolor="white [3212]" strokeweight=".5pt">
                <v:textbox>
                  <w:txbxContent>
                    <w:p w:rsidR="00A92871" w:rsidRPr="00EF2FC0" w:rsidRDefault="00A92871" w:rsidP="00A92871">
                      <w:pPr>
                        <w:jc w:val="center"/>
                        <w:rPr>
                          <w:rFonts w:ascii="Palatino Linotype" w:hAnsi="Palatino Linotype"/>
                          <w:b/>
                          <w:sz w:val="24"/>
                          <w:szCs w:val="24"/>
                        </w:rPr>
                      </w:pPr>
                      <w:r w:rsidRPr="00EF2FC0">
                        <w:rPr>
                          <w:rFonts w:ascii="Palatino Linotype" w:hAnsi="Palatino Linotype"/>
                          <w:b/>
                          <w:sz w:val="24"/>
                          <w:szCs w:val="24"/>
                        </w:rPr>
                        <w:t>Eva Abaid Yapur</w:t>
                      </w:r>
                    </w:p>
                    <w:p w:rsidR="00A92871" w:rsidRPr="00EF2FC0" w:rsidRDefault="00A92871" w:rsidP="00A92871">
                      <w:pPr>
                        <w:jc w:val="center"/>
                        <w:rPr>
                          <w:rFonts w:ascii="Palatino Linotype" w:hAnsi="Palatino Linotype"/>
                          <w:sz w:val="24"/>
                          <w:szCs w:val="24"/>
                        </w:rPr>
                      </w:pPr>
                      <w:r w:rsidRPr="00EF2FC0">
                        <w:rPr>
                          <w:rFonts w:ascii="Palatino Linotype" w:hAnsi="Palatino Linotype"/>
                          <w:sz w:val="24"/>
                          <w:szCs w:val="24"/>
                        </w:rPr>
                        <w:t>Comisionada</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pPr>
                        <w:jc w:val="center"/>
                      </w:pPr>
                    </w:p>
                  </w:txbxContent>
                </v:textbox>
                <w10:wrap anchorx="margin"/>
              </v:shape>
            </w:pict>
          </mc:Fallback>
        </mc:AlternateContent>
      </w:r>
    </w:p>
    <w:p w:rsidR="00A92871" w:rsidRPr="00D54B7D" w:rsidRDefault="00A92871" w:rsidP="00A92871">
      <w:pPr>
        <w:spacing w:before="240"/>
        <w:rPr>
          <w:rFonts w:ascii="Palatino Linotype" w:hAnsi="Palatino Linotype"/>
          <w:b/>
        </w:rPr>
      </w:pPr>
    </w:p>
    <w:p w:rsidR="00A92871" w:rsidRPr="00D54B7D" w:rsidRDefault="00A92871" w:rsidP="00A92871">
      <w:pPr>
        <w:spacing w:before="240"/>
        <w:rPr>
          <w:rFonts w:ascii="Palatino Linotype" w:hAnsi="Palatino Linotype"/>
          <w:b/>
        </w:rPr>
      </w:pPr>
    </w:p>
    <w:p w:rsidR="00A92871" w:rsidRDefault="00A92871" w:rsidP="00A92871">
      <w:pPr>
        <w:spacing w:before="240"/>
        <w:rPr>
          <w:rFonts w:ascii="Palatino Linotype" w:hAnsi="Palatino Linotype"/>
          <w:b/>
        </w:rPr>
      </w:pPr>
    </w:p>
    <w:p w:rsidR="00A92871" w:rsidRPr="00B93570" w:rsidRDefault="00A92871" w:rsidP="00A92871">
      <w:pPr>
        <w:spacing w:before="240"/>
        <w:rPr>
          <w:rFonts w:ascii="Palatino Linotype" w:hAnsi="Palatino Linotype"/>
          <w:b/>
          <w:sz w:val="18"/>
          <w:szCs w:val="18"/>
        </w:rPr>
      </w:pPr>
    </w:p>
    <w:p w:rsidR="00A92871" w:rsidRPr="00B93570" w:rsidRDefault="00A92871" w:rsidP="00A92871">
      <w:pPr>
        <w:spacing w:before="240"/>
        <w:rPr>
          <w:rFonts w:ascii="Palatino Linotype" w:hAnsi="Palatino Linotype"/>
          <w:b/>
          <w:sz w:val="18"/>
          <w:szCs w:val="18"/>
        </w:rPr>
      </w:pPr>
      <w:r w:rsidRPr="00D54B7D">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F622E72" wp14:editId="349CAE8C">
                <wp:simplePos x="0" y="0"/>
                <wp:positionH relativeFrom="page">
                  <wp:posOffset>4547235</wp:posOffset>
                </wp:positionH>
                <wp:positionV relativeFrom="paragraph">
                  <wp:posOffset>89535</wp:posOffset>
                </wp:positionV>
                <wp:extent cx="2133600" cy="943661"/>
                <wp:effectExtent l="0" t="0" r="19050" b="27940"/>
                <wp:wrapNone/>
                <wp:docPr id="18" name="Cuadro de texto 18"/>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2871" w:rsidRPr="00EF2FC0" w:rsidRDefault="00A92871" w:rsidP="00A9287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2E72" id="Cuadro de texto 18" o:spid="_x0000_s1029" type="#_x0000_t202" style="position:absolute;margin-left:358.05pt;margin-top:7.05pt;width:168pt;height:74.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DZkmAIAAMI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" fillcolor="white [3201]" strokecolor="white [3212]" strokeweight=".5pt">
                <v:textbox>
                  <w:txbxContent>
                    <w:p w:rsidR="00A92871" w:rsidRPr="00EF2FC0" w:rsidRDefault="00A92871" w:rsidP="00A92871">
                      <w:pPr>
                        <w:spacing w:line="240" w:lineRule="auto"/>
                        <w:jc w:val="center"/>
                        <w:rPr>
                          <w:rFonts w:ascii="Palatino Linotype" w:hAnsi="Palatino Linotype"/>
                          <w:sz w:val="24"/>
                          <w:szCs w:val="24"/>
                        </w:rPr>
                      </w:pPr>
                      <w:r>
                        <w:rPr>
                          <w:rFonts w:ascii="Palatino Linotype" w:hAnsi="Palatino Linotype"/>
                          <w:b/>
                          <w:sz w:val="24"/>
                          <w:szCs w:val="24"/>
                        </w:rPr>
                        <w:t>Luis Gustavo Parra Noriega</w:t>
                      </w:r>
                    </w:p>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txbxContent>
                </v:textbox>
                <w10:wrap anchorx="page"/>
              </v:shape>
            </w:pict>
          </mc:Fallback>
        </mc:AlternateContent>
      </w:r>
      <w:r w:rsidRPr="00D54B7D">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79E0F03F" wp14:editId="456D945A">
                <wp:simplePos x="0" y="0"/>
                <wp:positionH relativeFrom="page">
                  <wp:posOffset>1085850</wp:posOffset>
                </wp:positionH>
                <wp:positionV relativeFrom="paragraph">
                  <wp:posOffset>88900</wp:posOffset>
                </wp:positionV>
                <wp:extent cx="2133600" cy="943661"/>
                <wp:effectExtent l="0" t="0" r="19050" b="27940"/>
                <wp:wrapNone/>
                <wp:docPr id="2" name="Cuadro de texto 2"/>
                <wp:cNvGraphicFramePr/>
                <a:graphic xmlns:a="http://schemas.openxmlformats.org/drawingml/2006/main">
                  <a:graphicData uri="http://schemas.microsoft.com/office/word/2010/wordprocessingShape">
                    <wps:wsp>
                      <wps:cNvSpPr txBox="1"/>
                      <wps:spPr>
                        <a:xfrm>
                          <a:off x="0" y="0"/>
                          <a:ext cx="2133600" cy="94366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0F03F" id="_x0000_s1030" type="#_x0000_t202" style="position:absolute;margin-left:85.5pt;margin-top:7pt;width:168pt;height:74.3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" fillcolor="white [3201]" strokecolor="white [3212]" strokeweight=".5pt">
                <v:textbox>
                  <w:txbxContent>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rsidR="00A92871" w:rsidRPr="00EF2FC0" w:rsidRDefault="00A92871" w:rsidP="00A92871">
                      <w:pPr>
                        <w:spacing w:line="240" w:lineRule="auto"/>
                        <w:jc w:val="center"/>
                        <w:rPr>
                          <w:rFonts w:ascii="Palatino Linotype" w:hAnsi="Palatino Linotype"/>
                          <w:sz w:val="24"/>
                          <w:szCs w:val="24"/>
                        </w:rPr>
                      </w:pPr>
                      <w:r w:rsidRPr="00EF2FC0">
                        <w:rPr>
                          <w:rFonts w:ascii="Palatino Linotype" w:hAnsi="Palatino Linotype"/>
                          <w:sz w:val="24"/>
                          <w:szCs w:val="24"/>
                        </w:rPr>
                        <w:t>Comisionado</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(Rúbrica).</w:t>
                      </w:r>
                    </w:p>
                    <w:p w:rsidR="00A92871" w:rsidRDefault="00A92871" w:rsidP="00A92871"/>
                  </w:txbxContent>
                </v:textbox>
                <w10:wrap anchorx="page"/>
              </v:shape>
            </w:pict>
          </mc:Fallback>
        </mc:AlternateContent>
      </w:r>
    </w:p>
    <w:p w:rsidR="00A92871" w:rsidRDefault="00A92871" w:rsidP="00A92871">
      <w:pPr>
        <w:spacing w:before="240"/>
        <w:rPr>
          <w:rFonts w:ascii="Palatino Linotype" w:hAnsi="Palatino Linotype"/>
          <w:b/>
        </w:rPr>
      </w:pPr>
    </w:p>
    <w:p w:rsidR="00A92871" w:rsidRDefault="00A92871" w:rsidP="00A92871">
      <w:pPr>
        <w:spacing w:before="240"/>
        <w:rPr>
          <w:rFonts w:ascii="Palatino Linotype" w:hAnsi="Palatino Linotype"/>
          <w:b/>
        </w:rPr>
      </w:pPr>
    </w:p>
    <w:p w:rsidR="00A92871" w:rsidRDefault="00A92871" w:rsidP="00A92871">
      <w:pPr>
        <w:spacing w:before="240"/>
        <w:rPr>
          <w:rFonts w:ascii="Palatino Linotype" w:hAnsi="Palatino Linotype" w:cs="Arial"/>
          <w:szCs w:val="20"/>
        </w:rPr>
      </w:pPr>
    </w:p>
    <w:p w:rsidR="00A92871" w:rsidRDefault="00A92871" w:rsidP="00A92871">
      <w:pPr>
        <w:spacing w:before="240"/>
        <w:rPr>
          <w:rFonts w:ascii="Palatino Linotype" w:hAnsi="Palatino Linotype" w:cs="Arial"/>
          <w:szCs w:val="20"/>
        </w:rPr>
      </w:pPr>
      <w:r w:rsidRPr="00D54B7D">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17E11717" wp14:editId="313F9164">
                <wp:simplePos x="0" y="0"/>
                <wp:positionH relativeFrom="page">
                  <wp:posOffset>2273300</wp:posOffset>
                </wp:positionH>
                <wp:positionV relativeFrom="paragraph">
                  <wp:posOffset>140970</wp:posOffset>
                </wp:positionV>
                <wp:extent cx="3152775" cy="950976"/>
                <wp:effectExtent l="0" t="0" r="28575" b="20955"/>
                <wp:wrapNone/>
                <wp:docPr id="24" name="Cuadro de texto 24"/>
                <wp:cNvGraphicFramePr/>
                <a:graphic xmlns:a="http://schemas.openxmlformats.org/drawingml/2006/main">
                  <a:graphicData uri="http://schemas.microsoft.com/office/word/2010/wordprocessingShape">
                    <wps:wsp>
                      <wps:cNvSpPr txBox="1"/>
                      <wps:spPr>
                        <a:xfrm>
                          <a:off x="0" y="0"/>
                          <a:ext cx="3152775" cy="95097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92871" w:rsidRPr="007F6133" w:rsidRDefault="00A92871" w:rsidP="00A92871">
                            <w:pPr>
                              <w:jc w:val="center"/>
                              <w:rPr>
                                <w:rFonts w:ascii="Palatino Linotype" w:hAnsi="Palatino Linotype"/>
                                <w:b/>
                                <w:sz w:val="24"/>
                                <w:szCs w:val="24"/>
                              </w:rPr>
                            </w:pPr>
                            <w:r w:rsidRPr="00B86F1F">
                              <w:rPr>
                                <w:rFonts w:ascii="Palatino Linotype" w:hAnsi="Palatino Linotype"/>
                                <w:b/>
                                <w:sz w:val="24"/>
                                <w:szCs w:val="24"/>
                              </w:rPr>
                              <w:t>Alexis Tapia Ramírez</w:t>
                            </w:r>
                          </w:p>
                          <w:p w:rsidR="00A92871" w:rsidRDefault="00A92871" w:rsidP="00A9287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92871" w:rsidRDefault="00A92871" w:rsidP="00A92871">
                            <w:pPr>
                              <w:jc w:val="center"/>
                              <w:rPr>
                                <w:rFonts w:ascii="Palatino Linotype" w:hAnsi="Palatino Linotype"/>
                                <w:sz w:val="24"/>
                                <w:szCs w:val="24"/>
                              </w:rPr>
                            </w:pPr>
                          </w:p>
                          <w:p w:rsidR="00A92871" w:rsidRPr="00EF2FC0" w:rsidRDefault="00A92871" w:rsidP="00A92871">
                            <w:pPr>
                              <w:jc w:val="center"/>
                              <w:rPr>
                                <w:rFonts w:ascii="Palatino Linotype" w:hAnsi="Palatino Linotype"/>
                                <w:sz w:val="24"/>
                                <w:szCs w:val="24"/>
                              </w:rPr>
                            </w:pPr>
                          </w:p>
                          <w:p w:rsidR="00A92871" w:rsidRDefault="00A92871" w:rsidP="00A9287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11717" id="Cuadro de texto 24" o:spid="_x0000_s1031" type="#_x0000_t202" style="position:absolute;margin-left:179pt;margin-top:11.1pt;width:248.25pt;height:74.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" fillcolor="white [3201]" strokecolor="white [3212]" strokeweight=".5pt">
                <v:textbox>
                  <w:txbxContent>
                    <w:p w:rsidR="00A92871" w:rsidRPr="007F6133" w:rsidRDefault="00A92871" w:rsidP="00A92871">
                      <w:pPr>
                        <w:jc w:val="center"/>
                        <w:rPr>
                          <w:rFonts w:ascii="Palatino Linotype" w:hAnsi="Palatino Linotype"/>
                          <w:b/>
                          <w:sz w:val="24"/>
                          <w:szCs w:val="24"/>
                        </w:rPr>
                      </w:pPr>
                      <w:r w:rsidRPr="00B86F1F">
                        <w:rPr>
                          <w:rFonts w:ascii="Palatino Linotype" w:hAnsi="Palatino Linotype"/>
                          <w:b/>
                          <w:sz w:val="24"/>
                          <w:szCs w:val="24"/>
                        </w:rPr>
                        <w:t>Alexis Tapia Ramírez</w:t>
                      </w:r>
                    </w:p>
                    <w:p w:rsidR="00A92871" w:rsidRDefault="00A92871" w:rsidP="00A92871">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rsidR="00A92871" w:rsidRDefault="00A92871" w:rsidP="00A92871">
                      <w:pPr>
                        <w:spacing w:line="240" w:lineRule="auto"/>
                        <w:jc w:val="center"/>
                        <w:rPr>
                          <w:rFonts w:ascii="Palatino Linotype" w:hAnsi="Palatino Linotype"/>
                          <w:b/>
                          <w:sz w:val="24"/>
                          <w:szCs w:val="24"/>
                        </w:rPr>
                      </w:pPr>
                      <w:r>
                        <w:rPr>
                          <w:rFonts w:ascii="Palatino Linotype" w:hAnsi="Palatino Linotype"/>
                          <w:b/>
                          <w:sz w:val="24"/>
                          <w:szCs w:val="24"/>
                        </w:rPr>
                        <w:t xml:space="preserve"> (Rúbrica).</w:t>
                      </w:r>
                    </w:p>
                    <w:p w:rsidR="00A92871" w:rsidRDefault="00A92871" w:rsidP="00A92871">
                      <w:pPr>
                        <w:jc w:val="center"/>
                        <w:rPr>
                          <w:rFonts w:ascii="Palatino Linotype" w:hAnsi="Palatino Linotype"/>
                          <w:sz w:val="24"/>
                          <w:szCs w:val="24"/>
                        </w:rPr>
                      </w:pPr>
                    </w:p>
                    <w:p w:rsidR="00A92871" w:rsidRPr="00EF2FC0" w:rsidRDefault="00A92871" w:rsidP="00A92871">
                      <w:pPr>
                        <w:jc w:val="center"/>
                        <w:rPr>
                          <w:rFonts w:ascii="Palatino Linotype" w:hAnsi="Palatino Linotype"/>
                          <w:sz w:val="24"/>
                          <w:szCs w:val="24"/>
                        </w:rPr>
                      </w:pPr>
                    </w:p>
                    <w:p w:rsidR="00A92871" w:rsidRDefault="00A92871" w:rsidP="00A92871"/>
                  </w:txbxContent>
                </v:textbox>
                <w10:wrap anchorx="page"/>
              </v:shape>
            </w:pict>
          </mc:Fallback>
        </mc:AlternateContent>
      </w:r>
    </w:p>
    <w:p w:rsidR="00A92871" w:rsidRDefault="00A92871" w:rsidP="00A92871">
      <w:pPr>
        <w:spacing w:before="240"/>
        <w:rPr>
          <w:rFonts w:ascii="Palatino Linotype" w:hAnsi="Palatino Linotype" w:cs="Arial"/>
          <w:sz w:val="18"/>
          <w:szCs w:val="18"/>
        </w:rPr>
      </w:pPr>
    </w:p>
    <w:p w:rsidR="00A92871" w:rsidRDefault="00A92871" w:rsidP="00A92871">
      <w:pPr>
        <w:spacing w:before="240"/>
        <w:jc w:val="both"/>
        <w:rPr>
          <w:rFonts w:ascii="Palatino Linotype" w:hAnsi="Palatino Linotype" w:cs="Arial"/>
          <w:sz w:val="18"/>
          <w:szCs w:val="18"/>
        </w:rPr>
      </w:pPr>
    </w:p>
    <w:p w:rsidR="00A92871" w:rsidRDefault="00A92871" w:rsidP="00A92871">
      <w:pPr>
        <w:spacing w:after="0" w:line="276" w:lineRule="auto"/>
        <w:jc w:val="both"/>
        <w:rPr>
          <w:rFonts w:ascii="Palatino Linotype" w:hAnsi="Palatino Linotype" w:cs="Arial"/>
          <w:sz w:val="16"/>
          <w:szCs w:val="16"/>
        </w:rPr>
      </w:pPr>
    </w:p>
    <w:p w:rsidR="00A92871" w:rsidRDefault="00A92871" w:rsidP="00A92871">
      <w:pPr>
        <w:spacing w:after="0" w:line="276" w:lineRule="auto"/>
        <w:jc w:val="both"/>
        <w:rPr>
          <w:rFonts w:ascii="Palatino Linotype" w:hAnsi="Palatino Linotype" w:cs="Arial"/>
          <w:sz w:val="16"/>
          <w:szCs w:val="16"/>
        </w:rPr>
      </w:pPr>
      <w:r w:rsidRPr="002052F6">
        <w:rPr>
          <w:rFonts w:ascii="Palatino Linotype" w:hAnsi="Palatino Linotype" w:cs="Arial"/>
          <w:sz w:val="16"/>
          <w:szCs w:val="16"/>
        </w:rPr>
        <w:t xml:space="preserve">Esta hoja corresponde a la resolución de fecha </w:t>
      </w:r>
      <w:r w:rsidRPr="00F64CA4">
        <w:rPr>
          <w:rFonts w:ascii="Palatino Linotype" w:hAnsi="Palatino Linotype" w:cs="Arial"/>
          <w:sz w:val="16"/>
          <w:szCs w:val="16"/>
        </w:rPr>
        <w:t>veintidós de noviembre</w:t>
      </w:r>
      <w:r>
        <w:rPr>
          <w:rFonts w:ascii="Palatino Linotype" w:hAnsi="Palatino Linotype" w:cs="Arial"/>
          <w:sz w:val="16"/>
          <w:szCs w:val="16"/>
        </w:rPr>
        <w:t xml:space="preserve"> de dos mil dieciocho</w:t>
      </w:r>
      <w:r w:rsidRPr="002052F6">
        <w:rPr>
          <w:rFonts w:ascii="Palatino Linotype" w:hAnsi="Palatino Linotype" w:cs="Arial"/>
          <w:sz w:val="16"/>
          <w:szCs w:val="16"/>
        </w:rPr>
        <w:t xml:space="preserve">, emitida en el recurso de revisión </w:t>
      </w:r>
      <w:r>
        <w:rPr>
          <w:rFonts w:ascii="Palatino Linotype" w:hAnsi="Palatino Linotype" w:cs="Arial"/>
          <w:bCs/>
          <w:sz w:val="16"/>
          <w:szCs w:val="16"/>
          <w:lang w:eastAsia="es-MX"/>
        </w:rPr>
        <w:t>036</w:t>
      </w:r>
      <w:r w:rsidR="00855184">
        <w:rPr>
          <w:rFonts w:ascii="Palatino Linotype" w:hAnsi="Palatino Linotype" w:cs="Arial"/>
          <w:bCs/>
          <w:sz w:val="16"/>
          <w:szCs w:val="16"/>
          <w:lang w:eastAsia="es-MX"/>
        </w:rPr>
        <w:t>25/INFOEM/AD/RR/2018</w:t>
      </w:r>
      <w:r w:rsidRPr="002052F6">
        <w:rPr>
          <w:rFonts w:ascii="Palatino Linotype" w:hAnsi="Palatino Linotype" w:cs="Arial"/>
          <w:sz w:val="16"/>
          <w:szCs w:val="16"/>
        </w:rPr>
        <w:t>.</w:t>
      </w:r>
    </w:p>
    <w:p w:rsidR="00DD13E2" w:rsidRDefault="00A92871" w:rsidP="00A92871">
      <w:pPr>
        <w:spacing w:after="0" w:line="276" w:lineRule="auto"/>
        <w:jc w:val="both"/>
      </w:pPr>
      <w:r w:rsidRPr="002052F6">
        <w:t>ZMS/OSAM/MAEM</w:t>
      </w:r>
    </w:p>
    <w:sectPr w:rsidR="00DD13E2" w:rsidSect="00E15E85">
      <w:headerReference w:type="default" r:id="rId11"/>
      <w:footerReference w:type="default" r:id="rId12"/>
      <w:headerReference w:type="first" r:id="rId13"/>
      <w:footerReference w:type="first" r:id="rId14"/>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799D" w:rsidRDefault="0054799D" w:rsidP="00E15E85">
      <w:pPr>
        <w:spacing w:after="0" w:line="240" w:lineRule="auto"/>
      </w:pPr>
      <w:r>
        <w:separator/>
      </w:r>
    </w:p>
  </w:endnote>
  <w:endnote w:type="continuationSeparator" w:id="0">
    <w:p w:rsidR="0054799D" w:rsidRDefault="0054799D" w:rsidP="00E15E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3713">
      <w:rPr>
        <w:rFonts w:ascii="Palatino Linotype" w:hAnsi="Palatino Linotype"/>
        <w:bCs/>
        <w:noProof/>
        <w:sz w:val="20"/>
      </w:rPr>
      <w:t>20</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3713">
      <w:rPr>
        <w:rFonts w:ascii="Palatino Linotype" w:hAnsi="Palatino Linotype"/>
        <w:bCs/>
        <w:noProof/>
        <w:sz w:val="20"/>
      </w:rPr>
      <w:t>20</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Pr="000B69FA" w:rsidRDefault="00E15E85" w:rsidP="00E15E8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4F3713">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4F3713">
      <w:rPr>
        <w:rFonts w:ascii="Palatino Linotype" w:hAnsi="Palatino Linotype"/>
        <w:bCs/>
        <w:noProof/>
        <w:sz w:val="20"/>
      </w:rPr>
      <w:t>20</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799D" w:rsidRDefault="0054799D" w:rsidP="00E15E85">
      <w:pPr>
        <w:spacing w:after="0" w:line="240" w:lineRule="auto"/>
      </w:pPr>
      <w:r>
        <w:separator/>
      </w:r>
    </w:p>
  </w:footnote>
  <w:footnote w:type="continuationSeparator" w:id="0">
    <w:p w:rsidR="0054799D" w:rsidRDefault="0054799D" w:rsidP="00E15E85">
      <w:pPr>
        <w:spacing w:after="0" w:line="240" w:lineRule="auto"/>
      </w:pPr>
      <w:r>
        <w:continuationSeparator/>
      </w:r>
    </w:p>
  </w:footnote>
  <w:footnote w:id="1">
    <w:p w:rsidR="00E15E85" w:rsidRPr="00911081" w:rsidRDefault="00E15E85" w:rsidP="00E15E85">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E15E85" w:rsidRPr="00911081" w:rsidRDefault="00E15E85" w:rsidP="00E15E85">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rsidR="006965FB" w:rsidRDefault="006965FB" w:rsidP="006965FB">
      <w:pPr>
        <w:pStyle w:val="Textonotapie"/>
        <w:spacing w:before="240" w:after="240" w:line="276" w:lineRule="auto"/>
        <w:jc w:val="both"/>
        <w:rPr>
          <w:rFonts w:ascii="Palatino Linotype" w:hAnsi="Palatino Linotype"/>
        </w:rPr>
      </w:pPr>
      <w:r w:rsidRPr="006965FB">
        <w:rPr>
          <w:rStyle w:val="Refdenotaalpie"/>
          <w:rFonts w:ascii="Palatino Linotype" w:hAnsi="Palatino Linotype"/>
        </w:rPr>
        <w:footnoteRef/>
      </w:r>
      <w:r w:rsidRPr="006965FB">
        <w:rPr>
          <w:rFonts w:ascii="Palatino Linotype" w:hAnsi="Palatino Linotype"/>
        </w:rPr>
        <w:t xml:space="preserve"> Artículo 114. Cuando las disposiciones aplicables a determinados tratamientos de datos personales establezcan un trámite o procedimiento específico para solicitar el ejercicio de los derechos ARCO, el responsable deberá informar al titular sobre la existencia del mismo, en un plazo no mayor a cinco días siguiente a la presentación de la solicitud para el ejercicio de los derechos ARCO, a efecto que este último decida si ejerce sus derechos a través del trámite específico, o bien a través del procedimiento para el ejercicio de los derechos ARCO. </w:t>
      </w:r>
    </w:p>
    <w:p w:rsidR="006965FB" w:rsidRPr="006965FB" w:rsidRDefault="006965FB" w:rsidP="006965FB">
      <w:pPr>
        <w:pStyle w:val="Textonotapie"/>
        <w:spacing w:before="240" w:after="240" w:line="276" w:lineRule="auto"/>
        <w:jc w:val="both"/>
        <w:rPr>
          <w:rFonts w:ascii="Palatino Linotype" w:hAnsi="Palatino Linotype"/>
        </w:rPr>
      </w:pPr>
      <w:r w:rsidRPr="006965FB">
        <w:rPr>
          <w:rFonts w:ascii="Palatino Linotype" w:hAnsi="Palatino Linotype"/>
        </w:rPr>
        <w:t>La generación de nuevos datos, la realización de cálculos o el procesamiento a los datos personales no podrá obtenerse a través del ejercicio de derecho de acceso ya que éste implica, únicamente, obtener del responsable los datos personales en la manera en la que obren en sus archivos y en el estado en que se encuentren.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E85" w:rsidRDefault="00E15E85">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Default="00BA4A38" w:rsidP="00631154">
          <w:pPr>
            <w:spacing w:after="120" w:line="256" w:lineRule="auto"/>
            <w:ind w:left="-486" w:right="214" w:firstLine="1585"/>
            <w:jc w:val="right"/>
            <w:rPr>
              <w:rFonts w:ascii="Palatino Linotype" w:hAnsi="Palatino Linotype" w:cs="Arial"/>
              <w:szCs w:val="20"/>
            </w:rPr>
          </w:pPr>
          <w:r w:rsidRPr="00BA4A38">
            <w:rPr>
              <w:rFonts w:ascii="Palatino Linotype" w:hAnsi="Palatino Linotype" w:cs="Arial"/>
              <w:bCs/>
              <w:sz w:val="24"/>
              <w:lang w:eastAsia="es-MX"/>
            </w:rPr>
            <w:t>03625/INFOEM/AD/RR/2018</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BA4A38" w:rsidRDefault="00BA4A38" w:rsidP="00E15E85">
          <w:pPr>
            <w:spacing w:after="120" w:line="256" w:lineRule="auto"/>
            <w:ind w:left="-486" w:right="214" w:firstLine="284"/>
            <w:jc w:val="right"/>
            <w:rPr>
              <w:rFonts w:ascii="Palatino Linotype" w:hAnsi="Palatino Linotype" w:cs="Arial"/>
              <w:szCs w:val="20"/>
            </w:rPr>
          </w:pPr>
          <w:r w:rsidRPr="00BA4A38">
            <w:rPr>
              <w:rFonts w:ascii="Palatino Linotype" w:hAnsi="Palatino Linotype" w:cs="Arial"/>
              <w:szCs w:val="20"/>
            </w:rPr>
            <w:t xml:space="preserve">Instituto de Seguridad Social del Estado </w:t>
          </w:r>
        </w:p>
        <w:p w:rsidR="00E15E85" w:rsidRDefault="00BA4A38" w:rsidP="00E15E85">
          <w:pPr>
            <w:spacing w:after="120" w:line="256" w:lineRule="auto"/>
            <w:ind w:left="-486" w:right="214" w:firstLine="284"/>
            <w:jc w:val="right"/>
            <w:rPr>
              <w:rFonts w:ascii="Palatino Linotype" w:hAnsi="Palatino Linotype" w:cs="Arial"/>
              <w:szCs w:val="20"/>
            </w:rPr>
          </w:pPr>
          <w:r w:rsidRPr="00BA4A38">
            <w:rPr>
              <w:rFonts w:ascii="Palatino Linotype" w:hAnsi="Palatino Linotype" w:cs="Arial"/>
              <w:szCs w:val="20"/>
            </w:rPr>
            <w:t>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E15E85" w:rsidTr="00E15E85">
      <w:trPr>
        <w:trHeight w:val="227"/>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rsidR="00E15E85" w:rsidRPr="00B4142F" w:rsidRDefault="00BA4A38" w:rsidP="00EE5CB5">
          <w:pPr>
            <w:spacing w:after="120" w:line="256" w:lineRule="auto"/>
            <w:ind w:left="-486" w:right="214" w:firstLine="1408"/>
            <w:jc w:val="right"/>
            <w:rPr>
              <w:rFonts w:ascii="Palatino Linotype" w:hAnsi="Palatino Linotype" w:cs="Arial"/>
              <w:szCs w:val="20"/>
            </w:rPr>
          </w:pPr>
          <w:r w:rsidRPr="00BA4A38">
            <w:rPr>
              <w:rFonts w:ascii="Palatino Linotype" w:hAnsi="Palatino Linotype" w:cs="Arial"/>
              <w:bCs/>
              <w:sz w:val="24"/>
              <w:lang w:eastAsia="es-MX"/>
            </w:rPr>
            <w:t>03625/INFOEM/AD/RR/2018</w:t>
          </w:r>
        </w:p>
      </w:tc>
    </w:tr>
    <w:tr w:rsidR="00E15E85" w:rsidTr="00E15E85">
      <w:trPr>
        <w:trHeight w:val="196"/>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rsidR="00E15E85" w:rsidRPr="00F06FED" w:rsidRDefault="00A90667" w:rsidP="00E15E85">
          <w:pPr>
            <w:spacing w:after="120" w:line="256" w:lineRule="auto"/>
            <w:ind w:left="-486" w:right="214" w:firstLine="567"/>
            <w:jc w:val="right"/>
            <w:rPr>
              <w:rFonts w:ascii="Palatino Linotype" w:hAnsi="Palatino Linotype" w:cs="Arial"/>
            </w:rPr>
          </w:pPr>
          <w:r>
            <w:rPr>
              <w:rFonts w:ascii="Palatino Linotype" w:hAnsi="Palatino Linotype" w:cs="Arial"/>
            </w:rPr>
            <w:t>XXXXXXXXXXXXXXXXXXX</w:t>
          </w:r>
        </w:p>
      </w:tc>
    </w:tr>
    <w:tr w:rsidR="00E15E85" w:rsidTr="00E15E85">
      <w:trPr>
        <w:trHeight w:val="242"/>
      </w:trPr>
      <w:tc>
        <w:tcPr>
          <w:tcW w:w="5529" w:type="dxa"/>
          <w:hideMark/>
        </w:tcPr>
        <w:p w:rsidR="00E15E85" w:rsidRDefault="00E15E85" w:rsidP="00E15E8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rsidR="00E15E85" w:rsidRDefault="00BA4A38" w:rsidP="0015550A">
          <w:pPr>
            <w:spacing w:after="120" w:line="256" w:lineRule="auto"/>
            <w:ind w:left="-495" w:right="214" w:firstLine="567"/>
            <w:jc w:val="right"/>
            <w:rPr>
              <w:rFonts w:ascii="Palatino Linotype" w:hAnsi="Palatino Linotype" w:cs="Arial"/>
              <w:szCs w:val="20"/>
            </w:rPr>
          </w:pPr>
          <w:r w:rsidRPr="00BA4A38">
            <w:rPr>
              <w:rFonts w:ascii="Palatino Linotype" w:hAnsi="Palatino Linotype" w:cs="Arial"/>
              <w:szCs w:val="20"/>
            </w:rPr>
            <w:t>Instituto de Seguridad Social del Estado de México y Municipios</w:t>
          </w:r>
        </w:p>
      </w:tc>
    </w:tr>
    <w:tr w:rsidR="00E15E85" w:rsidTr="00E15E85">
      <w:trPr>
        <w:trHeight w:val="342"/>
      </w:trPr>
      <w:tc>
        <w:tcPr>
          <w:tcW w:w="5529" w:type="dxa"/>
          <w:hideMark/>
        </w:tcPr>
        <w:p w:rsidR="00E15E85" w:rsidRDefault="00E15E85" w:rsidP="00E15E8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rsidR="00E15E85" w:rsidRDefault="00E15E85" w:rsidP="00E15E8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rsidR="00E15E85" w:rsidRDefault="00E15E85">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9F194D"/>
    <w:multiLevelType w:val="hybridMultilevel"/>
    <w:tmpl w:val="BE9AA1DC"/>
    <w:lvl w:ilvl="0" w:tplc="FF0E84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CB05448"/>
    <w:multiLevelType w:val="hybridMultilevel"/>
    <w:tmpl w:val="F4CA8170"/>
    <w:lvl w:ilvl="0" w:tplc="7974F7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FD24406"/>
    <w:multiLevelType w:val="hybridMultilevel"/>
    <w:tmpl w:val="7DE8A4D0"/>
    <w:lvl w:ilvl="0" w:tplc="16143C02">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450A4AF0"/>
    <w:multiLevelType w:val="hybridMultilevel"/>
    <w:tmpl w:val="85360458"/>
    <w:lvl w:ilvl="0" w:tplc="B7B402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8E70224"/>
    <w:multiLevelType w:val="hybridMultilevel"/>
    <w:tmpl w:val="C464CF06"/>
    <w:lvl w:ilvl="0" w:tplc="703E6B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6234146"/>
    <w:multiLevelType w:val="hybridMultilevel"/>
    <w:tmpl w:val="A802F7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B157DB9"/>
    <w:multiLevelType w:val="hybridMultilevel"/>
    <w:tmpl w:val="18640776"/>
    <w:numStyleLink w:val="Estiloimportado2"/>
  </w:abstractNum>
  <w:abstractNum w:abstractNumId="8" w15:restartNumberingAfterBreak="0">
    <w:nsid w:val="6E9B0457"/>
    <w:multiLevelType w:val="hybridMultilevel"/>
    <w:tmpl w:val="6E4603E6"/>
    <w:lvl w:ilvl="0" w:tplc="C6846FB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E356FE"/>
    <w:multiLevelType w:val="hybridMultilevel"/>
    <w:tmpl w:val="747C32C8"/>
    <w:lvl w:ilvl="0" w:tplc="080A0017">
      <w:start w:val="1"/>
      <w:numFmt w:val="lowerLetter"/>
      <w:lvlText w:val="%1)"/>
      <w:lvlJc w:val="left"/>
      <w:pPr>
        <w:ind w:left="9008" w:hanging="360"/>
      </w:pPr>
      <w:rPr>
        <w:rFonts w:hint="default"/>
      </w:rPr>
    </w:lvl>
    <w:lvl w:ilvl="1" w:tplc="080A0019">
      <w:start w:val="1"/>
      <w:numFmt w:val="lowerLetter"/>
      <w:lvlText w:val="%2."/>
      <w:lvlJc w:val="left"/>
      <w:pPr>
        <w:ind w:left="9728" w:hanging="360"/>
      </w:pPr>
    </w:lvl>
    <w:lvl w:ilvl="2" w:tplc="080A001B" w:tentative="1">
      <w:start w:val="1"/>
      <w:numFmt w:val="lowerRoman"/>
      <w:lvlText w:val="%3."/>
      <w:lvlJc w:val="right"/>
      <w:pPr>
        <w:ind w:left="10448" w:hanging="180"/>
      </w:pPr>
    </w:lvl>
    <w:lvl w:ilvl="3" w:tplc="080A000F" w:tentative="1">
      <w:start w:val="1"/>
      <w:numFmt w:val="decimal"/>
      <w:lvlText w:val="%4."/>
      <w:lvlJc w:val="left"/>
      <w:pPr>
        <w:ind w:left="11168" w:hanging="360"/>
      </w:pPr>
    </w:lvl>
    <w:lvl w:ilvl="4" w:tplc="080A0019" w:tentative="1">
      <w:start w:val="1"/>
      <w:numFmt w:val="lowerLetter"/>
      <w:lvlText w:val="%5."/>
      <w:lvlJc w:val="left"/>
      <w:pPr>
        <w:ind w:left="11888" w:hanging="360"/>
      </w:pPr>
    </w:lvl>
    <w:lvl w:ilvl="5" w:tplc="080A001B" w:tentative="1">
      <w:start w:val="1"/>
      <w:numFmt w:val="lowerRoman"/>
      <w:lvlText w:val="%6."/>
      <w:lvlJc w:val="right"/>
      <w:pPr>
        <w:ind w:left="12608" w:hanging="180"/>
      </w:pPr>
    </w:lvl>
    <w:lvl w:ilvl="6" w:tplc="080A000F" w:tentative="1">
      <w:start w:val="1"/>
      <w:numFmt w:val="decimal"/>
      <w:lvlText w:val="%7."/>
      <w:lvlJc w:val="left"/>
      <w:pPr>
        <w:ind w:left="13328" w:hanging="360"/>
      </w:pPr>
    </w:lvl>
    <w:lvl w:ilvl="7" w:tplc="080A0019" w:tentative="1">
      <w:start w:val="1"/>
      <w:numFmt w:val="lowerLetter"/>
      <w:lvlText w:val="%8."/>
      <w:lvlJc w:val="left"/>
      <w:pPr>
        <w:ind w:left="14048" w:hanging="360"/>
      </w:pPr>
    </w:lvl>
    <w:lvl w:ilvl="8" w:tplc="080A001B" w:tentative="1">
      <w:start w:val="1"/>
      <w:numFmt w:val="lowerRoman"/>
      <w:lvlText w:val="%9."/>
      <w:lvlJc w:val="right"/>
      <w:pPr>
        <w:ind w:left="14768" w:hanging="180"/>
      </w:pPr>
    </w:lvl>
  </w:abstractNum>
  <w:num w:numId="1">
    <w:abstractNumId w:val="9"/>
  </w:num>
  <w:num w:numId="2">
    <w:abstractNumId w:val="1"/>
  </w:num>
  <w:num w:numId="3">
    <w:abstractNumId w:val="6"/>
  </w:num>
  <w:num w:numId="4">
    <w:abstractNumId w:val="3"/>
  </w:num>
  <w:num w:numId="5">
    <w:abstractNumId w:val="7"/>
  </w:num>
  <w:num w:numId="6">
    <w:abstractNumId w:val="2"/>
  </w:num>
  <w:num w:numId="7">
    <w:abstractNumId w:val="8"/>
  </w:num>
  <w:num w:numId="8">
    <w:abstractNumId w:val="4"/>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5E85"/>
    <w:rsid w:val="00025AF8"/>
    <w:rsid w:val="0003050E"/>
    <w:rsid w:val="00041DB6"/>
    <w:rsid w:val="00074A99"/>
    <w:rsid w:val="00084349"/>
    <w:rsid w:val="000B5AC4"/>
    <w:rsid w:val="000C58FC"/>
    <w:rsid w:val="000F019E"/>
    <w:rsid w:val="000F4524"/>
    <w:rsid w:val="0011750A"/>
    <w:rsid w:val="00130D58"/>
    <w:rsid w:val="00151B8D"/>
    <w:rsid w:val="00151E05"/>
    <w:rsid w:val="0015550A"/>
    <w:rsid w:val="0016097A"/>
    <w:rsid w:val="00165C1D"/>
    <w:rsid w:val="00170EA5"/>
    <w:rsid w:val="00171900"/>
    <w:rsid w:val="00174370"/>
    <w:rsid w:val="001B3E5E"/>
    <w:rsid w:val="001C3F41"/>
    <w:rsid w:val="001C4F34"/>
    <w:rsid w:val="00223C2F"/>
    <w:rsid w:val="00224181"/>
    <w:rsid w:val="00227479"/>
    <w:rsid w:val="002473F3"/>
    <w:rsid w:val="0025307F"/>
    <w:rsid w:val="0026459B"/>
    <w:rsid w:val="002677ED"/>
    <w:rsid w:val="0027683A"/>
    <w:rsid w:val="00281FAE"/>
    <w:rsid w:val="00287512"/>
    <w:rsid w:val="00294D34"/>
    <w:rsid w:val="002B213E"/>
    <w:rsid w:val="002D10D2"/>
    <w:rsid w:val="002D3B2D"/>
    <w:rsid w:val="002F2F4F"/>
    <w:rsid w:val="003011A8"/>
    <w:rsid w:val="003034F4"/>
    <w:rsid w:val="003051DD"/>
    <w:rsid w:val="00330A95"/>
    <w:rsid w:val="003341B0"/>
    <w:rsid w:val="00350355"/>
    <w:rsid w:val="00357BFC"/>
    <w:rsid w:val="003751D7"/>
    <w:rsid w:val="00385299"/>
    <w:rsid w:val="003905F0"/>
    <w:rsid w:val="0039084D"/>
    <w:rsid w:val="00393420"/>
    <w:rsid w:val="003B465B"/>
    <w:rsid w:val="003D7936"/>
    <w:rsid w:val="003E213D"/>
    <w:rsid w:val="00404F93"/>
    <w:rsid w:val="00411E8E"/>
    <w:rsid w:val="00437C82"/>
    <w:rsid w:val="00443799"/>
    <w:rsid w:val="00470AA0"/>
    <w:rsid w:val="00471988"/>
    <w:rsid w:val="004916D2"/>
    <w:rsid w:val="00492244"/>
    <w:rsid w:val="004A03CE"/>
    <w:rsid w:val="004A2BFB"/>
    <w:rsid w:val="004A33A8"/>
    <w:rsid w:val="004B1366"/>
    <w:rsid w:val="004C3693"/>
    <w:rsid w:val="004D4743"/>
    <w:rsid w:val="004E6DB3"/>
    <w:rsid w:val="004F05B2"/>
    <w:rsid w:val="004F1FDF"/>
    <w:rsid w:val="004F3713"/>
    <w:rsid w:val="00516C65"/>
    <w:rsid w:val="00527856"/>
    <w:rsid w:val="0054799D"/>
    <w:rsid w:val="00560146"/>
    <w:rsid w:val="005733EB"/>
    <w:rsid w:val="00591992"/>
    <w:rsid w:val="0059657E"/>
    <w:rsid w:val="005B65E0"/>
    <w:rsid w:val="005B6CD4"/>
    <w:rsid w:val="005D6A16"/>
    <w:rsid w:val="005F107D"/>
    <w:rsid w:val="00631154"/>
    <w:rsid w:val="00633B08"/>
    <w:rsid w:val="0066513E"/>
    <w:rsid w:val="00674B30"/>
    <w:rsid w:val="00683057"/>
    <w:rsid w:val="00687D36"/>
    <w:rsid w:val="006933A1"/>
    <w:rsid w:val="006965FB"/>
    <w:rsid w:val="006B2E10"/>
    <w:rsid w:val="006C1A4F"/>
    <w:rsid w:val="006C44E8"/>
    <w:rsid w:val="006C7F73"/>
    <w:rsid w:val="006E063B"/>
    <w:rsid w:val="006E1B39"/>
    <w:rsid w:val="006E410E"/>
    <w:rsid w:val="006F2EA8"/>
    <w:rsid w:val="0070304B"/>
    <w:rsid w:val="00707CD8"/>
    <w:rsid w:val="00755099"/>
    <w:rsid w:val="007574B3"/>
    <w:rsid w:val="00774E81"/>
    <w:rsid w:val="00781457"/>
    <w:rsid w:val="00781D16"/>
    <w:rsid w:val="007A0267"/>
    <w:rsid w:val="007A1E3A"/>
    <w:rsid w:val="007B330D"/>
    <w:rsid w:val="007B6C81"/>
    <w:rsid w:val="007C1DE6"/>
    <w:rsid w:val="007D1339"/>
    <w:rsid w:val="007D48FA"/>
    <w:rsid w:val="007F173B"/>
    <w:rsid w:val="00810C89"/>
    <w:rsid w:val="00817217"/>
    <w:rsid w:val="00842B74"/>
    <w:rsid w:val="00847A6F"/>
    <w:rsid w:val="00852474"/>
    <w:rsid w:val="00855184"/>
    <w:rsid w:val="00875499"/>
    <w:rsid w:val="00875E6F"/>
    <w:rsid w:val="00880E15"/>
    <w:rsid w:val="00881D0D"/>
    <w:rsid w:val="00890C82"/>
    <w:rsid w:val="00896B26"/>
    <w:rsid w:val="008A12F6"/>
    <w:rsid w:val="008E5141"/>
    <w:rsid w:val="008F0A7F"/>
    <w:rsid w:val="008F7A52"/>
    <w:rsid w:val="009125DF"/>
    <w:rsid w:val="00913700"/>
    <w:rsid w:val="009260FF"/>
    <w:rsid w:val="00943223"/>
    <w:rsid w:val="00954EEE"/>
    <w:rsid w:val="0096185D"/>
    <w:rsid w:val="00963F4B"/>
    <w:rsid w:val="00974DA1"/>
    <w:rsid w:val="00980401"/>
    <w:rsid w:val="009838CD"/>
    <w:rsid w:val="00991CC2"/>
    <w:rsid w:val="00997030"/>
    <w:rsid w:val="009B03F9"/>
    <w:rsid w:val="009C75A5"/>
    <w:rsid w:val="009E22C4"/>
    <w:rsid w:val="009F7948"/>
    <w:rsid w:val="00A90667"/>
    <w:rsid w:val="00A92871"/>
    <w:rsid w:val="00A92C85"/>
    <w:rsid w:val="00A94F74"/>
    <w:rsid w:val="00AC1D50"/>
    <w:rsid w:val="00AE3E93"/>
    <w:rsid w:val="00B10B28"/>
    <w:rsid w:val="00B31BC3"/>
    <w:rsid w:val="00B34A6D"/>
    <w:rsid w:val="00B44BB1"/>
    <w:rsid w:val="00B71E83"/>
    <w:rsid w:val="00B91FFF"/>
    <w:rsid w:val="00BA4A38"/>
    <w:rsid w:val="00BB1AB8"/>
    <w:rsid w:val="00BC1C0A"/>
    <w:rsid w:val="00BC4EF7"/>
    <w:rsid w:val="00BD11C2"/>
    <w:rsid w:val="00BD22FF"/>
    <w:rsid w:val="00BD2894"/>
    <w:rsid w:val="00C113EF"/>
    <w:rsid w:val="00C16071"/>
    <w:rsid w:val="00C25BA8"/>
    <w:rsid w:val="00C27BD7"/>
    <w:rsid w:val="00C64C22"/>
    <w:rsid w:val="00C653BB"/>
    <w:rsid w:val="00C9537F"/>
    <w:rsid w:val="00CB6B0D"/>
    <w:rsid w:val="00CE79B7"/>
    <w:rsid w:val="00D120B9"/>
    <w:rsid w:val="00D12150"/>
    <w:rsid w:val="00D27C2F"/>
    <w:rsid w:val="00D37EAD"/>
    <w:rsid w:val="00D42421"/>
    <w:rsid w:val="00D84FF4"/>
    <w:rsid w:val="00D9010D"/>
    <w:rsid w:val="00D9208D"/>
    <w:rsid w:val="00D95936"/>
    <w:rsid w:val="00DB584E"/>
    <w:rsid w:val="00DB5EEE"/>
    <w:rsid w:val="00DC3B85"/>
    <w:rsid w:val="00DC71FD"/>
    <w:rsid w:val="00DD13E2"/>
    <w:rsid w:val="00E15E85"/>
    <w:rsid w:val="00E25ACF"/>
    <w:rsid w:val="00E34874"/>
    <w:rsid w:val="00E44464"/>
    <w:rsid w:val="00E46096"/>
    <w:rsid w:val="00E802C8"/>
    <w:rsid w:val="00E85DB7"/>
    <w:rsid w:val="00E87E34"/>
    <w:rsid w:val="00EA4B96"/>
    <w:rsid w:val="00EC0579"/>
    <w:rsid w:val="00EC5F34"/>
    <w:rsid w:val="00EC601F"/>
    <w:rsid w:val="00EE36DD"/>
    <w:rsid w:val="00EE5CB5"/>
    <w:rsid w:val="00EF2AE9"/>
    <w:rsid w:val="00EF4A61"/>
    <w:rsid w:val="00F12C75"/>
    <w:rsid w:val="00F46513"/>
    <w:rsid w:val="00F812A0"/>
    <w:rsid w:val="00FC40AC"/>
    <w:rsid w:val="00FD1BBE"/>
    <w:rsid w:val="00FE2C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55D6924-6120-47B8-8FC2-21C1BD505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5E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15E8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15E8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15E85"/>
    <w:rPr>
      <w:rFonts w:ascii="Times New Roman" w:eastAsia="Calibri" w:hAnsi="Times New Roman" w:cs="Times New Roman"/>
      <w:sz w:val="24"/>
      <w:szCs w:val="24"/>
      <w:lang w:val="es-ES" w:eastAsia="es-ES"/>
    </w:rPr>
  </w:style>
  <w:style w:type="paragraph" w:styleId="Prrafodelista">
    <w:name w:val="List Paragraph"/>
    <w:basedOn w:val="Normal"/>
    <w:link w:val="PrrafodelistaCar"/>
    <w:qFormat/>
    <w:rsid w:val="00E15E8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E15E8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15E85"/>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E15E85"/>
    <w:rPr>
      <w:vertAlign w:val="superscript"/>
    </w:rPr>
  </w:style>
  <w:style w:type="character" w:styleId="Hipervnculo">
    <w:name w:val="Hyperlink"/>
    <w:basedOn w:val="Fuentedeprrafopredeter"/>
    <w:uiPriority w:val="99"/>
    <w:unhideWhenUsed/>
    <w:rsid w:val="00E15E85"/>
    <w:rPr>
      <w:color w:val="0563C1" w:themeColor="hyperlink"/>
      <w:u w:val="single"/>
    </w:rPr>
  </w:style>
  <w:style w:type="paragraph" w:styleId="Sinespaciado">
    <w:name w:val="No Spacing"/>
    <w:aliases w:val="Francesa"/>
    <w:link w:val="SinespaciadoCar"/>
    <w:uiPriority w:val="1"/>
    <w:qFormat/>
    <w:rsid w:val="00E15E85"/>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E15E85"/>
    <w:rPr>
      <w:b/>
      <w:bCs/>
    </w:rPr>
  </w:style>
  <w:style w:type="character" w:customStyle="1" w:styleId="SinespaciadoCar">
    <w:name w:val="Sin espaciado Car"/>
    <w:aliases w:val="Francesa Car"/>
    <w:link w:val="Sinespaciado"/>
    <w:uiPriority w:val="1"/>
    <w:locked/>
    <w:rsid w:val="00E15E85"/>
    <w:rPr>
      <w:rFonts w:ascii="Times New Roman" w:eastAsia="Times New Roman" w:hAnsi="Times New Roman" w:cs="Times New Roman"/>
      <w:sz w:val="24"/>
      <w:szCs w:val="24"/>
      <w:lang w:eastAsia="es-ES"/>
    </w:rPr>
  </w:style>
  <w:style w:type="paragraph" w:customStyle="1" w:styleId="Cuerpo">
    <w:name w:val="Cuerpo"/>
    <w:rsid w:val="0015550A"/>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15550A"/>
    <w:rPr>
      <w:lang w:val="es-ES_tradnl"/>
    </w:rPr>
  </w:style>
  <w:style w:type="numbering" w:customStyle="1" w:styleId="Estiloimportado2">
    <w:name w:val="Estilo importado 2"/>
    <w:rsid w:val="0015550A"/>
    <w:pPr>
      <w:numPr>
        <w:numId w:val="4"/>
      </w:numPr>
    </w:pPr>
  </w:style>
  <w:style w:type="paragraph" w:styleId="Textodeglobo">
    <w:name w:val="Balloon Text"/>
    <w:basedOn w:val="Normal"/>
    <w:link w:val="TextodegloboCar"/>
    <w:uiPriority w:val="99"/>
    <w:semiHidden/>
    <w:unhideWhenUsed/>
    <w:rsid w:val="00687D36"/>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687D36"/>
    <w:rPr>
      <w:rFonts w:ascii="Arial" w:hAnsi="Arial" w:cs="Arial"/>
      <w:sz w:val="18"/>
      <w:szCs w:val="18"/>
    </w:rPr>
  </w:style>
  <w:style w:type="paragraph" w:styleId="Textonotapie">
    <w:name w:val="footnote text"/>
    <w:basedOn w:val="Normal"/>
    <w:link w:val="TextonotapieCar"/>
    <w:uiPriority w:val="99"/>
    <w:semiHidden/>
    <w:unhideWhenUsed/>
    <w:rsid w:val="006965F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965FB"/>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477785">
      <w:bodyDiv w:val="1"/>
      <w:marLeft w:val="0"/>
      <w:marRight w:val="0"/>
      <w:marTop w:val="0"/>
      <w:marBottom w:val="0"/>
      <w:divBdr>
        <w:top w:val="none" w:sz="0" w:space="0" w:color="auto"/>
        <w:left w:val="none" w:sz="0" w:space="0" w:color="auto"/>
        <w:bottom w:val="none" w:sz="0" w:space="0" w:color="auto"/>
        <w:right w:val="none" w:sz="0" w:space="0" w:color="auto"/>
      </w:divBdr>
    </w:div>
    <w:div w:id="554316781">
      <w:bodyDiv w:val="1"/>
      <w:marLeft w:val="0"/>
      <w:marRight w:val="0"/>
      <w:marTop w:val="0"/>
      <w:marBottom w:val="0"/>
      <w:divBdr>
        <w:top w:val="none" w:sz="0" w:space="0" w:color="auto"/>
        <w:left w:val="none" w:sz="0" w:space="0" w:color="auto"/>
        <w:bottom w:val="none" w:sz="0" w:space="0" w:color="auto"/>
        <w:right w:val="none" w:sz="0" w:space="0" w:color="auto"/>
      </w:divBdr>
      <w:divsChild>
        <w:div w:id="446311017">
          <w:marLeft w:val="0"/>
          <w:marRight w:val="0"/>
          <w:marTop w:val="0"/>
          <w:marBottom w:val="0"/>
          <w:divBdr>
            <w:top w:val="none" w:sz="0" w:space="0" w:color="auto"/>
            <w:left w:val="none" w:sz="0" w:space="0" w:color="auto"/>
            <w:bottom w:val="none" w:sz="0" w:space="0" w:color="auto"/>
            <w:right w:val="none" w:sz="0" w:space="0" w:color="auto"/>
          </w:divBdr>
        </w:div>
      </w:divsChild>
    </w:div>
    <w:div w:id="681904233">
      <w:bodyDiv w:val="1"/>
      <w:marLeft w:val="0"/>
      <w:marRight w:val="0"/>
      <w:marTop w:val="0"/>
      <w:marBottom w:val="0"/>
      <w:divBdr>
        <w:top w:val="none" w:sz="0" w:space="0" w:color="auto"/>
        <w:left w:val="none" w:sz="0" w:space="0" w:color="auto"/>
        <w:bottom w:val="none" w:sz="0" w:space="0" w:color="auto"/>
        <w:right w:val="none" w:sz="0" w:space="0" w:color="auto"/>
      </w:divBdr>
    </w:div>
    <w:div w:id="744380509">
      <w:bodyDiv w:val="1"/>
      <w:marLeft w:val="0"/>
      <w:marRight w:val="0"/>
      <w:marTop w:val="0"/>
      <w:marBottom w:val="0"/>
      <w:divBdr>
        <w:top w:val="none" w:sz="0" w:space="0" w:color="auto"/>
        <w:left w:val="none" w:sz="0" w:space="0" w:color="auto"/>
        <w:bottom w:val="none" w:sz="0" w:space="0" w:color="auto"/>
        <w:right w:val="none" w:sz="0" w:space="0" w:color="auto"/>
      </w:divBdr>
    </w:div>
    <w:div w:id="864907546">
      <w:bodyDiv w:val="1"/>
      <w:marLeft w:val="0"/>
      <w:marRight w:val="0"/>
      <w:marTop w:val="0"/>
      <w:marBottom w:val="0"/>
      <w:divBdr>
        <w:top w:val="none" w:sz="0" w:space="0" w:color="auto"/>
        <w:left w:val="none" w:sz="0" w:space="0" w:color="auto"/>
        <w:bottom w:val="none" w:sz="0" w:space="0" w:color="auto"/>
        <w:right w:val="none" w:sz="0" w:space="0" w:color="auto"/>
      </w:divBdr>
    </w:div>
    <w:div w:id="1071776374">
      <w:bodyDiv w:val="1"/>
      <w:marLeft w:val="0"/>
      <w:marRight w:val="0"/>
      <w:marTop w:val="0"/>
      <w:marBottom w:val="0"/>
      <w:divBdr>
        <w:top w:val="none" w:sz="0" w:space="0" w:color="auto"/>
        <w:left w:val="none" w:sz="0" w:space="0" w:color="auto"/>
        <w:bottom w:val="none" w:sz="0" w:space="0" w:color="auto"/>
        <w:right w:val="none" w:sz="0" w:space="0" w:color="auto"/>
      </w:divBdr>
      <w:divsChild>
        <w:div w:id="1566378756">
          <w:marLeft w:val="0"/>
          <w:marRight w:val="0"/>
          <w:marTop w:val="0"/>
          <w:marBottom w:val="94"/>
          <w:divBdr>
            <w:top w:val="none" w:sz="0" w:space="0" w:color="auto"/>
            <w:left w:val="none" w:sz="0" w:space="0" w:color="auto"/>
            <w:bottom w:val="none" w:sz="0" w:space="0" w:color="auto"/>
            <w:right w:val="none" w:sz="0" w:space="0" w:color="auto"/>
          </w:divBdr>
        </w:div>
        <w:div w:id="615059628">
          <w:marLeft w:val="0"/>
          <w:marRight w:val="0"/>
          <w:marTop w:val="0"/>
          <w:marBottom w:val="94"/>
          <w:divBdr>
            <w:top w:val="none" w:sz="0" w:space="0" w:color="auto"/>
            <w:left w:val="none" w:sz="0" w:space="0" w:color="auto"/>
            <w:bottom w:val="none" w:sz="0" w:space="0" w:color="auto"/>
            <w:right w:val="none" w:sz="0" w:space="0" w:color="auto"/>
          </w:divBdr>
        </w:div>
        <w:div w:id="753821614">
          <w:marLeft w:val="0"/>
          <w:marRight w:val="0"/>
          <w:marTop w:val="0"/>
          <w:marBottom w:val="94"/>
          <w:divBdr>
            <w:top w:val="none" w:sz="0" w:space="0" w:color="auto"/>
            <w:left w:val="none" w:sz="0" w:space="0" w:color="auto"/>
            <w:bottom w:val="none" w:sz="0" w:space="0" w:color="auto"/>
            <w:right w:val="none" w:sz="0" w:space="0" w:color="auto"/>
          </w:divBdr>
        </w:div>
        <w:div w:id="886601544">
          <w:marLeft w:val="0"/>
          <w:marRight w:val="0"/>
          <w:marTop w:val="0"/>
          <w:marBottom w:val="94"/>
          <w:divBdr>
            <w:top w:val="none" w:sz="0" w:space="0" w:color="auto"/>
            <w:left w:val="none" w:sz="0" w:space="0" w:color="auto"/>
            <w:bottom w:val="none" w:sz="0" w:space="0" w:color="auto"/>
            <w:right w:val="none" w:sz="0" w:space="0" w:color="auto"/>
          </w:divBdr>
        </w:div>
      </w:divsChild>
    </w:div>
    <w:div w:id="1161698605">
      <w:bodyDiv w:val="1"/>
      <w:marLeft w:val="0"/>
      <w:marRight w:val="0"/>
      <w:marTop w:val="0"/>
      <w:marBottom w:val="0"/>
      <w:divBdr>
        <w:top w:val="none" w:sz="0" w:space="0" w:color="auto"/>
        <w:left w:val="none" w:sz="0" w:space="0" w:color="auto"/>
        <w:bottom w:val="none" w:sz="0" w:space="0" w:color="auto"/>
        <w:right w:val="none" w:sz="0" w:space="0" w:color="auto"/>
      </w:divBdr>
    </w:div>
    <w:div w:id="1961257223">
      <w:bodyDiv w:val="1"/>
      <w:marLeft w:val="0"/>
      <w:marRight w:val="0"/>
      <w:marTop w:val="0"/>
      <w:marBottom w:val="0"/>
      <w:divBdr>
        <w:top w:val="none" w:sz="0" w:space="0" w:color="auto"/>
        <w:left w:val="none" w:sz="0" w:space="0" w:color="auto"/>
        <w:bottom w:val="none" w:sz="0" w:space="0" w:color="auto"/>
        <w:right w:val="none" w:sz="0" w:space="0" w:color="auto"/>
      </w:divBdr>
    </w:div>
    <w:div w:id="2032299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B8B7671-28BB-4F2F-A0AE-B7FA177B58E1}">
  <we:reference id="wa102920439" version="1.3.1.0" store="es-MX"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C5EB39-8B34-47BE-AEAC-86C481DAE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3386</Words>
  <Characters>18626</Characters>
  <Application>Microsoft Office Word</Application>
  <DocSecurity>0</DocSecurity>
  <Lines>155</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2</cp:revision>
  <cp:lastPrinted>2018-11-23T19:55:00Z</cp:lastPrinted>
  <dcterms:created xsi:type="dcterms:W3CDTF">2018-11-29T18:04:00Z</dcterms:created>
  <dcterms:modified xsi:type="dcterms:W3CDTF">2018-11-29T18:04:00Z</dcterms:modified>
</cp:coreProperties>
</file>