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C666693"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B3259B">
        <w:rPr>
          <w:rFonts w:ascii="Palatino Linotype" w:hAnsi="Palatino Linotype"/>
          <w:color w:val="C00000"/>
        </w:rPr>
        <w:t>veintidós de noviembre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3C4F18">
        <w:rPr>
          <w:rFonts w:ascii="Palatino Linotype" w:hAnsi="Palatino Linotype"/>
        </w:rPr>
        <w:t>ocho</w:t>
      </w:r>
      <w:r w:rsidRPr="0040233B">
        <w:rPr>
          <w:rFonts w:ascii="Palatino Linotype" w:hAnsi="Palatino Linotype"/>
        </w:rPr>
        <w:t>.</w:t>
      </w:r>
    </w:p>
    <w:p w14:paraId="7D53FE2D" w14:textId="36B2615D"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B84F7F">
        <w:rPr>
          <w:rFonts w:ascii="Palatino Linotype" w:eastAsiaTheme="minorEastAsia" w:hAnsi="Palatino Linotype" w:cs="Arial"/>
          <w:b/>
          <w:bCs/>
          <w:color w:val="C00000"/>
          <w:sz w:val="22"/>
          <w:szCs w:val="22"/>
          <w:lang w:val="es-MX"/>
        </w:rPr>
        <w:t>03684/INFOEM</w:t>
      </w:r>
      <w:r w:rsidR="004440AC" w:rsidRPr="0040233B">
        <w:rPr>
          <w:rFonts w:ascii="Palatino Linotype" w:eastAsiaTheme="minorEastAsia" w:hAnsi="Palatino Linotype" w:cs="Arial"/>
          <w:b/>
          <w:bCs/>
          <w:sz w:val="22"/>
          <w:szCs w:val="22"/>
          <w:lang w:val="es-MX"/>
        </w:rPr>
        <w:t>/IP/RR/</w:t>
      </w:r>
      <w:r w:rsidR="003C4F18">
        <w:rPr>
          <w:rFonts w:ascii="Palatino Linotype" w:eastAsiaTheme="minorEastAsia" w:hAnsi="Palatino Linotype" w:cs="Arial"/>
          <w:b/>
          <w:bCs/>
          <w:sz w:val="22"/>
          <w:szCs w:val="22"/>
          <w:lang w:val="es-MX"/>
        </w:rPr>
        <w:t>2018</w:t>
      </w:r>
      <w:r w:rsidR="003C4F18">
        <w:rPr>
          <w:rFonts w:ascii="Palatino Linotype" w:hAnsi="Palatino Linotype" w:cs="Arial"/>
        </w:rPr>
        <w:t xml:space="preserve">, interpuesto por </w:t>
      </w:r>
      <w:r w:rsidR="00216D2B">
        <w:rPr>
          <w:rFonts w:ascii="Palatino Linotype" w:hAnsi="Palatino Linotype" w:cs="Arial"/>
        </w:rPr>
        <w:t>Xxxxx Xxxxxxxxxx Xxxxx 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quien</w:t>
      </w:r>
      <w:r w:rsidRPr="0040233B">
        <w:rPr>
          <w:rFonts w:ascii="Palatino Linotype" w:hAnsi="Palatino Linotype" w:cs="Arial"/>
        </w:rPr>
        <w:t xml:space="preserve"> en lo sucesivo se le denominará el </w:t>
      </w:r>
      <w:r w:rsidR="00DE7F9A" w:rsidRPr="0040233B">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B84F7F">
        <w:rPr>
          <w:rFonts w:ascii="Palatino Linotype" w:eastAsiaTheme="minorEastAsia" w:hAnsi="Palatino Linotype" w:cs="Arial"/>
          <w:b/>
          <w:color w:val="C00000"/>
          <w:sz w:val="22"/>
          <w:szCs w:val="22"/>
          <w:lang w:val="es-MX"/>
        </w:rPr>
        <w:t>00159/VACHASO</w:t>
      </w:r>
      <w:r w:rsidR="004440AC" w:rsidRPr="00DD4EA2">
        <w:rPr>
          <w:rFonts w:ascii="Palatino Linotype" w:eastAsiaTheme="minorEastAsia" w:hAnsi="Palatino Linotype" w:cs="Arial"/>
          <w:b/>
          <w:color w:val="C00000"/>
          <w:sz w:val="22"/>
          <w:szCs w:val="22"/>
          <w:lang w:val="es-MX"/>
        </w:rPr>
        <w:t>/IP/</w:t>
      </w:r>
      <w:r w:rsidR="003C4F18">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3C4F18">
        <w:rPr>
          <w:rFonts w:ascii="Palatino Linotype" w:hAnsi="Palatino Linotype" w:cs="Arial"/>
        </w:rPr>
        <w:t>emitida</w:t>
      </w:r>
      <w:r w:rsidR="004440AC" w:rsidRPr="0040233B">
        <w:rPr>
          <w:rFonts w:ascii="Palatino Linotype" w:hAnsi="Palatino Linotype" w:cs="Arial"/>
        </w:rPr>
        <w:t xml:space="preserve"> </w:t>
      </w:r>
      <w:r w:rsidRPr="0040233B">
        <w:rPr>
          <w:rFonts w:ascii="Palatino Linotype" w:hAnsi="Palatino Linotype" w:cs="Arial"/>
        </w:rPr>
        <w:t xml:space="preserve">por </w:t>
      </w:r>
      <w:r w:rsidR="004440AC" w:rsidRPr="0040233B">
        <w:rPr>
          <w:rFonts w:ascii="Palatino Linotype" w:hAnsi="Palatino Linotype" w:cs="Arial"/>
        </w:rPr>
        <w:t xml:space="preserve">el </w:t>
      </w:r>
      <w:r w:rsidR="00835546">
        <w:rPr>
          <w:rFonts w:ascii="Palatino Linotype" w:eastAsiaTheme="minorEastAsia" w:hAnsi="Palatino Linotype" w:cs="Arial"/>
          <w:b/>
          <w:lang w:val="es-MX"/>
        </w:rPr>
        <w:t>Ayuntamiento</w:t>
      </w:r>
      <w:r w:rsidR="003C4F18">
        <w:rPr>
          <w:rFonts w:ascii="Palatino Linotype" w:eastAsiaTheme="minorEastAsia" w:hAnsi="Palatino Linotype" w:cs="Arial"/>
          <w:b/>
          <w:lang w:val="es-MX"/>
        </w:rPr>
        <w:t xml:space="preserve"> </w:t>
      </w:r>
      <w:r w:rsidR="00B84F7F">
        <w:rPr>
          <w:rFonts w:ascii="Palatino Linotype" w:eastAsiaTheme="minorEastAsia" w:hAnsi="Palatino Linotype" w:cs="Arial"/>
          <w:b/>
          <w:lang w:val="es-MX"/>
        </w:rPr>
        <w:t>de Valle de Chalco Solidaridad</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C55D55C" w:rsidR="008E7698" w:rsidRPr="0006666A" w:rsidRDefault="008E7698" w:rsidP="008E7698">
      <w:pPr>
        <w:spacing w:before="240" w:after="240" w:line="360" w:lineRule="auto"/>
        <w:jc w:val="both"/>
        <w:rPr>
          <w:rFonts w:ascii="Palatino Linotype" w:hAnsi="Palatino Linotype" w:cs="Arial"/>
          <w:color w:val="C00000"/>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06666A">
        <w:rPr>
          <w:rFonts w:ascii="Palatino Linotype" w:hAnsi="Palatino Linotype" w:cs="Arial"/>
          <w:color w:val="C00000"/>
        </w:rPr>
        <w:t>diez de septiembre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3C4F18">
        <w:rPr>
          <w:rFonts w:ascii="Palatino Linotype" w:hAnsi="Palatino Linotype" w:cs="Arial"/>
        </w:rPr>
        <w:t>dieciocho</w:t>
      </w:r>
      <w:r w:rsidR="00682656" w:rsidRPr="0040233B">
        <w:rPr>
          <w:rFonts w:ascii="Palatino Linotype" w:hAnsi="Palatino Linotype" w:cs="Arial"/>
        </w:rPr>
        <w:t xml:space="preserve">, </w:t>
      </w:r>
      <w:r w:rsidRPr="0040233B">
        <w:rPr>
          <w:rFonts w:ascii="Palatino Linotype" w:hAnsi="Palatino Linotype" w:cs="Arial"/>
        </w:rPr>
        <w:t xml:space="preserve">el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05DAE" w:rsidRPr="0040233B">
        <w:rPr>
          <w:rFonts w:ascii="Palatino Linotype" w:hAnsi="Palatino Linotype" w:cs="Arial"/>
        </w:rPr>
        <w:t>requiriendo</w:t>
      </w:r>
      <w:r w:rsidRPr="0040233B">
        <w:rPr>
          <w:rFonts w:ascii="Palatino Linotype" w:hAnsi="Palatino Linotype" w:cs="Arial"/>
        </w:rPr>
        <w:t xml:space="preserve"> lo siguiente:</w:t>
      </w:r>
    </w:p>
    <w:p w14:paraId="3F4E6C5F" w14:textId="5685888D" w:rsidR="00293DE5" w:rsidRPr="006D64F9" w:rsidRDefault="00293DE5" w:rsidP="006D64F9">
      <w:pPr>
        <w:spacing w:before="240" w:after="120" w:line="360" w:lineRule="auto"/>
        <w:ind w:left="851" w:right="902"/>
        <w:jc w:val="both"/>
        <w:rPr>
          <w:rFonts w:ascii="Palatino Linotype" w:hAnsi="Palatino Linotype" w:cs="Arial"/>
          <w:b/>
          <w:i/>
        </w:rPr>
      </w:pPr>
      <w:r w:rsidRPr="007E74CA">
        <w:rPr>
          <w:rFonts w:ascii="Palatino Linotype" w:eastAsiaTheme="minorEastAsia" w:hAnsi="Palatino Linotype" w:cs="Arial"/>
          <w:i/>
          <w:lang w:val="es-MX"/>
        </w:rPr>
        <w:t>“</w:t>
      </w:r>
      <w:r w:rsidR="007E74CA" w:rsidRPr="007E74CA">
        <w:rPr>
          <w:rFonts w:ascii="Palatino Linotype" w:eastAsiaTheme="minorEastAsia" w:hAnsi="Palatino Linotype" w:cs="Arial"/>
          <w:i/>
          <w:lang w:val="es-MX"/>
        </w:rPr>
        <w:t>C</w:t>
      </w:r>
      <w:r w:rsidR="007E74CA" w:rsidRPr="007E74CA">
        <w:rPr>
          <w:rFonts w:ascii="Palatino Linotype" w:hAnsi="Palatino Linotype"/>
          <w:i/>
          <w:color w:val="000000"/>
        </w:rPr>
        <w:t xml:space="preserve">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por SEGUNDA OCASIÓN Y </w:t>
      </w:r>
      <w:r w:rsidR="007E74CA" w:rsidRPr="007E74CA">
        <w:rPr>
          <w:rFonts w:ascii="Palatino Linotype" w:hAnsi="Palatino Linotype"/>
          <w:i/>
          <w:color w:val="000000"/>
        </w:rPr>
        <w:lastRenderedPageBreak/>
        <w:t>DERIVADO DE LA OMISIÓN DEL SUJETO OBLIGADO A ACATAR LO MANDATADO EN EL RECURSO DE REVISIÓN 00979/INFOEM/IP/RR/2017: a). Fecha en que dejó de laborar en el Ayuntamiento el C. JAVIER JUAN OLIVARES. b). Cargo que desempeñaba con copia de su nombramiento y c). Indicar si existe una demanda laboral teniendo como actor a la persona que responde al nombre de JAVIER JUAN OLIVARES. Agradecemos su pronta respuesta.</w:t>
      </w:r>
      <w:r w:rsidRPr="007E74CA">
        <w:rPr>
          <w:rFonts w:ascii="Palatino Linotype" w:hAnsi="Palatino Linotype" w:cs="Arial"/>
          <w:i/>
        </w:rPr>
        <w:t>”</w:t>
      </w:r>
      <w:r w:rsidR="00C673D1" w:rsidRPr="007E74CA">
        <w:rPr>
          <w:rFonts w:ascii="Palatino Linotype" w:hAnsi="Palatino Linotype" w:cs="Arial"/>
          <w:i/>
        </w:rPr>
        <w:t xml:space="preserve"> </w:t>
      </w:r>
      <w:r w:rsidR="00C673D1" w:rsidRPr="006D64F9">
        <w:rPr>
          <w:rFonts w:ascii="Palatino Linotype" w:hAnsi="Palatino Linotype" w:cs="Arial"/>
          <w:i/>
        </w:rPr>
        <w:t>(sic)</w:t>
      </w:r>
    </w:p>
    <w:p w14:paraId="649BFEDD" w14:textId="3C020CD3" w:rsidR="00293DE5" w:rsidRPr="0040233B" w:rsidRDefault="00293DE5" w:rsidP="008E7698">
      <w:pPr>
        <w:spacing w:before="240" w:after="240" w:line="360" w:lineRule="auto"/>
        <w:jc w:val="both"/>
        <w:rPr>
          <w:rFonts w:ascii="Palatino Linotype" w:hAnsi="Palatino Linotype" w:cs="Arial"/>
          <w:b/>
        </w:rPr>
      </w:pPr>
      <w:r w:rsidRPr="0040233B">
        <w:rPr>
          <w:rFonts w:ascii="Palatino Linotype" w:hAnsi="Palatino Linotype" w:cs="Arial"/>
        </w:rPr>
        <w:t>El solicitante indicó como modalidad de entrega el</w:t>
      </w:r>
      <w:r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05B68378"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2. Respuesta.</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802C88">
        <w:rPr>
          <w:rFonts w:ascii="Palatino Linotype" w:hAnsi="Palatino Linotype" w:cs="Arial"/>
          <w:color w:val="C00000"/>
        </w:rPr>
        <w:t>veintitrés de septiembre</w:t>
      </w:r>
      <w:r w:rsidR="00D53645" w:rsidRPr="00DD4EA2">
        <w:rPr>
          <w:rFonts w:ascii="Palatino Linotype" w:hAnsi="Palatino Linotype" w:cs="Arial"/>
          <w:color w:val="C00000"/>
        </w:rPr>
        <w:t xml:space="preserve"> </w:t>
      </w:r>
      <w:r w:rsidR="003C4F18">
        <w:rPr>
          <w:rFonts w:ascii="Palatino Linotype" w:hAnsi="Palatino Linotype" w:cs="Arial"/>
        </w:rPr>
        <w:t xml:space="preserve">del año en curso, </w:t>
      </w:r>
      <w:r w:rsidRPr="0040233B">
        <w:rPr>
          <w:rFonts w:ascii="Palatino Linotype" w:hAnsi="Palatino Linotype" w:cs="Arial"/>
        </w:rPr>
        <w:t xml:space="preserve">el </w:t>
      </w:r>
      <w:r w:rsidRPr="0040233B">
        <w:rPr>
          <w:rFonts w:ascii="Palatino Linotype" w:hAnsi="Palatino Linotype" w:cs="Arial"/>
          <w:b/>
        </w:rPr>
        <w:t>Sujeto Obligado</w:t>
      </w:r>
      <w:r w:rsidRPr="0040233B">
        <w:rPr>
          <w:rFonts w:ascii="Palatino Linotype" w:hAnsi="Palatino Linotype" w:cs="Arial"/>
        </w:rPr>
        <w:t xml:space="preserve"> otorgó, a través del SAIMEX, </w:t>
      </w:r>
      <w:r w:rsidR="006079C9">
        <w:rPr>
          <w:rFonts w:ascii="Palatino Linotype" w:hAnsi="Palatino Linotype" w:cs="Arial"/>
        </w:rPr>
        <w:t xml:space="preserve">respuesta a la solicitud de acceso a la </w:t>
      </w:r>
      <w:r w:rsidR="003D61B0">
        <w:rPr>
          <w:rFonts w:ascii="Palatino Linotype" w:hAnsi="Palatino Linotype" w:cs="Arial"/>
        </w:rPr>
        <w:t>información</w:t>
      </w:r>
      <w:r w:rsidR="006079C9">
        <w:rPr>
          <w:rFonts w:ascii="Palatino Linotype" w:hAnsi="Palatino Linotype" w:cs="Arial"/>
        </w:rPr>
        <w:t xml:space="preserve"> de la siguiente forma</w:t>
      </w:r>
      <w:r w:rsidR="008100C2" w:rsidRPr="0040233B">
        <w:rPr>
          <w:rFonts w:ascii="Palatino Linotype" w:hAnsi="Palatino Linotype" w:cs="Arial"/>
        </w:rPr>
        <w:t>:</w:t>
      </w:r>
    </w:p>
    <w:p w14:paraId="486FCAD3" w14:textId="3FC400A7" w:rsidR="003C4F18" w:rsidRPr="00802C88" w:rsidRDefault="00802C88" w:rsidP="003C4F18">
      <w:pPr>
        <w:spacing w:before="240" w:after="240" w:line="360" w:lineRule="auto"/>
        <w:ind w:left="851" w:right="900"/>
        <w:jc w:val="both"/>
        <w:rPr>
          <w:rFonts w:ascii="Palatino Linotype" w:hAnsi="Palatino Linotype" w:cs="Arial"/>
          <w:sz w:val="20"/>
          <w:szCs w:val="20"/>
        </w:rPr>
      </w:pPr>
      <w:r w:rsidRPr="00802C88">
        <w:rPr>
          <w:rFonts w:ascii="Palatino Linotype" w:hAnsi="Palatino Linotype"/>
          <w:i/>
          <w:color w:val="000000"/>
        </w:rPr>
        <w:t>“SIRVA EL PRESENTE PARA ENVIARLE UN CORDIAL SALUDO, ASÍ MISMO,EN ATENCIÓN A SU SOLICITUD DE INFORMACIÓN, ME PERMITO INFORMARLE QUE LA MISMA HACE REFERENCIA A SOLICITAR EL CUMPLIMIENTO DEL RECURSO DE REVISIÓN "00979/INFOEM/IP/RR/2017" CITADO POR USTED, SOBRE EL PARTICULAR, ME PERMITO INFORMARLE QUE DESPUÉS DE UNA BÚSQUEDA MINUCIOSA EN LOS ACHIVOS DE ESTA UNIDAD DE TRANSPARENCIA MUNICIPAL Y UNA CONSULTA EN LA PLATAFORMA SAIMEX, NO SE TIENE REGISTRO DE EXISTENCIA DEL NÚMERO DE RECURSO SOLICITADO.</w:t>
      </w:r>
      <w:r w:rsidR="003C4F18" w:rsidRPr="00802C88">
        <w:rPr>
          <w:rFonts w:ascii="Palatino Linotype" w:hAnsi="Palatino Linotype"/>
          <w:i/>
          <w:color w:val="000000"/>
        </w:rPr>
        <w:t>”</w:t>
      </w:r>
      <w:r>
        <w:rPr>
          <w:rFonts w:ascii="Palatino Linotype" w:hAnsi="Palatino Linotype"/>
          <w:i/>
          <w:color w:val="000000"/>
        </w:rPr>
        <w:t xml:space="preserve"> </w:t>
      </w:r>
      <w:r>
        <w:rPr>
          <w:rFonts w:ascii="Palatino Linotype" w:hAnsi="Palatino Linotype"/>
          <w:color w:val="000000"/>
          <w:sz w:val="20"/>
          <w:szCs w:val="20"/>
        </w:rPr>
        <w:t>(sic)</w:t>
      </w:r>
    </w:p>
    <w:p w14:paraId="7056C445" w14:textId="35764284" w:rsidR="008E7698" w:rsidRPr="0040233B"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0943ED">
        <w:rPr>
          <w:rFonts w:ascii="Palatino Linotype" w:hAnsi="Palatino Linotype" w:cs="Arial"/>
          <w:color w:val="C00000"/>
        </w:rPr>
        <w:t>dos de octubre</w:t>
      </w:r>
      <w:r w:rsidR="009F704F" w:rsidRPr="00DD4EA2">
        <w:rPr>
          <w:rFonts w:ascii="Palatino Linotype" w:hAnsi="Palatino Linotype" w:cs="Arial"/>
          <w:color w:val="C00000"/>
        </w:rPr>
        <w:t xml:space="preserve"> </w:t>
      </w:r>
      <w:r w:rsidR="00FC3695" w:rsidRPr="0040233B">
        <w:rPr>
          <w:rFonts w:ascii="Palatino Linotype" w:hAnsi="Palatino Linotype" w:cs="Arial"/>
        </w:rPr>
        <w:t xml:space="preserve">de dos mil </w:t>
      </w:r>
      <w:r w:rsidR="003C4F18">
        <w:rPr>
          <w:rFonts w:ascii="Palatino Linotype" w:hAnsi="Palatino Linotype" w:cs="Arial"/>
        </w:rPr>
        <w:t>dieciocho</w:t>
      </w:r>
      <w:r w:rsidRPr="0040233B">
        <w:rPr>
          <w:rFonts w:ascii="Palatino Linotype" w:hAnsi="Palatino Linotype" w:cs="Arial"/>
        </w:rPr>
        <w:t xml:space="preserve"> por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64A27387" w:rsidR="00FC3695" w:rsidRPr="0040233B" w:rsidRDefault="00FC3695" w:rsidP="00104E08">
      <w:pPr>
        <w:spacing w:before="240" w:after="240" w:line="360" w:lineRule="auto"/>
        <w:ind w:left="992" w:right="1043"/>
        <w:jc w:val="both"/>
        <w:rPr>
          <w:rFonts w:ascii="Palatino Linotype" w:hAnsi="Palatino Linotype" w:cs="Arial"/>
        </w:rPr>
      </w:pPr>
      <w:r w:rsidRPr="000943ED">
        <w:rPr>
          <w:rFonts w:ascii="Palatino Linotype" w:eastAsiaTheme="minorEastAsia" w:hAnsi="Palatino Linotype" w:cs="Arial"/>
          <w:i/>
          <w:lang w:val="es-MX"/>
        </w:rPr>
        <w:t>“</w:t>
      </w:r>
      <w:r w:rsidR="000943ED" w:rsidRPr="000943ED">
        <w:rPr>
          <w:rFonts w:ascii="Palatino Linotype" w:hAnsi="Palatino Linotype"/>
          <w:i/>
          <w:color w:val="000000"/>
        </w:rPr>
        <w:t>La falta de respuesta a una solicitud de acceso a la información (Fracción VII del artículo 179 de la Ley de Transparencia y Acceso a la Información Pública del Estado de México y Municipios).</w:t>
      </w:r>
      <w:r w:rsidRPr="000943ED">
        <w:rPr>
          <w:rFonts w:ascii="Palatino Linotype" w:hAnsi="Palatino Linotype" w:cs="Arial"/>
          <w:b/>
          <w:i/>
        </w:rPr>
        <w:t>”</w:t>
      </w:r>
      <w:r w:rsidR="009F704F" w:rsidRPr="00AF299E">
        <w:rPr>
          <w:rFonts w:ascii="Palatino Linotype" w:hAnsi="Palatino Linotype" w:cs="Arial"/>
          <w:b/>
          <w:i/>
        </w:rPr>
        <w:t xml:space="preserve"> </w:t>
      </w:r>
      <w:r w:rsidR="009F704F" w:rsidRPr="0040233B">
        <w:rPr>
          <w:rFonts w:ascii="Palatino Linotype" w:hAnsi="Palatino Linotype" w:cs="Arial"/>
          <w:b/>
          <w:i/>
        </w:rPr>
        <w:t xml:space="preserve"> </w:t>
      </w:r>
      <w:r w:rsidR="009F704F" w:rsidRPr="0040233B">
        <w:rPr>
          <w:rFonts w:ascii="Palatino Linotype" w:hAnsi="Palatino Linotype" w:cs="Arial"/>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244B5F3E" w:rsidR="00186B63" w:rsidRPr="00520262" w:rsidRDefault="00186B63" w:rsidP="00C20E42">
      <w:pPr>
        <w:spacing w:before="240" w:after="240" w:line="360" w:lineRule="auto"/>
        <w:ind w:left="851" w:right="900"/>
        <w:jc w:val="both"/>
        <w:rPr>
          <w:rFonts w:ascii="Palatino Linotype" w:hAnsi="Palatino Linotype" w:cs="Arial"/>
          <w:i/>
        </w:rPr>
      </w:pPr>
      <w:r w:rsidRPr="00520262">
        <w:rPr>
          <w:rFonts w:ascii="Palatino Linotype" w:eastAsiaTheme="minorEastAsia" w:hAnsi="Palatino Linotype" w:cs="Arial"/>
          <w:i/>
          <w:lang w:val="es-MX"/>
        </w:rPr>
        <w:t>“</w:t>
      </w:r>
      <w:r w:rsidR="000943ED" w:rsidRPr="00520262">
        <w:rPr>
          <w:rFonts w:ascii="Palatino Linotype" w:hAnsi="Palatino Linotype"/>
          <w:i/>
          <w:color w:val="000000"/>
        </w:rPr>
        <w:t xml:space="preserve">En términos del artículo 179 de la Ley de Transparencia Local en su fracción VII se interpone el presente Recurso de Revisión en virtud de que al haber transcurrido 16 días hábiles, el sujeto obligado no ha brindado respuesta a la solicitud de acceso a la información. Como el sujeto obligado ha sido omiso en el cumplimento de las diversas resoluciones del Infoem,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w:t>
      </w:r>
      <w:r w:rsidR="000943ED" w:rsidRPr="00520262">
        <w:rPr>
          <w:rFonts w:ascii="Palatino Linotype" w:hAnsi="Palatino Linotype"/>
          <w:i/>
          <w:color w:val="000000"/>
        </w:rPr>
        <w:lastRenderedPageBreak/>
        <w:t>emitidas por el Instituto, en ejercicio de sus funciones”, solicitamos atentamente al Instituto emita un EXTRAÑAMIENTO PÚBLICO al sujeto obligado y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repetitivo,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Infoem. Finalmente, el Órgano de Control y Vigilancia del Instituto ha emitido los correspondientes Acuerdos de Incumplimiento, sin embargo, al sujeto obligado y a los servidores públicos del Ayuntamiento de Valle de Chalco Solidaridad no parece importarles estas acciones.</w:t>
      </w:r>
      <w:r w:rsidRPr="00520262">
        <w:rPr>
          <w:rFonts w:ascii="Palatino Linotype" w:hAnsi="Palatino Linotype" w:cs="Arial"/>
          <w:b/>
          <w:i/>
        </w:rPr>
        <w:t>”</w:t>
      </w:r>
      <w:r w:rsidR="009F704F" w:rsidRPr="00520262">
        <w:rPr>
          <w:rFonts w:ascii="Palatino Linotype" w:hAnsi="Palatino Linotype" w:cs="Arial"/>
          <w:b/>
          <w:i/>
        </w:rPr>
        <w:t xml:space="preserve"> </w:t>
      </w:r>
      <w:r w:rsidR="009F704F" w:rsidRPr="00520262">
        <w:rPr>
          <w:rFonts w:ascii="Palatino Linotype" w:hAnsi="Palatino Linotype" w:cs="Arial"/>
          <w:i/>
        </w:rPr>
        <w:t>(sic)</w:t>
      </w:r>
    </w:p>
    <w:p w14:paraId="1D62F603" w14:textId="77777777"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 xml:space="preserve">por razón de turno fue </w:t>
      </w:r>
      <w:r w:rsidR="00D41D70" w:rsidRPr="0040233B">
        <w:rPr>
          <w:rFonts w:ascii="Palatino Linotype" w:hAnsi="Palatino Linotype" w:cs="Arial"/>
        </w:rPr>
        <w:lastRenderedPageBreak/>
        <w:t>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484AB8D4"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382822">
        <w:rPr>
          <w:rFonts w:ascii="Palatino Linotype" w:hAnsi="Palatino Linotype" w:cs="Arial"/>
          <w:color w:val="C00000"/>
        </w:rPr>
        <w:t>ocho de octubre</w:t>
      </w:r>
      <w:r w:rsidRPr="00AF299E">
        <w:rPr>
          <w:rFonts w:ascii="Palatino Linotype" w:hAnsi="Palatino Linotype" w:cs="Arial"/>
          <w:color w:val="C00000"/>
        </w:rPr>
        <w:t xml:space="preserve"> </w:t>
      </w:r>
      <w:r w:rsidRPr="0040233B">
        <w:rPr>
          <w:rFonts w:ascii="Palatino Linotype" w:hAnsi="Palatino Linotype" w:cs="Arial"/>
        </w:rPr>
        <w:t>de</w:t>
      </w:r>
      <w:r w:rsidR="00047F41" w:rsidRPr="0040233B">
        <w:rPr>
          <w:rFonts w:ascii="Palatino Linotype" w:hAnsi="Palatino Linotype" w:cs="Arial"/>
        </w:rPr>
        <w:t>l</w:t>
      </w:r>
      <w:r w:rsidRPr="0040233B">
        <w:rPr>
          <w:rFonts w:ascii="Palatino Linotype" w:hAnsi="Palatino Linotype" w:cs="Arial"/>
        </w:rPr>
        <w:t xml:space="preserve"> dos mil </w:t>
      </w:r>
      <w:r w:rsidR="003C4F18">
        <w:rPr>
          <w:rFonts w:ascii="Palatino Linotype" w:hAnsi="Palatino Linotype" w:cs="Arial"/>
        </w:rPr>
        <w:t>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3B1D4C64" w14:textId="271F9193" w:rsidR="00382822" w:rsidRDefault="004E4987" w:rsidP="00382822">
      <w:pPr>
        <w:spacing w:before="240" w:after="240" w:line="360" w:lineRule="auto"/>
        <w:jc w:val="both"/>
        <w:rPr>
          <w:rFonts w:ascii="Palatino Linotype" w:hAnsi="Palatino Linotype" w:cs="Arial"/>
        </w:rPr>
      </w:pPr>
      <w:r w:rsidRPr="00382822">
        <w:rPr>
          <w:rFonts w:ascii="Palatino Linotype" w:hAnsi="Palatino Linotype" w:cs="Arial"/>
          <w:b/>
          <w:sz w:val="28"/>
          <w:szCs w:val="28"/>
        </w:rPr>
        <w:t xml:space="preserve">6. </w:t>
      </w:r>
      <w:r w:rsidR="00382822" w:rsidRPr="00382822">
        <w:rPr>
          <w:rFonts w:ascii="Palatino Linotype" w:hAnsi="Palatino Linotype" w:cs="Arial"/>
          <w:b/>
          <w:sz w:val="28"/>
          <w:szCs w:val="28"/>
        </w:rPr>
        <w:t>Manifestaciones.</w:t>
      </w:r>
      <w:r w:rsidR="00382822" w:rsidRPr="00916B08">
        <w:rPr>
          <w:rFonts w:ascii="Palatino Linotype" w:hAnsi="Palatino Linotype"/>
        </w:rPr>
        <w:t xml:space="preserve"> De las constancias del expediente electrónico del</w:t>
      </w:r>
      <w:r w:rsidR="00382822" w:rsidRPr="00916B08">
        <w:rPr>
          <w:rFonts w:ascii="Palatino Linotype" w:hAnsi="Palatino Linotype" w:cs="Arial"/>
          <w:b/>
        </w:rPr>
        <w:t xml:space="preserve"> SAIMEX</w:t>
      </w:r>
      <w:r w:rsidR="00382822" w:rsidRPr="00916B08">
        <w:rPr>
          <w:rFonts w:ascii="Palatino Linotype" w:hAnsi="Palatino Linotype"/>
        </w:rPr>
        <w:t xml:space="preserve">, se observa que </w:t>
      </w:r>
      <w:r w:rsidR="00382822">
        <w:rPr>
          <w:rFonts w:ascii="Palatino Linotype" w:hAnsi="Palatino Linotype" w:cs="Arial"/>
        </w:rPr>
        <w:t>las partes fueron omisas en realizar las manifestaciones y/o alegatos que a su derecho convinieran.</w:t>
      </w:r>
    </w:p>
    <w:p w14:paraId="5126E0CC" w14:textId="6A7626CD" w:rsidR="006031FE" w:rsidRPr="0040233B" w:rsidRDefault="004E4987" w:rsidP="00382822">
      <w:pPr>
        <w:spacing w:before="240" w:after="240" w:line="360" w:lineRule="auto"/>
        <w:ind w:right="49"/>
        <w:jc w:val="both"/>
        <w:rPr>
          <w:rFonts w:ascii="Palatino Linotype" w:eastAsia="Calibri" w:hAnsi="Palatino Linotype" w:cs="Arial"/>
          <w:b/>
          <w:sz w:val="28"/>
          <w:szCs w:val="28"/>
        </w:rPr>
      </w:pPr>
      <w:r w:rsidRPr="00520262">
        <w:rPr>
          <w:rFonts w:ascii="Palatino Linotype" w:eastAsia="Calibri" w:hAnsi="Palatino Linotype" w:cs="Arial"/>
          <w:b/>
          <w:sz w:val="28"/>
          <w:szCs w:val="28"/>
        </w:rPr>
        <w:t>7</w:t>
      </w:r>
      <w:r w:rsidR="008E7698" w:rsidRPr="00520262">
        <w:rPr>
          <w:rFonts w:ascii="Palatino Linotype" w:eastAsia="Calibri" w:hAnsi="Palatino Linotype" w:cs="Arial"/>
          <w:b/>
          <w:sz w:val="28"/>
          <w:szCs w:val="28"/>
        </w:rPr>
        <w:t xml:space="preserve">. </w:t>
      </w:r>
      <w:r w:rsidR="006747B5" w:rsidRPr="00520262">
        <w:rPr>
          <w:rFonts w:ascii="Palatino Linotype" w:eastAsia="Calibri" w:hAnsi="Palatino Linotype" w:cs="Arial"/>
          <w:b/>
          <w:sz w:val="28"/>
          <w:szCs w:val="28"/>
        </w:rPr>
        <w:t>Cierre de Instrucción.</w:t>
      </w:r>
      <w:r w:rsidR="006747B5"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rPr>
        <w:t>Una vez transcurrido el plazo otorgado</w:t>
      </w:r>
      <w:r w:rsidR="009F19E6">
        <w:rPr>
          <w:rFonts w:ascii="Palatino Linotype" w:eastAsia="Calibri" w:hAnsi="Palatino Linotype" w:cs="Arial"/>
        </w:rPr>
        <w:t xml:space="preserve"> para que las partes manifestara</w:t>
      </w:r>
      <w:r w:rsidR="006747B5" w:rsidRPr="0040233B">
        <w:rPr>
          <w:rFonts w:ascii="Palatino Linotype" w:eastAsia="Calibri" w:hAnsi="Palatino Linotype" w:cs="Arial"/>
        </w:rPr>
        <w:t xml:space="preserve">n lo que a su derecho conviniera, y siguiendo </w:t>
      </w:r>
      <w:r w:rsidR="006031FE" w:rsidRPr="0040233B">
        <w:rPr>
          <w:rFonts w:ascii="Palatino Linotype" w:hAnsi="Palatino Linotype"/>
        </w:rPr>
        <w:t>los trámites correspondientes con fundamento en el artículo 185 fracción VI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el día </w:t>
      </w:r>
      <w:r w:rsidR="00382822">
        <w:rPr>
          <w:rFonts w:ascii="Palatino Linotype" w:hAnsi="Palatino Linotype"/>
          <w:color w:val="C00000"/>
        </w:rPr>
        <w:t>ocho de noviembre</w:t>
      </w:r>
      <w:r w:rsidR="006031FE" w:rsidRPr="002F411A">
        <w:rPr>
          <w:rFonts w:ascii="Palatino Linotype" w:hAnsi="Palatino Linotype"/>
          <w:color w:val="C00000"/>
        </w:rPr>
        <w:t xml:space="preserve"> </w:t>
      </w:r>
      <w:r w:rsidR="006031FE" w:rsidRPr="0040233B">
        <w:rPr>
          <w:rFonts w:ascii="Palatino Linotype" w:hAnsi="Palatino Linotype"/>
        </w:rPr>
        <w:t>de</w:t>
      </w:r>
      <w:r w:rsidR="002F411A">
        <w:rPr>
          <w:rFonts w:ascii="Palatino Linotype" w:hAnsi="Palatino Linotype"/>
        </w:rPr>
        <w:t>l</w:t>
      </w:r>
      <w:r w:rsidR="006031FE" w:rsidRPr="0040233B">
        <w:rPr>
          <w:rFonts w:ascii="Palatino Linotype" w:hAnsi="Palatino Linotype"/>
        </w:rPr>
        <w:t xml:space="preserve"> dos mil </w:t>
      </w:r>
      <w:r w:rsidR="003C4F18">
        <w:rPr>
          <w:rFonts w:ascii="Palatino Linotype" w:hAnsi="Palatino Linotype"/>
        </w:rPr>
        <w:t>dieciocho</w:t>
      </w:r>
      <w:r w:rsidR="006031FE" w:rsidRPr="0040233B">
        <w:rPr>
          <w:rFonts w:ascii="Palatino Linotype" w:hAnsi="Palatino Linotype"/>
        </w:rPr>
        <w:t xml:space="preserve"> se pr</w:t>
      </w:r>
      <w:r w:rsidR="008B36C5" w:rsidRPr="0040233B">
        <w:rPr>
          <w:rFonts w:ascii="Palatino Linotype" w:hAnsi="Palatino Linotype"/>
        </w:rPr>
        <w:t>o</w:t>
      </w:r>
      <w:r w:rsidR="006031FE" w:rsidRPr="0040233B">
        <w:rPr>
          <w:rFonts w:ascii="Palatino Linotype" w:hAnsi="Palatino Linotype"/>
        </w:rPr>
        <w:t xml:space="preserve">cedió a decretar el cierre de instrucción respectivo. </w:t>
      </w:r>
      <w:r w:rsidR="006031FE" w:rsidRPr="0040233B">
        <w:rPr>
          <w:rFonts w:ascii="Palatino Linotype" w:eastAsia="Calibri" w:hAnsi="Palatino Linotype" w:cs="Arial"/>
          <w:b/>
          <w:sz w:val="28"/>
          <w:szCs w:val="28"/>
        </w:rPr>
        <w:t xml:space="preserve"> </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9695456"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p>
    <w:p w14:paraId="53243469" w14:textId="77777777" w:rsidR="002642D4" w:rsidRPr="0040233B" w:rsidRDefault="00516E6A" w:rsidP="002642D4">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w:t>
      </w:r>
      <w:r w:rsidR="00A5404F" w:rsidRPr="0040233B">
        <w:rPr>
          <w:rFonts w:ascii="Palatino Linotype" w:hAnsi="Palatino Linotype"/>
          <w:shd w:val="clear" w:color="auto" w:fill="FFFFFF"/>
        </w:rPr>
        <w:lastRenderedPageBreak/>
        <w:t xml:space="preserve">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w:t>
      </w:r>
      <w:r w:rsidR="002642D4">
        <w:rPr>
          <w:rFonts w:ascii="Palatino Linotype" w:hAnsi="Palatino Linotype"/>
          <w:shd w:val="clear" w:color="auto" w:fill="FFFFFF"/>
        </w:rPr>
        <w:t>5, párrafos vigésimo, vigésimo primero y vigésimo segundo</w:t>
      </w:r>
      <w:r w:rsidR="002642D4" w:rsidRPr="0040233B">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w:t>
      </w:r>
      <w:r w:rsidR="002642D4">
        <w:rPr>
          <w:rFonts w:ascii="Palatino Linotype" w:hAnsi="Palatino Linotype"/>
          <w:shd w:val="clear" w:color="auto" w:fill="FFFFFF"/>
        </w:rPr>
        <w:t>del Estado de México y Municipios;</w:t>
      </w:r>
      <w:r w:rsidR="002642D4" w:rsidRPr="0040233B">
        <w:rPr>
          <w:rFonts w:ascii="Palatino Linotype" w:hAnsi="Palatino Linotype"/>
          <w:shd w:val="clear" w:color="auto" w:fill="FFFFFF"/>
        </w:rPr>
        <w:t xml:space="preserve"> </w:t>
      </w:r>
      <w:r w:rsidR="002642D4" w:rsidRPr="00FC4616">
        <w:rPr>
          <w:rFonts w:ascii="Palatino Linotype" w:hAnsi="Palatino Linotype" w:cs="Arial"/>
        </w:rPr>
        <w:t>9 fracciones I, XXIV y 11</w:t>
      </w:r>
      <w:r w:rsidR="002642D4" w:rsidRPr="00025A37">
        <w:rPr>
          <w:rFonts w:ascii="Palatino Linotype" w:hAnsi="Palatino Linotype" w:cs="Arial"/>
        </w:rPr>
        <w:t xml:space="preserve"> </w:t>
      </w:r>
      <w:r w:rsidR="002642D4"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40233B" w:rsidRDefault="00516E6A" w:rsidP="002642D4">
      <w:pPr>
        <w:spacing w:before="240" w:after="240" w:line="360" w:lineRule="auto"/>
        <w:jc w:val="both"/>
        <w:rPr>
          <w:rFonts w:ascii="Palatino Linotype" w:hAnsi="Palatino Linotype" w:cs="Arial"/>
        </w:rPr>
      </w:pPr>
      <w:r w:rsidRPr="004D3B80">
        <w:rPr>
          <w:rFonts w:ascii="Palatino Linotype" w:hAnsi="Palatino Linotype" w:cs="Arial"/>
          <w:b/>
          <w:sz w:val="28"/>
          <w:szCs w:val="28"/>
        </w:rPr>
        <w:t>SEGUNDO</w:t>
      </w:r>
      <w:r w:rsidR="008E7698" w:rsidRPr="004D3B80">
        <w:rPr>
          <w:rFonts w:ascii="Palatino Linotype" w:hAnsi="Palatino Linotype" w:cs="Arial"/>
          <w:b/>
          <w:sz w:val="28"/>
          <w:szCs w:val="28"/>
        </w:rPr>
        <w:t xml:space="preserve">. Oportunidad </w:t>
      </w:r>
      <w:r w:rsidR="00DC752F" w:rsidRPr="004D3B80">
        <w:rPr>
          <w:rFonts w:ascii="Palatino Linotype" w:hAnsi="Palatino Linotype" w:cs="Arial"/>
          <w:b/>
          <w:sz w:val="28"/>
          <w:szCs w:val="28"/>
        </w:rPr>
        <w:t xml:space="preserve">y Procediblidad </w:t>
      </w:r>
      <w:r w:rsidR="008E7698" w:rsidRPr="004D3B80">
        <w:rPr>
          <w:rFonts w:ascii="Palatino Linotype" w:hAnsi="Palatino Linotype" w:cs="Arial"/>
          <w:b/>
          <w:sz w:val="28"/>
          <w:szCs w:val="28"/>
        </w:rPr>
        <w:t>del Recurso de Revisión.</w:t>
      </w:r>
      <w:r w:rsidR="008E7698" w:rsidRPr="0040233B">
        <w:rPr>
          <w:rFonts w:ascii="Palatino Linotype" w:hAnsi="Palatino Linotype" w:cs="Arial"/>
          <w:b/>
        </w:rPr>
        <w:t xml:space="preserve"> </w:t>
      </w:r>
      <w:r w:rsidR="004A0EA8" w:rsidRPr="0040233B">
        <w:rPr>
          <w:rFonts w:ascii="Palatino Linotype" w:hAnsi="Palatino Linotype" w:cs="Arial"/>
        </w:rPr>
        <w:t xml:space="preserve">Previo </w:t>
      </w:r>
      <w:r w:rsidR="00A9255B">
        <w:rPr>
          <w:rFonts w:ascii="Palatino Linotype" w:hAnsi="Palatino Linotype" w:cs="Arial"/>
        </w:rPr>
        <w:t xml:space="preserve">al </w:t>
      </w:r>
      <w:r w:rsidR="004A0EA8" w:rsidRPr="0040233B">
        <w:rPr>
          <w:rFonts w:ascii="Palatino Linotype" w:hAnsi="Palatino Linotype" w:cs="Arial"/>
        </w:rPr>
        <w:t xml:space="preserve">estudio del fondo del asunto, se procede a analizar los requisitos de oportunidad y </w:t>
      </w:r>
      <w:r w:rsidR="00A9255B">
        <w:rPr>
          <w:rFonts w:ascii="Palatino Linotype" w:hAnsi="Palatino Linotype" w:cs="Arial"/>
        </w:rPr>
        <w:t xml:space="preserve">procedibilidad que </w:t>
      </w:r>
      <w:r w:rsidR="004A0EA8" w:rsidRPr="0040233B">
        <w:rPr>
          <w:rFonts w:ascii="Palatino Linotype" w:hAnsi="Palatino Linotype" w:cs="Arial"/>
        </w:rPr>
        <w:t>d</w:t>
      </w:r>
      <w:r w:rsidR="00A9255B">
        <w:rPr>
          <w:rFonts w:ascii="Palatino Linotype" w:hAnsi="Palatino Linotype" w:cs="Arial"/>
        </w:rPr>
        <w:t>eben reunir los recursos</w:t>
      </w:r>
      <w:r w:rsidR="004A0EA8" w:rsidRPr="0040233B">
        <w:rPr>
          <w:rFonts w:ascii="Palatino Linotype" w:hAnsi="Palatino Linotype" w:cs="Arial"/>
        </w:rPr>
        <w:t xml:space="preserve"> de revisión interpuestos, previstos en los artículos 178 y 18</w:t>
      </w:r>
      <w:r w:rsidR="00BD24F0" w:rsidRPr="0040233B">
        <w:rPr>
          <w:rFonts w:ascii="Palatino Linotype" w:hAnsi="Palatino Linotype" w:cs="Arial"/>
        </w:rPr>
        <w:t>0 de la Ley de Transparencia y A</w:t>
      </w:r>
      <w:r w:rsidR="004A0EA8" w:rsidRPr="0040233B">
        <w:rPr>
          <w:rFonts w:ascii="Palatino Linotype" w:hAnsi="Palatino Linotype" w:cs="Arial"/>
        </w:rPr>
        <w:t xml:space="preserve">cceso a la Información </w:t>
      </w:r>
      <w:r w:rsidR="006C24CD" w:rsidRPr="0040233B">
        <w:rPr>
          <w:rFonts w:ascii="Palatino Linotype" w:hAnsi="Palatino Linotype" w:cs="Arial"/>
        </w:rPr>
        <w:t>Pública</w:t>
      </w:r>
      <w:r w:rsidR="004A0EA8" w:rsidRPr="0040233B">
        <w:rPr>
          <w:rFonts w:ascii="Palatino Linotype" w:hAnsi="Palatino Linotype" w:cs="Arial"/>
        </w:rPr>
        <w:t xml:space="preserve"> del Estado de México y </w:t>
      </w:r>
      <w:r w:rsidR="008F7D25" w:rsidRPr="0040233B">
        <w:rPr>
          <w:rFonts w:ascii="Palatino Linotype" w:hAnsi="Palatino Linotype" w:cs="Arial"/>
        </w:rPr>
        <w:t>Municipios.</w:t>
      </w:r>
    </w:p>
    <w:p w14:paraId="0193F58F" w14:textId="62FAABBE" w:rsidR="009243B2" w:rsidRPr="0025167A" w:rsidRDefault="009243B2" w:rsidP="009243B2">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382822">
        <w:rPr>
          <w:rFonts w:ascii="Palatino Linotype" w:hAnsi="Palatino Linotype" w:cs="Arial"/>
        </w:rPr>
        <w:t>veintitrés de septiembre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382822">
        <w:rPr>
          <w:rFonts w:ascii="Palatino Linotype" w:hAnsi="Palatino Linotype" w:cs="Arial"/>
        </w:rPr>
        <w:t xml:space="preserve">dos de octubre </w:t>
      </w:r>
      <w:r>
        <w:rPr>
          <w:rFonts w:ascii="Palatino Linotype" w:hAnsi="Palatino Linotype" w:cs="Arial"/>
        </w:rPr>
        <w:t>del mismo año.</w:t>
      </w:r>
    </w:p>
    <w:p w14:paraId="02318075" w14:textId="0AE91D2D" w:rsidR="00457077" w:rsidRDefault="00355B75" w:rsidP="008442E6">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w:t>
      </w:r>
      <w:r w:rsidR="00F32BCB" w:rsidRPr="0040233B">
        <w:rPr>
          <w:rFonts w:ascii="Palatino Linotype" w:hAnsi="Palatino Linotype" w:cs="Arial"/>
        </w:rPr>
        <w:t>,</w:t>
      </w:r>
      <w:r w:rsidRPr="0040233B">
        <w:rPr>
          <w:rFonts w:ascii="Palatino Linotype" w:hAnsi="Palatino Linotype" w:cs="Arial"/>
        </w:rPr>
        <w:t xml:space="preserve"> por cuanto hace a la procedibilidad del recurso de revisión</w:t>
      </w:r>
      <w:r w:rsidR="003C5A54">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sidR="00BC7267">
        <w:rPr>
          <w:rStyle w:val="normaltextrun"/>
          <w:rFonts w:ascii="Palatino Linotype" w:hAnsi="Palatino Linotype" w:cs="Segoe UI"/>
        </w:rPr>
        <w:t xml:space="preserve">se advierte que el </w:t>
      </w:r>
      <w:r w:rsidRPr="0040233B">
        <w:rPr>
          <w:rStyle w:val="normaltextrun"/>
          <w:rFonts w:ascii="Palatino Linotype" w:hAnsi="Palatino Linotype" w:cs="Segoe UI"/>
        </w:rPr>
        <w:lastRenderedPageBreak/>
        <w:t xml:space="preserve">artículo </w:t>
      </w:r>
      <w:r w:rsidR="00BC3FE1" w:rsidRPr="0040233B">
        <w:rPr>
          <w:rStyle w:val="normaltextrun"/>
          <w:rFonts w:ascii="Palatino Linotype" w:hAnsi="Palatino Linotype" w:cs="Segoe UI"/>
        </w:rPr>
        <w:t>180 de</w:t>
      </w:r>
      <w:r w:rsidRPr="0040233B">
        <w:rPr>
          <w:rStyle w:val="normaltextrun"/>
          <w:rFonts w:ascii="Palatino Linotype" w:hAnsi="Palatino Linotype" w:cs="Segoe UI"/>
        </w:rPr>
        <w:t xml:space="preserv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sidR="00BC7267">
        <w:rPr>
          <w:rStyle w:val="normaltextrun"/>
          <w:rFonts w:ascii="Palatino Linotype" w:hAnsi="Palatino Linotype" w:cs="Segoe UI"/>
        </w:rPr>
        <w:t xml:space="preserve">establece </w:t>
      </w:r>
      <w:r w:rsidR="00BC7267" w:rsidRPr="0040233B">
        <w:rPr>
          <w:rStyle w:val="normaltextrun"/>
          <w:rFonts w:ascii="Palatino Linotype" w:hAnsi="Palatino Linotype" w:cs="Segoe UI"/>
        </w:rPr>
        <w:t xml:space="preserve">los </w:t>
      </w:r>
      <w:r w:rsidR="00BC7267">
        <w:rPr>
          <w:rStyle w:val="normaltextrun"/>
          <w:rFonts w:ascii="Palatino Linotype" w:hAnsi="Palatino Linotype" w:cs="Segoe UI"/>
        </w:rPr>
        <w:t xml:space="preserve">siguientes </w:t>
      </w:r>
      <w:r w:rsidR="00BC7267" w:rsidRPr="0040233B">
        <w:rPr>
          <w:rStyle w:val="normaltextrun"/>
          <w:rFonts w:ascii="Palatino Linotype" w:hAnsi="Palatino Linotype" w:cs="Segoe UI"/>
        </w:rPr>
        <w:t xml:space="preserve">elementos formales </w:t>
      </w:r>
      <w:r w:rsidR="00414EE8">
        <w:rPr>
          <w:rStyle w:val="normaltextrun"/>
          <w:rFonts w:ascii="Palatino Linotype" w:hAnsi="Palatino Linotype" w:cs="Segoe UI"/>
        </w:rPr>
        <w:t>para la presentación del recurso:</w:t>
      </w:r>
    </w:p>
    <w:p w14:paraId="10B70920"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58E5D7E1"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El sujeto obligado ante la cual se presentó la solicitud; </w:t>
      </w:r>
    </w:p>
    <w:p w14:paraId="0497C8FB"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4E05EA6C"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El número de folio de respuesta de la solicitud de acceso; </w:t>
      </w:r>
    </w:p>
    <w:p w14:paraId="53FF15A3"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La fecha en que fue notificada la respuesta al solicitante o tuvo conocimiento del acto reclamado, o de presentación de la solicitud, en caso de falta de respuesta; </w:t>
      </w:r>
    </w:p>
    <w:p w14:paraId="7BEDF756"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 El acto que se recurre; </w:t>
      </w:r>
    </w:p>
    <w:p w14:paraId="7336985F"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 Las razones o motivos de inconformidad; </w:t>
      </w:r>
    </w:p>
    <w:p w14:paraId="108077B7"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VII. La copia de la respuesta que se impugna y, en su caso, de la notificación correspondiente, en el caso de respuesta de la solicitud; y </w:t>
      </w:r>
    </w:p>
    <w:p w14:paraId="2B7D5D0E"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VIII. Firma del recurrente o en su caso huella digital para el caso de que se presente por escrito, requisitos sin los cuales no se dará trámite al recurso. </w:t>
      </w:r>
    </w:p>
    <w:p w14:paraId="0367B70F"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Adicionalmente, se podrán anexar las pruebas y demás elementos que considere procedentes someter a juicio del Instituto. </w:t>
      </w:r>
    </w:p>
    <w:p w14:paraId="3CE66D2D"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En ningún caso será necesario que el particular ratifique el recurso de revisión interpuesto. </w:t>
      </w:r>
    </w:p>
    <w:p w14:paraId="6EF7300F" w14:textId="3D1CC549"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sidR="001A2FF3">
        <w:rPr>
          <w:rFonts w:ascii="Palatino Linotype" w:hAnsi="Palatino Linotype" w:cs="Arial"/>
          <w:i/>
          <w:sz w:val="20"/>
        </w:rPr>
        <w:t xml:space="preserve"> fracciones II, IV, VII y VIII.”</w:t>
      </w:r>
    </w:p>
    <w:p w14:paraId="2914741B" w14:textId="21770C43" w:rsidR="00414EE8" w:rsidRDefault="00414EE8" w:rsidP="008442E6">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181 del citado ordenamiento dispone que:</w:t>
      </w:r>
    </w:p>
    <w:p w14:paraId="75F95D79" w14:textId="361DDBAC" w:rsidR="00414EE8" w:rsidRPr="00C774F6" w:rsidRDefault="001A2FF3" w:rsidP="009243B2">
      <w:pPr>
        <w:autoSpaceDE w:val="0"/>
        <w:autoSpaceDN w:val="0"/>
        <w:adjustRightInd w:val="0"/>
        <w:spacing w:after="120"/>
        <w:ind w:left="851" w:right="902"/>
        <w:jc w:val="both"/>
        <w:rPr>
          <w:rFonts w:ascii="Palatino Linotype" w:hAnsi="Palatino Linotype" w:cs="Arial"/>
          <w:i/>
          <w:sz w:val="22"/>
        </w:rPr>
      </w:pPr>
      <w:r>
        <w:rPr>
          <w:rFonts w:ascii="Palatino Linotype" w:hAnsi="Palatino Linotype" w:cs="Arial"/>
          <w:b/>
          <w:i/>
          <w:sz w:val="22"/>
        </w:rPr>
        <w:t>“</w:t>
      </w:r>
      <w:r w:rsidR="00414EE8" w:rsidRPr="001A2FF3">
        <w:rPr>
          <w:rFonts w:ascii="Palatino Linotype" w:hAnsi="Palatino Linotype" w:cs="Arial"/>
          <w:b/>
          <w:i/>
          <w:sz w:val="22"/>
        </w:rPr>
        <w:t>Artículo 181.</w:t>
      </w:r>
      <w:r w:rsidR="00414EE8" w:rsidRPr="00C774F6">
        <w:rPr>
          <w:rFonts w:ascii="Palatino Linotype" w:hAnsi="Palatino Linotype" w:cs="Arial"/>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A83F1C0" w14:textId="77777777" w:rsidR="00414EE8" w:rsidRPr="00C774F6" w:rsidRDefault="00414EE8" w:rsidP="009243B2">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lastRenderedPageBreak/>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32DE4A43" w14:textId="77777777" w:rsidR="00414EE8" w:rsidRPr="00C774F6" w:rsidRDefault="00414EE8" w:rsidP="009243B2">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14D3BB64" w14:textId="77777777" w:rsidR="00414EE8" w:rsidRPr="00C774F6" w:rsidRDefault="00414EE8" w:rsidP="009243B2">
      <w:pPr>
        <w:autoSpaceDE w:val="0"/>
        <w:autoSpaceDN w:val="0"/>
        <w:adjustRightInd w:val="0"/>
        <w:spacing w:after="120"/>
        <w:ind w:left="851" w:right="902"/>
        <w:jc w:val="both"/>
        <w:rPr>
          <w:rFonts w:ascii="Palatino Linotype" w:hAnsi="Palatino Linotype" w:cs="Arial"/>
          <w:i/>
          <w:sz w:val="22"/>
        </w:rPr>
      </w:pPr>
      <w:r w:rsidRPr="00C774F6">
        <w:rPr>
          <w:rFonts w:ascii="Palatino Linotype" w:hAnsi="Palatino Linotype" w:cs="Arial"/>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C8719E6" w14:textId="19C8B702" w:rsidR="00414EE8" w:rsidRDefault="00414EE8" w:rsidP="009243B2">
      <w:pPr>
        <w:spacing w:after="120"/>
        <w:ind w:left="851" w:right="902"/>
        <w:jc w:val="both"/>
        <w:rPr>
          <w:rStyle w:val="normaltextrun"/>
          <w:rFonts w:ascii="Palatino Linotype" w:hAnsi="Palatino Linotype" w:cs="Segoe UI"/>
        </w:rPr>
      </w:pPr>
      <w:r w:rsidRPr="00C774F6">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w:t>
      </w:r>
    </w:p>
    <w:p w14:paraId="1028008C" w14:textId="6542B570"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w:t>
      </w:r>
      <w:r w:rsidR="00EA6C66">
        <w:rPr>
          <w:rFonts w:ascii="Palatino Linotype" w:hAnsi="Palatino Linotype" w:cs="Arial"/>
        </w:rPr>
        <w:t>n</w:t>
      </w:r>
      <w:r>
        <w:rPr>
          <w:rFonts w:ascii="Palatino Linotype" w:hAnsi="Palatino Linotype" w:cs="Arial"/>
        </w:rPr>
        <w:t xml:space="preserve">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69A9BBAC"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proporciona </w:t>
      </w:r>
      <w:r>
        <w:rPr>
          <w:rFonts w:ascii="Palatino Linotype" w:hAnsi="Palatino Linotype" w:cs="Arial"/>
        </w:rPr>
        <w:t>un seudónimo, no así un</w:t>
      </w:r>
      <w:r w:rsidRPr="00C774F6">
        <w:rPr>
          <w:rFonts w:ascii="Palatino Linotype" w:hAnsi="Palatino Linotype" w:cs="Arial"/>
        </w:rPr>
        <w:t xml:space="preserve"> nombre completo para que sea identificado, ni se tiene la certeza sobre su identidad, lo que en estricto sentido provoca que no se colmen los requisitos establecidos en el citado artículo 180 de la Ley de Transparencia.</w:t>
      </w:r>
    </w:p>
    <w:p w14:paraId="2F9193E5"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w:t>
      </w:r>
      <w:r w:rsidRPr="00C774F6">
        <w:rPr>
          <w:rFonts w:ascii="Palatino Linotype" w:hAnsi="Palatino Linotype" w:cs="Arial"/>
        </w:rPr>
        <w:lastRenderedPageBreak/>
        <w:t xml:space="preserve">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E38CEF" w14:textId="75DDCCA2"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sidR="00EA6C66">
        <w:rPr>
          <w:rFonts w:ascii="Palatino Linotype" w:hAnsi="Palatino Linotype" w:cs="Arial"/>
        </w:rPr>
        <w:t>a</w:t>
      </w:r>
      <w:r w:rsidRPr="00C774F6">
        <w:rPr>
          <w:rFonts w:ascii="Palatino Linotype" w:hAnsi="Palatino Linotype" w:cs="Arial"/>
        </w:rPr>
        <w:t xml:space="preserve">partado A, fracciones </w:t>
      </w:r>
      <w:r w:rsidR="00590636">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párrafos quince, </w:t>
      </w:r>
      <w:r w:rsidR="003C4F18">
        <w:rPr>
          <w:rFonts w:ascii="Palatino Linotype" w:hAnsi="Palatino Linotype" w:cs="Arial"/>
        </w:rPr>
        <w:t>dieciocho</w:t>
      </w:r>
      <w:r w:rsidRPr="00C774F6">
        <w:rPr>
          <w:rFonts w:ascii="Palatino Linotype" w:hAnsi="Palatino Linotype" w:cs="Arial"/>
        </w:rPr>
        <w:t xml:space="preserve"> y diecisiete,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A95FCBD" w14:textId="1B500F2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0387336" w14:textId="77777777" w:rsidR="00590636" w:rsidRDefault="00590636" w:rsidP="009243B2">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00414EE8" w:rsidRPr="00414EE8">
        <w:rPr>
          <w:rFonts w:ascii="Palatino Linotype" w:hAnsi="Palatino Linotype" w:cs="Arial"/>
          <w:i/>
          <w:sz w:val="20"/>
        </w:rPr>
        <w:t>…</w:t>
      </w:r>
      <w:r>
        <w:rPr>
          <w:rFonts w:ascii="Palatino Linotype" w:hAnsi="Palatino Linotype" w:cs="Arial"/>
          <w:i/>
          <w:sz w:val="20"/>
        </w:rPr>
        <w:t>)</w:t>
      </w:r>
    </w:p>
    <w:p w14:paraId="66B63DCA" w14:textId="00A8A0A2"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786D4B37"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13EB7F35"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414EE8">
        <w:rPr>
          <w:rFonts w:ascii="Palatino Linotype" w:hAnsi="Palatino Linotype" w:cs="Arial"/>
          <w:i/>
          <w:sz w:val="20"/>
        </w:rPr>
        <w:lastRenderedPageBreak/>
        <w:t xml:space="preserve">facultades, competencias o funciones, la ley determinará los supuestos específicos bajo los cuales procederá la declaración de inexistencia de la información. </w:t>
      </w:r>
    </w:p>
    <w:p w14:paraId="4C7BE267"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47A97491"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4AE9AEC6"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734A1ABA" w14:textId="4BAACA7A"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74F3882" w14:textId="77777777" w:rsidR="00590636" w:rsidRDefault="00590636"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00414EE8" w:rsidRPr="00414EE8">
        <w:rPr>
          <w:rFonts w:ascii="Palatino Linotype" w:hAnsi="Palatino Linotype" w:cs="Arial"/>
          <w:i/>
          <w:sz w:val="20"/>
        </w:rPr>
        <w:t>…</w:t>
      </w:r>
      <w:r>
        <w:rPr>
          <w:rFonts w:ascii="Palatino Linotype" w:hAnsi="Palatino Linotype" w:cs="Arial"/>
          <w:i/>
          <w:sz w:val="20"/>
        </w:rPr>
        <w:t>)</w:t>
      </w:r>
    </w:p>
    <w:p w14:paraId="2733C793" w14:textId="1537A8DF"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7C159E" w14:textId="77777777"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1B55FF41" w14:textId="77777777"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E98D258" w14:textId="77777777" w:rsidR="00590636" w:rsidRDefault="00590636"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00414EE8" w:rsidRPr="00414EE8">
        <w:rPr>
          <w:rFonts w:ascii="Palatino Linotype" w:hAnsi="Palatino Linotype" w:cs="Arial"/>
          <w:i/>
          <w:sz w:val="20"/>
        </w:rPr>
        <w:t>…</w:t>
      </w:r>
      <w:r>
        <w:rPr>
          <w:rFonts w:ascii="Palatino Linotype" w:hAnsi="Palatino Linotype" w:cs="Arial"/>
          <w:i/>
          <w:sz w:val="20"/>
        </w:rPr>
        <w:t>)</w:t>
      </w:r>
    </w:p>
    <w:p w14:paraId="7E3DEB92" w14:textId="77CA5993"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012F0710" w14:textId="77777777" w:rsidR="00590636" w:rsidRDefault="00590636"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00414EE8" w:rsidRPr="00414EE8">
        <w:rPr>
          <w:rFonts w:ascii="Palatino Linotype" w:hAnsi="Palatino Linotype" w:cs="Arial"/>
          <w:i/>
          <w:sz w:val="20"/>
        </w:rPr>
        <w:t>…</w:t>
      </w:r>
      <w:r>
        <w:rPr>
          <w:rFonts w:ascii="Palatino Linotype" w:hAnsi="Palatino Linotype" w:cs="Arial"/>
          <w:i/>
          <w:sz w:val="20"/>
        </w:rPr>
        <w:t>)</w:t>
      </w:r>
    </w:p>
    <w:p w14:paraId="504F84BB" w14:textId="042E9621" w:rsidR="00414EE8" w:rsidRPr="00414EE8" w:rsidRDefault="00414EE8" w:rsidP="009243B2">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lastRenderedPageBreak/>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4C8F5B9B"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Por otra parte, del contenido del artículo 1 de la Constitución Política de los Estados Unidos Mexicanos, se destaca lo siguiente:</w:t>
      </w:r>
    </w:p>
    <w:p w14:paraId="32BA20AD"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845EBF"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6338D51"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73878C"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23C746"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lastRenderedPageBreak/>
        <w:t>Robustece lo anterior, el Criterio 6/2014 del entonces Instituto Federal de Acceso a la Información y Protección de Datos, el cual se reproduce para una mayor referencia:</w:t>
      </w:r>
    </w:p>
    <w:p w14:paraId="09A091DD" w14:textId="77777777" w:rsidR="00414EE8" w:rsidRPr="00414EE8" w:rsidRDefault="00414EE8" w:rsidP="009243B2">
      <w:pPr>
        <w:autoSpaceDE w:val="0"/>
        <w:autoSpaceDN w:val="0"/>
        <w:adjustRightInd w:val="0"/>
        <w:spacing w:after="120"/>
        <w:ind w:left="851" w:right="902"/>
        <w:jc w:val="both"/>
        <w:rPr>
          <w:rFonts w:ascii="Palatino Linotype" w:hAnsi="Palatino Linotype" w:cs="Arial"/>
          <w:i/>
          <w:sz w:val="22"/>
        </w:rPr>
      </w:pPr>
      <w:r w:rsidRPr="00382822">
        <w:rPr>
          <w:rFonts w:ascii="Palatino Linotype" w:hAnsi="Palatino Linotype" w:cs="Arial"/>
          <w:b/>
          <w:i/>
          <w:sz w:val="20"/>
        </w:rPr>
        <w:t xml:space="preserve">“Acceso a información gubernamental. </w:t>
      </w:r>
      <w:r w:rsidRPr="00414EE8">
        <w:rPr>
          <w:rFonts w:ascii="Palatino Linotype" w:hAnsi="Palatino Linotype" w:cs="Arial"/>
          <w:i/>
          <w:sz w:val="20"/>
        </w:rPr>
        <w:t>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0087F0F"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10FF4FFF" w14:textId="77777777"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 xml:space="preserve">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w:t>
      </w:r>
      <w:r w:rsidRPr="00C774F6">
        <w:rPr>
          <w:rFonts w:ascii="Palatino Linotype" w:hAnsi="Palatino Linotype" w:cs="Arial"/>
        </w:rPr>
        <w:lastRenderedPageBreak/>
        <w:t>inteligencia de que al limitar un derecho humano, como lo es el derecho de acceso a la información pública, por una cuestión procedimental.</w:t>
      </w:r>
    </w:p>
    <w:p w14:paraId="2DACB2B1" w14:textId="3F7E1DEC" w:rsidR="00414EE8" w:rsidRPr="00C774F6" w:rsidRDefault="00414EE8" w:rsidP="00414EE8">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sidR="009243B2">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5B519D1D" w14:textId="60843469" w:rsidR="004D3B80" w:rsidRPr="00CD59DC" w:rsidRDefault="00172089" w:rsidP="004D3B80">
      <w:pPr>
        <w:spacing w:before="240" w:after="240" w:line="360" w:lineRule="auto"/>
        <w:jc w:val="both"/>
        <w:rPr>
          <w:rFonts w:ascii="Segoe UI" w:hAnsi="Segoe UI" w:cs="Segoe UI"/>
        </w:rPr>
      </w:pPr>
      <w:r w:rsidRPr="0040233B">
        <w:rPr>
          <w:rStyle w:val="normaltextrun"/>
          <w:rFonts w:ascii="Palatino Linotype" w:hAnsi="Palatino Linotype" w:cs="Segoe UI"/>
        </w:rPr>
        <w:t xml:space="preserve">Dentro de este marco, se advierte que resulta </w:t>
      </w:r>
      <w:r w:rsidR="00355B75" w:rsidRPr="0040233B">
        <w:rPr>
          <w:rStyle w:val="normaltextrun"/>
          <w:rFonts w:ascii="Palatino Linotype" w:hAnsi="Palatino Linotype" w:cs="Segoe UI"/>
        </w:rPr>
        <w:t xml:space="preserve">procedente la interposición del recurso, </w:t>
      </w:r>
      <w:r w:rsidRPr="0040233B">
        <w:rPr>
          <w:rStyle w:val="normaltextrun"/>
          <w:rFonts w:ascii="Palatino Linotype" w:hAnsi="Palatino Linotype" w:cs="Segoe UI"/>
        </w:rPr>
        <w:t>de acuerdo a lo que dispone</w:t>
      </w:r>
      <w:r w:rsidR="004D3B80">
        <w:rPr>
          <w:rStyle w:val="normaltextrun"/>
          <w:rFonts w:ascii="Palatino Linotype" w:hAnsi="Palatino Linotype" w:cs="Segoe UI"/>
        </w:rPr>
        <w:t xml:space="preserve">n los </w:t>
      </w:r>
      <w:r w:rsidR="00355B75" w:rsidRPr="0040233B">
        <w:rPr>
          <w:rStyle w:val="normaltextrun"/>
          <w:rFonts w:ascii="Palatino Linotype" w:hAnsi="Palatino Linotype" w:cs="Segoe UI"/>
        </w:rPr>
        <w:t>artículo</w:t>
      </w:r>
      <w:r w:rsidR="004D3B80">
        <w:rPr>
          <w:rStyle w:val="normaltextrun"/>
          <w:rFonts w:ascii="Palatino Linotype" w:hAnsi="Palatino Linotype" w:cs="Segoe UI"/>
        </w:rPr>
        <w:t>s</w:t>
      </w:r>
      <w:r w:rsidR="004D3B80">
        <w:rPr>
          <w:rStyle w:val="apple-converted-space"/>
          <w:rFonts w:ascii="Palatino Linotype" w:eastAsiaTheme="minorHAnsi" w:hAnsi="Palatino Linotype" w:cs="Segoe UI"/>
        </w:rPr>
        <w:t xml:space="preserve"> 176 y </w:t>
      </w:r>
      <w:r w:rsidRPr="0040233B">
        <w:rPr>
          <w:rStyle w:val="apple-converted-space"/>
          <w:rFonts w:ascii="Palatino Linotype" w:eastAsiaTheme="minorHAnsi" w:hAnsi="Palatino Linotype" w:cs="Segoe UI"/>
        </w:rPr>
        <w:t xml:space="preserve">179 </w:t>
      </w:r>
      <w:r w:rsidR="004D3B80">
        <w:rPr>
          <w:rStyle w:val="apple-converted-space"/>
          <w:rFonts w:ascii="Palatino Linotype" w:eastAsiaTheme="minorHAnsi" w:hAnsi="Palatino Linotype" w:cs="Segoe UI"/>
        </w:rPr>
        <w:t xml:space="preserve">fracción I </w:t>
      </w:r>
      <w:r w:rsidR="00355B75" w:rsidRPr="0040233B">
        <w:rPr>
          <w:rStyle w:val="normaltextrun"/>
          <w:rFonts w:ascii="Palatino Linotype" w:hAnsi="Palatino Linotype" w:cs="Segoe UI"/>
        </w:rPr>
        <w:t xml:space="preserve">del ordenamiento legal citado, </w:t>
      </w:r>
      <w:r w:rsidR="004D3B80" w:rsidRPr="00CD59DC">
        <w:rPr>
          <w:rStyle w:val="normaltextrun"/>
          <w:rFonts w:ascii="Palatino Linotype" w:hAnsi="Palatino Linotype" w:cs="Segoe UI"/>
        </w:rPr>
        <w:t xml:space="preserve">que </w:t>
      </w:r>
      <w:r w:rsidR="004D3B80">
        <w:rPr>
          <w:rStyle w:val="normaltextrun"/>
          <w:rFonts w:ascii="Palatino Linotype" w:hAnsi="Palatino Linotype" w:cs="Segoe UI"/>
        </w:rPr>
        <w:t>establecen los supuestos en que puede interponerse el recurso de revisión:</w:t>
      </w:r>
    </w:p>
    <w:p w14:paraId="4B63249A" w14:textId="65054710" w:rsidR="004D3B80" w:rsidRDefault="004D3B80" w:rsidP="004D3B80">
      <w:pPr>
        <w:spacing w:before="240" w:after="240" w:line="360" w:lineRule="auto"/>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 xml:space="preserve"> “</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358000A9" w14:textId="77777777" w:rsidR="004D3B80" w:rsidRPr="00CD59DC" w:rsidRDefault="004D3B80" w:rsidP="004D3B80">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247E2455" w14:textId="7E674597" w:rsidR="004D3B80" w:rsidRPr="004D3B80" w:rsidRDefault="00382822" w:rsidP="00382822">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2"/>
          <w:lang w:val="es-MX"/>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sidR="004D3B80" w:rsidRPr="004D3B80">
        <w:rPr>
          <w:rFonts w:ascii="Palatino Linotype" w:eastAsiaTheme="minorEastAsia" w:hAnsi="Palatino Linotype" w:cs="Bookman Old Style"/>
          <w:b/>
          <w:i/>
          <w:sz w:val="22"/>
          <w:szCs w:val="22"/>
          <w:lang w:val="es-MX"/>
        </w:rPr>
        <w:t>…</w:t>
      </w:r>
      <w:r w:rsidR="004D3B80" w:rsidRPr="004D3B80">
        <w:rPr>
          <w:rFonts w:ascii="Palatino Linotype" w:eastAsiaTheme="minorEastAsia" w:hAnsi="Palatino Linotype" w:cs="Bookman Old Style"/>
          <w:b/>
          <w:i/>
          <w:sz w:val="22"/>
          <w:szCs w:val="22"/>
        </w:rPr>
        <w:t>”</w:t>
      </w:r>
    </w:p>
    <w:p w14:paraId="532FDE8F" w14:textId="77777777" w:rsidR="00F32611" w:rsidRDefault="00F32611" w:rsidP="00F32611">
      <w:pPr>
        <w:spacing w:before="240" w:after="360" w:line="360" w:lineRule="auto"/>
        <w:jc w:val="both"/>
        <w:rPr>
          <w:rFonts w:ascii="Palatino Linotype" w:hAnsi="Palatino Linotype" w:cs="Arial"/>
        </w:rPr>
      </w:pPr>
      <w:r w:rsidRPr="00B475A5">
        <w:rPr>
          <w:rFonts w:ascii="Palatino Linotype" w:hAnsi="Palatino Linotype" w:cs="Arial"/>
          <w:b/>
          <w:sz w:val="28"/>
          <w:szCs w:val="28"/>
        </w:rPr>
        <w:t xml:space="preserve">TERCERO. </w:t>
      </w:r>
      <w:r w:rsidRPr="00500765">
        <w:rPr>
          <w:rFonts w:ascii="Palatino Linotype" w:hAnsi="Palatino Linotype" w:cs="Arial"/>
          <w:b/>
        </w:rPr>
        <w:t xml:space="preserve">Análisis de causales de Improcedencia. </w:t>
      </w:r>
      <w:r>
        <w:rPr>
          <w:rFonts w:ascii="Palatino Linotype" w:hAnsi="Palatino Linotype" w:cs="Arial"/>
        </w:rPr>
        <w:t>Previo a pronunciamiento de las cuestiones por las cuales este Pleno se encuentra impedido para llevar a cabo el estudio del fondo, es menester hacer alusión a la supletoriedad de las leyes.</w:t>
      </w:r>
    </w:p>
    <w:p w14:paraId="6E79E8B1" w14:textId="77777777" w:rsidR="00F32611" w:rsidRDefault="00F32611" w:rsidP="00F32611">
      <w:pPr>
        <w:spacing w:before="240" w:after="360" w:line="360" w:lineRule="auto"/>
        <w:jc w:val="both"/>
        <w:rPr>
          <w:rFonts w:ascii="Palatino Linotype" w:hAnsi="Palatino Linotype" w:cs="Arial"/>
        </w:rPr>
      </w:pPr>
      <w:r>
        <w:rPr>
          <w:rFonts w:ascii="Palatino Linotype" w:hAnsi="Palatino Linotype" w:cs="Arial"/>
        </w:rPr>
        <w:t xml:space="preserve">Dentro de este orden de ideas, se debe entender que los </w:t>
      </w:r>
      <w:r>
        <w:rPr>
          <w:rFonts w:ascii="Palatino Linotype" w:hAnsi="Palatino Linotype" w:cs="Arial"/>
          <w:i/>
        </w:rPr>
        <w:t xml:space="preserve">artículos supletorios </w:t>
      </w:r>
      <w:r>
        <w:rPr>
          <w:rFonts w:ascii="Palatino Linotype" w:hAnsi="Palatino Linotype" w:cs="Arial"/>
        </w:rPr>
        <w:t>reflejan lo que falta en una ley, que se encuentra incompleto o deficientemente regulado 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Pr>
          <w:rStyle w:val="Refdenotaalpie"/>
          <w:rFonts w:ascii="Palatino Linotype" w:hAnsi="Palatino Linotype" w:cs="Arial"/>
        </w:rPr>
        <w:footnoteReference w:id="1"/>
      </w:r>
    </w:p>
    <w:p w14:paraId="55E0B8D9" w14:textId="485934D1" w:rsidR="00F32611" w:rsidRDefault="00F32611" w:rsidP="00F32611">
      <w:pPr>
        <w:spacing w:before="240" w:after="360" w:line="360" w:lineRule="auto"/>
        <w:jc w:val="both"/>
        <w:rPr>
          <w:rFonts w:ascii="Palatino Linotype" w:hAnsi="Palatino Linotype" w:cs="Arial"/>
        </w:rPr>
      </w:pPr>
      <w:r>
        <w:rPr>
          <w:rFonts w:ascii="Palatino Linotype" w:hAnsi="Palatino Linotype" w:cs="Arial"/>
        </w:rPr>
        <w:t xml:space="preserve">Es así, derivado de que la insuficiencia de la legislación no es motivo para que un órgano jurisdiccional deje sin resolver las controversias planteadas, por lo que ha de buscarse la ley aplicable para suplir la deficiencia; considerándose adecuado que las normas jurídicas prevean cuál es la legislación supletoria y los supuestos relacionados con la materia a regular. Robustece lo anterior la Tesis Jurisprudencial </w:t>
      </w:r>
      <w:r w:rsidR="00A42503">
        <w:rPr>
          <w:rFonts w:ascii="Palatino Linotype" w:hAnsi="Palatino Linotype" w:cs="Arial"/>
        </w:rPr>
        <w:t xml:space="preserve">la tesis aislada XI.1o.A.T.11 K, de la décima época y </w:t>
      </w:r>
      <w:r w:rsidRPr="00660902">
        <w:rPr>
          <w:rFonts w:ascii="Palatino Linotype" w:hAnsi="Palatino Linotype" w:cs="Arial"/>
        </w:rPr>
        <w:t xml:space="preserve">I.3o.A. J/19 de la Novena </w:t>
      </w:r>
      <w:r w:rsidRPr="00660902">
        <w:rPr>
          <w:rFonts w:ascii="Palatino Linotype" w:hAnsi="Palatino Linotype" w:cs="Arial"/>
        </w:rPr>
        <w:lastRenderedPageBreak/>
        <w:t xml:space="preserve">Época </w:t>
      </w:r>
      <w:r w:rsidR="00A42503">
        <w:rPr>
          <w:rFonts w:ascii="Palatino Linotype" w:hAnsi="Palatino Linotype" w:cs="Arial"/>
        </w:rPr>
        <w:t xml:space="preserve">publicadas en el Semanario Judicial de la </w:t>
      </w:r>
      <w:r w:rsidR="00A42503" w:rsidRPr="009F2F05">
        <w:rPr>
          <w:rFonts w:ascii="Palatino Linotype" w:hAnsi="Palatino Linotype" w:cs="Arial"/>
        </w:rPr>
        <w:t>Federación y su Gaceta</w:t>
      </w:r>
      <w:r>
        <w:rPr>
          <w:rFonts w:ascii="Palatino Linotype" w:hAnsi="Palatino Linotype" w:cs="Arial"/>
        </w:rPr>
        <w:t>, que de manera literal señala</w:t>
      </w:r>
      <w:r w:rsidR="00A42503">
        <w:rPr>
          <w:rFonts w:ascii="Palatino Linotype" w:hAnsi="Palatino Linotype" w:cs="Arial"/>
        </w:rPr>
        <w:t>n</w:t>
      </w:r>
      <w:r>
        <w:rPr>
          <w:rFonts w:ascii="Palatino Linotype" w:hAnsi="Palatino Linotype" w:cs="Arial"/>
        </w:rPr>
        <w:t>:</w:t>
      </w:r>
    </w:p>
    <w:p w14:paraId="02D409FE" w14:textId="7F0E6689" w:rsidR="00A42503" w:rsidRPr="00A42503" w:rsidRDefault="00F32611" w:rsidP="00A42503">
      <w:pPr>
        <w:spacing w:after="240"/>
        <w:ind w:left="851" w:right="900"/>
        <w:jc w:val="both"/>
        <w:rPr>
          <w:rFonts w:ascii="Palatino Linotype" w:hAnsi="Palatino Linotype" w:cs="Calibri"/>
          <w:i/>
          <w:color w:val="000000"/>
          <w:sz w:val="22"/>
          <w:szCs w:val="22"/>
          <w:lang w:val="es-MX" w:eastAsia="es-MX"/>
        </w:rPr>
      </w:pPr>
      <w:r w:rsidRPr="00F32611">
        <w:rPr>
          <w:rFonts w:ascii="Palatino Linotype" w:hAnsi="Palatino Linotype" w:cs="Arial"/>
          <w:b/>
          <w:i/>
          <w:sz w:val="20"/>
          <w:szCs w:val="20"/>
        </w:rPr>
        <w:t>“</w:t>
      </w:r>
      <w:r w:rsidR="00A42503" w:rsidRPr="009F2F05">
        <w:rPr>
          <w:rFonts w:ascii="Palatino Linotype" w:hAnsi="Palatino Linotype" w:cs="Calibri"/>
          <w:b/>
          <w:bCs/>
          <w:i/>
          <w:color w:val="000000"/>
          <w:sz w:val="22"/>
          <w:szCs w:val="22"/>
          <w:lang w:val="es-MX" w:eastAsia="es-MX"/>
        </w:rPr>
        <w:t>LAGUNA JURÍDICA O DEL DERECHO" O "VACÍO LEGISLATIVO". PARA LLENARLO EL JUZGADOR DEBE ACUDIR, PRIMERO, A LA SUPLETORIEDAD O LA ANALOGÍA Y, DESPUÉS, A LOS PRINCIPIOS GENERALES DEL DERECHO.</w:t>
      </w:r>
      <w:r w:rsidR="00A42503">
        <w:rPr>
          <w:rFonts w:ascii="Palatino Linotype" w:hAnsi="Palatino Linotype" w:cs="Calibri"/>
          <w:b/>
          <w:bCs/>
          <w:i/>
          <w:color w:val="000000"/>
          <w:sz w:val="22"/>
          <w:szCs w:val="22"/>
          <w:lang w:val="es-MX" w:eastAsia="es-MX"/>
        </w:rPr>
        <w:t xml:space="preserve"> </w:t>
      </w:r>
      <w:r w:rsidR="00A42503" w:rsidRPr="00A42503">
        <w:rPr>
          <w:rFonts w:ascii="Palatino Linotype" w:hAnsi="Palatino Linotype" w:cs="Calibri"/>
          <w:i/>
          <w:color w:val="000000"/>
          <w:sz w:val="22"/>
          <w:szCs w:val="22"/>
          <w:lang w:val="es-MX" w:eastAsia="es-MX"/>
        </w:rPr>
        <w:t>Se denomina "laguna jurídica o del derecho" o "vacío legislativo" a la ausencia de reglamentación legislativa en una materia concreta;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deben ser llenados por el juzgador, con un proceso de integración, mediante dos sistemas: a) la heterointegración, llamada también derecho supletorio o supletoriedad; y, b) la autointegración, reconocida expresamente por la mayoría de los ordenamientos como analogía y principios generales del derecho. En estas condiciones, el uso de la analogía implica necesariamente creación o innovación del derecho, y pueden distinguirse dos clases resaltantes de ésta: la "legis" y la "iuri"; y es aceptada bajo dos condiciones, a saber: a) La falta expresa de la norma aplicable al supuesto concreto; y, b) Igualdad esencial de los hechos. En conclusión, es imposible que la mente humana pueda prever y regular con normas adecuadas todos los innumerables casos futuros en particular; sin embargo, el silencio, oscuridad o insuficiencia de la ley no autoriza a los Jueces o tribunales a dejar de resolver una controversia,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14:paraId="5593227F" w14:textId="77777777" w:rsidR="00F32611" w:rsidRPr="00F32611" w:rsidRDefault="00F32611" w:rsidP="00F32611">
      <w:pPr>
        <w:spacing w:line="276" w:lineRule="auto"/>
        <w:ind w:left="851" w:right="851"/>
        <w:jc w:val="both"/>
        <w:rPr>
          <w:rFonts w:ascii="Palatino Linotype" w:hAnsi="Palatino Linotype" w:cs="Arial"/>
          <w:i/>
          <w:sz w:val="20"/>
          <w:szCs w:val="20"/>
        </w:rPr>
      </w:pPr>
      <w:r w:rsidRPr="00F32611">
        <w:rPr>
          <w:rFonts w:ascii="Palatino Linotype" w:hAnsi="Palatino Linotype" w:cs="Arial"/>
          <w:b/>
          <w:i/>
          <w:sz w:val="20"/>
          <w:szCs w:val="20"/>
        </w:rPr>
        <w:t xml:space="preserve">SUPLETORIEDAD DE LEYES. CUANDO SE APLICA. </w:t>
      </w:r>
      <w:r w:rsidRPr="00F32611">
        <w:rPr>
          <w:rFonts w:ascii="Palatino Linotype" w:hAnsi="Palatino Linotype" w:cs="Arial"/>
          <w:i/>
          <w:sz w:val="20"/>
          <w:szCs w:val="20"/>
        </w:rPr>
        <w:t xml:space="preserve">La supletoriedad sólo se aplica para integrar una omisión en la ley o para interpretar sus disposiciones en forma que se integre con principios generales contenidos en otras leyes. Cuando la referencia de una ley a otra es expresa, debe entenderse que la aplicación de la supletoria se hará en los </w:t>
      </w:r>
      <w:r w:rsidRPr="00F32611">
        <w:rPr>
          <w:rFonts w:ascii="Palatino Linotype" w:hAnsi="Palatino Linotype" w:cs="Arial"/>
          <w:i/>
          <w:sz w:val="20"/>
          <w:szCs w:val="20"/>
        </w:rPr>
        <w:lastRenderedPageBreak/>
        <w:t>supuestos no contemplados por la primera ley que la complementará ante posibles omisiones o para la interpretación de sus disposiciones. Por ello, la referencia a leyes supletorias es la determinación de las fuentes a las cuales una ley acudirá para deducir sus principios y subsanar sus omisiones. La supletoriedad expresa debe considerarse en los términos que la legislación la establece. De esta manera, la supletoriedad en la legislación es una cuestión de aplicación para dar debida coherencia al sistema jurídico. El mecanismo de supletoriedad se observa generalmente de leyes de contenido especializado con relación a leyes de contenido general. El carácter supletorio de la ley resulta, en consecuencia, una integración, y reenvío de una ley especializada a otros textos legislativos generales que fijen los principios aplicables a la regulación de la ley suplida; implica un principio de economía e integración legislativas para evitar la reiteración de tales principios por una parte, así como la posibilidad de consagración de los preceptos especiales en la ley suplida”</w:t>
      </w:r>
    </w:p>
    <w:p w14:paraId="089F554E" w14:textId="77777777" w:rsidR="00F32611" w:rsidRDefault="00F32611" w:rsidP="00F32611">
      <w:pPr>
        <w:spacing w:before="240" w:after="360" w:line="360" w:lineRule="auto"/>
        <w:jc w:val="both"/>
        <w:rPr>
          <w:rFonts w:ascii="Palatino Linotype" w:hAnsi="Palatino Linotype" w:cs="Arial"/>
        </w:rPr>
      </w:pPr>
      <w:r>
        <w:rPr>
          <w:rFonts w:ascii="Palatino Linotype" w:hAnsi="Palatino Linotype" w:cs="Arial"/>
        </w:rPr>
        <w:t xml:space="preserve">Una vez precisado lo anterior, es que se considera indispensable aludir al contenido literal del artículo 195 de la Ley de Transparencia y Acceso a la Información Pública del Estado de México y Municipios, que a la letra refiere: </w:t>
      </w:r>
    </w:p>
    <w:p w14:paraId="63984BC7" w14:textId="6D113BD0" w:rsidR="00F32611" w:rsidRPr="00F32611" w:rsidRDefault="00F32611" w:rsidP="00F32611">
      <w:pPr>
        <w:spacing w:after="120"/>
        <w:ind w:left="851" w:right="851"/>
        <w:jc w:val="both"/>
        <w:rPr>
          <w:rFonts w:ascii="Palatino Linotype" w:hAnsi="Palatino Linotype" w:cs="Arial"/>
          <w:i/>
          <w:sz w:val="20"/>
          <w:szCs w:val="20"/>
        </w:rPr>
      </w:pPr>
      <w:r>
        <w:rPr>
          <w:rFonts w:ascii="Palatino Linotype" w:hAnsi="Palatino Linotype" w:cs="Arial"/>
          <w:b/>
          <w:i/>
          <w:sz w:val="20"/>
          <w:szCs w:val="20"/>
        </w:rPr>
        <w:t>“</w:t>
      </w:r>
      <w:r w:rsidRPr="00F32611">
        <w:rPr>
          <w:rFonts w:ascii="Palatino Linotype" w:hAnsi="Palatino Linotype" w:cs="Arial"/>
          <w:b/>
          <w:i/>
          <w:sz w:val="20"/>
          <w:szCs w:val="20"/>
        </w:rPr>
        <w:t>Artículo 195.</w:t>
      </w:r>
      <w:r w:rsidRPr="00F32611">
        <w:rPr>
          <w:rFonts w:ascii="Palatino Linotype" w:hAnsi="Palatino Linotype" w:cs="Arial"/>
          <w:i/>
          <w:sz w:val="20"/>
          <w:szCs w:val="20"/>
        </w:rPr>
        <w:t xml:space="preserve"> En la tramitación del recurso de revisión se aplicarán supletoriamente las disposiciones contenidas en el Código de Procedimientos Administrativos del Estado de México.</w:t>
      </w:r>
      <w:r>
        <w:rPr>
          <w:rFonts w:ascii="Palatino Linotype" w:hAnsi="Palatino Linotype" w:cs="Arial"/>
          <w:i/>
          <w:sz w:val="20"/>
          <w:szCs w:val="20"/>
        </w:rPr>
        <w:t>”</w:t>
      </w:r>
    </w:p>
    <w:p w14:paraId="64A00535" w14:textId="77777777" w:rsidR="00F32611" w:rsidRDefault="00F32611" w:rsidP="00F32611">
      <w:pPr>
        <w:spacing w:before="240" w:after="360" w:line="360" w:lineRule="auto"/>
        <w:jc w:val="both"/>
        <w:rPr>
          <w:rFonts w:ascii="Palatino Linotype" w:hAnsi="Palatino Linotype"/>
        </w:rPr>
      </w:pPr>
      <w:r>
        <w:rPr>
          <w:rFonts w:ascii="Palatino Linotype" w:hAnsi="Palatino Linotype"/>
        </w:rPr>
        <w:t xml:space="preserve">Del precepto en cita se advierte que este Órgano Garante tiene la posibilidad de acudir al Código de Procedimientos Administrativos del Estado de México, como normatividad supletoria a lo previsto por la Ley de Transparencia y Acceso a la Información Pública del Estado de México y Municipios, por cuanto hace a la tramitación del recurso de revisión; es decir, se está en aptitud de acudir a la legislación administrativa ante la posibilidad de que exista una omisión dentro de la Ley en la Materia, que no permita resolver de manera adecuada y congruente los recursos de revisión. </w:t>
      </w:r>
    </w:p>
    <w:p w14:paraId="69F49C04" w14:textId="77777777" w:rsidR="00F32611" w:rsidRDefault="00F32611" w:rsidP="00F32611">
      <w:pPr>
        <w:spacing w:before="240" w:after="360" w:line="360" w:lineRule="auto"/>
        <w:jc w:val="both"/>
        <w:rPr>
          <w:rFonts w:ascii="Palatino Linotype" w:hAnsi="Palatino Linotype"/>
        </w:rPr>
      </w:pPr>
      <w:r>
        <w:rPr>
          <w:rFonts w:ascii="Palatino Linotype" w:hAnsi="Palatino Linotype" w:cs="Arial"/>
        </w:rPr>
        <w:lastRenderedPageBreak/>
        <w:t>En dichas circunstancias, se considera que existen elementos suficientes para sustentar</w:t>
      </w:r>
      <w:r>
        <w:rPr>
          <w:rFonts w:ascii="Palatino Linotype" w:hAnsi="Palatino Linotype"/>
        </w:rPr>
        <w:t xml:space="preserve"> la aplicación supletoria del Código de Procedimientos Administrativos del Estado de México, para resolver el asunto que nos ocupa, ya que se actualizan los siguientes supuestos</w:t>
      </w:r>
      <w:r>
        <w:rPr>
          <w:rStyle w:val="Refdenotaalpie"/>
          <w:rFonts w:ascii="Palatino Linotype" w:hAnsi="Palatino Linotype"/>
        </w:rPr>
        <w:footnoteReference w:id="2"/>
      </w:r>
      <w:r>
        <w:rPr>
          <w:rFonts w:ascii="Palatino Linotype" w:hAnsi="Palatino Linotype"/>
        </w:rPr>
        <w:t xml:space="preserve">: </w:t>
      </w:r>
    </w:p>
    <w:p w14:paraId="68123685" w14:textId="77777777" w:rsidR="00F32611" w:rsidRDefault="00F32611" w:rsidP="002101E5">
      <w:pPr>
        <w:pStyle w:val="Prrafodelista"/>
        <w:numPr>
          <w:ilvl w:val="0"/>
          <w:numId w:val="2"/>
        </w:numPr>
        <w:spacing w:before="240" w:after="360" w:line="360" w:lineRule="auto"/>
        <w:contextualSpacing/>
        <w:jc w:val="both"/>
        <w:rPr>
          <w:rFonts w:ascii="Palatino Linotype" w:hAnsi="Palatino Linotype"/>
        </w:rPr>
      </w:pPr>
      <w:r>
        <w:rPr>
          <w:rFonts w:ascii="Palatino Linotype" w:hAnsi="Palatino Linotype"/>
        </w:rPr>
        <w:t xml:space="preserve">El </w:t>
      </w:r>
      <w:r w:rsidRPr="00A2034A">
        <w:rPr>
          <w:rFonts w:ascii="Palatino Linotype" w:hAnsi="Palatino Linotype"/>
        </w:rPr>
        <w:t>ordenamiento legal a suplir estable</w:t>
      </w:r>
      <w:r>
        <w:rPr>
          <w:rFonts w:ascii="Palatino Linotype" w:hAnsi="Palatino Linotype"/>
        </w:rPr>
        <w:t>ce</w:t>
      </w:r>
      <w:r w:rsidRPr="00A2034A">
        <w:rPr>
          <w:rFonts w:ascii="Palatino Linotype" w:hAnsi="Palatino Linotype"/>
        </w:rPr>
        <w:t xml:space="preserve"> expresamente esa posibilidad, indicando </w:t>
      </w:r>
      <w:r>
        <w:rPr>
          <w:rFonts w:ascii="Palatino Linotype" w:hAnsi="Palatino Linotype"/>
        </w:rPr>
        <w:t>el Código</w:t>
      </w:r>
      <w:r w:rsidRPr="00A2034A">
        <w:rPr>
          <w:rFonts w:ascii="Palatino Linotype" w:hAnsi="Palatino Linotype"/>
        </w:rPr>
        <w:t xml:space="preserve"> que puede aplicarse supletoriamente</w:t>
      </w:r>
      <w:r>
        <w:rPr>
          <w:rFonts w:ascii="Palatino Linotype" w:hAnsi="Palatino Linotype"/>
        </w:rPr>
        <w:t>.</w:t>
      </w:r>
    </w:p>
    <w:p w14:paraId="1DC269D4" w14:textId="77777777" w:rsidR="00F32611" w:rsidRDefault="00F32611" w:rsidP="002101E5">
      <w:pPr>
        <w:pStyle w:val="Prrafodelista"/>
        <w:numPr>
          <w:ilvl w:val="0"/>
          <w:numId w:val="2"/>
        </w:numPr>
        <w:spacing w:before="240" w:after="360" w:line="360" w:lineRule="auto"/>
        <w:contextualSpacing/>
        <w:jc w:val="both"/>
        <w:rPr>
          <w:rFonts w:ascii="Palatino Linotype" w:hAnsi="Palatino Linotype"/>
        </w:rPr>
      </w:pPr>
      <w:r w:rsidRPr="00A2034A">
        <w:rPr>
          <w:rFonts w:ascii="Palatino Linotype" w:hAnsi="Palatino Linotype"/>
        </w:rPr>
        <w:t>La ley a suplir no contemple la institución o las cuestiones jurídicas que pretenden aplicarse supletoriamente</w:t>
      </w:r>
      <w:r>
        <w:rPr>
          <w:rFonts w:ascii="Palatino Linotype" w:hAnsi="Palatino Linotype"/>
        </w:rPr>
        <w:t>.</w:t>
      </w:r>
    </w:p>
    <w:p w14:paraId="4662B7DE" w14:textId="77777777" w:rsidR="00F32611" w:rsidRDefault="00F32611" w:rsidP="002101E5">
      <w:pPr>
        <w:pStyle w:val="Prrafodelista"/>
        <w:numPr>
          <w:ilvl w:val="0"/>
          <w:numId w:val="2"/>
        </w:numPr>
        <w:spacing w:before="240" w:after="360" w:line="360" w:lineRule="auto"/>
        <w:contextualSpacing/>
        <w:jc w:val="both"/>
        <w:rPr>
          <w:rFonts w:ascii="Palatino Linotype" w:hAnsi="Palatino Linotype"/>
        </w:rPr>
      </w:pPr>
      <w:r w:rsidRPr="00A2034A">
        <w:rPr>
          <w:rFonts w:ascii="Palatino Linotype" w:hAnsi="Palatino Linotype"/>
        </w:rPr>
        <w:t>Esa omisión ha</w:t>
      </w:r>
      <w:r>
        <w:rPr>
          <w:rFonts w:ascii="Palatino Linotype" w:hAnsi="Palatino Linotype"/>
        </w:rPr>
        <w:t>ce</w:t>
      </w:r>
      <w:r w:rsidRPr="00A2034A">
        <w:rPr>
          <w:rFonts w:ascii="Palatino Linotype" w:hAnsi="Palatino Linotype"/>
        </w:rPr>
        <w:t xml:space="preserve"> necesaria la aplicación supletoria de normas para solucionar la controversia o el problema jurídico planteado</w:t>
      </w:r>
      <w:r>
        <w:rPr>
          <w:rFonts w:ascii="Palatino Linotype" w:hAnsi="Palatino Linotype"/>
        </w:rPr>
        <w:t>.</w:t>
      </w:r>
    </w:p>
    <w:p w14:paraId="54348EEC" w14:textId="77777777" w:rsidR="00F32611" w:rsidRDefault="00F32611" w:rsidP="002101E5">
      <w:pPr>
        <w:pStyle w:val="Prrafodelista"/>
        <w:numPr>
          <w:ilvl w:val="0"/>
          <w:numId w:val="2"/>
        </w:numPr>
        <w:spacing w:before="240" w:after="360" w:line="360" w:lineRule="auto"/>
        <w:contextualSpacing/>
        <w:jc w:val="both"/>
        <w:rPr>
          <w:rFonts w:ascii="Palatino Linotype" w:hAnsi="Palatino Linotype"/>
        </w:rPr>
      </w:pPr>
      <w:r>
        <w:rPr>
          <w:rFonts w:ascii="Palatino Linotype" w:hAnsi="Palatino Linotype"/>
        </w:rPr>
        <w:t>L</w:t>
      </w:r>
      <w:r w:rsidRPr="00A2034A">
        <w:rPr>
          <w:rFonts w:ascii="Palatino Linotype" w:hAnsi="Palatino Linotype"/>
        </w:rPr>
        <w:t>a norma aplicable supletoriamente no contrarí</w:t>
      </w:r>
      <w:r>
        <w:rPr>
          <w:rFonts w:ascii="Palatino Linotype" w:hAnsi="Palatino Linotype"/>
        </w:rPr>
        <w:t>a</w:t>
      </w:r>
      <w:r w:rsidRPr="00A2034A">
        <w:rPr>
          <w:rFonts w:ascii="Palatino Linotype" w:hAnsi="Palatino Linotype"/>
        </w:rPr>
        <w:t xml:space="preserve"> el ordenamiento legal a suplir, sino </w:t>
      </w:r>
      <w:r>
        <w:rPr>
          <w:rFonts w:ascii="Palatino Linotype" w:hAnsi="Palatino Linotype"/>
        </w:rPr>
        <w:t>es</w:t>
      </w:r>
      <w:r w:rsidRPr="00A2034A">
        <w:rPr>
          <w:rFonts w:ascii="Palatino Linotype" w:hAnsi="Palatino Linotype"/>
        </w:rPr>
        <w:t xml:space="preserve"> congruente con sus principios y con las bases que </w:t>
      </w:r>
      <w:r>
        <w:rPr>
          <w:rFonts w:ascii="Palatino Linotype" w:hAnsi="Palatino Linotype"/>
        </w:rPr>
        <w:t xml:space="preserve">la </w:t>
      </w:r>
      <w:r w:rsidRPr="00A2034A">
        <w:rPr>
          <w:rFonts w:ascii="Palatino Linotype" w:hAnsi="Palatino Linotype"/>
        </w:rPr>
        <w:t>rigen</w:t>
      </w:r>
      <w:r>
        <w:rPr>
          <w:rFonts w:ascii="Palatino Linotype" w:hAnsi="Palatino Linotype"/>
        </w:rPr>
        <w:t>.</w:t>
      </w:r>
      <w:r w:rsidRPr="00A2034A">
        <w:rPr>
          <w:rFonts w:ascii="Palatino Linotype" w:hAnsi="Palatino Linotype"/>
        </w:rPr>
        <w:t xml:space="preserve"> </w:t>
      </w:r>
    </w:p>
    <w:p w14:paraId="7F5BD450" w14:textId="3F4495B9" w:rsidR="00F32611" w:rsidRDefault="00F32611" w:rsidP="00F32611">
      <w:pPr>
        <w:spacing w:before="240" w:after="360" w:line="360" w:lineRule="auto"/>
        <w:jc w:val="both"/>
        <w:rPr>
          <w:rFonts w:ascii="Palatino Linotype" w:hAnsi="Palatino Linotype"/>
        </w:rPr>
      </w:pPr>
      <w:r>
        <w:rPr>
          <w:rFonts w:ascii="Palatino Linotype" w:hAnsi="Palatino Linotype"/>
        </w:rPr>
        <w:t>La actualización de dichos elementos deriva</w:t>
      </w:r>
      <w:r w:rsidR="00A56ECB">
        <w:rPr>
          <w:rFonts w:ascii="Palatino Linotype" w:hAnsi="Palatino Linotype"/>
        </w:rPr>
        <w:t>,</w:t>
      </w:r>
      <w:r>
        <w:rPr>
          <w:rFonts w:ascii="Palatino Linotype" w:hAnsi="Palatino Linotype"/>
        </w:rPr>
        <w:t xml:space="preserve"> de que dentro de la Ley de Transparencia y Acceso a la Información Pública del Estado de México, de manera expresa en su artículo 195 establece la aplicación supletoria del Código de Procedimientos Administrativo del Estado de México, empero dicha aplicación versa únicamente respecto a la tramitación de los recursos de revisión, circunstancia que si bien se encuentra regulada dentro de la Ley referida, cierto es también que para el caso en particular, resulta indispensable la supletoriedad, dado que la propia naturaleza del recurso de revisión al rubro así lo exige. </w:t>
      </w:r>
    </w:p>
    <w:p w14:paraId="00ED0670" w14:textId="77777777" w:rsidR="00F32611" w:rsidRDefault="00F32611" w:rsidP="0077519B">
      <w:pPr>
        <w:spacing w:before="240" w:after="240" w:line="360" w:lineRule="auto"/>
        <w:jc w:val="both"/>
        <w:rPr>
          <w:rFonts w:ascii="Palatino Linotype" w:hAnsi="Palatino Linotype"/>
        </w:rPr>
      </w:pPr>
      <w:r>
        <w:rPr>
          <w:rFonts w:ascii="Palatino Linotype" w:hAnsi="Palatino Linotype"/>
        </w:rPr>
        <w:lastRenderedPageBreak/>
        <w:t>Además de que existe clara necesidad de aplicar de manera supletoria el Código de Procedimientos Administrativa, ya que si bien es cierto que dentro de la Ley Adjetiva en la Materia contiene causales de improcedencia y sobreseimiento; cierto es también que dentro de las mismas no se logra adecuar el caso concreto para decretar el sobreseimiento correspondiente.</w:t>
      </w:r>
    </w:p>
    <w:p w14:paraId="65AAE681" w14:textId="07EF9C94" w:rsidR="00A56ECB" w:rsidRDefault="0077519B" w:rsidP="0077519B">
      <w:pPr>
        <w:spacing w:before="240" w:after="240" w:line="360" w:lineRule="auto"/>
        <w:ind w:right="51"/>
        <w:jc w:val="both"/>
        <w:rPr>
          <w:rFonts w:ascii="Palatino Linotype" w:hAnsi="Palatino Linotype"/>
        </w:rPr>
      </w:pPr>
      <w:r>
        <w:rPr>
          <w:rFonts w:ascii="Palatino Linotype" w:hAnsi="Palatino Linotype"/>
        </w:rPr>
        <w:t>Ante dichas circunstancias</w:t>
      </w:r>
      <w:r w:rsidR="00F32611">
        <w:rPr>
          <w:rFonts w:ascii="Palatino Linotype" w:hAnsi="Palatino Linotype"/>
        </w:rPr>
        <w:t xml:space="preserve"> t</w:t>
      </w:r>
      <w:r w:rsidR="00F32611" w:rsidRPr="00500765">
        <w:rPr>
          <w:rFonts w:ascii="Palatino Linotype" w:hAnsi="Palatino Linotype"/>
        </w:rPr>
        <w:t xml:space="preserve">al y como quedó apuntado </w:t>
      </w:r>
      <w:r w:rsidR="00F32611">
        <w:rPr>
          <w:rFonts w:ascii="Palatino Linotype" w:hAnsi="Palatino Linotype"/>
        </w:rPr>
        <w:t>en los antecedentes</w:t>
      </w:r>
      <w:r w:rsidR="00F32611" w:rsidRPr="00500765">
        <w:rPr>
          <w:rFonts w:ascii="Palatino Linotype" w:hAnsi="Palatino Linotype"/>
        </w:rPr>
        <w:t xml:space="preserve">, el particular requirió del </w:t>
      </w:r>
      <w:r w:rsidR="00F32611" w:rsidRPr="00F32611">
        <w:rPr>
          <w:rFonts w:ascii="Palatino Linotype" w:hAnsi="Palatino Linotype"/>
          <w:b/>
        </w:rPr>
        <w:t>Sujeto Obligado</w:t>
      </w:r>
      <w:r w:rsidR="00F32611">
        <w:rPr>
          <w:rFonts w:ascii="Palatino Linotype" w:hAnsi="Palatino Linotype"/>
        </w:rPr>
        <w:t xml:space="preserve"> la entrega </w:t>
      </w:r>
      <w:r>
        <w:rPr>
          <w:rFonts w:ascii="Palatino Linotype" w:hAnsi="Palatino Linotype"/>
        </w:rPr>
        <w:t>de lo siguiente:</w:t>
      </w:r>
    </w:p>
    <w:p w14:paraId="70CFE35C" w14:textId="5A1F3E74" w:rsidR="00F32611" w:rsidRDefault="00A56ECB" w:rsidP="00A56ECB">
      <w:pPr>
        <w:spacing w:before="120" w:after="120"/>
        <w:ind w:left="851" w:right="49"/>
        <w:jc w:val="both"/>
        <w:rPr>
          <w:rFonts w:ascii="Palatino Linotype" w:hAnsi="Palatino Linotype"/>
          <w:i/>
          <w:lang w:val="es-MX" w:eastAsia="es-MX"/>
        </w:rPr>
      </w:pPr>
      <w:r w:rsidRPr="00A56ECB">
        <w:rPr>
          <w:rFonts w:ascii="Palatino Linotype" w:hAnsi="Palatino Linotype"/>
          <w:i/>
        </w:rPr>
        <w:t>a)</w:t>
      </w:r>
      <w:r>
        <w:rPr>
          <w:rFonts w:ascii="Palatino Linotype" w:hAnsi="Palatino Linotype"/>
        </w:rPr>
        <w:t xml:space="preserve"> </w:t>
      </w:r>
      <w:r w:rsidR="00F32611" w:rsidRPr="00BD1BFA">
        <w:rPr>
          <w:rFonts w:ascii="Palatino Linotype" w:hAnsi="Palatino Linotype"/>
          <w:i/>
          <w:lang w:val="es-MX" w:eastAsia="es-MX"/>
        </w:rPr>
        <w:t xml:space="preserve">Fecha en que dejó de laborar en el Ayuntamiento el C. JAVIER JUAN OLIVARES. </w:t>
      </w:r>
    </w:p>
    <w:p w14:paraId="72522F63" w14:textId="77777777" w:rsidR="00F32611" w:rsidRDefault="00F32611" w:rsidP="00F32611">
      <w:pPr>
        <w:spacing w:before="120" w:after="120"/>
        <w:ind w:left="851" w:right="902"/>
        <w:jc w:val="both"/>
        <w:rPr>
          <w:rFonts w:ascii="Palatino Linotype" w:hAnsi="Palatino Linotype"/>
          <w:i/>
          <w:lang w:val="es-MX" w:eastAsia="es-MX"/>
        </w:rPr>
      </w:pPr>
      <w:r w:rsidRPr="00BD1BFA">
        <w:rPr>
          <w:rFonts w:ascii="Palatino Linotype" w:hAnsi="Palatino Linotype"/>
          <w:i/>
          <w:lang w:val="es-MX" w:eastAsia="es-MX"/>
        </w:rPr>
        <w:t xml:space="preserve">b). Cargo que desempeñaba con copia de su nombramiento y </w:t>
      </w:r>
    </w:p>
    <w:p w14:paraId="55F0E99E" w14:textId="77777777" w:rsidR="00F32611" w:rsidRPr="00BD1BFA" w:rsidRDefault="00F32611" w:rsidP="00F32611">
      <w:pPr>
        <w:spacing w:before="120" w:after="120"/>
        <w:ind w:left="851" w:right="902"/>
        <w:jc w:val="both"/>
        <w:rPr>
          <w:rFonts w:ascii="Palatino Linotype" w:hAnsi="Palatino Linotype"/>
          <w:i/>
          <w:lang w:val="es-MX" w:eastAsia="es-MX"/>
        </w:rPr>
      </w:pPr>
      <w:r w:rsidRPr="00BD1BFA">
        <w:rPr>
          <w:rFonts w:ascii="Palatino Linotype" w:hAnsi="Palatino Linotype"/>
          <w:i/>
          <w:lang w:val="es-MX" w:eastAsia="es-MX"/>
        </w:rPr>
        <w:t>c). Indicar si existe una demanda laboral teniendo como actor a la persona que responde al nombre de JAVIER JUAN OLIVARES. Agradecemos su pronta respuesta.</w:t>
      </w:r>
    </w:p>
    <w:p w14:paraId="089049BA" w14:textId="279EEF56" w:rsidR="00F32611" w:rsidRPr="00860A35" w:rsidRDefault="0077519B" w:rsidP="0077519B">
      <w:pPr>
        <w:spacing w:before="240" w:after="240" w:line="360" w:lineRule="auto"/>
        <w:jc w:val="both"/>
        <w:rPr>
          <w:rFonts w:ascii="Palatino Linotype" w:hAnsi="Palatino Linotype"/>
          <w:color w:val="000000"/>
        </w:rPr>
      </w:pPr>
      <w:r>
        <w:rPr>
          <w:rFonts w:ascii="Palatino Linotype" w:hAnsi="Palatino Linotype" w:cs="Arial"/>
        </w:rPr>
        <w:t xml:space="preserve">En respuesta el </w:t>
      </w:r>
      <w:r w:rsidR="00F32611">
        <w:rPr>
          <w:rFonts w:ascii="Palatino Linotype" w:hAnsi="Palatino Linotype" w:cs="Arial"/>
          <w:b/>
        </w:rPr>
        <w:t xml:space="preserve">Sujeto </w:t>
      </w:r>
      <w:r w:rsidR="00F32611" w:rsidRPr="00860A35">
        <w:rPr>
          <w:rFonts w:ascii="Palatino Linotype" w:hAnsi="Palatino Linotype" w:cs="Arial"/>
          <w:b/>
        </w:rPr>
        <w:t>Obligado</w:t>
      </w:r>
      <w:r w:rsidR="00F32611">
        <w:rPr>
          <w:rFonts w:ascii="Palatino Linotype" w:hAnsi="Palatino Linotype" w:cs="Arial"/>
        </w:rPr>
        <w:t xml:space="preserve"> </w:t>
      </w:r>
      <w:r>
        <w:rPr>
          <w:rFonts w:ascii="Palatino Linotype" w:hAnsi="Palatino Linotype" w:cs="Arial"/>
        </w:rPr>
        <w:t>indicó</w:t>
      </w:r>
      <w:r w:rsidR="00F32611" w:rsidRPr="00860A35">
        <w:rPr>
          <w:rFonts w:ascii="Palatino Linotype" w:hAnsi="Palatino Linotype"/>
          <w:color w:val="000000"/>
        </w:rPr>
        <w:t xml:space="preserve"> que la información </w:t>
      </w:r>
      <w:r w:rsidR="00F32611">
        <w:rPr>
          <w:rFonts w:ascii="Palatino Linotype" w:hAnsi="Palatino Linotype"/>
        </w:rPr>
        <w:t>hace referencia a pedir el cumplimiento del recurso de revisión 00979/INFOEM/IP/RR/2017, mismo que después de una búsqueda en los archivos de la Unidad de Transparencia Municipal y de la consulta a la plataforma del Saimex no se tiene registro.</w:t>
      </w:r>
    </w:p>
    <w:p w14:paraId="22690B6C" w14:textId="28D96806" w:rsidR="00F32611" w:rsidRPr="00B475A5" w:rsidRDefault="00F32611" w:rsidP="0077519B">
      <w:pPr>
        <w:spacing w:before="240" w:after="240" w:line="360" w:lineRule="auto"/>
        <w:jc w:val="both"/>
        <w:rPr>
          <w:rFonts w:ascii="Palatino Linotype" w:hAnsi="Palatino Linotype" w:cs="Arial"/>
        </w:rPr>
      </w:pPr>
      <w:r>
        <w:rPr>
          <w:rFonts w:ascii="Palatino Linotype" w:hAnsi="Palatino Linotype" w:cs="Arial"/>
        </w:rPr>
        <w:t xml:space="preserve">De </w:t>
      </w:r>
      <w:r w:rsidR="0077519B">
        <w:rPr>
          <w:rFonts w:ascii="Palatino Linotype" w:hAnsi="Palatino Linotype" w:cs="Arial"/>
        </w:rPr>
        <w:t xml:space="preserve">ahí, </w:t>
      </w:r>
      <w:r>
        <w:rPr>
          <w:rFonts w:ascii="Palatino Linotype" w:hAnsi="Palatino Linotype" w:cs="Arial"/>
        </w:rPr>
        <w:t xml:space="preserve">es que el </w:t>
      </w:r>
      <w:r>
        <w:rPr>
          <w:rFonts w:ascii="Palatino Linotype" w:hAnsi="Palatino Linotype" w:cs="Arial"/>
          <w:b/>
          <w:i/>
        </w:rPr>
        <w:t xml:space="preserve">Recurrente </w:t>
      </w:r>
      <w:r>
        <w:rPr>
          <w:rFonts w:ascii="Palatino Linotype" w:hAnsi="Palatino Linotype" w:cs="Arial"/>
        </w:rPr>
        <w:t>interpuso recurso de r</w:t>
      </w:r>
      <w:r w:rsidR="0077519B">
        <w:rPr>
          <w:rFonts w:ascii="Palatino Linotype" w:hAnsi="Palatino Linotype" w:cs="Arial"/>
        </w:rPr>
        <w:t>evisión mediante el cual expresó</w:t>
      </w:r>
      <w:r>
        <w:rPr>
          <w:rFonts w:ascii="Palatino Linotype" w:hAnsi="Palatino Linotype" w:cs="Arial"/>
        </w:rPr>
        <w:t xml:space="preserve"> </w:t>
      </w:r>
      <w:r w:rsidR="0077519B">
        <w:rPr>
          <w:rFonts w:ascii="Palatino Linotype" w:hAnsi="Palatino Linotype" w:cs="Arial"/>
        </w:rPr>
        <w:t xml:space="preserve">como </w:t>
      </w:r>
      <w:r>
        <w:rPr>
          <w:rFonts w:ascii="Palatino Linotype" w:hAnsi="Palatino Linotype" w:cs="Arial"/>
        </w:rPr>
        <w:t>motivos o razones de inconformidad que se sintetizan a continuación:</w:t>
      </w:r>
    </w:p>
    <w:p w14:paraId="5DB78EA2" w14:textId="77777777" w:rsidR="00F32611" w:rsidRDefault="00F32611" w:rsidP="002101E5">
      <w:pPr>
        <w:pStyle w:val="Prrafodelista"/>
        <w:numPr>
          <w:ilvl w:val="0"/>
          <w:numId w:val="4"/>
        </w:numPr>
        <w:spacing w:before="240" w:after="240" w:line="360" w:lineRule="auto"/>
        <w:jc w:val="both"/>
        <w:rPr>
          <w:rFonts w:ascii="Palatino Linotype" w:hAnsi="Palatino Linotype"/>
        </w:rPr>
      </w:pPr>
      <w:r>
        <w:rPr>
          <w:rFonts w:ascii="Palatino Linotype" w:hAnsi="Palatino Linotype"/>
        </w:rPr>
        <w:t>N</w:t>
      </w:r>
      <w:r w:rsidRPr="00F32611">
        <w:rPr>
          <w:rFonts w:ascii="Palatino Linotype" w:hAnsi="Palatino Linotype"/>
        </w:rPr>
        <w:t>o brindó respuesta a su solicitud de acceso a la información</w:t>
      </w:r>
      <w:r>
        <w:rPr>
          <w:rFonts w:ascii="Palatino Linotype" w:hAnsi="Palatino Linotype"/>
        </w:rPr>
        <w:t>.</w:t>
      </w:r>
    </w:p>
    <w:p w14:paraId="03B04117" w14:textId="77777777" w:rsidR="00F32611" w:rsidRPr="00F32611" w:rsidRDefault="00F32611" w:rsidP="002101E5">
      <w:pPr>
        <w:pStyle w:val="Prrafodelista"/>
        <w:numPr>
          <w:ilvl w:val="0"/>
          <w:numId w:val="4"/>
        </w:numPr>
        <w:spacing w:before="240" w:after="240" w:line="360" w:lineRule="auto"/>
        <w:jc w:val="both"/>
        <w:rPr>
          <w:rFonts w:ascii="Palatino Linotype" w:hAnsi="Palatino Linotype"/>
        </w:rPr>
      </w:pPr>
      <w:r>
        <w:rPr>
          <w:rFonts w:ascii="Palatino Linotype" w:hAnsi="Palatino Linotype"/>
        </w:rPr>
        <w:t xml:space="preserve">Ha </w:t>
      </w:r>
      <w:r w:rsidRPr="00F32611">
        <w:rPr>
          <w:rFonts w:ascii="Palatino Linotype" w:hAnsi="Palatino Linotype"/>
        </w:rPr>
        <w:t xml:space="preserve">sido omiso en el </w:t>
      </w:r>
      <w:r w:rsidRPr="00F32611">
        <w:rPr>
          <w:rFonts w:ascii="Palatino Linotype" w:hAnsi="Palatino Linotype"/>
          <w:color w:val="000000"/>
        </w:rPr>
        <w:t xml:space="preserve">cumplimento de diversas resoluciones del Infoem, por ello, en términos de las fracciones VII, VIII y XX del Artículo 222 de la Ley de Transparencia Estatal solicitó se emita un extrañamiento público y las </w:t>
      </w:r>
      <w:r w:rsidRPr="00F32611">
        <w:rPr>
          <w:rFonts w:ascii="Palatino Linotype" w:hAnsi="Palatino Linotype"/>
          <w:color w:val="000000"/>
        </w:rPr>
        <w:lastRenderedPageBreak/>
        <w:t xml:space="preserve">medidas de apremio al sujeto obligado, así como que se impongan las sanciones a los servidores públicos que resulten responsables considerando las reiteradas reincidencias. </w:t>
      </w:r>
    </w:p>
    <w:p w14:paraId="3F2FA3EC" w14:textId="61A8CA8B" w:rsidR="00F32611" w:rsidRPr="00F32611" w:rsidRDefault="00F32611" w:rsidP="002101E5">
      <w:pPr>
        <w:pStyle w:val="Prrafodelista"/>
        <w:numPr>
          <w:ilvl w:val="0"/>
          <w:numId w:val="4"/>
        </w:numPr>
        <w:spacing w:before="240" w:after="240" w:line="360" w:lineRule="auto"/>
        <w:jc w:val="both"/>
        <w:rPr>
          <w:rFonts w:ascii="Palatino Linotype" w:hAnsi="Palatino Linotype"/>
        </w:rPr>
      </w:pPr>
      <w:r>
        <w:rPr>
          <w:rFonts w:ascii="Palatino Linotype" w:hAnsi="Palatino Linotype"/>
          <w:color w:val="000000"/>
        </w:rPr>
        <w:t>S</w:t>
      </w:r>
      <w:r w:rsidRPr="00F32611">
        <w:rPr>
          <w:rFonts w:ascii="Palatino Linotype" w:hAnsi="Palatino Linotype"/>
          <w:color w:val="000000"/>
        </w:rPr>
        <w:t>olicit</w:t>
      </w:r>
      <w:r>
        <w:rPr>
          <w:rFonts w:ascii="Palatino Linotype" w:hAnsi="Palatino Linotype"/>
          <w:color w:val="000000"/>
        </w:rPr>
        <w:t>ó</w:t>
      </w:r>
      <w:r w:rsidRPr="00F32611">
        <w:rPr>
          <w:rFonts w:ascii="Palatino Linotype" w:hAnsi="Palatino Linotype"/>
          <w:color w:val="000000"/>
        </w:rPr>
        <w:t xml:space="preserve"> se denuncie ante las autoridades competentes las omisiones del sujeto obligado en virtud del desacato repetitivo, toda vez que si bien el Órgano de Control y Vigilancia del Instituto ha emitido los correspondientes Acuerdos de Incumplimiento, al sujeto obligado parece no importarle.</w:t>
      </w:r>
    </w:p>
    <w:p w14:paraId="15B94052" w14:textId="3C4BA3D9" w:rsidR="008D184E" w:rsidRDefault="008D184E" w:rsidP="008D184E">
      <w:pPr>
        <w:spacing w:before="240" w:after="240" w:line="360" w:lineRule="auto"/>
        <w:jc w:val="both"/>
        <w:rPr>
          <w:rFonts w:ascii="Palatino Linotype" w:hAnsi="Palatino Linotype"/>
        </w:rPr>
      </w:pPr>
      <w:r>
        <w:rPr>
          <w:rFonts w:ascii="Palatino Linotype" w:hAnsi="Palatino Linotype"/>
        </w:rPr>
        <w:t xml:space="preserve">Ante lo expuesto, cabe indicar que de la lectura a los agravios transcritos se desprende que </w:t>
      </w:r>
      <w:r>
        <w:rPr>
          <w:rFonts w:ascii="Palatino Linotype" w:hAnsi="Palatino Linotype"/>
          <w:color w:val="000000"/>
        </w:rPr>
        <w:t xml:space="preserve">el particular desea que se resuelva en el presente medio de impugnación el incumplimiento a las resoluciones emitidas por este Órgano Garante, sin embargo en términos de la fracción XX del artículo 25 del Reglamento Interior del Instituto de Transparencia, Acceso a la Información Pública y Protección de Datos Personales del Estado de México y Municipios, le corresponde a la Contraloría Interna y Órgano de Vigilancia de este Instituto </w:t>
      </w:r>
      <w:r w:rsidRPr="00B203FB">
        <w:rPr>
          <w:rFonts w:ascii="Palatino Linotype" w:hAnsi="Palatino Linotype"/>
          <w:i/>
          <w:color w:val="000000"/>
        </w:rPr>
        <w:t>recibir, tramitar, investigar y resolver las quejas que se interpongan por incumplimiento a las resoluciones que emita el Pleno e informar a éste de los resultados</w:t>
      </w:r>
      <w:r>
        <w:rPr>
          <w:rFonts w:ascii="Palatino Linotype" w:hAnsi="Palatino Linotype"/>
          <w:i/>
          <w:color w:val="000000"/>
        </w:rPr>
        <w:t>,</w:t>
      </w:r>
      <w:r w:rsidRPr="00B203FB">
        <w:rPr>
          <w:rFonts w:ascii="Palatino Linotype" w:hAnsi="Palatino Linotype"/>
          <w:color w:val="000000"/>
        </w:rPr>
        <w:t xml:space="preserve"> bajo dic</w:t>
      </w:r>
      <w:r>
        <w:rPr>
          <w:rFonts w:ascii="Palatino Linotype" w:hAnsi="Palatino Linotype"/>
          <w:color w:val="000000"/>
        </w:rPr>
        <w:t xml:space="preserve">ho contexto, para determinar el incumplimiento de las resoluciones, la Unidad Administrativa de referencia, deberá seguir un procedimiento administrativo que se inicia a partir de una queja, por lo que se concluye el que recurso de revisión que nos ocupa, no es la vía para hacer valer el incumplimiento, toda vez que el recurso de revisión </w:t>
      </w:r>
      <w:r w:rsidRPr="00090FDD">
        <w:rPr>
          <w:rFonts w:ascii="Palatino Linotype" w:hAnsi="Palatino Linotype"/>
        </w:rPr>
        <w:t xml:space="preserve">es la garantía secundaria mediante la cual se pretende reparar cualquier posible </w:t>
      </w:r>
      <w:r w:rsidRPr="00090FDD">
        <w:rPr>
          <w:rFonts w:ascii="Palatino Linotype" w:hAnsi="Palatino Linotype"/>
        </w:rPr>
        <w:lastRenderedPageBreak/>
        <w:t>afectación al derecho de acceso a la información pública</w:t>
      </w:r>
      <w:r>
        <w:rPr>
          <w:rFonts w:ascii="Palatino Linotype" w:hAnsi="Palatino Linotype"/>
        </w:rPr>
        <w:t>, que procede en contra de las siguientes causas:</w:t>
      </w:r>
    </w:p>
    <w:p w14:paraId="7EE55709" w14:textId="77777777" w:rsidR="008D184E" w:rsidRDefault="008D184E" w:rsidP="008D184E">
      <w:pPr>
        <w:spacing w:after="120"/>
        <w:ind w:left="851" w:right="902"/>
        <w:jc w:val="both"/>
        <w:rPr>
          <w:rFonts w:ascii="Palatino Linotype" w:hAnsi="Palatino Linotype"/>
          <w:i/>
          <w:sz w:val="20"/>
          <w:szCs w:val="20"/>
        </w:rPr>
      </w:pPr>
      <w:r w:rsidRPr="00090FDD">
        <w:rPr>
          <w:rFonts w:ascii="Palatino Linotype" w:hAnsi="Palatino Linotype"/>
          <w:b/>
          <w:i/>
          <w:sz w:val="20"/>
          <w:szCs w:val="20"/>
        </w:rPr>
        <w:t>Artículo 179.</w:t>
      </w:r>
      <w:r w:rsidRPr="00090FDD">
        <w:rPr>
          <w:rFonts w:ascii="Palatino Linotype" w:hAnsi="Palatino Linotype"/>
          <w:i/>
          <w:sz w:val="20"/>
          <w:szCs w:val="20"/>
        </w:rPr>
        <w:t xml:space="preserve"> El recurso de revisión es un medio de protección que la Ley otorga a los particulares, para hacer valer su derecho de acceso a la información pública, y procederá en contra de las siguientes causas: </w:t>
      </w:r>
    </w:p>
    <w:p w14:paraId="3F48FEE3"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I. La negativa a la información solicitada; </w:t>
      </w:r>
    </w:p>
    <w:p w14:paraId="6E6725CD"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II. La clasificación de la información; </w:t>
      </w:r>
    </w:p>
    <w:p w14:paraId="0622136D"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III. La declaración de inexistencia de la información; </w:t>
      </w:r>
    </w:p>
    <w:p w14:paraId="644FEA14"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IV. La declaración de incompetencia por el sujeto obligado; </w:t>
      </w:r>
    </w:p>
    <w:p w14:paraId="68D3E4EB"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V. La entrega de información incompleta; </w:t>
      </w:r>
    </w:p>
    <w:p w14:paraId="2401FB8A"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VI. La entrega de información que no corresponda con lo solicitado; </w:t>
      </w:r>
    </w:p>
    <w:p w14:paraId="7B1BB3BF"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VII. La falta de respuesta a una solicitud de acceso a la información; </w:t>
      </w:r>
    </w:p>
    <w:p w14:paraId="70CBA5B0"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VIII. La notificación, entrega o puesta a disposición de información en una modalidad o formato distinto al solicitado; </w:t>
      </w:r>
    </w:p>
    <w:p w14:paraId="4FA04227"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IX. La entrega o puesta a disposición de información en un formato incomprensible y/o no accesible para el solicitante; </w:t>
      </w:r>
    </w:p>
    <w:p w14:paraId="5216BDB0"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X. Los costos o tiempos de entrega de la información; </w:t>
      </w:r>
    </w:p>
    <w:p w14:paraId="4D77FBE1"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XI. La falta de trámite a una solicitud; </w:t>
      </w:r>
    </w:p>
    <w:p w14:paraId="0F06B2A5"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XII. La negativa a permitir la consulta directa de la información; </w:t>
      </w:r>
    </w:p>
    <w:p w14:paraId="0F00177F" w14:textId="77777777" w:rsidR="008D184E"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 xml:space="preserve">XIII. La falta, deficiencia o insuficiencia de la fundamentación y/o motivación en la respuesta; y </w:t>
      </w:r>
    </w:p>
    <w:p w14:paraId="1192156B" w14:textId="77777777" w:rsidR="008D184E" w:rsidRPr="00090FDD" w:rsidRDefault="008D184E" w:rsidP="008D184E">
      <w:pPr>
        <w:ind w:left="1134" w:right="902"/>
        <w:jc w:val="both"/>
        <w:rPr>
          <w:rFonts w:ascii="Palatino Linotype" w:hAnsi="Palatino Linotype"/>
          <w:i/>
          <w:sz w:val="20"/>
          <w:szCs w:val="20"/>
        </w:rPr>
      </w:pPr>
      <w:r w:rsidRPr="00090FDD">
        <w:rPr>
          <w:rFonts w:ascii="Palatino Linotype" w:hAnsi="Palatino Linotype"/>
          <w:i/>
          <w:sz w:val="20"/>
          <w:szCs w:val="20"/>
        </w:rPr>
        <w:t>XIV. La orientación a un trámite específico.</w:t>
      </w:r>
      <w:r>
        <w:rPr>
          <w:rFonts w:ascii="Palatino Linotype" w:hAnsi="Palatino Linotype"/>
          <w:i/>
          <w:sz w:val="20"/>
          <w:szCs w:val="20"/>
        </w:rPr>
        <w:t>”</w:t>
      </w:r>
    </w:p>
    <w:p w14:paraId="2C4C58C7" w14:textId="77777777" w:rsidR="008D184E" w:rsidRPr="00090FDD" w:rsidRDefault="008D184E" w:rsidP="008D184E">
      <w:pPr>
        <w:spacing w:before="240" w:after="240" w:line="360" w:lineRule="auto"/>
        <w:jc w:val="both"/>
        <w:rPr>
          <w:rFonts w:ascii="Palatino Linotype" w:hAnsi="Palatino Linotype"/>
        </w:rPr>
      </w:pPr>
      <w:r>
        <w:rPr>
          <w:rFonts w:ascii="Palatino Linotype" w:hAnsi="Palatino Linotype"/>
        </w:rPr>
        <w:t xml:space="preserve">En ese sentido, las manifestaciones vertidas para sancionar denunciar y emitir un extrañamiento al </w:t>
      </w:r>
      <w:r>
        <w:rPr>
          <w:rFonts w:ascii="Palatino Linotype" w:hAnsi="Palatino Linotype"/>
          <w:b/>
        </w:rPr>
        <w:t xml:space="preserve">Sujeto Obligado </w:t>
      </w:r>
      <w:r>
        <w:rPr>
          <w:rFonts w:ascii="Palatino Linotype" w:hAnsi="Palatino Linotype"/>
        </w:rPr>
        <w:t>no son materia del presente recurso de revisión, por ser relativas al incumplimiento de las resoluciones emitidas por este Órgano Garante en diversos medios de impugnación.</w:t>
      </w:r>
    </w:p>
    <w:p w14:paraId="345B746E" w14:textId="78D52FE7" w:rsidR="00F32611" w:rsidRDefault="00F32611" w:rsidP="00F32611">
      <w:pPr>
        <w:autoSpaceDE w:val="0"/>
        <w:autoSpaceDN w:val="0"/>
        <w:adjustRightInd w:val="0"/>
        <w:spacing w:before="240" w:after="240" w:line="360" w:lineRule="auto"/>
        <w:ind w:right="-91"/>
        <w:jc w:val="both"/>
        <w:rPr>
          <w:rFonts w:ascii="Palatino Linotype" w:hAnsi="Palatino Linotype" w:cs="Arial"/>
          <w:bCs/>
        </w:rPr>
      </w:pPr>
      <w:r>
        <w:rPr>
          <w:rFonts w:ascii="Palatino Linotype" w:hAnsi="Palatino Linotype"/>
        </w:rPr>
        <w:t>No obstante lo expuesto, el</w:t>
      </w:r>
      <w:r w:rsidRPr="00500765">
        <w:rPr>
          <w:rFonts w:ascii="Palatino Linotype" w:hAnsi="Palatino Linotype"/>
        </w:rPr>
        <w:t xml:space="preserve"> presente medio de impugnación es improcedente, en atención a </w:t>
      </w:r>
      <w:r>
        <w:rPr>
          <w:rFonts w:ascii="Palatino Linotype" w:hAnsi="Palatino Linotype"/>
        </w:rPr>
        <w:t xml:space="preserve">que </w:t>
      </w:r>
      <w:r w:rsidRPr="00500765">
        <w:rPr>
          <w:rFonts w:ascii="Palatino Linotype" w:hAnsi="Palatino Linotype"/>
        </w:rPr>
        <w:t>este Órgano Garante advierte que</w:t>
      </w:r>
      <w:r w:rsidRPr="00500765">
        <w:rPr>
          <w:rFonts w:ascii="Palatino Linotype" w:hAnsi="Palatino Linotype" w:cs="Arial"/>
        </w:rPr>
        <w:t xml:space="preserve"> en la </w:t>
      </w:r>
      <w:r w:rsidR="008D184E">
        <w:rPr>
          <w:rFonts w:ascii="Palatino Linotype" w:hAnsi="Palatino Linotype" w:cs="Arial"/>
          <w:i/>
        </w:rPr>
        <w:t>Décima Novena</w:t>
      </w:r>
      <w:r w:rsidRPr="001225AA">
        <w:rPr>
          <w:rFonts w:ascii="Palatino Linotype" w:hAnsi="Palatino Linotype" w:cs="Arial"/>
          <w:i/>
        </w:rPr>
        <w:t xml:space="preserve"> </w:t>
      </w:r>
      <w:r w:rsidR="008D184E">
        <w:rPr>
          <w:rFonts w:ascii="Palatino Linotype" w:hAnsi="Palatino Linotype" w:cs="Arial"/>
          <w:i/>
        </w:rPr>
        <w:t xml:space="preserve">Sesión </w:t>
      </w:r>
      <w:r w:rsidRPr="001225AA">
        <w:rPr>
          <w:rFonts w:ascii="Palatino Linotype" w:hAnsi="Palatino Linotype" w:cs="Arial"/>
          <w:i/>
        </w:rPr>
        <w:t>Ordinaria del Pleno de este Instituto</w:t>
      </w:r>
      <w:r w:rsidRPr="00500765">
        <w:rPr>
          <w:rFonts w:ascii="Palatino Linotype" w:hAnsi="Palatino Linotype" w:cs="Arial"/>
        </w:rPr>
        <w:t xml:space="preserve">, de fecha </w:t>
      </w:r>
      <w:r w:rsidR="008D184E">
        <w:rPr>
          <w:rFonts w:ascii="Palatino Linotype" w:hAnsi="Palatino Linotype" w:cs="Arial"/>
        </w:rPr>
        <w:t>veintitrés de mayo</w:t>
      </w:r>
      <w:r w:rsidRPr="00500765">
        <w:rPr>
          <w:rFonts w:ascii="Palatino Linotype" w:hAnsi="Palatino Linotype" w:cs="Arial"/>
        </w:rPr>
        <w:t xml:space="preserve"> </w:t>
      </w:r>
      <w:r>
        <w:rPr>
          <w:rFonts w:ascii="Palatino Linotype" w:hAnsi="Palatino Linotype" w:cs="Arial"/>
        </w:rPr>
        <w:t>del dos mil dieci</w:t>
      </w:r>
      <w:r w:rsidR="008D184E">
        <w:rPr>
          <w:rFonts w:ascii="Palatino Linotype" w:hAnsi="Palatino Linotype" w:cs="Arial"/>
        </w:rPr>
        <w:t>ocho</w:t>
      </w:r>
      <w:r>
        <w:rPr>
          <w:rFonts w:ascii="Palatino Linotype" w:hAnsi="Palatino Linotype" w:cs="Arial"/>
        </w:rPr>
        <w:t>, se aprobó por unanimidad de votos</w:t>
      </w:r>
      <w:r w:rsidRPr="00500765">
        <w:rPr>
          <w:rFonts w:ascii="Palatino Linotype" w:hAnsi="Palatino Linotype" w:cs="Arial"/>
        </w:rPr>
        <w:t xml:space="preserve"> el recurso de revisión número </w:t>
      </w:r>
      <w:r w:rsidRPr="00500765">
        <w:rPr>
          <w:rFonts w:ascii="Palatino Linotype" w:hAnsi="Palatino Linotype" w:cs="Arial"/>
          <w:b/>
        </w:rPr>
        <w:t>0</w:t>
      </w:r>
      <w:r w:rsidR="008D184E">
        <w:rPr>
          <w:rFonts w:ascii="Palatino Linotype" w:hAnsi="Palatino Linotype" w:cs="Arial"/>
          <w:b/>
        </w:rPr>
        <w:t>979</w:t>
      </w:r>
      <w:r w:rsidRPr="00500765">
        <w:rPr>
          <w:rFonts w:ascii="Palatino Linotype" w:hAnsi="Palatino Linotype" w:cs="Arial"/>
          <w:b/>
        </w:rPr>
        <w:t>/INFOEM/IP/RR/201</w:t>
      </w:r>
      <w:r w:rsidR="008D184E">
        <w:rPr>
          <w:rFonts w:ascii="Palatino Linotype" w:hAnsi="Palatino Linotype" w:cs="Arial"/>
          <w:b/>
        </w:rPr>
        <w:t>8</w:t>
      </w:r>
      <w:r w:rsidR="008D184E">
        <w:rPr>
          <w:rFonts w:ascii="Palatino Linotype" w:hAnsi="Palatino Linotype" w:cs="Arial"/>
        </w:rPr>
        <w:t xml:space="preserve"> y acumulado,</w:t>
      </w:r>
      <w:r w:rsidRPr="00500765">
        <w:rPr>
          <w:rFonts w:ascii="Palatino Linotype" w:hAnsi="Palatino Linotype" w:cs="Arial"/>
        </w:rPr>
        <w:t xml:space="preserve"> que fue turnado y resuelto por </w:t>
      </w:r>
      <w:r w:rsidR="008D184E">
        <w:rPr>
          <w:rFonts w:ascii="Palatino Linotype" w:hAnsi="Palatino Linotype" w:cs="Arial"/>
        </w:rPr>
        <w:t>esta</w:t>
      </w:r>
      <w:r w:rsidRPr="00500765">
        <w:rPr>
          <w:rFonts w:ascii="Palatino Linotype" w:hAnsi="Palatino Linotype" w:cs="Arial"/>
        </w:rPr>
        <w:t xml:space="preserve"> </w:t>
      </w:r>
      <w:r w:rsidRPr="00500765">
        <w:rPr>
          <w:rFonts w:ascii="Palatino Linotype" w:hAnsi="Palatino Linotype" w:cs="Arial"/>
        </w:rPr>
        <w:lastRenderedPageBreak/>
        <w:t xml:space="preserve">Ponencia, </w:t>
      </w:r>
      <w:r>
        <w:rPr>
          <w:rFonts w:ascii="Palatino Linotype" w:hAnsi="Palatino Linotype" w:cs="Arial"/>
        </w:rPr>
        <w:t xml:space="preserve">interpuesto por </w:t>
      </w:r>
      <w:r w:rsidR="008D184E">
        <w:rPr>
          <w:rFonts w:ascii="Palatino Linotype" w:hAnsi="Palatino Linotype" w:cs="Arial"/>
          <w:b/>
        </w:rPr>
        <w:t>Nueva Generación Valle Xico</w:t>
      </w:r>
      <w:r w:rsidRPr="00500765">
        <w:rPr>
          <w:rFonts w:ascii="Palatino Linotype" w:hAnsi="Palatino Linotype" w:cs="Arial"/>
          <w:b/>
        </w:rPr>
        <w:t>,</w:t>
      </w:r>
      <w:r w:rsidRPr="00500765">
        <w:rPr>
          <w:rFonts w:ascii="Palatino Linotype" w:hAnsi="Palatino Linotype" w:cs="Arial"/>
        </w:rPr>
        <w:t xml:space="preserve"> en contra de la</w:t>
      </w:r>
      <w:r w:rsidR="008D184E">
        <w:rPr>
          <w:rFonts w:ascii="Palatino Linotype" w:hAnsi="Palatino Linotype" w:cs="Arial"/>
        </w:rPr>
        <w:t>s</w:t>
      </w:r>
      <w:r w:rsidRPr="00500765">
        <w:rPr>
          <w:rFonts w:ascii="Palatino Linotype" w:hAnsi="Palatino Linotype" w:cs="Arial"/>
        </w:rPr>
        <w:t xml:space="preserve"> respuesta</w:t>
      </w:r>
      <w:r w:rsidR="008D184E">
        <w:rPr>
          <w:rFonts w:ascii="Palatino Linotype" w:hAnsi="Palatino Linotype" w:cs="Arial"/>
        </w:rPr>
        <w:t>s</w:t>
      </w:r>
      <w:r w:rsidRPr="00500765">
        <w:rPr>
          <w:rFonts w:ascii="Palatino Linotype" w:hAnsi="Palatino Linotype" w:cs="Arial"/>
        </w:rPr>
        <w:t xml:space="preserve"> </w:t>
      </w:r>
      <w:r>
        <w:rPr>
          <w:rFonts w:ascii="Palatino Linotype" w:hAnsi="Palatino Linotype" w:cs="Arial"/>
        </w:rPr>
        <w:t xml:space="preserve">de la </w:t>
      </w:r>
      <w:r w:rsidR="008D184E">
        <w:rPr>
          <w:rFonts w:ascii="Palatino Linotype" w:hAnsi="Palatino Linotype" w:cs="Arial"/>
        </w:rPr>
        <w:t>del Ayuntamiento de Valle de Chalco Solidaridad</w:t>
      </w:r>
      <w:r w:rsidRPr="00500765">
        <w:rPr>
          <w:rFonts w:ascii="Palatino Linotype" w:hAnsi="Palatino Linotype" w:cs="Arial"/>
        </w:rPr>
        <w:t xml:space="preserve">, Sujeto Obligado, </w:t>
      </w:r>
      <w:r>
        <w:rPr>
          <w:rFonts w:ascii="Palatino Linotype" w:hAnsi="Palatino Linotype" w:cs="Arial"/>
          <w:bCs/>
        </w:rPr>
        <w:t>sobresey</w:t>
      </w:r>
      <w:r w:rsidR="008D184E">
        <w:rPr>
          <w:rFonts w:ascii="Palatino Linotype" w:hAnsi="Palatino Linotype" w:cs="Arial"/>
          <w:bCs/>
        </w:rPr>
        <w:t>endo lo relativo al recurso de revisión 01100/INFOEM/IP/RR/2018</w:t>
      </w:r>
      <w:r w:rsidRPr="00500765">
        <w:rPr>
          <w:rFonts w:ascii="Palatino Linotype" w:hAnsi="Palatino Linotype" w:cs="Arial"/>
          <w:bCs/>
        </w:rPr>
        <w:t xml:space="preserve"> </w:t>
      </w:r>
      <w:r>
        <w:rPr>
          <w:rFonts w:ascii="Palatino Linotype" w:hAnsi="Palatino Linotype" w:cs="Arial"/>
          <w:bCs/>
        </w:rPr>
        <w:t xml:space="preserve">atendiendo a que el medio de impugnación quedó sin materia, </w:t>
      </w:r>
      <w:r w:rsidR="008D184E">
        <w:rPr>
          <w:rFonts w:ascii="Palatino Linotype" w:hAnsi="Palatino Linotype" w:cs="Arial"/>
          <w:bCs/>
        </w:rPr>
        <w:t xml:space="preserve">y ordenado en el recurso de revisión 00979/INFOEM/IP/RR/2018 el documento donde conste la relación laboral entre el Sujeto Obligado y la persona referida en la solicitud número 00042/VACHASO/IP/2018 </w:t>
      </w:r>
      <w:r>
        <w:rPr>
          <w:rFonts w:ascii="Palatino Linotype" w:hAnsi="Palatino Linotype" w:cs="Arial"/>
          <w:bCs/>
        </w:rPr>
        <w:t>lo anterior con fundamento en el artículo 192 fracción III</w:t>
      </w:r>
      <w:r w:rsidR="008D184E">
        <w:rPr>
          <w:rFonts w:ascii="Palatino Linotype" w:hAnsi="Palatino Linotype" w:cs="Arial"/>
          <w:bCs/>
        </w:rPr>
        <w:t xml:space="preserve"> y 186 fracción III</w:t>
      </w:r>
      <w:r>
        <w:rPr>
          <w:rFonts w:ascii="Palatino Linotype" w:hAnsi="Palatino Linotype" w:cs="Arial"/>
          <w:bCs/>
        </w:rPr>
        <w:t xml:space="preserve"> de la Ley de Transparencia y acceso a la Información Pública del E</w:t>
      </w:r>
      <w:r w:rsidR="0077519B">
        <w:rPr>
          <w:rFonts w:ascii="Palatino Linotype" w:hAnsi="Palatino Linotype" w:cs="Arial"/>
          <w:bCs/>
        </w:rPr>
        <w:t>stado de México y Municipios, por</w:t>
      </w:r>
      <w:r>
        <w:rPr>
          <w:rFonts w:ascii="Palatino Linotype" w:hAnsi="Palatino Linotype" w:cs="Arial"/>
          <w:bCs/>
        </w:rPr>
        <w:t xml:space="preserve"> lo se hace necesario precisar que la solicitud</w:t>
      </w:r>
      <w:r w:rsidR="0077519B">
        <w:rPr>
          <w:rFonts w:ascii="Palatino Linotype" w:hAnsi="Palatino Linotype" w:cs="Arial"/>
          <w:bCs/>
        </w:rPr>
        <w:t xml:space="preserve"> que dio origen al recurso de revisión 00979/INFOEM/IP/RR/2018 </w:t>
      </w:r>
      <w:r w:rsidR="008D184E">
        <w:rPr>
          <w:rFonts w:ascii="Palatino Linotype" w:hAnsi="Palatino Linotype" w:cs="Arial"/>
          <w:bCs/>
        </w:rPr>
        <w:t>vers</w:t>
      </w:r>
      <w:r w:rsidR="0077519B">
        <w:rPr>
          <w:rFonts w:ascii="Palatino Linotype" w:hAnsi="Palatino Linotype" w:cs="Arial"/>
          <w:bCs/>
        </w:rPr>
        <w:t xml:space="preserve">ó sobre lo </w:t>
      </w:r>
      <w:r>
        <w:rPr>
          <w:rFonts w:ascii="Palatino Linotype" w:hAnsi="Palatino Linotype" w:cs="Arial"/>
          <w:bCs/>
        </w:rPr>
        <w:t>siguiente:</w:t>
      </w:r>
    </w:p>
    <w:p w14:paraId="338E79E0" w14:textId="36E557C8" w:rsidR="00F32611" w:rsidRPr="004218DD" w:rsidRDefault="00F32611" w:rsidP="00F32611">
      <w:pPr>
        <w:autoSpaceDE w:val="0"/>
        <w:autoSpaceDN w:val="0"/>
        <w:adjustRightInd w:val="0"/>
        <w:spacing w:before="240" w:after="240" w:line="360" w:lineRule="auto"/>
        <w:ind w:left="851" w:right="900"/>
        <w:jc w:val="both"/>
        <w:rPr>
          <w:rFonts w:ascii="Palatino Linotype" w:hAnsi="Palatino Linotype" w:cs="Arial"/>
          <w:bCs/>
          <w:sz w:val="20"/>
        </w:rPr>
      </w:pPr>
      <w:r>
        <w:rPr>
          <w:rFonts w:ascii="Palatino Linotype" w:hAnsi="Palatino Linotype" w:cs="Arial"/>
          <w:bCs/>
          <w:i/>
        </w:rPr>
        <w:t>“</w:t>
      </w:r>
      <w:r w:rsidR="008D184E" w:rsidRPr="008D184E">
        <w:rPr>
          <w:rFonts w:ascii="Palatino Linotype" w:hAnsi="Palatino Linotype" w:cs="Arial"/>
          <w:bCs/>
          <w:i/>
        </w:rPr>
        <w:t>C</w:t>
      </w:r>
      <w:r w:rsidR="008D184E" w:rsidRPr="008D184E">
        <w:rPr>
          <w:rFonts w:ascii="Palatino Linotype" w:hAnsi="Palatino Linotype"/>
          <w:i/>
          <w:color w:val="000000"/>
        </w:rPr>
        <w:t>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Fecha en que dejó de laborar en el Ayuntamiento el C. JAVIER JUAN OLIVARES. b). Cargo que desempeñaba con copia de su nombramiento y c). Indicar si existe una demanda laboral teniendo como actor a la persona que responde al nombre de JAVIER JUAN OLIVARES. Agradecemos su pronta respuesta.</w:t>
      </w:r>
      <w:r>
        <w:rPr>
          <w:rFonts w:ascii="Palatino Linotype" w:hAnsi="Palatino Linotype" w:cs="Arial"/>
          <w:bCs/>
          <w:i/>
        </w:rPr>
        <w:t>”</w:t>
      </w:r>
      <w:r>
        <w:rPr>
          <w:rFonts w:ascii="Palatino Linotype" w:hAnsi="Palatino Linotype" w:cs="Arial"/>
          <w:bCs/>
          <w:sz w:val="20"/>
        </w:rPr>
        <w:t>(sic)</w:t>
      </w:r>
    </w:p>
    <w:p w14:paraId="7BE65F03" w14:textId="5388D9E4" w:rsidR="00F32611" w:rsidRDefault="00F32611" w:rsidP="00F32611">
      <w:pPr>
        <w:spacing w:before="240" w:after="240" w:line="360" w:lineRule="auto"/>
        <w:jc w:val="both"/>
        <w:rPr>
          <w:rFonts w:ascii="Palatino Linotype" w:hAnsi="Palatino Linotype" w:cs="Arial"/>
        </w:rPr>
      </w:pPr>
      <w:r>
        <w:rPr>
          <w:rFonts w:ascii="Palatino Linotype" w:hAnsi="Palatino Linotype" w:cs="Arial"/>
        </w:rPr>
        <w:lastRenderedPageBreak/>
        <w:t xml:space="preserve">Como se aprecia, el hoy </w:t>
      </w:r>
      <w:r>
        <w:rPr>
          <w:rFonts w:ascii="Palatino Linotype" w:hAnsi="Palatino Linotype" w:cs="Arial"/>
          <w:b/>
          <w:i/>
        </w:rPr>
        <w:t xml:space="preserve">Recurrente </w:t>
      </w:r>
      <w:r w:rsidRPr="00742921">
        <w:rPr>
          <w:rFonts w:ascii="Palatino Linotype" w:hAnsi="Palatino Linotype" w:cs="Arial"/>
        </w:rPr>
        <w:t>solicitó</w:t>
      </w:r>
      <w:r>
        <w:rPr>
          <w:rFonts w:ascii="Palatino Linotype" w:hAnsi="Palatino Linotype" w:cs="Arial"/>
          <w:b/>
        </w:rPr>
        <w:t xml:space="preserve"> </w:t>
      </w:r>
      <w:r w:rsidRPr="00931B68">
        <w:rPr>
          <w:rFonts w:ascii="Palatino Linotype" w:hAnsi="Palatino Linotype" w:cs="Arial"/>
        </w:rPr>
        <w:t xml:space="preserve">a la </w:t>
      </w:r>
      <w:r w:rsidR="008D184E">
        <w:rPr>
          <w:rFonts w:ascii="Palatino Linotype" w:hAnsi="Palatino Linotype" w:cs="Arial"/>
        </w:rPr>
        <w:t>Ayuntamiento de Valle de Chalco Solidaridad</w:t>
      </w:r>
      <w:r>
        <w:rPr>
          <w:rFonts w:ascii="Palatino Linotype" w:hAnsi="Palatino Linotype" w:cs="Arial"/>
        </w:rPr>
        <w:t xml:space="preserve"> la misma</w:t>
      </w:r>
      <w:r w:rsidRPr="00931B68">
        <w:rPr>
          <w:rFonts w:ascii="Palatino Linotype" w:hAnsi="Palatino Linotype" w:cs="Arial"/>
        </w:rPr>
        <w:t xml:space="preserve"> </w:t>
      </w:r>
      <w:r>
        <w:rPr>
          <w:rFonts w:ascii="Palatino Linotype" w:hAnsi="Palatino Linotype" w:cs="Arial"/>
        </w:rPr>
        <w:t>información que es materia del presente recurso de revisión, y con</w:t>
      </w:r>
      <w:r w:rsidRPr="00500765">
        <w:rPr>
          <w:rFonts w:ascii="Palatino Linotype" w:hAnsi="Palatino Linotype" w:cs="Arial"/>
        </w:rPr>
        <w:t xml:space="preserve"> ello, queda de manifiesto que </w:t>
      </w:r>
      <w:r w:rsidR="00742921">
        <w:rPr>
          <w:rFonts w:ascii="Palatino Linotype" w:hAnsi="Palatino Linotype" w:cs="Arial"/>
        </w:rPr>
        <w:t>e</w:t>
      </w:r>
      <w:r w:rsidRPr="00500765">
        <w:rPr>
          <w:rFonts w:ascii="Palatino Linotype" w:hAnsi="Palatino Linotype" w:cs="Arial"/>
        </w:rPr>
        <w:t xml:space="preserve">l recurso de revisión </w:t>
      </w:r>
      <w:r w:rsidRPr="00500765">
        <w:rPr>
          <w:rFonts w:ascii="Palatino Linotype" w:hAnsi="Palatino Linotype" w:cs="Arial"/>
          <w:b/>
        </w:rPr>
        <w:t>0</w:t>
      </w:r>
      <w:r w:rsidR="008D184E">
        <w:rPr>
          <w:rFonts w:ascii="Palatino Linotype" w:hAnsi="Palatino Linotype" w:cs="Arial"/>
          <w:b/>
        </w:rPr>
        <w:t>0979</w:t>
      </w:r>
      <w:r w:rsidRPr="00500765">
        <w:rPr>
          <w:rFonts w:ascii="Palatino Linotype" w:hAnsi="Palatino Linotype" w:cs="Arial"/>
          <w:b/>
        </w:rPr>
        <w:t>/INFOEM/IP/RR/201</w:t>
      </w:r>
      <w:r w:rsidR="008D184E">
        <w:rPr>
          <w:rFonts w:ascii="Palatino Linotype" w:hAnsi="Palatino Linotype" w:cs="Arial"/>
          <w:b/>
        </w:rPr>
        <w:t xml:space="preserve">8 </w:t>
      </w:r>
      <w:r w:rsidRPr="00500765">
        <w:rPr>
          <w:rFonts w:ascii="Palatino Linotype" w:hAnsi="Palatino Linotype" w:cs="Arial"/>
        </w:rPr>
        <w:t xml:space="preserve">constituye un precedente al haberse resuelto por el Pleno de este Órgano Garante, cuya determinación fue notificada vía SAIMEX a las partes en fecha </w:t>
      </w:r>
      <w:r w:rsidR="008D184E">
        <w:rPr>
          <w:rFonts w:ascii="Palatino Linotype" w:hAnsi="Palatino Linotype" w:cs="Arial"/>
        </w:rPr>
        <w:t>veinticinco de mayo de dos mil dieciocho.</w:t>
      </w:r>
    </w:p>
    <w:p w14:paraId="4FD7F1B9" w14:textId="77777777" w:rsidR="00F32611" w:rsidRDefault="00F32611" w:rsidP="00F32611">
      <w:pPr>
        <w:spacing w:before="240" w:after="360" w:line="360" w:lineRule="auto"/>
        <w:jc w:val="both"/>
        <w:rPr>
          <w:rFonts w:ascii="Palatino Linotype" w:hAnsi="Palatino Linotype" w:cs="Arial"/>
        </w:rPr>
      </w:pPr>
      <w:r>
        <w:rPr>
          <w:rFonts w:ascii="Palatino Linotype" w:hAnsi="Palatino Linotype" w:cs="Arial"/>
        </w:rPr>
        <w:t>En este orden de ideas y tomando en cuenta lo dispuesto en el artículo 1.205 del Código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14:paraId="2A6114F5" w14:textId="77777777" w:rsidR="00F32611" w:rsidRDefault="00F32611" w:rsidP="00F32611">
      <w:pPr>
        <w:spacing w:before="240" w:after="240" w:line="360" w:lineRule="auto"/>
        <w:jc w:val="both"/>
        <w:rPr>
          <w:rFonts w:ascii="Palatino Linotype" w:hAnsi="Palatino Linotype" w:cs="Arial"/>
        </w:rPr>
      </w:pPr>
      <w:r>
        <w:rPr>
          <w:rFonts w:ascii="Palatino Linotype" w:hAnsi="Palatino Linotype" w:cs="Arial"/>
        </w:rPr>
        <w:t xml:space="preserve">De lo anterior se hace necesario citar en su literal el contenido de los artículos 1.206, 1.207 y 1.208 del Código de Procedimientos Civiles del Estado de México: </w:t>
      </w:r>
    </w:p>
    <w:p w14:paraId="696DD12B" w14:textId="77777777" w:rsidR="00F32611" w:rsidRDefault="00F32611" w:rsidP="00F32611">
      <w:pPr>
        <w:spacing w:before="120" w:after="120"/>
        <w:ind w:left="851" w:right="902"/>
        <w:jc w:val="both"/>
        <w:rPr>
          <w:rFonts w:ascii="Palatino Linotype" w:hAnsi="Palatino Linotype"/>
          <w:b/>
          <w:i/>
          <w:sz w:val="20"/>
        </w:rPr>
      </w:pPr>
      <w:r w:rsidRPr="00EC777C">
        <w:rPr>
          <w:rFonts w:ascii="Palatino Linotype" w:hAnsi="Palatino Linotype"/>
          <w:b/>
          <w:i/>
          <w:sz w:val="20"/>
        </w:rPr>
        <w:t>“Indiscutibilidad de la cosa juzgada</w:t>
      </w:r>
    </w:p>
    <w:p w14:paraId="34FE5A7B" w14:textId="77777777" w:rsidR="00F32611" w:rsidRDefault="00F32611" w:rsidP="00F32611">
      <w:pPr>
        <w:spacing w:before="120" w:after="120"/>
        <w:ind w:left="851" w:right="902"/>
        <w:jc w:val="both"/>
        <w:rPr>
          <w:rFonts w:ascii="Palatino Linotype" w:hAnsi="Palatino Linotype"/>
          <w:i/>
          <w:sz w:val="20"/>
        </w:rPr>
      </w:pPr>
      <w:r w:rsidRPr="00EC777C">
        <w:rPr>
          <w:rFonts w:ascii="Palatino Linotype" w:hAnsi="Palatino Linotype"/>
          <w:b/>
          <w:i/>
          <w:sz w:val="20"/>
        </w:rPr>
        <w:t xml:space="preserve"> Artículo 1.206.-</w:t>
      </w:r>
      <w:r w:rsidRPr="00EC777C">
        <w:rPr>
          <w:rFonts w:ascii="Palatino Linotype" w:hAnsi="Palatino Linotype"/>
          <w:i/>
          <w:sz w:val="20"/>
        </w:rPr>
        <w:t xml:space="preserve"> La cosa juzgada es la sentencia que constituye verdad legal, contra ella no se admite recurso ni prueba que pueda discutirla, modificarla, revocarla o anularla, salvo los casos expresamente determinados por la ley. </w:t>
      </w:r>
    </w:p>
    <w:p w14:paraId="1CE1DDD4" w14:textId="77777777" w:rsidR="00F32611" w:rsidRPr="00EC777C" w:rsidRDefault="00F32611" w:rsidP="00F32611">
      <w:pPr>
        <w:spacing w:before="120" w:after="120"/>
        <w:ind w:left="851" w:right="902"/>
        <w:jc w:val="both"/>
        <w:rPr>
          <w:rFonts w:ascii="Palatino Linotype" w:hAnsi="Palatino Linotype"/>
          <w:b/>
          <w:i/>
          <w:sz w:val="20"/>
        </w:rPr>
      </w:pPr>
      <w:r w:rsidRPr="00EC777C">
        <w:rPr>
          <w:rFonts w:ascii="Palatino Linotype" w:hAnsi="Palatino Linotype"/>
          <w:b/>
          <w:i/>
          <w:sz w:val="20"/>
        </w:rPr>
        <w:t xml:space="preserve">Elementos de la cosa juzgada </w:t>
      </w:r>
    </w:p>
    <w:p w14:paraId="2007C9E3" w14:textId="77777777" w:rsidR="00F32611" w:rsidRDefault="00F32611" w:rsidP="00F32611">
      <w:pPr>
        <w:spacing w:before="120" w:after="120"/>
        <w:ind w:left="851" w:right="902"/>
        <w:jc w:val="both"/>
        <w:rPr>
          <w:rFonts w:ascii="Palatino Linotype" w:hAnsi="Palatino Linotype"/>
          <w:i/>
          <w:sz w:val="20"/>
        </w:rPr>
      </w:pPr>
      <w:r w:rsidRPr="00EC777C">
        <w:rPr>
          <w:rFonts w:ascii="Palatino Linotype" w:hAnsi="Palatino Linotype"/>
          <w:b/>
          <w:i/>
          <w:sz w:val="20"/>
        </w:rPr>
        <w:t>Artículo 1.207.-</w:t>
      </w:r>
      <w:r w:rsidRPr="00EC777C">
        <w:rPr>
          <w:rFonts w:ascii="Palatino Linotype" w:hAnsi="Palatino Linotype"/>
          <w:i/>
          <w:sz w:val="20"/>
        </w:rPr>
        <w:t xml:space="preserve"> Para que la cosa juzgada surta efecto en otro juicio, es necesario que entre el caso resuelto por la sentencia y aquel en que sea invocada, concurra identidad en las cosas, las causas, las personas de los litigantes. </w:t>
      </w:r>
    </w:p>
    <w:p w14:paraId="65D8C1F5" w14:textId="77777777" w:rsidR="00F32611" w:rsidRPr="00EC777C" w:rsidRDefault="00F32611" w:rsidP="00F32611">
      <w:pPr>
        <w:spacing w:before="120" w:after="120"/>
        <w:ind w:left="851" w:right="902"/>
        <w:jc w:val="both"/>
        <w:rPr>
          <w:rFonts w:ascii="Palatino Linotype" w:hAnsi="Palatino Linotype"/>
          <w:b/>
          <w:i/>
          <w:sz w:val="20"/>
        </w:rPr>
      </w:pPr>
      <w:r w:rsidRPr="00EC777C">
        <w:rPr>
          <w:rFonts w:ascii="Palatino Linotype" w:hAnsi="Palatino Linotype"/>
          <w:b/>
          <w:i/>
          <w:sz w:val="20"/>
        </w:rPr>
        <w:t xml:space="preserve">Identidad de personas en la cosa juzgada </w:t>
      </w:r>
    </w:p>
    <w:p w14:paraId="4795D28F" w14:textId="77777777" w:rsidR="00F32611" w:rsidRPr="00EC777C" w:rsidRDefault="00F32611" w:rsidP="00F32611">
      <w:pPr>
        <w:spacing w:before="120" w:after="120"/>
        <w:ind w:left="851" w:right="902"/>
        <w:jc w:val="both"/>
        <w:rPr>
          <w:rFonts w:ascii="Palatino Linotype" w:hAnsi="Palatino Linotype"/>
          <w:i/>
          <w:sz w:val="20"/>
        </w:rPr>
      </w:pPr>
      <w:r w:rsidRPr="00EC777C">
        <w:rPr>
          <w:rFonts w:ascii="Palatino Linotype" w:hAnsi="Palatino Linotype"/>
          <w:b/>
          <w:i/>
          <w:sz w:val="20"/>
        </w:rPr>
        <w:t>Artículo 1.208.-</w:t>
      </w:r>
      <w:r w:rsidRPr="00EC777C">
        <w:rPr>
          <w:rFonts w:ascii="Palatino Linotype" w:hAnsi="Palatino Linotype"/>
          <w:i/>
          <w:sz w:val="20"/>
        </w:rPr>
        <w:t xml:space="preserve"> Se entiende que hay identidad de personas siempre que los litigantes del segundo juicio, sean causahabientes de los que contendieron en el anterior o estén </w:t>
      </w:r>
      <w:r w:rsidRPr="00EC777C">
        <w:rPr>
          <w:rFonts w:ascii="Palatino Linotype" w:hAnsi="Palatino Linotype"/>
          <w:i/>
          <w:sz w:val="20"/>
        </w:rPr>
        <w:lastRenderedPageBreak/>
        <w:t>unidos a ellos por solidaridad o indivisibilidad de las prestaciones entre los que tienen derecho a exigirlas u obligación de satisfacerlas.</w:t>
      </w:r>
      <w:r>
        <w:rPr>
          <w:rFonts w:ascii="Palatino Linotype" w:hAnsi="Palatino Linotype"/>
          <w:i/>
          <w:sz w:val="20"/>
        </w:rPr>
        <w:t>”</w:t>
      </w:r>
    </w:p>
    <w:p w14:paraId="59BB89C5" w14:textId="59491916" w:rsidR="00F32611" w:rsidRDefault="00F32611" w:rsidP="00F32611">
      <w:pPr>
        <w:spacing w:before="240" w:after="240" w:line="360" w:lineRule="auto"/>
        <w:jc w:val="both"/>
        <w:rPr>
          <w:rFonts w:ascii="Palatino Linotype" w:hAnsi="Palatino Linotype" w:cs="Arial"/>
        </w:rPr>
      </w:pPr>
      <w:r>
        <w:rPr>
          <w:rFonts w:ascii="Palatino Linotype" w:hAnsi="Palatino Linotype" w:cs="Arial"/>
        </w:rPr>
        <w:t>Por lo que citado lo anterior y del análisis comparativo que fuera realizado, s</w:t>
      </w:r>
      <w:r w:rsidRPr="00500765">
        <w:rPr>
          <w:rFonts w:ascii="Palatino Linotype" w:hAnsi="Palatino Linotype" w:cs="Arial"/>
        </w:rPr>
        <w:t xml:space="preserve">e destaca que la solicitud de información que le </w:t>
      </w:r>
      <w:r w:rsidR="00742921" w:rsidRPr="00500765">
        <w:rPr>
          <w:rFonts w:ascii="Palatino Linotype" w:hAnsi="Palatino Linotype" w:cs="Arial"/>
        </w:rPr>
        <w:t>d</w:t>
      </w:r>
      <w:r w:rsidR="00742921">
        <w:rPr>
          <w:rFonts w:ascii="Palatino Linotype" w:hAnsi="Palatino Linotype" w:cs="Arial"/>
        </w:rPr>
        <w:t>io</w:t>
      </w:r>
      <w:r w:rsidRPr="00500765">
        <w:rPr>
          <w:rFonts w:ascii="Palatino Linotype" w:hAnsi="Palatino Linotype" w:cs="Arial"/>
        </w:rPr>
        <w:t xml:space="preserve"> origen al citado precedente es </w:t>
      </w:r>
      <w:r>
        <w:rPr>
          <w:rFonts w:ascii="Palatino Linotype" w:hAnsi="Palatino Linotype" w:cs="Arial"/>
        </w:rPr>
        <w:t xml:space="preserve">coincidente con la </w:t>
      </w:r>
      <w:r w:rsidRPr="00500765">
        <w:rPr>
          <w:rFonts w:ascii="Palatino Linotype" w:hAnsi="Palatino Linotype" w:cs="Arial"/>
        </w:rPr>
        <w:t>solicitud que</w:t>
      </w:r>
      <w:r>
        <w:rPr>
          <w:rFonts w:ascii="Palatino Linotype" w:hAnsi="Palatino Linotype" w:cs="Arial"/>
        </w:rPr>
        <w:t>, posteriormente,</w:t>
      </w:r>
      <w:r w:rsidRPr="00500765">
        <w:rPr>
          <w:rFonts w:ascii="Palatino Linotype" w:hAnsi="Palatino Linotype" w:cs="Arial"/>
        </w:rPr>
        <w:t xml:space="preserve"> fue presentada por la misma persona, dirigida al mismo Sujeto Obligado; es decir se advierte identidad en los siguientes elementos</w:t>
      </w:r>
      <w:r>
        <w:rPr>
          <w:rFonts w:ascii="Palatino Linotype" w:hAnsi="Palatino Linotype" w:cs="Arial"/>
        </w:rPr>
        <w:t>:</w:t>
      </w:r>
    </w:p>
    <w:p w14:paraId="0AA131E5" w14:textId="63217CD4" w:rsidR="00F32611" w:rsidRPr="00500765" w:rsidRDefault="00742921" w:rsidP="002101E5">
      <w:pPr>
        <w:numPr>
          <w:ilvl w:val="0"/>
          <w:numId w:val="3"/>
        </w:numPr>
        <w:spacing w:before="240" w:after="360" w:line="360" w:lineRule="auto"/>
        <w:ind w:left="567" w:right="-1" w:hanging="207"/>
        <w:jc w:val="both"/>
        <w:rPr>
          <w:rFonts w:ascii="Palatino Linotype" w:hAnsi="Palatino Linotype" w:cs="Arial"/>
        </w:rPr>
      </w:pPr>
      <w:r w:rsidRPr="00742921">
        <w:rPr>
          <w:rFonts w:ascii="Palatino Linotype" w:hAnsi="Palatino Linotype" w:cs="Arial"/>
        </w:rPr>
        <w:t>S</w:t>
      </w:r>
      <w:r w:rsidR="00F32611" w:rsidRPr="00742921">
        <w:rPr>
          <w:rFonts w:ascii="Palatino Linotype" w:hAnsi="Palatino Linotype" w:cs="Arial"/>
        </w:rPr>
        <w:t>olicitante y recurrente</w:t>
      </w:r>
      <w:r>
        <w:rPr>
          <w:rFonts w:ascii="Palatino Linotype" w:hAnsi="Palatino Linotype" w:cs="Arial"/>
        </w:rPr>
        <w:t>.-</w:t>
      </w:r>
      <w:r w:rsidR="00F32611" w:rsidRPr="00500765">
        <w:rPr>
          <w:rFonts w:ascii="Palatino Linotype" w:hAnsi="Palatino Linotype" w:cs="Arial"/>
        </w:rPr>
        <w:t xml:space="preserve"> </w:t>
      </w:r>
      <w:r>
        <w:rPr>
          <w:rFonts w:ascii="Palatino Linotype" w:hAnsi="Palatino Linotype" w:cs="Arial"/>
          <w:b/>
        </w:rPr>
        <w:t>Nueva Generación Valle Xico</w:t>
      </w:r>
      <w:r w:rsidR="00F32611" w:rsidRPr="00500765">
        <w:rPr>
          <w:rFonts w:ascii="Palatino Linotype" w:hAnsi="Palatino Linotype" w:cs="Arial"/>
        </w:rPr>
        <w:t>.</w:t>
      </w:r>
    </w:p>
    <w:p w14:paraId="61555ED9" w14:textId="2770ECF2" w:rsidR="00F32611" w:rsidRPr="00742921" w:rsidRDefault="00742921" w:rsidP="001534B9">
      <w:pPr>
        <w:numPr>
          <w:ilvl w:val="0"/>
          <w:numId w:val="3"/>
        </w:numPr>
        <w:spacing w:before="240" w:after="360" w:line="360" w:lineRule="auto"/>
        <w:ind w:left="567" w:right="-1" w:hanging="207"/>
        <w:jc w:val="both"/>
        <w:rPr>
          <w:rFonts w:ascii="Palatino Linotype" w:hAnsi="Palatino Linotype" w:cs="Arial"/>
        </w:rPr>
      </w:pPr>
      <w:r w:rsidRPr="00742921">
        <w:rPr>
          <w:rFonts w:ascii="Palatino Linotype" w:hAnsi="Palatino Linotype" w:cs="Arial"/>
        </w:rPr>
        <w:t>M</w:t>
      </w:r>
      <w:r w:rsidR="00F32611" w:rsidRPr="00742921">
        <w:rPr>
          <w:rFonts w:ascii="Palatino Linotype" w:hAnsi="Palatino Linotype" w:cs="Arial"/>
        </w:rPr>
        <w:t>ateria de las solicitudes</w:t>
      </w:r>
      <w:r w:rsidRPr="00742921">
        <w:rPr>
          <w:rFonts w:ascii="Palatino Linotype" w:hAnsi="Palatino Linotype" w:cs="Arial"/>
        </w:rPr>
        <w:t xml:space="preserve"> de información.-</w:t>
      </w:r>
      <w:r>
        <w:rPr>
          <w:rFonts w:ascii="Palatino Linotype" w:hAnsi="Palatino Linotype" w:cs="Arial"/>
        </w:rPr>
        <w:t xml:space="preserve"> de </w:t>
      </w:r>
      <w:r>
        <w:rPr>
          <w:rFonts w:ascii="Palatino Linotype" w:hAnsi="Palatino Linotype" w:cs="Arial"/>
          <w:u w:val="single"/>
        </w:rPr>
        <w:t xml:space="preserve">Javier Juan Olivares, </w:t>
      </w:r>
      <w:r>
        <w:rPr>
          <w:rFonts w:ascii="Palatino Linotype" w:hAnsi="Palatino Linotype"/>
          <w:color w:val="000000"/>
        </w:rPr>
        <w:t>f</w:t>
      </w:r>
      <w:r w:rsidRPr="00742921">
        <w:rPr>
          <w:rFonts w:ascii="Palatino Linotype" w:hAnsi="Palatino Linotype"/>
          <w:color w:val="000000"/>
        </w:rPr>
        <w:t xml:space="preserve">echa en que dejó de laborar en el Ayuntamiento, </w:t>
      </w:r>
      <w:r>
        <w:rPr>
          <w:rFonts w:ascii="Palatino Linotype" w:hAnsi="Palatino Linotype"/>
          <w:color w:val="000000"/>
        </w:rPr>
        <w:t>c</w:t>
      </w:r>
      <w:r w:rsidRPr="00742921">
        <w:rPr>
          <w:rFonts w:ascii="Palatino Linotype" w:hAnsi="Palatino Linotype"/>
          <w:color w:val="000000"/>
        </w:rPr>
        <w:t>argo que desempeñaba con copia de su nombramiento e indica</w:t>
      </w:r>
      <w:r>
        <w:rPr>
          <w:rFonts w:ascii="Palatino Linotype" w:hAnsi="Palatino Linotype"/>
          <w:color w:val="000000"/>
        </w:rPr>
        <w:t>r si existe una demanda laboral.</w:t>
      </w:r>
    </w:p>
    <w:p w14:paraId="23249622" w14:textId="323ED003" w:rsidR="00F32611" w:rsidRPr="00500765" w:rsidRDefault="00F32611" w:rsidP="002101E5">
      <w:pPr>
        <w:numPr>
          <w:ilvl w:val="0"/>
          <w:numId w:val="3"/>
        </w:numPr>
        <w:spacing w:before="240" w:after="360" w:line="360" w:lineRule="auto"/>
        <w:ind w:left="567" w:right="-1" w:hanging="207"/>
        <w:jc w:val="both"/>
        <w:rPr>
          <w:rFonts w:ascii="Palatino Linotype" w:hAnsi="Palatino Linotype" w:cs="Arial"/>
        </w:rPr>
      </w:pPr>
      <w:r w:rsidRPr="00500765">
        <w:rPr>
          <w:rFonts w:ascii="Palatino Linotype" w:hAnsi="Palatino Linotype" w:cs="Arial"/>
        </w:rPr>
        <w:t xml:space="preserve">Este Instituto advierte que el acto impugnado es </w:t>
      </w:r>
      <w:r>
        <w:rPr>
          <w:rFonts w:ascii="Palatino Linotype" w:hAnsi="Palatino Linotype" w:cs="Arial"/>
        </w:rPr>
        <w:t>la negación para la entrega de la documentación solicitada</w:t>
      </w:r>
      <w:r w:rsidRPr="00500765">
        <w:rPr>
          <w:rFonts w:ascii="Palatino Linotype" w:hAnsi="Palatino Linotype" w:cs="Arial"/>
        </w:rPr>
        <w:t>.</w:t>
      </w:r>
    </w:p>
    <w:p w14:paraId="19DE1473" w14:textId="395D55D2" w:rsidR="00F32611" w:rsidRPr="00306416" w:rsidRDefault="00F32611" w:rsidP="00F32611">
      <w:pPr>
        <w:spacing w:before="240" w:after="360" w:line="360" w:lineRule="auto"/>
        <w:jc w:val="both"/>
        <w:rPr>
          <w:rFonts w:ascii="Palatino Linotype" w:hAnsi="Palatino Linotype" w:cs="Arial"/>
        </w:rPr>
      </w:pPr>
      <w:r>
        <w:rPr>
          <w:rFonts w:ascii="Palatino Linotype" w:hAnsi="Palatino Linotype" w:cs="Arial"/>
        </w:rPr>
        <w:t xml:space="preserve">Dentro de esta perspectiva, y toda vez que quedo claro, que cuando se habla de </w:t>
      </w:r>
      <w:r>
        <w:rPr>
          <w:rFonts w:ascii="Palatino Linotype" w:hAnsi="Palatino Linotype" w:cs="Arial"/>
          <w:b/>
        </w:rPr>
        <w:t xml:space="preserve">cosa juzgada </w:t>
      </w:r>
      <w:r>
        <w:rPr>
          <w:rFonts w:ascii="Palatino Linotype" w:hAnsi="Palatino Linotype" w:cs="Arial"/>
        </w:rPr>
        <w:t xml:space="preserve"> exige que se trate no solo del mismo acto, disposición o actuación material sino también de la misma pretensión u otra sustancialmente idéntica a la que fue objeto del proceso anterior, y considerando que la </w:t>
      </w:r>
      <w:r w:rsidRPr="002625AE">
        <w:rPr>
          <w:rFonts w:ascii="Palatino Linotype" w:hAnsi="Palatino Linotype" w:cs="Arial"/>
          <w:i/>
        </w:rPr>
        <w:t>causa petendi o el petitum</w:t>
      </w:r>
      <w:r>
        <w:rPr>
          <w:rFonts w:ascii="Palatino Linotype" w:hAnsi="Palatino Linotype" w:cs="Arial"/>
        </w:rPr>
        <w:t xml:space="preserve"> del acto impugnado en el presente recurso de revisión y en el </w:t>
      </w:r>
      <w:r w:rsidRPr="00500765">
        <w:rPr>
          <w:rFonts w:ascii="Palatino Linotype" w:hAnsi="Palatino Linotype" w:cs="Arial"/>
          <w:b/>
        </w:rPr>
        <w:t>0</w:t>
      </w:r>
      <w:r w:rsidR="00742921">
        <w:rPr>
          <w:rFonts w:ascii="Palatino Linotype" w:hAnsi="Palatino Linotype" w:cs="Arial"/>
          <w:b/>
        </w:rPr>
        <w:t>0979</w:t>
      </w:r>
      <w:r w:rsidRPr="00500765">
        <w:rPr>
          <w:rFonts w:ascii="Palatino Linotype" w:hAnsi="Palatino Linotype" w:cs="Arial"/>
          <w:b/>
        </w:rPr>
        <w:t>/INFOEM/IP/RR/201</w:t>
      </w:r>
      <w:r w:rsidR="00742921">
        <w:rPr>
          <w:rFonts w:ascii="Palatino Linotype" w:hAnsi="Palatino Linotype" w:cs="Arial"/>
          <w:b/>
        </w:rPr>
        <w:t>8</w:t>
      </w:r>
      <w:r w:rsidRPr="00500765">
        <w:rPr>
          <w:rFonts w:ascii="Palatino Linotype" w:hAnsi="Palatino Linotype" w:cs="Arial"/>
          <w:b/>
        </w:rPr>
        <w:t xml:space="preserve"> </w:t>
      </w:r>
      <w:r>
        <w:rPr>
          <w:rFonts w:ascii="Palatino Linotype" w:hAnsi="Palatino Linotype" w:cs="Arial"/>
        </w:rPr>
        <w:t xml:space="preserve">opera en función de la negativa a entregar la información </w:t>
      </w:r>
      <w:r w:rsidR="00742921">
        <w:rPr>
          <w:rFonts w:ascii="Palatino Linotype" w:hAnsi="Palatino Linotype" w:cs="Arial"/>
        </w:rPr>
        <w:t xml:space="preserve">es que a fin de evitar </w:t>
      </w:r>
      <w:r>
        <w:rPr>
          <w:rFonts w:ascii="Palatino Linotype" w:hAnsi="Palatino Linotype" w:cs="Arial"/>
        </w:rPr>
        <w:t xml:space="preserve">se pronuncien resoluciones contradictorias que alteren la estabilidad y seguridad del goce del particular </w:t>
      </w:r>
      <w:r>
        <w:rPr>
          <w:rFonts w:ascii="Palatino Linotype" w:hAnsi="Palatino Linotype" w:cs="Arial"/>
          <w:b/>
          <w:i/>
        </w:rPr>
        <w:t>Recurrente</w:t>
      </w:r>
      <w:r>
        <w:rPr>
          <w:rFonts w:ascii="Palatino Linotype" w:hAnsi="Palatino Linotype" w:cs="Arial"/>
        </w:rPr>
        <w:t xml:space="preserve">, lo cual constituye un derecho humano consistente en la seguridad jurídica que se </w:t>
      </w:r>
      <w:r>
        <w:rPr>
          <w:rFonts w:ascii="Palatino Linotype" w:hAnsi="Palatino Linotype" w:cs="Arial"/>
        </w:rPr>
        <w:lastRenderedPageBreak/>
        <w:t>encuentra contenido en los artículos 16 de la Constitución Política de los Estados Unidos Mexicanos y  25  numerales 1 y 2 de la Convenc</w:t>
      </w:r>
      <w:r w:rsidR="00742921">
        <w:rPr>
          <w:rFonts w:ascii="Palatino Linotype" w:hAnsi="Palatino Linotype" w:cs="Arial"/>
        </w:rPr>
        <w:t>ión América de Derechos Humanos, es que se tienen por actualizada la figura de cosa juzgada.</w:t>
      </w:r>
      <w:r w:rsidR="00E72928">
        <w:rPr>
          <w:rFonts w:ascii="Palatino Linotype" w:hAnsi="Palatino Linotype" w:cs="Arial"/>
        </w:rPr>
        <w:t xml:space="preserve"> Sirviendo de s</w:t>
      </w:r>
      <w:r>
        <w:rPr>
          <w:rFonts w:ascii="Palatino Linotype" w:hAnsi="Palatino Linotype" w:cs="Arial"/>
        </w:rPr>
        <w:t xml:space="preserve">ustento la Tesis Aislada </w:t>
      </w:r>
      <w:r w:rsidRPr="00306416">
        <w:rPr>
          <w:rFonts w:ascii="Palatino Linotype" w:hAnsi="Palatino Linotype"/>
        </w:rPr>
        <w:t>1a. XCV/2016 (10a.) de la Décima Época de la Primera Sala de</w:t>
      </w:r>
      <w:r>
        <w:rPr>
          <w:rFonts w:ascii="Palatino Linotype" w:hAnsi="Palatino Linotype"/>
        </w:rPr>
        <w:t xml:space="preserve"> la suprema corte de Justicia d</w:t>
      </w:r>
      <w:r w:rsidRPr="00306416">
        <w:rPr>
          <w:rFonts w:ascii="Palatino Linotype" w:hAnsi="Palatino Linotype"/>
        </w:rPr>
        <w:t>e</w:t>
      </w:r>
      <w:r>
        <w:rPr>
          <w:rFonts w:ascii="Palatino Linotype" w:hAnsi="Palatino Linotype"/>
        </w:rPr>
        <w:t xml:space="preserve"> </w:t>
      </w:r>
      <w:r w:rsidRPr="00306416">
        <w:rPr>
          <w:rFonts w:ascii="Palatino Linotype" w:hAnsi="Palatino Linotype"/>
        </w:rPr>
        <w:t xml:space="preserve">la Nación, que es del tenor literal siguiente: </w:t>
      </w:r>
    </w:p>
    <w:p w14:paraId="77C33233" w14:textId="77777777" w:rsidR="00F32611" w:rsidRPr="00306416" w:rsidRDefault="00F32611" w:rsidP="00F32611">
      <w:pPr>
        <w:ind w:left="851" w:right="900"/>
        <w:jc w:val="both"/>
        <w:rPr>
          <w:rFonts w:ascii="Palatino Linotype" w:hAnsi="Palatino Linotype"/>
          <w:i/>
          <w:sz w:val="20"/>
          <w:szCs w:val="20"/>
        </w:rPr>
      </w:pPr>
      <w:r>
        <w:rPr>
          <w:rFonts w:ascii="Palatino Linotype" w:hAnsi="Palatino Linotype"/>
          <w:b/>
          <w:i/>
          <w:sz w:val="20"/>
          <w:szCs w:val="20"/>
        </w:rPr>
        <w:t>“</w:t>
      </w:r>
      <w:r w:rsidRPr="00306416">
        <w:rPr>
          <w:rFonts w:ascii="Palatino Linotype" w:hAnsi="Palatino Linotype"/>
          <w:b/>
          <w:i/>
          <w:sz w:val="20"/>
          <w:szCs w:val="20"/>
        </w:rPr>
        <w:t>COSA JUZGADA. EL ARTÍCULO 61, FRACCIÓN XI, DE LA LEY DE AMPARO QUE LA PREVÉ COMO CAUSA DE IMPROCEDENCIA DEL JUICIO RELATIVO, ES COMPATIBLE CON EL DERECHO A LA SEGURIDAD JURÍDICA.</w:t>
      </w:r>
      <w:r>
        <w:rPr>
          <w:rFonts w:ascii="Palatino Linotype" w:hAnsi="Palatino Linotype"/>
          <w:b/>
          <w:i/>
          <w:sz w:val="20"/>
          <w:szCs w:val="20"/>
        </w:rPr>
        <w:t xml:space="preserve"> </w:t>
      </w:r>
      <w:r w:rsidRPr="00306416">
        <w:rPr>
          <w:rFonts w:ascii="Palatino Linotype" w:hAnsi="Palatino Linotype"/>
          <w:i/>
          <w:sz w:val="20"/>
          <w:szCs w:val="20"/>
        </w:rPr>
        <w:t>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inatacabilidad a través de un diverso juicio constitucional,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r>
        <w:rPr>
          <w:rFonts w:ascii="Palatino Linotype" w:hAnsi="Palatino Linotype"/>
          <w:i/>
          <w:sz w:val="20"/>
          <w:szCs w:val="20"/>
        </w:rPr>
        <w:t>”</w:t>
      </w:r>
    </w:p>
    <w:p w14:paraId="03D30076" w14:textId="5615FFF9" w:rsidR="007367AB" w:rsidRPr="00950AAA" w:rsidRDefault="007367AB" w:rsidP="007367AB">
      <w:pPr>
        <w:spacing w:before="240" w:after="240" w:line="360" w:lineRule="auto"/>
        <w:jc w:val="both"/>
        <w:rPr>
          <w:rFonts w:ascii="Palatino Linotype" w:hAnsi="Palatino Linotype" w:cs="Arial"/>
        </w:rPr>
      </w:pPr>
      <w:r w:rsidRPr="00950AAA">
        <w:rPr>
          <w:rFonts w:ascii="Palatino Linotype" w:hAnsi="Palatino Linotype" w:cs="Arial"/>
        </w:rPr>
        <w:t>Continuando es que, si bien dentro del caso que nos oc</w:t>
      </w:r>
      <w:r>
        <w:rPr>
          <w:rFonts w:ascii="Palatino Linotype" w:hAnsi="Palatino Linotype" w:cs="Arial"/>
        </w:rPr>
        <w:t>upa no puede hablarse de que la</w:t>
      </w:r>
      <w:r w:rsidRPr="00950AAA">
        <w:rPr>
          <w:rFonts w:ascii="Palatino Linotype" w:hAnsi="Palatino Linotype" w:cs="Arial"/>
        </w:rPr>
        <w:t xml:space="preserve"> respuesta</w:t>
      </w:r>
      <w:r>
        <w:rPr>
          <w:rFonts w:ascii="Palatino Linotype" w:hAnsi="Palatino Linotype" w:cs="Arial"/>
        </w:rPr>
        <w:t xml:space="preserve"> recurrida</w:t>
      </w:r>
      <w:r w:rsidRPr="00950AAA">
        <w:rPr>
          <w:rFonts w:ascii="Palatino Linotype" w:hAnsi="Palatino Linotype" w:cs="Arial"/>
        </w:rPr>
        <w:t xml:space="preserve"> por el particular sea la misma, como se ha adelantado, lo cierto es que se tiene certeza acorde a lo expuesto, de que las diversas peticiones que </w:t>
      </w:r>
      <w:r>
        <w:rPr>
          <w:rFonts w:ascii="Palatino Linotype" w:hAnsi="Palatino Linotype" w:cs="Arial"/>
        </w:rPr>
        <w:t xml:space="preserve">el recurrente </w:t>
      </w:r>
      <w:r w:rsidRPr="00950AAA">
        <w:rPr>
          <w:rFonts w:ascii="Palatino Linotype" w:hAnsi="Palatino Linotype" w:cs="Arial"/>
        </w:rPr>
        <w:t xml:space="preserve">ha planteado versan sobre el mismo asunto, es decir que en el fondo atañen a la misma circunstancia, además como se precisó con antelación, </w:t>
      </w:r>
      <w:r>
        <w:rPr>
          <w:rFonts w:ascii="Palatino Linotype" w:hAnsi="Palatino Linotype" w:cs="Arial"/>
        </w:rPr>
        <w:t xml:space="preserve">el </w:t>
      </w:r>
      <w:r w:rsidRPr="00950AAA">
        <w:rPr>
          <w:rFonts w:ascii="Palatino Linotype" w:hAnsi="Palatino Linotype" w:cs="Arial"/>
        </w:rPr>
        <w:t>precedente del recurso de revisión en que se actúa, ya fue resuelto y debida</w:t>
      </w:r>
      <w:r w:rsidR="006B15B3">
        <w:rPr>
          <w:rFonts w:ascii="Palatino Linotype" w:hAnsi="Palatino Linotype" w:cs="Arial"/>
        </w:rPr>
        <w:t xml:space="preserve">mente notificado al particular, ello en fecha veinticinco de mayo de dos mil dieciocho, por </w:t>
      </w:r>
      <w:r w:rsidR="006B15B3">
        <w:rPr>
          <w:rFonts w:ascii="Palatino Linotype" w:hAnsi="Palatino Linotype" w:cs="Arial"/>
        </w:rPr>
        <w:lastRenderedPageBreak/>
        <w:t>lo que se atiende el artículo 196 de la Ley de Transparencia y Acceso a la Información Pública del Estado de México y Municipios, en relación con los diversos 159 y 161 de la Ley General de Transparencia y Acceso a la Información Pública y 17 primer párrafo de la Ley de Amparo, es que para la impugnación de la determinación que fuera emitida por este Órgano Garante y que funge como precedente a la presente resolución, el recurrente contó con el termino de quince días hábiles para controvertirla, mediante juicio de amparo, plazo que es evidente que al día de la fecha ha fenecido.</w:t>
      </w:r>
    </w:p>
    <w:p w14:paraId="0B87E89E" w14:textId="703601E5" w:rsidR="00F32611" w:rsidRPr="00500765" w:rsidRDefault="00F32611" w:rsidP="00F32611">
      <w:pPr>
        <w:spacing w:before="240" w:after="360" w:line="360" w:lineRule="auto"/>
        <w:jc w:val="both"/>
        <w:rPr>
          <w:rFonts w:ascii="Palatino Linotype" w:hAnsi="Palatino Linotype" w:cs="Arial"/>
        </w:rPr>
      </w:pPr>
      <w:r>
        <w:rPr>
          <w:rFonts w:ascii="Palatino Linotype" w:hAnsi="Palatino Linotype" w:cs="Arial"/>
        </w:rPr>
        <w:t xml:space="preserve">Siendo </w:t>
      </w:r>
      <w:r w:rsidR="00E72928">
        <w:rPr>
          <w:rFonts w:ascii="Palatino Linotype" w:hAnsi="Palatino Linotype" w:cs="Arial"/>
        </w:rPr>
        <w:t>suf</w:t>
      </w:r>
      <w:r w:rsidR="007367AB">
        <w:rPr>
          <w:rFonts w:ascii="Palatino Linotype" w:hAnsi="Palatino Linotype" w:cs="Arial"/>
        </w:rPr>
        <w:t>icientes las cuestiones analizadas</w:t>
      </w:r>
      <w:r w:rsidR="00E72928">
        <w:rPr>
          <w:rFonts w:ascii="Palatino Linotype" w:hAnsi="Palatino Linotype" w:cs="Arial"/>
        </w:rPr>
        <w:t xml:space="preserve"> para establecer la</w:t>
      </w:r>
      <w:r>
        <w:rPr>
          <w:rFonts w:ascii="Palatino Linotype" w:hAnsi="Palatino Linotype" w:cs="Arial"/>
        </w:rPr>
        <w:t xml:space="preserve"> imposibilidad</w:t>
      </w:r>
      <w:r w:rsidR="00E72928">
        <w:rPr>
          <w:rFonts w:ascii="Palatino Linotype" w:hAnsi="Palatino Linotype" w:cs="Arial"/>
        </w:rPr>
        <w:t xml:space="preserve"> manifiesta de este Órgano de atender las </w:t>
      </w:r>
      <w:r>
        <w:rPr>
          <w:rFonts w:ascii="Palatino Linotype" w:hAnsi="Palatino Linotype" w:cs="Arial"/>
        </w:rPr>
        <w:t xml:space="preserve">cuestiones de fondo que fueron planteadas tanto por el recurrente como por el Sujeto Obligado, máxime que en el caso de hacerlo y considerando que el </w:t>
      </w:r>
      <w:r w:rsidRPr="00500765">
        <w:rPr>
          <w:rFonts w:ascii="Palatino Linotype" w:hAnsi="Palatino Linotype" w:cs="Arial"/>
        </w:rPr>
        <w:t xml:space="preserve">análisis de fondo ya fue materia de </w:t>
      </w:r>
      <w:r>
        <w:rPr>
          <w:rFonts w:ascii="Palatino Linotype" w:hAnsi="Palatino Linotype" w:cs="Arial"/>
        </w:rPr>
        <w:t xml:space="preserve">estudio </w:t>
      </w:r>
      <w:r w:rsidRPr="00500765">
        <w:rPr>
          <w:rFonts w:ascii="Palatino Linotype" w:hAnsi="Palatino Linotype" w:cs="Arial"/>
        </w:rPr>
        <w:t xml:space="preserve">y resolución por este Instituto a través del recurso de revisión número </w:t>
      </w:r>
      <w:r w:rsidRPr="00500765">
        <w:rPr>
          <w:rFonts w:ascii="Palatino Linotype" w:hAnsi="Palatino Linotype" w:cs="Arial"/>
          <w:b/>
        </w:rPr>
        <w:t>0</w:t>
      </w:r>
      <w:r w:rsidR="00E72928">
        <w:rPr>
          <w:rFonts w:ascii="Palatino Linotype" w:hAnsi="Palatino Linotype" w:cs="Arial"/>
          <w:b/>
        </w:rPr>
        <w:t>0979/INFOEM/IP/RR/2018</w:t>
      </w:r>
      <w:r>
        <w:rPr>
          <w:rFonts w:ascii="Palatino Linotype" w:hAnsi="Palatino Linotype" w:cs="Arial"/>
        </w:rPr>
        <w:t xml:space="preserve">, denotaría </w:t>
      </w:r>
      <w:r w:rsidRPr="00500765">
        <w:rPr>
          <w:rFonts w:ascii="Palatino Linotype" w:hAnsi="Palatino Linotype" w:cs="Arial"/>
        </w:rPr>
        <w:t>identidad de recursos entre ést</w:t>
      </w:r>
      <w:r>
        <w:rPr>
          <w:rFonts w:ascii="Palatino Linotype" w:hAnsi="Palatino Linotype" w:cs="Arial"/>
        </w:rPr>
        <w:t>e</w:t>
      </w:r>
      <w:r w:rsidRPr="00500765">
        <w:rPr>
          <w:rFonts w:ascii="Palatino Linotype" w:hAnsi="Palatino Linotype" w:cs="Arial"/>
        </w:rPr>
        <w:t xml:space="preserve"> y uno previo, un segundo fallo carecería de eficacia jurídica, con la posibilidad además de incurrir en contradicción de resoluciones.</w:t>
      </w:r>
    </w:p>
    <w:p w14:paraId="77F3ABF1" w14:textId="77777777" w:rsidR="00F32611" w:rsidRPr="00C71CC5" w:rsidRDefault="00F32611" w:rsidP="00F32611">
      <w:pPr>
        <w:spacing w:before="240" w:after="360" w:line="360" w:lineRule="auto"/>
        <w:jc w:val="both"/>
        <w:rPr>
          <w:rFonts w:ascii="Palatino Linotype" w:hAnsi="Palatino Linotype" w:cs="Arial"/>
          <w:bCs/>
          <w:szCs w:val="22"/>
        </w:rPr>
      </w:pPr>
      <w:r w:rsidRPr="00500765">
        <w:rPr>
          <w:rFonts w:ascii="Palatino Linotype" w:hAnsi="Palatino Linotype" w:cs="Arial"/>
        </w:rPr>
        <w:t>En consecuencia</w:t>
      </w:r>
      <w:r w:rsidRPr="00500765">
        <w:rPr>
          <w:rFonts w:ascii="Palatino Linotype" w:hAnsi="Palatino Linotype" w:cs="Arial"/>
          <w:lang w:eastAsia="es-CO"/>
        </w:rPr>
        <w:t xml:space="preserve">, con el fin de </w:t>
      </w:r>
      <w:r w:rsidRPr="00500765">
        <w:rPr>
          <w:rFonts w:ascii="Palatino Linotype" w:hAnsi="Palatino Linotype" w:cs="Arial"/>
        </w:rPr>
        <w:t xml:space="preserve">evitar la </w:t>
      </w:r>
      <w:r w:rsidRPr="00500765">
        <w:rPr>
          <w:rFonts w:ascii="Palatino Linotype" w:hAnsi="Palatino Linotype" w:cs="Arial"/>
          <w:bCs/>
        </w:rPr>
        <w:t xml:space="preserve">duplicidad de resoluciones sobre un mismo asunto se estima procedente </w:t>
      </w:r>
      <w:r>
        <w:rPr>
          <w:rFonts w:ascii="Palatino Linotype" w:hAnsi="Palatino Linotype" w:cs="Arial"/>
          <w:bCs/>
        </w:rPr>
        <w:t>no realizar</w:t>
      </w:r>
      <w:r w:rsidRPr="00500765">
        <w:rPr>
          <w:rFonts w:ascii="Palatino Linotype" w:hAnsi="Palatino Linotype" w:cs="Arial"/>
          <w:bCs/>
        </w:rPr>
        <w:t xml:space="preserve"> el estudio de fondo,</w:t>
      </w:r>
      <w:r w:rsidRPr="00500765">
        <w:rPr>
          <w:rFonts w:ascii="Palatino Linotype" w:hAnsi="Palatino Linotype" w:cs="Arial"/>
          <w:lang w:eastAsia="es-CO"/>
        </w:rPr>
        <w:t xml:space="preserve"> </w:t>
      </w:r>
      <w:r w:rsidRPr="00500765">
        <w:rPr>
          <w:rFonts w:ascii="Palatino Linotype" w:hAnsi="Palatino Linotype" w:cs="Arial"/>
        </w:rPr>
        <w:t>puesto que ya hubo pronunciamiento de este Pleno al respecto</w:t>
      </w:r>
      <w:r>
        <w:rPr>
          <w:rFonts w:ascii="Palatino Linotype" w:hAnsi="Palatino Linotype" w:cs="Arial"/>
        </w:rPr>
        <w:t xml:space="preserve">; máxime que </w:t>
      </w:r>
      <w:r w:rsidRPr="00500765">
        <w:rPr>
          <w:rFonts w:ascii="Palatino Linotype" w:hAnsi="Palatino Linotype" w:cs="Arial"/>
        </w:rPr>
        <w:t>la misma controversia no puede ser decidida más de una vez y tampoco puede estar, simultáneamente, pendiente más de una relación procesal entre las mismas personas acerca del mismo objeto.</w:t>
      </w:r>
    </w:p>
    <w:p w14:paraId="5D9C4D15" w14:textId="02D39597" w:rsidR="007367AB" w:rsidRPr="00A90F7D" w:rsidRDefault="00F32611" w:rsidP="007367AB">
      <w:pPr>
        <w:spacing w:before="240" w:after="240" w:line="360" w:lineRule="auto"/>
        <w:jc w:val="both"/>
        <w:rPr>
          <w:rFonts w:ascii="Palatino Linotype" w:hAnsi="Palatino Linotype" w:cs="Arial"/>
        </w:rPr>
      </w:pPr>
      <w:r w:rsidRPr="00500765">
        <w:rPr>
          <w:rFonts w:ascii="Palatino Linotype" w:hAnsi="Palatino Linotype" w:cs="Arial"/>
        </w:rPr>
        <w:lastRenderedPageBreak/>
        <w:t xml:space="preserve">En este orden de ideas y considerado en primer lugar como precedente el recurso de revisión </w:t>
      </w:r>
      <w:r w:rsidRPr="00500765">
        <w:rPr>
          <w:rFonts w:ascii="Palatino Linotype" w:hAnsi="Palatino Linotype" w:cs="Arial"/>
          <w:b/>
        </w:rPr>
        <w:t>0</w:t>
      </w:r>
      <w:r w:rsidR="00E72928">
        <w:rPr>
          <w:rFonts w:ascii="Palatino Linotype" w:hAnsi="Palatino Linotype" w:cs="Arial"/>
          <w:b/>
        </w:rPr>
        <w:t>0979</w:t>
      </w:r>
      <w:r w:rsidRPr="00500765">
        <w:rPr>
          <w:rFonts w:ascii="Palatino Linotype" w:hAnsi="Palatino Linotype" w:cs="Arial"/>
          <w:b/>
        </w:rPr>
        <w:t>/INFOEM/IP/RR/201</w:t>
      </w:r>
      <w:r w:rsidR="00E72928">
        <w:rPr>
          <w:rFonts w:ascii="Palatino Linotype" w:hAnsi="Palatino Linotype" w:cs="Arial"/>
          <w:b/>
        </w:rPr>
        <w:t>8</w:t>
      </w:r>
      <w:r w:rsidRPr="00500765">
        <w:rPr>
          <w:rFonts w:ascii="Palatino Linotype" w:hAnsi="Palatino Linotype" w:cs="Arial"/>
        </w:rPr>
        <w:t xml:space="preserve"> ya resuelto y en segundo lugar el </w:t>
      </w:r>
      <w:r>
        <w:rPr>
          <w:rFonts w:ascii="Palatino Linotype" w:hAnsi="Palatino Linotype" w:cs="Arial"/>
        </w:rPr>
        <w:t>sobreseimiento</w:t>
      </w:r>
      <w:r w:rsidRPr="00500765">
        <w:rPr>
          <w:rFonts w:ascii="Palatino Linotype" w:hAnsi="Palatino Linotype" w:cs="Arial"/>
        </w:rPr>
        <w:t xml:space="preserve"> por actualizarse la </w:t>
      </w:r>
      <w:r>
        <w:rPr>
          <w:rFonts w:ascii="Palatino Linotype" w:hAnsi="Palatino Linotype" w:cs="Arial"/>
        </w:rPr>
        <w:t xml:space="preserve">causal de improcedencia invocada, siendo que ésta </w:t>
      </w:r>
      <w:r w:rsidRPr="00500765">
        <w:rPr>
          <w:rFonts w:ascii="Palatino Linotype" w:hAnsi="Palatino Linotype" w:cs="Arial"/>
        </w:rPr>
        <w:t>no es incompatible con el procedimiento de desahogo de los recursos de revisión en materia de transparencia y acceso a la información y tampoco se opone a lo establecido en la Ley de la materia, es clara la notoria y manifiesta improcedencia del p</w:t>
      </w:r>
      <w:r w:rsidR="007367AB">
        <w:rPr>
          <w:rFonts w:ascii="Palatino Linotype" w:hAnsi="Palatino Linotype" w:cs="Arial"/>
        </w:rPr>
        <w:t xml:space="preserve">resente recurso de revisión, </w:t>
      </w:r>
      <w:r w:rsidR="007367AB" w:rsidRPr="00E848BE">
        <w:rPr>
          <w:rFonts w:ascii="Palatino Linotype" w:eastAsia="MS Mincho" w:hAnsi="Palatino Linotype"/>
          <w:color w:val="000000"/>
        </w:rPr>
        <w:t>toda vez que la afectación al derecho de acceso a la información pública establecida constitucionalmente a favor del recurrente, ha sido resarcida, al ordenar la entrega de la información de acuerdo al precedente ante citado y que ha sido observada por este Órgano Garante</w:t>
      </w:r>
      <w:r w:rsidR="007367AB" w:rsidRPr="00E848BE">
        <w:rPr>
          <w:rFonts w:ascii="Palatino Linotype" w:hAnsi="Palatino Linotype" w:cs="Arial"/>
        </w:rPr>
        <w:t>; máxime que la misma controversia no puede ser decidida más de una vez y tampoco puede estar, simultáneamente, pendiente más de una relación procesal entre las mismas personas acerca del mismo objeto.</w:t>
      </w:r>
    </w:p>
    <w:p w14:paraId="368ACC10" w14:textId="77777777" w:rsidR="007367AB" w:rsidRDefault="007367AB" w:rsidP="007367AB">
      <w:pPr>
        <w:spacing w:before="240" w:after="360" w:line="360" w:lineRule="auto"/>
        <w:jc w:val="both"/>
        <w:rPr>
          <w:rFonts w:ascii="Palatino Linotype" w:hAnsi="Palatino Linotype" w:cs="Arial"/>
        </w:rPr>
      </w:pPr>
      <w:r>
        <w:rPr>
          <w:rFonts w:ascii="Palatino Linotype" w:hAnsi="Palatino Linotype" w:cs="Arial"/>
        </w:rPr>
        <w:t xml:space="preserve">Por consiguiente, y en estricta observancia al contenido de los artículo 192 fracción IV y 195 de la Ley de Transparencia y Acceso a la Información Pública del Estado de México y Municipios, y de manera supletoria el artículo 195 fracción I en relación con el diverso 196 fracción II, ambos del  Código de Procedimientos Administrativos del Estado de México, el presente recurso de revisión se </w:t>
      </w:r>
      <w:r w:rsidRPr="00BE1081">
        <w:rPr>
          <w:rFonts w:ascii="Palatino Linotype" w:hAnsi="Palatino Linotype" w:cs="Arial"/>
          <w:b/>
        </w:rPr>
        <w:t>SOBRESE</w:t>
      </w:r>
      <w:r>
        <w:rPr>
          <w:rFonts w:ascii="Palatino Linotype" w:hAnsi="Palatino Linotype" w:cs="Arial"/>
          <w:b/>
        </w:rPr>
        <w:t>E</w:t>
      </w:r>
      <w:r>
        <w:rPr>
          <w:rFonts w:ascii="Palatino Linotype" w:hAnsi="Palatino Linotype" w:cs="Arial"/>
        </w:rPr>
        <w:t xml:space="preserve"> pues se actualiza lo que prevén los artículos en cita y que son del tenor literal siguiente: </w:t>
      </w:r>
    </w:p>
    <w:p w14:paraId="05C35F7A" w14:textId="77777777" w:rsidR="007367AB" w:rsidRPr="006B15B3" w:rsidRDefault="007367AB" w:rsidP="006B15B3">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6B15B3">
        <w:rPr>
          <w:rFonts w:ascii="Palatino Linotype" w:hAnsi="Palatino Linotype"/>
          <w:b/>
          <w:i/>
          <w:sz w:val="20"/>
          <w:szCs w:val="20"/>
        </w:rPr>
        <w:t>“</w:t>
      </w:r>
      <w:r w:rsidRPr="006B15B3">
        <w:rPr>
          <w:rFonts w:ascii="Palatino Linotype" w:eastAsiaTheme="minorEastAsia" w:hAnsi="Palatino Linotype" w:cs="Bookman Old Style,Bold"/>
          <w:b/>
          <w:bCs/>
          <w:i/>
          <w:sz w:val="20"/>
          <w:szCs w:val="20"/>
          <w:lang w:val="es-MX"/>
        </w:rPr>
        <w:t>Artículo 192.</w:t>
      </w:r>
      <w:r w:rsidRPr="006B15B3">
        <w:rPr>
          <w:rFonts w:ascii="Palatino Linotype" w:eastAsiaTheme="minorEastAsia" w:hAnsi="Palatino Linotype" w:cs="Bookman Old Style,Bold"/>
          <w:bCs/>
          <w:i/>
          <w:sz w:val="20"/>
          <w:szCs w:val="20"/>
          <w:lang w:val="es-MX"/>
        </w:rPr>
        <w:t xml:space="preserve"> </w:t>
      </w:r>
      <w:r w:rsidRPr="006B15B3">
        <w:rPr>
          <w:rFonts w:ascii="Palatino Linotype" w:eastAsiaTheme="minorEastAsia" w:hAnsi="Palatino Linotype" w:cs="Bookman Old Style"/>
          <w:i/>
          <w:sz w:val="20"/>
          <w:szCs w:val="20"/>
          <w:lang w:val="es-MX"/>
        </w:rPr>
        <w:t>El recurso será sobreseído, en todo o en parte, cuando una vez admitido, se actualicen alguno de los siguientes supuestos:</w:t>
      </w:r>
    </w:p>
    <w:p w14:paraId="333280BF" w14:textId="77777777" w:rsidR="007367AB" w:rsidRPr="006B15B3" w:rsidRDefault="007367AB" w:rsidP="006B15B3">
      <w:pPr>
        <w:autoSpaceDE w:val="0"/>
        <w:autoSpaceDN w:val="0"/>
        <w:adjustRightInd w:val="0"/>
        <w:spacing w:after="120"/>
        <w:ind w:left="1134" w:right="900"/>
        <w:rPr>
          <w:rFonts w:ascii="Palatino Linotype" w:eastAsiaTheme="minorEastAsia" w:hAnsi="Palatino Linotype" w:cs="Bookman Old Style"/>
          <w:i/>
          <w:sz w:val="20"/>
          <w:szCs w:val="20"/>
          <w:lang w:val="es-MX"/>
        </w:rPr>
      </w:pPr>
      <w:r w:rsidRPr="006B15B3">
        <w:rPr>
          <w:rFonts w:ascii="Palatino Linotype" w:eastAsiaTheme="minorEastAsia" w:hAnsi="Palatino Linotype" w:cs="Bookman Old Style,Bold"/>
          <w:bCs/>
          <w:i/>
          <w:sz w:val="20"/>
          <w:szCs w:val="20"/>
          <w:lang w:val="es-MX"/>
        </w:rPr>
        <w:t>(…)</w:t>
      </w:r>
    </w:p>
    <w:p w14:paraId="3381E66B" w14:textId="2FBDF045" w:rsidR="007367AB" w:rsidRPr="006B15B3" w:rsidRDefault="007367AB" w:rsidP="006B15B3">
      <w:pPr>
        <w:autoSpaceDE w:val="0"/>
        <w:autoSpaceDN w:val="0"/>
        <w:adjustRightInd w:val="0"/>
        <w:spacing w:after="120"/>
        <w:ind w:left="1134" w:right="900"/>
        <w:jc w:val="both"/>
        <w:rPr>
          <w:rFonts w:ascii="Palatino Linotype" w:hAnsi="Palatino Linotype"/>
          <w:i/>
          <w:sz w:val="20"/>
          <w:szCs w:val="20"/>
        </w:rPr>
      </w:pPr>
      <w:r w:rsidRPr="006B15B3">
        <w:rPr>
          <w:rFonts w:ascii="Palatino Linotype" w:eastAsiaTheme="minorEastAsia" w:hAnsi="Palatino Linotype" w:cs="Bookman Old Style,Bold"/>
          <w:bCs/>
          <w:i/>
          <w:sz w:val="20"/>
          <w:szCs w:val="20"/>
          <w:lang w:val="es-MX"/>
        </w:rPr>
        <w:lastRenderedPageBreak/>
        <w:t xml:space="preserve">IV. </w:t>
      </w:r>
      <w:r w:rsidRPr="006B15B3">
        <w:rPr>
          <w:rFonts w:ascii="Palatino Linotype" w:eastAsiaTheme="minorEastAsia" w:hAnsi="Palatino Linotype" w:cs="Bookman Old Style"/>
          <w:i/>
          <w:sz w:val="20"/>
          <w:szCs w:val="20"/>
          <w:lang w:val="es-MX"/>
        </w:rPr>
        <w:t>Admitido el recurso de revisión, aparezca alguna causal de improcedencia en los términos de la</w:t>
      </w:r>
      <w:r w:rsidR="006B15B3" w:rsidRPr="006B15B3">
        <w:rPr>
          <w:rFonts w:ascii="Palatino Linotype" w:eastAsiaTheme="minorEastAsia" w:hAnsi="Palatino Linotype" w:cs="Bookman Old Style"/>
          <w:i/>
          <w:sz w:val="20"/>
          <w:szCs w:val="20"/>
          <w:lang w:val="es-MX"/>
        </w:rPr>
        <w:t xml:space="preserve"> presente Ley;…</w:t>
      </w:r>
    </w:p>
    <w:p w14:paraId="19717835" w14:textId="05889005" w:rsidR="007367AB" w:rsidRPr="006B15B3" w:rsidRDefault="007367AB" w:rsidP="006B15B3">
      <w:pPr>
        <w:tabs>
          <w:tab w:val="left" w:pos="7938"/>
        </w:tabs>
        <w:spacing w:after="120"/>
        <w:ind w:left="851" w:right="851"/>
        <w:jc w:val="both"/>
        <w:rPr>
          <w:rFonts w:ascii="Palatino Linotype" w:hAnsi="Palatino Linotype" w:cs="Arial"/>
          <w:i/>
          <w:sz w:val="20"/>
          <w:szCs w:val="20"/>
        </w:rPr>
      </w:pPr>
      <w:r w:rsidRPr="006B15B3">
        <w:rPr>
          <w:rFonts w:ascii="Palatino Linotype" w:hAnsi="Palatino Linotype"/>
          <w:b/>
          <w:i/>
          <w:sz w:val="20"/>
          <w:szCs w:val="20"/>
        </w:rPr>
        <w:t>Artículo 195.-</w:t>
      </w:r>
      <w:r w:rsidRPr="006B15B3">
        <w:rPr>
          <w:rFonts w:ascii="Palatino Linotype" w:hAnsi="Palatino Linotype"/>
          <w:i/>
          <w:sz w:val="20"/>
          <w:szCs w:val="20"/>
        </w:rPr>
        <w:t xml:space="preserve"> Es improcedente el recurso:</w:t>
      </w:r>
      <w:r w:rsidRPr="006B15B3">
        <w:rPr>
          <w:rFonts w:ascii="Palatino Linotype" w:hAnsi="Palatino Linotype" w:cs="Arial"/>
          <w:i/>
          <w:sz w:val="20"/>
          <w:szCs w:val="20"/>
        </w:rPr>
        <w:t xml:space="preserve"> </w:t>
      </w:r>
    </w:p>
    <w:p w14:paraId="311D3ADC" w14:textId="0291FAAB" w:rsidR="007367AB" w:rsidRPr="006B15B3" w:rsidRDefault="007367AB" w:rsidP="006B15B3">
      <w:pPr>
        <w:tabs>
          <w:tab w:val="left" w:pos="7938"/>
        </w:tabs>
        <w:spacing w:after="120"/>
        <w:ind w:left="1134" w:right="851"/>
        <w:jc w:val="both"/>
        <w:rPr>
          <w:rFonts w:ascii="Palatino Linotype" w:hAnsi="Palatino Linotype" w:cs="Arial"/>
          <w:i/>
          <w:sz w:val="20"/>
          <w:szCs w:val="20"/>
        </w:rPr>
      </w:pPr>
      <w:r w:rsidRPr="006B15B3">
        <w:rPr>
          <w:rFonts w:ascii="Palatino Linotype" w:hAnsi="Palatino Linotype"/>
          <w:i/>
          <w:sz w:val="20"/>
          <w:szCs w:val="20"/>
        </w:rPr>
        <w:t>I. Contra actos que hayan sido impugnados en un anterior recurso administrativo o en un proceso jurisdiccional, siempre que exista resolución ejecutoria que decida el asunto planteado;</w:t>
      </w:r>
      <w:r w:rsidR="006B15B3" w:rsidRPr="006B15B3">
        <w:rPr>
          <w:rFonts w:ascii="Palatino Linotype" w:hAnsi="Palatino Linotype"/>
          <w:i/>
          <w:sz w:val="20"/>
          <w:szCs w:val="20"/>
        </w:rPr>
        <w:t>…</w:t>
      </w:r>
    </w:p>
    <w:p w14:paraId="4967C6D7" w14:textId="6C2744B3" w:rsidR="007367AB" w:rsidRPr="006B15B3" w:rsidRDefault="007367AB" w:rsidP="006B15B3">
      <w:pPr>
        <w:tabs>
          <w:tab w:val="left" w:pos="7938"/>
        </w:tabs>
        <w:spacing w:after="120"/>
        <w:ind w:left="851" w:right="851"/>
        <w:jc w:val="both"/>
        <w:rPr>
          <w:rFonts w:ascii="Palatino Linotype" w:hAnsi="Palatino Linotype" w:cs="Arial"/>
          <w:i/>
          <w:sz w:val="20"/>
          <w:szCs w:val="20"/>
        </w:rPr>
      </w:pPr>
      <w:r w:rsidRPr="006B15B3">
        <w:rPr>
          <w:rFonts w:ascii="Palatino Linotype" w:hAnsi="Palatino Linotype" w:cs="Arial"/>
          <w:b/>
          <w:i/>
          <w:sz w:val="20"/>
          <w:szCs w:val="20"/>
        </w:rPr>
        <w:t xml:space="preserve">Artículo 196.- </w:t>
      </w:r>
      <w:r w:rsidRPr="006B15B3">
        <w:rPr>
          <w:rFonts w:ascii="Palatino Linotype" w:hAnsi="Palatino Linotype" w:cs="Arial"/>
          <w:i/>
          <w:sz w:val="20"/>
          <w:szCs w:val="20"/>
        </w:rPr>
        <w:t>Será sobreseído el recurso cuando:</w:t>
      </w:r>
    </w:p>
    <w:p w14:paraId="2D43F36F" w14:textId="77777777" w:rsidR="007367AB" w:rsidRPr="006B15B3" w:rsidRDefault="007367AB" w:rsidP="006B15B3">
      <w:pPr>
        <w:tabs>
          <w:tab w:val="left" w:pos="7938"/>
        </w:tabs>
        <w:spacing w:after="120"/>
        <w:ind w:left="1134" w:right="851"/>
        <w:jc w:val="both"/>
        <w:rPr>
          <w:rFonts w:ascii="Palatino Linotype" w:hAnsi="Palatino Linotype" w:cs="Arial"/>
          <w:i/>
          <w:sz w:val="20"/>
          <w:szCs w:val="20"/>
        </w:rPr>
      </w:pPr>
      <w:r w:rsidRPr="006B15B3">
        <w:rPr>
          <w:rFonts w:ascii="Palatino Linotype" w:hAnsi="Palatino Linotype" w:cs="Arial"/>
          <w:i/>
          <w:sz w:val="20"/>
          <w:szCs w:val="20"/>
        </w:rPr>
        <w:t>(…)</w:t>
      </w:r>
    </w:p>
    <w:p w14:paraId="22DEAE2F" w14:textId="77777777" w:rsidR="007367AB" w:rsidRPr="006B15B3" w:rsidRDefault="007367AB" w:rsidP="006B15B3">
      <w:pPr>
        <w:tabs>
          <w:tab w:val="left" w:pos="7938"/>
        </w:tabs>
        <w:spacing w:after="120"/>
        <w:ind w:left="1134" w:right="851"/>
        <w:jc w:val="both"/>
        <w:rPr>
          <w:rFonts w:ascii="Palatino Linotype" w:hAnsi="Palatino Linotype" w:cs="Arial"/>
          <w:i/>
          <w:sz w:val="20"/>
          <w:szCs w:val="20"/>
        </w:rPr>
      </w:pPr>
      <w:r w:rsidRPr="006B15B3">
        <w:rPr>
          <w:rFonts w:ascii="Palatino Linotype" w:hAnsi="Palatino Linotype" w:cs="Arial"/>
          <w:i/>
          <w:sz w:val="20"/>
          <w:szCs w:val="20"/>
        </w:rPr>
        <w:t>II. Durante el procedimiento apareciere o sobreviniere alguna de las causas de improcedencia del recurso;…”</w:t>
      </w:r>
    </w:p>
    <w:p w14:paraId="03442112" w14:textId="77777777" w:rsidR="008A2587" w:rsidRPr="0040233B" w:rsidRDefault="008A2587" w:rsidP="008A2587">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181, 185</w:t>
      </w:r>
      <w:r>
        <w:rPr>
          <w:rFonts w:ascii="Palatino Linotype" w:hAnsi="Palatino Linotype" w:cs="Arial"/>
          <w:lang w:eastAsia="es-MX"/>
        </w:rPr>
        <w:t>, 186, 192 y demás relativos y aplicables</w:t>
      </w:r>
      <w:r w:rsidRPr="0040233B">
        <w:rPr>
          <w:rFonts w:ascii="Palatino Linotype" w:hAnsi="Palatino Linotype" w:cs="Arial"/>
          <w:lang w:eastAsia="es-MX"/>
        </w:rPr>
        <w:t xml:space="preserve"> de la Ley de Transparencia y Acceso a la Información Pública del Estado de México y Municipios, este Pleno:</w:t>
      </w:r>
    </w:p>
    <w:p w14:paraId="65C5198A" w14:textId="77777777" w:rsidR="00516E6A" w:rsidRPr="0040233B"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40233B" w:rsidRDefault="00623EA3" w:rsidP="00623EA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0A5853F" w14:textId="290D2E0D" w:rsidR="00E72928" w:rsidRPr="00F17174" w:rsidRDefault="00E72928" w:rsidP="00E72928">
      <w:pPr>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00F17174" w:rsidRPr="00F17174">
        <w:rPr>
          <w:rFonts w:ascii="Palatino Linotype" w:hAnsi="Palatino Linotype" w:cs="Arial"/>
        </w:rPr>
        <w:t xml:space="preserve">Estese a lo dispuesto en el recurso de revisión </w:t>
      </w:r>
      <w:r w:rsidR="00F17174" w:rsidRPr="00F17174">
        <w:rPr>
          <w:rFonts w:ascii="Palatino Linotype" w:hAnsi="Palatino Linotype" w:cs="Arial"/>
          <w:b/>
        </w:rPr>
        <w:t>00979/INFOEM/IP/RR/2018</w:t>
      </w:r>
      <w:r w:rsidR="00F17174" w:rsidRPr="00F17174">
        <w:rPr>
          <w:rFonts w:ascii="Palatino Linotype" w:hAnsi="Palatino Linotype" w:cs="Arial"/>
        </w:rPr>
        <w:t xml:space="preserve">, por lo tanto se </w:t>
      </w:r>
      <w:r w:rsidR="00F17174" w:rsidRPr="00F17174">
        <w:rPr>
          <w:rFonts w:ascii="Palatino Linotype" w:hAnsi="Palatino Linotype" w:cs="Arial"/>
          <w:b/>
        </w:rPr>
        <w:t xml:space="preserve">SOBRESEE </w:t>
      </w:r>
      <w:r w:rsidR="00F17174" w:rsidRPr="00F17174">
        <w:rPr>
          <w:rFonts w:ascii="Palatino Linotype" w:hAnsi="Palatino Linotype" w:cs="Arial"/>
        </w:rPr>
        <w:t xml:space="preserve">el recurso de revisión </w:t>
      </w:r>
      <w:r w:rsidR="00F17174" w:rsidRPr="00F17174">
        <w:rPr>
          <w:rFonts w:ascii="Palatino Linotype" w:eastAsiaTheme="minorEastAsia" w:hAnsi="Palatino Linotype" w:cs="Arial"/>
          <w:b/>
          <w:bCs/>
          <w:lang w:val="es-MX"/>
        </w:rPr>
        <w:t xml:space="preserve">03684/INFOEM/IP/RR/2018 </w:t>
      </w:r>
      <w:r w:rsidR="00F17174" w:rsidRPr="00F17174">
        <w:rPr>
          <w:rFonts w:ascii="Palatino Linotype" w:eastAsiaTheme="minorEastAsia" w:hAnsi="Palatino Linotype" w:cs="Arial"/>
          <w:bCs/>
          <w:lang w:val="es-MX"/>
        </w:rPr>
        <w:t xml:space="preserve">por improcedente, en </w:t>
      </w:r>
      <w:r w:rsidRPr="00F17174">
        <w:rPr>
          <w:rFonts w:ascii="Palatino Linotype" w:hAnsi="Palatino Linotype" w:cs="Arial"/>
        </w:rPr>
        <w:t xml:space="preserve">términos del considerando </w:t>
      </w:r>
      <w:r w:rsidRPr="00F17174">
        <w:rPr>
          <w:rFonts w:ascii="Palatino Linotype" w:hAnsi="Palatino Linotype"/>
        </w:rPr>
        <w:t>TERCERO</w:t>
      </w:r>
      <w:r w:rsidRPr="00F17174">
        <w:rPr>
          <w:rFonts w:ascii="Palatino Linotype" w:hAnsi="Palatino Linotype" w:cs="Arial"/>
        </w:rPr>
        <w:t xml:space="preserve"> de la presente resolución.</w:t>
      </w:r>
    </w:p>
    <w:p w14:paraId="0F918B3A" w14:textId="77777777" w:rsidR="00E72928" w:rsidRPr="00FD6B5E" w:rsidRDefault="00E72928" w:rsidP="00E72928">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sz w:val="28"/>
          <w:szCs w:val="28"/>
          <w:lang w:val="es-MX" w:eastAsia="es-MX"/>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0162E97A" w14:textId="5ED4AF73" w:rsidR="00982117" w:rsidRDefault="00E72928" w:rsidP="00982117">
      <w:pPr>
        <w:autoSpaceDE w:val="0"/>
        <w:autoSpaceDN w:val="0"/>
        <w:adjustRightInd w:val="0"/>
        <w:spacing w:before="240" w:after="240" w:line="360" w:lineRule="auto"/>
        <w:jc w:val="both"/>
        <w:rPr>
          <w:rFonts w:ascii="Palatino Linotype" w:hAnsi="Palatino Linotype" w:cs="Arial"/>
          <w:lang w:val="es-MX" w:eastAsia="es-MX"/>
        </w:rPr>
      </w:pPr>
      <w:r w:rsidRPr="00A234AD">
        <w:rPr>
          <w:rFonts w:ascii="Palatino Linotype" w:hAnsi="Palatino Linotype" w:cs="Arial"/>
          <w:b/>
          <w:sz w:val="28"/>
          <w:szCs w:val="28"/>
        </w:rPr>
        <w:lastRenderedPageBreak/>
        <w:t>TERCERO.</w:t>
      </w:r>
      <w:r>
        <w:rPr>
          <w:rFonts w:ascii="Palatino Linotype" w:hAnsi="Palatino Linotype" w:cs="Arial"/>
          <w:b/>
        </w:rPr>
        <w:t xml:space="preserve"> </w:t>
      </w:r>
      <w:r w:rsidR="00982117" w:rsidRPr="00DD0FEA">
        <w:rPr>
          <w:rFonts w:ascii="Palatino Linotype" w:hAnsi="Palatino Linotype" w:cs="Arial"/>
          <w:b/>
          <w:lang w:val="es-MX" w:eastAsia="es-MX"/>
        </w:rPr>
        <w:t>Notifíquese</w:t>
      </w:r>
      <w:r w:rsidR="00982117">
        <w:rPr>
          <w:rFonts w:ascii="Palatino Linotype" w:hAnsi="Palatino Linotype" w:cs="Arial"/>
          <w:b/>
          <w:lang w:val="es-MX" w:eastAsia="es-MX"/>
        </w:rPr>
        <w:t>,</w:t>
      </w:r>
      <w:r w:rsidR="00982117" w:rsidRPr="00DD0FEA">
        <w:rPr>
          <w:rFonts w:ascii="Palatino Linotype" w:hAnsi="Palatino Linotype" w:cs="Arial"/>
          <w:b/>
          <w:lang w:val="es-MX" w:eastAsia="es-MX"/>
        </w:rPr>
        <w:t xml:space="preserve"> </w:t>
      </w:r>
      <w:r w:rsidR="00982117">
        <w:rPr>
          <w:rFonts w:ascii="Palatino Linotype" w:hAnsi="Palatino Linotype" w:cs="Arial"/>
        </w:rPr>
        <w:t xml:space="preserve">la presente resolución </w:t>
      </w:r>
      <w:r w:rsidR="00982117" w:rsidRPr="00363018">
        <w:rPr>
          <w:rFonts w:ascii="Palatino Linotype" w:hAnsi="Palatino Linotype" w:cs="Arial"/>
        </w:rPr>
        <w:t>al Recurrente</w:t>
      </w:r>
      <w:r w:rsidR="00982117" w:rsidRPr="002E35AF">
        <w:rPr>
          <w:rFonts w:ascii="Palatino Linotype" w:hAnsi="Palatino Linotype" w:cs="Arial"/>
          <w:b/>
        </w:rPr>
        <w:t xml:space="preserve"> </w:t>
      </w:r>
      <w:r w:rsidR="00982117" w:rsidRPr="002E35AF">
        <w:rPr>
          <w:rFonts w:ascii="Palatino Linotype" w:hAnsi="Palatino Linotype" w:cs="Arial"/>
        </w:rPr>
        <w:t>y hágase de su conocimiento que en caso de considerar que le causa algún perjuicio</w:t>
      </w:r>
      <w:r w:rsidR="00982117" w:rsidRPr="00DD0FEA">
        <w:rPr>
          <w:rFonts w:ascii="Palatino Linotype" w:hAnsi="Palatino Linotype" w:cs="Arial"/>
          <w:lang w:val="es-MX" w:eastAsia="es-MX"/>
        </w:rPr>
        <w:t xml:space="preserve">, podrá impugnarla vía Juicio de Amparo en los términos de las leyes aplicables, de conformidad con lo establecido en el artículo 196 de la Ley de Transparencia y Acceso a la Información Pública del Estado de México y Municipios. </w:t>
      </w:r>
    </w:p>
    <w:p w14:paraId="73015D1A" w14:textId="4C6B0E28" w:rsidR="008E7698" w:rsidRPr="0040233B" w:rsidRDefault="00026D94" w:rsidP="00982117">
      <w:pPr>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F1449C" w:rsidRPr="0040233B">
        <w:rPr>
          <w:rFonts w:ascii="Palatino Linotype" w:hAnsi="Palatino Linotype" w:cs="Arial"/>
        </w:rPr>
        <w:t>ZULEMA MARTÍNEZ SÁNCHEZ</w:t>
      </w:r>
      <w:r w:rsidRPr="0040233B">
        <w:rPr>
          <w:rFonts w:ascii="Palatino Linotype" w:hAnsi="Palatino Linotype" w:cs="Arial"/>
        </w:rPr>
        <w:t>; EVA ABAID YAPUR</w:t>
      </w:r>
      <w:r w:rsidR="00750D2D">
        <w:rPr>
          <w:rFonts w:ascii="Palatino Linotype" w:hAnsi="Palatino Linotype" w:cs="Arial"/>
        </w:rPr>
        <w:t xml:space="preserve"> CON VOTO PARTICULAR</w:t>
      </w:r>
      <w:r w:rsidRPr="0040233B">
        <w:rPr>
          <w:rFonts w:ascii="Palatino Linotype" w:hAnsi="Palatino Linotype" w:cs="Arial"/>
        </w:rPr>
        <w:t>; JOSÉ GUADALUPE LUNA HERNÁNDEZ</w:t>
      </w:r>
      <w:r w:rsidR="00B3259B">
        <w:rPr>
          <w:rFonts w:ascii="Palatino Linotype" w:hAnsi="Palatino Linotype" w:cs="Arial"/>
        </w:rPr>
        <w:t xml:space="preserve">; </w:t>
      </w:r>
      <w:r w:rsidRPr="0040233B">
        <w:rPr>
          <w:rFonts w:ascii="Palatino Linotype" w:hAnsi="Palatino Linotype" w:cs="Arial"/>
        </w:rPr>
        <w:t>JAVIER MARTÍNEZ CRUZ</w:t>
      </w:r>
      <w:r w:rsidR="00B3259B">
        <w:rPr>
          <w:rFonts w:ascii="Palatino Linotype" w:hAnsi="Palatino Linotype" w:cs="Arial"/>
        </w:rPr>
        <w:t xml:space="preserve"> Y LUIS GUSTAVO PARRA NORIEGA</w:t>
      </w:r>
      <w:r w:rsidRPr="0040233B">
        <w:rPr>
          <w:rFonts w:ascii="Palatino Linotype" w:hAnsi="Palatino Linotype" w:cs="Arial"/>
        </w:rPr>
        <w:t xml:space="preserve">; EN </w:t>
      </w:r>
      <w:r w:rsidR="00130216" w:rsidRPr="0040233B">
        <w:rPr>
          <w:rFonts w:ascii="Palatino Linotype" w:hAnsi="Palatino Linotype" w:cs="Arial"/>
        </w:rPr>
        <w:t xml:space="preserve">LA </w:t>
      </w:r>
      <w:r w:rsidR="00B3259B">
        <w:rPr>
          <w:rFonts w:ascii="Palatino Linotype" w:hAnsi="Palatino Linotype" w:cs="Arial"/>
        </w:rPr>
        <w:t>CUADRAGÉSIMA TERCERA</w:t>
      </w:r>
      <w:r w:rsidR="00750D2D">
        <w:rPr>
          <w:rFonts w:ascii="Palatino Linotype" w:hAnsi="Palatino Linotype" w:cs="Arial"/>
        </w:rPr>
        <w:t xml:space="preserve"> </w:t>
      </w:r>
      <w:r w:rsidRPr="0040233B">
        <w:rPr>
          <w:rFonts w:ascii="Palatino Linotype" w:hAnsi="Palatino Linotype" w:cs="Arial"/>
        </w:rPr>
        <w:t xml:space="preserve">SESIÓN ORDINARIA CELEBRADA EL </w:t>
      </w:r>
      <w:r w:rsidR="00B3259B">
        <w:rPr>
          <w:rFonts w:ascii="Palatino Linotype" w:hAnsi="Palatino Linotype" w:cs="Arial"/>
        </w:rPr>
        <w:t>VEINTIDÓS DE NOVIEMBRE</w:t>
      </w:r>
      <w:r w:rsidRPr="0040233B">
        <w:rPr>
          <w:rFonts w:ascii="Palatino Linotype" w:hAnsi="Palatino Linotype" w:cs="Arial"/>
        </w:rPr>
        <w:t xml:space="preserve"> DEL DOS MIL </w:t>
      </w:r>
      <w:r w:rsidR="003C4F18">
        <w:rPr>
          <w:rFonts w:ascii="Palatino Linotype" w:hAnsi="Palatino Linotype" w:cs="Arial"/>
        </w:rPr>
        <w:t>DIECIOCHO</w:t>
      </w:r>
      <w:r w:rsidRPr="0040233B">
        <w:rPr>
          <w:rFonts w:ascii="Palatino Linotype" w:hAnsi="Palatino Linotype" w:cs="Arial"/>
        </w:rPr>
        <w:t xml:space="preserve">, ANTE </w:t>
      </w:r>
      <w:r w:rsidR="00F1449C">
        <w:rPr>
          <w:rFonts w:ascii="Palatino Linotype" w:hAnsi="Palatino Linotype" w:cs="Arial"/>
        </w:rPr>
        <w:t>EL</w:t>
      </w:r>
      <w:r w:rsidRPr="0040233B">
        <w:rPr>
          <w:rFonts w:ascii="Palatino Linotype" w:hAnsi="Palatino Linotype" w:cs="Arial"/>
        </w:rPr>
        <w:t xml:space="preserve"> SECRETARI</w:t>
      </w:r>
      <w:r w:rsidR="00F1449C">
        <w:rPr>
          <w:rFonts w:ascii="Palatino Linotype" w:hAnsi="Palatino Linotype" w:cs="Arial"/>
        </w:rPr>
        <w:t>O</w:t>
      </w:r>
      <w:r w:rsidRPr="0040233B">
        <w:rPr>
          <w:rFonts w:ascii="Palatino Linotype" w:hAnsi="Palatino Linotype" w:cs="Arial"/>
        </w:rPr>
        <w:t xml:space="preserve"> TÉCNIC</w:t>
      </w:r>
      <w:r w:rsidR="00F1449C">
        <w:rPr>
          <w:rFonts w:ascii="Palatino Linotype" w:hAnsi="Palatino Linotype" w:cs="Arial"/>
        </w:rPr>
        <w:t>O</w:t>
      </w:r>
      <w:r w:rsidRPr="0040233B">
        <w:rPr>
          <w:rFonts w:ascii="Palatino Linotype" w:hAnsi="Palatino Linotype" w:cs="Arial"/>
        </w:rPr>
        <w:t xml:space="preserve"> DEL PLENO, </w:t>
      </w:r>
      <w:r w:rsidR="00F1449C">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C84DCBF" w14:textId="77777777" w:rsidR="00516E6A" w:rsidRPr="0040233B" w:rsidRDefault="00516E6A" w:rsidP="00BD6BED">
            <w:pPr>
              <w:jc w:val="center"/>
              <w:rPr>
                <w:rFonts w:ascii="Palatino Linotype" w:hAnsi="Palatino Linotype" w:cs="Arial"/>
              </w:rPr>
            </w:pPr>
            <w:r w:rsidRPr="0040233B">
              <w:rPr>
                <w:rFonts w:ascii="Palatino Linotype" w:hAnsi="Palatino Linotype" w:cs="Arial"/>
              </w:rPr>
              <w:br w:type="page"/>
            </w:r>
          </w:p>
          <w:p w14:paraId="70156227" w14:textId="77777777" w:rsidR="00516E6A" w:rsidRPr="0040233B" w:rsidRDefault="00516E6A" w:rsidP="00BD6BED">
            <w:pPr>
              <w:jc w:val="center"/>
              <w:rPr>
                <w:rFonts w:ascii="Palatino Linotype" w:hAnsi="Palatino Linotype" w:cs="Arial"/>
              </w:rPr>
            </w:pPr>
          </w:p>
          <w:p w14:paraId="7F63590A" w14:textId="77777777" w:rsidR="00516E6A" w:rsidRPr="0040233B" w:rsidRDefault="00516E6A" w:rsidP="00BD6BED">
            <w:pPr>
              <w:jc w:val="center"/>
              <w:rPr>
                <w:rFonts w:ascii="Palatino Linotype" w:hAnsi="Palatino Linotype" w:cs="Arial"/>
              </w:rPr>
            </w:pPr>
          </w:p>
          <w:p w14:paraId="215BE3F9" w14:textId="77777777" w:rsidR="00516E6A" w:rsidRPr="0040233B" w:rsidRDefault="00516E6A" w:rsidP="00BD6BED">
            <w:pPr>
              <w:jc w:val="center"/>
              <w:rPr>
                <w:rFonts w:ascii="Palatino Linotype" w:hAnsi="Palatino Linotype" w:cs="Arial"/>
              </w:rPr>
            </w:pPr>
          </w:p>
          <w:p w14:paraId="5D458D5D" w14:textId="77777777" w:rsidR="00516E6A" w:rsidRPr="0040233B" w:rsidRDefault="00516E6A" w:rsidP="00BD6BED">
            <w:pPr>
              <w:jc w:val="center"/>
              <w:rPr>
                <w:rFonts w:ascii="Palatino Linotype" w:hAnsi="Palatino Linotype" w:cs="Arial"/>
              </w:rPr>
            </w:pPr>
          </w:p>
          <w:p w14:paraId="773CFC07" w14:textId="77777777" w:rsidR="00F1449C" w:rsidRPr="0040233B" w:rsidRDefault="00F1449C" w:rsidP="00F1449C">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1581544D" w:rsidR="00516E6A" w:rsidRPr="0040233B" w:rsidRDefault="00F1449C" w:rsidP="00647094">
            <w:pPr>
              <w:jc w:val="center"/>
              <w:rPr>
                <w:rFonts w:ascii="Palatino Linotype" w:hAnsi="Palatino Linotype"/>
              </w:rPr>
            </w:pPr>
            <w:r>
              <w:rPr>
                <w:rFonts w:ascii="Palatino Linotype" w:hAnsi="Palatino Linotype"/>
              </w:rPr>
              <w:t>(Rúbrica)</w:t>
            </w:r>
          </w:p>
        </w:tc>
      </w:tr>
      <w:tr w:rsidR="0040233B" w:rsidRPr="0040233B" w14:paraId="744B8DB9" w14:textId="77777777" w:rsidTr="00BD6BED">
        <w:trPr>
          <w:trHeight w:val="2063"/>
          <w:jc w:val="center"/>
        </w:trPr>
        <w:tc>
          <w:tcPr>
            <w:tcW w:w="3874" w:type="dxa"/>
            <w:vAlign w:val="center"/>
          </w:tcPr>
          <w:p w14:paraId="4C38BFDE" w14:textId="77777777" w:rsidR="00516E6A" w:rsidRDefault="00516E6A" w:rsidP="00BD6BED">
            <w:pPr>
              <w:jc w:val="center"/>
              <w:rPr>
                <w:rFonts w:ascii="Palatino Linotype" w:hAnsi="Palatino Linotype"/>
                <w:b/>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18468AE5" w:rsidR="00516E6A" w:rsidRPr="0040233B" w:rsidRDefault="00F1449C" w:rsidP="00BD6BED">
            <w:pPr>
              <w:jc w:val="center"/>
              <w:rPr>
                <w:rFonts w:ascii="Palatino Linotype" w:hAnsi="Palatino Linotype"/>
              </w:rPr>
            </w:pPr>
            <w:r>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2EDAAFF1" w14:textId="77777777" w:rsidR="00A900E2" w:rsidRDefault="00A900E2" w:rsidP="00BD6BED">
            <w:pPr>
              <w:jc w:val="center"/>
              <w:rPr>
                <w:rFonts w:ascii="Palatino Linotype" w:hAnsi="Palatino Linotype"/>
                <w:b/>
                <w:sz w:val="28"/>
                <w:szCs w:val="28"/>
              </w:rPr>
            </w:pPr>
          </w:p>
          <w:p w14:paraId="4DCB3005" w14:textId="77777777" w:rsidR="009E0E68" w:rsidRDefault="009E0E68"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423D24D5" w14:textId="654B447D" w:rsidR="00516E6A" w:rsidRPr="0040233B" w:rsidRDefault="00F1449C" w:rsidP="00BD6BED">
            <w:pPr>
              <w:jc w:val="center"/>
              <w:rPr>
                <w:rFonts w:ascii="Palatino Linotype" w:hAnsi="Palatino Linotype"/>
              </w:rPr>
            </w:pPr>
            <w:r>
              <w:rPr>
                <w:rFonts w:ascii="Palatino Linotype" w:hAnsi="Palatino Linotype"/>
              </w:rPr>
              <w:t>(Rúbrica)</w:t>
            </w: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B3259B" w:rsidRPr="0040233B" w14:paraId="490AA220" w14:textId="77777777" w:rsidTr="00BD6BED">
        <w:trPr>
          <w:trHeight w:val="2063"/>
          <w:jc w:val="center"/>
        </w:trPr>
        <w:tc>
          <w:tcPr>
            <w:tcW w:w="3874" w:type="dxa"/>
            <w:vAlign w:val="center"/>
          </w:tcPr>
          <w:p w14:paraId="21423CD1" w14:textId="77777777" w:rsidR="00B3259B" w:rsidRDefault="00B3259B" w:rsidP="00B3259B">
            <w:pPr>
              <w:jc w:val="center"/>
              <w:rPr>
                <w:rFonts w:ascii="Palatino Linotype" w:hAnsi="Palatino Linotype"/>
                <w:b/>
                <w:sz w:val="28"/>
                <w:szCs w:val="28"/>
              </w:rPr>
            </w:pPr>
          </w:p>
          <w:p w14:paraId="0523E230" w14:textId="77777777" w:rsidR="00B3259B" w:rsidRDefault="00B3259B" w:rsidP="00B3259B">
            <w:pPr>
              <w:jc w:val="center"/>
              <w:rPr>
                <w:rFonts w:ascii="Palatino Linotype" w:hAnsi="Palatino Linotype"/>
                <w:b/>
                <w:sz w:val="28"/>
                <w:szCs w:val="28"/>
              </w:rPr>
            </w:pPr>
          </w:p>
          <w:p w14:paraId="4CA9111F" w14:textId="77777777" w:rsidR="00B3259B" w:rsidRDefault="00B3259B" w:rsidP="00B3259B">
            <w:pPr>
              <w:jc w:val="center"/>
              <w:rPr>
                <w:rFonts w:ascii="Palatino Linotype" w:hAnsi="Palatino Linotype"/>
                <w:b/>
                <w:sz w:val="28"/>
                <w:szCs w:val="28"/>
              </w:rPr>
            </w:pPr>
          </w:p>
          <w:p w14:paraId="0D02A942" w14:textId="77777777" w:rsidR="00B3259B" w:rsidRDefault="00B3259B" w:rsidP="00B3259B">
            <w:pPr>
              <w:jc w:val="center"/>
              <w:rPr>
                <w:rFonts w:ascii="Palatino Linotype" w:hAnsi="Palatino Linotype"/>
                <w:b/>
                <w:sz w:val="28"/>
                <w:szCs w:val="28"/>
              </w:rPr>
            </w:pPr>
          </w:p>
          <w:p w14:paraId="73884BAB" w14:textId="77777777" w:rsidR="00B3259B" w:rsidRPr="0040233B" w:rsidRDefault="00B3259B" w:rsidP="00B3259B">
            <w:pPr>
              <w:jc w:val="center"/>
              <w:rPr>
                <w:rFonts w:ascii="Palatino Linotype" w:hAnsi="Palatino Linotype"/>
                <w:b/>
                <w:sz w:val="28"/>
                <w:szCs w:val="28"/>
              </w:rPr>
            </w:pPr>
            <w:r w:rsidRPr="0040233B">
              <w:rPr>
                <w:rFonts w:ascii="Palatino Linotype" w:hAnsi="Palatino Linotype"/>
                <w:b/>
                <w:sz w:val="28"/>
                <w:szCs w:val="28"/>
              </w:rPr>
              <w:t>Javier Martínez Cruz</w:t>
            </w:r>
          </w:p>
          <w:p w14:paraId="4ECBD67B" w14:textId="77777777" w:rsidR="00B3259B" w:rsidRPr="0040233B" w:rsidRDefault="00B3259B" w:rsidP="00B3259B">
            <w:pPr>
              <w:jc w:val="center"/>
              <w:rPr>
                <w:rFonts w:ascii="Palatino Linotype" w:hAnsi="Palatino Linotype"/>
              </w:rPr>
            </w:pPr>
            <w:r w:rsidRPr="0040233B">
              <w:rPr>
                <w:rFonts w:ascii="Palatino Linotype" w:hAnsi="Palatino Linotype"/>
              </w:rPr>
              <w:t>Comisionado</w:t>
            </w:r>
          </w:p>
          <w:p w14:paraId="7CF01428" w14:textId="77777777" w:rsidR="00B3259B" w:rsidRDefault="00B3259B" w:rsidP="00B3259B">
            <w:pPr>
              <w:jc w:val="center"/>
              <w:rPr>
                <w:rFonts w:ascii="Palatino Linotype" w:hAnsi="Palatino Linotype"/>
                <w:b/>
                <w:sz w:val="28"/>
                <w:szCs w:val="28"/>
              </w:rPr>
            </w:pPr>
            <w:r>
              <w:rPr>
                <w:rFonts w:ascii="Palatino Linotype" w:hAnsi="Palatino Linotype"/>
              </w:rPr>
              <w:t>(Rúbrica)</w:t>
            </w:r>
          </w:p>
          <w:p w14:paraId="0989FB52" w14:textId="77777777" w:rsidR="00B3259B" w:rsidRDefault="00B3259B" w:rsidP="00BD6BED">
            <w:pPr>
              <w:jc w:val="center"/>
              <w:rPr>
                <w:rFonts w:ascii="Palatino Linotype" w:hAnsi="Palatino Linotype"/>
                <w:b/>
              </w:rPr>
            </w:pPr>
          </w:p>
        </w:tc>
        <w:tc>
          <w:tcPr>
            <w:tcW w:w="4490" w:type="dxa"/>
            <w:vAlign w:val="center"/>
          </w:tcPr>
          <w:p w14:paraId="3A23F808" w14:textId="77777777" w:rsidR="00B3259B" w:rsidRDefault="00B3259B" w:rsidP="00BD6BED">
            <w:pPr>
              <w:jc w:val="center"/>
              <w:rPr>
                <w:rFonts w:ascii="Palatino Linotype" w:hAnsi="Palatino Linotype"/>
                <w:b/>
              </w:rPr>
            </w:pPr>
          </w:p>
          <w:p w14:paraId="33B672A2" w14:textId="77777777" w:rsidR="00B3259B" w:rsidRDefault="00B3259B" w:rsidP="00B3259B">
            <w:pPr>
              <w:jc w:val="center"/>
              <w:rPr>
                <w:rFonts w:ascii="Palatino Linotype" w:hAnsi="Palatino Linotype"/>
                <w:b/>
                <w:sz w:val="28"/>
                <w:szCs w:val="28"/>
              </w:rPr>
            </w:pPr>
          </w:p>
          <w:p w14:paraId="795870E9" w14:textId="77777777" w:rsidR="00B3259B" w:rsidRDefault="00B3259B" w:rsidP="00B3259B">
            <w:pPr>
              <w:jc w:val="center"/>
              <w:rPr>
                <w:rFonts w:ascii="Palatino Linotype" w:hAnsi="Palatino Linotype"/>
                <w:b/>
                <w:sz w:val="28"/>
                <w:szCs w:val="28"/>
              </w:rPr>
            </w:pPr>
          </w:p>
          <w:p w14:paraId="50F0A676" w14:textId="77777777" w:rsidR="00B3259B" w:rsidRDefault="00B3259B" w:rsidP="00B3259B">
            <w:pPr>
              <w:jc w:val="center"/>
              <w:rPr>
                <w:rFonts w:ascii="Palatino Linotype" w:hAnsi="Palatino Linotype"/>
                <w:b/>
                <w:sz w:val="28"/>
                <w:szCs w:val="28"/>
              </w:rPr>
            </w:pPr>
          </w:p>
          <w:p w14:paraId="10EF2772" w14:textId="2F7A629B" w:rsidR="00B3259B" w:rsidRPr="0040233B" w:rsidRDefault="00B3259B" w:rsidP="00B3259B">
            <w:pPr>
              <w:jc w:val="center"/>
              <w:rPr>
                <w:rFonts w:ascii="Palatino Linotype" w:hAnsi="Palatino Linotype"/>
                <w:b/>
                <w:sz w:val="28"/>
                <w:szCs w:val="28"/>
              </w:rPr>
            </w:pPr>
            <w:r>
              <w:rPr>
                <w:rFonts w:ascii="Palatino Linotype" w:hAnsi="Palatino Linotype"/>
                <w:b/>
                <w:sz w:val="28"/>
                <w:szCs w:val="28"/>
              </w:rPr>
              <w:t>Luis Gustavo Parra Noriega</w:t>
            </w:r>
          </w:p>
          <w:p w14:paraId="41C90067" w14:textId="77777777" w:rsidR="00B3259B" w:rsidRPr="0040233B" w:rsidRDefault="00B3259B" w:rsidP="00B3259B">
            <w:pPr>
              <w:jc w:val="center"/>
              <w:rPr>
                <w:rFonts w:ascii="Palatino Linotype" w:hAnsi="Palatino Linotype"/>
              </w:rPr>
            </w:pPr>
            <w:r w:rsidRPr="0040233B">
              <w:rPr>
                <w:rFonts w:ascii="Palatino Linotype" w:hAnsi="Palatino Linotype"/>
              </w:rPr>
              <w:t>Comisionado</w:t>
            </w:r>
          </w:p>
          <w:p w14:paraId="57214DE7" w14:textId="77777777" w:rsidR="00B3259B" w:rsidRDefault="00B3259B" w:rsidP="00B3259B">
            <w:pPr>
              <w:jc w:val="center"/>
              <w:rPr>
                <w:rFonts w:ascii="Palatino Linotype" w:hAnsi="Palatino Linotype"/>
                <w:b/>
                <w:sz w:val="28"/>
                <w:szCs w:val="28"/>
              </w:rPr>
            </w:pPr>
            <w:r>
              <w:rPr>
                <w:rFonts w:ascii="Palatino Linotype" w:hAnsi="Palatino Linotype"/>
              </w:rPr>
              <w:t>(Rúbrica)</w:t>
            </w:r>
          </w:p>
          <w:p w14:paraId="0D7B2A18" w14:textId="77777777" w:rsidR="00B3259B" w:rsidRPr="0040233B" w:rsidRDefault="00B3259B" w:rsidP="00BD6BED">
            <w:pPr>
              <w:jc w:val="center"/>
              <w:rPr>
                <w:rFonts w:ascii="Palatino Linotype" w:hAnsi="Palatino Linotype"/>
                <w:b/>
              </w:rPr>
            </w:pPr>
          </w:p>
        </w:tc>
      </w:tr>
      <w:tr w:rsidR="0040233B" w:rsidRPr="0040233B" w14:paraId="08D0C596" w14:textId="77777777" w:rsidTr="00BD6BED">
        <w:trPr>
          <w:trHeight w:val="1869"/>
          <w:jc w:val="center"/>
        </w:trPr>
        <w:tc>
          <w:tcPr>
            <w:tcW w:w="8364" w:type="dxa"/>
            <w:gridSpan w:val="2"/>
            <w:vAlign w:val="center"/>
          </w:tcPr>
          <w:p w14:paraId="2EF37E3A" w14:textId="77777777" w:rsidR="0026022A" w:rsidRDefault="0026022A" w:rsidP="00BD6BED">
            <w:pPr>
              <w:jc w:val="center"/>
              <w:rPr>
                <w:rFonts w:ascii="Palatino Linotype" w:hAnsi="Palatino Linotype"/>
                <w:b/>
                <w:sz w:val="28"/>
                <w:szCs w:val="28"/>
              </w:rPr>
            </w:pPr>
          </w:p>
          <w:p w14:paraId="4E3E3B42" w14:textId="77777777" w:rsidR="0026022A" w:rsidRDefault="0026022A" w:rsidP="00BD6BED">
            <w:pPr>
              <w:jc w:val="center"/>
              <w:rPr>
                <w:rFonts w:ascii="Palatino Linotype" w:hAnsi="Palatino Linotype"/>
                <w:b/>
                <w:sz w:val="28"/>
                <w:szCs w:val="28"/>
              </w:rPr>
            </w:pPr>
          </w:p>
          <w:p w14:paraId="447428B2" w14:textId="77777777" w:rsidR="0026022A" w:rsidRDefault="0026022A" w:rsidP="00BD6BED">
            <w:pPr>
              <w:jc w:val="center"/>
              <w:rPr>
                <w:rFonts w:ascii="Palatino Linotype" w:hAnsi="Palatino Linotype"/>
                <w:b/>
                <w:sz w:val="28"/>
                <w:szCs w:val="28"/>
              </w:rPr>
            </w:pPr>
          </w:p>
          <w:p w14:paraId="374A06B6" w14:textId="77777777" w:rsidR="0026022A" w:rsidRDefault="0026022A" w:rsidP="00BD6BED">
            <w:pPr>
              <w:jc w:val="center"/>
              <w:rPr>
                <w:rFonts w:ascii="Palatino Linotype" w:hAnsi="Palatino Linotype"/>
                <w:b/>
                <w:sz w:val="28"/>
                <w:szCs w:val="28"/>
              </w:rPr>
            </w:pPr>
          </w:p>
          <w:p w14:paraId="3A798857" w14:textId="7EEC5D19" w:rsidR="00516E6A" w:rsidRPr="0040233B" w:rsidRDefault="00F1449C"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69FBA464" w:rsidR="00516E6A" w:rsidRPr="0040233B" w:rsidRDefault="00516E6A" w:rsidP="00BD6BED">
            <w:pPr>
              <w:jc w:val="center"/>
              <w:rPr>
                <w:rFonts w:ascii="Palatino Linotype" w:hAnsi="Palatino Linotype"/>
              </w:rPr>
            </w:pPr>
            <w:r w:rsidRPr="0040233B">
              <w:rPr>
                <w:rFonts w:ascii="Palatino Linotype" w:hAnsi="Palatino Linotype"/>
              </w:rPr>
              <w:t>Secretari</w:t>
            </w:r>
            <w:r w:rsidR="00F1449C">
              <w:rPr>
                <w:rFonts w:ascii="Palatino Linotype" w:hAnsi="Palatino Linotype"/>
              </w:rPr>
              <w:t>o</w:t>
            </w:r>
            <w:r w:rsidRPr="0040233B">
              <w:rPr>
                <w:rFonts w:ascii="Palatino Linotype" w:hAnsi="Palatino Linotype"/>
              </w:rPr>
              <w:t xml:space="preserve"> Técnic</w:t>
            </w:r>
            <w:r w:rsidR="00F1449C">
              <w:rPr>
                <w:rFonts w:ascii="Palatino Linotype" w:hAnsi="Palatino Linotype"/>
              </w:rPr>
              <w:t>o</w:t>
            </w:r>
            <w:r w:rsidRPr="0040233B">
              <w:rPr>
                <w:rFonts w:ascii="Palatino Linotype" w:hAnsi="Palatino Linotype"/>
              </w:rPr>
              <w:t xml:space="preserve"> del Pleno</w:t>
            </w:r>
          </w:p>
          <w:p w14:paraId="76AA92DB" w14:textId="5652AC16" w:rsidR="00516E6A" w:rsidRPr="0040233B" w:rsidRDefault="00F1449C" w:rsidP="00DB78B5">
            <w:pPr>
              <w:jc w:val="center"/>
              <w:rPr>
                <w:rFonts w:ascii="Palatino Linotype" w:hAnsi="Palatino Linotype"/>
              </w:rPr>
            </w:pPr>
            <w:r>
              <w:rPr>
                <w:rFonts w:ascii="Palatino Linotype" w:hAnsi="Palatino Linotype"/>
              </w:rPr>
              <w:t>(Rúbrica)</w:t>
            </w:r>
          </w:p>
        </w:tc>
      </w:tr>
    </w:tbl>
    <w:p w14:paraId="7BC519CB" w14:textId="77777777" w:rsidR="009E0E68" w:rsidRDefault="009E0E68" w:rsidP="0085736B">
      <w:pPr>
        <w:spacing w:before="240" w:after="240"/>
        <w:jc w:val="both"/>
        <w:rPr>
          <w:rFonts w:ascii="Palatino Linotype" w:hAnsi="Palatino Linotype" w:cs="Arial"/>
          <w:sz w:val="16"/>
        </w:rPr>
      </w:pPr>
    </w:p>
    <w:p w14:paraId="537B8811" w14:textId="77777777" w:rsidR="009E0E68" w:rsidRDefault="009E0E68" w:rsidP="0085736B">
      <w:pPr>
        <w:spacing w:before="240" w:after="240"/>
        <w:jc w:val="both"/>
        <w:rPr>
          <w:rFonts w:ascii="Palatino Linotype" w:hAnsi="Palatino Linotype" w:cs="Arial"/>
          <w:sz w:val="16"/>
        </w:rPr>
      </w:pPr>
    </w:p>
    <w:p w14:paraId="451FCFD0" w14:textId="77777777" w:rsidR="009E0E68" w:rsidRDefault="009E0E68" w:rsidP="0085736B">
      <w:pPr>
        <w:spacing w:before="240" w:after="240"/>
        <w:jc w:val="both"/>
        <w:rPr>
          <w:rFonts w:ascii="Palatino Linotype" w:hAnsi="Palatino Linotype" w:cs="Arial"/>
          <w:sz w:val="16"/>
        </w:rPr>
      </w:pPr>
    </w:p>
    <w:p w14:paraId="7D2A109B" w14:textId="15F80279"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B3259B">
        <w:rPr>
          <w:rFonts w:ascii="Palatino Linotype" w:hAnsi="Palatino Linotype" w:cs="Arial"/>
          <w:sz w:val="16"/>
        </w:rPr>
        <w:t>veintidós de noviembre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3C4F18">
        <w:rPr>
          <w:rFonts w:ascii="Palatino Linotype" w:hAnsi="Palatino Linotype" w:cs="Arial"/>
          <w:sz w:val="16"/>
        </w:rPr>
        <w:t>dieciocho</w:t>
      </w:r>
      <w:r w:rsidRPr="0040233B">
        <w:rPr>
          <w:rFonts w:ascii="Palatino Linotype" w:hAnsi="Palatino Linotype" w:cs="Arial"/>
          <w:sz w:val="16"/>
        </w:rPr>
        <w:t xml:space="preserve">, emitida en el recurso de revisión </w:t>
      </w:r>
      <w:r w:rsidR="00B84F7F">
        <w:rPr>
          <w:rFonts w:ascii="Palatino Linotype" w:hAnsi="Palatino Linotype" w:cs="Arial"/>
          <w:bCs/>
          <w:sz w:val="16"/>
        </w:rPr>
        <w:t>03684/INFOEM</w:t>
      </w:r>
      <w:r w:rsidR="001306E4" w:rsidRPr="0040233B">
        <w:rPr>
          <w:rFonts w:ascii="Palatino Linotype" w:hAnsi="Palatino Linotype" w:cs="Arial"/>
          <w:bCs/>
          <w:sz w:val="16"/>
        </w:rPr>
        <w:t>/IP/RR/</w:t>
      </w:r>
      <w:r w:rsidR="003C4F18">
        <w:rPr>
          <w:rFonts w:ascii="Palatino Linotype" w:hAnsi="Palatino Linotype" w:cs="Arial"/>
          <w:bCs/>
          <w:sz w:val="16"/>
        </w:rPr>
        <w:t>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DB78B5">
      <w:headerReference w:type="default" r:id="rId8"/>
      <w:footerReference w:type="default" r:id="rId9"/>
      <w:headerReference w:type="first" r:id="rId10"/>
      <w:footerReference w:type="first" r:id="rId11"/>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DB4B8" w14:textId="77777777" w:rsidR="00A30389" w:rsidRDefault="00A30389" w:rsidP="00C80F8C">
      <w:r>
        <w:separator/>
      </w:r>
    </w:p>
  </w:endnote>
  <w:endnote w:type="continuationSeparator" w:id="0">
    <w:p w14:paraId="4E5EFC9D" w14:textId="77777777" w:rsidR="00A30389" w:rsidRDefault="00A303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244FBF" w:rsidRDefault="00244FB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16D2B">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16D2B">
      <w:rPr>
        <w:rFonts w:ascii="Arial" w:hAnsi="Arial" w:cs="Arial"/>
        <w:b/>
        <w:bCs/>
        <w:noProof/>
        <w:sz w:val="20"/>
        <w:szCs w:val="20"/>
      </w:rPr>
      <w:t>29</w:t>
    </w:r>
    <w:r>
      <w:rPr>
        <w:rFonts w:ascii="Arial" w:hAnsi="Arial" w:cs="Arial"/>
        <w:b/>
        <w:bCs/>
        <w:sz w:val="20"/>
        <w:szCs w:val="20"/>
      </w:rPr>
      <w:fldChar w:fldCharType="end"/>
    </w:r>
  </w:p>
  <w:p w14:paraId="1192A578" w14:textId="77777777" w:rsidR="00244FBF" w:rsidRDefault="00244FBF" w:rsidP="00935A0D">
    <w:pPr>
      <w:pStyle w:val="Piedepgina"/>
      <w:rPr>
        <w:rFonts w:ascii="Times New Roman" w:hAnsi="Times New Roman" w:cs="Times New Roman"/>
      </w:rPr>
    </w:pPr>
  </w:p>
  <w:p w14:paraId="14A770F8" w14:textId="77777777" w:rsidR="00244FBF" w:rsidRDefault="00244FB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244FBF" w:rsidRDefault="00244FB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16D2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16D2B">
      <w:rPr>
        <w:rFonts w:ascii="Arial" w:hAnsi="Arial" w:cs="Arial"/>
        <w:b/>
        <w:bCs/>
        <w:noProof/>
        <w:sz w:val="20"/>
        <w:szCs w:val="20"/>
      </w:rPr>
      <w:t>29</w:t>
    </w:r>
    <w:r>
      <w:rPr>
        <w:rFonts w:ascii="Arial" w:hAnsi="Arial" w:cs="Arial"/>
        <w:b/>
        <w:bCs/>
        <w:sz w:val="20"/>
        <w:szCs w:val="20"/>
      </w:rPr>
      <w:fldChar w:fldCharType="end"/>
    </w:r>
  </w:p>
  <w:p w14:paraId="5D98ABD5" w14:textId="77777777" w:rsidR="00244FBF" w:rsidRDefault="00244F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E22E1" w14:textId="77777777" w:rsidR="00A30389" w:rsidRDefault="00A30389" w:rsidP="00C80F8C">
      <w:r>
        <w:separator/>
      </w:r>
    </w:p>
  </w:footnote>
  <w:footnote w:type="continuationSeparator" w:id="0">
    <w:p w14:paraId="21610A86" w14:textId="77777777" w:rsidR="00A30389" w:rsidRDefault="00A30389" w:rsidP="00C80F8C">
      <w:r>
        <w:continuationSeparator/>
      </w:r>
    </w:p>
  </w:footnote>
  <w:footnote w:id="1">
    <w:p w14:paraId="41BA4029" w14:textId="77777777" w:rsidR="00F32611" w:rsidRPr="00F32611" w:rsidRDefault="00F32611" w:rsidP="00F32611">
      <w:pPr>
        <w:pStyle w:val="Textonotapie"/>
        <w:jc w:val="both"/>
        <w:rPr>
          <w:rFonts w:ascii="Palatino Linotype" w:hAnsi="Palatino Linotype"/>
          <w:sz w:val="16"/>
          <w:szCs w:val="16"/>
        </w:rPr>
      </w:pPr>
      <w:r>
        <w:rPr>
          <w:rStyle w:val="Refdenotaalpie"/>
        </w:rPr>
        <w:footnoteRef/>
      </w:r>
      <w:r>
        <w:t xml:space="preserve"> </w:t>
      </w:r>
      <w:r w:rsidRPr="00F32611">
        <w:rPr>
          <w:rFonts w:ascii="Palatino Linotype" w:hAnsi="Palatino Linotype"/>
          <w:sz w:val="16"/>
          <w:szCs w:val="16"/>
        </w:rPr>
        <w:t xml:space="preserve">Muro Ruíz, Eliseo. </w:t>
      </w:r>
      <w:r w:rsidRPr="00F32611">
        <w:rPr>
          <w:rFonts w:ascii="Palatino Linotype" w:hAnsi="Palatino Linotype"/>
          <w:i/>
          <w:sz w:val="16"/>
          <w:szCs w:val="16"/>
        </w:rPr>
        <w:t>Algunos elementos de técnica legislativa</w:t>
      </w:r>
      <w:r w:rsidRPr="00F32611">
        <w:rPr>
          <w:rFonts w:ascii="Palatino Linotype" w:hAnsi="Palatino Linotype"/>
          <w:sz w:val="16"/>
          <w:szCs w:val="16"/>
        </w:rPr>
        <w:t xml:space="preserve">,  [en línea], México, Instituto de Investigaciones Jurídicas, 2006, [citado 09/06/2016], formato PDF, disponible en internet </w:t>
      </w:r>
      <w:hyperlink r:id="rId1" w:history="1">
        <w:r w:rsidRPr="00F32611">
          <w:rPr>
            <w:rStyle w:val="Hipervnculo"/>
            <w:rFonts w:ascii="Palatino Linotype" w:hAnsi="Palatino Linotype"/>
            <w:sz w:val="16"/>
            <w:szCs w:val="16"/>
          </w:rPr>
          <w:t>http://biblio.juridicas.unam.mx/libros/5/2149/6.pdf</w:t>
        </w:r>
      </w:hyperlink>
      <w:r w:rsidRPr="00F32611">
        <w:rPr>
          <w:rFonts w:ascii="Palatino Linotype" w:hAnsi="Palatino Linotype"/>
          <w:sz w:val="16"/>
          <w:szCs w:val="16"/>
        </w:rPr>
        <w:t xml:space="preserve"> </w:t>
      </w:r>
      <w:r w:rsidRPr="00F32611">
        <w:rPr>
          <w:rFonts w:ascii="Palatino Linotype" w:hAnsi="Palatino Linotype"/>
          <w:bCs/>
          <w:sz w:val="16"/>
          <w:szCs w:val="16"/>
          <w:lang w:val="es-ES"/>
        </w:rPr>
        <w:t>ISBN 970-32-3453-4</w:t>
      </w:r>
      <w:r w:rsidRPr="00F32611">
        <w:rPr>
          <w:rFonts w:ascii="Palatino Linotype" w:hAnsi="Palatino Linotype"/>
          <w:sz w:val="16"/>
          <w:szCs w:val="16"/>
        </w:rPr>
        <w:t xml:space="preserve"> </w:t>
      </w:r>
    </w:p>
  </w:footnote>
  <w:footnote w:id="2">
    <w:p w14:paraId="213C35BF" w14:textId="77777777" w:rsidR="00F32611" w:rsidRPr="00660902" w:rsidRDefault="00F32611" w:rsidP="00F32611">
      <w:pPr>
        <w:jc w:val="both"/>
        <w:rPr>
          <w:rFonts w:ascii="Palatino Linotype" w:hAnsi="Palatino Linotype"/>
          <w:sz w:val="16"/>
          <w:szCs w:val="16"/>
        </w:rPr>
      </w:pPr>
      <w:r w:rsidRPr="00660902">
        <w:rPr>
          <w:rStyle w:val="Refdenotaalpie"/>
          <w:rFonts w:ascii="Palatino Linotype" w:hAnsi="Palatino Linotype"/>
        </w:rPr>
        <w:footnoteRef/>
      </w:r>
      <w:r w:rsidRPr="00660902">
        <w:rPr>
          <w:rFonts w:ascii="Palatino Linotype" w:hAnsi="Palatino Linotype"/>
        </w:rPr>
        <w:t xml:space="preserve"> </w:t>
      </w:r>
      <w:r w:rsidRPr="00660902">
        <w:rPr>
          <w:rFonts w:ascii="Palatino Linotype" w:hAnsi="Palatino Linotype"/>
          <w:sz w:val="16"/>
          <w:szCs w:val="16"/>
        </w:rPr>
        <w:t>SUPLETORIEDAD DE LAS LEYES. REQUISITOS PARA QUE OPERE.</w:t>
      </w:r>
    </w:p>
    <w:p w14:paraId="1DE6937D" w14:textId="77777777" w:rsidR="00F32611" w:rsidRPr="00660902" w:rsidRDefault="00F32611" w:rsidP="00F32611">
      <w:pPr>
        <w:jc w:val="both"/>
        <w:rPr>
          <w:rFonts w:ascii="Palatino Linotype" w:hAnsi="Palatino Linotype"/>
          <w:sz w:val="16"/>
          <w:szCs w:val="16"/>
        </w:rPr>
      </w:pPr>
      <w:r w:rsidRPr="00660902">
        <w:rPr>
          <w:rFonts w:ascii="Palatino Linotype" w:hAnsi="Palatino Linotype"/>
          <w:sz w:val="16"/>
          <w:szCs w:val="16"/>
        </w:rPr>
        <w:t>Época: Décima Época Registro: 2003161  Instancia: Segunda Sala Tipo de Tesis: Jurisprudencia Fuente: Semanario Judicial de la Federación y su Gaceta Materia(s): Constitucional Libro XVIII, Marzo de 2013, Tomo 2 Tesis: 2a./J. 34/2013 (10a.) Página: 1065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244FBF" w14:paraId="6B4E3B81" w14:textId="77777777" w:rsidTr="009D4854">
      <w:tc>
        <w:tcPr>
          <w:tcW w:w="2553" w:type="dxa"/>
          <w:vAlign w:val="center"/>
          <w:hideMark/>
        </w:tcPr>
        <w:p w14:paraId="0ABBC6C0" w14:textId="77777777"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0B8BB551" w:rsidR="00244FBF" w:rsidRDefault="00244FBF" w:rsidP="00E132D9">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3684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244FBF" w14:paraId="31CB780F" w14:textId="77777777" w:rsidTr="009D4854">
      <w:trPr>
        <w:trHeight w:val="228"/>
      </w:trPr>
      <w:tc>
        <w:tcPr>
          <w:tcW w:w="2553" w:type="dxa"/>
          <w:vAlign w:val="center"/>
          <w:hideMark/>
        </w:tcPr>
        <w:p w14:paraId="4F49CB4A" w14:textId="6966D32E"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E653193" w:rsidR="00244FBF" w:rsidRDefault="00244FBF" w:rsidP="00E132D9">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Valle de Chalco Solidaridad</w:t>
          </w:r>
        </w:p>
      </w:tc>
    </w:tr>
    <w:tr w:rsidR="00244FBF" w14:paraId="69050F56" w14:textId="77777777" w:rsidTr="009D4854">
      <w:tc>
        <w:tcPr>
          <w:tcW w:w="2553" w:type="dxa"/>
          <w:vAlign w:val="center"/>
          <w:hideMark/>
        </w:tcPr>
        <w:p w14:paraId="65C9B735" w14:textId="1BD9C7F4" w:rsidR="00244FBF" w:rsidRDefault="00244FBF"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244FBF" w:rsidRDefault="00244FBF"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244FBF" w:rsidRDefault="00244FBF" w:rsidP="006F30F8">
    <w:pPr>
      <w:pStyle w:val="Encabezado"/>
      <w:tabs>
        <w:tab w:val="clear" w:pos="4252"/>
        <w:tab w:val="clear" w:pos="8504"/>
        <w:tab w:val="left" w:pos="2326"/>
      </w:tabs>
    </w:pPr>
    <w:r>
      <w:tab/>
    </w:r>
  </w:p>
  <w:p w14:paraId="23403E59" w14:textId="77777777" w:rsidR="00244FBF" w:rsidRDefault="00244FB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244FBF" w:rsidRDefault="00244FBF"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244FBF" w14:paraId="477E149B" w14:textId="77777777" w:rsidTr="00C47D1B">
      <w:tc>
        <w:tcPr>
          <w:tcW w:w="2553" w:type="dxa"/>
          <w:vAlign w:val="center"/>
          <w:hideMark/>
        </w:tcPr>
        <w:p w14:paraId="5C0586E4" w14:textId="77777777"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D33A6AC" w:rsidR="00244FBF" w:rsidRPr="004440AC" w:rsidRDefault="00244FBF" w:rsidP="00E132D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3684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244FBF" w14:paraId="5B5BE21C" w14:textId="77777777" w:rsidTr="00C47D1B">
      <w:tc>
        <w:tcPr>
          <w:tcW w:w="2553" w:type="dxa"/>
          <w:vAlign w:val="center"/>
          <w:hideMark/>
        </w:tcPr>
        <w:p w14:paraId="4AE96902" w14:textId="4E063913"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B167F74" w:rsidR="00244FBF" w:rsidRPr="004440AC" w:rsidRDefault="00216D2B" w:rsidP="00216D2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 Xxxxxxxxxx Xxxxx Xxxx</w:t>
          </w:r>
        </w:p>
      </w:tc>
    </w:tr>
    <w:tr w:rsidR="00244FBF" w14:paraId="22601A11" w14:textId="77777777" w:rsidTr="00C47D1B">
      <w:trPr>
        <w:trHeight w:val="228"/>
      </w:trPr>
      <w:tc>
        <w:tcPr>
          <w:tcW w:w="2553" w:type="dxa"/>
          <w:vAlign w:val="center"/>
          <w:hideMark/>
        </w:tcPr>
        <w:p w14:paraId="6EFE221D" w14:textId="49C5F800"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94C1CF7" w:rsidR="00244FBF" w:rsidRPr="004440AC" w:rsidRDefault="00244FBF" w:rsidP="00E132D9">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Valle de Chalco Solidaridad</w:t>
          </w:r>
        </w:p>
      </w:tc>
    </w:tr>
    <w:tr w:rsidR="00244FBF" w14:paraId="2D6C630E" w14:textId="77777777" w:rsidTr="00C47D1B">
      <w:tc>
        <w:tcPr>
          <w:tcW w:w="2553" w:type="dxa"/>
          <w:vAlign w:val="center"/>
          <w:hideMark/>
        </w:tcPr>
        <w:p w14:paraId="5BD4C6DB" w14:textId="0AEF79C2" w:rsidR="00244FBF" w:rsidRDefault="00244FBF"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244FBF" w:rsidRPr="004440AC" w:rsidRDefault="00244FBF"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244FBF" w:rsidRDefault="00244FB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B006BD"/>
    <w:multiLevelType w:val="hybridMultilevel"/>
    <w:tmpl w:val="42368B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9BB56DB"/>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938"/>
    <w:rsid w:val="0000357F"/>
    <w:rsid w:val="0000625E"/>
    <w:rsid w:val="000064FC"/>
    <w:rsid w:val="00012A5F"/>
    <w:rsid w:val="000163E2"/>
    <w:rsid w:val="00017BE1"/>
    <w:rsid w:val="00020A18"/>
    <w:rsid w:val="00020B4A"/>
    <w:rsid w:val="00023C79"/>
    <w:rsid w:val="00026D94"/>
    <w:rsid w:val="00030F70"/>
    <w:rsid w:val="00031386"/>
    <w:rsid w:val="000334EF"/>
    <w:rsid w:val="0003385D"/>
    <w:rsid w:val="000354B7"/>
    <w:rsid w:val="00035B1B"/>
    <w:rsid w:val="00035F2E"/>
    <w:rsid w:val="00036B8A"/>
    <w:rsid w:val="000423C7"/>
    <w:rsid w:val="0004263B"/>
    <w:rsid w:val="0004471E"/>
    <w:rsid w:val="00045FD8"/>
    <w:rsid w:val="000471A6"/>
    <w:rsid w:val="00047F41"/>
    <w:rsid w:val="00052D77"/>
    <w:rsid w:val="00057073"/>
    <w:rsid w:val="000646E3"/>
    <w:rsid w:val="0006666A"/>
    <w:rsid w:val="000667E0"/>
    <w:rsid w:val="00075D7A"/>
    <w:rsid w:val="00077347"/>
    <w:rsid w:val="00077788"/>
    <w:rsid w:val="00083058"/>
    <w:rsid w:val="0008542A"/>
    <w:rsid w:val="00090DA5"/>
    <w:rsid w:val="00090EBA"/>
    <w:rsid w:val="00090FDD"/>
    <w:rsid w:val="00091127"/>
    <w:rsid w:val="00091682"/>
    <w:rsid w:val="00093EC7"/>
    <w:rsid w:val="000943ED"/>
    <w:rsid w:val="000A1C9A"/>
    <w:rsid w:val="000A1E1F"/>
    <w:rsid w:val="000A351A"/>
    <w:rsid w:val="000A4EC4"/>
    <w:rsid w:val="000A515A"/>
    <w:rsid w:val="000A577A"/>
    <w:rsid w:val="000A6651"/>
    <w:rsid w:val="000A7C0E"/>
    <w:rsid w:val="000B2B61"/>
    <w:rsid w:val="000B2FE2"/>
    <w:rsid w:val="000B3FFD"/>
    <w:rsid w:val="000B4ADC"/>
    <w:rsid w:val="000B5351"/>
    <w:rsid w:val="000B7B5A"/>
    <w:rsid w:val="000C4453"/>
    <w:rsid w:val="000C7714"/>
    <w:rsid w:val="000C77C6"/>
    <w:rsid w:val="000C7C04"/>
    <w:rsid w:val="000D33E5"/>
    <w:rsid w:val="000D3579"/>
    <w:rsid w:val="00104E08"/>
    <w:rsid w:val="001110FC"/>
    <w:rsid w:val="00112892"/>
    <w:rsid w:val="00114DDF"/>
    <w:rsid w:val="00115AAD"/>
    <w:rsid w:val="00124762"/>
    <w:rsid w:val="00130216"/>
    <w:rsid w:val="00130642"/>
    <w:rsid w:val="001306E4"/>
    <w:rsid w:val="00136083"/>
    <w:rsid w:val="00140C79"/>
    <w:rsid w:val="00141F78"/>
    <w:rsid w:val="00143967"/>
    <w:rsid w:val="00147E1D"/>
    <w:rsid w:val="00151D19"/>
    <w:rsid w:val="00152866"/>
    <w:rsid w:val="0015575F"/>
    <w:rsid w:val="00161FC4"/>
    <w:rsid w:val="00163AC2"/>
    <w:rsid w:val="00163B98"/>
    <w:rsid w:val="001667F0"/>
    <w:rsid w:val="001701C4"/>
    <w:rsid w:val="001707DD"/>
    <w:rsid w:val="00170E0A"/>
    <w:rsid w:val="00172089"/>
    <w:rsid w:val="0017530C"/>
    <w:rsid w:val="00175974"/>
    <w:rsid w:val="00177A27"/>
    <w:rsid w:val="00181791"/>
    <w:rsid w:val="00183275"/>
    <w:rsid w:val="00184FBA"/>
    <w:rsid w:val="00186B63"/>
    <w:rsid w:val="00190160"/>
    <w:rsid w:val="001911CC"/>
    <w:rsid w:val="001A113F"/>
    <w:rsid w:val="001A1810"/>
    <w:rsid w:val="001A206B"/>
    <w:rsid w:val="001A2A37"/>
    <w:rsid w:val="001A2FF3"/>
    <w:rsid w:val="001A373A"/>
    <w:rsid w:val="001B3627"/>
    <w:rsid w:val="001B5099"/>
    <w:rsid w:val="001B6BDC"/>
    <w:rsid w:val="001C0C3F"/>
    <w:rsid w:val="001C4BAC"/>
    <w:rsid w:val="001D064E"/>
    <w:rsid w:val="001D54C7"/>
    <w:rsid w:val="001E1C02"/>
    <w:rsid w:val="001E39C4"/>
    <w:rsid w:val="001E5309"/>
    <w:rsid w:val="001E64BE"/>
    <w:rsid w:val="001F1B46"/>
    <w:rsid w:val="001F1F7D"/>
    <w:rsid w:val="001F501F"/>
    <w:rsid w:val="0020054B"/>
    <w:rsid w:val="00201E21"/>
    <w:rsid w:val="00204C2A"/>
    <w:rsid w:val="00205DAE"/>
    <w:rsid w:val="002101E5"/>
    <w:rsid w:val="00212FE4"/>
    <w:rsid w:val="00215922"/>
    <w:rsid w:val="00216D2B"/>
    <w:rsid w:val="00220958"/>
    <w:rsid w:val="00221545"/>
    <w:rsid w:val="00222F65"/>
    <w:rsid w:val="00223D0B"/>
    <w:rsid w:val="0023264F"/>
    <w:rsid w:val="0023380E"/>
    <w:rsid w:val="00233F88"/>
    <w:rsid w:val="002440EB"/>
    <w:rsid w:val="00244EEF"/>
    <w:rsid w:val="00244FBF"/>
    <w:rsid w:val="00250658"/>
    <w:rsid w:val="00251C63"/>
    <w:rsid w:val="0025298F"/>
    <w:rsid w:val="002556CA"/>
    <w:rsid w:val="00256193"/>
    <w:rsid w:val="0026022A"/>
    <w:rsid w:val="0026271B"/>
    <w:rsid w:val="002629E7"/>
    <w:rsid w:val="002642D4"/>
    <w:rsid w:val="002657BB"/>
    <w:rsid w:val="0026683E"/>
    <w:rsid w:val="00281EF2"/>
    <w:rsid w:val="00283308"/>
    <w:rsid w:val="00290C42"/>
    <w:rsid w:val="002937C6"/>
    <w:rsid w:val="00293DE5"/>
    <w:rsid w:val="00295078"/>
    <w:rsid w:val="00295C72"/>
    <w:rsid w:val="00295DE7"/>
    <w:rsid w:val="00297AB0"/>
    <w:rsid w:val="002A679D"/>
    <w:rsid w:val="002A6CC7"/>
    <w:rsid w:val="002B0A1D"/>
    <w:rsid w:val="002B0EF8"/>
    <w:rsid w:val="002B1708"/>
    <w:rsid w:val="002B393B"/>
    <w:rsid w:val="002B4950"/>
    <w:rsid w:val="002B62AF"/>
    <w:rsid w:val="002B7622"/>
    <w:rsid w:val="002C0C63"/>
    <w:rsid w:val="002C0F5C"/>
    <w:rsid w:val="002C4EBB"/>
    <w:rsid w:val="002C4F45"/>
    <w:rsid w:val="002C6154"/>
    <w:rsid w:val="002D07B6"/>
    <w:rsid w:val="002D42F7"/>
    <w:rsid w:val="002D508B"/>
    <w:rsid w:val="002E5744"/>
    <w:rsid w:val="002E6172"/>
    <w:rsid w:val="002E6B74"/>
    <w:rsid w:val="002E6BA1"/>
    <w:rsid w:val="002F1C4D"/>
    <w:rsid w:val="002F2653"/>
    <w:rsid w:val="002F3A84"/>
    <w:rsid w:val="002F411A"/>
    <w:rsid w:val="002F5A90"/>
    <w:rsid w:val="002F700E"/>
    <w:rsid w:val="00302787"/>
    <w:rsid w:val="00302FBC"/>
    <w:rsid w:val="00306B09"/>
    <w:rsid w:val="0030711C"/>
    <w:rsid w:val="0031046F"/>
    <w:rsid w:val="00313AFB"/>
    <w:rsid w:val="00314023"/>
    <w:rsid w:val="00314402"/>
    <w:rsid w:val="00314587"/>
    <w:rsid w:val="003156AE"/>
    <w:rsid w:val="00321D72"/>
    <w:rsid w:val="00322AE2"/>
    <w:rsid w:val="00323623"/>
    <w:rsid w:val="00333C7C"/>
    <w:rsid w:val="003349F4"/>
    <w:rsid w:val="00335047"/>
    <w:rsid w:val="00340B86"/>
    <w:rsid w:val="00340D76"/>
    <w:rsid w:val="003537DE"/>
    <w:rsid w:val="00355B75"/>
    <w:rsid w:val="0035716F"/>
    <w:rsid w:val="0036086E"/>
    <w:rsid w:val="003633DD"/>
    <w:rsid w:val="00367CE5"/>
    <w:rsid w:val="00381A39"/>
    <w:rsid w:val="00382014"/>
    <w:rsid w:val="00382822"/>
    <w:rsid w:val="00393FAE"/>
    <w:rsid w:val="00395D80"/>
    <w:rsid w:val="003A11DD"/>
    <w:rsid w:val="003A2B96"/>
    <w:rsid w:val="003A5A6E"/>
    <w:rsid w:val="003A6186"/>
    <w:rsid w:val="003A622D"/>
    <w:rsid w:val="003B72E9"/>
    <w:rsid w:val="003C2142"/>
    <w:rsid w:val="003C4A79"/>
    <w:rsid w:val="003C4D2B"/>
    <w:rsid w:val="003C4F18"/>
    <w:rsid w:val="003C5A54"/>
    <w:rsid w:val="003D1883"/>
    <w:rsid w:val="003D18A4"/>
    <w:rsid w:val="003D48A3"/>
    <w:rsid w:val="003D61B0"/>
    <w:rsid w:val="003E5DB7"/>
    <w:rsid w:val="003E6D0E"/>
    <w:rsid w:val="003F09F0"/>
    <w:rsid w:val="003F2BA9"/>
    <w:rsid w:val="003F52C2"/>
    <w:rsid w:val="003F58C3"/>
    <w:rsid w:val="003F7009"/>
    <w:rsid w:val="0040233B"/>
    <w:rsid w:val="00410650"/>
    <w:rsid w:val="004106C1"/>
    <w:rsid w:val="004126F7"/>
    <w:rsid w:val="00414EE8"/>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5886"/>
    <w:rsid w:val="00457077"/>
    <w:rsid w:val="00457FC7"/>
    <w:rsid w:val="00462417"/>
    <w:rsid w:val="00464624"/>
    <w:rsid w:val="004677F9"/>
    <w:rsid w:val="004733FB"/>
    <w:rsid w:val="0047775E"/>
    <w:rsid w:val="00482731"/>
    <w:rsid w:val="0048286C"/>
    <w:rsid w:val="00483A0F"/>
    <w:rsid w:val="0048589D"/>
    <w:rsid w:val="00487F15"/>
    <w:rsid w:val="004912A0"/>
    <w:rsid w:val="004928DE"/>
    <w:rsid w:val="00493E2F"/>
    <w:rsid w:val="0049576C"/>
    <w:rsid w:val="004A0EA8"/>
    <w:rsid w:val="004A14D9"/>
    <w:rsid w:val="004A21F6"/>
    <w:rsid w:val="004A4B61"/>
    <w:rsid w:val="004A6EFE"/>
    <w:rsid w:val="004A712E"/>
    <w:rsid w:val="004B1858"/>
    <w:rsid w:val="004B2540"/>
    <w:rsid w:val="004B72C5"/>
    <w:rsid w:val="004B7A1B"/>
    <w:rsid w:val="004C3804"/>
    <w:rsid w:val="004C45A2"/>
    <w:rsid w:val="004C56DE"/>
    <w:rsid w:val="004C5B78"/>
    <w:rsid w:val="004C7701"/>
    <w:rsid w:val="004D0A26"/>
    <w:rsid w:val="004D0EE4"/>
    <w:rsid w:val="004D11F7"/>
    <w:rsid w:val="004D3B80"/>
    <w:rsid w:val="004D47C8"/>
    <w:rsid w:val="004D5AC0"/>
    <w:rsid w:val="004D5FEF"/>
    <w:rsid w:val="004E27AD"/>
    <w:rsid w:val="004E4987"/>
    <w:rsid w:val="004F227C"/>
    <w:rsid w:val="004F3B64"/>
    <w:rsid w:val="00505B26"/>
    <w:rsid w:val="00507449"/>
    <w:rsid w:val="00516E6A"/>
    <w:rsid w:val="00520262"/>
    <w:rsid w:val="005206C8"/>
    <w:rsid w:val="005218EA"/>
    <w:rsid w:val="0052414D"/>
    <w:rsid w:val="00525818"/>
    <w:rsid w:val="00535560"/>
    <w:rsid w:val="00544117"/>
    <w:rsid w:val="00551BA4"/>
    <w:rsid w:val="00552D59"/>
    <w:rsid w:val="0056588E"/>
    <w:rsid w:val="00571374"/>
    <w:rsid w:val="00571391"/>
    <w:rsid w:val="00571C60"/>
    <w:rsid w:val="00573949"/>
    <w:rsid w:val="00577287"/>
    <w:rsid w:val="00577FA0"/>
    <w:rsid w:val="0058269D"/>
    <w:rsid w:val="0058439D"/>
    <w:rsid w:val="00585149"/>
    <w:rsid w:val="00585C24"/>
    <w:rsid w:val="0058743A"/>
    <w:rsid w:val="005875A9"/>
    <w:rsid w:val="00590636"/>
    <w:rsid w:val="00593DB7"/>
    <w:rsid w:val="005949EA"/>
    <w:rsid w:val="00594BC5"/>
    <w:rsid w:val="005954E9"/>
    <w:rsid w:val="005A232E"/>
    <w:rsid w:val="005A6845"/>
    <w:rsid w:val="005A7C3F"/>
    <w:rsid w:val="005B6938"/>
    <w:rsid w:val="005C5799"/>
    <w:rsid w:val="005D1DF5"/>
    <w:rsid w:val="005E0300"/>
    <w:rsid w:val="005E15A3"/>
    <w:rsid w:val="005E35A0"/>
    <w:rsid w:val="005E4911"/>
    <w:rsid w:val="005E4A3D"/>
    <w:rsid w:val="005E4F05"/>
    <w:rsid w:val="005E5859"/>
    <w:rsid w:val="005E5DC1"/>
    <w:rsid w:val="005E67EC"/>
    <w:rsid w:val="005F178D"/>
    <w:rsid w:val="005F4DCE"/>
    <w:rsid w:val="005F5725"/>
    <w:rsid w:val="006010BF"/>
    <w:rsid w:val="00601296"/>
    <w:rsid w:val="006031FE"/>
    <w:rsid w:val="006047FC"/>
    <w:rsid w:val="006048D2"/>
    <w:rsid w:val="006077EB"/>
    <w:rsid w:val="006079C9"/>
    <w:rsid w:val="006079F3"/>
    <w:rsid w:val="006100A1"/>
    <w:rsid w:val="00611F9E"/>
    <w:rsid w:val="0061663A"/>
    <w:rsid w:val="00623EA3"/>
    <w:rsid w:val="00624BDB"/>
    <w:rsid w:val="00624FBF"/>
    <w:rsid w:val="00625AFD"/>
    <w:rsid w:val="00625E1B"/>
    <w:rsid w:val="00627B5D"/>
    <w:rsid w:val="00633AB7"/>
    <w:rsid w:val="00634485"/>
    <w:rsid w:val="006345A0"/>
    <w:rsid w:val="00637C16"/>
    <w:rsid w:val="006445D2"/>
    <w:rsid w:val="0064598A"/>
    <w:rsid w:val="00647094"/>
    <w:rsid w:val="00655B83"/>
    <w:rsid w:val="00656C59"/>
    <w:rsid w:val="00661350"/>
    <w:rsid w:val="006614CB"/>
    <w:rsid w:val="00666655"/>
    <w:rsid w:val="006747B5"/>
    <w:rsid w:val="00675974"/>
    <w:rsid w:val="006803E8"/>
    <w:rsid w:val="00682656"/>
    <w:rsid w:val="00683EAC"/>
    <w:rsid w:val="00684EF6"/>
    <w:rsid w:val="00686279"/>
    <w:rsid w:val="00686A8A"/>
    <w:rsid w:val="006878A4"/>
    <w:rsid w:val="00690BC8"/>
    <w:rsid w:val="006954F2"/>
    <w:rsid w:val="006A03CD"/>
    <w:rsid w:val="006A06FE"/>
    <w:rsid w:val="006A42D4"/>
    <w:rsid w:val="006A4E98"/>
    <w:rsid w:val="006A6844"/>
    <w:rsid w:val="006A7829"/>
    <w:rsid w:val="006B15B3"/>
    <w:rsid w:val="006B2A9B"/>
    <w:rsid w:val="006B2BA6"/>
    <w:rsid w:val="006B4A50"/>
    <w:rsid w:val="006C24A5"/>
    <w:rsid w:val="006C24CD"/>
    <w:rsid w:val="006C60B5"/>
    <w:rsid w:val="006D34EA"/>
    <w:rsid w:val="006D64F9"/>
    <w:rsid w:val="006E6278"/>
    <w:rsid w:val="006E6389"/>
    <w:rsid w:val="006E662E"/>
    <w:rsid w:val="006E69AA"/>
    <w:rsid w:val="006F30F8"/>
    <w:rsid w:val="006F3144"/>
    <w:rsid w:val="006F5B9E"/>
    <w:rsid w:val="006F6E1B"/>
    <w:rsid w:val="007061DF"/>
    <w:rsid w:val="00711B09"/>
    <w:rsid w:val="0071589E"/>
    <w:rsid w:val="0071646D"/>
    <w:rsid w:val="00716CE1"/>
    <w:rsid w:val="00726FA5"/>
    <w:rsid w:val="00730313"/>
    <w:rsid w:val="00730BC4"/>
    <w:rsid w:val="00731D9B"/>
    <w:rsid w:val="00733CB7"/>
    <w:rsid w:val="00734369"/>
    <w:rsid w:val="00735C82"/>
    <w:rsid w:val="007367AB"/>
    <w:rsid w:val="00736C06"/>
    <w:rsid w:val="007401BB"/>
    <w:rsid w:val="00740C7D"/>
    <w:rsid w:val="00740E5C"/>
    <w:rsid w:val="00741FEA"/>
    <w:rsid w:val="00742921"/>
    <w:rsid w:val="007446D8"/>
    <w:rsid w:val="00744736"/>
    <w:rsid w:val="00745C7F"/>
    <w:rsid w:val="00750D2D"/>
    <w:rsid w:val="00750F05"/>
    <w:rsid w:val="00751311"/>
    <w:rsid w:val="0075239A"/>
    <w:rsid w:val="00755712"/>
    <w:rsid w:val="00757444"/>
    <w:rsid w:val="00764B6A"/>
    <w:rsid w:val="00767912"/>
    <w:rsid w:val="00770E29"/>
    <w:rsid w:val="0077203A"/>
    <w:rsid w:val="0077266E"/>
    <w:rsid w:val="00773601"/>
    <w:rsid w:val="0077519B"/>
    <w:rsid w:val="00775CB2"/>
    <w:rsid w:val="0077689F"/>
    <w:rsid w:val="0078083D"/>
    <w:rsid w:val="00782DD9"/>
    <w:rsid w:val="007830E3"/>
    <w:rsid w:val="00787DB5"/>
    <w:rsid w:val="00794305"/>
    <w:rsid w:val="007A11F1"/>
    <w:rsid w:val="007A35F6"/>
    <w:rsid w:val="007A4E83"/>
    <w:rsid w:val="007A5F1A"/>
    <w:rsid w:val="007B5B76"/>
    <w:rsid w:val="007B755C"/>
    <w:rsid w:val="007C025F"/>
    <w:rsid w:val="007C09AA"/>
    <w:rsid w:val="007C0AFD"/>
    <w:rsid w:val="007C3D29"/>
    <w:rsid w:val="007C3E67"/>
    <w:rsid w:val="007C6783"/>
    <w:rsid w:val="007C7E5A"/>
    <w:rsid w:val="007D0C6E"/>
    <w:rsid w:val="007D112D"/>
    <w:rsid w:val="007D1598"/>
    <w:rsid w:val="007D5B23"/>
    <w:rsid w:val="007D7334"/>
    <w:rsid w:val="007E07A7"/>
    <w:rsid w:val="007E3963"/>
    <w:rsid w:val="007E74CA"/>
    <w:rsid w:val="007F18A3"/>
    <w:rsid w:val="007F36DE"/>
    <w:rsid w:val="007F528B"/>
    <w:rsid w:val="007F61DA"/>
    <w:rsid w:val="00801D34"/>
    <w:rsid w:val="00802C88"/>
    <w:rsid w:val="00805A48"/>
    <w:rsid w:val="008063E2"/>
    <w:rsid w:val="00807739"/>
    <w:rsid w:val="008100C2"/>
    <w:rsid w:val="00811637"/>
    <w:rsid w:val="00814930"/>
    <w:rsid w:val="008207CA"/>
    <w:rsid w:val="008223A5"/>
    <w:rsid w:val="008235DE"/>
    <w:rsid w:val="008254D3"/>
    <w:rsid w:val="00825CA4"/>
    <w:rsid w:val="008331EF"/>
    <w:rsid w:val="0083402A"/>
    <w:rsid w:val="00835546"/>
    <w:rsid w:val="00835741"/>
    <w:rsid w:val="00837520"/>
    <w:rsid w:val="0084270E"/>
    <w:rsid w:val="008442E6"/>
    <w:rsid w:val="00851F8C"/>
    <w:rsid w:val="00856F7A"/>
    <w:rsid w:val="00857279"/>
    <w:rsid w:val="0085736B"/>
    <w:rsid w:val="00857B52"/>
    <w:rsid w:val="00861B32"/>
    <w:rsid w:val="008718F3"/>
    <w:rsid w:val="008722CC"/>
    <w:rsid w:val="00874685"/>
    <w:rsid w:val="00874DC9"/>
    <w:rsid w:val="00876615"/>
    <w:rsid w:val="0088137B"/>
    <w:rsid w:val="00882131"/>
    <w:rsid w:val="0088510A"/>
    <w:rsid w:val="00885CB3"/>
    <w:rsid w:val="00887493"/>
    <w:rsid w:val="008900BC"/>
    <w:rsid w:val="00892AFC"/>
    <w:rsid w:val="0089436A"/>
    <w:rsid w:val="00895C62"/>
    <w:rsid w:val="008A0C05"/>
    <w:rsid w:val="008A2587"/>
    <w:rsid w:val="008A42B0"/>
    <w:rsid w:val="008A4982"/>
    <w:rsid w:val="008A6085"/>
    <w:rsid w:val="008A663F"/>
    <w:rsid w:val="008A6AF9"/>
    <w:rsid w:val="008B0803"/>
    <w:rsid w:val="008B36C5"/>
    <w:rsid w:val="008B542E"/>
    <w:rsid w:val="008B5BE2"/>
    <w:rsid w:val="008C04B3"/>
    <w:rsid w:val="008C0694"/>
    <w:rsid w:val="008C3963"/>
    <w:rsid w:val="008D0D25"/>
    <w:rsid w:val="008D1526"/>
    <w:rsid w:val="008D184E"/>
    <w:rsid w:val="008D4B2A"/>
    <w:rsid w:val="008D75E7"/>
    <w:rsid w:val="008E094D"/>
    <w:rsid w:val="008E176A"/>
    <w:rsid w:val="008E2982"/>
    <w:rsid w:val="008E4713"/>
    <w:rsid w:val="008E5BC1"/>
    <w:rsid w:val="008E7698"/>
    <w:rsid w:val="008F0F17"/>
    <w:rsid w:val="008F4C62"/>
    <w:rsid w:val="008F5E3B"/>
    <w:rsid w:val="008F6933"/>
    <w:rsid w:val="008F7104"/>
    <w:rsid w:val="008F7D25"/>
    <w:rsid w:val="00900C8D"/>
    <w:rsid w:val="00905A0D"/>
    <w:rsid w:val="00914FDF"/>
    <w:rsid w:val="0091599A"/>
    <w:rsid w:val="00917EB1"/>
    <w:rsid w:val="00921436"/>
    <w:rsid w:val="009231F1"/>
    <w:rsid w:val="0092433B"/>
    <w:rsid w:val="009243B2"/>
    <w:rsid w:val="00926B57"/>
    <w:rsid w:val="00930F79"/>
    <w:rsid w:val="00931EF0"/>
    <w:rsid w:val="00932F08"/>
    <w:rsid w:val="00935A0D"/>
    <w:rsid w:val="00936419"/>
    <w:rsid w:val="00936724"/>
    <w:rsid w:val="00940FFE"/>
    <w:rsid w:val="009411A0"/>
    <w:rsid w:val="00943B74"/>
    <w:rsid w:val="0094486F"/>
    <w:rsid w:val="00944CA2"/>
    <w:rsid w:val="0094691B"/>
    <w:rsid w:val="00947905"/>
    <w:rsid w:val="009500DD"/>
    <w:rsid w:val="00951F0F"/>
    <w:rsid w:val="009573BD"/>
    <w:rsid w:val="0096089C"/>
    <w:rsid w:val="00964E79"/>
    <w:rsid w:val="00964F37"/>
    <w:rsid w:val="009668D8"/>
    <w:rsid w:val="009702F7"/>
    <w:rsid w:val="009745CF"/>
    <w:rsid w:val="00975A2A"/>
    <w:rsid w:val="00975EB9"/>
    <w:rsid w:val="009763B8"/>
    <w:rsid w:val="00981F51"/>
    <w:rsid w:val="00982117"/>
    <w:rsid w:val="009821F6"/>
    <w:rsid w:val="009837CB"/>
    <w:rsid w:val="009858EF"/>
    <w:rsid w:val="0099075B"/>
    <w:rsid w:val="00990E7A"/>
    <w:rsid w:val="00992009"/>
    <w:rsid w:val="009925EC"/>
    <w:rsid w:val="009969DF"/>
    <w:rsid w:val="009A00BC"/>
    <w:rsid w:val="009A0F6D"/>
    <w:rsid w:val="009A1338"/>
    <w:rsid w:val="009A3ADA"/>
    <w:rsid w:val="009A3F8E"/>
    <w:rsid w:val="009A78A9"/>
    <w:rsid w:val="009B299F"/>
    <w:rsid w:val="009B29BB"/>
    <w:rsid w:val="009B55C4"/>
    <w:rsid w:val="009B6C33"/>
    <w:rsid w:val="009C3731"/>
    <w:rsid w:val="009C4312"/>
    <w:rsid w:val="009D00FC"/>
    <w:rsid w:val="009D4854"/>
    <w:rsid w:val="009D5847"/>
    <w:rsid w:val="009D605C"/>
    <w:rsid w:val="009D6900"/>
    <w:rsid w:val="009E0E68"/>
    <w:rsid w:val="009E11BB"/>
    <w:rsid w:val="009E1E5F"/>
    <w:rsid w:val="009E2235"/>
    <w:rsid w:val="009E266B"/>
    <w:rsid w:val="009E32E3"/>
    <w:rsid w:val="009E7036"/>
    <w:rsid w:val="009F19E6"/>
    <w:rsid w:val="009F5F38"/>
    <w:rsid w:val="009F704F"/>
    <w:rsid w:val="00A00110"/>
    <w:rsid w:val="00A037CB"/>
    <w:rsid w:val="00A1119C"/>
    <w:rsid w:val="00A20F7B"/>
    <w:rsid w:val="00A30389"/>
    <w:rsid w:val="00A36ED5"/>
    <w:rsid w:val="00A400B1"/>
    <w:rsid w:val="00A41054"/>
    <w:rsid w:val="00A42503"/>
    <w:rsid w:val="00A42D27"/>
    <w:rsid w:val="00A43472"/>
    <w:rsid w:val="00A4679F"/>
    <w:rsid w:val="00A51D2C"/>
    <w:rsid w:val="00A52C18"/>
    <w:rsid w:val="00A5404F"/>
    <w:rsid w:val="00A56ECB"/>
    <w:rsid w:val="00A57AFC"/>
    <w:rsid w:val="00A6220A"/>
    <w:rsid w:val="00A67754"/>
    <w:rsid w:val="00A76FB1"/>
    <w:rsid w:val="00A81140"/>
    <w:rsid w:val="00A900E2"/>
    <w:rsid w:val="00A9255B"/>
    <w:rsid w:val="00A95B59"/>
    <w:rsid w:val="00A96EE6"/>
    <w:rsid w:val="00A97959"/>
    <w:rsid w:val="00AA19A7"/>
    <w:rsid w:val="00AA2C2B"/>
    <w:rsid w:val="00AA37FC"/>
    <w:rsid w:val="00AA44B0"/>
    <w:rsid w:val="00AB3F5E"/>
    <w:rsid w:val="00AB4396"/>
    <w:rsid w:val="00AB7491"/>
    <w:rsid w:val="00AC08A3"/>
    <w:rsid w:val="00AC6E31"/>
    <w:rsid w:val="00AD1D3D"/>
    <w:rsid w:val="00AE013D"/>
    <w:rsid w:val="00AE34E5"/>
    <w:rsid w:val="00AF200E"/>
    <w:rsid w:val="00AF203D"/>
    <w:rsid w:val="00AF299E"/>
    <w:rsid w:val="00AF2AD6"/>
    <w:rsid w:val="00AF55A6"/>
    <w:rsid w:val="00B03CE2"/>
    <w:rsid w:val="00B06BA1"/>
    <w:rsid w:val="00B11E6A"/>
    <w:rsid w:val="00B203FB"/>
    <w:rsid w:val="00B21982"/>
    <w:rsid w:val="00B25A6F"/>
    <w:rsid w:val="00B26ECA"/>
    <w:rsid w:val="00B3259B"/>
    <w:rsid w:val="00B35432"/>
    <w:rsid w:val="00B373AD"/>
    <w:rsid w:val="00B41270"/>
    <w:rsid w:val="00B4134E"/>
    <w:rsid w:val="00B42451"/>
    <w:rsid w:val="00B42B2D"/>
    <w:rsid w:val="00B44DA3"/>
    <w:rsid w:val="00B5061D"/>
    <w:rsid w:val="00B5114C"/>
    <w:rsid w:val="00B518F7"/>
    <w:rsid w:val="00B5328A"/>
    <w:rsid w:val="00B5510F"/>
    <w:rsid w:val="00B623CE"/>
    <w:rsid w:val="00B662AD"/>
    <w:rsid w:val="00B82000"/>
    <w:rsid w:val="00B84F7F"/>
    <w:rsid w:val="00B86E05"/>
    <w:rsid w:val="00B91560"/>
    <w:rsid w:val="00B91A02"/>
    <w:rsid w:val="00B92B46"/>
    <w:rsid w:val="00B92E1C"/>
    <w:rsid w:val="00B96729"/>
    <w:rsid w:val="00BA00A9"/>
    <w:rsid w:val="00BA0426"/>
    <w:rsid w:val="00BA1B7A"/>
    <w:rsid w:val="00BA36A5"/>
    <w:rsid w:val="00BA69F4"/>
    <w:rsid w:val="00BB0CC2"/>
    <w:rsid w:val="00BB1A72"/>
    <w:rsid w:val="00BB37FC"/>
    <w:rsid w:val="00BB5D7D"/>
    <w:rsid w:val="00BB6202"/>
    <w:rsid w:val="00BB7698"/>
    <w:rsid w:val="00BC15AB"/>
    <w:rsid w:val="00BC250E"/>
    <w:rsid w:val="00BC30AA"/>
    <w:rsid w:val="00BC3FE1"/>
    <w:rsid w:val="00BC63BC"/>
    <w:rsid w:val="00BC7267"/>
    <w:rsid w:val="00BD000E"/>
    <w:rsid w:val="00BD0947"/>
    <w:rsid w:val="00BD1625"/>
    <w:rsid w:val="00BD1BDB"/>
    <w:rsid w:val="00BD1BFA"/>
    <w:rsid w:val="00BD24F0"/>
    <w:rsid w:val="00BD3AD2"/>
    <w:rsid w:val="00BD428D"/>
    <w:rsid w:val="00BD6BED"/>
    <w:rsid w:val="00BD7483"/>
    <w:rsid w:val="00BE0E74"/>
    <w:rsid w:val="00BE226E"/>
    <w:rsid w:val="00BE67A1"/>
    <w:rsid w:val="00BF0748"/>
    <w:rsid w:val="00C0130F"/>
    <w:rsid w:val="00C0590E"/>
    <w:rsid w:val="00C1122F"/>
    <w:rsid w:val="00C134E5"/>
    <w:rsid w:val="00C16490"/>
    <w:rsid w:val="00C17535"/>
    <w:rsid w:val="00C20E42"/>
    <w:rsid w:val="00C22635"/>
    <w:rsid w:val="00C22842"/>
    <w:rsid w:val="00C23048"/>
    <w:rsid w:val="00C23621"/>
    <w:rsid w:val="00C265CC"/>
    <w:rsid w:val="00C273AE"/>
    <w:rsid w:val="00C4317A"/>
    <w:rsid w:val="00C472F7"/>
    <w:rsid w:val="00C47D1B"/>
    <w:rsid w:val="00C503FF"/>
    <w:rsid w:val="00C515D8"/>
    <w:rsid w:val="00C51B23"/>
    <w:rsid w:val="00C53782"/>
    <w:rsid w:val="00C53E72"/>
    <w:rsid w:val="00C546A6"/>
    <w:rsid w:val="00C57553"/>
    <w:rsid w:val="00C6012D"/>
    <w:rsid w:val="00C673D1"/>
    <w:rsid w:val="00C700F0"/>
    <w:rsid w:val="00C716E5"/>
    <w:rsid w:val="00C74C5A"/>
    <w:rsid w:val="00C77548"/>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7E22"/>
    <w:rsid w:val="00CA30DF"/>
    <w:rsid w:val="00CA456C"/>
    <w:rsid w:val="00CA460D"/>
    <w:rsid w:val="00CA66DF"/>
    <w:rsid w:val="00CA7476"/>
    <w:rsid w:val="00CB2A57"/>
    <w:rsid w:val="00CB4888"/>
    <w:rsid w:val="00CB7C0D"/>
    <w:rsid w:val="00CC0147"/>
    <w:rsid w:val="00CC0C5D"/>
    <w:rsid w:val="00CC0EE1"/>
    <w:rsid w:val="00CC22DD"/>
    <w:rsid w:val="00CC2BF2"/>
    <w:rsid w:val="00CC30A8"/>
    <w:rsid w:val="00CC5E23"/>
    <w:rsid w:val="00CD2AE3"/>
    <w:rsid w:val="00CD5FBA"/>
    <w:rsid w:val="00CE101F"/>
    <w:rsid w:val="00CE1592"/>
    <w:rsid w:val="00CE2811"/>
    <w:rsid w:val="00CE46FC"/>
    <w:rsid w:val="00CE4AA8"/>
    <w:rsid w:val="00CE657B"/>
    <w:rsid w:val="00CF6B0F"/>
    <w:rsid w:val="00CF76B5"/>
    <w:rsid w:val="00D01EDC"/>
    <w:rsid w:val="00D027E3"/>
    <w:rsid w:val="00D035FA"/>
    <w:rsid w:val="00D0708D"/>
    <w:rsid w:val="00D11533"/>
    <w:rsid w:val="00D16EAC"/>
    <w:rsid w:val="00D17DCA"/>
    <w:rsid w:val="00D202B4"/>
    <w:rsid w:val="00D24764"/>
    <w:rsid w:val="00D24A5F"/>
    <w:rsid w:val="00D269B7"/>
    <w:rsid w:val="00D278A7"/>
    <w:rsid w:val="00D31BFC"/>
    <w:rsid w:val="00D33B5C"/>
    <w:rsid w:val="00D371C6"/>
    <w:rsid w:val="00D372B2"/>
    <w:rsid w:val="00D4136B"/>
    <w:rsid w:val="00D41D70"/>
    <w:rsid w:val="00D42175"/>
    <w:rsid w:val="00D42497"/>
    <w:rsid w:val="00D47351"/>
    <w:rsid w:val="00D50580"/>
    <w:rsid w:val="00D518E8"/>
    <w:rsid w:val="00D53645"/>
    <w:rsid w:val="00D649B8"/>
    <w:rsid w:val="00D7015C"/>
    <w:rsid w:val="00D71585"/>
    <w:rsid w:val="00D72B26"/>
    <w:rsid w:val="00D746A0"/>
    <w:rsid w:val="00D75214"/>
    <w:rsid w:val="00D77B71"/>
    <w:rsid w:val="00D83CE5"/>
    <w:rsid w:val="00D90475"/>
    <w:rsid w:val="00D95EF8"/>
    <w:rsid w:val="00D96CBA"/>
    <w:rsid w:val="00DA4C11"/>
    <w:rsid w:val="00DA63C9"/>
    <w:rsid w:val="00DB1E69"/>
    <w:rsid w:val="00DB78B5"/>
    <w:rsid w:val="00DC215D"/>
    <w:rsid w:val="00DC3E83"/>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E01862"/>
    <w:rsid w:val="00E020A1"/>
    <w:rsid w:val="00E132D9"/>
    <w:rsid w:val="00E16244"/>
    <w:rsid w:val="00E16369"/>
    <w:rsid w:val="00E16404"/>
    <w:rsid w:val="00E16AC1"/>
    <w:rsid w:val="00E2092A"/>
    <w:rsid w:val="00E2306B"/>
    <w:rsid w:val="00E34890"/>
    <w:rsid w:val="00E4041D"/>
    <w:rsid w:val="00E45F6B"/>
    <w:rsid w:val="00E53262"/>
    <w:rsid w:val="00E5532F"/>
    <w:rsid w:val="00E64143"/>
    <w:rsid w:val="00E6514E"/>
    <w:rsid w:val="00E66AC9"/>
    <w:rsid w:val="00E66CA0"/>
    <w:rsid w:val="00E71476"/>
    <w:rsid w:val="00E72928"/>
    <w:rsid w:val="00E7373D"/>
    <w:rsid w:val="00E74285"/>
    <w:rsid w:val="00E81221"/>
    <w:rsid w:val="00E8169E"/>
    <w:rsid w:val="00E82A53"/>
    <w:rsid w:val="00E86E4F"/>
    <w:rsid w:val="00E87ACA"/>
    <w:rsid w:val="00EA4CD3"/>
    <w:rsid w:val="00EA6925"/>
    <w:rsid w:val="00EA6C66"/>
    <w:rsid w:val="00EA6D71"/>
    <w:rsid w:val="00EA76AE"/>
    <w:rsid w:val="00EB1551"/>
    <w:rsid w:val="00EB1965"/>
    <w:rsid w:val="00EB29D3"/>
    <w:rsid w:val="00EB3E96"/>
    <w:rsid w:val="00EB3FB7"/>
    <w:rsid w:val="00EB4AF6"/>
    <w:rsid w:val="00EB648C"/>
    <w:rsid w:val="00EC0103"/>
    <w:rsid w:val="00EC35B4"/>
    <w:rsid w:val="00ED11F4"/>
    <w:rsid w:val="00ED3020"/>
    <w:rsid w:val="00ED4241"/>
    <w:rsid w:val="00ED4629"/>
    <w:rsid w:val="00ED4E84"/>
    <w:rsid w:val="00ED7CAF"/>
    <w:rsid w:val="00EF079E"/>
    <w:rsid w:val="00EF0A68"/>
    <w:rsid w:val="00EF4435"/>
    <w:rsid w:val="00F00AB6"/>
    <w:rsid w:val="00F00D29"/>
    <w:rsid w:val="00F02049"/>
    <w:rsid w:val="00F069F1"/>
    <w:rsid w:val="00F12A0E"/>
    <w:rsid w:val="00F1449C"/>
    <w:rsid w:val="00F17174"/>
    <w:rsid w:val="00F172EE"/>
    <w:rsid w:val="00F179D8"/>
    <w:rsid w:val="00F2098F"/>
    <w:rsid w:val="00F30F7B"/>
    <w:rsid w:val="00F3135D"/>
    <w:rsid w:val="00F32611"/>
    <w:rsid w:val="00F32BCB"/>
    <w:rsid w:val="00F404C3"/>
    <w:rsid w:val="00F41380"/>
    <w:rsid w:val="00F414B3"/>
    <w:rsid w:val="00F4364A"/>
    <w:rsid w:val="00F44AC2"/>
    <w:rsid w:val="00F45839"/>
    <w:rsid w:val="00F4715B"/>
    <w:rsid w:val="00F47EF8"/>
    <w:rsid w:val="00F507C3"/>
    <w:rsid w:val="00F5164C"/>
    <w:rsid w:val="00F533A1"/>
    <w:rsid w:val="00F552FA"/>
    <w:rsid w:val="00F567A8"/>
    <w:rsid w:val="00F574F8"/>
    <w:rsid w:val="00F6065B"/>
    <w:rsid w:val="00F63C1F"/>
    <w:rsid w:val="00F75810"/>
    <w:rsid w:val="00F80729"/>
    <w:rsid w:val="00F80996"/>
    <w:rsid w:val="00F84BAA"/>
    <w:rsid w:val="00F84D35"/>
    <w:rsid w:val="00F8725D"/>
    <w:rsid w:val="00F87384"/>
    <w:rsid w:val="00F907B2"/>
    <w:rsid w:val="00F97A48"/>
    <w:rsid w:val="00F97F78"/>
    <w:rsid w:val="00FA499D"/>
    <w:rsid w:val="00FA5129"/>
    <w:rsid w:val="00FA62D8"/>
    <w:rsid w:val="00FA7FF8"/>
    <w:rsid w:val="00FB1D39"/>
    <w:rsid w:val="00FB48D6"/>
    <w:rsid w:val="00FB59B6"/>
    <w:rsid w:val="00FC3695"/>
    <w:rsid w:val="00FD1DE6"/>
    <w:rsid w:val="00FD49E6"/>
    <w:rsid w:val="00FD5E21"/>
    <w:rsid w:val="00FD6EAB"/>
    <w:rsid w:val="00FD7CD2"/>
    <w:rsid w:val="00FE021A"/>
    <w:rsid w:val="00FE1A69"/>
    <w:rsid w:val="00FE1B57"/>
    <w:rsid w:val="00FE43BA"/>
    <w:rsid w:val="00FE5006"/>
    <w:rsid w:val="00FE50E8"/>
    <w:rsid w:val="00FE5219"/>
    <w:rsid w:val="00FE6C02"/>
    <w:rsid w:val="00FE71F9"/>
    <w:rsid w:val="00FE7915"/>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Textoindependiente">
    <w:name w:val="Body Text"/>
    <w:basedOn w:val="Normal"/>
    <w:link w:val="TextoindependienteCar"/>
    <w:uiPriority w:val="99"/>
    <w:unhideWhenUsed/>
    <w:rsid w:val="00E53262"/>
    <w:pPr>
      <w:spacing w:after="120"/>
    </w:pPr>
  </w:style>
  <w:style w:type="character" w:customStyle="1" w:styleId="TextoindependienteCar">
    <w:name w:val="Texto independiente Car"/>
    <w:basedOn w:val="Fuentedeprrafopredeter"/>
    <w:link w:val="Textoindependiente"/>
    <w:uiPriority w:val="99"/>
    <w:rsid w:val="00E53262"/>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04263B"/>
    <w:rPr>
      <w:rFonts w:ascii="Times New Roman" w:eastAsia="Times New Roman" w:hAnsi="Times New Roman" w:cs="Times New Roman"/>
      <w:lang w:val="es-MX"/>
    </w:rPr>
  </w:style>
  <w:style w:type="character" w:styleId="Textoennegrita">
    <w:name w:val="Strong"/>
    <w:uiPriority w:val="22"/>
    <w:qFormat/>
    <w:rsid w:val="0004263B"/>
    <w:rPr>
      <w:b/>
      <w:bCs/>
    </w:rPr>
  </w:style>
  <w:style w:type="character" w:customStyle="1" w:styleId="SinespaciadoCar">
    <w:name w:val="Sin espaciado Car"/>
    <w:aliases w:val="Francesa Car"/>
    <w:link w:val="Sinespaciado"/>
    <w:uiPriority w:val="1"/>
    <w:locked/>
    <w:rsid w:val="0004263B"/>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3801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0270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21614244">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55E0-043A-4999-A28B-C71D5DA3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6840</TotalTime>
  <Pages>29</Pages>
  <Words>7679</Words>
  <Characters>42238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417</cp:revision>
  <cp:lastPrinted>2018-11-14T16:32:00Z</cp:lastPrinted>
  <dcterms:created xsi:type="dcterms:W3CDTF">2016-05-24T16:33:00Z</dcterms:created>
  <dcterms:modified xsi:type="dcterms:W3CDTF">2019-01-08T01:57:00Z</dcterms:modified>
</cp:coreProperties>
</file>