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264223" w:rsidTr="00264223">
        <w:trPr>
          <w:trHeight w:val="144"/>
        </w:trPr>
        <w:tc>
          <w:tcPr>
            <w:tcW w:w="2869" w:type="dxa"/>
          </w:tcPr>
          <w:p w:rsidR="00264223" w:rsidRPr="00026EBB" w:rsidRDefault="00264223" w:rsidP="008373CE">
            <w:pPr>
              <w:tabs>
                <w:tab w:val="right" w:pos="8838"/>
              </w:tabs>
              <w:spacing w:line="360"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539" w:type="dxa"/>
          </w:tcPr>
          <w:p w:rsidR="00264223" w:rsidRPr="00026EBB" w:rsidRDefault="00026EBB" w:rsidP="008373CE">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w:t>
            </w:r>
            <w:r w:rsidR="00C5201C">
              <w:rPr>
                <w:rFonts w:ascii="Palatino Linotype" w:eastAsia="Calibri" w:hAnsi="Palatino Linotype" w:cs="Tahoma"/>
                <w:bCs/>
                <w:sz w:val="22"/>
                <w:szCs w:val="22"/>
                <w:lang w:eastAsia="en-US"/>
              </w:rPr>
              <w:t>686</w:t>
            </w:r>
            <w:r w:rsidR="00264223" w:rsidRPr="00026EBB">
              <w:rPr>
                <w:rFonts w:ascii="Palatino Linotype" w:eastAsia="Calibri" w:hAnsi="Palatino Linotype" w:cs="Tahoma"/>
                <w:bCs/>
                <w:sz w:val="22"/>
                <w:szCs w:val="22"/>
                <w:lang w:eastAsia="en-US"/>
              </w:rPr>
              <w:t>/INFOEM/IP/RR/2018</w:t>
            </w:r>
          </w:p>
        </w:tc>
      </w:tr>
      <w:tr w:rsidR="00264223" w:rsidRPr="00264223" w:rsidTr="00264223">
        <w:trPr>
          <w:trHeight w:val="144"/>
        </w:trPr>
        <w:tc>
          <w:tcPr>
            <w:tcW w:w="2869" w:type="dxa"/>
          </w:tcPr>
          <w:p w:rsidR="00264223" w:rsidRPr="00026EBB" w:rsidRDefault="00264223" w:rsidP="008373CE">
            <w:pPr>
              <w:tabs>
                <w:tab w:val="right" w:pos="8838"/>
              </w:tabs>
              <w:spacing w:line="360"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539" w:type="dxa"/>
          </w:tcPr>
          <w:p w:rsidR="00264223" w:rsidRPr="00026EBB" w:rsidRDefault="00A93E46" w:rsidP="008373CE">
            <w:pPr>
              <w:tabs>
                <w:tab w:val="right" w:pos="8838"/>
              </w:tabs>
              <w:spacing w:line="360" w:lineRule="auto"/>
              <w:ind w:right="171"/>
              <w:jc w:val="both"/>
              <w:rPr>
                <w:rFonts w:ascii="Palatino Linotype" w:eastAsia="Calibri" w:hAnsi="Palatino Linotype" w:cs="Tahoma"/>
                <w:sz w:val="22"/>
                <w:szCs w:val="22"/>
                <w:lang w:val="es-MX" w:eastAsia="en-US"/>
              </w:rPr>
            </w:pPr>
            <w:r w:rsidRPr="00A93E46">
              <w:rPr>
                <w:rFonts w:ascii="Palatino Linotype" w:eastAsia="Calibri" w:hAnsi="Palatino Linotype" w:cs="Tahoma"/>
                <w:sz w:val="22"/>
                <w:szCs w:val="22"/>
                <w:highlight w:val="black"/>
                <w:lang w:val="es-MX" w:eastAsia="en-US"/>
              </w:rPr>
              <w:t>-----------------------------------</w:t>
            </w:r>
          </w:p>
        </w:tc>
      </w:tr>
      <w:tr w:rsidR="00264223" w:rsidRPr="00264223" w:rsidTr="00264223">
        <w:trPr>
          <w:trHeight w:val="283"/>
        </w:trPr>
        <w:tc>
          <w:tcPr>
            <w:tcW w:w="2869" w:type="dxa"/>
          </w:tcPr>
          <w:p w:rsidR="00264223" w:rsidRPr="00026EBB" w:rsidRDefault="00264223" w:rsidP="008373CE">
            <w:pPr>
              <w:tabs>
                <w:tab w:val="right" w:pos="8838"/>
              </w:tabs>
              <w:spacing w:line="360"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539" w:type="dxa"/>
          </w:tcPr>
          <w:p w:rsidR="00264223" w:rsidRPr="00026EBB" w:rsidRDefault="00264223" w:rsidP="008373CE">
            <w:pPr>
              <w:tabs>
                <w:tab w:val="right" w:pos="8838"/>
              </w:tabs>
              <w:spacing w:line="360"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sidR="00026EBB">
              <w:rPr>
                <w:rFonts w:ascii="Palatino Linotype" w:eastAsia="Calibri" w:hAnsi="Palatino Linotype" w:cs="Tahoma"/>
                <w:sz w:val="22"/>
                <w:szCs w:val="22"/>
                <w:lang w:val="es-MX" w:eastAsia="en-US"/>
              </w:rPr>
              <w:t xml:space="preserve"> de </w:t>
            </w:r>
            <w:r w:rsidR="00C5201C">
              <w:rPr>
                <w:rFonts w:ascii="Palatino Linotype" w:eastAsia="Calibri" w:hAnsi="Palatino Linotype" w:cs="Tahoma"/>
                <w:sz w:val="22"/>
                <w:szCs w:val="22"/>
                <w:lang w:val="es-MX" w:eastAsia="en-US"/>
              </w:rPr>
              <w:t>Rayón</w:t>
            </w:r>
          </w:p>
        </w:tc>
      </w:tr>
      <w:tr w:rsidR="00264223" w:rsidRPr="00264223" w:rsidTr="00264223">
        <w:trPr>
          <w:trHeight w:val="283"/>
        </w:trPr>
        <w:tc>
          <w:tcPr>
            <w:tcW w:w="2869" w:type="dxa"/>
          </w:tcPr>
          <w:p w:rsidR="00264223" w:rsidRPr="00026EBB" w:rsidRDefault="00264223" w:rsidP="008373CE">
            <w:pPr>
              <w:tabs>
                <w:tab w:val="right" w:pos="8838"/>
              </w:tabs>
              <w:spacing w:line="360"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539" w:type="dxa"/>
          </w:tcPr>
          <w:p w:rsidR="00264223" w:rsidRPr="00026EBB" w:rsidRDefault="00264223" w:rsidP="008373CE">
            <w:pPr>
              <w:tabs>
                <w:tab w:val="right" w:pos="8838"/>
              </w:tabs>
              <w:spacing w:line="360"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B6258B" w:rsidRDefault="00B6258B" w:rsidP="008373CE">
      <w:pPr>
        <w:spacing w:line="360" w:lineRule="auto"/>
        <w:jc w:val="both"/>
        <w:rPr>
          <w:rFonts w:ascii="Palatino Linotype" w:hAnsi="Palatino Linotype" w:cs="Tahoma"/>
          <w:bCs/>
          <w:sz w:val="22"/>
          <w:szCs w:val="22"/>
        </w:rPr>
      </w:pPr>
    </w:p>
    <w:p w:rsidR="0074285B" w:rsidRDefault="00D22B6A" w:rsidP="008373CE">
      <w:pPr>
        <w:spacing w:line="360" w:lineRule="auto"/>
        <w:jc w:val="both"/>
        <w:rPr>
          <w:rFonts w:ascii="Palatino Linotype" w:hAnsi="Palatino Linotype"/>
          <w:noProof/>
          <w:sz w:val="22"/>
          <w:szCs w:val="22"/>
          <w:lang w:val="es-ES"/>
        </w:rPr>
      </w:pPr>
      <w:r w:rsidRPr="0026422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5201C">
        <w:rPr>
          <w:rFonts w:ascii="Palatino Linotype" w:hAnsi="Palatino Linotype" w:cs="Tahoma"/>
          <w:bCs/>
          <w:sz w:val="22"/>
          <w:szCs w:val="22"/>
        </w:rPr>
        <w:t xml:space="preserve">catorce </w:t>
      </w:r>
      <w:r w:rsidR="00492DCA">
        <w:rPr>
          <w:rFonts w:ascii="Palatino Linotype" w:hAnsi="Palatino Linotype" w:cs="Tahoma"/>
          <w:bCs/>
          <w:sz w:val="22"/>
          <w:szCs w:val="22"/>
        </w:rPr>
        <w:t xml:space="preserve">de </w:t>
      </w:r>
      <w:r w:rsidR="00026EBB">
        <w:rPr>
          <w:rFonts w:ascii="Palatino Linotype" w:hAnsi="Palatino Linotype" w:cs="Tahoma"/>
          <w:bCs/>
          <w:sz w:val="22"/>
          <w:szCs w:val="22"/>
        </w:rPr>
        <w:t xml:space="preserve">noviembre </w:t>
      </w:r>
      <w:r w:rsidRPr="00264223">
        <w:rPr>
          <w:rFonts w:ascii="Palatino Linotype" w:hAnsi="Palatino Linotype" w:cs="Tahoma"/>
          <w:bCs/>
          <w:sz w:val="22"/>
          <w:szCs w:val="22"/>
        </w:rPr>
        <w:t>de dos mil dieciocho.</w:t>
      </w:r>
    </w:p>
    <w:p w:rsidR="00492DCA" w:rsidRPr="00492DCA" w:rsidRDefault="00492DCA" w:rsidP="008373CE">
      <w:pPr>
        <w:spacing w:line="360" w:lineRule="auto"/>
        <w:jc w:val="both"/>
        <w:rPr>
          <w:rFonts w:ascii="Palatino Linotype" w:hAnsi="Palatino Linotype"/>
          <w:noProof/>
          <w:sz w:val="22"/>
          <w:szCs w:val="22"/>
          <w:lang w:val="es-ES"/>
        </w:rPr>
      </w:pPr>
    </w:p>
    <w:p w:rsidR="00400FDE" w:rsidRPr="00264223" w:rsidRDefault="00575DE3" w:rsidP="008373CE">
      <w:pPr>
        <w:spacing w:line="360" w:lineRule="auto"/>
        <w:jc w:val="both"/>
        <w:rPr>
          <w:rFonts w:ascii="Palatino Linotype" w:hAnsi="Palatino Linotype" w:cs="Tahoma"/>
          <w:bCs/>
          <w:sz w:val="22"/>
          <w:szCs w:val="22"/>
        </w:rPr>
      </w:pPr>
      <w:r w:rsidRPr="00EA68DA">
        <w:rPr>
          <w:rFonts w:ascii="Palatino Linotype" w:hAnsi="Palatino Linotype" w:cs="Tahoma"/>
          <w:b/>
          <w:bCs/>
          <w:color w:val="0D0D0D" w:themeColor="text1" w:themeTint="F2"/>
          <w:sz w:val="22"/>
          <w:szCs w:val="22"/>
        </w:rPr>
        <w:t>VISTO</w:t>
      </w:r>
      <w:r w:rsidR="0019389B" w:rsidRPr="00264223">
        <w:rPr>
          <w:rFonts w:ascii="Palatino Linotype" w:hAnsi="Palatino Linotype" w:cs="Tahoma"/>
          <w:bCs/>
          <w:color w:val="0D0D0D" w:themeColor="text1" w:themeTint="F2"/>
          <w:sz w:val="22"/>
          <w:szCs w:val="22"/>
        </w:rPr>
        <w:t xml:space="preserve"> el expediente conformado </w:t>
      </w:r>
      <w:r w:rsidR="00422869" w:rsidRPr="00264223">
        <w:rPr>
          <w:rFonts w:ascii="Palatino Linotype" w:hAnsi="Palatino Linotype" w:cs="Tahoma"/>
          <w:bCs/>
          <w:color w:val="0D0D0D" w:themeColor="text1" w:themeTint="F2"/>
          <w:sz w:val="22"/>
          <w:szCs w:val="22"/>
        </w:rPr>
        <w:t xml:space="preserve">con motivo del Recurso de Revisión </w:t>
      </w:r>
      <w:r w:rsidR="00026EBB" w:rsidRPr="00EA68DA">
        <w:rPr>
          <w:rFonts w:ascii="Palatino Linotype" w:hAnsi="Palatino Linotype" w:cs="Tahoma"/>
          <w:b/>
          <w:bCs/>
          <w:color w:val="0D0D0D" w:themeColor="text1" w:themeTint="F2"/>
          <w:sz w:val="22"/>
          <w:szCs w:val="22"/>
        </w:rPr>
        <w:t>03</w:t>
      </w:r>
      <w:r w:rsidR="00C5201C">
        <w:rPr>
          <w:rFonts w:ascii="Palatino Linotype" w:hAnsi="Palatino Linotype" w:cs="Tahoma"/>
          <w:b/>
          <w:bCs/>
          <w:color w:val="0D0D0D" w:themeColor="text1" w:themeTint="F2"/>
          <w:sz w:val="22"/>
          <w:szCs w:val="22"/>
        </w:rPr>
        <w:t>686</w:t>
      </w:r>
      <w:r w:rsidR="006C1B1D" w:rsidRPr="00EA68DA">
        <w:rPr>
          <w:rFonts w:ascii="Palatino Linotype" w:hAnsi="Palatino Linotype" w:cs="Tahoma"/>
          <w:b/>
          <w:bCs/>
          <w:color w:val="0D0D0D" w:themeColor="text1" w:themeTint="F2"/>
          <w:sz w:val="22"/>
          <w:szCs w:val="22"/>
        </w:rPr>
        <w:t>/</w:t>
      </w:r>
      <w:r w:rsidR="002A0FB8" w:rsidRPr="00EA68DA">
        <w:rPr>
          <w:rFonts w:ascii="Palatino Linotype" w:hAnsi="Palatino Linotype" w:cs="Tahoma"/>
          <w:b/>
          <w:bCs/>
          <w:color w:val="0D0D0D" w:themeColor="text1" w:themeTint="F2"/>
          <w:sz w:val="22"/>
          <w:szCs w:val="22"/>
        </w:rPr>
        <w:t>INFOEM</w:t>
      </w:r>
      <w:r w:rsidR="006C1B1D" w:rsidRPr="00EA68DA">
        <w:rPr>
          <w:rFonts w:ascii="Palatino Linotype" w:hAnsi="Palatino Linotype" w:cs="Tahoma"/>
          <w:b/>
          <w:bCs/>
          <w:color w:val="0D0D0D" w:themeColor="text1" w:themeTint="F2"/>
          <w:sz w:val="22"/>
          <w:szCs w:val="22"/>
        </w:rPr>
        <w:t>/IP/2018</w:t>
      </w:r>
      <w:r w:rsidR="00422869" w:rsidRPr="00264223">
        <w:rPr>
          <w:rFonts w:ascii="Palatino Linotype" w:hAnsi="Palatino Linotype" w:cs="Tahoma"/>
          <w:bCs/>
          <w:color w:val="0D0D0D" w:themeColor="text1" w:themeTint="F2"/>
          <w:sz w:val="22"/>
          <w:szCs w:val="22"/>
        </w:rPr>
        <w:t xml:space="preserve">, </w:t>
      </w:r>
      <w:r w:rsidR="00127757" w:rsidRPr="00264223">
        <w:rPr>
          <w:rFonts w:ascii="Palatino Linotype" w:hAnsi="Palatino Linotype" w:cs="Tahoma"/>
          <w:bCs/>
          <w:color w:val="0D0D0D" w:themeColor="text1" w:themeTint="F2"/>
          <w:sz w:val="22"/>
          <w:szCs w:val="22"/>
        </w:rPr>
        <w:t>interpuesto por</w:t>
      </w:r>
      <w:r w:rsidR="00E70503">
        <w:rPr>
          <w:rFonts w:ascii="Palatino Linotype" w:hAnsi="Palatino Linotype" w:cs="Tahoma"/>
          <w:bCs/>
          <w:color w:val="0D0D0D" w:themeColor="text1" w:themeTint="F2"/>
          <w:sz w:val="22"/>
          <w:szCs w:val="22"/>
        </w:rPr>
        <w:t xml:space="preserve"> </w:t>
      </w:r>
      <w:r w:rsidR="00A93E46" w:rsidRPr="00A93E46">
        <w:rPr>
          <w:rFonts w:ascii="Palatino Linotype" w:hAnsi="Palatino Linotype" w:cs="Tahoma"/>
          <w:b/>
          <w:bCs/>
          <w:color w:val="0D0D0D" w:themeColor="text1" w:themeTint="F2"/>
          <w:sz w:val="22"/>
          <w:szCs w:val="22"/>
          <w:highlight w:val="black"/>
        </w:rPr>
        <w:t>------------------------------------------------</w:t>
      </w:r>
      <w:r w:rsidR="000A238F" w:rsidRPr="00264223">
        <w:rPr>
          <w:rFonts w:ascii="Palatino Linotype" w:hAnsi="Palatino Linotype" w:cs="Tahoma"/>
          <w:bCs/>
          <w:color w:val="0D0D0D" w:themeColor="text1" w:themeTint="F2"/>
          <w:sz w:val="22"/>
          <w:szCs w:val="22"/>
        </w:rPr>
        <w:t>, en lo sucesivo recurrente o particular,</w:t>
      </w:r>
      <w:r w:rsidR="001F7568">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en contra de la </w:t>
      </w:r>
      <w:r w:rsidR="00576F74" w:rsidRPr="00264223">
        <w:rPr>
          <w:rFonts w:ascii="Palatino Linotype" w:hAnsi="Palatino Linotype" w:cs="Tahoma"/>
          <w:bCs/>
          <w:color w:val="0D0D0D" w:themeColor="text1" w:themeTint="F2"/>
          <w:sz w:val="22"/>
          <w:szCs w:val="22"/>
        </w:rPr>
        <w:t xml:space="preserve">falta de </w:t>
      </w:r>
      <w:r w:rsidR="00DC1594" w:rsidRPr="00264223">
        <w:rPr>
          <w:rFonts w:ascii="Palatino Linotype" w:hAnsi="Palatino Linotype" w:cs="Tahoma"/>
          <w:bCs/>
          <w:color w:val="0D0D0D" w:themeColor="text1" w:themeTint="F2"/>
          <w:sz w:val="22"/>
          <w:szCs w:val="22"/>
        </w:rPr>
        <w:t xml:space="preserve">respuesta del </w:t>
      </w:r>
      <w:r w:rsidR="002A0FB8" w:rsidRPr="00264223">
        <w:rPr>
          <w:rFonts w:ascii="Palatino Linotype" w:hAnsi="Palatino Linotype" w:cs="Tahoma"/>
          <w:bCs/>
          <w:color w:val="0D0D0D" w:themeColor="text1" w:themeTint="F2"/>
          <w:sz w:val="22"/>
          <w:szCs w:val="22"/>
        </w:rPr>
        <w:t>Sujeto Obligado</w:t>
      </w:r>
      <w:r w:rsidR="0088791A">
        <w:rPr>
          <w:rFonts w:ascii="Palatino Linotype" w:hAnsi="Palatino Linotype" w:cs="Tahoma"/>
          <w:bCs/>
          <w:color w:val="0D0D0D" w:themeColor="text1" w:themeTint="F2"/>
          <w:sz w:val="22"/>
          <w:szCs w:val="22"/>
        </w:rPr>
        <w:t>,</w:t>
      </w:r>
      <w:r w:rsidR="002A0FB8" w:rsidRPr="00264223">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Ayuntamiento de</w:t>
      </w:r>
      <w:r w:rsidR="00C5201C">
        <w:rPr>
          <w:rFonts w:ascii="Palatino Linotype" w:hAnsi="Palatino Linotype" w:cs="Tahoma"/>
          <w:bCs/>
          <w:color w:val="0D0D0D" w:themeColor="text1" w:themeTint="F2"/>
          <w:sz w:val="22"/>
          <w:szCs w:val="22"/>
        </w:rPr>
        <w:t xml:space="preserve"> Rayón</w:t>
      </w:r>
      <w:r w:rsidR="00DC1594" w:rsidRPr="00264223">
        <w:rPr>
          <w:rFonts w:ascii="Palatino Linotype" w:hAnsi="Palatino Linotype" w:cs="Tahoma"/>
          <w:bCs/>
          <w:color w:val="0D0D0D" w:themeColor="text1" w:themeTint="F2"/>
          <w:sz w:val="22"/>
          <w:szCs w:val="22"/>
        </w:rPr>
        <w:t xml:space="preserve">, </w:t>
      </w:r>
      <w:r w:rsidR="00422869" w:rsidRPr="00264223">
        <w:rPr>
          <w:rFonts w:ascii="Palatino Linotype" w:hAnsi="Palatino Linotype" w:cs="Tahoma"/>
          <w:bCs/>
          <w:color w:val="0D0D0D" w:themeColor="text1" w:themeTint="F2"/>
          <w:sz w:val="22"/>
          <w:szCs w:val="22"/>
        </w:rPr>
        <w:t xml:space="preserve">se emite la presente Resolución, </w:t>
      </w:r>
      <w:r w:rsidR="00DC1594" w:rsidRPr="00264223">
        <w:rPr>
          <w:rFonts w:ascii="Palatino Linotype" w:hAnsi="Palatino Linotype" w:cs="Tahoma"/>
          <w:bCs/>
          <w:color w:val="0D0D0D" w:themeColor="text1" w:themeTint="F2"/>
          <w:sz w:val="22"/>
          <w:szCs w:val="22"/>
        </w:rPr>
        <w:t>con base en</w:t>
      </w:r>
      <w:r w:rsidR="001F7568">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los </w:t>
      </w:r>
      <w:r w:rsidR="006C1B1D" w:rsidRPr="00264223">
        <w:rPr>
          <w:rFonts w:ascii="Palatino Linotype" w:hAnsi="Palatino Linotype" w:cs="Tahoma"/>
          <w:bCs/>
          <w:color w:val="0D0D0D" w:themeColor="text1" w:themeTint="F2"/>
          <w:sz w:val="22"/>
          <w:szCs w:val="22"/>
        </w:rPr>
        <w:t>A</w:t>
      </w:r>
      <w:r w:rsidR="00DC1594" w:rsidRPr="00264223">
        <w:rPr>
          <w:rFonts w:ascii="Palatino Linotype" w:hAnsi="Palatino Linotype" w:cs="Tahoma"/>
          <w:bCs/>
          <w:color w:val="0D0D0D" w:themeColor="text1" w:themeTint="F2"/>
          <w:sz w:val="22"/>
          <w:szCs w:val="22"/>
        </w:rPr>
        <w:t xml:space="preserve">ntecedentes y </w:t>
      </w:r>
      <w:r w:rsidR="002A0FB8" w:rsidRPr="00264223">
        <w:rPr>
          <w:rFonts w:ascii="Palatino Linotype" w:hAnsi="Palatino Linotype" w:cs="Tahoma"/>
          <w:bCs/>
          <w:color w:val="0D0D0D" w:themeColor="text1" w:themeTint="F2"/>
          <w:sz w:val="22"/>
          <w:szCs w:val="22"/>
        </w:rPr>
        <w:t>C</w:t>
      </w:r>
      <w:r w:rsidR="002A0FB8" w:rsidRPr="00264223">
        <w:rPr>
          <w:rFonts w:ascii="Palatino Linotype" w:hAnsi="Palatino Linotype" w:cs="Tahoma"/>
          <w:bCs/>
          <w:sz w:val="22"/>
          <w:szCs w:val="22"/>
        </w:rPr>
        <w:t xml:space="preserve">onsiderandos </w:t>
      </w:r>
      <w:r w:rsidR="00DC1594" w:rsidRPr="00264223">
        <w:rPr>
          <w:rFonts w:ascii="Palatino Linotype" w:hAnsi="Palatino Linotype" w:cs="Tahoma"/>
          <w:bCs/>
          <w:sz w:val="22"/>
          <w:szCs w:val="22"/>
        </w:rPr>
        <w:t>que a continuación se exponen</w:t>
      </w:r>
      <w:r w:rsidR="00B31222" w:rsidRPr="00264223">
        <w:rPr>
          <w:rFonts w:ascii="Palatino Linotype" w:hAnsi="Palatino Linotype" w:cs="Tahoma"/>
          <w:bCs/>
          <w:sz w:val="22"/>
          <w:szCs w:val="22"/>
        </w:rPr>
        <w:t>:</w:t>
      </w:r>
    </w:p>
    <w:p w:rsidR="00634CEB" w:rsidRDefault="00634CEB" w:rsidP="008373CE">
      <w:pPr>
        <w:tabs>
          <w:tab w:val="center" w:pos="4522"/>
          <w:tab w:val="left" w:pos="7245"/>
          <w:tab w:val="right" w:pos="9044"/>
        </w:tabs>
        <w:spacing w:line="360" w:lineRule="auto"/>
        <w:rPr>
          <w:rFonts w:ascii="Palatino Linotype" w:hAnsi="Palatino Linotype" w:cs="Tahoma"/>
          <w:b/>
          <w:sz w:val="22"/>
          <w:szCs w:val="22"/>
        </w:rPr>
      </w:pPr>
    </w:p>
    <w:p w:rsidR="00B31222" w:rsidRDefault="00B31222" w:rsidP="008373CE">
      <w:pPr>
        <w:tabs>
          <w:tab w:val="center" w:pos="4522"/>
          <w:tab w:val="left" w:pos="7245"/>
          <w:tab w:val="right" w:pos="9044"/>
        </w:tabs>
        <w:spacing w:line="360" w:lineRule="auto"/>
        <w:jc w:val="center"/>
        <w:rPr>
          <w:rFonts w:ascii="Palatino Linotype" w:hAnsi="Palatino Linotype" w:cs="Tahoma"/>
          <w:b/>
          <w:sz w:val="22"/>
          <w:szCs w:val="22"/>
        </w:rPr>
      </w:pPr>
      <w:r w:rsidRPr="00264223">
        <w:rPr>
          <w:rFonts w:ascii="Palatino Linotype" w:hAnsi="Palatino Linotype" w:cs="Tahoma"/>
          <w:b/>
          <w:sz w:val="22"/>
          <w:szCs w:val="22"/>
        </w:rPr>
        <w:t>ANTECEDENTES:</w:t>
      </w:r>
    </w:p>
    <w:p w:rsidR="00683CB5" w:rsidRPr="00264223" w:rsidRDefault="00683CB5" w:rsidP="008373CE">
      <w:pPr>
        <w:tabs>
          <w:tab w:val="center" w:pos="4522"/>
          <w:tab w:val="left" w:pos="7245"/>
          <w:tab w:val="right" w:pos="9044"/>
        </w:tabs>
        <w:spacing w:line="360" w:lineRule="auto"/>
        <w:rPr>
          <w:rFonts w:ascii="Palatino Linotype" w:hAnsi="Palatino Linotype" w:cs="Tahoma"/>
          <w:b/>
          <w:sz w:val="22"/>
          <w:szCs w:val="22"/>
        </w:rPr>
      </w:pPr>
    </w:p>
    <w:p w:rsidR="00DC1594" w:rsidRPr="00264223" w:rsidRDefault="00B31222" w:rsidP="008373CE">
      <w:pPr>
        <w:pStyle w:val="Prrafodelista"/>
        <w:tabs>
          <w:tab w:val="left" w:pos="567"/>
        </w:tabs>
        <w:spacing w:line="360" w:lineRule="auto"/>
        <w:ind w:left="0"/>
        <w:contextualSpacing w:val="0"/>
        <w:jc w:val="both"/>
        <w:rPr>
          <w:rFonts w:ascii="Palatino Linotype" w:hAnsi="Palatino Linotype" w:cs="Tahoma"/>
          <w:b/>
          <w:szCs w:val="22"/>
        </w:rPr>
      </w:pPr>
      <w:r w:rsidRPr="00264223">
        <w:rPr>
          <w:rFonts w:ascii="Palatino Linotype" w:hAnsi="Palatino Linotype" w:cs="Tahoma"/>
          <w:b/>
          <w:szCs w:val="22"/>
        </w:rPr>
        <w:t xml:space="preserve">I. Presentación de la solicitud de información. </w:t>
      </w:r>
    </w:p>
    <w:p w:rsidR="00DC1594" w:rsidRPr="00264223" w:rsidRDefault="00DC1594" w:rsidP="008373CE">
      <w:pPr>
        <w:pStyle w:val="Prrafodelista"/>
        <w:tabs>
          <w:tab w:val="left" w:pos="1050"/>
        </w:tabs>
        <w:spacing w:line="360" w:lineRule="auto"/>
        <w:ind w:left="0"/>
        <w:contextualSpacing w:val="0"/>
        <w:jc w:val="both"/>
        <w:rPr>
          <w:rFonts w:ascii="Palatino Linotype" w:hAnsi="Palatino Linotype" w:cs="Tahoma"/>
          <w:szCs w:val="22"/>
        </w:rPr>
      </w:pPr>
    </w:p>
    <w:p w:rsidR="00637179" w:rsidRDefault="00AA417B" w:rsidP="008373CE">
      <w:pPr>
        <w:pStyle w:val="Prrafodelista"/>
        <w:tabs>
          <w:tab w:val="left" w:pos="567"/>
        </w:tabs>
        <w:spacing w:line="360" w:lineRule="auto"/>
        <w:ind w:left="0"/>
        <w:contextualSpacing w:val="0"/>
        <w:jc w:val="both"/>
        <w:rPr>
          <w:rFonts w:ascii="Palatino Linotype" w:hAnsi="Palatino Linotype" w:cs="Tahoma"/>
          <w:szCs w:val="22"/>
        </w:rPr>
      </w:pPr>
      <w:r w:rsidRPr="00264223">
        <w:rPr>
          <w:rFonts w:ascii="Palatino Linotype" w:hAnsi="Palatino Linotype" w:cs="Tahoma"/>
          <w:szCs w:val="22"/>
        </w:rPr>
        <w:t>Con fecha</w:t>
      </w:r>
      <w:r w:rsidR="00C5201C">
        <w:rPr>
          <w:rFonts w:ascii="Palatino Linotype" w:hAnsi="Palatino Linotype" w:cs="Tahoma"/>
          <w:szCs w:val="22"/>
        </w:rPr>
        <w:t xml:space="preserve"> veintisiete de agosto </w:t>
      </w:r>
      <w:r w:rsidRPr="00264223">
        <w:rPr>
          <w:rFonts w:ascii="Palatino Linotype" w:hAnsi="Palatino Linotype" w:cs="Tahoma"/>
          <w:szCs w:val="22"/>
        </w:rPr>
        <w:t>de</w:t>
      </w:r>
      <w:r w:rsidR="00B31222" w:rsidRPr="00264223">
        <w:rPr>
          <w:rFonts w:ascii="Palatino Linotype" w:hAnsi="Palatino Linotype" w:cs="Tahoma"/>
          <w:szCs w:val="22"/>
        </w:rPr>
        <w:t xml:space="preserve"> dos mil dieciocho, </w:t>
      </w:r>
      <w:r w:rsidR="001F7568">
        <w:rPr>
          <w:rFonts w:ascii="Palatino Linotype" w:hAnsi="Palatino Linotype" w:cs="Tahoma"/>
          <w:szCs w:val="22"/>
        </w:rPr>
        <w:t>la</w:t>
      </w:r>
      <w:r w:rsidR="00C5201C">
        <w:rPr>
          <w:rFonts w:ascii="Palatino Linotype" w:hAnsi="Palatino Linotype" w:cs="Tahoma"/>
          <w:szCs w:val="22"/>
        </w:rPr>
        <w:t xml:space="preserve"> </w:t>
      </w:r>
      <w:r w:rsidR="00EA68DA">
        <w:rPr>
          <w:rFonts w:ascii="Palatino Linotype" w:hAnsi="Palatino Linotype" w:cs="Tahoma"/>
          <w:szCs w:val="22"/>
        </w:rPr>
        <w:t xml:space="preserve">particular presentó </w:t>
      </w:r>
      <w:r w:rsidR="00B31222" w:rsidRPr="00264223">
        <w:rPr>
          <w:rFonts w:ascii="Palatino Linotype" w:hAnsi="Palatino Linotype" w:cs="Tahoma"/>
          <w:szCs w:val="22"/>
        </w:rPr>
        <w:t>solicitud de acceso a la información</w:t>
      </w:r>
      <w:r w:rsidR="00C55151" w:rsidRPr="00264223">
        <w:rPr>
          <w:rFonts w:ascii="Palatino Linotype" w:hAnsi="Palatino Linotype" w:cs="Tahoma"/>
          <w:szCs w:val="22"/>
        </w:rPr>
        <w:t xml:space="preserve"> pública a través d</w:t>
      </w:r>
      <w:r w:rsidR="000C27CA" w:rsidRPr="00264223">
        <w:rPr>
          <w:rFonts w:ascii="Palatino Linotype" w:hAnsi="Palatino Linotype" w:cs="Tahoma"/>
          <w:szCs w:val="22"/>
          <w:lang w:val="es-ES"/>
        </w:rPr>
        <w:t>el Sistema de Acceso a la Información Mexiquense</w:t>
      </w:r>
      <w:r w:rsidR="004100AA" w:rsidRPr="00264223">
        <w:rPr>
          <w:rFonts w:ascii="Palatino Linotype" w:hAnsi="Palatino Linotype" w:cs="Tahoma"/>
          <w:szCs w:val="22"/>
          <w:lang w:val="es-ES"/>
        </w:rPr>
        <w:t xml:space="preserve"> (SAIMEX)</w:t>
      </w:r>
      <w:r w:rsidR="00B31222" w:rsidRPr="00264223">
        <w:rPr>
          <w:rFonts w:ascii="Palatino Linotype" w:hAnsi="Palatino Linotype" w:cs="Tahoma"/>
          <w:szCs w:val="22"/>
        </w:rPr>
        <w:t xml:space="preserve">, </w:t>
      </w:r>
      <w:r w:rsidR="00C55151" w:rsidRPr="00264223">
        <w:rPr>
          <w:rFonts w:ascii="Palatino Linotype" w:hAnsi="Palatino Linotype" w:cs="Tahoma"/>
          <w:szCs w:val="22"/>
        </w:rPr>
        <w:t>ante e</w:t>
      </w:r>
      <w:r w:rsidR="000C27CA" w:rsidRPr="00264223">
        <w:rPr>
          <w:rFonts w:ascii="Palatino Linotype" w:hAnsi="Palatino Linotype" w:cs="Tahoma"/>
          <w:szCs w:val="22"/>
        </w:rPr>
        <w:t xml:space="preserve">l Ayuntamiento de </w:t>
      </w:r>
      <w:r w:rsidR="00C5201C">
        <w:rPr>
          <w:rFonts w:ascii="Palatino Linotype" w:hAnsi="Palatino Linotype" w:cs="Tahoma"/>
          <w:szCs w:val="22"/>
        </w:rPr>
        <w:t>Rayón</w:t>
      </w:r>
      <w:r w:rsidR="00B31222" w:rsidRPr="00264223">
        <w:rPr>
          <w:rFonts w:ascii="Palatino Linotype" w:hAnsi="Palatino Linotype" w:cs="Tahoma"/>
          <w:szCs w:val="22"/>
        </w:rPr>
        <w:t xml:space="preserve">, </w:t>
      </w:r>
      <w:r w:rsidR="00C55151" w:rsidRPr="00264223">
        <w:rPr>
          <w:rFonts w:ascii="Palatino Linotype" w:hAnsi="Palatino Linotype" w:cs="Tahoma"/>
          <w:szCs w:val="22"/>
        </w:rPr>
        <w:t>mediante la cual requirió</w:t>
      </w:r>
      <w:r w:rsidR="00B31222" w:rsidRPr="00264223">
        <w:rPr>
          <w:rFonts w:ascii="Palatino Linotype" w:hAnsi="Palatino Linotype" w:cs="Tahoma"/>
          <w:szCs w:val="22"/>
        </w:rPr>
        <w:t>:</w:t>
      </w:r>
    </w:p>
    <w:p w:rsidR="00634CEB" w:rsidRPr="00264223" w:rsidRDefault="00634CEB" w:rsidP="008373CE">
      <w:pPr>
        <w:pStyle w:val="Prrafodelista"/>
        <w:tabs>
          <w:tab w:val="left" w:pos="567"/>
        </w:tabs>
        <w:spacing w:line="360" w:lineRule="auto"/>
        <w:ind w:left="0"/>
        <w:contextualSpacing w:val="0"/>
        <w:jc w:val="both"/>
        <w:rPr>
          <w:rFonts w:ascii="Palatino Linotype" w:hAnsi="Palatino Linotype" w:cs="Tahoma"/>
          <w:szCs w:val="22"/>
        </w:rPr>
      </w:pPr>
    </w:p>
    <w:p w:rsidR="007A2F67" w:rsidRPr="001F7568" w:rsidRDefault="001F7568" w:rsidP="008373CE">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0C27CA" w:rsidRPr="001F7568">
        <w:rPr>
          <w:rFonts w:ascii="Palatino Linotype" w:hAnsi="Palatino Linotype" w:cs="Tahoma"/>
          <w:b/>
          <w:bCs/>
        </w:rPr>
        <w:t>DESCRIPCIÓN CLARA Y PRECISA DE LA INFORMACIÓN SOLICITADA</w:t>
      </w:r>
    </w:p>
    <w:p w:rsidR="00C55151" w:rsidRPr="001F7568" w:rsidRDefault="00C5201C" w:rsidP="008373CE">
      <w:pPr>
        <w:tabs>
          <w:tab w:val="left" w:pos="4667"/>
        </w:tabs>
        <w:spacing w:line="360" w:lineRule="auto"/>
        <w:ind w:left="567" w:right="567"/>
        <w:jc w:val="both"/>
        <w:rPr>
          <w:rFonts w:ascii="Palatino Linotype" w:hAnsi="Palatino Linotype" w:cs="Tahoma"/>
          <w:bCs/>
        </w:rPr>
      </w:pPr>
      <w:r w:rsidRPr="001F7568">
        <w:rPr>
          <w:rFonts w:ascii="Palatino Linotype" w:hAnsi="Palatino Linotype" w:cs="Tahoma"/>
          <w:bCs/>
        </w:rPr>
        <w:t>Recibos de nómina de todos los servidores públicos del ayuntamiento en formato PDF. Balanza detallada mensual, del ejercicio 2018.</w:t>
      </w:r>
      <w:r w:rsidR="001F7568">
        <w:rPr>
          <w:rFonts w:ascii="Palatino Linotype" w:hAnsi="Palatino Linotype" w:cs="Tahoma"/>
          <w:bCs/>
        </w:rPr>
        <w:t>”</w:t>
      </w:r>
      <w:r w:rsidRPr="001F7568">
        <w:rPr>
          <w:rFonts w:ascii="Palatino Linotype" w:hAnsi="Palatino Linotype" w:cs="Tahoma"/>
          <w:bCs/>
        </w:rPr>
        <w:t xml:space="preserve"> </w:t>
      </w:r>
      <w:r w:rsidR="00C55151" w:rsidRPr="001F7568">
        <w:rPr>
          <w:rFonts w:ascii="Palatino Linotype" w:hAnsi="Palatino Linotype" w:cs="Tahoma"/>
          <w:bCs/>
        </w:rPr>
        <w:t>(Sic.)</w:t>
      </w:r>
    </w:p>
    <w:p w:rsidR="00026EBB" w:rsidRPr="001F7568" w:rsidRDefault="00026EBB" w:rsidP="008373CE">
      <w:pPr>
        <w:tabs>
          <w:tab w:val="left" w:pos="4667"/>
        </w:tabs>
        <w:spacing w:line="360" w:lineRule="auto"/>
        <w:ind w:left="567" w:right="567"/>
        <w:jc w:val="both"/>
        <w:rPr>
          <w:rFonts w:ascii="Palatino Linotype" w:hAnsi="Palatino Linotype" w:cs="Tahoma"/>
          <w:bCs/>
        </w:rPr>
      </w:pPr>
    </w:p>
    <w:p w:rsidR="007A2F67" w:rsidRPr="001F7568" w:rsidRDefault="001F7568" w:rsidP="008373CE">
      <w:pPr>
        <w:tabs>
          <w:tab w:val="left" w:pos="4667"/>
        </w:tabs>
        <w:spacing w:line="360" w:lineRule="auto"/>
        <w:ind w:left="567" w:right="567"/>
        <w:jc w:val="both"/>
        <w:rPr>
          <w:rFonts w:ascii="Palatino Linotype" w:hAnsi="Palatino Linotype" w:cs="Tahoma"/>
          <w:bCs/>
        </w:rPr>
      </w:pPr>
      <w:r>
        <w:rPr>
          <w:rFonts w:ascii="Palatino Linotype" w:hAnsi="Palatino Linotype" w:cs="Tahoma"/>
          <w:b/>
          <w:bCs/>
        </w:rPr>
        <w:t>“</w:t>
      </w:r>
      <w:r w:rsidR="000C27CA" w:rsidRPr="001F7568">
        <w:rPr>
          <w:rFonts w:ascii="Palatino Linotype" w:hAnsi="Palatino Linotype" w:cs="Tahoma"/>
          <w:b/>
          <w:bCs/>
        </w:rPr>
        <w:t>MODALIDAD DE ENTREGA</w:t>
      </w:r>
    </w:p>
    <w:p w:rsidR="00492DCA" w:rsidRPr="001F7568" w:rsidRDefault="00026EBB" w:rsidP="008373CE">
      <w:pPr>
        <w:tabs>
          <w:tab w:val="left" w:pos="4667"/>
        </w:tabs>
        <w:spacing w:line="360" w:lineRule="auto"/>
        <w:ind w:left="567" w:right="567"/>
        <w:jc w:val="both"/>
        <w:rPr>
          <w:rFonts w:ascii="Palatino Linotype" w:hAnsi="Palatino Linotype" w:cs="Tahoma"/>
          <w:bCs/>
        </w:rPr>
      </w:pPr>
      <w:r w:rsidRPr="001F7568">
        <w:rPr>
          <w:rFonts w:ascii="Palatino Linotype" w:hAnsi="Palatino Linotype" w:cs="Tahoma"/>
          <w:bCs/>
        </w:rPr>
        <w:t>A través del SAIMEX</w:t>
      </w:r>
      <w:r w:rsidR="00EA68DA" w:rsidRPr="001F7568">
        <w:rPr>
          <w:rFonts w:ascii="Palatino Linotype" w:hAnsi="Palatino Linotype" w:cs="Tahoma"/>
          <w:bCs/>
        </w:rPr>
        <w:t>.</w:t>
      </w:r>
      <w:r w:rsidR="001F7568">
        <w:rPr>
          <w:rFonts w:ascii="Palatino Linotype" w:hAnsi="Palatino Linotype" w:cs="Tahoma"/>
          <w:bCs/>
        </w:rPr>
        <w:t>”</w:t>
      </w:r>
    </w:p>
    <w:p w:rsidR="00492DCA" w:rsidRDefault="00492DCA" w:rsidP="008373CE">
      <w:pPr>
        <w:spacing w:line="360" w:lineRule="auto"/>
        <w:rPr>
          <w:rFonts w:ascii="Palatino Linotype" w:hAnsi="Palatino Linotype" w:cs="Tahoma"/>
          <w:bCs/>
          <w:sz w:val="22"/>
          <w:szCs w:val="22"/>
        </w:rPr>
      </w:pPr>
    </w:p>
    <w:p w:rsidR="00DF2FD1" w:rsidRDefault="00DF2FD1" w:rsidP="008373CE">
      <w:pPr>
        <w:spacing w:line="360" w:lineRule="auto"/>
        <w:rPr>
          <w:rFonts w:ascii="Palatino Linotype" w:hAnsi="Palatino Linotype" w:cs="Tahoma"/>
          <w:bCs/>
          <w:sz w:val="22"/>
          <w:szCs w:val="22"/>
        </w:rPr>
      </w:pPr>
    </w:p>
    <w:p w:rsidR="00DF2FD1" w:rsidRDefault="00DF2FD1" w:rsidP="008373CE">
      <w:pPr>
        <w:spacing w:line="360" w:lineRule="auto"/>
        <w:rPr>
          <w:rFonts w:ascii="Palatino Linotype" w:hAnsi="Palatino Linotype" w:cs="Tahoma"/>
          <w:bCs/>
          <w:sz w:val="22"/>
          <w:szCs w:val="22"/>
        </w:rPr>
      </w:pPr>
    </w:p>
    <w:p w:rsidR="00AA5A86" w:rsidRDefault="006C1B1D" w:rsidP="008373CE">
      <w:pPr>
        <w:pStyle w:val="Prrafodelista"/>
        <w:tabs>
          <w:tab w:val="left" w:pos="567"/>
        </w:tabs>
        <w:spacing w:line="360" w:lineRule="auto"/>
        <w:ind w:left="0"/>
        <w:contextualSpacing w:val="0"/>
        <w:jc w:val="both"/>
        <w:rPr>
          <w:rFonts w:ascii="Palatino Linotype" w:hAnsi="Palatino Linotype" w:cs="Tahoma"/>
          <w:b/>
          <w:szCs w:val="22"/>
        </w:rPr>
      </w:pPr>
      <w:r w:rsidRPr="00264223">
        <w:rPr>
          <w:rFonts w:ascii="Palatino Linotype" w:hAnsi="Palatino Linotype" w:cs="Tahoma"/>
          <w:b/>
          <w:szCs w:val="22"/>
        </w:rPr>
        <w:t>I</w:t>
      </w:r>
      <w:r w:rsidR="00C55151" w:rsidRPr="00264223">
        <w:rPr>
          <w:rFonts w:ascii="Palatino Linotype" w:hAnsi="Palatino Linotype" w:cs="Tahoma"/>
          <w:b/>
          <w:szCs w:val="22"/>
        </w:rPr>
        <w:t xml:space="preserve">. </w:t>
      </w:r>
      <w:r w:rsidR="00AA5A86" w:rsidRPr="00264223">
        <w:rPr>
          <w:rFonts w:ascii="Palatino Linotype" w:hAnsi="Palatino Linotype" w:cs="Tahoma"/>
          <w:b/>
          <w:szCs w:val="22"/>
        </w:rPr>
        <w:t>Respuesta del Sujeto Obligado.</w:t>
      </w:r>
    </w:p>
    <w:p w:rsidR="00DF2FD1" w:rsidRDefault="00DF2FD1" w:rsidP="008373CE">
      <w:pPr>
        <w:autoSpaceDE w:val="0"/>
        <w:autoSpaceDN w:val="0"/>
        <w:adjustRightInd w:val="0"/>
        <w:spacing w:line="360" w:lineRule="auto"/>
        <w:jc w:val="both"/>
        <w:rPr>
          <w:rFonts w:ascii="Palatino Linotype" w:hAnsi="Palatino Linotype" w:cs="Tahoma"/>
          <w:sz w:val="22"/>
          <w:szCs w:val="22"/>
        </w:rPr>
      </w:pPr>
    </w:p>
    <w:p w:rsidR="007515BC" w:rsidRPr="00264223" w:rsidRDefault="00EA68DA" w:rsidP="008373CE">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De</w:t>
      </w:r>
      <w:r w:rsidR="00DF2FD1">
        <w:rPr>
          <w:rFonts w:ascii="Palatino Linotype" w:hAnsi="Palatino Linotype" w:cs="Tahoma"/>
          <w:sz w:val="22"/>
          <w:szCs w:val="22"/>
        </w:rPr>
        <w:t xml:space="preserve"> </w:t>
      </w:r>
      <w:r w:rsidR="00AA5A86" w:rsidRPr="00264223">
        <w:rPr>
          <w:rFonts w:ascii="Palatino Linotype" w:hAnsi="Palatino Linotype" w:cs="Tahoma"/>
          <w:sz w:val="22"/>
          <w:szCs w:val="22"/>
        </w:rPr>
        <w:t xml:space="preserve">las constancias que obran en el expediente electrónico del </w:t>
      </w:r>
      <w:r w:rsidR="00AA5A86" w:rsidRPr="00264223">
        <w:rPr>
          <w:rFonts w:ascii="Palatino Linotype" w:hAnsi="Palatino Linotype" w:cs="Tahoma"/>
          <w:sz w:val="22"/>
          <w:szCs w:val="22"/>
          <w:lang w:val="es-ES"/>
        </w:rPr>
        <w:t xml:space="preserve">Sistema de Acceso a la Información Mexiquense (SAIMEX), se advierte que </w:t>
      </w:r>
      <w:r w:rsidR="00AA5A86" w:rsidRPr="00264223">
        <w:rPr>
          <w:rFonts w:ascii="Palatino Linotype" w:hAnsi="Palatino Linotype" w:cs="Tahoma"/>
          <w:b/>
          <w:sz w:val="22"/>
          <w:szCs w:val="22"/>
          <w:lang w:val="es-ES"/>
        </w:rPr>
        <w:t xml:space="preserve">el Ayuntamiento de </w:t>
      </w:r>
      <w:r w:rsidR="007F0D58">
        <w:rPr>
          <w:rFonts w:ascii="Palatino Linotype" w:hAnsi="Palatino Linotype" w:cs="Tahoma"/>
          <w:b/>
          <w:sz w:val="22"/>
          <w:szCs w:val="22"/>
          <w:lang w:val="es-ES"/>
        </w:rPr>
        <w:t xml:space="preserve">Rayón </w:t>
      </w:r>
      <w:r w:rsidR="00AA5A86" w:rsidRPr="00264223">
        <w:rPr>
          <w:rFonts w:ascii="Palatino Linotype" w:hAnsi="Palatino Linotype" w:cs="Tahoma"/>
          <w:b/>
          <w:sz w:val="22"/>
          <w:szCs w:val="22"/>
          <w:lang w:val="es-ES"/>
        </w:rPr>
        <w:t xml:space="preserve">no </w:t>
      </w:r>
      <w:r>
        <w:rPr>
          <w:rFonts w:ascii="Palatino Linotype" w:hAnsi="Palatino Linotype" w:cs="Tahoma"/>
          <w:b/>
          <w:sz w:val="22"/>
          <w:szCs w:val="22"/>
          <w:lang w:val="es-ES"/>
        </w:rPr>
        <w:t xml:space="preserve">otorgó respuesta a la solicitud de acceso a la información pública con número de folio </w:t>
      </w:r>
      <w:r w:rsidR="007F0D58" w:rsidRPr="007F0D58">
        <w:rPr>
          <w:rFonts w:ascii="Palatino Linotype" w:hAnsi="Palatino Linotype" w:cs="Tahoma"/>
          <w:b/>
          <w:bCs/>
          <w:sz w:val="22"/>
          <w:szCs w:val="22"/>
        </w:rPr>
        <w:t>00022/RAYON/IP/2018</w:t>
      </w:r>
      <w:r>
        <w:rPr>
          <w:rFonts w:ascii="Palatino Linotype" w:hAnsi="Palatino Linotype" w:cs="Tahoma"/>
          <w:sz w:val="22"/>
          <w:szCs w:val="22"/>
          <w:lang w:val="es-ES"/>
        </w:rPr>
        <w:t>.</w:t>
      </w:r>
    </w:p>
    <w:p w:rsidR="00AA5A86" w:rsidRPr="00264223" w:rsidRDefault="00AA5A86" w:rsidP="008373CE">
      <w:pPr>
        <w:autoSpaceDE w:val="0"/>
        <w:autoSpaceDN w:val="0"/>
        <w:adjustRightInd w:val="0"/>
        <w:spacing w:line="360" w:lineRule="auto"/>
        <w:jc w:val="both"/>
        <w:rPr>
          <w:rFonts w:ascii="Palatino Linotype" w:hAnsi="Palatino Linotype" w:cs="Tahoma"/>
          <w:b/>
          <w:sz w:val="22"/>
          <w:szCs w:val="22"/>
        </w:rPr>
      </w:pPr>
    </w:p>
    <w:p w:rsidR="00587F23" w:rsidRPr="00264223" w:rsidRDefault="00D95C7A" w:rsidP="008373C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w:t>
      </w:r>
      <w:r w:rsidR="00AA5A86" w:rsidRPr="00264223">
        <w:rPr>
          <w:rFonts w:ascii="Palatino Linotype" w:hAnsi="Palatino Linotype" w:cs="Tahoma"/>
          <w:b/>
          <w:sz w:val="22"/>
          <w:szCs w:val="22"/>
        </w:rPr>
        <w:t xml:space="preserve">. </w:t>
      </w:r>
      <w:r w:rsidR="004100AA" w:rsidRPr="00264223">
        <w:rPr>
          <w:rFonts w:ascii="Palatino Linotype" w:hAnsi="Palatino Linotype" w:cs="Tahoma"/>
          <w:b/>
          <w:sz w:val="22"/>
          <w:szCs w:val="22"/>
        </w:rPr>
        <w:t>Interposición</w:t>
      </w:r>
      <w:r w:rsidR="00C459A9" w:rsidRPr="00264223">
        <w:rPr>
          <w:rFonts w:ascii="Palatino Linotype" w:hAnsi="Palatino Linotype" w:cs="Tahoma"/>
          <w:b/>
          <w:sz w:val="22"/>
          <w:szCs w:val="22"/>
        </w:rPr>
        <w:t xml:space="preserve"> del Recurso de R</w:t>
      </w:r>
      <w:r w:rsidR="00C25238" w:rsidRPr="00264223">
        <w:rPr>
          <w:rFonts w:ascii="Palatino Linotype" w:hAnsi="Palatino Linotype" w:cs="Tahoma"/>
          <w:b/>
          <w:sz w:val="22"/>
          <w:szCs w:val="22"/>
        </w:rPr>
        <w:t xml:space="preserve">evisión. </w:t>
      </w:r>
    </w:p>
    <w:p w:rsidR="00587F23" w:rsidRPr="00264223" w:rsidRDefault="00587F23" w:rsidP="008373CE">
      <w:pPr>
        <w:autoSpaceDE w:val="0"/>
        <w:autoSpaceDN w:val="0"/>
        <w:adjustRightInd w:val="0"/>
        <w:spacing w:line="360" w:lineRule="auto"/>
        <w:jc w:val="both"/>
        <w:rPr>
          <w:rFonts w:ascii="Palatino Linotype" w:hAnsi="Palatino Linotype" w:cs="Tahoma"/>
          <w:b/>
          <w:sz w:val="22"/>
          <w:szCs w:val="22"/>
        </w:rPr>
      </w:pPr>
    </w:p>
    <w:p w:rsidR="00264223" w:rsidRDefault="006C1B1D" w:rsidP="008373CE">
      <w:pPr>
        <w:autoSpaceDE w:val="0"/>
        <w:autoSpaceDN w:val="0"/>
        <w:adjustRightInd w:val="0"/>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Con fecha </w:t>
      </w:r>
      <w:r w:rsidR="007F0D58">
        <w:rPr>
          <w:rFonts w:ascii="Palatino Linotype" w:hAnsi="Palatino Linotype" w:cs="Tahoma"/>
          <w:sz w:val="22"/>
          <w:szCs w:val="22"/>
        </w:rPr>
        <w:t>dos</w:t>
      </w:r>
      <w:r w:rsidR="00C25238" w:rsidRPr="00264223">
        <w:rPr>
          <w:rFonts w:ascii="Palatino Linotype" w:hAnsi="Palatino Linotype" w:cs="Tahoma"/>
          <w:sz w:val="22"/>
          <w:szCs w:val="22"/>
        </w:rPr>
        <w:t xml:space="preserve"> de </w:t>
      </w:r>
      <w:r w:rsidR="007F0D58">
        <w:rPr>
          <w:rFonts w:ascii="Palatino Linotype" w:hAnsi="Palatino Linotype" w:cs="Tahoma"/>
          <w:sz w:val="22"/>
          <w:szCs w:val="22"/>
        </w:rPr>
        <w:t xml:space="preserve">octubre </w:t>
      </w:r>
      <w:r w:rsidR="00C25238" w:rsidRPr="00264223">
        <w:rPr>
          <w:rFonts w:ascii="Palatino Linotype" w:hAnsi="Palatino Linotype" w:cs="Tahoma"/>
          <w:sz w:val="22"/>
          <w:szCs w:val="22"/>
        </w:rPr>
        <w:t xml:space="preserve">de dos mil dieciocho, se recibió en este </w:t>
      </w:r>
      <w:r w:rsidR="00C25238" w:rsidRPr="00264223">
        <w:rPr>
          <w:rFonts w:ascii="Palatino Linotype" w:eastAsia="Calibri" w:hAnsi="Palatino Linotype" w:cs="Tahoma"/>
          <w:sz w:val="22"/>
          <w:szCs w:val="22"/>
          <w:lang w:eastAsia="en-US"/>
        </w:rPr>
        <w:t xml:space="preserve">Instituto, a través del </w:t>
      </w:r>
      <w:r w:rsidR="000313A7" w:rsidRPr="00264223">
        <w:rPr>
          <w:rFonts w:ascii="Palatino Linotype" w:hAnsi="Palatino Linotype" w:cs="Tahoma"/>
          <w:sz w:val="22"/>
          <w:szCs w:val="22"/>
          <w:lang w:val="es-ES"/>
        </w:rPr>
        <w:t>Sistema de Acceso a la Información Mexiquense (SAIMEX)</w:t>
      </w:r>
      <w:r w:rsidRPr="00264223">
        <w:rPr>
          <w:rFonts w:ascii="Palatino Linotype" w:hAnsi="Palatino Linotype" w:cs="Tahoma"/>
          <w:sz w:val="22"/>
          <w:szCs w:val="22"/>
        </w:rPr>
        <w:t>, el Recurso de R</w:t>
      </w:r>
      <w:r w:rsidR="00C25238" w:rsidRPr="00264223">
        <w:rPr>
          <w:rFonts w:ascii="Palatino Linotype" w:hAnsi="Palatino Linotype" w:cs="Tahoma"/>
          <w:sz w:val="22"/>
          <w:szCs w:val="22"/>
        </w:rPr>
        <w:t xml:space="preserve">evisión interpuesto por </w:t>
      </w:r>
      <w:r w:rsidR="00E573C6">
        <w:rPr>
          <w:rFonts w:ascii="Palatino Linotype" w:hAnsi="Palatino Linotype" w:cs="Tahoma"/>
          <w:sz w:val="22"/>
          <w:szCs w:val="22"/>
        </w:rPr>
        <w:t>el particular</w:t>
      </w:r>
      <w:r w:rsidR="00C25238" w:rsidRPr="00264223">
        <w:rPr>
          <w:rFonts w:ascii="Palatino Linotype" w:hAnsi="Palatino Linotype" w:cs="Tahoma"/>
          <w:sz w:val="22"/>
          <w:szCs w:val="22"/>
        </w:rPr>
        <w:t xml:space="preserve">, en contra de la </w:t>
      </w:r>
      <w:r w:rsidR="00621760" w:rsidRPr="00264223">
        <w:rPr>
          <w:rFonts w:ascii="Palatino Linotype" w:hAnsi="Palatino Linotype" w:cs="Tahoma"/>
          <w:sz w:val="22"/>
          <w:szCs w:val="22"/>
        </w:rPr>
        <w:t xml:space="preserve">falta de </w:t>
      </w:r>
      <w:r w:rsidR="00C25238" w:rsidRPr="00264223">
        <w:rPr>
          <w:rFonts w:ascii="Palatino Linotype" w:hAnsi="Palatino Linotype" w:cs="Tahoma"/>
          <w:sz w:val="22"/>
          <w:szCs w:val="22"/>
        </w:rPr>
        <w:t xml:space="preserve">respuesta </w:t>
      </w:r>
      <w:r w:rsidR="00587F23" w:rsidRPr="00264223">
        <w:rPr>
          <w:rFonts w:ascii="Palatino Linotype" w:hAnsi="Palatino Linotype" w:cs="Tahoma"/>
          <w:sz w:val="22"/>
          <w:szCs w:val="22"/>
        </w:rPr>
        <w:t>del Sujeto Obligado</w:t>
      </w:r>
      <w:r w:rsidR="00C25238" w:rsidRPr="00264223">
        <w:rPr>
          <w:rFonts w:ascii="Palatino Linotype" w:hAnsi="Palatino Linotype" w:cs="Tahoma"/>
          <w:sz w:val="22"/>
          <w:szCs w:val="22"/>
        </w:rPr>
        <w:t>, en los siguientes</w:t>
      </w:r>
      <w:r w:rsidR="00587F23" w:rsidRPr="00264223">
        <w:rPr>
          <w:rFonts w:ascii="Palatino Linotype" w:hAnsi="Palatino Linotype" w:cs="Tahoma"/>
          <w:sz w:val="22"/>
          <w:szCs w:val="22"/>
        </w:rPr>
        <w:t xml:space="preserve"> términos</w:t>
      </w:r>
      <w:r w:rsidR="00C25238" w:rsidRPr="00264223">
        <w:rPr>
          <w:rFonts w:ascii="Palatino Linotype" w:hAnsi="Palatino Linotype" w:cs="Tahoma"/>
          <w:sz w:val="22"/>
          <w:szCs w:val="22"/>
        </w:rPr>
        <w:t>:</w:t>
      </w:r>
    </w:p>
    <w:p w:rsidR="00264223" w:rsidRPr="00D95C7A" w:rsidRDefault="00264223" w:rsidP="008373CE">
      <w:pPr>
        <w:autoSpaceDE w:val="0"/>
        <w:autoSpaceDN w:val="0"/>
        <w:adjustRightInd w:val="0"/>
        <w:spacing w:line="360" w:lineRule="auto"/>
        <w:jc w:val="both"/>
        <w:rPr>
          <w:rFonts w:ascii="Palatino Linotype" w:hAnsi="Palatino Linotype" w:cs="Tahoma"/>
        </w:rPr>
      </w:pPr>
    </w:p>
    <w:p w:rsidR="00C25238" w:rsidRPr="00D95C7A" w:rsidRDefault="00B727C5" w:rsidP="008373CE">
      <w:pPr>
        <w:tabs>
          <w:tab w:val="left" w:pos="4667"/>
        </w:tabs>
        <w:spacing w:line="360" w:lineRule="auto"/>
        <w:ind w:left="567" w:right="567"/>
        <w:jc w:val="both"/>
        <w:rPr>
          <w:rFonts w:ascii="Palatino Linotype" w:hAnsi="Palatino Linotype" w:cs="Tahoma"/>
          <w:bCs/>
        </w:rPr>
      </w:pPr>
      <w:r w:rsidRPr="00D95C7A">
        <w:rPr>
          <w:rFonts w:ascii="Palatino Linotype" w:hAnsi="Palatino Linotype" w:cs="Tahoma"/>
          <w:b/>
          <w:bCs/>
        </w:rPr>
        <w:t>“</w:t>
      </w:r>
      <w:r w:rsidR="00C25238" w:rsidRPr="00D95C7A">
        <w:rPr>
          <w:rFonts w:ascii="Palatino Linotype" w:hAnsi="Palatino Linotype" w:cs="Tahoma"/>
          <w:b/>
          <w:bCs/>
        </w:rPr>
        <w:t>ACTO IMPUGNADO</w:t>
      </w:r>
    </w:p>
    <w:p w:rsidR="00CD3A5D" w:rsidRPr="00D95C7A" w:rsidRDefault="007F0D58" w:rsidP="008373CE">
      <w:pPr>
        <w:autoSpaceDE w:val="0"/>
        <w:autoSpaceDN w:val="0"/>
        <w:adjustRightInd w:val="0"/>
        <w:spacing w:line="360" w:lineRule="auto"/>
        <w:ind w:left="567" w:right="567"/>
        <w:jc w:val="both"/>
        <w:rPr>
          <w:rFonts w:ascii="Palatino Linotype" w:hAnsi="Palatino Linotype" w:cs="Tahoma"/>
        </w:rPr>
      </w:pPr>
      <w:r w:rsidRPr="007F0D58">
        <w:rPr>
          <w:rFonts w:ascii="Palatino Linotype" w:hAnsi="Palatino Linotype" w:cs="Tahoma"/>
        </w:rPr>
        <w:t>No se recibe respuesta a la solicitud de información</w:t>
      </w:r>
      <w:r w:rsidR="00026EBB" w:rsidRPr="00D95C7A">
        <w:rPr>
          <w:rFonts w:ascii="Palatino Linotype" w:hAnsi="Palatino Linotype" w:cs="Tahoma"/>
        </w:rPr>
        <w:t>.</w:t>
      </w:r>
      <w:r>
        <w:rPr>
          <w:rFonts w:ascii="Palatino Linotype" w:hAnsi="Palatino Linotype" w:cs="Tahoma"/>
        </w:rPr>
        <w:t>”</w:t>
      </w:r>
    </w:p>
    <w:p w:rsidR="000313A7" w:rsidRPr="00D95C7A" w:rsidRDefault="000313A7" w:rsidP="008373CE">
      <w:pPr>
        <w:autoSpaceDE w:val="0"/>
        <w:autoSpaceDN w:val="0"/>
        <w:adjustRightInd w:val="0"/>
        <w:spacing w:line="360" w:lineRule="auto"/>
        <w:ind w:left="567" w:right="567"/>
        <w:jc w:val="both"/>
        <w:rPr>
          <w:rFonts w:ascii="Palatino Linotype" w:hAnsi="Palatino Linotype" w:cs="Tahoma"/>
        </w:rPr>
      </w:pPr>
    </w:p>
    <w:p w:rsidR="00C25238" w:rsidRPr="00D95C7A" w:rsidRDefault="00B727C5" w:rsidP="008373CE">
      <w:pPr>
        <w:autoSpaceDE w:val="0"/>
        <w:autoSpaceDN w:val="0"/>
        <w:adjustRightInd w:val="0"/>
        <w:spacing w:line="360" w:lineRule="auto"/>
        <w:ind w:left="567" w:right="567"/>
        <w:jc w:val="both"/>
        <w:rPr>
          <w:rFonts w:ascii="Palatino Linotype" w:hAnsi="Palatino Linotype" w:cs="Tahoma"/>
          <w:b/>
        </w:rPr>
      </w:pPr>
      <w:r w:rsidRPr="00D95C7A">
        <w:rPr>
          <w:rFonts w:ascii="Palatino Linotype" w:hAnsi="Palatino Linotype" w:cs="Tahoma"/>
          <w:b/>
        </w:rPr>
        <w:t>“</w:t>
      </w:r>
      <w:r w:rsidR="00C25238" w:rsidRPr="00D95C7A">
        <w:rPr>
          <w:rFonts w:ascii="Palatino Linotype" w:hAnsi="Palatino Linotype" w:cs="Tahoma"/>
          <w:b/>
        </w:rPr>
        <w:t>RAZONES O MOTIVOS DE LA INCONFORMIDAD</w:t>
      </w:r>
    </w:p>
    <w:p w:rsidR="00264223" w:rsidRPr="007F0D58" w:rsidRDefault="007F0D58" w:rsidP="008373CE">
      <w:pPr>
        <w:autoSpaceDE w:val="0"/>
        <w:autoSpaceDN w:val="0"/>
        <w:adjustRightInd w:val="0"/>
        <w:spacing w:line="360" w:lineRule="auto"/>
        <w:ind w:left="567" w:right="567"/>
        <w:jc w:val="both"/>
        <w:rPr>
          <w:rFonts w:ascii="Palatino Linotype" w:hAnsi="Palatino Linotype" w:cs="Tahoma"/>
        </w:rPr>
      </w:pPr>
      <w:r w:rsidRPr="007F0D58">
        <w:rPr>
          <w:rFonts w:ascii="Palatino Linotype" w:hAnsi="Palatino Linotype" w:cs="Tahoma"/>
        </w:rPr>
        <w:t>No se recibe respuesta por parte del sujeto obligado, vencieron los plazos establecidos para proporcionar información al solicitante.</w:t>
      </w:r>
      <w:r w:rsidR="00B727C5" w:rsidRPr="007F0D58">
        <w:rPr>
          <w:rFonts w:ascii="Palatino Linotype" w:hAnsi="Palatino Linotype" w:cs="Tahoma"/>
        </w:rPr>
        <w:t>”</w:t>
      </w:r>
      <w:r w:rsidR="006C1B1D" w:rsidRPr="007F0D58">
        <w:rPr>
          <w:rFonts w:ascii="Palatino Linotype" w:hAnsi="Palatino Linotype" w:cs="Tahoma"/>
        </w:rPr>
        <w:t xml:space="preserve"> (Sic.)</w:t>
      </w:r>
    </w:p>
    <w:p w:rsidR="00D95C7A" w:rsidRPr="00D95C7A" w:rsidRDefault="00D95C7A" w:rsidP="008373CE">
      <w:pPr>
        <w:autoSpaceDE w:val="0"/>
        <w:autoSpaceDN w:val="0"/>
        <w:adjustRightInd w:val="0"/>
        <w:spacing w:line="360" w:lineRule="auto"/>
        <w:ind w:left="567" w:right="567"/>
        <w:jc w:val="both"/>
        <w:rPr>
          <w:rFonts w:ascii="Palatino Linotype" w:hAnsi="Palatino Linotype" w:cs="Tahoma"/>
        </w:rPr>
      </w:pPr>
    </w:p>
    <w:p w:rsidR="00B31222" w:rsidRPr="00264223" w:rsidRDefault="00D95C7A" w:rsidP="008373CE">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III</w:t>
      </w:r>
      <w:r w:rsidR="00B31222" w:rsidRPr="00264223">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 xml:space="preserve">Trámite del </w:t>
      </w:r>
      <w:r w:rsidR="00C459A9" w:rsidRPr="00264223">
        <w:rPr>
          <w:rFonts w:ascii="Palatino Linotype" w:hAnsi="Palatino Linotype" w:cs="Tahoma"/>
          <w:b/>
          <w:sz w:val="22"/>
          <w:szCs w:val="22"/>
        </w:rPr>
        <w:t>Recurso de Revisión</w:t>
      </w:r>
      <w:r w:rsidR="001F7568">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ante el Instituto</w:t>
      </w:r>
      <w:r w:rsidR="00E445DA" w:rsidRPr="00264223">
        <w:rPr>
          <w:rFonts w:ascii="Palatino Linotype" w:eastAsia="Batang" w:hAnsi="Palatino Linotype" w:cs="Tahoma"/>
          <w:b/>
          <w:bCs/>
          <w:sz w:val="22"/>
          <w:szCs w:val="22"/>
        </w:rPr>
        <w:t>.</w:t>
      </w:r>
    </w:p>
    <w:p w:rsidR="00E445DA" w:rsidRPr="00264223" w:rsidRDefault="00E445DA" w:rsidP="008373CE">
      <w:pPr>
        <w:spacing w:line="360" w:lineRule="auto"/>
        <w:jc w:val="both"/>
        <w:rPr>
          <w:rFonts w:ascii="Palatino Linotype" w:eastAsia="Batang" w:hAnsi="Palatino Linotype" w:cs="Tahoma"/>
          <w:b/>
          <w:bCs/>
          <w:sz w:val="22"/>
          <w:szCs w:val="22"/>
        </w:rPr>
      </w:pPr>
    </w:p>
    <w:p w:rsidR="00B31222" w:rsidRPr="00264223" w:rsidRDefault="00A90F9B" w:rsidP="008373CE">
      <w:pPr>
        <w:spacing w:line="360" w:lineRule="auto"/>
        <w:jc w:val="both"/>
        <w:rPr>
          <w:rFonts w:ascii="Palatino Linotype" w:eastAsia="Batang" w:hAnsi="Palatino Linotype" w:cs="Tahoma"/>
          <w:bCs/>
          <w:sz w:val="22"/>
          <w:szCs w:val="22"/>
        </w:rPr>
      </w:pPr>
      <w:r w:rsidRPr="00264223">
        <w:rPr>
          <w:rFonts w:ascii="Palatino Linotype" w:eastAsia="Batang" w:hAnsi="Palatino Linotype" w:cs="Tahoma"/>
          <w:b/>
          <w:bCs/>
          <w:sz w:val="22"/>
          <w:szCs w:val="22"/>
        </w:rPr>
        <w:t xml:space="preserve">a) </w:t>
      </w:r>
      <w:r w:rsidR="00B31222" w:rsidRPr="00264223">
        <w:rPr>
          <w:rFonts w:ascii="Palatino Linotype" w:eastAsia="Batang" w:hAnsi="Palatino Linotype" w:cs="Tahoma"/>
          <w:b/>
          <w:bCs/>
          <w:sz w:val="22"/>
          <w:szCs w:val="22"/>
        </w:rPr>
        <w:t xml:space="preserve">Turno del </w:t>
      </w:r>
      <w:r w:rsidR="00C459A9" w:rsidRPr="00264223">
        <w:rPr>
          <w:rFonts w:ascii="Palatino Linotype" w:hAnsi="Palatino Linotype" w:cs="Tahoma"/>
          <w:b/>
          <w:sz w:val="22"/>
          <w:szCs w:val="22"/>
        </w:rPr>
        <w:t>Recurso de Revisión</w:t>
      </w:r>
      <w:r w:rsidRPr="00264223">
        <w:rPr>
          <w:rFonts w:ascii="Palatino Linotype" w:eastAsia="Batang" w:hAnsi="Palatino Linotype" w:cs="Tahoma"/>
          <w:b/>
          <w:bCs/>
          <w:sz w:val="22"/>
          <w:szCs w:val="22"/>
        </w:rPr>
        <w:t>.</w:t>
      </w:r>
      <w:r w:rsidR="007F0D58">
        <w:rPr>
          <w:rFonts w:ascii="Palatino Linotype" w:eastAsia="Batang" w:hAnsi="Palatino Linotype" w:cs="Tahoma"/>
          <w:b/>
          <w:bCs/>
          <w:sz w:val="22"/>
          <w:szCs w:val="22"/>
        </w:rPr>
        <w:t xml:space="preserve"> </w:t>
      </w:r>
      <w:r w:rsidR="00E573C6">
        <w:rPr>
          <w:rFonts w:ascii="Palatino Linotype" w:eastAsia="Batang" w:hAnsi="Palatino Linotype" w:cs="Tahoma"/>
          <w:bCs/>
          <w:sz w:val="22"/>
          <w:szCs w:val="22"/>
        </w:rPr>
        <w:t>Con fecha</w:t>
      </w:r>
      <w:r w:rsidR="007F0D58">
        <w:rPr>
          <w:rFonts w:ascii="Palatino Linotype" w:eastAsia="Batang" w:hAnsi="Palatino Linotype" w:cs="Tahoma"/>
          <w:bCs/>
          <w:sz w:val="22"/>
          <w:szCs w:val="22"/>
        </w:rPr>
        <w:t xml:space="preserve"> dos </w:t>
      </w:r>
      <w:r w:rsidR="00625DFB" w:rsidRPr="00264223">
        <w:rPr>
          <w:rFonts w:ascii="Palatino Linotype" w:eastAsia="Batang" w:hAnsi="Palatino Linotype" w:cs="Tahoma"/>
          <w:bCs/>
          <w:sz w:val="22"/>
          <w:szCs w:val="22"/>
        </w:rPr>
        <w:t xml:space="preserve">de </w:t>
      </w:r>
      <w:r w:rsidR="007F0D58">
        <w:rPr>
          <w:rFonts w:ascii="Palatino Linotype" w:eastAsia="Batang" w:hAnsi="Palatino Linotype" w:cs="Tahoma"/>
          <w:bCs/>
          <w:sz w:val="22"/>
          <w:szCs w:val="22"/>
        </w:rPr>
        <w:t xml:space="preserve">octubre </w:t>
      </w:r>
      <w:r w:rsidR="00B31222" w:rsidRPr="00264223">
        <w:rPr>
          <w:rFonts w:ascii="Palatino Linotype" w:eastAsia="Batang" w:hAnsi="Palatino Linotype" w:cs="Tahoma"/>
          <w:bCs/>
          <w:sz w:val="22"/>
          <w:szCs w:val="22"/>
        </w:rPr>
        <w:t>de dos mil dieciocho, e</w:t>
      </w:r>
      <w:r w:rsidR="001F78D9" w:rsidRPr="00264223">
        <w:rPr>
          <w:rFonts w:ascii="Palatino Linotype" w:eastAsia="Batang" w:hAnsi="Palatino Linotype" w:cs="Tahoma"/>
          <w:bCs/>
          <w:sz w:val="22"/>
          <w:szCs w:val="22"/>
        </w:rPr>
        <w:t>l</w:t>
      </w:r>
      <w:r w:rsidR="007F0D58">
        <w:rPr>
          <w:rFonts w:ascii="Palatino Linotype" w:eastAsia="Batang" w:hAnsi="Palatino Linotype" w:cs="Tahoma"/>
          <w:bCs/>
          <w:sz w:val="22"/>
          <w:szCs w:val="22"/>
        </w:rPr>
        <w:t xml:space="preserve"> </w:t>
      </w:r>
      <w:r w:rsidR="001F78D9" w:rsidRPr="00264223">
        <w:rPr>
          <w:rFonts w:ascii="Palatino Linotype" w:hAnsi="Palatino Linotype" w:cs="Tahoma"/>
          <w:sz w:val="22"/>
          <w:szCs w:val="22"/>
          <w:lang w:val="es-ES"/>
        </w:rPr>
        <w:t>Sistema de Acceso a la Información Mexiquense (SAIMEX),</w:t>
      </w:r>
      <w:r w:rsidR="00B31222" w:rsidRPr="00264223">
        <w:rPr>
          <w:rFonts w:ascii="Palatino Linotype" w:eastAsia="Batang" w:hAnsi="Palatino Linotype" w:cs="Tahoma"/>
          <w:bCs/>
          <w:sz w:val="22"/>
          <w:szCs w:val="22"/>
        </w:rPr>
        <w:t xml:space="preserve"> asignó el número de expediente </w:t>
      </w:r>
      <w:r w:rsidR="00D95C7A">
        <w:rPr>
          <w:rFonts w:ascii="Palatino Linotype" w:eastAsia="Batang" w:hAnsi="Palatino Linotype" w:cs="Tahoma"/>
          <w:b/>
          <w:bCs/>
          <w:sz w:val="22"/>
          <w:szCs w:val="22"/>
        </w:rPr>
        <w:t>03</w:t>
      </w:r>
      <w:r w:rsidR="007F0D58">
        <w:rPr>
          <w:rFonts w:ascii="Palatino Linotype" w:eastAsia="Batang" w:hAnsi="Palatino Linotype" w:cs="Tahoma"/>
          <w:b/>
          <w:bCs/>
          <w:sz w:val="22"/>
          <w:szCs w:val="22"/>
        </w:rPr>
        <w:t>686</w:t>
      </w:r>
      <w:r w:rsidR="000313A7" w:rsidRPr="00264223">
        <w:rPr>
          <w:rFonts w:ascii="Palatino Linotype" w:eastAsia="Batang" w:hAnsi="Palatino Linotype" w:cs="Tahoma"/>
          <w:b/>
          <w:bCs/>
          <w:sz w:val="22"/>
          <w:szCs w:val="22"/>
        </w:rPr>
        <w:t>/INFOEM/IP/RR/2018</w:t>
      </w:r>
      <w:r w:rsidR="001F78D9" w:rsidRPr="00264223">
        <w:rPr>
          <w:rFonts w:ascii="Palatino Linotype" w:eastAsia="Batang" w:hAnsi="Palatino Linotype" w:cs="Tahoma"/>
          <w:b/>
          <w:bCs/>
          <w:sz w:val="22"/>
          <w:szCs w:val="22"/>
        </w:rPr>
        <w:t>,</w:t>
      </w:r>
      <w:r w:rsidR="00E70503">
        <w:rPr>
          <w:rFonts w:ascii="Palatino Linotype" w:eastAsia="Batang" w:hAnsi="Palatino Linotype" w:cs="Tahoma"/>
          <w:b/>
          <w:bCs/>
          <w:sz w:val="22"/>
          <w:szCs w:val="22"/>
        </w:rPr>
        <w:t xml:space="preserve"> </w:t>
      </w:r>
      <w:r w:rsidR="00B31222" w:rsidRPr="00264223">
        <w:rPr>
          <w:rFonts w:ascii="Palatino Linotype" w:eastAsia="Batang" w:hAnsi="Palatino Linotype" w:cs="Tahoma"/>
          <w:bCs/>
          <w:sz w:val="22"/>
          <w:szCs w:val="22"/>
        </w:rPr>
        <w:t xml:space="preserve">al </w:t>
      </w:r>
      <w:r w:rsidR="00C459A9" w:rsidRPr="00264223">
        <w:rPr>
          <w:rFonts w:ascii="Palatino Linotype" w:eastAsia="Batang" w:hAnsi="Palatino Linotype" w:cs="Tahoma"/>
          <w:bCs/>
          <w:sz w:val="22"/>
          <w:szCs w:val="22"/>
        </w:rPr>
        <w:t xml:space="preserve">medio de impugnación </w:t>
      </w:r>
      <w:r w:rsidR="00A854FF" w:rsidRPr="00264223">
        <w:rPr>
          <w:rFonts w:ascii="Palatino Linotype" w:eastAsia="Batang" w:hAnsi="Palatino Linotype" w:cs="Tahoma"/>
          <w:bCs/>
          <w:sz w:val="22"/>
          <w:szCs w:val="22"/>
        </w:rPr>
        <w:t>que nos ocupa</w:t>
      </w:r>
      <w:r w:rsidR="00B31222" w:rsidRPr="00264223">
        <w:rPr>
          <w:rFonts w:ascii="Palatino Linotype" w:eastAsia="Batang" w:hAnsi="Palatino Linotype" w:cs="Tahoma"/>
          <w:bCs/>
          <w:sz w:val="22"/>
          <w:szCs w:val="22"/>
        </w:rPr>
        <w:t xml:space="preserve">, con base en el sistema aprobado por el Pleno de este </w:t>
      </w:r>
      <w:r w:rsidR="00A854FF" w:rsidRPr="00264223">
        <w:rPr>
          <w:rFonts w:ascii="Palatino Linotype" w:eastAsia="Batang" w:hAnsi="Palatino Linotype" w:cs="Tahoma"/>
          <w:bCs/>
          <w:sz w:val="22"/>
          <w:szCs w:val="22"/>
        </w:rPr>
        <w:t>Órgano Garante y</w:t>
      </w:r>
      <w:r w:rsidR="00B31222" w:rsidRPr="00264223">
        <w:rPr>
          <w:rFonts w:ascii="Palatino Linotype" w:eastAsia="Batang" w:hAnsi="Palatino Linotype" w:cs="Tahoma"/>
          <w:bCs/>
          <w:sz w:val="22"/>
          <w:szCs w:val="22"/>
        </w:rPr>
        <w:t xml:space="preserve"> lo turnó a</w:t>
      </w:r>
      <w:r w:rsidR="00625DFB" w:rsidRPr="00264223">
        <w:rPr>
          <w:rFonts w:ascii="Palatino Linotype" w:eastAsia="Batang" w:hAnsi="Palatino Linotype" w:cs="Tahoma"/>
          <w:bCs/>
          <w:sz w:val="22"/>
          <w:szCs w:val="22"/>
        </w:rPr>
        <w:t>l Comisionado Ponente</w:t>
      </w:r>
      <w:r w:rsidR="007F0D58">
        <w:rPr>
          <w:rFonts w:ascii="Palatino Linotype" w:eastAsia="Batang" w:hAnsi="Palatino Linotype" w:cs="Tahoma"/>
          <w:bCs/>
          <w:sz w:val="22"/>
          <w:szCs w:val="22"/>
        </w:rPr>
        <w:t xml:space="preserve"> </w:t>
      </w:r>
      <w:r w:rsidR="00A854FF" w:rsidRPr="008240D3">
        <w:rPr>
          <w:rFonts w:ascii="Palatino Linotype" w:eastAsia="Batang" w:hAnsi="Palatino Linotype" w:cs="Tahoma"/>
          <w:b/>
          <w:bCs/>
          <w:sz w:val="22"/>
          <w:szCs w:val="22"/>
        </w:rPr>
        <w:t xml:space="preserve">Luis </w:t>
      </w:r>
      <w:r w:rsidR="00A854FF" w:rsidRPr="008240D3">
        <w:rPr>
          <w:rFonts w:ascii="Palatino Linotype" w:eastAsia="Batang" w:hAnsi="Palatino Linotype" w:cs="Tahoma"/>
          <w:b/>
          <w:bCs/>
          <w:sz w:val="22"/>
          <w:szCs w:val="22"/>
        </w:rPr>
        <w:lastRenderedPageBreak/>
        <w:t>Gustavo Parra Noriega</w:t>
      </w:r>
      <w:r w:rsidR="00B31222" w:rsidRPr="00264223">
        <w:rPr>
          <w:rFonts w:ascii="Palatino Linotype" w:eastAsia="Batang" w:hAnsi="Palatino Linotype" w:cs="Tahoma"/>
          <w:bCs/>
          <w:sz w:val="22"/>
          <w:szCs w:val="22"/>
        </w:rPr>
        <w:t xml:space="preserve">, para los efectos del artículo </w:t>
      </w:r>
      <w:r w:rsidR="00625DFB" w:rsidRPr="00264223">
        <w:rPr>
          <w:rFonts w:ascii="Palatino Linotype" w:eastAsia="Batang" w:hAnsi="Palatino Linotype" w:cs="Tahoma"/>
          <w:bCs/>
          <w:sz w:val="22"/>
          <w:szCs w:val="22"/>
        </w:rPr>
        <w:t>185</w:t>
      </w:r>
      <w:r w:rsidR="00B31222" w:rsidRPr="00264223">
        <w:rPr>
          <w:rFonts w:ascii="Palatino Linotype" w:eastAsia="Batang" w:hAnsi="Palatino Linotype" w:cs="Tahoma"/>
          <w:bCs/>
          <w:sz w:val="22"/>
          <w:szCs w:val="22"/>
        </w:rPr>
        <w:t>, fracción I</w:t>
      </w:r>
      <w:r w:rsidR="00E36F2F">
        <w:rPr>
          <w:rFonts w:ascii="Palatino Linotype" w:eastAsia="Batang" w:hAnsi="Palatino Linotype" w:cs="Tahoma"/>
          <w:bCs/>
          <w:sz w:val="22"/>
          <w:szCs w:val="22"/>
        </w:rPr>
        <w:t>,</w:t>
      </w:r>
      <w:r w:rsidR="00B31222" w:rsidRPr="00264223">
        <w:rPr>
          <w:rFonts w:ascii="Palatino Linotype" w:eastAsia="Batang" w:hAnsi="Palatino Linotype" w:cs="Tahoma"/>
          <w:bCs/>
          <w:sz w:val="22"/>
          <w:szCs w:val="22"/>
        </w:rPr>
        <w:t xml:space="preserve"> de la </w:t>
      </w:r>
      <w:r w:rsidR="00625DFB" w:rsidRPr="00264223">
        <w:rPr>
          <w:rFonts w:ascii="Palatino Linotype" w:eastAsia="Batang" w:hAnsi="Palatino Linotype" w:cs="Tahoma"/>
          <w:bCs/>
          <w:sz w:val="22"/>
          <w:szCs w:val="22"/>
        </w:rPr>
        <w:t>Ley de Transparencia y Acceso a la Información Pública del Estado de México y Municipios</w:t>
      </w:r>
      <w:r w:rsidR="00B31222" w:rsidRPr="00264223">
        <w:rPr>
          <w:rFonts w:ascii="Palatino Linotype" w:eastAsia="Batang" w:hAnsi="Palatino Linotype" w:cs="Tahoma"/>
          <w:bCs/>
          <w:sz w:val="22"/>
          <w:szCs w:val="22"/>
        </w:rPr>
        <w:t>.</w:t>
      </w:r>
    </w:p>
    <w:p w:rsidR="00B31222" w:rsidRPr="00264223" w:rsidRDefault="00B31222" w:rsidP="008373CE">
      <w:pPr>
        <w:spacing w:line="360" w:lineRule="auto"/>
        <w:jc w:val="both"/>
        <w:rPr>
          <w:rFonts w:ascii="Palatino Linotype" w:eastAsia="Batang" w:hAnsi="Palatino Linotype" w:cs="Tahoma"/>
          <w:b/>
          <w:bCs/>
          <w:sz w:val="22"/>
          <w:szCs w:val="22"/>
        </w:rPr>
      </w:pPr>
    </w:p>
    <w:p w:rsidR="00AC5D2C" w:rsidRDefault="00625DFB" w:rsidP="008373CE">
      <w:pPr>
        <w:spacing w:line="360" w:lineRule="auto"/>
        <w:jc w:val="both"/>
        <w:rPr>
          <w:rFonts w:ascii="Palatino Linotype" w:hAnsi="Palatino Linotype" w:cs="Tahoma"/>
          <w:bCs/>
          <w:sz w:val="22"/>
          <w:szCs w:val="22"/>
          <w:lang w:val="es-ES_tradnl"/>
        </w:rPr>
      </w:pPr>
      <w:r w:rsidRPr="00264223">
        <w:rPr>
          <w:rFonts w:ascii="Palatino Linotype" w:eastAsia="Batang" w:hAnsi="Palatino Linotype" w:cs="Tahoma"/>
          <w:b/>
          <w:bCs/>
          <w:sz w:val="22"/>
          <w:szCs w:val="22"/>
        </w:rPr>
        <w:t>b</w:t>
      </w:r>
      <w:r w:rsidR="009F46DC" w:rsidRPr="00264223">
        <w:rPr>
          <w:rFonts w:ascii="Palatino Linotype" w:eastAsia="Batang" w:hAnsi="Palatino Linotype" w:cs="Tahoma"/>
          <w:b/>
          <w:bCs/>
          <w:sz w:val="22"/>
          <w:szCs w:val="22"/>
        </w:rPr>
        <w:t xml:space="preserve">) </w:t>
      </w:r>
      <w:r w:rsidR="00B31222" w:rsidRPr="00264223">
        <w:rPr>
          <w:rFonts w:ascii="Palatino Linotype" w:eastAsia="Batang" w:hAnsi="Palatino Linotype" w:cs="Tahoma"/>
          <w:b/>
          <w:bCs/>
          <w:sz w:val="22"/>
          <w:szCs w:val="22"/>
        </w:rPr>
        <w:t xml:space="preserve">Admisión del </w:t>
      </w:r>
      <w:r w:rsidR="00C459A9" w:rsidRPr="00264223">
        <w:rPr>
          <w:rFonts w:ascii="Palatino Linotype" w:hAnsi="Palatino Linotype" w:cs="Tahoma"/>
          <w:b/>
          <w:sz w:val="22"/>
          <w:szCs w:val="22"/>
        </w:rPr>
        <w:t>Recurso de Revisión</w:t>
      </w:r>
      <w:r w:rsidR="00B31222" w:rsidRPr="00264223">
        <w:rPr>
          <w:rFonts w:ascii="Palatino Linotype" w:eastAsia="Batang" w:hAnsi="Palatino Linotype" w:cs="Tahoma"/>
          <w:b/>
          <w:bCs/>
          <w:sz w:val="22"/>
          <w:szCs w:val="22"/>
          <w:lang w:val="es-ES_tradnl"/>
        </w:rPr>
        <w:t xml:space="preserve">. </w:t>
      </w:r>
      <w:r w:rsidR="00E573C6">
        <w:rPr>
          <w:rFonts w:ascii="Palatino Linotype" w:eastAsia="Batang" w:hAnsi="Palatino Linotype" w:cs="Tahoma"/>
          <w:bCs/>
          <w:sz w:val="22"/>
          <w:szCs w:val="22"/>
          <w:lang w:val="es-ES_tradnl"/>
        </w:rPr>
        <w:t>Con fecha</w:t>
      </w:r>
      <w:r w:rsidR="007F0D58">
        <w:rPr>
          <w:rFonts w:ascii="Palatino Linotype" w:eastAsia="Batang" w:hAnsi="Palatino Linotype" w:cs="Tahoma"/>
          <w:bCs/>
          <w:sz w:val="22"/>
          <w:szCs w:val="22"/>
          <w:lang w:val="es-ES_tradnl"/>
        </w:rPr>
        <w:t xml:space="preserve"> ocho </w:t>
      </w:r>
      <w:r w:rsidRPr="00264223">
        <w:rPr>
          <w:rFonts w:ascii="Palatino Linotype" w:eastAsia="Batang" w:hAnsi="Palatino Linotype" w:cs="Tahoma"/>
          <w:bCs/>
          <w:sz w:val="22"/>
          <w:szCs w:val="22"/>
          <w:lang w:val="es-ES_tradnl"/>
        </w:rPr>
        <w:t xml:space="preserve">de </w:t>
      </w:r>
      <w:r w:rsidR="007F0D58">
        <w:rPr>
          <w:rFonts w:ascii="Palatino Linotype" w:eastAsia="Batang" w:hAnsi="Palatino Linotype" w:cs="Tahoma"/>
          <w:bCs/>
          <w:sz w:val="22"/>
          <w:szCs w:val="22"/>
          <w:lang w:val="es-ES_tradnl"/>
        </w:rPr>
        <w:t xml:space="preserve">octubre </w:t>
      </w:r>
      <w:r w:rsidR="00B31222" w:rsidRPr="00264223">
        <w:rPr>
          <w:rFonts w:ascii="Palatino Linotype" w:eastAsia="Batang" w:hAnsi="Palatino Linotype" w:cs="Tahoma"/>
          <w:bCs/>
          <w:sz w:val="22"/>
          <w:szCs w:val="22"/>
          <w:lang w:val="es-ES_tradnl"/>
        </w:rPr>
        <w:t xml:space="preserve">de dos mil dieciocho, </w:t>
      </w:r>
      <w:r w:rsidR="00AC5D2C" w:rsidRPr="00AC5D2C">
        <w:rPr>
          <w:rFonts w:ascii="Palatino Linotype" w:hAnsi="Palatino Linotype" w:cs="Tahoma"/>
          <w:bCs/>
          <w:sz w:val="22"/>
          <w:szCs w:val="22"/>
          <w:lang w:val="es-ES_tradnl"/>
        </w:rPr>
        <w:t xml:space="preserve">se acordó la admisión del Recurso de Revisión interpuesto por la Recurrente en contra del Ayuntamiento de </w:t>
      </w:r>
      <w:r w:rsidR="00AC5D2C">
        <w:rPr>
          <w:rFonts w:ascii="Palatino Linotype" w:hAnsi="Palatino Linotype" w:cs="Tahoma"/>
          <w:bCs/>
          <w:sz w:val="22"/>
          <w:szCs w:val="22"/>
          <w:lang w:val="es-ES_tradnl"/>
        </w:rPr>
        <w:t>Rayón</w:t>
      </w:r>
      <w:r w:rsidR="00AC5D2C" w:rsidRPr="00AC5D2C">
        <w:rPr>
          <w:rFonts w:ascii="Palatino Linotype" w:hAnsi="Palatino Linotype" w:cs="Tahoma"/>
          <w:bCs/>
          <w:sz w:val="22"/>
          <w:szCs w:val="22"/>
          <w:lang w:val="es-ES_tradnl"/>
        </w:rPr>
        <w:t>, en términos del artículo 185, fracciones I y II</w:t>
      </w:r>
      <w:r w:rsidR="00E36F2F">
        <w:rPr>
          <w:rFonts w:ascii="Palatino Linotype" w:hAnsi="Palatino Linotype" w:cs="Tahoma"/>
          <w:bCs/>
          <w:sz w:val="22"/>
          <w:szCs w:val="22"/>
          <w:lang w:val="es-ES_tradnl"/>
        </w:rPr>
        <w:t>,</w:t>
      </w:r>
      <w:r w:rsidR="00AC5D2C" w:rsidRPr="00AC5D2C">
        <w:rPr>
          <w:rFonts w:ascii="Palatino Linotype" w:hAnsi="Palatino Linotype" w:cs="Tahoma"/>
          <w:bCs/>
          <w:sz w:val="22"/>
          <w:szCs w:val="22"/>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E36F2F" w:rsidRDefault="00E36F2F" w:rsidP="008373CE">
      <w:pPr>
        <w:spacing w:line="360" w:lineRule="auto"/>
        <w:jc w:val="both"/>
        <w:rPr>
          <w:rFonts w:ascii="Palatino Linotype" w:hAnsi="Palatino Linotype" w:cs="Tahoma"/>
          <w:bCs/>
          <w:sz w:val="22"/>
          <w:szCs w:val="22"/>
          <w:lang w:val="es-ES_tradnl"/>
        </w:rPr>
      </w:pPr>
    </w:p>
    <w:p w:rsidR="00E36F2F" w:rsidRPr="00AC5D2C" w:rsidRDefault="00E36F2F" w:rsidP="008373CE">
      <w:pPr>
        <w:spacing w:line="360" w:lineRule="auto"/>
        <w:jc w:val="both"/>
        <w:rPr>
          <w:rFonts w:ascii="Palatino Linotype" w:hAnsi="Palatino Linotype" w:cs="Tahoma"/>
          <w:bCs/>
          <w:sz w:val="22"/>
          <w:szCs w:val="22"/>
        </w:rPr>
      </w:pPr>
      <w:r>
        <w:rPr>
          <w:rFonts w:ascii="Palatino Linotype" w:hAnsi="Palatino Linotype" w:cs="Tahoma"/>
          <w:bCs/>
          <w:sz w:val="22"/>
          <w:szCs w:val="22"/>
          <w:lang w:val="es-ES_tradnl"/>
        </w:rPr>
        <w:t>Es de señalar que a la fecha no se presentaron manifestaciones del Sujeto Obligado ni del Recurrente.</w:t>
      </w:r>
    </w:p>
    <w:p w:rsidR="005F1701" w:rsidRPr="00264223" w:rsidRDefault="005F1701" w:rsidP="008373CE">
      <w:pPr>
        <w:spacing w:line="360" w:lineRule="auto"/>
        <w:jc w:val="both"/>
        <w:rPr>
          <w:rFonts w:ascii="Palatino Linotype" w:hAnsi="Palatino Linotype" w:cs="Tahoma"/>
          <w:bCs/>
          <w:sz w:val="22"/>
          <w:szCs w:val="22"/>
        </w:rPr>
      </w:pPr>
    </w:p>
    <w:p w:rsidR="00B31222" w:rsidRPr="00264223" w:rsidRDefault="004406CF" w:rsidP="008373CE">
      <w:pPr>
        <w:spacing w:line="360" w:lineRule="auto"/>
        <w:jc w:val="both"/>
        <w:rPr>
          <w:rFonts w:ascii="Palatino Linotype" w:hAnsi="Palatino Linotype" w:cs="Tahoma"/>
          <w:sz w:val="22"/>
          <w:szCs w:val="22"/>
        </w:rPr>
      </w:pPr>
      <w:r w:rsidRPr="00264223">
        <w:rPr>
          <w:rFonts w:ascii="Palatino Linotype" w:hAnsi="Palatino Linotype" w:cs="Tahoma"/>
          <w:b/>
          <w:sz w:val="22"/>
          <w:szCs w:val="22"/>
        </w:rPr>
        <w:t>c</w:t>
      </w:r>
      <w:r w:rsidR="00B31222" w:rsidRPr="00264223">
        <w:rPr>
          <w:rFonts w:ascii="Palatino Linotype" w:hAnsi="Palatino Linotype" w:cs="Tahoma"/>
          <w:b/>
          <w:sz w:val="22"/>
          <w:szCs w:val="22"/>
        </w:rPr>
        <w:t>) Cierre de instrucción</w:t>
      </w:r>
      <w:r w:rsidR="008E5077" w:rsidRPr="00264223">
        <w:rPr>
          <w:rFonts w:ascii="Palatino Linotype" w:hAnsi="Palatino Linotype" w:cs="Tahoma"/>
          <w:b/>
          <w:sz w:val="22"/>
          <w:szCs w:val="22"/>
        </w:rPr>
        <w:t>.</w:t>
      </w:r>
      <w:r w:rsidR="0040026C">
        <w:rPr>
          <w:rFonts w:ascii="Palatino Linotype" w:hAnsi="Palatino Linotype" w:cs="Tahoma"/>
          <w:b/>
          <w:sz w:val="22"/>
          <w:szCs w:val="22"/>
        </w:rPr>
        <w:t xml:space="preserve"> </w:t>
      </w:r>
      <w:r w:rsidR="00E573C6">
        <w:rPr>
          <w:rFonts w:ascii="Palatino Linotype" w:hAnsi="Palatino Linotype" w:cs="Tahoma"/>
          <w:sz w:val="22"/>
          <w:szCs w:val="22"/>
        </w:rPr>
        <w:t>Con fecha</w:t>
      </w:r>
      <w:r w:rsidR="0040026C">
        <w:rPr>
          <w:rFonts w:ascii="Palatino Linotype" w:hAnsi="Palatino Linotype" w:cs="Tahoma"/>
          <w:sz w:val="22"/>
          <w:szCs w:val="22"/>
        </w:rPr>
        <w:t xml:space="preserve"> seis </w:t>
      </w:r>
      <w:r w:rsidR="0048519E" w:rsidRPr="00264223">
        <w:rPr>
          <w:rFonts w:ascii="Palatino Linotype" w:hAnsi="Palatino Linotype" w:cs="Tahoma"/>
          <w:sz w:val="22"/>
          <w:szCs w:val="22"/>
        </w:rPr>
        <w:t xml:space="preserve">de </w:t>
      </w:r>
      <w:r w:rsidR="0040026C">
        <w:rPr>
          <w:rFonts w:ascii="Palatino Linotype" w:hAnsi="Palatino Linotype" w:cs="Tahoma"/>
          <w:sz w:val="22"/>
          <w:szCs w:val="22"/>
        </w:rPr>
        <w:t xml:space="preserve">noviembre </w:t>
      </w:r>
      <w:r w:rsidR="00B31222" w:rsidRPr="00264223">
        <w:rPr>
          <w:rFonts w:ascii="Palatino Linotype" w:hAnsi="Palatino Linotype" w:cs="Tahoma"/>
          <w:sz w:val="22"/>
          <w:szCs w:val="22"/>
        </w:rPr>
        <w:t>de dos mil dieciocho, al no existir diligencias pendientes por desahogar, se emitió el acuerdo por medio del cual se declaró cerrada la instrucción</w:t>
      </w:r>
      <w:r w:rsidR="008839DA" w:rsidRPr="00264223">
        <w:rPr>
          <w:rFonts w:ascii="Palatino Linotype" w:hAnsi="Palatino Linotype" w:cs="Tahoma"/>
          <w:sz w:val="22"/>
          <w:szCs w:val="22"/>
        </w:rPr>
        <w:t xml:space="preserve"> y se determinó</w:t>
      </w:r>
      <w:r w:rsidR="0040026C">
        <w:rPr>
          <w:rFonts w:ascii="Palatino Linotype" w:hAnsi="Palatino Linotype" w:cs="Tahoma"/>
          <w:sz w:val="22"/>
          <w:szCs w:val="22"/>
        </w:rPr>
        <w:t xml:space="preserve"> </w:t>
      </w:r>
      <w:r w:rsidR="008839DA" w:rsidRPr="00264223">
        <w:rPr>
          <w:rFonts w:ascii="Palatino Linotype" w:hAnsi="Palatino Linotype" w:cs="Tahoma"/>
          <w:sz w:val="22"/>
          <w:szCs w:val="22"/>
        </w:rPr>
        <w:t xml:space="preserve">pasar </w:t>
      </w:r>
      <w:r w:rsidR="00B31222" w:rsidRPr="00264223">
        <w:rPr>
          <w:rFonts w:ascii="Palatino Linotype" w:hAnsi="Palatino Linotype" w:cs="Tahoma"/>
          <w:sz w:val="22"/>
          <w:szCs w:val="22"/>
        </w:rPr>
        <w:t>el expediente a resolución, en términos de lo dispuesto en los artículos 1</w:t>
      </w:r>
      <w:r w:rsidR="0048519E" w:rsidRPr="00264223">
        <w:rPr>
          <w:rFonts w:ascii="Palatino Linotype" w:hAnsi="Palatino Linotype" w:cs="Tahoma"/>
          <w:sz w:val="22"/>
          <w:szCs w:val="22"/>
        </w:rPr>
        <w:t>85</w:t>
      </w:r>
      <w:r w:rsidR="00B31222" w:rsidRPr="00264223">
        <w:rPr>
          <w:rFonts w:ascii="Palatino Linotype" w:hAnsi="Palatino Linotype" w:cs="Tahoma"/>
          <w:sz w:val="22"/>
          <w:szCs w:val="22"/>
        </w:rPr>
        <w:t>, fracciones VI y VIII</w:t>
      </w:r>
      <w:r w:rsidR="00973FDF">
        <w:rPr>
          <w:rFonts w:ascii="Palatino Linotype" w:hAnsi="Palatino Linotype" w:cs="Tahoma"/>
          <w:sz w:val="22"/>
          <w:szCs w:val="22"/>
        </w:rPr>
        <w:t>,</w:t>
      </w:r>
      <w:r w:rsidR="00B31222" w:rsidRPr="00264223">
        <w:rPr>
          <w:rFonts w:ascii="Palatino Linotype" w:hAnsi="Palatino Linotype" w:cs="Tahoma"/>
          <w:sz w:val="22"/>
          <w:szCs w:val="22"/>
        </w:rPr>
        <w:t xml:space="preserve"> de la Ley </w:t>
      </w:r>
      <w:r w:rsidR="0048519E" w:rsidRPr="00264223">
        <w:rPr>
          <w:rFonts w:ascii="Palatino Linotype" w:hAnsi="Palatino Linotype" w:cs="Tahoma"/>
          <w:sz w:val="22"/>
          <w:szCs w:val="22"/>
        </w:rPr>
        <w:t>de Transparencia y Acceso a la Información Pública del Estado de México y Municipios</w:t>
      </w:r>
      <w:r w:rsidR="00B31222" w:rsidRPr="00264223">
        <w:rPr>
          <w:rFonts w:ascii="Palatino Linotype" w:hAnsi="Palatino Linotype" w:cs="Tahoma"/>
          <w:sz w:val="22"/>
          <w:szCs w:val="22"/>
        </w:rPr>
        <w:t xml:space="preserve">, mismo que fue notificado a las partes </w:t>
      </w:r>
      <w:r w:rsidR="0048519E" w:rsidRPr="00264223">
        <w:rPr>
          <w:rFonts w:ascii="Palatino Linotype" w:hAnsi="Palatino Linotype" w:cs="Tahoma"/>
          <w:sz w:val="22"/>
          <w:szCs w:val="22"/>
        </w:rPr>
        <w:t xml:space="preserve">el mismo día, a través del </w:t>
      </w:r>
      <w:r w:rsidR="000313A7" w:rsidRPr="00264223">
        <w:rPr>
          <w:rFonts w:ascii="Palatino Linotype" w:hAnsi="Palatino Linotype" w:cs="Tahoma"/>
          <w:sz w:val="22"/>
          <w:szCs w:val="22"/>
          <w:lang w:val="es-ES"/>
        </w:rPr>
        <w:t>Sistema de Acceso a la Información Mexiquense (SAIMEX)</w:t>
      </w:r>
      <w:r w:rsidR="006A026A" w:rsidRPr="00264223">
        <w:rPr>
          <w:rFonts w:ascii="Palatino Linotype" w:hAnsi="Palatino Linotype" w:cs="Tahoma"/>
          <w:sz w:val="22"/>
          <w:szCs w:val="22"/>
        </w:rPr>
        <w:t>.</w:t>
      </w:r>
    </w:p>
    <w:p w:rsidR="00B31222" w:rsidRPr="00264223" w:rsidRDefault="00B31222" w:rsidP="008373CE">
      <w:pPr>
        <w:spacing w:line="360" w:lineRule="auto"/>
        <w:jc w:val="both"/>
        <w:rPr>
          <w:rFonts w:ascii="Palatino Linotype" w:hAnsi="Palatino Linotype" w:cs="Tahoma"/>
          <w:b/>
          <w:sz w:val="22"/>
          <w:szCs w:val="22"/>
        </w:rPr>
      </w:pPr>
    </w:p>
    <w:p w:rsidR="004F2D88" w:rsidRDefault="004F2D88" w:rsidP="008373CE">
      <w:pPr>
        <w:spacing w:line="360" w:lineRule="auto"/>
        <w:jc w:val="both"/>
        <w:rPr>
          <w:rFonts w:ascii="Palatino Linotype" w:hAnsi="Palatino Linotype" w:cs="Tahoma"/>
          <w:color w:val="000000"/>
          <w:sz w:val="22"/>
          <w:szCs w:val="22"/>
        </w:rPr>
      </w:pPr>
      <w:r w:rsidRPr="00264223">
        <w:rPr>
          <w:rFonts w:ascii="Palatino Linotype" w:hAnsi="Palatino Linotype" w:cs="Tahoma"/>
          <w:color w:val="000000"/>
          <w:sz w:val="22"/>
          <w:szCs w:val="22"/>
        </w:rPr>
        <w:t xml:space="preserve">En </w:t>
      </w:r>
      <w:r w:rsidR="00367F82" w:rsidRPr="00264223">
        <w:rPr>
          <w:rFonts w:ascii="Palatino Linotype" w:hAnsi="Palatino Linotype" w:cs="Tahoma"/>
          <w:color w:val="000000"/>
          <w:sz w:val="22"/>
          <w:szCs w:val="22"/>
        </w:rPr>
        <w:t>razón de que fue debidamente su</w:t>
      </w:r>
      <w:r w:rsidRPr="00264223">
        <w:rPr>
          <w:rFonts w:ascii="Palatino Linotype" w:hAnsi="Palatino Linotype" w:cs="Tahoma"/>
          <w:color w:val="000000"/>
          <w:sz w:val="22"/>
          <w:szCs w:val="22"/>
        </w:rPr>
        <w:t xml:space="preserve">stanciado el expediente </w:t>
      </w:r>
      <w:r w:rsidR="00367F82" w:rsidRPr="00264223">
        <w:rPr>
          <w:rFonts w:ascii="Palatino Linotype" w:hAnsi="Palatino Linotype" w:cs="Tahoma"/>
          <w:color w:val="000000"/>
          <w:sz w:val="22"/>
          <w:szCs w:val="22"/>
        </w:rPr>
        <w:t xml:space="preserve">electrónico </w:t>
      </w:r>
      <w:r w:rsidRPr="00264223">
        <w:rPr>
          <w:rFonts w:ascii="Palatino Linotype" w:hAnsi="Palatino Linotype" w:cs="Tahoma"/>
          <w:color w:val="000000"/>
          <w:sz w:val="22"/>
          <w:szCs w:val="22"/>
        </w:rPr>
        <w:t>y no exist</w:t>
      </w:r>
      <w:r w:rsidR="00367F82" w:rsidRPr="00264223">
        <w:rPr>
          <w:rFonts w:ascii="Palatino Linotype" w:hAnsi="Palatino Linotype" w:cs="Tahoma"/>
          <w:color w:val="000000"/>
          <w:sz w:val="22"/>
          <w:szCs w:val="22"/>
        </w:rPr>
        <w:t>e</w:t>
      </w:r>
      <w:r w:rsidRPr="00264223">
        <w:rPr>
          <w:rFonts w:ascii="Palatino Linotype" w:hAnsi="Palatino Linotype" w:cs="Tahoma"/>
          <w:color w:val="000000"/>
          <w:sz w:val="22"/>
          <w:szCs w:val="22"/>
        </w:rPr>
        <w:t xml:space="preserve"> dilige</w:t>
      </w:r>
      <w:r w:rsidR="00367F82" w:rsidRPr="00264223">
        <w:rPr>
          <w:rFonts w:ascii="Palatino Linotype" w:hAnsi="Palatino Linotype" w:cs="Tahoma"/>
          <w:color w:val="000000"/>
          <w:sz w:val="22"/>
          <w:szCs w:val="22"/>
        </w:rPr>
        <w:t xml:space="preserve">ncia pendiente de desahogo, se </w:t>
      </w:r>
      <w:r w:rsidRPr="00264223">
        <w:rPr>
          <w:rFonts w:ascii="Palatino Linotype" w:hAnsi="Palatino Linotype" w:cs="Tahoma"/>
          <w:color w:val="000000"/>
          <w:sz w:val="22"/>
          <w:szCs w:val="22"/>
        </w:rPr>
        <w:t>emit</w:t>
      </w:r>
      <w:r w:rsidR="00367F82" w:rsidRPr="00264223">
        <w:rPr>
          <w:rFonts w:ascii="Palatino Linotype" w:hAnsi="Palatino Linotype" w:cs="Tahoma"/>
          <w:color w:val="000000"/>
          <w:sz w:val="22"/>
          <w:szCs w:val="22"/>
        </w:rPr>
        <w:t>e</w:t>
      </w:r>
      <w:r w:rsidRPr="00264223">
        <w:rPr>
          <w:rFonts w:ascii="Palatino Linotype" w:hAnsi="Palatino Linotype" w:cs="Tahoma"/>
          <w:color w:val="000000"/>
          <w:sz w:val="22"/>
          <w:szCs w:val="22"/>
        </w:rPr>
        <w:t xml:space="preserve"> la resolución que conforme a Derecho proceda, de acuerdo a l</w:t>
      </w:r>
      <w:r w:rsidR="009A620E" w:rsidRPr="00264223">
        <w:rPr>
          <w:rFonts w:ascii="Palatino Linotype" w:hAnsi="Palatino Linotype" w:cs="Tahoma"/>
          <w:color w:val="000000"/>
          <w:sz w:val="22"/>
          <w:szCs w:val="22"/>
        </w:rPr>
        <w:t>o</w:t>
      </w:r>
      <w:r w:rsidRPr="00264223">
        <w:rPr>
          <w:rFonts w:ascii="Palatino Linotype" w:hAnsi="Palatino Linotype" w:cs="Tahoma"/>
          <w:color w:val="000000"/>
          <w:sz w:val="22"/>
          <w:szCs w:val="22"/>
        </w:rPr>
        <w:t xml:space="preserve">s siguientes: </w:t>
      </w:r>
    </w:p>
    <w:p w:rsidR="00472D4A" w:rsidRDefault="00472D4A" w:rsidP="008373CE">
      <w:pPr>
        <w:spacing w:line="360" w:lineRule="auto"/>
        <w:jc w:val="both"/>
        <w:rPr>
          <w:rFonts w:ascii="Palatino Linotype" w:hAnsi="Palatino Linotype" w:cs="Tahoma"/>
          <w:color w:val="000000"/>
          <w:sz w:val="22"/>
          <w:szCs w:val="22"/>
        </w:rPr>
      </w:pPr>
    </w:p>
    <w:p w:rsidR="00472D4A" w:rsidRDefault="00472D4A" w:rsidP="008373CE">
      <w:pPr>
        <w:spacing w:line="360" w:lineRule="auto"/>
        <w:jc w:val="both"/>
        <w:rPr>
          <w:rFonts w:ascii="Palatino Linotype" w:hAnsi="Palatino Linotype" w:cs="Tahoma"/>
          <w:color w:val="000000"/>
          <w:sz w:val="22"/>
          <w:szCs w:val="22"/>
        </w:rPr>
      </w:pPr>
    </w:p>
    <w:p w:rsidR="00472D4A" w:rsidRPr="00264223" w:rsidRDefault="00472D4A" w:rsidP="008373CE">
      <w:pPr>
        <w:spacing w:line="360" w:lineRule="auto"/>
        <w:jc w:val="both"/>
        <w:rPr>
          <w:rFonts w:ascii="Palatino Linotype" w:hAnsi="Palatino Linotype" w:cs="Tahoma"/>
          <w:color w:val="000000"/>
          <w:sz w:val="22"/>
          <w:szCs w:val="22"/>
        </w:rPr>
      </w:pPr>
    </w:p>
    <w:p w:rsidR="005A387D" w:rsidRDefault="005A387D" w:rsidP="008373CE">
      <w:pPr>
        <w:spacing w:line="360" w:lineRule="auto"/>
        <w:jc w:val="center"/>
        <w:rPr>
          <w:rFonts w:ascii="Palatino Linotype" w:hAnsi="Palatino Linotype" w:cs="Tahoma"/>
          <w:b/>
          <w:sz w:val="22"/>
          <w:szCs w:val="22"/>
          <w:lang w:val="es-ES"/>
        </w:rPr>
      </w:pPr>
    </w:p>
    <w:p w:rsidR="00264223" w:rsidRDefault="009A620E" w:rsidP="008373CE">
      <w:pPr>
        <w:spacing w:line="360" w:lineRule="auto"/>
        <w:jc w:val="center"/>
        <w:rPr>
          <w:rFonts w:ascii="Palatino Linotype" w:hAnsi="Palatino Linotype" w:cs="Tahoma"/>
          <w:b/>
          <w:sz w:val="22"/>
          <w:szCs w:val="22"/>
          <w:lang w:val="es-ES"/>
        </w:rPr>
      </w:pPr>
      <w:r w:rsidRPr="00264223">
        <w:rPr>
          <w:rFonts w:ascii="Palatino Linotype" w:hAnsi="Palatino Linotype" w:cs="Tahoma"/>
          <w:b/>
          <w:sz w:val="22"/>
          <w:szCs w:val="22"/>
          <w:lang w:val="es-ES"/>
        </w:rPr>
        <w:t>CONSIDERANDOS</w:t>
      </w:r>
    </w:p>
    <w:p w:rsidR="00264223" w:rsidRPr="00264223" w:rsidRDefault="00264223" w:rsidP="008373CE">
      <w:pPr>
        <w:spacing w:line="360" w:lineRule="auto"/>
        <w:jc w:val="center"/>
        <w:rPr>
          <w:rFonts w:ascii="Palatino Linotype" w:hAnsi="Palatino Linotype" w:cs="Tahoma"/>
          <w:b/>
          <w:sz w:val="22"/>
          <w:szCs w:val="22"/>
          <w:lang w:val="es-ES"/>
        </w:rPr>
      </w:pPr>
    </w:p>
    <w:p w:rsidR="00B64641" w:rsidRPr="00264223" w:rsidRDefault="00B64641" w:rsidP="008373CE">
      <w:pPr>
        <w:autoSpaceDE w:val="0"/>
        <w:autoSpaceDN w:val="0"/>
        <w:adjustRightInd w:val="0"/>
        <w:spacing w:line="360" w:lineRule="auto"/>
        <w:jc w:val="both"/>
        <w:rPr>
          <w:rFonts w:ascii="Palatino Linotype" w:hAnsi="Palatino Linotype" w:cs="Tahoma"/>
          <w:b/>
          <w:sz w:val="22"/>
          <w:szCs w:val="22"/>
          <w:lang w:val="es-ES"/>
        </w:rPr>
      </w:pPr>
      <w:r w:rsidRPr="00264223">
        <w:rPr>
          <w:rFonts w:ascii="Palatino Linotype" w:eastAsia="Calibri" w:hAnsi="Palatino Linotype" w:cs="Tahoma"/>
          <w:b/>
          <w:color w:val="000000"/>
          <w:sz w:val="22"/>
          <w:szCs w:val="22"/>
          <w:lang w:val="es-ES" w:eastAsia="es-MX"/>
        </w:rPr>
        <w:t>PRIMER</w:t>
      </w:r>
      <w:r w:rsidR="00EC0252">
        <w:rPr>
          <w:rFonts w:ascii="Palatino Linotype" w:eastAsia="Calibri" w:hAnsi="Palatino Linotype" w:cs="Tahoma"/>
          <w:b/>
          <w:color w:val="000000"/>
          <w:sz w:val="22"/>
          <w:szCs w:val="22"/>
          <w:lang w:val="es-ES" w:eastAsia="es-MX"/>
        </w:rPr>
        <w:t>O</w:t>
      </w:r>
      <w:r w:rsidRPr="00264223">
        <w:rPr>
          <w:rFonts w:ascii="Palatino Linotype" w:eastAsia="Calibri" w:hAnsi="Palatino Linotype" w:cs="Tahoma"/>
          <w:color w:val="000000"/>
          <w:sz w:val="22"/>
          <w:szCs w:val="22"/>
          <w:lang w:val="es-ES" w:eastAsia="es-MX"/>
        </w:rPr>
        <w:t xml:space="preserve">. </w:t>
      </w:r>
      <w:r w:rsidRPr="00264223">
        <w:rPr>
          <w:rFonts w:ascii="Palatino Linotype" w:hAnsi="Palatino Linotype" w:cs="Tahoma"/>
          <w:b/>
          <w:sz w:val="22"/>
          <w:szCs w:val="22"/>
          <w:lang w:val="es-ES"/>
        </w:rPr>
        <w:t>Competencia.</w:t>
      </w:r>
    </w:p>
    <w:p w:rsidR="00B727C5" w:rsidRPr="00264223" w:rsidRDefault="00B727C5" w:rsidP="008373CE">
      <w:pPr>
        <w:autoSpaceDE w:val="0"/>
        <w:autoSpaceDN w:val="0"/>
        <w:adjustRightInd w:val="0"/>
        <w:spacing w:line="360" w:lineRule="auto"/>
        <w:jc w:val="both"/>
        <w:rPr>
          <w:rFonts w:ascii="Palatino Linotype" w:hAnsi="Palatino Linotype" w:cs="Tahoma"/>
          <w:sz w:val="22"/>
          <w:szCs w:val="22"/>
          <w:lang w:val="es-ES"/>
        </w:rPr>
      </w:pPr>
    </w:p>
    <w:p w:rsidR="004F2D88" w:rsidRDefault="009C4081" w:rsidP="008373CE">
      <w:pPr>
        <w:spacing w:line="360" w:lineRule="auto"/>
        <w:jc w:val="both"/>
        <w:rPr>
          <w:rFonts w:ascii="Palatino Linotype" w:hAnsi="Palatino Linotype" w:cs="Tahoma"/>
          <w:sz w:val="22"/>
          <w:szCs w:val="22"/>
          <w:shd w:val="clear" w:color="auto" w:fill="FFFFFF"/>
        </w:rPr>
      </w:pPr>
      <w:r w:rsidRPr="009C408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Pr>
          <w:rFonts w:ascii="Palatino Linotype" w:hAnsi="Palatino Linotype" w:cs="Tahoma"/>
          <w:sz w:val="22"/>
          <w:szCs w:val="22"/>
          <w:shd w:val="clear" w:color="auto" w:fill="FFFFFF"/>
        </w:rPr>
        <w:t>º</w:t>
      </w:r>
      <w:r w:rsidRPr="009C4081">
        <w:rPr>
          <w:rFonts w:ascii="Palatino Linotype" w:hAnsi="Palatino Linotype" w:cs="Tahoma"/>
          <w:sz w:val="22"/>
          <w:szCs w:val="22"/>
          <w:shd w:val="clear" w:color="auto" w:fill="FFFFFF"/>
        </w:rPr>
        <w:t>, apartado A de la Constitución Política de los Estados Unidos Mexicanos; 5</w:t>
      </w:r>
      <w:r w:rsidR="00973FDF">
        <w:rPr>
          <w:rFonts w:ascii="Palatino Linotype" w:hAnsi="Palatino Linotype" w:cs="Tahoma"/>
          <w:sz w:val="22"/>
          <w:szCs w:val="22"/>
          <w:shd w:val="clear" w:color="auto" w:fill="FFFFFF"/>
        </w:rPr>
        <w:t>º</w:t>
      </w:r>
      <w:r w:rsidRPr="009C4081">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B6258B" w:rsidRDefault="00E70503" w:rsidP="008373CE">
      <w:pPr>
        <w:spacing w:line="360" w:lineRule="auto"/>
        <w:jc w:val="both"/>
        <w:rPr>
          <w:rFonts w:ascii="Palatino Linotype" w:eastAsia="Calibri" w:hAnsi="Palatino Linotype" w:cs="Tahoma"/>
          <w:bCs/>
          <w:color w:val="000000"/>
          <w:sz w:val="22"/>
          <w:szCs w:val="22"/>
          <w:lang w:val="es-ES" w:eastAsia="es-ES_tradnl"/>
        </w:rPr>
      </w:pPr>
    </w:p>
    <w:p w:rsidR="00D90C9D" w:rsidRDefault="00EC0252" w:rsidP="008373CE">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Pr>
          <w:rFonts w:ascii="Palatino Linotype" w:eastAsia="Calibri" w:hAnsi="Palatino Linotype" w:cs="Tahoma"/>
          <w:b/>
          <w:color w:val="000000"/>
          <w:sz w:val="22"/>
          <w:szCs w:val="22"/>
          <w:lang w:val="es-ES" w:eastAsia="es-MX"/>
        </w:rPr>
        <w:t>SEGUNDO</w:t>
      </w:r>
      <w:r w:rsidR="009C4081" w:rsidRPr="009C4081">
        <w:rPr>
          <w:rFonts w:ascii="Palatino Linotype" w:eastAsia="Calibri" w:hAnsi="Palatino Linotype" w:cs="Tahoma"/>
          <w:b/>
          <w:color w:val="000000"/>
          <w:sz w:val="22"/>
          <w:szCs w:val="22"/>
          <w:lang w:val="es-ES" w:eastAsia="es-MX"/>
        </w:rPr>
        <w:t>. Causales de improcedencia y sobreseimiento.</w:t>
      </w:r>
    </w:p>
    <w:p w:rsidR="009C4081" w:rsidRPr="00264223" w:rsidRDefault="009C4081" w:rsidP="008373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Default="00FE5410" w:rsidP="008373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Previo al análisis de fondo del asunto que no ocupa, e</w:t>
      </w:r>
      <w:r w:rsidR="00683CB5" w:rsidRPr="00683CB5">
        <w:rPr>
          <w:rFonts w:ascii="Palatino Linotype" w:eastAsia="Calibri" w:hAnsi="Palatino Linotype" w:cs="Tahoma"/>
          <w:color w:val="000000"/>
          <w:sz w:val="22"/>
          <w:szCs w:val="22"/>
          <w:lang w:val="es-ES" w:eastAsia="es-MX"/>
        </w:rPr>
        <w:t>ste Instituto realiza</w:t>
      </w:r>
      <w:r>
        <w:rPr>
          <w:rFonts w:ascii="Palatino Linotype" w:eastAsia="Calibri" w:hAnsi="Palatino Linotype" w:cs="Tahoma"/>
          <w:color w:val="000000"/>
          <w:sz w:val="22"/>
          <w:szCs w:val="22"/>
          <w:lang w:val="es-ES" w:eastAsia="es-MX"/>
        </w:rPr>
        <w:t>rá</w:t>
      </w:r>
      <w:r w:rsidR="00683CB5" w:rsidRPr="00683CB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w:t>
      </w:r>
      <w:r w:rsidR="00683CB5" w:rsidRPr="00683CB5">
        <w:rPr>
          <w:rFonts w:ascii="Palatino Linotype" w:eastAsia="Calibri" w:hAnsi="Palatino Linotype" w:cs="Tahoma"/>
          <w:color w:val="000000"/>
          <w:sz w:val="22"/>
          <w:szCs w:val="22"/>
          <w:lang w:val="es-ES" w:eastAsia="es-MX"/>
        </w:rPr>
        <w:lastRenderedPageBreak/>
        <w:t>en el artículo 191 de la Ley de Transparencia y Acceso a la Información Pública del Estado de México y Municipios, por ser improcedente.</w:t>
      </w:r>
    </w:p>
    <w:p w:rsidR="00683CB5" w:rsidRPr="00264223" w:rsidRDefault="00683CB5" w:rsidP="008373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264223" w:rsidRDefault="00FE5410" w:rsidP="008373CE">
      <w:pPr>
        <w:autoSpaceDE w:val="0"/>
        <w:autoSpaceDN w:val="0"/>
        <w:adjustRightInd w:val="0"/>
        <w:spacing w:line="360" w:lineRule="auto"/>
        <w:jc w:val="both"/>
        <w:rPr>
          <w:rFonts w:ascii="Palatino Linotype" w:hAnsi="Palatino Linotype" w:cs="Tahoma"/>
          <w:sz w:val="22"/>
          <w:szCs w:val="22"/>
          <w:lang w:val="es-ES"/>
        </w:rPr>
      </w:pPr>
      <w:r>
        <w:rPr>
          <w:rFonts w:ascii="Palatino Linotype" w:eastAsia="Calibri" w:hAnsi="Palatino Linotype" w:cs="Tahoma"/>
          <w:color w:val="000000"/>
          <w:sz w:val="22"/>
          <w:szCs w:val="22"/>
          <w:lang w:val="es-ES" w:eastAsia="es-MX"/>
        </w:rPr>
        <w:t>No obstante, e</w:t>
      </w:r>
      <w:r w:rsidR="00CF4012" w:rsidRPr="00264223">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264223">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264223" w:rsidRDefault="00CF4012" w:rsidP="008373CE">
      <w:pPr>
        <w:autoSpaceDE w:val="0"/>
        <w:autoSpaceDN w:val="0"/>
        <w:adjustRightInd w:val="0"/>
        <w:spacing w:line="360" w:lineRule="auto"/>
        <w:jc w:val="both"/>
        <w:rPr>
          <w:rFonts w:ascii="Palatino Linotype" w:hAnsi="Palatino Linotype" w:cs="Tahoma"/>
          <w:sz w:val="22"/>
          <w:szCs w:val="22"/>
          <w:lang w:val="es-ES"/>
        </w:rPr>
      </w:pPr>
    </w:p>
    <w:p w:rsidR="00CF4012" w:rsidRDefault="004F41A2" w:rsidP="008373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Aunado a lo anterior</w:t>
      </w:r>
      <w:r w:rsidR="00CF4012" w:rsidRPr="00264223">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 xml:space="preserve">se observa </w:t>
      </w:r>
      <w:r w:rsidR="00CF4012" w:rsidRPr="00264223">
        <w:rPr>
          <w:rFonts w:ascii="Palatino Linotype" w:eastAsia="Calibri" w:hAnsi="Palatino Linotype" w:cs="Tahoma"/>
          <w:color w:val="000000"/>
          <w:sz w:val="22"/>
          <w:szCs w:val="22"/>
          <w:lang w:val="es-ES" w:eastAsia="es-MX"/>
        </w:rPr>
        <w:t>que el medio de impugnación fue presenta</w:t>
      </w:r>
      <w:r w:rsidR="005A3131">
        <w:rPr>
          <w:rFonts w:ascii="Palatino Linotype" w:eastAsia="Calibri" w:hAnsi="Palatino Linotype" w:cs="Tahoma"/>
          <w:color w:val="000000"/>
          <w:sz w:val="22"/>
          <w:szCs w:val="22"/>
          <w:lang w:val="es-ES" w:eastAsia="es-MX"/>
        </w:rPr>
        <w:t>do</w:t>
      </w:r>
      <w:r w:rsidR="00CF4012" w:rsidRPr="00264223">
        <w:rPr>
          <w:rFonts w:ascii="Palatino Linotype" w:eastAsia="Calibri" w:hAnsi="Palatino Linotype" w:cs="Tahoma"/>
          <w:color w:val="000000"/>
          <w:sz w:val="22"/>
          <w:szCs w:val="22"/>
          <w:lang w:val="es-ES" w:eastAsia="es-MX"/>
        </w:rPr>
        <w:t xml:space="preserve"> en tiempo, toda vez que ante la ausencia de la respuesta del Ente Recurrido, se constituye la </w:t>
      </w:r>
      <w:r w:rsidR="00CF4012" w:rsidRPr="00E70503">
        <w:rPr>
          <w:rFonts w:ascii="Palatino Linotype" w:eastAsia="Calibri" w:hAnsi="Palatino Linotype" w:cs="Tahoma"/>
          <w:b/>
          <w:i/>
          <w:color w:val="000000"/>
          <w:sz w:val="22"/>
          <w:szCs w:val="22"/>
          <w:lang w:val="es-ES" w:eastAsia="es-MX"/>
        </w:rPr>
        <w:t>negativa ficta</w:t>
      </w:r>
      <w:r w:rsidR="00CF4012" w:rsidRPr="00264223">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264223">
        <w:rPr>
          <w:rFonts w:ascii="Palatino Linotype" w:eastAsia="Calibri" w:hAnsi="Palatino Linotype" w:cs="Tahoma"/>
          <w:color w:val="000000"/>
          <w:sz w:val="22"/>
          <w:szCs w:val="22"/>
          <w:lang w:val="es-ES" w:eastAsia="es-MX"/>
        </w:rPr>
        <w:t xml:space="preserve">, en cualquier </w:t>
      </w:r>
      <w:r w:rsidRPr="00264223">
        <w:rPr>
          <w:rFonts w:ascii="Palatino Linotype" w:eastAsia="Calibri" w:hAnsi="Palatino Linotype" w:cs="Tahoma"/>
          <w:color w:val="000000"/>
          <w:sz w:val="22"/>
          <w:szCs w:val="22"/>
          <w:lang w:val="es-ES" w:eastAsia="es-MX"/>
        </w:rPr>
        <w:t>momento</w:t>
      </w:r>
      <w:r>
        <w:rPr>
          <w:rFonts w:ascii="Palatino Linotype" w:eastAsia="Calibri" w:hAnsi="Palatino Linotype" w:cs="Tahoma"/>
          <w:color w:val="000000"/>
          <w:sz w:val="22"/>
          <w:szCs w:val="22"/>
          <w:lang w:val="es-ES" w:eastAsia="es-MX"/>
        </w:rPr>
        <w:t>, conforme</w:t>
      </w:r>
      <w:r w:rsidR="00CF4012" w:rsidRPr="00264223">
        <w:rPr>
          <w:rFonts w:ascii="Palatino Linotype" w:eastAsia="Calibri" w:hAnsi="Palatino Linotype" w:cs="Tahoma"/>
          <w:color w:val="000000"/>
          <w:sz w:val="22"/>
          <w:szCs w:val="22"/>
          <w:lang w:val="es-ES" w:eastAsia="es-MX"/>
        </w:rPr>
        <w:t xml:space="preserve"> a lo establecido</w:t>
      </w:r>
      <w:r w:rsidR="004C7E83" w:rsidRPr="00264223">
        <w:rPr>
          <w:rFonts w:ascii="Palatino Linotype" w:eastAsia="Calibri" w:hAnsi="Palatino Linotype" w:cs="Tahoma"/>
          <w:color w:val="000000"/>
          <w:sz w:val="22"/>
          <w:szCs w:val="22"/>
          <w:lang w:val="es-ES" w:eastAsia="es-MX"/>
        </w:rPr>
        <w:t xml:space="preserve"> en los artículos</w:t>
      </w:r>
      <w:r w:rsidR="00A00F0B">
        <w:rPr>
          <w:rFonts w:ascii="Palatino Linotype" w:eastAsia="Calibri" w:hAnsi="Palatino Linotype" w:cs="Tahoma"/>
          <w:color w:val="000000"/>
          <w:sz w:val="22"/>
          <w:szCs w:val="22"/>
          <w:lang w:val="es-ES" w:eastAsia="es-MX"/>
        </w:rPr>
        <w:t xml:space="preserve"> </w:t>
      </w:r>
      <w:r w:rsidR="003A78B5" w:rsidRPr="00264223">
        <w:rPr>
          <w:rFonts w:ascii="Palatino Linotype" w:eastAsia="Calibri" w:hAnsi="Palatino Linotype" w:cs="Tahoma"/>
          <w:color w:val="000000"/>
          <w:sz w:val="22"/>
          <w:szCs w:val="22"/>
          <w:lang w:val="es-ES" w:eastAsia="es-MX"/>
        </w:rPr>
        <w:t>166 y 178</w:t>
      </w:r>
      <w:r w:rsidR="008E1829" w:rsidRPr="00264223">
        <w:rPr>
          <w:rFonts w:ascii="Palatino Linotype" w:eastAsia="Calibri" w:hAnsi="Palatino Linotype" w:cs="Tahoma"/>
          <w:color w:val="000000"/>
          <w:sz w:val="22"/>
          <w:szCs w:val="22"/>
          <w:lang w:val="es-ES" w:eastAsia="es-MX"/>
        </w:rPr>
        <w:t xml:space="preserve">, párrafo </w:t>
      </w:r>
      <w:r w:rsidR="00261DD6" w:rsidRPr="00264223">
        <w:rPr>
          <w:rFonts w:ascii="Palatino Linotype" w:eastAsia="Calibri" w:hAnsi="Palatino Linotype" w:cs="Tahoma"/>
          <w:color w:val="000000"/>
          <w:sz w:val="22"/>
          <w:szCs w:val="22"/>
          <w:lang w:val="es-ES" w:eastAsia="es-MX"/>
        </w:rPr>
        <w:t>segundo</w:t>
      </w:r>
      <w:r w:rsidR="003A78B5" w:rsidRPr="00264223">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rsidR="009C4081" w:rsidRPr="00264223" w:rsidRDefault="009C4081" w:rsidP="008373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A78B5" w:rsidRPr="00264223" w:rsidRDefault="004F41A2" w:rsidP="008373CE">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Pr>
          <w:rFonts w:ascii="Palatino Linotype" w:eastAsia="Calibri" w:hAnsi="Palatino Linotype" w:cs="Tahoma"/>
          <w:color w:val="000000"/>
          <w:sz w:val="22"/>
          <w:szCs w:val="22"/>
          <w:lang w:val="es-ES" w:eastAsia="es-MX"/>
        </w:rPr>
        <w:t>Finalmente</w:t>
      </w:r>
      <w:r w:rsidR="003A78B5" w:rsidRPr="00264223">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 xml:space="preserve">en el asunto que nos ocupa </w:t>
      </w:r>
      <w:r w:rsidR="003A78B5" w:rsidRPr="00264223">
        <w:rPr>
          <w:rFonts w:ascii="Palatino Linotype" w:eastAsia="Calibri" w:hAnsi="Palatino Linotype" w:cs="Tahoma"/>
          <w:color w:val="000000"/>
          <w:sz w:val="22"/>
          <w:szCs w:val="22"/>
          <w:lang w:val="es-ES" w:eastAsia="es-MX"/>
        </w:rPr>
        <w:t>se actualiza la causal de procedencia señalada en el artículo 179, fracción VII de la Ley de la materia</w:t>
      </w:r>
      <w:r w:rsidR="003A78B5" w:rsidRPr="00264223">
        <w:rPr>
          <w:rFonts w:ascii="Palatino Linotype" w:eastAsia="Calibri" w:hAnsi="Palatino Linotype" w:cs="Tahoma"/>
          <w:bCs/>
          <w:color w:val="000000"/>
          <w:sz w:val="22"/>
          <w:szCs w:val="22"/>
          <w:lang w:val="es-ES" w:eastAsia="es-MX"/>
        </w:rPr>
        <w:t>, toda vez que la solicitante se inconformó con la falta de respuesta a su solicitud de información.</w:t>
      </w:r>
    </w:p>
    <w:p w:rsidR="00C901BB" w:rsidRPr="00264223" w:rsidRDefault="00C901BB" w:rsidP="008373CE">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8E5077" w:rsidRPr="00264223" w:rsidRDefault="004F2D88" w:rsidP="008373CE">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b/>
          <w:sz w:val="22"/>
          <w:szCs w:val="22"/>
          <w:lang w:val="es-ES" w:eastAsia="es-ES_tradnl"/>
        </w:rPr>
        <w:t>Causales de sobreseimiento.</w:t>
      </w:r>
    </w:p>
    <w:p w:rsidR="008E5077" w:rsidRPr="00264223" w:rsidRDefault="008E5077" w:rsidP="008373CE">
      <w:pPr>
        <w:spacing w:line="360" w:lineRule="auto"/>
        <w:jc w:val="both"/>
        <w:rPr>
          <w:rFonts w:ascii="Palatino Linotype" w:eastAsia="Calibri" w:hAnsi="Palatino Linotype" w:cs="Tahoma"/>
          <w:sz w:val="22"/>
          <w:szCs w:val="22"/>
          <w:lang w:val="es-ES" w:eastAsia="es-ES_tradnl"/>
        </w:rPr>
      </w:pPr>
    </w:p>
    <w:p w:rsidR="00F02171" w:rsidRPr="00264223" w:rsidRDefault="004F2D88" w:rsidP="008373CE">
      <w:pPr>
        <w:spacing w:line="360" w:lineRule="auto"/>
        <w:jc w:val="both"/>
        <w:rPr>
          <w:rFonts w:ascii="Palatino Linotype" w:hAnsi="Palatino Linotype" w:cs="Tahoma"/>
          <w:sz w:val="22"/>
          <w:szCs w:val="22"/>
          <w:lang w:val="es-ES"/>
        </w:rPr>
      </w:pPr>
      <w:r w:rsidRPr="00264223">
        <w:rPr>
          <w:rFonts w:ascii="Palatino Linotype" w:eastAsia="Calibri" w:hAnsi="Palatino Linotype" w:cs="Tahoma"/>
          <w:sz w:val="22"/>
          <w:szCs w:val="22"/>
          <w:lang w:val="es-ES" w:eastAsia="es-ES_tradnl"/>
        </w:rPr>
        <w:t xml:space="preserve">Por </w:t>
      </w:r>
      <w:r w:rsidR="004F41A2">
        <w:rPr>
          <w:rFonts w:ascii="Palatino Linotype" w:eastAsia="Calibri" w:hAnsi="Palatino Linotype" w:cs="Tahoma"/>
          <w:sz w:val="22"/>
          <w:szCs w:val="22"/>
          <w:lang w:val="es-ES" w:eastAsia="es-ES_tradnl"/>
        </w:rPr>
        <w:t>lo que hace a las causales de sobreseimiento,</w:t>
      </w:r>
      <w:r w:rsidR="00AC5D2C">
        <w:rPr>
          <w:rFonts w:ascii="Palatino Linotype" w:eastAsia="Calibri" w:hAnsi="Palatino Linotype" w:cs="Tahoma"/>
          <w:sz w:val="22"/>
          <w:szCs w:val="22"/>
          <w:lang w:val="es-ES" w:eastAsia="es-ES_tradnl"/>
        </w:rPr>
        <w:t xml:space="preserve"> </w:t>
      </w:r>
      <w:r w:rsidR="007F21C5" w:rsidRPr="00264223">
        <w:rPr>
          <w:rFonts w:ascii="Palatino Linotype" w:eastAsia="Calibri" w:hAnsi="Palatino Linotype" w:cs="Tahoma"/>
          <w:sz w:val="22"/>
          <w:szCs w:val="22"/>
          <w:lang w:val="es-ES" w:eastAsia="es-ES_tradnl"/>
        </w:rPr>
        <w:t>d</w:t>
      </w:r>
      <w:r w:rsidR="00F02171" w:rsidRPr="00264223">
        <w:rPr>
          <w:rFonts w:ascii="Palatino Linotype" w:eastAsia="Calibri" w:hAnsi="Palatino Linotype" w:cs="Tahoma"/>
          <w:sz w:val="22"/>
          <w:szCs w:val="22"/>
          <w:lang w:val="es-ES" w:eastAsia="es-ES_tradnl"/>
        </w:rPr>
        <w:t>el análisis realizado por este Instituto, se advierte que</w:t>
      </w:r>
      <w:r w:rsidR="00F02171" w:rsidRPr="00264223">
        <w:rPr>
          <w:rFonts w:ascii="Palatino Linotype" w:eastAsia="Calibri" w:hAnsi="Palatino Linotype" w:cs="Tahoma"/>
          <w:b/>
          <w:sz w:val="22"/>
          <w:szCs w:val="22"/>
          <w:lang w:val="es-ES" w:eastAsia="es-ES_tradnl"/>
        </w:rPr>
        <w:t xml:space="preserve"> no se actualiza </w:t>
      </w:r>
      <w:r w:rsidR="004F41A2">
        <w:rPr>
          <w:rFonts w:ascii="Palatino Linotype" w:eastAsia="Calibri" w:hAnsi="Palatino Linotype" w:cs="Tahoma"/>
          <w:b/>
          <w:sz w:val="22"/>
          <w:szCs w:val="22"/>
          <w:lang w:val="es-ES" w:eastAsia="es-ES_tradnl"/>
        </w:rPr>
        <w:t>ninguna</w:t>
      </w:r>
      <w:r w:rsidR="00A00F0B">
        <w:rPr>
          <w:rFonts w:ascii="Palatino Linotype" w:eastAsia="Calibri" w:hAnsi="Palatino Linotype" w:cs="Tahoma"/>
          <w:b/>
          <w:sz w:val="22"/>
          <w:szCs w:val="22"/>
          <w:lang w:val="es-ES" w:eastAsia="es-ES_tradnl"/>
        </w:rPr>
        <w:t xml:space="preserve"> </w:t>
      </w:r>
      <w:r w:rsidR="004F41A2">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264223">
        <w:rPr>
          <w:rFonts w:ascii="Palatino Linotype" w:eastAsia="Calibri" w:hAnsi="Palatino Linotype" w:cs="Tahoma"/>
          <w:b/>
          <w:sz w:val="22"/>
          <w:szCs w:val="22"/>
          <w:lang w:val="es-ES" w:eastAsia="es-ES_tradnl"/>
        </w:rPr>
        <w:t xml:space="preserve">; </w:t>
      </w:r>
      <w:r w:rsidR="007F21C5" w:rsidRPr="00264223">
        <w:rPr>
          <w:rFonts w:ascii="Palatino Linotype" w:hAnsi="Palatino Linotype" w:cs="Tahoma"/>
          <w:sz w:val="22"/>
          <w:szCs w:val="22"/>
          <w:lang w:val="es-ES"/>
        </w:rPr>
        <w:t>l</w:t>
      </w:r>
      <w:r w:rsidR="00F02171" w:rsidRPr="00264223">
        <w:rPr>
          <w:rFonts w:ascii="Palatino Linotype" w:hAnsi="Palatino Linotype" w:cs="Tahoma"/>
          <w:sz w:val="22"/>
          <w:szCs w:val="22"/>
          <w:lang w:val="es-ES"/>
        </w:rPr>
        <w:t xml:space="preserve">o anterior, en virtud de que no </w:t>
      </w:r>
      <w:r w:rsidR="004F41A2">
        <w:rPr>
          <w:rFonts w:ascii="Palatino Linotype" w:hAnsi="Palatino Linotype" w:cs="Tahoma"/>
          <w:sz w:val="22"/>
          <w:szCs w:val="22"/>
          <w:lang w:val="es-ES"/>
        </w:rPr>
        <w:t>existe</w:t>
      </w:r>
      <w:r w:rsidR="00A00F0B">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constancia en el expediente en que se actúa, de que </w:t>
      </w:r>
      <w:r w:rsidR="006F01E7" w:rsidRPr="00264223">
        <w:rPr>
          <w:rFonts w:ascii="Palatino Linotype" w:hAnsi="Palatino Linotype" w:cs="Tahoma"/>
          <w:sz w:val="22"/>
          <w:szCs w:val="22"/>
          <w:lang w:val="es-ES"/>
        </w:rPr>
        <w:t xml:space="preserve">la </w:t>
      </w:r>
      <w:r w:rsidR="00F02171" w:rsidRPr="00264223">
        <w:rPr>
          <w:rFonts w:ascii="Palatino Linotype" w:hAnsi="Palatino Linotype" w:cs="Tahoma"/>
          <w:sz w:val="22"/>
          <w:szCs w:val="22"/>
          <w:lang w:val="es-ES"/>
        </w:rPr>
        <w:lastRenderedPageBreak/>
        <w:t xml:space="preserve">recurrente se </w:t>
      </w:r>
      <w:r w:rsidR="00F00407">
        <w:rPr>
          <w:rFonts w:ascii="Palatino Linotype" w:hAnsi="Palatino Linotype" w:cs="Tahoma"/>
          <w:sz w:val="22"/>
          <w:szCs w:val="22"/>
          <w:lang w:val="es-ES"/>
        </w:rPr>
        <w:t>hubiera</w:t>
      </w:r>
      <w:r w:rsidR="00A00F0B">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desistido del recurso, </w:t>
      </w:r>
      <w:r w:rsidR="00F00407">
        <w:rPr>
          <w:rFonts w:ascii="Palatino Linotype" w:hAnsi="Palatino Linotype" w:cs="Tahoma"/>
          <w:sz w:val="22"/>
          <w:szCs w:val="22"/>
          <w:lang w:val="es-ES"/>
        </w:rPr>
        <w:t>hubiera</w:t>
      </w:r>
      <w:r w:rsidR="00A00F0B">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fallecido, </w:t>
      </w:r>
      <w:r w:rsidR="00F00407">
        <w:rPr>
          <w:rFonts w:ascii="Palatino Linotype" w:hAnsi="Palatino Linotype" w:cs="Tahoma"/>
          <w:sz w:val="22"/>
          <w:szCs w:val="22"/>
          <w:lang w:val="es-ES"/>
        </w:rPr>
        <w:t xml:space="preserve">que </w:t>
      </w:r>
      <w:r w:rsidR="00F02171" w:rsidRPr="00264223">
        <w:rPr>
          <w:rFonts w:ascii="Palatino Linotype" w:hAnsi="Palatino Linotype" w:cs="Tahoma"/>
          <w:sz w:val="22"/>
          <w:szCs w:val="22"/>
          <w:lang w:val="es-ES"/>
        </w:rPr>
        <w:t>sobreviniera alguna c</w:t>
      </w:r>
      <w:r w:rsidR="00C459A9" w:rsidRPr="00264223">
        <w:rPr>
          <w:rFonts w:ascii="Palatino Linotype" w:hAnsi="Palatino Linotype" w:cs="Tahoma"/>
          <w:sz w:val="22"/>
          <w:szCs w:val="22"/>
          <w:lang w:val="es-ES"/>
        </w:rPr>
        <w:t>ausal de improcedencia, que el Sujeto O</w:t>
      </w:r>
      <w:r w:rsidR="00F02171" w:rsidRPr="00264223">
        <w:rPr>
          <w:rFonts w:ascii="Palatino Linotype" w:hAnsi="Palatino Linotype" w:cs="Tahoma"/>
          <w:sz w:val="22"/>
          <w:szCs w:val="22"/>
          <w:lang w:val="es-ES"/>
        </w:rPr>
        <w:t>bligado hubiese modificado o revocado el acto impugnado</w:t>
      </w:r>
      <w:r w:rsidR="00F00407">
        <w:rPr>
          <w:rFonts w:ascii="Palatino Linotype" w:hAnsi="Palatino Linotype" w:cs="Tahoma"/>
          <w:sz w:val="22"/>
          <w:szCs w:val="22"/>
          <w:lang w:val="es-ES"/>
        </w:rPr>
        <w:t>,</w:t>
      </w:r>
      <w:r w:rsidR="00F02171" w:rsidRPr="00264223">
        <w:rPr>
          <w:rFonts w:ascii="Palatino Linotype" w:hAnsi="Palatino Linotype" w:cs="Tahoma"/>
          <w:sz w:val="22"/>
          <w:szCs w:val="22"/>
          <w:lang w:val="es-ES"/>
        </w:rPr>
        <w:t xml:space="preserve"> o bien </w:t>
      </w:r>
      <w:r w:rsidR="00F00407">
        <w:rPr>
          <w:rFonts w:ascii="Palatino Linotype" w:hAnsi="Palatino Linotype" w:cs="Tahoma"/>
          <w:sz w:val="22"/>
          <w:szCs w:val="22"/>
          <w:lang w:val="es-ES"/>
        </w:rPr>
        <w:t>que el recurso de revisión hubiera</w:t>
      </w:r>
      <w:r w:rsidR="00A00F0B">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quedado sin materia.</w:t>
      </w:r>
    </w:p>
    <w:p w:rsidR="00F02171" w:rsidRPr="00264223" w:rsidRDefault="00F02171" w:rsidP="008373CE">
      <w:pPr>
        <w:spacing w:line="360" w:lineRule="auto"/>
        <w:jc w:val="both"/>
        <w:rPr>
          <w:rFonts w:ascii="Palatino Linotype" w:hAnsi="Palatino Linotype" w:cs="Tahoma"/>
          <w:sz w:val="22"/>
          <w:szCs w:val="22"/>
          <w:lang w:val="es-ES"/>
        </w:rPr>
      </w:pPr>
    </w:p>
    <w:p w:rsidR="00F02171" w:rsidRPr="00264223" w:rsidRDefault="00F02171" w:rsidP="008373CE">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bCs/>
          <w:sz w:val="22"/>
          <w:szCs w:val="22"/>
          <w:lang w:val="es-ES" w:eastAsia="es-ES_tradnl"/>
        </w:rPr>
        <w:t xml:space="preserve">Por tales motivos, </w:t>
      </w:r>
      <w:r w:rsidRPr="00264223">
        <w:rPr>
          <w:rFonts w:ascii="Palatino Linotype" w:eastAsia="Calibri" w:hAnsi="Palatino Linotype" w:cs="Tahoma"/>
          <w:sz w:val="22"/>
          <w:szCs w:val="22"/>
          <w:lang w:val="es-ES" w:eastAsia="es-ES_tradnl"/>
        </w:rPr>
        <w:t xml:space="preserve">se considera procedente entrar al fondo del presente asunto. </w:t>
      </w:r>
    </w:p>
    <w:p w:rsidR="004F2D88" w:rsidRPr="00264223" w:rsidRDefault="004F2D88" w:rsidP="008373CE">
      <w:pPr>
        <w:spacing w:line="360" w:lineRule="auto"/>
        <w:jc w:val="both"/>
        <w:rPr>
          <w:rFonts w:ascii="Palatino Linotype" w:hAnsi="Palatino Linotype" w:cs="Tahoma"/>
          <w:b/>
          <w:sz w:val="22"/>
          <w:szCs w:val="22"/>
          <w:lang w:val="es-ES"/>
        </w:rPr>
      </w:pPr>
    </w:p>
    <w:p w:rsidR="0025469C" w:rsidRPr="00264223" w:rsidRDefault="00F02171" w:rsidP="008373CE">
      <w:pPr>
        <w:tabs>
          <w:tab w:val="left" w:pos="4962"/>
        </w:tabs>
        <w:spacing w:line="360" w:lineRule="auto"/>
        <w:jc w:val="both"/>
        <w:rPr>
          <w:rFonts w:ascii="Palatino Linotype" w:eastAsia="Calibri" w:hAnsi="Palatino Linotype" w:cs="Tahoma"/>
          <w:b/>
          <w:iCs/>
          <w:sz w:val="22"/>
          <w:szCs w:val="22"/>
          <w:lang w:val="es-ES" w:eastAsia="es-ES_tradnl"/>
        </w:rPr>
      </w:pPr>
      <w:r w:rsidRPr="00264223">
        <w:rPr>
          <w:rFonts w:ascii="Palatino Linotype" w:eastAsia="Calibri" w:hAnsi="Palatino Linotype" w:cs="Tahoma"/>
          <w:b/>
          <w:iCs/>
          <w:sz w:val="22"/>
          <w:szCs w:val="22"/>
          <w:lang w:val="es-ES" w:eastAsia="es-ES_tradnl"/>
        </w:rPr>
        <w:t>TERCER</w:t>
      </w:r>
      <w:r w:rsidR="00EC0252">
        <w:rPr>
          <w:rFonts w:ascii="Palatino Linotype" w:eastAsia="Calibri" w:hAnsi="Palatino Linotype" w:cs="Tahoma"/>
          <w:b/>
          <w:iCs/>
          <w:sz w:val="22"/>
          <w:szCs w:val="22"/>
          <w:lang w:val="es-ES" w:eastAsia="es-ES_tradnl"/>
        </w:rPr>
        <w:t>O</w:t>
      </w:r>
      <w:r w:rsidRPr="00264223">
        <w:rPr>
          <w:rFonts w:ascii="Palatino Linotype" w:eastAsia="Calibri" w:hAnsi="Palatino Linotype" w:cs="Tahoma"/>
          <w:b/>
          <w:iCs/>
          <w:sz w:val="22"/>
          <w:szCs w:val="22"/>
          <w:lang w:val="es-ES" w:eastAsia="es-ES_tradnl"/>
        </w:rPr>
        <w:t xml:space="preserve">. </w:t>
      </w:r>
      <w:r w:rsidR="0025469C" w:rsidRPr="00264223">
        <w:rPr>
          <w:rFonts w:ascii="Palatino Linotype" w:eastAsia="Calibri" w:hAnsi="Palatino Linotype" w:cs="Tahoma"/>
          <w:b/>
          <w:iCs/>
          <w:sz w:val="22"/>
          <w:szCs w:val="22"/>
          <w:lang w:val="es-ES" w:eastAsia="es-ES_tradnl"/>
        </w:rPr>
        <w:t xml:space="preserve">Determinación </w:t>
      </w:r>
      <w:r w:rsidR="009617D3" w:rsidRPr="00264223">
        <w:rPr>
          <w:rFonts w:ascii="Palatino Linotype" w:eastAsia="Calibri" w:hAnsi="Palatino Linotype" w:cs="Tahoma"/>
          <w:b/>
          <w:iCs/>
          <w:sz w:val="22"/>
          <w:szCs w:val="22"/>
          <w:lang w:val="es-ES" w:eastAsia="es-ES_tradnl"/>
        </w:rPr>
        <w:t xml:space="preserve">de la </w:t>
      </w:r>
      <w:r w:rsidR="00CF4012" w:rsidRPr="00264223">
        <w:rPr>
          <w:rFonts w:ascii="Palatino Linotype" w:eastAsia="Calibri" w:hAnsi="Palatino Linotype" w:cs="Tahoma"/>
          <w:b/>
          <w:iCs/>
          <w:sz w:val="22"/>
          <w:szCs w:val="22"/>
          <w:lang w:val="es-ES" w:eastAsia="es-ES_tradnl"/>
        </w:rPr>
        <w:t>Controversia</w:t>
      </w:r>
      <w:r w:rsidRPr="00264223">
        <w:rPr>
          <w:rFonts w:ascii="Palatino Linotype" w:eastAsia="Calibri" w:hAnsi="Palatino Linotype" w:cs="Tahoma"/>
          <w:b/>
          <w:iCs/>
          <w:sz w:val="22"/>
          <w:szCs w:val="22"/>
          <w:lang w:val="es-ES" w:eastAsia="es-ES_tradnl"/>
        </w:rPr>
        <w:t xml:space="preserve">. </w:t>
      </w:r>
    </w:p>
    <w:p w:rsidR="0025469C" w:rsidRPr="00264223" w:rsidRDefault="0025469C" w:rsidP="008373CE">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264223" w:rsidRDefault="00F02171" w:rsidP="008373CE">
      <w:pPr>
        <w:tabs>
          <w:tab w:val="left" w:pos="4962"/>
        </w:tabs>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223">
        <w:rPr>
          <w:rFonts w:ascii="Palatino Linotype" w:eastAsia="Calibri" w:hAnsi="Palatino Linotype" w:cs="Tahoma"/>
          <w:iCs/>
          <w:sz w:val="22"/>
          <w:szCs w:val="22"/>
          <w:lang w:val="es-ES" w:eastAsia="es-ES_tradnl"/>
        </w:rPr>
        <w:t>lo siguiente:</w:t>
      </w:r>
    </w:p>
    <w:p w:rsidR="0091055D" w:rsidRPr="00264223" w:rsidRDefault="0091055D" w:rsidP="008373CE">
      <w:pPr>
        <w:tabs>
          <w:tab w:val="left" w:pos="4962"/>
        </w:tabs>
        <w:spacing w:line="360" w:lineRule="auto"/>
        <w:jc w:val="both"/>
        <w:rPr>
          <w:rFonts w:ascii="Palatino Linotype" w:eastAsia="Calibri" w:hAnsi="Palatino Linotype" w:cs="Tahoma"/>
          <w:iCs/>
          <w:sz w:val="22"/>
          <w:szCs w:val="22"/>
          <w:lang w:val="es-ES" w:eastAsia="es-ES_tradnl"/>
        </w:rPr>
      </w:pPr>
    </w:p>
    <w:p w:rsidR="00A112F7" w:rsidRDefault="00AC5D2C" w:rsidP="008373CE">
      <w:p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 w:val="22"/>
          <w:szCs w:val="22"/>
          <w:lang w:val="es-ES" w:eastAsia="es-ES_tradnl"/>
        </w:rPr>
        <w:t>La</w:t>
      </w:r>
      <w:r w:rsidR="00A00F0B">
        <w:rPr>
          <w:rFonts w:ascii="Palatino Linotype" w:eastAsia="Calibri" w:hAnsi="Palatino Linotype" w:cs="Tahoma"/>
          <w:iCs/>
          <w:sz w:val="22"/>
          <w:szCs w:val="22"/>
          <w:lang w:val="es-ES" w:eastAsia="es-ES_tradnl"/>
        </w:rPr>
        <w:t xml:space="preserve"> </w:t>
      </w:r>
      <w:r w:rsidR="00A112F7">
        <w:rPr>
          <w:rFonts w:ascii="Palatino Linotype" w:eastAsia="Calibri" w:hAnsi="Palatino Linotype" w:cs="Tahoma"/>
          <w:iCs/>
          <w:sz w:val="22"/>
          <w:szCs w:val="22"/>
          <w:lang w:val="es-ES" w:eastAsia="es-ES_tradnl"/>
        </w:rPr>
        <w:t>R</w:t>
      </w:r>
      <w:r w:rsidR="0091055D" w:rsidRPr="00264223">
        <w:rPr>
          <w:rFonts w:ascii="Palatino Linotype" w:eastAsia="Calibri" w:hAnsi="Palatino Linotype" w:cs="Tahoma"/>
          <w:iCs/>
          <w:sz w:val="22"/>
          <w:szCs w:val="22"/>
          <w:lang w:val="es-ES" w:eastAsia="es-ES_tradnl"/>
        </w:rPr>
        <w:t>ecurrente</w:t>
      </w:r>
      <w:r w:rsidR="006D357F">
        <w:rPr>
          <w:rFonts w:ascii="Palatino Linotype" w:eastAsia="Calibri" w:hAnsi="Palatino Linotype" w:cs="Tahoma"/>
          <w:iCs/>
          <w:sz w:val="22"/>
          <w:szCs w:val="22"/>
          <w:lang w:val="es-ES" w:eastAsia="es-ES_tradnl"/>
        </w:rPr>
        <w:t xml:space="preserve"> solicitó </w:t>
      </w:r>
      <w:r>
        <w:rPr>
          <w:rFonts w:ascii="Palatino Linotype" w:eastAsia="Calibri" w:hAnsi="Palatino Linotype" w:cs="Tahoma"/>
          <w:iCs/>
          <w:sz w:val="22"/>
          <w:szCs w:val="22"/>
          <w:lang w:val="es-ES" w:eastAsia="es-ES_tradnl"/>
        </w:rPr>
        <w:t>los</w:t>
      </w:r>
      <w:r w:rsidR="006D357F">
        <w:rPr>
          <w:rFonts w:ascii="Palatino Linotype" w:eastAsia="Calibri" w:hAnsi="Palatino Linotype" w:cs="Tahoma"/>
          <w:iCs/>
          <w:sz w:val="22"/>
          <w:szCs w:val="22"/>
          <w:lang w:val="es-ES" w:eastAsia="es-ES_tradnl"/>
        </w:rPr>
        <w:t xml:space="preserve"> recibos</w:t>
      </w:r>
      <w:r w:rsidR="006D357F" w:rsidRPr="006D357F">
        <w:rPr>
          <w:rFonts w:ascii="Palatino Linotype" w:eastAsia="Calibri" w:hAnsi="Palatino Linotype" w:cs="Tahoma"/>
          <w:iCs/>
          <w:sz w:val="22"/>
          <w:szCs w:val="22"/>
          <w:lang w:eastAsia="es-ES_tradnl"/>
        </w:rPr>
        <w:t xml:space="preserve"> de nómina de todos los servidores públicos del ayuntamiento en formato </w:t>
      </w:r>
      <w:r>
        <w:rPr>
          <w:rFonts w:ascii="Palatino Linotype" w:eastAsia="Calibri" w:hAnsi="Palatino Linotype" w:cs="Tahoma"/>
          <w:iCs/>
          <w:sz w:val="22"/>
          <w:szCs w:val="22"/>
          <w:lang w:eastAsia="es-ES_tradnl"/>
        </w:rPr>
        <w:t>“</w:t>
      </w:r>
      <w:r w:rsidR="006D357F" w:rsidRPr="006D357F">
        <w:rPr>
          <w:rFonts w:ascii="Palatino Linotype" w:eastAsia="Calibri" w:hAnsi="Palatino Linotype" w:cs="Tahoma"/>
          <w:iCs/>
          <w:sz w:val="22"/>
          <w:szCs w:val="22"/>
          <w:lang w:eastAsia="es-ES_tradnl"/>
        </w:rPr>
        <w:t>PDF</w:t>
      </w:r>
      <w:r>
        <w:rPr>
          <w:rFonts w:ascii="Palatino Linotype" w:eastAsia="Calibri" w:hAnsi="Palatino Linotype" w:cs="Tahoma"/>
          <w:iCs/>
          <w:sz w:val="22"/>
          <w:szCs w:val="22"/>
          <w:lang w:eastAsia="es-ES_tradnl"/>
        </w:rPr>
        <w:t>”</w:t>
      </w:r>
      <w:r w:rsidR="006D357F">
        <w:rPr>
          <w:rFonts w:ascii="Palatino Linotype" w:eastAsia="Calibri" w:hAnsi="Palatino Linotype" w:cs="Tahoma"/>
          <w:iCs/>
          <w:sz w:val="22"/>
          <w:szCs w:val="22"/>
          <w:lang w:eastAsia="es-ES_tradnl"/>
        </w:rPr>
        <w:t>,</w:t>
      </w:r>
      <w:r w:rsidR="006D357F" w:rsidRPr="006D357F">
        <w:rPr>
          <w:rFonts w:ascii="Palatino Linotype" w:eastAsia="Calibri" w:hAnsi="Palatino Linotype" w:cs="Tahoma"/>
          <w:iCs/>
          <w:sz w:val="22"/>
          <w:szCs w:val="22"/>
          <w:lang w:eastAsia="es-ES_tradnl"/>
        </w:rPr>
        <w:t xml:space="preserve"> Balanza detallada mensual, del ejercicio </w:t>
      </w:r>
      <w:r>
        <w:rPr>
          <w:rFonts w:ascii="Palatino Linotype" w:eastAsia="Calibri" w:hAnsi="Palatino Linotype" w:cs="Tahoma"/>
          <w:iCs/>
          <w:sz w:val="22"/>
          <w:szCs w:val="22"/>
          <w:lang w:eastAsia="es-ES_tradnl"/>
        </w:rPr>
        <w:t>dos mil dieciocho</w:t>
      </w:r>
      <w:r w:rsidR="006D357F">
        <w:rPr>
          <w:rFonts w:ascii="Palatino Linotype" w:eastAsia="Calibri" w:hAnsi="Palatino Linotype" w:cs="Tahoma"/>
          <w:iCs/>
          <w:sz w:val="22"/>
          <w:szCs w:val="22"/>
          <w:lang w:val="es-ES" w:eastAsia="es-ES_tradnl"/>
        </w:rPr>
        <w:t>.</w:t>
      </w:r>
    </w:p>
    <w:p w:rsidR="00BB49A0" w:rsidRDefault="00BB49A0" w:rsidP="008373CE">
      <w:pPr>
        <w:tabs>
          <w:tab w:val="left" w:pos="4962"/>
        </w:tabs>
        <w:spacing w:line="360" w:lineRule="auto"/>
        <w:jc w:val="both"/>
        <w:rPr>
          <w:rFonts w:ascii="Palatino Linotype" w:eastAsia="Calibri" w:hAnsi="Palatino Linotype" w:cs="Tahoma"/>
          <w:iCs/>
          <w:sz w:val="22"/>
          <w:szCs w:val="22"/>
          <w:lang w:val="es-ES" w:eastAsia="es-ES_tradnl"/>
        </w:rPr>
      </w:pPr>
    </w:p>
    <w:p w:rsidR="00AC5D2C" w:rsidRPr="00264223" w:rsidRDefault="00AC5D2C" w:rsidP="008373CE">
      <w:pPr>
        <w:tabs>
          <w:tab w:val="left" w:pos="4962"/>
        </w:tabs>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iCs/>
          <w:sz w:val="22"/>
          <w:szCs w:val="22"/>
          <w:lang w:val="es-ES" w:eastAsia="es-ES_tradnl"/>
        </w:rPr>
        <w:t>Ante la falta de respuesta del Sujeto Obligado, la Recurrente, justamente se inconforma por esta e indica que no ha recibido respuesta, motivo por el cual se actualiza el supuesto previsto en el artículo 179, fracción VII</w:t>
      </w:r>
      <w:r w:rsidR="00991937">
        <w:rPr>
          <w:rFonts w:ascii="Palatino Linotype" w:eastAsia="Calibri" w:hAnsi="Palatino Linotype" w:cs="Tahoma"/>
          <w:iCs/>
          <w:sz w:val="22"/>
          <w:szCs w:val="22"/>
          <w:lang w:val="es-ES" w:eastAsia="es-ES_tradnl"/>
        </w:rPr>
        <w:t>,</w:t>
      </w:r>
      <w:r w:rsidRPr="00264223">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223">
        <w:rPr>
          <w:rFonts w:ascii="Palatino Linotype" w:eastAsia="Calibri" w:hAnsi="Palatino Linotype" w:cs="Tahoma"/>
          <w:b/>
          <w:iCs/>
          <w:sz w:val="22"/>
          <w:szCs w:val="22"/>
          <w:lang w:val="es-ES" w:eastAsia="es-ES_tradnl"/>
        </w:rPr>
        <w:t>-La falta de respuesta a una solicitud de acceso a la información-</w:t>
      </w:r>
      <w:r w:rsidRPr="00264223">
        <w:rPr>
          <w:rFonts w:ascii="Palatino Linotype" w:eastAsia="Calibri" w:hAnsi="Palatino Linotype" w:cs="Tahoma"/>
          <w:iCs/>
          <w:sz w:val="22"/>
          <w:szCs w:val="22"/>
          <w:lang w:val="es-ES" w:eastAsia="es-ES_tradnl"/>
        </w:rPr>
        <w:t>.</w:t>
      </w:r>
    </w:p>
    <w:p w:rsidR="00BD5CDF" w:rsidRPr="00264223" w:rsidRDefault="00BD5CDF" w:rsidP="008373CE">
      <w:pPr>
        <w:tabs>
          <w:tab w:val="left" w:pos="4962"/>
        </w:tabs>
        <w:spacing w:line="360" w:lineRule="auto"/>
        <w:jc w:val="both"/>
        <w:rPr>
          <w:rFonts w:ascii="Palatino Linotype" w:eastAsia="Calibri" w:hAnsi="Palatino Linotype" w:cs="Tahoma"/>
          <w:b/>
          <w:iCs/>
          <w:sz w:val="22"/>
          <w:szCs w:val="22"/>
          <w:lang w:val="es-ES" w:eastAsia="es-ES_tradnl"/>
        </w:rPr>
      </w:pPr>
    </w:p>
    <w:p w:rsidR="00237D0D" w:rsidRDefault="009617D3" w:rsidP="008373CE">
      <w:pPr>
        <w:spacing w:line="360" w:lineRule="auto"/>
        <w:ind w:right="-93"/>
        <w:jc w:val="both"/>
        <w:rPr>
          <w:rFonts w:ascii="Palatino Linotype" w:hAnsi="Palatino Linotype" w:cs="Tahoma"/>
          <w:b/>
          <w:sz w:val="22"/>
          <w:szCs w:val="22"/>
          <w:lang w:val="es-ES"/>
        </w:rPr>
      </w:pPr>
      <w:r w:rsidRPr="00264223">
        <w:rPr>
          <w:rFonts w:ascii="Palatino Linotype" w:hAnsi="Palatino Linotype" w:cs="Tahoma"/>
          <w:b/>
          <w:sz w:val="22"/>
          <w:szCs w:val="22"/>
          <w:lang w:val="es-ES"/>
        </w:rPr>
        <w:t>CUART</w:t>
      </w:r>
      <w:r w:rsidR="002241A6" w:rsidRPr="00264223">
        <w:rPr>
          <w:rFonts w:ascii="Palatino Linotype" w:hAnsi="Palatino Linotype" w:cs="Tahoma"/>
          <w:b/>
          <w:sz w:val="22"/>
          <w:szCs w:val="22"/>
          <w:lang w:val="es-ES"/>
        </w:rPr>
        <w:t>O</w:t>
      </w:r>
      <w:r w:rsidRPr="00264223">
        <w:rPr>
          <w:rFonts w:ascii="Palatino Linotype" w:hAnsi="Palatino Linotype" w:cs="Tahoma"/>
          <w:b/>
          <w:sz w:val="22"/>
          <w:szCs w:val="22"/>
          <w:lang w:val="es-ES"/>
        </w:rPr>
        <w:t>. Estudio de Fondo.</w:t>
      </w:r>
    </w:p>
    <w:p w:rsidR="00264223" w:rsidRDefault="00264223" w:rsidP="008373CE">
      <w:pPr>
        <w:spacing w:line="360" w:lineRule="auto"/>
        <w:ind w:right="-93"/>
        <w:jc w:val="both"/>
        <w:rPr>
          <w:rFonts w:ascii="Palatino Linotype" w:hAnsi="Palatino Linotype" w:cs="Tahoma"/>
          <w:b/>
          <w:sz w:val="22"/>
          <w:szCs w:val="22"/>
          <w:lang w:val="es-ES"/>
        </w:rPr>
      </w:pPr>
    </w:p>
    <w:p w:rsidR="00AC5D2C" w:rsidRPr="00AC5D2C" w:rsidRDefault="00AC5D2C" w:rsidP="008373CE">
      <w:pPr>
        <w:spacing w:line="360" w:lineRule="auto"/>
        <w:ind w:right="-93"/>
        <w:jc w:val="both"/>
        <w:rPr>
          <w:rFonts w:ascii="Palatino Linotype" w:hAnsi="Palatino Linotype" w:cs="Tahoma"/>
          <w:iCs/>
          <w:sz w:val="22"/>
          <w:szCs w:val="22"/>
          <w:lang w:val="es-ES"/>
        </w:rPr>
      </w:pPr>
      <w:r w:rsidRPr="00264223">
        <w:rPr>
          <w:rFonts w:ascii="Palatino Linotype" w:hAnsi="Palatino Linotype" w:cs="Tahoma"/>
          <w:sz w:val="22"/>
          <w:szCs w:val="22"/>
          <w:lang w:val="es-ES"/>
        </w:rPr>
        <w:t xml:space="preserve">La ahora </w:t>
      </w:r>
      <w:r>
        <w:rPr>
          <w:rFonts w:ascii="Palatino Linotype" w:hAnsi="Palatino Linotype" w:cs="Tahoma"/>
          <w:sz w:val="22"/>
          <w:szCs w:val="22"/>
          <w:lang w:val="es-ES"/>
        </w:rPr>
        <w:t>R</w:t>
      </w:r>
      <w:r w:rsidRPr="00264223">
        <w:rPr>
          <w:rFonts w:ascii="Palatino Linotype" w:hAnsi="Palatino Linotype" w:cs="Tahoma"/>
          <w:sz w:val="22"/>
          <w:szCs w:val="22"/>
          <w:lang w:val="es-ES"/>
        </w:rPr>
        <w:t xml:space="preserve">ecurrente solicitó </w:t>
      </w:r>
      <w:r w:rsidRPr="00AC5D2C">
        <w:rPr>
          <w:rFonts w:ascii="Palatino Linotype" w:hAnsi="Palatino Linotype" w:cs="Tahoma"/>
          <w:iCs/>
          <w:sz w:val="22"/>
          <w:szCs w:val="22"/>
          <w:lang w:val="es-ES"/>
        </w:rPr>
        <w:t>los recibos</w:t>
      </w:r>
      <w:r w:rsidRPr="00AC5D2C">
        <w:rPr>
          <w:rFonts w:ascii="Palatino Linotype" w:hAnsi="Palatino Linotype" w:cs="Tahoma"/>
          <w:iCs/>
          <w:sz w:val="22"/>
          <w:szCs w:val="22"/>
        </w:rPr>
        <w:t xml:space="preserve"> de nómina de todos los servidores públicos del ayuntamiento en formato “PDF”</w:t>
      </w:r>
      <w:r w:rsidR="00B014AE">
        <w:rPr>
          <w:rFonts w:ascii="Palatino Linotype" w:hAnsi="Palatino Linotype" w:cs="Tahoma"/>
          <w:iCs/>
          <w:sz w:val="22"/>
          <w:szCs w:val="22"/>
        </w:rPr>
        <w:t xml:space="preserve"> y</w:t>
      </w:r>
      <w:r w:rsidRPr="00AC5D2C">
        <w:rPr>
          <w:rFonts w:ascii="Palatino Linotype" w:hAnsi="Palatino Linotype" w:cs="Tahoma"/>
          <w:iCs/>
          <w:sz w:val="22"/>
          <w:szCs w:val="22"/>
        </w:rPr>
        <w:t xml:space="preserve"> Balanza detallada mensual, del ejercicio dos mil dieciocho</w:t>
      </w:r>
      <w:r w:rsidRPr="00AC5D2C">
        <w:rPr>
          <w:rFonts w:ascii="Palatino Linotype" w:hAnsi="Palatino Linotype" w:cs="Tahoma"/>
          <w:iCs/>
          <w:sz w:val="22"/>
          <w:szCs w:val="22"/>
          <w:lang w:val="es-ES"/>
        </w:rPr>
        <w:t>.</w:t>
      </w:r>
    </w:p>
    <w:p w:rsidR="00AC5D2C" w:rsidRPr="00264223" w:rsidRDefault="00AC5D2C" w:rsidP="008373CE">
      <w:pPr>
        <w:spacing w:line="360" w:lineRule="auto"/>
        <w:ind w:right="-93"/>
        <w:jc w:val="both"/>
        <w:rPr>
          <w:rFonts w:ascii="Palatino Linotype" w:hAnsi="Palatino Linotype" w:cs="Tahoma"/>
          <w:sz w:val="22"/>
          <w:szCs w:val="22"/>
          <w:lang w:val="es-ES"/>
        </w:rPr>
      </w:pPr>
    </w:p>
    <w:p w:rsidR="00AC5D2C" w:rsidRPr="00264223" w:rsidRDefault="00AC5D2C"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lang w:val="es-ES"/>
        </w:rPr>
        <w:t xml:space="preserve">Inconforme con la falta de respuesta del Sujeto Obligado, la particular presentó un Recurso de Revisión; durante la substanciación del presente medio de impugnación, las partes no </w:t>
      </w:r>
      <w:r w:rsidRPr="00264223">
        <w:rPr>
          <w:rFonts w:ascii="Palatino Linotype" w:hAnsi="Palatino Linotype" w:cs="Tahoma"/>
          <w:sz w:val="22"/>
          <w:szCs w:val="22"/>
          <w:lang w:val="es-ES"/>
        </w:rPr>
        <w:lastRenderedPageBreak/>
        <w:t xml:space="preserve">emitieron manifestaciones, alegatos o pruebas al respecto. Lo anterior, se desprende de las documentales que obran en el expediente electrónico, materia de la presente resolución, consistentes en: la solicitud de acceso a la información con número de folio </w:t>
      </w:r>
      <w:r w:rsidRPr="00AC5D2C">
        <w:rPr>
          <w:rFonts w:ascii="Palatino Linotype" w:eastAsia="Calibri" w:hAnsi="Palatino Linotype" w:cs="Tahoma"/>
          <w:bCs/>
          <w:sz w:val="22"/>
          <w:szCs w:val="22"/>
          <w:lang w:eastAsia="en-US"/>
        </w:rPr>
        <w:t>00022/RAYON/IP/2018</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y el escrito recursal.</w:t>
      </w:r>
      <w:r w:rsidR="00991937">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00AC5D2C" w:rsidRPr="00264223" w:rsidRDefault="00AC5D2C" w:rsidP="008373CE">
      <w:pPr>
        <w:spacing w:line="360" w:lineRule="auto"/>
        <w:ind w:right="-93"/>
        <w:jc w:val="both"/>
        <w:rPr>
          <w:rFonts w:ascii="Palatino Linotype" w:hAnsi="Palatino Linotype" w:cs="Tahoma"/>
          <w:b/>
          <w:sz w:val="22"/>
          <w:szCs w:val="22"/>
          <w:lang w:val="es-ES"/>
        </w:rPr>
      </w:pPr>
    </w:p>
    <w:p w:rsidR="008E6FF3" w:rsidRDefault="0032170B"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Expuestas las posturas de las partes, </w:t>
      </w:r>
      <w:r w:rsidR="00880552" w:rsidRPr="00264223">
        <w:rPr>
          <w:rFonts w:ascii="Palatino Linotype" w:eastAsia="Calibri" w:hAnsi="Palatino Linotype" w:cs="Tahoma"/>
          <w:bCs/>
          <w:sz w:val="22"/>
          <w:szCs w:val="22"/>
          <w:lang w:eastAsia="en-US"/>
        </w:rPr>
        <w:t>s</w:t>
      </w:r>
      <w:r w:rsidR="00B07F12" w:rsidRPr="00264223">
        <w:rPr>
          <w:rFonts w:ascii="Palatino Linotype" w:eastAsia="Calibri" w:hAnsi="Palatino Linotype" w:cs="Tahoma"/>
          <w:bCs/>
          <w:sz w:val="22"/>
          <w:szCs w:val="22"/>
          <w:lang w:eastAsia="en-US"/>
        </w:rPr>
        <w:t>e</w:t>
      </w:r>
      <w:r w:rsidRPr="00264223">
        <w:rPr>
          <w:rFonts w:ascii="Palatino Linotype" w:eastAsia="Calibri" w:hAnsi="Palatino Linotype" w:cs="Tahoma"/>
          <w:bCs/>
          <w:sz w:val="22"/>
          <w:szCs w:val="22"/>
          <w:lang w:eastAsia="en-US"/>
        </w:rPr>
        <w:t xml:space="preserve"> procede al análisis del agravio hecho valer por la ahora </w:t>
      </w:r>
      <w:r w:rsidR="00B07F12" w:rsidRPr="00264223">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xml:space="preserve">, concerniente a la falta de respuesta del Ayuntamiento de </w:t>
      </w:r>
      <w:r w:rsidR="006D357F">
        <w:rPr>
          <w:rFonts w:ascii="Palatino Linotype" w:eastAsia="Calibri" w:hAnsi="Palatino Linotype" w:cs="Tahoma"/>
          <w:bCs/>
          <w:sz w:val="22"/>
          <w:szCs w:val="22"/>
          <w:lang w:eastAsia="en-US"/>
        </w:rPr>
        <w:t xml:space="preserve">Rayón </w:t>
      </w:r>
      <w:r w:rsidRPr="00264223">
        <w:rPr>
          <w:rFonts w:ascii="Palatino Linotype" w:eastAsia="Calibri" w:hAnsi="Palatino Linotype" w:cs="Tahoma"/>
          <w:bCs/>
          <w:sz w:val="22"/>
          <w:szCs w:val="22"/>
          <w:lang w:eastAsia="en-US"/>
        </w:rPr>
        <w:t>al requerimiento informativo.</w:t>
      </w:r>
    </w:p>
    <w:p w:rsidR="00264223" w:rsidRPr="00264223" w:rsidRDefault="00264223" w:rsidP="008373CE">
      <w:pPr>
        <w:spacing w:line="360" w:lineRule="auto"/>
        <w:ind w:right="-93"/>
        <w:jc w:val="both"/>
        <w:rPr>
          <w:rFonts w:ascii="Palatino Linotype" w:eastAsia="Calibri" w:hAnsi="Palatino Linotype" w:cs="Tahoma"/>
          <w:bCs/>
          <w:sz w:val="22"/>
          <w:szCs w:val="22"/>
          <w:lang w:eastAsia="en-US"/>
        </w:rPr>
      </w:pPr>
    </w:p>
    <w:p w:rsidR="008E6FF3" w:rsidRPr="00264223" w:rsidRDefault="00E617BD"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principio, es de suma importan</w:t>
      </w:r>
      <w:r w:rsidR="00F5374C" w:rsidRPr="00264223">
        <w:rPr>
          <w:rFonts w:ascii="Palatino Linotype" w:eastAsia="Calibri" w:hAnsi="Palatino Linotype" w:cs="Tahoma"/>
          <w:bCs/>
          <w:sz w:val="22"/>
          <w:szCs w:val="22"/>
          <w:lang w:eastAsia="en-US"/>
        </w:rPr>
        <w:t>cia</w:t>
      </w:r>
      <w:r w:rsidRPr="00264223">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264223">
        <w:rPr>
          <w:rFonts w:ascii="Palatino Linotype" w:eastAsia="Calibri" w:hAnsi="Palatino Linotype" w:cs="Tahoma"/>
          <w:bCs/>
          <w:sz w:val="22"/>
          <w:szCs w:val="22"/>
          <w:lang w:eastAsia="en-US"/>
        </w:rPr>
        <w:t>ón de acceso por parte de los Sujetos O</w:t>
      </w:r>
      <w:r w:rsidRPr="00264223">
        <w:rPr>
          <w:rFonts w:ascii="Palatino Linotype" w:eastAsia="Calibri" w:hAnsi="Palatino Linotype" w:cs="Tahoma"/>
          <w:bCs/>
          <w:sz w:val="22"/>
          <w:szCs w:val="22"/>
          <w:lang w:eastAsia="en-US"/>
        </w:rPr>
        <w:t>bligados, lo</w:t>
      </w:r>
      <w:r w:rsidR="00F23E81">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rsidR="00E617BD" w:rsidRPr="00264223" w:rsidRDefault="00E617BD" w:rsidP="008373CE">
      <w:pPr>
        <w:spacing w:line="360" w:lineRule="auto"/>
        <w:ind w:right="-93"/>
        <w:jc w:val="both"/>
        <w:rPr>
          <w:rFonts w:ascii="Palatino Linotype" w:eastAsia="Calibri" w:hAnsi="Palatino Linotype" w:cs="Tahoma"/>
          <w:bCs/>
          <w:sz w:val="22"/>
          <w:szCs w:val="22"/>
          <w:lang w:eastAsia="en-US"/>
        </w:rPr>
      </w:pPr>
    </w:p>
    <w:p w:rsidR="00F91800" w:rsidRDefault="00E617BD" w:rsidP="008373CE">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264223">
        <w:rPr>
          <w:rFonts w:ascii="Palatino Linotype" w:eastAsia="Calibri" w:hAnsi="Palatino Linotype" w:cs="Tahoma"/>
          <w:bCs/>
          <w:szCs w:val="22"/>
          <w:lang w:eastAsia="en-US"/>
        </w:rPr>
        <w:t>s</w:t>
      </w:r>
      <w:r w:rsidRPr="00264223">
        <w:rPr>
          <w:rFonts w:ascii="Palatino Linotype" w:eastAsia="Calibri" w:hAnsi="Palatino Linotype" w:cs="Tahoma"/>
          <w:bCs/>
          <w:szCs w:val="22"/>
          <w:lang w:eastAsia="en-US"/>
        </w:rPr>
        <w:t>, expeditos, oportunos y gratuitos</w:t>
      </w:r>
      <w:r w:rsidR="005743D2" w:rsidRPr="00264223">
        <w:rPr>
          <w:rFonts w:ascii="Palatino Linotype" w:eastAsia="Calibri" w:hAnsi="Palatino Linotype" w:cs="Tahoma"/>
          <w:bCs/>
          <w:szCs w:val="22"/>
          <w:lang w:eastAsia="en-US"/>
        </w:rPr>
        <w:t>;</w:t>
      </w:r>
    </w:p>
    <w:p w:rsidR="00264223" w:rsidRPr="00264223" w:rsidRDefault="00264223" w:rsidP="008373CE">
      <w:pPr>
        <w:spacing w:line="360" w:lineRule="auto"/>
        <w:ind w:left="360" w:right="-93"/>
        <w:jc w:val="both"/>
        <w:rPr>
          <w:rFonts w:ascii="Palatino Linotype" w:eastAsia="Calibri" w:hAnsi="Palatino Linotype" w:cs="Tahoma"/>
          <w:bCs/>
          <w:sz w:val="10"/>
          <w:szCs w:val="22"/>
          <w:lang w:eastAsia="en-US"/>
        </w:rPr>
      </w:pPr>
    </w:p>
    <w:p w:rsidR="00F91800" w:rsidRPr="00264223" w:rsidRDefault="00F91800" w:rsidP="008373CE">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Transparentar la gestión pública, mediante la difusión de la información generada por los Sujetos O</w:t>
      </w:r>
      <w:r w:rsidR="005743D2" w:rsidRPr="00264223">
        <w:rPr>
          <w:rFonts w:ascii="Palatino Linotype" w:eastAsia="Calibri" w:hAnsi="Palatino Linotype" w:cs="Tahoma"/>
          <w:bCs/>
          <w:szCs w:val="22"/>
          <w:lang w:eastAsia="en-US"/>
        </w:rPr>
        <w:t>bligados, y</w:t>
      </w:r>
    </w:p>
    <w:p w:rsidR="00F91800" w:rsidRPr="00264223" w:rsidRDefault="00F91800" w:rsidP="008373CE">
      <w:pPr>
        <w:pStyle w:val="Prrafodelista"/>
        <w:spacing w:line="360" w:lineRule="auto"/>
        <w:rPr>
          <w:rFonts w:ascii="Palatino Linotype" w:eastAsia="Calibri" w:hAnsi="Palatino Linotype" w:cs="Tahoma"/>
          <w:bCs/>
          <w:sz w:val="12"/>
          <w:szCs w:val="22"/>
          <w:lang w:eastAsia="en-US"/>
        </w:rPr>
      </w:pPr>
    </w:p>
    <w:p w:rsidR="00683CB5" w:rsidRDefault="00F91800" w:rsidP="008373CE">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683CB5" w:rsidRPr="00683CB5" w:rsidRDefault="00683CB5" w:rsidP="008373CE">
      <w:pPr>
        <w:spacing w:line="360" w:lineRule="auto"/>
        <w:ind w:right="-93"/>
        <w:jc w:val="both"/>
        <w:rPr>
          <w:rFonts w:ascii="Palatino Linotype" w:eastAsia="Calibri" w:hAnsi="Palatino Linotype" w:cs="Tahoma"/>
          <w:bCs/>
          <w:szCs w:val="22"/>
          <w:lang w:eastAsia="en-US"/>
        </w:rPr>
      </w:pPr>
    </w:p>
    <w:p w:rsidR="00F91800" w:rsidRPr="00264223" w:rsidRDefault="00F91800"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Conforme a lo </w:t>
      </w:r>
      <w:r w:rsidR="00481674">
        <w:rPr>
          <w:rFonts w:ascii="Palatino Linotype" w:eastAsia="Calibri" w:hAnsi="Palatino Linotype" w:cs="Tahoma"/>
          <w:bCs/>
          <w:sz w:val="22"/>
          <w:szCs w:val="22"/>
          <w:lang w:eastAsia="en-US"/>
        </w:rPr>
        <w:t>anterior</w:t>
      </w:r>
      <w:r w:rsidRPr="00264223">
        <w:rPr>
          <w:rFonts w:ascii="Palatino Linotype" w:eastAsia="Calibri" w:hAnsi="Palatino Linotype" w:cs="Tahoma"/>
          <w:bCs/>
          <w:sz w:val="22"/>
          <w:szCs w:val="22"/>
          <w:lang w:eastAsia="en-US"/>
        </w:rPr>
        <w:t xml:space="preserve">, se deprende que </w:t>
      </w:r>
      <w:r w:rsidRPr="00264223">
        <w:rPr>
          <w:rFonts w:ascii="Palatino Linotype" w:eastAsia="Calibri" w:hAnsi="Palatino Linotype" w:cs="Tahoma"/>
          <w:b/>
          <w:bCs/>
          <w:sz w:val="22"/>
          <w:szCs w:val="22"/>
          <w:lang w:eastAsia="en-US"/>
        </w:rPr>
        <w:t>los objetivos de la Ley de la materia,</w:t>
      </w:r>
      <w:r w:rsidRPr="0026422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264223">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rsidR="0086682F" w:rsidRPr="00264223" w:rsidRDefault="0086682F" w:rsidP="008373CE">
      <w:pPr>
        <w:spacing w:line="360" w:lineRule="auto"/>
        <w:ind w:right="-93"/>
        <w:jc w:val="both"/>
        <w:rPr>
          <w:rFonts w:ascii="Palatino Linotype" w:eastAsia="Calibri" w:hAnsi="Palatino Linotype" w:cs="Tahoma"/>
          <w:bCs/>
          <w:sz w:val="22"/>
          <w:szCs w:val="22"/>
          <w:lang w:eastAsia="en-US"/>
        </w:rPr>
      </w:pPr>
    </w:p>
    <w:p w:rsidR="0086682F" w:rsidRPr="00264223" w:rsidRDefault="0086682F"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264223">
        <w:rPr>
          <w:rFonts w:ascii="Palatino Linotype" w:eastAsia="Calibri" w:hAnsi="Palatino Linotype" w:cs="Tahoma"/>
          <w:b/>
          <w:bCs/>
          <w:sz w:val="22"/>
          <w:szCs w:val="22"/>
          <w:lang w:eastAsia="en-US"/>
        </w:rPr>
        <w:t>principio de máxima publicidad</w:t>
      </w:r>
      <w:r w:rsidRPr="0026422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86682F" w:rsidRPr="00264223" w:rsidRDefault="0086682F" w:rsidP="008373CE">
      <w:pPr>
        <w:spacing w:line="360" w:lineRule="auto"/>
        <w:ind w:right="-93"/>
        <w:jc w:val="both"/>
        <w:rPr>
          <w:rFonts w:ascii="Palatino Linotype" w:eastAsia="Calibri" w:hAnsi="Palatino Linotype" w:cs="Tahoma"/>
          <w:bCs/>
          <w:sz w:val="22"/>
          <w:szCs w:val="22"/>
          <w:lang w:eastAsia="en-US"/>
        </w:rPr>
      </w:pPr>
    </w:p>
    <w:p w:rsidR="0086682F" w:rsidRPr="00264223" w:rsidRDefault="0086682F"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Para lograr lo </w:t>
      </w:r>
      <w:r w:rsidR="00481674">
        <w:rPr>
          <w:rFonts w:ascii="Palatino Linotype" w:eastAsia="Calibri" w:hAnsi="Palatino Linotype" w:cs="Tahoma"/>
          <w:bCs/>
          <w:sz w:val="22"/>
          <w:szCs w:val="22"/>
          <w:lang w:eastAsia="en-US"/>
        </w:rPr>
        <w:t>precisado</w:t>
      </w:r>
      <w:r w:rsidRPr="00264223">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264223">
        <w:rPr>
          <w:rFonts w:ascii="Palatino Linotype" w:eastAsia="Calibri" w:hAnsi="Palatino Linotype" w:cs="Tahoma"/>
          <w:bCs/>
          <w:sz w:val="22"/>
          <w:szCs w:val="22"/>
          <w:lang w:eastAsia="en-US"/>
        </w:rPr>
        <w:t>151, 160, 162, 163, 164, 165</w:t>
      </w:r>
      <w:r w:rsidR="000C59CB" w:rsidRPr="00264223">
        <w:rPr>
          <w:rFonts w:ascii="Palatino Linotype" w:eastAsia="Calibri" w:hAnsi="Palatino Linotype" w:cs="Tahoma"/>
          <w:bCs/>
          <w:sz w:val="22"/>
          <w:szCs w:val="22"/>
          <w:lang w:eastAsia="en-US"/>
        </w:rPr>
        <w:t xml:space="preserve"> y 166</w:t>
      </w:r>
      <w:r w:rsidR="00AC2C6E" w:rsidRPr="00264223">
        <w:rPr>
          <w:rFonts w:ascii="Palatino Linotype" w:eastAsia="Calibri" w:hAnsi="Palatino Linotype" w:cs="Tahoma"/>
          <w:bCs/>
          <w:sz w:val="22"/>
          <w:szCs w:val="22"/>
          <w:lang w:eastAsia="en-US"/>
        </w:rPr>
        <w:t>,</w:t>
      </w:r>
      <w:r w:rsidR="000C59CB" w:rsidRPr="00264223">
        <w:rPr>
          <w:rFonts w:ascii="Palatino Linotype" w:eastAsia="Calibri" w:hAnsi="Palatino Linotype" w:cs="Tahoma"/>
          <w:bCs/>
          <w:sz w:val="22"/>
          <w:szCs w:val="22"/>
          <w:lang w:eastAsia="en-US"/>
        </w:rPr>
        <w:t xml:space="preserve"> de la Ley</w:t>
      </w:r>
      <w:r w:rsidR="001879E1" w:rsidRPr="00264223">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rsidR="001879E1" w:rsidRPr="00264223" w:rsidRDefault="001879E1" w:rsidP="008373CE">
      <w:pPr>
        <w:spacing w:line="360" w:lineRule="auto"/>
        <w:ind w:right="-93"/>
        <w:jc w:val="both"/>
        <w:rPr>
          <w:rFonts w:ascii="Palatino Linotype" w:eastAsia="Calibri" w:hAnsi="Palatino Linotype" w:cs="Tahoma"/>
          <w:bCs/>
          <w:sz w:val="22"/>
          <w:szCs w:val="22"/>
          <w:lang w:eastAsia="en-US"/>
        </w:rPr>
      </w:pPr>
    </w:p>
    <w:p w:rsidR="001879E1" w:rsidRPr="00264223" w:rsidRDefault="000212E5" w:rsidP="008373CE">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 xml:space="preserve">Las Unidades de Transparencia de los </w:t>
      </w:r>
      <w:r w:rsidR="00A571CD" w:rsidRPr="00264223">
        <w:rPr>
          <w:rFonts w:ascii="Palatino Linotype" w:eastAsia="Calibri" w:hAnsi="Palatino Linotype" w:cs="Tahoma"/>
          <w:bCs/>
          <w:szCs w:val="22"/>
          <w:lang w:eastAsia="en-US"/>
        </w:rPr>
        <w:t xml:space="preserve">Sujetos </w:t>
      </w:r>
      <w:r w:rsidRPr="00264223">
        <w:rPr>
          <w:rFonts w:ascii="Palatino Linotype" w:eastAsia="Calibri" w:hAnsi="Palatino Linotype" w:cs="Tahoma"/>
          <w:bCs/>
          <w:szCs w:val="22"/>
          <w:lang w:eastAsia="en-US"/>
        </w:rPr>
        <w:t>Obligados deben garantizar las medidas y condiciones de accesibilidad para que toda persona puede ejercer el derecho de acceso a la información</w:t>
      </w:r>
      <w:r w:rsidR="002435DC" w:rsidRPr="00264223">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264223">
        <w:rPr>
          <w:rFonts w:ascii="Palatino Linotype" w:eastAsia="Calibri" w:hAnsi="Palatino Linotype" w:cs="Tahoma"/>
          <w:bCs/>
          <w:szCs w:val="22"/>
          <w:lang w:eastAsia="en-US"/>
        </w:rPr>
        <w:t>a cabo de todas las gestiones necesarias para facilitar el acceso de la informaci</w:t>
      </w:r>
      <w:r w:rsidR="005743D2" w:rsidRPr="00264223">
        <w:rPr>
          <w:rFonts w:ascii="Palatino Linotype" w:eastAsia="Calibri" w:hAnsi="Palatino Linotype" w:cs="Tahoma"/>
          <w:bCs/>
          <w:szCs w:val="22"/>
          <w:lang w:eastAsia="en-US"/>
        </w:rPr>
        <w:t>ón;</w:t>
      </w:r>
    </w:p>
    <w:p w:rsidR="000212E5" w:rsidRPr="00264223" w:rsidRDefault="000212E5" w:rsidP="008373CE">
      <w:pPr>
        <w:pStyle w:val="Prrafodelista"/>
        <w:spacing w:line="360" w:lineRule="auto"/>
        <w:ind w:right="-93"/>
        <w:jc w:val="both"/>
        <w:rPr>
          <w:rFonts w:ascii="Palatino Linotype" w:eastAsia="Calibri" w:hAnsi="Palatino Linotype" w:cs="Tahoma"/>
          <w:bCs/>
          <w:szCs w:val="22"/>
          <w:lang w:eastAsia="en-US"/>
        </w:rPr>
      </w:pPr>
    </w:p>
    <w:p w:rsidR="000212E5" w:rsidRPr="00264223" w:rsidRDefault="001133D5" w:rsidP="008373CE">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La respuesta a los requerimientos informativos deberán notificarse al interesado en el menor tiempo posible</w:t>
      </w:r>
      <w:r w:rsidR="00782EA4" w:rsidRPr="00264223">
        <w:rPr>
          <w:rFonts w:ascii="Palatino Linotype" w:eastAsia="Calibri" w:hAnsi="Palatino Linotype" w:cs="Tahoma"/>
          <w:bCs/>
          <w:szCs w:val="22"/>
          <w:lang w:eastAsia="en-US"/>
        </w:rPr>
        <w:t xml:space="preserve">, que no podrá exceder </w:t>
      </w:r>
      <w:r w:rsidR="00782EA4" w:rsidRPr="00264223">
        <w:rPr>
          <w:rFonts w:ascii="Palatino Linotype" w:eastAsia="Calibri" w:hAnsi="Palatino Linotype" w:cs="Tahoma"/>
          <w:b/>
          <w:bCs/>
          <w:szCs w:val="22"/>
          <w:lang w:eastAsia="en-US"/>
        </w:rPr>
        <w:t>quince días, contados a partir del día siguiente a la presentación de ésta.</w:t>
      </w:r>
      <w:r w:rsidR="00782EA4" w:rsidRPr="00264223">
        <w:rPr>
          <w:rFonts w:ascii="Palatino Linotype" w:eastAsia="Calibri" w:hAnsi="Palatino Linotype" w:cs="Tahoma"/>
          <w:bCs/>
          <w:szCs w:val="22"/>
          <w:lang w:eastAsia="en-US"/>
        </w:rPr>
        <w:t xml:space="preserve"> Excepcionalmente, el plazo referido  podrá </w:t>
      </w:r>
      <w:r w:rsidR="00782EA4" w:rsidRPr="00264223">
        <w:rPr>
          <w:rFonts w:ascii="Palatino Linotype" w:eastAsia="Calibri" w:hAnsi="Palatino Linotype" w:cs="Tahoma"/>
          <w:bCs/>
          <w:szCs w:val="22"/>
          <w:lang w:eastAsia="en-US"/>
        </w:rPr>
        <w:lastRenderedPageBreak/>
        <w:t>ampliarse por siete días hábiles más, cuando existan razones fundadas y motivadas, a través del Comit</w:t>
      </w:r>
      <w:r w:rsidR="005743D2" w:rsidRPr="00264223">
        <w:rPr>
          <w:rFonts w:ascii="Palatino Linotype" w:eastAsia="Calibri" w:hAnsi="Palatino Linotype" w:cs="Tahoma"/>
          <w:bCs/>
          <w:szCs w:val="22"/>
          <w:lang w:eastAsia="en-US"/>
        </w:rPr>
        <w:t>é de Transparencia;</w:t>
      </w:r>
    </w:p>
    <w:p w:rsidR="00782EA4" w:rsidRPr="00264223" w:rsidRDefault="00782EA4" w:rsidP="008373CE">
      <w:pPr>
        <w:pStyle w:val="Prrafodelista"/>
        <w:spacing w:line="360" w:lineRule="auto"/>
        <w:rPr>
          <w:rFonts w:ascii="Palatino Linotype" w:eastAsia="Calibri" w:hAnsi="Palatino Linotype" w:cs="Tahoma"/>
          <w:bCs/>
          <w:szCs w:val="22"/>
          <w:lang w:eastAsia="en-US"/>
        </w:rPr>
      </w:pPr>
    </w:p>
    <w:p w:rsidR="00782EA4" w:rsidRPr="00264223" w:rsidRDefault="00782EA4" w:rsidP="008373CE">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64223">
        <w:rPr>
          <w:rFonts w:ascii="Palatino Linotype" w:eastAsia="Calibri" w:hAnsi="Palatino Linotype" w:cs="Tahoma"/>
          <w:b/>
          <w:bCs/>
          <w:szCs w:val="22"/>
          <w:lang w:eastAsia="en-US"/>
        </w:rPr>
        <w:t>que se encuentren en sus archivos o que estén constreñidos a</w:t>
      </w:r>
      <w:r w:rsidR="005743D2" w:rsidRPr="00264223">
        <w:rPr>
          <w:rFonts w:ascii="Palatino Linotype" w:eastAsia="Calibri" w:hAnsi="Palatino Linotype" w:cs="Tahoma"/>
          <w:b/>
          <w:bCs/>
          <w:szCs w:val="22"/>
          <w:lang w:eastAsia="en-US"/>
        </w:rPr>
        <w:t xml:space="preserve"> elaborar;</w:t>
      </w:r>
    </w:p>
    <w:p w:rsidR="00782EA4" w:rsidRPr="00264223" w:rsidRDefault="00782EA4" w:rsidP="008373CE">
      <w:pPr>
        <w:pStyle w:val="Prrafodelista"/>
        <w:spacing w:line="360" w:lineRule="auto"/>
        <w:rPr>
          <w:rFonts w:ascii="Palatino Linotype" w:eastAsia="Calibri" w:hAnsi="Palatino Linotype" w:cs="Tahoma"/>
          <w:b/>
          <w:bCs/>
          <w:szCs w:val="22"/>
          <w:lang w:eastAsia="en-US"/>
        </w:rPr>
      </w:pPr>
    </w:p>
    <w:p w:rsidR="00782EA4" w:rsidRPr="00264223" w:rsidRDefault="00782EA4" w:rsidP="008373CE">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El acceso se dará en la modalidad de entrega y en su caso, de </w:t>
      </w:r>
      <w:r w:rsidR="00A571CD" w:rsidRPr="00264223">
        <w:rPr>
          <w:rFonts w:ascii="Palatino Linotype" w:eastAsia="Calibri" w:hAnsi="Palatino Linotype" w:cs="Tahoma"/>
          <w:bCs/>
          <w:szCs w:val="22"/>
          <w:lang w:eastAsia="en-US"/>
        </w:rPr>
        <w:t xml:space="preserve">envío </w:t>
      </w:r>
      <w:r w:rsidRPr="00264223">
        <w:rPr>
          <w:rFonts w:ascii="Palatino Linotype" w:eastAsia="Calibri" w:hAnsi="Palatino Linotype" w:cs="Tahoma"/>
          <w:bCs/>
          <w:szCs w:val="22"/>
          <w:lang w:eastAsia="en-US"/>
        </w:rPr>
        <w:t xml:space="preserve">elegido por </w:t>
      </w:r>
      <w:r w:rsidR="006F01E7" w:rsidRPr="00264223">
        <w:rPr>
          <w:rFonts w:ascii="Palatino Linotype" w:eastAsia="Calibri" w:hAnsi="Palatino Linotype" w:cs="Tahoma"/>
          <w:bCs/>
          <w:szCs w:val="22"/>
          <w:lang w:eastAsia="en-US"/>
        </w:rPr>
        <w:t>la</w:t>
      </w:r>
      <w:r w:rsidRPr="00264223">
        <w:rPr>
          <w:rFonts w:ascii="Palatino Linotype" w:eastAsia="Calibri" w:hAnsi="Palatino Linotype" w:cs="Tahoma"/>
          <w:bCs/>
          <w:szCs w:val="22"/>
          <w:lang w:eastAsia="en-US"/>
        </w:rPr>
        <w:t xml:space="preserve"> solicitante, </w:t>
      </w:r>
      <w:r w:rsidR="00A571CD" w:rsidRPr="00264223">
        <w:rPr>
          <w:rFonts w:ascii="Palatino Linotype" w:eastAsia="Calibri" w:hAnsi="Palatino Linotype" w:cs="Tahoma"/>
          <w:bCs/>
          <w:szCs w:val="22"/>
          <w:lang w:eastAsia="en-US"/>
        </w:rPr>
        <w:t>cuando</w:t>
      </w:r>
      <w:r w:rsidRPr="00264223">
        <w:rPr>
          <w:rFonts w:ascii="Palatino Linotype" w:eastAsia="Calibri" w:hAnsi="Palatino Linotype" w:cs="Tahoma"/>
          <w:bCs/>
          <w:szCs w:val="22"/>
          <w:lang w:eastAsia="en-US"/>
        </w:rPr>
        <w:t xml:space="preserve"> no</w:t>
      </w:r>
      <w:r w:rsidR="00A571CD" w:rsidRPr="00264223">
        <w:rPr>
          <w:rFonts w:ascii="Palatino Linotype" w:eastAsia="Calibri" w:hAnsi="Palatino Linotype" w:cs="Tahoma"/>
          <w:bCs/>
          <w:szCs w:val="22"/>
          <w:lang w:eastAsia="en-US"/>
        </w:rPr>
        <w:t xml:space="preserve"> </w:t>
      </w:r>
      <w:r w:rsidRPr="00264223">
        <w:rPr>
          <w:rFonts w:ascii="Palatino Linotype" w:eastAsia="Calibri" w:hAnsi="Palatino Linotype" w:cs="Tahoma"/>
          <w:bCs/>
          <w:szCs w:val="22"/>
          <w:lang w:eastAsia="en-US"/>
        </w:rPr>
        <w:t>pueda ent</w:t>
      </w:r>
      <w:r w:rsidR="00C459A9" w:rsidRPr="00264223">
        <w:rPr>
          <w:rFonts w:ascii="Palatino Linotype" w:eastAsia="Calibri" w:hAnsi="Palatino Linotype" w:cs="Tahoma"/>
          <w:bCs/>
          <w:szCs w:val="22"/>
          <w:lang w:eastAsia="en-US"/>
        </w:rPr>
        <w:t>regarse en dicha modalidad, el Sujeto O</w:t>
      </w:r>
      <w:r w:rsidRPr="00264223">
        <w:rPr>
          <w:rFonts w:ascii="Palatino Linotype" w:eastAsia="Calibri" w:hAnsi="Palatino Linotype" w:cs="Tahoma"/>
          <w:bCs/>
          <w:szCs w:val="22"/>
          <w:lang w:eastAsia="en-US"/>
        </w:rPr>
        <w:t>bligado deberá ofrecer otras; por lo cual, deberá fundamentar</w:t>
      </w:r>
      <w:r w:rsidR="00AB0749" w:rsidRPr="00264223">
        <w:rPr>
          <w:rFonts w:ascii="Palatino Linotype" w:eastAsia="Calibri" w:hAnsi="Palatino Linotype" w:cs="Tahoma"/>
          <w:bCs/>
          <w:szCs w:val="22"/>
          <w:lang w:eastAsia="en-US"/>
        </w:rPr>
        <w:t xml:space="preserve"> y motivar la necesidad d</w:t>
      </w:r>
      <w:r w:rsidR="00F5374C" w:rsidRPr="00264223">
        <w:rPr>
          <w:rFonts w:ascii="Palatino Linotype" w:eastAsia="Calibri" w:hAnsi="Palatino Linotype" w:cs="Tahoma"/>
          <w:bCs/>
          <w:szCs w:val="22"/>
          <w:lang w:eastAsia="en-US"/>
        </w:rPr>
        <w:t>e modificar el medio de entrega, y</w:t>
      </w:r>
    </w:p>
    <w:p w:rsidR="00F5374C" w:rsidRPr="00264223" w:rsidRDefault="00F5374C" w:rsidP="008373CE">
      <w:pPr>
        <w:pStyle w:val="Prrafodelista"/>
        <w:spacing w:line="360" w:lineRule="auto"/>
        <w:rPr>
          <w:rFonts w:ascii="Palatino Linotype" w:eastAsia="Calibri" w:hAnsi="Palatino Linotype" w:cs="Tahoma"/>
          <w:b/>
          <w:bCs/>
          <w:szCs w:val="22"/>
          <w:lang w:eastAsia="en-US"/>
        </w:rPr>
      </w:pPr>
    </w:p>
    <w:p w:rsidR="00782EA4" w:rsidRPr="00264223" w:rsidRDefault="00782EA4" w:rsidP="008373CE">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tendrán disponible la información requerida durante un </w:t>
      </w:r>
      <w:r w:rsidR="00AB0749" w:rsidRPr="00264223">
        <w:rPr>
          <w:rFonts w:ascii="Palatino Linotype" w:eastAsia="Calibri" w:hAnsi="Palatino Linotype" w:cs="Tahoma"/>
          <w:bCs/>
          <w:szCs w:val="22"/>
          <w:lang w:eastAsia="en-US"/>
        </w:rPr>
        <w:t>plazo</w:t>
      </w:r>
      <w:r w:rsidR="00DB7E5F" w:rsidRPr="00264223">
        <w:rPr>
          <w:rFonts w:ascii="Palatino Linotype" w:eastAsia="Calibri" w:hAnsi="Palatino Linotype" w:cs="Tahoma"/>
          <w:bCs/>
          <w:szCs w:val="22"/>
          <w:lang w:eastAsia="en-US"/>
        </w:rPr>
        <w:t xml:space="preserve"> mínimo de sesenta días hábiles, contados a partir de que </w:t>
      </w:r>
      <w:r w:rsidR="006F01E7" w:rsidRPr="00264223">
        <w:rPr>
          <w:rFonts w:ascii="Palatino Linotype" w:eastAsia="Calibri" w:hAnsi="Palatino Linotype" w:cs="Tahoma"/>
          <w:bCs/>
          <w:szCs w:val="22"/>
          <w:lang w:eastAsia="en-US"/>
        </w:rPr>
        <w:t xml:space="preserve">la </w:t>
      </w:r>
      <w:r w:rsidR="00DB7E5F" w:rsidRPr="00264223">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264223">
        <w:rPr>
          <w:rFonts w:ascii="Palatino Linotype" w:eastAsia="Calibri" w:hAnsi="Palatino Linotype" w:cs="Tahoma"/>
          <w:bCs/>
          <w:szCs w:val="22"/>
          <w:lang w:eastAsia="en-US"/>
        </w:rPr>
        <w:t>a</w:t>
      </w:r>
      <w:r w:rsidR="00DB7E5F" w:rsidRPr="00264223">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264223">
        <w:rPr>
          <w:rFonts w:ascii="Palatino Linotype" w:eastAsia="Calibri" w:hAnsi="Palatino Linotype" w:cs="Tahoma"/>
          <w:bCs/>
          <w:szCs w:val="22"/>
          <w:lang w:eastAsia="en-US"/>
        </w:rPr>
        <w:t>ón del material;</w:t>
      </w:r>
    </w:p>
    <w:p w:rsidR="00DB7E5F" w:rsidRPr="00264223" w:rsidRDefault="00DB7E5F" w:rsidP="008373CE">
      <w:pPr>
        <w:pStyle w:val="Prrafodelista"/>
        <w:spacing w:line="360" w:lineRule="auto"/>
        <w:rPr>
          <w:rFonts w:ascii="Palatino Linotype" w:eastAsia="Calibri" w:hAnsi="Palatino Linotype" w:cs="Tahoma"/>
          <w:b/>
          <w:bCs/>
          <w:szCs w:val="22"/>
          <w:lang w:eastAsia="en-US"/>
        </w:rPr>
      </w:pPr>
    </w:p>
    <w:p w:rsidR="00D96BF1" w:rsidRDefault="00DB7E5F" w:rsidP="008373CE">
      <w:pPr>
        <w:spacing w:line="360" w:lineRule="auto"/>
        <w:ind w:right="-93"/>
        <w:jc w:val="both"/>
        <w:rPr>
          <w:rFonts w:ascii="Palatino Linotype" w:hAnsi="Palatino Linotype" w:cs="Tahoma"/>
          <w:sz w:val="22"/>
          <w:szCs w:val="22"/>
          <w:lang w:val="es-ES"/>
        </w:rPr>
      </w:pPr>
      <w:r w:rsidRPr="00264223">
        <w:rPr>
          <w:rFonts w:ascii="Palatino Linotype" w:eastAsia="Calibri" w:hAnsi="Palatino Linotype" w:cs="Tahoma"/>
          <w:bCs/>
          <w:sz w:val="22"/>
          <w:szCs w:val="22"/>
          <w:lang w:eastAsia="en-US"/>
        </w:rPr>
        <w:t xml:space="preserve">Una vez establecido lo anterior, es preciso </w:t>
      </w:r>
      <w:r w:rsidR="00F5374C" w:rsidRPr="00264223">
        <w:rPr>
          <w:rFonts w:ascii="Palatino Linotype" w:eastAsia="Calibri" w:hAnsi="Palatino Linotype" w:cs="Tahoma"/>
          <w:bCs/>
          <w:sz w:val="22"/>
          <w:szCs w:val="22"/>
          <w:lang w:eastAsia="en-US"/>
        </w:rPr>
        <w:t xml:space="preserve">indicar </w:t>
      </w:r>
      <w:r w:rsidR="00983AA1">
        <w:rPr>
          <w:rFonts w:ascii="Palatino Linotype" w:eastAsia="Calibri" w:hAnsi="Palatino Linotype" w:cs="Tahoma"/>
          <w:bCs/>
          <w:sz w:val="22"/>
          <w:szCs w:val="22"/>
          <w:lang w:eastAsia="en-US"/>
        </w:rPr>
        <w:t>que el agravio del</w:t>
      </w:r>
      <w:r w:rsidRPr="00264223">
        <w:rPr>
          <w:rFonts w:ascii="Palatino Linotype" w:eastAsia="Calibri" w:hAnsi="Palatino Linotype" w:cs="Tahoma"/>
          <w:bCs/>
          <w:sz w:val="22"/>
          <w:szCs w:val="22"/>
          <w:lang w:eastAsia="en-US"/>
        </w:rPr>
        <w:t xml:space="preserve"> peticionari</w:t>
      </w:r>
      <w:r w:rsidR="00983AA1">
        <w:rPr>
          <w:rFonts w:ascii="Palatino Linotype" w:eastAsia="Calibri" w:hAnsi="Palatino Linotype" w:cs="Tahoma"/>
          <w:bCs/>
          <w:sz w:val="22"/>
          <w:szCs w:val="22"/>
          <w:lang w:eastAsia="en-US"/>
        </w:rPr>
        <w:t>o</w:t>
      </w:r>
      <w:r w:rsidRPr="00264223">
        <w:rPr>
          <w:rFonts w:ascii="Palatino Linotype" w:eastAsia="Calibri" w:hAnsi="Palatino Linotype" w:cs="Tahoma"/>
          <w:bCs/>
          <w:sz w:val="22"/>
          <w:szCs w:val="22"/>
          <w:lang w:eastAsia="en-US"/>
        </w:rPr>
        <w:t xml:space="preserve"> consistió en que a la fecha de la </w:t>
      </w:r>
      <w:r w:rsidR="00F5374C" w:rsidRPr="00264223">
        <w:rPr>
          <w:rFonts w:ascii="Palatino Linotype" w:eastAsia="Calibri" w:hAnsi="Palatino Linotype" w:cs="Tahoma"/>
          <w:bCs/>
          <w:sz w:val="22"/>
          <w:szCs w:val="22"/>
          <w:lang w:eastAsia="en-US"/>
        </w:rPr>
        <w:t xml:space="preserve">interposición del </w:t>
      </w:r>
      <w:r w:rsidR="006C7EEA" w:rsidRPr="00264223">
        <w:rPr>
          <w:rFonts w:ascii="Palatino Linotype" w:eastAsia="Calibri" w:hAnsi="Palatino Linotype" w:cs="Tahoma"/>
          <w:bCs/>
          <w:sz w:val="22"/>
          <w:szCs w:val="22"/>
          <w:lang w:eastAsia="en-US"/>
        </w:rPr>
        <w:t>Recurso de Re</w:t>
      </w:r>
      <w:r w:rsidRPr="00264223">
        <w:rPr>
          <w:rFonts w:ascii="Palatino Linotype" w:eastAsia="Calibri" w:hAnsi="Palatino Linotype" w:cs="Tahoma"/>
          <w:bCs/>
          <w:sz w:val="22"/>
          <w:szCs w:val="22"/>
          <w:lang w:eastAsia="en-US"/>
        </w:rPr>
        <w:t xml:space="preserve">visión, el Ayuntamiento de </w:t>
      </w:r>
      <w:r w:rsidR="00985618">
        <w:rPr>
          <w:rFonts w:ascii="Palatino Linotype" w:eastAsia="Calibri" w:hAnsi="Palatino Linotype" w:cs="Tahoma"/>
          <w:bCs/>
          <w:sz w:val="22"/>
          <w:szCs w:val="22"/>
          <w:lang w:eastAsia="en-US"/>
        </w:rPr>
        <w:t xml:space="preserve">Rayón </w:t>
      </w:r>
      <w:r w:rsidRPr="00264223">
        <w:rPr>
          <w:rFonts w:ascii="Palatino Linotype" w:eastAsia="Calibri" w:hAnsi="Palatino Linotype" w:cs="Tahoma"/>
          <w:bCs/>
          <w:sz w:val="22"/>
          <w:szCs w:val="22"/>
          <w:lang w:eastAsia="en-US"/>
        </w:rPr>
        <w:t>no hab</w:t>
      </w:r>
      <w:r w:rsidR="00985618">
        <w:rPr>
          <w:rFonts w:ascii="Palatino Linotype" w:eastAsia="Calibri" w:hAnsi="Palatino Linotype" w:cs="Tahoma"/>
          <w:bCs/>
          <w:sz w:val="22"/>
          <w:szCs w:val="22"/>
          <w:lang w:eastAsia="en-US"/>
        </w:rPr>
        <w:t xml:space="preserve">ía </w:t>
      </w:r>
      <w:r w:rsidR="009A16AF">
        <w:rPr>
          <w:rFonts w:ascii="Palatino Linotype" w:eastAsia="Calibri" w:hAnsi="Palatino Linotype" w:cs="Tahoma"/>
          <w:bCs/>
          <w:sz w:val="22"/>
          <w:szCs w:val="22"/>
          <w:lang w:eastAsia="en-US"/>
        </w:rPr>
        <w:t>dado</w:t>
      </w:r>
      <w:r w:rsidR="00985618">
        <w:rPr>
          <w:rFonts w:ascii="Palatino Linotype" w:eastAsia="Calibri" w:hAnsi="Palatino Linotype" w:cs="Tahoma"/>
          <w:bCs/>
          <w:sz w:val="22"/>
          <w:szCs w:val="22"/>
          <w:lang w:eastAsia="en-US"/>
        </w:rPr>
        <w:t xml:space="preserve"> atención a su </w:t>
      </w:r>
      <w:r w:rsidR="00485EC7" w:rsidRPr="00264223">
        <w:rPr>
          <w:rFonts w:ascii="Palatino Linotype" w:eastAsia="Calibri" w:hAnsi="Palatino Linotype" w:cs="Tahoma"/>
          <w:bCs/>
          <w:sz w:val="22"/>
          <w:szCs w:val="22"/>
          <w:lang w:eastAsia="en-US"/>
        </w:rPr>
        <w:t xml:space="preserve">requerimiento de acceso a la información, el cual fue presentado </w:t>
      </w:r>
      <w:r w:rsidR="00F107AF">
        <w:rPr>
          <w:rFonts w:ascii="Palatino Linotype" w:eastAsia="Calibri" w:hAnsi="Palatino Linotype" w:cs="Tahoma"/>
          <w:b/>
          <w:bCs/>
          <w:sz w:val="22"/>
          <w:szCs w:val="22"/>
          <w:lang w:eastAsia="en-US"/>
        </w:rPr>
        <w:t xml:space="preserve">el </w:t>
      </w:r>
      <w:r w:rsidR="00985618">
        <w:rPr>
          <w:rFonts w:ascii="Palatino Linotype" w:eastAsia="Calibri" w:hAnsi="Palatino Linotype" w:cs="Tahoma"/>
          <w:b/>
          <w:bCs/>
          <w:sz w:val="22"/>
          <w:szCs w:val="22"/>
          <w:lang w:eastAsia="en-US"/>
        </w:rPr>
        <w:t xml:space="preserve">veintisiete de agosto </w:t>
      </w:r>
      <w:r w:rsidR="00F107AF">
        <w:rPr>
          <w:rFonts w:ascii="Palatino Linotype" w:eastAsia="Calibri" w:hAnsi="Palatino Linotype" w:cs="Tahoma"/>
          <w:b/>
          <w:bCs/>
          <w:sz w:val="22"/>
          <w:szCs w:val="22"/>
          <w:lang w:eastAsia="en-US"/>
        </w:rPr>
        <w:t>de</w:t>
      </w:r>
      <w:r w:rsidR="00D96BF1">
        <w:rPr>
          <w:rFonts w:ascii="Palatino Linotype" w:eastAsia="Calibri" w:hAnsi="Palatino Linotype" w:cs="Tahoma"/>
          <w:b/>
          <w:bCs/>
          <w:sz w:val="22"/>
          <w:szCs w:val="22"/>
          <w:lang w:eastAsia="en-US"/>
        </w:rPr>
        <w:t xml:space="preserve"> dos mil dieciocho, </w:t>
      </w:r>
      <w:r w:rsidR="00D96BF1" w:rsidRPr="00D96BF1">
        <w:rPr>
          <w:rFonts w:ascii="Palatino Linotype" w:eastAsia="Calibri" w:hAnsi="Palatino Linotype" w:cs="Tahoma"/>
          <w:bCs/>
          <w:sz w:val="22"/>
          <w:szCs w:val="22"/>
          <w:lang w:eastAsia="en-US"/>
        </w:rPr>
        <w:t xml:space="preserve">sin que </w:t>
      </w:r>
      <w:r w:rsidR="00985618">
        <w:rPr>
          <w:rFonts w:ascii="Palatino Linotype" w:eastAsia="Calibri" w:hAnsi="Palatino Linotype" w:cs="Tahoma"/>
          <w:bCs/>
          <w:sz w:val="22"/>
          <w:szCs w:val="22"/>
          <w:lang w:eastAsia="en-US"/>
        </w:rPr>
        <w:t xml:space="preserve">tampoco </w:t>
      </w:r>
      <w:r w:rsidR="00D96BF1" w:rsidRPr="00D96BF1">
        <w:rPr>
          <w:rFonts w:ascii="Palatino Linotype" w:eastAsia="Calibri" w:hAnsi="Palatino Linotype" w:cs="Tahoma"/>
          <w:bCs/>
          <w:sz w:val="22"/>
          <w:szCs w:val="22"/>
          <w:lang w:eastAsia="en-US"/>
        </w:rPr>
        <w:t xml:space="preserve">registrara respuesta </w:t>
      </w:r>
      <w:r w:rsidR="00985618">
        <w:rPr>
          <w:rFonts w:ascii="Palatino Linotype" w:eastAsia="Calibri" w:hAnsi="Palatino Linotype" w:cs="Tahoma"/>
          <w:bCs/>
          <w:sz w:val="22"/>
          <w:szCs w:val="22"/>
          <w:lang w:eastAsia="en-US"/>
        </w:rPr>
        <w:t>alguna</w:t>
      </w:r>
      <w:r w:rsidR="00D96BF1" w:rsidRPr="00D96BF1">
        <w:rPr>
          <w:rFonts w:ascii="Palatino Linotype" w:eastAsia="Calibri" w:hAnsi="Palatino Linotype" w:cs="Tahoma"/>
          <w:bCs/>
          <w:sz w:val="22"/>
          <w:szCs w:val="22"/>
          <w:lang w:eastAsia="en-US"/>
        </w:rPr>
        <w:t xml:space="preserve">, como </w:t>
      </w:r>
      <w:r w:rsidR="00D96BF1" w:rsidRPr="00D96BF1">
        <w:rPr>
          <w:rFonts w:ascii="Palatino Linotype" w:eastAsia="Calibri" w:hAnsi="Palatino Linotype" w:cs="Tahoma"/>
          <w:bCs/>
          <w:sz w:val="22"/>
          <w:szCs w:val="22"/>
          <w:lang w:eastAsia="en-US"/>
        </w:rPr>
        <w:lastRenderedPageBreak/>
        <w:t>se verific</w:t>
      </w:r>
      <w:r w:rsidR="002D5DDD">
        <w:rPr>
          <w:rFonts w:ascii="Palatino Linotype" w:eastAsia="Calibri" w:hAnsi="Palatino Linotype" w:cs="Tahoma"/>
          <w:bCs/>
          <w:sz w:val="22"/>
          <w:szCs w:val="22"/>
          <w:lang w:eastAsia="en-US"/>
        </w:rPr>
        <w:t>ó</w:t>
      </w:r>
      <w:r w:rsidR="00D96BF1" w:rsidRPr="00D96BF1">
        <w:rPr>
          <w:rFonts w:ascii="Palatino Linotype" w:eastAsia="Calibri" w:hAnsi="Palatino Linotype" w:cs="Tahoma"/>
          <w:bCs/>
          <w:sz w:val="22"/>
          <w:szCs w:val="22"/>
          <w:lang w:eastAsia="en-US"/>
        </w:rPr>
        <w:t xml:space="preserve"> en el  </w:t>
      </w:r>
      <w:r w:rsidR="00D96BF1" w:rsidRPr="00264223">
        <w:rPr>
          <w:rFonts w:ascii="Palatino Linotype" w:hAnsi="Palatino Linotype" w:cs="Tahoma"/>
          <w:sz w:val="22"/>
          <w:szCs w:val="22"/>
          <w:lang w:val="es-ES"/>
        </w:rPr>
        <w:t>Sistema de Acceso a la Información Mexiquense (SAIMEX), plataforma utilizada para presentar el requerimiento de información.</w:t>
      </w:r>
    </w:p>
    <w:p w:rsidR="00EC0252" w:rsidRDefault="00EC0252" w:rsidP="008373CE">
      <w:pPr>
        <w:spacing w:line="360" w:lineRule="auto"/>
        <w:ind w:right="-93" w:firstLine="1"/>
        <w:jc w:val="both"/>
        <w:rPr>
          <w:rFonts w:ascii="Palatino Linotype" w:eastAsia="Calibri" w:hAnsi="Palatino Linotype" w:cs="Tahoma"/>
          <w:bCs/>
          <w:sz w:val="22"/>
          <w:szCs w:val="22"/>
          <w:lang w:eastAsia="en-US"/>
        </w:rPr>
      </w:pPr>
    </w:p>
    <w:p w:rsidR="00AC2C6E" w:rsidRDefault="00AB7E6A" w:rsidP="008373CE">
      <w:pPr>
        <w:spacing w:line="360" w:lineRule="auto"/>
        <w:ind w:right="-93" w:firstLine="1"/>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w:t>
      </w:r>
      <w:r w:rsidR="00AC2C6E" w:rsidRPr="00264223">
        <w:rPr>
          <w:rFonts w:ascii="Palatino Linotype" w:eastAsia="Calibri" w:hAnsi="Palatino Linotype" w:cs="Tahoma"/>
          <w:bCs/>
          <w:sz w:val="22"/>
          <w:szCs w:val="22"/>
          <w:lang w:eastAsia="en-US"/>
        </w:rPr>
        <w:t>, el plazo con el que contaba el Sujeto Obligado para emitir contestación</w:t>
      </w:r>
      <w:r w:rsidR="00807CD3">
        <w:rPr>
          <w:rFonts w:ascii="Palatino Linotype" w:eastAsia="Calibri" w:hAnsi="Palatino Linotype" w:cs="Tahoma"/>
          <w:bCs/>
          <w:sz w:val="22"/>
          <w:szCs w:val="22"/>
          <w:lang w:eastAsia="en-US"/>
        </w:rPr>
        <w:t xml:space="preserve"> </w:t>
      </w:r>
      <w:r w:rsidR="00AC2C6E" w:rsidRPr="00264223">
        <w:rPr>
          <w:rFonts w:ascii="Palatino Linotype" w:eastAsia="Calibri" w:hAnsi="Palatino Linotype" w:cs="Tahoma"/>
          <w:bCs/>
          <w:sz w:val="22"/>
          <w:szCs w:val="22"/>
          <w:lang w:eastAsia="en-US"/>
        </w:rPr>
        <w:t xml:space="preserve">al requerimiento informativo, comenzó a correr el </w:t>
      </w:r>
      <w:r w:rsidR="00985618">
        <w:rPr>
          <w:rFonts w:ascii="Palatino Linotype" w:eastAsia="Calibri" w:hAnsi="Palatino Linotype" w:cs="Tahoma"/>
          <w:b/>
          <w:bCs/>
          <w:sz w:val="22"/>
          <w:szCs w:val="22"/>
          <w:lang w:eastAsia="en-US"/>
        </w:rPr>
        <w:t xml:space="preserve">veintiocho de agosto </w:t>
      </w:r>
      <w:r w:rsidR="00F107AF">
        <w:rPr>
          <w:rFonts w:ascii="Palatino Linotype" w:eastAsia="Calibri" w:hAnsi="Palatino Linotype" w:cs="Tahoma"/>
          <w:b/>
          <w:bCs/>
          <w:sz w:val="22"/>
          <w:szCs w:val="22"/>
          <w:lang w:eastAsia="en-US"/>
        </w:rPr>
        <w:t>de</w:t>
      </w:r>
      <w:r w:rsidR="00AC2C6E" w:rsidRPr="00264223">
        <w:rPr>
          <w:rFonts w:ascii="Palatino Linotype" w:eastAsia="Calibri" w:hAnsi="Palatino Linotype" w:cs="Tahoma"/>
          <w:b/>
          <w:bCs/>
          <w:sz w:val="22"/>
          <w:szCs w:val="22"/>
          <w:lang w:eastAsia="en-US"/>
        </w:rPr>
        <w:t xml:space="preserve"> la presente anualidad</w:t>
      </w:r>
      <w:r w:rsidR="00AC2C6E" w:rsidRPr="00264223">
        <w:rPr>
          <w:rFonts w:ascii="Palatino Linotype" w:eastAsia="Calibri" w:hAnsi="Palatino Linotype" w:cs="Tahoma"/>
          <w:bCs/>
          <w:sz w:val="22"/>
          <w:szCs w:val="22"/>
          <w:lang w:eastAsia="en-US"/>
        </w:rPr>
        <w:t xml:space="preserve"> y feneció el </w:t>
      </w:r>
      <w:r w:rsidR="00807CD3">
        <w:rPr>
          <w:rFonts w:ascii="Palatino Linotype" w:eastAsia="Calibri" w:hAnsi="Palatino Linotype" w:cs="Tahoma"/>
          <w:b/>
          <w:bCs/>
          <w:sz w:val="22"/>
          <w:szCs w:val="22"/>
          <w:lang w:eastAsia="en-US"/>
        </w:rPr>
        <w:t xml:space="preserve">diecisiete </w:t>
      </w:r>
      <w:r w:rsidR="00F107AF">
        <w:rPr>
          <w:rFonts w:ascii="Palatino Linotype" w:eastAsia="Calibri" w:hAnsi="Palatino Linotype" w:cs="Tahoma"/>
          <w:b/>
          <w:bCs/>
          <w:sz w:val="22"/>
          <w:szCs w:val="22"/>
          <w:lang w:eastAsia="en-US"/>
        </w:rPr>
        <w:t xml:space="preserve">de </w:t>
      </w:r>
      <w:r w:rsidR="00807CD3">
        <w:rPr>
          <w:rFonts w:ascii="Palatino Linotype" w:eastAsia="Calibri" w:hAnsi="Palatino Linotype" w:cs="Tahoma"/>
          <w:b/>
          <w:bCs/>
          <w:sz w:val="22"/>
          <w:szCs w:val="22"/>
          <w:lang w:eastAsia="en-US"/>
        </w:rPr>
        <w:t xml:space="preserve">septiembre </w:t>
      </w:r>
      <w:r w:rsidR="00F107AF">
        <w:rPr>
          <w:rFonts w:ascii="Palatino Linotype" w:eastAsia="Calibri" w:hAnsi="Palatino Linotype" w:cs="Tahoma"/>
          <w:b/>
          <w:bCs/>
          <w:sz w:val="22"/>
          <w:szCs w:val="22"/>
          <w:lang w:eastAsia="en-US"/>
        </w:rPr>
        <w:t xml:space="preserve">del mismo </w:t>
      </w:r>
      <w:r w:rsidR="00AC2C6E" w:rsidRPr="00264223">
        <w:rPr>
          <w:rFonts w:ascii="Palatino Linotype" w:eastAsia="Calibri" w:hAnsi="Palatino Linotype" w:cs="Tahoma"/>
          <w:b/>
          <w:bCs/>
          <w:sz w:val="22"/>
          <w:szCs w:val="22"/>
          <w:lang w:eastAsia="en-US"/>
        </w:rPr>
        <w:t>año</w:t>
      </w:r>
      <w:r w:rsidR="006C7EEA" w:rsidRPr="00264223">
        <w:rPr>
          <w:rFonts w:ascii="Palatino Linotype" w:eastAsia="Calibri" w:hAnsi="Palatino Linotype" w:cs="Tahoma"/>
          <w:b/>
          <w:bCs/>
          <w:sz w:val="22"/>
          <w:szCs w:val="22"/>
          <w:lang w:eastAsia="en-US"/>
        </w:rPr>
        <w:t xml:space="preserve">; </w:t>
      </w:r>
      <w:r w:rsidR="006C7EEA" w:rsidRPr="00264223">
        <w:rPr>
          <w:rFonts w:ascii="Palatino Linotype" w:eastAsia="Calibri" w:hAnsi="Palatino Linotype" w:cs="Tahoma"/>
          <w:bCs/>
          <w:sz w:val="22"/>
          <w:szCs w:val="22"/>
          <w:lang w:eastAsia="en-US"/>
        </w:rPr>
        <w:t xml:space="preserve">lo </w:t>
      </w:r>
      <w:r w:rsidR="00AC2C6E" w:rsidRPr="00264223">
        <w:rPr>
          <w:rFonts w:ascii="Palatino Linotype" w:eastAsia="Calibri" w:hAnsi="Palatino Linotype" w:cs="Tahoma"/>
          <w:bCs/>
          <w:sz w:val="22"/>
          <w:szCs w:val="22"/>
          <w:lang w:eastAsia="en-US"/>
        </w:rPr>
        <w:t xml:space="preserve">anterior, </w:t>
      </w:r>
      <w:r w:rsidR="00D81BAE" w:rsidRPr="00264223">
        <w:rPr>
          <w:rFonts w:ascii="Palatino Linotype" w:eastAsia="Calibri" w:hAnsi="Palatino Linotype" w:cs="Tahoma"/>
          <w:bCs/>
          <w:sz w:val="22"/>
          <w:szCs w:val="22"/>
          <w:lang w:eastAsia="en-US"/>
        </w:rPr>
        <w:t xml:space="preserve">sin contar los días </w:t>
      </w:r>
      <w:r w:rsidR="00807CD3">
        <w:rPr>
          <w:rFonts w:ascii="Palatino Linotype" w:eastAsia="Calibri" w:hAnsi="Palatino Linotype" w:cs="Tahoma"/>
          <w:bCs/>
          <w:sz w:val="22"/>
          <w:szCs w:val="22"/>
          <w:lang w:eastAsia="en-US"/>
        </w:rPr>
        <w:t>uno</w:t>
      </w:r>
      <w:r w:rsidR="00F107AF">
        <w:rPr>
          <w:rFonts w:ascii="Palatino Linotype" w:eastAsia="Calibri" w:hAnsi="Palatino Linotype" w:cs="Tahoma"/>
          <w:bCs/>
          <w:sz w:val="22"/>
          <w:szCs w:val="22"/>
          <w:lang w:eastAsia="en-US"/>
        </w:rPr>
        <w:t xml:space="preserve">, </w:t>
      </w:r>
      <w:r w:rsidR="00807CD3">
        <w:rPr>
          <w:rFonts w:ascii="Palatino Linotype" w:eastAsia="Calibri" w:hAnsi="Palatino Linotype" w:cs="Tahoma"/>
          <w:bCs/>
          <w:sz w:val="22"/>
          <w:szCs w:val="22"/>
          <w:lang w:eastAsia="en-US"/>
        </w:rPr>
        <w:t>dos</w:t>
      </w:r>
      <w:r w:rsidR="00F107AF">
        <w:rPr>
          <w:rFonts w:ascii="Palatino Linotype" w:eastAsia="Calibri" w:hAnsi="Palatino Linotype" w:cs="Tahoma"/>
          <w:bCs/>
          <w:sz w:val="22"/>
          <w:szCs w:val="22"/>
          <w:lang w:eastAsia="en-US"/>
        </w:rPr>
        <w:t xml:space="preserve">, </w:t>
      </w:r>
      <w:r w:rsidR="00807CD3">
        <w:rPr>
          <w:rFonts w:ascii="Palatino Linotype" w:eastAsia="Calibri" w:hAnsi="Palatino Linotype" w:cs="Tahoma"/>
          <w:bCs/>
          <w:sz w:val="22"/>
          <w:szCs w:val="22"/>
          <w:lang w:eastAsia="en-US"/>
        </w:rPr>
        <w:t>ocho</w:t>
      </w:r>
      <w:r w:rsidR="00F107AF">
        <w:rPr>
          <w:rFonts w:ascii="Palatino Linotype" w:eastAsia="Calibri" w:hAnsi="Palatino Linotype" w:cs="Tahoma"/>
          <w:bCs/>
          <w:sz w:val="22"/>
          <w:szCs w:val="22"/>
          <w:lang w:eastAsia="en-US"/>
        </w:rPr>
        <w:t xml:space="preserve">, </w:t>
      </w:r>
      <w:r w:rsidR="00807CD3">
        <w:rPr>
          <w:rFonts w:ascii="Palatino Linotype" w:eastAsia="Calibri" w:hAnsi="Palatino Linotype" w:cs="Tahoma"/>
          <w:bCs/>
          <w:sz w:val="22"/>
          <w:szCs w:val="22"/>
          <w:lang w:eastAsia="en-US"/>
        </w:rPr>
        <w:t>nueve</w:t>
      </w:r>
      <w:r w:rsidR="00F107AF">
        <w:rPr>
          <w:rFonts w:ascii="Palatino Linotype" w:eastAsia="Calibri" w:hAnsi="Palatino Linotype" w:cs="Tahoma"/>
          <w:bCs/>
          <w:sz w:val="22"/>
          <w:szCs w:val="22"/>
          <w:lang w:eastAsia="en-US"/>
        </w:rPr>
        <w:t xml:space="preserve">, </w:t>
      </w:r>
      <w:r w:rsidR="00807CD3">
        <w:rPr>
          <w:rFonts w:ascii="Palatino Linotype" w:eastAsia="Calibri" w:hAnsi="Palatino Linotype" w:cs="Tahoma"/>
          <w:bCs/>
          <w:sz w:val="22"/>
          <w:szCs w:val="22"/>
          <w:lang w:eastAsia="en-US"/>
        </w:rPr>
        <w:t xml:space="preserve">quince y dieciséis </w:t>
      </w:r>
      <w:r w:rsidR="00F107AF">
        <w:rPr>
          <w:rFonts w:ascii="Palatino Linotype" w:eastAsia="Calibri" w:hAnsi="Palatino Linotype" w:cs="Tahoma"/>
          <w:bCs/>
          <w:sz w:val="22"/>
          <w:szCs w:val="22"/>
          <w:lang w:eastAsia="en-US"/>
        </w:rPr>
        <w:t xml:space="preserve">de </w:t>
      </w:r>
      <w:r w:rsidR="00807CD3">
        <w:rPr>
          <w:rFonts w:ascii="Palatino Linotype" w:eastAsia="Calibri" w:hAnsi="Palatino Linotype" w:cs="Tahoma"/>
          <w:bCs/>
          <w:sz w:val="22"/>
          <w:szCs w:val="22"/>
          <w:lang w:eastAsia="en-US"/>
        </w:rPr>
        <w:t xml:space="preserve">septiembre </w:t>
      </w:r>
      <w:r w:rsidR="00D81BAE" w:rsidRPr="00264223">
        <w:rPr>
          <w:rFonts w:ascii="Palatino Linotype" w:eastAsia="Calibri" w:hAnsi="Palatino Linotype" w:cs="Tahoma"/>
          <w:bCs/>
          <w:sz w:val="22"/>
          <w:szCs w:val="22"/>
          <w:lang w:eastAsia="en-US"/>
        </w:rPr>
        <w:t>al ser inhábiles de conformidad con el artículo 3</w:t>
      </w:r>
      <w:r w:rsidR="006C7EEA" w:rsidRPr="00264223">
        <w:rPr>
          <w:rFonts w:ascii="Palatino Linotype" w:eastAsia="Calibri" w:hAnsi="Palatino Linotype" w:cs="Tahoma"/>
          <w:bCs/>
          <w:sz w:val="22"/>
          <w:szCs w:val="22"/>
          <w:lang w:eastAsia="en-US"/>
        </w:rPr>
        <w:t>°</w:t>
      </w:r>
      <w:r w:rsidR="00D81BAE" w:rsidRPr="00264223">
        <w:rPr>
          <w:rFonts w:ascii="Palatino Linotype" w:eastAsia="Calibri" w:hAnsi="Palatino Linotype" w:cs="Tahoma"/>
          <w:bCs/>
          <w:sz w:val="22"/>
          <w:szCs w:val="22"/>
          <w:lang w:eastAsia="en-US"/>
        </w:rPr>
        <w:t>, fracción X</w:t>
      </w:r>
      <w:r w:rsidR="00481674">
        <w:rPr>
          <w:rFonts w:ascii="Palatino Linotype" w:eastAsia="Calibri" w:hAnsi="Palatino Linotype" w:cs="Tahoma"/>
          <w:bCs/>
          <w:sz w:val="22"/>
          <w:szCs w:val="22"/>
          <w:lang w:eastAsia="en-US"/>
        </w:rPr>
        <w:t>,</w:t>
      </w:r>
      <w:r w:rsidR="00D81BAE" w:rsidRPr="00264223">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264223">
        <w:rPr>
          <w:rFonts w:ascii="Palatino Linotype" w:eastAsia="Calibri" w:hAnsi="Palatino Linotype" w:cs="Tahoma"/>
          <w:bCs/>
          <w:sz w:val="22"/>
          <w:szCs w:val="22"/>
          <w:lang w:eastAsia="en-US"/>
        </w:rPr>
        <w:t>ública del Estado de México y Municipios, para el año dos mil dieciocho y enero dos mil diecinueve</w:t>
      </w:r>
      <w:r w:rsidR="006C7EEA" w:rsidRPr="00264223">
        <w:rPr>
          <w:rFonts w:ascii="Palatino Linotype" w:eastAsia="Calibri" w:hAnsi="Palatino Linotype" w:cs="Tahoma"/>
          <w:bCs/>
          <w:sz w:val="22"/>
          <w:szCs w:val="22"/>
          <w:lang w:eastAsia="en-US"/>
        </w:rPr>
        <w:t xml:space="preserve">, publicado en el Periódico Oficial </w:t>
      </w:r>
      <w:r w:rsidR="007573B2" w:rsidRPr="00264223">
        <w:rPr>
          <w:rFonts w:ascii="Palatino Linotype" w:eastAsia="Calibri" w:hAnsi="Palatino Linotype" w:cs="Tahoma"/>
          <w:bCs/>
          <w:sz w:val="22"/>
          <w:szCs w:val="22"/>
          <w:lang w:eastAsia="en-US"/>
        </w:rPr>
        <w:t xml:space="preserve">del Gobierno del Estado de México </w:t>
      </w:r>
      <w:r w:rsidR="006C7EEA" w:rsidRPr="00264223">
        <w:rPr>
          <w:rFonts w:ascii="Palatino Linotype" w:eastAsia="Calibri" w:hAnsi="Palatino Linotype" w:cs="Tahoma"/>
          <w:bCs/>
          <w:sz w:val="22"/>
          <w:szCs w:val="22"/>
          <w:lang w:eastAsia="en-US"/>
        </w:rPr>
        <w:t>“Gaceta del Gobierno” el</w:t>
      </w:r>
      <w:r w:rsidR="007573B2" w:rsidRPr="00264223">
        <w:rPr>
          <w:rFonts w:ascii="Palatino Linotype" w:eastAsia="Calibri" w:hAnsi="Palatino Linotype" w:cs="Tahoma"/>
          <w:bCs/>
          <w:sz w:val="22"/>
          <w:szCs w:val="22"/>
          <w:lang w:eastAsia="en-US"/>
        </w:rPr>
        <w:t xml:space="preserve"> ve</w:t>
      </w:r>
      <w:r w:rsidR="00A571CD" w:rsidRPr="00264223">
        <w:rPr>
          <w:rFonts w:ascii="Palatino Linotype" w:eastAsia="Calibri" w:hAnsi="Palatino Linotype" w:cs="Tahoma"/>
          <w:bCs/>
          <w:sz w:val="22"/>
          <w:szCs w:val="22"/>
          <w:lang w:eastAsia="en-US"/>
        </w:rPr>
        <w:t>i</w:t>
      </w:r>
      <w:r w:rsidR="007573B2" w:rsidRPr="00264223">
        <w:rPr>
          <w:rFonts w:ascii="Palatino Linotype" w:eastAsia="Calibri" w:hAnsi="Palatino Linotype" w:cs="Tahoma"/>
          <w:bCs/>
          <w:sz w:val="22"/>
          <w:szCs w:val="22"/>
          <w:lang w:eastAsia="en-US"/>
        </w:rPr>
        <w:t>nte de diciembre de dos mil diecisiete.</w:t>
      </w:r>
    </w:p>
    <w:p w:rsidR="00264223" w:rsidRPr="00264223" w:rsidRDefault="00264223" w:rsidP="008373CE">
      <w:pPr>
        <w:spacing w:line="360" w:lineRule="auto"/>
        <w:ind w:right="-93"/>
        <w:jc w:val="both"/>
        <w:rPr>
          <w:rFonts w:ascii="Palatino Linotype" w:eastAsia="Calibri" w:hAnsi="Palatino Linotype" w:cs="Tahoma"/>
          <w:bCs/>
          <w:sz w:val="22"/>
          <w:szCs w:val="22"/>
          <w:lang w:eastAsia="en-US"/>
        </w:rPr>
      </w:pPr>
    </w:p>
    <w:p w:rsidR="00CE1BC9" w:rsidRDefault="00CE1BC9" w:rsidP="008373CE">
      <w:pPr>
        <w:spacing w:line="360" w:lineRule="auto"/>
        <w:ind w:right="-93"/>
        <w:jc w:val="both"/>
        <w:rPr>
          <w:rFonts w:ascii="Palatino Linotype" w:hAnsi="Palatino Linotype" w:cs="Tahoma"/>
          <w:sz w:val="22"/>
          <w:szCs w:val="22"/>
          <w:lang w:val="es-ES"/>
        </w:rPr>
      </w:pPr>
      <w:r w:rsidRPr="00264223">
        <w:rPr>
          <w:rFonts w:ascii="Palatino Linotype" w:eastAsia="Calibri" w:hAnsi="Palatino Linotype" w:cs="Tahoma"/>
          <w:bCs/>
          <w:sz w:val="22"/>
          <w:szCs w:val="22"/>
          <w:lang w:eastAsia="en-US"/>
        </w:rPr>
        <w:t xml:space="preserve">Conforme a lo anterior, este Instituto </w:t>
      </w:r>
      <w:r w:rsidR="002E5015" w:rsidRPr="00264223">
        <w:rPr>
          <w:rFonts w:ascii="Palatino Linotype" w:eastAsia="Calibri" w:hAnsi="Palatino Linotype" w:cs="Tahoma"/>
          <w:bCs/>
          <w:sz w:val="22"/>
          <w:szCs w:val="22"/>
          <w:lang w:eastAsia="en-US"/>
        </w:rPr>
        <w:t>v</w:t>
      </w:r>
      <w:r w:rsidRPr="00264223">
        <w:rPr>
          <w:rFonts w:ascii="Palatino Linotype" w:eastAsia="Calibri" w:hAnsi="Palatino Linotype" w:cs="Tahoma"/>
          <w:bCs/>
          <w:sz w:val="22"/>
          <w:szCs w:val="22"/>
          <w:lang w:eastAsia="en-US"/>
        </w:rPr>
        <w:t>erific</w:t>
      </w:r>
      <w:r w:rsidR="002E5015" w:rsidRPr="00264223">
        <w:rPr>
          <w:rFonts w:ascii="Palatino Linotype" w:eastAsia="Calibri" w:hAnsi="Palatino Linotype" w:cs="Tahoma"/>
          <w:bCs/>
          <w:sz w:val="22"/>
          <w:szCs w:val="22"/>
          <w:lang w:eastAsia="en-US"/>
        </w:rPr>
        <w:t xml:space="preserve">ó que en efecto, no se registró </w:t>
      </w:r>
      <w:r w:rsidRPr="00264223">
        <w:rPr>
          <w:rFonts w:ascii="Palatino Linotype" w:eastAsia="Calibri" w:hAnsi="Palatino Linotype" w:cs="Tahoma"/>
          <w:bCs/>
          <w:sz w:val="22"/>
          <w:szCs w:val="22"/>
          <w:lang w:eastAsia="en-US"/>
        </w:rPr>
        <w:t xml:space="preserve">una repuesta a la solicitud de la ahora </w:t>
      </w:r>
      <w:r w:rsidR="002E5015" w:rsidRPr="00264223">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xml:space="preserve">, en el </w:t>
      </w:r>
      <w:r w:rsidRPr="00264223">
        <w:rPr>
          <w:rFonts w:ascii="Palatino Linotype" w:hAnsi="Palatino Linotype" w:cs="Tahoma"/>
          <w:sz w:val="22"/>
          <w:szCs w:val="22"/>
          <w:lang w:val="es-ES"/>
        </w:rPr>
        <w:t>Sistema de Acceso a la I</w:t>
      </w:r>
      <w:r w:rsidR="00430AAA">
        <w:rPr>
          <w:rFonts w:ascii="Palatino Linotype" w:hAnsi="Palatino Linotype" w:cs="Tahoma"/>
          <w:sz w:val="22"/>
          <w:szCs w:val="22"/>
          <w:lang w:val="es-ES"/>
        </w:rPr>
        <w:t>nformación Mexiquense (SAIMEX), plataforma utilizada para presentar el requerimiento de información.</w:t>
      </w:r>
    </w:p>
    <w:p w:rsidR="00430AAA" w:rsidRDefault="00430AAA" w:rsidP="008373CE">
      <w:pPr>
        <w:spacing w:line="360" w:lineRule="auto"/>
        <w:ind w:right="-93"/>
        <w:jc w:val="both"/>
        <w:rPr>
          <w:rFonts w:ascii="Palatino Linotype" w:hAnsi="Palatino Linotype" w:cs="Tahoma"/>
          <w:sz w:val="22"/>
          <w:szCs w:val="22"/>
          <w:lang w:val="es-ES"/>
        </w:rPr>
      </w:pPr>
    </w:p>
    <w:p w:rsidR="002B742C" w:rsidRDefault="002B742C" w:rsidP="008373CE">
      <w:pPr>
        <w:spacing w:line="360" w:lineRule="auto"/>
        <w:ind w:right="-93"/>
        <w:jc w:val="center"/>
        <w:rPr>
          <w:noProof/>
          <w:lang w:eastAsia="es-MX"/>
        </w:rPr>
      </w:pPr>
      <w:r>
        <w:rPr>
          <w:noProof/>
          <w:lang w:eastAsia="es-MX"/>
        </w:rPr>
        <w:drawing>
          <wp:inline distT="0" distB="0" distL="0" distR="0" wp14:anchorId="5D051EBB" wp14:editId="2878DA14">
            <wp:extent cx="5927975" cy="102475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095" t="24403" r="6962" b="51027"/>
                    <a:stretch/>
                  </pic:blipFill>
                  <pic:spPr bwMode="auto">
                    <a:xfrm>
                      <a:off x="0" y="0"/>
                      <a:ext cx="5989399" cy="1035377"/>
                    </a:xfrm>
                    <a:prstGeom prst="rect">
                      <a:avLst/>
                    </a:prstGeom>
                    <a:ln>
                      <a:noFill/>
                    </a:ln>
                    <a:extLst>
                      <a:ext uri="{53640926-AAD7-44D8-BBD7-CCE9431645EC}">
                        <a14:shadowObscured xmlns:a14="http://schemas.microsoft.com/office/drawing/2010/main"/>
                      </a:ext>
                    </a:extLst>
                  </pic:spPr>
                </pic:pic>
              </a:graphicData>
            </a:graphic>
          </wp:inline>
        </w:drawing>
      </w:r>
    </w:p>
    <w:p w:rsidR="00EC0252" w:rsidRDefault="00EC0252" w:rsidP="008373CE">
      <w:pPr>
        <w:spacing w:line="360" w:lineRule="auto"/>
        <w:ind w:right="-93"/>
        <w:jc w:val="both"/>
        <w:rPr>
          <w:rFonts w:ascii="Palatino Linotype" w:hAnsi="Palatino Linotype" w:cs="Tahoma"/>
          <w:sz w:val="22"/>
          <w:szCs w:val="22"/>
          <w:lang w:val="es-ES"/>
        </w:rPr>
      </w:pPr>
    </w:p>
    <w:p w:rsidR="00CE1BC9" w:rsidRDefault="00CE1BC9" w:rsidP="008373CE">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Cs/>
          <w:sz w:val="22"/>
          <w:szCs w:val="22"/>
          <w:lang w:eastAsia="en-US"/>
        </w:rPr>
        <w:t xml:space="preserve">Conforme a lo </w:t>
      </w:r>
      <w:r w:rsidR="005743D2" w:rsidRPr="00264223">
        <w:rPr>
          <w:rFonts w:ascii="Palatino Linotype" w:eastAsia="Calibri" w:hAnsi="Palatino Linotype" w:cs="Tahoma"/>
          <w:bCs/>
          <w:sz w:val="22"/>
          <w:szCs w:val="22"/>
          <w:lang w:eastAsia="en-US"/>
        </w:rPr>
        <w:t>observado</w:t>
      </w:r>
      <w:r w:rsidRPr="00264223">
        <w:rPr>
          <w:rFonts w:ascii="Palatino Linotype" w:eastAsia="Calibri" w:hAnsi="Palatino Linotype" w:cs="Tahoma"/>
          <w:bCs/>
          <w:sz w:val="22"/>
          <w:szCs w:val="22"/>
          <w:lang w:eastAsia="en-US"/>
        </w:rPr>
        <w:t>, se advi</w:t>
      </w:r>
      <w:r w:rsidR="00AA70FB">
        <w:rPr>
          <w:rFonts w:ascii="Palatino Linotype" w:eastAsia="Calibri" w:hAnsi="Palatino Linotype" w:cs="Tahoma"/>
          <w:bCs/>
          <w:sz w:val="22"/>
          <w:szCs w:val="22"/>
          <w:lang w:eastAsia="en-US"/>
        </w:rPr>
        <w:t xml:space="preserve">erte que, tal como lo indicó el </w:t>
      </w:r>
      <w:r w:rsidRPr="00264223">
        <w:rPr>
          <w:rFonts w:ascii="Palatino Linotype" w:eastAsia="Calibri" w:hAnsi="Palatino Linotype" w:cs="Tahoma"/>
          <w:bCs/>
          <w:sz w:val="22"/>
          <w:szCs w:val="22"/>
          <w:lang w:eastAsia="en-US"/>
        </w:rPr>
        <w:t xml:space="preserve">particular, el Ayuntamiento de </w:t>
      </w:r>
      <w:r w:rsidR="00EC0252">
        <w:rPr>
          <w:rFonts w:ascii="Palatino Linotype" w:eastAsia="Calibri" w:hAnsi="Palatino Linotype" w:cs="Tahoma"/>
          <w:bCs/>
          <w:sz w:val="22"/>
          <w:szCs w:val="22"/>
          <w:lang w:eastAsia="en-US"/>
        </w:rPr>
        <w:t xml:space="preserve">Rayón </w:t>
      </w:r>
      <w:r w:rsidR="005743D2" w:rsidRPr="00264223">
        <w:rPr>
          <w:rFonts w:ascii="Palatino Linotype" w:eastAsia="Calibri" w:hAnsi="Palatino Linotype" w:cs="Tahoma"/>
          <w:bCs/>
          <w:sz w:val="22"/>
          <w:szCs w:val="22"/>
          <w:lang w:eastAsia="en-US"/>
        </w:rPr>
        <w:t xml:space="preserve">no emitió respuesta, ni solicitó una prórroga </w:t>
      </w:r>
      <w:r w:rsidR="00F20633" w:rsidRPr="00264223">
        <w:rPr>
          <w:rFonts w:ascii="Palatino Linotype" w:eastAsia="Calibri" w:hAnsi="Palatino Linotype" w:cs="Tahoma"/>
          <w:bCs/>
          <w:sz w:val="22"/>
          <w:szCs w:val="22"/>
          <w:lang w:eastAsia="en-US"/>
        </w:rPr>
        <w:t>para</w:t>
      </w:r>
      <w:r w:rsidR="005743D2" w:rsidRPr="00264223">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264223">
        <w:rPr>
          <w:rFonts w:ascii="Palatino Linotype" w:eastAsia="Calibri" w:hAnsi="Palatino Linotype" w:cs="Tahoma"/>
          <w:bCs/>
          <w:sz w:val="22"/>
          <w:szCs w:val="22"/>
          <w:lang w:eastAsia="en-US"/>
        </w:rPr>
        <w:t xml:space="preserve"> el artículo 163 de</w:t>
      </w:r>
      <w:r w:rsidR="005743D2" w:rsidRPr="00264223">
        <w:rPr>
          <w:rFonts w:ascii="Palatino Linotype" w:eastAsia="Calibri" w:hAnsi="Palatino Linotype" w:cs="Tahoma"/>
          <w:bCs/>
          <w:sz w:val="22"/>
          <w:szCs w:val="22"/>
          <w:lang w:eastAsia="en-US"/>
        </w:rPr>
        <w:t xml:space="preserve"> la Ley de la materia, pues tenía hasta el </w:t>
      </w:r>
      <w:r w:rsidR="00EC0252">
        <w:rPr>
          <w:rFonts w:ascii="Palatino Linotype" w:eastAsia="Calibri" w:hAnsi="Palatino Linotype" w:cs="Tahoma"/>
          <w:bCs/>
          <w:sz w:val="22"/>
          <w:szCs w:val="22"/>
          <w:lang w:eastAsia="en-US"/>
        </w:rPr>
        <w:t>diecisiete</w:t>
      </w:r>
      <w:r w:rsidR="005743D2" w:rsidRPr="00264223">
        <w:rPr>
          <w:rFonts w:ascii="Palatino Linotype" w:eastAsia="Calibri" w:hAnsi="Palatino Linotype" w:cs="Tahoma"/>
          <w:bCs/>
          <w:sz w:val="22"/>
          <w:szCs w:val="22"/>
          <w:lang w:eastAsia="en-US"/>
        </w:rPr>
        <w:t xml:space="preserve"> de </w:t>
      </w:r>
      <w:r w:rsidR="00EC0252">
        <w:rPr>
          <w:rFonts w:ascii="Palatino Linotype" w:eastAsia="Calibri" w:hAnsi="Palatino Linotype" w:cs="Tahoma"/>
          <w:bCs/>
          <w:sz w:val="22"/>
          <w:szCs w:val="22"/>
          <w:lang w:eastAsia="en-US"/>
        </w:rPr>
        <w:t xml:space="preserve">septiembre </w:t>
      </w:r>
      <w:r w:rsidR="005743D2" w:rsidRPr="00264223">
        <w:rPr>
          <w:rFonts w:ascii="Palatino Linotype" w:eastAsia="Calibri" w:hAnsi="Palatino Linotype" w:cs="Tahoma"/>
          <w:bCs/>
          <w:sz w:val="22"/>
          <w:szCs w:val="22"/>
          <w:lang w:eastAsia="en-US"/>
        </w:rPr>
        <w:t>de dos mil dieciocho para notificar alguna de las dos situaciones; inclusive a la fecha de la presente resolución no ha otorgado información o</w:t>
      </w:r>
      <w:r w:rsidR="002B742C">
        <w:rPr>
          <w:rFonts w:ascii="Palatino Linotype" w:eastAsia="Calibri" w:hAnsi="Palatino Linotype" w:cs="Tahoma"/>
          <w:bCs/>
          <w:sz w:val="22"/>
          <w:szCs w:val="22"/>
          <w:lang w:eastAsia="en-US"/>
        </w:rPr>
        <w:t xml:space="preserve"> </w:t>
      </w:r>
      <w:r w:rsidR="005743D2" w:rsidRPr="00264223">
        <w:rPr>
          <w:rFonts w:ascii="Palatino Linotype" w:eastAsia="Calibri" w:hAnsi="Palatino Linotype" w:cs="Tahoma"/>
          <w:bCs/>
          <w:sz w:val="22"/>
          <w:szCs w:val="22"/>
          <w:lang w:eastAsia="en-US"/>
        </w:rPr>
        <w:lastRenderedPageBreak/>
        <w:t xml:space="preserve">documentación alguna que atienda la solicitud de información; por lo que, resulta evidente que </w:t>
      </w:r>
      <w:r w:rsidR="00AA70FB">
        <w:rPr>
          <w:rFonts w:ascii="Palatino Linotype" w:eastAsia="Calibri" w:hAnsi="Palatino Linotype" w:cs="Tahoma"/>
          <w:b/>
          <w:bCs/>
          <w:sz w:val="22"/>
          <w:szCs w:val="22"/>
          <w:lang w:eastAsia="en-US"/>
        </w:rPr>
        <w:t>el agravio hecho valer por el</w:t>
      </w:r>
      <w:r w:rsidR="00EC0252">
        <w:rPr>
          <w:rFonts w:ascii="Palatino Linotype" w:eastAsia="Calibri" w:hAnsi="Palatino Linotype" w:cs="Tahoma"/>
          <w:b/>
          <w:bCs/>
          <w:sz w:val="22"/>
          <w:szCs w:val="22"/>
          <w:lang w:eastAsia="en-US"/>
        </w:rPr>
        <w:t xml:space="preserve"> </w:t>
      </w:r>
      <w:r w:rsidR="004E345F" w:rsidRPr="00264223">
        <w:rPr>
          <w:rFonts w:ascii="Palatino Linotype" w:eastAsia="Calibri" w:hAnsi="Palatino Linotype" w:cs="Tahoma"/>
          <w:b/>
          <w:bCs/>
          <w:sz w:val="22"/>
          <w:szCs w:val="22"/>
          <w:lang w:eastAsia="en-US"/>
        </w:rPr>
        <w:t xml:space="preserve">Recurrente resulta </w:t>
      </w:r>
      <w:r w:rsidR="00430AAA" w:rsidRPr="00264223">
        <w:rPr>
          <w:rFonts w:ascii="Palatino Linotype" w:eastAsia="Calibri" w:hAnsi="Palatino Linotype" w:cs="Tahoma"/>
          <w:b/>
          <w:bCs/>
          <w:sz w:val="22"/>
          <w:szCs w:val="22"/>
          <w:lang w:eastAsia="en-US"/>
        </w:rPr>
        <w:t>FUNDADO.</w:t>
      </w:r>
    </w:p>
    <w:p w:rsidR="00430AAA" w:rsidRDefault="00430AAA" w:rsidP="008373CE">
      <w:pPr>
        <w:spacing w:line="360" w:lineRule="auto"/>
        <w:ind w:right="-93"/>
        <w:jc w:val="both"/>
        <w:rPr>
          <w:rFonts w:ascii="Palatino Linotype" w:eastAsia="Calibri" w:hAnsi="Palatino Linotype" w:cs="Tahoma"/>
          <w:b/>
          <w:bCs/>
          <w:sz w:val="22"/>
          <w:szCs w:val="22"/>
          <w:lang w:eastAsia="en-US"/>
        </w:rPr>
      </w:pPr>
    </w:p>
    <w:p w:rsidR="00430AAA" w:rsidRPr="00264223" w:rsidRDefault="00430AAA"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Sujeto Obligado recurrido, que emita respuesta al requerimiento de información; no obstante, para tal circunstancia es necesario analizar la naturaleza de la documentación solicitada.</w:t>
      </w:r>
    </w:p>
    <w:p w:rsidR="00430AAA" w:rsidRDefault="00430AAA" w:rsidP="008373CE">
      <w:pPr>
        <w:spacing w:line="360" w:lineRule="auto"/>
        <w:ind w:right="-93"/>
        <w:jc w:val="both"/>
        <w:rPr>
          <w:rFonts w:ascii="Palatino Linotype" w:eastAsia="Calibri" w:hAnsi="Palatino Linotype" w:cs="Tahoma"/>
          <w:b/>
          <w:bCs/>
          <w:sz w:val="22"/>
          <w:szCs w:val="22"/>
          <w:lang w:eastAsia="en-US"/>
        </w:rPr>
      </w:pPr>
    </w:p>
    <w:p w:rsidR="00430AAA" w:rsidRDefault="00430AAA" w:rsidP="008373CE">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QUINTO. Análisis de la naturaleza de la información.</w:t>
      </w:r>
    </w:p>
    <w:p w:rsidR="00430AAA" w:rsidRDefault="00430AAA" w:rsidP="008373CE">
      <w:pPr>
        <w:spacing w:line="360" w:lineRule="auto"/>
        <w:ind w:right="-93"/>
        <w:jc w:val="both"/>
        <w:rPr>
          <w:rFonts w:ascii="Palatino Linotype" w:eastAsia="Calibri" w:hAnsi="Palatino Linotype" w:cs="Tahoma"/>
          <w:b/>
          <w:bCs/>
          <w:sz w:val="22"/>
          <w:szCs w:val="22"/>
          <w:lang w:eastAsia="en-US"/>
        </w:rPr>
      </w:pPr>
    </w:p>
    <w:p w:rsidR="00430AAA" w:rsidRDefault="00430AAA" w:rsidP="008373C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La solicitud materia de la presente Resolución, versa sobre dos puntos, los cuales serán analizados de manera individual cada uno.</w:t>
      </w:r>
    </w:p>
    <w:p w:rsidR="00430AAA" w:rsidRPr="00264223" w:rsidRDefault="00430AAA" w:rsidP="008373CE">
      <w:pPr>
        <w:spacing w:line="360" w:lineRule="auto"/>
        <w:ind w:right="-93"/>
        <w:jc w:val="both"/>
        <w:rPr>
          <w:rFonts w:ascii="Palatino Linotype" w:eastAsia="Calibri" w:hAnsi="Palatino Linotype" w:cs="Tahoma"/>
          <w:b/>
          <w:bCs/>
          <w:sz w:val="22"/>
          <w:szCs w:val="22"/>
          <w:lang w:eastAsia="en-US"/>
        </w:rPr>
      </w:pPr>
    </w:p>
    <w:p w:rsidR="00C669E6" w:rsidRDefault="00C669E6" w:rsidP="008373CE">
      <w:pPr>
        <w:pStyle w:val="Prrafodelista"/>
        <w:numPr>
          <w:ilvl w:val="0"/>
          <w:numId w:val="25"/>
        </w:numPr>
        <w:spacing w:line="360" w:lineRule="auto"/>
        <w:ind w:right="-93"/>
        <w:jc w:val="both"/>
        <w:rPr>
          <w:rFonts w:ascii="Palatino Linotype" w:eastAsia="Calibri" w:hAnsi="Palatino Linotype" w:cs="Tahoma"/>
          <w:b/>
          <w:bCs/>
          <w:szCs w:val="22"/>
          <w:lang w:eastAsia="en-US"/>
        </w:rPr>
      </w:pPr>
      <w:r w:rsidRPr="00C669E6">
        <w:rPr>
          <w:rFonts w:ascii="Palatino Linotype" w:eastAsia="Calibri" w:hAnsi="Palatino Linotype" w:cs="Tahoma"/>
          <w:b/>
          <w:bCs/>
          <w:szCs w:val="22"/>
          <w:lang w:eastAsia="en-US"/>
        </w:rPr>
        <w:t xml:space="preserve">Recibos de nómina de todos los servidores públicos del </w:t>
      </w:r>
      <w:r w:rsidR="00FC61B2" w:rsidRPr="00C669E6">
        <w:rPr>
          <w:rFonts w:ascii="Palatino Linotype" w:eastAsia="Calibri" w:hAnsi="Palatino Linotype" w:cs="Tahoma"/>
          <w:b/>
          <w:bCs/>
          <w:szCs w:val="22"/>
          <w:lang w:eastAsia="en-US"/>
        </w:rPr>
        <w:t>Ayuntamiento</w:t>
      </w:r>
      <w:r w:rsidR="00FC61B2">
        <w:rPr>
          <w:rFonts w:ascii="Palatino Linotype" w:eastAsia="Calibri" w:hAnsi="Palatino Linotype" w:cs="Tahoma"/>
          <w:b/>
          <w:bCs/>
          <w:szCs w:val="22"/>
          <w:lang w:eastAsia="en-US"/>
        </w:rPr>
        <w:t xml:space="preserve"> de Rayón</w:t>
      </w:r>
      <w:r w:rsidRPr="00C669E6">
        <w:rPr>
          <w:rFonts w:ascii="Palatino Linotype" w:eastAsia="Calibri" w:hAnsi="Palatino Linotype" w:cs="Tahoma"/>
          <w:b/>
          <w:bCs/>
          <w:szCs w:val="22"/>
          <w:lang w:eastAsia="en-US"/>
        </w:rPr>
        <w:t>.</w:t>
      </w:r>
    </w:p>
    <w:p w:rsidR="00FC61B2" w:rsidRPr="00FC61B2" w:rsidRDefault="00FC61B2" w:rsidP="008373CE">
      <w:pPr>
        <w:spacing w:line="360" w:lineRule="auto"/>
        <w:ind w:right="-93"/>
        <w:jc w:val="both"/>
        <w:rPr>
          <w:rFonts w:ascii="Palatino Linotype" w:eastAsia="Calibri" w:hAnsi="Palatino Linotype" w:cs="Tahoma"/>
          <w:b/>
          <w:bCs/>
          <w:szCs w:val="22"/>
          <w:lang w:eastAsia="en-US"/>
        </w:rPr>
      </w:pPr>
    </w:p>
    <w:p w:rsidR="003B5E72" w:rsidRPr="003B5E72" w:rsidRDefault="00430AAA" w:rsidP="008373CE">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principio</w:t>
      </w:r>
      <w:r w:rsidR="00BD5CDF">
        <w:rPr>
          <w:rFonts w:ascii="Palatino Linotype" w:eastAsia="Calibri" w:hAnsi="Palatino Linotype" w:cs="Tahoma"/>
          <w:bCs/>
          <w:sz w:val="22"/>
          <w:szCs w:val="22"/>
          <w:lang w:eastAsia="en-US"/>
        </w:rPr>
        <w:t xml:space="preserve">, </w:t>
      </w:r>
      <w:r w:rsidR="003B5E72" w:rsidRPr="003B5E72">
        <w:rPr>
          <w:rFonts w:ascii="Palatino Linotype" w:eastAsia="Calibri" w:hAnsi="Palatino Linotype" w:cs="Tahoma"/>
          <w:bCs/>
          <w:sz w:val="22"/>
          <w:szCs w:val="22"/>
          <w:lang w:eastAsia="en-US"/>
        </w:rPr>
        <w:t xml:space="preserve">es necesario contextualizar la solicitud de información, para lo cual, </w:t>
      </w:r>
      <w:r w:rsidR="001E6903">
        <w:rPr>
          <w:rFonts w:ascii="Palatino Linotype" w:eastAsia="Calibri" w:hAnsi="Palatino Linotype" w:cs="Tahoma"/>
          <w:bCs/>
          <w:sz w:val="22"/>
          <w:szCs w:val="22"/>
          <w:lang w:eastAsia="en-US"/>
        </w:rPr>
        <w:t>es de</w:t>
      </w:r>
      <w:r w:rsidR="003B5E72" w:rsidRPr="003B5E7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traer a colación</w:t>
      </w:r>
      <w:r w:rsidR="003B5E72" w:rsidRPr="003B5E72">
        <w:rPr>
          <w:rFonts w:ascii="Palatino Linotype" w:eastAsia="Calibri" w:hAnsi="Palatino Linotype" w:cs="Tahoma"/>
          <w:bCs/>
          <w:sz w:val="22"/>
          <w:szCs w:val="22"/>
          <w:lang w:eastAsia="en-US"/>
        </w:rPr>
        <w:t xml:space="preserve"> el Glosario localizado en la página de Transparencia Presupuestaria de la Secretaría de Hacienda y Crédito Público (</w:t>
      </w:r>
      <w:hyperlink r:id="rId9" w:history="1">
        <w:r w:rsidR="003B5E72" w:rsidRPr="003B5E72">
          <w:rPr>
            <w:rStyle w:val="Hipervnculo"/>
            <w:rFonts w:ascii="Palatino Linotype" w:eastAsia="Calibri" w:hAnsi="Palatino Linotype" w:cs="Tahoma"/>
            <w:bCs/>
            <w:sz w:val="22"/>
            <w:szCs w:val="22"/>
            <w:lang w:eastAsia="en-US"/>
          </w:rPr>
          <w:t>http://www.transparenciapresupuestaria.gob.mx/es/PTP/Glosario</w:t>
        </w:r>
      </w:hyperlink>
      <w:r w:rsidR="003B5E72" w:rsidRPr="003B5E72">
        <w:rPr>
          <w:rFonts w:ascii="Palatino Linotype" w:eastAsia="Calibri" w:hAnsi="Palatino Linotype" w:cs="Tahoma"/>
          <w:bCs/>
          <w:sz w:val="22"/>
          <w:szCs w:val="22"/>
          <w:lang w:eastAsia="en-US"/>
        </w:rPr>
        <w:t xml:space="preserve">, consultada el </w:t>
      </w:r>
      <w:r w:rsidR="003B5E72">
        <w:rPr>
          <w:rFonts w:ascii="Palatino Linotype" w:eastAsia="Calibri" w:hAnsi="Palatino Linotype" w:cs="Tahoma"/>
          <w:bCs/>
          <w:sz w:val="22"/>
          <w:szCs w:val="22"/>
          <w:lang w:eastAsia="en-US"/>
        </w:rPr>
        <w:t xml:space="preserve">cinco </w:t>
      </w:r>
      <w:r w:rsidR="003B5E72" w:rsidRPr="003B5E72">
        <w:rPr>
          <w:rFonts w:ascii="Palatino Linotype" w:eastAsia="Calibri" w:hAnsi="Palatino Linotype" w:cs="Tahoma"/>
          <w:bCs/>
          <w:sz w:val="22"/>
          <w:szCs w:val="22"/>
          <w:lang w:eastAsia="en-US"/>
        </w:rPr>
        <w:t xml:space="preserve">de </w:t>
      </w:r>
      <w:r w:rsidR="003B5E72">
        <w:rPr>
          <w:rFonts w:ascii="Palatino Linotype" w:eastAsia="Calibri" w:hAnsi="Palatino Linotype" w:cs="Tahoma"/>
          <w:bCs/>
          <w:sz w:val="22"/>
          <w:szCs w:val="22"/>
          <w:lang w:eastAsia="en-US"/>
        </w:rPr>
        <w:t xml:space="preserve">noviembre </w:t>
      </w:r>
      <w:r w:rsidR="003B5E72" w:rsidRPr="003B5E72">
        <w:rPr>
          <w:rFonts w:ascii="Palatino Linotype" w:eastAsia="Calibri" w:hAnsi="Palatino Linotype" w:cs="Tahoma"/>
          <w:bCs/>
          <w:sz w:val="22"/>
          <w:szCs w:val="22"/>
          <w:lang w:eastAsia="en-US"/>
        </w:rPr>
        <w:t xml:space="preserve">de dos mil dieciocho, a las </w:t>
      </w:r>
      <w:r w:rsidR="003B5E72">
        <w:rPr>
          <w:rFonts w:ascii="Palatino Linotype" w:eastAsia="Calibri" w:hAnsi="Palatino Linotype" w:cs="Tahoma"/>
          <w:bCs/>
          <w:sz w:val="22"/>
          <w:szCs w:val="22"/>
          <w:lang w:eastAsia="en-US"/>
        </w:rPr>
        <w:t>catorce</w:t>
      </w:r>
      <w:r w:rsidR="003B5E72" w:rsidRPr="003B5E72">
        <w:rPr>
          <w:rFonts w:ascii="Palatino Linotype" w:eastAsia="Calibri" w:hAnsi="Palatino Linotype" w:cs="Tahoma"/>
          <w:bCs/>
          <w:sz w:val="22"/>
          <w:szCs w:val="22"/>
          <w:lang w:eastAsia="en-US"/>
        </w:rPr>
        <w:t xml:space="preserve"> horas), </w:t>
      </w:r>
      <w:r>
        <w:rPr>
          <w:rFonts w:ascii="Palatino Linotype" w:eastAsia="Calibri" w:hAnsi="Palatino Linotype" w:cs="Tahoma"/>
          <w:bCs/>
          <w:sz w:val="22"/>
          <w:szCs w:val="22"/>
          <w:lang w:eastAsia="en-US"/>
        </w:rPr>
        <w:t xml:space="preserve">que </w:t>
      </w:r>
      <w:r w:rsidR="003B5E72" w:rsidRPr="003B5E72">
        <w:rPr>
          <w:rFonts w:ascii="Palatino Linotype" w:eastAsia="Calibri" w:hAnsi="Palatino Linotype" w:cs="Tahoma"/>
          <w:bCs/>
          <w:sz w:val="22"/>
          <w:szCs w:val="22"/>
          <w:lang w:eastAsia="en-US"/>
        </w:rPr>
        <w:t xml:space="preserve">establece que la </w:t>
      </w:r>
      <w:r w:rsidR="003B5E72" w:rsidRPr="003B5E72">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3B5E72" w:rsidRPr="003B5E72" w:rsidRDefault="003B5E72" w:rsidP="008373CE">
      <w:pPr>
        <w:spacing w:line="360" w:lineRule="auto"/>
        <w:ind w:right="-93"/>
        <w:jc w:val="both"/>
        <w:rPr>
          <w:rFonts w:ascii="Palatino Linotype" w:eastAsia="Calibri" w:hAnsi="Palatino Linotype" w:cs="Tahoma"/>
          <w:b/>
          <w:bCs/>
          <w:sz w:val="22"/>
          <w:szCs w:val="22"/>
          <w:lang w:eastAsia="en-US"/>
        </w:rPr>
      </w:pPr>
    </w:p>
    <w:p w:rsidR="003B5E72" w:rsidRPr="003B5E72" w:rsidRDefault="003B5E72" w:rsidP="008373CE">
      <w:pPr>
        <w:spacing w:line="360" w:lineRule="auto"/>
        <w:ind w:right="-93"/>
        <w:jc w:val="both"/>
        <w:rPr>
          <w:rFonts w:ascii="Palatino Linotype" w:eastAsia="Calibri" w:hAnsi="Palatino Linotype" w:cs="Tahoma"/>
          <w:bCs/>
          <w:sz w:val="22"/>
          <w:szCs w:val="22"/>
          <w:lang w:eastAsia="en-US"/>
        </w:rPr>
      </w:pPr>
      <w:r w:rsidRPr="003B5E72">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0" w:history="1">
        <w:r w:rsidRPr="003B5E72">
          <w:rPr>
            <w:rStyle w:val="Hipervnculo"/>
            <w:rFonts w:ascii="Palatino Linotype" w:eastAsia="Calibri" w:hAnsi="Palatino Linotype" w:cs="Tahoma"/>
            <w:bCs/>
            <w:sz w:val="22"/>
            <w:szCs w:val="22"/>
            <w:lang w:eastAsia="en-US"/>
          </w:rPr>
          <w:t>http://www.apartados.hacienda.gob.mx/contabilidad/documentos/informe_cuenta/1998/cue</w:t>
        </w:r>
        <w:r w:rsidRPr="003B5E72">
          <w:rPr>
            <w:rStyle w:val="Hipervnculo"/>
            <w:rFonts w:ascii="Palatino Linotype" w:eastAsia="Calibri" w:hAnsi="Palatino Linotype" w:cs="Tahoma"/>
            <w:bCs/>
            <w:sz w:val="22"/>
            <w:szCs w:val="22"/>
            <w:lang w:eastAsia="en-US"/>
          </w:rPr>
          <w:lastRenderedPageBreak/>
          <w:t>nta_publica/Glosario/n.htm</w:t>
        </w:r>
      </w:hyperlink>
      <w:r w:rsidRPr="003B5E72">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 xml:space="preserve">cinco de noviembre </w:t>
      </w:r>
      <w:r w:rsidRPr="003B5E72">
        <w:rPr>
          <w:rFonts w:ascii="Palatino Linotype" w:eastAsia="Calibri" w:hAnsi="Palatino Linotype" w:cs="Tahoma"/>
          <w:bCs/>
          <w:sz w:val="22"/>
          <w:szCs w:val="22"/>
          <w:lang w:eastAsia="en-US"/>
        </w:rPr>
        <w:t xml:space="preserve">de dos mil dieciocho, a las </w:t>
      </w:r>
      <w:r>
        <w:rPr>
          <w:rFonts w:ascii="Palatino Linotype" w:eastAsia="Calibri" w:hAnsi="Palatino Linotype" w:cs="Tahoma"/>
          <w:bCs/>
          <w:sz w:val="22"/>
          <w:szCs w:val="22"/>
          <w:lang w:eastAsia="en-US"/>
        </w:rPr>
        <w:t xml:space="preserve">catorce </w:t>
      </w:r>
      <w:r w:rsidRPr="003B5E72">
        <w:rPr>
          <w:rFonts w:ascii="Palatino Linotype" w:eastAsia="Calibri" w:hAnsi="Palatino Linotype" w:cs="Tahoma"/>
          <w:bCs/>
          <w:sz w:val="22"/>
          <w:szCs w:val="22"/>
          <w:lang w:eastAsia="en-US"/>
        </w:rPr>
        <w:t>horas con treinta minutos), establece que la Nómina es un listado general de los trabajadores de una institución, en el cual se asientan las percepciones brutas, deducciones y alcance neto de las mismas.</w:t>
      </w:r>
    </w:p>
    <w:p w:rsidR="003B5E72" w:rsidRPr="003B5E72" w:rsidRDefault="003B5E72" w:rsidP="008373CE">
      <w:pPr>
        <w:spacing w:line="360" w:lineRule="auto"/>
        <w:ind w:right="-93"/>
        <w:jc w:val="both"/>
        <w:rPr>
          <w:rFonts w:ascii="Palatino Linotype" w:eastAsia="Calibri" w:hAnsi="Palatino Linotype" w:cs="Tahoma"/>
          <w:bCs/>
          <w:sz w:val="22"/>
          <w:szCs w:val="22"/>
          <w:lang w:eastAsia="en-US"/>
        </w:rPr>
      </w:pPr>
    </w:p>
    <w:p w:rsidR="003B5E72" w:rsidRPr="003B5E72" w:rsidRDefault="003B5E72" w:rsidP="008373CE">
      <w:pPr>
        <w:spacing w:line="360" w:lineRule="auto"/>
        <w:ind w:right="-93"/>
        <w:jc w:val="both"/>
        <w:rPr>
          <w:rFonts w:ascii="Palatino Linotype" w:eastAsia="Calibri" w:hAnsi="Palatino Linotype" w:cs="Tahoma"/>
          <w:bCs/>
          <w:sz w:val="22"/>
          <w:szCs w:val="22"/>
          <w:lang w:eastAsia="en-US"/>
        </w:rPr>
      </w:pPr>
      <w:r w:rsidRPr="003B5E72">
        <w:rPr>
          <w:rFonts w:ascii="Palatino Linotype" w:eastAsia="Calibri" w:hAnsi="Palatino Linotype" w:cs="Tahoma"/>
          <w:bCs/>
          <w:sz w:val="22"/>
          <w:szCs w:val="22"/>
          <w:lang w:eastAsia="en-US"/>
        </w:rPr>
        <w:t>Conforme a lo anterior, se puede advertir que la nómina se puede referir a lo siguiente:</w:t>
      </w:r>
    </w:p>
    <w:p w:rsidR="003B5E72" w:rsidRPr="003B5E72" w:rsidRDefault="003B5E72" w:rsidP="008373CE">
      <w:pPr>
        <w:spacing w:line="360" w:lineRule="auto"/>
        <w:ind w:right="-93"/>
        <w:jc w:val="both"/>
        <w:rPr>
          <w:rFonts w:ascii="Palatino Linotype" w:eastAsia="Calibri" w:hAnsi="Palatino Linotype" w:cs="Tahoma"/>
          <w:bCs/>
          <w:sz w:val="22"/>
          <w:szCs w:val="22"/>
          <w:lang w:eastAsia="en-US"/>
        </w:rPr>
      </w:pPr>
    </w:p>
    <w:p w:rsidR="003B5E72" w:rsidRDefault="003B5E72" w:rsidP="008373CE">
      <w:pPr>
        <w:numPr>
          <w:ilvl w:val="0"/>
          <w:numId w:val="19"/>
        </w:numPr>
        <w:spacing w:line="360" w:lineRule="auto"/>
        <w:ind w:right="-93"/>
        <w:jc w:val="both"/>
        <w:rPr>
          <w:rFonts w:ascii="Palatino Linotype" w:eastAsia="Calibri" w:hAnsi="Palatino Linotype" w:cs="Tahoma"/>
          <w:bCs/>
          <w:sz w:val="22"/>
          <w:szCs w:val="22"/>
          <w:lang w:eastAsia="en-US"/>
        </w:rPr>
      </w:pPr>
      <w:r w:rsidRPr="00430AAA">
        <w:rPr>
          <w:rFonts w:ascii="Palatino Linotype" w:eastAsia="Calibri" w:hAnsi="Palatino Linotype" w:cs="Tahoma"/>
          <w:bCs/>
          <w:sz w:val="22"/>
          <w:szCs w:val="22"/>
          <w:lang w:eastAsia="en-US"/>
        </w:rPr>
        <w:t>Relación de trabajadores con las percepciones monetarias de cada uno.</w:t>
      </w:r>
    </w:p>
    <w:p w:rsidR="00430AAA" w:rsidRPr="00430AAA" w:rsidRDefault="00430AAA" w:rsidP="008373CE">
      <w:pPr>
        <w:spacing w:line="360" w:lineRule="auto"/>
        <w:ind w:left="720" w:right="-93"/>
        <w:jc w:val="both"/>
        <w:rPr>
          <w:rFonts w:ascii="Palatino Linotype" w:eastAsia="Calibri" w:hAnsi="Palatino Linotype" w:cs="Tahoma"/>
          <w:bCs/>
          <w:sz w:val="22"/>
          <w:szCs w:val="22"/>
          <w:lang w:eastAsia="en-US"/>
        </w:rPr>
      </w:pPr>
    </w:p>
    <w:p w:rsidR="003B5E72" w:rsidRPr="00430AAA" w:rsidRDefault="003B5E72" w:rsidP="008373CE">
      <w:pPr>
        <w:numPr>
          <w:ilvl w:val="0"/>
          <w:numId w:val="19"/>
        </w:numPr>
        <w:spacing w:line="360" w:lineRule="auto"/>
        <w:ind w:right="-93"/>
        <w:jc w:val="both"/>
        <w:rPr>
          <w:rFonts w:ascii="Palatino Linotype" w:eastAsia="Calibri" w:hAnsi="Palatino Linotype" w:cs="Tahoma"/>
          <w:b/>
          <w:bCs/>
          <w:sz w:val="22"/>
          <w:szCs w:val="22"/>
          <w:lang w:eastAsia="en-US"/>
        </w:rPr>
      </w:pPr>
      <w:r w:rsidRPr="00430AAA">
        <w:rPr>
          <w:rFonts w:ascii="Palatino Linotype" w:eastAsia="Calibri" w:hAnsi="Palatino Linotype" w:cs="Tahoma"/>
          <w:b/>
          <w:bCs/>
          <w:sz w:val="22"/>
          <w:szCs w:val="22"/>
          <w:lang w:eastAsia="en-US"/>
        </w:rPr>
        <w:t>Recibo individual que contiene las prestaciones y deducciones de un trabajador.</w:t>
      </w:r>
    </w:p>
    <w:p w:rsidR="00430AAA" w:rsidRDefault="00430AAA" w:rsidP="008373CE">
      <w:pPr>
        <w:pStyle w:val="Prrafodelista"/>
        <w:spacing w:line="360" w:lineRule="auto"/>
        <w:rPr>
          <w:rFonts w:ascii="Palatino Linotype" w:eastAsia="Calibri" w:hAnsi="Palatino Linotype" w:cs="Tahoma"/>
          <w:b/>
          <w:bCs/>
          <w:szCs w:val="22"/>
          <w:lang w:eastAsia="en-US"/>
        </w:rPr>
      </w:pPr>
    </w:p>
    <w:p w:rsidR="003B5E72" w:rsidRPr="003B5E72" w:rsidRDefault="003B5E72" w:rsidP="008373CE">
      <w:pPr>
        <w:numPr>
          <w:ilvl w:val="0"/>
          <w:numId w:val="19"/>
        </w:numPr>
        <w:spacing w:line="360" w:lineRule="auto"/>
        <w:ind w:right="-93"/>
        <w:jc w:val="both"/>
        <w:rPr>
          <w:rFonts w:ascii="Palatino Linotype" w:eastAsia="Calibri" w:hAnsi="Palatino Linotype" w:cs="Tahoma"/>
          <w:b/>
          <w:bCs/>
          <w:sz w:val="22"/>
          <w:szCs w:val="22"/>
          <w:lang w:eastAsia="en-US"/>
        </w:rPr>
      </w:pPr>
      <w:r w:rsidRPr="003B5E72">
        <w:rPr>
          <w:rFonts w:ascii="Palatino Linotype" w:eastAsia="Calibri" w:hAnsi="Palatino Linotype" w:cs="Tahoma"/>
          <w:bCs/>
          <w:sz w:val="22"/>
          <w:szCs w:val="22"/>
          <w:lang w:eastAsia="en-US"/>
        </w:rPr>
        <w:t>Listado general de los servidores públicos de una institución o dependencia, en el cual se asientan las percepciones brutas, deducciones y alcance neto de las mismas.</w:t>
      </w:r>
    </w:p>
    <w:p w:rsidR="003B5E72" w:rsidRDefault="003B5E72" w:rsidP="008373CE">
      <w:pPr>
        <w:spacing w:line="360" w:lineRule="auto"/>
        <w:ind w:right="-93"/>
        <w:jc w:val="both"/>
        <w:rPr>
          <w:rFonts w:ascii="Palatino Linotype" w:eastAsia="Calibri" w:hAnsi="Palatino Linotype" w:cs="Tahoma"/>
          <w:bCs/>
          <w:sz w:val="22"/>
          <w:szCs w:val="22"/>
          <w:lang w:eastAsia="en-US"/>
        </w:rPr>
      </w:pPr>
    </w:p>
    <w:p w:rsidR="00430AAA" w:rsidRPr="00430AAA" w:rsidRDefault="00430AAA" w:rsidP="008373CE">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Conforme a lo que se puede observar, en el presente caso, el ahora Recurrente quiere obtener el recibo individual que contiene tanto las </w:t>
      </w:r>
      <w:r>
        <w:rPr>
          <w:rFonts w:ascii="Palatino Linotype" w:eastAsia="Calibri" w:hAnsi="Palatino Linotype" w:cs="Tahoma"/>
          <w:b/>
          <w:bCs/>
          <w:sz w:val="22"/>
          <w:szCs w:val="22"/>
          <w:lang w:eastAsia="en-US"/>
        </w:rPr>
        <w:t>prestaciones, como las deducciones de todos los servidores públicos que se encuentran en el Ayuntamiento de Rayón.</w:t>
      </w:r>
    </w:p>
    <w:p w:rsidR="00430AAA" w:rsidRDefault="00430AAA" w:rsidP="008373CE">
      <w:pPr>
        <w:spacing w:line="360" w:lineRule="auto"/>
        <w:ind w:right="-93"/>
        <w:jc w:val="both"/>
        <w:rPr>
          <w:rFonts w:ascii="Palatino Linotype" w:eastAsia="Calibri" w:hAnsi="Palatino Linotype" w:cs="Tahoma"/>
          <w:bCs/>
          <w:sz w:val="22"/>
          <w:szCs w:val="22"/>
          <w:lang w:eastAsia="en-US"/>
        </w:rPr>
      </w:pPr>
    </w:p>
    <w:p w:rsidR="003B5E72" w:rsidRPr="00430AAA" w:rsidRDefault="003B5E72" w:rsidP="008373CE">
      <w:pPr>
        <w:spacing w:line="360" w:lineRule="auto"/>
        <w:ind w:right="-93"/>
        <w:jc w:val="both"/>
        <w:rPr>
          <w:rFonts w:ascii="Palatino Linotype" w:eastAsia="Calibri" w:hAnsi="Palatino Linotype" w:cs="Tahoma"/>
          <w:b/>
          <w:bCs/>
          <w:sz w:val="22"/>
          <w:szCs w:val="22"/>
          <w:lang w:eastAsia="en-US"/>
        </w:rPr>
      </w:pPr>
      <w:r w:rsidRPr="003B5E72">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w:t>
      </w:r>
      <w:r w:rsidRPr="00430AAA">
        <w:rPr>
          <w:rFonts w:ascii="Palatino Linotype" w:eastAsia="Calibri" w:hAnsi="Palatino Linotype" w:cs="Tahoma"/>
          <w:b/>
          <w:bCs/>
          <w:sz w:val="22"/>
          <w:szCs w:val="22"/>
          <w:lang w:eastAsia="en-US"/>
        </w:rPr>
        <w:t xml:space="preserve">recibirán una remuneración adecuada e irrenunciable por el desempeño de su empleo, cargo o comisión, que será determinada en el presupuesto de egresos que corresponda. </w:t>
      </w:r>
    </w:p>
    <w:p w:rsidR="000E2172" w:rsidRDefault="000E2172" w:rsidP="008373CE">
      <w:pPr>
        <w:spacing w:line="360" w:lineRule="auto"/>
        <w:ind w:right="-93"/>
        <w:jc w:val="both"/>
        <w:rPr>
          <w:rFonts w:ascii="Palatino Linotype" w:eastAsia="Calibri" w:hAnsi="Palatino Linotype" w:cs="Tahoma"/>
          <w:bCs/>
          <w:sz w:val="22"/>
          <w:szCs w:val="22"/>
          <w:lang w:eastAsia="en-US"/>
        </w:rPr>
      </w:pPr>
    </w:p>
    <w:p w:rsidR="000E2172" w:rsidRDefault="000E2172" w:rsidP="008373CE">
      <w:pPr>
        <w:spacing w:line="360" w:lineRule="auto"/>
        <w:ind w:right="-93"/>
        <w:jc w:val="both"/>
        <w:rPr>
          <w:rFonts w:ascii="Palatino Linotype" w:eastAsia="Calibri" w:hAnsi="Palatino Linotype" w:cs="Tahoma"/>
          <w:bCs/>
          <w:sz w:val="22"/>
          <w:szCs w:val="22"/>
          <w:lang w:eastAsia="en-US"/>
        </w:rPr>
      </w:pPr>
      <w:r w:rsidRPr="00C21437">
        <w:rPr>
          <w:rFonts w:ascii="Palatino Linotype" w:eastAsia="Calibri" w:hAnsi="Palatino Linotype" w:cs="Tahoma"/>
          <w:bCs/>
          <w:sz w:val="22"/>
          <w:szCs w:val="22"/>
          <w:lang w:eastAsia="en-US"/>
        </w:rPr>
        <w:t xml:space="preserve">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w:t>
      </w:r>
      <w:r w:rsidRPr="00C21437">
        <w:rPr>
          <w:rFonts w:ascii="Palatino Linotype" w:eastAsia="Calibri" w:hAnsi="Palatino Linotype" w:cs="Tahoma"/>
          <w:bCs/>
          <w:sz w:val="22"/>
          <w:szCs w:val="22"/>
          <w:lang w:eastAsia="en-US"/>
        </w:rPr>
        <w:lastRenderedPageBreak/>
        <w:t>recursos</w:t>
      </w:r>
      <w:r w:rsidR="00C73E24">
        <w:rPr>
          <w:rFonts w:ascii="Palatino Linotype" w:eastAsia="Calibri" w:hAnsi="Palatino Linotype" w:cs="Tahoma"/>
          <w:bCs/>
          <w:sz w:val="22"/>
          <w:szCs w:val="22"/>
          <w:lang w:eastAsia="en-US"/>
        </w:rPr>
        <w:t xml:space="preserve"> públicos</w:t>
      </w:r>
      <w:r w:rsidRPr="00C21437">
        <w:rPr>
          <w:rFonts w:ascii="Palatino Linotype" w:eastAsia="Calibri" w:hAnsi="Palatino Linotype" w:cs="Tahoma"/>
          <w:bCs/>
          <w:sz w:val="22"/>
          <w:szCs w:val="22"/>
          <w:lang w:eastAsia="en-US"/>
        </w:rPr>
        <w:t xml:space="preserve">, atento a ello es que surge la obligación de generar la información relacionada con </w:t>
      </w:r>
      <w:r w:rsidR="00C73E24">
        <w:rPr>
          <w:rFonts w:ascii="Palatino Linotype" w:eastAsia="Calibri" w:hAnsi="Palatino Linotype" w:cs="Tahoma"/>
          <w:bCs/>
          <w:sz w:val="22"/>
          <w:szCs w:val="22"/>
          <w:lang w:eastAsia="en-US"/>
        </w:rPr>
        <w:t>los recibos de nómina</w:t>
      </w:r>
      <w:r w:rsidRPr="00C21437">
        <w:rPr>
          <w:rFonts w:ascii="Palatino Linotype" w:eastAsia="Calibri" w:hAnsi="Palatino Linotype" w:cs="Tahoma"/>
          <w:bCs/>
          <w:sz w:val="22"/>
          <w:szCs w:val="22"/>
          <w:lang w:eastAsia="en-US"/>
        </w:rPr>
        <w:t>.</w:t>
      </w:r>
    </w:p>
    <w:p w:rsidR="003B5E72" w:rsidRPr="003B5E72" w:rsidRDefault="003B5E72" w:rsidP="008373CE">
      <w:pPr>
        <w:spacing w:line="360" w:lineRule="auto"/>
        <w:ind w:right="-93"/>
        <w:jc w:val="both"/>
        <w:rPr>
          <w:rFonts w:ascii="Palatino Linotype" w:eastAsia="Calibri" w:hAnsi="Palatino Linotype" w:cs="Tahoma"/>
          <w:bCs/>
          <w:sz w:val="22"/>
          <w:szCs w:val="22"/>
          <w:lang w:eastAsia="en-US"/>
        </w:rPr>
      </w:pPr>
    </w:p>
    <w:p w:rsidR="003B5E72" w:rsidRDefault="003B5E72" w:rsidP="008373CE">
      <w:pPr>
        <w:spacing w:line="360" w:lineRule="auto"/>
        <w:ind w:right="-93"/>
        <w:jc w:val="both"/>
        <w:rPr>
          <w:rFonts w:ascii="Palatino Linotype" w:eastAsia="Calibri" w:hAnsi="Palatino Linotype" w:cs="Tahoma"/>
          <w:bCs/>
          <w:sz w:val="22"/>
          <w:szCs w:val="22"/>
          <w:lang w:eastAsia="en-US"/>
        </w:rPr>
      </w:pPr>
      <w:r w:rsidRPr="003B5E72">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0E2172" w:rsidRPr="00C21437" w:rsidRDefault="000E2172" w:rsidP="008373CE">
      <w:pPr>
        <w:spacing w:line="360" w:lineRule="auto"/>
        <w:ind w:right="-93"/>
        <w:jc w:val="both"/>
        <w:rPr>
          <w:rFonts w:ascii="Palatino Linotype" w:eastAsia="Calibri" w:hAnsi="Palatino Linotype" w:cs="Tahoma"/>
          <w:bCs/>
          <w:sz w:val="22"/>
          <w:szCs w:val="22"/>
          <w:lang w:eastAsia="en-US"/>
        </w:rPr>
      </w:pPr>
    </w:p>
    <w:p w:rsidR="00800A2C" w:rsidRDefault="003B5E72" w:rsidP="008373CE">
      <w:pPr>
        <w:spacing w:line="360" w:lineRule="auto"/>
        <w:ind w:right="-93"/>
        <w:jc w:val="both"/>
        <w:rPr>
          <w:rFonts w:ascii="Palatino Linotype" w:eastAsia="Calibri" w:hAnsi="Palatino Linotype" w:cs="Tahoma"/>
          <w:bCs/>
          <w:sz w:val="22"/>
          <w:szCs w:val="22"/>
          <w:lang w:eastAsia="en-US"/>
        </w:rPr>
      </w:pPr>
      <w:r w:rsidRPr="003B5E72">
        <w:rPr>
          <w:rFonts w:ascii="Palatino Linotype" w:eastAsia="Calibri" w:hAnsi="Palatino Linotype" w:cs="Tahoma"/>
          <w:bCs/>
          <w:sz w:val="22"/>
          <w:szCs w:val="22"/>
          <w:lang w:eastAsia="en-US"/>
        </w:rPr>
        <w:t xml:space="preserve">Como se observa, el Sujeto Obligado </w:t>
      </w:r>
      <w:r w:rsidRPr="003B5E72">
        <w:rPr>
          <w:rFonts w:ascii="Palatino Linotype" w:eastAsia="Calibri" w:hAnsi="Palatino Linotype" w:cs="Tahoma"/>
          <w:b/>
          <w:bCs/>
          <w:sz w:val="22"/>
          <w:szCs w:val="22"/>
          <w:lang w:eastAsia="en-US"/>
        </w:rPr>
        <w:t>tiene competencia para conocer de la información solicitada</w:t>
      </w:r>
      <w:r w:rsidRPr="003B5E72">
        <w:rPr>
          <w:rFonts w:ascii="Palatino Linotype" w:eastAsia="Calibri" w:hAnsi="Palatino Linotype" w:cs="Tahoma"/>
          <w:bCs/>
          <w:sz w:val="22"/>
          <w:szCs w:val="22"/>
          <w:lang w:eastAsia="en-US"/>
        </w:rPr>
        <w:t xml:space="preserve"> relacionada con la remuneración de su personal, pues como se precisó, recibirán una retribución los servidores públicos por el desemp</w:t>
      </w:r>
      <w:r w:rsidR="00800A2C">
        <w:rPr>
          <w:rFonts w:ascii="Palatino Linotype" w:eastAsia="Calibri" w:hAnsi="Palatino Linotype" w:cs="Tahoma"/>
          <w:bCs/>
          <w:sz w:val="22"/>
          <w:szCs w:val="22"/>
          <w:lang w:eastAsia="en-US"/>
        </w:rPr>
        <w:t>eño de su empleo</w:t>
      </w:r>
      <w:r w:rsidRPr="003B5E72">
        <w:rPr>
          <w:rFonts w:ascii="Palatino Linotype" w:eastAsia="Calibri" w:hAnsi="Palatino Linotype" w:cs="Tahoma"/>
          <w:bCs/>
          <w:sz w:val="22"/>
          <w:szCs w:val="22"/>
          <w:lang w:eastAsia="en-US"/>
        </w:rPr>
        <w:t>.</w:t>
      </w:r>
    </w:p>
    <w:p w:rsidR="00800A2C" w:rsidRDefault="00800A2C" w:rsidP="008373CE">
      <w:pPr>
        <w:spacing w:line="360" w:lineRule="auto"/>
        <w:ind w:right="-93"/>
        <w:jc w:val="both"/>
        <w:rPr>
          <w:rFonts w:ascii="Palatino Linotype" w:eastAsia="Calibri" w:hAnsi="Palatino Linotype" w:cs="Tahoma"/>
          <w:bCs/>
          <w:sz w:val="22"/>
          <w:szCs w:val="22"/>
          <w:lang w:eastAsia="en-US"/>
        </w:rPr>
      </w:pPr>
    </w:p>
    <w:p w:rsidR="00C73E24" w:rsidRDefault="00C73E24" w:rsidP="008373CE">
      <w:pPr>
        <w:spacing w:line="360" w:lineRule="auto"/>
        <w:ind w:right="-93"/>
        <w:jc w:val="both"/>
        <w:rPr>
          <w:rFonts w:ascii="Palatino Linotype" w:eastAsia="Calibri" w:hAnsi="Palatino Linotype" w:cs="Tahoma"/>
          <w:bCs/>
          <w:sz w:val="22"/>
          <w:szCs w:val="22"/>
          <w:lang w:eastAsia="en-US"/>
        </w:rPr>
      </w:pPr>
      <w:r w:rsidRPr="00C73E24">
        <w:rPr>
          <w:rFonts w:ascii="Palatino Linotype" w:eastAsia="Calibri" w:hAnsi="Palatino Linotype" w:cs="Tahoma"/>
          <w:bCs/>
          <w:sz w:val="22"/>
          <w:szCs w:val="22"/>
          <w:lang w:eastAsia="en-US"/>
        </w:rPr>
        <w:t xml:space="preserve">En ese sentido, es necesario hacer referencia al </w:t>
      </w:r>
      <w:r w:rsidRPr="00C73E24">
        <w:rPr>
          <w:rFonts w:ascii="Palatino Linotype" w:eastAsia="Calibri" w:hAnsi="Palatino Linotype" w:cs="Tahoma"/>
          <w:b/>
          <w:bCs/>
          <w:sz w:val="22"/>
          <w:szCs w:val="22"/>
          <w:lang w:eastAsia="en-US"/>
        </w:rPr>
        <w:t>procedimiento de búsqueda que deben de seguir los Sujetos Obligados para localizar la información</w:t>
      </w:r>
      <w:r w:rsidRPr="00C73E24">
        <w:rPr>
          <w:rFonts w:ascii="Palatino Linotype" w:eastAsia="Calibri" w:hAnsi="Palatino Linotype" w:cs="Tahoma"/>
          <w:bCs/>
          <w:sz w:val="22"/>
          <w:szCs w:val="22"/>
          <w:lang w:eastAsia="en-US"/>
        </w:rPr>
        <w:t>, el cual se encuentra previsto en los artículos 151, 162 y 163 de la Ley de Transparencia y Acceso a la Información Pública del Estado de México y Municipios; que tal como se refirió en párrafos anteriores, las Unidades de Transparencia deben de turnar las solicitudes de información a todas las áreas competentes, a efecto de que realicen una búsqueda exhaustiva y razonable de la información requerida, con el fin de que otorguen acceso a los documentos que se encuentren en sus archivos o que estén obligados a documentar, de acuerdo a sus facultades, competencias o funciones.</w:t>
      </w:r>
    </w:p>
    <w:p w:rsidR="00C73E24" w:rsidRPr="00C73E24" w:rsidRDefault="00C73E24" w:rsidP="008373CE">
      <w:pPr>
        <w:spacing w:line="360" w:lineRule="auto"/>
        <w:ind w:right="-93"/>
        <w:jc w:val="both"/>
        <w:rPr>
          <w:rFonts w:ascii="Palatino Linotype" w:eastAsia="Calibri" w:hAnsi="Palatino Linotype" w:cs="Tahoma"/>
          <w:bCs/>
          <w:sz w:val="22"/>
          <w:szCs w:val="22"/>
          <w:lang w:eastAsia="en-US"/>
        </w:rPr>
      </w:pPr>
    </w:p>
    <w:p w:rsidR="009D76CF" w:rsidRDefault="009D76CF" w:rsidP="008373C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de conformidad con el artículo 1356, fracción IV, del Código Reglamentario de Rayón, Estado de México, </w:t>
      </w:r>
      <w:r w:rsidR="001E6903">
        <w:rPr>
          <w:rFonts w:ascii="Palatino Linotype" w:eastAsia="Calibri" w:hAnsi="Palatino Linotype" w:cs="Tahoma"/>
          <w:bCs/>
          <w:sz w:val="22"/>
          <w:szCs w:val="22"/>
          <w:lang w:eastAsia="en-US"/>
        </w:rPr>
        <w:t xml:space="preserve">publicado en la “Gaceta del Gobierno” el quince de julio de dos mil catorce y reformado por última vez el dieciocho de mayo de dos mil diecisiete; </w:t>
      </w:r>
      <w:r>
        <w:rPr>
          <w:rFonts w:ascii="Palatino Linotype" w:eastAsia="Calibri" w:hAnsi="Palatino Linotype" w:cs="Tahoma"/>
          <w:bCs/>
          <w:sz w:val="22"/>
          <w:szCs w:val="22"/>
          <w:lang w:eastAsia="en-US"/>
        </w:rPr>
        <w:t xml:space="preserve">se advierte que el Sujeto Obligado cuenta con diversas unidades administrativas para conocer de la información requerida, entre la que se encuentra, la </w:t>
      </w:r>
      <w:r w:rsidRPr="00DC77C8">
        <w:rPr>
          <w:rFonts w:ascii="Palatino Linotype" w:eastAsia="Calibri" w:hAnsi="Palatino Linotype" w:cs="Tahoma"/>
          <w:b/>
          <w:bCs/>
          <w:sz w:val="22"/>
          <w:szCs w:val="22"/>
          <w:lang w:eastAsia="en-US"/>
        </w:rPr>
        <w:t>Tesorería Municipal</w:t>
      </w:r>
      <w:r>
        <w:rPr>
          <w:rFonts w:ascii="Palatino Linotype" w:eastAsia="Calibri" w:hAnsi="Palatino Linotype" w:cs="Tahoma"/>
          <w:bCs/>
          <w:sz w:val="22"/>
          <w:szCs w:val="22"/>
          <w:lang w:eastAsia="en-US"/>
        </w:rPr>
        <w:t xml:space="preserve"> que se encarga de </w:t>
      </w:r>
      <w:r>
        <w:rPr>
          <w:rFonts w:ascii="Palatino Linotype" w:eastAsia="Calibri" w:hAnsi="Palatino Linotype" w:cs="Tahoma"/>
          <w:bCs/>
          <w:sz w:val="22"/>
          <w:szCs w:val="22"/>
          <w:lang w:eastAsia="en-US"/>
        </w:rPr>
        <w:lastRenderedPageBreak/>
        <w:t>llevar los registros contables, financieros y administrativos de los ingresos, egresos e inventarios.</w:t>
      </w:r>
    </w:p>
    <w:p w:rsidR="009D76CF" w:rsidRDefault="009D76CF" w:rsidP="008373CE">
      <w:pPr>
        <w:spacing w:line="360" w:lineRule="auto"/>
        <w:ind w:right="-93"/>
        <w:jc w:val="both"/>
        <w:rPr>
          <w:rFonts w:ascii="Palatino Linotype" w:eastAsia="Calibri" w:hAnsi="Palatino Linotype" w:cs="Tahoma"/>
          <w:bCs/>
          <w:sz w:val="22"/>
          <w:szCs w:val="22"/>
          <w:lang w:eastAsia="en-US"/>
        </w:rPr>
      </w:pPr>
    </w:p>
    <w:p w:rsidR="00026E91" w:rsidRDefault="009D76CF" w:rsidP="00C037E3">
      <w:p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 w:val="22"/>
          <w:szCs w:val="22"/>
          <w:lang w:eastAsia="en-US"/>
        </w:rPr>
        <w:t xml:space="preserve">Para lograr lo anterior, </w:t>
      </w:r>
      <w:r w:rsidRPr="0043610E">
        <w:rPr>
          <w:rFonts w:ascii="Palatino Linotype" w:eastAsia="Calibri" w:hAnsi="Palatino Linotype" w:cs="Tahoma"/>
          <w:b/>
          <w:bCs/>
          <w:sz w:val="22"/>
          <w:szCs w:val="22"/>
          <w:lang w:eastAsia="en-US"/>
        </w:rPr>
        <w:t>la Tesorería Municipal contará con un área de Administración</w:t>
      </w:r>
      <w:r>
        <w:rPr>
          <w:rFonts w:ascii="Palatino Linotype" w:eastAsia="Calibri" w:hAnsi="Palatino Linotype" w:cs="Tahoma"/>
          <w:bCs/>
          <w:sz w:val="22"/>
          <w:szCs w:val="22"/>
          <w:lang w:eastAsia="en-US"/>
        </w:rPr>
        <w:t xml:space="preserve">, que conforme al artículo 1360 Bis, </w:t>
      </w:r>
      <w:r w:rsidR="0043610E">
        <w:rPr>
          <w:rFonts w:ascii="Palatino Linotype" w:eastAsia="Calibri" w:hAnsi="Palatino Linotype" w:cs="Tahoma"/>
          <w:bCs/>
          <w:sz w:val="22"/>
          <w:szCs w:val="22"/>
          <w:lang w:eastAsia="en-US"/>
        </w:rPr>
        <w:t>fracciones</w:t>
      </w:r>
      <w:r w:rsidR="00DC77C8">
        <w:rPr>
          <w:rFonts w:ascii="Palatino Linotype" w:eastAsia="Calibri" w:hAnsi="Palatino Linotype" w:cs="Tahoma"/>
          <w:bCs/>
          <w:sz w:val="22"/>
          <w:szCs w:val="22"/>
          <w:lang w:eastAsia="en-US"/>
        </w:rPr>
        <w:t xml:space="preserve"> IV, V, VI y VIII</w:t>
      </w:r>
      <w:r w:rsidR="0043610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 dicho Código, </w:t>
      </w:r>
      <w:r w:rsidR="001E6903">
        <w:rPr>
          <w:rFonts w:ascii="Palatino Linotype" w:eastAsia="Calibri" w:hAnsi="Palatino Linotype" w:cs="Tahoma"/>
          <w:bCs/>
          <w:sz w:val="22"/>
          <w:szCs w:val="22"/>
          <w:lang w:eastAsia="en-US"/>
        </w:rPr>
        <w:t>a quien corresponde a</w:t>
      </w:r>
      <w:r w:rsidR="00DC77C8">
        <w:rPr>
          <w:rFonts w:ascii="Palatino Linotype" w:eastAsia="Calibri" w:hAnsi="Palatino Linotype" w:cs="Tahoma"/>
          <w:bCs/>
          <w:sz w:val="22"/>
          <w:szCs w:val="22"/>
          <w:lang w:eastAsia="en-US"/>
        </w:rPr>
        <w:t>plica</w:t>
      </w:r>
      <w:r w:rsidR="001E6903">
        <w:rPr>
          <w:rFonts w:ascii="Palatino Linotype" w:eastAsia="Calibri" w:hAnsi="Palatino Linotype" w:cs="Tahoma"/>
          <w:bCs/>
          <w:sz w:val="22"/>
          <w:szCs w:val="22"/>
          <w:lang w:eastAsia="en-US"/>
        </w:rPr>
        <w:t>r</w:t>
      </w:r>
      <w:r w:rsidR="00DC77C8">
        <w:rPr>
          <w:rFonts w:ascii="Palatino Linotype" w:eastAsia="Calibri" w:hAnsi="Palatino Linotype" w:cs="Tahoma"/>
          <w:bCs/>
          <w:sz w:val="22"/>
          <w:szCs w:val="22"/>
          <w:lang w:eastAsia="en-US"/>
        </w:rPr>
        <w:t xml:space="preserve"> las disposiciones que norman la remuneración que deba otorgarse a los servidores públicos; realiza</w:t>
      </w:r>
      <w:r w:rsidR="001E6903">
        <w:rPr>
          <w:rFonts w:ascii="Palatino Linotype" w:eastAsia="Calibri" w:hAnsi="Palatino Linotype" w:cs="Tahoma"/>
          <w:bCs/>
          <w:sz w:val="22"/>
          <w:szCs w:val="22"/>
          <w:lang w:eastAsia="en-US"/>
        </w:rPr>
        <w:t>r</w:t>
      </w:r>
      <w:r w:rsidR="00DC77C8">
        <w:rPr>
          <w:rFonts w:ascii="Palatino Linotype" w:eastAsia="Calibri" w:hAnsi="Palatino Linotype" w:cs="Tahoma"/>
          <w:bCs/>
          <w:sz w:val="22"/>
          <w:szCs w:val="22"/>
          <w:lang w:eastAsia="en-US"/>
        </w:rPr>
        <w:t xml:space="preserve"> las acciones necesarias </w:t>
      </w:r>
      <w:r w:rsidR="00DC77C8">
        <w:rPr>
          <w:rFonts w:ascii="Palatino Linotype" w:eastAsia="Calibri" w:hAnsi="Palatino Linotype" w:cs="Tahoma"/>
          <w:b/>
          <w:bCs/>
          <w:sz w:val="22"/>
          <w:szCs w:val="22"/>
          <w:lang w:eastAsia="en-US"/>
        </w:rPr>
        <w:t>para que las remuneraciones a los servidores públicos se entreguen de forma oportuna; formula y mantiene actualizado el registro de servidores públicos y los tabuladores de sueldos y</w:t>
      </w:r>
      <w:r w:rsidR="001E6903">
        <w:rPr>
          <w:rFonts w:ascii="Palatino Linotype" w:eastAsia="Calibri" w:hAnsi="Palatino Linotype" w:cs="Tahoma"/>
          <w:b/>
          <w:bCs/>
          <w:sz w:val="22"/>
          <w:szCs w:val="22"/>
          <w:lang w:eastAsia="en-US"/>
        </w:rPr>
        <w:t>,</w:t>
      </w:r>
      <w:r w:rsidR="00DC77C8">
        <w:rPr>
          <w:rFonts w:ascii="Palatino Linotype" w:eastAsia="Calibri" w:hAnsi="Palatino Linotype" w:cs="Tahoma"/>
          <w:b/>
          <w:bCs/>
          <w:sz w:val="22"/>
          <w:szCs w:val="22"/>
          <w:lang w:eastAsia="en-US"/>
        </w:rPr>
        <w:t xml:space="preserve"> aplica en el Sistema Integral de Personal, las deducciones económicas que se impongan a los servidores públicos.</w:t>
      </w:r>
    </w:p>
    <w:p w:rsidR="00026E91" w:rsidRPr="00026E91" w:rsidRDefault="00026E91" w:rsidP="008373CE">
      <w:pPr>
        <w:spacing w:line="360" w:lineRule="auto"/>
        <w:ind w:left="567" w:right="539"/>
        <w:jc w:val="both"/>
        <w:rPr>
          <w:rFonts w:ascii="Palatino Linotype" w:eastAsia="Calibri" w:hAnsi="Palatino Linotype" w:cs="Tahoma"/>
          <w:bCs/>
          <w:szCs w:val="22"/>
          <w:lang w:eastAsia="en-US"/>
        </w:rPr>
      </w:pPr>
    </w:p>
    <w:p w:rsidR="00C21437" w:rsidRPr="00F67BDF" w:rsidRDefault="00800A2C" w:rsidP="008373CE">
      <w:pPr>
        <w:widowControl w:val="0"/>
        <w:spacing w:line="360" w:lineRule="auto"/>
        <w:ind w:right="-91"/>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eastAsia="en-US"/>
        </w:rPr>
        <w:t xml:space="preserve">Conforme a lo anterior, se advierte que el Sujeto Obligado cuenta </w:t>
      </w:r>
      <w:r>
        <w:rPr>
          <w:rFonts w:ascii="Palatino Linotype" w:eastAsia="Calibri" w:hAnsi="Palatino Linotype" w:cs="Tahoma"/>
          <w:bCs/>
          <w:sz w:val="22"/>
          <w:szCs w:val="22"/>
          <w:lang w:eastAsia="en-US"/>
        </w:rPr>
        <w:t xml:space="preserve">con un área específica para </w:t>
      </w:r>
      <w:r w:rsidRPr="00F67BDF">
        <w:rPr>
          <w:rFonts w:ascii="Palatino Linotype" w:eastAsia="Calibri" w:hAnsi="Palatino Linotype" w:cs="Tahoma"/>
          <w:bCs/>
          <w:sz w:val="22"/>
          <w:szCs w:val="22"/>
          <w:lang w:eastAsia="en-US"/>
        </w:rPr>
        <w:t xml:space="preserve">conocer de la solicitud de información, a saber, </w:t>
      </w:r>
      <w:r w:rsidR="00C21437">
        <w:rPr>
          <w:rFonts w:ascii="Palatino Linotype" w:eastAsia="Calibri" w:hAnsi="Palatino Linotype" w:cs="Tahoma"/>
          <w:bCs/>
          <w:sz w:val="22"/>
          <w:szCs w:val="22"/>
          <w:lang w:eastAsia="en-US"/>
        </w:rPr>
        <w:t xml:space="preserve">el área de Administración de la Tesorería </w:t>
      </w:r>
      <w:r w:rsidR="00DC77C8">
        <w:rPr>
          <w:rFonts w:ascii="Palatino Linotype" w:eastAsia="Calibri" w:hAnsi="Palatino Linotype" w:cs="Tahoma"/>
          <w:bCs/>
          <w:sz w:val="22"/>
          <w:szCs w:val="22"/>
          <w:lang w:eastAsia="en-US"/>
        </w:rPr>
        <w:t xml:space="preserve">Municipal </w:t>
      </w:r>
      <w:r w:rsidR="00C21437">
        <w:rPr>
          <w:rFonts w:ascii="Palatino Linotype" w:eastAsia="Calibri" w:hAnsi="Palatino Linotype" w:cs="Tahoma"/>
          <w:bCs/>
          <w:sz w:val="22"/>
          <w:szCs w:val="22"/>
          <w:lang w:eastAsia="en-US"/>
        </w:rPr>
        <w:t>del Sujeto Obligado</w:t>
      </w:r>
      <w:r w:rsidRPr="00F55644">
        <w:rPr>
          <w:rFonts w:ascii="Palatino Linotype" w:eastAsia="Calibri" w:hAnsi="Palatino Linotype" w:cs="Tahoma"/>
          <w:b/>
          <w:bCs/>
          <w:sz w:val="22"/>
          <w:szCs w:val="22"/>
          <w:lang w:eastAsia="en-US"/>
        </w:rPr>
        <w:t>,</w:t>
      </w:r>
      <w:r w:rsidRPr="00F67BDF">
        <w:rPr>
          <w:rFonts w:ascii="Palatino Linotype" w:eastAsia="Calibri" w:hAnsi="Palatino Linotype" w:cs="Tahoma"/>
          <w:bCs/>
          <w:sz w:val="22"/>
          <w:szCs w:val="22"/>
          <w:lang w:eastAsia="en-US"/>
        </w:rPr>
        <w:t xml:space="preserve"> al contar con atribuciones </w:t>
      </w:r>
      <w:r w:rsidRPr="00DC77C8">
        <w:rPr>
          <w:rFonts w:ascii="Palatino Linotype" w:eastAsia="Calibri" w:hAnsi="Palatino Linotype" w:cs="Tahoma"/>
          <w:b/>
          <w:bCs/>
          <w:sz w:val="22"/>
          <w:szCs w:val="22"/>
          <w:lang w:eastAsia="en-US"/>
        </w:rPr>
        <w:t>para conocer de las remuneraciones otorgadas a los servidores públicos que laboran en el Ayuntamiento en cuestión</w:t>
      </w:r>
      <w:r>
        <w:rPr>
          <w:rFonts w:ascii="Palatino Linotype" w:eastAsia="Calibri" w:hAnsi="Palatino Linotype" w:cs="Tahoma"/>
          <w:bCs/>
          <w:sz w:val="22"/>
          <w:szCs w:val="22"/>
          <w:lang w:eastAsia="en-US"/>
        </w:rPr>
        <w:t>;  por lo que</w:t>
      </w:r>
      <w:r w:rsidRPr="00F67BDF">
        <w:rPr>
          <w:rFonts w:ascii="Palatino Linotype" w:eastAsia="Calibri" w:hAnsi="Palatino Linotype" w:cs="Tahoma"/>
          <w:bCs/>
          <w:sz w:val="22"/>
          <w:szCs w:val="22"/>
          <w:lang w:eastAsia="en-US"/>
        </w:rPr>
        <w:t xml:space="preserve">, </w:t>
      </w:r>
      <w:r w:rsidR="00C21437">
        <w:rPr>
          <w:rFonts w:ascii="Palatino Linotype" w:eastAsia="Calibri" w:hAnsi="Palatino Linotype" w:cs="Tahoma"/>
          <w:bCs/>
          <w:sz w:val="22"/>
          <w:szCs w:val="22"/>
          <w:lang w:eastAsia="en-US"/>
        </w:rPr>
        <w:t xml:space="preserve">debe realizar el procedimiento antes señalado </w:t>
      </w:r>
      <w:r w:rsidR="00C21437">
        <w:rPr>
          <w:rFonts w:ascii="Palatino Linotype" w:eastAsia="Calibri" w:hAnsi="Palatino Linotype" w:cs="Tahoma"/>
          <w:bCs/>
          <w:sz w:val="22"/>
          <w:szCs w:val="22"/>
          <w:lang w:val="es-ES" w:eastAsia="en-US"/>
        </w:rPr>
        <w:t xml:space="preserve">y </w:t>
      </w:r>
      <w:r w:rsidR="00DC77C8">
        <w:rPr>
          <w:rFonts w:ascii="Palatino Linotype" w:eastAsia="Calibri" w:hAnsi="Palatino Linotype" w:cs="Tahoma"/>
          <w:bCs/>
          <w:sz w:val="22"/>
          <w:szCs w:val="22"/>
          <w:lang w:val="es-ES" w:eastAsia="en-US"/>
        </w:rPr>
        <w:t xml:space="preserve"> garantizar que la solicitud</w:t>
      </w:r>
      <w:r w:rsidR="00C21437" w:rsidRPr="00F67BDF">
        <w:rPr>
          <w:rFonts w:ascii="Palatino Linotype" w:eastAsia="Calibri" w:hAnsi="Palatino Linotype" w:cs="Tahoma"/>
          <w:bCs/>
          <w:sz w:val="22"/>
          <w:szCs w:val="22"/>
          <w:lang w:val="es-ES" w:eastAsia="en-US"/>
        </w:rPr>
        <w:t xml:space="preserve"> de a</w:t>
      </w:r>
      <w:r w:rsidR="00DC77C8">
        <w:rPr>
          <w:rFonts w:ascii="Palatino Linotype" w:eastAsia="Calibri" w:hAnsi="Palatino Linotype" w:cs="Tahoma"/>
          <w:bCs/>
          <w:sz w:val="22"/>
          <w:szCs w:val="22"/>
          <w:lang w:val="es-ES" w:eastAsia="en-US"/>
        </w:rPr>
        <w:t>cceso a la información se turne</w:t>
      </w:r>
      <w:r w:rsidR="00C21437" w:rsidRPr="00F67BDF">
        <w:rPr>
          <w:rFonts w:ascii="Palatino Linotype" w:eastAsia="Calibri" w:hAnsi="Palatino Linotype" w:cs="Tahoma"/>
          <w:bCs/>
          <w:sz w:val="22"/>
          <w:szCs w:val="22"/>
          <w:lang w:val="es-ES" w:eastAsia="en-US"/>
        </w:rPr>
        <w:t xml:space="preserve"> a todas las áreas competentes que cuenten con </w:t>
      </w:r>
      <w:r w:rsidR="00B90C6C">
        <w:rPr>
          <w:rFonts w:ascii="Palatino Linotype" w:eastAsia="Calibri" w:hAnsi="Palatino Linotype" w:cs="Tahoma"/>
          <w:bCs/>
          <w:sz w:val="22"/>
          <w:szCs w:val="22"/>
          <w:lang w:val="es-ES" w:eastAsia="en-US"/>
        </w:rPr>
        <w:t xml:space="preserve">la información o deban tenerla </w:t>
      </w:r>
      <w:r w:rsidR="00C21437" w:rsidRPr="00F67BDF">
        <w:rPr>
          <w:rFonts w:ascii="Palatino Linotype" w:eastAsia="Calibri" w:hAnsi="Palatino Linotype" w:cs="Tahoma"/>
          <w:bCs/>
          <w:sz w:val="22"/>
          <w:szCs w:val="22"/>
          <w:lang w:val="es-ES" w:eastAsia="en-US"/>
        </w:rPr>
        <w:t>de acuerdo a las facultades, competencias y funciones, con el objeto de que dichas áreas realicen una búsqueda exhaustiva y razonable de la información requerida</w:t>
      </w:r>
      <w:r w:rsidR="00C21437">
        <w:rPr>
          <w:rFonts w:ascii="Palatino Linotype" w:eastAsia="Calibri" w:hAnsi="Palatino Linotype" w:cs="Tahoma"/>
          <w:bCs/>
          <w:sz w:val="22"/>
          <w:szCs w:val="22"/>
          <w:lang w:val="es-ES" w:eastAsia="en-US"/>
        </w:rPr>
        <w:t>.</w:t>
      </w:r>
    </w:p>
    <w:p w:rsidR="00C21437" w:rsidRDefault="00C21437" w:rsidP="008373CE">
      <w:pPr>
        <w:widowControl w:val="0"/>
        <w:spacing w:line="360" w:lineRule="auto"/>
        <w:ind w:right="-91"/>
        <w:jc w:val="both"/>
        <w:rPr>
          <w:rFonts w:ascii="Palatino Linotype" w:eastAsia="Calibri" w:hAnsi="Palatino Linotype" w:cs="Tahoma"/>
          <w:bCs/>
          <w:sz w:val="22"/>
          <w:szCs w:val="22"/>
          <w:lang w:eastAsia="en-US"/>
        </w:rPr>
      </w:pPr>
    </w:p>
    <w:p w:rsidR="00D5190D" w:rsidRPr="00994396" w:rsidRDefault="00D5190D" w:rsidP="008373CE">
      <w:pPr>
        <w:spacing w:line="360" w:lineRule="auto"/>
        <w:ind w:right="-93"/>
        <w:jc w:val="both"/>
        <w:rPr>
          <w:rFonts w:ascii="Palatino Linotype" w:eastAsia="Calibri" w:hAnsi="Palatino Linotype" w:cs="Tahoma"/>
          <w:bCs/>
          <w:sz w:val="22"/>
          <w:szCs w:val="24"/>
          <w:lang w:eastAsia="en-US"/>
        </w:rPr>
      </w:pPr>
      <w:r>
        <w:rPr>
          <w:rFonts w:ascii="Palatino Linotype" w:eastAsia="Calibri" w:hAnsi="Palatino Linotype" w:cs="Tahoma"/>
          <w:bCs/>
          <w:sz w:val="22"/>
          <w:szCs w:val="22"/>
          <w:lang w:eastAsia="en-US"/>
        </w:rPr>
        <w:t>Lo anterior, se robustece con el hecho de que</w:t>
      </w:r>
      <w:r w:rsidR="00DC77C8">
        <w:rPr>
          <w:rFonts w:ascii="Palatino Linotype" w:eastAsia="Calibri" w:hAnsi="Palatino Linotype" w:cs="Tahoma"/>
          <w:bCs/>
          <w:sz w:val="22"/>
          <w:szCs w:val="22"/>
          <w:lang w:eastAsia="en-US"/>
        </w:rPr>
        <w:t xml:space="preserve"> </w:t>
      </w:r>
      <w:r w:rsidR="003B61BE">
        <w:rPr>
          <w:rFonts w:ascii="Palatino Linotype" w:eastAsia="Calibri" w:hAnsi="Palatino Linotype" w:cs="Tahoma"/>
          <w:bCs/>
          <w:sz w:val="22"/>
          <w:szCs w:val="22"/>
          <w:lang w:eastAsia="en-US"/>
        </w:rPr>
        <w:t xml:space="preserve">la información sobre las remuneraciones brutas y netas de todos </w:t>
      </w:r>
      <w:r w:rsidR="00DC77C8">
        <w:rPr>
          <w:rFonts w:ascii="Palatino Linotype" w:eastAsia="Calibri" w:hAnsi="Palatino Linotype" w:cs="Tahoma"/>
          <w:bCs/>
          <w:sz w:val="22"/>
          <w:szCs w:val="22"/>
          <w:lang w:eastAsia="en-US"/>
        </w:rPr>
        <w:t>los servidores públicos que conforman al Ayuntamiento de Rayón, es información pública de oficio, en términos de, art</w:t>
      </w:r>
      <w:r>
        <w:rPr>
          <w:rFonts w:ascii="Palatino Linotype" w:eastAsia="Calibri" w:hAnsi="Palatino Linotype" w:cs="Tahoma"/>
          <w:bCs/>
          <w:sz w:val="22"/>
          <w:szCs w:val="22"/>
          <w:lang w:eastAsia="en-US"/>
        </w:rPr>
        <w:t xml:space="preserve">ículo 92, fracción VIII, de la </w:t>
      </w:r>
      <w:r w:rsidRPr="00994396">
        <w:rPr>
          <w:rFonts w:ascii="Palatino Linotype" w:eastAsia="Calibri" w:hAnsi="Palatino Linotype" w:cs="Tahoma"/>
          <w:bCs/>
          <w:sz w:val="22"/>
          <w:szCs w:val="24"/>
          <w:lang w:eastAsia="en-US"/>
        </w:rPr>
        <w:t>Ley de Transparencia y Acceso a la Información Pública de</w:t>
      </w:r>
      <w:r>
        <w:rPr>
          <w:rFonts w:ascii="Palatino Linotype" w:eastAsia="Calibri" w:hAnsi="Palatino Linotype" w:cs="Tahoma"/>
          <w:bCs/>
          <w:sz w:val="22"/>
          <w:szCs w:val="24"/>
          <w:lang w:eastAsia="en-US"/>
        </w:rPr>
        <w:t>l Estado de México y Municipios.</w:t>
      </w:r>
      <w:r w:rsidR="003B61BE">
        <w:rPr>
          <w:rFonts w:ascii="Palatino Linotype" w:eastAsia="Calibri" w:hAnsi="Palatino Linotype" w:cs="Tahoma"/>
          <w:bCs/>
          <w:sz w:val="22"/>
          <w:szCs w:val="24"/>
          <w:lang w:eastAsia="en-US"/>
        </w:rPr>
        <w:t xml:space="preserve"> Es de precisar que se llevó a cabo la búsqueda de esta información; sin embargo, se advirtió que el Ayuntamiento no ha publicado la información.</w:t>
      </w:r>
    </w:p>
    <w:p w:rsidR="00DC77C8" w:rsidRDefault="00DC77C8" w:rsidP="008373CE">
      <w:pPr>
        <w:widowControl w:val="0"/>
        <w:spacing w:line="360" w:lineRule="auto"/>
        <w:ind w:right="-91"/>
        <w:jc w:val="both"/>
        <w:rPr>
          <w:rFonts w:ascii="Palatino Linotype" w:eastAsia="Calibri" w:hAnsi="Palatino Linotype" w:cs="Tahoma"/>
          <w:bCs/>
          <w:sz w:val="22"/>
          <w:szCs w:val="22"/>
          <w:lang w:eastAsia="en-US"/>
        </w:rPr>
      </w:pPr>
    </w:p>
    <w:p w:rsidR="008D3D96" w:rsidRPr="008D3D96" w:rsidRDefault="008D3D96" w:rsidP="008373CE">
      <w:pPr>
        <w:widowControl w:val="0"/>
        <w:spacing w:line="360" w:lineRule="auto"/>
        <w:ind w:right="-9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Ahora bien</w:t>
      </w:r>
      <w:r w:rsidRPr="008D3D96">
        <w:rPr>
          <w:rFonts w:ascii="Palatino Linotype" w:eastAsia="Calibri" w:hAnsi="Palatino Linotype" w:cs="Tahoma"/>
          <w:bCs/>
          <w:sz w:val="22"/>
          <w:szCs w:val="22"/>
          <w:lang w:eastAsia="en-US"/>
        </w:rPr>
        <w:t>, es menester señalar que el recurrente no precis</w:t>
      </w:r>
      <w:r w:rsidR="007C130D">
        <w:rPr>
          <w:rFonts w:ascii="Palatino Linotype" w:eastAsia="Calibri" w:hAnsi="Palatino Linotype" w:cs="Tahoma"/>
          <w:bCs/>
          <w:sz w:val="22"/>
          <w:szCs w:val="22"/>
          <w:lang w:eastAsia="en-US"/>
        </w:rPr>
        <w:t>ó</w:t>
      </w:r>
      <w:r w:rsidRPr="008D3D96">
        <w:rPr>
          <w:rFonts w:ascii="Palatino Linotype" w:eastAsia="Calibri" w:hAnsi="Palatino Linotype" w:cs="Tahoma"/>
          <w:bCs/>
          <w:sz w:val="22"/>
          <w:szCs w:val="22"/>
          <w:lang w:eastAsia="en-US"/>
        </w:rPr>
        <w:t xml:space="preserve"> la temporalidad sobre la cual requiere la información </w:t>
      </w:r>
      <w:r>
        <w:rPr>
          <w:rFonts w:ascii="Palatino Linotype" w:eastAsia="Calibri" w:hAnsi="Palatino Linotype" w:cs="Tahoma"/>
          <w:bCs/>
          <w:sz w:val="22"/>
          <w:szCs w:val="22"/>
          <w:lang w:eastAsia="en-US"/>
        </w:rPr>
        <w:t>Respecto de los recibos de nómina de los servidores públicos del Ayuntamiento en cuestión</w:t>
      </w:r>
      <w:r w:rsidRPr="008D3D96">
        <w:rPr>
          <w:rFonts w:ascii="Palatino Linotype" w:eastAsia="Calibri" w:hAnsi="Palatino Linotype" w:cs="Tahoma"/>
          <w:bCs/>
          <w:sz w:val="22"/>
          <w:szCs w:val="22"/>
          <w:lang w:eastAsia="en-US"/>
        </w:rPr>
        <w:t xml:space="preserve">, por lo que </w:t>
      </w:r>
      <w:r>
        <w:rPr>
          <w:rFonts w:ascii="Palatino Linotype" w:eastAsia="Calibri" w:hAnsi="Palatino Linotype" w:cs="Tahoma"/>
          <w:bCs/>
          <w:sz w:val="22"/>
          <w:szCs w:val="22"/>
          <w:lang w:eastAsia="en-US"/>
        </w:rPr>
        <w:t>resulta aplicable</w:t>
      </w:r>
      <w:r w:rsidRPr="008D3D96">
        <w:rPr>
          <w:rFonts w:ascii="Palatino Linotype" w:eastAsia="Calibri" w:hAnsi="Palatino Linotype" w:cs="Tahoma"/>
          <w:bCs/>
          <w:sz w:val="22"/>
          <w:szCs w:val="22"/>
          <w:lang w:eastAsia="en-US"/>
        </w:rPr>
        <w:t xml:space="preserve"> el criterio 09-13 del Instituto Nacional de Transparencia</w:t>
      </w:r>
      <w:r w:rsidR="00DC77C8">
        <w:rPr>
          <w:rFonts w:ascii="Palatino Linotype" w:eastAsia="Calibri" w:hAnsi="Palatino Linotype" w:cs="Tahoma"/>
          <w:bCs/>
          <w:sz w:val="22"/>
          <w:szCs w:val="22"/>
          <w:lang w:eastAsia="en-US"/>
        </w:rPr>
        <w:t>,</w:t>
      </w:r>
      <w:r w:rsidRPr="008D3D96">
        <w:rPr>
          <w:rFonts w:ascii="Palatino Linotype" w:eastAsia="Calibri" w:hAnsi="Palatino Linotype" w:cs="Tahoma"/>
          <w:bCs/>
          <w:sz w:val="22"/>
          <w:szCs w:val="22"/>
          <w:lang w:eastAsia="en-US"/>
        </w:rPr>
        <w:t xml:space="preserve"> Acceso a la Información y Protección de Datos Personales que establece.</w:t>
      </w:r>
    </w:p>
    <w:p w:rsidR="008D3D96" w:rsidRDefault="008D3D96" w:rsidP="008373CE">
      <w:pPr>
        <w:widowControl w:val="0"/>
        <w:spacing w:line="360" w:lineRule="auto"/>
        <w:ind w:right="-91"/>
        <w:jc w:val="both"/>
        <w:rPr>
          <w:rFonts w:ascii="Palatino Linotype" w:eastAsia="Calibri" w:hAnsi="Palatino Linotype" w:cs="Tahoma"/>
          <w:b/>
          <w:bCs/>
          <w:i/>
          <w:sz w:val="22"/>
          <w:szCs w:val="22"/>
          <w:lang w:eastAsia="en-US"/>
        </w:rPr>
      </w:pPr>
    </w:p>
    <w:p w:rsidR="008D3D96" w:rsidRDefault="00DC77C8" w:rsidP="008373CE">
      <w:pPr>
        <w:widowControl w:val="0"/>
        <w:spacing w:line="360" w:lineRule="auto"/>
        <w:ind w:left="567" w:right="539"/>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w:t>
      </w:r>
      <w:r w:rsidR="008D3D96" w:rsidRPr="008D3D96">
        <w:rPr>
          <w:rFonts w:ascii="Palatino Linotype" w:eastAsia="Calibri" w:hAnsi="Palatino Linotype" w:cs="Tahoma"/>
          <w:b/>
          <w:bCs/>
          <w:szCs w:val="22"/>
          <w:lang w:eastAsia="en-US"/>
        </w:rPr>
        <w:t xml:space="preserve">Periodo de búsqueda de la información, cuando no se precisa en la solicitud de información. </w:t>
      </w:r>
      <w:r w:rsidR="008D3D96" w:rsidRPr="008D3D96">
        <w:rPr>
          <w:rFonts w:ascii="Palatino Linotype" w:eastAsia="Calibri" w:hAnsi="Palatino Linotype" w:cs="Tahoma"/>
          <w:bCs/>
          <w:szCs w:val="22"/>
          <w:lang w:eastAsia="en-US"/>
        </w:rPr>
        <w:t xml:space="preserve">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w:t>
      </w:r>
      <w:r w:rsidR="008D3D96" w:rsidRPr="00C037E3">
        <w:rPr>
          <w:rFonts w:ascii="Palatino Linotype" w:eastAsia="Calibri" w:hAnsi="Palatino Linotype" w:cs="Tahoma"/>
          <w:bCs/>
          <w:szCs w:val="22"/>
          <w:u w:val="single"/>
          <w:lang w:eastAsia="en-US"/>
        </w:rPr>
        <w:t>al del año inmediato anterior contado a partir de la fecha en que se presentó la solicitud.</w:t>
      </w:r>
      <w:r w:rsidR="008D3D96" w:rsidRPr="008D3D96">
        <w:rPr>
          <w:rFonts w:ascii="Palatino Linotype" w:eastAsia="Calibri" w:hAnsi="Palatino Linotype" w:cs="Tahoma"/>
          <w:bCs/>
          <w:szCs w:val="22"/>
          <w:lang w:eastAsia="en-US"/>
        </w:rPr>
        <w:t xml:space="preserve"> Lo anterior permite que los sujetos obligados cuenten con mayores elementos para precisar y localizar la información solicitada.</w:t>
      </w:r>
      <w:r>
        <w:rPr>
          <w:rFonts w:ascii="Palatino Linotype" w:eastAsia="Calibri" w:hAnsi="Palatino Linotype" w:cs="Tahoma"/>
          <w:bCs/>
          <w:szCs w:val="22"/>
          <w:lang w:eastAsia="en-US"/>
        </w:rPr>
        <w:t>”</w:t>
      </w:r>
    </w:p>
    <w:p w:rsidR="007C130D" w:rsidRPr="008D3D96" w:rsidRDefault="007C130D" w:rsidP="008373CE">
      <w:pPr>
        <w:widowControl w:val="0"/>
        <w:spacing w:line="360" w:lineRule="auto"/>
        <w:ind w:left="567" w:right="539"/>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w:t>
      </w:r>
      <w:r w:rsidRPr="00C037E3">
        <w:rPr>
          <w:rFonts w:ascii="Palatino Linotype" w:eastAsia="Calibri" w:hAnsi="Palatino Linotype" w:cs="Tahoma"/>
          <w:b/>
          <w:bCs/>
          <w:caps/>
          <w:szCs w:val="22"/>
          <w:lang w:eastAsia="en-US"/>
        </w:rPr>
        <w:t>é</w:t>
      </w:r>
      <w:r>
        <w:rPr>
          <w:rFonts w:ascii="Palatino Linotype" w:eastAsia="Calibri" w:hAnsi="Palatino Linotype" w:cs="Tahoma"/>
          <w:b/>
          <w:bCs/>
          <w:szCs w:val="22"/>
          <w:lang w:eastAsia="en-US"/>
        </w:rPr>
        <w:t>nfasis añadido)</w:t>
      </w:r>
    </w:p>
    <w:p w:rsidR="00DC77C8" w:rsidRDefault="00DC77C8" w:rsidP="008373CE">
      <w:pPr>
        <w:widowControl w:val="0"/>
        <w:spacing w:line="360" w:lineRule="auto"/>
        <w:ind w:right="-91"/>
        <w:jc w:val="both"/>
        <w:rPr>
          <w:rFonts w:ascii="Palatino Linotype" w:eastAsia="Calibri" w:hAnsi="Palatino Linotype" w:cs="Tahoma"/>
          <w:bCs/>
          <w:sz w:val="22"/>
          <w:szCs w:val="22"/>
          <w:lang w:eastAsia="en-US"/>
        </w:rPr>
      </w:pPr>
    </w:p>
    <w:p w:rsidR="008D3D96" w:rsidRPr="008D3D96" w:rsidRDefault="008D3D96" w:rsidP="008373CE">
      <w:pPr>
        <w:widowControl w:val="0"/>
        <w:spacing w:line="360" w:lineRule="auto"/>
        <w:ind w:right="-91"/>
        <w:jc w:val="both"/>
        <w:rPr>
          <w:rFonts w:ascii="Palatino Linotype" w:eastAsia="Calibri" w:hAnsi="Palatino Linotype" w:cs="Tahoma"/>
          <w:bCs/>
          <w:sz w:val="22"/>
          <w:szCs w:val="22"/>
          <w:lang w:eastAsia="en-US"/>
        </w:rPr>
      </w:pPr>
      <w:r w:rsidRPr="008D3D96">
        <w:rPr>
          <w:rFonts w:ascii="Palatino Linotype" w:eastAsia="Calibri" w:hAnsi="Palatino Linotype" w:cs="Tahoma"/>
          <w:bCs/>
          <w:sz w:val="22"/>
          <w:szCs w:val="22"/>
          <w:lang w:eastAsia="en-US"/>
        </w:rPr>
        <w:t>De lo anterior, se arriba a la conclusión que</w:t>
      </w:r>
      <w:r w:rsidR="007C130D">
        <w:rPr>
          <w:rFonts w:ascii="Palatino Linotype" w:eastAsia="Calibri" w:hAnsi="Palatino Linotype" w:cs="Tahoma"/>
          <w:bCs/>
          <w:sz w:val="22"/>
          <w:szCs w:val="22"/>
          <w:lang w:eastAsia="en-US"/>
        </w:rPr>
        <w:t>,</w:t>
      </w:r>
      <w:r w:rsidRPr="008D3D96">
        <w:rPr>
          <w:rFonts w:ascii="Palatino Linotype" w:eastAsia="Calibri" w:hAnsi="Palatino Linotype" w:cs="Tahoma"/>
          <w:bCs/>
          <w:sz w:val="22"/>
          <w:szCs w:val="22"/>
          <w:lang w:eastAsia="en-US"/>
        </w:rPr>
        <w:t xml:space="preserve"> derivado de que el recurrente no señal</w:t>
      </w:r>
      <w:r w:rsidR="007C130D">
        <w:rPr>
          <w:rFonts w:ascii="Palatino Linotype" w:eastAsia="Calibri" w:hAnsi="Palatino Linotype" w:cs="Tahoma"/>
          <w:bCs/>
          <w:sz w:val="22"/>
          <w:szCs w:val="22"/>
          <w:lang w:eastAsia="en-US"/>
        </w:rPr>
        <w:t>ó</w:t>
      </w:r>
      <w:r w:rsidRPr="008D3D96">
        <w:rPr>
          <w:rFonts w:ascii="Palatino Linotype" w:eastAsia="Calibri" w:hAnsi="Palatino Linotype" w:cs="Tahoma"/>
          <w:bCs/>
          <w:sz w:val="22"/>
          <w:szCs w:val="22"/>
          <w:lang w:eastAsia="en-US"/>
        </w:rPr>
        <w:t xml:space="preserve"> manifestación alguna respecto a la temporalidad de la cual solicitaba la información, de conformidad con el criterio citado, el </w:t>
      </w:r>
      <w:r w:rsidR="007C130D">
        <w:rPr>
          <w:rFonts w:ascii="Palatino Linotype" w:eastAsia="Calibri" w:hAnsi="Palatino Linotype" w:cs="Tahoma"/>
          <w:bCs/>
          <w:sz w:val="22"/>
          <w:szCs w:val="22"/>
          <w:lang w:eastAsia="en-US"/>
        </w:rPr>
        <w:t>S</w:t>
      </w:r>
      <w:r w:rsidR="007C130D" w:rsidRPr="008D3D96">
        <w:rPr>
          <w:rFonts w:ascii="Palatino Linotype" w:eastAsia="Calibri" w:hAnsi="Palatino Linotype" w:cs="Tahoma"/>
          <w:bCs/>
          <w:sz w:val="22"/>
          <w:szCs w:val="22"/>
          <w:lang w:eastAsia="en-US"/>
        </w:rPr>
        <w:t xml:space="preserve">ujeto </w:t>
      </w:r>
      <w:r w:rsidR="007C130D">
        <w:rPr>
          <w:rFonts w:ascii="Palatino Linotype" w:eastAsia="Calibri" w:hAnsi="Palatino Linotype" w:cs="Tahoma"/>
          <w:bCs/>
          <w:sz w:val="22"/>
          <w:szCs w:val="22"/>
          <w:lang w:eastAsia="en-US"/>
        </w:rPr>
        <w:t>O</w:t>
      </w:r>
      <w:r w:rsidR="007C130D" w:rsidRPr="008D3D96">
        <w:rPr>
          <w:rFonts w:ascii="Palatino Linotype" w:eastAsia="Calibri" w:hAnsi="Palatino Linotype" w:cs="Tahoma"/>
          <w:bCs/>
          <w:sz w:val="22"/>
          <w:szCs w:val="22"/>
          <w:lang w:eastAsia="en-US"/>
        </w:rPr>
        <w:t xml:space="preserve">bligado </w:t>
      </w:r>
      <w:r w:rsidRPr="008D3D96">
        <w:rPr>
          <w:rFonts w:ascii="Palatino Linotype" w:eastAsia="Calibri" w:hAnsi="Palatino Linotype" w:cs="Tahoma"/>
          <w:bCs/>
          <w:sz w:val="22"/>
          <w:szCs w:val="22"/>
          <w:lang w:eastAsia="en-US"/>
        </w:rPr>
        <w:t xml:space="preserve">deberá entregar el año inmediato anterior a partir de la fecha de la solicitud, esto es del </w:t>
      </w:r>
      <w:r w:rsidR="008373CE">
        <w:rPr>
          <w:rFonts w:ascii="Palatino Linotype" w:eastAsia="Calibri" w:hAnsi="Palatino Linotype" w:cs="Tahoma"/>
          <w:bCs/>
          <w:sz w:val="22"/>
          <w:szCs w:val="22"/>
          <w:lang w:eastAsia="en-US"/>
        </w:rPr>
        <w:t>veintisiete</w:t>
      </w:r>
      <w:r w:rsidRPr="008D3D96">
        <w:rPr>
          <w:rFonts w:ascii="Palatino Linotype" w:eastAsia="Calibri" w:hAnsi="Palatino Linotype" w:cs="Tahoma"/>
          <w:bCs/>
          <w:sz w:val="22"/>
          <w:szCs w:val="22"/>
          <w:lang w:eastAsia="en-US"/>
        </w:rPr>
        <w:t xml:space="preserve"> de </w:t>
      </w:r>
      <w:r>
        <w:rPr>
          <w:rFonts w:ascii="Palatino Linotype" w:eastAsia="Calibri" w:hAnsi="Palatino Linotype" w:cs="Tahoma"/>
          <w:bCs/>
          <w:sz w:val="22"/>
          <w:szCs w:val="22"/>
          <w:lang w:eastAsia="en-US"/>
        </w:rPr>
        <w:t xml:space="preserve">agosto </w:t>
      </w:r>
      <w:r w:rsidRPr="008D3D96">
        <w:rPr>
          <w:rFonts w:ascii="Palatino Linotype" w:eastAsia="Calibri" w:hAnsi="Palatino Linotype" w:cs="Tahoma"/>
          <w:bCs/>
          <w:sz w:val="22"/>
          <w:szCs w:val="22"/>
          <w:lang w:eastAsia="en-US"/>
        </w:rPr>
        <w:t xml:space="preserve">de dos mil diecisiete al </w:t>
      </w:r>
      <w:r>
        <w:rPr>
          <w:rFonts w:ascii="Palatino Linotype" w:eastAsia="Calibri" w:hAnsi="Palatino Linotype" w:cs="Tahoma"/>
          <w:bCs/>
          <w:sz w:val="22"/>
          <w:szCs w:val="22"/>
          <w:lang w:eastAsia="en-US"/>
        </w:rPr>
        <w:t xml:space="preserve">veintisiete de agosto </w:t>
      </w:r>
      <w:r w:rsidRPr="008D3D96">
        <w:rPr>
          <w:rFonts w:ascii="Palatino Linotype" w:eastAsia="Calibri" w:hAnsi="Palatino Linotype" w:cs="Tahoma"/>
          <w:bCs/>
          <w:sz w:val="22"/>
          <w:szCs w:val="22"/>
          <w:lang w:eastAsia="en-US"/>
        </w:rPr>
        <w:t>de dos mil dieciocho.</w:t>
      </w:r>
    </w:p>
    <w:p w:rsidR="008D3D96" w:rsidRDefault="008D3D96" w:rsidP="008373CE">
      <w:pPr>
        <w:widowControl w:val="0"/>
        <w:spacing w:line="360" w:lineRule="auto"/>
        <w:ind w:right="-91"/>
        <w:jc w:val="both"/>
        <w:rPr>
          <w:rFonts w:ascii="Palatino Linotype" w:eastAsia="Calibri" w:hAnsi="Palatino Linotype" w:cs="Tahoma"/>
          <w:bCs/>
          <w:sz w:val="22"/>
          <w:szCs w:val="22"/>
          <w:lang w:eastAsia="en-US"/>
        </w:rPr>
      </w:pPr>
    </w:p>
    <w:p w:rsidR="00D5190D" w:rsidRPr="0069659C" w:rsidRDefault="00D5190D" w:rsidP="008373CE">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Finalmente, </w:t>
      </w:r>
      <w:r w:rsidRPr="0069659C">
        <w:rPr>
          <w:rFonts w:ascii="Palatino Linotype" w:hAnsi="Palatino Linotype" w:cs="Tahoma"/>
          <w:bCs/>
          <w:iCs/>
          <w:sz w:val="22"/>
          <w:szCs w:val="22"/>
        </w:rPr>
        <w:t xml:space="preserve">en virtud de </w:t>
      </w:r>
      <w:r w:rsidRPr="0069659C">
        <w:rPr>
          <w:rFonts w:ascii="Palatino Linotype" w:hAnsi="Palatino Linotype" w:cs="Tahoma"/>
          <w:sz w:val="22"/>
          <w:szCs w:val="22"/>
        </w:rPr>
        <w:t xml:space="preserve">que </w:t>
      </w:r>
      <w:r>
        <w:rPr>
          <w:rFonts w:ascii="Palatino Linotype" w:hAnsi="Palatino Linotype" w:cs="Tahoma"/>
          <w:sz w:val="22"/>
          <w:szCs w:val="22"/>
        </w:rPr>
        <w:t>la información requerida por el</w:t>
      </w:r>
      <w:r w:rsidRPr="0069659C">
        <w:rPr>
          <w:rFonts w:ascii="Palatino Linotype" w:hAnsi="Palatino Linotype" w:cs="Tahoma"/>
          <w:sz w:val="22"/>
          <w:szCs w:val="22"/>
        </w:rPr>
        <w:t xml:space="preserve"> particular puede contener datos personales, que de hacerse públicos afectarían la intimidad, patrimonio y vida privada de sus titulares; de conformidad con la Ley de Transparencia y Acceso a la Información Pública del Estado de México y Municipios, se consideran confidenciales y, por tanto deben testarse al momento de la elaboración de versiones públicas.</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lang w:val="es-ES"/>
        </w:rPr>
      </w:pPr>
      <w:r w:rsidRPr="0069659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69659C">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lang w:val="es-ES"/>
        </w:rPr>
      </w:pPr>
      <w:r w:rsidRPr="0069659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D5190D" w:rsidRPr="0069659C" w:rsidRDefault="00D5190D" w:rsidP="008373CE">
      <w:pPr>
        <w:spacing w:line="360" w:lineRule="auto"/>
        <w:ind w:right="-93"/>
        <w:jc w:val="both"/>
        <w:rPr>
          <w:rFonts w:ascii="Palatino Linotype" w:hAnsi="Palatino Linotype" w:cs="Tahoma"/>
          <w:bCs/>
          <w:iCs/>
          <w:sz w:val="22"/>
          <w:szCs w:val="22"/>
          <w:lang w:val="es-ES"/>
        </w:rPr>
      </w:pPr>
    </w:p>
    <w:p w:rsidR="00D5190D" w:rsidRPr="0069659C" w:rsidRDefault="00D5190D" w:rsidP="008373CE">
      <w:pPr>
        <w:numPr>
          <w:ilvl w:val="0"/>
          <w:numId w:val="9"/>
        </w:numPr>
        <w:spacing w:line="360" w:lineRule="auto"/>
        <w:ind w:right="-93"/>
        <w:jc w:val="both"/>
        <w:rPr>
          <w:rFonts w:ascii="Palatino Linotype" w:hAnsi="Palatino Linotype" w:cs="Tahoma"/>
          <w:bCs/>
          <w:iCs/>
          <w:sz w:val="22"/>
          <w:szCs w:val="22"/>
          <w:lang w:val="es-ES"/>
        </w:rPr>
      </w:pPr>
      <w:r w:rsidRPr="0069659C">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ésta sea identificada o identificable. </w:t>
      </w:r>
    </w:p>
    <w:p w:rsidR="00D5190D" w:rsidRPr="0069659C" w:rsidRDefault="00D5190D" w:rsidP="008373CE">
      <w:pPr>
        <w:spacing w:line="360" w:lineRule="auto"/>
        <w:ind w:right="-93"/>
        <w:jc w:val="both"/>
        <w:rPr>
          <w:rFonts w:ascii="Palatino Linotype" w:hAnsi="Palatino Linotype" w:cs="Tahoma"/>
          <w:bCs/>
          <w:iCs/>
          <w:sz w:val="22"/>
          <w:szCs w:val="22"/>
          <w:lang w:val="es-ES"/>
        </w:rPr>
      </w:pPr>
    </w:p>
    <w:p w:rsidR="00D5190D" w:rsidRPr="0069659C" w:rsidRDefault="00D5190D" w:rsidP="008373CE">
      <w:pPr>
        <w:numPr>
          <w:ilvl w:val="0"/>
          <w:numId w:val="9"/>
        </w:numPr>
        <w:spacing w:line="360" w:lineRule="auto"/>
        <w:ind w:right="-93"/>
        <w:jc w:val="both"/>
        <w:rPr>
          <w:rFonts w:ascii="Palatino Linotype" w:hAnsi="Palatino Linotype" w:cs="Tahoma"/>
          <w:bCs/>
          <w:iCs/>
          <w:sz w:val="22"/>
          <w:szCs w:val="22"/>
          <w:lang w:val="es-ES"/>
        </w:rPr>
      </w:pPr>
      <w:r w:rsidRPr="0069659C">
        <w:rPr>
          <w:rFonts w:ascii="Palatino Linotype" w:hAnsi="Palatino Linotype" w:cs="Tahoma"/>
          <w:bCs/>
          <w:iCs/>
          <w:sz w:val="22"/>
          <w:szCs w:val="22"/>
          <w:lang w:val="es-ES"/>
        </w:rPr>
        <w:t xml:space="preserve">Para la difusión de los datos, se requiera el consentimiento del titular. </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w:t>
      </w:r>
      <w:r w:rsidRPr="0069659C">
        <w:rPr>
          <w:rFonts w:ascii="Palatino Linotype" w:hAnsi="Palatino Linotype" w:cs="Tahoma"/>
          <w:bCs/>
          <w:iCs/>
          <w:sz w:val="22"/>
          <w:szCs w:val="22"/>
        </w:rPr>
        <w:lastRenderedPageBreak/>
        <w:t xml:space="preserve">pueda determinarse directa o indirectamente a través de cualquier documento informativo físico o electrónico), establecida en cualquier formato o modalidad. </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69659C"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Además, en el artículo 5° de dicho ordenamiento jurídico, establece que es la Ley aplicable para todo tratamiento de datos personales.</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D5190D" w:rsidRPr="0069659C"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7E6A8A">
        <w:rPr>
          <w:rFonts w:ascii="Palatino Linotype" w:hAnsi="Palatino Linotype" w:cs="Tahoma"/>
          <w:bCs/>
          <w:iCs/>
          <w:sz w:val="22"/>
          <w:szCs w:val="22"/>
        </w:rPr>
        <w:lastRenderedPageBreak/>
        <w:t>instituciones y es a partir de ahí, en donde las instituciones públicas deben determinar la publicidad de su información.</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D5190D" w:rsidRDefault="00D5190D" w:rsidP="008373CE">
      <w:pPr>
        <w:spacing w:line="360" w:lineRule="auto"/>
        <w:ind w:right="-93"/>
        <w:jc w:val="both"/>
        <w:rPr>
          <w:rFonts w:ascii="Palatino Linotype" w:hAnsi="Palatino Linotype" w:cs="Tahoma"/>
          <w:bCs/>
          <w:iCs/>
          <w:sz w:val="22"/>
          <w:szCs w:val="22"/>
        </w:rPr>
      </w:pPr>
    </w:p>
    <w:p w:rsidR="00D5190D" w:rsidRDefault="00D5190D" w:rsidP="008373CE">
      <w:pPr>
        <w:spacing w:line="360" w:lineRule="auto"/>
        <w:ind w:right="-93"/>
        <w:jc w:val="both"/>
        <w:rPr>
          <w:rFonts w:ascii="Palatino Linotype" w:hAnsi="Palatino Linotype" w:cs="Tahoma"/>
          <w:bCs/>
          <w:iCs/>
          <w:sz w:val="22"/>
          <w:szCs w:val="22"/>
        </w:rPr>
      </w:pPr>
      <w:r w:rsidRPr="0069659C">
        <w:rPr>
          <w:rFonts w:ascii="Palatino Linotype" w:hAnsi="Palatino Linotype" w:cs="Tahoma"/>
          <w:bCs/>
          <w:iCs/>
          <w:sz w:val="22"/>
          <w:szCs w:val="22"/>
        </w:rPr>
        <w:t xml:space="preserve">Bajo este esquema a continuación se analizan los datos personales susceptibles de clasificación que podrían estar contenidos en </w:t>
      </w:r>
      <w:r>
        <w:rPr>
          <w:rFonts w:ascii="Palatino Linotype" w:hAnsi="Palatino Linotype" w:cs="Tahoma"/>
          <w:bCs/>
          <w:iCs/>
          <w:sz w:val="22"/>
          <w:szCs w:val="22"/>
        </w:rPr>
        <w:t>los Recibos de nómina de  los trabajadores del Ayuntamiento de Rayón,</w:t>
      </w:r>
      <w:r w:rsidR="00B014AE">
        <w:rPr>
          <w:rFonts w:ascii="Palatino Linotype" w:hAnsi="Palatino Linotype" w:cs="Tahoma"/>
          <w:bCs/>
          <w:iCs/>
          <w:sz w:val="22"/>
          <w:szCs w:val="22"/>
        </w:rPr>
        <w:t xml:space="preserve"> los cuales se mencionan de manera enunciativas, más no limitativa,</w:t>
      </w:r>
      <w:r>
        <w:rPr>
          <w:rFonts w:ascii="Palatino Linotype" w:hAnsi="Palatino Linotype" w:cs="Tahoma"/>
          <w:bCs/>
          <w:iCs/>
          <w:sz w:val="22"/>
          <w:szCs w:val="22"/>
        </w:rPr>
        <w:t xml:space="preserve"> tales como </w:t>
      </w:r>
      <w:r w:rsidRPr="00CC5588">
        <w:rPr>
          <w:rFonts w:ascii="Palatino Linotype" w:hAnsi="Palatino Linotype" w:cs="Tahoma"/>
          <w:bCs/>
          <w:iCs/>
          <w:sz w:val="22"/>
          <w:szCs w:val="22"/>
        </w:rPr>
        <w:t xml:space="preserve">el </w:t>
      </w:r>
      <w:r w:rsidRPr="00CC5588">
        <w:rPr>
          <w:rFonts w:ascii="Palatino Linotype" w:hAnsi="Palatino Linotype" w:cs="Tahoma"/>
          <w:b/>
          <w:bCs/>
          <w:iCs/>
          <w:sz w:val="22"/>
          <w:szCs w:val="22"/>
        </w:rPr>
        <w:t>Registro Federal de Contribuyentes</w:t>
      </w:r>
      <w:r w:rsidRPr="00CC5588">
        <w:rPr>
          <w:rFonts w:ascii="Palatino Linotype" w:hAnsi="Palatino Linotype" w:cs="Tahoma"/>
          <w:bCs/>
          <w:iCs/>
          <w:sz w:val="22"/>
          <w:szCs w:val="22"/>
        </w:rPr>
        <w:t xml:space="preserve"> (RFC), la </w:t>
      </w:r>
      <w:r w:rsidRPr="00CC5588">
        <w:rPr>
          <w:rFonts w:ascii="Palatino Linotype" w:hAnsi="Palatino Linotype" w:cs="Tahoma"/>
          <w:b/>
          <w:bCs/>
          <w:iCs/>
          <w:sz w:val="22"/>
          <w:szCs w:val="22"/>
        </w:rPr>
        <w:t>Clave Única de Registro de Población</w:t>
      </w:r>
      <w:r w:rsidRPr="00CC5588">
        <w:rPr>
          <w:rFonts w:ascii="Palatino Linotype" w:hAnsi="Palatino Linotype" w:cs="Tahoma"/>
          <w:bCs/>
          <w:iCs/>
          <w:sz w:val="22"/>
          <w:szCs w:val="22"/>
        </w:rPr>
        <w:t xml:space="preserve"> (CURP), la </w:t>
      </w:r>
      <w:r w:rsidRPr="00CC5588">
        <w:rPr>
          <w:rFonts w:ascii="Palatino Linotype" w:hAnsi="Palatino Linotype" w:cs="Tahoma"/>
          <w:b/>
          <w:bCs/>
          <w:iCs/>
          <w:sz w:val="22"/>
          <w:szCs w:val="22"/>
        </w:rPr>
        <w:t>Clave de cualquier tipo de seguridad social</w:t>
      </w:r>
      <w:r w:rsidRPr="00CC5588">
        <w:rPr>
          <w:rFonts w:ascii="Palatino Linotype" w:hAnsi="Palatino Linotype" w:cs="Tahoma"/>
          <w:bCs/>
          <w:iCs/>
          <w:sz w:val="22"/>
          <w:szCs w:val="22"/>
        </w:rPr>
        <w:t xml:space="preserve"> (ISSEMYM, u otros), así como, los </w:t>
      </w:r>
      <w:r w:rsidR="00B014AE">
        <w:rPr>
          <w:rFonts w:ascii="Palatino Linotype" w:hAnsi="Palatino Linotype" w:cs="Tahoma"/>
          <w:b/>
          <w:bCs/>
          <w:iCs/>
          <w:sz w:val="22"/>
          <w:szCs w:val="22"/>
        </w:rPr>
        <w:t>préstamos o descuentos</w:t>
      </w:r>
      <w:r w:rsidRPr="00CC5588">
        <w:rPr>
          <w:rFonts w:ascii="Palatino Linotype" w:hAnsi="Palatino Linotype" w:cs="Tahoma"/>
          <w:b/>
          <w:bCs/>
          <w:iCs/>
          <w:sz w:val="22"/>
          <w:szCs w:val="22"/>
        </w:rPr>
        <w:t xml:space="preserve"> </w:t>
      </w:r>
      <w:r w:rsidR="00B014AE">
        <w:rPr>
          <w:rFonts w:ascii="Palatino Linotype" w:hAnsi="Palatino Linotype" w:cs="Tahoma"/>
          <w:b/>
          <w:bCs/>
          <w:iCs/>
          <w:sz w:val="22"/>
          <w:szCs w:val="22"/>
        </w:rPr>
        <w:t xml:space="preserve"> personales </w:t>
      </w:r>
      <w:r w:rsidRPr="00CC5588">
        <w:rPr>
          <w:rFonts w:ascii="Palatino Linotype" w:hAnsi="Palatino Linotype" w:cs="Tahoma"/>
          <w:bCs/>
          <w:iCs/>
          <w:sz w:val="22"/>
          <w:szCs w:val="22"/>
        </w:rPr>
        <w:t>que se le hagan al servidor público.</w:t>
      </w:r>
    </w:p>
    <w:p w:rsidR="00D5190D" w:rsidRPr="00CC5588" w:rsidRDefault="00D5190D" w:rsidP="008373CE">
      <w:pPr>
        <w:spacing w:line="360" w:lineRule="auto"/>
        <w:ind w:right="-93"/>
        <w:jc w:val="both"/>
        <w:rPr>
          <w:rFonts w:ascii="Palatino Linotype" w:hAnsi="Palatino Linotype" w:cs="Tahoma"/>
          <w:bCs/>
          <w:iCs/>
          <w:sz w:val="22"/>
          <w:szCs w:val="22"/>
        </w:rPr>
      </w:pPr>
    </w:p>
    <w:p w:rsidR="00D5190D" w:rsidRDefault="00D5190D" w:rsidP="008373CE">
      <w:pPr>
        <w:pStyle w:val="Prrafodelista"/>
        <w:numPr>
          <w:ilvl w:val="0"/>
          <w:numId w:val="24"/>
        </w:numPr>
        <w:spacing w:line="360" w:lineRule="auto"/>
        <w:ind w:right="-93"/>
        <w:jc w:val="both"/>
        <w:rPr>
          <w:rFonts w:ascii="Palatino Linotype" w:hAnsi="Palatino Linotype" w:cs="Tahoma"/>
          <w:bCs/>
          <w:iCs/>
          <w:szCs w:val="22"/>
        </w:rPr>
      </w:pPr>
      <w:r w:rsidRPr="004F3482">
        <w:rPr>
          <w:rFonts w:ascii="Palatino Linotype" w:hAnsi="Palatino Linotype" w:cs="Tahoma"/>
          <w:b/>
          <w:bCs/>
          <w:iCs/>
          <w:szCs w:val="22"/>
        </w:rPr>
        <w:t>Registro Federal de Contribuyentes</w:t>
      </w:r>
      <w:r w:rsidRPr="004F3482">
        <w:rPr>
          <w:rFonts w:ascii="Palatino Linotype" w:hAnsi="Palatino Linotype" w:cs="Tahoma"/>
          <w:bCs/>
          <w:iCs/>
          <w:szCs w:val="22"/>
        </w:rPr>
        <w:t xml:space="preserve"> (RFC)</w:t>
      </w:r>
    </w:p>
    <w:p w:rsidR="00D5190D" w:rsidRPr="004F3482" w:rsidRDefault="00D5190D" w:rsidP="008373CE">
      <w:pPr>
        <w:spacing w:line="360" w:lineRule="auto"/>
        <w:ind w:left="360" w:right="-93"/>
        <w:jc w:val="both"/>
        <w:rPr>
          <w:rFonts w:ascii="Palatino Linotype" w:hAnsi="Palatino Linotype" w:cs="Tahoma"/>
          <w:bCs/>
          <w:iCs/>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w:t>
      </w:r>
      <w:r w:rsidRPr="007E6A8A">
        <w:rPr>
          <w:rFonts w:ascii="Palatino Linotype" w:hAnsi="Palatino Linotype" w:cs="Tahoma"/>
          <w:bCs/>
          <w:iCs/>
          <w:sz w:val="22"/>
          <w:szCs w:val="22"/>
        </w:rPr>
        <w:lastRenderedPageBreak/>
        <w:t>más una homoclave que establece el sistema automático del Servicio de Administración Tributaria.</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w:t>
      </w:r>
      <w:r w:rsidR="002B742C">
        <w:rPr>
          <w:rFonts w:ascii="Palatino Linotype" w:hAnsi="Palatino Linotype" w:cs="Tahoma"/>
          <w:bCs/>
          <w:iCs/>
          <w:sz w:val="22"/>
          <w:szCs w:val="22"/>
        </w:rPr>
        <w:t xml:space="preserve">te únicamente para las personas </w:t>
      </w:r>
      <w:bookmarkStart w:id="0" w:name="_GoBack"/>
      <w:bookmarkEnd w:id="0"/>
      <w:proofErr w:type="gramStart"/>
      <w:r w:rsidR="00B014AE" w:rsidRPr="007E6A8A">
        <w:rPr>
          <w:rFonts w:ascii="Palatino Linotype" w:hAnsi="Palatino Linotype" w:cs="Tahoma"/>
          <w:bCs/>
          <w:iCs/>
          <w:sz w:val="22"/>
          <w:szCs w:val="22"/>
        </w:rPr>
        <w:t>involucrada</w:t>
      </w:r>
      <w:r w:rsidR="00B014AE">
        <w:rPr>
          <w:rFonts w:ascii="Palatino Linotype" w:hAnsi="Palatino Linotype" w:cs="Tahoma"/>
          <w:bCs/>
          <w:iCs/>
          <w:sz w:val="22"/>
          <w:szCs w:val="22"/>
        </w:rPr>
        <w:t>s</w:t>
      </w:r>
      <w:proofErr w:type="gramEnd"/>
      <w:r w:rsidRPr="007E6A8A">
        <w:rPr>
          <w:rFonts w:ascii="Palatino Linotype" w:hAnsi="Palatino Linotype" w:cs="Tahoma"/>
          <w:bCs/>
          <w:iCs/>
          <w:sz w:val="22"/>
          <w:szCs w:val="22"/>
        </w:rPr>
        <w:t xml:space="preserve">, en el pago de estos, en el presente caso, del pago del Impuesto Sobre el Producto del Trabajo. </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8960BE" w:rsidRDefault="00D5190D" w:rsidP="008373CE">
      <w:pPr>
        <w:spacing w:line="360" w:lineRule="auto"/>
        <w:ind w:left="567" w:right="539"/>
        <w:jc w:val="both"/>
        <w:rPr>
          <w:rFonts w:ascii="Palatino Linotype" w:hAnsi="Palatino Linotype" w:cs="Tahoma"/>
          <w:bCs/>
          <w:iCs/>
          <w:szCs w:val="22"/>
        </w:rPr>
      </w:pPr>
      <w:r w:rsidRPr="008960BE">
        <w:rPr>
          <w:rFonts w:ascii="Palatino Linotype" w:hAnsi="Palatino Linotype" w:cs="Tahoma"/>
          <w:bCs/>
          <w:iCs/>
          <w:szCs w:val="22"/>
        </w:rPr>
        <w:t>“</w:t>
      </w:r>
      <w:r w:rsidRPr="008960BE">
        <w:rPr>
          <w:rFonts w:ascii="Palatino Linotype" w:hAnsi="Palatino Linotype" w:cs="Tahoma"/>
          <w:b/>
          <w:bCs/>
          <w:iCs/>
          <w:szCs w:val="22"/>
        </w:rPr>
        <w:t>Registro Federal de Contribuyentes (RFC) de personas físicas</w:t>
      </w:r>
      <w:r w:rsidRPr="008960BE">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E6A8A" w:rsidRDefault="00D5190D" w:rsidP="008373CE">
      <w:pPr>
        <w:spacing w:line="360" w:lineRule="auto"/>
        <w:ind w:right="-93"/>
        <w:jc w:val="both"/>
        <w:rPr>
          <w:rFonts w:ascii="Palatino Linotype" w:hAnsi="Palatino Linotype" w:cs="Tahoma"/>
          <w:bCs/>
          <w:iCs/>
          <w:sz w:val="22"/>
          <w:szCs w:val="22"/>
        </w:rPr>
      </w:pPr>
      <w:r w:rsidRPr="007E6A8A">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7E6A8A">
        <w:rPr>
          <w:rFonts w:ascii="Palatino Linotype" w:hAnsi="Palatino Linotype" w:cs="Tahoma"/>
          <w:bCs/>
          <w:iCs/>
          <w:sz w:val="22"/>
          <w:szCs w:val="22"/>
        </w:rPr>
        <w:lastRenderedPageBreak/>
        <w:t>actualizar el supuesto normativo del artículo 143, fracción I de la Ley de Transparencia y Acceso a la Información Pública del Estado de México y Municipios.</w:t>
      </w:r>
    </w:p>
    <w:p w:rsidR="00D5190D" w:rsidRPr="007E6A8A" w:rsidRDefault="00D5190D" w:rsidP="008373CE">
      <w:pPr>
        <w:spacing w:line="360" w:lineRule="auto"/>
        <w:ind w:right="-93"/>
        <w:jc w:val="both"/>
        <w:rPr>
          <w:rFonts w:ascii="Palatino Linotype" w:hAnsi="Palatino Linotype" w:cs="Tahoma"/>
          <w:bCs/>
          <w:iCs/>
          <w:sz w:val="22"/>
          <w:szCs w:val="22"/>
        </w:rPr>
      </w:pPr>
    </w:p>
    <w:p w:rsidR="00D5190D" w:rsidRPr="007D5D27" w:rsidRDefault="00D5190D" w:rsidP="008373CE">
      <w:pPr>
        <w:pStyle w:val="Prrafodelista"/>
        <w:numPr>
          <w:ilvl w:val="0"/>
          <w:numId w:val="24"/>
        </w:numPr>
        <w:spacing w:line="360" w:lineRule="auto"/>
        <w:ind w:right="-93"/>
        <w:jc w:val="both"/>
        <w:rPr>
          <w:rFonts w:ascii="Palatino Linotype" w:hAnsi="Palatino Linotype" w:cs="Tahoma"/>
          <w:b/>
          <w:szCs w:val="22"/>
        </w:rPr>
      </w:pPr>
      <w:r>
        <w:rPr>
          <w:rFonts w:ascii="Palatino Linotype" w:hAnsi="Palatino Linotype" w:cs="Tahoma"/>
          <w:b/>
          <w:szCs w:val="22"/>
        </w:rPr>
        <w:t>Clave Única de Registro de Población (</w:t>
      </w:r>
      <w:r w:rsidRPr="007D5D27">
        <w:rPr>
          <w:rFonts w:ascii="Palatino Linotype" w:hAnsi="Palatino Linotype" w:cs="Tahoma"/>
          <w:b/>
          <w:szCs w:val="22"/>
        </w:rPr>
        <w:t>CURP</w:t>
      </w:r>
      <w:r>
        <w:rPr>
          <w:rFonts w:ascii="Palatino Linotype" w:hAnsi="Palatino Linotype" w:cs="Tahoma"/>
          <w:b/>
          <w:szCs w:val="22"/>
        </w:rPr>
        <w:t>)</w:t>
      </w:r>
      <w:r w:rsidRPr="007D5D27">
        <w:rPr>
          <w:rFonts w:ascii="Palatino Linotype" w:hAnsi="Palatino Linotype" w:cs="Tahoma"/>
          <w:b/>
          <w:szCs w:val="22"/>
        </w:rPr>
        <w:t>.</w:t>
      </w:r>
    </w:p>
    <w:p w:rsidR="00B014AE" w:rsidRDefault="00B014AE" w:rsidP="008373CE">
      <w:pPr>
        <w:spacing w:line="360" w:lineRule="auto"/>
        <w:contextualSpacing/>
        <w:jc w:val="both"/>
        <w:rPr>
          <w:rFonts w:ascii="Palatino Linotype" w:hAnsi="Palatino Linotype" w:cs="Tahoma"/>
          <w:sz w:val="22"/>
          <w:szCs w:val="22"/>
          <w:lang w:eastAsia="es-MX"/>
        </w:rPr>
      </w:pP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D5190D" w:rsidRPr="007D5D27" w:rsidRDefault="00D5190D" w:rsidP="008373CE">
      <w:pPr>
        <w:spacing w:line="360" w:lineRule="auto"/>
        <w:contextualSpacing/>
        <w:jc w:val="both"/>
        <w:rPr>
          <w:rFonts w:ascii="Palatino Linotype" w:hAnsi="Palatino Linotype" w:cs="Tahoma"/>
          <w:sz w:val="22"/>
          <w:szCs w:val="22"/>
          <w:lang w:eastAsia="es-MX"/>
        </w:rPr>
      </w:pP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D5190D" w:rsidRPr="007D5D27" w:rsidRDefault="00D5190D" w:rsidP="008373CE">
      <w:pPr>
        <w:spacing w:line="360" w:lineRule="auto"/>
        <w:contextualSpacing/>
        <w:jc w:val="both"/>
        <w:rPr>
          <w:rFonts w:ascii="Palatino Linotype" w:hAnsi="Palatino Linotype" w:cs="Tahoma"/>
          <w:sz w:val="22"/>
          <w:szCs w:val="22"/>
          <w:lang w:eastAsia="es-MX"/>
        </w:rPr>
      </w:pP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D5190D" w:rsidRPr="007D5D27" w:rsidRDefault="00D5190D" w:rsidP="008373CE">
      <w:pPr>
        <w:spacing w:line="360" w:lineRule="auto"/>
        <w:contextualSpacing/>
        <w:jc w:val="both"/>
        <w:rPr>
          <w:rFonts w:ascii="Palatino Linotype" w:hAnsi="Palatino Linotype" w:cs="Tahoma"/>
          <w:sz w:val="22"/>
          <w:szCs w:val="22"/>
          <w:lang w:eastAsia="es-MX"/>
        </w:rPr>
      </w:pP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De conformidad con lo precisado por la propia Secretaría de Gobernación en la dirección </w:t>
      </w:r>
      <w:hyperlink r:id="rId11" w:history="1">
        <w:r w:rsidRPr="007D5D27">
          <w:rPr>
            <w:rStyle w:val="Hipervnculo"/>
            <w:rFonts w:ascii="Palatino Linotype" w:hAnsi="Palatino Linotype" w:cs="Tahoma"/>
            <w:sz w:val="22"/>
            <w:szCs w:val="22"/>
            <w:lang w:eastAsia="es-MX"/>
          </w:rPr>
          <w:t>https://consultas.curp.gob.mx/CurpSP/html/informacionecurpPS.html</w:t>
        </w:r>
      </w:hyperlink>
      <w:r w:rsidRPr="007D5D27">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D5D27">
        <w:rPr>
          <w:rFonts w:ascii="Palatino Linotype" w:hAnsi="Palatino Linotype" w:cs="Tahoma"/>
          <w:b/>
          <w:sz w:val="22"/>
          <w:szCs w:val="22"/>
          <w:lang w:eastAsia="es-MX"/>
        </w:rPr>
        <w:t>se generan a partir de los datos contenidos en el documento probatorio de la identidad</w:t>
      </w:r>
      <w:r w:rsidRPr="007D5D27">
        <w:rPr>
          <w:rFonts w:ascii="Palatino Linotype" w:hAnsi="Palatino Linotype" w:cs="Tahoma"/>
          <w:sz w:val="22"/>
          <w:szCs w:val="22"/>
          <w:lang w:eastAsia="es-MX"/>
        </w:rPr>
        <w:t xml:space="preserve"> </w:t>
      </w:r>
      <w:r w:rsidRPr="007D5D27">
        <w:rPr>
          <w:rFonts w:ascii="Palatino Linotype" w:hAnsi="Palatino Linotype" w:cs="Tahoma"/>
          <w:b/>
          <w:sz w:val="22"/>
          <w:szCs w:val="22"/>
          <w:lang w:eastAsia="es-MX"/>
        </w:rPr>
        <w:t xml:space="preserve">del interesado </w:t>
      </w:r>
      <w:r w:rsidRPr="007D5D27">
        <w:rPr>
          <w:rFonts w:ascii="Palatino Linotype" w:hAnsi="Palatino Linotype" w:cs="Tahoma"/>
          <w:sz w:val="22"/>
          <w:szCs w:val="22"/>
          <w:lang w:eastAsia="es-MX"/>
        </w:rPr>
        <w:t>(acta de nacimiento, carta de naturalización o documento migratorio) de la siguiente forma:</w:t>
      </w:r>
    </w:p>
    <w:p w:rsidR="00D5190D" w:rsidRPr="007D5D27" w:rsidRDefault="00D5190D" w:rsidP="008373CE">
      <w:pPr>
        <w:spacing w:line="360" w:lineRule="auto"/>
        <w:contextualSpacing/>
        <w:jc w:val="both"/>
        <w:rPr>
          <w:rFonts w:ascii="Palatino Linotype" w:hAnsi="Palatino Linotype" w:cs="Tahoma"/>
          <w:sz w:val="22"/>
          <w:szCs w:val="22"/>
          <w:lang w:eastAsia="es-MX"/>
        </w:rPr>
      </w:pP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lastRenderedPageBreak/>
        <w:t xml:space="preserve"> • El primero y segundo apellidos, así como al nombre de pila.</w:t>
      </w: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 • La fecha de nacimiento.</w:t>
      </w: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 • El sexo.</w:t>
      </w: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 • La entidad federativa de nacimiento.</w:t>
      </w:r>
    </w:p>
    <w:p w:rsidR="00D5190D" w:rsidRPr="007D5D27" w:rsidRDefault="00D5190D" w:rsidP="008373CE">
      <w:pPr>
        <w:spacing w:line="360" w:lineRule="auto"/>
        <w:contextualSpacing/>
        <w:jc w:val="both"/>
        <w:rPr>
          <w:rFonts w:ascii="Palatino Linotype" w:hAnsi="Palatino Linotype" w:cs="Tahoma"/>
          <w:sz w:val="22"/>
          <w:szCs w:val="22"/>
          <w:lang w:eastAsia="es-MX"/>
        </w:rPr>
      </w:pP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Los dos últimos elementos de la </w:t>
      </w:r>
      <w:r w:rsidR="00B014AE" w:rsidRPr="00B014AE">
        <w:rPr>
          <w:rFonts w:ascii="Palatino Linotype" w:hAnsi="Palatino Linotype" w:cs="Tahoma"/>
          <w:sz w:val="22"/>
          <w:szCs w:val="22"/>
          <w:lang w:eastAsia="es-MX"/>
        </w:rPr>
        <w:t xml:space="preserve">Clave Única de Registro de Población </w:t>
      </w:r>
      <w:r w:rsidRPr="007D5D27">
        <w:rPr>
          <w:rFonts w:ascii="Palatino Linotype" w:hAnsi="Palatino Linotype" w:cs="Tahoma"/>
          <w:sz w:val="22"/>
          <w:szCs w:val="22"/>
          <w:lang w:eastAsia="es-MX"/>
        </w:rPr>
        <w:t>evitan la duplicidad de la Clave y garantizan su correcta integración.</w:t>
      </w:r>
    </w:p>
    <w:p w:rsidR="00D5190D" w:rsidRPr="007D5D27" w:rsidRDefault="00D5190D" w:rsidP="008373CE">
      <w:pPr>
        <w:spacing w:line="360" w:lineRule="auto"/>
        <w:contextualSpacing/>
        <w:jc w:val="both"/>
        <w:rPr>
          <w:rFonts w:ascii="Palatino Linotype" w:hAnsi="Palatino Linotype" w:cs="Tahoma"/>
          <w:sz w:val="22"/>
          <w:szCs w:val="22"/>
          <w:lang w:eastAsia="es-MX"/>
        </w:rPr>
      </w:pPr>
    </w:p>
    <w:p w:rsidR="00D5190D" w:rsidRPr="007D5D27" w:rsidRDefault="00D5190D" w:rsidP="008373CE">
      <w:pPr>
        <w:spacing w:line="360" w:lineRule="auto"/>
        <w:contextualSpacing/>
        <w:jc w:val="both"/>
        <w:rPr>
          <w:rFonts w:ascii="Palatino Linotype" w:hAnsi="Palatino Linotype" w:cs="Tahoma"/>
          <w:sz w:val="22"/>
          <w:szCs w:val="22"/>
        </w:rPr>
      </w:pPr>
      <w:r w:rsidRPr="007D5D27">
        <w:rPr>
          <w:rFonts w:ascii="Palatino Linotype" w:hAnsi="Palatino Linotype" w:cs="Tahoma"/>
          <w:sz w:val="22"/>
          <w:szCs w:val="22"/>
        </w:rPr>
        <w:t xml:space="preserve">Como se desprende de lo anterior, la </w:t>
      </w:r>
      <w:r w:rsidR="00B014AE" w:rsidRPr="00B014AE">
        <w:rPr>
          <w:rFonts w:ascii="Palatino Linotype" w:hAnsi="Palatino Linotype" w:cs="Tahoma"/>
          <w:sz w:val="22"/>
          <w:szCs w:val="22"/>
          <w:lang w:eastAsia="es-MX"/>
        </w:rPr>
        <w:t>Clave Única de Registro de Población</w:t>
      </w:r>
      <w:r w:rsidR="00B014AE">
        <w:rPr>
          <w:rFonts w:ascii="Palatino Linotype" w:hAnsi="Palatino Linotype" w:cs="Tahoma"/>
          <w:sz w:val="22"/>
          <w:szCs w:val="22"/>
        </w:rPr>
        <w:t xml:space="preserve"> </w:t>
      </w:r>
      <w:r w:rsidRPr="007D5D27">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D5190D" w:rsidRPr="007D5D27" w:rsidRDefault="00D5190D" w:rsidP="008373CE">
      <w:pPr>
        <w:spacing w:line="360" w:lineRule="auto"/>
        <w:contextualSpacing/>
        <w:jc w:val="both"/>
        <w:rPr>
          <w:rFonts w:ascii="Palatino Linotype" w:hAnsi="Palatino Linotype" w:cs="Tahoma"/>
          <w:sz w:val="22"/>
          <w:szCs w:val="22"/>
        </w:rPr>
      </w:pP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Resulta aplicable en la especie, como argumento orientador, el Criterio 3/10, emitido por el </w:t>
      </w:r>
      <w:r w:rsidR="00B014AE">
        <w:rPr>
          <w:rFonts w:ascii="Palatino Linotype" w:hAnsi="Palatino Linotype" w:cs="Tahoma"/>
          <w:sz w:val="22"/>
          <w:szCs w:val="22"/>
          <w:lang w:eastAsia="es-MX"/>
        </w:rPr>
        <w:t>Instituto Nacional de Transparencia, Acceso a la Información y Protección de Datos Personales</w:t>
      </w:r>
      <w:r w:rsidRPr="007D5D27">
        <w:rPr>
          <w:rFonts w:ascii="Palatino Linotype" w:hAnsi="Palatino Linotype" w:cs="Tahoma"/>
          <w:sz w:val="22"/>
          <w:szCs w:val="22"/>
          <w:lang w:eastAsia="es-MX"/>
        </w:rPr>
        <w:t>.</w:t>
      </w:r>
    </w:p>
    <w:p w:rsidR="00D5190D" w:rsidRDefault="00D5190D" w:rsidP="008373CE">
      <w:pPr>
        <w:autoSpaceDE w:val="0"/>
        <w:autoSpaceDN w:val="0"/>
        <w:adjustRightInd w:val="0"/>
        <w:spacing w:line="360" w:lineRule="auto"/>
        <w:ind w:left="567" w:right="567"/>
        <w:jc w:val="both"/>
        <w:rPr>
          <w:rFonts w:ascii="Palatino Linotype" w:eastAsia="Calibri" w:hAnsi="Palatino Linotype" w:cs="Tahoma"/>
          <w:b/>
          <w:bCs/>
          <w:color w:val="000000"/>
          <w:szCs w:val="22"/>
        </w:rPr>
      </w:pPr>
    </w:p>
    <w:p w:rsidR="00D5190D" w:rsidRPr="007D5D27" w:rsidRDefault="00D5190D" w:rsidP="008373CE">
      <w:pPr>
        <w:autoSpaceDE w:val="0"/>
        <w:autoSpaceDN w:val="0"/>
        <w:adjustRightInd w:val="0"/>
        <w:spacing w:line="360" w:lineRule="auto"/>
        <w:ind w:left="567" w:right="567"/>
        <w:jc w:val="both"/>
        <w:rPr>
          <w:rFonts w:ascii="Palatino Linotype" w:eastAsia="Calibri" w:hAnsi="Palatino Linotype" w:cs="Tahoma"/>
          <w:color w:val="000000"/>
          <w:szCs w:val="22"/>
        </w:rPr>
      </w:pPr>
      <w:r w:rsidRPr="007D5D27">
        <w:rPr>
          <w:rFonts w:ascii="Palatino Linotype" w:eastAsia="Calibri" w:hAnsi="Palatino Linotype" w:cs="Tahoma"/>
          <w:b/>
          <w:bCs/>
          <w:color w:val="000000"/>
          <w:szCs w:val="22"/>
        </w:rPr>
        <w:t xml:space="preserve">Clave Única de Registro de Población (CURP) es un dato personal confidencial. </w:t>
      </w:r>
      <w:r w:rsidRPr="007D5D27">
        <w:rPr>
          <w:rFonts w:ascii="Palatino Linotype" w:eastAsia="Calibri" w:hAnsi="Palatino Linotype" w:cs="Tahoma"/>
          <w:color w:val="000000"/>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7D5D27">
        <w:rPr>
          <w:rFonts w:ascii="Palatino Linotype" w:eastAsia="Calibri" w:hAnsi="Palatino Linotype" w:cs="Tahoma"/>
          <w:color w:val="000000"/>
          <w:szCs w:val="22"/>
        </w:rPr>
        <w:lastRenderedPageBreak/>
        <w:t xml:space="preserve">información que lo distingue plenamente del resto de los habitantes, por lo que es de carácter confidencial, en términos de lo dispuesto en el artículos anteriormente señalados. </w:t>
      </w:r>
    </w:p>
    <w:p w:rsidR="00B014AE" w:rsidRDefault="00B014AE" w:rsidP="008373CE">
      <w:pPr>
        <w:spacing w:line="360" w:lineRule="auto"/>
        <w:jc w:val="both"/>
        <w:rPr>
          <w:rFonts w:ascii="Palatino Linotype" w:hAnsi="Palatino Linotype" w:cs="Tahoma"/>
          <w:sz w:val="22"/>
          <w:szCs w:val="22"/>
        </w:rPr>
      </w:pPr>
    </w:p>
    <w:p w:rsidR="00D5190D" w:rsidRDefault="00D5190D" w:rsidP="008373CE">
      <w:pPr>
        <w:spacing w:line="360" w:lineRule="auto"/>
        <w:jc w:val="both"/>
        <w:rPr>
          <w:rFonts w:ascii="Palatino Linotype" w:hAnsi="Palatino Linotype" w:cs="Tahoma"/>
          <w:sz w:val="22"/>
          <w:szCs w:val="22"/>
        </w:rPr>
      </w:pPr>
      <w:r w:rsidRPr="007D5D27">
        <w:rPr>
          <w:rFonts w:ascii="Palatino Linotype" w:hAnsi="Palatino Linotype" w:cs="Tahoma"/>
          <w:sz w:val="22"/>
          <w:szCs w:val="22"/>
        </w:rPr>
        <w:t xml:space="preserve">De acuerdo con lo </w:t>
      </w:r>
      <w:r>
        <w:rPr>
          <w:rFonts w:ascii="Palatino Linotype" w:hAnsi="Palatino Linotype" w:cs="Tahoma"/>
          <w:sz w:val="22"/>
          <w:szCs w:val="22"/>
        </w:rPr>
        <w:t>anterior, se ordena la</w:t>
      </w:r>
      <w:r w:rsidRPr="007D5D27">
        <w:rPr>
          <w:rFonts w:ascii="Palatino Linotype" w:hAnsi="Palatino Linotype" w:cs="Tahoma"/>
          <w:sz w:val="22"/>
          <w:szCs w:val="22"/>
        </w:rPr>
        <w:t xml:space="preserve"> clasificación de la CURP, por tratarse de un dato personal confidencial, en términos del artículo 143, fracción I de la Ley de Transparencia y Acceso a la Información Pública del Estado de México y Municipios. </w:t>
      </w:r>
    </w:p>
    <w:p w:rsidR="00B014AE" w:rsidRPr="007D5D27" w:rsidRDefault="00B014AE" w:rsidP="008373CE">
      <w:pPr>
        <w:spacing w:line="360" w:lineRule="auto"/>
        <w:jc w:val="both"/>
        <w:rPr>
          <w:rFonts w:ascii="Palatino Linotype" w:hAnsi="Palatino Linotype" w:cs="Tahoma"/>
          <w:sz w:val="22"/>
          <w:szCs w:val="22"/>
        </w:rPr>
      </w:pPr>
    </w:p>
    <w:p w:rsidR="00D5190D" w:rsidRPr="00A53A13" w:rsidRDefault="00D5190D" w:rsidP="008373CE">
      <w:pPr>
        <w:pStyle w:val="Prrafodelista"/>
        <w:numPr>
          <w:ilvl w:val="0"/>
          <w:numId w:val="24"/>
        </w:numPr>
        <w:spacing w:line="360" w:lineRule="auto"/>
        <w:jc w:val="both"/>
        <w:rPr>
          <w:rFonts w:ascii="Palatino Linotype" w:hAnsi="Palatino Linotype" w:cs="Tahoma"/>
          <w:b/>
          <w:szCs w:val="22"/>
          <w:lang w:eastAsia="es-MX"/>
        </w:rPr>
      </w:pPr>
      <w:r w:rsidRPr="00A53A13">
        <w:rPr>
          <w:rFonts w:ascii="Palatino Linotype" w:hAnsi="Palatino Linotype" w:cs="Tahoma"/>
          <w:b/>
          <w:szCs w:val="22"/>
        </w:rPr>
        <w:t>Clave ISSEMYM</w:t>
      </w:r>
      <w:r w:rsidRPr="00A53A13">
        <w:rPr>
          <w:rFonts w:ascii="Palatino Linotype" w:hAnsi="Palatino Linotype" w:cs="Tahoma"/>
          <w:b/>
          <w:szCs w:val="22"/>
          <w:lang w:eastAsia="es-MX"/>
        </w:rPr>
        <w:t xml:space="preserve"> </w:t>
      </w:r>
    </w:p>
    <w:p w:rsidR="00D5190D" w:rsidRPr="007D5D27" w:rsidRDefault="00D5190D" w:rsidP="008373CE">
      <w:pPr>
        <w:pStyle w:val="Prrafodelista"/>
        <w:spacing w:line="360" w:lineRule="auto"/>
        <w:jc w:val="both"/>
        <w:rPr>
          <w:rFonts w:ascii="Palatino Linotype" w:hAnsi="Palatino Linotype" w:cs="Tahoma"/>
          <w:lang w:eastAsia="es-MX"/>
        </w:rPr>
      </w:pPr>
    </w:p>
    <w:p w:rsidR="00D5190D" w:rsidRPr="007D5D27" w:rsidRDefault="00D5190D" w:rsidP="008373CE">
      <w:pPr>
        <w:spacing w:line="360" w:lineRule="auto"/>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D5190D" w:rsidRPr="007D5D27" w:rsidRDefault="00D5190D" w:rsidP="008373CE">
      <w:pPr>
        <w:spacing w:line="360" w:lineRule="auto"/>
        <w:jc w:val="both"/>
        <w:rPr>
          <w:rFonts w:ascii="Palatino Linotype" w:hAnsi="Palatino Linotype" w:cs="Tahoma"/>
          <w:sz w:val="22"/>
          <w:szCs w:val="22"/>
          <w:lang w:eastAsia="es-MX"/>
        </w:rPr>
      </w:pPr>
    </w:p>
    <w:p w:rsidR="00D5190D" w:rsidRPr="007D5D27" w:rsidRDefault="00D5190D" w:rsidP="008373CE">
      <w:pPr>
        <w:spacing w:line="360" w:lineRule="auto"/>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7D5D27">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D5190D" w:rsidRPr="007D5D27" w:rsidRDefault="00D5190D" w:rsidP="008373CE">
      <w:pPr>
        <w:pStyle w:val="Prrafodelista"/>
        <w:spacing w:line="360" w:lineRule="auto"/>
        <w:jc w:val="both"/>
        <w:rPr>
          <w:rFonts w:ascii="Palatino Linotype" w:hAnsi="Palatino Linotype" w:cs="Tahoma"/>
          <w:lang w:eastAsia="es-MX"/>
        </w:rPr>
      </w:pPr>
    </w:p>
    <w:p w:rsidR="00D5190D" w:rsidRPr="007D5D27" w:rsidRDefault="00D5190D" w:rsidP="008373CE">
      <w:pPr>
        <w:spacing w:line="360" w:lineRule="auto"/>
        <w:contextualSpacing/>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7D5D27">
        <w:rPr>
          <w:rFonts w:ascii="Palatino Linotype" w:hAnsi="Palatino Linotype" w:cs="Tahoma"/>
          <w:sz w:val="22"/>
          <w:szCs w:val="22"/>
          <w:lang w:eastAsia="es-MX"/>
        </w:rPr>
        <w:lastRenderedPageBreak/>
        <w:t>ISSEMYM no cambia, aunque el trabajador se dé de baja y alta en diversas ocasiones, con motivo de haber trabajado en diferentes instituciones públicas de la Entidad.</w:t>
      </w:r>
    </w:p>
    <w:p w:rsidR="00D5190D" w:rsidRPr="007D5D27" w:rsidRDefault="00D5190D" w:rsidP="008373CE">
      <w:pPr>
        <w:pStyle w:val="Prrafodelista"/>
        <w:spacing w:line="360" w:lineRule="auto"/>
        <w:jc w:val="both"/>
        <w:rPr>
          <w:rFonts w:ascii="Palatino Linotype" w:hAnsi="Palatino Linotype" w:cs="Tahoma"/>
          <w:lang w:eastAsia="es-MX"/>
        </w:rPr>
      </w:pPr>
    </w:p>
    <w:p w:rsidR="00D5190D" w:rsidRDefault="00D5190D" w:rsidP="008373CE">
      <w:pPr>
        <w:spacing w:line="360" w:lineRule="auto"/>
        <w:ind w:right="-93"/>
        <w:jc w:val="both"/>
        <w:rPr>
          <w:rFonts w:ascii="Palatino Linotype" w:hAnsi="Palatino Linotype" w:cs="Tahoma"/>
          <w:sz w:val="22"/>
          <w:szCs w:val="22"/>
          <w:lang w:eastAsia="es-MX"/>
        </w:rPr>
      </w:pPr>
      <w:r w:rsidRPr="007D5D27">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w:t>
      </w:r>
      <w:r w:rsidR="00B014AE">
        <w:rPr>
          <w:rFonts w:ascii="Palatino Linotype" w:hAnsi="Palatino Linotype" w:cs="Tahoma"/>
          <w:sz w:val="22"/>
          <w:szCs w:val="22"/>
          <w:lang w:eastAsia="es-MX"/>
        </w:rPr>
        <w:t>más</w:t>
      </w:r>
      <w:r>
        <w:rPr>
          <w:rFonts w:ascii="Palatino Linotype" w:hAnsi="Palatino Linotype" w:cs="Tahoma"/>
          <w:sz w:val="22"/>
          <w:szCs w:val="22"/>
          <w:lang w:eastAsia="es-MX"/>
        </w:rPr>
        <w:t xml:space="preserve"> bien,</w:t>
      </w:r>
      <w:r w:rsidRPr="007D5D27">
        <w:rPr>
          <w:rFonts w:ascii="Palatino Linotype" w:hAnsi="Palatino Linotype" w:cs="Tahoma"/>
          <w:sz w:val="22"/>
          <w:szCs w:val="22"/>
          <w:lang w:eastAsia="es-MX"/>
        </w:rPr>
        <w:t xml:space="preserve">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r>
        <w:rPr>
          <w:rFonts w:ascii="Palatino Linotype" w:hAnsi="Palatino Linotype" w:cs="Tahoma"/>
          <w:sz w:val="22"/>
          <w:szCs w:val="22"/>
          <w:lang w:eastAsia="es-MX"/>
        </w:rPr>
        <w:t>.</w:t>
      </w:r>
    </w:p>
    <w:p w:rsidR="00D5190D" w:rsidRDefault="00D5190D" w:rsidP="008373CE">
      <w:pPr>
        <w:spacing w:line="360" w:lineRule="auto"/>
        <w:ind w:right="-93"/>
        <w:jc w:val="both"/>
        <w:rPr>
          <w:rFonts w:ascii="Palatino Linotype" w:hAnsi="Palatino Linotype" w:cs="Tahoma"/>
          <w:sz w:val="22"/>
          <w:szCs w:val="22"/>
          <w:lang w:eastAsia="es-MX"/>
        </w:rPr>
      </w:pPr>
    </w:p>
    <w:p w:rsidR="00D5190D" w:rsidRPr="004E12DE" w:rsidRDefault="00D5190D" w:rsidP="008373CE">
      <w:pPr>
        <w:pStyle w:val="Prrafodelista"/>
        <w:numPr>
          <w:ilvl w:val="0"/>
          <w:numId w:val="24"/>
        </w:numPr>
        <w:spacing w:line="360" w:lineRule="auto"/>
        <w:ind w:right="-93"/>
        <w:jc w:val="both"/>
        <w:rPr>
          <w:rFonts w:ascii="Palatino Linotype" w:hAnsi="Palatino Linotype" w:cs="Tahoma"/>
          <w:b/>
          <w:szCs w:val="22"/>
        </w:rPr>
      </w:pPr>
      <w:r w:rsidRPr="004E12DE">
        <w:rPr>
          <w:rFonts w:ascii="Palatino Linotype" w:hAnsi="Palatino Linotype" w:cs="Tahoma"/>
          <w:b/>
          <w:bCs/>
          <w:iCs/>
          <w:szCs w:val="22"/>
        </w:rPr>
        <w:t>Préstamos o descuentos que se le hagan al servidor público.</w:t>
      </w:r>
    </w:p>
    <w:p w:rsidR="00D5190D" w:rsidRDefault="00D5190D" w:rsidP="008373CE">
      <w:pPr>
        <w:spacing w:line="360" w:lineRule="auto"/>
        <w:ind w:right="-93"/>
        <w:jc w:val="both"/>
        <w:rPr>
          <w:rFonts w:ascii="Palatino Linotype" w:hAnsi="Palatino Linotype" w:cs="Tahoma"/>
          <w:sz w:val="22"/>
          <w:szCs w:val="22"/>
        </w:rPr>
      </w:pPr>
    </w:p>
    <w:p w:rsidR="00D5190D" w:rsidRDefault="00D5190D" w:rsidP="008373CE">
      <w:pPr>
        <w:spacing w:line="360" w:lineRule="auto"/>
        <w:ind w:right="-93"/>
        <w:jc w:val="both"/>
        <w:rPr>
          <w:rFonts w:ascii="Palatino Linotype" w:hAnsi="Palatino Linotype" w:cs="Tahoma"/>
          <w:sz w:val="22"/>
          <w:szCs w:val="22"/>
        </w:rPr>
      </w:pPr>
      <w:r w:rsidRPr="004E12DE">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r w:rsidR="007C130D">
        <w:rPr>
          <w:rFonts w:ascii="Palatino Linotype" w:hAnsi="Palatino Linotype" w:cs="Tahoma"/>
          <w:sz w:val="22"/>
          <w:szCs w:val="22"/>
        </w:rPr>
        <w:t>, así como descuentos por obras de beneficencia</w:t>
      </w:r>
      <w:r w:rsidRPr="004E12DE">
        <w:rPr>
          <w:rFonts w:ascii="Palatino Linotype" w:hAnsi="Palatino Linotype" w:cs="Tahoma"/>
          <w:sz w:val="22"/>
          <w:szCs w:val="22"/>
        </w:rPr>
        <w:t>.</w:t>
      </w:r>
    </w:p>
    <w:p w:rsidR="00D5190D" w:rsidRDefault="00D5190D" w:rsidP="008373CE">
      <w:pPr>
        <w:spacing w:line="360" w:lineRule="auto"/>
        <w:ind w:right="-93"/>
        <w:jc w:val="both"/>
        <w:rPr>
          <w:rFonts w:ascii="Palatino Linotype" w:hAnsi="Palatino Linotype" w:cs="Tahoma"/>
          <w:sz w:val="22"/>
          <w:szCs w:val="22"/>
        </w:rPr>
      </w:pPr>
    </w:p>
    <w:p w:rsidR="00D5190D" w:rsidRPr="004E12DE" w:rsidRDefault="00D5190D" w:rsidP="008373CE">
      <w:pPr>
        <w:spacing w:line="360" w:lineRule="auto"/>
        <w:ind w:right="-93"/>
        <w:jc w:val="both"/>
        <w:rPr>
          <w:rFonts w:ascii="Palatino Linotype" w:hAnsi="Palatino Linotype" w:cs="Tahoma"/>
          <w:sz w:val="22"/>
          <w:szCs w:val="22"/>
        </w:rPr>
      </w:pPr>
      <w:r w:rsidRPr="004E12DE">
        <w:rPr>
          <w:rFonts w:ascii="Palatino Linotype" w:hAnsi="Palatino Linotype" w:cs="Tahoma"/>
          <w:sz w:val="22"/>
          <w:szCs w:val="22"/>
        </w:rPr>
        <w:t xml:space="preserve"> Asimismo, pueden existir deducciones que se generan con motivo de una sentencia judicial, como es la pensión alimenticia que periódicamente se deposita en la cuenta de un trabajador, o bien, que se retira de</w:t>
      </w:r>
      <w:r w:rsidR="002C0C32">
        <w:rPr>
          <w:rFonts w:ascii="Palatino Linotype" w:hAnsi="Palatino Linotype" w:cs="Tahoma"/>
          <w:sz w:val="22"/>
          <w:szCs w:val="22"/>
        </w:rPr>
        <w:t xml:space="preserve">l sueldo </w:t>
      </w:r>
      <w:r w:rsidRPr="004E12DE">
        <w:rPr>
          <w:rFonts w:ascii="Palatino Linotype" w:hAnsi="Palatino Linotype" w:cs="Tahoma"/>
          <w:sz w:val="22"/>
          <w:szCs w:val="22"/>
        </w:rPr>
        <w:t xml:space="preserve">de un empleado, a efecto de que sea entregado a un tercero.  </w:t>
      </w:r>
    </w:p>
    <w:p w:rsidR="00D5190D" w:rsidRPr="004E12DE" w:rsidRDefault="00D5190D" w:rsidP="008373CE">
      <w:pPr>
        <w:spacing w:line="360" w:lineRule="auto"/>
        <w:ind w:right="-93"/>
        <w:jc w:val="both"/>
        <w:rPr>
          <w:rFonts w:ascii="Palatino Linotype" w:hAnsi="Palatino Linotype" w:cs="Tahoma"/>
          <w:sz w:val="22"/>
          <w:szCs w:val="22"/>
        </w:rPr>
      </w:pPr>
    </w:p>
    <w:p w:rsidR="00D5190D" w:rsidRPr="004E12DE" w:rsidRDefault="00D5190D" w:rsidP="008373CE">
      <w:pPr>
        <w:spacing w:line="360" w:lineRule="auto"/>
        <w:ind w:right="-93"/>
        <w:jc w:val="both"/>
        <w:rPr>
          <w:rFonts w:ascii="Palatino Linotype" w:hAnsi="Palatino Linotype" w:cs="Tahoma"/>
          <w:sz w:val="22"/>
          <w:szCs w:val="22"/>
        </w:rPr>
      </w:pPr>
      <w:r w:rsidRPr="004E12DE">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w:t>
      </w:r>
      <w:r w:rsidR="008F3C36">
        <w:rPr>
          <w:rFonts w:ascii="Palatino Linotype" w:hAnsi="Palatino Linotype" w:cs="Tahoma"/>
          <w:sz w:val="22"/>
          <w:szCs w:val="22"/>
        </w:rPr>
        <w:t xml:space="preserve">o cumplir con alguna responsabilidad, </w:t>
      </w:r>
      <w:r w:rsidRPr="004E12DE">
        <w:rPr>
          <w:rFonts w:ascii="Palatino Linotype" w:hAnsi="Palatino Linotype" w:cs="Tahoma"/>
          <w:sz w:val="22"/>
          <w:szCs w:val="22"/>
        </w:rPr>
        <w:t xml:space="preserve">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rsidR="00D5190D" w:rsidRPr="004E12DE" w:rsidRDefault="00D5190D" w:rsidP="008373CE">
      <w:pPr>
        <w:spacing w:line="360" w:lineRule="auto"/>
        <w:ind w:right="-93"/>
        <w:jc w:val="both"/>
        <w:rPr>
          <w:rFonts w:ascii="Palatino Linotype" w:hAnsi="Palatino Linotype" w:cs="Tahoma"/>
          <w:sz w:val="22"/>
          <w:szCs w:val="22"/>
        </w:rPr>
      </w:pPr>
    </w:p>
    <w:p w:rsidR="00D5190D" w:rsidRDefault="00D5190D" w:rsidP="008373CE">
      <w:pPr>
        <w:spacing w:line="360" w:lineRule="auto"/>
        <w:ind w:right="-93"/>
        <w:jc w:val="both"/>
        <w:rPr>
          <w:rFonts w:ascii="Palatino Linotype" w:hAnsi="Palatino Linotype" w:cs="Tahoma"/>
          <w:sz w:val="22"/>
          <w:szCs w:val="22"/>
        </w:rPr>
      </w:pPr>
      <w:r w:rsidRPr="00E03B74">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rsidR="005A387D" w:rsidRDefault="005A387D" w:rsidP="008373CE">
      <w:pPr>
        <w:spacing w:line="360" w:lineRule="auto"/>
        <w:ind w:right="-93"/>
        <w:jc w:val="both"/>
        <w:rPr>
          <w:rFonts w:ascii="Palatino Linotype" w:hAnsi="Palatino Linotype" w:cs="Tahoma"/>
          <w:sz w:val="22"/>
          <w:szCs w:val="22"/>
        </w:rPr>
      </w:pPr>
    </w:p>
    <w:p w:rsidR="005A387D" w:rsidRDefault="005A387D" w:rsidP="005A387D">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No se deja de lado que </w:t>
      </w:r>
      <w:r w:rsidR="00087124">
        <w:rPr>
          <w:rFonts w:ascii="Palatino Linotype" w:hAnsi="Palatino Linotype" w:cs="Tahoma"/>
          <w:sz w:val="22"/>
          <w:szCs w:val="22"/>
          <w:lang w:eastAsia="es-MX"/>
        </w:rPr>
        <w:t>dentro de los recibos de nómina puede encontrarse también</w:t>
      </w:r>
      <w:r>
        <w:rPr>
          <w:rFonts w:ascii="Palatino Linotype" w:hAnsi="Palatino Linotype" w:cs="Tahoma"/>
          <w:sz w:val="22"/>
          <w:szCs w:val="22"/>
          <w:lang w:eastAsia="es-MX"/>
        </w:rPr>
        <w:t xml:space="preserve"> la información sobre policías y</w:t>
      </w:r>
      <w:r w:rsidR="00087124">
        <w:rPr>
          <w:rFonts w:ascii="Palatino Linotype" w:hAnsi="Palatino Linotype" w:cs="Tahoma"/>
          <w:sz w:val="22"/>
          <w:szCs w:val="22"/>
          <w:lang w:eastAsia="es-MX"/>
        </w:rPr>
        <w:t>,</w:t>
      </w:r>
      <w:r>
        <w:rPr>
          <w:rFonts w:ascii="Palatino Linotype" w:hAnsi="Palatino Linotype" w:cs="Tahoma"/>
          <w:sz w:val="22"/>
          <w:szCs w:val="22"/>
          <w:lang w:eastAsia="es-MX"/>
        </w:rPr>
        <w:t xml:space="preserve"> ha sido criterio del Pleno de este Instituto que la información sobre los elementos de seguridad con funciones operativas puede actualizar el supuesto de reserva establecido en el artículo 140, fracción IV, de la Ley de Transparencia y Acceso a la Información Pública del Estado de México y Municipios, referente a poner en riesgo la vida, salud o seguridad de las personas.</w:t>
      </w:r>
    </w:p>
    <w:p w:rsidR="005A387D" w:rsidRDefault="005A387D" w:rsidP="005A387D">
      <w:pPr>
        <w:spacing w:line="360" w:lineRule="auto"/>
        <w:contextualSpacing/>
        <w:jc w:val="both"/>
        <w:rPr>
          <w:rFonts w:ascii="Palatino Linotype" w:hAnsi="Palatino Linotype" w:cs="Tahoma"/>
          <w:sz w:val="22"/>
          <w:szCs w:val="22"/>
          <w:lang w:eastAsia="es-MX"/>
        </w:rPr>
      </w:pPr>
    </w:p>
    <w:p w:rsidR="005A387D" w:rsidRPr="009A0C8C" w:rsidRDefault="005A387D" w:rsidP="005A387D">
      <w:pPr>
        <w:tabs>
          <w:tab w:val="left" w:pos="4962"/>
        </w:tabs>
        <w:spacing w:line="360" w:lineRule="auto"/>
        <w:jc w:val="both"/>
        <w:rPr>
          <w:rFonts w:ascii="Palatino Linotype" w:hAnsi="Palatino Linotype" w:cs="Tahoma"/>
          <w:sz w:val="22"/>
          <w:szCs w:val="22"/>
        </w:rPr>
      </w:pPr>
      <w:r w:rsidRPr="009A0C8C">
        <w:rPr>
          <w:rFonts w:ascii="Palatino Linotype" w:hAnsi="Palatino Linotype" w:cs="Tahoma"/>
          <w:sz w:val="22"/>
          <w:szCs w:val="22"/>
        </w:rPr>
        <w:t xml:space="preserve">En ese sentido, el artículo </w:t>
      </w:r>
      <w:r w:rsidRPr="009A0C8C">
        <w:rPr>
          <w:rFonts w:ascii="Palatino Linotype" w:eastAsia="Calibri" w:hAnsi="Palatino Linotype" w:cs="Tahoma"/>
          <w:bCs/>
          <w:sz w:val="22"/>
          <w:szCs w:val="22"/>
          <w:lang w:eastAsia="en-US"/>
        </w:rPr>
        <w:t>49, fracción II</w:t>
      </w:r>
      <w:r>
        <w:rPr>
          <w:rFonts w:ascii="Palatino Linotype" w:eastAsia="Calibri" w:hAnsi="Palatino Linotype" w:cs="Tahoma"/>
          <w:bCs/>
          <w:sz w:val="22"/>
          <w:szCs w:val="22"/>
          <w:lang w:eastAsia="en-US"/>
        </w:rPr>
        <w:t>,</w:t>
      </w:r>
      <w:r w:rsidRPr="009A0C8C">
        <w:rPr>
          <w:rFonts w:ascii="Palatino Linotype" w:eastAsia="Calibri" w:hAnsi="Palatino Linotype" w:cs="Tahoma"/>
          <w:bCs/>
          <w:sz w:val="22"/>
          <w:szCs w:val="22"/>
          <w:lang w:eastAsia="en-US"/>
        </w:rPr>
        <w:t xml:space="preserve"> de la Ley en cita, establece la atribución del Comité de Transparencia </w:t>
      </w:r>
      <w:r>
        <w:rPr>
          <w:rFonts w:ascii="Palatino Linotype" w:eastAsia="Calibri" w:hAnsi="Palatino Linotype" w:cs="Tahoma"/>
          <w:bCs/>
          <w:sz w:val="22"/>
          <w:szCs w:val="22"/>
          <w:lang w:eastAsia="en-US"/>
        </w:rPr>
        <w:t xml:space="preserve">de los Sujetos Obligados </w:t>
      </w:r>
      <w:r w:rsidRPr="009A0C8C">
        <w:rPr>
          <w:rFonts w:ascii="Palatino Linotype" w:eastAsia="Calibri" w:hAnsi="Palatino Linotype" w:cs="Tahoma"/>
          <w:bCs/>
          <w:sz w:val="22"/>
          <w:szCs w:val="22"/>
          <w:lang w:eastAsia="en-US"/>
        </w:rPr>
        <w:t xml:space="preserve">para confirmar o revocar la clasificación realizada por los titulares de las áreas de los sujetos obligados; el artículo 128 del mismo ordenamiento, precisa que </w:t>
      </w:r>
      <w:r w:rsidRPr="009A0C8C">
        <w:rPr>
          <w:rFonts w:ascii="Palatino Linotype" w:hAnsi="Palatino Linotype" w:cs="Tahoma"/>
          <w:sz w:val="22"/>
          <w:szCs w:val="22"/>
        </w:rPr>
        <w:t>para motivar la clasificación de la información reservada, se deberán señalar las razones, motivos o circunstancias especiales que llevaron al sujeto obligado a concluir que el caso particular se ajusta al supuesto normativo y  aplicar una prueba de daño.</w:t>
      </w:r>
    </w:p>
    <w:p w:rsidR="005A387D" w:rsidRPr="009A0C8C" w:rsidRDefault="005A387D" w:rsidP="005A387D">
      <w:pPr>
        <w:tabs>
          <w:tab w:val="left" w:pos="4962"/>
        </w:tabs>
        <w:spacing w:line="360" w:lineRule="auto"/>
        <w:jc w:val="both"/>
        <w:rPr>
          <w:rFonts w:ascii="Palatino Linotype" w:hAnsi="Palatino Linotype" w:cs="Tahoma"/>
          <w:sz w:val="22"/>
          <w:szCs w:val="22"/>
        </w:rPr>
      </w:pPr>
    </w:p>
    <w:p w:rsidR="005A387D" w:rsidRPr="009A0C8C" w:rsidRDefault="005A387D" w:rsidP="005A387D">
      <w:pPr>
        <w:spacing w:line="360" w:lineRule="auto"/>
        <w:ind w:right="-93"/>
        <w:jc w:val="both"/>
        <w:rPr>
          <w:rFonts w:ascii="Palatino Linotype" w:eastAsia="Calibri" w:hAnsi="Palatino Linotype" w:cs="Tahoma"/>
          <w:bCs/>
          <w:sz w:val="22"/>
          <w:szCs w:val="22"/>
          <w:lang w:eastAsia="en-US"/>
        </w:rPr>
      </w:pPr>
      <w:r w:rsidRPr="009A0C8C">
        <w:rPr>
          <w:rFonts w:ascii="Palatino Linotype" w:eastAsia="Calibri" w:hAnsi="Palatino Linotype" w:cs="Tahoma"/>
          <w:bCs/>
          <w:sz w:val="22"/>
          <w:szCs w:val="22"/>
          <w:lang w:eastAsia="en-US"/>
        </w:rPr>
        <w:t>Ahora bien, en atención a lo indicado por el artículo 129 de la Ley de Transparencia y Acceso a la Información Pública del Estado de México y Municipios, en la aplic</w:t>
      </w:r>
      <w:r w:rsidR="00087124">
        <w:rPr>
          <w:rFonts w:ascii="Palatino Linotype" w:eastAsia="Calibri" w:hAnsi="Palatino Linotype" w:cs="Tahoma"/>
          <w:bCs/>
          <w:sz w:val="22"/>
          <w:szCs w:val="22"/>
          <w:lang w:eastAsia="en-US"/>
        </w:rPr>
        <w:t>ación de la prueba de daño, el S</w:t>
      </w:r>
      <w:r w:rsidRPr="009A0C8C">
        <w:rPr>
          <w:rFonts w:ascii="Palatino Linotype" w:eastAsia="Calibri" w:hAnsi="Palatino Linotype" w:cs="Tahoma"/>
          <w:bCs/>
          <w:sz w:val="22"/>
          <w:szCs w:val="22"/>
          <w:lang w:eastAsia="en-US"/>
        </w:rPr>
        <w:t xml:space="preserve">ujeto </w:t>
      </w:r>
      <w:r w:rsidR="00087124">
        <w:rPr>
          <w:rFonts w:ascii="Palatino Linotype" w:eastAsia="Calibri" w:hAnsi="Palatino Linotype" w:cs="Tahoma"/>
          <w:bCs/>
          <w:sz w:val="22"/>
          <w:szCs w:val="22"/>
          <w:lang w:eastAsia="en-US"/>
        </w:rPr>
        <w:t>O</w:t>
      </w:r>
      <w:r w:rsidRPr="009A0C8C">
        <w:rPr>
          <w:rFonts w:ascii="Palatino Linotype" w:eastAsia="Calibri" w:hAnsi="Palatino Linotype" w:cs="Tahoma"/>
          <w:bCs/>
          <w:sz w:val="22"/>
          <w:szCs w:val="22"/>
          <w:lang w:eastAsia="en-US"/>
        </w:rPr>
        <w:t>bligado deberá precisar las razones objetivas por las que la apertura de la información generaría una afectación, justificando que:</w:t>
      </w:r>
    </w:p>
    <w:p w:rsidR="005A387D" w:rsidRPr="009A0C8C" w:rsidRDefault="005A387D" w:rsidP="005A387D">
      <w:pPr>
        <w:spacing w:line="360" w:lineRule="auto"/>
        <w:ind w:right="-93"/>
        <w:jc w:val="both"/>
        <w:rPr>
          <w:rFonts w:ascii="Palatino Linotype" w:eastAsia="Calibri" w:hAnsi="Palatino Linotype" w:cs="Tahoma"/>
          <w:b/>
          <w:bCs/>
          <w:sz w:val="22"/>
          <w:szCs w:val="22"/>
          <w:lang w:eastAsia="en-US"/>
        </w:rPr>
      </w:pPr>
    </w:p>
    <w:p w:rsidR="005A387D" w:rsidRPr="009A0C8C" w:rsidRDefault="005A387D" w:rsidP="005A387D">
      <w:pPr>
        <w:pStyle w:val="Prrafodelista"/>
        <w:numPr>
          <w:ilvl w:val="0"/>
          <w:numId w:val="30"/>
        </w:numPr>
        <w:spacing w:line="360" w:lineRule="auto"/>
        <w:ind w:right="-93"/>
        <w:jc w:val="both"/>
        <w:rPr>
          <w:rFonts w:ascii="Palatino Linotype" w:eastAsia="Calibri" w:hAnsi="Palatino Linotype" w:cs="Tahoma"/>
          <w:bCs/>
          <w:szCs w:val="22"/>
          <w:lang w:eastAsia="en-US"/>
        </w:rPr>
      </w:pPr>
      <w:r w:rsidRPr="009A0C8C">
        <w:rPr>
          <w:rFonts w:ascii="Palatino Linotype" w:eastAsia="Calibri" w:hAnsi="Palatino Linotype" w:cs="Tahoma"/>
          <w:bCs/>
          <w:szCs w:val="22"/>
          <w:lang w:eastAsia="en-US"/>
        </w:rPr>
        <w:t>La divulgación de la información representa un riesgo real, demostrable e identificable del perjuicio significativo al interés público o a la seguridad pública;</w:t>
      </w:r>
    </w:p>
    <w:p w:rsidR="005A387D" w:rsidRPr="009A0C8C" w:rsidRDefault="005A387D" w:rsidP="005A387D">
      <w:pPr>
        <w:pStyle w:val="Prrafodelista"/>
        <w:numPr>
          <w:ilvl w:val="0"/>
          <w:numId w:val="30"/>
        </w:numPr>
        <w:spacing w:line="360" w:lineRule="auto"/>
        <w:ind w:right="-93"/>
        <w:jc w:val="both"/>
        <w:rPr>
          <w:rFonts w:ascii="Palatino Linotype" w:eastAsia="Calibri" w:hAnsi="Palatino Linotype" w:cs="Tahoma"/>
          <w:bCs/>
          <w:szCs w:val="22"/>
          <w:lang w:eastAsia="en-US"/>
        </w:rPr>
      </w:pPr>
      <w:r w:rsidRPr="009A0C8C">
        <w:rPr>
          <w:rFonts w:ascii="Palatino Linotype" w:eastAsia="Calibri" w:hAnsi="Palatino Linotype" w:cs="Tahoma"/>
          <w:bCs/>
          <w:szCs w:val="22"/>
          <w:lang w:eastAsia="en-US"/>
        </w:rPr>
        <w:t>El riesgo de perjuicio que supondría la divulgación supera el interés público general de que se difunda; y</w:t>
      </w:r>
    </w:p>
    <w:p w:rsidR="005A387D" w:rsidRPr="009A0C8C" w:rsidRDefault="005A387D" w:rsidP="005A387D">
      <w:pPr>
        <w:pStyle w:val="Prrafodelista"/>
        <w:numPr>
          <w:ilvl w:val="0"/>
          <w:numId w:val="30"/>
        </w:numPr>
        <w:spacing w:line="360" w:lineRule="auto"/>
        <w:ind w:right="-93"/>
        <w:jc w:val="both"/>
        <w:rPr>
          <w:rFonts w:ascii="Palatino Linotype" w:eastAsia="Calibri" w:hAnsi="Palatino Linotype" w:cs="Tahoma"/>
          <w:bCs/>
          <w:szCs w:val="22"/>
          <w:lang w:eastAsia="en-US"/>
        </w:rPr>
      </w:pPr>
      <w:r w:rsidRPr="009A0C8C">
        <w:rPr>
          <w:rFonts w:ascii="Palatino Linotype" w:eastAsia="Calibri" w:hAnsi="Palatino Linotype" w:cs="Tahoma"/>
          <w:bCs/>
          <w:szCs w:val="22"/>
          <w:lang w:eastAsia="en-US"/>
        </w:rPr>
        <w:lastRenderedPageBreak/>
        <w:t>La limitación se adecua al principio de proporcionalidad y representa el medio menos restrictivo disponible representa el medio menos restrictivo disponible para evitar el perjuicio.</w:t>
      </w:r>
    </w:p>
    <w:p w:rsidR="005A387D" w:rsidRPr="009A0C8C" w:rsidRDefault="005A387D" w:rsidP="005A387D">
      <w:pPr>
        <w:tabs>
          <w:tab w:val="left" w:pos="4962"/>
        </w:tabs>
        <w:spacing w:line="360" w:lineRule="auto"/>
        <w:jc w:val="both"/>
        <w:rPr>
          <w:rFonts w:ascii="Palatino Linotype" w:hAnsi="Palatino Linotype" w:cs="Tahoma"/>
          <w:sz w:val="22"/>
          <w:szCs w:val="22"/>
        </w:rPr>
      </w:pPr>
    </w:p>
    <w:p w:rsidR="005A387D" w:rsidRPr="009A0C8C" w:rsidRDefault="005A387D" w:rsidP="005A387D">
      <w:pPr>
        <w:tabs>
          <w:tab w:val="left" w:pos="4962"/>
        </w:tabs>
        <w:spacing w:line="360" w:lineRule="auto"/>
        <w:jc w:val="both"/>
        <w:rPr>
          <w:rFonts w:ascii="Palatino Linotype" w:hAnsi="Palatino Linotype" w:cs="Tahoma"/>
          <w:i/>
          <w:sz w:val="22"/>
          <w:szCs w:val="22"/>
        </w:rPr>
      </w:pPr>
      <w:r w:rsidRPr="009A0C8C">
        <w:rPr>
          <w:rFonts w:ascii="Palatino Linotype" w:hAnsi="Palatino Linotype" w:cs="Tahoma"/>
          <w:sz w:val="22"/>
          <w:szCs w:val="22"/>
        </w:rPr>
        <w:t xml:space="preserve">El artículo 130 de la Ley de referencia, establece que los sujetos obligados podrán aplicar las excepciones al derecho de acceso de información cuando acrediten la procedencia para los casos de reserva o confidencialidad previstas en la Ley de la materia. Por consiguiente, al clasificar la información como reservada será necesario que se </w:t>
      </w:r>
      <w:r w:rsidRPr="009A0C8C">
        <w:rPr>
          <w:rFonts w:ascii="Palatino Linotype" w:hAnsi="Palatino Linotype" w:cs="Tahoma"/>
          <w:b/>
          <w:sz w:val="22"/>
          <w:szCs w:val="22"/>
          <w:u w:val="single"/>
        </w:rPr>
        <w:t>funde y motive la clasificación de la información  a través de una prueba de daño</w:t>
      </w:r>
      <w:r w:rsidRPr="009A0C8C">
        <w:rPr>
          <w:rFonts w:ascii="Palatino Linotype" w:hAnsi="Palatino Linotype" w:cs="Tahoma"/>
          <w:sz w:val="22"/>
          <w:szCs w:val="22"/>
        </w:rPr>
        <w:t>.</w:t>
      </w:r>
    </w:p>
    <w:p w:rsidR="005A387D" w:rsidRPr="009A0C8C" w:rsidRDefault="005A387D" w:rsidP="005A387D">
      <w:pPr>
        <w:spacing w:line="360" w:lineRule="auto"/>
        <w:ind w:right="-93"/>
        <w:jc w:val="both"/>
        <w:rPr>
          <w:rFonts w:ascii="Palatino Linotype" w:eastAsia="Calibri" w:hAnsi="Palatino Linotype" w:cs="Tahoma"/>
          <w:b/>
          <w:bCs/>
          <w:sz w:val="22"/>
          <w:szCs w:val="22"/>
          <w:lang w:eastAsia="en-US"/>
        </w:rPr>
      </w:pPr>
    </w:p>
    <w:p w:rsidR="005A387D" w:rsidRPr="009A0C8C" w:rsidRDefault="005A387D" w:rsidP="005A387D">
      <w:pPr>
        <w:tabs>
          <w:tab w:val="left" w:pos="4962"/>
        </w:tabs>
        <w:spacing w:line="360" w:lineRule="auto"/>
        <w:jc w:val="both"/>
        <w:rPr>
          <w:rFonts w:ascii="Palatino Linotype" w:eastAsia="Calibri" w:hAnsi="Palatino Linotype" w:cs="Tahoma"/>
          <w:iCs/>
          <w:sz w:val="22"/>
          <w:szCs w:val="22"/>
          <w:lang w:eastAsia="es-ES_tradnl"/>
        </w:rPr>
      </w:pPr>
      <w:r w:rsidRPr="009A0C8C">
        <w:rPr>
          <w:rFonts w:ascii="Palatino Linotype" w:eastAsia="Calibri" w:hAnsi="Palatino Linotype" w:cs="Tahoma"/>
          <w:iCs/>
          <w:sz w:val="22"/>
          <w:szCs w:val="22"/>
          <w:lang w:eastAsia="es-ES_tradnl"/>
        </w:rPr>
        <w:t xml:space="preserve">Por su parte, el Vigésimo tercero de los Lineamientos generales en materia de clasificación y desclasificación de la información, así como para la elaboración de versiones públicas, aplicables a todos los sujetos obligados, publicados en el Diario Oficial de la Federación, el quince de abril de dos mil dieciséis, indica que para clasificar la información como reservada, de conformidad con el artículo 113, fracción V, de la Ley General de Transparencia y Acceso a la Información Pública (homólogo del 140, fracción IV, de la Ley de Transparencia y Acceso a la Información Pública del Estado de México y Municipios), </w:t>
      </w:r>
      <w:r w:rsidRPr="009A0C8C">
        <w:rPr>
          <w:rFonts w:ascii="Palatino Linotype" w:eastAsia="Calibri" w:hAnsi="Palatino Linotype" w:cs="Tahoma"/>
          <w:b/>
          <w:iCs/>
          <w:sz w:val="22"/>
          <w:szCs w:val="22"/>
          <w:lang w:eastAsia="es-ES_tradnl"/>
        </w:rPr>
        <w:t>será necesario acreditar un vínculo, entre la persona física y la información que pueda poner en riesgo su vida, seguridad o salud.</w:t>
      </w:r>
    </w:p>
    <w:p w:rsidR="005A387D" w:rsidRPr="009A0C8C" w:rsidRDefault="005A387D" w:rsidP="005A387D">
      <w:pPr>
        <w:spacing w:line="360" w:lineRule="auto"/>
        <w:ind w:right="-93"/>
        <w:jc w:val="both"/>
        <w:rPr>
          <w:rFonts w:ascii="Palatino Linotype" w:hAnsi="Palatino Linotype" w:cs="Tahoma"/>
          <w:sz w:val="22"/>
          <w:szCs w:val="22"/>
        </w:rPr>
      </w:pPr>
    </w:p>
    <w:p w:rsidR="005A387D" w:rsidRPr="009A0C8C" w:rsidRDefault="005A387D" w:rsidP="005A387D">
      <w:pPr>
        <w:tabs>
          <w:tab w:val="left" w:pos="4962"/>
        </w:tabs>
        <w:spacing w:line="360" w:lineRule="auto"/>
        <w:jc w:val="both"/>
        <w:rPr>
          <w:rFonts w:ascii="Palatino Linotype" w:hAnsi="Palatino Linotype" w:cs="Tahoma"/>
          <w:sz w:val="22"/>
          <w:szCs w:val="22"/>
        </w:rPr>
      </w:pPr>
      <w:r w:rsidRPr="009A0C8C">
        <w:rPr>
          <w:rFonts w:ascii="Palatino Linotype" w:hAnsi="Palatino Linotype" w:cs="Tahoma"/>
          <w:sz w:val="22"/>
          <w:szCs w:val="22"/>
        </w:rPr>
        <w:t xml:space="preserve">En este punto, se desprende que el Sujeto Obligado para acreditar el vínculo antes mencionado, se basa en establecer que la divulgación de </w:t>
      </w:r>
      <w:r w:rsidRPr="009A0C8C">
        <w:rPr>
          <w:rFonts w:ascii="Palatino Linotype" w:hAnsi="Palatino Linotype" w:cs="Tahoma"/>
          <w:b/>
          <w:sz w:val="22"/>
          <w:szCs w:val="22"/>
        </w:rPr>
        <w:t xml:space="preserve">los nombres del personal administrativo </w:t>
      </w:r>
      <w:r w:rsidRPr="009A0C8C">
        <w:rPr>
          <w:rFonts w:ascii="Palatino Linotype" w:hAnsi="Palatino Linotype" w:cs="Tahoma"/>
          <w:sz w:val="22"/>
          <w:szCs w:val="22"/>
        </w:rPr>
        <w:t xml:space="preserve">representa un riesgo real y </w:t>
      </w:r>
      <w:r>
        <w:rPr>
          <w:rFonts w:ascii="Palatino Linotype" w:hAnsi="Palatino Linotype" w:cs="Tahoma"/>
          <w:sz w:val="22"/>
          <w:szCs w:val="22"/>
        </w:rPr>
        <w:t xml:space="preserve">demostrable, en caso de </w:t>
      </w:r>
      <w:r w:rsidRPr="009A0C8C">
        <w:rPr>
          <w:rFonts w:ascii="Palatino Linotype" w:hAnsi="Palatino Linotype" w:cs="Tahoma"/>
          <w:sz w:val="22"/>
          <w:szCs w:val="22"/>
        </w:rPr>
        <w:t>que reali</w:t>
      </w:r>
      <w:r>
        <w:rPr>
          <w:rFonts w:ascii="Palatino Linotype" w:hAnsi="Palatino Linotype" w:cs="Tahoma"/>
          <w:sz w:val="22"/>
          <w:szCs w:val="22"/>
        </w:rPr>
        <w:t>cen</w:t>
      </w:r>
      <w:r w:rsidRPr="009A0C8C">
        <w:rPr>
          <w:rFonts w:ascii="Palatino Linotype" w:hAnsi="Palatino Linotype" w:cs="Tahoma"/>
          <w:sz w:val="22"/>
          <w:szCs w:val="22"/>
        </w:rPr>
        <w:t xml:space="preserve"> </w:t>
      </w:r>
      <w:r w:rsidRPr="009A0C8C">
        <w:rPr>
          <w:rFonts w:ascii="Palatino Linotype" w:hAnsi="Palatino Linotype" w:cs="Tahoma"/>
          <w:b/>
          <w:sz w:val="22"/>
          <w:szCs w:val="22"/>
        </w:rPr>
        <w:t>funciones de investigación</w:t>
      </w:r>
      <w:r>
        <w:rPr>
          <w:rFonts w:ascii="Palatino Linotype" w:hAnsi="Palatino Linotype" w:cs="Tahoma"/>
          <w:b/>
          <w:sz w:val="22"/>
          <w:szCs w:val="22"/>
        </w:rPr>
        <w:t xml:space="preserve"> y</w:t>
      </w:r>
      <w:r w:rsidRPr="009A0C8C">
        <w:rPr>
          <w:rFonts w:ascii="Palatino Linotype" w:hAnsi="Palatino Linotype" w:cs="Tahoma"/>
          <w:b/>
          <w:sz w:val="22"/>
          <w:szCs w:val="22"/>
        </w:rPr>
        <w:t xml:space="preserve"> persecución de delitos </w:t>
      </w:r>
      <w:r w:rsidRPr="009A0C8C">
        <w:rPr>
          <w:rFonts w:ascii="Palatino Linotype" w:hAnsi="Palatino Linotype" w:cs="Tahoma"/>
          <w:sz w:val="22"/>
          <w:szCs w:val="22"/>
        </w:rPr>
        <w:t xml:space="preserve">por lo que su publicación podría conllevar un riesgo a su integridad física. </w:t>
      </w:r>
    </w:p>
    <w:p w:rsidR="005A387D" w:rsidRPr="009A0C8C" w:rsidRDefault="005A387D" w:rsidP="005A387D">
      <w:pPr>
        <w:tabs>
          <w:tab w:val="left" w:pos="4962"/>
        </w:tabs>
        <w:spacing w:line="360" w:lineRule="auto"/>
        <w:jc w:val="both"/>
        <w:rPr>
          <w:rFonts w:ascii="Palatino Linotype" w:hAnsi="Palatino Linotype" w:cs="Tahoma"/>
          <w:sz w:val="22"/>
          <w:szCs w:val="22"/>
        </w:rPr>
      </w:pPr>
    </w:p>
    <w:p w:rsidR="005A387D" w:rsidRPr="00514022" w:rsidRDefault="005A387D" w:rsidP="005A387D">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lastRenderedPageBreak/>
        <w:t xml:space="preserve">Para ahondar en lo anterior, es importante resaltar los argumentos que el Ministro José Cossío Díaz, expresó en su Voto Particular del </w:t>
      </w:r>
      <w:r>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en Materia de Seguridad Nacional número 1/2015</w:t>
      </w:r>
      <w:r>
        <w:rPr>
          <w:rFonts w:ascii="Palatino Linotype" w:eastAsia="Calibri" w:hAnsi="Palatino Linotype" w:cs="Tahoma"/>
          <w:bCs/>
          <w:sz w:val="22"/>
          <w:szCs w:val="22"/>
          <w:lang w:val="es-ES" w:eastAsia="en-US"/>
        </w:rPr>
        <w:t xml:space="preserve"> (consultable en la dirección electrónica </w:t>
      </w:r>
      <w:hyperlink r:id="rId12" w:history="1">
        <w:r w:rsidRPr="009A0C8C">
          <w:rPr>
            <w:rStyle w:val="Hipervnculo"/>
            <w:rFonts w:ascii="Palatino Linotype" w:hAnsi="Palatino Linotype"/>
            <w:sz w:val="22"/>
            <w:szCs w:val="22"/>
          </w:rPr>
          <w:t>http://www2.scjn.gob.mx/ConsultaTematica/PaginasPub/DetallePub.aspx?AsuntoID=187344</w:t>
        </w:r>
      </w:hyperlink>
      <w:r w:rsidRPr="009A0C8C">
        <w:rPr>
          <w:rStyle w:val="Hipervnculo"/>
          <w:rFonts w:ascii="Palatino Linotype" w:hAnsi="Palatino Linotype"/>
          <w:sz w:val="22"/>
          <w:szCs w:val="22"/>
        </w:rPr>
        <w:t>)</w:t>
      </w:r>
      <w:r w:rsidRPr="00B517D5">
        <w:rPr>
          <w:rFonts w:ascii="Palatino Linotype" w:eastAsia="Calibri" w:hAnsi="Palatino Linotype" w:cs="Tahoma"/>
          <w:bCs/>
          <w:sz w:val="22"/>
          <w:szCs w:val="22"/>
          <w:lang w:val="es-ES" w:eastAsia="en-US"/>
        </w:rPr>
        <w:t xml:space="preserve"> , que, si bien </w:t>
      </w:r>
      <w:r w:rsidRPr="00514022">
        <w:rPr>
          <w:rFonts w:ascii="Palatino Linotype" w:eastAsia="Calibri" w:hAnsi="Palatino Linotype" w:cs="Tahoma"/>
          <w:bCs/>
          <w:sz w:val="22"/>
          <w:szCs w:val="22"/>
          <w:lang w:val="es-ES" w:eastAsia="en-US"/>
        </w:rPr>
        <w:t>es cierto no se encuentra íntimamente relacionado con la materia de seguridad pública, lo cierto es que brinda luz sobre el tratamiento particular que debe regir toda excepción del ejercicio del derecho de acceso a la información, tal como se muestran a continuación:</w:t>
      </w:r>
    </w:p>
    <w:p w:rsidR="005A387D" w:rsidRPr="00514022" w:rsidRDefault="005A387D" w:rsidP="005A387D">
      <w:pPr>
        <w:spacing w:line="360" w:lineRule="auto"/>
        <w:jc w:val="both"/>
        <w:rPr>
          <w:rFonts w:ascii="Palatino Linotype" w:eastAsia="Calibri" w:hAnsi="Palatino Linotype" w:cs="Tahoma"/>
          <w:bCs/>
          <w:sz w:val="22"/>
          <w:szCs w:val="22"/>
          <w:lang w:val="es-ES" w:eastAsia="en-US"/>
        </w:rPr>
      </w:pPr>
    </w:p>
    <w:p w:rsidR="005A387D" w:rsidRPr="00514022" w:rsidRDefault="005A387D" w:rsidP="005A387D">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a)</w:t>
      </w:r>
      <w:r w:rsidRPr="00514022">
        <w:rPr>
          <w:rFonts w:ascii="Palatino Linotype" w:eastAsia="Calibri" w:hAnsi="Palatino Linotype" w:cs="Tahoma"/>
          <w:bCs/>
          <w:lang w:val="es-ES" w:eastAsia="en-US"/>
        </w:rPr>
        <w:tab/>
        <w:t xml:space="preserve">El derecho de acceso a la información pública gubernamental debe ser el enfoque principal del recurso. Tomando en consideración que el derecho se rige por el principio de máxima publicidad en la divulgación de información, los supuestos para la reserva de información deben ser interpretados de manera restrictiva. Por ello, el análisis no debe versar sobre el concepto abstracto de seguridad nacional, sino concretamente sobre </w:t>
      </w:r>
      <w:proofErr w:type="gramStart"/>
      <w:r w:rsidRPr="00514022">
        <w:rPr>
          <w:rFonts w:ascii="Palatino Linotype" w:eastAsia="Calibri" w:hAnsi="Palatino Linotype" w:cs="Tahoma"/>
          <w:bCs/>
          <w:lang w:val="es-ES" w:eastAsia="en-US"/>
        </w:rPr>
        <w:t>la amplitud del ejercicio de un derecho humano frente a las condiciones de seguridad nacional establecidas en el mismo artículo 6 de la Constitución y desarrolladas</w:t>
      </w:r>
      <w:proofErr w:type="gramEnd"/>
      <w:r w:rsidRPr="00514022">
        <w:rPr>
          <w:rFonts w:ascii="Palatino Linotype" w:eastAsia="Calibri" w:hAnsi="Palatino Linotype" w:cs="Tahoma"/>
          <w:bCs/>
          <w:lang w:val="es-ES" w:eastAsia="en-US"/>
        </w:rPr>
        <w:t xml:space="preserve"> en las leyes aplicables.</w:t>
      </w:r>
    </w:p>
    <w:p w:rsidR="005A387D" w:rsidRPr="00514022" w:rsidRDefault="005A387D" w:rsidP="005A387D">
      <w:pPr>
        <w:spacing w:line="360" w:lineRule="auto"/>
        <w:ind w:left="567" w:right="567"/>
        <w:jc w:val="both"/>
        <w:rPr>
          <w:rFonts w:ascii="Palatino Linotype" w:eastAsia="Calibri" w:hAnsi="Palatino Linotype" w:cs="Tahoma"/>
          <w:bCs/>
          <w:lang w:val="es-ES" w:eastAsia="en-US"/>
        </w:rPr>
      </w:pPr>
    </w:p>
    <w:p w:rsidR="005A387D" w:rsidRPr="00514022" w:rsidRDefault="005A387D" w:rsidP="005A387D">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w:t>
      </w:r>
    </w:p>
    <w:p w:rsidR="005A387D" w:rsidRPr="00514022" w:rsidRDefault="005A387D" w:rsidP="005A387D">
      <w:pPr>
        <w:spacing w:line="360" w:lineRule="auto"/>
        <w:ind w:left="567" w:right="567"/>
        <w:jc w:val="both"/>
        <w:rPr>
          <w:rFonts w:ascii="Palatino Linotype" w:eastAsia="Calibri" w:hAnsi="Palatino Linotype" w:cs="Tahoma"/>
          <w:bCs/>
          <w:lang w:val="es-ES" w:eastAsia="en-US"/>
        </w:rPr>
      </w:pPr>
    </w:p>
    <w:p w:rsidR="005A387D" w:rsidRPr="00514022" w:rsidRDefault="005A387D" w:rsidP="005A387D">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Cs/>
          <w:lang w:eastAsia="en-US"/>
        </w:rPr>
        <w:t xml:space="preserve">Asimismo debemos  tomar en cuenta que la cuestión medular en este recurso no es el concepto de seguridad nacional en abstracto sino el alcance del derecho al acceso a la información pública. Así, considero que debe quedar verificado en los agravios y las pruebas aportadas que esta formación de patrones es posible con los datos y por el período de tiempo que se solicita la información o bien comprobar que mediante varias solicitudes lo que se está buscando es conformar este patrón. De otro modo, el contenido del concepto de formación de patrones, teoría del mosaico u otras denominaciones, acaba siendo indeterminado y difuso, y solamente cumpliría la función de permitir cerrar el acceso a la </w:t>
      </w:r>
      <w:r w:rsidRPr="00514022">
        <w:rPr>
          <w:rFonts w:ascii="Palatino Linotype" w:eastAsia="Calibri" w:hAnsi="Palatino Linotype" w:cs="Tahoma"/>
          <w:bCs/>
          <w:lang w:eastAsia="en-US"/>
        </w:rPr>
        <w:lastRenderedPageBreak/>
        <w:t xml:space="preserve">información pública con un concepto arrojadizo por parte de los órganos obligados y del legitimado para interponer este recurso. </w:t>
      </w:r>
    </w:p>
    <w:p w:rsidR="005A387D" w:rsidRPr="00514022" w:rsidRDefault="005A387D" w:rsidP="005A387D">
      <w:pPr>
        <w:spacing w:line="360" w:lineRule="auto"/>
        <w:jc w:val="both"/>
        <w:rPr>
          <w:rFonts w:ascii="Palatino Linotype" w:eastAsia="Calibri" w:hAnsi="Palatino Linotype" w:cs="Tahoma"/>
          <w:bCs/>
          <w:sz w:val="22"/>
          <w:szCs w:val="22"/>
          <w:lang w:val="es-ES" w:eastAsia="en-US"/>
        </w:rPr>
      </w:pPr>
    </w:p>
    <w:p w:rsidR="005A387D" w:rsidRPr="00514022" w:rsidRDefault="005A387D" w:rsidP="005A387D">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Así, de lo anterior se desprende que, contrario a lo que se ha hecho en diversas ocasiones, para determinar si cierta información es de carácter reservado, se debe partir de la amplitud del derecho de acceso de acceso a la información frente a las condiciones, en este caso, de seguridad pública que imperan en un municipio. En otras palabras, debe verificarse que la vinculación del nombre, el cargo como policía y el sueldo que se percibe, anula, impide u obstaculiza la actuación de los servidores públicos que realizan funciones de carácter operativo en cuerpos de seguridad.</w:t>
      </w:r>
    </w:p>
    <w:p w:rsidR="005A387D" w:rsidRPr="00514022" w:rsidRDefault="005A387D" w:rsidP="005A387D">
      <w:pPr>
        <w:spacing w:line="360" w:lineRule="auto"/>
        <w:jc w:val="both"/>
        <w:rPr>
          <w:rFonts w:ascii="Palatino Linotype" w:eastAsia="Calibri" w:hAnsi="Palatino Linotype" w:cs="Tahoma"/>
          <w:bCs/>
          <w:sz w:val="22"/>
          <w:szCs w:val="22"/>
          <w:lang w:val="es-ES" w:eastAsia="en-US"/>
        </w:rPr>
      </w:pPr>
    </w:p>
    <w:p w:rsidR="005A387D" w:rsidRDefault="005A387D" w:rsidP="005A387D">
      <w:pPr>
        <w:spacing w:line="360" w:lineRule="auto"/>
        <w:ind w:right="-93"/>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De </w:t>
      </w:r>
      <w:r>
        <w:rPr>
          <w:rFonts w:ascii="Palatino Linotype" w:eastAsia="Calibri" w:hAnsi="Palatino Linotype" w:cs="Tahoma"/>
          <w:bCs/>
          <w:sz w:val="22"/>
          <w:szCs w:val="22"/>
          <w:lang w:val="es-ES" w:eastAsia="en-US"/>
        </w:rPr>
        <w:t xml:space="preserve">tal suerte, es indispensable que se acredite la prueba da daño a partir de las circunstancias particulares del Ayuntamiento, para que la información deba ser considerada como reservada en términos del artículo 140, fracción IV, de la Ley de la materia y de ser el </w:t>
      </w:r>
      <w:r w:rsidR="00087124">
        <w:rPr>
          <w:rFonts w:ascii="Palatino Linotype" w:eastAsia="Calibri" w:hAnsi="Palatino Linotype" w:cs="Tahoma"/>
          <w:bCs/>
          <w:sz w:val="22"/>
          <w:szCs w:val="22"/>
          <w:lang w:val="es-ES" w:eastAsia="en-US"/>
        </w:rPr>
        <w:t>supuesto</w:t>
      </w:r>
      <w:r>
        <w:rPr>
          <w:rFonts w:ascii="Palatino Linotype" w:eastAsia="Calibri" w:hAnsi="Palatino Linotype" w:cs="Tahoma"/>
          <w:bCs/>
          <w:sz w:val="22"/>
          <w:szCs w:val="22"/>
          <w:lang w:val="es-ES" w:eastAsia="en-US"/>
        </w:rPr>
        <w:t>, se deberá entregar el acuerdo de clasificación emitido por el Comité de Transparencia y, en su caso, es procedente que la información se entregue disociada; esto es, eliminando el nombre de los elementos policiales.</w:t>
      </w:r>
    </w:p>
    <w:p w:rsidR="00087124" w:rsidRDefault="00087124" w:rsidP="00087124">
      <w:pPr>
        <w:spacing w:line="360" w:lineRule="auto"/>
        <w:ind w:right="-93"/>
        <w:jc w:val="both"/>
        <w:rPr>
          <w:rFonts w:ascii="Palatino Linotype" w:hAnsi="Palatino Linotype" w:cs="Tahoma"/>
          <w:bCs/>
          <w:iCs/>
          <w:sz w:val="22"/>
          <w:szCs w:val="22"/>
        </w:rPr>
      </w:pPr>
    </w:p>
    <w:p w:rsidR="00087124" w:rsidRPr="007E6A8A" w:rsidRDefault="00087124" w:rsidP="00087124">
      <w:pPr>
        <w:spacing w:line="360" w:lineRule="auto"/>
        <w:ind w:right="-93"/>
        <w:jc w:val="both"/>
        <w:rPr>
          <w:rFonts w:ascii="Palatino Linotype" w:hAnsi="Palatino Linotype" w:cs="Tahoma"/>
          <w:bCs/>
          <w:iCs/>
          <w:sz w:val="22"/>
          <w:szCs w:val="22"/>
        </w:rPr>
      </w:pPr>
      <w:r w:rsidRPr="00087124">
        <w:rPr>
          <w:rFonts w:ascii="Palatino Linotype" w:hAnsi="Palatino Linotype" w:cs="Tahoma"/>
          <w:bCs/>
          <w:iCs/>
          <w:sz w:val="22"/>
          <w:szCs w:val="22"/>
        </w:rPr>
        <w:t>En ese sentido, conforme al artículo 3°, fracción XLV, relacionado con el 137, ambos de la Ley</w:t>
      </w:r>
      <w:r w:rsidRPr="007E6A8A">
        <w:rPr>
          <w:rFonts w:ascii="Palatino Linotype" w:hAnsi="Palatino Linotype" w:cs="Tahoma"/>
          <w:bCs/>
          <w:iCs/>
          <w:sz w:val="22"/>
          <w:szCs w:val="22"/>
        </w:rPr>
        <w:t xml:space="preserve">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8F3C36" w:rsidRDefault="008F3C36" w:rsidP="008373CE">
      <w:pPr>
        <w:widowControl w:val="0"/>
        <w:spacing w:line="360" w:lineRule="auto"/>
        <w:ind w:right="-91"/>
        <w:jc w:val="both"/>
        <w:rPr>
          <w:rFonts w:ascii="Palatino Linotype" w:eastAsia="Calibri" w:hAnsi="Palatino Linotype" w:cs="Tahoma"/>
          <w:bCs/>
          <w:sz w:val="22"/>
          <w:szCs w:val="22"/>
          <w:lang w:eastAsia="en-US"/>
        </w:rPr>
      </w:pPr>
    </w:p>
    <w:p w:rsidR="00B90C6C" w:rsidRPr="00B044E6" w:rsidRDefault="008373CE" w:rsidP="008373CE">
      <w:pPr>
        <w:pStyle w:val="Prrafodelista"/>
        <w:numPr>
          <w:ilvl w:val="0"/>
          <w:numId w:val="25"/>
        </w:numPr>
        <w:spacing w:line="360" w:lineRule="auto"/>
        <w:ind w:right="-93"/>
        <w:jc w:val="both"/>
        <w:rPr>
          <w:rFonts w:ascii="Palatino Linotype" w:eastAsia="Calibri" w:hAnsi="Palatino Linotype" w:cs="Tahoma"/>
          <w:b/>
          <w:bCs/>
          <w:szCs w:val="22"/>
          <w:lang w:eastAsia="en-US"/>
        </w:rPr>
      </w:pPr>
      <w:r w:rsidRPr="008373CE">
        <w:rPr>
          <w:rFonts w:ascii="Palatino Linotype" w:eastAsia="Calibri" w:hAnsi="Palatino Linotype" w:cs="Tahoma"/>
          <w:b/>
          <w:bCs/>
          <w:iCs/>
          <w:szCs w:val="22"/>
          <w:lang w:eastAsia="en-US"/>
        </w:rPr>
        <w:t>Balanza detallada mensual, del ejercicio dos mil dieciocho</w:t>
      </w:r>
      <w:r w:rsidR="00B044E6" w:rsidRPr="00B044E6">
        <w:rPr>
          <w:rFonts w:ascii="Palatino Linotype" w:eastAsia="Calibri" w:hAnsi="Palatino Linotype" w:cs="Tahoma"/>
          <w:b/>
          <w:bCs/>
          <w:szCs w:val="22"/>
          <w:lang w:eastAsia="en-US"/>
        </w:rPr>
        <w:t>.</w:t>
      </w:r>
    </w:p>
    <w:p w:rsidR="00B049CE" w:rsidRDefault="00B049CE" w:rsidP="008373CE">
      <w:pPr>
        <w:spacing w:line="360" w:lineRule="auto"/>
        <w:ind w:right="-93"/>
        <w:jc w:val="both"/>
        <w:rPr>
          <w:rFonts w:ascii="Palatino Linotype" w:eastAsia="Calibri" w:hAnsi="Palatino Linotype" w:cs="Tahoma"/>
          <w:bCs/>
          <w:sz w:val="22"/>
          <w:szCs w:val="22"/>
          <w:lang w:eastAsia="en-US"/>
        </w:rPr>
      </w:pPr>
    </w:p>
    <w:p w:rsidR="00B049CE" w:rsidRDefault="00B049CE" w:rsidP="008373C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Ahora bien por lo que respecta</w:t>
      </w:r>
      <w:r w:rsidR="00D87BB9">
        <w:rPr>
          <w:rFonts w:ascii="Palatino Linotype" w:eastAsia="Calibri" w:hAnsi="Palatino Linotype" w:cs="Tahoma"/>
          <w:bCs/>
          <w:sz w:val="22"/>
          <w:szCs w:val="22"/>
          <w:lang w:eastAsia="en-US"/>
        </w:rPr>
        <w:t xml:space="preserve"> a</w:t>
      </w:r>
      <w:r>
        <w:rPr>
          <w:rFonts w:ascii="Palatino Linotype" w:eastAsia="Calibri" w:hAnsi="Palatino Linotype" w:cs="Tahoma"/>
          <w:bCs/>
          <w:sz w:val="22"/>
          <w:szCs w:val="22"/>
          <w:lang w:eastAsia="en-US"/>
        </w:rPr>
        <w:t xml:space="preserve"> la parte de las solicitud de información </w:t>
      </w:r>
      <w:r w:rsidR="00D87BB9">
        <w:rPr>
          <w:rFonts w:ascii="Palatino Linotype" w:eastAsia="Calibri" w:hAnsi="Palatino Linotype" w:cs="Tahoma"/>
          <w:bCs/>
          <w:sz w:val="22"/>
          <w:szCs w:val="22"/>
          <w:lang w:eastAsia="en-US"/>
        </w:rPr>
        <w:t xml:space="preserve">sobre </w:t>
      </w:r>
      <w:r>
        <w:rPr>
          <w:rFonts w:ascii="Palatino Linotype" w:eastAsia="Calibri" w:hAnsi="Palatino Linotype" w:cs="Tahoma"/>
          <w:bCs/>
          <w:sz w:val="22"/>
          <w:szCs w:val="22"/>
          <w:lang w:eastAsia="en-US"/>
        </w:rPr>
        <w:t>la Balanza detallada</w:t>
      </w:r>
      <w:r w:rsidR="008373CE">
        <w:rPr>
          <w:rFonts w:ascii="Palatino Linotype" w:eastAsia="Calibri" w:hAnsi="Palatino Linotype" w:cs="Tahoma"/>
          <w:bCs/>
          <w:sz w:val="22"/>
          <w:szCs w:val="22"/>
          <w:lang w:eastAsia="en-US"/>
        </w:rPr>
        <w:t xml:space="preserve"> mensual</w:t>
      </w:r>
      <w:r w:rsidR="008373CE">
        <w:rPr>
          <w:rFonts w:ascii="Palatino Linotype" w:eastAsia="Calibri" w:hAnsi="Palatino Linotype" w:cs="Tahoma"/>
          <w:b/>
          <w:bCs/>
          <w:sz w:val="22"/>
          <w:szCs w:val="22"/>
          <w:lang w:eastAsia="en-US"/>
        </w:rPr>
        <w:t xml:space="preserve">, </w:t>
      </w:r>
      <w:r w:rsidR="008373CE">
        <w:rPr>
          <w:rFonts w:ascii="Palatino Linotype" w:eastAsia="Calibri" w:hAnsi="Palatino Linotype" w:cs="Tahoma"/>
          <w:bCs/>
          <w:sz w:val="22"/>
          <w:szCs w:val="22"/>
          <w:lang w:eastAsia="en-US"/>
        </w:rPr>
        <w:t>resulta necesario traer a colación</w:t>
      </w:r>
      <w:r w:rsidRPr="00B049CE">
        <w:rPr>
          <w:rFonts w:ascii="Palatino Linotype" w:eastAsia="Calibri" w:hAnsi="Palatino Linotype" w:cs="Tahoma"/>
          <w:bCs/>
          <w:sz w:val="22"/>
          <w:szCs w:val="22"/>
          <w:lang w:eastAsia="en-US"/>
        </w:rPr>
        <w:t xml:space="preserve"> el Glosario </w:t>
      </w:r>
      <w:r w:rsidRPr="003B5E72">
        <w:rPr>
          <w:rFonts w:ascii="Palatino Linotype" w:eastAsia="Calibri" w:hAnsi="Palatino Linotype" w:cs="Tahoma"/>
          <w:bCs/>
          <w:sz w:val="22"/>
          <w:szCs w:val="22"/>
          <w:lang w:eastAsia="en-US"/>
        </w:rPr>
        <w:t xml:space="preserve">de términos más usuales en la Administración Pública Federal, emitido por la Secretaría de Hacienda y Crédito Público </w:t>
      </w:r>
      <w:r w:rsidRPr="00B049CE">
        <w:rPr>
          <w:rFonts w:ascii="Palatino Linotype" w:eastAsia="Calibri" w:hAnsi="Palatino Linotype" w:cs="Tahoma"/>
          <w:bCs/>
          <w:sz w:val="22"/>
          <w:szCs w:val="22"/>
          <w:lang w:eastAsia="en-US"/>
        </w:rPr>
        <w:t>(</w:t>
      </w:r>
      <w:hyperlink r:id="rId13" w:history="1">
        <w:r w:rsidRPr="00583D45">
          <w:rPr>
            <w:rStyle w:val="Hipervnculo"/>
            <w:sz w:val="22"/>
          </w:rPr>
          <w:t>www.apartados.hacienda.gob.mx/contabilidad/documentos/informe_cuenta/1998/cuenta_publica/Glosario/b.htm</w:t>
        </w:r>
      </w:hyperlink>
      <w:r w:rsidRPr="00B049CE">
        <w:rPr>
          <w:rFonts w:ascii="Palatino Linotype" w:eastAsia="Calibri" w:hAnsi="Palatino Linotype" w:cs="Tahoma"/>
          <w:bCs/>
          <w:sz w:val="22"/>
          <w:szCs w:val="22"/>
          <w:lang w:eastAsia="en-US"/>
        </w:rPr>
        <w:t xml:space="preserve">, consultada el cinco de noviembre de dos mil dieciocho, a las </w:t>
      </w:r>
      <w:r>
        <w:rPr>
          <w:rFonts w:ascii="Palatino Linotype" w:eastAsia="Calibri" w:hAnsi="Palatino Linotype" w:cs="Tahoma"/>
          <w:bCs/>
          <w:sz w:val="22"/>
          <w:szCs w:val="22"/>
          <w:lang w:eastAsia="en-US"/>
        </w:rPr>
        <w:t>diecisiete</w:t>
      </w:r>
      <w:r w:rsidRPr="00B049CE">
        <w:rPr>
          <w:rFonts w:ascii="Palatino Linotype" w:eastAsia="Calibri" w:hAnsi="Palatino Linotype" w:cs="Tahoma"/>
          <w:bCs/>
          <w:sz w:val="22"/>
          <w:szCs w:val="22"/>
          <w:lang w:eastAsia="en-US"/>
        </w:rPr>
        <w:t xml:space="preserve"> horas), </w:t>
      </w:r>
      <w:r w:rsidR="00D87BB9">
        <w:rPr>
          <w:rFonts w:ascii="Palatino Linotype" w:eastAsia="Calibri" w:hAnsi="Palatino Linotype" w:cs="Tahoma"/>
          <w:bCs/>
          <w:sz w:val="22"/>
          <w:szCs w:val="22"/>
          <w:lang w:eastAsia="en-US"/>
        </w:rPr>
        <w:t xml:space="preserve">la cual </w:t>
      </w:r>
      <w:r>
        <w:rPr>
          <w:rFonts w:ascii="Palatino Linotype" w:eastAsia="Calibri" w:hAnsi="Palatino Linotype" w:cs="Tahoma"/>
          <w:bCs/>
          <w:sz w:val="22"/>
          <w:szCs w:val="22"/>
          <w:lang w:eastAsia="en-US"/>
        </w:rPr>
        <w:t xml:space="preserve">define a la </w:t>
      </w:r>
      <w:r w:rsidRPr="00B049CE">
        <w:rPr>
          <w:rFonts w:ascii="Palatino Linotype" w:eastAsia="Calibri" w:hAnsi="Palatino Linotype" w:cs="Tahoma"/>
          <w:b/>
          <w:bCs/>
          <w:sz w:val="22"/>
          <w:szCs w:val="22"/>
          <w:lang w:eastAsia="en-US"/>
        </w:rPr>
        <w:t>Balanza de Comprobación</w:t>
      </w:r>
      <w:r w:rsidR="008373CE">
        <w:rPr>
          <w:rFonts w:ascii="Palatino Linotype" w:eastAsia="Calibri" w:hAnsi="Palatino Linotype" w:cs="Tahoma"/>
          <w:bCs/>
          <w:sz w:val="22"/>
          <w:szCs w:val="22"/>
          <w:lang w:eastAsia="en-US"/>
        </w:rPr>
        <w:t xml:space="preserve"> como un </w:t>
      </w:r>
      <w:r w:rsidRPr="008373CE">
        <w:rPr>
          <w:rFonts w:ascii="Palatino Linotype" w:eastAsia="Calibri" w:hAnsi="Palatino Linotype" w:cs="Tahoma"/>
          <w:bCs/>
          <w:sz w:val="22"/>
          <w:szCs w:val="22"/>
          <w:lang w:eastAsia="en-US"/>
        </w:rPr>
        <w:t xml:space="preserve">estado contable que se formula periódicamente, por lo general al fin de cada mes, para comprobar que la totalidad de los cargos es igual a la totalidad de los abonos hechos en los libros durante cierto periodo. La "balanza" casi siempre contiene los siguientes datos: a) folios de las cuentas; b) nombres de </w:t>
      </w:r>
      <w:r w:rsidR="00D87BB9">
        <w:rPr>
          <w:rFonts w:ascii="Palatino Linotype" w:eastAsia="Calibri" w:hAnsi="Palatino Linotype" w:cs="Tahoma"/>
          <w:bCs/>
          <w:sz w:val="22"/>
          <w:szCs w:val="22"/>
          <w:lang w:eastAsia="en-US"/>
        </w:rPr>
        <w:t>e</w:t>
      </w:r>
      <w:r w:rsidR="00D87BB9" w:rsidRPr="008373CE">
        <w:rPr>
          <w:rFonts w:ascii="Palatino Linotype" w:eastAsia="Calibri" w:hAnsi="Palatino Linotype" w:cs="Tahoma"/>
          <w:bCs/>
          <w:sz w:val="22"/>
          <w:szCs w:val="22"/>
          <w:lang w:eastAsia="en-US"/>
        </w:rPr>
        <w:t>stas</w:t>
      </w:r>
      <w:r w:rsidRPr="008373CE">
        <w:rPr>
          <w:rFonts w:ascii="Palatino Linotype" w:eastAsia="Calibri" w:hAnsi="Palatino Linotype" w:cs="Tahoma"/>
          <w:bCs/>
          <w:sz w:val="22"/>
          <w:szCs w:val="22"/>
          <w:lang w:eastAsia="en-US"/>
        </w:rPr>
        <w:t xml:space="preserve">; c) saldos deudores y acreedores debidamente clasificados; y d) sumas de saldos deudores y acreedores, las cuales deben ser iguales entre sí. </w:t>
      </w:r>
    </w:p>
    <w:p w:rsidR="00D87BB9" w:rsidRPr="008373CE" w:rsidRDefault="00D87BB9" w:rsidP="008373CE">
      <w:pPr>
        <w:spacing w:line="360" w:lineRule="auto"/>
        <w:ind w:right="-93"/>
        <w:jc w:val="both"/>
        <w:rPr>
          <w:rFonts w:ascii="Palatino Linotype" w:eastAsia="Calibri" w:hAnsi="Palatino Linotype" w:cs="Tahoma"/>
          <w:bCs/>
          <w:sz w:val="22"/>
          <w:szCs w:val="22"/>
          <w:lang w:eastAsia="en-US"/>
        </w:rPr>
      </w:pPr>
    </w:p>
    <w:p w:rsidR="00B044E6" w:rsidRDefault="008373CE" w:rsidP="008373CE">
      <w:pPr>
        <w:spacing w:line="360" w:lineRule="auto"/>
        <w:jc w:val="both"/>
        <w:rPr>
          <w:rFonts w:ascii="Palatino Linotype" w:eastAsia="MS Mincho" w:hAnsi="Palatino Linotype" w:cs="Tahoma"/>
          <w:sz w:val="22"/>
          <w:lang w:val="es-ES_tradnl"/>
        </w:rPr>
      </w:pPr>
      <w:r>
        <w:rPr>
          <w:rFonts w:ascii="Palatino Linotype" w:hAnsi="Palatino Linotype"/>
          <w:sz w:val="22"/>
        </w:rPr>
        <w:t>En ese orden de ideas,</w:t>
      </w:r>
      <w:r w:rsidR="00B044E6" w:rsidRPr="00B044E6">
        <w:rPr>
          <w:rFonts w:ascii="Palatino Linotype" w:hAnsi="Palatino Linotype"/>
          <w:sz w:val="22"/>
        </w:rPr>
        <w:t xml:space="preserve"> </w:t>
      </w:r>
      <w:r w:rsidR="004552F5">
        <w:rPr>
          <w:rFonts w:ascii="Palatino Linotype" w:hAnsi="Palatino Linotype"/>
          <w:sz w:val="22"/>
        </w:rPr>
        <w:t xml:space="preserve">cabe traer a colación </w:t>
      </w:r>
      <w:r w:rsidR="00B044E6" w:rsidRPr="00B044E6">
        <w:rPr>
          <w:rFonts w:ascii="Palatino Linotype" w:eastAsia="MS Mincho" w:hAnsi="Palatino Linotype" w:cs="Arial"/>
          <w:sz w:val="22"/>
          <w:lang w:val="es-ES_tradnl"/>
        </w:rPr>
        <w:t xml:space="preserve">los Lineamientos para la </w:t>
      </w:r>
      <w:r w:rsidR="00B044E6">
        <w:rPr>
          <w:rFonts w:ascii="Palatino Linotype" w:eastAsia="MS Mincho" w:hAnsi="Palatino Linotype" w:cs="Arial"/>
          <w:sz w:val="22"/>
          <w:lang w:val="es-ES_tradnl"/>
        </w:rPr>
        <w:t>Elaboración y Presentación del Informe Mensual Municipal</w:t>
      </w:r>
      <w:r w:rsidR="004552F5">
        <w:rPr>
          <w:rFonts w:ascii="Palatino Linotype" w:eastAsia="MS Mincho" w:hAnsi="Palatino Linotype" w:cs="Arial"/>
          <w:sz w:val="22"/>
          <w:lang w:val="es-ES_tradnl"/>
        </w:rPr>
        <w:t xml:space="preserve"> dos mil dieciocho, emitidos por el Órgano Superior de Fiscalización del Estado de México</w:t>
      </w:r>
      <w:r w:rsidR="00252B75">
        <w:rPr>
          <w:rFonts w:ascii="Palatino Linotype" w:eastAsia="MS Mincho" w:hAnsi="Palatino Linotype" w:cs="Arial"/>
          <w:sz w:val="22"/>
          <w:lang w:val="es-ES_tradnl"/>
        </w:rPr>
        <w:t xml:space="preserve"> (disponibles en </w:t>
      </w:r>
      <w:hyperlink r:id="rId14" w:history="1">
        <w:r w:rsidR="00252B75" w:rsidRPr="00C037E3">
          <w:rPr>
            <w:rStyle w:val="Hipervnculo"/>
            <w:rFonts w:ascii="Palatino Linotype" w:hAnsi="Palatino Linotype"/>
          </w:rPr>
          <w:t>https://www.osfem.gob.mx/04_Normatividad/doc/Normatividad/2018/03_LinElabyPresInfoMenMpal18.pdf</w:t>
        </w:r>
      </w:hyperlink>
      <w:r w:rsidR="00252B75">
        <w:rPr>
          <w:rStyle w:val="Hipervnculo"/>
          <w:rFonts w:ascii="Palatino Linotype" w:hAnsi="Palatino Linotype"/>
        </w:rPr>
        <w:t>)</w:t>
      </w:r>
      <w:r w:rsidR="004552F5">
        <w:rPr>
          <w:rFonts w:ascii="Palatino Linotype" w:eastAsia="MS Mincho" w:hAnsi="Palatino Linotype" w:cs="Arial"/>
          <w:sz w:val="22"/>
          <w:lang w:val="es-ES_tradnl"/>
        </w:rPr>
        <w:t xml:space="preserve">, </w:t>
      </w:r>
      <w:r w:rsidR="00573D72">
        <w:rPr>
          <w:rFonts w:ascii="Palatino Linotype" w:eastAsia="MS Mincho" w:hAnsi="Palatino Linotype" w:cs="Arial"/>
          <w:sz w:val="22"/>
          <w:lang w:val="es-ES_tradnl"/>
        </w:rPr>
        <w:t xml:space="preserve">que en su apartado de PRESENTACIÓN, precisa que dicho ordenamiento es una herramienta para </w:t>
      </w:r>
      <w:r w:rsidR="00B044E6" w:rsidRPr="00B044E6">
        <w:rPr>
          <w:rFonts w:ascii="Palatino Linotype" w:eastAsia="MS Mincho" w:hAnsi="Palatino Linotype" w:cs="Tahoma"/>
          <w:sz w:val="22"/>
          <w:lang w:val="es-ES_tradnl"/>
        </w:rPr>
        <w:t>elaborar y presentar los Informes Mensuales por parte de las Entidades Fiscalizables</w:t>
      </w:r>
      <w:r w:rsidR="00573D72">
        <w:rPr>
          <w:rFonts w:ascii="Palatino Linotype" w:eastAsia="MS Mincho" w:hAnsi="Palatino Linotype" w:cs="Tahoma"/>
          <w:sz w:val="22"/>
          <w:lang w:val="es-ES_tradnl"/>
        </w:rPr>
        <w:t>, entre las que se encuentran los Ayuntamientos</w:t>
      </w:r>
      <w:r w:rsidR="00B044E6" w:rsidRPr="00B044E6">
        <w:rPr>
          <w:rFonts w:ascii="Palatino Linotype" w:eastAsia="MS Mincho" w:hAnsi="Palatino Linotype" w:cs="Tahoma"/>
          <w:sz w:val="22"/>
          <w:lang w:val="es-ES_tradnl"/>
        </w:rPr>
        <w:t xml:space="preserve">, en cuanto a los requerimientos financieros, contables, patrimoniales, presupuestales, programáticos y administrativos </w:t>
      </w:r>
      <w:r w:rsidR="004552F5">
        <w:rPr>
          <w:rFonts w:ascii="Palatino Linotype" w:eastAsia="MS Mincho" w:hAnsi="Palatino Linotype" w:cs="Tahoma"/>
          <w:sz w:val="22"/>
          <w:lang w:val="es-ES_tradnl"/>
        </w:rPr>
        <w:t>establecidos en las Leyes aplicables.</w:t>
      </w:r>
    </w:p>
    <w:p w:rsidR="008373CE" w:rsidRPr="00B044E6" w:rsidRDefault="008373CE" w:rsidP="008373CE">
      <w:pPr>
        <w:spacing w:line="360" w:lineRule="auto"/>
        <w:jc w:val="both"/>
        <w:rPr>
          <w:rFonts w:ascii="Palatino Linotype" w:hAnsi="Palatino Linotype"/>
          <w:sz w:val="22"/>
        </w:rPr>
      </w:pPr>
    </w:p>
    <w:p w:rsidR="004552F5" w:rsidRDefault="00B044E6" w:rsidP="00573D72">
      <w:pPr>
        <w:spacing w:line="360" w:lineRule="auto"/>
        <w:jc w:val="both"/>
        <w:rPr>
          <w:rFonts w:ascii="Palatino Linotype" w:hAnsi="Palatino Linotype" w:cs="Arial"/>
          <w:sz w:val="22"/>
        </w:rPr>
      </w:pPr>
      <w:r w:rsidRPr="00B044E6">
        <w:rPr>
          <w:rFonts w:ascii="Palatino Linotype" w:eastAsia="MS Mincho" w:hAnsi="Palatino Linotype" w:cs="Tahoma"/>
          <w:sz w:val="22"/>
          <w:lang w:val="es-ES_tradnl"/>
        </w:rPr>
        <w:t xml:space="preserve">Así, los Lineamientos en comento sirven para definir los criterios, formatos y documentación necesaria para </w:t>
      </w:r>
      <w:r w:rsidRPr="00B044E6">
        <w:rPr>
          <w:rFonts w:ascii="Palatino Linotype" w:hAnsi="Palatino Linotype" w:cs="Arial"/>
          <w:sz w:val="22"/>
        </w:rPr>
        <w:t>presentar</w:t>
      </w:r>
      <w:r w:rsidRPr="00B044E6">
        <w:rPr>
          <w:rFonts w:ascii="Palatino Linotype" w:eastAsia="MS Mincho" w:hAnsi="Palatino Linotype" w:cs="Tahoma"/>
          <w:sz w:val="22"/>
          <w:lang w:val="es-ES_tradnl"/>
        </w:rPr>
        <w:t xml:space="preserve"> los informes mensuales. Entre los criterios que se manejan en </w:t>
      </w:r>
      <w:r w:rsidR="0071670A">
        <w:rPr>
          <w:rFonts w:ascii="Palatino Linotype" w:eastAsia="MS Mincho" w:hAnsi="Palatino Linotype" w:cs="Tahoma"/>
          <w:sz w:val="22"/>
          <w:lang w:val="es-ES_tradnl"/>
        </w:rPr>
        <w:t>dichos</w:t>
      </w:r>
      <w:r w:rsidR="0071670A" w:rsidRPr="00B044E6">
        <w:rPr>
          <w:rFonts w:ascii="Palatino Linotype" w:eastAsia="MS Mincho" w:hAnsi="Palatino Linotype" w:cs="Tahoma"/>
          <w:sz w:val="22"/>
          <w:lang w:val="es-ES_tradnl"/>
        </w:rPr>
        <w:t xml:space="preserve"> </w:t>
      </w:r>
      <w:r w:rsidRPr="00B044E6">
        <w:rPr>
          <w:rFonts w:ascii="Palatino Linotype" w:eastAsia="MS Mincho" w:hAnsi="Palatino Linotype" w:cs="Tahoma"/>
          <w:sz w:val="22"/>
          <w:lang w:val="es-ES_tradnl"/>
        </w:rPr>
        <w:t>Lineamientos esta aqu</w:t>
      </w:r>
      <w:r w:rsidR="0071670A">
        <w:rPr>
          <w:rFonts w:ascii="Palatino Linotype" w:eastAsia="MS Mincho" w:hAnsi="Palatino Linotype" w:cs="Tahoma"/>
          <w:sz w:val="22"/>
          <w:lang w:val="es-ES_tradnl"/>
        </w:rPr>
        <w:t>é</w:t>
      </w:r>
      <w:r w:rsidRPr="00B044E6">
        <w:rPr>
          <w:rFonts w:ascii="Palatino Linotype" w:eastAsia="MS Mincho" w:hAnsi="Palatino Linotype" w:cs="Tahoma"/>
          <w:sz w:val="22"/>
          <w:lang w:val="es-ES_tradnl"/>
        </w:rPr>
        <w:t xml:space="preserve">l que se refiere a la integración de </w:t>
      </w:r>
      <w:r w:rsidR="009A26BB" w:rsidRPr="00B044E6">
        <w:rPr>
          <w:rFonts w:ascii="Palatino Linotype" w:eastAsia="MS Mincho" w:hAnsi="Palatino Linotype" w:cs="Tahoma"/>
          <w:b/>
          <w:i/>
          <w:sz w:val="22"/>
          <w:lang w:val="es-ES_tradnl"/>
        </w:rPr>
        <w:t xml:space="preserve">Información </w:t>
      </w:r>
      <w:r w:rsidR="00305A7F">
        <w:rPr>
          <w:rFonts w:ascii="Palatino Linotype" w:eastAsia="MS Mincho" w:hAnsi="Palatino Linotype" w:cs="Tahoma"/>
          <w:b/>
          <w:i/>
          <w:sz w:val="22"/>
          <w:lang w:val="es-ES_tradnl"/>
        </w:rPr>
        <w:t>Patrimonial</w:t>
      </w:r>
      <w:r w:rsidRPr="00B044E6">
        <w:rPr>
          <w:rFonts w:ascii="Palatino Linotype" w:eastAsia="MS Mincho" w:hAnsi="Palatino Linotype" w:cs="Tahoma"/>
          <w:sz w:val="22"/>
          <w:lang w:val="es-ES_tradnl"/>
        </w:rPr>
        <w:t>, el cual, se int</w:t>
      </w:r>
      <w:r w:rsidR="00BD736E">
        <w:rPr>
          <w:rFonts w:ascii="Palatino Linotype" w:eastAsia="MS Mincho" w:hAnsi="Palatino Linotype" w:cs="Tahoma"/>
          <w:sz w:val="22"/>
          <w:lang w:val="es-ES_tradnl"/>
        </w:rPr>
        <w:t xml:space="preserve">egra por documentos tales como </w:t>
      </w:r>
      <w:r w:rsidR="00BD736E" w:rsidRPr="004552F5">
        <w:rPr>
          <w:rFonts w:ascii="Palatino Linotype" w:eastAsia="MS Mincho" w:hAnsi="Palatino Linotype" w:cs="Tahoma"/>
          <w:b/>
          <w:sz w:val="22"/>
          <w:lang w:val="es-ES_tradnl"/>
        </w:rPr>
        <w:t>1</w:t>
      </w:r>
      <w:r w:rsidRPr="004552F5">
        <w:rPr>
          <w:rFonts w:ascii="Palatino Linotype" w:eastAsia="MS Mincho" w:hAnsi="Palatino Linotype" w:cs="Tahoma"/>
          <w:b/>
          <w:sz w:val="22"/>
          <w:lang w:val="es-ES_tradnl"/>
        </w:rPr>
        <w:t>.</w:t>
      </w:r>
      <w:r w:rsidR="00BD736E" w:rsidRPr="004552F5">
        <w:rPr>
          <w:rFonts w:ascii="Palatino Linotype" w:eastAsia="MS Mincho" w:hAnsi="Palatino Linotype" w:cs="Tahoma"/>
          <w:b/>
          <w:sz w:val="22"/>
          <w:lang w:val="es-ES_tradnl"/>
        </w:rPr>
        <w:t>1</w:t>
      </w:r>
      <w:r w:rsidRPr="004552F5">
        <w:rPr>
          <w:rFonts w:ascii="Palatino Linotype" w:eastAsia="MS Mincho" w:hAnsi="Palatino Linotype" w:cs="Tahoma"/>
          <w:b/>
          <w:sz w:val="22"/>
          <w:lang w:val="es-ES_tradnl"/>
        </w:rPr>
        <w:t xml:space="preserve">1 </w:t>
      </w:r>
      <w:r w:rsidR="00BD736E" w:rsidRPr="004552F5">
        <w:rPr>
          <w:rFonts w:ascii="Palatino Linotype" w:eastAsia="MS Mincho" w:hAnsi="Palatino Linotype" w:cs="Tahoma"/>
          <w:b/>
          <w:sz w:val="22"/>
          <w:lang w:val="es-ES_tradnl"/>
        </w:rPr>
        <w:t>Balanza de comprobación detalla</w:t>
      </w:r>
      <w:r w:rsidR="00573D72">
        <w:rPr>
          <w:rFonts w:ascii="Palatino Linotype" w:eastAsia="MS Mincho" w:hAnsi="Palatino Linotype" w:cs="Tahoma"/>
          <w:sz w:val="22"/>
          <w:lang w:val="es-ES_tradnl"/>
        </w:rPr>
        <w:t>, ubicada en e</w:t>
      </w:r>
      <w:r w:rsidRPr="00B044E6">
        <w:rPr>
          <w:rFonts w:ascii="Palatino Linotype" w:hAnsi="Palatino Linotype"/>
          <w:color w:val="000000"/>
          <w:sz w:val="22"/>
        </w:rPr>
        <w:t>l</w:t>
      </w:r>
      <w:r w:rsidRPr="00B044E6">
        <w:rPr>
          <w:rFonts w:ascii="Palatino Linotype" w:hAnsi="Palatino Linotype" w:cs="Arial"/>
          <w:sz w:val="22"/>
        </w:rPr>
        <w:t xml:space="preserve"> Disco </w:t>
      </w:r>
      <w:r w:rsidR="00BD736E">
        <w:rPr>
          <w:rFonts w:ascii="Palatino Linotype" w:hAnsi="Palatino Linotype" w:cs="Arial"/>
          <w:sz w:val="22"/>
        </w:rPr>
        <w:t>1</w:t>
      </w:r>
      <w:r w:rsidRPr="00B044E6">
        <w:rPr>
          <w:rFonts w:ascii="Palatino Linotype" w:hAnsi="Palatino Linotype" w:cs="Arial"/>
          <w:sz w:val="22"/>
        </w:rPr>
        <w:t xml:space="preserve"> de los informes mensuales </w:t>
      </w:r>
      <w:r w:rsidR="00BD736E">
        <w:rPr>
          <w:rFonts w:ascii="Palatino Linotype" w:hAnsi="Palatino Linotype" w:cs="Arial"/>
          <w:sz w:val="22"/>
        </w:rPr>
        <w:t>respectivos</w:t>
      </w:r>
      <w:r w:rsidRPr="00B044E6">
        <w:rPr>
          <w:rFonts w:ascii="Palatino Linotype" w:hAnsi="Palatino Linotype" w:cs="Arial"/>
          <w:sz w:val="22"/>
        </w:rPr>
        <w:t xml:space="preserve">, los cuales deben ser enviados por el Tesorero </w:t>
      </w:r>
      <w:r w:rsidRPr="00B044E6">
        <w:rPr>
          <w:rFonts w:ascii="Palatino Linotype" w:hAnsi="Palatino Linotype" w:cs="Arial"/>
          <w:sz w:val="22"/>
        </w:rPr>
        <w:lastRenderedPageBreak/>
        <w:t xml:space="preserve">Municipal al </w:t>
      </w:r>
      <w:r w:rsidR="00573D72">
        <w:rPr>
          <w:rFonts w:ascii="Palatino Linotype" w:eastAsia="MS Mincho" w:hAnsi="Palatino Linotype" w:cs="Arial"/>
          <w:sz w:val="22"/>
          <w:lang w:val="es-ES_tradnl"/>
        </w:rPr>
        <w:t>Órgano Superior de Fiscalización del Estado de México</w:t>
      </w:r>
      <w:r w:rsidR="00573D72">
        <w:rPr>
          <w:rFonts w:ascii="Palatino Linotype" w:hAnsi="Palatino Linotype" w:cs="Arial"/>
          <w:sz w:val="22"/>
        </w:rPr>
        <w:t>, tal como se muestra a continuación:</w:t>
      </w:r>
    </w:p>
    <w:p w:rsidR="00573D72" w:rsidRDefault="00573D72" w:rsidP="00573D72">
      <w:pPr>
        <w:spacing w:line="360" w:lineRule="auto"/>
        <w:jc w:val="both"/>
        <w:rPr>
          <w:rFonts w:ascii="Palatino Linotype" w:hAnsi="Palatino Linotype" w:cs="Arial"/>
          <w:sz w:val="22"/>
        </w:rPr>
      </w:pPr>
    </w:p>
    <w:p w:rsidR="00AE40B1" w:rsidRDefault="006B5262" w:rsidP="00573D72">
      <w:pPr>
        <w:pStyle w:val="Textoindependiente"/>
        <w:kinsoku w:val="0"/>
        <w:overflowPunct w:val="0"/>
        <w:spacing w:after="0" w:line="360" w:lineRule="auto"/>
        <w:ind w:right="113"/>
        <w:jc w:val="center"/>
        <w:rPr>
          <w:rFonts w:ascii="Palatino Linotype" w:eastAsia="MS Mincho" w:hAnsi="Palatino Linotype" w:cs="Tahoma"/>
          <w:sz w:val="22"/>
          <w:lang w:val="es-ES_tradnl"/>
        </w:rPr>
      </w:pPr>
      <w:r w:rsidRPr="00202207">
        <w:rPr>
          <w:noProof/>
          <w:lang w:eastAsia="es-MX"/>
        </w:rPr>
        <mc:AlternateContent>
          <mc:Choice Requires="wps">
            <w:drawing>
              <wp:anchor distT="0" distB="0" distL="114300" distR="114300" simplePos="0" relativeHeight="251659264" behindDoc="0" locked="0" layoutInCell="1" allowOverlap="1" wp14:anchorId="702C0715" wp14:editId="641894BB">
                <wp:simplePos x="0" y="0"/>
                <wp:positionH relativeFrom="margin">
                  <wp:posOffset>658495</wp:posOffset>
                </wp:positionH>
                <wp:positionV relativeFrom="paragraph">
                  <wp:posOffset>2158365</wp:posOffset>
                </wp:positionV>
                <wp:extent cx="1781175" cy="171450"/>
                <wp:effectExtent l="0" t="0" r="28575" b="19050"/>
                <wp:wrapNone/>
                <wp:docPr id="70" name="Rectángulo 70"/>
                <wp:cNvGraphicFramePr/>
                <a:graphic xmlns:a="http://schemas.openxmlformats.org/drawingml/2006/main">
                  <a:graphicData uri="http://schemas.microsoft.com/office/word/2010/wordprocessingShape">
                    <wps:wsp>
                      <wps:cNvSpPr/>
                      <wps:spPr>
                        <a:xfrm>
                          <a:off x="0" y="0"/>
                          <a:ext cx="1781175" cy="17145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E9730" id="Rectángulo 70" o:spid="_x0000_s1026" style="position:absolute;margin-left:51.85pt;margin-top:169.95pt;width:140.25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U3jwIAAHAFAAAOAAAAZHJzL2Uyb0RvYy54bWysVM1u2zAMvg/YOwi6r46DtGmDOkXQIsOA&#10;oi2aDj0rspQYk0WNUuJkb7Nn2YuVkh036ApsGJaDI4rkR/Hjz+XVrjZsq9BXYAuenww4U1ZCWdlV&#10;wb8+zT+dc+aDsKUwYFXB98rzq+nHD5eNm6ghrMGUChmBWD9pXMHXIbhJlnm5VrXwJ+CUJaUGrEUg&#10;EVdZiaIh9Npkw8HgLGsAS4cglfd0e9Mq+TTha61kuNfaq8BMweltIX0xfZfxm00vxWSFwq0r2T1D&#10;/MMralFZCtpD3Ygg2Aar36DqSiJ40OFEQp2B1pVUKQfKJh+8yWaxFk6lXIgc73qa/P+DlXfbB2RV&#10;WfAx0WNFTTV6JNZ+/bSrjQFGt0RR4/yELBfuATvJ0zHmu9NYx3/KhO0SrfueVrULTNJlPj7P8/Ep&#10;Z5J0+TgfnSbQ7NXboQ+fFdQsHgqO9IDEptje+kARyfRgEoNZmFfGpNIZyxoCvRgQZlR5MFUZtUnA&#10;1fLaINsKqv58PqBfzIbQjsxIMpYuY45tVukU9kZFDGMflSaCYh5thNiaqocVUiobzjrcZB3dND2h&#10;dxz+2bGzj64qtW3v/BdRe48UGWzonevKAr4XvfyWd0/Wrf2BgTbvSMESyj31BkI7NN7JeUXluRU+&#10;PAikKaGGockP9/TRBqgM0J04WwP+eO8+2lPzkpazhqau4P77RqDizHyx1NYX+WgUxzQJo9PxkAQ8&#10;1iyPNXZTXwOVNqcd42Q6RvtgDkeNUD/TgpjFqKQSVlLsgsuAB+E6tNuAVoxUs1kyo9F0ItzahZOH&#10;qsf2e9o9C3Rdjwbq7js4TKiYvGnV1jbWw8JsE0BXqY9fee34prFODdmtoLg3juVk9boopy8AAAD/&#10;/wMAUEsDBBQABgAIAAAAIQArc0wt3wAAAAsBAAAPAAAAZHJzL2Rvd25yZXYueG1sTI9NS8QwEIbv&#10;gv8hjODNTU2lXzZdVBBRPOiq92yTbcsmk9Jk2/rvHU96m5d5eOeZers6y2YzhcGjhOtNAsxg6/WA&#10;nYTPj8erAliICrWyHo2EbxNg25yf1arSfsF3M+9ix6gEQ6Uk9DGOFeeh7Y1TYeNHg7Q7+MmpSHHq&#10;uJ7UQuXOcpEkGXdqQLrQq9E89KY97k5Owps/Hrj9EuIlv38S+bMrlm5+lfLyYr27BRbNGv9g+NUn&#10;dWjIae9PqAOzlJM0J1RCmpYlMCLS4kYA29OQZSXwpub/f2h+AAAA//8DAFBLAQItABQABgAIAAAA&#10;IQC2gziS/gAAAOEBAAATAAAAAAAAAAAAAAAAAAAAAABbQ29udGVudF9UeXBlc10ueG1sUEsBAi0A&#10;FAAGAAgAAAAhADj9If/WAAAAlAEAAAsAAAAAAAAAAAAAAAAALwEAAF9yZWxzLy5yZWxzUEsBAi0A&#10;FAAGAAgAAAAhABO1VTePAgAAcAUAAA4AAAAAAAAAAAAAAAAALgIAAGRycy9lMm9Eb2MueG1sUEsB&#10;Ai0AFAAGAAgAAAAhACtzTC3fAAAACwEAAA8AAAAAAAAAAAAAAAAA6QQAAGRycy9kb3ducmV2Lnht&#10;bFBLBQYAAAAABAAEAPMAAAD1BQAAAAA=&#10;" filled="f" strokecolor="red" strokeweight="1.5pt">
                <w10:wrap anchorx="margin"/>
              </v:rect>
            </w:pict>
          </mc:Fallback>
        </mc:AlternateContent>
      </w:r>
      <w:r w:rsidRPr="00202207">
        <w:rPr>
          <w:noProof/>
          <w:lang w:eastAsia="es-MX"/>
        </w:rPr>
        <mc:AlternateContent>
          <mc:Choice Requires="wps">
            <w:drawing>
              <wp:anchor distT="0" distB="0" distL="114300" distR="114300" simplePos="0" relativeHeight="251661312" behindDoc="0" locked="0" layoutInCell="1" allowOverlap="1" wp14:anchorId="620E1447" wp14:editId="512CE320">
                <wp:simplePos x="0" y="0"/>
                <wp:positionH relativeFrom="margin">
                  <wp:posOffset>2461895</wp:posOffset>
                </wp:positionH>
                <wp:positionV relativeFrom="paragraph">
                  <wp:posOffset>98425</wp:posOffset>
                </wp:positionV>
                <wp:extent cx="565150" cy="133350"/>
                <wp:effectExtent l="0" t="0" r="25400" b="19050"/>
                <wp:wrapNone/>
                <wp:docPr id="5" name="Rectángulo 5"/>
                <wp:cNvGraphicFramePr/>
                <a:graphic xmlns:a="http://schemas.openxmlformats.org/drawingml/2006/main">
                  <a:graphicData uri="http://schemas.microsoft.com/office/word/2010/wordprocessingShape">
                    <wps:wsp>
                      <wps:cNvSpPr/>
                      <wps:spPr>
                        <a:xfrm>
                          <a:off x="0" y="0"/>
                          <a:ext cx="565150" cy="13335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A0E92" id="Rectángulo 5" o:spid="_x0000_s1026" style="position:absolute;margin-left:193.85pt;margin-top:7.75pt;width:44.5pt;height: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TBiwIAAG0FAAAOAAAAZHJzL2Uyb0RvYy54bWysVN1O2zAUvp+0d7B8P9IUykZEiipQp0kI&#10;EDBx7Tp2G83x8Y7dpt3b7Fl4sR07aagY0qZpvXDPyfn/zs/5xbYxbKPQ12BLnh+NOFNWQlXbZcm/&#10;Ps4/fOLMB2ErYcCqku+U5xfT9+/OW1eoMazAVAoZObG+aF3JVyG4Isu8XKlG+CNwypJQAzYiEIvL&#10;rELRkvfGZOPR6DRrASuHIJX39PWqE/Jp8q+1kuFWa68CMyWn3EJ6Mb2L+GbTc1EsUbhVLfs0xD9k&#10;0YjaUtDB1ZUIgq2x/s1VU0sEDzocSWgy0LqWKtVA1eSjV9U8rIRTqRYCx7sBJv//3MqbzR2yuir5&#10;hDMrGmrRPYH2/NMu1wbYJALUOl+Q3oO7w57zRMZqtxqb+E91sG0CdTeAqraBSfo4OZ3kE4Jekig/&#10;Pj4mmrxkL8YOffisoGGRKDlS+ASl2Fz70KnuVWIsC/PaGPouCmNZS07PRuQz8h5MXUVpYnC5uDTI&#10;NoJaP5+P6NcHPlCjNIylbGKJXVGJCjujugD3ShM6VEbeRYhzqQa3Qkplw2nv11jSjmaaUhgMx382&#10;7PWjqUozOxj/RdTBIkUGGwbjpraAb0WvvuV9yrrT3yPQ1R0hWEC1o8FA6DbGOzmvqT3Xwoc7gbQi&#10;1FFa+3BLjzZAbYCe4mwF+OOt71GfJpeknLW0ciX339cCFWfmi6WZPstPTuKOJuZk8nFMDB5KFocS&#10;u24ugVqb04FxMpFRP5g9qRGaJ7oOsxiVRMJKil1yGXDPXIbuFNB9kWo2S2q0l06Ea/vg5L7rcfwe&#10;t08CXT+jgYb7BvbrKYpXo9rpxn5YmK0D6DrN8QuuPd6002kT+vsTj8Yhn7ReruT0FwAAAP//AwBQ&#10;SwMEFAAGAAgAAAAhADJVh2HdAAAACQEAAA8AAABkcnMvZG93bnJldi54bWxMj01Pg0AQhu8m/ofN&#10;mHiziygsQZZGTYzR9KC1vW/ZKZDuB2G3gP/e8aTHmefNO89U68UaNuEYeu8k3K4SYOgar3vXSth9&#10;vdwUwEJUTivjHUr4xgDr+vKiUqX2s/vEaRtbRiUulEpCF+NQch6aDq0KKz+gI3b0o1WRxrHlelQz&#10;lVvD0yTJuVW9owudGvC5w+a0PVsJH/505Gafpu/i6TUVb7aY22kj5fXV8vgALOIS/8Lwq0/qUJPT&#10;wZ+dDsxIuCuEoCiBLANGgXuR0+JAJM+A1xX//0H9AwAA//8DAFBLAQItABQABgAIAAAAIQC2gziS&#10;/gAAAOEBAAATAAAAAAAAAAAAAAAAAAAAAABbQ29udGVudF9UeXBlc10ueG1sUEsBAi0AFAAGAAgA&#10;AAAhADj9If/WAAAAlAEAAAsAAAAAAAAAAAAAAAAALwEAAF9yZWxzLy5yZWxzUEsBAi0AFAAGAAgA&#10;AAAhAP2AlMGLAgAAbQUAAA4AAAAAAAAAAAAAAAAALgIAAGRycy9lMm9Eb2MueG1sUEsBAi0AFAAG&#10;AAgAAAAhADJVh2HdAAAACQEAAA8AAAAAAAAAAAAAAAAA5QQAAGRycy9kb3ducmV2LnhtbFBLBQYA&#10;AAAABAAEAPMAAADvBQAAAAA=&#10;" filled="f" strokecolor="red" strokeweight="1.5pt">
                <w10:wrap anchorx="margin"/>
              </v:rect>
            </w:pict>
          </mc:Fallback>
        </mc:AlternateContent>
      </w:r>
      <w:r w:rsidRPr="00202207">
        <w:rPr>
          <w:noProof/>
          <w:lang w:eastAsia="es-MX"/>
        </w:rPr>
        <mc:AlternateContent>
          <mc:Choice Requires="wps">
            <w:drawing>
              <wp:anchor distT="0" distB="0" distL="114300" distR="114300" simplePos="0" relativeHeight="251665408" behindDoc="0" locked="0" layoutInCell="1" allowOverlap="1" wp14:anchorId="21E7B53D" wp14:editId="5120B735">
                <wp:simplePos x="0" y="0"/>
                <wp:positionH relativeFrom="margin">
                  <wp:posOffset>1249045</wp:posOffset>
                </wp:positionH>
                <wp:positionV relativeFrom="paragraph">
                  <wp:posOffset>219075</wp:posOffset>
                </wp:positionV>
                <wp:extent cx="565150" cy="133350"/>
                <wp:effectExtent l="0" t="0" r="25400" b="19050"/>
                <wp:wrapNone/>
                <wp:docPr id="11" name="Rectángulo 11"/>
                <wp:cNvGraphicFramePr/>
                <a:graphic xmlns:a="http://schemas.openxmlformats.org/drawingml/2006/main">
                  <a:graphicData uri="http://schemas.microsoft.com/office/word/2010/wordprocessingShape">
                    <wps:wsp>
                      <wps:cNvSpPr/>
                      <wps:spPr>
                        <a:xfrm>
                          <a:off x="0" y="0"/>
                          <a:ext cx="565150" cy="13335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5F170" id="Rectángulo 11" o:spid="_x0000_s1026" style="position:absolute;margin-left:98.35pt;margin-top:17.25pt;width:44.5pt;height:1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FOjAIAAG8FAAAOAAAAZHJzL2Uyb0RvYy54bWysVNtOGzEQfa/Uf7D8XjYJhJaIDYpAqSoh&#10;ioCKZ8drJ6t6Pa7tXOjf9Fv6Yz32bpaIIrWqug/eGc/9zIzPL3aNYRvlQ0225MOjAWfKSqpquyz5&#10;l4f5uw+chShsJQxZVfInFfjF9O2b862bqBGtyFTKMzixYbJ1JV/F6CZFEeRKNSIckVMWQk2+ERGs&#10;XxaVF1t4b0wxGgxOiy35ynmSKgTcXrVCPs3+tVYyftY6qMhMyZFbzKfP5yKdxfRcTJZeuFUtuzTE&#10;P2TRiNoiaO/qSkTB1r7+zVVTS0+BdDyS1BSkdS1VrgHVDAcvqrlfCadyLQAnuB6m8P/cypvNrWd1&#10;hd4NObOiQY/ugNrPH3a5NsRwC4i2Lkygee9ufccFkKnenfZN+qMStsuwPvWwql1kEpfj0/FwDPAl&#10;RMPj42PQ8FI8Gzsf4kdFDUtEyT3iZzDF5jrEVnWvkmJZmtfG4F5MjGVbOD0bwGfiA5m6StLM+OXi&#10;0ni2EWj+fD7A1wU+UEMaxiKbVGJbVKbik1FtgDulgQ/KGLYR0mSq3q2QUtl42vk1FtrJTCOF3nD0&#10;Z8NOP5mqPLW98V9E7S1yZLKxN25qS/616NXX3FcUr1v9PQJt3QmCBVVPGA1P7c4EJ+c12nMtQrwV&#10;HkuCjmLx42cc2hDaQB3F2Yr899fukz5mF1LOtli6kodva+EVZ+aTxVSfDU9O0pZm5mT8fgTGH0oW&#10;hxK7bi4JrcXgIrtMJv1o9qT21DzifZilqBAJKxG75DL6PXMZ28cAL4xUs1lWw2Y6Ea/tvZP7rqfx&#10;e9g9Cu+6GY0Y7hvaL6iYvBjVVjf1w9JsHUnXeY6fce3wxlbnTeheoPRsHPJZ6/mdnP4CAAD//wMA&#10;UEsDBBQABgAIAAAAIQC50wih3gAAAAkBAAAPAAAAZHJzL2Rvd25yZXYueG1sTI/BTsMwDIbvSLxD&#10;ZCRuLCWQtZSmEyAhBOIAA+5Zk7XVEqdqsra8PeYEx9/+9PtztVm8Y5MdYx9QweUqA2axCabHVsHn&#10;x+NFASwmjUa7gFbBt42wqU9PKl2aMOO7nbapZVSCsdQKupSGkvPYdNbruAqDRdrtw+h1oji23Ix6&#10;pnLvuMiyNfe6R7rQ6cE+dLY5bI9ewVs47Ln7EuIlv38S+bMv5nZ6Ver8bLm7BZbskv5g+NUndajJ&#10;aReOaCJzlG/WOaEKrq4lMAJEIWmwUyClBF5X/P8H9Q8AAAD//wMAUEsBAi0AFAAGAAgAAAAhALaD&#10;OJL+AAAA4QEAABMAAAAAAAAAAAAAAAAAAAAAAFtDb250ZW50X1R5cGVzXS54bWxQSwECLQAUAAYA&#10;CAAAACEAOP0h/9YAAACUAQAACwAAAAAAAAAAAAAAAAAvAQAAX3JlbHMvLnJlbHNQSwECLQAUAAYA&#10;CAAAACEABruxTowCAABvBQAADgAAAAAAAAAAAAAAAAAuAgAAZHJzL2Uyb0RvYy54bWxQSwECLQAU&#10;AAYACAAAACEAudMIod4AAAAJAQAADwAAAAAAAAAAAAAAAADmBAAAZHJzL2Rvd25yZXYueG1sUEsF&#10;BgAAAAAEAAQA8wAAAPEFAAAAAA==&#10;" filled="f" strokecolor="red" strokeweight="1.5pt">
                <w10:wrap anchorx="margin"/>
              </v:rect>
            </w:pict>
          </mc:Fallback>
        </mc:AlternateContent>
      </w:r>
      <w:r w:rsidR="00EC5538">
        <w:rPr>
          <w:noProof/>
          <w:lang w:eastAsia="es-MX"/>
        </w:rPr>
        <w:drawing>
          <wp:inline distT="0" distB="0" distL="0" distR="0" wp14:anchorId="25AECA26" wp14:editId="3D8DD72A">
            <wp:extent cx="5423123" cy="248348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4110" t="31507" r="15507" b="15384"/>
                    <a:stretch/>
                  </pic:blipFill>
                  <pic:spPr bwMode="auto">
                    <a:xfrm>
                      <a:off x="0" y="0"/>
                      <a:ext cx="5483576" cy="2511169"/>
                    </a:xfrm>
                    <a:prstGeom prst="rect">
                      <a:avLst/>
                    </a:prstGeom>
                    <a:ln>
                      <a:noFill/>
                    </a:ln>
                    <a:extLst>
                      <a:ext uri="{53640926-AAD7-44D8-BBD7-CCE9431645EC}">
                        <a14:shadowObscured xmlns:a14="http://schemas.microsoft.com/office/drawing/2010/main"/>
                      </a:ext>
                    </a:extLst>
                  </pic:spPr>
                </pic:pic>
              </a:graphicData>
            </a:graphic>
          </wp:inline>
        </w:drawing>
      </w:r>
    </w:p>
    <w:p w:rsidR="00517EC0" w:rsidRPr="00BD736E" w:rsidRDefault="00517EC0" w:rsidP="00573D72">
      <w:pPr>
        <w:pStyle w:val="Textoindependiente"/>
        <w:kinsoku w:val="0"/>
        <w:overflowPunct w:val="0"/>
        <w:spacing w:after="0" w:line="360" w:lineRule="auto"/>
        <w:ind w:right="113"/>
        <w:jc w:val="center"/>
        <w:rPr>
          <w:rFonts w:ascii="Palatino Linotype" w:eastAsia="MS Mincho" w:hAnsi="Palatino Linotype" w:cs="Tahoma"/>
          <w:sz w:val="22"/>
          <w:lang w:val="es-ES_tradnl"/>
        </w:rPr>
      </w:pPr>
    </w:p>
    <w:p w:rsidR="00B90C6C" w:rsidRDefault="00325239" w:rsidP="008373CE">
      <w:pPr>
        <w:spacing w:line="360" w:lineRule="auto"/>
        <w:ind w:right="-93"/>
        <w:jc w:val="center"/>
        <w:rPr>
          <w:rFonts w:ascii="Palatino Linotype" w:eastAsia="Calibri" w:hAnsi="Palatino Linotype" w:cs="Tahoma"/>
          <w:bCs/>
          <w:sz w:val="22"/>
          <w:szCs w:val="22"/>
          <w:lang w:eastAsia="en-US"/>
        </w:rPr>
      </w:pPr>
      <w:r w:rsidRPr="00202207">
        <w:rPr>
          <w:noProof/>
          <w:lang w:eastAsia="es-MX"/>
        </w:rPr>
        <mc:AlternateContent>
          <mc:Choice Requires="wps">
            <w:drawing>
              <wp:anchor distT="0" distB="0" distL="114300" distR="114300" simplePos="0" relativeHeight="251663360" behindDoc="0" locked="0" layoutInCell="1" allowOverlap="1" wp14:anchorId="6B95C200" wp14:editId="6B4071E2">
                <wp:simplePos x="0" y="0"/>
                <wp:positionH relativeFrom="margin">
                  <wp:posOffset>13970</wp:posOffset>
                </wp:positionH>
                <wp:positionV relativeFrom="paragraph">
                  <wp:posOffset>2435860</wp:posOffset>
                </wp:positionV>
                <wp:extent cx="4216400" cy="201635"/>
                <wp:effectExtent l="0" t="0" r="12700" b="27305"/>
                <wp:wrapNone/>
                <wp:docPr id="7" name="Rectángulo 7"/>
                <wp:cNvGraphicFramePr/>
                <a:graphic xmlns:a="http://schemas.openxmlformats.org/drawingml/2006/main">
                  <a:graphicData uri="http://schemas.microsoft.com/office/word/2010/wordprocessingShape">
                    <wps:wsp>
                      <wps:cNvSpPr/>
                      <wps:spPr>
                        <a:xfrm>
                          <a:off x="0" y="0"/>
                          <a:ext cx="4216400" cy="201635"/>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4A8BB" id="Rectángulo 7" o:spid="_x0000_s1026" style="position:absolute;margin-left:1.1pt;margin-top:191.8pt;width:332pt;height:1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NrjQIAAG4FAAAOAAAAZHJzL2Uyb0RvYy54bWysVN1u0zAUvkfiHSzfs6Sl61i0dKo2FSFN&#10;Y9qGdu06dhvh+Jhjt2l5G56FF+PYSbNqTAIhcuEc+/x/5+fictcYtlXoa7AlH53knCkroartquRf&#10;HhfvPnDmg7CVMGBVyffK88vZ2zcXrSvUGNZgKoWMjFhftK7k6xBckWVerlUj/Ak4ZYmpARsR6Iqr&#10;rELRkvXGZOM8n2YtYOUQpPKeXq87Jp8l+1orGT5r7VVgpuQUW0gnpnMZz2x2IYoVCreuZR+G+Ico&#10;GlFbcjqYuhZBsA3Wv5lqaongQYcTCU0GWtdSpRwom1H+IpuHtXAq5ULgeDfA5P+fWXm7vUNWVyU/&#10;48yKhkp0T6D9/GFXGwPsLALUOl+Q3IO7w/7miYzZ7jQ28U95sF0CdT+AqnaBSXqcjEfTSU7YS+JR&#10;ktP3p9Fo9qzt0IePChoWiZIj+U9Yiu2ND53oQSQ6s7CojaF3URjLWuq68/w0TxoeTF1FbmR6XC2v&#10;DLKtoNovFjl9veMjMQrDWIom5thllaiwN6pzcK80wUN5jDoPsTHVYFZIqWyY9naNJemopimEQXH8&#10;Z8VePqqq1LSD8l94HTSSZ7BhUG5qC/ia9+rrqA9Zd/IHBLq8IwRLqPbUGQjdyHgnFzWV50b4cCeQ&#10;ZoQqSnMfPtOhDVAZoKc4WwN+f+09ylPrEpezlmau5P7bRqDizHyy1NTno8kkDmm6TE7PxnTBY87y&#10;mGM3zRVQaUe0YZxMZJQP5kBqhOaJ1sM8eiWWsJJ8l1wGPFyuQrcLaMFINZ8nMRpMJ8KNfXDyUPXY&#10;fo+7J4Gu79FA3X0Lh/kUxYtW7WRjPSzMNwF0nfr4GdcebxrqNAn9Aopb4/iepJ7X5OwXAAAA//8D&#10;AFBLAwQUAAYACAAAACEAdMW2C98AAAAJAQAADwAAAGRycy9kb3ducmV2LnhtbEyPwU7DMBBE70j8&#10;g7VI3KhTt7hRyKYCJIRAPUCBuxu7SVR7HcVuEv4ec4Lj7Ixm3pbb2Vk2miF0nhCWiwyYodrrjhqE&#10;z4+nmxxYiIq0sp4MwrcJsK0uL0pVaD/Ruxn3sWGphEKhENoY+4LzULfGqbDwvaHkHf3gVExyaLge&#10;1JTKneUiyyR3qqO00KrePLamPu3PDuHNn47cfgnxunl4FpsXl0/NuEO8vprv74BFM8e/MPziJ3So&#10;EtPBn0kHZhGESEGEVb6SwJIvpUyXA8J6ebsGXpX8/wfVDwAAAP//AwBQSwECLQAUAAYACAAAACEA&#10;toM4kv4AAADhAQAAEwAAAAAAAAAAAAAAAAAAAAAAW0NvbnRlbnRfVHlwZXNdLnhtbFBLAQItABQA&#10;BgAIAAAAIQA4/SH/1gAAAJQBAAALAAAAAAAAAAAAAAAAAC8BAABfcmVscy8ucmVsc1BLAQItABQA&#10;BgAIAAAAIQD9ZMNrjQIAAG4FAAAOAAAAAAAAAAAAAAAAAC4CAABkcnMvZTJvRG9jLnhtbFBLAQIt&#10;ABQABgAIAAAAIQB0xbYL3wAAAAkBAAAPAAAAAAAAAAAAAAAAAOcEAABkcnMvZG93bnJldi54bWxQ&#10;SwUGAAAAAAQABADzAAAA8wUAAAAA&#10;" filled="f" strokecolor="red" strokeweight="1.5pt">
                <w10:wrap anchorx="margin"/>
              </v:rect>
            </w:pict>
          </mc:Fallback>
        </mc:AlternateContent>
      </w:r>
      <w:r>
        <w:rPr>
          <w:noProof/>
          <w:lang w:eastAsia="es-MX"/>
        </w:rPr>
        <w:drawing>
          <wp:inline distT="0" distB="0" distL="0" distR="0" wp14:anchorId="7B82268B" wp14:editId="7AC39753">
            <wp:extent cx="5813152" cy="2959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4636" t="24169" r="35378" b="48693"/>
                    <a:stretch/>
                  </pic:blipFill>
                  <pic:spPr bwMode="auto">
                    <a:xfrm>
                      <a:off x="0" y="0"/>
                      <a:ext cx="5864894" cy="2985439"/>
                    </a:xfrm>
                    <a:prstGeom prst="rect">
                      <a:avLst/>
                    </a:prstGeom>
                    <a:ln>
                      <a:noFill/>
                    </a:ln>
                    <a:extLst>
                      <a:ext uri="{53640926-AAD7-44D8-BBD7-CCE9431645EC}">
                        <a14:shadowObscured xmlns:a14="http://schemas.microsoft.com/office/drawing/2010/main"/>
                      </a:ext>
                    </a:extLst>
                  </pic:spPr>
                </pic:pic>
              </a:graphicData>
            </a:graphic>
          </wp:inline>
        </w:drawing>
      </w:r>
    </w:p>
    <w:p w:rsidR="00573D72" w:rsidRDefault="00573D72" w:rsidP="008373CE">
      <w:pPr>
        <w:spacing w:line="360" w:lineRule="auto"/>
        <w:ind w:right="-93"/>
        <w:jc w:val="center"/>
        <w:rPr>
          <w:rFonts w:ascii="Palatino Linotype" w:eastAsia="Calibri" w:hAnsi="Palatino Linotype" w:cs="Tahoma"/>
          <w:bCs/>
          <w:sz w:val="22"/>
          <w:szCs w:val="22"/>
          <w:lang w:eastAsia="en-US"/>
        </w:rPr>
      </w:pPr>
    </w:p>
    <w:p w:rsidR="00B90C6C" w:rsidRDefault="0066512D" w:rsidP="008373CE">
      <w:pPr>
        <w:spacing w:line="360" w:lineRule="auto"/>
        <w:ind w:right="-93"/>
        <w:jc w:val="center"/>
        <w:rPr>
          <w:rFonts w:ascii="Palatino Linotype" w:eastAsia="Calibri" w:hAnsi="Palatino Linotype" w:cs="Tahoma"/>
          <w:bCs/>
          <w:sz w:val="22"/>
          <w:szCs w:val="22"/>
          <w:lang w:eastAsia="en-US"/>
        </w:rPr>
      </w:pPr>
      <w:r w:rsidRPr="0066512D">
        <w:rPr>
          <w:noProof/>
          <w:lang w:eastAsia="es-MX"/>
        </w:rPr>
        <w:lastRenderedPageBreak/>
        <w:drawing>
          <wp:inline distT="0" distB="0" distL="0" distR="0">
            <wp:extent cx="5780210" cy="3067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4791" cy="3069481"/>
                    </a:xfrm>
                    <a:prstGeom prst="rect">
                      <a:avLst/>
                    </a:prstGeom>
                    <a:noFill/>
                    <a:ln>
                      <a:noFill/>
                    </a:ln>
                  </pic:spPr>
                </pic:pic>
              </a:graphicData>
            </a:graphic>
          </wp:inline>
        </w:drawing>
      </w:r>
    </w:p>
    <w:p w:rsidR="00B90C6C" w:rsidRDefault="00B90C6C" w:rsidP="008373CE">
      <w:pPr>
        <w:spacing w:line="360" w:lineRule="auto"/>
        <w:ind w:right="-93"/>
        <w:jc w:val="both"/>
        <w:rPr>
          <w:rFonts w:ascii="Palatino Linotype" w:eastAsia="Calibri" w:hAnsi="Palatino Linotype" w:cs="Tahoma"/>
          <w:bCs/>
          <w:sz w:val="22"/>
          <w:szCs w:val="22"/>
          <w:lang w:eastAsia="en-US"/>
        </w:rPr>
      </w:pPr>
    </w:p>
    <w:p w:rsidR="00546CBB" w:rsidRPr="006B5262" w:rsidRDefault="006B5262" w:rsidP="008373CE">
      <w:pPr>
        <w:spacing w:line="360" w:lineRule="auto"/>
        <w:jc w:val="both"/>
        <w:rPr>
          <w:rFonts w:ascii="Palatino Linotype" w:hAnsi="Palatino Linotype" w:cs="Arial"/>
          <w:sz w:val="22"/>
          <w:szCs w:val="22"/>
          <w:lang w:eastAsia="es-MX"/>
        </w:rPr>
      </w:pPr>
      <w:r>
        <w:rPr>
          <w:rFonts w:ascii="Palatino Linotype" w:hAnsi="Palatino Linotype" w:cs="Arial"/>
          <w:sz w:val="22"/>
          <w:szCs w:val="22"/>
          <w:lang w:eastAsia="es-MX"/>
        </w:rPr>
        <w:t>En ese orden de ideas, cabe precisar</w:t>
      </w:r>
      <w:r w:rsidRPr="006B5262">
        <w:rPr>
          <w:rFonts w:ascii="Palatino Linotype" w:hAnsi="Palatino Linotype" w:cs="Arial"/>
          <w:sz w:val="22"/>
          <w:szCs w:val="22"/>
          <w:lang w:eastAsia="es-MX"/>
        </w:rPr>
        <w:t xml:space="preserve"> que la</w:t>
      </w:r>
      <w:r w:rsidR="00546CBB" w:rsidRPr="006B5262">
        <w:rPr>
          <w:rFonts w:ascii="Palatino Linotype" w:hAnsi="Palatino Linotype" w:cs="Arial"/>
          <w:sz w:val="22"/>
          <w:szCs w:val="22"/>
          <w:lang w:eastAsia="es-MX"/>
        </w:rPr>
        <w:t xml:space="preserve"> </w:t>
      </w:r>
      <w:r w:rsidR="00546CBB" w:rsidRPr="006B5262">
        <w:rPr>
          <w:rFonts w:ascii="Palatino Linotype" w:hAnsi="Palatino Linotype" w:cs="Arial"/>
          <w:b/>
          <w:sz w:val="22"/>
          <w:szCs w:val="22"/>
          <w:lang w:eastAsia="es-MX"/>
        </w:rPr>
        <w:t>balanza de comprobación detallada</w:t>
      </w:r>
      <w:r w:rsidR="00546CBB" w:rsidRPr="006B5262">
        <w:rPr>
          <w:rFonts w:ascii="Palatino Linotype" w:hAnsi="Palatino Linotype" w:cs="Arial"/>
          <w:sz w:val="22"/>
          <w:szCs w:val="22"/>
          <w:lang w:eastAsia="es-MX"/>
        </w:rPr>
        <w:t>, se integra con la finalidad de verificar que se cumplió con la Teoría de la partida doble</w:t>
      </w:r>
      <w:r>
        <w:rPr>
          <w:rFonts w:ascii="Palatino Linotype" w:hAnsi="Palatino Linotype" w:cs="Arial"/>
          <w:sz w:val="22"/>
          <w:szCs w:val="22"/>
          <w:lang w:eastAsia="es-MX"/>
        </w:rPr>
        <w:t>;</w:t>
      </w:r>
      <w:r w:rsidR="00546CBB" w:rsidRPr="006B5262">
        <w:rPr>
          <w:rFonts w:ascii="Palatino Linotype" w:hAnsi="Palatino Linotype" w:cs="Arial"/>
          <w:sz w:val="22"/>
          <w:szCs w:val="22"/>
          <w:lang w:eastAsia="es-MX"/>
        </w:rPr>
        <w:t xml:space="preserve"> es decir que se registraron por medio de cargos y abonos los aumentos y/o disminuciones o efectos que produjeron las operaciones en los diferentes elementos del  balance general o est</w:t>
      </w:r>
      <w:r>
        <w:rPr>
          <w:rFonts w:ascii="Palatino Linotype" w:hAnsi="Palatino Linotype" w:cs="Arial"/>
          <w:sz w:val="22"/>
          <w:szCs w:val="22"/>
          <w:lang w:eastAsia="es-MX"/>
        </w:rPr>
        <w:t>ado de resultados,</w:t>
      </w:r>
      <w:r w:rsidR="00546CBB" w:rsidRPr="006B5262">
        <w:rPr>
          <w:rFonts w:ascii="Palatino Linotype" w:hAnsi="Palatino Linotype" w:cs="Arial"/>
          <w:sz w:val="22"/>
          <w:szCs w:val="22"/>
          <w:lang w:eastAsia="es-MX"/>
        </w:rPr>
        <w:t xml:space="preserve"> manteniendo sumas iguales entre las partidas de cargo y abono, de tal manera que siempre subsista la igualdad entre el Activo y la suma del Pasivo con el capital.</w:t>
      </w:r>
    </w:p>
    <w:p w:rsidR="00573D72" w:rsidRDefault="00573D72" w:rsidP="008373CE">
      <w:pPr>
        <w:spacing w:line="360" w:lineRule="auto"/>
        <w:jc w:val="both"/>
        <w:rPr>
          <w:rFonts w:ascii="Palatino Linotype" w:hAnsi="Palatino Linotype" w:cs="Arial"/>
          <w:sz w:val="22"/>
          <w:szCs w:val="22"/>
          <w:lang w:eastAsia="es-MX"/>
        </w:rPr>
      </w:pPr>
    </w:p>
    <w:p w:rsidR="006B5262" w:rsidRPr="00D02F4D" w:rsidRDefault="006B5262" w:rsidP="008373C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Ahora bien, cabe precisar que el particular solicitó la balanza detallada mensual, por lo que, resulta necesario precisar que los solicitantes no están obligados a conocer el nombre preciso de los documentos a los cuales quiere tener acceso, por lo que, en el presente caso, se determina que el documento al cual quiere acceder el ahora Recurrente corresponde a la </w:t>
      </w:r>
      <w:r w:rsidRPr="00D02F4D">
        <w:rPr>
          <w:rFonts w:ascii="Palatino Linotype" w:eastAsia="Calibri" w:hAnsi="Palatino Linotype" w:cs="Tahoma"/>
          <w:b/>
          <w:bCs/>
          <w:sz w:val="22"/>
          <w:szCs w:val="22"/>
          <w:lang w:eastAsia="en-US"/>
        </w:rPr>
        <w:t>Balanza de Comprobación Detallada, mensual durante el ejercicio fiscal dos mil dieciocho.</w:t>
      </w:r>
    </w:p>
    <w:p w:rsidR="006B5262" w:rsidRDefault="006B5262" w:rsidP="008373CE">
      <w:pPr>
        <w:spacing w:line="360" w:lineRule="auto"/>
        <w:jc w:val="both"/>
        <w:rPr>
          <w:rFonts w:ascii="Palatino Linotype" w:eastAsia="Calibri" w:hAnsi="Palatino Linotype" w:cs="Tahoma"/>
          <w:bCs/>
          <w:sz w:val="22"/>
          <w:szCs w:val="22"/>
          <w:lang w:eastAsia="en-US"/>
        </w:rPr>
      </w:pPr>
    </w:p>
    <w:p w:rsidR="006B5262" w:rsidRDefault="006B5262" w:rsidP="008373CE">
      <w:pPr>
        <w:spacing w:line="360" w:lineRule="auto"/>
        <w:jc w:val="both"/>
        <w:rPr>
          <w:rFonts w:ascii="Palatino Linotype" w:hAnsi="Palatino Linotype" w:cs="Arial"/>
          <w:sz w:val="22"/>
          <w:szCs w:val="22"/>
          <w:lang w:eastAsia="es-MX"/>
        </w:rPr>
      </w:pPr>
      <w:r>
        <w:rPr>
          <w:rFonts w:ascii="Palatino Linotype" w:eastAsia="Calibri" w:hAnsi="Palatino Linotype" w:cs="Tahoma"/>
          <w:bCs/>
          <w:sz w:val="22"/>
          <w:szCs w:val="22"/>
          <w:lang w:eastAsia="en-US"/>
        </w:rPr>
        <w:t xml:space="preserve">Al respecto, las Consideraciones para la Elaboración y Entrega del Informe Mensual de los </w:t>
      </w:r>
      <w:r w:rsidRPr="00B044E6">
        <w:rPr>
          <w:rFonts w:ascii="Palatino Linotype" w:eastAsia="MS Mincho" w:hAnsi="Palatino Linotype" w:cs="Arial"/>
          <w:sz w:val="22"/>
          <w:lang w:val="es-ES_tradnl"/>
        </w:rPr>
        <w:t xml:space="preserve">Lineamientos para la </w:t>
      </w:r>
      <w:r>
        <w:rPr>
          <w:rFonts w:ascii="Palatino Linotype" w:eastAsia="MS Mincho" w:hAnsi="Palatino Linotype" w:cs="Arial"/>
          <w:sz w:val="22"/>
          <w:lang w:val="es-ES_tradnl"/>
        </w:rPr>
        <w:t xml:space="preserve">Elaboración y Presentación del Informe Mensual Municipal dos mil </w:t>
      </w:r>
      <w:r>
        <w:rPr>
          <w:rFonts w:ascii="Palatino Linotype" w:eastAsia="MS Mincho" w:hAnsi="Palatino Linotype" w:cs="Arial"/>
          <w:sz w:val="22"/>
          <w:lang w:val="es-ES_tradnl"/>
        </w:rPr>
        <w:lastRenderedPageBreak/>
        <w:t xml:space="preserve">dieciocho, establece que los informes mensuales deberán ser presentados dentro de los veinte días posteriores al término del mes correspondiente; por lo que, en el presente caso, procede la entrega </w:t>
      </w:r>
      <w:r w:rsidR="00D02F4D">
        <w:rPr>
          <w:rFonts w:ascii="Palatino Linotype" w:eastAsia="MS Mincho" w:hAnsi="Palatino Linotype" w:cs="Arial"/>
          <w:sz w:val="22"/>
          <w:lang w:val="es-ES_tradnl"/>
        </w:rPr>
        <w:t>de la</w:t>
      </w:r>
      <w:r w:rsidR="00672801">
        <w:rPr>
          <w:rFonts w:ascii="Palatino Linotype" w:eastAsia="MS Mincho" w:hAnsi="Palatino Linotype" w:cs="Arial"/>
          <w:sz w:val="22"/>
          <w:lang w:val="es-ES_tradnl"/>
        </w:rPr>
        <w:t>s</w:t>
      </w:r>
      <w:r w:rsidR="00D02F4D">
        <w:rPr>
          <w:rFonts w:ascii="Palatino Linotype" w:eastAsia="MS Mincho" w:hAnsi="Palatino Linotype" w:cs="Arial"/>
          <w:sz w:val="22"/>
          <w:lang w:val="es-ES_tradnl"/>
        </w:rPr>
        <w:t xml:space="preserve"> </w:t>
      </w:r>
      <w:r w:rsidR="00D02F4D" w:rsidRPr="00D02F4D">
        <w:rPr>
          <w:rFonts w:ascii="Palatino Linotype" w:eastAsia="Calibri" w:hAnsi="Palatino Linotype" w:cs="Tahoma"/>
          <w:b/>
          <w:bCs/>
          <w:sz w:val="22"/>
          <w:szCs w:val="22"/>
          <w:lang w:eastAsia="en-US"/>
        </w:rPr>
        <w:t>Balanza</w:t>
      </w:r>
      <w:r w:rsidR="00672801">
        <w:rPr>
          <w:rFonts w:ascii="Palatino Linotype" w:eastAsia="Calibri" w:hAnsi="Palatino Linotype" w:cs="Tahoma"/>
          <w:b/>
          <w:bCs/>
          <w:sz w:val="22"/>
          <w:szCs w:val="22"/>
          <w:lang w:eastAsia="en-US"/>
        </w:rPr>
        <w:t>s</w:t>
      </w:r>
      <w:r w:rsidR="00D02F4D" w:rsidRPr="00D02F4D">
        <w:rPr>
          <w:rFonts w:ascii="Palatino Linotype" w:eastAsia="Calibri" w:hAnsi="Palatino Linotype" w:cs="Tahoma"/>
          <w:b/>
          <w:bCs/>
          <w:sz w:val="22"/>
          <w:szCs w:val="22"/>
          <w:lang w:eastAsia="en-US"/>
        </w:rPr>
        <w:t xml:space="preserve"> de Comprobación Detallada</w:t>
      </w:r>
      <w:r w:rsidR="00672801">
        <w:rPr>
          <w:rFonts w:ascii="Palatino Linotype" w:eastAsia="Calibri" w:hAnsi="Palatino Linotype" w:cs="Tahoma"/>
          <w:b/>
          <w:bCs/>
          <w:sz w:val="22"/>
          <w:szCs w:val="22"/>
          <w:lang w:eastAsia="en-US"/>
        </w:rPr>
        <w:t>, concernientes</w:t>
      </w:r>
      <w:r w:rsidR="00D02F4D" w:rsidRPr="00D02F4D">
        <w:rPr>
          <w:rFonts w:ascii="Palatino Linotype" w:eastAsia="Calibri" w:hAnsi="Palatino Linotype" w:cs="Tahoma"/>
          <w:b/>
          <w:bCs/>
          <w:sz w:val="22"/>
          <w:szCs w:val="22"/>
          <w:lang w:eastAsia="en-US"/>
        </w:rPr>
        <w:t xml:space="preserve"> de enero a julio de dos mil dieciocho;</w:t>
      </w:r>
      <w:r w:rsidR="00D02F4D">
        <w:rPr>
          <w:rFonts w:ascii="Palatino Linotype" w:eastAsia="Calibri" w:hAnsi="Palatino Linotype" w:cs="Tahoma"/>
          <w:bCs/>
          <w:sz w:val="22"/>
          <w:szCs w:val="22"/>
          <w:lang w:eastAsia="en-US"/>
        </w:rPr>
        <w:t xml:space="preserve"> lo anterior, toda vez que la solicitud de información fue presentada el veintisiete de agosto de la presente anualidad</w:t>
      </w:r>
      <w:r w:rsidR="0071670A">
        <w:rPr>
          <w:rFonts w:ascii="Palatino Linotype" w:eastAsia="Calibri" w:hAnsi="Palatino Linotype" w:cs="Tahoma"/>
          <w:bCs/>
          <w:sz w:val="22"/>
          <w:szCs w:val="22"/>
          <w:lang w:eastAsia="en-US"/>
        </w:rPr>
        <w:t xml:space="preserve"> y en ella se precisó que se requiere la información del año dos mil dieciocho</w:t>
      </w:r>
      <w:r w:rsidR="00D02F4D">
        <w:rPr>
          <w:rFonts w:ascii="Palatino Linotype" w:eastAsia="Calibri" w:hAnsi="Palatino Linotype" w:cs="Tahoma"/>
          <w:bCs/>
          <w:sz w:val="22"/>
          <w:szCs w:val="22"/>
          <w:lang w:eastAsia="en-US"/>
        </w:rPr>
        <w:t>.</w:t>
      </w:r>
    </w:p>
    <w:p w:rsidR="006B5262" w:rsidRPr="006B5262" w:rsidRDefault="006B5262" w:rsidP="008373CE">
      <w:pPr>
        <w:spacing w:line="360" w:lineRule="auto"/>
        <w:jc w:val="both"/>
        <w:rPr>
          <w:rFonts w:ascii="Palatino Linotype" w:hAnsi="Palatino Linotype" w:cs="Arial"/>
          <w:sz w:val="22"/>
          <w:szCs w:val="22"/>
          <w:lang w:eastAsia="es-MX"/>
        </w:rPr>
      </w:pPr>
    </w:p>
    <w:p w:rsidR="00D5190D" w:rsidRPr="00672801" w:rsidRDefault="00672801" w:rsidP="008373CE">
      <w:pPr>
        <w:spacing w:line="360" w:lineRule="auto"/>
        <w:jc w:val="both"/>
        <w:rPr>
          <w:rFonts w:ascii="Palatino Linotype" w:hAnsi="Palatino Linotype" w:cs="Arial"/>
          <w:sz w:val="22"/>
          <w:szCs w:val="22"/>
          <w:lang w:eastAsia="es-MX"/>
        </w:rPr>
      </w:pPr>
      <w:r>
        <w:rPr>
          <w:rFonts w:ascii="Palatino Linotype" w:hAnsi="Palatino Linotype" w:cs="Arial"/>
          <w:sz w:val="22"/>
          <w:szCs w:val="22"/>
          <w:lang w:eastAsia="es-MX"/>
        </w:rPr>
        <w:t>Asimismo, resulta necesario precisar que conforme al artículo 2</w:t>
      </w:r>
      <w:r w:rsidR="003271D2">
        <w:rPr>
          <w:rFonts w:ascii="Palatino Linotype" w:hAnsi="Palatino Linotype" w:cs="Arial"/>
          <w:sz w:val="22"/>
          <w:szCs w:val="22"/>
          <w:lang w:eastAsia="es-MX"/>
        </w:rPr>
        <w:t>°</w:t>
      </w:r>
      <w:r>
        <w:rPr>
          <w:rFonts w:ascii="Palatino Linotype" w:hAnsi="Palatino Linotype" w:cs="Arial"/>
          <w:sz w:val="22"/>
          <w:szCs w:val="22"/>
          <w:lang w:eastAsia="es-MX"/>
        </w:rPr>
        <w:t>, fracción XI</w:t>
      </w:r>
      <w:r w:rsidR="003271D2">
        <w:rPr>
          <w:rFonts w:ascii="Palatino Linotype" w:hAnsi="Palatino Linotype" w:cs="Arial"/>
          <w:sz w:val="22"/>
          <w:szCs w:val="22"/>
          <w:lang w:eastAsia="es-MX"/>
        </w:rPr>
        <w:t>,</w:t>
      </w:r>
      <w:r>
        <w:rPr>
          <w:rFonts w:ascii="Palatino Linotype" w:hAnsi="Palatino Linotype" w:cs="Arial"/>
          <w:sz w:val="22"/>
          <w:szCs w:val="22"/>
          <w:lang w:eastAsia="es-MX"/>
        </w:rPr>
        <w:t xml:space="preserve"> de la Ley de Fiscalización Superior del Estado de México, las Tesorerías Municipales serán las encargas de enviar mensualmente al Órgano Superior de Fiscalización los Informes Mensuales.</w:t>
      </w:r>
      <w:r w:rsidR="003271D2">
        <w:rPr>
          <w:rFonts w:ascii="Palatino Linotype" w:hAnsi="Palatino Linotype" w:cs="Arial"/>
          <w:sz w:val="22"/>
          <w:szCs w:val="22"/>
          <w:lang w:eastAsia="es-MX"/>
        </w:rPr>
        <w:t xml:space="preserve"> </w:t>
      </w:r>
      <w:r>
        <w:rPr>
          <w:rFonts w:ascii="Palatino Linotype" w:hAnsi="Palatino Linotype" w:cs="Arial"/>
          <w:sz w:val="22"/>
          <w:szCs w:val="22"/>
          <w:lang w:eastAsia="es-MX"/>
        </w:rPr>
        <w:t xml:space="preserve">De tales circunstancias, se  considera que para atender al requerimiento en análisis, el Sujeto Obligado, deberá realizar una búsqueda exhaustiva y razonable en su Tesorería Municipal, de las </w:t>
      </w:r>
      <w:r w:rsidRPr="00D02F4D">
        <w:rPr>
          <w:rFonts w:ascii="Palatino Linotype" w:eastAsia="Calibri" w:hAnsi="Palatino Linotype" w:cs="Tahoma"/>
          <w:b/>
          <w:bCs/>
          <w:sz w:val="22"/>
          <w:szCs w:val="22"/>
          <w:lang w:eastAsia="en-US"/>
        </w:rPr>
        <w:t>Balanza</w:t>
      </w:r>
      <w:r>
        <w:rPr>
          <w:rFonts w:ascii="Palatino Linotype" w:eastAsia="Calibri" w:hAnsi="Palatino Linotype" w:cs="Tahoma"/>
          <w:b/>
          <w:bCs/>
          <w:sz w:val="22"/>
          <w:szCs w:val="22"/>
          <w:lang w:eastAsia="en-US"/>
        </w:rPr>
        <w:t>s</w:t>
      </w:r>
      <w:r w:rsidRPr="00D02F4D">
        <w:rPr>
          <w:rFonts w:ascii="Palatino Linotype" w:eastAsia="Calibri" w:hAnsi="Palatino Linotype" w:cs="Tahoma"/>
          <w:b/>
          <w:bCs/>
          <w:sz w:val="22"/>
          <w:szCs w:val="22"/>
          <w:lang w:eastAsia="en-US"/>
        </w:rPr>
        <w:t xml:space="preserve"> de Comprobación Detallada</w:t>
      </w:r>
      <w:r>
        <w:rPr>
          <w:rFonts w:ascii="Palatino Linotype" w:eastAsia="Calibri" w:hAnsi="Palatino Linotype" w:cs="Tahoma"/>
          <w:b/>
          <w:bCs/>
          <w:sz w:val="22"/>
          <w:szCs w:val="22"/>
          <w:lang w:eastAsia="en-US"/>
        </w:rPr>
        <w:t>, concernientes</w:t>
      </w:r>
      <w:r w:rsidRPr="00D02F4D">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 xml:space="preserve">a los meses de enero a julio de dos mil dieciocho, </w:t>
      </w:r>
      <w:r>
        <w:rPr>
          <w:rFonts w:ascii="Palatino Linotype" w:eastAsia="Calibri" w:hAnsi="Palatino Linotype" w:cs="Tahoma"/>
          <w:bCs/>
          <w:sz w:val="22"/>
          <w:szCs w:val="22"/>
          <w:lang w:eastAsia="en-US"/>
        </w:rPr>
        <w:t>en términos del artículo 162 de la Ley de la materia.</w:t>
      </w:r>
    </w:p>
    <w:p w:rsidR="00D5190D" w:rsidRDefault="00D5190D" w:rsidP="008373CE">
      <w:pPr>
        <w:spacing w:line="360" w:lineRule="auto"/>
        <w:jc w:val="both"/>
        <w:rPr>
          <w:rFonts w:ascii="Palatino Linotype" w:hAnsi="Palatino Linotype" w:cs="Arial"/>
          <w:lang w:eastAsia="es-MX"/>
        </w:rPr>
      </w:pPr>
    </w:p>
    <w:p w:rsidR="00FB4127" w:rsidRPr="00FB4127" w:rsidRDefault="00672801" w:rsidP="008373CE">
      <w:pPr>
        <w:spacing w:line="360" w:lineRule="auto"/>
        <w:ind w:right="-93"/>
        <w:jc w:val="both"/>
        <w:rPr>
          <w:rFonts w:ascii="Palatino Linotype" w:hAnsi="Palatino Linotype" w:cs="Tahoma"/>
          <w:sz w:val="22"/>
          <w:szCs w:val="22"/>
        </w:rPr>
      </w:pPr>
      <w:r>
        <w:rPr>
          <w:rFonts w:ascii="Palatino Linotype" w:hAnsi="Palatino Linotype" w:cs="Tahoma"/>
          <w:b/>
          <w:sz w:val="22"/>
          <w:szCs w:val="22"/>
        </w:rPr>
        <w:t>SEXTO</w:t>
      </w:r>
      <w:r w:rsidR="006969BA" w:rsidRPr="00264223">
        <w:rPr>
          <w:rFonts w:ascii="Palatino Linotype" w:hAnsi="Palatino Linotype" w:cs="Tahoma"/>
          <w:b/>
          <w:sz w:val="22"/>
          <w:szCs w:val="22"/>
        </w:rPr>
        <w:t xml:space="preserve">. Decisión. </w:t>
      </w:r>
      <w:r w:rsidR="006969BA" w:rsidRPr="00264223">
        <w:rPr>
          <w:rFonts w:ascii="Palatino Linotype" w:hAnsi="Palatino Linotype" w:cs="Tahoma"/>
          <w:sz w:val="22"/>
          <w:szCs w:val="22"/>
        </w:rPr>
        <w:t>Con fundamento en el artículo 186, fracción IV</w:t>
      </w:r>
      <w:r w:rsidR="004921AB">
        <w:rPr>
          <w:rFonts w:ascii="Palatino Linotype" w:hAnsi="Palatino Linotype" w:cs="Tahoma"/>
          <w:sz w:val="22"/>
          <w:szCs w:val="22"/>
        </w:rPr>
        <w:t>,</w:t>
      </w:r>
      <w:r w:rsidR="006969BA" w:rsidRPr="00264223">
        <w:rPr>
          <w:rFonts w:ascii="Palatino Linotype" w:hAnsi="Palatino Linotype" w:cs="Tahoma"/>
          <w:sz w:val="22"/>
          <w:szCs w:val="22"/>
        </w:rPr>
        <w:t xml:space="preserve"> de la Ley de Transparencia y Acceso a la Información Pública del Estado de México y Municipios</w:t>
      </w:r>
      <w:r w:rsidR="0038438A" w:rsidRPr="00264223">
        <w:rPr>
          <w:rFonts w:ascii="Palatino Linotype" w:hAnsi="Palatino Linotype" w:cs="Tahoma"/>
          <w:sz w:val="22"/>
          <w:szCs w:val="22"/>
        </w:rPr>
        <w:t xml:space="preserve">, este Instituto considera procedente </w:t>
      </w:r>
      <w:r w:rsidR="00FB4127" w:rsidRPr="00FB4127">
        <w:rPr>
          <w:rFonts w:ascii="Palatino Linotype" w:hAnsi="Palatino Linotype" w:cs="Tahoma"/>
          <w:b/>
          <w:sz w:val="22"/>
          <w:szCs w:val="22"/>
        </w:rPr>
        <w:t>ORDENA</w:t>
      </w:r>
      <w:r w:rsidR="00FB4127">
        <w:rPr>
          <w:rFonts w:ascii="Palatino Linotype" w:hAnsi="Palatino Linotype" w:cs="Tahoma"/>
          <w:b/>
          <w:sz w:val="22"/>
          <w:szCs w:val="22"/>
        </w:rPr>
        <w:t>R</w:t>
      </w:r>
      <w:r w:rsidR="00EC0252">
        <w:rPr>
          <w:rFonts w:ascii="Palatino Linotype" w:hAnsi="Palatino Linotype" w:cs="Tahoma"/>
          <w:b/>
          <w:sz w:val="22"/>
          <w:szCs w:val="22"/>
        </w:rPr>
        <w:t xml:space="preserve"> </w:t>
      </w:r>
      <w:r w:rsidR="00FB4127" w:rsidRPr="00FB4127">
        <w:rPr>
          <w:rFonts w:ascii="Palatino Linotype" w:hAnsi="Palatino Linotype" w:cs="Tahoma"/>
          <w:sz w:val="22"/>
          <w:szCs w:val="22"/>
        </w:rPr>
        <w:t xml:space="preserve">al Ayuntamiento de </w:t>
      </w:r>
      <w:r w:rsidR="00EC0252">
        <w:rPr>
          <w:rFonts w:ascii="Palatino Linotype" w:hAnsi="Palatino Linotype" w:cs="Tahoma"/>
          <w:sz w:val="22"/>
          <w:szCs w:val="22"/>
        </w:rPr>
        <w:t>Rayón</w:t>
      </w:r>
      <w:r w:rsidR="00FB4127" w:rsidRPr="00FB4127">
        <w:rPr>
          <w:rFonts w:ascii="Palatino Linotype" w:hAnsi="Palatino Linotype" w:cs="Tahoma"/>
          <w:sz w:val="22"/>
          <w:szCs w:val="22"/>
        </w:rPr>
        <w:t xml:space="preserve">, previa búsqueda exhaustiva en todas las áreas competentes, entre las que no podrá </w:t>
      </w:r>
      <w:r w:rsidR="005C0DBE">
        <w:rPr>
          <w:rFonts w:ascii="Palatino Linotype" w:hAnsi="Palatino Linotype" w:cs="Tahoma"/>
          <w:sz w:val="22"/>
          <w:szCs w:val="22"/>
        </w:rPr>
        <w:t>o</w:t>
      </w:r>
      <w:r w:rsidR="00FB4127" w:rsidRPr="00FB4127">
        <w:rPr>
          <w:rFonts w:ascii="Palatino Linotype" w:hAnsi="Palatino Linotype" w:cs="Tahoma"/>
          <w:sz w:val="22"/>
          <w:szCs w:val="22"/>
        </w:rPr>
        <w:t xml:space="preserve">mitir a la </w:t>
      </w:r>
      <w:r>
        <w:rPr>
          <w:rFonts w:ascii="Palatino Linotype" w:hAnsi="Palatino Linotype" w:cs="Tahoma"/>
          <w:bCs/>
          <w:sz w:val="22"/>
          <w:szCs w:val="22"/>
        </w:rPr>
        <w:t>Tesorería Municipal</w:t>
      </w:r>
      <w:r w:rsidR="00FB4127" w:rsidRPr="00FB4127">
        <w:rPr>
          <w:rFonts w:ascii="Palatino Linotype" w:hAnsi="Palatino Linotype" w:cs="Tahoma"/>
          <w:bCs/>
          <w:sz w:val="22"/>
          <w:szCs w:val="22"/>
        </w:rPr>
        <w:t xml:space="preserve">, </w:t>
      </w:r>
      <w:r>
        <w:rPr>
          <w:rFonts w:ascii="Palatino Linotype" w:hAnsi="Palatino Linotype" w:cs="Tahoma"/>
          <w:bCs/>
          <w:sz w:val="22"/>
          <w:szCs w:val="22"/>
        </w:rPr>
        <w:t>proporcioné lo siguiente:</w:t>
      </w:r>
    </w:p>
    <w:p w:rsidR="00FB4127" w:rsidRPr="00FB4127" w:rsidRDefault="00FB4127" w:rsidP="008373CE">
      <w:pPr>
        <w:spacing w:line="360" w:lineRule="auto"/>
        <w:ind w:right="-93"/>
        <w:jc w:val="both"/>
        <w:rPr>
          <w:rFonts w:ascii="Palatino Linotype" w:hAnsi="Palatino Linotype" w:cs="Tahoma"/>
          <w:sz w:val="22"/>
          <w:szCs w:val="22"/>
        </w:rPr>
      </w:pPr>
    </w:p>
    <w:p w:rsidR="00FB4127" w:rsidRPr="00672801" w:rsidRDefault="00672801" w:rsidP="008373CE">
      <w:pPr>
        <w:numPr>
          <w:ilvl w:val="0"/>
          <w:numId w:val="17"/>
        </w:numPr>
        <w:spacing w:line="360" w:lineRule="auto"/>
        <w:ind w:right="-93"/>
        <w:jc w:val="both"/>
        <w:rPr>
          <w:rFonts w:ascii="Palatino Linotype" w:hAnsi="Palatino Linotype" w:cs="Tahoma"/>
          <w:sz w:val="24"/>
          <w:szCs w:val="22"/>
        </w:rPr>
      </w:pPr>
      <w:r>
        <w:rPr>
          <w:rFonts w:ascii="Palatino Linotype" w:hAnsi="Palatino Linotype" w:cs="Tahoma"/>
          <w:bCs/>
          <w:sz w:val="22"/>
        </w:rPr>
        <w:t>La versión pública de los r</w:t>
      </w:r>
      <w:r w:rsidR="005071E1" w:rsidRPr="005071E1">
        <w:rPr>
          <w:rFonts w:ascii="Palatino Linotype" w:hAnsi="Palatino Linotype" w:cs="Tahoma"/>
          <w:bCs/>
          <w:sz w:val="22"/>
        </w:rPr>
        <w:t>ecibos de nómina de todos los servidores públicos</w:t>
      </w:r>
      <w:r w:rsidR="00163E46">
        <w:rPr>
          <w:rFonts w:ascii="Palatino Linotype" w:hAnsi="Palatino Linotype" w:cs="Tahoma"/>
          <w:bCs/>
          <w:sz w:val="22"/>
        </w:rPr>
        <w:t xml:space="preserve"> del Ayuntamiento de Rayón</w:t>
      </w:r>
      <w:r>
        <w:rPr>
          <w:rFonts w:ascii="Palatino Linotype" w:hAnsi="Palatino Linotype" w:cs="Tahoma"/>
          <w:bCs/>
          <w:sz w:val="22"/>
        </w:rPr>
        <w:t>,</w:t>
      </w:r>
      <w:r w:rsidR="00163E46">
        <w:rPr>
          <w:rFonts w:ascii="Palatino Linotype" w:hAnsi="Palatino Linotype" w:cs="Tahoma"/>
          <w:bCs/>
          <w:sz w:val="22"/>
        </w:rPr>
        <w:t xml:space="preserve"> del </w:t>
      </w:r>
      <w:r>
        <w:rPr>
          <w:rFonts w:ascii="Palatino Linotype" w:hAnsi="Palatino Linotype" w:cs="Tahoma"/>
          <w:bCs/>
          <w:sz w:val="22"/>
        </w:rPr>
        <w:t>veintisiete</w:t>
      </w:r>
      <w:r w:rsidR="00163E46">
        <w:rPr>
          <w:rFonts w:ascii="Palatino Linotype" w:hAnsi="Palatino Linotype" w:cs="Tahoma"/>
          <w:bCs/>
          <w:sz w:val="22"/>
        </w:rPr>
        <w:t xml:space="preserve"> de agosto de dos mil diecisiete al </w:t>
      </w:r>
      <w:r>
        <w:rPr>
          <w:rFonts w:ascii="Palatino Linotype" w:hAnsi="Palatino Linotype" w:cs="Tahoma"/>
          <w:bCs/>
          <w:sz w:val="22"/>
        </w:rPr>
        <w:t>veintisiete</w:t>
      </w:r>
      <w:r w:rsidR="00163E46">
        <w:rPr>
          <w:rFonts w:ascii="Palatino Linotype" w:hAnsi="Palatino Linotype" w:cs="Tahoma"/>
          <w:bCs/>
          <w:sz w:val="22"/>
        </w:rPr>
        <w:t xml:space="preserve"> de agosto de dos mil dieciocho.</w:t>
      </w:r>
    </w:p>
    <w:p w:rsidR="00672801" w:rsidRDefault="00672801" w:rsidP="00672801">
      <w:pPr>
        <w:spacing w:line="360" w:lineRule="auto"/>
        <w:ind w:left="1065" w:right="-93"/>
        <w:jc w:val="both"/>
        <w:rPr>
          <w:rFonts w:ascii="Palatino Linotype" w:hAnsi="Palatino Linotype" w:cs="Tahoma"/>
          <w:bCs/>
          <w:sz w:val="22"/>
        </w:rPr>
      </w:pPr>
    </w:p>
    <w:p w:rsidR="00E03B74" w:rsidRDefault="00E03B74" w:rsidP="00E03B74">
      <w:pPr>
        <w:spacing w:line="360" w:lineRule="auto"/>
        <w:ind w:left="1065" w:right="-93"/>
        <w:jc w:val="both"/>
        <w:rPr>
          <w:rFonts w:ascii="Palatino Linotype" w:hAnsi="Palatino Linotype" w:cs="Tahoma"/>
          <w:bCs/>
          <w:sz w:val="22"/>
        </w:rPr>
      </w:pPr>
      <w:r w:rsidRPr="000615C8">
        <w:rPr>
          <w:rFonts w:ascii="Palatino Linotype" w:hAnsi="Palatino Linotype" w:cs="Tahoma"/>
          <w:bCs/>
          <w:sz w:val="22"/>
          <w:szCs w:val="22"/>
        </w:rPr>
        <w:lastRenderedPageBreak/>
        <w:t xml:space="preserve">Además, </w:t>
      </w:r>
      <w:r>
        <w:rPr>
          <w:rFonts w:ascii="Palatino Linotype" w:hAnsi="Palatino Linotype" w:cs="Tahoma"/>
          <w:bCs/>
          <w:sz w:val="22"/>
          <w:szCs w:val="22"/>
        </w:rPr>
        <w:t>deberá proporcionar, el Acuerdo de Clasificación donde el Comité de Transparencia, confirme la clasificación de los datos testados en las versiones públicas, respecto de la información reservada y confidencial</w:t>
      </w:r>
      <w:r>
        <w:rPr>
          <w:rFonts w:ascii="Palatino Linotype" w:eastAsia="Calibri" w:hAnsi="Palatino Linotype" w:cs="Tahoma"/>
          <w:bCs/>
          <w:sz w:val="22"/>
          <w:szCs w:val="22"/>
          <w:lang w:eastAsia="en-US"/>
        </w:rPr>
        <w:t>.</w:t>
      </w:r>
    </w:p>
    <w:p w:rsidR="00672801" w:rsidRPr="00163E46" w:rsidRDefault="00672801" w:rsidP="00672801">
      <w:pPr>
        <w:spacing w:line="360" w:lineRule="auto"/>
        <w:ind w:left="1065" w:right="-93"/>
        <w:jc w:val="both"/>
        <w:rPr>
          <w:rFonts w:ascii="Palatino Linotype" w:hAnsi="Palatino Linotype" w:cs="Tahoma"/>
          <w:sz w:val="24"/>
          <w:szCs w:val="22"/>
        </w:rPr>
      </w:pPr>
    </w:p>
    <w:p w:rsidR="00163E46" w:rsidRPr="00E03B74" w:rsidRDefault="00163E46" w:rsidP="008373CE">
      <w:pPr>
        <w:pStyle w:val="Prrafodelista"/>
        <w:numPr>
          <w:ilvl w:val="0"/>
          <w:numId w:val="17"/>
        </w:numPr>
        <w:spacing w:line="360" w:lineRule="auto"/>
        <w:jc w:val="both"/>
        <w:rPr>
          <w:rFonts w:ascii="Palatino Linotype" w:hAnsi="Palatino Linotype" w:cs="Arial"/>
          <w:lang w:eastAsia="es-MX"/>
        </w:rPr>
      </w:pPr>
      <w:r w:rsidRPr="00672801">
        <w:rPr>
          <w:rFonts w:ascii="Palatino Linotype" w:hAnsi="Palatino Linotype" w:cs="Arial"/>
          <w:lang w:eastAsia="es-MX"/>
        </w:rPr>
        <w:t>Los formatos</w:t>
      </w:r>
      <w:r w:rsidR="00672801" w:rsidRPr="00672801">
        <w:rPr>
          <w:rFonts w:ascii="Palatino Linotype" w:hAnsi="Palatino Linotype" w:cs="Arial"/>
          <w:lang w:eastAsia="es-MX"/>
        </w:rPr>
        <w:t xml:space="preserve"> de las</w:t>
      </w:r>
      <w:r w:rsidRPr="00672801">
        <w:rPr>
          <w:rFonts w:ascii="Palatino Linotype" w:hAnsi="Palatino Linotype" w:cs="Arial"/>
          <w:lang w:eastAsia="es-MX"/>
        </w:rPr>
        <w:t xml:space="preserve"> </w:t>
      </w:r>
      <w:r w:rsidR="00672801" w:rsidRPr="00672801">
        <w:rPr>
          <w:rFonts w:ascii="Palatino Linotype" w:eastAsia="Calibri" w:hAnsi="Palatino Linotype" w:cs="Tahoma"/>
          <w:bCs/>
          <w:szCs w:val="22"/>
          <w:lang w:eastAsia="en-US"/>
        </w:rPr>
        <w:t xml:space="preserve">Balanzas de Comprobación Detallada, </w:t>
      </w:r>
      <w:r w:rsidR="004921AB">
        <w:rPr>
          <w:rFonts w:ascii="Palatino Linotype" w:eastAsia="Calibri" w:hAnsi="Palatino Linotype" w:cs="Tahoma"/>
          <w:bCs/>
          <w:szCs w:val="22"/>
          <w:lang w:eastAsia="en-US"/>
        </w:rPr>
        <w:t>del periodo comprendido</w:t>
      </w:r>
      <w:r w:rsidR="004921AB" w:rsidRPr="00672801">
        <w:rPr>
          <w:rFonts w:ascii="Palatino Linotype" w:eastAsia="Calibri" w:hAnsi="Palatino Linotype" w:cs="Tahoma"/>
          <w:bCs/>
          <w:szCs w:val="22"/>
          <w:lang w:eastAsia="en-US"/>
        </w:rPr>
        <w:t xml:space="preserve"> </w:t>
      </w:r>
      <w:r w:rsidR="00672801" w:rsidRPr="00672801">
        <w:rPr>
          <w:rFonts w:ascii="Palatino Linotype" w:eastAsia="Calibri" w:hAnsi="Palatino Linotype" w:cs="Tahoma"/>
          <w:bCs/>
          <w:szCs w:val="22"/>
          <w:lang w:eastAsia="en-US"/>
        </w:rPr>
        <w:t>de enero a julio de dos mil dieciocho.</w:t>
      </w:r>
    </w:p>
    <w:p w:rsidR="00E03B74" w:rsidRDefault="00E03B74" w:rsidP="00E03B74">
      <w:pPr>
        <w:spacing w:line="360" w:lineRule="auto"/>
        <w:ind w:left="360" w:right="-93"/>
        <w:jc w:val="both"/>
        <w:rPr>
          <w:rFonts w:ascii="Palatino Linotype" w:hAnsi="Palatino Linotype" w:cs="Tahoma"/>
          <w:bCs/>
          <w:iCs/>
          <w:szCs w:val="22"/>
        </w:rPr>
      </w:pPr>
    </w:p>
    <w:p w:rsidR="00EA40A2" w:rsidRPr="00264223" w:rsidRDefault="00517EC0" w:rsidP="008373CE">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0038438A" w:rsidRPr="00264223">
        <w:rPr>
          <w:rFonts w:ascii="Palatino Linotype" w:hAnsi="Palatino Linotype" w:cs="Tahoma"/>
          <w:b/>
          <w:sz w:val="22"/>
          <w:szCs w:val="22"/>
        </w:rPr>
        <w:t xml:space="preserve">. </w:t>
      </w:r>
      <w:r w:rsidR="00107D2F" w:rsidRPr="00264223">
        <w:rPr>
          <w:rFonts w:ascii="Palatino Linotype" w:hAnsi="Palatino Linotype" w:cs="Tahoma"/>
          <w:b/>
          <w:sz w:val="22"/>
          <w:szCs w:val="22"/>
        </w:rPr>
        <w:t xml:space="preserve">Vista a la Contraloría </w:t>
      </w:r>
      <w:r w:rsidR="00EA4CD5" w:rsidRPr="00264223">
        <w:rPr>
          <w:rFonts w:ascii="Palatino Linotype" w:hAnsi="Palatino Linotype" w:cs="Tahoma"/>
          <w:b/>
          <w:sz w:val="22"/>
          <w:szCs w:val="22"/>
        </w:rPr>
        <w:t xml:space="preserve">Interna y </w:t>
      </w:r>
      <w:r w:rsidR="00EA4CD5" w:rsidRPr="00264223">
        <w:rPr>
          <w:rFonts w:ascii="Palatino Linotype" w:eastAsia="Calibri" w:hAnsi="Palatino Linotype" w:cs="Tahoma"/>
          <w:b/>
          <w:bCs/>
          <w:sz w:val="22"/>
          <w:szCs w:val="22"/>
          <w:lang w:val="es-ES_tradnl" w:eastAsia="en-US"/>
        </w:rPr>
        <w:t>Órgano de Control y Vigilancia</w:t>
      </w:r>
      <w:r w:rsidR="00107D2F" w:rsidRPr="00264223">
        <w:rPr>
          <w:rFonts w:ascii="Palatino Linotype" w:hAnsi="Palatino Linotype" w:cs="Tahoma"/>
          <w:b/>
          <w:sz w:val="22"/>
          <w:szCs w:val="22"/>
        </w:rPr>
        <w:t xml:space="preserve">. </w:t>
      </w:r>
    </w:p>
    <w:p w:rsidR="00EA40A2" w:rsidRPr="00264223" w:rsidRDefault="00EA40A2" w:rsidP="008373CE">
      <w:pPr>
        <w:spacing w:line="360" w:lineRule="auto"/>
        <w:ind w:right="-93"/>
        <w:jc w:val="both"/>
        <w:rPr>
          <w:rFonts w:ascii="Palatino Linotype" w:hAnsi="Palatino Linotype" w:cs="Tahoma"/>
          <w:b/>
          <w:sz w:val="22"/>
          <w:szCs w:val="22"/>
        </w:rPr>
      </w:pPr>
    </w:p>
    <w:p w:rsidR="006969BA" w:rsidRPr="00264223" w:rsidRDefault="00EA40A2" w:rsidP="008373CE">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E</w:t>
      </w:r>
      <w:r w:rsidR="0038438A" w:rsidRPr="00264223">
        <w:rPr>
          <w:rFonts w:ascii="Palatino Linotype" w:hAnsi="Palatino Linotype" w:cs="Tahoma"/>
          <w:sz w:val="22"/>
          <w:szCs w:val="22"/>
        </w:rPr>
        <w:t xml:space="preserve">n el caso en estudio, ha quedado acreditado que el </w:t>
      </w:r>
      <w:r w:rsidR="00C459A9" w:rsidRPr="00264223">
        <w:rPr>
          <w:rFonts w:ascii="Palatino Linotype" w:hAnsi="Palatino Linotype" w:cs="Tahoma"/>
          <w:sz w:val="22"/>
          <w:szCs w:val="22"/>
        </w:rPr>
        <w:t xml:space="preserve">Ayuntamiento de </w:t>
      </w:r>
      <w:r w:rsidR="00163E46">
        <w:rPr>
          <w:rFonts w:ascii="Palatino Linotype" w:hAnsi="Palatino Linotype" w:cs="Tahoma"/>
          <w:sz w:val="22"/>
          <w:szCs w:val="22"/>
        </w:rPr>
        <w:t xml:space="preserve">Rayón </w:t>
      </w:r>
      <w:r w:rsidR="0038438A" w:rsidRPr="00264223">
        <w:rPr>
          <w:rFonts w:ascii="Palatino Linotype" w:hAnsi="Palatino Linotype" w:cs="Tahoma"/>
          <w:sz w:val="22"/>
          <w:szCs w:val="22"/>
        </w:rPr>
        <w:t xml:space="preserve">no emitió respuesta en el plazo señalado en el artículo </w:t>
      </w:r>
      <w:r w:rsidR="000528E6" w:rsidRPr="00264223">
        <w:rPr>
          <w:rFonts w:ascii="Palatino Linotype" w:hAnsi="Palatino Linotype" w:cs="Tahoma"/>
          <w:sz w:val="22"/>
          <w:szCs w:val="22"/>
        </w:rPr>
        <w:t>163 de la Ley de Transparencia y Acceso a la Información Pública del Estado de México y Municipios.</w:t>
      </w:r>
    </w:p>
    <w:p w:rsidR="000528E6" w:rsidRPr="00264223" w:rsidRDefault="000528E6" w:rsidP="008373CE">
      <w:pPr>
        <w:spacing w:line="360" w:lineRule="auto"/>
        <w:ind w:right="-93"/>
        <w:jc w:val="both"/>
        <w:rPr>
          <w:rFonts w:ascii="Palatino Linotype" w:hAnsi="Palatino Linotype" w:cs="Tahoma"/>
          <w:sz w:val="22"/>
          <w:szCs w:val="22"/>
        </w:rPr>
      </w:pPr>
    </w:p>
    <w:p w:rsidR="002E7ACF" w:rsidRPr="005C0DBE" w:rsidRDefault="00D80F9D"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w:t>
      </w:r>
      <w:r w:rsidR="00D06906" w:rsidRPr="00264223">
        <w:rPr>
          <w:rFonts w:ascii="Palatino Linotype" w:hAnsi="Palatino Linotype" w:cs="Tahoma"/>
          <w:sz w:val="22"/>
          <w:szCs w:val="22"/>
        </w:rPr>
        <w:t>l</w:t>
      </w:r>
      <w:r w:rsidRPr="00264223">
        <w:rPr>
          <w:rFonts w:ascii="Palatino Linotype" w:hAnsi="Palatino Linotype" w:cs="Tahoma"/>
          <w:sz w:val="22"/>
          <w:szCs w:val="22"/>
        </w:rPr>
        <w:t xml:space="preserve"> ordenamiento jurídico</w:t>
      </w:r>
      <w:r w:rsidR="00D06906" w:rsidRPr="00264223">
        <w:rPr>
          <w:rFonts w:ascii="Palatino Linotype" w:hAnsi="Palatino Linotype" w:cs="Tahoma"/>
          <w:sz w:val="22"/>
          <w:szCs w:val="22"/>
        </w:rPr>
        <w:t xml:space="preserve"> en cita</w:t>
      </w:r>
      <w:r w:rsidRPr="00264223">
        <w:rPr>
          <w:rFonts w:ascii="Palatino Linotype" w:hAnsi="Palatino Linotype" w:cs="Tahoma"/>
          <w:sz w:val="22"/>
          <w:szCs w:val="22"/>
        </w:rPr>
        <w:t xml:space="preserve">, establece que es atribución de este Instituto hacer del conocimiento del </w:t>
      </w:r>
      <w:r w:rsidR="00D06906" w:rsidRPr="00264223">
        <w:rPr>
          <w:rFonts w:ascii="Palatino Linotype" w:hAnsi="Palatino Linotype" w:cs="Tahoma"/>
          <w:sz w:val="22"/>
          <w:szCs w:val="22"/>
        </w:rPr>
        <w:t>Ó</w:t>
      </w:r>
      <w:r w:rsidRPr="00264223">
        <w:rPr>
          <w:rFonts w:ascii="Palatino Linotype" w:hAnsi="Palatino Linotype" w:cs="Tahoma"/>
          <w:sz w:val="22"/>
          <w:szCs w:val="22"/>
        </w:rPr>
        <w:t xml:space="preserve">rgano </w:t>
      </w:r>
      <w:r w:rsidR="00D06906" w:rsidRPr="00264223">
        <w:rPr>
          <w:rFonts w:ascii="Palatino Linotype" w:hAnsi="Palatino Linotype" w:cs="Tahoma"/>
          <w:sz w:val="22"/>
          <w:szCs w:val="22"/>
        </w:rPr>
        <w:t xml:space="preserve">Interno </w:t>
      </w:r>
      <w:r w:rsidRPr="00264223">
        <w:rPr>
          <w:rFonts w:ascii="Palatino Linotype" w:hAnsi="Palatino Linotype" w:cs="Tahoma"/>
          <w:sz w:val="22"/>
          <w:szCs w:val="22"/>
        </w:rPr>
        <w:t xml:space="preserve">de </w:t>
      </w:r>
      <w:r w:rsidR="00D06906" w:rsidRPr="00264223">
        <w:rPr>
          <w:rFonts w:ascii="Palatino Linotype" w:hAnsi="Palatino Linotype" w:cs="Tahoma"/>
          <w:sz w:val="22"/>
          <w:szCs w:val="22"/>
        </w:rPr>
        <w:t xml:space="preserve">Control </w:t>
      </w:r>
      <w:r w:rsidRPr="00264223">
        <w:rPr>
          <w:rFonts w:ascii="Palatino Linotype" w:hAnsi="Palatino Linotype" w:cs="Tahoma"/>
          <w:sz w:val="22"/>
          <w:szCs w:val="22"/>
        </w:rPr>
        <w:t xml:space="preserve">o equivalente de cada </w:t>
      </w:r>
      <w:r w:rsidR="00C459A9" w:rsidRPr="00264223">
        <w:rPr>
          <w:rFonts w:ascii="Palatino Linotype" w:hAnsi="Palatino Linotype" w:cs="Tahoma"/>
          <w:sz w:val="22"/>
          <w:szCs w:val="22"/>
        </w:rPr>
        <w:t>Sujeto O</w:t>
      </w:r>
      <w:r w:rsidRPr="00264223">
        <w:rPr>
          <w:rFonts w:ascii="Palatino Linotype" w:hAnsi="Palatino Linotype" w:cs="Tahoma"/>
          <w:sz w:val="22"/>
          <w:szCs w:val="22"/>
        </w:rPr>
        <w:t>bligado las infracciones a esta Ley.</w:t>
      </w:r>
      <w:r w:rsidR="004921AB">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sidR="006D5B2D">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 xml:space="preserve">incumplimiento de las obligaciones establecida en la Ley de la materia, entre otras conductas, </w:t>
      </w:r>
      <w:r w:rsidR="004A5121"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rsidR="002E7ACF" w:rsidRPr="00264223" w:rsidRDefault="002E7ACF" w:rsidP="008373CE">
      <w:pPr>
        <w:spacing w:line="360" w:lineRule="auto"/>
        <w:ind w:right="-93"/>
        <w:jc w:val="both"/>
        <w:rPr>
          <w:rFonts w:ascii="Palatino Linotype" w:eastAsia="Calibri" w:hAnsi="Palatino Linotype" w:cs="Tahoma"/>
          <w:bCs/>
          <w:sz w:val="22"/>
          <w:szCs w:val="22"/>
          <w:lang w:eastAsia="en-US"/>
        </w:rPr>
      </w:pPr>
    </w:p>
    <w:p w:rsidR="00D80F9D" w:rsidRPr="00264223" w:rsidRDefault="00D02BC6"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sidR="006D5B2D">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rsidR="00D02BC6" w:rsidRPr="00264223" w:rsidRDefault="00D02BC6" w:rsidP="008373CE">
      <w:pPr>
        <w:spacing w:line="360" w:lineRule="auto"/>
        <w:ind w:right="-93"/>
        <w:jc w:val="both"/>
        <w:rPr>
          <w:rFonts w:ascii="Palatino Linotype" w:eastAsia="Calibri" w:hAnsi="Palatino Linotype" w:cs="Tahoma"/>
          <w:bCs/>
          <w:sz w:val="22"/>
          <w:szCs w:val="22"/>
          <w:lang w:eastAsia="en-US"/>
        </w:rPr>
      </w:pPr>
    </w:p>
    <w:p w:rsidR="003C6934" w:rsidRPr="00264223" w:rsidRDefault="00D02BC6"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Sobre el particular, </w:t>
      </w:r>
      <w:r w:rsidR="008B5C93" w:rsidRPr="00264223">
        <w:rPr>
          <w:rFonts w:ascii="Palatino Linotype" w:eastAsia="Calibri" w:hAnsi="Palatino Linotype" w:cs="Tahoma"/>
          <w:bCs/>
          <w:sz w:val="22"/>
          <w:szCs w:val="22"/>
          <w:lang w:eastAsia="en-US"/>
        </w:rPr>
        <w:t xml:space="preserve">si bien, la presente resolución no tiene por objetivo investigar y determinar posibles violaciones al derecho de acceso a la información, toda vez que </w:t>
      </w:r>
      <w:r w:rsidRPr="00264223">
        <w:rPr>
          <w:rFonts w:ascii="Palatino Linotype" w:eastAsia="Calibri" w:hAnsi="Palatino Linotype" w:cs="Tahoma"/>
          <w:bCs/>
          <w:sz w:val="22"/>
          <w:szCs w:val="22"/>
          <w:lang w:eastAsia="en-US"/>
        </w:rPr>
        <w:t>este Organismo Autónomo</w:t>
      </w:r>
      <w:r w:rsidR="008B5C93" w:rsidRPr="00264223">
        <w:rPr>
          <w:rFonts w:ascii="Palatino Linotype" w:eastAsia="Calibri" w:hAnsi="Palatino Linotype" w:cs="Tahoma"/>
          <w:bCs/>
          <w:sz w:val="22"/>
          <w:szCs w:val="22"/>
          <w:lang w:eastAsia="en-US"/>
        </w:rPr>
        <w:t>, advirtió la falta de respuesta del Sujeto Obligado,</w:t>
      </w:r>
      <w:r w:rsidR="003C6934" w:rsidRPr="00264223">
        <w:rPr>
          <w:rFonts w:ascii="Palatino Linotype" w:eastAsia="Calibri" w:hAnsi="Palatino Linotype" w:cs="Tahoma"/>
          <w:bCs/>
          <w:sz w:val="22"/>
          <w:szCs w:val="22"/>
          <w:lang w:eastAsia="en-US"/>
        </w:rPr>
        <w:t xml:space="preserve"> se considera procedente dar vista </w:t>
      </w:r>
      <w:r w:rsidR="008B5C93" w:rsidRPr="00264223">
        <w:rPr>
          <w:rFonts w:ascii="Palatino Linotype" w:eastAsia="Calibri" w:hAnsi="Palatino Linotype" w:cs="Tahoma"/>
          <w:bCs/>
          <w:sz w:val="22"/>
          <w:szCs w:val="22"/>
          <w:lang w:val="es-ES_tradnl" w:eastAsia="en-US"/>
        </w:rPr>
        <w:t>al Contralor Interno y Titular del Órgano de Control y Vigilancia de este Instituto</w:t>
      </w:r>
      <w:r w:rsidR="008B5C93" w:rsidRPr="00264223">
        <w:rPr>
          <w:rFonts w:ascii="Palatino Linotype" w:eastAsia="Calibri" w:hAnsi="Palatino Linotype" w:cs="Tahoma"/>
          <w:bCs/>
          <w:sz w:val="22"/>
          <w:szCs w:val="22"/>
          <w:lang w:eastAsia="en-US"/>
        </w:rPr>
        <w:t>.</w:t>
      </w:r>
    </w:p>
    <w:p w:rsidR="003C6934" w:rsidRPr="00264223" w:rsidRDefault="003C6934" w:rsidP="008373CE">
      <w:pPr>
        <w:spacing w:line="360" w:lineRule="auto"/>
        <w:ind w:right="-93"/>
        <w:jc w:val="both"/>
        <w:rPr>
          <w:rFonts w:ascii="Palatino Linotype" w:eastAsia="Calibri" w:hAnsi="Palatino Linotype" w:cs="Tahoma"/>
          <w:bCs/>
          <w:sz w:val="22"/>
          <w:szCs w:val="22"/>
          <w:lang w:eastAsia="en-US"/>
        </w:rPr>
      </w:pPr>
    </w:p>
    <w:p w:rsidR="003C6934" w:rsidRDefault="003C6934" w:rsidP="008373CE">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rsidR="00B6258B" w:rsidRPr="00264223" w:rsidRDefault="00B6258B" w:rsidP="008373CE">
      <w:pPr>
        <w:spacing w:line="360" w:lineRule="auto"/>
        <w:ind w:right="-93"/>
        <w:jc w:val="both"/>
        <w:rPr>
          <w:rFonts w:ascii="Palatino Linotype" w:eastAsia="Calibri" w:hAnsi="Palatino Linotype" w:cs="Tahoma"/>
          <w:bCs/>
          <w:sz w:val="22"/>
          <w:szCs w:val="22"/>
          <w:lang w:eastAsia="en-US"/>
        </w:rPr>
      </w:pPr>
    </w:p>
    <w:p w:rsidR="003C6934" w:rsidRPr="00264223" w:rsidRDefault="003C6934" w:rsidP="008373CE">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RESUELVE:</w:t>
      </w:r>
    </w:p>
    <w:p w:rsidR="003C6934" w:rsidRPr="00264223" w:rsidRDefault="003C6934" w:rsidP="008373CE">
      <w:pPr>
        <w:spacing w:line="360" w:lineRule="auto"/>
        <w:ind w:right="-93"/>
        <w:rPr>
          <w:rFonts w:ascii="Palatino Linotype" w:eastAsia="Calibri" w:hAnsi="Palatino Linotype" w:cs="Tahoma"/>
          <w:b/>
          <w:bCs/>
          <w:sz w:val="22"/>
          <w:szCs w:val="22"/>
          <w:lang w:eastAsia="en-US"/>
        </w:rPr>
      </w:pPr>
    </w:p>
    <w:p w:rsidR="00BE725A" w:rsidRPr="00264223" w:rsidRDefault="003C6934" w:rsidP="008373CE">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00BE725A" w:rsidRPr="00264223">
        <w:rPr>
          <w:rFonts w:ascii="Palatino Linotype" w:eastAsia="Calibri" w:hAnsi="Palatino Linotype" w:cs="Tahoma"/>
          <w:bCs/>
          <w:sz w:val="22"/>
          <w:szCs w:val="22"/>
          <w:lang w:eastAsia="en-US"/>
        </w:rPr>
        <w:t xml:space="preserve">Resultan </w:t>
      </w:r>
      <w:r w:rsidR="000813B0" w:rsidRPr="00264223">
        <w:rPr>
          <w:rFonts w:ascii="Palatino Linotype" w:eastAsia="Calibri" w:hAnsi="Palatino Linotype" w:cs="Tahoma"/>
          <w:b/>
          <w:bCs/>
          <w:sz w:val="22"/>
          <w:szCs w:val="22"/>
          <w:lang w:eastAsia="en-US"/>
        </w:rPr>
        <w:t>FUNDADAS</w:t>
      </w:r>
      <w:r w:rsidR="00BE725A" w:rsidRPr="00264223">
        <w:rPr>
          <w:rFonts w:ascii="Palatino Linotype" w:eastAsia="Calibri" w:hAnsi="Palatino Linotype" w:cs="Tahoma"/>
          <w:bCs/>
          <w:sz w:val="22"/>
          <w:szCs w:val="22"/>
          <w:lang w:eastAsia="en-US"/>
        </w:rPr>
        <w:t xml:space="preserve"> las razones o motivos de inconformidad hechos valer por </w:t>
      </w:r>
      <w:r w:rsidR="002D5DDD">
        <w:rPr>
          <w:rFonts w:ascii="Palatino Linotype" w:eastAsia="Calibri" w:hAnsi="Palatino Linotype" w:cs="Tahoma"/>
          <w:bCs/>
          <w:sz w:val="22"/>
          <w:szCs w:val="22"/>
          <w:lang w:eastAsia="en-US"/>
        </w:rPr>
        <w:t xml:space="preserve">el </w:t>
      </w:r>
      <w:r w:rsidR="00BE725A" w:rsidRPr="00264223">
        <w:rPr>
          <w:rFonts w:ascii="Palatino Linotype" w:eastAsia="Calibri" w:hAnsi="Palatino Linotype" w:cs="Tahoma"/>
          <w:bCs/>
          <w:sz w:val="22"/>
          <w:szCs w:val="22"/>
          <w:lang w:eastAsia="en-US"/>
        </w:rPr>
        <w:t xml:space="preserve"> Recurrente, en términos del considerando </w:t>
      </w:r>
      <w:r w:rsidR="00517EC0">
        <w:rPr>
          <w:rFonts w:ascii="Palatino Linotype" w:eastAsia="Calibri" w:hAnsi="Palatino Linotype" w:cs="Tahoma"/>
          <w:bCs/>
          <w:sz w:val="22"/>
          <w:szCs w:val="22"/>
          <w:lang w:eastAsia="en-US"/>
        </w:rPr>
        <w:t>CUARTO</w:t>
      </w:r>
      <w:r w:rsidR="00163E46">
        <w:rPr>
          <w:rFonts w:ascii="Palatino Linotype" w:eastAsia="Calibri" w:hAnsi="Palatino Linotype" w:cs="Tahoma"/>
          <w:bCs/>
          <w:sz w:val="22"/>
          <w:szCs w:val="22"/>
          <w:lang w:eastAsia="en-US"/>
        </w:rPr>
        <w:t xml:space="preserve"> </w:t>
      </w:r>
      <w:r w:rsidR="00BE725A" w:rsidRPr="00264223">
        <w:rPr>
          <w:rFonts w:ascii="Palatino Linotype" w:eastAsia="Calibri" w:hAnsi="Palatino Linotype" w:cs="Tahoma"/>
          <w:bCs/>
          <w:sz w:val="22"/>
          <w:szCs w:val="22"/>
          <w:lang w:eastAsia="en-US"/>
        </w:rPr>
        <w:t>de la presente resolución.</w:t>
      </w:r>
    </w:p>
    <w:p w:rsidR="00BE725A" w:rsidRPr="00264223" w:rsidRDefault="00BE725A" w:rsidP="008373CE">
      <w:pPr>
        <w:shd w:val="clear" w:color="auto" w:fill="FFFFFF" w:themeFill="background1"/>
        <w:spacing w:line="360" w:lineRule="auto"/>
        <w:jc w:val="both"/>
        <w:rPr>
          <w:rFonts w:ascii="Palatino Linotype" w:eastAsia="Calibri" w:hAnsi="Palatino Linotype" w:cs="Tahoma"/>
          <w:bCs/>
          <w:sz w:val="22"/>
          <w:szCs w:val="22"/>
          <w:lang w:eastAsia="en-US"/>
        </w:rPr>
      </w:pPr>
    </w:p>
    <w:p w:rsidR="00BD181B" w:rsidRDefault="00BE725A" w:rsidP="008373CE">
      <w:pPr>
        <w:shd w:val="clear" w:color="auto" w:fill="FFFFFF" w:themeFill="background1"/>
        <w:spacing w:line="360" w:lineRule="auto"/>
        <w:jc w:val="both"/>
        <w:rPr>
          <w:rFonts w:ascii="Palatino Linotype" w:eastAsia="Calibri" w:hAnsi="Palatino Linotype" w:cs="Tahoma"/>
          <w:sz w:val="22"/>
          <w:szCs w:val="22"/>
          <w:lang w:eastAsia="es-MX"/>
        </w:rPr>
      </w:pPr>
      <w:r w:rsidRPr="00264223">
        <w:rPr>
          <w:rFonts w:ascii="Palatino Linotype" w:eastAsia="Calibri" w:hAnsi="Palatino Linotype" w:cs="Tahoma"/>
          <w:b/>
          <w:bCs/>
          <w:sz w:val="22"/>
          <w:szCs w:val="22"/>
          <w:lang w:eastAsia="en-US"/>
        </w:rPr>
        <w:t>SEGUNDO.</w:t>
      </w:r>
      <w:r w:rsidR="00E70503">
        <w:rPr>
          <w:rFonts w:ascii="Palatino Linotype" w:eastAsia="Calibri" w:hAnsi="Palatino Linotype" w:cs="Tahoma"/>
          <w:b/>
          <w:bCs/>
          <w:sz w:val="22"/>
          <w:szCs w:val="22"/>
          <w:lang w:eastAsia="en-US"/>
        </w:rPr>
        <w:t xml:space="preserve"> </w:t>
      </w:r>
      <w:r w:rsidR="00130F33" w:rsidRPr="00264223">
        <w:rPr>
          <w:rFonts w:ascii="Palatino Linotype" w:eastAsia="Calibri" w:hAnsi="Palatino Linotype" w:cs="Tahoma"/>
          <w:sz w:val="22"/>
          <w:szCs w:val="22"/>
          <w:lang w:eastAsia="es-MX"/>
        </w:rPr>
        <w:t xml:space="preserve">Se </w:t>
      </w:r>
      <w:r w:rsidR="00130F33" w:rsidRPr="00264223">
        <w:rPr>
          <w:rFonts w:ascii="Palatino Linotype" w:eastAsia="Calibri" w:hAnsi="Palatino Linotype" w:cs="Tahoma"/>
          <w:b/>
          <w:sz w:val="22"/>
          <w:szCs w:val="22"/>
          <w:lang w:eastAsia="es-MX"/>
        </w:rPr>
        <w:t xml:space="preserve">ORDENA </w:t>
      </w:r>
      <w:r w:rsidR="00130F33" w:rsidRPr="00264223">
        <w:rPr>
          <w:rFonts w:ascii="Palatino Linotype" w:eastAsia="Calibri" w:hAnsi="Palatino Linotype" w:cs="Tahoma"/>
          <w:sz w:val="22"/>
          <w:szCs w:val="22"/>
          <w:lang w:eastAsia="es-MX"/>
        </w:rPr>
        <w:t xml:space="preserve">al Ayuntamiento de </w:t>
      </w:r>
      <w:r w:rsidR="00163E46">
        <w:rPr>
          <w:rFonts w:ascii="Palatino Linotype" w:eastAsia="Calibri" w:hAnsi="Palatino Linotype" w:cs="Tahoma"/>
          <w:sz w:val="22"/>
          <w:szCs w:val="22"/>
          <w:lang w:eastAsia="es-MX"/>
        </w:rPr>
        <w:t>Rayón</w:t>
      </w:r>
      <w:r w:rsidR="00130F33" w:rsidRPr="00264223">
        <w:rPr>
          <w:rFonts w:ascii="Palatino Linotype" w:eastAsia="Calibri" w:hAnsi="Palatino Linotype" w:cs="Tahoma"/>
          <w:sz w:val="22"/>
          <w:szCs w:val="22"/>
          <w:lang w:eastAsia="es-MX"/>
        </w:rPr>
        <w:t xml:space="preserve">, </w:t>
      </w:r>
      <w:r w:rsidR="00BA0ED5">
        <w:rPr>
          <w:rFonts w:ascii="Palatino Linotype" w:eastAsia="Calibri" w:hAnsi="Palatino Linotype" w:cs="Tahoma"/>
          <w:sz w:val="22"/>
          <w:szCs w:val="22"/>
          <w:lang w:eastAsia="es-MX"/>
        </w:rPr>
        <w:t>previa búsqueda exhaustiva</w:t>
      </w:r>
      <w:r w:rsidR="005C0DBE">
        <w:rPr>
          <w:rFonts w:ascii="Palatino Linotype" w:eastAsia="Calibri" w:hAnsi="Palatino Linotype" w:cs="Tahoma"/>
          <w:sz w:val="22"/>
          <w:szCs w:val="22"/>
          <w:lang w:eastAsia="es-MX"/>
        </w:rPr>
        <w:t xml:space="preserve"> y razonable</w:t>
      </w:r>
      <w:r w:rsidR="00BA0ED5">
        <w:rPr>
          <w:rFonts w:ascii="Palatino Linotype" w:eastAsia="Calibri" w:hAnsi="Palatino Linotype" w:cs="Tahoma"/>
          <w:sz w:val="22"/>
          <w:szCs w:val="22"/>
          <w:lang w:eastAsia="es-MX"/>
        </w:rPr>
        <w:t xml:space="preserve"> en todas las áreas compe</w:t>
      </w:r>
      <w:r w:rsidR="00B6258B">
        <w:rPr>
          <w:rFonts w:ascii="Palatino Linotype" w:eastAsia="Calibri" w:hAnsi="Palatino Linotype" w:cs="Tahoma"/>
          <w:sz w:val="22"/>
          <w:szCs w:val="22"/>
          <w:lang w:eastAsia="es-MX"/>
        </w:rPr>
        <w:t>tentes</w:t>
      </w:r>
      <w:r w:rsidR="00517EC0">
        <w:rPr>
          <w:rFonts w:ascii="Palatino Linotype" w:eastAsia="Calibri" w:hAnsi="Palatino Linotype" w:cs="Tahoma"/>
          <w:sz w:val="22"/>
          <w:szCs w:val="22"/>
          <w:lang w:eastAsia="es-MX"/>
        </w:rPr>
        <w:t>, a efecto de que de respuesta  y entregue lo siguiente:</w:t>
      </w:r>
    </w:p>
    <w:p w:rsidR="00517EC0" w:rsidRPr="00681656" w:rsidRDefault="00517EC0" w:rsidP="008373CE">
      <w:pPr>
        <w:shd w:val="clear" w:color="auto" w:fill="FFFFFF" w:themeFill="background1"/>
        <w:spacing w:line="360" w:lineRule="auto"/>
        <w:jc w:val="both"/>
        <w:rPr>
          <w:rFonts w:ascii="Palatino Linotype" w:eastAsia="Calibri" w:hAnsi="Palatino Linotype" w:cs="Tahoma"/>
          <w:sz w:val="22"/>
          <w:szCs w:val="22"/>
          <w:lang w:eastAsia="es-MX"/>
        </w:rPr>
      </w:pPr>
    </w:p>
    <w:p w:rsidR="00517EC0" w:rsidRPr="00672801" w:rsidRDefault="00517EC0" w:rsidP="00517EC0">
      <w:pPr>
        <w:numPr>
          <w:ilvl w:val="0"/>
          <w:numId w:val="28"/>
        </w:numPr>
        <w:spacing w:line="360" w:lineRule="auto"/>
        <w:ind w:right="-93"/>
        <w:jc w:val="both"/>
        <w:rPr>
          <w:rFonts w:ascii="Palatino Linotype" w:hAnsi="Palatino Linotype" w:cs="Tahoma"/>
          <w:sz w:val="24"/>
          <w:szCs w:val="22"/>
        </w:rPr>
      </w:pPr>
      <w:r>
        <w:rPr>
          <w:rFonts w:ascii="Palatino Linotype" w:hAnsi="Palatino Linotype" w:cs="Tahoma"/>
          <w:bCs/>
          <w:sz w:val="22"/>
        </w:rPr>
        <w:t>La versión pública de los r</w:t>
      </w:r>
      <w:r w:rsidRPr="005071E1">
        <w:rPr>
          <w:rFonts w:ascii="Palatino Linotype" w:hAnsi="Palatino Linotype" w:cs="Tahoma"/>
          <w:bCs/>
          <w:sz w:val="22"/>
        </w:rPr>
        <w:t>ecibos de nómina de los servidores públicos</w:t>
      </w:r>
      <w:r>
        <w:rPr>
          <w:rFonts w:ascii="Palatino Linotype" w:hAnsi="Palatino Linotype" w:cs="Tahoma"/>
          <w:bCs/>
          <w:sz w:val="22"/>
        </w:rPr>
        <w:t xml:space="preserve"> del Ayuntamiento de Rayón, </w:t>
      </w:r>
      <w:r w:rsidR="006D5B2D">
        <w:rPr>
          <w:rFonts w:ascii="Palatino Linotype" w:hAnsi="Palatino Linotype" w:cs="Tahoma"/>
          <w:bCs/>
          <w:sz w:val="22"/>
        </w:rPr>
        <w:t xml:space="preserve">del periodo comprendido </w:t>
      </w:r>
      <w:r>
        <w:rPr>
          <w:rFonts w:ascii="Palatino Linotype" w:hAnsi="Palatino Linotype" w:cs="Tahoma"/>
          <w:bCs/>
          <w:sz w:val="22"/>
        </w:rPr>
        <w:t>del veintisiete de agosto de dos mil diecisiete al veintisiete de agosto de dos mil dieciocho.</w:t>
      </w:r>
    </w:p>
    <w:p w:rsidR="00517EC0" w:rsidRDefault="00517EC0" w:rsidP="00517EC0">
      <w:pPr>
        <w:spacing w:line="360" w:lineRule="auto"/>
        <w:ind w:left="1065" w:right="-93"/>
        <w:jc w:val="both"/>
        <w:rPr>
          <w:rFonts w:ascii="Palatino Linotype" w:hAnsi="Palatino Linotype" w:cs="Tahoma"/>
          <w:bCs/>
          <w:sz w:val="22"/>
        </w:rPr>
      </w:pPr>
    </w:p>
    <w:p w:rsidR="00517EC0" w:rsidRDefault="00517EC0" w:rsidP="00517EC0">
      <w:pPr>
        <w:spacing w:line="360" w:lineRule="auto"/>
        <w:ind w:left="1065" w:right="-93"/>
        <w:jc w:val="both"/>
        <w:rPr>
          <w:rFonts w:ascii="Palatino Linotype" w:hAnsi="Palatino Linotype" w:cs="Tahoma"/>
          <w:bCs/>
          <w:sz w:val="22"/>
        </w:rPr>
      </w:pPr>
      <w:r w:rsidRPr="000615C8">
        <w:rPr>
          <w:rFonts w:ascii="Palatino Linotype" w:hAnsi="Palatino Linotype" w:cs="Tahoma"/>
          <w:bCs/>
          <w:sz w:val="22"/>
          <w:szCs w:val="22"/>
        </w:rPr>
        <w:t xml:space="preserve">Además, </w:t>
      </w:r>
      <w:r>
        <w:rPr>
          <w:rFonts w:ascii="Palatino Linotype" w:hAnsi="Palatino Linotype" w:cs="Tahoma"/>
          <w:bCs/>
          <w:sz w:val="22"/>
          <w:szCs w:val="22"/>
        </w:rPr>
        <w:t>deberá proporcionar, el Acuerdo de Clasificación donde el Comité de Transparencia, confirme la clasificación de los datos testados en las versiones públicas</w:t>
      </w:r>
      <w:r w:rsidR="002E08AE">
        <w:rPr>
          <w:rFonts w:ascii="Palatino Linotype" w:hAnsi="Palatino Linotype" w:cs="Tahoma"/>
          <w:bCs/>
          <w:sz w:val="22"/>
          <w:szCs w:val="22"/>
        </w:rPr>
        <w:t xml:space="preserve">, respecto de la información </w:t>
      </w:r>
      <w:r w:rsidR="00042B8D">
        <w:rPr>
          <w:rFonts w:ascii="Palatino Linotype" w:hAnsi="Palatino Linotype" w:cs="Tahoma"/>
          <w:bCs/>
          <w:sz w:val="22"/>
          <w:szCs w:val="22"/>
        </w:rPr>
        <w:t>reservada y confidencial, en términos de</w:t>
      </w:r>
      <w:r w:rsidR="00E03B74">
        <w:rPr>
          <w:rFonts w:ascii="Palatino Linotype" w:hAnsi="Palatino Linotype" w:cs="Tahoma"/>
          <w:bCs/>
          <w:sz w:val="22"/>
          <w:szCs w:val="22"/>
        </w:rPr>
        <w:t xml:space="preserve"> los</w:t>
      </w:r>
      <w:r w:rsidR="00042B8D">
        <w:rPr>
          <w:rFonts w:ascii="Palatino Linotype" w:hAnsi="Palatino Linotype" w:cs="Tahoma"/>
          <w:bCs/>
          <w:sz w:val="22"/>
          <w:szCs w:val="22"/>
        </w:rPr>
        <w:t xml:space="preserve"> Considerando</w:t>
      </w:r>
      <w:r w:rsidR="00E03B74">
        <w:rPr>
          <w:rFonts w:ascii="Palatino Linotype" w:hAnsi="Palatino Linotype" w:cs="Tahoma"/>
          <w:bCs/>
          <w:sz w:val="22"/>
          <w:szCs w:val="22"/>
        </w:rPr>
        <w:t xml:space="preserve">s QUINTO y </w:t>
      </w:r>
      <w:r w:rsidR="00042B8D">
        <w:rPr>
          <w:rFonts w:ascii="Palatino Linotype" w:hAnsi="Palatino Linotype" w:cs="Tahoma"/>
          <w:bCs/>
          <w:sz w:val="22"/>
          <w:szCs w:val="22"/>
        </w:rPr>
        <w:t xml:space="preserve"> SEXTO</w:t>
      </w:r>
      <w:r w:rsidR="007D71B6">
        <w:rPr>
          <w:rFonts w:ascii="Palatino Linotype" w:hAnsi="Palatino Linotype" w:cs="Tahoma"/>
          <w:bCs/>
          <w:sz w:val="22"/>
          <w:szCs w:val="22"/>
        </w:rPr>
        <w:t xml:space="preserve"> de la presente resolución</w:t>
      </w:r>
      <w:r>
        <w:rPr>
          <w:rFonts w:ascii="Palatino Linotype" w:eastAsia="Calibri" w:hAnsi="Palatino Linotype" w:cs="Tahoma"/>
          <w:bCs/>
          <w:sz w:val="22"/>
          <w:szCs w:val="22"/>
          <w:lang w:eastAsia="en-US"/>
        </w:rPr>
        <w:t>.</w:t>
      </w:r>
    </w:p>
    <w:p w:rsidR="00517EC0" w:rsidRPr="00163E46" w:rsidRDefault="00517EC0" w:rsidP="00517EC0">
      <w:pPr>
        <w:spacing w:line="360" w:lineRule="auto"/>
        <w:ind w:left="1065" w:right="-93"/>
        <w:jc w:val="both"/>
        <w:rPr>
          <w:rFonts w:ascii="Palatino Linotype" w:hAnsi="Palatino Linotype" w:cs="Tahoma"/>
          <w:sz w:val="24"/>
          <w:szCs w:val="22"/>
        </w:rPr>
      </w:pPr>
    </w:p>
    <w:p w:rsidR="00517EC0" w:rsidRPr="00672801" w:rsidRDefault="00517EC0" w:rsidP="00517EC0">
      <w:pPr>
        <w:pStyle w:val="Prrafodelista"/>
        <w:numPr>
          <w:ilvl w:val="0"/>
          <w:numId w:val="28"/>
        </w:numPr>
        <w:spacing w:line="360" w:lineRule="auto"/>
        <w:jc w:val="both"/>
        <w:rPr>
          <w:rFonts w:ascii="Palatino Linotype" w:hAnsi="Palatino Linotype" w:cs="Arial"/>
          <w:lang w:eastAsia="es-MX"/>
        </w:rPr>
      </w:pPr>
      <w:r w:rsidRPr="00672801">
        <w:rPr>
          <w:rFonts w:ascii="Palatino Linotype" w:hAnsi="Palatino Linotype" w:cs="Arial"/>
          <w:lang w:eastAsia="es-MX"/>
        </w:rPr>
        <w:t xml:space="preserve">Los formatos de las </w:t>
      </w:r>
      <w:r w:rsidRPr="00672801">
        <w:rPr>
          <w:rFonts w:ascii="Palatino Linotype" w:eastAsia="Calibri" w:hAnsi="Palatino Linotype" w:cs="Tahoma"/>
          <w:bCs/>
          <w:szCs w:val="22"/>
          <w:lang w:eastAsia="en-US"/>
        </w:rPr>
        <w:t xml:space="preserve">Balanzas de Comprobación Detallada, </w:t>
      </w:r>
      <w:r w:rsidR="006D5B2D">
        <w:rPr>
          <w:rFonts w:ascii="Palatino Linotype" w:eastAsia="Calibri" w:hAnsi="Palatino Linotype" w:cs="Tahoma"/>
          <w:bCs/>
          <w:szCs w:val="22"/>
          <w:lang w:eastAsia="en-US"/>
        </w:rPr>
        <w:t>del periodo comprendido</w:t>
      </w:r>
      <w:r w:rsidR="006D5B2D" w:rsidRPr="00672801">
        <w:rPr>
          <w:rFonts w:ascii="Palatino Linotype" w:eastAsia="Calibri" w:hAnsi="Palatino Linotype" w:cs="Tahoma"/>
          <w:bCs/>
          <w:szCs w:val="22"/>
          <w:lang w:eastAsia="en-US"/>
        </w:rPr>
        <w:t xml:space="preserve"> </w:t>
      </w:r>
      <w:r w:rsidRPr="00672801">
        <w:rPr>
          <w:rFonts w:ascii="Palatino Linotype" w:eastAsia="Calibri" w:hAnsi="Palatino Linotype" w:cs="Tahoma"/>
          <w:bCs/>
          <w:szCs w:val="22"/>
          <w:lang w:eastAsia="en-US"/>
        </w:rPr>
        <w:t>de enero a julio de dos mil dieciocho.</w:t>
      </w:r>
    </w:p>
    <w:p w:rsidR="00163E46" w:rsidRDefault="00163E46" w:rsidP="008373CE">
      <w:pPr>
        <w:spacing w:line="360" w:lineRule="auto"/>
        <w:jc w:val="both"/>
        <w:rPr>
          <w:rFonts w:ascii="Palatino Linotype" w:hAnsi="Palatino Linotype" w:cs="Arial"/>
          <w:sz w:val="22"/>
          <w:szCs w:val="22"/>
        </w:rPr>
      </w:pPr>
    </w:p>
    <w:p w:rsidR="00130F33" w:rsidRPr="00264223" w:rsidRDefault="00D8718E" w:rsidP="008373CE">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lastRenderedPageBreak/>
        <w:t>TERCERO.</w:t>
      </w:r>
      <w:r w:rsidR="00517EC0">
        <w:rPr>
          <w:rFonts w:ascii="Palatino Linotype" w:eastAsia="Calibri" w:hAnsi="Palatino Linotype" w:cs="Tahoma"/>
          <w:b/>
          <w:bCs/>
          <w:sz w:val="22"/>
          <w:szCs w:val="22"/>
          <w:lang w:eastAsia="en-US"/>
        </w:rPr>
        <w:t xml:space="preserve"> </w:t>
      </w:r>
      <w:r w:rsidR="00130F33" w:rsidRPr="00264223">
        <w:rPr>
          <w:rFonts w:ascii="Palatino Linotype" w:hAnsi="Palatino Linotype" w:cs="Tahoma"/>
          <w:b/>
          <w:sz w:val="22"/>
          <w:szCs w:val="22"/>
        </w:rPr>
        <w:t xml:space="preserve">NOTIFÍQUESE </w:t>
      </w:r>
      <w:r w:rsidR="00130F33"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264223" w:rsidRDefault="00130F33" w:rsidP="008373CE">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264223" w:rsidRDefault="00D8718E" w:rsidP="008373CE">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003C6934" w:rsidRPr="00264223">
        <w:rPr>
          <w:rFonts w:ascii="Palatino Linotype" w:eastAsia="Calibri" w:hAnsi="Palatino Linotype" w:cs="Tahoma"/>
          <w:b/>
          <w:bCs/>
          <w:sz w:val="22"/>
          <w:szCs w:val="22"/>
          <w:lang w:eastAsia="en-US"/>
        </w:rPr>
        <w:t>.</w:t>
      </w:r>
      <w:r w:rsidR="00517EC0">
        <w:rPr>
          <w:rFonts w:ascii="Palatino Linotype" w:eastAsia="Calibri" w:hAnsi="Palatino Linotype" w:cs="Tahoma"/>
          <w:b/>
          <w:bCs/>
          <w:sz w:val="22"/>
          <w:szCs w:val="22"/>
          <w:lang w:eastAsia="en-US"/>
        </w:rPr>
        <w:t xml:space="preserve"> </w:t>
      </w:r>
      <w:r w:rsidR="00130F33" w:rsidRPr="00264223">
        <w:rPr>
          <w:rFonts w:ascii="Palatino Linotype" w:hAnsi="Palatino Linotype" w:cs="Tahoma"/>
          <w:b/>
          <w:sz w:val="22"/>
          <w:szCs w:val="22"/>
        </w:rPr>
        <w:t>NOTIFÍQUESE</w:t>
      </w:r>
      <w:r w:rsidR="00130F33" w:rsidRPr="0026422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6258B" w:rsidRPr="00264223" w:rsidRDefault="00B6258B" w:rsidP="008373CE">
      <w:pPr>
        <w:spacing w:line="360" w:lineRule="auto"/>
        <w:ind w:right="-93"/>
        <w:jc w:val="both"/>
        <w:rPr>
          <w:rFonts w:ascii="Palatino Linotype" w:eastAsia="Calibri" w:hAnsi="Palatino Linotype" w:cs="Tahoma"/>
          <w:b/>
          <w:bCs/>
          <w:sz w:val="22"/>
          <w:szCs w:val="22"/>
          <w:lang w:eastAsia="en-US"/>
        </w:rPr>
      </w:pPr>
    </w:p>
    <w:p w:rsidR="00E51E18" w:rsidRPr="00264223" w:rsidRDefault="00130F33" w:rsidP="008373CE">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
          <w:bCs/>
          <w:sz w:val="22"/>
          <w:szCs w:val="22"/>
          <w:lang w:eastAsia="en-US"/>
        </w:rPr>
        <w:t>QUINTO</w:t>
      </w:r>
      <w:r w:rsidR="003C6934" w:rsidRPr="00264223">
        <w:rPr>
          <w:rFonts w:ascii="Palatino Linotype" w:eastAsia="Calibri" w:hAnsi="Palatino Linotype" w:cs="Tahoma"/>
          <w:b/>
          <w:bCs/>
          <w:sz w:val="22"/>
          <w:szCs w:val="22"/>
          <w:lang w:eastAsia="en-US"/>
        </w:rPr>
        <w:t>.</w:t>
      </w:r>
      <w:r w:rsidR="006D5B2D">
        <w:rPr>
          <w:rFonts w:ascii="Palatino Linotype" w:eastAsia="Calibri" w:hAnsi="Palatino Linotype" w:cs="Tahoma"/>
          <w:b/>
          <w:bCs/>
          <w:sz w:val="22"/>
          <w:szCs w:val="22"/>
          <w:lang w:eastAsia="en-US"/>
        </w:rPr>
        <w:t xml:space="preserve"> </w:t>
      </w:r>
      <w:r w:rsidR="008E2327" w:rsidRPr="00264223">
        <w:rPr>
          <w:rFonts w:ascii="Palatino Linotype" w:eastAsia="Calibri" w:hAnsi="Palatino Linotype" w:cs="Tahoma"/>
          <w:bCs/>
          <w:sz w:val="22"/>
          <w:szCs w:val="22"/>
          <w:lang w:val="es-ES_tradnl" w:eastAsia="en-US"/>
        </w:rPr>
        <w:t xml:space="preserve">Con fundamento en lo dispuesto en los artículos 190 de la </w:t>
      </w:r>
      <w:r w:rsidR="008E2327" w:rsidRPr="00264223">
        <w:rPr>
          <w:rFonts w:ascii="Palatino Linotype" w:hAnsi="Palatino Linotype" w:cs="Tahoma"/>
          <w:sz w:val="22"/>
          <w:szCs w:val="22"/>
        </w:rPr>
        <w:t>Ley de Transparencia y Acceso a la Información Pública del Estado de México y Municipios,</w:t>
      </w:r>
      <w:r w:rsidR="00E70503">
        <w:rPr>
          <w:rFonts w:ascii="Palatino Linotype" w:hAnsi="Palatino Linotype" w:cs="Tahoma"/>
          <w:sz w:val="22"/>
          <w:szCs w:val="22"/>
        </w:rPr>
        <w:t xml:space="preserve"> </w:t>
      </w:r>
      <w:r w:rsidR="00426448" w:rsidRPr="00264223">
        <w:rPr>
          <w:rFonts w:ascii="Palatino Linotype" w:hAnsi="Palatino Linotype" w:cs="Tahoma"/>
          <w:sz w:val="22"/>
          <w:szCs w:val="22"/>
        </w:rPr>
        <w:t>g</w:t>
      </w:r>
      <w:proofErr w:type="spellStart"/>
      <w:r w:rsidR="00E51E18" w:rsidRPr="00264223">
        <w:rPr>
          <w:rFonts w:ascii="Palatino Linotype" w:eastAsia="Calibri" w:hAnsi="Palatino Linotype" w:cs="Tahoma"/>
          <w:bCs/>
          <w:sz w:val="22"/>
          <w:szCs w:val="22"/>
          <w:lang w:val="es-ES_tradnl" w:eastAsia="en-US"/>
        </w:rPr>
        <w:t>írese</w:t>
      </w:r>
      <w:proofErr w:type="spellEnd"/>
      <w:r w:rsidR="00E51E18" w:rsidRPr="00264223">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426448" w:rsidRPr="00264223">
        <w:rPr>
          <w:rFonts w:ascii="Palatino Linotype" w:eastAsia="Calibri" w:hAnsi="Palatino Linotype" w:cs="Tahoma"/>
          <w:bCs/>
          <w:sz w:val="22"/>
          <w:szCs w:val="22"/>
          <w:lang w:val="es-ES_tradnl" w:eastAsia="en-US"/>
        </w:rPr>
        <w:t>Séptimo</w:t>
      </w:r>
      <w:r w:rsidR="00E51E18" w:rsidRPr="00264223">
        <w:rPr>
          <w:rFonts w:ascii="Palatino Linotype" w:eastAsia="Calibri" w:hAnsi="Palatino Linotype" w:cs="Tahoma"/>
          <w:bCs/>
          <w:sz w:val="22"/>
          <w:szCs w:val="22"/>
          <w:lang w:val="es-ES_tradnl" w:eastAsia="en-US"/>
        </w:rPr>
        <w:t xml:space="preserve"> de la presente resolución.</w:t>
      </w:r>
    </w:p>
    <w:p w:rsidR="003C6934" w:rsidRPr="00264223" w:rsidRDefault="003C6934" w:rsidP="008373CE">
      <w:pPr>
        <w:spacing w:line="360" w:lineRule="auto"/>
        <w:ind w:right="-93"/>
        <w:jc w:val="both"/>
        <w:rPr>
          <w:rFonts w:ascii="Palatino Linotype" w:eastAsia="Calibri" w:hAnsi="Palatino Linotype" w:cs="Tahoma"/>
          <w:b/>
          <w:bCs/>
          <w:sz w:val="22"/>
          <w:szCs w:val="22"/>
          <w:lang w:eastAsia="en-US"/>
        </w:rPr>
      </w:pPr>
    </w:p>
    <w:p w:rsidR="002F199F" w:rsidRPr="00264223" w:rsidRDefault="00F4018F" w:rsidP="008373CE">
      <w:pPr>
        <w:spacing w:line="360" w:lineRule="auto"/>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ASÍ, POR </w:t>
      </w:r>
      <w:r w:rsidR="005A3131" w:rsidRPr="0088791A">
        <w:rPr>
          <w:rFonts w:ascii="Palatino Linotype" w:hAnsi="Palatino Linotype" w:cs="Tahoma"/>
          <w:b/>
          <w:sz w:val="22"/>
          <w:szCs w:val="22"/>
          <w:lang w:eastAsia="es-MX"/>
        </w:rPr>
        <w:t>UNANIMIDAD</w:t>
      </w:r>
      <w:r w:rsidR="005A3131">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sidRPr="00264223">
        <w:rPr>
          <w:rFonts w:ascii="Palatino Linotype" w:hAnsi="Palatino Linotype" w:cs="Tahoma"/>
          <w:bCs/>
          <w:sz w:val="22"/>
          <w:szCs w:val="22"/>
          <w:lang w:eastAsia="es-MX"/>
        </w:rPr>
        <w:t>EVA ABAID YAPUR</w:t>
      </w:r>
      <w:r w:rsidR="0088791A">
        <w:rPr>
          <w:rFonts w:ascii="Palatino Linotype" w:hAnsi="Palatino Linotype" w:cs="Tahoma"/>
          <w:bCs/>
          <w:sz w:val="22"/>
          <w:szCs w:val="22"/>
          <w:lang w:eastAsia="es-MX"/>
        </w:rPr>
        <w:t xml:space="preserve"> (EMITIENDO VOTO PARTICULAR)</w:t>
      </w:r>
      <w:r w:rsidRPr="00264223">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JOSÉ GUADALUPE LUNA HERNÁND</w:t>
      </w:r>
      <w:r w:rsidR="005B5DEE">
        <w:rPr>
          <w:rFonts w:ascii="Palatino Linotype" w:hAnsi="Palatino Linotype" w:cs="Tahoma"/>
          <w:sz w:val="22"/>
          <w:szCs w:val="22"/>
          <w:lang w:eastAsia="es-MX"/>
        </w:rPr>
        <w:t xml:space="preserve">EZ; </w:t>
      </w:r>
      <w:r w:rsidRPr="00264223">
        <w:rPr>
          <w:rFonts w:ascii="Palatino Linotype" w:hAnsi="Palatino Linotype" w:cs="Tahoma"/>
          <w:sz w:val="22"/>
          <w:szCs w:val="22"/>
          <w:lang w:val="es-ES_tradnl" w:eastAsia="es-MX"/>
        </w:rPr>
        <w:t>JAVIER MARTÍNEZ CRUZ Y LUIS GUSTAVO PARRA NORIEGA</w:t>
      </w:r>
      <w:r w:rsidRPr="00264223">
        <w:rPr>
          <w:rFonts w:ascii="Palatino Linotype" w:hAnsi="Palatino Linotype" w:cs="Tahoma"/>
          <w:sz w:val="22"/>
          <w:szCs w:val="22"/>
          <w:lang w:eastAsia="es-MX"/>
        </w:rPr>
        <w:t xml:space="preserve">, EN </w:t>
      </w:r>
      <w:r w:rsidR="005A3131" w:rsidRPr="00264223">
        <w:rPr>
          <w:rFonts w:ascii="Palatino Linotype" w:hAnsi="Palatino Linotype" w:cs="Tahoma"/>
          <w:sz w:val="22"/>
          <w:szCs w:val="22"/>
          <w:lang w:eastAsia="es-MX"/>
        </w:rPr>
        <w:t xml:space="preserve">LA </w:t>
      </w:r>
      <w:r w:rsidR="005A3131">
        <w:rPr>
          <w:rFonts w:ascii="Palatino Linotype" w:hAnsi="Palatino Linotype" w:cs="Tahoma"/>
          <w:sz w:val="22"/>
          <w:szCs w:val="22"/>
          <w:lang w:eastAsia="es-MX"/>
        </w:rPr>
        <w:t xml:space="preserve">CUADRAGÉSIMA </w:t>
      </w:r>
      <w:r w:rsidR="0088791A">
        <w:rPr>
          <w:rFonts w:ascii="Palatino Linotype" w:hAnsi="Palatino Linotype" w:cs="Tahoma"/>
          <w:sz w:val="22"/>
          <w:szCs w:val="22"/>
          <w:lang w:eastAsia="es-MX"/>
        </w:rPr>
        <w:t>SEGUNDA</w:t>
      </w:r>
      <w:r w:rsidR="009A280C">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 xml:space="preserve">SESIÓN ORDINARIA, CELEBRADA EL </w:t>
      </w:r>
      <w:r w:rsidR="009A280C">
        <w:rPr>
          <w:rFonts w:ascii="Palatino Linotype" w:hAnsi="Palatino Linotype" w:cs="Tahoma"/>
          <w:sz w:val="22"/>
          <w:szCs w:val="22"/>
          <w:lang w:eastAsia="es-MX"/>
        </w:rPr>
        <w:t xml:space="preserve">CATORCE </w:t>
      </w:r>
      <w:r w:rsidR="00681656">
        <w:rPr>
          <w:rFonts w:ascii="Palatino Linotype" w:hAnsi="Palatino Linotype" w:cs="Tahoma"/>
          <w:sz w:val="22"/>
          <w:szCs w:val="22"/>
          <w:lang w:eastAsia="es-MX"/>
        </w:rPr>
        <w:t xml:space="preserve">DE NOVIEMBRE </w:t>
      </w:r>
      <w:r w:rsidRPr="00264223">
        <w:rPr>
          <w:rFonts w:ascii="Palatino Linotype" w:hAnsi="Palatino Linotype" w:cs="Tahoma"/>
          <w:sz w:val="22"/>
          <w:szCs w:val="22"/>
          <w:lang w:eastAsia="es-MX"/>
        </w:rPr>
        <w:t xml:space="preserve">DE DOS MIL DIECIOCHO, ANTE </w:t>
      </w:r>
      <w:r>
        <w:rPr>
          <w:rFonts w:ascii="Palatino Linotype" w:hAnsi="Palatino Linotype" w:cs="Tahoma"/>
          <w:sz w:val="22"/>
          <w:szCs w:val="22"/>
          <w:lang w:eastAsia="es-MX"/>
        </w:rPr>
        <w:t xml:space="preserve">EL </w:t>
      </w:r>
      <w:r w:rsidRPr="00264223">
        <w:rPr>
          <w:rFonts w:ascii="Palatino Linotype" w:hAnsi="Palatino Linotype" w:cs="Tahoma"/>
          <w:sz w:val="22"/>
          <w:szCs w:val="22"/>
          <w:lang w:eastAsia="es-MX"/>
        </w:rPr>
        <w:t>SECRETARIO TÉCNICO DEL PLENO</w:t>
      </w:r>
      <w:r>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Pr>
          <w:rFonts w:ascii="Palatino Linotype" w:hAnsi="Palatino Linotype" w:cs="Tahoma"/>
          <w:sz w:val="22"/>
          <w:szCs w:val="22"/>
          <w:lang w:eastAsia="es-MX"/>
        </w:rPr>
        <w:t>ALEXIS TAPIA RAMÍREZ</w:t>
      </w:r>
      <w:r w:rsidRPr="00264223">
        <w:rPr>
          <w:rFonts w:ascii="Palatino Linotype" w:hAnsi="Palatino Linotype" w:cs="Tahoma"/>
          <w:sz w:val="22"/>
          <w:szCs w:val="22"/>
          <w:lang w:eastAsia="es-MX"/>
        </w:rPr>
        <w:t>.</w:t>
      </w:r>
    </w:p>
    <w:tbl>
      <w:tblPr>
        <w:tblW w:w="9072" w:type="dxa"/>
        <w:tblInd w:w="137" w:type="dxa"/>
        <w:tblLook w:val="04A0" w:firstRow="1" w:lastRow="0" w:firstColumn="1" w:lastColumn="0" w:noHBand="0" w:noVBand="1"/>
      </w:tblPr>
      <w:tblGrid>
        <w:gridCol w:w="3402"/>
        <w:gridCol w:w="1985"/>
        <w:gridCol w:w="3685"/>
      </w:tblGrid>
      <w:tr w:rsidR="00F73751" w:rsidRPr="00264223" w:rsidTr="00F5374C">
        <w:tc>
          <w:tcPr>
            <w:tcW w:w="9072" w:type="dxa"/>
            <w:gridSpan w:val="3"/>
          </w:tcPr>
          <w:p w:rsidR="008835B2" w:rsidRDefault="008835B2" w:rsidP="008373CE">
            <w:pPr>
              <w:spacing w:line="360" w:lineRule="auto"/>
              <w:rPr>
                <w:rFonts w:ascii="Palatino Linotype" w:eastAsia="Calibri" w:hAnsi="Palatino Linotype" w:cs="Tahoma"/>
                <w:b/>
                <w:sz w:val="22"/>
                <w:szCs w:val="22"/>
                <w:lang w:eastAsia="es-MX"/>
              </w:rPr>
            </w:pPr>
          </w:p>
          <w:p w:rsidR="008835B2" w:rsidRPr="00264223" w:rsidRDefault="008835B2" w:rsidP="008373CE">
            <w:pPr>
              <w:spacing w:line="360" w:lineRule="auto"/>
              <w:rPr>
                <w:rFonts w:ascii="Palatino Linotype" w:eastAsia="Calibri" w:hAnsi="Palatino Linotype" w:cs="Tahoma"/>
                <w:b/>
                <w:sz w:val="22"/>
                <w:szCs w:val="22"/>
                <w:lang w:eastAsia="es-MX"/>
              </w:rPr>
            </w:pPr>
          </w:p>
          <w:p w:rsidR="00F73751" w:rsidRPr="00264223" w:rsidRDefault="00F73751" w:rsidP="008373CE">
            <w:pPr>
              <w:tabs>
                <w:tab w:val="left" w:pos="2445"/>
                <w:tab w:val="center" w:pos="4428"/>
              </w:tabs>
              <w:spacing w:line="360" w:lineRule="auto"/>
              <w:jc w:val="center"/>
              <w:rPr>
                <w:rFonts w:ascii="Palatino Linotype" w:eastAsia="Calibri" w:hAnsi="Palatino Linotype" w:cs="Tahoma"/>
                <w:b/>
                <w:sz w:val="22"/>
                <w:szCs w:val="22"/>
                <w:lang w:eastAsia="es-MX"/>
              </w:rPr>
            </w:pPr>
            <w:r w:rsidRPr="00264223">
              <w:rPr>
                <w:rFonts w:ascii="Palatino Linotype" w:eastAsia="Calibri" w:hAnsi="Palatino Linotype" w:cs="Tahoma"/>
                <w:b/>
                <w:sz w:val="22"/>
                <w:szCs w:val="22"/>
                <w:lang w:eastAsia="es-MX"/>
              </w:rPr>
              <w:t>Zulema Martínez Sánchez</w:t>
            </w:r>
          </w:p>
          <w:p w:rsidR="00F73751" w:rsidRPr="0088791A" w:rsidRDefault="005B5DEE" w:rsidP="008373CE">
            <w:pPr>
              <w:spacing w:line="360" w:lineRule="auto"/>
              <w:ind w:right="-108"/>
              <w:jc w:val="center"/>
              <w:rPr>
                <w:rFonts w:ascii="Palatino Linotype" w:eastAsia="Calibri" w:hAnsi="Palatino Linotype" w:cs="Tahoma"/>
                <w:sz w:val="22"/>
                <w:szCs w:val="22"/>
              </w:rPr>
            </w:pPr>
            <w:r w:rsidRPr="0088791A">
              <w:rPr>
                <w:rFonts w:ascii="Palatino Linotype" w:eastAsia="Calibri" w:hAnsi="Palatino Linotype" w:cs="Tahoma"/>
                <w:sz w:val="22"/>
                <w:szCs w:val="22"/>
                <w:lang w:eastAsia="es-MX"/>
              </w:rPr>
              <w:t>Comisionada Presidenta</w:t>
            </w:r>
          </w:p>
        </w:tc>
      </w:tr>
      <w:tr w:rsidR="00F73751" w:rsidRPr="00264223" w:rsidTr="00F5374C">
        <w:tc>
          <w:tcPr>
            <w:tcW w:w="3402" w:type="dxa"/>
          </w:tcPr>
          <w:p w:rsidR="00F73751" w:rsidRPr="00264223" w:rsidRDefault="00F73751" w:rsidP="008373CE">
            <w:pPr>
              <w:spacing w:line="360" w:lineRule="auto"/>
              <w:jc w:val="center"/>
              <w:rPr>
                <w:rFonts w:ascii="Palatino Linotype" w:eastAsia="Calibri" w:hAnsi="Palatino Linotype" w:cs="Tahoma"/>
                <w:b/>
                <w:sz w:val="22"/>
                <w:szCs w:val="22"/>
              </w:rPr>
            </w:pPr>
          </w:p>
          <w:p w:rsidR="00F4018F" w:rsidRDefault="00F4018F" w:rsidP="008373CE">
            <w:pPr>
              <w:spacing w:line="360" w:lineRule="auto"/>
              <w:ind w:right="-108"/>
              <w:rPr>
                <w:rFonts w:ascii="Palatino Linotype" w:eastAsia="Calibri" w:hAnsi="Palatino Linotype" w:cs="Tahoma"/>
                <w:b/>
                <w:sz w:val="22"/>
                <w:szCs w:val="22"/>
              </w:rPr>
            </w:pPr>
          </w:p>
          <w:p w:rsidR="00F4018F" w:rsidRDefault="00F4018F" w:rsidP="008373CE">
            <w:pPr>
              <w:spacing w:line="360" w:lineRule="auto"/>
              <w:ind w:right="-108"/>
              <w:rPr>
                <w:rFonts w:ascii="Palatino Linotype" w:eastAsia="Calibri" w:hAnsi="Palatino Linotype" w:cs="Tahoma"/>
                <w:b/>
                <w:sz w:val="22"/>
                <w:szCs w:val="22"/>
              </w:rPr>
            </w:pPr>
          </w:p>
          <w:p w:rsidR="008835B2" w:rsidRPr="00264223" w:rsidRDefault="008835B2" w:rsidP="008373CE">
            <w:pPr>
              <w:spacing w:line="360" w:lineRule="auto"/>
              <w:ind w:right="-108"/>
              <w:rPr>
                <w:rFonts w:ascii="Palatino Linotype" w:eastAsia="Calibri" w:hAnsi="Palatino Linotype" w:cs="Tahoma"/>
                <w:b/>
                <w:sz w:val="22"/>
                <w:szCs w:val="22"/>
              </w:rPr>
            </w:pPr>
          </w:p>
          <w:p w:rsidR="00F4018F" w:rsidRDefault="00F73751" w:rsidP="008373CE">
            <w:pPr>
              <w:spacing w:line="360" w:lineRule="auto"/>
              <w:ind w:right="-108"/>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 xml:space="preserve">Eva Abaid Yapur </w:t>
            </w:r>
          </w:p>
          <w:p w:rsidR="00F73751" w:rsidRPr="0088791A" w:rsidRDefault="00F73751" w:rsidP="008373CE">
            <w:pPr>
              <w:spacing w:line="360" w:lineRule="auto"/>
              <w:ind w:right="-108"/>
              <w:jc w:val="center"/>
              <w:rPr>
                <w:rFonts w:ascii="Palatino Linotype" w:eastAsia="Calibri" w:hAnsi="Palatino Linotype" w:cs="Tahoma"/>
                <w:sz w:val="22"/>
                <w:szCs w:val="22"/>
              </w:rPr>
            </w:pPr>
            <w:r w:rsidRPr="0088791A">
              <w:rPr>
                <w:rFonts w:ascii="Palatino Linotype" w:eastAsia="Calibri" w:hAnsi="Palatino Linotype" w:cs="Tahoma"/>
                <w:sz w:val="22"/>
                <w:szCs w:val="22"/>
              </w:rPr>
              <w:t>Comisionada</w:t>
            </w:r>
          </w:p>
          <w:p w:rsidR="00400FDE" w:rsidRPr="00F4018F" w:rsidRDefault="00F4018F" w:rsidP="008373CE">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F4018F">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p w:rsidR="00400FDE" w:rsidRPr="00264223" w:rsidRDefault="00400FDE" w:rsidP="008373CE">
            <w:pPr>
              <w:spacing w:line="360" w:lineRule="auto"/>
              <w:ind w:right="-108"/>
              <w:jc w:val="center"/>
              <w:rPr>
                <w:rFonts w:ascii="Palatino Linotype" w:eastAsia="Batang" w:hAnsi="Palatino Linotype" w:cs="Tahoma"/>
                <w:b/>
                <w:sz w:val="22"/>
                <w:szCs w:val="22"/>
              </w:rPr>
            </w:pPr>
          </w:p>
        </w:tc>
        <w:tc>
          <w:tcPr>
            <w:tcW w:w="1985" w:type="dxa"/>
          </w:tcPr>
          <w:p w:rsidR="00F73751" w:rsidRPr="00E70503" w:rsidRDefault="00F4018F" w:rsidP="008373CE">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F4018F">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tc>
        <w:tc>
          <w:tcPr>
            <w:tcW w:w="3685" w:type="dxa"/>
          </w:tcPr>
          <w:p w:rsidR="00F73751" w:rsidRPr="00264223" w:rsidRDefault="00F73751" w:rsidP="008373CE">
            <w:pPr>
              <w:spacing w:line="360" w:lineRule="auto"/>
              <w:ind w:right="-108"/>
              <w:jc w:val="center"/>
              <w:rPr>
                <w:rFonts w:ascii="Palatino Linotype" w:eastAsia="Calibri" w:hAnsi="Palatino Linotype" w:cs="Tahoma"/>
                <w:b/>
                <w:sz w:val="22"/>
                <w:szCs w:val="22"/>
              </w:rPr>
            </w:pPr>
          </w:p>
          <w:p w:rsidR="000813B0" w:rsidRPr="00264223" w:rsidRDefault="000813B0" w:rsidP="008373CE">
            <w:pPr>
              <w:spacing w:line="360" w:lineRule="auto"/>
              <w:ind w:right="-108"/>
              <w:jc w:val="center"/>
              <w:rPr>
                <w:rFonts w:ascii="Palatino Linotype" w:eastAsia="Calibri" w:hAnsi="Palatino Linotype" w:cs="Tahoma"/>
                <w:b/>
                <w:sz w:val="22"/>
                <w:szCs w:val="22"/>
              </w:rPr>
            </w:pPr>
          </w:p>
          <w:p w:rsidR="00E70503" w:rsidRDefault="00E70503" w:rsidP="008373CE">
            <w:pPr>
              <w:spacing w:line="360" w:lineRule="auto"/>
              <w:ind w:right="-108"/>
              <w:rPr>
                <w:rFonts w:ascii="Palatino Linotype" w:eastAsia="Calibri" w:hAnsi="Palatino Linotype" w:cs="Tahoma"/>
                <w:b/>
                <w:sz w:val="22"/>
                <w:szCs w:val="22"/>
                <w:lang w:eastAsia="es-MX"/>
              </w:rPr>
            </w:pPr>
          </w:p>
          <w:p w:rsidR="008835B2" w:rsidRPr="00264223" w:rsidRDefault="008835B2" w:rsidP="008373CE">
            <w:pPr>
              <w:spacing w:line="360" w:lineRule="auto"/>
              <w:ind w:right="-108"/>
              <w:rPr>
                <w:rFonts w:ascii="Palatino Linotype" w:eastAsia="Calibri" w:hAnsi="Palatino Linotype" w:cs="Tahoma"/>
                <w:b/>
                <w:sz w:val="22"/>
                <w:szCs w:val="22"/>
                <w:lang w:eastAsia="es-MX"/>
              </w:rPr>
            </w:pPr>
          </w:p>
          <w:p w:rsidR="00F73751" w:rsidRPr="00264223" w:rsidRDefault="00F73751" w:rsidP="008373CE">
            <w:pPr>
              <w:spacing w:line="360" w:lineRule="auto"/>
              <w:ind w:right="-108"/>
              <w:jc w:val="center"/>
              <w:rPr>
                <w:rFonts w:ascii="Palatino Linotype" w:eastAsia="Calibri" w:hAnsi="Palatino Linotype" w:cs="Tahoma"/>
                <w:b/>
                <w:sz w:val="22"/>
                <w:szCs w:val="22"/>
                <w:lang w:eastAsia="es-MX"/>
              </w:rPr>
            </w:pPr>
            <w:r w:rsidRPr="00264223">
              <w:rPr>
                <w:rFonts w:ascii="Palatino Linotype" w:eastAsia="Calibri" w:hAnsi="Palatino Linotype" w:cs="Tahoma"/>
                <w:b/>
                <w:sz w:val="22"/>
                <w:szCs w:val="22"/>
                <w:lang w:eastAsia="es-MX"/>
              </w:rPr>
              <w:t>José Guadalupe Luna Hernández</w:t>
            </w:r>
          </w:p>
          <w:p w:rsidR="00F73751" w:rsidRPr="0088791A" w:rsidRDefault="00F73751" w:rsidP="008373CE">
            <w:pPr>
              <w:spacing w:line="360" w:lineRule="auto"/>
              <w:ind w:right="-108"/>
              <w:jc w:val="center"/>
              <w:rPr>
                <w:rFonts w:ascii="Palatino Linotype" w:eastAsia="Calibri" w:hAnsi="Palatino Linotype" w:cs="Tahoma"/>
                <w:sz w:val="22"/>
                <w:szCs w:val="22"/>
                <w:lang w:eastAsia="es-MX"/>
              </w:rPr>
            </w:pPr>
            <w:r w:rsidRPr="0088791A">
              <w:rPr>
                <w:rFonts w:ascii="Palatino Linotype" w:eastAsia="Calibri" w:hAnsi="Palatino Linotype" w:cs="Tahoma"/>
                <w:sz w:val="22"/>
                <w:szCs w:val="22"/>
                <w:lang w:eastAsia="es-MX"/>
              </w:rPr>
              <w:t>Comisionado</w:t>
            </w:r>
          </w:p>
          <w:p w:rsidR="00400FDE" w:rsidRPr="00F4018F" w:rsidRDefault="00F4018F" w:rsidP="008373CE">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88791A">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p w:rsidR="00400FDE" w:rsidRPr="00264223" w:rsidRDefault="00400FDE" w:rsidP="008373CE">
            <w:pPr>
              <w:spacing w:line="360" w:lineRule="auto"/>
              <w:ind w:right="-108"/>
              <w:jc w:val="center"/>
              <w:rPr>
                <w:rFonts w:ascii="Palatino Linotype" w:eastAsia="Batang" w:hAnsi="Palatino Linotype" w:cs="Tahoma"/>
                <w:b/>
                <w:sz w:val="22"/>
                <w:szCs w:val="22"/>
              </w:rPr>
            </w:pPr>
          </w:p>
        </w:tc>
      </w:tr>
      <w:tr w:rsidR="00F73751" w:rsidRPr="00264223" w:rsidTr="00F5374C">
        <w:tc>
          <w:tcPr>
            <w:tcW w:w="3402" w:type="dxa"/>
          </w:tcPr>
          <w:p w:rsidR="00F73751" w:rsidRPr="00264223" w:rsidRDefault="00F73751" w:rsidP="008373CE">
            <w:pPr>
              <w:spacing w:line="360" w:lineRule="auto"/>
              <w:jc w:val="center"/>
              <w:rPr>
                <w:rFonts w:ascii="Palatino Linotype" w:eastAsia="Calibri" w:hAnsi="Palatino Linotype" w:cs="Tahoma"/>
                <w:b/>
                <w:sz w:val="22"/>
                <w:szCs w:val="22"/>
              </w:rPr>
            </w:pPr>
          </w:p>
          <w:p w:rsidR="002F199F" w:rsidRDefault="002F199F" w:rsidP="008373CE">
            <w:pPr>
              <w:spacing w:line="360" w:lineRule="auto"/>
              <w:rPr>
                <w:rFonts w:ascii="Palatino Linotype" w:eastAsia="Calibri" w:hAnsi="Palatino Linotype" w:cs="Tahoma"/>
                <w:b/>
                <w:sz w:val="22"/>
                <w:szCs w:val="22"/>
              </w:rPr>
            </w:pPr>
          </w:p>
          <w:p w:rsidR="002F199F" w:rsidRPr="00264223" w:rsidRDefault="002F199F" w:rsidP="008373CE">
            <w:pPr>
              <w:spacing w:line="360" w:lineRule="auto"/>
              <w:rPr>
                <w:rFonts w:ascii="Palatino Linotype" w:eastAsia="Calibri" w:hAnsi="Palatino Linotype" w:cs="Tahoma"/>
                <w:b/>
                <w:sz w:val="22"/>
                <w:szCs w:val="22"/>
              </w:rPr>
            </w:pPr>
          </w:p>
          <w:p w:rsidR="00F73751" w:rsidRPr="0088791A" w:rsidRDefault="00F73751" w:rsidP="008373CE">
            <w:pPr>
              <w:spacing w:line="360" w:lineRule="auto"/>
              <w:jc w:val="center"/>
              <w:rPr>
                <w:rFonts w:ascii="Palatino Linotype" w:eastAsia="Calibri" w:hAnsi="Palatino Linotype" w:cs="Tahoma"/>
                <w:sz w:val="22"/>
                <w:szCs w:val="22"/>
              </w:rPr>
            </w:pPr>
            <w:r w:rsidRPr="00264223">
              <w:rPr>
                <w:rFonts w:ascii="Palatino Linotype" w:eastAsia="Calibri" w:hAnsi="Palatino Linotype" w:cs="Tahoma"/>
                <w:b/>
                <w:sz w:val="22"/>
                <w:szCs w:val="22"/>
                <w:lang w:val="es-ES_tradnl"/>
              </w:rPr>
              <w:t xml:space="preserve">Javier Martínez Cruz </w:t>
            </w:r>
            <w:r w:rsidRPr="0088791A">
              <w:rPr>
                <w:rFonts w:ascii="Palatino Linotype" w:eastAsia="Calibri" w:hAnsi="Palatino Linotype" w:cs="Tahoma"/>
                <w:sz w:val="22"/>
                <w:szCs w:val="22"/>
              </w:rPr>
              <w:t>Comisionado</w:t>
            </w:r>
          </w:p>
          <w:p w:rsidR="00400FDE" w:rsidRPr="00F4018F" w:rsidRDefault="00F4018F" w:rsidP="008373CE">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F4018F">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p w:rsidR="00400FDE" w:rsidRPr="00264223" w:rsidRDefault="00400FDE" w:rsidP="008373CE">
            <w:pPr>
              <w:spacing w:line="360" w:lineRule="auto"/>
              <w:jc w:val="center"/>
              <w:rPr>
                <w:rFonts w:ascii="Palatino Linotype" w:eastAsia="Batang" w:hAnsi="Palatino Linotype" w:cs="Tahoma"/>
                <w:b/>
                <w:sz w:val="22"/>
                <w:szCs w:val="22"/>
              </w:rPr>
            </w:pPr>
          </w:p>
        </w:tc>
        <w:tc>
          <w:tcPr>
            <w:tcW w:w="1985" w:type="dxa"/>
          </w:tcPr>
          <w:p w:rsidR="00F73751" w:rsidRPr="00264223" w:rsidRDefault="00F73751" w:rsidP="008373CE">
            <w:pPr>
              <w:spacing w:line="360" w:lineRule="auto"/>
              <w:jc w:val="center"/>
              <w:rPr>
                <w:rFonts w:ascii="Palatino Linotype" w:eastAsia="Batang" w:hAnsi="Palatino Linotype" w:cs="Tahoma"/>
                <w:b/>
                <w:sz w:val="22"/>
                <w:szCs w:val="22"/>
              </w:rPr>
            </w:pPr>
          </w:p>
        </w:tc>
        <w:tc>
          <w:tcPr>
            <w:tcW w:w="3685" w:type="dxa"/>
          </w:tcPr>
          <w:p w:rsidR="00F73751" w:rsidRPr="00264223" w:rsidRDefault="00F73751" w:rsidP="008373CE">
            <w:pPr>
              <w:spacing w:line="360" w:lineRule="auto"/>
              <w:ind w:right="-108"/>
              <w:jc w:val="center"/>
              <w:rPr>
                <w:rFonts w:ascii="Palatino Linotype" w:eastAsia="Calibri" w:hAnsi="Palatino Linotype" w:cs="Tahoma"/>
                <w:b/>
                <w:sz w:val="22"/>
                <w:szCs w:val="22"/>
              </w:rPr>
            </w:pPr>
          </w:p>
          <w:p w:rsidR="000813B0" w:rsidRPr="00264223" w:rsidRDefault="000813B0" w:rsidP="008373CE">
            <w:pPr>
              <w:spacing w:line="360" w:lineRule="auto"/>
              <w:ind w:right="-108"/>
              <w:jc w:val="center"/>
              <w:rPr>
                <w:rFonts w:ascii="Palatino Linotype" w:eastAsia="Calibri" w:hAnsi="Palatino Linotype" w:cs="Tahoma"/>
                <w:b/>
                <w:sz w:val="22"/>
                <w:szCs w:val="22"/>
              </w:rPr>
            </w:pPr>
          </w:p>
          <w:p w:rsidR="002F199F" w:rsidRPr="00264223" w:rsidRDefault="002F199F" w:rsidP="008373CE">
            <w:pPr>
              <w:spacing w:line="360" w:lineRule="auto"/>
              <w:ind w:right="-108"/>
              <w:jc w:val="center"/>
              <w:rPr>
                <w:rFonts w:ascii="Palatino Linotype" w:eastAsia="Calibri" w:hAnsi="Palatino Linotype" w:cs="Tahoma"/>
                <w:sz w:val="22"/>
                <w:szCs w:val="22"/>
                <w:lang w:eastAsia="es-MX"/>
              </w:rPr>
            </w:pPr>
          </w:p>
          <w:p w:rsidR="00F73751" w:rsidRPr="00264223" w:rsidRDefault="00F73751" w:rsidP="008373CE">
            <w:pPr>
              <w:spacing w:line="360" w:lineRule="auto"/>
              <w:ind w:right="-108"/>
              <w:jc w:val="center"/>
              <w:rPr>
                <w:rFonts w:ascii="Palatino Linotype" w:eastAsia="Calibri" w:hAnsi="Palatino Linotype" w:cs="Tahoma"/>
                <w:b/>
                <w:sz w:val="22"/>
                <w:szCs w:val="22"/>
              </w:rPr>
            </w:pPr>
            <w:r w:rsidRPr="00264223">
              <w:rPr>
                <w:rFonts w:ascii="Palatino Linotype" w:eastAsia="Calibri" w:hAnsi="Palatino Linotype" w:cs="Tahoma"/>
                <w:b/>
                <w:sz w:val="22"/>
                <w:szCs w:val="22"/>
                <w:lang w:val="es-ES_tradnl"/>
              </w:rPr>
              <w:t>Luis Gustavo Parra Noriega</w:t>
            </w:r>
          </w:p>
          <w:p w:rsidR="00F73751" w:rsidRPr="0088791A" w:rsidRDefault="00F73751" w:rsidP="008373CE">
            <w:pPr>
              <w:spacing w:line="360" w:lineRule="auto"/>
              <w:ind w:right="-108"/>
              <w:jc w:val="center"/>
              <w:rPr>
                <w:rFonts w:ascii="Palatino Linotype" w:eastAsia="Calibri" w:hAnsi="Palatino Linotype" w:cs="Tahoma"/>
                <w:sz w:val="22"/>
                <w:szCs w:val="22"/>
              </w:rPr>
            </w:pPr>
            <w:r w:rsidRPr="0088791A">
              <w:rPr>
                <w:rFonts w:ascii="Palatino Linotype" w:eastAsia="Calibri" w:hAnsi="Palatino Linotype" w:cs="Tahoma"/>
                <w:sz w:val="22"/>
                <w:szCs w:val="22"/>
              </w:rPr>
              <w:t>Comisionado</w:t>
            </w:r>
          </w:p>
          <w:p w:rsidR="00400FDE" w:rsidRPr="00F4018F" w:rsidRDefault="00F4018F" w:rsidP="008373CE">
            <w:pPr>
              <w:spacing w:line="360"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F4018F">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p w:rsidR="00400FDE" w:rsidRPr="00264223" w:rsidRDefault="00400FDE" w:rsidP="008373CE">
            <w:pPr>
              <w:spacing w:line="360" w:lineRule="auto"/>
              <w:ind w:right="-108"/>
              <w:jc w:val="center"/>
              <w:rPr>
                <w:rFonts w:ascii="Palatino Linotype" w:eastAsia="Batang" w:hAnsi="Palatino Linotype" w:cs="Tahoma"/>
                <w:b/>
                <w:sz w:val="22"/>
                <w:szCs w:val="22"/>
              </w:rPr>
            </w:pPr>
          </w:p>
        </w:tc>
      </w:tr>
      <w:tr w:rsidR="00F73751" w:rsidRPr="00264223" w:rsidTr="00F5374C">
        <w:tc>
          <w:tcPr>
            <w:tcW w:w="9072" w:type="dxa"/>
            <w:gridSpan w:val="3"/>
          </w:tcPr>
          <w:p w:rsidR="00F5374C" w:rsidRDefault="00F5374C" w:rsidP="008835B2">
            <w:pPr>
              <w:tabs>
                <w:tab w:val="left" w:pos="2820"/>
              </w:tabs>
              <w:spacing w:line="360" w:lineRule="auto"/>
              <w:ind w:right="2414"/>
              <w:rPr>
                <w:rFonts w:ascii="Palatino Linotype" w:eastAsia="Calibri" w:hAnsi="Palatino Linotype" w:cs="Tahoma"/>
                <w:b/>
                <w:sz w:val="22"/>
                <w:szCs w:val="22"/>
              </w:rPr>
            </w:pPr>
          </w:p>
          <w:p w:rsidR="00681656" w:rsidRPr="00264223" w:rsidRDefault="00681656" w:rsidP="008373CE">
            <w:pPr>
              <w:tabs>
                <w:tab w:val="left" w:pos="2820"/>
              </w:tabs>
              <w:spacing w:line="360" w:lineRule="auto"/>
              <w:ind w:left="2581" w:right="2414"/>
              <w:rPr>
                <w:rFonts w:ascii="Palatino Linotype" w:eastAsia="Calibri" w:hAnsi="Palatino Linotype" w:cs="Tahoma"/>
                <w:b/>
                <w:sz w:val="22"/>
                <w:szCs w:val="22"/>
              </w:rPr>
            </w:pPr>
          </w:p>
          <w:p w:rsidR="00F5374C" w:rsidRPr="00264223" w:rsidRDefault="00F5374C" w:rsidP="008373CE">
            <w:pPr>
              <w:spacing w:line="360" w:lineRule="auto"/>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Alexis Tapia Ramírez</w:t>
            </w:r>
          </w:p>
          <w:p w:rsidR="00F73751" w:rsidRPr="0088791A" w:rsidRDefault="00F73751" w:rsidP="008373CE">
            <w:pPr>
              <w:spacing w:line="360" w:lineRule="auto"/>
              <w:jc w:val="center"/>
              <w:rPr>
                <w:rFonts w:ascii="Palatino Linotype" w:eastAsia="Calibri" w:hAnsi="Palatino Linotype" w:cs="Tahoma"/>
                <w:sz w:val="22"/>
                <w:szCs w:val="22"/>
              </w:rPr>
            </w:pPr>
            <w:r w:rsidRPr="0088791A">
              <w:rPr>
                <w:rFonts w:ascii="Palatino Linotype" w:eastAsia="Calibri" w:hAnsi="Palatino Linotype" w:cs="Tahoma"/>
                <w:sz w:val="22"/>
                <w:szCs w:val="22"/>
              </w:rPr>
              <w:t>Secretario Técnico del Pleno</w:t>
            </w:r>
          </w:p>
          <w:p w:rsidR="00B6258B" w:rsidRPr="002F199F" w:rsidRDefault="002F199F" w:rsidP="008373CE">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w:t>
            </w:r>
            <w:r w:rsidR="0088791A">
              <w:rPr>
                <w:rFonts w:ascii="Palatino Linotype" w:eastAsia="Calibri" w:hAnsi="Palatino Linotype" w:cs="Tahoma"/>
                <w:b/>
                <w:sz w:val="22"/>
                <w:szCs w:val="22"/>
                <w:lang w:eastAsia="es-MX"/>
              </w:rPr>
              <w:t>úbrica)</w:t>
            </w:r>
          </w:p>
          <w:p w:rsidR="00B6258B" w:rsidRPr="00264223" w:rsidRDefault="00B6258B" w:rsidP="008373CE">
            <w:pPr>
              <w:spacing w:line="360" w:lineRule="auto"/>
              <w:jc w:val="center"/>
              <w:rPr>
                <w:rFonts w:ascii="Palatino Linotype" w:eastAsia="Calibri" w:hAnsi="Palatino Linotype" w:cs="Tahoma"/>
                <w:color w:val="000000"/>
                <w:sz w:val="22"/>
                <w:szCs w:val="22"/>
              </w:rPr>
            </w:pPr>
          </w:p>
        </w:tc>
      </w:tr>
    </w:tbl>
    <w:p w:rsidR="000A238F" w:rsidRPr="00264223" w:rsidRDefault="000813B0" w:rsidP="008373CE">
      <w:pPr>
        <w:tabs>
          <w:tab w:val="left" w:pos="8931"/>
        </w:tabs>
        <w:spacing w:line="360" w:lineRule="auto"/>
        <w:ind w:right="-93"/>
        <w:jc w:val="both"/>
        <w:rPr>
          <w:rFonts w:ascii="Palatino Linotype" w:eastAsia="Calibri" w:hAnsi="Palatino Linotype" w:cs="Arial"/>
          <w:sz w:val="22"/>
          <w:szCs w:val="22"/>
          <w:lang w:eastAsia="en-US"/>
        </w:rPr>
      </w:pPr>
      <w:r w:rsidRPr="00264223">
        <w:rPr>
          <w:rFonts w:ascii="Palatino Linotype" w:eastAsia="Calibri" w:hAnsi="Palatino Linotype" w:cs="Arial"/>
          <w:sz w:val="22"/>
          <w:szCs w:val="22"/>
          <w:lang w:eastAsia="en-US"/>
        </w:rPr>
        <w:t>Esta foja corresponde a la resolución de</w:t>
      </w:r>
      <w:r w:rsidR="00F4018F">
        <w:rPr>
          <w:rFonts w:ascii="Palatino Linotype" w:eastAsia="Calibri" w:hAnsi="Palatino Linotype" w:cs="Arial"/>
          <w:sz w:val="22"/>
          <w:szCs w:val="22"/>
          <w:lang w:eastAsia="en-US"/>
        </w:rPr>
        <w:t xml:space="preserve"> fecha </w:t>
      </w:r>
      <w:r w:rsidR="00517EC0">
        <w:rPr>
          <w:rFonts w:ascii="Palatino Linotype" w:eastAsia="Calibri" w:hAnsi="Palatino Linotype" w:cs="Arial"/>
          <w:sz w:val="22"/>
          <w:szCs w:val="22"/>
          <w:lang w:eastAsia="en-US"/>
        </w:rPr>
        <w:t>catorce</w:t>
      </w:r>
      <w:r w:rsidR="00681656">
        <w:rPr>
          <w:rFonts w:ascii="Palatino Linotype" w:eastAsia="Calibri" w:hAnsi="Palatino Linotype" w:cs="Arial"/>
          <w:sz w:val="22"/>
          <w:szCs w:val="22"/>
          <w:lang w:eastAsia="en-US"/>
        </w:rPr>
        <w:t xml:space="preserve"> de noviembre</w:t>
      </w:r>
      <w:r w:rsidR="00F4018F" w:rsidRPr="00F4018F">
        <w:rPr>
          <w:rFonts w:ascii="Palatino Linotype" w:eastAsia="Calibri" w:hAnsi="Palatino Linotype" w:cs="Arial"/>
          <w:sz w:val="22"/>
          <w:szCs w:val="22"/>
          <w:lang w:eastAsia="en-US"/>
        </w:rPr>
        <w:t xml:space="preserve"> de dos mil dieciocho</w:t>
      </w:r>
      <w:r w:rsidR="00F4018F">
        <w:rPr>
          <w:rFonts w:ascii="Palatino Linotype" w:eastAsia="Calibri" w:hAnsi="Palatino Linotype" w:cs="Arial"/>
          <w:sz w:val="22"/>
          <w:szCs w:val="22"/>
          <w:lang w:eastAsia="en-US"/>
        </w:rPr>
        <w:t xml:space="preserve">, emitida en el recurso de revisión número </w:t>
      </w:r>
      <w:r w:rsidR="00F4018F" w:rsidRPr="00264223">
        <w:rPr>
          <w:rFonts w:ascii="Palatino Linotype" w:eastAsia="Calibri" w:hAnsi="Palatino Linotype" w:cs="Arial"/>
          <w:bCs/>
          <w:sz w:val="22"/>
          <w:szCs w:val="22"/>
          <w:lang w:eastAsia="en-US"/>
        </w:rPr>
        <w:t>03</w:t>
      </w:r>
      <w:r w:rsidR="009A280C">
        <w:rPr>
          <w:rFonts w:ascii="Palatino Linotype" w:eastAsia="Calibri" w:hAnsi="Palatino Linotype" w:cs="Arial"/>
          <w:bCs/>
          <w:sz w:val="22"/>
          <w:szCs w:val="22"/>
          <w:lang w:eastAsia="en-US"/>
        </w:rPr>
        <w:t>686</w:t>
      </w:r>
      <w:r w:rsidR="00F4018F" w:rsidRPr="00264223">
        <w:rPr>
          <w:rFonts w:ascii="Palatino Linotype" w:eastAsia="Calibri" w:hAnsi="Palatino Linotype" w:cs="Arial"/>
          <w:bCs/>
          <w:sz w:val="22"/>
          <w:szCs w:val="22"/>
          <w:lang w:eastAsia="en-US"/>
        </w:rPr>
        <w:t>/INFOEM/IP/RR/2018</w:t>
      </w:r>
      <w:r w:rsidR="00E86361">
        <w:rPr>
          <w:rFonts w:ascii="Palatino Linotype" w:eastAsia="Calibri" w:hAnsi="Palatino Linotype" w:cs="Arial"/>
          <w:sz w:val="22"/>
          <w:szCs w:val="22"/>
          <w:lang w:eastAsia="en-US"/>
        </w:rPr>
        <w:t>.</w:t>
      </w:r>
    </w:p>
    <w:sectPr w:rsidR="000A238F" w:rsidRPr="00264223" w:rsidSect="00DB7E5F">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1F3" w:rsidRDefault="00A631F3" w:rsidP="00B31222">
      <w:r>
        <w:separator/>
      </w:r>
    </w:p>
  </w:endnote>
  <w:endnote w:type="continuationSeparator" w:id="0">
    <w:p w:rsidR="00A631F3" w:rsidRDefault="00A631F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4552F5" w:rsidRDefault="004552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742C">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742C">
              <w:rPr>
                <w:b/>
                <w:bCs/>
                <w:noProof/>
              </w:rPr>
              <w:t>37</w:t>
            </w:r>
            <w:r>
              <w:rPr>
                <w:b/>
                <w:bCs/>
                <w:sz w:val="24"/>
                <w:szCs w:val="24"/>
              </w:rPr>
              <w:fldChar w:fldCharType="end"/>
            </w:r>
          </w:p>
        </w:sdtContent>
      </w:sdt>
    </w:sdtContent>
  </w:sdt>
  <w:p w:rsidR="004552F5" w:rsidRDefault="004552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4552F5" w:rsidRDefault="004552F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74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742C">
              <w:rPr>
                <w:b/>
                <w:bCs/>
                <w:noProof/>
              </w:rPr>
              <w:t>37</w:t>
            </w:r>
            <w:r>
              <w:rPr>
                <w:b/>
                <w:bCs/>
                <w:sz w:val="24"/>
                <w:szCs w:val="24"/>
              </w:rPr>
              <w:fldChar w:fldCharType="end"/>
            </w:r>
          </w:p>
        </w:sdtContent>
      </w:sdt>
    </w:sdtContent>
  </w:sdt>
  <w:p w:rsidR="004552F5" w:rsidRDefault="004552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1F3" w:rsidRDefault="00A631F3" w:rsidP="00B31222">
      <w:r>
        <w:separator/>
      </w:r>
    </w:p>
  </w:footnote>
  <w:footnote w:type="continuationSeparator" w:id="0">
    <w:p w:rsidR="00A631F3" w:rsidRDefault="00A631F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552F5" w:rsidRPr="005C106F" w:rsidTr="00202DB8">
      <w:trPr>
        <w:trHeight w:val="1435"/>
      </w:trPr>
      <w:tc>
        <w:tcPr>
          <w:tcW w:w="2835" w:type="dxa"/>
          <w:shd w:val="clear" w:color="auto" w:fill="auto"/>
        </w:tcPr>
        <w:p w:rsidR="004552F5" w:rsidRPr="005C106F" w:rsidRDefault="004552F5" w:rsidP="00EF4A64">
          <w:pPr>
            <w:tabs>
              <w:tab w:val="right" w:pos="4273"/>
            </w:tabs>
            <w:rPr>
              <w:rFonts w:ascii="Garamond" w:eastAsia="Calibri" w:hAnsi="Garamond"/>
              <w:sz w:val="16"/>
              <w:szCs w:val="16"/>
              <w:lang w:eastAsia="en-US"/>
            </w:rPr>
          </w:pPr>
        </w:p>
      </w:tc>
      <w:tc>
        <w:tcPr>
          <w:tcW w:w="6733" w:type="dxa"/>
          <w:shd w:val="clear" w:color="auto" w:fill="auto"/>
        </w:tcPr>
        <w:p w:rsidR="004552F5" w:rsidRDefault="004552F5" w:rsidP="005743D2"/>
        <w:tbl>
          <w:tblPr>
            <w:tblStyle w:val="Tablaconcuadrcula"/>
            <w:tblW w:w="567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2972"/>
          </w:tblGrid>
          <w:tr w:rsidR="004552F5" w:rsidTr="001F7568">
            <w:trPr>
              <w:trHeight w:val="144"/>
            </w:trPr>
            <w:tc>
              <w:tcPr>
                <w:tcW w:w="2698" w:type="dxa"/>
              </w:tcPr>
              <w:p w:rsidR="004552F5" w:rsidRPr="00026EBB" w:rsidRDefault="004552F5" w:rsidP="001F7568">
                <w:pPr>
                  <w:tabs>
                    <w:tab w:val="right" w:pos="8838"/>
                  </w:tabs>
                  <w:spacing w:line="360" w:lineRule="auto"/>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rsidR="004552F5" w:rsidRPr="00026EBB" w:rsidRDefault="004552F5" w:rsidP="001F7568">
                <w:pPr>
                  <w:tabs>
                    <w:tab w:val="right" w:pos="8838"/>
                  </w:tabs>
                  <w:spacing w:line="360" w:lineRule="auto"/>
                  <w:jc w:val="both"/>
                  <w:rPr>
                    <w:rFonts w:ascii="Palatino Linotype" w:eastAsia="Calibri" w:hAnsi="Palatino Linotype" w:cs="Tahoma"/>
                    <w:bCs/>
                    <w:sz w:val="22"/>
                    <w:szCs w:val="22"/>
                    <w:lang w:eastAsia="en-US"/>
                  </w:rPr>
                </w:pPr>
                <w:r w:rsidRPr="00026EB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3686</w:t>
                </w:r>
                <w:r w:rsidRPr="00026EBB">
                  <w:rPr>
                    <w:rFonts w:ascii="Palatino Linotype" w:eastAsia="Calibri" w:hAnsi="Palatino Linotype" w:cs="Tahoma"/>
                    <w:bCs/>
                    <w:sz w:val="22"/>
                    <w:szCs w:val="22"/>
                    <w:lang w:eastAsia="en-US"/>
                  </w:rPr>
                  <w:t>/INFOEM/IP/RR/2018</w:t>
                </w:r>
              </w:p>
            </w:tc>
          </w:tr>
          <w:tr w:rsidR="004552F5" w:rsidTr="001F7568">
            <w:trPr>
              <w:trHeight w:val="144"/>
            </w:trPr>
            <w:tc>
              <w:tcPr>
                <w:tcW w:w="2698" w:type="dxa"/>
              </w:tcPr>
              <w:p w:rsidR="004552F5" w:rsidRPr="00026EBB" w:rsidRDefault="004552F5" w:rsidP="001F7568">
                <w:pPr>
                  <w:tabs>
                    <w:tab w:val="right" w:pos="8838"/>
                  </w:tabs>
                  <w:spacing w:line="360" w:lineRule="auto"/>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rsidR="004552F5" w:rsidRPr="00026EBB" w:rsidRDefault="004552F5" w:rsidP="001F7568">
                <w:pPr>
                  <w:tabs>
                    <w:tab w:val="right" w:pos="8838"/>
                  </w:tabs>
                  <w:spacing w:line="360" w:lineRule="auto"/>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Rayón</w:t>
                </w:r>
              </w:p>
            </w:tc>
          </w:tr>
          <w:tr w:rsidR="004552F5" w:rsidTr="001F7568">
            <w:trPr>
              <w:trHeight w:val="138"/>
            </w:trPr>
            <w:tc>
              <w:tcPr>
                <w:tcW w:w="2698" w:type="dxa"/>
              </w:tcPr>
              <w:p w:rsidR="004552F5" w:rsidRPr="00026EBB" w:rsidRDefault="004552F5" w:rsidP="001F7568">
                <w:pPr>
                  <w:tabs>
                    <w:tab w:val="right" w:pos="8838"/>
                  </w:tabs>
                  <w:spacing w:line="360" w:lineRule="auto"/>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rsidR="004552F5" w:rsidRPr="00026EBB" w:rsidRDefault="004552F5" w:rsidP="001F7568">
                <w:pPr>
                  <w:tabs>
                    <w:tab w:val="right" w:pos="8838"/>
                  </w:tabs>
                  <w:spacing w:line="360" w:lineRule="auto"/>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4552F5" w:rsidRPr="005C106F" w:rsidRDefault="004552F5" w:rsidP="005743D2">
          <w:pPr>
            <w:tabs>
              <w:tab w:val="right" w:pos="8838"/>
            </w:tabs>
            <w:ind w:left="-28"/>
            <w:jc w:val="both"/>
            <w:rPr>
              <w:rFonts w:ascii="Arial" w:eastAsia="Calibri" w:hAnsi="Arial" w:cs="Arial"/>
              <w:b/>
              <w:sz w:val="22"/>
              <w:szCs w:val="22"/>
              <w:lang w:eastAsia="en-US"/>
            </w:rPr>
          </w:pPr>
        </w:p>
      </w:tc>
    </w:tr>
  </w:tbl>
  <w:p w:rsidR="004552F5" w:rsidRPr="00443C6B" w:rsidRDefault="004552F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552F5" w:rsidRPr="005C106F" w:rsidTr="003B165A">
      <w:trPr>
        <w:trHeight w:val="1435"/>
      </w:trPr>
      <w:tc>
        <w:tcPr>
          <w:tcW w:w="2835" w:type="dxa"/>
          <w:shd w:val="clear" w:color="auto" w:fill="auto"/>
        </w:tcPr>
        <w:p w:rsidR="004552F5" w:rsidRPr="005C106F" w:rsidRDefault="004552F5" w:rsidP="00DB7E5F">
          <w:pPr>
            <w:tabs>
              <w:tab w:val="right" w:pos="4273"/>
            </w:tabs>
            <w:rPr>
              <w:rFonts w:ascii="Garamond" w:eastAsia="Calibri" w:hAnsi="Garamond"/>
              <w:sz w:val="16"/>
              <w:szCs w:val="16"/>
              <w:lang w:eastAsia="en-US"/>
            </w:rPr>
          </w:pPr>
        </w:p>
      </w:tc>
      <w:tc>
        <w:tcPr>
          <w:tcW w:w="6733" w:type="dxa"/>
          <w:shd w:val="clear" w:color="auto" w:fill="auto"/>
        </w:tcPr>
        <w:p w:rsidR="004552F5" w:rsidRPr="005C106F" w:rsidRDefault="004552F5" w:rsidP="00DB7E5F">
          <w:pPr>
            <w:tabs>
              <w:tab w:val="right" w:pos="8838"/>
            </w:tabs>
            <w:ind w:left="-28"/>
            <w:jc w:val="both"/>
            <w:rPr>
              <w:rFonts w:ascii="Arial" w:eastAsia="Calibri" w:hAnsi="Arial" w:cs="Arial"/>
              <w:b/>
              <w:sz w:val="22"/>
              <w:szCs w:val="22"/>
              <w:lang w:eastAsia="en-US"/>
            </w:rPr>
          </w:pPr>
        </w:p>
      </w:tc>
    </w:tr>
  </w:tbl>
  <w:p w:rsidR="004552F5" w:rsidRDefault="004552F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02A63"/>
    <w:multiLevelType w:val="hybridMultilevel"/>
    <w:tmpl w:val="85663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5527D7"/>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1725AF"/>
    <w:multiLevelType w:val="hybridMultilevel"/>
    <w:tmpl w:val="E9029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5A5ACA"/>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FD3971"/>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0D1D37"/>
    <w:multiLevelType w:val="hybridMultilevel"/>
    <w:tmpl w:val="0C9E6F2A"/>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8E73F1"/>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662277C1"/>
    <w:multiLevelType w:val="hybridMultilevel"/>
    <w:tmpl w:val="5ACCC0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8"/>
  </w:num>
  <w:num w:numId="2">
    <w:abstractNumId w:val="0"/>
  </w:num>
  <w:num w:numId="3">
    <w:abstractNumId w:val="2"/>
  </w:num>
  <w:num w:numId="4">
    <w:abstractNumId w:val="27"/>
  </w:num>
  <w:num w:numId="5">
    <w:abstractNumId w:val="7"/>
  </w:num>
  <w:num w:numId="6">
    <w:abstractNumId w:val="26"/>
  </w:num>
  <w:num w:numId="7">
    <w:abstractNumId w:val="6"/>
  </w:num>
  <w:num w:numId="8">
    <w:abstractNumId w:val="24"/>
  </w:num>
  <w:num w:numId="9">
    <w:abstractNumId w:val="12"/>
  </w:num>
  <w:num w:numId="10">
    <w:abstractNumId w:val="1"/>
  </w:num>
  <w:num w:numId="11">
    <w:abstractNumId w:val="11"/>
  </w:num>
  <w:num w:numId="12">
    <w:abstractNumId w:val="18"/>
  </w:num>
  <w:num w:numId="13">
    <w:abstractNumId w:val="8"/>
  </w:num>
  <w:num w:numId="14">
    <w:abstractNumId w:val="9"/>
  </w:num>
  <w:num w:numId="15">
    <w:abstractNumId w:val="10"/>
  </w:num>
  <w:num w:numId="16">
    <w:abstractNumId w:val="20"/>
  </w:num>
  <w:num w:numId="17">
    <w:abstractNumId w:val="14"/>
  </w:num>
  <w:num w:numId="18">
    <w:abstractNumId w:val="17"/>
  </w:num>
  <w:num w:numId="19">
    <w:abstractNumId w:val="2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3"/>
  </w:num>
  <w:num w:numId="23">
    <w:abstractNumId w:val="21"/>
  </w:num>
  <w:num w:numId="24">
    <w:abstractNumId w:val="19"/>
  </w:num>
  <w:num w:numId="25">
    <w:abstractNumId w:val="4"/>
  </w:num>
  <w:num w:numId="26">
    <w:abstractNumId w:val="3"/>
  </w:num>
  <w:num w:numId="27">
    <w:abstractNumId w:val="16"/>
  </w:num>
  <w:num w:numId="28">
    <w:abstractNumId w:val="13"/>
  </w:num>
  <w:num w:numId="29">
    <w:abstractNumId w:val="25"/>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019"/>
    <w:rsid w:val="00020789"/>
    <w:rsid w:val="000212E5"/>
    <w:rsid w:val="00021C64"/>
    <w:rsid w:val="000241C5"/>
    <w:rsid w:val="00026E91"/>
    <w:rsid w:val="00026EBB"/>
    <w:rsid w:val="000313A7"/>
    <w:rsid w:val="00032F5B"/>
    <w:rsid w:val="00034E9D"/>
    <w:rsid w:val="000373BC"/>
    <w:rsid w:val="00037B34"/>
    <w:rsid w:val="00037F4B"/>
    <w:rsid w:val="0004168D"/>
    <w:rsid w:val="00042B8D"/>
    <w:rsid w:val="00043C4B"/>
    <w:rsid w:val="0004646B"/>
    <w:rsid w:val="00047D67"/>
    <w:rsid w:val="000528E6"/>
    <w:rsid w:val="0006017B"/>
    <w:rsid w:val="000813B0"/>
    <w:rsid w:val="0008148B"/>
    <w:rsid w:val="0008165E"/>
    <w:rsid w:val="00087124"/>
    <w:rsid w:val="00090586"/>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C7CAF"/>
    <w:rsid w:val="000D0B08"/>
    <w:rsid w:val="000E0BEA"/>
    <w:rsid w:val="000E2172"/>
    <w:rsid w:val="000E67E4"/>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61DF9"/>
    <w:rsid w:val="00162CCE"/>
    <w:rsid w:val="00163E46"/>
    <w:rsid w:val="00165891"/>
    <w:rsid w:val="00167281"/>
    <w:rsid w:val="00170545"/>
    <w:rsid w:val="00171ADD"/>
    <w:rsid w:val="00173688"/>
    <w:rsid w:val="0017459B"/>
    <w:rsid w:val="00182F0F"/>
    <w:rsid w:val="00183D24"/>
    <w:rsid w:val="001851A6"/>
    <w:rsid w:val="001875A7"/>
    <w:rsid w:val="001879E1"/>
    <w:rsid w:val="0019389B"/>
    <w:rsid w:val="00194582"/>
    <w:rsid w:val="001A1B94"/>
    <w:rsid w:val="001A22F5"/>
    <w:rsid w:val="001A7FD2"/>
    <w:rsid w:val="001B107D"/>
    <w:rsid w:val="001B2CD9"/>
    <w:rsid w:val="001B62A0"/>
    <w:rsid w:val="001C282F"/>
    <w:rsid w:val="001D0086"/>
    <w:rsid w:val="001D0094"/>
    <w:rsid w:val="001D7012"/>
    <w:rsid w:val="001D7BD2"/>
    <w:rsid w:val="001E2A4D"/>
    <w:rsid w:val="001E53C2"/>
    <w:rsid w:val="001E6903"/>
    <w:rsid w:val="001F0E9C"/>
    <w:rsid w:val="001F1540"/>
    <w:rsid w:val="001F652C"/>
    <w:rsid w:val="001F739F"/>
    <w:rsid w:val="001F7568"/>
    <w:rsid w:val="001F78D9"/>
    <w:rsid w:val="00202DB8"/>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2AAB"/>
    <w:rsid w:val="002433A4"/>
    <w:rsid w:val="002435DC"/>
    <w:rsid w:val="00247B17"/>
    <w:rsid w:val="00250389"/>
    <w:rsid w:val="00252669"/>
    <w:rsid w:val="00252B75"/>
    <w:rsid w:val="00254209"/>
    <w:rsid w:val="00254288"/>
    <w:rsid w:val="0025469C"/>
    <w:rsid w:val="002579CE"/>
    <w:rsid w:val="00260FEC"/>
    <w:rsid w:val="00261DD6"/>
    <w:rsid w:val="00264223"/>
    <w:rsid w:val="002657E2"/>
    <w:rsid w:val="002705D2"/>
    <w:rsid w:val="002727CC"/>
    <w:rsid w:val="00273679"/>
    <w:rsid w:val="00281A35"/>
    <w:rsid w:val="00283E90"/>
    <w:rsid w:val="00284486"/>
    <w:rsid w:val="00285644"/>
    <w:rsid w:val="0028581E"/>
    <w:rsid w:val="00293491"/>
    <w:rsid w:val="00293A8C"/>
    <w:rsid w:val="002A0FB8"/>
    <w:rsid w:val="002A3B3C"/>
    <w:rsid w:val="002A6193"/>
    <w:rsid w:val="002A7BD4"/>
    <w:rsid w:val="002A7F32"/>
    <w:rsid w:val="002B20A1"/>
    <w:rsid w:val="002B226E"/>
    <w:rsid w:val="002B46D4"/>
    <w:rsid w:val="002B54CF"/>
    <w:rsid w:val="002B742C"/>
    <w:rsid w:val="002C0C32"/>
    <w:rsid w:val="002D1BE4"/>
    <w:rsid w:val="002D5DDD"/>
    <w:rsid w:val="002E08AE"/>
    <w:rsid w:val="002E5015"/>
    <w:rsid w:val="002E7ACF"/>
    <w:rsid w:val="002F0CE9"/>
    <w:rsid w:val="002F199F"/>
    <w:rsid w:val="002F3BD0"/>
    <w:rsid w:val="00300A0B"/>
    <w:rsid w:val="00301F46"/>
    <w:rsid w:val="00303CAD"/>
    <w:rsid w:val="00305A7F"/>
    <w:rsid w:val="00306418"/>
    <w:rsid w:val="003100F3"/>
    <w:rsid w:val="00310C11"/>
    <w:rsid w:val="00314F2B"/>
    <w:rsid w:val="00315492"/>
    <w:rsid w:val="00316600"/>
    <w:rsid w:val="003172EC"/>
    <w:rsid w:val="003201BA"/>
    <w:rsid w:val="0032170B"/>
    <w:rsid w:val="00323325"/>
    <w:rsid w:val="003243B0"/>
    <w:rsid w:val="00325239"/>
    <w:rsid w:val="00325EC0"/>
    <w:rsid w:val="003271D2"/>
    <w:rsid w:val="003340EC"/>
    <w:rsid w:val="003350FF"/>
    <w:rsid w:val="0034057C"/>
    <w:rsid w:val="00350142"/>
    <w:rsid w:val="00353B6D"/>
    <w:rsid w:val="00354920"/>
    <w:rsid w:val="00355DC6"/>
    <w:rsid w:val="003604D7"/>
    <w:rsid w:val="0036351E"/>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2140"/>
    <w:rsid w:val="003B531F"/>
    <w:rsid w:val="003B5E72"/>
    <w:rsid w:val="003B61BE"/>
    <w:rsid w:val="003C2478"/>
    <w:rsid w:val="003C28B8"/>
    <w:rsid w:val="003C6934"/>
    <w:rsid w:val="003C74F9"/>
    <w:rsid w:val="003C7FD0"/>
    <w:rsid w:val="003D0268"/>
    <w:rsid w:val="003D1A43"/>
    <w:rsid w:val="003D1A64"/>
    <w:rsid w:val="003E13A6"/>
    <w:rsid w:val="003E31E5"/>
    <w:rsid w:val="003E32ED"/>
    <w:rsid w:val="003E3A39"/>
    <w:rsid w:val="003E58C9"/>
    <w:rsid w:val="003F578D"/>
    <w:rsid w:val="003F650B"/>
    <w:rsid w:val="003F67B8"/>
    <w:rsid w:val="0040026C"/>
    <w:rsid w:val="004004E9"/>
    <w:rsid w:val="00400FDE"/>
    <w:rsid w:val="00402595"/>
    <w:rsid w:val="004052C5"/>
    <w:rsid w:val="004100AA"/>
    <w:rsid w:val="00412203"/>
    <w:rsid w:val="0041563A"/>
    <w:rsid w:val="00417DE3"/>
    <w:rsid w:val="00420B07"/>
    <w:rsid w:val="00422869"/>
    <w:rsid w:val="00426448"/>
    <w:rsid w:val="00430AAA"/>
    <w:rsid w:val="0043257A"/>
    <w:rsid w:val="0043610E"/>
    <w:rsid w:val="00436FD3"/>
    <w:rsid w:val="004406CF"/>
    <w:rsid w:val="00441804"/>
    <w:rsid w:val="004435B4"/>
    <w:rsid w:val="004552F5"/>
    <w:rsid w:val="0046048A"/>
    <w:rsid w:val="00461690"/>
    <w:rsid w:val="00466346"/>
    <w:rsid w:val="00472D4A"/>
    <w:rsid w:val="004751D6"/>
    <w:rsid w:val="00477DBA"/>
    <w:rsid w:val="00477E20"/>
    <w:rsid w:val="00480BB8"/>
    <w:rsid w:val="00481674"/>
    <w:rsid w:val="00481D51"/>
    <w:rsid w:val="0048519E"/>
    <w:rsid w:val="00485EC7"/>
    <w:rsid w:val="004860BD"/>
    <w:rsid w:val="00487430"/>
    <w:rsid w:val="004921AB"/>
    <w:rsid w:val="00492DCA"/>
    <w:rsid w:val="004A0A7B"/>
    <w:rsid w:val="004A0BB0"/>
    <w:rsid w:val="004A2636"/>
    <w:rsid w:val="004A26CD"/>
    <w:rsid w:val="004A3584"/>
    <w:rsid w:val="004A5121"/>
    <w:rsid w:val="004A577A"/>
    <w:rsid w:val="004A7990"/>
    <w:rsid w:val="004B1796"/>
    <w:rsid w:val="004B214E"/>
    <w:rsid w:val="004B591D"/>
    <w:rsid w:val="004B7542"/>
    <w:rsid w:val="004C4ACC"/>
    <w:rsid w:val="004C7E83"/>
    <w:rsid w:val="004D5DB3"/>
    <w:rsid w:val="004E12DE"/>
    <w:rsid w:val="004E345F"/>
    <w:rsid w:val="004E41C7"/>
    <w:rsid w:val="004F2D88"/>
    <w:rsid w:val="004F3482"/>
    <w:rsid w:val="004F41A2"/>
    <w:rsid w:val="005070C3"/>
    <w:rsid w:val="005071E1"/>
    <w:rsid w:val="005124DC"/>
    <w:rsid w:val="00512BF1"/>
    <w:rsid w:val="00517EC0"/>
    <w:rsid w:val="005220BE"/>
    <w:rsid w:val="00542D5F"/>
    <w:rsid w:val="005435DE"/>
    <w:rsid w:val="00544C28"/>
    <w:rsid w:val="00546BAE"/>
    <w:rsid w:val="00546CBB"/>
    <w:rsid w:val="00552EBD"/>
    <w:rsid w:val="00553827"/>
    <w:rsid w:val="00555F71"/>
    <w:rsid w:val="0057338D"/>
    <w:rsid w:val="00573D72"/>
    <w:rsid w:val="005740F6"/>
    <w:rsid w:val="005743D2"/>
    <w:rsid w:val="00575DE3"/>
    <w:rsid w:val="00576F74"/>
    <w:rsid w:val="005802BD"/>
    <w:rsid w:val="00586FA8"/>
    <w:rsid w:val="00587F23"/>
    <w:rsid w:val="00591E3A"/>
    <w:rsid w:val="00593CB4"/>
    <w:rsid w:val="005A1803"/>
    <w:rsid w:val="005A3131"/>
    <w:rsid w:val="005A387D"/>
    <w:rsid w:val="005B0D7C"/>
    <w:rsid w:val="005B0E86"/>
    <w:rsid w:val="005B5DEE"/>
    <w:rsid w:val="005B6854"/>
    <w:rsid w:val="005C0DBE"/>
    <w:rsid w:val="005C4034"/>
    <w:rsid w:val="005C465F"/>
    <w:rsid w:val="005C651C"/>
    <w:rsid w:val="005D1427"/>
    <w:rsid w:val="005D2B62"/>
    <w:rsid w:val="005D49C8"/>
    <w:rsid w:val="005D5607"/>
    <w:rsid w:val="005E37E9"/>
    <w:rsid w:val="005F03DB"/>
    <w:rsid w:val="005F1701"/>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4587"/>
    <w:rsid w:val="0066512D"/>
    <w:rsid w:val="00666F25"/>
    <w:rsid w:val="00667C1C"/>
    <w:rsid w:val="00671885"/>
    <w:rsid w:val="00672801"/>
    <w:rsid w:val="006734E3"/>
    <w:rsid w:val="00673DD4"/>
    <w:rsid w:val="00674AEB"/>
    <w:rsid w:val="006753B0"/>
    <w:rsid w:val="00681656"/>
    <w:rsid w:val="00683CB5"/>
    <w:rsid w:val="0068455C"/>
    <w:rsid w:val="00685328"/>
    <w:rsid w:val="0068611E"/>
    <w:rsid w:val="0069333E"/>
    <w:rsid w:val="00693C8E"/>
    <w:rsid w:val="0069659C"/>
    <w:rsid w:val="006969BA"/>
    <w:rsid w:val="006A026A"/>
    <w:rsid w:val="006A0425"/>
    <w:rsid w:val="006A1D62"/>
    <w:rsid w:val="006A6D7F"/>
    <w:rsid w:val="006B0298"/>
    <w:rsid w:val="006B0E83"/>
    <w:rsid w:val="006B5262"/>
    <w:rsid w:val="006B5493"/>
    <w:rsid w:val="006C10C0"/>
    <w:rsid w:val="006C1B1D"/>
    <w:rsid w:val="006C32BB"/>
    <w:rsid w:val="006C3747"/>
    <w:rsid w:val="006C7760"/>
    <w:rsid w:val="006C7EEA"/>
    <w:rsid w:val="006D357F"/>
    <w:rsid w:val="006D522C"/>
    <w:rsid w:val="006D56AA"/>
    <w:rsid w:val="006D5B2D"/>
    <w:rsid w:val="006D7795"/>
    <w:rsid w:val="006D7ACB"/>
    <w:rsid w:val="006E00EF"/>
    <w:rsid w:val="006E1A7A"/>
    <w:rsid w:val="006F01E7"/>
    <w:rsid w:val="006F1F3A"/>
    <w:rsid w:val="006F76DD"/>
    <w:rsid w:val="006F7EB8"/>
    <w:rsid w:val="00702DD7"/>
    <w:rsid w:val="007047D3"/>
    <w:rsid w:val="00705C40"/>
    <w:rsid w:val="0071087E"/>
    <w:rsid w:val="0071670A"/>
    <w:rsid w:val="007229A1"/>
    <w:rsid w:val="007235AA"/>
    <w:rsid w:val="00732289"/>
    <w:rsid w:val="00735915"/>
    <w:rsid w:val="00735C21"/>
    <w:rsid w:val="0073614A"/>
    <w:rsid w:val="00736FF2"/>
    <w:rsid w:val="00740C8C"/>
    <w:rsid w:val="00741AC4"/>
    <w:rsid w:val="0074285B"/>
    <w:rsid w:val="007515BC"/>
    <w:rsid w:val="007573B2"/>
    <w:rsid w:val="007574BB"/>
    <w:rsid w:val="0075764C"/>
    <w:rsid w:val="00762198"/>
    <w:rsid w:val="00763CE8"/>
    <w:rsid w:val="00764E7C"/>
    <w:rsid w:val="00770792"/>
    <w:rsid w:val="00774FFE"/>
    <w:rsid w:val="00775638"/>
    <w:rsid w:val="00775677"/>
    <w:rsid w:val="0077599A"/>
    <w:rsid w:val="00777353"/>
    <w:rsid w:val="00780CD6"/>
    <w:rsid w:val="00782EA4"/>
    <w:rsid w:val="00785461"/>
    <w:rsid w:val="00786FF3"/>
    <w:rsid w:val="007876CF"/>
    <w:rsid w:val="00787778"/>
    <w:rsid w:val="00793090"/>
    <w:rsid w:val="00796F2A"/>
    <w:rsid w:val="007A0176"/>
    <w:rsid w:val="007A2F67"/>
    <w:rsid w:val="007A3918"/>
    <w:rsid w:val="007A4ECA"/>
    <w:rsid w:val="007B0E89"/>
    <w:rsid w:val="007B2C38"/>
    <w:rsid w:val="007B2E54"/>
    <w:rsid w:val="007B6F5A"/>
    <w:rsid w:val="007B7498"/>
    <w:rsid w:val="007B7AEE"/>
    <w:rsid w:val="007C130D"/>
    <w:rsid w:val="007C6E6C"/>
    <w:rsid w:val="007C7EB6"/>
    <w:rsid w:val="007D2F75"/>
    <w:rsid w:val="007D3C0E"/>
    <w:rsid w:val="007D71B6"/>
    <w:rsid w:val="007E22E7"/>
    <w:rsid w:val="007E4232"/>
    <w:rsid w:val="007E69BB"/>
    <w:rsid w:val="007E6A8A"/>
    <w:rsid w:val="007E6AB8"/>
    <w:rsid w:val="007F0D58"/>
    <w:rsid w:val="007F2109"/>
    <w:rsid w:val="007F21C5"/>
    <w:rsid w:val="007F3EF1"/>
    <w:rsid w:val="00800A2C"/>
    <w:rsid w:val="00801BCE"/>
    <w:rsid w:val="00802515"/>
    <w:rsid w:val="00807CD3"/>
    <w:rsid w:val="0081283F"/>
    <w:rsid w:val="0081480A"/>
    <w:rsid w:val="008202EB"/>
    <w:rsid w:val="008240D3"/>
    <w:rsid w:val="00827F88"/>
    <w:rsid w:val="008336A5"/>
    <w:rsid w:val="00835474"/>
    <w:rsid w:val="008373C0"/>
    <w:rsid w:val="008373CE"/>
    <w:rsid w:val="0084145F"/>
    <w:rsid w:val="00841DA2"/>
    <w:rsid w:val="008458F6"/>
    <w:rsid w:val="00845AED"/>
    <w:rsid w:val="0084708E"/>
    <w:rsid w:val="00851AE4"/>
    <w:rsid w:val="00854A15"/>
    <w:rsid w:val="0085598D"/>
    <w:rsid w:val="00862771"/>
    <w:rsid w:val="0086682F"/>
    <w:rsid w:val="00876F54"/>
    <w:rsid w:val="00877292"/>
    <w:rsid w:val="0087754A"/>
    <w:rsid w:val="0087766C"/>
    <w:rsid w:val="00880552"/>
    <w:rsid w:val="008835B2"/>
    <w:rsid w:val="008839DA"/>
    <w:rsid w:val="00884EE8"/>
    <w:rsid w:val="00885168"/>
    <w:rsid w:val="0088791A"/>
    <w:rsid w:val="0089173B"/>
    <w:rsid w:val="00891E76"/>
    <w:rsid w:val="0089220F"/>
    <w:rsid w:val="008935AA"/>
    <w:rsid w:val="008960BE"/>
    <w:rsid w:val="008963F0"/>
    <w:rsid w:val="008A03A5"/>
    <w:rsid w:val="008A0DF3"/>
    <w:rsid w:val="008A4138"/>
    <w:rsid w:val="008A5D96"/>
    <w:rsid w:val="008B5C93"/>
    <w:rsid w:val="008B6848"/>
    <w:rsid w:val="008C2FA1"/>
    <w:rsid w:val="008D2C4C"/>
    <w:rsid w:val="008D3D96"/>
    <w:rsid w:val="008D7E0D"/>
    <w:rsid w:val="008D7EDB"/>
    <w:rsid w:val="008E1829"/>
    <w:rsid w:val="008E2327"/>
    <w:rsid w:val="008E5077"/>
    <w:rsid w:val="008E64F0"/>
    <w:rsid w:val="008E6FF3"/>
    <w:rsid w:val="008E7B05"/>
    <w:rsid w:val="008F18ED"/>
    <w:rsid w:val="008F3C36"/>
    <w:rsid w:val="008F3EA1"/>
    <w:rsid w:val="008F46C2"/>
    <w:rsid w:val="009001FC"/>
    <w:rsid w:val="009020A8"/>
    <w:rsid w:val="00903D37"/>
    <w:rsid w:val="0091055D"/>
    <w:rsid w:val="00914C61"/>
    <w:rsid w:val="00917D6F"/>
    <w:rsid w:val="00921B1A"/>
    <w:rsid w:val="00921DDA"/>
    <w:rsid w:val="0092600D"/>
    <w:rsid w:val="00927D70"/>
    <w:rsid w:val="0093039D"/>
    <w:rsid w:val="00931E4F"/>
    <w:rsid w:val="0093364D"/>
    <w:rsid w:val="00934F31"/>
    <w:rsid w:val="00936574"/>
    <w:rsid w:val="00943BCE"/>
    <w:rsid w:val="00960346"/>
    <w:rsid w:val="009617D3"/>
    <w:rsid w:val="0096463B"/>
    <w:rsid w:val="00967869"/>
    <w:rsid w:val="00971F54"/>
    <w:rsid w:val="009725C5"/>
    <w:rsid w:val="00973F40"/>
    <w:rsid w:val="00973FDF"/>
    <w:rsid w:val="00983AA1"/>
    <w:rsid w:val="009849EF"/>
    <w:rsid w:val="00985618"/>
    <w:rsid w:val="00986DB7"/>
    <w:rsid w:val="00991937"/>
    <w:rsid w:val="009934CF"/>
    <w:rsid w:val="00994ABE"/>
    <w:rsid w:val="009A0D75"/>
    <w:rsid w:val="009A16AF"/>
    <w:rsid w:val="009A26BB"/>
    <w:rsid w:val="009A280C"/>
    <w:rsid w:val="009A347A"/>
    <w:rsid w:val="009A620E"/>
    <w:rsid w:val="009B548D"/>
    <w:rsid w:val="009B6A6F"/>
    <w:rsid w:val="009C1AFE"/>
    <w:rsid w:val="009C4081"/>
    <w:rsid w:val="009C5F24"/>
    <w:rsid w:val="009D048B"/>
    <w:rsid w:val="009D69C6"/>
    <w:rsid w:val="009D76CF"/>
    <w:rsid w:val="009E5419"/>
    <w:rsid w:val="009E5A6E"/>
    <w:rsid w:val="009F46DC"/>
    <w:rsid w:val="00A00F0B"/>
    <w:rsid w:val="00A01C00"/>
    <w:rsid w:val="00A112F7"/>
    <w:rsid w:val="00A11CAD"/>
    <w:rsid w:val="00A1620D"/>
    <w:rsid w:val="00A16AC0"/>
    <w:rsid w:val="00A23D31"/>
    <w:rsid w:val="00A24C9B"/>
    <w:rsid w:val="00A27D2B"/>
    <w:rsid w:val="00A301A7"/>
    <w:rsid w:val="00A30C34"/>
    <w:rsid w:val="00A30FD3"/>
    <w:rsid w:val="00A35E2F"/>
    <w:rsid w:val="00A37891"/>
    <w:rsid w:val="00A40A51"/>
    <w:rsid w:val="00A47916"/>
    <w:rsid w:val="00A536DA"/>
    <w:rsid w:val="00A53A13"/>
    <w:rsid w:val="00A571CD"/>
    <w:rsid w:val="00A57C3D"/>
    <w:rsid w:val="00A631F3"/>
    <w:rsid w:val="00A6697B"/>
    <w:rsid w:val="00A74C2D"/>
    <w:rsid w:val="00A76B34"/>
    <w:rsid w:val="00A83487"/>
    <w:rsid w:val="00A854FF"/>
    <w:rsid w:val="00A87035"/>
    <w:rsid w:val="00A8745D"/>
    <w:rsid w:val="00A90F9B"/>
    <w:rsid w:val="00A92694"/>
    <w:rsid w:val="00A93072"/>
    <w:rsid w:val="00A93E46"/>
    <w:rsid w:val="00A9629C"/>
    <w:rsid w:val="00AA35D5"/>
    <w:rsid w:val="00AA417B"/>
    <w:rsid w:val="00AA533F"/>
    <w:rsid w:val="00AA5A86"/>
    <w:rsid w:val="00AA70FB"/>
    <w:rsid w:val="00AB010D"/>
    <w:rsid w:val="00AB0749"/>
    <w:rsid w:val="00AB76D8"/>
    <w:rsid w:val="00AB7E6A"/>
    <w:rsid w:val="00AC1B61"/>
    <w:rsid w:val="00AC2C6E"/>
    <w:rsid w:val="00AC5D2C"/>
    <w:rsid w:val="00AC5EE6"/>
    <w:rsid w:val="00AD0D24"/>
    <w:rsid w:val="00AD1923"/>
    <w:rsid w:val="00AD2611"/>
    <w:rsid w:val="00AD3AC5"/>
    <w:rsid w:val="00AD3D57"/>
    <w:rsid w:val="00AE40B1"/>
    <w:rsid w:val="00AE44DA"/>
    <w:rsid w:val="00AE47BF"/>
    <w:rsid w:val="00AF6432"/>
    <w:rsid w:val="00AF79BD"/>
    <w:rsid w:val="00B014AE"/>
    <w:rsid w:val="00B044E6"/>
    <w:rsid w:val="00B049CE"/>
    <w:rsid w:val="00B07F12"/>
    <w:rsid w:val="00B1415B"/>
    <w:rsid w:val="00B15278"/>
    <w:rsid w:val="00B234EC"/>
    <w:rsid w:val="00B274AE"/>
    <w:rsid w:val="00B274BF"/>
    <w:rsid w:val="00B31222"/>
    <w:rsid w:val="00B42E81"/>
    <w:rsid w:val="00B4329D"/>
    <w:rsid w:val="00B443F5"/>
    <w:rsid w:val="00B520F9"/>
    <w:rsid w:val="00B52812"/>
    <w:rsid w:val="00B5495A"/>
    <w:rsid w:val="00B577A3"/>
    <w:rsid w:val="00B6258B"/>
    <w:rsid w:val="00B64641"/>
    <w:rsid w:val="00B67D38"/>
    <w:rsid w:val="00B7262F"/>
    <w:rsid w:val="00B727C5"/>
    <w:rsid w:val="00B73FD4"/>
    <w:rsid w:val="00B74FC5"/>
    <w:rsid w:val="00B75A6C"/>
    <w:rsid w:val="00B82F2D"/>
    <w:rsid w:val="00B83E2A"/>
    <w:rsid w:val="00B83E38"/>
    <w:rsid w:val="00B85DF3"/>
    <w:rsid w:val="00B86C19"/>
    <w:rsid w:val="00B90C6C"/>
    <w:rsid w:val="00B92EDF"/>
    <w:rsid w:val="00B93510"/>
    <w:rsid w:val="00B93E33"/>
    <w:rsid w:val="00B954F3"/>
    <w:rsid w:val="00B95BCD"/>
    <w:rsid w:val="00B95CDC"/>
    <w:rsid w:val="00B95CE5"/>
    <w:rsid w:val="00BA0D0B"/>
    <w:rsid w:val="00BA0ED5"/>
    <w:rsid w:val="00BA3B4C"/>
    <w:rsid w:val="00BB375D"/>
    <w:rsid w:val="00BB49A0"/>
    <w:rsid w:val="00BB515F"/>
    <w:rsid w:val="00BB748F"/>
    <w:rsid w:val="00BC1FA5"/>
    <w:rsid w:val="00BC2C0C"/>
    <w:rsid w:val="00BC732A"/>
    <w:rsid w:val="00BC758B"/>
    <w:rsid w:val="00BD181B"/>
    <w:rsid w:val="00BD2EAC"/>
    <w:rsid w:val="00BD4BB3"/>
    <w:rsid w:val="00BD5CDF"/>
    <w:rsid w:val="00BD736E"/>
    <w:rsid w:val="00BE17C6"/>
    <w:rsid w:val="00BE2BD3"/>
    <w:rsid w:val="00BE4865"/>
    <w:rsid w:val="00BE69BF"/>
    <w:rsid w:val="00BE725A"/>
    <w:rsid w:val="00BE7430"/>
    <w:rsid w:val="00BE7B48"/>
    <w:rsid w:val="00BF3381"/>
    <w:rsid w:val="00BF7FB2"/>
    <w:rsid w:val="00C037E3"/>
    <w:rsid w:val="00C105B6"/>
    <w:rsid w:val="00C10FCF"/>
    <w:rsid w:val="00C16B4B"/>
    <w:rsid w:val="00C17427"/>
    <w:rsid w:val="00C20C00"/>
    <w:rsid w:val="00C210FD"/>
    <w:rsid w:val="00C21437"/>
    <w:rsid w:val="00C21EB2"/>
    <w:rsid w:val="00C22901"/>
    <w:rsid w:val="00C22F6B"/>
    <w:rsid w:val="00C25238"/>
    <w:rsid w:val="00C26AC5"/>
    <w:rsid w:val="00C305F2"/>
    <w:rsid w:val="00C3345C"/>
    <w:rsid w:val="00C407E5"/>
    <w:rsid w:val="00C42DAC"/>
    <w:rsid w:val="00C4342B"/>
    <w:rsid w:val="00C459A9"/>
    <w:rsid w:val="00C502A5"/>
    <w:rsid w:val="00C5201C"/>
    <w:rsid w:val="00C521F7"/>
    <w:rsid w:val="00C53008"/>
    <w:rsid w:val="00C55151"/>
    <w:rsid w:val="00C558FF"/>
    <w:rsid w:val="00C560FA"/>
    <w:rsid w:val="00C570C5"/>
    <w:rsid w:val="00C57FF9"/>
    <w:rsid w:val="00C64434"/>
    <w:rsid w:val="00C669E6"/>
    <w:rsid w:val="00C7063C"/>
    <w:rsid w:val="00C73C57"/>
    <w:rsid w:val="00C73E24"/>
    <w:rsid w:val="00C74D43"/>
    <w:rsid w:val="00C75CA7"/>
    <w:rsid w:val="00C8079B"/>
    <w:rsid w:val="00C901BB"/>
    <w:rsid w:val="00C90CD3"/>
    <w:rsid w:val="00C92552"/>
    <w:rsid w:val="00C93F1B"/>
    <w:rsid w:val="00C976D1"/>
    <w:rsid w:val="00CA71D4"/>
    <w:rsid w:val="00CB4339"/>
    <w:rsid w:val="00CB5D29"/>
    <w:rsid w:val="00CB675A"/>
    <w:rsid w:val="00CB782B"/>
    <w:rsid w:val="00CC0E77"/>
    <w:rsid w:val="00CC2092"/>
    <w:rsid w:val="00CC5588"/>
    <w:rsid w:val="00CC5E76"/>
    <w:rsid w:val="00CC7B01"/>
    <w:rsid w:val="00CD3A5D"/>
    <w:rsid w:val="00CD5FD4"/>
    <w:rsid w:val="00CE0DCE"/>
    <w:rsid w:val="00CE1BC9"/>
    <w:rsid w:val="00CE33C1"/>
    <w:rsid w:val="00CE4DD6"/>
    <w:rsid w:val="00CE76FF"/>
    <w:rsid w:val="00CF3772"/>
    <w:rsid w:val="00CF4012"/>
    <w:rsid w:val="00CF5C25"/>
    <w:rsid w:val="00D02BC6"/>
    <w:rsid w:val="00D02F4D"/>
    <w:rsid w:val="00D0310D"/>
    <w:rsid w:val="00D05803"/>
    <w:rsid w:val="00D05C7C"/>
    <w:rsid w:val="00D06906"/>
    <w:rsid w:val="00D07742"/>
    <w:rsid w:val="00D1276A"/>
    <w:rsid w:val="00D14DB7"/>
    <w:rsid w:val="00D15ED5"/>
    <w:rsid w:val="00D22B6A"/>
    <w:rsid w:val="00D348F7"/>
    <w:rsid w:val="00D3703D"/>
    <w:rsid w:val="00D40BC3"/>
    <w:rsid w:val="00D434EC"/>
    <w:rsid w:val="00D44E9D"/>
    <w:rsid w:val="00D472A7"/>
    <w:rsid w:val="00D5190D"/>
    <w:rsid w:val="00D61A0E"/>
    <w:rsid w:val="00D66177"/>
    <w:rsid w:val="00D71CF9"/>
    <w:rsid w:val="00D75FF9"/>
    <w:rsid w:val="00D80F9D"/>
    <w:rsid w:val="00D81BAE"/>
    <w:rsid w:val="00D849DD"/>
    <w:rsid w:val="00D84B17"/>
    <w:rsid w:val="00D8507D"/>
    <w:rsid w:val="00D86735"/>
    <w:rsid w:val="00D8718E"/>
    <w:rsid w:val="00D871FB"/>
    <w:rsid w:val="00D87BB9"/>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C77C8"/>
    <w:rsid w:val="00DD1107"/>
    <w:rsid w:val="00DD178F"/>
    <w:rsid w:val="00DD1FE4"/>
    <w:rsid w:val="00DE2966"/>
    <w:rsid w:val="00DE4107"/>
    <w:rsid w:val="00DF0B5E"/>
    <w:rsid w:val="00DF0ED5"/>
    <w:rsid w:val="00DF2FD1"/>
    <w:rsid w:val="00DF72D9"/>
    <w:rsid w:val="00DF7EC8"/>
    <w:rsid w:val="00E028ED"/>
    <w:rsid w:val="00E03B74"/>
    <w:rsid w:val="00E07C24"/>
    <w:rsid w:val="00E104F6"/>
    <w:rsid w:val="00E10748"/>
    <w:rsid w:val="00E12F57"/>
    <w:rsid w:val="00E14282"/>
    <w:rsid w:val="00E27DDF"/>
    <w:rsid w:val="00E27E01"/>
    <w:rsid w:val="00E30A90"/>
    <w:rsid w:val="00E32DBA"/>
    <w:rsid w:val="00E350F4"/>
    <w:rsid w:val="00E36F2F"/>
    <w:rsid w:val="00E43469"/>
    <w:rsid w:val="00E445DA"/>
    <w:rsid w:val="00E45379"/>
    <w:rsid w:val="00E50B22"/>
    <w:rsid w:val="00E51E18"/>
    <w:rsid w:val="00E533BD"/>
    <w:rsid w:val="00E53706"/>
    <w:rsid w:val="00E573C6"/>
    <w:rsid w:val="00E57CE2"/>
    <w:rsid w:val="00E617BD"/>
    <w:rsid w:val="00E70503"/>
    <w:rsid w:val="00E705B4"/>
    <w:rsid w:val="00E72967"/>
    <w:rsid w:val="00E8155D"/>
    <w:rsid w:val="00E86361"/>
    <w:rsid w:val="00E90C37"/>
    <w:rsid w:val="00EA0E04"/>
    <w:rsid w:val="00EA220D"/>
    <w:rsid w:val="00EA3156"/>
    <w:rsid w:val="00EA40A2"/>
    <w:rsid w:val="00EA4CD5"/>
    <w:rsid w:val="00EA5D2C"/>
    <w:rsid w:val="00EA5D8E"/>
    <w:rsid w:val="00EA68DA"/>
    <w:rsid w:val="00EB07CF"/>
    <w:rsid w:val="00EB3B88"/>
    <w:rsid w:val="00EC0252"/>
    <w:rsid w:val="00EC3B8F"/>
    <w:rsid w:val="00EC5538"/>
    <w:rsid w:val="00EC5CA0"/>
    <w:rsid w:val="00EC7372"/>
    <w:rsid w:val="00ED30E8"/>
    <w:rsid w:val="00ED3B69"/>
    <w:rsid w:val="00ED6CD1"/>
    <w:rsid w:val="00EE5F2E"/>
    <w:rsid w:val="00EF4A64"/>
    <w:rsid w:val="00F00407"/>
    <w:rsid w:val="00F02171"/>
    <w:rsid w:val="00F033EF"/>
    <w:rsid w:val="00F061A6"/>
    <w:rsid w:val="00F107AF"/>
    <w:rsid w:val="00F11AB3"/>
    <w:rsid w:val="00F15D77"/>
    <w:rsid w:val="00F20633"/>
    <w:rsid w:val="00F218DA"/>
    <w:rsid w:val="00F23E81"/>
    <w:rsid w:val="00F25CFE"/>
    <w:rsid w:val="00F35243"/>
    <w:rsid w:val="00F4018F"/>
    <w:rsid w:val="00F43E6E"/>
    <w:rsid w:val="00F44423"/>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84ACB"/>
    <w:rsid w:val="00F86A17"/>
    <w:rsid w:val="00F9173A"/>
    <w:rsid w:val="00F91800"/>
    <w:rsid w:val="00F94E99"/>
    <w:rsid w:val="00F9650A"/>
    <w:rsid w:val="00F967C7"/>
    <w:rsid w:val="00FA0437"/>
    <w:rsid w:val="00FA233F"/>
    <w:rsid w:val="00FA2E05"/>
    <w:rsid w:val="00FA7D57"/>
    <w:rsid w:val="00FB0008"/>
    <w:rsid w:val="00FB071C"/>
    <w:rsid w:val="00FB3EA0"/>
    <w:rsid w:val="00FB4127"/>
    <w:rsid w:val="00FB55F4"/>
    <w:rsid w:val="00FC0B63"/>
    <w:rsid w:val="00FC2209"/>
    <w:rsid w:val="00FC61B2"/>
    <w:rsid w:val="00FC7531"/>
    <w:rsid w:val="00FC7EAA"/>
    <w:rsid w:val="00FD4FA5"/>
    <w:rsid w:val="00FD5166"/>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F78530F-2599-41F5-8BD2-34AB21ED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semiHidden/>
    <w:unhideWhenUsed/>
    <w:rsid w:val="00B049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5285858">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artados.hacienda.gob.mx/contabilidad/documentos/informe_cuenta/1998/cuenta_publica/Glosario/b.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2.scjn.gob.mx/ConsultaTematica/PaginasPub/DetallePub.aspx?AsuntoID=187344"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hyperlink" Target="https://www.osfem.gob.mx/04_Normatividad/doc/Normatividad/2018/03_LinElabyPresInfoMenMpal18.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459B-12DE-4AE8-9AB6-6114B10C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37</Pages>
  <Words>9426</Words>
  <Characters>51844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Silvia Rita Paz Arellano</cp:lastModifiedBy>
  <cp:revision>34</cp:revision>
  <cp:lastPrinted>2018-11-20T21:12:00Z</cp:lastPrinted>
  <dcterms:created xsi:type="dcterms:W3CDTF">2018-11-08T20:21:00Z</dcterms:created>
  <dcterms:modified xsi:type="dcterms:W3CDTF">2018-11-29T17:50:00Z</dcterms:modified>
</cp:coreProperties>
</file>