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rsidTr="00264223">
        <w:trPr>
          <w:trHeight w:val="144"/>
        </w:trPr>
        <w:tc>
          <w:tcPr>
            <w:tcW w:w="2869" w:type="dxa"/>
          </w:tcPr>
          <w:p w:rsidR="00264223" w:rsidRPr="00985849" w:rsidRDefault="00264223" w:rsidP="00985849">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rsidR="00264223" w:rsidRPr="00985849" w:rsidRDefault="00A9024A" w:rsidP="00985849">
            <w:pPr>
              <w:tabs>
                <w:tab w:val="right" w:pos="8838"/>
              </w:tabs>
              <w:spacing w:line="360" w:lineRule="auto"/>
              <w:ind w:left="-28" w:right="17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03711</w:t>
            </w:r>
            <w:r w:rsidR="00264223" w:rsidRPr="00985849">
              <w:rPr>
                <w:rFonts w:ascii="Palatino Linotype" w:eastAsia="Calibri" w:hAnsi="Palatino Linotype" w:cs="Tahoma"/>
                <w:bCs/>
                <w:sz w:val="22"/>
                <w:szCs w:val="22"/>
                <w:lang w:eastAsia="en-US"/>
              </w:rPr>
              <w:t>/INFOEM/IP/RR/2018</w:t>
            </w:r>
          </w:p>
        </w:tc>
      </w:tr>
      <w:tr w:rsidR="00264223" w:rsidRPr="00985849" w:rsidTr="00264223">
        <w:trPr>
          <w:trHeight w:val="144"/>
        </w:trPr>
        <w:tc>
          <w:tcPr>
            <w:tcW w:w="2869" w:type="dxa"/>
          </w:tcPr>
          <w:p w:rsidR="00264223" w:rsidRPr="00985849" w:rsidRDefault="00264223" w:rsidP="00985849">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rsidR="00264223" w:rsidRPr="00985849" w:rsidRDefault="00FE5418" w:rsidP="00985849">
            <w:pPr>
              <w:tabs>
                <w:tab w:val="right" w:pos="8838"/>
              </w:tabs>
              <w:spacing w:line="360" w:lineRule="auto"/>
              <w:ind w:right="171"/>
              <w:jc w:val="both"/>
              <w:rPr>
                <w:rFonts w:ascii="Palatino Linotype" w:eastAsia="Calibri" w:hAnsi="Palatino Linotype" w:cs="Tahoma"/>
                <w:sz w:val="22"/>
                <w:szCs w:val="22"/>
                <w:lang w:val="es-MX" w:eastAsia="en-US"/>
              </w:rPr>
            </w:pPr>
            <w:r w:rsidRPr="00FE5418">
              <w:rPr>
                <w:rFonts w:ascii="Palatino Linotype" w:eastAsia="Calibri" w:hAnsi="Palatino Linotype" w:cs="Tahoma"/>
                <w:sz w:val="22"/>
                <w:szCs w:val="22"/>
                <w:highlight w:val="black"/>
                <w:lang w:val="es-MX" w:eastAsia="en-US"/>
              </w:rPr>
              <w:t>-----------------------------------</w:t>
            </w:r>
          </w:p>
        </w:tc>
      </w:tr>
      <w:tr w:rsidR="00264223" w:rsidRPr="00985849" w:rsidTr="00264223">
        <w:trPr>
          <w:trHeight w:val="283"/>
        </w:trPr>
        <w:tc>
          <w:tcPr>
            <w:tcW w:w="2869" w:type="dxa"/>
          </w:tcPr>
          <w:p w:rsidR="00264223" w:rsidRPr="00985849" w:rsidRDefault="00956793" w:rsidP="00985849">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rsidR="00264223" w:rsidRPr="00985849" w:rsidRDefault="00264223" w:rsidP="00985849">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Ayuntamiento</w:t>
            </w:r>
            <w:r w:rsidR="00026EBB" w:rsidRPr="00985849">
              <w:rPr>
                <w:rFonts w:ascii="Palatino Linotype" w:eastAsia="Calibri" w:hAnsi="Palatino Linotype" w:cs="Tahoma"/>
                <w:sz w:val="22"/>
                <w:szCs w:val="22"/>
                <w:lang w:val="es-MX" w:eastAsia="en-US"/>
              </w:rPr>
              <w:t xml:space="preserve"> de </w:t>
            </w:r>
            <w:r w:rsidR="007128E9" w:rsidRPr="00985849">
              <w:rPr>
                <w:rFonts w:ascii="Palatino Linotype" w:eastAsia="Calibri" w:hAnsi="Palatino Linotype" w:cs="Tahoma"/>
                <w:sz w:val="22"/>
                <w:szCs w:val="22"/>
                <w:lang w:val="es-MX" w:eastAsia="en-US"/>
              </w:rPr>
              <w:t>Tultitlá</w:t>
            </w:r>
            <w:r w:rsidR="00A9024A" w:rsidRPr="00985849">
              <w:rPr>
                <w:rFonts w:ascii="Palatino Linotype" w:eastAsia="Calibri" w:hAnsi="Palatino Linotype" w:cs="Tahoma"/>
                <w:sz w:val="22"/>
                <w:szCs w:val="22"/>
                <w:lang w:val="es-MX" w:eastAsia="en-US"/>
              </w:rPr>
              <w:t>n</w:t>
            </w:r>
          </w:p>
        </w:tc>
      </w:tr>
      <w:tr w:rsidR="00264223" w:rsidRPr="00985849" w:rsidTr="00264223">
        <w:trPr>
          <w:trHeight w:val="283"/>
        </w:trPr>
        <w:tc>
          <w:tcPr>
            <w:tcW w:w="2869" w:type="dxa"/>
          </w:tcPr>
          <w:p w:rsidR="00264223" w:rsidRPr="00985849" w:rsidRDefault="00264223" w:rsidP="00985849">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rsidR="00264223" w:rsidRPr="00985849" w:rsidRDefault="00264223" w:rsidP="00985849">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rsidR="00B6258B" w:rsidRPr="00985849" w:rsidRDefault="00B6258B" w:rsidP="00985849">
      <w:pPr>
        <w:spacing w:line="360" w:lineRule="auto"/>
        <w:jc w:val="both"/>
        <w:rPr>
          <w:rFonts w:ascii="Palatino Linotype" w:hAnsi="Palatino Linotype" w:cs="Tahoma"/>
          <w:bCs/>
          <w:sz w:val="22"/>
          <w:szCs w:val="22"/>
        </w:rPr>
      </w:pPr>
    </w:p>
    <w:p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9024A" w:rsidRPr="00985849">
        <w:rPr>
          <w:rFonts w:ascii="Palatino Linotype" w:hAnsi="Palatino Linotype" w:cs="Tahoma"/>
          <w:bCs/>
          <w:sz w:val="22"/>
          <w:szCs w:val="22"/>
        </w:rPr>
        <w:t>catorce</w:t>
      </w:r>
      <w:r w:rsidR="00026EBB" w:rsidRPr="00985849">
        <w:rPr>
          <w:rFonts w:ascii="Palatino Linotype" w:hAnsi="Palatino Linotype" w:cs="Tahoma"/>
          <w:bCs/>
          <w:sz w:val="22"/>
          <w:szCs w:val="22"/>
        </w:rPr>
        <w:t xml:space="preserve"> </w:t>
      </w:r>
      <w:r w:rsidR="00492DCA" w:rsidRPr="00985849">
        <w:rPr>
          <w:rFonts w:ascii="Palatino Linotype" w:hAnsi="Palatino Linotype" w:cs="Tahoma"/>
          <w:bCs/>
          <w:sz w:val="22"/>
          <w:szCs w:val="22"/>
        </w:rPr>
        <w:t xml:space="preserve">de </w:t>
      </w:r>
      <w:r w:rsidR="00026EBB" w:rsidRPr="00985849">
        <w:rPr>
          <w:rFonts w:ascii="Palatino Linotype" w:hAnsi="Palatino Linotype" w:cs="Tahoma"/>
          <w:bCs/>
          <w:sz w:val="22"/>
          <w:szCs w:val="22"/>
        </w:rPr>
        <w:t xml:space="preserve">noviembre </w:t>
      </w:r>
      <w:r w:rsidRPr="00985849">
        <w:rPr>
          <w:rFonts w:ascii="Palatino Linotype" w:hAnsi="Palatino Linotype" w:cs="Tahoma"/>
          <w:bCs/>
          <w:sz w:val="22"/>
          <w:szCs w:val="22"/>
        </w:rPr>
        <w:t>de dos mil dieciocho.</w:t>
      </w:r>
    </w:p>
    <w:p w:rsidR="00492DCA" w:rsidRPr="00985849" w:rsidRDefault="00492DCA" w:rsidP="00985849">
      <w:pPr>
        <w:spacing w:line="360" w:lineRule="auto"/>
        <w:jc w:val="both"/>
        <w:rPr>
          <w:rFonts w:ascii="Palatino Linotype" w:hAnsi="Palatino Linotype"/>
          <w:noProof/>
          <w:sz w:val="22"/>
          <w:szCs w:val="22"/>
          <w:lang w:val="es-ES"/>
        </w:rPr>
      </w:pPr>
    </w:p>
    <w:p w:rsidR="00400FDE" w:rsidRPr="00985849" w:rsidRDefault="00575DE3" w:rsidP="00985849">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A9024A" w:rsidRPr="00985849">
        <w:rPr>
          <w:rFonts w:ascii="Palatino Linotype" w:hAnsi="Palatino Linotype" w:cs="Tahoma"/>
          <w:b/>
          <w:bCs/>
          <w:color w:val="0D0D0D" w:themeColor="text1" w:themeTint="F2"/>
          <w:sz w:val="22"/>
          <w:szCs w:val="22"/>
        </w:rPr>
        <w:t>03711</w:t>
      </w:r>
      <w:r w:rsidR="006C1B1D" w:rsidRPr="00985849">
        <w:rPr>
          <w:rFonts w:ascii="Palatino Linotype" w:hAnsi="Palatino Linotype" w:cs="Tahoma"/>
          <w:b/>
          <w:bCs/>
          <w:color w:val="0D0D0D" w:themeColor="text1" w:themeTint="F2"/>
          <w:sz w:val="22"/>
          <w:szCs w:val="22"/>
        </w:rPr>
        <w:t>/</w:t>
      </w:r>
      <w:r w:rsidR="002A0FB8" w:rsidRPr="00985849">
        <w:rPr>
          <w:rFonts w:ascii="Palatino Linotype" w:hAnsi="Palatino Linotype" w:cs="Tahoma"/>
          <w:b/>
          <w:bCs/>
          <w:color w:val="0D0D0D" w:themeColor="text1" w:themeTint="F2"/>
          <w:sz w:val="22"/>
          <w:szCs w:val="22"/>
        </w:rPr>
        <w:t>INFOEM</w:t>
      </w:r>
      <w:r w:rsidR="006C1B1D" w:rsidRPr="00985849">
        <w:rPr>
          <w:rFonts w:ascii="Palatino Linotype" w:hAnsi="Palatino Linotype" w:cs="Tahoma"/>
          <w:b/>
          <w:bCs/>
          <w:color w:val="0D0D0D" w:themeColor="text1" w:themeTint="F2"/>
          <w:sz w:val="22"/>
          <w:szCs w:val="22"/>
        </w:rPr>
        <w:t>/IP/2018</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sidR="00FE5418" w:rsidRPr="00FE5418">
        <w:rPr>
          <w:rFonts w:ascii="Palatino Linotype" w:hAnsi="Palatino Linotype" w:cs="Tahoma"/>
          <w:b/>
          <w:bCs/>
          <w:color w:val="0D0D0D" w:themeColor="text1" w:themeTint="F2"/>
          <w:sz w:val="22"/>
          <w:szCs w:val="22"/>
          <w:highlight w:val="black"/>
        </w:rPr>
        <w:t>-----------------------------------</w:t>
      </w:r>
      <w:r w:rsidR="000A238F" w:rsidRPr="00985849">
        <w:rPr>
          <w:rFonts w:ascii="Palatino Linotype" w:hAnsi="Palatino Linotype" w:cs="Tahoma"/>
          <w:bCs/>
          <w:color w:val="0D0D0D" w:themeColor="text1" w:themeTint="F2"/>
          <w:sz w:val="22"/>
          <w:szCs w:val="22"/>
        </w:rPr>
        <w:t>, en lo sucesivo recurrente o particular,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956793">
        <w:rPr>
          <w:rFonts w:ascii="Palatino Linotype" w:hAnsi="Palatino Linotype" w:cs="Tahoma"/>
          <w:bCs/>
          <w:color w:val="0D0D0D" w:themeColor="text1" w:themeTint="F2"/>
          <w:sz w:val="22"/>
          <w:szCs w:val="22"/>
        </w:rPr>
        <w:t>Sujeto Obligado</w:t>
      </w:r>
      <w:r w:rsidR="003C5742">
        <w:rPr>
          <w:rFonts w:ascii="Palatino Linotype" w:hAnsi="Palatino Linotype" w:cs="Tahoma"/>
          <w:bCs/>
          <w:color w:val="0D0D0D" w:themeColor="text1" w:themeTint="F2"/>
          <w:sz w:val="22"/>
          <w:szCs w:val="22"/>
        </w:rPr>
        <w:t>,</w:t>
      </w:r>
      <w:r w:rsidR="002A0FB8"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Ayuntamiento de</w:t>
      </w:r>
      <w:r w:rsidR="00A9024A" w:rsidRPr="00985849">
        <w:rPr>
          <w:rFonts w:ascii="Palatino Linotype" w:hAnsi="Palatino Linotype" w:cs="Tahoma"/>
          <w:bCs/>
          <w:color w:val="0D0D0D" w:themeColor="text1" w:themeTint="F2"/>
          <w:sz w:val="22"/>
          <w:szCs w:val="22"/>
        </w:rPr>
        <w:t xml:space="preserve"> Tultitlán</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9024A" w:rsidRPr="00985849">
        <w:rPr>
          <w:rFonts w:ascii="Palatino Linotype" w:hAnsi="Palatino Linotype" w:cs="Tahoma"/>
          <w:szCs w:val="22"/>
        </w:rPr>
        <w:t xml:space="preserve"> tres de septiembre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A9024A" w:rsidRPr="00985849">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Ayuntamiento de </w:t>
      </w:r>
      <w:r w:rsidR="00A9024A" w:rsidRPr="00985849">
        <w:rPr>
          <w:rFonts w:ascii="Palatino Linotype" w:hAnsi="Palatino Linotype" w:cs="Tahoma"/>
          <w:szCs w:val="22"/>
        </w:rPr>
        <w:t>Tultitlán</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rsidR="00634CEB" w:rsidRPr="00985849"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rsidR="00C55151" w:rsidRPr="00985849" w:rsidRDefault="00A9024A"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985849">
        <w:rPr>
          <w:rFonts w:ascii="Palatino Linotype" w:hAnsi="Palatino Linotype" w:cs="Tahoma"/>
          <w:b/>
          <w:bCs/>
        </w:rPr>
        <w:t xml:space="preserve">. </w:t>
      </w:r>
      <w:r w:rsidR="00C55151" w:rsidRPr="00985849">
        <w:rPr>
          <w:rFonts w:ascii="Palatino Linotype" w:hAnsi="Palatino Linotype" w:cs="Tahoma"/>
          <w:bCs/>
        </w:rPr>
        <w:t>(</w:t>
      </w:r>
      <w:r w:rsidR="00C55151" w:rsidRPr="00985849">
        <w:rPr>
          <w:rFonts w:ascii="Palatino Linotype" w:hAnsi="Palatino Linotype" w:cs="Tahoma"/>
          <w:bCs/>
          <w:i/>
        </w:rPr>
        <w:t>Sic.</w:t>
      </w:r>
      <w:r w:rsidR="00C55151" w:rsidRPr="00985849">
        <w:rPr>
          <w:rFonts w:ascii="Palatino Linotype" w:hAnsi="Palatino Linotype" w:cs="Tahoma"/>
          <w:bCs/>
        </w:rPr>
        <w:t>)</w:t>
      </w:r>
    </w:p>
    <w:p w:rsidR="00026EBB" w:rsidRDefault="00026EBB" w:rsidP="00985849">
      <w:pPr>
        <w:tabs>
          <w:tab w:val="left" w:pos="4667"/>
        </w:tabs>
        <w:spacing w:line="360" w:lineRule="auto"/>
        <w:ind w:left="567" w:right="567"/>
        <w:jc w:val="both"/>
        <w:rPr>
          <w:rFonts w:ascii="Palatino Linotype" w:hAnsi="Palatino Linotype" w:cs="Tahoma"/>
          <w:bCs/>
          <w:sz w:val="22"/>
          <w:szCs w:val="22"/>
        </w:rPr>
      </w:pPr>
    </w:p>
    <w:p w:rsidR="0098795A" w:rsidRPr="00985849" w:rsidRDefault="0098795A" w:rsidP="00985849">
      <w:pPr>
        <w:tabs>
          <w:tab w:val="left" w:pos="4667"/>
        </w:tabs>
        <w:spacing w:line="360" w:lineRule="auto"/>
        <w:ind w:left="567" w:right="567"/>
        <w:jc w:val="both"/>
        <w:rPr>
          <w:rFonts w:ascii="Palatino Linotype" w:hAnsi="Palatino Linotype" w:cs="Tahoma"/>
          <w:bCs/>
          <w:sz w:val="22"/>
          <w:szCs w:val="22"/>
        </w:rPr>
      </w:pPr>
    </w:p>
    <w:p w:rsidR="007A2F67" w:rsidRPr="00985849" w:rsidRDefault="000C27CA"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lastRenderedPageBreak/>
        <w:t>MODALIDAD DE ENTREGA</w:t>
      </w:r>
    </w:p>
    <w:p w:rsidR="00492DCA" w:rsidRPr="00985849" w:rsidRDefault="00026EBB"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r w:rsidR="00EA68DA" w:rsidRPr="00985849">
        <w:rPr>
          <w:rFonts w:ascii="Palatino Linotype" w:hAnsi="Palatino Linotype" w:cs="Tahoma"/>
          <w:bCs/>
        </w:rPr>
        <w:t>.</w:t>
      </w:r>
    </w:p>
    <w:p w:rsidR="00492DCA" w:rsidRPr="00985849" w:rsidRDefault="00492DCA" w:rsidP="00985849">
      <w:pPr>
        <w:spacing w:line="360" w:lineRule="auto"/>
        <w:rPr>
          <w:rFonts w:ascii="Palatino Linotype" w:hAnsi="Palatino Linotype" w:cs="Tahoma"/>
          <w:bCs/>
          <w:sz w:val="22"/>
          <w:szCs w:val="22"/>
        </w:rPr>
      </w:pPr>
    </w:p>
    <w:p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Ayuntamiento de </w:t>
      </w:r>
      <w:r w:rsidR="00A9024A" w:rsidRPr="00985849">
        <w:rPr>
          <w:rFonts w:ascii="Palatino Linotype" w:hAnsi="Palatino Linotype" w:cs="Tahoma"/>
          <w:b/>
          <w:sz w:val="22"/>
          <w:szCs w:val="22"/>
          <w:lang w:val="es-ES"/>
        </w:rPr>
        <w:t xml:space="preserve">Tultitlán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A9024A" w:rsidRPr="00985849">
        <w:rPr>
          <w:rFonts w:ascii="Palatino Linotype" w:hAnsi="Palatino Linotype" w:cs="Tahoma"/>
          <w:b/>
          <w:sz w:val="22"/>
          <w:szCs w:val="22"/>
          <w:lang w:val="es-ES"/>
        </w:rPr>
        <w:t xml:space="preserve">00106/TULTITLA/IP/2018, </w:t>
      </w:r>
      <w:r w:rsidR="0098795A">
        <w:rPr>
          <w:rFonts w:ascii="Palatino Linotype" w:hAnsi="Palatino Linotype" w:cs="Tahoma"/>
          <w:sz w:val="22"/>
          <w:szCs w:val="22"/>
          <w:lang w:val="es-ES"/>
        </w:rPr>
        <w:t>asimismo, se advierte</w:t>
      </w:r>
      <w:r w:rsidR="00A9024A" w:rsidRPr="00985849">
        <w:rPr>
          <w:rFonts w:ascii="Palatino Linotype" w:hAnsi="Palatino Linotype" w:cs="Tahoma"/>
          <w:sz w:val="22"/>
          <w:szCs w:val="22"/>
          <w:lang w:val="es-ES"/>
        </w:rPr>
        <w:t xml:space="preserve"> que turn</w:t>
      </w:r>
      <w:r w:rsidR="0098795A">
        <w:rPr>
          <w:rFonts w:ascii="Palatino Linotype" w:hAnsi="Palatino Linotype" w:cs="Tahoma"/>
          <w:sz w:val="22"/>
          <w:szCs w:val="22"/>
          <w:lang w:val="es-ES"/>
        </w:rPr>
        <w:t>ó</w:t>
      </w:r>
      <w:r w:rsidR="00A9024A" w:rsidRPr="00985849">
        <w:rPr>
          <w:rFonts w:ascii="Palatino Linotype" w:hAnsi="Palatino Linotype" w:cs="Tahoma"/>
          <w:sz w:val="22"/>
          <w:szCs w:val="22"/>
          <w:lang w:val="es-ES"/>
        </w:rPr>
        <w:t xml:space="preserve"> la solicitud a los </w:t>
      </w:r>
      <w:r w:rsidR="0098795A">
        <w:rPr>
          <w:rFonts w:ascii="Palatino Linotype" w:hAnsi="Palatino Linotype" w:cs="Tahoma"/>
          <w:sz w:val="22"/>
          <w:szCs w:val="22"/>
          <w:lang w:val="es-ES"/>
        </w:rPr>
        <w:t>S</w:t>
      </w:r>
      <w:r w:rsidR="00A9024A" w:rsidRPr="00985849">
        <w:rPr>
          <w:rFonts w:ascii="Palatino Linotype" w:hAnsi="Palatino Linotype" w:cs="Tahoma"/>
          <w:sz w:val="22"/>
          <w:szCs w:val="22"/>
          <w:lang w:val="es-ES"/>
        </w:rPr>
        <w:t xml:space="preserve">ervidores </w:t>
      </w:r>
      <w:r w:rsidR="0098795A">
        <w:rPr>
          <w:rFonts w:ascii="Palatino Linotype" w:hAnsi="Palatino Linotype" w:cs="Tahoma"/>
          <w:sz w:val="22"/>
          <w:szCs w:val="22"/>
          <w:lang w:val="es-ES"/>
        </w:rPr>
        <w:t>P</w:t>
      </w:r>
      <w:r w:rsidR="0098795A" w:rsidRPr="00985849">
        <w:rPr>
          <w:rFonts w:ascii="Palatino Linotype" w:hAnsi="Palatino Linotype" w:cs="Tahoma"/>
          <w:sz w:val="22"/>
          <w:szCs w:val="22"/>
          <w:lang w:val="es-ES"/>
        </w:rPr>
        <w:t xml:space="preserve">úblicos </w:t>
      </w:r>
      <w:r w:rsidR="0098795A">
        <w:rPr>
          <w:rFonts w:ascii="Palatino Linotype" w:hAnsi="Palatino Linotype" w:cs="Tahoma"/>
          <w:sz w:val="22"/>
          <w:szCs w:val="22"/>
          <w:lang w:val="es-ES"/>
        </w:rPr>
        <w:t>H</w:t>
      </w:r>
      <w:r w:rsidR="00A9024A" w:rsidRPr="00985849">
        <w:rPr>
          <w:rFonts w:ascii="Palatino Linotype" w:hAnsi="Palatino Linotype" w:cs="Tahoma"/>
          <w:sz w:val="22"/>
          <w:szCs w:val="22"/>
          <w:lang w:val="es-ES"/>
        </w:rPr>
        <w:t xml:space="preserve">abilitados, </w:t>
      </w:r>
      <w:r w:rsidR="0098795A">
        <w:rPr>
          <w:rFonts w:ascii="Palatino Linotype" w:hAnsi="Palatino Linotype" w:cs="Tahoma"/>
          <w:sz w:val="22"/>
          <w:szCs w:val="22"/>
          <w:lang w:val="es-ES"/>
        </w:rPr>
        <w:t xml:space="preserve"> de la Tesorería y Recursos Humanos, </w:t>
      </w:r>
      <w:r w:rsidR="00A9024A" w:rsidRPr="00985849">
        <w:rPr>
          <w:rFonts w:ascii="Palatino Linotype" w:hAnsi="Palatino Linotype" w:cs="Tahoma"/>
          <w:sz w:val="22"/>
          <w:szCs w:val="22"/>
          <w:lang w:val="es-ES"/>
        </w:rPr>
        <w:t>los cuales no emitieron respuesta alguna</w:t>
      </w:r>
      <w:r w:rsidR="0098795A">
        <w:rPr>
          <w:rFonts w:ascii="Palatino Linotype" w:hAnsi="Palatino Linotype" w:cs="Tahoma"/>
          <w:sz w:val="22"/>
          <w:szCs w:val="22"/>
          <w:lang w:val="es-ES"/>
        </w:rPr>
        <w:t xml:space="preserve"> y de la Contraloría quien respondió que la información no obra en sus archivos</w:t>
      </w:r>
      <w:r w:rsidR="00A9024A" w:rsidRPr="00985849">
        <w:rPr>
          <w:rFonts w:ascii="Palatino Linotype" w:hAnsi="Palatino Linotype" w:cs="Tahoma"/>
          <w:sz w:val="22"/>
          <w:szCs w:val="22"/>
          <w:lang w:val="es-ES"/>
        </w:rPr>
        <w:t>.</w:t>
      </w:r>
    </w:p>
    <w:p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fecha de dos de octubre</w:t>
      </w:r>
      <w:r w:rsidR="00C25238" w:rsidRPr="00985849">
        <w:rPr>
          <w:rFonts w:ascii="Palatino Linotype" w:hAnsi="Palatino Linotype" w:cs="Tahoma"/>
          <w:sz w:val="22"/>
          <w:szCs w:val="22"/>
        </w:rPr>
        <w:t xml:space="preserve"> de dos mil dieciocho,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 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rsidR="00C25238" w:rsidRPr="00985849" w:rsidRDefault="00B727C5"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rsidR="00CD3A5D" w:rsidRPr="00985849" w:rsidRDefault="00A9024A" w:rsidP="00985849">
      <w:pPr>
        <w:autoSpaceDE w:val="0"/>
        <w:autoSpaceDN w:val="0"/>
        <w:adjustRightInd w:val="0"/>
        <w:spacing w:line="360" w:lineRule="auto"/>
        <w:ind w:left="567" w:right="567"/>
        <w:jc w:val="both"/>
        <w:rPr>
          <w:rFonts w:ascii="Palatino Linotype" w:hAnsi="Palatino Linotype" w:cs="Tahoma"/>
        </w:rPr>
      </w:pPr>
      <w:proofErr w:type="gramStart"/>
      <w:r w:rsidRPr="00985849">
        <w:rPr>
          <w:rFonts w:ascii="Palatino Linotype" w:hAnsi="Palatino Linotype" w:cs="Tahoma"/>
        </w:rPr>
        <w:t>carece</w:t>
      </w:r>
      <w:proofErr w:type="gramEnd"/>
      <w:r w:rsidRPr="00985849">
        <w:rPr>
          <w:rFonts w:ascii="Palatino Linotype" w:hAnsi="Palatino Linotype" w:cs="Tahoma"/>
        </w:rPr>
        <w:t xml:space="preserve"> de respuesta mi solicitud</w:t>
      </w:r>
      <w:r w:rsidR="00026EBB" w:rsidRPr="00985849">
        <w:rPr>
          <w:rFonts w:ascii="Palatino Linotype" w:hAnsi="Palatino Linotype" w:cs="Tahoma"/>
        </w:rPr>
        <w:t>.</w:t>
      </w:r>
      <w:r w:rsidR="00B727C5" w:rsidRPr="00985849">
        <w:rPr>
          <w:rFonts w:ascii="Palatino Linotype" w:hAnsi="Palatino Linotype" w:cs="Tahoma"/>
        </w:rPr>
        <w:t>”</w:t>
      </w:r>
    </w:p>
    <w:p w:rsidR="000313A7" w:rsidRPr="00985849" w:rsidRDefault="000313A7" w:rsidP="00985849">
      <w:pPr>
        <w:autoSpaceDE w:val="0"/>
        <w:autoSpaceDN w:val="0"/>
        <w:adjustRightInd w:val="0"/>
        <w:spacing w:line="360" w:lineRule="auto"/>
        <w:ind w:left="567" w:right="567"/>
        <w:jc w:val="both"/>
        <w:rPr>
          <w:rFonts w:ascii="Palatino Linotype" w:hAnsi="Palatino Linotype" w:cs="Tahoma"/>
          <w:sz w:val="22"/>
          <w:szCs w:val="22"/>
        </w:rPr>
      </w:pPr>
    </w:p>
    <w:p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rsidR="00264223" w:rsidRPr="00985849" w:rsidRDefault="00A9024A" w:rsidP="00985849">
      <w:pPr>
        <w:autoSpaceDE w:val="0"/>
        <w:autoSpaceDN w:val="0"/>
        <w:adjustRightInd w:val="0"/>
        <w:spacing w:line="360" w:lineRule="auto"/>
        <w:ind w:left="567" w:right="567"/>
        <w:jc w:val="both"/>
        <w:rPr>
          <w:rFonts w:ascii="Palatino Linotype" w:hAnsi="Palatino Linotype" w:cs="Tahoma"/>
        </w:rPr>
      </w:pPr>
      <w:proofErr w:type="gramStart"/>
      <w:r w:rsidRPr="00985849">
        <w:rPr>
          <w:rFonts w:ascii="Palatino Linotype" w:hAnsi="Palatino Linotype" w:cs="Tahoma"/>
        </w:rPr>
        <w:t>no</w:t>
      </w:r>
      <w:proofErr w:type="gramEnd"/>
      <w:r w:rsidRPr="00985849">
        <w:rPr>
          <w:rFonts w:ascii="Palatino Linotype" w:hAnsi="Palatino Linotype" w:cs="Tahoma"/>
        </w:rPr>
        <w:t xml:space="preserve"> hay acceso a la información, ni respuesta del </w:t>
      </w:r>
      <w:r w:rsidR="00956793">
        <w:rPr>
          <w:rFonts w:ascii="Palatino Linotype" w:hAnsi="Palatino Linotype" w:cs="Tahoma"/>
        </w:rPr>
        <w:t>Sujeto Obligado</w:t>
      </w:r>
      <w:r w:rsidR="00026EBB" w:rsidRPr="00985849">
        <w:rPr>
          <w:rFonts w:ascii="Palatino Linotype" w:hAnsi="Palatino Linotype" w:cs="Tahoma"/>
        </w:rPr>
        <w:t>.</w:t>
      </w:r>
      <w:r w:rsidR="00B727C5" w:rsidRPr="00985849">
        <w:rPr>
          <w:rFonts w:ascii="Palatino Linotype" w:hAnsi="Palatino Linotype" w:cs="Tahoma"/>
        </w:rPr>
        <w:t>”</w:t>
      </w:r>
      <w:r w:rsidR="006C1B1D" w:rsidRPr="00985849">
        <w:rPr>
          <w:rFonts w:ascii="Palatino Linotype" w:hAnsi="Palatino Linotype" w:cs="Tahoma"/>
        </w:rPr>
        <w:t xml:space="preserve"> (</w:t>
      </w:r>
      <w:r w:rsidR="006C1B1D" w:rsidRPr="00985849">
        <w:rPr>
          <w:rFonts w:ascii="Palatino Linotype" w:hAnsi="Palatino Linotype" w:cs="Tahoma"/>
          <w:i/>
        </w:rPr>
        <w:t>Sic.</w:t>
      </w:r>
      <w:r w:rsidR="006C1B1D" w:rsidRPr="00985849">
        <w:rPr>
          <w:rFonts w:ascii="Palatino Linotype" w:hAnsi="Palatino Linotype" w:cs="Tahoma"/>
        </w:rPr>
        <w:t>)</w:t>
      </w:r>
    </w:p>
    <w:p w:rsidR="00D95C7A" w:rsidRDefault="00D95C7A" w:rsidP="00985849">
      <w:pPr>
        <w:autoSpaceDE w:val="0"/>
        <w:autoSpaceDN w:val="0"/>
        <w:adjustRightInd w:val="0"/>
        <w:spacing w:line="360" w:lineRule="auto"/>
        <w:ind w:left="567" w:right="567"/>
        <w:jc w:val="both"/>
        <w:rPr>
          <w:rFonts w:ascii="Palatino Linotype" w:hAnsi="Palatino Linotype" w:cs="Tahoma"/>
          <w:sz w:val="22"/>
          <w:szCs w:val="22"/>
        </w:rPr>
      </w:pPr>
    </w:p>
    <w:p w:rsidR="00B73823" w:rsidRDefault="00B73823" w:rsidP="00985849">
      <w:pPr>
        <w:autoSpaceDE w:val="0"/>
        <w:autoSpaceDN w:val="0"/>
        <w:adjustRightInd w:val="0"/>
        <w:spacing w:line="360" w:lineRule="auto"/>
        <w:ind w:left="567" w:right="567"/>
        <w:jc w:val="both"/>
        <w:rPr>
          <w:rFonts w:ascii="Palatino Linotype" w:hAnsi="Palatino Linotype" w:cs="Tahoma"/>
          <w:sz w:val="22"/>
          <w:szCs w:val="22"/>
        </w:rPr>
      </w:pPr>
    </w:p>
    <w:p w:rsidR="00B73823" w:rsidRPr="00985849" w:rsidRDefault="00B73823" w:rsidP="00985849">
      <w:pPr>
        <w:autoSpaceDE w:val="0"/>
        <w:autoSpaceDN w:val="0"/>
        <w:adjustRightInd w:val="0"/>
        <w:spacing w:line="360" w:lineRule="auto"/>
        <w:ind w:left="567" w:right="567"/>
        <w:jc w:val="both"/>
        <w:rPr>
          <w:rFonts w:ascii="Palatino Linotype" w:hAnsi="Palatino Linotype" w:cs="Tahoma"/>
          <w:sz w:val="22"/>
          <w:szCs w:val="22"/>
        </w:rPr>
      </w:pPr>
    </w:p>
    <w:p w:rsidR="00B31222" w:rsidRPr="00985849"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lastRenderedPageBreak/>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rsidR="00E445DA" w:rsidRPr="00985849" w:rsidRDefault="00E445DA" w:rsidP="00985849">
      <w:pPr>
        <w:spacing w:line="360" w:lineRule="auto"/>
        <w:jc w:val="both"/>
        <w:rPr>
          <w:rFonts w:ascii="Palatino Linotype" w:eastAsia="Batang" w:hAnsi="Palatino Linotype" w:cs="Tahoma"/>
          <w:b/>
          <w:bCs/>
          <w:sz w:val="22"/>
          <w:szCs w:val="22"/>
        </w:rPr>
      </w:pPr>
    </w:p>
    <w:p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dos </w:t>
      </w:r>
      <w:r w:rsidR="00625DFB" w:rsidRPr="00985849">
        <w:rPr>
          <w:rFonts w:ascii="Palatino Linotype" w:eastAsia="Batang" w:hAnsi="Palatino Linotype" w:cs="Tahoma"/>
          <w:bCs/>
          <w:sz w:val="22"/>
          <w:szCs w:val="22"/>
        </w:rPr>
        <w:t xml:space="preserve">de </w:t>
      </w:r>
      <w:r w:rsidR="00A9024A" w:rsidRPr="00985849">
        <w:rPr>
          <w:rFonts w:ascii="Palatino Linotype" w:eastAsia="Batang" w:hAnsi="Palatino Linotype" w:cs="Tahoma"/>
          <w:bCs/>
          <w:sz w:val="22"/>
          <w:szCs w:val="22"/>
        </w:rPr>
        <w:t xml:space="preserve">octubre </w:t>
      </w:r>
      <w:r w:rsidR="00B31222" w:rsidRPr="00985849">
        <w:rPr>
          <w:rFonts w:ascii="Palatino Linotype" w:eastAsia="Batang" w:hAnsi="Palatino Linotype" w:cs="Tahoma"/>
          <w:bCs/>
          <w:sz w:val="22"/>
          <w:szCs w:val="22"/>
        </w:rPr>
        <w:t>de dos mil dieciocho,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A9024A" w:rsidRPr="00985849">
        <w:rPr>
          <w:rFonts w:ascii="Palatino Linotype" w:eastAsia="Batang" w:hAnsi="Palatino Linotype" w:cs="Tahoma"/>
          <w:b/>
          <w:bCs/>
          <w:sz w:val="22"/>
          <w:szCs w:val="22"/>
        </w:rPr>
        <w:t>03711</w:t>
      </w:r>
      <w:r w:rsidR="000313A7" w:rsidRPr="00985849">
        <w:rPr>
          <w:rFonts w:ascii="Palatino Linotype" w:eastAsia="Batang" w:hAnsi="Palatino Linotype" w:cs="Tahoma"/>
          <w:b/>
          <w:bCs/>
          <w:sz w:val="22"/>
          <w:szCs w:val="22"/>
        </w:rPr>
        <w:t>/INFOEM/IP/RR/2018</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rsidR="00B31222" w:rsidRPr="00985849" w:rsidRDefault="00B31222" w:rsidP="00985849">
      <w:pPr>
        <w:spacing w:line="360" w:lineRule="auto"/>
        <w:jc w:val="both"/>
        <w:rPr>
          <w:rFonts w:ascii="Palatino Linotype" w:eastAsia="Batang" w:hAnsi="Palatino Linotype" w:cs="Tahoma"/>
          <w:b/>
          <w:bCs/>
          <w:sz w:val="22"/>
          <w:szCs w:val="22"/>
        </w:rPr>
      </w:pPr>
    </w:p>
    <w:p w:rsidR="002F199F" w:rsidRPr="00985849"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ocho de octubre </w:t>
      </w:r>
      <w:r w:rsidR="00B31222" w:rsidRPr="00985849">
        <w:rPr>
          <w:rFonts w:ascii="Palatino Linotype" w:eastAsia="Batang" w:hAnsi="Palatino Linotype" w:cs="Tahoma"/>
          <w:bCs/>
          <w:sz w:val="22"/>
          <w:szCs w:val="22"/>
          <w:lang w:val="es-ES_tradnl"/>
        </w:rPr>
        <w:t xml:space="preserve">de dos mil dieciocho,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Pr="00985849">
        <w:rPr>
          <w:rFonts w:ascii="Palatino Linotype" w:hAnsi="Palatino Linotype" w:cs="Tahoma"/>
          <w:b/>
          <w:sz w:val="22"/>
          <w:szCs w:val="22"/>
        </w:rPr>
        <w:t xml:space="preserve">Ayuntamiento de </w:t>
      </w:r>
      <w:r w:rsidR="00A9024A" w:rsidRPr="00985849">
        <w:rPr>
          <w:rFonts w:ascii="Palatino Linotype" w:hAnsi="Palatino Linotype" w:cs="Tahoma"/>
          <w:b/>
          <w:sz w:val="22"/>
          <w:szCs w:val="22"/>
        </w:rPr>
        <w:t>Tultitlán</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985849">
        <w:rPr>
          <w:rFonts w:ascii="Palatino Linotype" w:hAnsi="Palatino Linotype" w:cs="Tahoma"/>
          <w:b/>
          <w:bCs/>
          <w:sz w:val="22"/>
          <w:szCs w:val="22"/>
          <w:lang w:val="es-ES"/>
        </w:rPr>
        <w:t xml:space="preserve">integración del expediente </w:t>
      </w:r>
      <w:r w:rsidR="00E573C6" w:rsidRPr="00985849">
        <w:rPr>
          <w:rFonts w:ascii="Palatino Linotype" w:hAnsi="Palatino Linotype" w:cs="Tahoma"/>
          <w:bCs/>
          <w:sz w:val="22"/>
          <w:szCs w:val="22"/>
          <w:lang w:val="es-ES"/>
        </w:rPr>
        <w:t xml:space="preserve">y </w:t>
      </w:r>
      <w:r w:rsidR="00E573C6" w:rsidRPr="00985849">
        <w:rPr>
          <w:rFonts w:ascii="Palatino Linotype" w:hAnsi="Palatino Linotype" w:cs="Tahoma"/>
          <w:b/>
          <w:bCs/>
          <w:sz w:val="22"/>
          <w:szCs w:val="22"/>
          <w:lang w:val="es-ES"/>
        </w:rPr>
        <w:t xml:space="preserve">su puesta a disposición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r w:rsidR="002F199F" w:rsidRPr="00985849">
        <w:rPr>
          <w:rFonts w:ascii="Palatino Linotype" w:hAnsi="Palatino Linotype" w:cs="Tahoma"/>
          <w:bCs/>
          <w:sz w:val="22"/>
          <w:szCs w:val="22"/>
        </w:rPr>
        <w:t xml:space="preserve"> </w:t>
      </w:r>
      <w:r w:rsidR="00514036" w:rsidRPr="00985849">
        <w:rPr>
          <w:rFonts w:ascii="Palatino Linotype" w:hAnsi="Palatino Linotype" w:cs="Tahoma"/>
          <w:bCs/>
          <w:sz w:val="22"/>
          <w:szCs w:val="22"/>
        </w:rPr>
        <w:t xml:space="preserve"> </w:t>
      </w:r>
      <w:r w:rsidR="002F199F" w:rsidRPr="00985849">
        <w:rPr>
          <w:rFonts w:ascii="Palatino Linotype" w:hAnsi="Palatino Linotype" w:cs="Tahoma"/>
          <w:bCs/>
          <w:sz w:val="22"/>
          <w:szCs w:val="22"/>
        </w:rPr>
        <w:t xml:space="preserve">Así mismo, transcurrido el plazo establecido, no se presentaron manifestaciones por parte del Recurrente y del </w:t>
      </w:r>
      <w:r w:rsidR="00956793">
        <w:rPr>
          <w:rFonts w:ascii="Palatino Linotype" w:hAnsi="Palatino Linotype" w:cs="Tahoma"/>
          <w:bCs/>
          <w:sz w:val="22"/>
          <w:szCs w:val="22"/>
        </w:rPr>
        <w:t>Sujeto Obligado</w:t>
      </w:r>
      <w:r w:rsidR="002F199F" w:rsidRPr="00985849">
        <w:rPr>
          <w:rFonts w:ascii="Palatino Linotype" w:hAnsi="Palatino Linotype" w:cs="Tahoma"/>
          <w:bCs/>
          <w:sz w:val="22"/>
          <w:szCs w:val="22"/>
        </w:rPr>
        <w:t xml:space="preserve">, por lo que se decretó el cierre de instrucción. </w:t>
      </w:r>
    </w:p>
    <w:p w:rsidR="005F1701" w:rsidRPr="00985849" w:rsidRDefault="005F1701" w:rsidP="00985849">
      <w:pPr>
        <w:spacing w:line="360" w:lineRule="auto"/>
        <w:jc w:val="both"/>
        <w:rPr>
          <w:rFonts w:ascii="Palatino Linotype" w:hAnsi="Palatino Linotype" w:cs="Tahoma"/>
          <w:bCs/>
          <w:sz w:val="22"/>
          <w:szCs w:val="22"/>
        </w:rPr>
      </w:pPr>
    </w:p>
    <w:p w:rsidR="00B31222" w:rsidRPr="00985849" w:rsidRDefault="004406CF" w:rsidP="00985849">
      <w:pPr>
        <w:spacing w:line="360" w:lineRule="auto"/>
        <w:jc w:val="both"/>
        <w:rPr>
          <w:rFonts w:ascii="Palatino Linotype" w:hAnsi="Palatino Linotype" w:cs="Tahoma"/>
          <w:sz w:val="22"/>
          <w:szCs w:val="22"/>
        </w:rPr>
      </w:pPr>
      <w:r w:rsidRPr="00985849">
        <w:rPr>
          <w:rFonts w:ascii="Palatino Linotype" w:hAnsi="Palatino Linotype" w:cs="Tahoma"/>
          <w:b/>
          <w:sz w:val="22"/>
          <w:szCs w:val="22"/>
        </w:rPr>
        <w:t>c</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ocho</w:t>
      </w:r>
      <w:r w:rsidR="00514036" w:rsidRPr="00985849">
        <w:rPr>
          <w:rFonts w:ascii="Palatino Linotype" w:hAnsi="Palatino Linotype" w:cs="Tahoma"/>
          <w:sz w:val="22"/>
          <w:szCs w:val="22"/>
        </w:rPr>
        <w:t xml:space="preserve"> de noviembre </w:t>
      </w:r>
      <w:r w:rsidR="00B31222" w:rsidRPr="00985849">
        <w:rPr>
          <w:rFonts w:ascii="Palatino Linotype" w:hAnsi="Palatino Linotype" w:cs="Tahoma"/>
          <w:sz w:val="22"/>
          <w:szCs w:val="22"/>
        </w:rPr>
        <w:t>de dos mil dieciocho,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 xml:space="preserve">de Transparencia y Acceso a la </w:t>
      </w:r>
      <w:r w:rsidR="0048519E" w:rsidRPr="00985849">
        <w:rPr>
          <w:rFonts w:ascii="Palatino Linotype" w:hAnsi="Palatino Linotype" w:cs="Tahoma"/>
          <w:sz w:val="22"/>
          <w:szCs w:val="22"/>
        </w:rPr>
        <w:lastRenderedPageBreak/>
        <w:t>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rsidR="00B31222" w:rsidRPr="00985849" w:rsidRDefault="00B31222" w:rsidP="00985849">
      <w:pPr>
        <w:spacing w:line="360" w:lineRule="auto"/>
        <w:jc w:val="both"/>
        <w:rPr>
          <w:rFonts w:ascii="Palatino Linotype" w:hAnsi="Palatino Linotype" w:cs="Tahoma"/>
          <w:b/>
          <w:sz w:val="22"/>
          <w:szCs w:val="22"/>
        </w:rPr>
      </w:pPr>
    </w:p>
    <w:p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rsidR="00264223" w:rsidRPr="00985849" w:rsidRDefault="00264223" w:rsidP="00985849">
      <w:pPr>
        <w:spacing w:line="360" w:lineRule="auto"/>
        <w:jc w:val="center"/>
        <w:rPr>
          <w:rFonts w:ascii="Palatino Linotype" w:hAnsi="Palatino Linotype" w:cs="Tahoma"/>
          <w:b/>
          <w:sz w:val="22"/>
          <w:szCs w:val="22"/>
        </w:rPr>
      </w:pPr>
    </w:p>
    <w:p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rsidR="00264223" w:rsidRPr="00985849" w:rsidRDefault="00264223" w:rsidP="00985849">
      <w:pPr>
        <w:spacing w:line="360" w:lineRule="auto"/>
        <w:jc w:val="center"/>
        <w:rPr>
          <w:rFonts w:ascii="Palatino Linotype" w:hAnsi="Palatino Linotype" w:cs="Tahoma"/>
          <w:b/>
          <w:sz w:val="22"/>
          <w:szCs w:val="22"/>
          <w:lang w:val="es-ES"/>
        </w:rPr>
      </w:pPr>
    </w:p>
    <w:p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985849" w:rsidRDefault="00E70503" w:rsidP="00985849">
      <w:pPr>
        <w:spacing w:line="360" w:lineRule="auto"/>
        <w:jc w:val="both"/>
        <w:rPr>
          <w:rFonts w:ascii="Palatino Linotype" w:eastAsia="Calibri" w:hAnsi="Palatino Linotype" w:cs="Tahoma"/>
          <w:bCs/>
          <w:color w:val="000000"/>
          <w:sz w:val="22"/>
          <w:szCs w:val="22"/>
          <w:lang w:val="es-ES" w:eastAsia="es-ES_tradnl"/>
        </w:rPr>
      </w:pPr>
    </w:p>
    <w:p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w:t>
      </w:r>
      <w:r w:rsidR="00683CB5" w:rsidRPr="00985849">
        <w:rPr>
          <w:rFonts w:ascii="Palatino Linotype" w:eastAsia="Calibri" w:hAnsi="Palatino Linotype" w:cs="Tahoma"/>
          <w:color w:val="000000"/>
          <w:sz w:val="22"/>
          <w:szCs w:val="22"/>
          <w:lang w:val="es-ES" w:eastAsia="es-MX"/>
        </w:rPr>
        <w:lastRenderedPageBreak/>
        <w:t>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 ante la ausencia de la respuesta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 de la Ley de la materia</w:t>
      </w:r>
      <w:r w:rsidR="003A78B5" w:rsidRPr="00985849">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rsidR="00C901BB" w:rsidRDefault="00C901BB"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B73823" w:rsidRPr="00985849" w:rsidRDefault="00B73823"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rsidR="008E5077" w:rsidRPr="00985849" w:rsidRDefault="004F2D88"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
          <w:sz w:val="22"/>
          <w:szCs w:val="22"/>
          <w:lang w:val="es-ES" w:eastAsia="es-ES_tradnl"/>
        </w:rPr>
        <w:lastRenderedPageBreak/>
        <w:t>Causales de sobreseimiento.</w:t>
      </w:r>
    </w:p>
    <w:p w:rsidR="008E5077" w:rsidRPr="00985849" w:rsidRDefault="008E5077" w:rsidP="00985849">
      <w:pPr>
        <w:spacing w:line="360" w:lineRule="auto"/>
        <w:jc w:val="both"/>
        <w:rPr>
          <w:rFonts w:ascii="Palatino Linotype" w:eastAsia="Calibri" w:hAnsi="Palatino Linotype" w:cs="Tahoma"/>
          <w:sz w:val="22"/>
          <w:szCs w:val="22"/>
          <w:lang w:val="es-ES" w:eastAsia="es-ES_tradnl"/>
        </w:rPr>
      </w:pPr>
    </w:p>
    <w:p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6F01E7" w:rsidRPr="00985849">
        <w:rPr>
          <w:rFonts w:ascii="Palatino Linotype" w:hAnsi="Palatino Linotype" w:cs="Tahoma"/>
          <w:sz w:val="22"/>
          <w:szCs w:val="22"/>
          <w:lang w:val="es-ES"/>
        </w:rPr>
        <w:t xml:space="preserve">la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956793">
        <w:rPr>
          <w:rFonts w:ascii="Palatino Linotype" w:hAnsi="Palatino Linotype" w:cs="Tahoma"/>
          <w:sz w:val="22"/>
          <w:szCs w:val="22"/>
          <w:lang w:val="es-ES"/>
        </w:rPr>
        <w:t>Sujeto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rsidR="00F02171" w:rsidRPr="00985849" w:rsidRDefault="00F02171" w:rsidP="00985849">
      <w:pPr>
        <w:spacing w:line="360" w:lineRule="auto"/>
        <w:jc w:val="both"/>
        <w:rPr>
          <w:rFonts w:ascii="Palatino Linotype" w:hAnsi="Palatino Linotype" w:cs="Tahoma"/>
          <w:sz w:val="22"/>
          <w:szCs w:val="22"/>
          <w:lang w:val="es-ES"/>
        </w:rPr>
      </w:pPr>
    </w:p>
    <w:p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rsidR="004F2D88" w:rsidRPr="00985849" w:rsidRDefault="004F2D88" w:rsidP="00985849">
      <w:pPr>
        <w:spacing w:line="360" w:lineRule="auto"/>
        <w:jc w:val="both"/>
        <w:rPr>
          <w:rFonts w:ascii="Palatino Linotype" w:hAnsi="Palatino Linotype" w:cs="Tahoma"/>
          <w:b/>
          <w:sz w:val="22"/>
          <w:szCs w:val="22"/>
          <w:lang w:val="es-ES"/>
        </w:rPr>
      </w:pPr>
    </w:p>
    <w:p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El peticionario solicitó, respecto a las dos quincenas de marzo de dos mil dieciocho, con relación a los trabajadores sindicalizados, confianza, policía y similares, lo siguiente:</w:t>
      </w:r>
    </w:p>
    <w:p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rsidR="00753ABF" w:rsidRPr="00985849"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t>Nómina, con el nombre de cada servidor o funcionario, con el salario bruto sin excedentes y compensaciones.</w:t>
      </w:r>
    </w:p>
    <w:p w:rsidR="00753ABF" w:rsidRPr="00985849" w:rsidRDefault="00753ABF" w:rsidP="00985849">
      <w:pPr>
        <w:pStyle w:val="Prrafodelista"/>
        <w:tabs>
          <w:tab w:val="left" w:pos="4962"/>
        </w:tabs>
        <w:spacing w:line="360" w:lineRule="auto"/>
        <w:jc w:val="both"/>
        <w:rPr>
          <w:rFonts w:ascii="Palatino Linotype" w:eastAsia="Calibri" w:hAnsi="Palatino Linotype" w:cs="Tahoma"/>
          <w:iCs/>
          <w:szCs w:val="22"/>
          <w:lang w:val="es-ES" w:eastAsia="es-ES_tradnl"/>
        </w:rPr>
      </w:pPr>
    </w:p>
    <w:p w:rsidR="00753ABF" w:rsidRPr="00985849"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t>Nómina, con el nombre de los servidores públicos, con todos los conceptos que forman parte del sobresueldo (compensaciones, horas extras, comisiones, apoyos, vales, exentes y similares).</w:t>
      </w:r>
    </w:p>
    <w:p w:rsidR="00753ABF" w:rsidRPr="00985849" w:rsidRDefault="00753ABF" w:rsidP="00985849">
      <w:pPr>
        <w:pStyle w:val="Prrafodelista"/>
        <w:spacing w:line="360" w:lineRule="auto"/>
        <w:rPr>
          <w:rFonts w:ascii="Palatino Linotype" w:eastAsia="Calibri" w:hAnsi="Palatino Linotype" w:cs="Tahoma"/>
          <w:iCs/>
          <w:szCs w:val="22"/>
          <w:lang w:val="es-ES" w:eastAsia="es-ES_tradnl"/>
        </w:rPr>
      </w:pPr>
    </w:p>
    <w:p w:rsidR="00753ABF" w:rsidRPr="00985849"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lastRenderedPageBreak/>
        <w:t>Listas de raya.</w:t>
      </w:r>
    </w:p>
    <w:p w:rsidR="00BB49A0" w:rsidRPr="00985849" w:rsidRDefault="00BB49A0" w:rsidP="00985849">
      <w:pPr>
        <w:tabs>
          <w:tab w:val="left" w:pos="4962"/>
        </w:tabs>
        <w:spacing w:line="360" w:lineRule="auto"/>
        <w:jc w:val="both"/>
        <w:rPr>
          <w:rFonts w:ascii="Palatino Linotype" w:eastAsia="Calibri" w:hAnsi="Palatino Linotype" w:cs="Tahoma"/>
          <w:iCs/>
          <w:sz w:val="22"/>
          <w:szCs w:val="22"/>
          <w:lang w:val="es-ES" w:eastAsia="es-ES_tradnl"/>
        </w:rPr>
      </w:pPr>
    </w:p>
    <w:p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956793">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BD5CDF" w:rsidRPr="00985849">
        <w:rPr>
          <w:rFonts w:ascii="Palatino Linotype" w:eastAsia="Calibri" w:hAnsi="Palatino Linotype" w:cs="Tahoma"/>
          <w:iCs/>
          <w:sz w:val="22"/>
          <w:szCs w:val="22"/>
          <w:lang w:val="es-ES" w:eastAsia="es-ES_tradnl"/>
        </w:rPr>
        <w:t xml:space="preserve"> el particular presentó un recurso de revisión 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la falta de respuesta del </w:t>
      </w:r>
      <w:r w:rsidR="00956793">
        <w:rPr>
          <w:rFonts w:ascii="Palatino Linotype" w:eastAsia="Calibri" w:hAnsi="Palatino Linotype" w:cs="Tahoma"/>
          <w:iCs/>
          <w:sz w:val="22"/>
          <w:szCs w:val="22"/>
          <w:lang w:val="es-ES" w:eastAsia="es-ES_tradnl"/>
        </w:rPr>
        <w:t>Sujeto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753ABF" w:rsidRPr="00985849">
        <w:rPr>
          <w:rFonts w:ascii="Palatino Linotype" w:eastAsia="Calibri" w:hAnsi="Palatino Linotype" w:cs="Tahoma"/>
          <w:iCs/>
          <w:sz w:val="22"/>
          <w:szCs w:val="22"/>
          <w:lang w:val="es-ES" w:eastAsia="es-ES_tradnl"/>
        </w:rPr>
        <w:t>00106/TULTITLA/IP/2018</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rsidR="00B37CF8" w:rsidRPr="00985849" w:rsidRDefault="00B37CF8" w:rsidP="00985849">
      <w:pPr>
        <w:spacing w:line="360" w:lineRule="auto"/>
        <w:ind w:right="-93"/>
        <w:jc w:val="both"/>
        <w:rPr>
          <w:rFonts w:ascii="Palatino Linotype" w:hAnsi="Palatino Linotype" w:cs="Tahoma"/>
          <w:b/>
          <w:sz w:val="22"/>
          <w:szCs w:val="22"/>
        </w:rPr>
      </w:pPr>
    </w:p>
    <w:p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37CF8" w:rsidRPr="00985849" w:rsidRDefault="00B37CF8" w:rsidP="00985849">
      <w:pPr>
        <w:spacing w:line="360" w:lineRule="auto"/>
        <w:contextualSpacing/>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985849" w:rsidRDefault="00B37CF8" w:rsidP="00985849">
      <w:pPr>
        <w:spacing w:line="360" w:lineRule="auto"/>
        <w:jc w:val="both"/>
        <w:rPr>
          <w:rFonts w:ascii="Palatino Linotype" w:hAnsi="Palatino Linotype" w:cs="Tahoma"/>
          <w:sz w:val="22"/>
          <w:szCs w:val="22"/>
        </w:rPr>
      </w:pPr>
    </w:p>
    <w:p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Pr>
          <w:rFonts w:ascii="Palatino Linotype" w:hAnsi="Palatino Linotype" w:cs="Tahoma"/>
          <w:sz w:val="22"/>
          <w:szCs w:val="22"/>
        </w:rPr>
        <w:t>Obligado</w:t>
      </w:r>
      <w:r w:rsidRPr="00985849">
        <w:rPr>
          <w:rFonts w:ascii="Palatino Linotype" w:hAnsi="Palatino Linotype" w:cs="Tahoma"/>
          <w:sz w:val="22"/>
          <w:szCs w:val="22"/>
        </w:rPr>
        <w:t>s.</w:t>
      </w:r>
    </w:p>
    <w:p w:rsidR="00B37CF8" w:rsidRPr="00985849" w:rsidRDefault="00B37CF8" w:rsidP="00985849">
      <w:pPr>
        <w:tabs>
          <w:tab w:val="left" w:pos="4962"/>
        </w:tabs>
        <w:spacing w:line="360" w:lineRule="auto"/>
        <w:jc w:val="both"/>
        <w:rPr>
          <w:rFonts w:ascii="Palatino Linotype" w:eastAsia="Calibri" w:hAnsi="Palatino Linotype" w:cs="Tahoma"/>
          <w:b/>
          <w:iCs/>
          <w:sz w:val="22"/>
          <w:szCs w:val="22"/>
          <w:lang w:val="es-ES" w:eastAsia="es-ES_tradnl"/>
        </w:rPr>
      </w:pPr>
    </w:p>
    <w:p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rsidR="00264223" w:rsidRPr="00985849" w:rsidRDefault="00264223" w:rsidP="00985849">
      <w:pPr>
        <w:spacing w:line="360" w:lineRule="auto"/>
        <w:ind w:right="-93"/>
        <w:jc w:val="both"/>
        <w:rPr>
          <w:rFonts w:ascii="Palatino Linotype" w:hAnsi="Palatino Linotype" w:cs="Tahoma"/>
          <w:b/>
          <w:sz w:val="22"/>
          <w:szCs w:val="22"/>
          <w:lang w:val="es-ES"/>
        </w:rPr>
      </w:pPr>
    </w:p>
    <w:p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la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Ayuntamiento de </w:t>
      </w:r>
      <w:r w:rsidR="00753ABF" w:rsidRPr="00985849">
        <w:rPr>
          <w:rFonts w:ascii="Palatino Linotype" w:eastAsia="Calibri" w:hAnsi="Palatino Linotype" w:cs="Tahoma"/>
          <w:bCs/>
          <w:sz w:val="22"/>
          <w:szCs w:val="22"/>
          <w:lang w:eastAsia="en-US"/>
        </w:rPr>
        <w:t>Tultitlán</w:t>
      </w:r>
      <w:r w:rsidR="00A112F7" w:rsidRPr="00985849">
        <w:rPr>
          <w:rFonts w:ascii="Palatino Linotype" w:eastAsia="Calibri" w:hAnsi="Palatino Linotype" w:cs="Tahoma"/>
          <w:bCs/>
          <w:sz w:val="22"/>
          <w:szCs w:val="22"/>
          <w:lang w:eastAsia="en-US"/>
        </w:rPr>
        <w:t xml:space="preserve"> </w:t>
      </w:r>
      <w:r w:rsidR="0032170B" w:rsidRPr="00985849">
        <w:rPr>
          <w:rFonts w:ascii="Palatino Linotype" w:eastAsia="Calibri" w:hAnsi="Palatino Linotype" w:cs="Tahoma"/>
          <w:bCs/>
          <w:sz w:val="22"/>
          <w:szCs w:val="22"/>
          <w:lang w:eastAsia="en-US"/>
        </w:rPr>
        <w:t>al requerimiento informativo.</w:t>
      </w:r>
    </w:p>
    <w:p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rsidR="00E617BD" w:rsidRPr="00985849" w:rsidRDefault="00E617BD" w:rsidP="00985849">
      <w:pPr>
        <w:spacing w:line="360" w:lineRule="auto"/>
        <w:ind w:right="-93"/>
        <w:jc w:val="both"/>
        <w:rPr>
          <w:rFonts w:ascii="Palatino Linotype" w:eastAsia="Calibri" w:hAnsi="Palatino Linotype" w:cs="Tahoma"/>
          <w:bCs/>
          <w:sz w:val="22"/>
          <w:szCs w:val="22"/>
          <w:lang w:eastAsia="en-US"/>
        </w:rPr>
      </w:pPr>
    </w:p>
    <w:p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rsidR="00F91800" w:rsidRPr="00985849" w:rsidRDefault="00F91800" w:rsidP="00985849">
      <w:pPr>
        <w:pStyle w:val="Prrafodelista"/>
        <w:spacing w:line="360" w:lineRule="auto"/>
        <w:rPr>
          <w:rFonts w:ascii="Palatino Linotype" w:eastAsia="Calibri" w:hAnsi="Palatino Linotype" w:cs="Tahoma"/>
          <w:bCs/>
          <w:szCs w:val="22"/>
          <w:lang w:eastAsia="en-US"/>
        </w:rPr>
      </w:pPr>
    </w:p>
    <w:p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 xml:space="preserve">s 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Las Unidades de Transparencia de los </w:t>
      </w:r>
      <w:r w:rsidR="00A571CD" w:rsidRPr="00985849">
        <w:rPr>
          <w:rFonts w:ascii="Palatino Linotype" w:eastAsia="Calibri" w:hAnsi="Palatino Linotype" w:cs="Tahoma"/>
          <w:bCs/>
          <w:szCs w:val="22"/>
          <w:lang w:eastAsia="en-US"/>
        </w:rPr>
        <w:t xml:space="preserve">Sujetos </w:t>
      </w:r>
      <w:r w:rsidR="00956793">
        <w:rPr>
          <w:rFonts w:ascii="Palatino Linotype" w:eastAsia="Calibri" w:hAnsi="Palatino Linotype" w:cs="Tahoma"/>
          <w:bCs/>
          <w:szCs w:val="22"/>
          <w:lang w:eastAsia="en-US"/>
        </w:rPr>
        <w:t>Obligado</w:t>
      </w:r>
      <w:r w:rsidRPr="00985849">
        <w:rPr>
          <w:rFonts w:ascii="Palatino Linotype" w:eastAsia="Calibri" w:hAnsi="Palatino Linotype" w:cs="Tahoma"/>
          <w:bCs/>
          <w:szCs w:val="22"/>
          <w:lang w:eastAsia="en-US"/>
        </w:rPr>
        <w:t>s 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782EA4" w:rsidRPr="00985849">
        <w:rPr>
          <w:rFonts w:ascii="Palatino Linotype" w:eastAsia="Calibri" w:hAnsi="Palatino Linotype" w:cs="Tahoma"/>
          <w:b/>
          <w:bCs/>
          <w:szCs w:val="22"/>
          <w:lang w:eastAsia="en-US"/>
        </w:rPr>
        <w:t xml:space="preserve">quince días,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rsidR="00782EA4" w:rsidRPr="00985849" w:rsidRDefault="00782EA4" w:rsidP="00985849">
      <w:pPr>
        <w:pStyle w:val="Prrafodelista"/>
        <w:spacing w:line="360" w:lineRule="auto"/>
        <w:rPr>
          <w:rFonts w:ascii="Palatino Linotype" w:eastAsia="Calibri" w:hAnsi="Palatino Linotype" w:cs="Tahoma"/>
          <w:bCs/>
          <w:szCs w:val="22"/>
          <w:lang w:eastAsia="en-US"/>
        </w:rPr>
      </w:pPr>
    </w:p>
    <w:p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rsidR="00782EA4" w:rsidRPr="00985849" w:rsidRDefault="00782EA4" w:rsidP="00985849">
      <w:pPr>
        <w:pStyle w:val="Prrafodelista"/>
        <w:spacing w:line="360" w:lineRule="auto"/>
        <w:rPr>
          <w:rFonts w:ascii="Palatino Linotype" w:eastAsia="Calibri" w:hAnsi="Palatino Linotype" w:cs="Tahoma"/>
          <w:b/>
          <w:bCs/>
          <w:szCs w:val="22"/>
          <w:lang w:eastAsia="en-US"/>
        </w:rPr>
      </w:pPr>
    </w:p>
    <w:p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se</w:t>
      </w:r>
      <w:r w:rsidRPr="00985849">
        <w:rPr>
          <w:rFonts w:ascii="Palatino Linotype" w:eastAsia="Calibri" w:hAnsi="Palatino Linotype" w:cs="Tahoma"/>
          <w:bCs/>
          <w:szCs w:val="22"/>
          <w:lang w:eastAsia="en-US"/>
        </w:rPr>
        <w:t xml:space="preserve"> 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rsidR="00F5374C" w:rsidRPr="00985849" w:rsidRDefault="00F5374C" w:rsidP="00985849">
      <w:pPr>
        <w:pStyle w:val="Prrafodelista"/>
        <w:spacing w:line="360" w:lineRule="auto"/>
        <w:rPr>
          <w:rFonts w:ascii="Palatino Linotype" w:eastAsia="Calibri" w:hAnsi="Palatino Linotype" w:cs="Tahoma"/>
          <w:b/>
          <w:bCs/>
          <w:szCs w:val="22"/>
          <w:lang w:eastAsia="en-US"/>
        </w:rPr>
      </w:pPr>
    </w:p>
    <w:p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Sujetos </w:t>
      </w:r>
      <w:r w:rsidR="00956793">
        <w:rPr>
          <w:rFonts w:ascii="Palatino Linotype" w:eastAsia="Calibri" w:hAnsi="Palatino Linotype" w:cs="Tahoma"/>
          <w:bCs/>
          <w:szCs w:val="22"/>
          <w:lang w:eastAsia="en-US"/>
        </w:rPr>
        <w:t>Obligado</w:t>
      </w:r>
      <w:r w:rsidR="00DB7E5F" w:rsidRPr="00985849">
        <w:rPr>
          <w:rFonts w:ascii="Palatino Linotype" w:eastAsia="Calibri" w:hAnsi="Palatino Linotype" w:cs="Tahoma"/>
          <w:bCs/>
          <w:szCs w:val="22"/>
          <w:lang w:eastAsia="en-US"/>
        </w:rPr>
        <w:t>s darán por concluida la solicitud y procederán de ser el caso, a la destrucci</w:t>
      </w:r>
      <w:r w:rsidR="005743D2" w:rsidRPr="00985849">
        <w:rPr>
          <w:rFonts w:ascii="Palatino Linotype" w:eastAsia="Calibri" w:hAnsi="Palatino Linotype" w:cs="Tahoma"/>
          <w:bCs/>
          <w:szCs w:val="22"/>
          <w:lang w:eastAsia="en-US"/>
        </w:rPr>
        <w:t>ón del material;</w:t>
      </w:r>
    </w:p>
    <w:p w:rsidR="00DB7E5F" w:rsidRPr="00985849" w:rsidRDefault="00DB7E5F" w:rsidP="00985849">
      <w:pPr>
        <w:pStyle w:val="Prrafodelista"/>
        <w:spacing w:line="360" w:lineRule="auto"/>
        <w:rPr>
          <w:rFonts w:ascii="Palatino Linotype" w:eastAsia="Calibri" w:hAnsi="Palatino Linotype" w:cs="Tahoma"/>
          <w:b/>
          <w:bCs/>
          <w:szCs w:val="22"/>
          <w:lang w:eastAsia="en-US"/>
        </w:rPr>
      </w:pPr>
    </w:p>
    <w:p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lastRenderedPageBreak/>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del</w:t>
      </w:r>
      <w:r w:rsidRPr="00985849">
        <w:rPr>
          <w:rFonts w:ascii="Palatino Linotype" w:eastAsia="Calibri" w:hAnsi="Palatino Linotype" w:cs="Tahoma"/>
          <w:bCs/>
          <w:sz w:val="22"/>
          <w:szCs w:val="22"/>
          <w:lang w:eastAsia="en-US"/>
        </w:rPr>
        <w:t xml:space="preserve"> peticionari</w:t>
      </w:r>
      <w:r w:rsidR="00983AA1" w:rsidRPr="00985849">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Ayuntamiento de </w:t>
      </w:r>
      <w:r w:rsidR="00753ABF" w:rsidRPr="00985849">
        <w:rPr>
          <w:rFonts w:ascii="Palatino Linotype" w:eastAsia="Calibri" w:hAnsi="Palatino Linotype" w:cs="Tahoma"/>
          <w:bCs/>
          <w:sz w:val="22"/>
          <w:szCs w:val="22"/>
          <w:lang w:eastAsia="en-US"/>
        </w:rPr>
        <w:t xml:space="preserve">Tultitlán </w:t>
      </w:r>
      <w:r w:rsidRPr="00985849">
        <w:rPr>
          <w:rFonts w:ascii="Palatino Linotype" w:eastAsia="Calibri" w:hAnsi="Palatino Linotype" w:cs="Tahoma"/>
          <w:bCs/>
          <w:sz w:val="22"/>
          <w:szCs w:val="22"/>
          <w:lang w:eastAsia="en-US"/>
        </w:rPr>
        <w:t>no hab</w:t>
      </w:r>
      <w:r w:rsidR="00485EC7" w:rsidRPr="00985849">
        <w:rPr>
          <w:rFonts w:ascii="Palatino Linotype" w:eastAsia="Calibri" w:hAnsi="Palatino Linotype" w:cs="Tahoma"/>
          <w:bCs/>
          <w:sz w:val="22"/>
          <w:szCs w:val="22"/>
          <w:lang w:eastAsia="en-US"/>
        </w:rPr>
        <w:t>ía registrado respuesta o prórroga a su requerimiento de acceso a la información</w:t>
      </w:r>
      <w:r w:rsidR="00D96BF1" w:rsidRPr="00985849">
        <w:rPr>
          <w:rFonts w:ascii="Palatino Linotype" w:eastAsia="Calibri" w:hAnsi="Palatino Linotype" w:cs="Tahoma"/>
          <w:b/>
          <w:bCs/>
          <w:sz w:val="22"/>
          <w:szCs w:val="22"/>
          <w:lang w:eastAsia="en-US"/>
        </w:rPr>
        <w:t xml:space="preserve">, </w:t>
      </w:r>
      <w:r w:rsidR="00D96BF1" w:rsidRPr="00985849">
        <w:rPr>
          <w:rFonts w:ascii="Palatino Linotype" w:eastAsia="Calibri" w:hAnsi="Palatino Linotype" w:cs="Tahoma"/>
          <w:bCs/>
          <w:sz w:val="22"/>
          <w:szCs w:val="22"/>
          <w:lang w:eastAsia="en-US"/>
        </w:rPr>
        <w:t>únicamente</w:t>
      </w:r>
      <w:r w:rsidR="00753ABF" w:rsidRPr="00985849">
        <w:rPr>
          <w:rFonts w:ascii="Palatino Linotype" w:eastAsia="Calibri" w:hAnsi="Palatino Linotype" w:cs="Tahoma"/>
          <w:bCs/>
          <w:sz w:val="22"/>
          <w:szCs w:val="22"/>
          <w:lang w:eastAsia="en-US"/>
        </w:rPr>
        <w:t xml:space="preserve"> constan los turnos de la solicitud a los</w:t>
      </w:r>
      <w:r w:rsidR="00D96BF1" w:rsidRPr="00985849">
        <w:rPr>
          <w:rFonts w:ascii="Palatino Linotype" w:eastAsia="Calibri" w:hAnsi="Palatino Linotype" w:cs="Tahoma"/>
          <w:bCs/>
          <w:sz w:val="22"/>
          <w:szCs w:val="22"/>
          <w:lang w:eastAsia="en-US"/>
        </w:rPr>
        <w:t xml:space="preserve"> servidor</w:t>
      </w:r>
      <w:r w:rsidR="00753ABF" w:rsidRPr="00985849">
        <w:rPr>
          <w:rFonts w:ascii="Palatino Linotype" w:eastAsia="Calibri" w:hAnsi="Palatino Linotype" w:cs="Tahoma"/>
          <w:bCs/>
          <w:sz w:val="22"/>
          <w:szCs w:val="22"/>
          <w:lang w:eastAsia="en-US"/>
        </w:rPr>
        <w:t>es</w:t>
      </w:r>
      <w:r w:rsidR="00D96BF1" w:rsidRPr="00985849">
        <w:rPr>
          <w:rFonts w:ascii="Palatino Linotype" w:eastAsia="Calibri" w:hAnsi="Palatino Linotype" w:cs="Tahoma"/>
          <w:bCs/>
          <w:sz w:val="22"/>
          <w:szCs w:val="22"/>
          <w:lang w:eastAsia="en-US"/>
        </w:rPr>
        <w:t xml:space="preserve"> público</w:t>
      </w:r>
      <w:r w:rsidR="00753ABF" w:rsidRPr="00985849">
        <w:rPr>
          <w:rFonts w:ascii="Palatino Linotype" w:eastAsia="Calibri" w:hAnsi="Palatino Linotype" w:cs="Tahoma"/>
          <w:bCs/>
          <w:sz w:val="22"/>
          <w:szCs w:val="22"/>
          <w:lang w:eastAsia="en-US"/>
        </w:rPr>
        <w:t>s</w:t>
      </w:r>
      <w:r w:rsidR="00D96BF1" w:rsidRPr="00985849">
        <w:rPr>
          <w:rFonts w:ascii="Palatino Linotype" w:eastAsia="Calibri" w:hAnsi="Palatino Linotype" w:cs="Tahoma"/>
          <w:bCs/>
          <w:sz w:val="22"/>
          <w:szCs w:val="22"/>
          <w:lang w:eastAsia="en-US"/>
        </w:rPr>
        <w:t xml:space="preserve"> habilitado</w:t>
      </w:r>
      <w:r w:rsidR="00753ABF" w:rsidRPr="00985849">
        <w:rPr>
          <w:rFonts w:ascii="Palatino Linotype" w:eastAsia="Calibri" w:hAnsi="Palatino Linotype" w:cs="Tahoma"/>
          <w:bCs/>
          <w:sz w:val="22"/>
          <w:szCs w:val="22"/>
          <w:lang w:eastAsia="en-US"/>
        </w:rPr>
        <w:t>s</w:t>
      </w:r>
      <w:r w:rsidR="00D96BF1" w:rsidRPr="00985849">
        <w:rPr>
          <w:rFonts w:ascii="Palatino Linotype" w:eastAsia="Calibri" w:hAnsi="Palatino Linotype" w:cs="Tahoma"/>
          <w:bCs/>
          <w:sz w:val="22"/>
          <w:szCs w:val="22"/>
          <w:lang w:eastAsia="en-US"/>
        </w:rPr>
        <w:t>,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rsidR="00753ABF" w:rsidRPr="00985849" w:rsidRDefault="00753ABF" w:rsidP="00985849">
      <w:pPr>
        <w:spacing w:line="360" w:lineRule="auto"/>
        <w:ind w:right="-93"/>
        <w:jc w:val="both"/>
        <w:rPr>
          <w:rFonts w:ascii="Palatino Linotype" w:hAnsi="Palatino Linotype"/>
          <w:noProof/>
          <w:sz w:val="22"/>
          <w:szCs w:val="22"/>
          <w:lang w:eastAsia="es-MX"/>
        </w:rPr>
      </w:pPr>
    </w:p>
    <w:p w:rsidR="00D96BF1" w:rsidRPr="00985849" w:rsidRDefault="00753ABF" w:rsidP="00985849">
      <w:pPr>
        <w:spacing w:line="360" w:lineRule="auto"/>
        <w:ind w:right="-93"/>
        <w:jc w:val="both"/>
        <w:rPr>
          <w:rFonts w:ascii="Palatino Linotype" w:hAnsi="Palatino Linotype" w:cs="Tahoma"/>
          <w:sz w:val="22"/>
          <w:szCs w:val="22"/>
          <w:lang w:val="es-ES"/>
        </w:rPr>
      </w:pPr>
      <w:r w:rsidRPr="00985849">
        <w:rPr>
          <w:rFonts w:ascii="Palatino Linotype" w:hAnsi="Palatino Linotype"/>
          <w:noProof/>
          <w:sz w:val="22"/>
          <w:szCs w:val="22"/>
          <w:lang w:eastAsia="es-MX"/>
        </w:rPr>
        <w:drawing>
          <wp:inline distT="0" distB="0" distL="0" distR="0" wp14:anchorId="5141620F" wp14:editId="67C143FD">
            <wp:extent cx="5951855" cy="2324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44" t="33615" r="6292" b="17731"/>
                    <a:stretch/>
                  </pic:blipFill>
                  <pic:spPr bwMode="auto">
                    <a:xfrm>
                      <a:off x="0" y="0"/>
                      <a:ext cx="5958204" cy="2326579"/>
                    </a:xfrm>
                    <a:prstGeom prst="rect">
                      <a:avLst/>
                    </a:prstGeom>
                    <a:ln>
                      <a:noFill/>
                    </a:ln>
                    <a:extLst>
                      <a:ext uri="{53640926-AAD7-44D8-BBD7-CCE9431645EC}">
                        <a14:shadowObscured xmlns:a14="http://schemas.microsoft.com/office/drawing/2010/main"/>
                      </a:ext>
                    </a:extLst>
                  </pic:spPr>
                </pic:pic>
              </a:graphicData>
            </a:graphic>
          </wp:inline>
        </w:drawing>
      </w:r>
    </w:p>
    <w:p w:rsidR="002D5DDD" w:rsidRPr="00985849" w:rsidRDefault="002D5DDD" w:rsidP="00985849">
      <w:pPr>
        <w:spacing w:line="360" w:lineRule="auto"/>
        <w:ind w:right="-93"/>
        <w:jc w:val="both"/>
        <w:rPr>
          <w:rFonts w:ascii="Palatino Linotype" w:eastAsia="Calibri" w:hAnsi="Palatino Linotype" w:cs="Tahoma"/>
          <w:bCs/>
          <w:sz w:val="22"/>
          <w:szCs w:val="22"/>
          <w:lang w:eastAsia="en-US"/>
        </w:rPr>
      </w:pPr>
    </w:p>
    <w:p w:rsidR="00AC2C6E" w:rsidRPr="00985849" w:rsidRDefault="00AB7E6A" w:rsidP="00985849">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w:t>
      </w:r>
      <w:r w:rsidR="00AC2C6E" w:rsidRPr="00985849">
        <w:rPr>
          <w:rFonts w:ascii="Palatino Linotype" w:eastAsia="Calibri" w:hAnsi="Palatino Linotype" w:cs="Tahoma"/>
          <w:bCs/>
          <w:sz w:val="22"/>
          <w:szCs w:val="22"/>
          <w:lang w:eastAsia="en-US"/>
        </w:rPr>
        <w:t xml:space="preserve">, el plazo con el que contaba el </w:t>
      </w:r>
      <w:r w:rsidR="00956793">
        <w:rPr>
          <w:rFonts w:ascii="Palatino Linotype" w:eastAsia="Calibri" w:hAnsi="Palatino Linotype" w:cs="Tahoma"/>
          <w:bCs/>
          <w:sz w:val="22"/>
          <w:szCs w:val="22"/>
          <w:lang w:eastAsia="en-US"/>
        </w:rPr>
        <w:t>Sujeto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753ABF" w:rsidRPr="00985849">
        <w:rPr>
          <w:rFonts w:ascii="Palatino Linotype" w:eastAsia="Calibri" w:hAnsi="Palatino Linotype" w:cs="Tahoma"/>
          <w:b/>
          <w:bCs/>
          <w:sz w:val="22"/>
          <w:szCs w:val="22"/>
          <w:lang w:eastAsia="en-US"/>
        </w:rPr>
        <w:t xml:space="preserve">cuatro de septiembre </w:t>
      </w:r>
      <w:r w:rsidR="00F107AF" w:rsidRPr="00985849">
        <w:rPr>
          <w:rFonts w:ascii="Palatino Linotype" w:eastAsia="Calibri" w:hAnsi="Palatino Linotype" w:cs="Tahoma"/>
          <w:b/>
          <w:bCs/>
          <w:sz w:val="22"/>
          <w:szCs w:val="22"/>
          <w:lang w:eastAsia="en-US"/>
        </w:rPr>
        <w:t>de</w:t>
      </w:r>
      <w:r w:rsidR="00AC2C6E" w:rsidRPr="00985849">
        <w:rPr>
          <w:rFonts w:ascii="Palatino Linotype" w:eastAsia="Calibri" w:hAnsi="Palatino Linotype" w:cs="Tahoma"/>
          <w:b/>
          <w:bCs/>
          <w:sz w:val="22"/>
          <w:szCs w:val="22"/>
          <w:lang w:eastAsia="en-US"/>
        </w:rPr>
        <w:t xml:space="preserve"> la presente anualidad</w:t>
      </w:r>
      <w:r w:rsidR="00AC2C6E" w:rsidRPr="00985849">
        <w:rPr>
          <w:rFonts w:ascii="Palatino Linotype" w:eastAsia="Calibri" w:hAnsi="Palatino Linotype" w:cs="Tahoma"/>
          <w:bCs/>
          <w:sz w:val="22"/>
          <w:szCs w:val="22"/>
          <w:lang w:eastAsia="en-US"/>
        </w:rPr>
        <w:t xml:space="preserve"> y feneció el </w:t>
      </w:r>
      <w:r w:rsidR="00DD53DC" w:rsidRPr="00985849">
        <w:rPr>
          <w:rFonts w:ascii="Palatino Linotype" w:eastAsia="Calibri" w:hAnsi="Palatino Linotype" w:cs="Tahoma"/>
          <w:b/>
          <w:bCs/>
          <w:sz w:val="22"/>
          <w:szCs w:val="22"/>
          <w:lang w:eastAsia="en-US"/>
        </w:rPr>
        <w:t>veinticuatro</w:t>
      </w:r>
      <w:r w:rsidR="00753ABF" w:rsidRPr="00985849">
        <w:rPr>
          <w:rFonts w:ascii="Palatino Linotype" w:eastAsia="Calibri" w:hAnsi="Palatino Linotype" w:cs="Tahoma"/>
          <w:b/>
          <w:bCs/>
          <w:sz w:val="22"/>
          <w:szCs w:val="22"/>
          <w:lang w:eastAsia="en-US"/>
        </w:rPr>
        <w:t xml:space="preserve"> de septiembre</w:t>
      </w:r>
      <w:r w:rsidR="00F107AF" w:rsidRPr="00985849">
        <w:rPr>
          <w:rFonts w:ascii="Palatino Linotype" w:eastAsia="Calibri" w:hAnsi="Palatino Linotype" w:cs="Tahoma"/>
          <w:b/>
          <w:bCs/>
          <w:sz w:val="22"/>
          <w:szCs w:val="22"/>
          <w:lang w:eastAsia="en-US"/>
        </w:rPr>
        <w:t xml:space="preserve"> del mismo </w:t>
      </w:r>
      <w:r w:rsidR="00AC2C6E" w:rsidRPr="00985849">
        <w:rPr>
          <w:rFonts w:ascii="Palatino Linotype" w:eastAsia="Calibri" w:hAnsi="Palatino Linotype" w:cs="Tahoma"/>
          <w:b/>
          <w:bCs/>
          <w:sz w:val="22"/>
          <w:szCs w:val="22"/>
          <w:lang w:eastAsia="en-US"/>
        </w:rPr>
        <w:t>año</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D81BAE" w:rsidRPr="00985849">
        <w:rPr>
          <w:rFonts w:ascii="Palatino Linotype" w:eastAsia="Calibri" w:hAnsi="Palatino Linotype" w:cs="Tahoma"/>
          <w:bCs/>
          <w:sz w:val="22"/>
          <w:szCs w:val="22"/>
          <w:lang w:eastAsia="en-US"/>
        </w:rPr>
        <w:t xml:space="preserve">sin contar los días </w:t>
      </w:r>
      <w:r w:rsidR="00DD53DC" w:rsidRPr="00985849">
        <w:rPr>
          <w:rFonts w:ascii="Palatino Linotype" w:eastAsia="Calibri" w:hAnsi="Palatino Linotype" w:cs="Tahoma"/>
          <w:bCs/>
          <w:sz w:val="22"/>
          <w:szCs w:val="22"/>
          <w:lang w:eastAsia="en-US"/>
        </w:rPr>
        <w:t xml:space="preserve">ocho, nueve, quince, dieciséis, veintidós y veintitrés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rsidR="00CE1BC9" w:rsidRPr="00985849" w:rsidRDefault="00CE1BC9"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lastRenderedPageBreak/>
        <w:t xml:space="preserve">Conforme a lo anterior, este Instituto </w:t>
      </w:r>
      <w:r w:rsidR="002E5015" w:rsidRPr="00985849">
        <w:rPr>
          <w:rFonts w:ascii="Palatino Linotype" w:eastAsia="Calibri" w:hAnsi="Palatino Linotype" w:cs="Tahoma"/>
          <w:bCs/>
          <w:sz w:val="22"/>
          <w:szCs w:val="22"/>
          <w:lang w:eastAsia="en-US"/>
        </w:rPr>
        <w:t>v</w:t>
      </w:r>
      <w:r w:rsidRPr="00985849">
        <w:rPr>
          <w:rFonts w:ascii="Palatino Linotype" w:eastAsia="Calibri" w:hAnsi="Palatino Linotype" w:cs="Tahoma"/>
          <w:bCs/>
          <w:sz w:val="22"/>
          <w:szCs w:val="22"/>
          <w:lang w:eastAsia="en-US"/>
        </w:rPr>
        <w:t>erific</w:t>
      </w:r>
      <w:r w:rsidR="002E5015" w:rsidRPr="00985849">
        <w:rPr>
          <w:rFonts w:ascii="Palatino Linotype" w:eastAsia="Calibri" w:hAnsi="Palatino Linotype" w:cs="Tahoma"/>
          <w:bCs/>
          <w:sz w:val="22"/>
          <w:szCs w:val="22"/>
          <w:lang w:eastAsia="en-US"/>
        </w:rPr>
        <w:t xml:space="preserve">ó que en efecto, no se registró </w:t>
      </w:r>
      <w:r w:rsidRPr="00985849">
        <w:rPr>
          <w:rFonts w:ascii="Palatino Linotype" w:eastAsia="Calibri" w:hAnsi="Palatino Linotype" w:cs="Tahoma"/>
          <w:bCs/>
          <w:sz w:val="22"/>
          <w:szCs w:val="22"/>
          <w:lang w:eastAsia="en-US"/>
        </w:rPr>
        <w:t xml:space="preserve">una repuesta a la solicitud de la ahora </w:t>
      </w:r>
      <w:r w:rsidR="002E5015" w:rsidRPr="00985849">
        <w:rPr>
          <w:rFonts w:ascii="Palatino Linotype" w:eastAsia="Calibri" w:hAnsi="Palatino Linotype" w:cs="Tahoma"/>
          <w:bCs/>
          <w:sz w:val="22"/>
          <w:szCs w:val="22"/>
          <w:lang w:eastAsia="en-US"/>
        </w:rPr>
        <w:t>Recurrente</w:t>
      </w:r>
      <w:r w:rsidRPr="00985849">
        <w:rPr>
          <w:rFonts w:ascii="Palatino Linotype" w:eastAsia="Calibri" w:hAnsi="Palatino Linotype" w:cs="Tahoma"/>
          <w:bCs/>
          <w:sz w:val="22"/>
          <w:szCs w:val="22"/>
          <w:lang w:eastAsia="en-US"/>
        </w:rPr>
        <w:t xml:space="preserve">, en el </w:t>
      </w:r>
      <w:r w:rsidRPr="00985849">
        <w:rPr>
          <w:rFonts w:ascii="Palatino Linotype" w:hAnsi="Palatino Linotype" w:cs="Tahoma"/>
          <w:sz w:val="22"/>
          <w:szCs w:val="22"/>
          <w:lang w:val="es-ES"/>
        </w:rPr>
        <w:t>Sistema de Acceso a la I</w:t>
      </w:r>
      <w:r w:rsidR="00D96BF1" w:rsidRPr="00985849">
        <w:rPr>
          <w:rFonts w:ascii="Palatino Linotype" w:hAnsi="Palatino Linotype" w:cs="Tahoma"/>
          <w:sz w:val="22"/>
          <w:szCs w:val="22"/>
          <w:lang w:val="es-ES"/>
        </w:rPr>
        <w:t>nformación Mexiquense (SAIMEX).</w:t>
      </w:r>
    </w:p>
    <w:p w:rsidR="001B3007" w:rsidRDefault="001B3007" w:rsidP="00985849">
      <w:pPr>
        <w:spacing w:line="360" w:lineRule="auto"/>
        <w:ind w:right="-93"/>
        <w:jc w:val="both"/>
        <w:rPr>
          <w:noProof/>
          <w:lang w:eastAsia="es-MX"/>
        </w:rPr>
      </w:pPr>
      <w:bookmarkStart w:id="0" w:name="_GoBack"/>
      <w:bookmarkEnd w:id="0"/>
    </w:p>
    <w:p w:rsidR="00D96BF1" w:rsidRPr="00985849" w:rsidRDefault="001B3007" w:rsidP="00985849">
      <w:pPr>
        <w:spacing w:line="360" w:lineRule="auto"/>
        <w:ind w:right="-93"/>
        <w:jc w:val="both"/>
        <w:rPr>
          <w:rFonts w:ascii="Palatino Linotype" w:hAnsi="Palatino Linotype" w:cs="Tahoma"/>
          <w:sz w:val="22"/>
          <w:szCs w:val="22"/>
          <w:lang w:val="es-ES"/>
        </w:rPr>
      </w:pPr>
      <w:r>
        <w:rPr>
          <w:noProof/>
          <w:lang w:eastAsia="es-MX"/>
        </w:rPr>
        <w:drawing>
          <wp:inline distT="0" distB="0" distL="0" distR="0" wp14:anchorId="543427C5" wp14:editId="4EDBD2D7">
            <wp:extent cx="5618978" cy="13906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508" t="24769" r="17901" b="53411"/>
                    <a:stretch/>
                  </pic:blipFill>
                  <pic:spPr bwMode="auto">
                    <a:xfrm>
                      <a:off x="0" y="0"/>
                      <a:ext cx="5625797" cy="1392338"/>
                    </a:xfrm>
                    <a:prstGeom prst="rect">
                      <a:avLst/>
                    </a:prstGeom>
                    <a:ln>
                      <a:noFill/>
                    </a:ln>
                    <a:extLst>
                      <a:ext uri="{53640926-AAD7-44D8-BBD7-CCE9431645EC}">
                        <a14:shadowObscured xmlns:a14="http://schemas.microsoft.com/office/drawing/2010/main"/>
                      </a:ext>
                    </a:extLst>
                  </pic:spPr>
                </pic:pic>
              </a:graphicData>
            </a:graphic>
          </wp:inline>
        </w:drawing>
      </w:r>
    </w:p>
    <w:p w:rsidR="002D5DDD" w:rsidRPr="00985849" w:rsidRDefault="002D5DDD" w:rsidP="00985849">
      <w:pPr>
        <w:spacing w:line="360" w:lineRule="auto"/>
        <w:ind w:right="-93"/>
        <w:jc w:val="both"/>
        <w:rPr>
          <w:rFonts w:ascii="Palatino Linotype" w:eastAsia="Calibri" w:hAnsi="Palatino Linotype" w:cs="Tahoma"/>
          <w:bCs/>
          <w:sz w:val="22"/>
          <w:szCs w:val="22"/>
          <w:lang w:eastAsia="en-US"/>
        </w:rPr>
      </w:pPr>
    </w:p>
    <w:p w:rsidR="00CE1BC9" w:rsidRPr="00985849" w:rsidRDefault="00CE1BC9" w:rsidP="00985849">
      <w:pPr>
        <w:spacing w:line="360" w:lineRule="auto"/>
        <w:ind w:right="-93"/>
        <w:jc w:val="both"/>
        <w:rPr>
          <w:rFonts w:ascii="Palatino Linotype" w:eastAsia="Calibri" w:hAnsi="Palatino Linotype" w:cs="Tahoma"/>
          <w:b/>
          <w:bCs/>
          <w:sz w:val="22"/>
          <w:szCs w:val="22"/>
          <w:lang w:eastAsia="en-US"/>
        </w:rPr>
      </w:pPr>
      <w:r w:rsidRPr="00985849">
        <w:rPr>
          <w:rFonts w:ascii="Palatino Linotype" w:eastAsia="Calibri" w:hAnsi="Palatino Linotype" w:cs="Tahoma"/>
          <w:bCs/>
          <w:sz w:val="22"/>
          <w:szCs w:val="22"/>
          <w:lang w:eastAsia="en-US"/>
        </w:rPr>
        <w:t xml:space="preserve">Conforme a lo </w:t>
      </w:r>
      <w:r w:rsidR="005743D2" w:rsidRPr="00985849">
        <w:rPr>
          <w:rFonts w:ascii="Palatino Linotype" w:eastAsia="Calibri" w:hAnsi="Palatino Linotype" w:cs="Tahoma"/>
          <w:bCs/>
          <w:sz w:val="22"/>
          <w:szCs w:val="22"/>
          <w:lang w:eastAsia="en-US"/>
        </w:rPr>
        <w:t>observado</w:t>
      </w:r>
      <w:r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Pr="00985849">
        <w:rPr>
          <w:rFonts w:ascii="Palatino Linotype" w:eastAsia="Calibri" w:hAnsi="Palatino Linotype" w:cs="Tahoma"/>
          <w:bCs/>
          <w:sz w:val="22"/>
          <w:szCs w:val="22"/>
          <w:lang w:eastAsia="en-US"/>
        </w:rPr>
        <w:t xml:space="preserve">particular, el Ayuntamiento de </w:t>
      </w:r>
      <w:r w:rsidR="00DD53DC" w:rsidRPr="00985849">
        <w:rPr>
          <w:rFonts w:ascii="Palatino Linotype" w:eastAsia="Calibri" w:hAnsi="Palatino Linotype" w:cs="Tahoma"/>
          <w:bCs/>
          <w:sz w:val="22"/>
          <w:szCs w:val="22"/>
          <w:lang w:eastAsia="en-US"/>
        </w:rPr>
        <w:t>Tultitlán</w:t>
      </w:r>
      <w:r w:rsidR="00AA70FB"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 xml:space="preserve">no emitió respuesta, ni solicitó una prórroga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AA70FB" w:rsidRPr="00985849">
        <w:rPr>
          <w:rFonts w:ascii="Palatino Linotype" w:eastAsia="Calibri" w:hAnsi="Palatino Linotype" w:cs="Tahoma"/>
          <w:bCs/>
          <w:sz w:val="22"/>
          <w:szCs w:val="22"/>
          <w:lang w:eastAsia="en-US"/>
        </w:rPr>
        <w:t>veint</w:t>
      </w:r>
      <w:r w:rsidR="003A67E6">
        <w:rPr>
          <w:rFonts w:ascii="Palatino Linotype" w:eastAsia="Calibri" w:hAnsi="Palatino Linotype" w:cs="Tahoma"/>
          <w:bCs/>
          <w:sz w:val="22"/>
          <w:szCs w:val="22"/>
          <w:lang w:eastAsia="en-US"/>
        </w:rPr>
        <w:t>icuatro</w:t>
      </w:r>
      <w:r w:rsidR="005743D2" w:rsidRPr="00985849">
        <w:rPr>
          <w:rFonts w:ascii="Palatino Linotype" w:eastAsia="Calibri" w:hAnsi="Palatino Linotype" w:cs="Tahoma"/>
          <w:bCs/>
          <w:sz w:val="22"/>
          <w:szCs w:val="22"/>
          <w:lang w:eastAsia="en-US"/>
        </w:rPr>
        <w:t xml:space="preserve"> de </w:t>
      </w:r>
      <w:r w:rsidR="003A67E6">
        <w:rPr>
          <w:rFonts w:ascii="Palatino Linotype" w:eastAsia="Calibri" w:hAnsi="Palatino Linotype" w:cs="Tahoma"/>
          <w:bCs/>
          <w:sz w:val="22"/>
          <w:szCs w:val="22"/>
          <w:lang w:eastAsia="en-US"/>
        </w:rPr>
        <w:t>septiembre</w:t>
      </w:r>
      <w:r w:rsidR="005743D2" w:rsidRPr="00985849">
        <w:rPr>
          <w:rFonts w:ascii="Palatino Linotype" w:eastAsia="Calibri" w:hAnsi="Palatino Linotype" w:cs="Tahoma"/>
          <w:bCs/>
          <w:sz w:val="22"/>
          <w:szCs w:val="22"/>
          <w:lang w:eastAsia="en-US"/>
        </w:rPr>
        <w:t xml:space="preserve"> de dos mil dieciocho para notificar alguna de las dos situaciones; inclusive a la fecha de la presente resolución no ha otorgado información o documentación alguna que atienda la solicitud de información; por lo que, resulta evidente que </w:t>
      </w:r>
      <w:r w:rsidR="00AA70FB" w:rsidRPr="00985849">
        <w:rPr>
          <w:rFonts w:ascii="Palatino Linotype" w:eastAsia="Calibri" w:hAnsi="Palatino Linotype" w:cs="Tahoma"/>
          <w:b/>
          <w:bCs/>
          <w:sz w:val="22"/>
          <w:szCs w:val="22"/>
          <w:lang w:eastAsia="en-US"/>
        </w:rPr>
        <w:t>el agravio hecho valer por el</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rsidR="0096463B" w:rsidRDefault="0096463B" w:rsidP="00985849">
      <w:pPr>
        <w:spacing w:line="360" w:lineRule="auto"/>
        <w:ind w:right="-93"/>
        <w:jc w:val="both"/>
        <w:rPr>
          <w:rFonts w:ascii="Palatino Linotype" w:eastAsia="Calibri" w:hAnsi="Palatino Linotype" w:cs="Tahoma"/>
          <w:bCs/>
          <w:sz w:val="22"/>
          <w:szCs w:val="22"/>
          <w:lang w:eastAsia="en-US"/>
        </w:rPr>
      </w:pPr>
    </w:p>
    <w:p w:rsidR="00AD7301" w:rsidRPr="003E3CBF"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Pr>
          <w:rFonts w:ascii="Palatino Linotype" w:eastAsia="Calibri" w:hAnsi="Palatino Linotype" w:cs="Tahoma"/>
          <w:bCs/>
          <w:sz w:val="22"/>
          <w:szCs w:val="22"/>
          <w:lang w:eastAsia="en-US"/>
        </w:rPr>
        <w:t xml:space="preserve"> Tultitlán</w:t>
      </w:r>
      <w:r w:rsidRPr="00F67BDF">
        <w:rPr>
          <w:rFonts w:ascii="Palatino Linotype" w:eastAsia="Calibri" w:hAnsi="Palatino Linotype" w:cs="Tahoma"/>
          <w:bCs/>
          <w:sz w:val="22"/>
          <w:szCs w:val="22"/>
          <w:lang w:eastAsia="en-US"/>
        </w:rPr>
        <w:t xml:space="preserve"> turnó la solicitud de información, </w:t>
      </w:r>
      <w:r>
        <w:rPr>
          <w:rFonts w:ascii="Palatino Linotype" w:eastAsia="Calibri" w:hAnsi="Palatino Linotype" w:cs="Tahoma"/>
          <w:bCs/>
          <w:sz w:val="22"/>
          <w:szCs w:val="22"/>
          <w:lang w:eastAsia="en-US"/>
        </w:rPr>
        <w:t>a los Servidores Públicos Habilitados de la tesorería, la Contraloría y Recursos Humanos</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Sujetos </w:t>
      </w:r>
      <w:r w:rsidR="00956793">
        <w:rPr>
          <w:rFonts w:ascii="Palatino Linotype" w:hAnsi="Palatino Linotype" w:cs="Tahoma"/>
          <w:b/>
          <w:sz w:val="22"/>
          <w:szCs w:val="22"/>
        </w:rPr>
        <w:t>Obligado</w:t>
      </w:r>
      <w:r w:rsidRPr="00F67BDF">
        <w:rPr>
          <w:rFonts w:ascii="Palatino Linotype" w:hAnsi="Palatino Linotype" w:cs="Tahoma"/>
          <w:b/>
          <w:sz w:val="22"/>
          <w:szCs w:val="22"/>
        </w:rPr>
        <w:t>s 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rsidR="00AD7301" w:rsidRPr="00F67BDF" w:rsidRDefault="00AD7301" w:rsidP="00AD7301">
      <w:pPr>
        <w:spacing w:line="360" w:lineRule="auto"/>
        <w:jc w:val="both"/>
        <w:rPr>
          <w:rFonts w:ascii="Palatino Linotype" w:eastAsia="Calibri" w:hAnsi="Palatino Linotype" w:cs="Tahoma"/>
          <w:bCs/>
          <w:sz w:val="22"/>
          <w:szCs w:val="22"/>
          <w:lang w:val="es-ES" w:eastAsia="en-US"/>
        </w:rPr>
      </w:pPr>
    </w:p>
    <w:p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w:t>
      </w:r>
      <w:r w:rsidRPr="00F67BDF">
        <w:rPr>
          <w:rFonts w:ascii="Palatino Linotype" w:eastAsia="Calibri" w:hAnsi="Palatino Linotype" w:cs="Tahoma"/>
          <w:bCs/>
          <w:sz w:val="22"/>
          <w:szCs w:val="22"/>
          <w:lang w:val="es-ES" w:eastAsia="en-US"/>
        </w:rPr>
        <w:lastRenderedPageBreak/>
        <w:t>deban tenerla -de acuerdo a las facultades, competencias y funciones-, con el objeto de que dichas áreas realicen una búsqueda exhaustiva y razonable de la información requerida, y</w:t>
      </w:r>
    </w:p>
    <w:p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sidR="00956793">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956793">
        <w:rPr>
          <w:rFonts w:ascii="Palatino Linotype" w:eastAsia="Calibri" w:hAnsi="Palatino Linotype" w:cs="Tahoma"/>
          <w:bCs/>
          <w:sz w:val="22"/>
          <w:szCs w:val="22"/>
          <w:lang w:val="es-ES" w:eastAsia="en-US"/>
        </w:rPr>
        <w:t>Obligado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rsidR="00AD7301" w:rsidRDefault="00AD7301" w:rsidP="00AD7301">
      <w:pPr>
        <w:spacing w:line="360" w:lineRule="auto"/>
        <w:ind w:right="-93"/>
        <w:jc w:val="both"/>
        <w:rPr>
          <w:rFonts w:ascii="Palatino Linotype" w:eastAsia="Calibri" w:hAnsi="Palatino Linotype" w:cs="Tahoma"/>
          <w:bCs/>
          <w:sz w:val="22"/>
          <w:szCs w:val="22"/>
          <w:lang w:eastAsia="en-US"/>
        </w:rPr>
      </w:pPr>
    </w:p>
    <w:p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el Bando Municipal de Tultitlán d</w:t>
      </w:r>
      <w:r w:rsidRPr="00240764">
        <w:rPr>
          <w:rFonts w:ascii="Palatino Linotype" w:eastAsia="Calibri" w:hAnsi="Palatino Linotype" w:cs="Tahoma"/>
          <w:bCs/>
          <w:sz w:val="22"/>
          <w:szCs w:val="22"/>
          <w:lang w:eastAsia="en-US"/>
        </w:rPr>
        <w:t>e Mariano Escobedo,</w:t>
      </w:r>
      <w:r>
        <w:rPr>
          <w:rFonts w:ascii="Palatino Linotype" w:eastAsia="Calibri" w:hAnsi="Palatino Linotype" w:cs="Tahoma"/>
          <w:bCs/>
          <w:sz w:val="22"/>
          <w:szCs w:val="22"/>
          <w:lang w:eastAsia="en-US"/>
        </w:rPr>
        <w:t xml:space="preserve"> </w:t>
      </w:r>
      <w:r w:rsidR="00BA547A">
        <w:rPr>
          <w:rFonts w:ascii="Palatino Linotype" w:eastAsia="Calibri" w:hAnsi="Palatino Linotype" w:cs="Tahoma"/>
          <w:bCs/>
          <w:sz w:val="22"/>
          <w:szCs w:val="22"/>
          <w:lang w:eastAsia="en-US"/>
        </w:rPr>
        <w:t>Estado d</w:t>
      </w:r>
      <w:r w:rsidRPr="00240764">
        <w:rPr>
          <w:rFonts w:ascii="Palatino Linotype" w:eastAsia="Calibri" w:hAnsi="Palatino Linotype" w:cs="Tahoma"/>
          <w:bCs/>
          <w:sz w:val="22"/>
          <w:szCs w:val="22"/>
          <w:lang w:eastAsia="en-US"/>
        </w:rPr>
        <w:t>e México 2018</w:t>
      </w:r>
      <w:r>
        <w:rPr>
          <w:rFonts w:ascii="Palatino Linotype" w:eastAsia="Calibri" w:hAnsi="Palatino Linotype" w:cs="Tahoma"/>
          <w:bCs/>
          <w:sz w:val="22"/>
          <w:szCs w:val="22"/>
          <w:lang w:eastAsia="en-US"/>
        </w:rPr>
        <w:t xml:space="preserve">, en su artículo 35 considera a la Tesorería Municipal como parte de las dependencias  que formarán la Administración Municipal del </w:t>
      </w:r>
      <w:r w:rsidR="00956793">
        <w:rPr>
          <w:rFonts w:ascii="Palatino Linotype" w:eastAsia="Calibri" w:hAnsi="Palatino Linotype" w:cs="Tahoma"/>
          <w:bCs/>
          <w:sz w:val="22"/>
          <w:szCs w:val="22"/>
          <w:lang w:eastAsia="en-US"/>
        </w:rPr>
        <w:t>Sujeto Obligado</w:t>
      </w:r>
      <w:r w:rsidR="003A67E6">
        <w:rPr>
          <w:rFonts w:ascii="Palatino Linotype" w:eastAsia="Calibri" w:hAnsi="Palatino Linotype" w:cs="Tahoma"/>
          <w:bCs/>
          <w:sz w:val="22"/>
          <w:szCs w:val="22"/>
          <w:lang w:eastAsia="en-US"/>
        </w:rPr>
        <w:t xml:space="preserve">. En este sentido, </w:t>
      </w:r>
      <w:r>
        <w:rPr>
          <w:rFonts w:ascii="Palatino Linotype" w:eastAsia="Calibri" w:hAnsi="Palatino Linotype" w:cs="Tahoma"/>
          <w:bCs/>
          <w:sz w:val="22"/>
          <w:szCs w:val="22"/>
          <w:lang w:eastAsia="en-US"/>
        </w:rPr>
        <w:t xml:space="preserve">el </w:t>
      </w:r>
      <w:r w:rsidRPr="009A521D">
        <w:rPr>
          <w:rFonts w:ascii="Palatino Linotype" w:eastAsia="Calibri" w:hAnsi="Palatino Linotype" w:cs="Tahoma"/>
          <w:bCs/>
          <w:sz w:val="22"/>
          <w:szCs w:val="22"/>
          <w:lang w:eastAsia="en-US"/>
        </w:rPr>
        <w:t>Reglamento Orgánico de la Administración Pública Municipal de Tultitlán de Mariano Escobedo</w:t>
      </w:r>
      <w:r>
        <w:rPr>
          <w:rFonts w:ascii="Palatino Linotype" w:eastAsia="Calibri" w:hAnsi="Palatino Linotype" w:cs="Tahoma"/>
          <w:bCs/>
          <w:sz w:val="22"/>
          <w:szCs w:val="22"/>
          <w:lang w:eastAsia="en-US"/>
        </w:rPr>
        <w:t xml:space="preserve">, en el artículo 40, </w:t>
      </w:r>
      <w:r w:rsidR="00E42ED4">
        <w:rPr>
          <w:rFonts w:ascii="Palatino Linotype" w:eastAsia="Calibri" w:hAnsi="Palatino Linotype" w:cs="Tahoma"/>
          <w:bCs/>
          <w:sz w:val="22"/>
          <w:szCs w:val="22"/>
          <w:lang w:eastAsia="en-US"/>
        </w:rPr>
        <w:t xml:space="preserve">establece </w:t>
      </w:r>
      <w:r>
        <w:rPr>
          <w:rFonts w:ascii="Palatino Linotype" w:eastAsia="Calibri" w:hAnsi="Palatino Linotype" w:cs="Tahoma"/>
          <w:bCs/>
          <w:sz w:val="22"/>
          <w:szCs w:val="22"/>
          <w:lang w:eastAsia="en-US"/>
        </w:rPr>
        <w:t xml:space="preserve">las facultades de la Tesorería Municipal, </w:t>
      </w:r>
      <w:r w:rsidR="00E42ED4">
        <w:rPr>
          <w:rFonts w:ascii="Palatino Linotype" w:eastAsia="Calibri" w:hAnsi="Palatino Linotype" w:cs="Tahoma"/>
          <w:bCs/>
          <w:sz w:val="22"/>
          <w:szCs w:val="22"/>
          <w:lang w:eastAsia="en-US"/>
        </w:rPr>
        <w:t>como</w:t>
      </w:r>
      <w:r>
        <w:rPr>
          <w:rFonts w:ascii="Palatino Linotype" w:eastAsia="Calibri" w:hAnsi="Palatino Linotype" w:cs="Tahoma"/>
          <w:bCs/>
          <w:sz w:val="22"/>
          <w:szCs w:val="22"/>
          <w:lang w:eastAsia="en-US"/>
        </w:rPr>
        <w:t xml:space="preserve"> la elaboración de la nómina, en los términos siguientes:</w:t>
      </w:r>
    </w:p>
    <w:p w:rsidR="00AD7301" w:rsidRPr="009A521D" w:rsidRDefault="00AD7301" w:rsidP="00AD7301">
      <w:pPr>
        <w:spacing w:line="360" w:lineRule="auto"/>
        <w:ind w:left="567" w:right="539"/>
        <w:jc w:val="center"/>
        <w:rPr>
          <w:rFonts w:ascii="Palatino Linotype" w:eastAsia="Calibri" w:hAnsi="Palatino Linotype" w:cs="Tahoma"/>
          <w:b/>
          <w:bCs/>
          <w:lang w:eastAsia="en-US"/>
        </w:rPr>
      </w:pPr>
    </w:p>
    <w:p w:rsidR="00AD7301" w:rsidRPr="009A521D" w:rsidRDefault="00AD7301" w:rsidP="00AD7301">
      <w:pPr>
        <w:spacing w:line="360" w:lineRule="auto"/>
        <w:ind w:left="567" w:right="539"/>
        <w:jc w:val="center"/>
        <w:rPr>
          <w:rFonts w:ascii="Palatino Linotype" w:eastAsia="Calibri" w:hAnsi="Palatino Linotype" w:cs="Tahoma"/>
          <w:b/>
          <w:bCs/>
          <w:lang w:eastAsia="en-US"/>
        </w:rPr>
      </w:pPr>
      <w:r w:rsidRPr="009A521D">
        <w:rPr>
          <w:rFonts w:ascii="Palatino Linotype" w:eastAsia="Calibri" w:hAnsi="Palatino Linotype" w:cs="Tahoma"/>
          <w:b/>
          <w:bCs/>
          <w:lang w:eastAsia="en-US"/>
        </w:rPr>
        <w:t>CAPÍTULO II</w:t>
      </w:r>
    </w:p>
    <w:p w:rsidR="00AD7301" w:rsidRDefault="00AD7301" w:rsidP="00AD7301">
      <w:pPr>
        <w:spacing w:line="360" w:lineRule="auto"/>
        <w:ind w:left="567" w:right="539"/>
        <w:jc w:val="center"/>
        <w:rPr>
          <w:rFonts w:ascii="Palatino Linotype" w:eastAsia="Calibri" w:hAnsi="Palatino Linotype" w:cs="Tahoma"/>
          <w:b/>
          <w:bCs/>
          <w:lang w:eastAsia="en-US"/>
        </w:rPr>
      </w:pPr>
      <w:r w:rsidRPr="009A521D">
        <w:rPr>
          <w:rFonts w:ascii="Palatino Linotype" w:eastAsia="Calibri" w:hAnsi="Palatino Linotype" w:cs="Tahoma"/>
          <w:b/>
          <w:bCs/>
          <w:lang w:eastAsia="en-US"/>
        </w:rPr>
        <w:t>DE LA TESORERÍA MUNICIPAL</w:t>
      </w:r>
    </w:p>
    <w:p w:rsidR="00AD7301" w:rsidRPr="009A521D" w:rsidRDefault="00AD7301" w:rsidP="00AD7301">
      <w:pPr>
        <w:spacing w:line="360" w:lineRule="auto"/>
        <w:ind w:left="567" w:right="539"/>
        <w:jc w:val="center"/>
        <w:rPr>
          <w:rFonts w:ascii="Palatino Linotype" w:eastAsia="Calibri" w:hAnsi="Palatino Linotype" w:cs="Tahoma"/>
          <w:b/>
          <w:bCs/>
          <w:lang w:eastAsia="en-US"/>
        </w:rPr>
      </w:pPr>
    </w:p>
    <w:p w:rsidR="00AD7301" w:rsidRDefault="00AD7301" w:rsidP="00AD7301">
      <w:pPr>
        <w:spacing w:line="360" w:lineRule="auto"/>
        <w:ind w:left="567" w:right="539"/>
        <w:jc w:val="both"/>
        <w:rPr>
          <w:rFonts w:ascii="Palatino Linotype" w:eastAsia="Calibri" w:hAnsi="Palatino Linotype" w:cs="Tahoma"/>
          <w:b/>
          <w:bCs/>
          <w:lang w:eastAsia="en-US"/>
        </w:rPr>
      </w:pPr>
      <w:r w:rsidRPr="009A521D">
        <w:rPr>
          <w:rFonts w:ascii="Palatino Linotype" w:eastAsia="Calibri" w:hAnsi="Palatino Linotype" w:cs="Tahoma"/>
          <w:b/>
          <w:bCs/>
          <w:lang w:eastAsia="en-US"/>
        </w:rPr>
        <w:t>ARTICULO 40.- A la Tesorería Municipal</w:t>
      </w:r>
      <w:r w:rsidRPr="009A521D">
        <w:rPr>
          <w:rFonts w:ascii="Palatino Linotype" w:eastAsia="Calibri" w:hAnsi="Palatino Linotype" w:cs="Tahoma"/>
          <w:bCs/>
          <w:lang w:eastAsia="en-US"/>
        </w:rPr>
        <w:t xml:space="preserve">, por conducto de su titular, a quien se le denominará Tesorero Municipal, además de las atribuciones que expresamente señalan la Ley Orgánica, el Código Financiero del Estado de México y Municipios, el Código Administrativo del Estado de México, la Ley General de Contabilidad Gubernamental y demás normas legales, administrativas y reglamentarias, </w:t>
      </w:r>
      <w:r w:rsidRPr="009A521D">
        <w:rPr>
          <w:rFonts w:ascii="Palatino Linotype" w:eastAsia="Calibri" w:hAnsi="Palatino Linotype" w:cs="Tahoma"/>
          <w:b/>
          <w:bCs/>
          <w:lang w:eastAsia="en-US"/>
        </w:rPr>
        <w:t>le corresponde las siguientes facultades</w:t>
      </w:r>
      <w:r>
        <w:rPr>
          <w:rFonts w:ascii="Palatino Linotype" w:eastAsia="Calibri" w:hAnsi="Palatino Linotype" w:cs="Tahoma"/>
          <w:b/>
          <w:bCs/>
          <w:lang w:eastAsia="en-US"/>
        </w:rPr>
        <w:t>:</w:t>
      </w:r>
    </w:p>
    <w:p w:rsidR="00AD7301" w:rsidRPr="009A521D" w:rsidRDefault="00AD7301" w:rsidP="00AD7301">
      <w:pPr>
        <w:spacing w:line="360" w:lineRule="auto"/>
        <w:ind w:left="567" w:right="539"/>
        <w:jc w:val="both"/>
        <w:rPr>
          <w:rFonts w:ascii="Palatino Linotype" w:eastAsia="Calibri" w:hAnsi="Palatino Linotype" w:cs="Tahoma"/>
          <w:bCs/>
          <w:lang w:eastAsia="en-US"/>
        </w:rPr>
      </w:pPr>
      <w:r w:rsidRPr="009A521D">
        <w:rPr>
          <w:rFonts w:ascii="Palatino Linotype" w:eastAsia="Calibri" w:hAnsi="Palatino Linotype" w:cs="Tahoma"/>
          <w:bCs/>
          <w:lang w:eastAsia="en-US"/>
        </w:rPr>
        <w:t xml:space="preserve">I a la </w:t>
      </w:r>
      <w:proofErr w:type="gramStart"/>
      <w:r w:rsidRPr="009A521D">
        <w:rPr>
          <w:rFonts w:ascii="Palatino Linotype" w:eastAsia="Calibri" w:hAnsi="Palatino Linotype" w:cs="Tahoma"/>
          <w:bCs/>
          <w:lang w:eastAsia="en-US"/>
        </w:rPr>
        <w:t xml:space="preserve">XLIII </w:t>
      </w:r>
      <w:r>
        <w:rPr>
          <w:rFonts w:ascii="Palatino Linotype" w:eastAsia="Calibri" w:hAnsi="Palatino Linotype" w:cs="Tahoma"/>
          <w:bCs/>
          <w:lang w:eastAsia="en-US"/>
        </w:rPr>
        <w:t xml:space="preserve"> </w:t>
      </w:r>
      <w:r w:rsidRPr="009A521D">
        <w:rPr>
          <w:rFonts w:ascii="Palatino Linotype" w:eastAsia="Calibri" w:hAnsi="Palatino Linotype" w:cs="Tahoma"/>
          <w:bCs/>
          <w:lang w:eastAsia="en-US"/>
        </w:rPr>
        <w:t>…</w:t>
      </w:r>
      <w:proofErr w:type="gramEnd"/>
    </w:p>
    <w:p w:rsidR="00AD7301" w:rsidRPr="009A521D" w:rsidRDefault="00AD7301" w:rsidP="00AD7301">
      <w:pPr>
        <w:spacing w:line="360" w:lineRule="auto"/>
        <w:ind w:left="567" w:right="539"/>
        <w:jc w:val="both"/>
        <w:rPr>
          <w:rFonts w:ascii="Palatino Linotype" w:eastAsia="Calibri" w:hAnsi="Palatino Linotype" w:cs="Tahoma"/>
          <w:bCs/>
          <w:lang w:eastAsia="en-US"/>
        </w:rPr>
      </w:pPr>
      <w:r w:rsidRPr="009A521D">
        <w:rPr>
          <w:rFonts w:ascii="Palatino Linotype" w:eastAsia="Calibri" w:hAnsi="Palatino Linotype" w:cs="Tahoma"/>
          <w:bCs/>
          <w:lang w:eastAsia="en-US"/>
        </w:rPr>
        <w:t>XLIV. Contratar y asignar a las diversas áreas de la Administración Pública Municipal, el personal que requieran para sus funciones.</w:t>
      </w:r>
    </w:p>
    <w:p w:rsidR="00AD7301" w:rsidRPr="009A521D" w:rsidRDefault="00AD7301" w:rsidP="00AD7301">
      <w:pPr>
        <w:spacing w:line="360" w:lineRule="auto"/>
        <w:ind w:left="567" w:right="539"/>
        <w:jc w:val="both"/>
        <w:rPr>
          <w:rFonts w:ascii="Palatino Linotype" w:eastAsia="Calibri" w:hAnsi="Palatino Linotype" w:cs="Tahoma"/>
          <w:bCs/>
          <w:lang w:eastAsia="en-US"/>
        </w:rPr>
      </w:pPr>
      <w:r w:rsidRPr="009A521D">
        <w:rPr>
          <w:rFonts w:ascii="Palatino Linotype" w:eastAsia="Calibri" w:hAnsi="Palatino Linotype" w:cs="Tahoma"/>
          <w:bCs/>
          <w:lang w:eastAsia="en-US"/>
        </w:rPr>
        <w:lastRenderedPageBreak/>
        <w:t xml:space="preserve">XLV. </w:t>
      </w:r>
      <w:r w:rsidRPr="009A521D">
        <w:rPr>
          <w:rFonts w:ascii="Palatino Linotype" w:eastAsia="Calibri" w:hAnsi="Palatino Linotype" w:cs="Tahoma"/>
          <w:b/>
          <w:bCs/>
          <w:u w:val="single"/>
          <w:lang w:eastAsia="en-US"/>
        </w:rPr>
        <w:t>Elaborar el tabulador de sueldos y salarios</w:t>
      </w:r>
      <w:r w:rsidRPr="009A521D">
        <w:rPr>
          <w:rFonts w:ascii="Palatino Linotype" w:eastAsia="Calibri" w:hAnsi="Palatino Linotype" w:cs="Tahoma"/>
          <w:bCs/>
          <w:lang w:eastAsia="en-US"/>
        </w:rPr>
        <w:t>, en coordinación con la Tesorería Municipal.</w:t>
      </w:r>
    </w:p>
    <w:p w:rsidR="00AD7301" w:rsidRPr="009A521D" w:rsidRDefault="00AD7301" w:rsidP="00AD7301">
      <w:pPr>
        <w:spacing w:line="360" w:lineRule="auto"/>
        <w:ind w:left="567" w:right="539"/>
        <w:jc w:val="both"/>
        <w:rPr>
          <w:rFonts w:ascii="Palatino Linotype" w:eastAsia="Calibri" w:hAnsi="Palatino Linotype" w:cs="Tahoma"/>
          <w:bCs/>
          <w:lang w:eastAsia="en-US"/>
        </w:rPr>
      </w:pPr>
      <w:r w:rsidRPr="009A521D">
        <w:rPr>
          <w:rFonts w:ascii="Palatino Linotype" w:eastAsia="Calibri" w:hAnsi="Palatino Linotype" w:cs="Tahoma"/>
          <w:bCs/>
          <w:lang w:eastAsia="en-US"/>
        </w:rPr>
        <w:t xml:space="preserve">XLVI. </w:t>
      </w:r>
      <w:r w:rsidRPr="009A521D">
        <w:rPr>
          <w:rFonts w:ascii="Palatino Linotype" w:eastAsia="Calibri" w:hAnsi="Palatino Linotype" w:cs="Tahoma"/>
          <w:b/>
          <w:bCs/>
          <w:u w:val="single"/>
          <w:lang w:eastAsia="en-US"/>
        </w:rPr>
        <w:t xml:space="preserve">Mantener actualizada la plantilla de personal </w:t>
      </w:r>
      <w:r w:rsidRPr="009A521D">
        <w:rPr>
          <w:rFonts w:ascii="Palatino Linotype" w:eastAsia="Calibri" w:hAnsi="Palatino Linotype" w:cs="Tahoma"/>
          <w:bCs/>
          <w:lang w:eastAsia="en-US"/>
        </w:rPr>
        <w:t>autorizada por la Administración Pública Municipal.</w:t>
      </w:r>
    </w:p>
    <w:p w:rsidR="00AD7301" w:rsidRPr="009A521D" w:rsidRDefault="00AD7301" w:rsidP="00AD7301">
      <w:pPr>
        <w:spacing w:line="360" w:lineRule="auto"/>
        <w:ind w:left="567" w:right="539"/>
        <w:jc w:val="both"/>
        <w:rPr>
          <w:rFonts w:ascii="Palatino Linotype" w:eastAsia="Calibri" w:hAnsi="Palatino Linotype" w:cs="Tahoma"/>
          <w:bCs/>
          <w:lang w:eastAsia="en-US"/>
        </w:rPr>
      </w:pPr>
      <w:r w:rsidRPr="009A521D">
        <w:rPr>
          <w:rFonts w:ascii="Palatino Linotype" w:eastAsia="Calibri" w:hAnsi="Palatino Linotype" w:cs="Tahoma"/>
          <w:bCs/>
          <w:lang w:eastAsia="en-US"/>
        </w:rPr>
        <w:t xml:space="preserve">XLVII. </w:t>
      </w:r>
      <w:r w:rsidRPr="009A521D">
        <w:rPr>
          <w:rFonts w:ascii="Palatino Linotype" w:eastAsia="Calibri" w:hAnsi="Palatino Linotype" w:cs="Tahoma"/>
          <w:b/>
          <w:bCs/>
          <w:u w:val="single"/>
          <w:lang w:eastAsia="en-US"/>
        </w:rPr>
        <w:t>Elaborar la nómina para el pago puntual de la misma</w:t>
      </w:r>
      <w:r w:rsidRPr="009A521D">
        <w:rPr>
          <w:rFonts w:ascii="Palatino Linotype" w:eastAsia="Calibri" w:hAnsi="Palatino Linotype" w:cs="Tahoma"/>
          <w:bCs/>
          <w:lang w:eastAsia="en-US"/>
        </w:rPr>
        <w:t>, en coordinación con la Tesorería Municipal.</w:t>
      </w:r>
    </w:p>
    <w:p w:rsidR="00AD7301" w:rsidRDefault="00AD7301" w:rsidP="00AD7301">
      <w:pPr>
        <w:spacing w:line="360" w:lineRule="auto"/>
        <w:ind w:right="-93"/>
        <w:jc w:val="both"/>
        <w:rPr>
          <w:rFonts w:ascii="Palatino Linotype" w:eastAsia="Calibri" w:hAnsi="Palatino Linotype" w:cs="Tahoma"/>
          <w:bCs/>
          <w:sz w:val="22"/>
          <w:szCs w:val="22"/>
          <w:lang w:eastAsia="en-US"/>
        </w:rPr>
      </w:pPr>
    </w:p>
    <w:p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lograrlo, dicha unidad administrativa, cuenta con la Coordinación de Recursos Humanos y Nómina, la cual, dentro de sus funciones </w:t>
      </w:r>
      <w:r w:rsidR="00470AC2">
        <w:rPr>
          <w:rFonts w:ascii="Palatino Linotype" w:eastAsia="Calibri" w:hAnsi="Palatino Linotype" w:cs="Tahoma"/>
          <w:bCs/>
          <w:sz w:val="22"/>
          <w:szCs w:val="22"/>
          <w:lang w:eastAsia="en-US"/>
        </w:rPr>
        <w:t xml:space="preserve">se encuentra </w:t>
      </w:r>
      <w:r>
        <w:rPr>
          <w:rFonts w:ascii="Palatino Linotype" w:eastAsia="Calibri" w:hAnsi="Palatino Linotype" w:cs="Tahoma"/>
          <w:bCs/>
          <w:sz w:val="22"/>
          <w:szCs w:val="22"/>
          <w:lang w:eastAsia="en-US"/>
        </w:rPr>
        <w:t>la contratación y asignación</w:t>
      </w:r>
      <w:r w:rsidRPr="00240764">
        <w:rPr>
          <w:rFonts w:ascii="Palatino Linotype" w:eastAsia="Calibri" w:hAnsi="Palatino Linotype" w:cs="Tahoma"/>
          <w:bCs/>
          <w:sz w:val="22"/>
          <w:szCs w:val="22"/>
          <w:lang w:eastAsia="en-US"/>
        </w:rPr>
        <w:t xml:space="preserve"> a las diversas áreas </w:t>
      </w:r>
      <w:r w:rsidR="00470AC2">
        <w:rPr>
          <w:rFonts w:ascii="Palatino Linotype" w:eastAsia="Calibri" w:hAnsi="Palatino Linotype" w:cs="Tahoma"/>
          <w:bCs/>
          <w:sz w:val="22"/>
          <w:szCs w:val="22"/>
          <w:lang w:eastAsia="en-US"/>
        </w:rPr>
        <w:t>de</w:t>
      </w:r>
      <w:r w:rsidRPr="00240764">
        <w:rPr>
          <w:rFonts w:ascii="Palatino Linotype" w:eastAsia="Calibri" w:hAnsi="Palatino Linotype" w:cs="Tahoma"/>
          <w:bCs/>
          <w:sz w:val="22"/>
          <w:szCs w:val="22"/>
          <w:lang w:eastAsia="en-US"/>
        </w:rPr>
        <w:t>l personal que requieran para sus funciones, elaborar</w:t>
      </w:r>
      <w:r w:rsidR="00470AC2">
        <w:rPr>
          <w:rFonts w:ascii="Palatino Linotype" w:eastAsia="Calibri" w:hAnsi="Palatino Linotype" w:cs="Tahoma"/>
          <w:bCs/>
          <w:sz w:val="22"/>
          <w:szCs w:val="22"/>
          <w:lang w:eastAsia="en-US"/>
        </w:rPr>
        <w:t xml:space="preserve"> el</w:t>
      </w:r>
      <w:r w:rsidRPr="002407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tabulador de sueldos y salarios</w:t>
      </w:r>
      <w:r w:rsidR="00470AC2">
        <w:rPr>
          <w:rFonts w:ascii="Palatino Linotype" w:eastAsia="Calibri" w:hAnsi="Palatino Linotype" w:cs="Tahoma"/>
          <w:bCs/>
          <w:sz w:val="22"/>
          <w:szCs w:val="22"/>
          <w:lang w:eastAsia="en-US"/>
        </w:rPr>
        <w:t>.</w:t>
      </w:r>
    </w:p>
    <w:p w:rsidR="00470AC2" w:rsidRDefault="00470AC2" w:rsidP="00AD7301">
      <w:pPr>
        <w:widowControl w:val="0"/>
        <w:spacing w:line="360" w:lineRule="auto"/>
        <w:ind w:right="-91"/>
        <w:jc w:val="both"/>
        <w:rPr>
          <w:rFonts w:ascii="Palatino Linotype" w:eastAsia="Calibri" w:hAnsi="Palatino Linotype" w:cs="Tahoma"/>
          <w:bCs/>
          <w:sz w:val="22"/>
          <w:szCs w:val="22"/>
          <w:lang w:eastAsia="en-US"/>
        </w:rPr>
      </w:pPr>
    </w:p>
    <w:p w:rsidR="00AD7301" w:rsidRPr="00F67BDF" w:rsidRDefault="00AD7301" w:rsidP="00AD7301">
      <w:pPr>
        <w:widowControl w:val="0"/>
        <w:spacing w:line="360" w:lineRule="auto"/>
        <w:ind w:right="-91"/>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Conforme a lo anterior, se advierte que el </w:t>
      </w:r>
      <w:r w:rsidR="00956793">
        <w:rPr>
          <w:rFonts w:ascii="Palatino Linotype" w:eastAsia="Calibri" w:hAnsi="Palatino Linotype" w:cs="Tahoma"/>
          <w:bCs/>
          <w:sz w:val="22"/>
          <w:szCs w:val="22"/>
          <w:lang w:eastAsia="en-US"/>
        </w:rPr>
        <w:t>Sujeto Obligado</w:t>
      </w:r>
      <w:r w:rsidRPr="00F67BDF">
        <w:rPr>
          <w:rFonts w:ascii="Palatino Linotype" w:eastAsia="Calibri" w:hAnsi="Palatino Linotype" w:cs="Tahoma"/>
          <w:bCs/>
          <w:sz w:val="22"/>
          <w:szCs w:val="22"/>
          <w:lang w:eastAsia="en-US"/>
        </w:rPr>
        <w:t xml:space="preserve"> cuenta </w:t>
      </w:r>
      <w:r>
        <w:rPr>
          <w:rFonts w:ascii="Palatino Linotype" w:eastAsia="Calibri" w:hAnsi="Palatino Linotype" w:cs="Tahoma"/>
          <w:bCs/>
          <w:sz w:val="22"/>
          <w:szCs w:val="22"/>
          <w:lang w:eastAsia="en-US"/>
        </w:rPr>
        <w:t xml:space="preserve">con un área específica para </w:t>
      </w:r>
      <w:r w:rsidRPr="00F67BDF">
        <w:rPr>
          <w:rFonts w:ascii="Palatino Linotype" w:eastAsia="Calibri" w:hAnsi="Palatino Linotype" w:cs="Tahoma"/>
          <w:bCs/>
          <w:sz w:val="22"/>
          <w:szCs w:val="22"/>
          <w:lang w:eastAsia="en-US"/>
        </w:rPr>
        <w:t xml:space="preserve">conocer de la solicitud de información, a saber, </w:t>
      </w:r>
      <w:r w:rsidRPr="00F55644">
        <w:rPr>
          <w:rFonts w:ascii="Palatino Linotype" w:eastAsia="Calibri" w:hAnsi="Palatino Linotype" w:cs="Tahoma"/>
          <w:b/>
          <w:bCs/>
          <w:sz w:val="22"/>
          <w:szCs w:val="22"/>
          <w:lang w:eastAsia="en-US"/>
        </w:rPr>
        <w:t xml:space="preserve">la </w:t>
      </w:r>
      <w:r>
        <w:rPr>
          <w:rFonts w:ascii="Palatino Linotype" w:eastAsia="Calibri" w:hAnsi="Palatino Linotype" w:cs="Tahoma"/>
          <w:b/>
          <w:bCs/>
          <w:sz w:val="22"/>
          <w:szCs w:val="22"/>
          <w:lang w:eastAsia="en-US"/>
        </w:rPr>
        <w:t xml:space="preserve">Tesorería Municipal a través de la Coordinación de </w:t>
      </w:r>
      <w:r w:rsidR="008B60FB">
        <w:rPr>
          <w:rFonts w:ascii="Palatino Linotype" w:eastAsia="Calibri" w:hAnsi="Palatino Linotype" w:cs="Tahoma"/>
          <w:b/>
          <w:bCs/>
          <w:sz w:val="22"/>
          <w:szCs w:val="22"/>
          <w:lang w:eastAsia="en-US"/>
        </w:rPr>
        <w:t>R</w:t>
      </w:r>
      <w:r>
        <w:rPr>
          <w:rFonts w:ascii="Palatino Linotype" w:eastAsia="Calibri" w:hAnsi="Palatino Linotype" w:cs="Tahoma"/>
          <w:b/>
          <w:bCs/>
          <w:sz w:val="22"/>
          <w:szCs w:val="22"/>
          <w:lang w:eastAsia="en-US"/>
        </w:rPr>
        <w:t xml:space="preserve">ecursos Humanos y </w:t>
      </w:r>
      <w:r w:rsidR="008B60FB">
        <w:rPr>
          <w:rFonts w:ascii="Palatino Linotype" w:eastAsia="Calibri" w:hAnsi="Palatino Linotype" w:cs="Tahoma"/>
          <w:b/>
          <w:bCs/>
          <w:sz w:val="22"/>
          <w:szCs w:val="22"/>
          <w:lang w:eastAsia="en-US"/>
        </w:rPr>
        <w:t>N</w:t>
      </w:r>
      <w:r>
        <w:rPr>
          <w:rFonts w:ascii="Palatino Linotype" w:eastAsia="Calibri" w:hAnsi="Palatino Linotype" w:cs="Tahoma"/>
          <w:b/>
          <w:bCs/>
          <w:sz w:val="22"/>
          <w:szCs w:val="22"/>
          <w:lang w:eastAsia="en-US"/>
        </w:rPr>
        <w:t>ómina</w:t>
      </w:r>
      <w:r w:rsidRPr="00F55644">
        <w:rPr>
          <w:rFonts w:ascii="Palatino Linotype" w:eastAsia="Calibri" w:hAnsi="Palatino Linotype" w:cs="Tahoma"/>
          <w:b/>
          <w:bCs/>
          <w:sz w:val="22"/>
          <w:szCs w:val="22"/>
          <w:lang w:eastAsia="en-US"/>
        </w:rPr>
        <w:t>,</w:t>
      </w:r>
      <w:r w:rsidRPr="00F67BDF">
        <w:rPr>
          <w:rFonts w:ascii="Palatino Linotype" w:eastAsia="Calibri" w:hAnsi="Palatino Linotype" w:cs="Tahoma"/>
          <w:bCs/>
          <w:sz w:val="22"/>
          <w:szCs w:val="22"/>
          <w:lang w:eastAsia="en-US"/>
        </w:rPr>
        <w:t xml:space="preserve"> al contar con atribuciones para conocer de </w:t>
      </w:r>
      <w:r>
        <w:rPr>
          <w:rFonts w:ascii="Palatino Linotype" w:eastAsia="Calibri" w:hAnsi="Palatino Linotype" w:cs="Tahoma"/>
          <w:bCs/>
          <w:sz w:val="22"/>
          <w:szCs w:val="22"/>
          <w:lang w:eastAsia="en-US"/>
        </w:rPr>
        <w:t>las remuneraciones otorgadas a los servidores públicos que laboran en el Ayuntamiento en cuestión;  por lo que</w:t>
      </w:r>
      <w:r w:rsidRPr="00F67BDF">
        <w:rPr>
          <w:rFonts w:ascii="Palatino Linotype" w:eastAsia="Calibri" w:hAnsi="Palatino Linotype" w:cs="Tahoma"/>
          <w:bCs/>
          <w:sz w:val="22"/>
          <w:szCs w:val="22"/>
          <w:lang w:eastAsia="en-US"/>
        </w:rPr>
        <w:t xml:space="preserve">, se advierte que turnó la solicitud de información </w:t>
      </w:r>
      <w:r>
        <w:rPr>
          <w:rFonts w:ascii="Palatino Linotype" w:eastAsia="Calibri" w:hAnsi="Palatino Linotype" w:cs="Tahoma"/>
          <w:bCs/>
          <w:sz w:val="22"/>
          <w:szCs w:val="22"/>
          <w:lang w:eastAsia="en-US"/>
        </w:rPr>
        <w:t>al área</w:t>
      </w:r>
      <w:r w:rsidRPr="00F67BDF">
        <w:rPr>
          <w:rFonts w:ascii="Palatino Linotype" w:eastAsia="Calibri" w:hAnsi="Palatino Linotype" w:cs="Tahoma"/>
          <w:bCs/>
          <w:sz w:val="22"/>
          <w:szCs w:val="22"/>
          <w:lang w:eastAsia="en-US"/>
        </w:rPr>
        <w:t>, que conf</w:t>
      </w:r>
      <w:r>
        <w:rPr>
          <w:rFonts w:ascii="Palatino Linotype" w:eastAsia="Calibri" w:hAnsi="Palatino Linotype" w:cs="Tahoma"/>
          <w:bCs/>
          <w:sz w:val="22"/>
          <w:szCs w:val="22"/>
          <w:lang w:eastAsia="en-US"/>
        </w:rPr>
        <w:t>orme a sus atribuciones pudiera</w:t>
      </w:r>
      <w:r w:rsidRPr="00F67BDF">
        <w:rPr>
          <w:rFonts w:ascii="Palatino Linotype" w:eastAsia="Calibri" w:hAnsi="Palatino Linotype" w:cs="Tahoma"/>
          <w:bCs/>
          <w:sz w:val="22"/>
          <w:szCs w:val="22"/>
          <w:lang w:eastAsia="en-US"/>
        </w:rPr>
        <w:t xml:space="preserve"> contar con la informaci</w:t>
      </w:r>
      <w:r>
        <w:rPr>
          <w:rFonts w:ascii="Palatino Linotype" w:eastAsia="Calibri" w:hAnsi="Palatino Linotype" w:cs="Tahoma"/>
          <w:bCs/>
          <w:sz w:val="22"/>
          <w:szCs w:val="22"/>
          <w:lang w:eastAsia="en-US"/>
        </w:rPr>
        <w:t xml:space="preserve">ón requerida por el particular; </w:t>
      </w:r>
      <w:r w:rsidR="0070683A">
        <w:rPr>
          <w:rFonts w:ascii="Palatino Linotype" w:eastAsia="Calibri" w:hAnsi="Palatino Linotype" w:cs="Tahoma"/>
          <w:bCs/>
          <w:sz w:val="22"/>
          <w:szCs w:val="22"/>
          <w:lang w:eastAsia="en-US"/>
        </w:rPr>
        <w:t xml:space="preserve">sin que la área competente emitirá respuesta alguna. </w:t>
      </w:r>
    </w:p>
    <w:p w:rsidR="00AD7301" w:rsidRPr="00985849" w:rsidRDefault="00AD7301" w:rsidP="00985849">
      <w:pPr>
        <w:spacing w:line="360" w:lineRule="auto"/>
        <w:ind w:right="-93"/>
        <w:jc w:val="both"/>
        <w:rPr>
          <w:rFonts w:ascii="Palatino Linotype" w:eastAsia="Calibri" w:hAnsi="Palatino Linotype" w:cs="Tahoma"/>
          <w:bCs/>
          <w:sz w:val="22"/>
          <w:szCs w:val="22"/>
          <w:lang w:eastAsia="en-US"/>
        </w:rPr>
      </w:pPr>
    </w:p>
    <w:p w:rsidR="0070683A" w:rsidRPr="00985849" w:rsidRDefault="00B37CF8" w:rsidP="0070683A">
      <w:pPr>
        <w:tabs>
          <w:tab w:val="left" w:pos="4962"/>
        </w:tabs>
        <w:spacing w:line="360" w:lineRule="auto"/>
        <w:jc w:val="both"/>
        <w:rPr>
          <w:rFonts w:ascii="Palatino Linotype" w:hAnsi="Palatino Linotype" w:cs="Tahoma"/>
          <w:sz w:val="22"/>
          <w:szCs w:val="22"/>
        </w:rPr>
      </w:pPr>
      <w:r w:rsidRPr="00985849">
        <w:rPr>
          <w:rFonts w:ascii="Palatino Linotype" w:eastAsia="Calibri" w:hAnsi="Palatino Linotype" w:cs="Tahoma"/>
          <w:bCs/>
          <w:sz w:val="22"/>
          <w:szCs w:val="22"/>
          <w:lang w:eastAsia="en-US"/>
        </w:rPr>
        <w:t>Expuestas las posturas de las partes, se</w:t>
      </w:r>
      <w:r w:rsidR="002E6811" w:rsidRPr="00985849">
        <w:rPr>
          <w:rFonts w:ascii="Palatino Linotype" w:eastAsia="Calibri" w:hAnsi="Palatino Linotype" w:cs="Tahoma"/>
          <w:bCs/>
          <w:sz w:val="22"/>
          <w:szCs w:val="22"/>
          <w:lang w:eastAsia="en-US"/>
        </w:rPr>
        <w:t xml:space="preserve"> procede al análisis de la naturaleza de la informaci</w:t>
      </w:r>
      <w:r w:rsidR="00A35EFA" w:rsidRPr="00985849">
        <w:rPr>
          <w:rFonts w:ascii="Palatino Linotype" w:eastAsia="Calibri" w:hAnsi="Palatino Linotype" w:cs="Tahoma"/>
          <w:bCs/>
          <w:sz w:val="22"/>
          <w:szCs w:val="22"/>
          <w:lang w:eastAsia="en-US"/>
        </w:rPr>
        <w:t>ón</w:t>
      </w:r>
      <w:r w:rsidR="0070683A">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 </w:t>
      </w:r>
      <w:r w:rsidR="0070683A">
        <w:rPr>
          <w:rFonts w:ascii="Palatino Linotype" w:eastAsia="Calibri" w:hAnsi="Palatino Linotype" w:cs="Tahoma"/>
          <w:bCs/>
          <w:sz w:val="22"/>
          <w:szCs w:val="22"/>
          <w:lang w:eastAsia="en-US"/>
        </w:rPr>
        <w:t xml:space="preserve">La </w:t>
      </w:r>
      <w:r w:rsidR="0070683A" w:rsidRPr="00985849">
        <w:rPr>
          <w:rFonts w:ascii="Palatino Linotype" w:hAnsi="Palatino Linotype" w:cs="Tahoma"/>
          <w:i/>
          <w:sz w:val="22"/>
          <w:szCs w:val="22"/>
        </w:rPr>
        <w:t>nómina</w:t>
      </w:r>
      <w:r w:rsidR="0070683A" w:rsidRPr="00985849">
        <w:rPr>
          <w:rFonts w:ascii="Palatino Linotype" w:hAnsi="Palatino Linotype" w:cs="Tahoma"/>
          <w:sz w:val="22"/>
          <w:szCs w:val="22"/>
        </w:rPr>
        <w:t>, conforme al “Glosario de Términos Más Usuales de Finanzas Publicas” publicado por el Centro de Estudios de las Finanzas Públicas de la Cámara de Diputados del H. Congreso de la Unión, se define como:</w:t>
      </w:r>
    </w:p>
    <w:p w:rsidR="0070683A" w:rsidRPr="00985849" w:rsidRDefault="0070683A" w:rsidP="0070683A">
      <w:pPr>
        <w:spacing w:line="360" w:lineRule="auto"/>
        <w:jc w:val="both"/>
        <w:rPr>
          <w:rFonts w:ascii="Palatino Linotype" w:hAnsi="Palatino Linotype" w:cs="Tahoma"/>
          <w:sz w:val="22"/>
          <w:szCs w:val="22"/>
        </w:rPr>
      </w:pPr>
    </w:p>
    <w:p w:rsidR="0070683A" w:rsidRPr="00985849" w:rsidRDefault="0070683A" w:rsidP="0070683A">
      <w:pPr>
        <w:spacing w:line="360" w:lineRule="auto"/>
        <w:ind w:left="567" w:right="539"/>
        <w:jc w:val="both"/>
        <w:rPr>
          <w:rFonts w:ascii="Palatino Linotype" w:hAnsi="Palatino Linotype" w:cs="Tahoma"/>
          <w:sz w:val="22"/>
          <w:szCs w:val="22"/>
        </w:rPr>
      </w:pPr>
      <w:r w:rsidRPr="00985849">
        <w:rPr>
          <w:rFonts w:ascii="Palatino Linotype" w:hAnsi="Palatino Linotype" w:cs="Tahoma"/>
          <w:sz w:val="22"/>
          <w:szCs w:val="22"/>
        </w:rPr>
        <w:t>“NOMINA</w:t>
      </w:r>
    </w:p>
    <w:p w:rsidR="0070683A" w:rsidRPr="00985849" w:rsidRDefault="0070683A" w:rsidP="0070683A">
      <w:pPr>
        <w:spacing w:line="360" w:lineRule="auto"/>
        <w:ind w:left="567" w:right="539"/>
        <w:jc w:val="both"/>
        <w:rPr>
          <w:rFonts w:ascii="Palatino Linotype" w:hAnsi="Palatino Linotype" w:cs="Tahoma"/>
          <w:sz w:val="22"/>
          <w:szCs w:val="22"/>
        </w:rPr>
      </w:pPr>
      <w:r w:rsidRPr="00985849">
        <w:rPr>
          <w:rFonts w:ascii="Palatino Linotype" w:hAnsi="Palatino Linotype" w:cs="Tahoma"/>
          <w:b/>
          <w:sz w:val="22"/>
          <w:szCs w:val="22"/>
          <w:u w:val="single"/>
        </w:rPr>
        <w:t>Listado general de los trabajadores de una institución, en el cual se asientan las percepciones brutas, deducciones y alcance neto de las mismas</w:t>
      </w:r>
      <w:r w:rsidRPr="00985849">
        <w:rPr>
          <w:rFonts w:ascii="Palatino Linotype" w:hAnsi="Palatino Linotype" w:cs="Tahoma"/>
          <w:sz w:val="22"/>
          <w:szCs w:val="22"/>
        </w:rPr>
        <w:t xml:space="preserve">; la nómina es </w:t>
      </w:r>
      <w:r w:rsidRPr="00985849">
        <w:rPr>
          <w:rFonts w:ascii="Palatino Linotype" w:hAnsi="Palatino Linotype" w:cs="Tahoma"/>
          <w:sz w:val="22"/>
          <w:szCs w:val="22"/>
        </w:rPr>
        <w:lastRenderedPageBreak/>
        <w:t>utilizada para efectuar los pagos periódicos (semanales, quincenales o mensuales) a los trabajadores por concepto de sueldos y salarios.”</w:t>
      </w:r>
    </w:p>
    <w:p w:rsidR="00B37CF8" w:rsidRDefault="0070683A" w:rsidP="0070683A">
      <w:pPr>
        <w:spacing w:line="360" w:lineRule="auto"/>
        <w:ind w:left="567" w:right="539"/>
        <w:jc w:val="both"/>
        <w:rPr>
          <w:rFonts w:ascii="Palatino Linotype" w:hAnsi="Palatino Linotype" w:cs="Tahoma"/>
          <w:sz w:val="22"/>
          <w:szCs w:val="22"/>
        </w:rPr>
      </w:pPr>
      <w:r w:rsidRPr="00985849">
        <w:rPr>
          <w:rFonts w:ascii="Palatino Linotype" w:hAnsi="Palatino Linotype" w:cs="Tahoma"/>
          <w:sz w:val="22"/>
          <w:szCs w:val="22"/>
        </w:rPr>
        <w:t>(Énfasis añadido)</w:t>
      </w:r>
    </w:p>
    <w:p w:rsidR="00B37CF8" w:rsidRPr="00985849" w:rsidRDefault="00B37CF8" w:rsidP="00985849">
      <w:pPr>
        <w:spacing w:line="360" w:lineRule="auto"/>
        <w:ind w:right="-93"/>
        <w:jc w:val="both"/>
        <w:rPr>
          <w:rFonts w:ascii="Palatino Linotype" w:eastAsia="Calibri" w:hAnsi="Palatino Linotype" w:cs="Tahoma"/>
          <w:bCs/>
          <w:sz w:val="22"/>
          <w:szCs w:val="22"/>
          <w:lang w:eastAsia="en-US"/>
        </w:rPr>
      </w:pPr>
    </w:p>
    <w:p w:rsidR="00B37CF8" w:rsidRPr="00985849" w:rsidRDefault="00B37CF8"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contexto, cabe recordar que el particular solicitó diversas relaciones con los siguientes datos, </w:t>
      </w:r>
      <w:r w:rsidRPr="00985849">
        <w:rPr>
          <w:rFonts w:ascii="Palatino Linotype" w:eastAsia="Calibri" w:hAnsi="Palatino Linotype" w:cs="Tahoma"/>
          <w:b/>
          <w:bCs/>
          <w:sz w:val="22"/>
          <w:szCs w:val="22"/>
          <w:lang w:eastAsia="en-US"/>
        </w:rPr>
        <w:t>el sueldo bruto y el sobresueldo</w:t>
      </w:r>
      <w:r w:rsidRPr="00985849">
        <w:rPr>
          <w:rFonts w:ascii="Palatino Linotype" w:eastAsia="Calibri" w:hAnsi="Palatino Linotype" w:cs="Tahoma"/>
          <w:bCs/>
          <w:sz w:val="22"/>
          <w:szCs w:val="22"/>
          <w:lang w:eastAsia="en-US"/>
        </w:rPr>
        <w:t xml:space="preserve">, entendiéndose este como las demás prestaciones con las que cuenta un trabajador, a parte del salario; por lo que, en el presente caso, se logra advertir que su pretensión </w:t>
      </w:r>
      <w:r w:rsidRPr="0070683A">
        <w:rPr>
          <w:rFonts w:ascii="Palatino Linotype" w:eastAsia="Calibri" w:hAnsi="Palatino Linotype" w:cs="Tahoma"/>
          <w:b/>
          <w:bCs/>
          <w:sz w:val="22"/>
          <w:szCs w:val="22"/>
          <w:u w:val="single"/>
          <w:lang w:eastAsia="en-US"/>
        </w:rPr>
        <w:t>es obtener el documento, que contenga las percepciones</w:t>
      </w:r>
      <w:r w:rsidRPr="00985849">
        <w:rPr>
          <w:rFonts w:ascii="Palatino Linotype" w:eastAsia="Calibri" w:hAnsi="Palatino Linotype" w:cs="Tahoma"/>
          <w:bCs/>
          <w:sz w:val="22"/>
          <w:szCs w:val="22"/>
          <w:lang w:eastAsia="en-US"/>
        </w:rPr>
        <w:t xml:space="preserve"> que reciben los servidores públicos que laboran en el Ayuntamiento de</w:t>
      </w:r>
      <w:r w:rsidR="000477E7" w:rsidRPr="00985849">
        <w:rPr>
          <w:rFonts w:ascii="Palatino Linotype" w:eastAsia="Calibri" w:hAnsi="Palatino Linotype" w:cs="Tahoma"/>
          <w:bCs/>
          <w:sz w:val="22"/>
          <w:szCs w:val="22"/>
          <w:lang w:eastAsia="en-US"/>
        </w:rPr>
        <w:t xml:space="preserve"> Tultitlán</w:t>
      </w:r>
      <w:r w:rsidRPr="00985849">
        <w:rPr>
          <w:rFonts w:ascii="Palatino Linotype" w:eastAsia="Calibri" w:hAnsi="Palatino Linotype" w:cs="Tahoma"/>
          <w:bCs/>
          <w:sz w:val="22"/>
          <w:szCs w:val="22"/>
          <w:lang w:eastAsia="en-US"/>
        </w:rPr>
        <w:t>; esto es, de los trabajadores de base, confianza, sindicalizados, policías, temporales (lista de raya) y similares.</w:t>
      </w:r>
    </w:p>
    <w:p w:rsidR="00B37CF8" w:rsidRPr="00985849" w:rsidRDefault="00B37CF8" w:rsidP="00985849">
      <w:pPr>
        <w:spacing w:line="360" w:lineRule="auto"/>
        <w:ind w:right="-93"/>
        <w:jc w:val="both"/>
        <w:rPr>
          <w:rFonts w:ascii="Palatino Linotype" w:eastAsia="Calibri" w:hAnsi="Palatino Linotype" w:cs="Tahoma"/>
          <w:bCs/>
          <w:sz w:val="22"/>
          <w:szCs w:val="22"/>
          <w:lang w:eastAsia="en-US"/>
        </w:rPr>
      </w:pPr>
    </w:p>
    <w:p w:rsidR="00B37CF8" w:rsidRPr="00985849" w:rsidRDefault="00B37CF8"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sidR="008B60FB">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sidR="008B60FB">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rsidR="004D65B7" w:rsidRPr="00985849" w:rsidRDefault="004D65B7" w:rsidP="00985849">
      <w:pPr>
        <w:spacing w:line="360" w:lineRule="auto"/>
        <w:ind w:right="-93"/>
        <w:jc w:val="both"/>
        <w:rPr>
          <w:rFonts w:ascii="Palatino Linotype" w:eastAsia="Calibri" w:hAnsi="Palatino Linotype" w:cs="Tahoma"/>
          <w:bCs/>
          <w:sz w:val="22"/>
          <w:szCs w:val="22"/>
          <w:lang w:eastAsia="en-US"/>
        </w:rPr>
      </w:pPr>
    </w:p>
    <w:p w:rsidR="00B37CF8" w:rsidRPr="00985849" w:rsidRDefault="00B37CF8"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0477E7" w:rsidRDefault="000477E7" w:rsidP="00985849">
      <w:pPr>
        <w:spacing w:line="360" w:lineRule="auto"/>
        <w:ind w:right="-93"/>
        <w:jc w:val="both"/>
        <w:rPr>
          <w:rFonts w:ascii="Palatino Linotype" w:eastAsia="Calibri" w:hAnsi="Palatino Linotype" w:cs="Tahoma"/>
          <w:bCs/>
          <w:sz w:val="22"/>
          <w:szCs w:val="22"/>
          <w:lang w:eastAsia="en-US"/>
        </w:rPr>
      </w:pPr>
    </w:p>
    <w:p w:rsidR="002C5695" w:rsidRDefault="002C5695" w:rsidP="002C569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igual forma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w:t>
      </w:r>
      <w:r w:rsidR="00956793">
        <w:rPr>
          <w:rFonts w:ascii="Palatino Linotype" w:eastAsia="Calibri" w:hAnsi="Palatino Linotype" w:cs="Tahoma"/>
          <w:bCs/>
          <w:sz w:val="22"/>
          <w:szCs w:val="22"/>
          <w:lang w:eastAsia="en-US"/>
        </w:rPr>
        <w:t>Sujeto Obligado</w:t>
      </w:r>
      <w:r>
        <w:rPr>
          <w:rFonts w:ascii="Palatino Linotype" w:eastAsia="Calibri" w:hAnsi="Palatino Linotype" w:cs="Tahoma"/>
          <w:bCs/>
          <w:sz w:val="22"/>
          <w:szCs w:val="22"/>
          <w:lang w:eastAsia="en-US"/>
        </w:rPr>
        <w:t xml:space="preserve">, entre los que se encuentran los recibos de pagos: </w:t>
      </w:r>
    </w:p>
    <w:p w:rsidR="002C5695" w:rsidRDefault="002C5695" w:rsidP="002C5695">
      <w:pPr>
        <w:tabs>
          <w:tab w:val="left" w:pos="4962"/>
        </w:tabs>
        <w:spacing w:line="360" w:lineRule="auto"/>
        <w:ind w:left="567" w:right="539"/>
        <w:jc w:val="both"/>
        <w:rPr>
          <w:rFonts w:ascii="Palatino Linotype" w:hAnsi="Palatino Linotype" w:cs="Tahoma"/>
        </w:rPr>
      </w:pPr>
    </w:p>
    <w:p w:rsidR="002C5695" w:rsidRPr="002C5695" w:rsidRDefault="002C5695" w:rsidP="009A0C8C">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lastRenderedPageBreak/>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rsidR="002C5695" w:rsidRPr="002C5695" w:rsidRDefault="002C5695" w:rsidP="009A0C8C">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 Contratos, Nombramientos o Formato Único de Mov</w:t>
      </w:r>
      <w:r>
        <w:rPr>
          <w:rFonts w:ascii="Palatino Linotype" w:hAnsi="Palatino Linotype" w:cs="Tahoma"/>
        </w:rPr>
        <w:t xml:space="preserve">imientos de Personal, cuando no </w:t>
      </w:r>
      <w:r w:rsidRPr="002C5695">
        <w:rPr>
          <w:rFonts w:ascii="Palatino Linotype" w:hAnsi="Palatino Linotype" w:cs="Tahoma"/>
        </w:rPr>
        <w:t>exista Convenio de condiciones generales de trabajo aplicable;</w:t>
      </w:r>
    </w:p>
    <w:p w:rsidR="002C5695" w:rsidRPr="002C5695" w:rsidRDefault="002C5695" w:rsidP="009A0C8C">
      <w:pPr>
        <w:tabs>
          <w:tab w:val="left" w:pos="4962"/>
        </w:tabs>
        <w:spacing w:line="360" w:lineRule="auto"/>
        <w:ind w:left="567" w:right="567"/>
        <w:jc w:val="both"/>
        <w:rPr>
          <w:rFonts w:ascii="Palatino Linotype" w:hAnsi="Palatino Linotype" w:cs="Tahoma"/>
          <w:b/>
          <w:u w:val="single"/>
        </w:rPr>
      </w:pPr>
      <w:r w:rsidRPr="002C5695">
        <w:rPr>
          <w:rFonts w:ascii="Palatino Linotype" w:hAnsi="Palatino Linotype" w:cs="Tahoma"/>
          <w:b/>
          <w:u w:val="single"/>
        </w:rPr>
        <w:t>II. Recibos de pagos de salarios o las constancias documentales del pago de salario cuando sea por depósito o mediante información electrónica;</w:t>
      </w:r>
    </w:p>
    <w:p w:rsidR="002C5695" w:rsidRPr="002C5695" w:rsidRDefault="002C5695" w:rsidP="009A0C8C">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III. Controles de asistencia o la información magnética o e</w:t>
      </w:r>
      <w:r>
        <w:rPr>
          <w:rFonts w:ascii="Palatino Linotype" w:hAnsi="Palatino Linotype" w:cs="Tahoma"/>
        </w:rPr>
        <w:t xml:space="preserve">lectrónica de asistencia de los </w:t>
      </w:r>
      <w:r w:rsidRPr="002C5695">
        <w:rPr>
          <w:rFonts w:ascii="Palatino Linotype" w:hAnsi="Palatino Linotype" w:cs="Tahoma"/>
        </w:rPr>
        <w:t>servidores públicos;</w:t>
      </w:r>
    </w:p>
    <w:p w:rsidR="002C5695" w:rsidRPr="002C5695" w:rsidRDefault="002C5695" w:rsidP="009A0C8C">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b/>
          <w:u w:val="single"/>
        </w:rPr>
        <w:t>IV. Recibos o las constancias de depósito o del medio de información magnética o electrónica que sean utilizadas para el pago de salarios, prima vacacional, aguinaldo y demás prestaciones establecidas en la presente ley;</w:t>
      </w:r>
      <w:r w:rsidRPr="002C5695">
        <w:rPr>
          <w:rFonts w:ascii="Palatino Linotype" w:hAnsi="Palatino Linotype" w:cs="Tahoma"/>
        </w:rPr>
        <w:t xml:space="preserve"> y</w:t>
      </w:r>
    </w:p>
    <w:p w:rsidR="002C5695" w:rsidRDefault="002C5695" w:rsidP="009A0C8C">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V. Los demás que señalen las leyes.</w:t>
      </w:r>
    </w:p>
    <w:p w:rsidR="002C5695" w:rsidRPr="00985849" w:rsidRDefault="002C5695" w:rsidP="00985849">
      <w:pPr>
        <w:spacing w:line="360" w:lineRule="auto"/>
        <w:ind w:right="-93"/>
        <w:jc w:val="both"/>
        <w:rPr>
          <w:rFonts w:ascii="Palatino Linotype" w:eastAsia="Calibri" w:hAnsi="Palatino Linotype" w:cs="Tahoma"/>
          <w:bCs/>
          <w:sz w:val="22"/>
          <w:szCs w:val="22"/>
          <w:lang w:eastAsia="en-US"/>
        </w:rPr>
      </w:pPr>
    </w:p>
    <w:p w:rsidR="00B37CF8" w:rsidRPr="00985849" w:rsidRDefault="00FC293B" w:rsidP="0098584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forma, que la información solicitada por el Recurrente, corresponde a los recibos, constancias documentales del pago de salarios y prestaciones, que conforme a lo expuesto</w:t>
      </w:r>
      <w:r w:rsidR="00FA4111">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FA4111">
        <w:rPr>
          <w:rFonts w:ascii="Palatino Linotype" w:eastAsia="Calibri" w:hAnsi="Palatino Linotype" w:cs="Tahoma"/>
          <w:bCs/>
          <w:sz w:val="22"/>
          <w:szCs w:val="22"/>
          <w:lang w:eastAsia="en-US"/>
        </w:rPr>
        <w:t>los recibos de nómina de los servidores públicos del Ayuntamiento de Tultitlán correspondiente a las dos quincenas de marzo de 2018,</w:t>
      </w:r>
      <w:r w:rsidR="008B60FB">
        <w:rPr>
          <w:rFonts w:ascii="Palatino Linotype" w:eastAsia="Calibri" w:hAnsi="Palatino Linotype" w:cs="Tahoma"/>
          <w:bCs/>
          <w:sz w:val="22"/>
          <w:szCs w:val="22"/>
          <w:lang w:eastAsia="en-US"/>
        </w:rPr>
        <w:t xml:space="preserve"> </w:t>
      </w:r>
      <w:r w:rsidR="00FA4111">
        <w:rPr>
          <w:rFonts w:ascii="Palatino Linotype" w:eastAsia="Calibri" w:hAnsi="Palatino Linotype" w:cs="Tahoma"/>
          <w:bCs/>
          <w:sz w:val="22"/>
          <w:szCs w:val="22"/>
          <w:lang w:eastAsia="en-US"/>
        </w:rPr>
        <w:t xml:space="preserve">se satisface el derecho del particular, </w:t>
      </w:r>
      <w:r>
        <w:rPr>
          <w:rFonts w:ascii="Palatino Linotype" w:eastAsia="Calibri" w:hAnsi="Palatino Linotype" w:cs="Tahoma"/>
          <w:bCs/>
          <w:sz w:val="22"/>
          <w:szCs w:val="22"/>
          <w:lang w:eastAsia="en-US"/>
        </w:rPr>
        <w:t xml:space="preserve"> </w:t>
      </w:r>
      <w:r w:rsidR="002C5695">
        <w:rPr>
          <w:rFonts w:ascii="Palatino Linotype" w:eastAsia="Calibri" w:hAnsi="Palatino Linotype" w:cs="Tahoma"/>
          <w:bCs/>
          <w:sz w:val="22"/>
          <w:szCs w:val="22"/>
          <w:lang w:eastAsia="en-US"/>
        </w:rPr>
        <w:t xml:space="preserve">Por lo que, </w:t>
      </w:r>
      <w:r w:rsidR="008B60FB">
        <w:rPr>
          <w:rFonts w:ascii="Palatino Linotype" w:eastAsia="Calibri" w:hAnsi="Palatino Linotype" w:cs="Tahoma"/>
          <w:bCs/>
          <w:sz w:val="22"/>
          <w:szCs w:val="22"/>
          <w:lang w:eastAsia="en-US"/>
        </w:rPr>
        <w:t xml:space="preserve">el </w:t>
      </w:r>
      <w:r w:rsidR="00956793">
        <w:rPr>
          <w:rFonts w:ascii="Palatino Linotype" w:eastAsia="Calibri" w:hAnsi="Palatino Linotype" w:cs="Tahoma"/>
          <w:bCs/>
          <w:sz w:val="22"/>
          <w:szCs w:val="22"/>
          <w:lang w:eastAsia="en-US"/>
        </w:rPr>
        <w:t>Sujeto Obligado</w:t>
      </w:r>
      <w:r w:rsidR="00B37CF8" w:rsidRPr="00985849">
        <w:rPr>
          <w:rFonts w:ascii="Palatino Linotype" w:eastAsia="Calibri" w:hAnsi="Palatino Linotype" w:cs="Tahoma"/>
          <w:bCs/>
          <w:sz w:val="22"/>
          <w:szCs w:val="22"/>
          <w:lang w:eastAsia="en-US"/>
        </w:rPr>
        <w:t xml:space="preserve"> </w:t>
      </w:r>
      <w:r w:rsidR="00B37CF8" w:rsidRPr="00985849">
        <w:rPr>
          <w:rFonts w:ascii="Palatino Linotype" w:eastAsia="Calibri" w:hAnsi="Palatino Linotype" w:cs="Tahoma"/>
          <w:b/>
          <w:bCs/>
          <w:sz w:val="22"/>
          <w:szCs w:val="22"/>
          <w:lang w:eastAsia="en-US"/>
        </w:rPr>
        <w:t xml:space="preserve">tiene competencia para conocer </w:t>
      </w:r>
      <w:r>
        <w:rPr>
          <w:rFonts w:ascii="Palatino Linotype" w:eastAsia="Calibri" w:hAnsi="Palatino Linotype" w:cs="Tahoma"/>
          <w:b/>
          <w:bCs/>
          <w:sz w:val="22"/>
          <w:szCs w:val="22"/>
          <w:lang w:eastAsia="en-US"/>
        </w:rPr>
        <w:t xml:space="preserve">y poseer  </w:t>
      </w:r>
      <w:r w:rsidR="00B37CF8" w:rsidRPr="00985849">
        <w:rPr>
          <w:rFonts w:ascii="Palatino Linotype" w:eastAsia="Calibri" w:hAnsi="Palatino Linotype" w:cs="Tahoma"/>
          <w:b/>
          <w:bCs/>
          <w:sz w:val="22"/>
          <w:szCs w:val="22"/>
          <w:lang w:eastAsia="en-US"/>
        </w:rPr>
        <w:t>la información solicitada</w:t>
      </w:r>
      <w:r w:rsidR="00B37CF8" w:rsidRPr="00985849">
        <w:rPr>
          <w:rFonts w:ascii="Palatino Linotype" w:eastAsia="Calibri" w:hAnsi="Palatino Linotype" w:cs="Tahoma"/>
          <w:bCs/>
          <w:sz w:val="22"/>
          <w:szCs w:val="22"/>
          <w:lang w:eastAsia="en-US"/>
        </w:rPr>
        <w:t xml:space="preserve"> relacionada</w:t>
      </w:r>
      <w:r>
        <w:rPr>
          <w:rFonts w:ascii="Palatino Linotype" w:eastAsia="Calibri" w:hAnsi="Palatino Linotype" w:cs="Tahoma"/>
          <w:bCs/>
          <w:sz w:val="22"/>
          <w:szCs w:val="22"/>
          <w:lang w:eastAsia="en-US"/>
        </w:rPr>
        <w:t xml:space="preserve"> con la nómina de las dos quincenas de marzo de 2018 de los servidores públicos del A</w:t>
      </w:r>
      <w:r w:rsidR="00956793">
        <w:rPr>
          <w:rFonts w:ascii="Palatino Linotype" w:eastAsia="Calibri" w:hAnsi="Palatino Linotype" w:cs="Tahoma"/>
          <w:bCs/>
          <w:sz w:val="22"/>
          <w:szCs w:val="22"/>
          <w:lang w:eastAsia="en-US"/>
        </w:rPr>
        <w:t>yuntamiento de Tultitlá</w:t>
      </w:r>
      <w:r>
        <w:rPr>
          <w:rFonts w:ascii="Palatino Linotype" w:eastAsia="Calibri" w:hAnsi="Palatino Linotype" w:cs="Tahoma"/>
          <w:bCs/>
          <w:sz w:val="22"/>
          <w:szCs w:val="22"/>
          <w:lang w:eastAsia="en-US"/>
        </w:rPr>
        <w:t xml:space="preserve">n </w:t>
      </w:r>
    </w:p>
    <w:p w:rsidR="00AD7301" w:rsidRPr="00985849" w:rsidRDefault="00AD7301" w:rsidP="00AD7301">
      <w:pPr>
        <w:spacing w:line="360" w:lineRule="auto"/>
        <w:ind w:right="-93"/>
        <w:jc w:val="both"/>
        <w:rPr>
          <w:rFonts w:ascii="Palatino Linotype" w:eastAsia="Calibri" w:hAnsi="Palatino Linotype" w:cs="Tahoma"/>
          <w:bCs/>
          <w:sz w:val="22"/>
          <w:szCs w:val="22"/>
          <w:lang w:eastAsia="en-US"/>
        </w:rPr>
      </w:pPr>
    </w:p>
    <w:p w:rsidR="00AD7301" w:rsidRDefault="0096693C" w:rsidP="00AD7301">
      <w:pPr>
        <w:tabs>
          <w:tab w:val="left" w:pos="4962"/>
        </w:tabs>
        <w:spacing w:line="360" w:lineRule="auto"/>
        <w:jc w:val="both"/>
        <w:rPr>
          <w:rFonts w:ascii="Palatino Linotype" w:hAnsi="Palatino Linotype" w:cs="Tahoma"/>
          <w:b/>
          <w:caps/>
          <w:sz w:val="22"/>
          <w:szCs w:val="22"/>
        </w:rPr>
      </w:pPr>
      <w:r w:rsidRPr="00985849">
        <w:rPr>
          <w:rFonts w:ascii="Palatino Linotype" w:hAnsi="Palatino Linotype" w:cs="Tahoma"/>
          <w:b/>
          <w:caps/>
          <w:sz w:val="22"/>
          <w:szCs w:val="22"/>
        </w:rPr>
        <w:t>Sext</w:t>
      </w:r>
      <w:r>
        <w:rPr>
          <w:rFonts w:ascii="Palatino Linotype" w:hAnsi="Palatino Linotype" w:cs="Tahoma"/>
          <w:b/>
          <w:caps/>
          <w:sz w:val="22"/>
          <w:szCs w:val="22"/>
        </w:rPr>
        <w:t>O</w:t>
      </w:r>
      <w:r w:rsidR="00AD7301" w:rsidRPr="00985849">
        <w:rPr>
          <w:rFonts w:ascii="Palatino Linotype" w:hAnsi="Palatino Linotype" w:cs="Tahoma"/>
          <w:b/>
          <w:caps/>
          <w:sz w:val="22"/>
          <w:szCs w:val="22"/>
        </w:rPr>
        <w:t>. de la versión pública.</w:t>
      </w:r>
    </w:p>
    <w:p w:rsidR="00BA547A" w:rsidRDefault="00BA547A" w:rsidP="00AD7301">
      <w:pPr>
        <w:tabs>
          <w:tab w:val="left" w:pos="4962"/>
        </w:tabs>
        <w:spacing w:line="360" w:lineRule="auto"/>
        <w:jc w:val="both"/>
        <w:rPr>
          <w:rFonts w:ascii="Palatino Linotype" w:hAnsi="Palatino Linotype" w:cs="Tahoma"/>
          <w:b/>
          <w:caps/>
          <w:sz w:val="22"/>
          <w:szCs w:val="22"/>
        </w:rPr>
      </w:pPr>
    </w:p>
    <w:p w:rsidR="00BA547A" w:rsidRPr="00985849" w:rsidRDefault="00BA547A" w:rsidP="00AD7301">
      <w:pPr>
        <w:tabs>
          <w:tab w:val="left" w:pos="4962"/>
        </w:tabs>
        <w:spacing w:line="360" w:lineRule="auto"/>
        <w:jc w:val="both"/>
        <w:rPr>
          <w:rFonts w:ascii="Palatino Linotype" w:hAnsi="Palatino Linotype" w:cs="Tahoma"/>
          <w:b/>
          <w:caps/>
          <w:sz w:val="22"/>
          <w:szCs w:val="22"/>
        </w:rPr>
      </w:pPr>
      <w:r>
        <w:rPr>
          <w:rFonts w:ascii="Palatino Linotype" w:eastAsia="Calibri" w:hAnsi="Palatino Linotype" w:cs="Tahoma"/>
          <w:bCs/>
          <w:sz w:val="22"/>
          <w:szCs w:val="22"/>
          <w:lang w:val="es-ES" w:eastAsia="en-US"/>
        </w:rPr>
        <w:t>No se omite mencionar que uno de los documentos que puede dar respuesta a la solicitud que nos ocupa, de manera enunciativa más no limitativa es la nómina que se remite al Órgano Superior de Fiscalización del Estado de México –OSFEM-, ya que en ella se establece nombre, cargo y sueldo de los trabajadores.</w:t>
      </w:r>
    </w:p>
    <w:p w:rsidR="00985849" w:rsidRPr="00985849" w:rsidRDefault="00985849" w:rsidP="00985849">
      <w:pPr>
        <w:spacing w:line="360" w:lineRule="auto"/>
        <w:jc w:val="both"/>
        <w:rPr>
          <w:rFonts w:ascii="Palatino Linotype" w:hAnsi="Palatino Linotype" w:cs="Tahoma"/>
          <w:i/>
          <w:sz w:val="22"/>
          <w:szCs w:val="22"/>
        </w:rPr>
      </w:pPr>
    </w:p>
    <w:p w:rsidR="00985849" w:rsidRPr="00985849" w:rsidRDefault="00BA547A" w:rsidP="0098584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Ahora bien, de</w:t>
      </w:r>
      <w:r w:rsidR="00985849" w:rsidRPr="00985849">
        <w:rPr>
          <w:rFonts w:ascii="Palatino Linotype" w:hAnsi="Palatino Linotype" w:cs="Tahoma"/>
          <w:sz w:val="22"/>
          <w:szCs w:val="22"/>
        </w:rPr>
        <w:t xml:space="preserve"> ser el caso que </w:t>
      </w:r>
      <w:r>
        <w:rPr>
          <w:rFonts w:ascii="Palatino Linotype" w:hAnsi="Palatino Linotype" w:cs="Tahoma"/>
          <w:sz w:val="22"/>
          <w:szCs w:val="22"/>
        </w:rPr>
        <w:t>los</w:t>
      </w:r>
      <w:r w:rsidR="00985849" w:rsidRPr="00985849">
        <w:rPr>
          <w:rFonts w:ascii="Palatino Linotype" w:hAnsi="Palatino Linotype" w:cs="Tahoma"/>
          <w:sz w:val="22"/>
          <w:szCs w:val="22"/>
        </w:rPr>
        <w:t xml:space="preserve"> documento</w:t>
      </w:r>
      <w:r>
        <w:rPr>
          <w:rFonts w:ascii="Palatino Linotype" w:hAnsi="Palatino Linotype" w:cs="Tahoma"/>
          <w:sz w:val="22"/>
          <w:szCs w:val="22"/>
        </w:rPr>
        <w:t>s</w:t>
      </w:r>
      <w:r w:rsidR="00985849" w:rsidRPr="00985849">
        <w:rPr>
          <w:rFonts w:ascii="Palatino Linotype" w:hAnsi="Palatino Linotype" w:cs="Tahoma"/>
          <w:sz w:val="22"/>
          <w:szCs w:val="22"/>
        </w:rPr>
        <w:t xml:space="preserve"> que d</w:t>
      </w:r>
      <w:r>
        <w:rPr>
          <w:rFonts w:ascii="Palatino Linotype" w:hAnsi="Palatino Linotype" w:cs="Tahoma"/>
          <w:sz w:val="22"/>
          <w:szCs w:val="22"/>
        </w:rPr>
        <w:t>en</w:t>
      </w:r>
      <w:r w:rsidR="00985849" w:rsidRPr="00985849">
        <w:rPr>
          <w:rFonts w:ascii="Palatino Linotype" w:hAnsi="Palatino Linotype" w:cs="Tahoma"/>
          <w:sz w:val="22"/>
          <w:szCs w:val="22"/>
        </w:rPr>
        <w:t xml:space="preserve"> respuesta a la solicitud de acceso a la información que nos ocupa, </w:t>
      </w:r>
      <w:r w:rsidR="00956793">
        <w:rPr>
          <w:rFonts w:ascii="Palatino Linotype" w:hAnsi="Palatino Linotype" w:cs="Tahoma"/>
          <w:sz w:val="22"/>
          <w:szCs w:val="22"/>
        </w:rPr>
        <w:t>sea</w:t>
      </w:r>
      <w:r>
        <w:rPr>
          <w:rFonts w:ascii="Palatino Linotype" w:hAnsi="Palatino Linotype" w:cs="Tahoma"/>
          <w:sz w:val="22"/>
          <w:szCs w:val="22"/>
        </w:rPr>
        <w:t>n</w:t>
      </w:r>
      <w:r w:rsidR="00956793">
        <w:rPr>
          <w:rFonts w:ascii="Palatino Linotype" w:hAnsi="Palatino Linotype" w:cs="Tahoma"/>
          <w:sz w:val="22"/>
          <w:szCs w:val="22"/>
        </w:rPr>
        <w:t xml:space="preserve"> los</w:t>
      </w:r>
      <w:r w:rsidR="00293E0D">
        <w:rPr>
          <w:rFonts w:ascii="Palatino Linotype" w:hAnsi="Palatino Linotype" w:cs="Tahoma"/>
          <w:sz w:val="22"/>
          <w:szCs w:val="22"/>
        </w:rPr>
        <w:t xml:space="preserve"> recibo</w:t>
      </w:r>
      <w:r w:rsidR="00956793">
        <w:rPr>
          <w:rFonts w:ascii="Palatino Linotype" w:hAnsi="Palatino Linotype" w:cs="Tahoma"/>
          <w:sz w:val="22"/>
          <w:szCs w:val="22"/>
        </w:rPr>
        <w:t>s</w:t>
      </w:r>
      <w:r w:rsidR="00293E0D">
        <w:rPr>
          <w:rFonts w:ascii="Palatino Linotype" w:hAnsi="Palatino Linotype" w:cs="Tahoma"/>
          <w:sz w:val="22"/>
          <w:szCs w:val="22"/>
        </w:rPr>
        <w:t xml:space="preserve"> de nómina, la nómina general</w:t>
      </w:r>
      <w:r w:rsidR="00985849" w:rsidRPr="00985849">
        <w:rPr>
          <w:rFonts w:ascii="Palatino Linotype" w:hAnsi="Palatino Linotype" w:cs="Tahoma"/>
          <w:sz w:val="22"/>
          <w:szCs w:val="22"/>
        </w:rPr>
        <w:t xml:space="preserve"> o algún otro que contenga datos personales confidenciales o reservados, el Comité de Transparencia del </w:t>
      </w:r>
      <w:r w:rsidR="00956793">
        <w:rPr>
          <w:rFonts w:ascii="Palatino Linotype" w:hAnsi="Palatino Linotype" w:cs="Tahoma"/>
          <w:sz w:val="22"/>
          <w:szCs w:val="22"/>
        </w:rPr>
        <w:t>Sujeto Obligado</w:t>
      </w:r>
      <w:r w:rsidR="00985849" w:rsidRPr="00985849">
        <w:rPr>
          <w:rFonts w:ascii="Palatino Linotype" w:hAnsi="Palatino Linotype" w:cs="Tahoma"/>
          <w:sz w:val="22"/>
          <w:szCs w:val="22"/>
        </w:rPr>
        <w:t xml:space="preserve"> deberá elaborar la versión pública respectiva, en la que se elimine aquella información relacionada con la vida privada de los servidores públicos, con la aclaración de que, la información que corresponde a las obligaciones de transparencia, no puede ser eliminada, de acuerdo a lo previsto en el artículo 138 de la Ley de Transparencia y Acceso a la Información Pública del Estado de México y Municipios.</w:t>
      </w:r>
    </w:p>
    <w:p w:rsidR="00985849" w:rsidRPr="00985849" w:rsidRDefault="00985849" w:rsidP="00985849">
      <w:pPr>
        <w:spacing w:line="360" w:lineRule="auto"/>
        <w:jc w:val="both"/>
        <w:rPr>
          <w:rFonts w:ascii="Palatino Linotype" w:hAnsi="Palatino Linotype" w:cs="Tahoma"/>
          <w:sz w:val="22"/>
          <w:szCs w:val="22"/>
        </w:rPr>
      </w:pPr>
    </w:p>
    <w:p w:rsidR="00985849" w:rsidRPr="00985849" w:rsidRDefault="00985849"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a manera de orientación para el </w:t>
      </w:r>
      <w:r w:rsidR="00956793">
        <w:rPr>
          <w:rFonts w:ascii="Palatino Linotype" w:hAnsi="Palatino Linotype" w:cs="Tahoma"/>
          <w:sz w:val="22"/>
          <w:szCs w:val="22"/>
        </w:rPr>
        <w:t>Sujeto Obligado</w:t>
      </w:r>
      <w:r w:rsidRPr="00985849">
        <w:rPr>
          <w:rFonts w:ascii="Palatino Linotype" w:hAnsi="Palatino Linotype" w:cs="Tahoma"/>
          <w:sz w:val="22"/>
          <w:szCs w:val="22"/>
        </w:rPr>
        <w:t>, se precisan los datos personales que pueden ser considerados confidenciales y eliminados de la versión pública, previa aprobación del Comité de Transparencia:</w:t>
      </w:r>
    </w:p>
    <w:p w:rsidR="00985849" w:rsidRPr="00985849" w:rsidRDefault="008B60FB" w:rsidP="00985849">
      <w:pPr>
        <w:spacing w:before="240" w:after="240" w:line="360" w:lineRule="auto"/>
        <w:jc w:val="both"/>
        <w:rPr>
          <w:rFonts w:ascii="Palatino Linotype" w:hAnsi="Palatino Linotype" w:cs="Tahoma"/>
          <w:b/>
          <w:sz w:val="22"/>
          <w:szCs w:val="22"/>
        </w:rPr>
      </w:pPr>
      <w:r>
        <w:rPr>
          <w:rFonts w:ascii="Palatino Linotype" w:hAnsi="Palatino Linotype" w:cs="Tahoma"/>
          <w:b/>
          <w:sz w:val="22"/>
          <w:szCs w:val="22"/>
        </w:rPr>
        <w:t xml:space="preserve">Clave </w:t>
      </w:r>
      <w:r w:rsidRPr="009A0C8C">
        <w:rPr>
          <w:rFonts w:ascii="Palatino Linotype" w:hAnsi="Palatino Linotype" w:cs="Tahoma"/>
          <w:b/>
          <w:caps/>
          <w:sz w:val="22"/>
          <w:szCs w:val="22"/>
        </w:rPr>
        <w:t>ú</w:t>
      </w:r>
      <w:r>
        <w:rPr>
          <w:rFonts w:ascii="Palatino Linotype" w:hAnsi="Palatino Linotype" w:cs="Tahoma"/>
          <w:b/>
          <w:sz w:val="22"/>
          <w:szCs w:val="22"/>
        </w:rPr>
        <w:t>nica de Registro de Población –</w:t>
      </w:r>
      <w:r w:rsidR="00985849" w:rsidRPr="00985849">
        <w:rPr>
          <w:rFonts w:ascii="Palatino Linotype" w:hAnsi="Palatino Linotype" w:cs="Tahoma"/>
          <w:b/>
          <w:sz w:val="22"/>
          <w:szCs w:val="22"/>
        </w:rPr>
        <w:t>CURP</w:t>
      </w:r>
      <w:r>
        <w:rPr>
          <w:rFonts w:ascii="Palatino Linotype" w:hAnsi="Palatino Linotype" w:cs="Tahoma"/>
          <w:b/>
          <w:sz w:val="22"/>
          <w:szCs w:val="22"/>
        </w:rPr>
        <w:t>-.</w:t>
      </w: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985849" w:rsidRPr="00985849" w:rsidRDefault="00985849" w:rsidP="00985849">
      <w:pPr>
        <w:spacing w:line="360" w:lineRule="auto"/>
        <w:contextualSpacing/>
        <w:jc w:val="both"/>
        <w:rPr>
          <w:rFonts w:ascii="Palatino Linotype" w:hAnsi="Palatino Linotype" w:cs="Tahoma"/>
          <w:b/>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lastRenderedPageBreak/>
        <w:t xml:space="preserve">De conformidad con lo precisado por la propia Secretaría de Gobernación en la dirección </w:t>
      </w:r>
      <w:hyperlink r:id="rId10" w:history="1">
        <w:r w:rsidRPr="00985849">
          <w:rPr>
            <w:rStyle w:val="Hipervnculo"/>
            <w:rFonts w:ascii="Palatino Linotype" w:hAnsi="Palatino Linotype" w:cs="Tahoma"/>
            <w:sz w:val="22"/>
            <w:szCs w:val="22"/>
            <w:lang w:eastAsia="es-MX"/>
          </w:rPr>
          <w:t>https://consultas.curp.gob.mx/CurpSP/html/informacionecurpPS.html</w:t>
        </w:r>
      </w:hyperlink>
      <w:r w:rsidRPr="00985849">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85849">
        <w:rPr>
          <w:rFonts w:ascii="Palatino Linotype" w:hAnsi="Palatino Linotype" w:cs="Tahoma"/>
          <w:b/>
          <w:sz w:val="22"/>
          <w:szCs w:val="22"/>
          <w:lang w:eastAsia="es-MX"/>
        </w:rPr>
        <w:t xml:space="preserve">se generan a partir de los datos contenidos en el documento probatorio de la identidad del interesado </w:t>
      </w:r>
      <w:r w:rsidRPr="00985849">
        <w:rPr>
          <w:rFonts w:ascii="Palatino Linotype" w:hAnsi="Palatino Linotype" w:cs="Tahoma"/>
          <w:sz w:val="22"/>
          <w:szCs w:val="22"/>
          <w:lang w:eastAsia="es-MX"/>
        </w:rPr>
        <w:t>(acta de nacimiento, carta de naturalización o documento migratorio) de la siguiente forma:</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 • El primero y segundo apellidos, así como al nombre de pila.</w:t>
      </w: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 • La fecha de nacimiento.</w:t>
      </w: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 • El sexo.</w:t>
      </w: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 • La entidad federativa de nacimiento.</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Los dos últimos elementos de la CURP evitan la duplicidad de la Clave y garantizan su correcta integración.</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985849" w:rsidRPr="00985849" w:rsidRDefault="00985849" w:rsidP="00985849">
      <w:pPr>
        <w:spacing w:line="360" w:lineRule="auto"/>
        <w:contextualSpacing/>
        <w:jc w:val="both"/>
        <w:rPr>
          <w:rFonts w:ascii="Palatino Linotype" w:hAnsi="Palatino Linotype" w:cs="Tahoma"/>
          <w:sz w:val="22"/>
          <w:szCs w:val="22"/>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Resulta aplicable en la especie, como argumento orientador, el Criterio 3/10, emitido por el INAI.</w:t>
      </w:r>
    </w:p>
    <w:p w:rsidR="00985849" w:rsidRPr="00985849" w:rsidRDefault="00985849" w:rsidP="00985849">
      <w:pPr>
        <w:spacing w:line="360" w:lineRule="auto"/>
        <w:contextualSpacing/>
        <w:jc w:val="both"/>
        <w:rPr>
          <w:rFonts w:ascii="Palatino Linotype" w:hAnsi="Palatino Linotype" w:cs="Tahoma"/>
          <w:sz w:val="22"/>
          <w:szCs w:val="22"/>
        </w:rPr>
      </w:pPr>
    </w:p>
    <w:p w:rsidR="00985849" w:rsidRPr="00985849" w:rsidRDefault="00985849" w:rsidP="00985849">
      <w:pPr>
        <w:autoSpaceDE w:val="0"/>
        <w:autoSpaceDN w:val="0"/>
        <w:adjustRightInd w:val="0"/>
        <w:spacing w:line="360" w:lineRule="auto"/>
        <w:ind w:left="567" w:right="567"/>
        <w:jc w:val="both"/>
        <w:rPr>
          <w:rFonts w:ascii="Palatino Linotype" w:eastAsia="Calibri" w:hAnsi="Palatino Linotype" w:cs="Tahoma"/>
          <w:color w:val="000000"/>
          <w:sz w:val="22"/>
          <w:szCs w:val="22"/>
        </w:rPr>
      </w:pPr>
      <w:r w:rsidRPr="00985849">
        <w:rPr>
          <w:rFonts w:ascii="Palatino Linotype" w:eastAsia="Calibri" w:hAnsi="Palatino Linotype" w:cs="Tahoma"/>
          <w:b/>
          <w:bCs/>
          <w:color w:val="000000"/>
          <w:sz w:val="22"/>
          <w:szCs w:val="22"/>
        </w:rPr>
        <w:lastRenderedPageBreak/>
        <w:t xml:space="preserve">Clave Única de Registro de Población (CURP) es un dato personal confidencial. </w:t>
      </w:r>
      <w:r w:rsidRPr="00985849">
        <w:rPr>
          <w:rFonts w:ascii="Palatino Linotype" w:eastAsia="Calibri" w:hAnsi="Palatino Linotype" w:cs="Tahoma"/>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985849" w:rsidRPr="00985849" w:rsidRDefault="00985849" w:rsidP="00985849">
      <w:pPr>
        <w:spacing w:before="240" w:after="240"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De acuerdo con lo anterior, se la clave CURP, es un dato personal confidencial, en términos del artículo 143, fracción I de la Ley de Transparencia y Acceso a la Información Pública del Estado de México y Municipios. </w:t>
      </w:r>
    </w:p>
    <w:p w:rsidR="00985849" w:rsidRPr="00985849" w:rsidRDefault="00985849" w:rsidP="00985849">
      <w:pPr>
        <w:spacing w:line="360" w:lineRule="auto"/>
        <w:contextualSpacing/>
        <w:jc w:val="both"/>
        <w:rPr>
          <w:rFonts w:ascii="Palatino Linotype" w:hAnsi="Palatino Linotype" w:cs="Tahoma"/>
          <w:b/>
          <w:sz w:val="22"/>
          <w:szCs w:val="22"/>
          <w:lang w:eastAsia="es-MX"/>
        </w:rPr>
      </w:pPr>
      <w:r w:rsidRPr="00985849">
        <w:rPr>
          <w:rFonts w:ascii="Palatino Linotype" w:hAnsi="Palatino Linotype" w:cs="Tahoma"/>
          <w:b/>
          <w:sz w:val="22"/>
          <w:szCs w:val="22"/>
        </w:rPr>
        <w:t>Clave</w:t>
      </w:r>
      <w:r w:rsidR="008B60FB">
        <w:rPr>
          <w:rFonts w:ascii="Palatino Linotype" w:hAnsi="Palatino Linotype" w:cs="Tahoma"/>
          <w:b/>
          <w:sz w:val="22"/>
          <w:szCs w:val="22"/>
        </w:rPr>
        <w:t xml:space="preserve"> de seguridad social</w:t>
      </w:r>
      <w:r w:rsidRPr="00985849">
        <w:rPr>
          <w:rFonts w:ascii="Palatino Linotype" w:hAnsi="Palatino Linotype" w:cs="Tahoma"/>
          <w:b/>
          <w:sz w:val="22"/>
          <w:szCs w:val="22"/>
        </w:rPr>
        <w:t xml:space="preserve"> ISSEMYM</w:t>
      </w:r>
      <w:r w:rsidR="008B60FB">
        <w:rPr>
          <w:rFonts w:ascii="Palatino Linotype" w:hAnsi="Palatino Linotype" w:cs="Tahoma"/>
          <w:b/>
          <w:sz w:val="22"/>
          <w:szCs w:val="22"/>
        </w:rPr>
        <w:t>.</w:t>
      </w:r>
    </w:p>
    <w:p w:rsidR="00985849" w:rsidRPr="00985849" w:rsidRDefault="00985849" w:rsidP="00985849">
      <w:pPr>
        <w:pStyle w:val="Prrafodelista"/>
        <w:spacing w:line="360" w:lineRule="auto"/>
        <w:jc w:val="both"/>
        <w:rPr>
          <w:rFonts w:ascii="Palatino Linotype" w:hAnsi="Palatino Linotype" w:cs="Tahoma"/>
          <w:szCs w:val="22"/>
          <w:lang w:eastAsia="es-MX"/>
        </w:rPr>
      </w:pPr>
    </w:p>
    <w:p w:rsidR="00985849" w:rsidRPr="00985849" w:rsidRDefault="00985849"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985849" w:rsidRPr="00985849" w:rsidRDefault="00985849" w:rsidP="00985849">
      <w:pPr>
        <w:spacing w:line="360" w:lineRule="auto"/>
        <w:jc w:val="both"/>
        <w:rPr>
          <w:rFonts w:ascii="Palatino Linotype" w:hAnsi="Palatino Linotype" w:cs="Tahoma"/>
          <w:sz w:val="22"/>
          <w:szCs w:val="22"/>
          <w:lang w:eastAsia="es-MX"/>
        </w:rPr>
      </w:pPr>
    </w:p>
    <w:p w:rsidR="00985849" w:rsidRPr="00985849" w:rsidRDefault="00985849"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w:t>
      </w:r>
      <w:r w:rsidRPr="00985849">
        <w:rPr>
          <w:rFonts w:ascii="Palatino Linotype" w:hAnsi="Palatino Linotype" w:cs="Tahoma"/>
          <w:sz w:val="22"/>
          <w:szCs w:val="22"/>
          <w:lang w:eastAsia="es-MX"/>
        </w:rPr>
        <w:lastRenderedPageBreak/>
        <w:t xml:space="preserve">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85849">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985849" w:rsidRPr="00985849" w:rsidRDefault="00985849" w:rsidP="00985849">
      <w:pPr>
        <w:pStyle w:val="Prrafodelista"/>
        <w:spacing w:line="360" w:lineRule="auto"/>
        <w:jc w:val="both"/>
        <w:rPr>
          <w:rFonts w:ascii="Palatino Linotype" w:hAnsi="Palatino Linotype" w:cs="Tahoma"/>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985849" w:rsidRPr="00985849" w:rsidRDefault="00985849" w:rsidP="00985849">
      <w:pPr>
        <w:pStyle w:val="Prrafodelista"/>
        <w:spacing w:line="360" w:lineRule="auto"/>
        <w:jc w:val="both"/>
        <w:rPr>
          <w:rFonts w:ascii="Palatino Linotype" w:hAnsi="Palatino Linotype" w:cs="Tahoma"/>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w:t>
      </w:r>
      <w:r w:rsidR="008B60FB">
        <w:rPr>
          <w:rFonts w:ascii="Palatino Linotype" w:hAnsi="Palatino Linotype" w:cs="Tahoma"/>
          <w:sz w:val="22"/>
          <w:szCs w:val="22"/>
          <w:lang w:eastAsia="es-MX"/>
        </w:rPr>
        <w:t xml:space="preserve"> que se elaboren</w:t>
      </w:r>
      <w:r w:rsidRPr="00985849">
        <w:rPr>
          <w:rFonts w:ascii="Palatino Linotype" w:hAnsi="Palatino Linotype" w:cs="Tahoma"/>
          <w:sz w:val="22"/>
          <w:szCs w:val="22"/>
          <w:lang w:eastAsia="es-MX"/>
        </w:rPr>
        <w:t>, toda vez que actualiza el supuesto de confidencialidad del artículo 143, fracción I de la Ley de Transparencia y Acceso a la Información Pública del Estado de México y Municipios.</w:t>
      </w:r>
    </w:p>
    <w:p w:rsidR="008B60FB" w:rsidRDefault="008B60FB" w:rsidP="00985849">
      <w:pPr>
        <w:spacing w:line="360" w:lineRule="auto"/>
        <w:contextualSpacing/>
        <w:jc w:val="both"/>
        <w:rPr>
          <w:rFonts w:ascii="Palatino Linotype" w:hAnsi="Palatino Linotype" w:cs="Tahoma"/>
          <w:b/>
          <w:sz w:val="22"/>
          <w:szCs w:val="22"/>
        </w:rPr>
      </w:pPr>
    </w:p>
    <w:p w:rsidR="00985849" w:rsidRPr="00985849" w:rsidRDefault="008B60FB" w:rsidP="00985849">
      <w:pPr>
        <w:spacing w:line="360" w:lineRule="auto"/>
        <w:contextualSpacing/>
        <w:jc w:val="both"/>
        <w:rPr>
          <w:rFonts w:ascii="Palatino Linotype" w:hAnsi="Palatino Linotype" w:cs="Tahoma"/>
          <w:b/>
          <w:sz w:val="22"/>
          <w:szCs w:val="22"/>
          <w:lang w:eastAsia="es-MX"/>
        </w:rPr>
      </w:pPr>
      <w:r>
        <w:rPr>
          <w:rFonts w:ascii="Palatino Linotype" w:hAnsi="Palatino Linotype" w:cs="Tahoma"/>
          <w:b/>
          <w:sz w:val="22"/>
          <w:szCs w:val="22"/>
        </w:rPr>
        <w:t>Registro Federal de Contribuyentes –</w:t>
      </w:r>
      <w:r w:rsidR="00985849" w:rsidRPr="00985849">
        <w:rPr>
          <w:rFonts w:ascii="Palatino Linotype" w:hAnsi="Palatino Linotype" w:cs="Tahoma"/>
          <w:b/>
          <w:sz w:val="22"/>
          <w:szCs w:val="22"/>
          <w:lang w:eastAsia="es-MX"/>
        </w:rPr>
        <w:t>RFC</w:t>
      </w:r>
      <w:r>
        <w:rPr>
          <w:rFonts w:ascii="Palatino Linotype" w:hAnsi="Palatino Linotype" w:cs="Tahoma"/>
          <w:b/>
          <w:sz w:val="22"/>
          <w:szCs w:val="22"/>
          <w:lang w:eastAsia="es-MX"/>
        </w:rPr>
        <w:t>-.</w:t>
      </w:r>
    </w:p>
    <w:p w:rsidR="00985849" w:rsidRPr="00985849" w:rsidRDefault="00985849" w:rsidP="00985849">
      <w:pPr>
        <w:spacing w:line="360" w:lineRule="auto"/>
        <w:contextualSpacing/>
        <w:jc w:val="both"/>
        <w:rPr>
          <w:rFonts w:ascii="Palatino Linotype" w:hAnsi="Palatino Linotype" w:cs="Tahoma"/>
          <w:b/>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La clave del Registro Federal de Contribuyentes, es el medio de control que tiene la Secretaría de Hacienda y Crédito Público a través del SAT, para exigir y vigilar el cumplimiento de las obligaciones fiscales de los contribuyentes. </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De acuerdo a lo establecido en el artículo en comento, esta clave se compone de trece caracteres alfanuméricos, con datos obtenidos de los apellidos, nombre (s), fecha de nacimiento del titular, más una homoclave que establece el sistema automático del SAT.</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Como se advierte de lo expuesto, el RFC es un dato personal ya que hace a las personas físicas identificas e identificables, además de que las relaciona como contribuyentes de la Secretaría de Hacienda y Crédito Público, es de destacar que el RFC únicamente sirve para efectos fiscales y pago de contribuciones, por lo que se trata de un dato relevante únicamente para las personas involucradas en el pago de estos; ahora bien, se incluye en el pago de contribuciones por las retenciones que los patrones están </w:t>
      </w:r>
      <w:r w:rsidR="00956793">
        <w:rPr>
          <w:rFonts w:ascii="Palatino Linotype" w:hAnsi="Palatino Linotype" w:cs="Tahoma"/>
          <w:sz w:val="22"/>
          <w:szCs w:val="22"/>
          <w:lang w:eastAsia="es-MX"/>
        </w:rPr>
        <w:t>Obligado</w:t>
      </w:r>
      <w:r w:rsidRPr="00985849">
        <w:rPr>
          <w:rFonts w:ascii="Palatino Linotype" w:hAnsi="Palatino Linotype" w:cs="Tahoma"/>
          <w:sz w:val="22"/>
          <w:szCs w:val="22"/>
          <w:lang w:eastAsia="es-MX"/>
        </w:rPr>
        <w:t>s a realizar para enterar a la Secretaría de Hacienda y Crédito Público.</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Se cita, como argumento orientador, el criterio emitido por el INAI 19/17:</w:t>
      </w:r>
    </w:p>
    <w:p w:rsidR="00985849" w:rsidRPr="00985849" w:rsidRDefault="00985849" w:rsidP="00985849">
      <w:pPr>
        <w:pStyle w:val="Prrafodelista"/>
        <w:spacing w:before="240" w:after="240" w:line="360" w:lineRule="auto"/>
        <w:ind w:left="567" w:right="567"/>
        <w:jc w:val="both"/>
        <w:rPr>
          <w:rFonts w:ascii="Palatino Linotype" w:hAnsi="Palatino Linotype" w:cs="Tahoma"/>
          <w:szCs w:val="22"/>
        </w:rPr>
      </w:pPr>
      <w:r w:rsidRPr="00985849">
        <w:rPr>
          <w:rFonts w:ascii="Palatino Linotype" w:hAnsi="Palatino Linotype" w:cs="Tahoma"/>
          <w:szCs w:val="22"/>
        </w:rPr>
        <w:t xml:space="preserve">Registro Federal de Contribuyentes (RFC) de personas físicas. El RFC es una clave de carácter fiscal, </w:t>
      </w:r>
      <w:proofErr w:type="gramStart"/>
      <w:r w:rsidRPr="00985849">
        <w:rPr>
          <w:rFonts w:ascii="Palatino Linotype" w:hAnsi="Palatino Linotype" w:cs="Tahoma"/>
          <w:szCs w:val="22"/>
        </w:rPr>
        <w:t>única</w:t>
      </w:r>
      <w:proofErr w:type="gramEnd"/>
      <w:r w:rsidRPr="00985849">
        <w:rPr>
          <w:rFonts w:ascii="Palatino Linotype" w:hAnsi="Palatino Linotype" w:cs="Tahoma"/>
          <w:szCs w:val="22"/>
        </w:rPr>
        <w:t xml:space="preserve"> e irrepetible, que permite identificar al titular, su edad y fecha de nacimiento, por lo que es un dato personal de carácter confidencial.</w:t>
      </w: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De tal suerte, el RFC de las personas físicas, aunque se trate de servidores públicos, no guarda relación con la transparencia de los recursos públicos, así como tampoco con el desempeño laboral que puedan tener, por lo que constituye un dato personal confidencial </w:t>
      </w:r>
      <w:r w:rsidRPr="00985849">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985849">
        <w:rPr>
          <w:rFonts w:ascii="Palatino Linotype" w:hAnsi="Palatino Linotype" w:cs="Tahoma"/>
          <w:sz w:val="22"/>
          <w:szCs w:val="22"/>
          <w:lang w:eastAsia="es-MX"/>
        </w:rPr>
        <w:t xml:space="preserve"> y resulta procedente su eliminación </w:t>
      </w:r>
      <w:r w:rsidRPr="00985849">
        <w:rPr>
          <w:rFonts w:ascii="Palatino Linotype" w:hAnsi="Palatino Linotype" w:cs="Tahoma"/>
          <w:sz w:val="22"/>
          <w:szCs w:val="22"/>
          <w:lang w:eastAsia="es-MX"/>
        </w:rPr>
        <w:lastRenderedPageBreak/>
        <w:t>de las versiones públicas, de ser necesario, por contenerlo el documento que dé respuesta al Recurso de Revisión que nos ocupa.</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b/>
          <w:sz w:val="22"/>
          <w:szCs w:val="22"/>
          <w:lang w:eastAsia="es-MX"/>
        </w:rPr>
      </w:pPr>
      <w:r w:rsidRPr="00985849">
        <w:rPr>
          <w:rFonts w:ascii="Palatino Linotype" w:hAnsi="Palatino Linotype" w:cs="Tahoma"/>
          <w:b/>
          <w:sz w:val="22"/>
          <w:szCs w:val="22"/>
          <w:lang w:eastAsia="es-MX"/>
        </w:rPr>
        <w:t>Descuentos personales</w:t>
      </w:r>
      <w:r w:rsidR="00AD29FD">
        <w:rPr>
          <w:rFonts w:ascii="Palatino Linotype" w:hAnsi="Palatino Linotype" w:cs="Tahoma"/>
          <w:b/>
          <w:sz w:val="22"/>
          <w:szCs w:val="22"/>
          <w:lang w:eastAsia="es-MX"/>
        </w:rPr>
        <w:t>.</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P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Como ha quedado referido, el sueldo de servidores públicos es información de naturaleza pública y, desde el nivel de mando medio reviste la característica de pública de oficio; debe considerarse además, que este se compone de los ingresos a los que tenga derecho el trabajador, así como de los descuentos que por ley se deben aplicar, relacionados con el pago de contribuciones, motivo por el cual se distingue entre el sueldo bruto y el sueldo neto; sin embargo, el destino o gasto que cada servidor público determine dar a sus ingresos recibidos como contraprestación por su trabajo, es información que entra dentro del ámbito de la vida privada.</w:t>
      </w:r>
    </w:p>
    <w:p w:rsidR="00985849" w:rsidRPr="00985849" w:rsidRDefault="00985849" w:rsidP="00985849">
      <w:pPr>
        <w:spacing w:line="360" w:lineRule="auto"/>
        <w:contextualSpacing/>
        <w:jc w:val="both"/>
        <w:rPr>
          <w:rFonts w:ascii="Palatino Linotype" w:hAnsi="Palatino Linotype" w:cs="Tahoma"/>
          <w:sz w:val="22"/>
          <w:szCs w:val="22"/>
          <w:lang w:eastAsia="es-MX"/>
        </w:rPr>
      </w:pPr>
    </w:p>
    <w:p w:rsidR="00985849" w:rsidRDefault="00985849" w:rsidP="00985849">
      <w:pPr>
        <w:spacing w:line="360" w:lineRule="auto"/>
        <w:contextualSpacing/>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En efecto, aquella información sobre descuentos que se realicen por mandamiento judicial, préstamos personales, obras de caridad o adeudos personales de cualquier índole, pertenecen al ámbito de la vida privada de los trabajadores, ya que no guarda relación con el desempeño de sus funciones y actualiza </w:t>
      </w:r>
      <w:r w:rsidRPr="00985849">
        <w:rPr>
          <w:rFonts w:ascii="Palatino Linotype" w:hAnsi="Palatino Linotype" w:cs="Tahoma"/>
          <w:sz w:val="22"/>
          <w:szCs w:val="22"/>
        </w:rPr>
        <w:t>el artículo 143, fracción I de la Ley de Transparencia y Acceso a la Información Pública del Estado de México y Municipios</w:t>
      </w:r>
      <w:r w:rsidRPr="00985849">
        <w:rPr>
          <w:rFonts w:ascii="Palatino Linotype" w:hAnsi="Palatino Linotype" w:cs="Tahoma"/>
          <w:sz w:val="22"/>
          <w:szCs w:val="22"/>
          <w:lang w:eastAsia="es-MX"/>
        </w:rPr>
        <w:t xml:space="preserve"> y resulta procedente su eliminación de las versiones públicas. </w:t>
      </w:r>
    </w:p>
    <w:p w:rsidR="00AD29FD" w:rsidRDefault="00AD29FD" w:rsidP="00985849">
      <w:pPr>
        <w:spacing w:line="360" w:lineRule="auto"/>
        <w:contextualSpacing/>
        <w:jc w:val="both"/>
        <w:rPr>
          <w:rFonts w:ascii="Palatino Linotype" w:hAnsi="Palatino Linotype" w:cs="Tahoma"/>
          <w:sz w:val="22"/>
          <w:szCs w:val="22"/>
          <w:lang w:eastAsia="es-MX"/>
        </w:rPr>
      </w:pPr>
    </w:p>
    <w:p w:rsidR="00AD29FD" w:rsidRDefault="00AD29FD" w:rsidP="00985849">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No se deja de lado que también se solicitó la información sobre los policías y ha sido criterio del Pleno de este Instituto que la información sobre los elementos de s</w:t>
      </w:r>
      <w:r w:rsidR="00F479BF">
        <w:rPr>
          <w:rFonts w:ascii="Palatino Linotype" w:hAnsi="Palatino Linotype" w:cs="Tahoma"/>
          <w:sz w:val="22"/>
          <w:szCs w:val="22"/>
          <w:lang w:eastAsia="es-MX"/>
        </w:rPr>
        <w:t>eguridad con funciones operativa</w:t>
      </w:r>
      <w:r>
        <w:rPr>
          <w:rFonts w:ascii="Palatino Linotype" w:hAnsi="Palatino Linotype" w:cs="Tahoma"/>
          <w:sz w:val="22"/>
          <w:szCs w:val="22"/>
          <w:lang w:eastAsia="es-MX"/>
        </w:rPr>
        <w:t xml:space="preserve">s puede actualizar el supuesto de reserva establecido en el artículo 140, fracción </w:t>
      </w:r>
      <w:r w:rsidR="00F479BF">
        <w:rPr>
          <w:rFonts w:ascii="Palatino Linotype" w:hAnsi="Palatino Linotype" w:cs="Tahoma"/>
          <w:sz w:val="22"/>
          <w:szCs w:val="22"/>
          <w:lang w:eastAsia="es-MX"/>
        </w:rPr>
        <w:t>I</w:t>
      </w:r>
      <w:r>
        <w:rPr>
          <w:rFonts w:ascii="Palatino Linotype" w:hAnsi="Palatino Linotype" w:cs="Tahoma"/>
          <w:sz w:val="22"/>
          <w:szCs w:val="22"/>
          <w:lang w:eastAsia="es-MX"/>
        </w:rPr>
        <w:t>V, de la Ley de Transparencia y Acceso a la Información Pública de</w:t>
      </w:r>
      <w:r w:rsidR="00F479BF">
        <w:rPr>
          <w:rFonts w:ascii="Palatino Linotype" w:hAnsi="Palatino Linotype" w:cs="Tahoma"/>
          <w:sz w:val="22"/>
          <w:szCs w:val="22"/>
          <w:lang w:eastAsia="es-MX"/>
        </w:rPr>
        <w:t>l Estado de México y Municipios, referente a poner en riesgo la vida, salud o seguridad de las personas.</w:t>
      </w:r>
    </w:p>
    <w:p w:rsidR="00F479BF" w:rsidRDefault="00F479BF" w:rsidP="00985849">
      <w:pPr>
        <w:spacing w:line="360" w:lineRule="auto"/>
        <w:contextualSpacing/>
        <w:jc w:val="both"/>
        <w:rPr>
          <w:rFonts w:ascii="Palatino Linotype" w:hAnsi="Palatino Linotype" w:cs="Tahoma"/>
          <w:sz w:val="22"/>
          <w:szCs w:val="22"/>
          <w:lang w:eastAsia="es-MX"/>
        </w:rPr>
      </w:pPr>
    </w:p>
    <w:p w:rsidR="00F479BF" w:rsidRPr="009A0C8C" w:rsidRDefault="00F479BF" w:rsidP="009A0C8C">
      <w:pPr>
        <w:tabs>
          <w:tab w:val="left" w:pos="4962"/>
        </w:tabs>
        <w:spacing w:line="360" w:lineRule="auto"/>
        <w:jc w:val="both"/>
        <w:rPr>
          <w:rFonts w:ascii="Palatino Linotype" w:hAnsi="Palatino Linotype" w:cs="Tahoma"/>
          <w:sz w:val="22"/>
          <w:szCs w:val="22"/>
        </w:rPr>
      </w:pPr>
      <w:r w:rsidRPr="009A0C8C">
        <w:rPr>
          <w:rFonts w:ascii="Palatino Linotype" w:hAnsi="Palatino Linotype" w:cs="Tahoma"/>
          <w:sz w:val="22"/>
          <w:szCs w:val="22"/>
        </w:rPr>
        <w:lastRenderedPageBreak/>
        <w:t xml:space="preserve">En ese sentido, el artículo </w:t>
      </w:r>
      <w:r w:rsidRPr="009A0C8C">
        <w:rPr>
          <w:rFonts w:ascii="Palatino Linotype" w:eastAsia="Calibri" w:hAnsi="Palatino Linotype" w:cs="Tahoma"/>
          <w:bCs/>
          <w:sz w:val="22"/>
          <w:szCs w:val="22"/>
          <w:lang w:eastAsia="en-US"/>
        </w:rPr>
        <w:t>49, fracción II</w:t>
      </w:r>
      <w:r w:rsidR="00B517D5">
        <w:rPr>
          <w:rFonts w:ascii="Palatino Linotype" w:eastAsia="Calibri" w:hAnsi="Palatino Linotype" w:cs="Tahoma"/>
          <w:bCs/>
          <w:sz w:val="22"/>
          <w:szCs w:val="22"/>
          <w:lang w:eastAsia="en-US"/>
        </w:rPr>
        <w:t>,</w:t>
      </w:r>
      <w:r w:rsidRPr="009A0C8C">
        <w:rPr>
          <w:rFonts w:ascii="Palatino Linotype" w:eastAsia="Calibri" w:hAnsi="Palatino Linotype" w:cs="Tahoma"/>
          <w:bCs/>
          <w:sz w:val="22"/>
          <w:szCs w:val="22"/>
          <w:lang w:eastAsia="en-US"/>
        </w:rPr>
        <w:t xml:space="preserve"> de la Ley en cita, establece la atribución del Comité de Transparencia </w:t>
      </w:r>
      <w:r>
        <w:rPr>
          <w:rFonts w:ascii="Palatino Linotype" w:eastAsia="Calibri" w:hAnsi="Palatino Linotype" w:cs="Tahoma"/>
          <w:bCs/>
          <w:sz w:val="22"/>
          <w:szCs w:val="22"/>
          <w:lang w:eastAsia="en-US"/>
        </w:rPr>
        <w:t xml:space="preserve">de los Sujetos Obligados </w:t>
      </w:r>
      <w:r w:rsidRPr="009A0C8C">
        <w:rPr>
          <w:rFonts w:ascii="Palatino Linotype" w:eastAsia="Calibri" w:hAnsi="Palatino Linotype" w:cs="Tahoma"/>
          <w:bCs/>
          <w:sz w:val="22"/>
          <w:szCs w:val="22"/>
          <w:lang w:eastAsia="en-US"/>
        </w:rPr>
        <w:t xml:space="preserve">para confirmar o revocar la clasificación realizada por los titulares de las áreas de los sujetos obligados; el artículo 128 del mismo ordenamiento, precisa que </w:t>
      </w:r>
      <w:r w:rsidRPr="009A0C8C">
        <w:rPr>
          <w:rFonts w:ascii="Palatino Linotype" w:hAnsi="Palatino Linotype" w:cs="Tahoma"/>
          <w:sz w:val="22"/>
          <w:szCs w:val="22"/>
        </w:rPr>
        <w:t>para motivar la clasificación de la información reservada, se deberán señalar las razones, motivos o circunstancias especiales que llevaron al sujeto obligado a concluir que el caso particular se ajusta al supuesto normativo y  aplicar una prueba de daño.</w:t>
      </w:r>
    </w:p>
    <w:p w:rsidR="00F479BF" w:rsidRPr="009A0C8C" w:rsidRDefault="00F479BF" w:rsidP="009A0C8C">
      <w:pPr>
        <w:tabs>
          <w:tab w:val="left" w:pos="4962"/>
        </w:tabs>
        <w:spacing w:line="360" w:lineRule="auto"/>
        <w:jc w:val="both"/>
        <w:rPr>
          <w:rFonts w:ascii="Palatino Linotype" w:hAnsi="Palatino Linotype" w:cs="Tahoma"/>
          <w:sz w:val="22"/>
          <w:szCs w:val="22"/>
        </w:rPr>
      </w:pPr>
    </w:p>
    <w:p w:rsidR="00F479BF" w:rsidRPr="009A0C8C" w:rsidRDefault="00F479BF" w:rsidP="009A0C8C">
      <w:pPr>
        <w:spacing w:line="360" w:lineRule="auto"/>
        <w:ind w:right="-93"/>
        <w:jc w:val="both"/>
        <w:rPr>
          <w:rFonts w:ascii="Palatino Linotype" w:eastAsia="Calibri" w:hAnsi="Palatino Linotype" w:cs="Tahoma"/>
          <w:bCs/>
          <w:sz w:val="22"/>
          <w:szCs w:val="22"/>
          <w:lang w:eastAsia="en-US"/>
        </w:rPr>
      </w:pPr>
      <w:r w:rsidRPr="009A0C8C">
        <w:rPr>
          <w:rFonts w:ascii="Palatino Linotype" w:eastAsia="Calibri" w:hAnsi="Palatino Linotype" w:cs="Tahoma"/>
          <w:bCs/>
          <w:sz w:val="22"/>
          <w:szCs w:val="22"/>
          <w:lang w:eastAsia="en-US"/>
        </w:rPr>
        <w:t>Ahora bien, en atención a lo indicado por el artículo 129 de la Ley de Transparencia y Acceso a la Información Pública del Estado de México y Municipios, en la aplicación de la prueba de daño, el sujeto obligado deberá precisar las razones objetivas por las que la apertura de la información generaría una afectación, justificando que:</w:t>
      </w:r>
    </w:p>
    <w:p w:rsidR="00F479BF" w:rsidRPr="009A0C8C" w:rsidRDefault="00F479BF" w:rsidP="009A0C8C">
      <w:pPr>
        <w:spacing w:line="360" w:lineRule="auto"/>
        <w:ind w:right="-93"/>
        <w:jc w:val="both"/>
        <w:rPr>
          <w:rFonts w:ascii="Palatino Linotype" w:eastAsia="Calibri" w:hAnsi="Palatino Linotype" w:cs="Tahoma"/>
          <w:b/>
          <w:bCs/>
          <w:sz w:val="22"/>
          <w:szCs w:val="22"/>
          <w:lang w:eastAsia="en-US"/>
        </w:rPr>
      </w:pPr>
    </w:p>
    <w:p w:rsidR="00F479BF" w:rsidRPr="009A0C8C" w:rsidRDefault="00F479BF" w:rsidP="009A0C8C">
      <w:pPr>
        <w:pStyle w:val="Prrafodelista"/>
        <w:numPr>
          <w:ilvl w:val="0"/>
          <w:numId w:val="25"/>
        </w:numPr>
        <w:spacing w:line="360" w:lineRule="auto"/>
        <w:ind w:right="-93"/>
        <w:jc w:val="both"/>
        <w:rPr>
          <w:rFonts w:ascii="Palatino Linotype" w:eastAsia="Calibri" w:hAnsi="Palatino Linotype" w:cs="Tahoma"/>
          <w:bCs/>
          <w:szCs w:val="22"/>
          <w:lang w:eastAsia="en-US"/>
        </w:rPr>
      </w:pPr>
      <w:r w:rsidRPr="009A0C8C">
        <w:rPr>
          <w:rFonts w:ascii="Palatino Linotype" w:eastAsia="Calibri" w:hAnsi="Palatino Linotype" w:cs="Tahoma"/>
          <w:bCs/>
          <w:szCs w:val="22"/>
          <w:lang w:eastAsia="en-US"/>
        </w:rPr>
        <w:t>La divulgación de la información representa un riesgo real, demostrable e identificable del perjuicio significativo al interés público o a la seguridad pública;</w:t>
      </w:r>
    </w:p>
    <w:p w:rsidR="00F479BF" w:rsidRPr="009A0C8C" w:rsidRDefault="00F479BF" w:rsidP="009A0C8C">
      <w:pPr>
        <w:pStyle w:val="Prrafodelista"/>
        <w:numPr>
          <w:ilvl w:val="0"/>
          <w:numId w:val="25"/>
        </w:numPr>
        <w:spacing w:line="360" w:lineRule="auto"/>
        <w:ind w:right="-93"/>
        <w:jc w:val="both"/>
        <w:rPr>
          <w:rFonts w:ascii="Palatino Linotype" w:eastAsia="Calibri" w:hAnsi="Palatino Linotype" w:cs="Tahoma"/>
          <w:bCs/>
          <w:szCs w:val="22"/>
          <w:lang w:eastAsia="en-US"/>
        </w:rPr>
      </w:pPr>
      <w:r w:rsidRPr="009A0C8C">
        <w:rPr>
          <w:rFonts w:ascii="Palatino Linotype" w:eastAsia="Calibri" w:hAnsi="Palatino Linotype" w:cs="Tahoma"/>
          <w:bCs/>
          <w:szCs w:val="22"/>
          <w:lang w:eastAsia="en-US"/>
        </w:rPr>
        <w:t>El riesgo de perjuicio que supondría la divulgación supera el interés público general de que se difunda; y</w:t>
      </w:r>
    </w:p>
    <w:p w:rsidR="00F479BF" w:rsidRPr="009A0C8C" w:rsidRDefault="00F479BF" w:rsidP="009A0C8C">
      <w:pPr>
        <w:pStyle w:val="Prrafodelista"/>
        <w:numPr>
          <w:ilvl w:val="0"/>
          <w:numId w:val="25"/>
        </w:numPr>
        <w:spacing w:line="360" w:lineRule="auto"/>
        <w:ind w:right="-93"/>
        <w:jc w:val="both"/>
        <w:rPr>
          <w:rFonts w:ascii="Palatino Linotype" w:eastAsia="Calibri" w:hAnsi="Palatino Linotype" w:cs="Tahoma"/>
          <w:bCs/>
          <w:szCs w:val="22"/>
          <w:lang w:eastAsia="en-US"/>
        </w:rPr>
      </w:pPr>
      <w:r w:rsidRPr="009A0C8C">
        <w:rPr>
          <w:rFonts w:ascii="Palatino Linotype" w:eastAsia="Calibri" w:hAnsi="Palatino Linotype" w:cs="Tahoma"/>
          <w:bCs/>
          <w:szCs w:val="22"/>
          <w:lang w:eastAsia="en-US"/>
        </w:rPr>
        <w:t>La limitación se adecua al principio de proporcionalidad y representa el medio menos restrictivo disponible representa el medio menos restrictivo disponible para evitar el perjuicio.</w:t>
      </w:r>
    </w:p>
    <w:p w:rsidR="00F479BF" w:rsidRPr="009A0C8C" w:rsidRDefault="00F479BF" w:rsidP="009A0C8C">
      <w:pPr>
        <w:tabs>
          <w:tab w:val="left" w:pos="4962"/>
        </w:tabs>
        <w:spacing w:line="360" w:lineRule="auto"/>
        <w:jc w:val="both"/>
        <w:rPr>
          <w:rFonts w:ascii="Palatino Linotype" w:hAnsi="Palatino Linotype" w:cs="Tahoma"/>
          <w:sz w:val="22"/>
          <w:szCs w:val="22"/>
        </w:rPr>
      </w:pPr>
    </w:p>
    <w:p w:rsidR="00F479BF" w:rsidRPr="009A0C8C" w:rsidRDefault="00F479BF" w:rsidP="009A0C8C">
      <w:pPr>
        <w:tabs>
          <w:tab w:val="left" w:pos="4962"/>
        </w:tabs>
        <w:spacing w:line="360" w:lineRule="auto"/>
        <w:jc w:val="both"/>
        <w:rPr>
          <w:rFonts w:ascii="Palatino Linotype" w:hAnsi="Palatino Linotype" w:cs="Tahoma"/>
          <w:i/>
          <w:sz w:val="22"/>
          <w:szCs w:val="22"/>
        </w:rPr>
      </w:pPr>
      <w:r w:rsidRPr="009A0C8C">
        <w:rPr>
          <w:rFonts w:ascii="Palatino Linotype" w:hAnsi="Palatino Linotype" w:cs="Tahoma"/>
          <w:sz w:val="22"/>
          <w:szCs w:val="22"/>
        </w:rPr>
        <w:t xml:space="preserve">El artículo 130 de la Ley de referencia, establece que los sujetos obligados podrán aplicar las excepciones al derecho de acceso de información cuando acrediten la procedencia para los casos de reserva o confidencialidad previstas en la Ley de la materia. Por consiguiente, al clasificar la información como reservada será necesario que se </w:t>
      </w:r>
      <w:r w:rsidRPr="009A0C8C">
        <w:rPr>
          <w:rFonts w:ascii="Palatino Linotype" w:hAnsi="Palatino Linotype" w:cs="Tahoma"/>
          <w:b/>
          <w:sz w:val="22"/>
          <w:szCs w:val="22"/>
          <w:u w:val="single"/>
        </w:rPr>
        <w:t>funde y motive la clasificación de la información  a través de una prueba de daño</w:t>
      </w:r>
      <w:r w:rsidRPr="009A0C8C">
        <w:rPr>
          <w:rFonts w:ascii="Palatino Linotype" w:hAnsi="Palatino Linotype" w:cs="Tahoma"/>
          <w:sz w:val="22"/>
          <w:szCs w:val="22"/>
        </w:rPr>
        <w:t>.</w:t>
      </w:r>
    </w:p>
    <w:p w:rsidR="00F479BF" w:rsidRPr="009A0C8C" w:rsidRDefault="00F479BF" w:rsidP="009A0C8C">
      <w:pPr>
        <w:spacing w:line="360" w:lineRule="auto"/>
        <w:ind w:right="-93"/>
        <w:jc w:val="both"/>
        <w:rPr>
          <w:rFonts w:ascii="Palatino Linotype" w:eastAsia="Calibri" w:hAnsi="Palatino Linotype" w:cs="Tahoma"/>
          <w:b/>
          <w:bCs/>
          <w:sz w:val="22"/>
          <w:szCs w:val="22"/>
          <w:lang w:eastAsia="en-US"/>
        </w:rPr>
      </w:pPr>
    </w:p>
    <w:p w:rsidR="00F479BF" w:rsidRPr="009A0C8C" w:rsidRDefault="00F479BF" w:rsidP="009A0C8C">
      <w:pPr>
        <w:tabs>
          <w:tab w:val="left" w:pos="4962"/>
        </w:tabs>
        <w:spacing w:line="360" w:lineRule="auto"/>
        <w:jc w:val="both"/>
        <w:rPr>
          <w:rFonts w:ascii="Palatino Linotype" w:eastAsia="Calibri" w:hAnsi="Palatino Linotype" w:cs="Tahoma"/>
          <w:iCs/>
          <w:sz w:val="22"/>
          <w:szCs w:val="22"/>
          <w:lang w:eastAsia="es-ES_tradnl"/>
        </w:rPr>
      </w:pPr>
      <w:r w:rsidRPr="009A0C8C">
        <w:rPr>
          <w:rFonts w:ascii="Palatino Linotype" w:eastAsia="Calibri" w:hAnsi="Palatino Linotype" w:cs="Tahoma"/>
          <w:iCs/>
          <w:sz w:val="22"/>
          <w:szCs w:val="22"/>
          <w:lang w:eastAsia="es-ES_tradnl"/>
        </w:rPr>
        <w:lastRenderedPageBreak/>
        <w:t xml:space="preserve">Por su parte, el Vigésimo tercero de los Lineamientos generales en materia de clasificación y desclasificación de la información, así como para la elaboración de versiones públicas, aplicables a todos los sujetos obligados, publicados en el Diario Oficial de la Federación, el quince de abril de dos mil dieciséis, indica que para clasificar la información como reservada, de conformidad con el artículo 113, fracción V, de la Ley General de Transparencia y Acceso a la Información Pública (homólogo del 140, fracción IV, de la Ley de Transparencia y Acceso a la Información Pública del Estado de México y Municipios), </w:t>
      </w:r>
      <w:r w:rsidRPr="009A0C8C">
        <w:rPr>
          <w:rFonts w:ascii="Palatino Linotype" w:eastAsia="Calibri" w:hAnsi="Palatino Linotype" w:cs="Tahoma"/>
          <w:b/>
          <w:iCs/>
          <w:sz w:val="22"/>
          <w:szCs w:val="22"/>
          <w:lang w:eastAsia="es-ES_tradnl"/>
        </w:rPr>
        <w:t>será necesario acreditar un vínculo, entre la persona física y la información que pueda poner en riesgo su vida, seguridad o salud.</w:t>
      </w:r>
    </w:p>
    <w:p w:rsidR="00F479BF" w:rsidRPr="009A0C8C" w:rsidRDefault="00F479BF" w:rsidP="009A0C8C">
      <w:pPr>
        <w:spacing w:line="360" w:lineRule="auto"/>
        <w:ind w:right="-93"/>
        <w:jc w:val="both"/>
        <w:rPr>
          <w:rFonts w:ascii="Palatino Linotype" w:hAnsi="Palatino Linotype" w:cs="Tahoma"/>
          <w:sz w:val="22"/>
          <w:szCs w:val="22"/>
        </w:rPr>
      </w:pPr>
    </w:p>
    <w:p w:rsidR="00F479BF" w:rsidRPr="009A0C8C" w:rsidRDefault="00F479BF" w:rsidP="009A0C8C">
      <w:pPr>
        <w:tabs>
          <w:tab w:val="left" w:pos="4962"/>
        </w:tabs>
        <w:spacing w:line="360" w:lineRule="auto"/>
        <w:jc w:val="both"/>
        <w:rPr>
          <w:rFonts w:ascii="Palatino Linotype" w:hAnsi="Palatino Linotype" w:cs="Tahoma"/>
          <w:sz w:val="22"/>
          <w:szCs w:val="22"/>
        </w:rPr>
      </w:pPr>
      <w:r w:rsidRPr="009A0C8C">
        <w:rPr>
          <w:rFonts w:ascii="Palatino Linotype" w:hAnsi="Palatino Linotype" w:cs="Tahoma"/>
          <w:sz w:val="22"/>
          <w:szCs w:val="22"/>
        </w:rPr>
        <w:t xml:space="preserve">En este punto, se desprende que el Sujeto Obligado para acreditar el vínculo antes mencionado, se basa en establecer que la divulgación de </w:t>
      </w:r>
      <w:r w:rsidRPr="009A0C8C">
        <w:rPr>
          <w:rFonts w:ascii="Palatino Linotype" w:hAnsi="Palatino Linotype" w:cs="Tahoma"/>
          <w:b/>
          <w:sz w:val="22"/>
          <w:szCs w:val="22"/>
        </w:rPr>
        <w:t xml:space="preserve">los nombres del personal administrativo </w:t>
      </w:r>
      <w:r w:rsidRPr="009A0C8C">
        <w:rPr>
          <w:rFonts w:ascii="Palatino Linotype" w:hAnsi="Palatino Linotype" w:cs="Tahoma"/>
          <w:sz w:val="22"/>
          <w:szCs w:val="22"/>
        </w:rPr>
        <w:t xml:space="preserve">representa un riesgo real y </w:t>
      </w:r>
      <w:r w:rsidR="00B517D5">
        <w:rPr>
          <w:rFonts w:ascii="Palatino Linotype" w:hAnsi="Palatino Linotype" w:cs="Tahoma"/>
          <w:sz w:val="22"/>
          <w:szCs w:val="22"/>
        </w:rPr>
        <w:t xml:space="preserve">demostrable, en caso de </w:t>
      </w:r>
      <w:r w:rsidRPr="009A0C8C">
        <w:rPr>
          <w:rFonts w:ascii="Palatino Linotype" w:hAnsi="Palatino Linotype" w:cs="Tahoma"/>
          <w:sz w:val="22"/>
          <w:szCs w:val="22"/>
        </w:rPr>
        <w:t>que reali</w:t>
      </w:r>
      <w:r w:rsidR="00B517D5">
        <w:rPr>
          <w:rFonts w:ascii="Palatino Linotype" w:hAnsi="Palatino Linotype" w:cs="Tahoma"/>
          <w:sz w:val="22"/>
          <w:szCs w:val="22"/>
        </w:rPr>
        <w:t>cen</w:t>
      </w:r>
      <w:r w:rsidRPr="009A0C8C">
        <w:rPr>
          <w:rFonts w:ascii="Palatino Linotype" w:hAnsi="Palatino Linotype" w:cs="Tahoma"/>
          <w:sz w:val="22"/>
          <w:szCs w:val="22"/>
        </w:rPr>
        <w:t xml:space="preserve"> </w:t>
      </w:r>
      <w:r w:rsidRPr="009A0C8C">
        <w:rPr>
          <w:rFonts w:ascii="Palatino Linotype" w:hAnsi="Palatino Linotype" w:cs="Tahoma"/>
          <w:b/>
          <w:sz w:val="22"/>
          <w:szCs w:val="22"/>
        </w:rPr>
        <w:t>funciones de investigación</w:t>
      </w:r>
      <w:r w:rsidR="00B517D5">
        <w:rPr>
          <w:rFonts w:ascii="Palatino Linotype" w:hAnsi="Palatino Linotype" w:cs="Tahoma"/>
          <w:b/>
          <w:sz w:val="22"/>
          <w:szCs w:val="22"/>
        </w:rPr>
        <w:t xml:space="preserve"> y</w:t>
      </w:r>
      <w:r w:rsidRPr="009A0C8C">
        <w:rPr>
          <w:rFonts w:ascii="Palatino Linotype" w:hAnsi="Palatino Linotype" w:cs="Tahoma"/>
          <w:b/>
          <w:sz w:val="22"/>
          <w:szCs w:val="22"/>
        </w:rPr>
        <w:t xml:space="preserve"> persecución de delitos </w:t>
      </w:r>
      <w:r w:rsidRPr="009A0C8C">
        <w:rPr>
          <w:rFonts w:ascii="Palatino Linotype" w:hAnsi="Palatino Linotype" w:cs="Tahoma"/>
          <w:sz w:val="22"/>
          <w:szCs w:val="22"/>
        </w:rPr>
        <w:t xml:space="preserve">por lo que su publicación podría conllevar un riesgo a su integridad física. </w:t>
      </w:r>
    </w:p>
    <w:p w:rsidR="00F479BF" w:rsidRPr="009A0C8C" w:rsidRDefault="00F479BF" w:rsidP="009A0C8C">
      <w:pPr>
        <w:tabs>
          <w:tab w:val="left" w:pos="4962"/>
        </w:tabs>
        <w:spacing w:line="360" w:lineRule="auto"/>
        <w:jc w:val="both"/>
        <w:rPr>
          <w:rFonts w:ascii="Palatino Linotype" w:hAnsi="Palatino Linotype" w:cs="Tahoma"/>
          <w:sz w:val="22"/>
          <w:szCs w:val="22"/>
        </w:rPr>
      </w:pPr>
    </w:p>
    <w:p w:rsidR="00B517D5" w:rsidRPr="00514022" w:rsidRDefault="00B517D5" w:rsidP="00B517D5">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 xml:space="preserve">Para ahondar en lo anterior, es importante resaltar los argumentos que el Ministro José Cossío Díaz, expresó en su Voto Particular del </w:t>
      </w:r>
      <w:r>
        <w:rPr>
          <w:rFonts w:ascii="Palatino Linotype" w:eastAsia="Calibri" w:hAnsi="Palatino Linotype" w:cs="Tahoma"/>
          <w:bCs/>
          <w:sz w:val="22"/>
          <w:szCs w:val="22"/>
          <w:lang w:val="es-ES" w:eastAsia="en-US"/>
        </w:rPr>
        <w:t>Recurso de Revisión</w:t>
      </w:r>
      <w:r w:rsidRPr="00514022">
        <w:rPr>
          <w:rFonts w:ascii="Palatino Linotype" w:eastAsia="Calibri" w:hAnsi="Palatino Linotype" w:cs="Tahoma"/>
          <w:bCs/>
          <w:sz w:val="22"/>
          <w:szCs w:val="22"/>
          <w:lang w:val="es-ES" w:eastAsia="en-US"/>
        </w:rPr>
        <w:t xml:space="preserve"> en Materia de Seguridad Nacional número 1/2015</w:t>
      </w:r>
      <w:r>
        <w:rPr>
          <w:rFonts w:ascii="Palatino Linotype" w:eastAsia="Calibri" w:hAnsi="Palatino Linotype" w:cs="Tahoma"/>
          <w:bCs/>
          <w:sz w:val="22"/>
          <w:szCs w:val="22"/>
          <w:lang w:val="es-ES" w:eastAsia="en-US"/>
        </w:rPr>
        <w:t xml:space="preserve"> (consultable en la dirección electrónica </w:t>
      </w:r>
      <w:hyperlink r:id="rId11" w:history="1">
        <w:r w:rsidRPr="009A0C8C">
          <w:rPr>
            <w:rStyle w:val="Hipervnculo"/>
            <w:rFonts w:ascii="Palatino Linotype" w:hAnsi="Palatino Linotype"/>
            <w:sz w:val="22"/>
            <w:szCs w:val="22"/>
          </w:rPr>
          <w:t>http://www2.scjn.gob.mx/ConsultaTematica/PaginasPub/DetallePub.aspx?AsuntoID=187344</w:t>
        </w:r>
      </w:hyperlink>
      <w:r w:rsidRPr="009A0C8C">
        <w:rPr>
          <w:rStyle w:val="Hipervnculo"/>
          <w:rFonts w:ascii="Palatino Linotype" w:hAnsi="Palatino Linotype"/>
          <w:sz w:val="22"/>
          <w:szCs w:val="22"/>
        </w:rPr>
        <w:t>)</w:t>
      </w:r>
      <w:r w:rsidRPr="00B517D5">
        <w:rPr>
          <w:rFonts w:ascii="Palatino Linotype" w:eastAsia="Calibri" w:hAnsi="Palatino Linotype" w:cs="Tahoma"/>
          <w:bCs/>
          <w:sz w:val="22"/>
          <w:szCs w:val="22"/>
          <w:lang w:val="es-ES" w:eastAsia="en-US"/>
        </w:rPr>
        <w:t xml:space="preserve"> , que, si bien </w:t>
      </w:r>
      <w:r w:rsidRPr="00514022">
        <w:rPr>
          <w:rFonts w:ascii="Palatino Linotype" w:eastAsia="Calibri" w:hAnsi="Palatino Linotype" w:cs="Tahoma"/>
          <w:bCs/>
          <w:sz w:val="22"/>
          <w:szCs w:val="22"/>
          <w:lang w:val="es-ES" w:eastAsia="en-US"/>
        </w:rPr>
        <w:t>es cierto no se encuentra íntimamente relacionado con la materia de seguridad pública, lo cierto es que brinda luz sobre el tratamiento particular que debe regir toda excepción del ejercicio del derecho de acceso a la información, tal como se muestran a continuación:</w:t>
      </w:r>
    </w:p>
    <w:p w:rsidR="00B517D5" w:rsidRPr="00514022" w:rsidRDefault="00B517D5" w:rsidP="00B517D5">
      <w:pPr>
        <w:spacing w:line="360" w:lineRule="auto"/>
        <w:jc w:val="both"/>
        <w:rPr>
          <w:rFonts w:ascii="Palatino Linotype" w:eastAsia="Calibri" w:hAnsi="Palatino Linotype" w:cs="Tahoma"/>
          <w:bCs/>
          <w:sz w:val="22"/>
          <w:szCs w:val="22"/>
          <w:lang w:val="es-ES" w:eastAsia="en-US"/>
        </w:rPr>
      </w:pPr>
    </w:p>
    <w:p w:rsidR="00B517D5" w:rsidRPr="00514022" w:rsidRDefault="00B517D5" w:rsidP="00B517D5">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a)</w:t>
      </w:r>
      <w:r w:rsidRPr="00514022">
        <w:rPr>
          <w:rFonts w:ascii="Palatino Linotype" w:eastAsia="Calibri" w:hAnsi="Palatino Linotype" w:cs="Tahoma"/>
          <w:bCs/>
          <w:lang w:val="es-ES" w:eastAsia="en-US"/>
        </w:rPr>
        <w:tab/>
        <w:t xml:space="preserve">El derecho de acceso a la información pública gubernamental debe ser el enfoque principal del recurso. Tomando en consideración que el derecho se rige por el principio de </w:t>
      </w:r>
      <w:r w:rsidRPr="00514022">
        <w:rPr>
          <w:rFonts w:ascii="Palatino Linotype" w:eastAsia="Calibri" w:hAnsi="Palatino Linotype" w:cs="Tahoma"/>
          <w:bCs/>
          <w:lang w:val="es-ES" w:eastAsia="en-US"/>
        </w:rPr>
        <w:lastRenderedPageBreak/>
        <w:t xml:space="preserve">máxima publicidad en la divulgación de información, los supuestos para la reserva de información deben ser interpretados de manera restrictiva. Por ello, el análisis no debe versar sobre el concepto abstracto de seguridad nacional, sino concretamente sobre </w:t>
      </w:r>
      <w:proofErr w:type="gramStart"/>
      <w:r w:rsidRPr="00514022">
        <w:rPr>
          <w:rFonts w:ascii="Palatino Linotype" w:eastAsia="Calibri" w:hAnsi="Palatino Linotype" w:cs="Tahoma"/>
          <w:bCs/>
          <w:lang w:val="es-ES" w:eastAsia="en-US"/>
        </w:rPr>
        <w:t>la amplitud del ejercicio de un derecho humano frente a las condiciones de seguridad nacional establecidas en el mismo artículo 6 de la Constitución y desarrolladas</w:t>
      </w:r>
      <w:proofErr w:type="gramEnd"/>
      <w:r w:rsidRPr="00514022">
        <w:rPr>
          <w:rFonts w:ascii="Palatino Linotype" w:eastAsia="Calibri" w:hAnsi="Palatino Linotype" w:cs="Tahoma"/>
          <w:bCs/>
          <w:lang w:val="es-ES" w:eastAsia="en-US"/>
        </w:rPr>
        <w:t xml:space="preserve"> en las leyes aplicables.</w:t>
      </w:r>
    </w:p>
    <w:p w:rsidR="00B517D5" w:rsidRPr="00514022" w:rsidRDefault="00B517D5" w:rsidP="00B517D5">
      <w:pPr>
        <w:spacing w:line="360" w:lineRule="auto"/>
        <w:ind w:left="567" w:right="567"/>
        <w:jc w:val="both"/>
        <w:rPr>
          <w:rFonts w:ascii="Palatino Linotype" w:eastAsia="Calibri" w:hAnsi="Palatino Linotype" w:cs="Tahoma"/>
          <w:bCs/>
          <w:lang w:val="es-ES" w:eastAsia="en-US"/>
        </w:rPr>
      </w:pPr>
    </w:p>
    <w:p w:rsidR="00B517D5" w:rsidRPr="00514022" w:rsidRDefault="00B517D5" w:rsidP="00B517D5">
      <w:pPr>
        <w:spacing w:line="360" w:lineRule="auto"/>
        <w:ind w:left="567" w:right="567"/>
        <w:jc w:val="both"/>
        <w:rPr>
          <w:rFonts w:ascii="Palatino Linotype" w:eastAsia="Calibri" w:hAnsi="Palatino Linotype" w:cs="Tahoma"/>
          <w:bCs/>
          <w:lang w:val="es-ES" w:eastAsia="en-US"/>
        </w:rPr>
      </w:pPr>
      <w:r w:rsidRPr="00514022">
        <w:rPr>
          <w:rFonts w:ascii="Palatino Linotype" w:eastAsia="Calibri" w:hAnsi="Palatino Linotype" w:cs="Tahoma"/>
          <w:bCs/>
          <w:lang w:val="es-ES" w:eastAsia="en-US"/>
        </w:rPr>
        <w:t>[…]</w:t>
      </w:r>
    </w:p>
    <w:p w:rsidR="00B517D5" w:rsidRPr="00514022" w:rsidRDefault="00B517D5" w:rsidP="00B517D5">
      <w:pPr>
        <w:spacing w:line="360" w:lineRule="auto"/>
        <w:ind w:left="567" w:right="567"/>
        <w:jc w:val="both"/>
        <w:rPr>
          <w:rFonts w:ascii="Palatino Linotype" w:eastAsia="Calibri" w:hAnsi="Palatino Linotype" w:cs="Tahoma"/>
          <w:bCs/>
          <w:lang w:val="es-ES" w:eastAsia="en-US"/>
        </w:rPr>
      </w:pPr>
    </w:p>
    <w:p w:rsidR="00B517D5" w:rsidRPr="00514022" w:rsidRDefault="00B517D5" w:rsidP="00B517D5">
      <w:pPr>
        <w:spacing w:line="360" w:lineRule="auto"/>
        <w:ind w:left="567" w:right="567"/>
        <w:jc w:val="both"/>
        <w:rPr>
          <w:rFonts w:ascii="Palatino Linotype" w:eastAsia="Calibri" w:hAnsi="Palatino Linotype" w:cs="Tahoma"/>
          <w:bCs/>
          <w:lang w:eastAsia="en-US"/>
        </w:rPr>
      </w:pPr>
      <w:r w:rsidRPr="00514022">
        <w:rPr>
          <w:rFonts w:ascii="Palatino Linotype" w:eastAsia="Calibri" w:hAnsi="Palatino Linotype" w:cs="Tahoma"/>
          <w:bCs/>
          <w:lang w:eastAsia="en-US"/>
        </w:rPr>
        <w:t xml:space="preserve">Asimismo debemos  tomar en cuenta que la cuestión medular en este recurso no es el concepto de seguridad nacional en abstracto sino el alcance del derecho al acceso a la información pública. Así, considero que debe quedar verificado en los agravios y las pruebas aportadas que esta formación de patrones es posible con los datos y por el período de tiempo que se solicita la información o bien comprobar que mediante varias solicitudes lo que se está buscando es conformar este patrón. De otro modo, el contenido del concepto de formación de patrones, teoría del mosaico u otras denominaciones, acaba siendo indeterminado y difuso, y solamente cumpliría la función de permitir cerrar el acceso a la información pública con un concepto arrojadizo por parte de los órganos obligados y del legitimado para interponer este recurso. </w:t>
      </w:r>
    </w:p>
    <w:p w:rsidR="00B517D5" w:rsidRPr="00514022" w:rsidRDefault="00B517D5" w:rsidP="00B517D5">
      <w:pPr>
        <w:spacing w:line="360" w:lineRule="auto"/>
        <w:jc w:val="both"/>
        <w:rPr>
          <w:rFonts w:ascii="Palatino Linotype" w:eastAsia="Calibri" w:hAnsi="Palatino Linotype" w:cs="Tahoma"/>
          <w:bCs/>
          <w:sz w:val="22"/>
          <w:szCs w:val="22"/>
          <w:lang w:val="es-ES" w:eastAsia="en-US"/>
        </w:rPr>
      </w:pPr>
    </w:p>
    <w:p w:rsidR="00B517D5" w:rsidRPr="00514022" w:rsidRDefault="00B517D5" w:rsidP="00B517D5">
      <w:pPr>
        <w:spacing w:line="360" w:lineRule="auto"/>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t>Así, de lo anterior se desprende que, contrario a lo que se ha hecho en diversas ocasiones, para determinar si cierta información es de carácter reservado, se debe partir de la amplitud del derecho de acceso de acceso a la información frente a las condiciones, en este caso, de seguridad pública que imperan en un municipio. En otras palabras, debe verificarse que la vinculación del nombre, el cargo como policía y el sueldo que se percibe, anula, impide u obstaculiza la actuación de los servidores públicos que realizan funciones de carácter operativo en cuerpos de seguridad.</w:t>
      </w:r>
    </w:p>
    <w:p w:rsidR="00B517D5" w:rsidRPr="00514022" w:rsidRDefault="00B517D5" w:rsidP="00B517D5">
      <w:pPr>
        <w:spacing w:line="360" w:lineRule="auto"/>
        <w:jc w:val="both"/>
        <w:rPr>
          <w:rFonts w:ascii="Palatino Linotype" w:eastAsia="Calibri" w:hAnsi="Palatino Linotype" w:cs="Tahoma"/>
          <w:bCs/>
          <w:sz w:val="22"/>
          <w:szCs w:val="22"/>
          <w:lang w:val="es-ES" w:eastAsia="en-US"/>
        </w:rPr>
      </w:pPr>
    </w:p>
    <w:p w:rsidR="002E6811" w:rsidRDefault="00B517D5">
      <w:pPr>
        <w:spacing w:line="360" w:lineRule="auto"/>
        <w:ind w:right="-93"/>
        <w:jc w:val="both"/>
        <w:rPr>
          <w:rFonts w:ascii="Palatino Linotype" w:eastAsia="Calibri" w:hAnsi="Palatino Linotype" w:cs="Tahoma"/>
          <w:bCs/>
          <w:sz w:val="22"/>
          <w:szCs w:val="22"/>
          <w:lang w:val="es-ES" w:eastAsia="en-US"/>
        </w:rPr>
      </w:pPr>
      <w:r w:rsidRPr="00514022">
        <w:rPr>
          <w:rFonts w:ascii="Palatino Linotype" w:eastAsia="Calibri" w:hAnsi="Palatino Linotype" w:cs="Tahoma"/>
          <w:bCs/>
          <w:sz w:val="22"/>
          <w:szCs w:val="22"/>
          <w:lang w:val="es-ES" w:eastAsia="en-US"/>
        </w:rPr>
        <w:lastRenderedPageBreak/>
        <w:t xml:space="preserve">De </w:t>
      </w:r>
      <w:r>
        <w:rPr>
          <w:rFonts w:ascii="Palatino Linotype" w:eastAsia="Calibri" w:hAnsi="Palatino Linotype" w:cs="Tahoma"/>
          <w:bCs/>
          <w:sz w:val="22"/>
          <w:szCs w:val="22"/>
          <w:lang w:val="es-ES" w:eastAsia="en-US"/>
        </w:rPr>
        <w:t>tal suerte, es indispensable que se acredite la prueba da daño a partir de las circunstancias particulares del Ayuntamiento, para que la información deba ser considerada como reservada en términos del artículo 140, fracción IV, de la Ley de la materia</w:t>
      </w:r>
      <w:r w:rsidR="006851C1">
        <w:rPr>
          <w:rFonts w:ascii="Palatino Linotype" w:eastAsia="Calibri" w:hAnsi="Palatino Linotype" w:cs="Tahoma"/>
          <w:bCs/>
          <w:sz w:val="22"/>
          <w:szCs w:val="22"/>
          <w:lang w:val="es-ES" w:eastAsia="en-US"/>
        </w:rPr>
        <w:t xml:space="preserve"> y de ser el caso, se deberá entregar el acuerdo de clasificación emitido por el Comité de Transparencia y, en su caso, es procedente que la información se entregue disociada; esto es, eliminando el nombre de los elementos policiales.</w:t>
      </w:r>
    </w:p>
    <w:p w:rsidR="00BA547A" w:rsidRPr="00985849" w:rsidRDefault="00BA547A">
      <w:pPr>
        <w:spacing w:line="360" w:lineRule="auto"/>
        <w:ind w:right="-93"/>
        <w:jc w:val="both"/>
        <w:rPr>
          <w:rFonts w:ascii="Palatino Linotype" w:hAnsi="Palatino Linotype" w:cs="Tahoma"/>
          <w:sz w:val="22"/>
          <w:szCs w:val="22"/>
        </w:rPr>
      </w:pPr>
    </w:p>
    <w:p w:rsidR="002E6811" w:rsidRDefault="005E3922" w:rsidP="00985849">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al Ayuntamiento Tultitlán</w:t>
      </w:r>
      <w:r w:rsidR="002E6811" w:rsidRPr="00985849">
        <w:rPr>
          <w:rFonts w:ascii="Palatino Linotype" w:hAnsi="Palatino Linotype" w:cs="Tahoma"/>
          <w:sz w:val="22"/>
          <w:szCs w:val="22"/>
        </w:rPr>
        <w:t xml:space="preserve">, previa búsqueda exhaustiva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956793">
        <w:rPr>
          <w:rFonts w:ascii="Palatino Linotype" w:hAnsi="Palatino Linotype" w:cs="Tahoma"/>
          <w:bCs/>
          <w:sz w:val="22"/>
          <w:szCs w:val="22"/>
        </w:rPr>
        <w:t>otorgue los recibos de nómina correspondiente a las dos quincenas de mes</w:t>
      </w:r>
      <w:r w:rsidR="002E6811" w:rsidRPr="00985849">
        <w:rPr>
          <w:rFonts w:ascii="Palatino Linotype" w:hAnsi="Palatino Linotype" w:cs="Tahoma"/>
          <w:bCs/>
          <w:sz w:val="22"/>
          <w:szCs w:val="22"/>
        </w:rPr>
        <w:t xml:space="preserve"> </w:t>
      </w:r>
      <w:r w:rsidR="00956793">
        <w:rPr>
          <w:rFonts w:ascii="Palatino Linotype" w:hAnsi="Palatino Linotype" w:cs="Tahoma"/>
          <w:bCs/>
          <w:sz w:val="22"/>
          <w:szCs w:val="22"/>
        </w:rPr>
        <w:t xml:space="preserve">de marzo de 2018, </w:t>
      </w:r>
      <w:r w:rsidR="002E6811" w:rsidRPr="00985849">
        <w:rPr>
          <w:rFonts w:ascii="Palatino Linotype" w:hAnsi="Palatino Linotype" w:cs="Tahoma"/>
          <w:bCs/>
          <w:sz w:val="22"/>
          <w:szCs w:val="22"/>
        </w:rPr>
        <w:t>que atienda a los contenidos de información siguientes:</w:t>
      </w:r>
    </w:p>
    <w:p w:rsidR="005E3922" w:rsidRPr="00985849" w:rsidRDefault="005E3922" w:rsidP="00985849">
      <w:pPr>
        <w:spacing w:line="360" w:lineRule="auto"/>
        <w:ind w:right="-93"/>
        <w:jc w:val="both"/>
        <w:rPr>
          <w:rFonts w:ascii="Palatino Linotype" w:hAnsi="Palatino Linotype" w:cs="Tahoma"/>
          <w:sz w:val="22"/>
          <w:szCs w:val="22"/>
        </w:rPr>
      </w:pPr>
    </w:p>
    <w:p w:rsidR="005E3922" w:rsidRPr="00985849" w:rsidRDefault="00C81961" w:rsidP="005E3922">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Versión pública de la n</w:t>
      </w:r>
      <w:r w:rsidRPr="00985849">
        <w:rPr>
          <w:rFonts w:ascii="Palatino Linotype" w:eastAsia="Calibri" w:hAnsi="Palatino Linotype" w:cs="Tahoma"/>
          <w:iCs/>
          <w:szCs w:val="22"/>
          <w:lang w:val="es-ES" w:eastAsia="es-ES_tradnl"/>
        </w:rPr>
        <w:t>ómina</w:t>
      </w:r>
      <w:r w:rsidR="005E3922" w:rsidRPr="00985849">
        <w:rPr>
          <w:rFonts w:ascii="Palatino Linotype" w:eastAsia="Calibri" w:hAnsi="Palatino Linotype" w:cs="Tahoma"/>
          <w:iCs/>
          <w:szCs w:val="22"/>
          <w:lang w:val="es-ES" w:eastAsia="es-ES_tradnl"/>
        </w:rPr>
        <w:t>, con el nombre de cada servidor o funcionario, con el salario bruto sin excedentes y compensaciones.</w:t>
      </w:r>
    </w:p>
    <w:p w:rsidR="005E3922" w:rsidRPr="00985849" w:rsidRDefault="005E3922" w:rsidP="005E3922">
      <w:pPr>
        <w:pStyle w:val="Prrafodelista"/>
        <w:tabs>
          <w:tab w:val="left" w:pos="4962"/>
        </w:tabs>
        <w:spacing w:line="360" w:lineRule="auto"/>
        <w:jc w:val="both"/>
        <w:rPr>
          <w:rFonts w:ascii="Palatino Linotype" w:eastAsia="Calibri" w:hAnsi="Palatino Linotype" w:cs="Tahoma"/>
          <w:iCs/>
          <w:szCs w:val="22"/>
          <w:lang w:val="es-ES" w:eastAsia="es-ES_tradnl"/>
        </w:rPr>
      </w:pPr>
    </w:p>
    <w:p w:rsidR="005E3922" w:rsidRPr="00985849" w:rsidRDefault="00C81961" w:rsidP="005E3922">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Versión pública de la n</w:t>
      </w:r>
      <w:r w:rsidRPr="00985849">
        <w:rPr>
          <w:rFonts w:ascii="Palatino Linotype" w:eastAsia="Calibri" w:hAnsi="Palatino Linotype" w:cs="Tahoma"/>
          <w:iCs/>
          <w:szCs w:val="22"/>
          <w:lang w:val="es-ES" w:eastAsia="es-ES_tradnl"/>
        </w:rPr>
        <w:t>ómina</w:t>
      </w:r>
      <w:r w:rsidR="005E3922" w:rsidRPr="00985849">
        <w:rPr>
          <w:rFonts w:ascii="Palatino Linotype" w:eastAsia="Calibri" w:hAnsi="Palatino Linotype" w:cs="Tahoma"/>
          <w:iCs/>
          <w:szCs w:val="22"/>
          <w:lang w:val="es-ES" w:eastAsia="es-ES_tradnl"/>
        </w:rPr>
        <w:t>, con el nombre de los servidores públicos, con todos los conceptos que forman parte del sobresueldo (compensaciones, horas extras, comisiones, apoyos, vales, exentes y similares).</w:t>
      </w:r>
    </w:p>
    <w:p w:rsidR="005E3922" w:rsidRPr="005E3922" w:rsidRDefault="005E3922" w:rsidP="005E3922">
      <w:pPr>
        <w:spacing w:line="360" w:lineRule="auto"/>
        <w:ind w:left="360"/>
        <w:rPr>
          <w:rFonts w:ascii="Palatino Linotype" w:eastAsia="Calibri" w:hAnsi="Palatino Linotype" w:cs="Tahoma"/>
          <w:iCs/>
          <w:szCs w:val="22"/>
          <w:lang w:val="es-ES" w:eastAsia="es-ES_tradnl"/>
        </w:rPr>
      </w:pPr>
    </w:p>
    <w:p w:rsidR="005E3922" w:rsidRPr="00985849" w:rsidRDefault="00C81961" w:rsidP="005E3922">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Versión pública de las l</w:t>
      </w:r>
      <w:r w:rsidR="005E3922" w:rsidRPr="00985849">
        <w:rPr>
          <w:rFonts w:ascii="Palatino Linotype" w:eastAsia="Calibri" w:hAnsi="Palatino Linotype" w:cs="Tahoma"/>
          <w:iCs/>
          <w:szCs w:val="22"/>
          <w:lang w:val="es-ES" w:eastAsia="es-ES_tradnl"/>
        </w:rPr>
        <w:t>istas de raya.</w:t>
      </w:r>
    </w:p>
    <w:p w:rsidR="002E6811" w:rsidRDefault="002E6811" w:rsidP="00985849">
      <w:pPr>
        <w:spacing w:line="360" w:lineRule="auto"/>
        <w:ind w:right="-93"/>
        <w:jc w:val="both"/>
        <w:rPr>
          <w:rFonts w:ascii="Palatino Linotype" w:hAnsi="Palatino Linotype" w:cs="Tahoma"/>
          <w:sz w:val="22"/>
          <w:szCs w:val="22"/>
          <w:lang w:val="es-ES"/>
        </w:rPr>
      </w:pPr>
    </w:p>
    <w:p w:rsidR="00C81961" w:rsidRDefault="00C81961" w:rsidP="0098584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Asimismo, se deberá entregar el Acuerdo del Comité de Transparencia mediante el cual se funde y motive la eliminación de la información confidencial en términos del artículo 143, fracción I, y la información reservada de conformidad con lo previsto en el artículo 140, fracción </w:t>
      </w:r>
      <w:r>
        <w:rPr>
          <w:rFonts w:ascii="Palatino Linotype" w:hAnsi="Palatino Linotype" w:cs="Tahoma"/>
          <w:sz w:val="22"/>
          <w:szCs w:val="22"/>
          <w:lang w:val="es-ES"/>
        </w:rPr>
        <w:lastRenderedPageBreak/>
        <w:t>IV, ambos de la Ley de Transparencia y Acceso a la Información Pública del Estado de México y Municipios.</w:t>
      </w:r>
    </w:p>
    <w:p w:rsidR="00C56AE3" w:rsidRPr="009A0C8C" w:rsidRDefault="00C56AE3" w:rsidP="00985849">
      <w:pPr>
        <w:spacing w:line="360" w:lineRule="auto"/>
        <w:ind w:right="-93"/>
        <w:jc w:val="both"/>
        <w:rPr>
          <w:rFonts w:ascii="Palatino Linotype" w:hAnsi="Palatino Linotype" w:cs="Tahoma"/>
          <w:sz w:val="22"/>
          <w:szCs w:val="22"/>
          <w:lang w:val="es-ES"/>
        </w:rPr>
      </w:pPr>
    </w:p>
    <w:p w:rsidR="00EA40A2" w:rsidRPr="00985849" w:rsidRDefault="005E3922"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rsidR="00EA40A2" w:rsidRPr="00985849" w:rsidRDefault="00EA40A2" w:rsidP="00985849">
      <w:pPr>
        <w:spacing w:line="360" w:lineRule="auto"/>
        <w:ind w:right="-93"/>
        <w:jc w:val="both"/>
        <w:rPr>
          <w:rFonts w:ascii="Palatino Linotype" w:hAnsi="Palatino Linotype" w:cs="Tahoma"/>
          <w:b/>
          <w:sz w:val="22"/>
          <w:szCs w:val="22"/>
        </w:rPr>
      </w:pPr>
    </w:p>
    <w:p w:rsidR="00C56AE3" w:rsidRPr="0026422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E</w:t>
      </w:r>
      <w:r w:rsidR="0038438A" w:rsidRPr="00985849">
        <w:rPr>
          <w:rFonts w:ascii="Palatino Linotype" w:hAnsi="Palatino Linotype" w:cs="Tahoma"/>
          <w:sz w:val="22"/>
          <w:szCs w:val="22"/>
        </w:rPr>
        <w:t xml:space="preserve">n el caso en estudio, ha quedado acreditado que el </w:t>
      </w:r>
      <w:r w:rsidR="00C459A9" w:rsidRPr="00985849">
        <w:rPr>
          <w:rFonts w:ascii="Palatino Linotype" w:hAnsi="Palatino Linotype" w:cs="Tahoma"/>
          <w:sz w:val="22"/>
          <w:szCs w:val="22"/>
        </w:rPr>
        <w:t xml:space="preserve">Ayuntamiento de </w:t>
      </w:r>
      <w:r w:rsidR="00956793" w:rsidRPr="00985849">
        <w:rPr>
          <w:rFonts w:ascii="Palatino Linotype" w:hAnsi="Palatino Linotype" w:cs="Tahoma"/>
          <w:sz w:val="22"/>
          <w:szCs w:val="22"/>
        </w:rPr>
        <w:t>Tultitlán</w:t>
      </w:r>
      <w:r w:rsidR="0004168D"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no emitió respuesta en el plazo señalado en el artículo </w:t>
      </w:r>
      <w:r w:rsidR="000528E6" w:rsidRPr="00985849">
        <w:rPr>
          <w:rFonts w:ascii="Palatino Linotype" w:hAnsi="Palatino Linotype" w:cs="Tahoma"/>
          <w:sz w:val="22"/>
          <w:szCs w:val="22"/>
        </w:rPr>
        <w:t>163 de la Ley de Transparencia y Acceso a la Información Pública del Estado de México y Municipios.</w:t>
      </w:r>
    </w:p>
    <w:p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rsidR="00B6258B" w:rsidRPr="00985849" w:rsidRDefault="00B6258B" w:rsidP="00985849">
      <w:pPr>
        <w:spacing w:line="360" w:lineRule="auto"/>
        <w:ind w:right="-93"/>
        <w:jc w:val="both"/>
        <w:rPr>
          <w:rFonts w:ascii="Palatino Linotype" w:eastAsia="Calibri" w:hAnsi="Palatino Linotype" w:cs="Tahoma"/>
          <w:bCs/>
          <w:sz w:val="22"/>
          <w:szCs w:val="22"/>
          <w:lang w:eastAsia="en-US"/>
        </w:rPr>
      </w:pPr>
    </w:p>
    <w:p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RESUELVE:</w:t>
      </w:r>
    </w:p>
    <w:p w:rsidR="003C6934" w:rsidRPr="00985849" w:rsidRDefault="003C6934" w:rsidP="00985849">
      <w:pPr>
        <w:spacing w:line="360" w:lineRule="auto"/>
        <w:ind w:right="-93"/>
        <w:rPr>
          <w:rFonts w:ascii="Palatino Linotype" w:eastAsia="Calibri" w:hAnsi="Palatino Linotype" w:cs="Tahoma"/>
          <w:b/>
          <w:bCs/>
          <w:sz w:val="22"/>
          <w:szCs w:val="22"/>
          <w:lang w:eastAsia="en-US"/>
        </w:rPr>
      </w:pPr>
    </w:p>
    <w:p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2D5DDD" w:rsidRPr="00985849">
        <w:rPr>
          <w:rFonts w:ascii="Palatino Linotype" w:eastAsia="Calibri" w:hAnsi="Palatino Linotype" w:cs="Tahoma"/>
          <w:bCs/>
          <w:sz w:val="22"/>
          <w:szCs w:val="22"/>
          <w:lang w:eastAsia="en-US"/>
        </w:rPr>
        <w:t xml:space="preserve">el </w:t>
      </w:r>
      <w:r w:rsidR="00BE725A" w:rsidRPr="00985849">
        <w:rPr>
          <w:rFonts w:ascii="Palatino Linotype" w:eastAsia="Calibri" w:hAnsi="Palatino Linotype" w:cs="Tahoma"/>
          <w:bCs/>
          <w:sz w:val="22"/>
          <w:szCs w:val="22"/>
          <w:lang w:eastAsia="en-US"/>
        </w:rPr>
        <w:t xml:space="preserve"> Recurrente, en términos del considerando </w:t>
      </w:r>
      <w:r w:rsidR="00956793">
        <w:rPr>
          <w:rFonts w:ascii="Palatino Linotype" w:eastAsia="Calibri" w:hAnsi="Palatino Linotype" w:cs="Tahoma"/>
          <w:bCs/>
          <w:sz w:val="22"/>
          <w:szCs w:val="22"/>
          <w:lang w:eastAsia="en-US"/>
        </w:rPr>
        <w:t xml:space="preserve">QUINTO </w:t>
      </w:r>
      <w:r w:rsidR="00BE725A" w:rsidRPr="00985849">
        <w:rPr>
          <w:rFonts w:ascii="Palatino Linotype" w:eastAsia="Calibri" w:hAnsi="Palatino Linotype" w:cs="Tahoma"/>
          <w:bCs/>
          <w:sz w:val="22"/>
          <w:szCs w:val="22"/>
          <w:lang w:eastAsia="en-US"/>
        </w:rPr>
        <w:t>de la presente resolución.</w:t>
      </w:r>
    </w:p>
    <w:p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rsidR="00B6258B" w:rsidRPr="00985849" w:rsidRDefault="00BE725A" w:rsidP="001E3BA6">
      <w:pPr>
        <w:shd w:val="clear" w:color="auto" w:fill="FFFFFF" w:themeFill="background1"/>
        <w:spacing w:line="360" w:lineRule="auto"/>
        <w:jc w:val="both"/>
        <w:rPr>
          <w:rFonts w:ascii="Palatino Linotype" w:hAnsi="Palatino Linotype" w:cs="Arial"/>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Ayuntamiento de </w:t>
      </w:r>
      <w:r w:rsidR="000477E7" w:rsidRPr="00985849">
        <w:rPr>
          <w:rFonts w:ascii="Palatino Linotype" w:eastAsia="Calibri" w:hAnsi="Palatino Linotype" w:cs="Tahoma"/>
          <w:sz w:val="22"/>
          <w:szCs w:val="22"/>
          <w:lang w:eastAsia="es-MX"/>
        </w:rPr>
        <w:t>Tultitlán</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 xml:space="preserve">tentes, </w:t>
      </w:r>
      <w:r w:rsidR="00BA0ED5" w:rsidRPr="00985849">
        <w:rPr>
          <w:rFonts w:ascii="Palatino Linotype" w:eastAsia="Calibri" w:hAnsi="Palatino Linotype" w:cs="Tahoma"/>
          <w:bCs/>
          <w:sz w:val="22"/>
          <w:szCs w:val="22"/>
          <w:lang w:eastAsia="es-MX"/>
        </w:rPr>
        <w:t>otorgue</w:t>
      </w:r>
      <w:r w:rsidR="00C56AE3">
        <w:rPr>
          <w:rFonts w:ascii="Palatino Linotype" w:eastAsia="Calibri" w:hAnsi="Palatino Linotype" w:cs="Tahoma"/>
          <w:bCs/>
          <w:sz w:val="22"/>
          <w:szCs w:val="22"/>
          <w:lang w:eastAsia="es-MX"/>
        </w:rPr>
        <w:t xml:space="preserve"> versión pública </w:t>
      </w:r>
      <w:r w:rsidR="001E3BA6">
        <w:rPr>
          <w:rFonts w:ascii="Palatino Linotype" w:eastAsia="Calibri" w:hAnsi="Palatino Linotype" w:cs="Tahoma"/>
          <w:bCs/>
          <w:sz w:val="22"/>
          <w:szCs w:val="22"/>
          <w:lang w:eastAsia="es-MX"/>
        </w:rPr>
        <w:t xml:space="preserve">vía SAIMEX, </w:t>
      </w:r>
      <w:r w:rsidR="00C56AE3">
        <w:rPr>
          <w:rFonts w:ascii="Palatino Linotype" w:eastAsia="Calibri" w:hAnsi="Palatino Linotype" w:cs="Tahoma"/>
          <w:bCs/>
          <w:sz w:val="22"/>
          <w:szCs w:val="22"/>
          <w:lang w:eastAsia="es-MX"/>
        </w:rPr>
        <w:t>de</w:t>
      </w:r>
      <w:r w:rsidR="00BA0ED5" w:rsidRPr="00985849">
        <w:rPr>
          <w:rFonts w:ascii="Palatino Linotype" w:eastAsia="Calibri" w:hAnsi="Palatino Linotype" w:cs="Tahoma"/>
          <w:bCs/>
          <w:sz w:val="22"/>
          <w:szCs w:val="22"/>
          <w:lang w:eastAsia="es-MX"/>
        </w:rPr>
        <w:t xml:space="preserve"> </w:t>
      </w:r>
      <w:r w:rsidR="00956793">
        <w:rPr>
          <w:rFonts w:ascii="Palatino Linotype" w:eastAsia="Calibri" w:hAnsi="Palatino Linotype" w:cs="Tahoma"/>
          <w:bCs/>
          <w:sz w:val="22"/>
          <w:szCs w:val="22"/>
          <w:lang w:eastAsia="es-MX"/>
        </w:rPr>
        <w:t>l</w:t>
      </w:r>
      <w:r w:rsidR="001E3BA6">
        <w:rPr>
          <w:rFonts w:ascii="Palatino Linotype" w:eastAsia="Calibri" w:hAnsi="Palatino Linotype" w:cs="Tahoma"/>
          <w:bCs/>
          <w:sz w:val="22"/>
          <w:szCs w:val="22"/>
          <w:lang w:eastAsia="es-MX"/>
        </w:rPr>
        <w:t>a nómina</w:t>
      </w:r>
      <w:r w:rsidR="00956793">
        <w:rPr>
          <w:rFonts w:ascii="Palatino Linotype" w:eastAsia="Calibri" w:hAnsi="Palatino Linotype" w:cs="Tahoma"/>
          <w:bCs/>
          <w:sz w:val="22"/>
          <w:szCs w:val="22"/>
          <w:lang w:eastAsia="es-MX"/>
        </w:rPr>
        <w:t xml:space="preserve"> correspondiente a las dos quincenas de marzo de 2018,</w:t>
      </w:r>
      <w:r w:rsidR="00BA0ED5" w:rsidRPr="00985849">
        <w:rPr>
          <w:rFonts w:ascii="Palatino Linotype" w:eastAsia="Calibri" w:hAnsi="Palatino Linotype" w:cs="Tahoma"/>
          <w:bCs/>
          <w:sz w:val="22"/>
          <w:szCs w:val="22"/>
          <w:lang w:eastAsia="es-MX"/>
        </w:rPr>
        <w:t xml:space="preserve"> </w:t>
      </w:r>
      <w:r w:rsidR="001E3BA6">
        <w:rPr>
          <w:rFonts w:ascii="Palatino Linotype" w:eastAsia="Calibri" w:hAnsi="Palatino Linotype" w:cs="Tahoma"/>
          <w:bCs/>
          <w:sz w:val="22"/>
          <w:szCs w:val="22"/>
          <w:lang w:eastAsia="es-MX"/>
        </w:rPr>
        <w:t>así como de cualquier documento en donde conste el sobre sueldo de todos los trabajadores del Ayuntamiento y, en su caso, de la lista de raya, junto con e</w:t>
      </w:r>
      <w:r w:rsidR="0004168D" w:rsidRPr="00985849">
        <w:rPr>
          <w:rFonts w:ascii="Palatino Linotype" w:hAnsi="Palatino Linotype" w:cs="Arial"/>
          <w:sz w:val="22"/>
          <w:szCs w:val="22"/>
        </w:rPr>
        <w:t>l Acuerdo del Comité de Transparencia correspondiente, en términos del artículo 49</w:t>
      </w:r>
      <w:r w:rsidR="007B0E7E">
        <w:rPr>
          <w:rFonts w:ascii="Palatino Linotype" w:hAnsi="Palatino Linotype" w:cs="Arial"/>
          <w:sz w:val="22"/>
          <w:szCs w:val="22"/>
        </w:rPr>
        <w:t>,</w:t>
      </w:r>
      <w:r w:rsidR="0004168D" w:rsidRPr="00985849">
        <w:rPr>
          <w:rFonts w:ascii="Palatino Linotype" w:hAnsi="Palatino Linotype" w:cs="Arial"/>
          <w:sz w:val="22"/>
          <w:szCs w:val="22"/>
        </w:rPr>
        <w:t xml:space="preserve"> fracción VIII y 132 fracción II</w:t>
      </w:r>
      <w:r w:rsidR="007B0E7E">
        <w:rPr>
          <w:rFonts w:ascii="Palatino Linotype" w:hAnsi="Palatino Linotype" w:cs="Arial"/>
          <w:sz w:val="22"/>
          <w:szCs w:val="22"/>
        </w:rPr>
        <w:t>,</w:t>
      </w:r>
      <w:r w:rsidR="0004168D" w:rsidRPr="00985849">
        <w:rPr>
          <w:rFonts w:ascii="Palatino Linotype" w:hAnsi="Palatino Linotype" w:cs="Arial"/>
          <w:sz w:val="22"/>
          <w:szCs w:val="22"/>
        </w:rPr>
        <w:t xml:space="preserve"> de la Ley de Transparencia y Acceso a la Información Pública del Estado de México y Municipios, en el que funde y motive las razones sobre los datos</w:t>
      </w:r>
      <w:r w:rsidR="007B0E7E">
        <w:rPr>
          <w:rFonts w:ascii="Palatino Linotype" w:hAnsi="Palatino Linotype" w:cs="Arial"/>
          <w:sz w:val="22"/>
          <w:szCs w:val="22"/>
        </w:rPr>
        <w:t xml:space="preserve"> reservados y confidenciales</w:t>
      </w:r>
      <w:r w:rsidR="0004168D" w:rsidRPr="00985849">
        <w:rPr>
          <w:rFonts w:ascii="Palatino Linotype" w:hAnsi="Palatino Linotype" w:cs="Arial"/>
          <w:sz w:val="22"/>
          <w:szCs w:val="22"/>
        </w:rPr>
        <w:t xml:space="preserve"> que se supriman o eliminen.</w:t>
      </w:r>
    </w:p>
    <w:p w:rsidR="00B6258B" w:rsidRPr="00985849" w:rsidRDefault="00B6258B" w:rsidP="00985849">
      <w:pPr>
        <w:spacing w:line="360" w:lineRule="auto"/>
        <w:jc w:val="both"/>
        <w:rPr>
          <w:rFonts w:ascii="Palatino Linotype" w:hAnsi="Palatino Linotype" w:cs="Arial"/>
          <w:sz w:val="22"/>
          <w:szCs w:val="22"/>
        </w:rPr>
      </w:pPr>
    </w:p>
    <w:p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resolución al Titular de la Unidad de Transparencia del </w:t>
      </w:r>
      <w:r w:rsidR="00956793">
        <w:rPr>
          <w:rFonts w:ascii="Palatino Linotype" w:hAnsi="Palatino Linotype" w:cs="Tahoma"/>
          <w:sz w:val="22"/>
          <w:szCs w:val="22"/>
        </w:rPr>
        <w:t>Sujeto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lastRenderedPageBreak/>
        <w:t>QUINTO</w:t>
      </w:r>
      <w:r w:rsidR="003C6934" w:rsidRPr="00985849">
        <w:rPr>
          <w:rFonts w:ascii="Palatino Linotype" w:eastAsia="Calibri" w:hAnsi="Palatino Linotype" w:cs="Tahoma"/>
          <w:b/>
          <w:bCs/>
          <w:sz w:val="22"/>
          <w:szCs w:val="22"/>
          <w:lang w:eastAsia="en-US"/>
        </w:rPr>
        <w:t>.</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426448" w:rsidRPr="00985849">
        <w:rPr>
          <w:rFonts w:ascii="Palatino Linotype" w:hAnsi="Palatino Linotype" w:cs="Tahoma"/>
          <w:sz w:val="22"/>
          <w:szCs w:val="22"/>
        </w:rPr>
        <w:t>g</w:t>
      </w:r>
      <w:proofErr w:type="spellStart"/>
      <w:r w:rsidR="00E51E18" w:rsidRPr="00985849">
        <w:rPr>
          <w:rFonts w:ascii="Palatino Linotype" w:eastAsia="Calibri" w:hAnsi="Palatino Linotype" w:cs="Tahoma"/>
          <w:bCs/>
          <w:sz w:val="22"/>
          <w:szCs w:val="22"/>
          <w:lang w:val="es-ES_tradnl" w:eastAsia="en-US"/>
        </w:rPr>
        <w:t>írese</w:t>
      </w:r>
      <w:proofErr w:type="spellEnd"/>
      <w:r w:rsidR="00E51E18" w:rsidRPr="00985849">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71645E">
        <w:rPr>
          <w:rFonts w:ascii="Palatino Linotype" w:eastAsia="Calibri" w:hAnsi="Palatino Linotype" w:cs="Tahoma"/>
          <w:bC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resolución.</w:t>
      </w:r>
    </w:p>
    <w:p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3C5742">
        <w:rPr>
          <w:rFonts w:ascii="Palatino Linotype" w:hAnsi="Palatino Linotype" w:cs="Tahoma"/>
          <w:bCs/>
          <w:sz w:val="22"/>
          <w:szCs w:val="22"/>
          <w:lang w:eastAsia="es-MX"/>
        </w:rPr>
        <w:t xml:space="preserve"> (EMITIENDO VOTO PARTICULAR)</w:t>
      </w:r>
      <w:r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 xml:space="preserve">EZ;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CUADRAGÉSIMA </w:t>
      </w:r>
      <w:r w:rsidR="00956793">
        <w:rPr>
          <w:rFonts w:ascii="Palatino Linotype" w:hAnsi="Palatino Linotype" w:cs="Tahoma"/>
          <w:sz w:val="22"/>
          <w:szCs w:val="22"/>
          <w:lang w:eastAsia="es-MX"/>
        </w:rPr>
        <w:t xml:space="preserve">SEGUNDA </w:t>
      </w:r>
      <w:r w:rsidRPr="00985849">
        <w:rPr>
          <w:rFonts w:ascii="Palatino Linotype" w:hAnsi="Palatino Linotype" w:cs="Tahoma"/>
          <w:sz w:val="22"/>
          <w:szCs w:val="22"/>
          <w:lang w:eastAsia="es-MX"/>
        </w:rPr>
        <w:t xml:space="preserve">SESIÓN ORDINARIA, CELEBRADA EL </w:t>
      </w:r>
      <w:r w:rsidR="00956793">
        <w:rPr>
          <w:rFonts w:ascii="Palatino Linotype" w:hAnsi="Palatino Linotype" w:cs="Tahoma"/>
          <w:sz w:val="22"/>
          <w:szCs w:val="22"/>
          <w:lang w:eastAsia="es-MX"/>
        </w:rPr>
        <w:t xml:space="preserve">CATORCE </w:t>
      </w:r>
      <w:r w:rsidR="00681656" w:rsidRPr="00985849">
        <w:rPr>
          <w:rFonts w:ascii="Palatino Linotype" w:hAnsi="Palatino Linotype" w:cs="Tahoma"/>
          <w:sz w:val="22"/>
          <w:szCs w:val="22"/>
          <w:lang w:eastAsia="es-MX"/>
        </w:rPr>
        <w:t xml:space="preserve">DE NOVIEMBRE </w:t>
      </w:r>
      <w:r w:rsidRPr="00985849">
        <w:rPr>
          <w:rFonts w:ascii="Palatino Linotype" w:hAnsi="Palatino Linotype" w:cs="Tahoma"/>
          <w:sz w:val="22"/>
          <w:szCs w:val="22"/>
          <w:lang w:eastAsia="es-MX"/>
        </w:rPr>
        <w:t>DE DOS MIL DIECIOCHO,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rsidTr="00F5374C">
        <w:tc>
          <w:tcPr>
            <w:tcW w:w="9072" w:type="dxa"/>
            <w:gridSpan w:val="3"/>
          </w:tcPr>
          <w:p w:rsidR="00400FDE" w:rsidRDefault="00400FDE" w:rsidP="00985849">
            <w:pPr>
              <w:spacing w:line="360" w:lineRule="auto"/>
              <w:rPr>
                <w:rFonts w:ascii="Palatino Linotype" w:eastAsia="Calibri" w:hAnsi="Palatino Linotype" w:cs="Tahoma"/>
                <w:b/>
                <w:sz w:val="22"/>
                <w:szCs w:val="22"/>
                <w:lang w:eastAsia="es-MX"/>
              </w:rPr>
            </w:pPr>
          </w:p>
          <w:p w:rsidR="00956793" w:rsidRDefault="00956793" w:rsidP="00985849">
            <w:pPr>
              <w:spacing w:line="360" w:lineRule="auto"/>
              <w:rPr>
                <w:rFonts w:ascii="Palatino Linotype" w:eastAsia="Calibri" w:hAnsi="Palatino Linotype" w:cs="Tahoma"/>
                <w:b/>
                <w:sz w:val="22"/>
                <w:szCs w:val="22"/>
                <w:lang w:eastAsia="es-MX"/>
              </w:rPr>
            </w:pPr>
          </w:p>
          <w:p w:rsidR="00956793" w:rsidRPr="00985849" w:rsidRDefault="00956793" w:rsidP="00985849">
            <w:pPr>
              <w:spacing w:line="360" w:lineRule="auto"/>
              <w:rPr>
                <w:rFonts w:ascii="Palatino Linotype" w:eastAsia="Calibri" w:hAnsi="Palatino Linotype" w:cs="Tahoma"/>
                <w:b/>
                <w:sz w:val="22"/>
                <w:szCs w:val="22"/>
                <w:lang w:eastAsia="es-MX"/>
              </w:rPr>
            </w:pPr>
          </w:p>
          <w:p w:rsidR="00F73751" w:rsidRPr="00985849" w:rsidRDefault="00F73751" w:rsidP="00985849">
            <w:pPr>
              <w:tabs>
                <w:tab w:val="left" w:pos="2445"/>
                <w:tab w:val="center" w:pos="4428"/>
              </w:tabs>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rsidR="00F73751" w:rsidRPr="003C5742" w:rsidRDefault="005B5DEE" w:rsidP="00985849">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Cs w:val="22"/>
                <w:lang w:eastAsia="es-MX"/>
              </w:rPr>
              <w:t>Comisionada Presidenta</w:t>
            </w:r>
          </w:p>
        </w:tc>
      </w:tr>
      <w:tr w:rsidR="00F73751" w:rsidRPr="00985849" w:rsidTr="00F5374C">
        <w:tc>
          <w:tcPr>
            <w:tcW w:w="3402" w:type="dxa"/>
          </w:tcPr>
          <w:p w:rsidR="00F73751" w:rsidRPr="00985849" w:rsidRDefault="00F73751" w:rsidP="00985849">
            <w:pPr>
              <w:spacing w:line="360" w:lineRule="auto"/>
              <w:jc w:val="center"/>
              <w:rPr>
                <w:rFonts w:ascii="Palatino Linotype" w:eastAsia="Calibri" w:hAnsi="Palatino Linotype" w:cs="Tahoma"/>
                <w:b/>
                <w:sz w:val="22"/>
                <w:szCs w:val="22"/>
              </w:rPr>
            </w:pPr>
          </w:p>
          <w:p w:rsidR="003C5742" w:rsidRDefault="003C5742" w:rsidP="00985849">
            <w:pPr>
              <w:spacing w:line="360" w:lineRule="auto"/>
              <w:ind w:right="-108"/>
              <w:rPr>
                <w:rFonts w:ascii="Palatino Linotype" w:eastAsia="Calibri" w:hAnsi="Palatino Linotype" w:cs="Tahoma"/>
                <w:b/>
                <w:sz w:val="22"/>
                <w:szCs w:val="22"/>
              </w:rPr>
            </w:pPr>
          </w:p>
          <w:p w:rsidR="00300A28" w:rsidRDefault="00300A28" w:rsidP="00985849">
            <w:pPr>
              <w:spacing w:line="360" w:lineRule="auto"/>
              <w:ind w:right="-108"/>
              <w:rPr>
                <w:rFonts w:ascii="Palatino Linotype" w:eastAsia="Calibri" w:hAnsi="Palatino Linotype" w:cs="Tahoma"/>
                <w:b/>
                <w:sz w:val="22"/>
                <w:szCs w:val="22"/>
              </w:rPr>
            </w:pPr>
          </w:p>
          <w:p w:rsidR="003C5742" w:rsidRPr="00985849" w:rsidRDefault="003C5742" w:rsidP="00985849">
            <w:pPr>
              <w:spacing w:line="360" w:lineRule="auto"/>
              <w:ind w:right="-108"/>
              <w:rPr>
                <w:rFonts w:ascii="Palatino Linotype" w:eastAsia="Calibri" w:hAnsi="Palatino Linotype" w:cs="Tahoma"/>
                <w:b/>
                <w:sz w:val="22"/>
                <w:szCs w:val="22"/>
              </w:rPr>
            </w:pPr>
          </w:p>
          <w:p w:rsidR="00F4018F" w:rsidRPr="00985849" w:rsidRDefault="00F73751" w:rsidP="00985849">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rsidR="00F73751" w:rsidRPr="003C5742" w:rsidRDefault="00F73751" w:rsidP="00985849">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rsidR="00400FDE" w:rsidRPr="00985849" w:rsidRDefault="00400FDE" w:rsidP="00985849">
            <w:pPr>
              <w:spacing w:line="360" w:lineRule="auto"/>
              <w:ind w:right="-108"/>
              <w:jc w:val="center"/>
              <w:rPr>
                <w:rFonts w:ascii="Palatino Linotype" w:eastAsia="Batang" w:hAnsi="Palatino Linotype" w:cs="Tahoma"/>
                <w:b/>
                <w:sz w:val="22"/>
                <w:szCs w:val="22"/>
              </w:rPr>
            </w:pPr>
          </w:p>
        </w:tc>
        <w:tc>
          <w:tcPr>
            <w:tcW w:w="1985" w:type="dxa"/>
          </w:tcPr>
          <w:p w:rsidR="00F73751"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lastRenderedPageBreak/>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tc>
        <w:tc>
          <w:tcPr>
            <w:tcW w:w="3685" w:type="dxa"/>
          </w:tcPr>
          <w:p w:rsidR="00F73751" w:rsidRPr="00985849" w:rsidRDefault="00F73751" w:rsidP="00985849">
            <w:pPr>
              <w:spacing w:line="360" w:lineRule="auto"/>
              <w:ind w:right="-108"/>
              <w:jc w:val="center"/>
              <w:rPr>
                <w:rFonts w:ascii="Palatino Linotype" w:eastAsia="Calibri" w:hAnsi="Palatino Linotype" w:cs="Tahoma"/>
                <w:b/>
                <w:sz w:val="22"/>
                <w:szCs w:val="22"/>
              </w:rPr>
            </w:pPr>
          </w:p>
          <w:p w:rsidR="000813B0" w:rsidRDefault="000813B0" w:rsidP="00985849">
            <w:pPr>
              <w:spacing w:line="360" w:lineRule="auto"/>
              <w:ind w:right="-108"/>
              <w:jc w:val="center"/>
              <w:rPr>
                <w:rFonts w:ascii="Palatino Linotype" w:eastAsia="Calibri" w:hAnsi="Palatino Linotype" w:cs="Tahoma"/>
                <w:b/>
                <w:sz w:val="22"/>
                <w:szCs w:val="22"/>
              </w:rPr>
            </w:pPr>
          </w:p>
          <w:p w:rsidR="00956793" w:rsidRDefault="00956793" w:rsidP="00985849">
            <w:pPr>
              <w:spacing w:line="360" w:lineRule="auto"/>
              <w:ind w:right="-108"/>
              <w:rPr>
                <w:rFonts w:ascii="Palatino Linotype" w:eastAsia="Calibri" w:hAnsi="Palatino Linotype" w:cs="Tahoma"/>
                <w:b/>
                <w:sz w:val="22"/>
                <w:szCs w:val="22"/>
                <w:lang w:eastAsia="es-MX"/>
              </w:rPr>
            </w:pPr>
          </w:p>
          <w:p w:rsidR="00300A28" w:rsidRPr="00985849" w:rsidRDefault="00300A28" w:rsidP="00985849">
            <w:pPr>
              <w:spacing w:line="360" w:lineRule="auto"/>
              <w:ind w:right="-108"/>
              <w:rPr>
                <w:rFonts w:ascii="Palatino Linotype" w:eastAsia="Calibri" w:hAnsi="Palatino Linotype" w:cs="Tahoma"/>
                <w:b/>
                <w:sz w:val="22"/>
                <w:szCs w:val="22"/>
                <w:lang w:eastAsia="es-MX"/>
              </w:rPr>
            </w:pPr>
          </w:p>
          <w:p w:rsidR="00F73751" w:rsidRPr="00985849" w:rsidRDefault="00F73751" w:rsidP="00985849">
            <w:pPr>
              <w:spacing w:line="360"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rsidR="00F73751" w:rsidRPr="003C5742" w:rsidRDefault="00F73751" w:rsidP="00985849">
            <w:pPr>
              <w:spacing w:line="360"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rsidR="00400FDE" w:rsidRPr="00985849" w:rsidRDefault="00400FDE" w:rsidP="00985849">
            <w:pPr>
              <w:spacing w:line="360" w:lineRule="auto"/>
              <w:ind w:right="-108"/>
              <w:jc w:val="center"/>
              <w:rPr>
                <w:rFonts w:ascii="Palatino Linotype" w:eastAsia="Batang" w:hAnsi="Palatino Linotype" w:cs="Tahoma"/>
                <w:b/>
                <w:sz w:val="22"/>
                <w:szCs w:val="22"/>
              </w:rPr>
            </w:pPr>
          </w:p>
        </w:tc>
      </w:tr>
      <w:tr w:rsidR="00F73751" w:rsidRPr="00985849" w:rsidTr="00F5374C">
        <w:tc>
          <w:tcPr>
            <w:tcW w:w="3402" w:type="dxa"/>
          </w:tcPr>
          <w:p w:rsidR="002F199F" w:rsidRDefault="002F199F" w:rsidP="00985849">
            <w:pPr>
              <w:spacing w:line="360" w:lineRule="auto"/>
              <w:rPr>
                <w:rFonts w:ascii="Palatino Linotype" w:eastAsia="Calibri" w:hAnsi="Palatino Linotype" w:cs="Tahoma"/>
                <w:b/>
                <w:sz w:val="22"/>
                <w:szCs w:val="22"/>
              </w:rPr>
            </w:pPr>
          </w:p>
          <w:p w:rsidR="00956793" w:rsidRPr="00985849" w:rsidRDefault="00956793" w:rsidP="00985849">
            <w:pPr>
              <w:spacing w:line="360" w:lineRule="auto"/>
              <w:rPr>
                <w:rFonts w:ascii="Palatino Linotype" w:eastAsia="Calibri" w:hAnsi="Palatino Linotype" w:cs="Tahoma"/>
                <w:b/>
                <w:sz w:val="22"/>
                <w:szCs w:val="22"/>
              </w:rPr>
            </w:pPr>
          </w:p>
          <w:p w:rsidR="00F73751" w:rsidRPr="003C5742" w:rsidRDefault="00F73751" w:rsidP="00985849">
            <w:pPr>
              <w:spacing w:line="360"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rsidR="00400FDE" w:rsidRPr="00985849" w:rsidRDefault="00400FDE" w:rsidP="00985849">
            <w:pPr>
              <w:spacing w:line="360" w:lineRule="auto"/>
              <w:jc w:val="center"/>
              <w:rPr>
                <w:rFonts w:ascii="Palatino Linotype" w:eastAsia="Batang" w:hAnsi="Palatino Linotype" w:cs="Tahoma"/>
                <w:b/>
                <w:sz w:val="22"/>
                <w:szCs w:val="22"/>
              </w:rPr>
            </w:pPr>
          </w:p>
        </w:tc>
        <w:tc>
          <w:tcPr>
            <w:tcW w:w="1985" w:type="dxa"/>
          </w:tcPr>
          <w:p w:rsidR="00F73751" w:rsidRPr="00985849" w:rsidRDefault="00F73751" w:rsidP="00985849">
            <w:pPr>
              <w:spacing w:line="360" w:lineRule="auto"/>
              <w:jc w:val="center"/>
              <w:rPr>
                <w:rFonts w:ascii="Palatino Linotype" w:eastAsia="Batang" w:hAnsi="Palatino Linotype" w:cs="Tahoma"/>
                <w:b/>
                <w:sz w:val="22"/>
                <w:szCs w:val="22"/>
              </w:rPr>
            </w:pPr>
          </w:p>
        </w:tc>
        <w:tc>
          <w:tcPr>
            <w:tcW w:w="3685" w:type="dxa"/>
          </w:tcPr>
          <w:p w:rsidR="00F73751" w:rsidRPr="00985849" w:rsidRDefault="00F73751" w:rsidP="00985849">
            <w:pPr>
              <w:spacing w:line="360" w:lineRule="auto"/>
              <w:ind w:right="-108"/>
              <w:jc w:val="center"/>
              <w:rPr>
                <w:rFonts w:ascii="Palatino Linotype" w:eastAsia="Calibri" w:hAnsi="Palatino Linotype" w:cs="Tahoma"/>
                <w:b/>
                <w:sz w:val="22"/>
                <w:szCs w:val="22"/>
              </w:rPr>
            </w:pPr>
          </w:p>
          <w:p w:rsidR="002F199F" w:rsidRPr="00985849" w:rsidRDefault="002F199F" w:rsidP="003C5742">
            <w:pPr>
              <w:spacing w:line="360" w:lineRule="auto"/>
              <w:ind w:right="-108"/>
              <w:rPr>
                <w:rFonts w:ascii="Palatino Linotype" w:eastAsia="Calibri" w:hAnsi="Palatino Linotype" w:cs="Tahoma"/>
                <w:sz w:val="22"/>
                <w:szCs w:val="22"/>
                <w:lang w:eastAsia="es-MX"/>
              </w:rPr>
            </w:pPr>
          </w:p>
          <w:p w:rsidR="00F73751" w:rsidRPr="00985849" w:rsidRDefault="00F73751" w:rsidP="00985849">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rsidR="00F73751" w:rsidRPr="003C5742" w:rsidRDefault="00F73751" w:rsidP="00985849">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rsidR="00400FDE" w:rsidRPr="00985849" w:rsidRDefault="00400FDE" w:rsidP="00985849">
            <w:pPr>
              <w:spacing w:line="360" w:lineRule="auto"/>
              <w:ind w:right="-108"/>
              <w:jc w:val="center"/>
              <w:rPr>
                <w:rFonts w:ascii="Palatino Linotype" w:eastAsia="Batang" w:hAnsi="Palatino Linotype" w:cs="Tahoma"/>
                <w:b/>
                <w:sz w:val="22"/>
                <w:szCs w:val="22"/>
              </w:rPr>
            </w:pPr>
          </w:p>
        </w:tc>
      </w:tr>
      <w:tr w:rsidR="00F73751" w:rsidRPr="00985849" w:rsidTr="00F5374C">
        <w:tc>
          <w:tcPr>
            <w:tcW w:w="9072" w:type="dxa"/>
            <w:gridSpan w:val="3"/>
          </w:tcPr>
          <w:p w:rsidR="000813B0" w:rsidRDefault="000813B0" w:rsidP="00985849">
            <w:pPr>
              <w:spacing w:line="360" w:lineRule="auto"/>
              <w:jc w:val="center"/>
              <w:rPr>
                <w:rFonts w:ascii="Palatino Linotype" w:eastAsia="Calibri" w:hAnsi="Palatino Linotype" w:cs="Tahoma"/>
                <w:sz w:val="22"/>
                <w:szCs w:val="22"/>
                <w:lang w:eastAsia="es-MX"/>
              </w:rPr>
            </w:pPr>
          </w:p>
          <w:p w:rsidR="00F5374C" w:rsidRPr="00985849" w:rsidRDefault="00F5374C" w:rsidP="003C5742">
            <w:pPr>
              <w:tabs>
                <w:tab w:val="left" w:pos="2820"/>
              </w:tabs>
              <w:spacing w:line="360" w:lineRule="auto"/>
              <w:ind w:right="2414"/>
              <w:rPr>
                <w:rFonts w:ascii="Palatino Linotype" w:eastAsia="Calibri" w:hAnsi="Palatino Linotype" w:cs="Tahoma"/>
                <w:b/>
                <w:sz w:val="22"/>
                <w:szCs w:val="22"/>
              </w:rPr>
            </w:pPr>
          </w:p>
          <w:p w:rsidR="00681656" w:rsidRPr="00985849" w:rsidRDefault="00681656" w:rsidP="00985849">
            <w:pPr>
              <w:tabs>
                <w:tab w:val="left" w:pos="2820"/>
              </w:tabs>
              <w:spacing w:line="360" w:lineRule="auto"/>
              <w:ind w:left="2581" w:right="2414"/>
              <w:rPr>
                <w:rFonts w:ascii="Palatino Linotype" w:eastAsia="Calibri" w:hAnsi="Palatino Linotype" w:cs="Tahoma"/>
                <w:b/>
                <w:sz w:val="22"/>
                <w:szCs w:val="22"/>
              </w:rPr>
            </w:pPr>
          </w:p>
          <w:p w:rsidR="00F5374C" w:rsidRPr="00985849" w:rsidRDefault="00F5374C" w:rsidP="00985849">
            <w:pPr>
              <w:spacing w:line="360"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rsidR="00F73751" w:rsidRPr="003C5742" w:rsidRDefault="00F73751" w:rsidP="00985849">
            <w:pPr>
              <w:spacing w:line="360"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rsidR="00B6258B" w:rsidRPr="00985849" w:rsidRDefault="002F199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p w:rsidR="00B6258B" w:rsidRPr="00985849" w:rsidRDefault="00B6258B" w:rsidP="00985849">
            <w:pPr>
              <w:spacing w:line="360" w:lineRule="auto"/>
              <w:jc w:val="center"/>
              <w:rPr>
                <w:rFonts w:ascii="Palatino Linotype" w:eastAsia="Calibri" w:hAnsi="Palatino Linotype" w:cs="Tahoma"/>
                <w:color w:val="000000"/>
                <w:sz w:val="22"/>
                <w:szCs w:val="22"/>
              </w:rPr>
            </w:pPr>
          </w:p>
        </w:tc>
      </w:tr>
    </w:tbl>
    <w:p w:rsidR="001D0094" w:rsidRPr="00985849" w:rsidRDefault="001D0094" w:rsidP="00985849">
      <w:pPr>
        <w:spacing w:line="360" w:lineRule="auto"/>
        <w:ind w:right="-93"/>
        <w:jc w:val="both"/>
        <w:rPr>
          <w:rFonts w:ascii="Palatino Linotype" w:eastAsia="Calibri" w:hAnsi="Palatino Linotype" w:cs="Tahoma"/>
          <w:b/>
          <w:bCs/>
          <w:sz w:val="22"/>
          <w:szCs w:val="22"/>
          <w:lang w:eastAsia="en-US"/>
        </w:rPr>
      </w:pPr>
    </w:p>
    <w:p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 catorce </w:t>
      </w:r>
      <w:r w:rsidR="00681656" w:rsidRPr="00985849">
        <w:rPr>
          <w:rFonts w:ascii="Palatino Linotype" w:eastAsia="Calibri" w:hAnsi="Palatino Linotype" w:cs="Arial"/>
          <w:sz w:val="22"/>
          <w:szCs w:val="22"/>
          <w:lang w:eastAsia="en-US"/>
        </w:rPr>
        <w:t>de noviembre</w:t>
      </w:r>
      <w:r w:rsidR="00F4018F" w:rsidRPr="00985849">
        <w:rPr>
          <w:rFonts w:ascii="Palatino Linotype" w:eastAsia="Calibri" w:hAnsi="Palatino Linotype" w:cs="Arial"/>
          <w:sz w:val="22"/>
          <w:szCs w:val="22"/>
          <w:lang w:eastAsia="en-US"/>
        </w:rPr>
        <w:t xml:space="preserve"> de dos mil dieciocho, emitida en el recurso de revisión número </w:t>
      </w:r>
      <w:r w:rsidR="00F4018F" w:rsidRPr="00985849">
        <w:rPr>
          <w:rFonts w:ascii="Palatino Linotype" w:eastAsia="Calibri" w:hAnsi="Palatino Linotype" w:cs="Arial"/>
          <w:bCs/>
          <w:sz w:val="22"/>
          <w:szCs w:val="22"/>
          <w:lang w:eastAsia="en-US"/>
        </w:rPr>
        <w:t>03</w:t>
      </w:r>
      <w:r w:rsidR="00956793">
        <w:rPr>
          <w:rFonts w:ascii="Palatino Linotype" w:eastAsia="Calibri" w:hAnsi="Palatino Linotype" w:cs="Arial"/>
          <w:bCs/>
          <w:sz w:val="22"/>
          <w:szCs w:val="22"/>
          <w:lang w:eastAsia="en-US"/>
        </w:rPr>
        <w:t>711</w:t>
      </w:r>
      <w:r w:rsidR="00F4018F" w:rsidRPr="00985849">
        <w:rPr>
          <w:rFonts w:ascii="Palatino Linotype" w:eastAsia="Calibri" w:hAnsi="Palatino Linotype" w:cs="Arial"/>
          <w:bCs/>
          <w:sz w:val="22"/>
          <w:szCs w:val="22"/>
          <w:lang w:eastAsia="en-US"/>
        </w:rPr>
        <w:t>/INFOEM/IP/RR/2018</w:t>
      </w:r>
      <w:r w:rsidR="00E86361" w:rsidRPr="00985849">
        <w:rPr>
          <w:rFonts w:ascii="Palatino Linotype" w:eastAsia="Calibri" w:hAnsi="Palatino Linotype" w:cs="Arial"/>
          <w:sz w:val="22"/>
          <w:szCs w:val="22"/>
          <w:lang w:eastAsia="en-US"/>
        </w:rPr>
        <w:t>.</w:t>
      </w:r>
    </w:p>
    <w:sectPr w:rsidR="000A238F" w:rsidRPr="00985849"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213" w:rsidRDefault="00C87213" w:rsidP="00B31222">
      <w:r>
        <w:separator/>
      </w:r>
    </w:p>
  </w:endnote>
  <w:endnote w:type="continuationSeparator" w:id="0">
    <w:p w:rsidR="00C87213" w:rsidRDefault="00C8721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BD181B" w:rsidRDefault="00BD181B">
            <w:pPr>
              <w:pStyle w:val="Piedepgina"/>
              <w:jc w:val="right"/>
            </w:pPr>
            <w:r>
              <w:rPr>
                <w:lang w:val="es-ES"/>
              </w:rPr>
              <w:t xml:space="preserve">Página </w:t>
            </w:r>
            <w:r w:rsidR="00173688">
              <w:rPr>
                <w:b/>
                <w:bCs/>
                <w:sz w:val="24"/>
                <w:szCs w:val="24"/>
              </w:rPr>
              <w:fldChar w:fldCharType="begin"/>
            </w:r>
            <w:r>
              <w:rPr>
                <w:b/>
                <w:bCs/>
              </w:rPr>
              <w:instrText>PAGE</w:instrText>
            </w:r>
            <w:r w:rsidR="00173688">
              <w:rPr>
                <w:b/>
                <w:bCs/>
                <w:sz w:val="24"/>
                <w:szCs w:val="24"/>
              </w:rPr>
              <w:fldChar w:fldCharType="separate"/>
            </w:r>
            <w:r w:rsidR="001B3007">
              <w:rPr>
                <w:b/>
                <w:bCs/>
                <w:noProof/>
              </w:rPr>
              <w:t>30</w:t>
            </w:r>
            <w:r w:rsidR="00173688">
              <w:rPr>
                <w:b/>
                <w:bCs/>
                <w:sz w:val="24"/>
                <w:szCs w:val="24"/>
              </w:rPr>
              <w:fldChar w:fldCharType="end"/>
            </w:r>
            <w:r>
              <w:rPr>
                <w:lang w:val="es-ES"/>
              </w:rPr>
              <w:t xml:space="preserve"> de </w:t>
            </w:r>
            <w:r w:rsidR="00173688">
              <w:rPr>
                <w:b/>
                <w:bCs/>
                <w:sz w:val="24"/>
                <w:szCs w:val="24"/>
              </w:rPr>
              <w:fldChar w:fldCharType="begin"/>
            </w:r>
            <w:r>
              <w:rPr>
                <w:b/>
                <w:bCs/>
              </w:rPr>
              <w:instrText>NUMPAGES</w:instrText>
            </w:r>
            <w:r w:rsidR="00173688">
              <w:rPr>
                <w:b/>
                <w:bCs/>
                <w:sz w:val="24"/>
                <w:szCs w:val="24"/>
              </w:rPr>
              <w:fldChar w:fldCharType="separate"/>
            </w:r>
            <w:r w:rsidR="001B3007">
              <w:rPr>
                <w:b/>
                <w:bCs/>
                <w:noProof/>
              </w:rPr>
              <w:t>31</w:t>
            </w:r>
            <w:r w:rsidR="00173688">
              <w:rPr>
                <w:b/>
                <w:bCs/>
                <w:sz w:val="24"/>
                <w:szCs w:val="24"/>
              </w:rPr>
              <w:fldChar w:fldCharType="end"/>
            </w:r>
          </w:p>
        </w:sdtContent>
      </w:sdt>
    </w:sdtContent>
  </w:sdt>
  <w:p w:rsidR="00BD181B" w:rsidRDefault="00BD18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BD181B" w:rsidRDefault="00BD181B">
            <w:pPr>
              <w:pStyle w:val="Piedepgina"/>
              <w:jc w:val="right"/>
            </w:pPr>
            <w:r>
              <w:rPr>
                <w:lang w:val="es-ES"/>
              </w:rPr>
              <w:t xml:space="preserve">Página </w:t>
            </w:r>
            <w:r w:rsidR="00173688">
              <w:rPr>
                <w:b/>
                <w:bCs/>
                <w:sz w:val="24"/>
                <w:szCs w:val="24"/>
              </w:rPr>
              <w:fldChar w:fldCharType="begin"/>
            </w:r>
            <w:r>
              <w:rPr>
                <w:b/>
                <w:bCs/>
              </w:rPr>
              <w:instrText>PAGE</w:instrText>
            </w:r>
            <w:r w:rsidR="00173688">
              <w:rPr>
                <w:b/>
                <w:bCs/>
                <w:sz w:val="24"/>
                <w:szCs w:val="24"/>
              </w:rPr>
              <w:fldChar w:fldCharType="separate"/>
            </w:r>
            <w:r w:rsidR="001B3007">
              <w:rPr>
                <w:b/>
                <w:bCs/>
                <w:noProof/>
              </w:rPr>
              <w:t>1</w:t>
            </w:r>
            <w:r w:rsidR="00173688">
              <w:rPr>
                <w:b/>
                <w:bCs/>
                <w:sz w:val="24"/>
                <w:szCs w:val="24"/>
              </w:rPr>
              <w:fldChar w:fldCharType="end"/>
            </w:r>
            <w:r>
              <w:rPr>
                <w:lang w:val="es-ES"/>
              </w:rPr>
              <w:t xml:space="preserve"> de </w:t>
            </w:r>
            <w:r w:rsidR="00173688">
              <w:rPr>
                <w:b/>
                <w:bCs/>
                <w:sz w:val="24"/>
                <w:szCs w:val="24"/>
              </w:rPr>
              <w:fldChar w:fldCharType="begin"/>
            </w:r>
            <w:r>
              <w:rPr>
                <w:b/>
                <w:bCs/>
              </w:rPr>
              <w:instrText>NUMPAGES</w:instrText>
            </w:r>
            <w:r w:rsidR="00173688">
              <w:rPr>
                <w:b/>
                <w:bCs/>
                <w:sz w:val="24"/>
                <w:szCs w:val="24"/>
              </w:rPr>
              <w:fldChar w:fldCharType="separate"/>
            </w:r>
            <w:r w:rsidR="001B3007">
              <w:rPr>
                <w:b/>
                <w:bCs/>
                <w:noProof/>
              </w:rPr>
              <w:t>31</w:t>
            </w:r>
            <w:r w:rsidR="00173688">
              <w:rPr>
                <w:b/>
                <w:bCs/>
                <w:sz w:val="24"/>
                <w:szCs w:val="24"/>
              </w:rPr>
              <w:fldChar w:fldCharType="end"/>
            </w:r>
          </w:p>
        </w:sdtContent>
      </w:sdt>
    </w:sdtContent>
  </w:sdt>
  <w:p w:rsidR="00BD181B" w:rsidRDefault="00BD18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213" w:rsidRDefault="00C87213" w:rsidP="00B31222">
      <w:r>
        <w:separator/>
      </w:r>
    </w:p>
  </w:footnote>
  <w:footnote w:type="continuationSeparator" w:id="0">
    <w:p w:rsidR="00C87213" w:rsidRDefault="00C8721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D181B" w:rsidRPr="005C106F" w:rsidTr="00202DB8">
      <w:trPr>
        <w:trHeight w:val="1435"/>
      </w:trPr>
      <w:tc>
        <w:tcPr>
          <w:tcW w:w="2835" w:type="dxa"/>
          <w:shd w:val="clear" w:color="auto" w:fill="auto"/>
        </w:tcPr>
        <w:p w:rsidR="00BD181B" w:rsidRPr="005C106F" w:rsidRDefault="00BD181B" w:rsidP="00EF4A64">
          <w:pPr>
            <w:tabs>
              <w:tab w:val="right" w:pos="4273"/>
            </w:tabs>
            <w:rPr>
              <w:rFonts w:ascii="Garamond" w:eastAsia="Calibri" w:hAnsi="Garamond"/>
              <w:sz w:val="16"/>
              <w:szCs w:val="16"/>
              <w:lang w:eastAsia="en-US"/>
            </w:rPr>
          </w:pPr>
        </w:p>
      </w:tc>
      <w:tc>
        <w:tcPr>
          <w:tcW w:w="6733" w:type="dxa"/>
          <w:shd w:val="clear" w:color="auto" w:fill="auto"/>
        </w:tcPr>
        <w:p w:rsidR="00BD181B" w:rsidRDefault="00BD181B"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753ABF" w:rsidTr="00753ABF">
            <w:trPr>
              <w:gridBefore w:val="1"/>
              <w:gridAfter w:val="1"/>
              <w:wBefore w:w="572" w:type="dxa"/>
              <w:wAfter w:w="142" w:type="dxa"/>
              <w:trHeight w:val="144"/>
            </w:trPr>
            <w:tc>
              <w:tcPr>
                <w:tcW w:w="2552" w:type="dxa"/>
              </w:tcPr>
              <w:p w:rsidR="00753ABF" w:rsidRPr="00026EBB" w:rsidRDefault="00753AB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rsidR="00753ABF" w:rsidRPr="00026EBB" w:rsidRDefault="00753ABF" w:rsidP="00753ABF">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03711</w:t>
                </w:r>
                <w:r w:rsidRPr="00026EBB">
                  <w:rPr>
                    <w:rFonts w:ascii="Palatino Linotype" w:eastAsia="Calibri" w:hAnsi="Palatino Linotype" w:cs="Tahoma"/>
                    <w:bCs/>
                    <w:sz w:val="22"/>
                    <w:szCs w:val="22"/>
                    <w:lang w:eastAsia="en-US"/>
                  </w:rPr>
                  <w:t>/INFOEM/IP/RR/2018</w:t>
                </w:r>
              </w:p>
            </w:tc>
          </w:tr>
          <w:tr w:rsidR="00753ABF" w:rsidTr="00753ABF">
            <w:trPr>
              <w:gridBefore w:val="1"/>
              <w:gridAfter w:val="1"/>
              <w:wBefore w:w="572" w:type="dxa"/>
              <w:wAfter w:w="142" w:type="dxa"/>
              <w:trHeight w:val="138"/>
            </w:trPr>
            <w:tc>
              <w:tcPr>
                <w:tcW w:w="2552" w:type="dxa"/>
              </w:tcPr>
              <w:p w:rsidR="00753ABF" w:rsidRPr="00026EBB" w:rsidRDefault="00753AB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rsidR="00753ABF" w:rsidRPr="00026EBB" w:rsidRDefault="00753AB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sidR="00956793">
                  <w:rPr>
                    <w:rFonts w:ascii="Palatino Linotype" w:eastAsia="Calibri" w:hAnsi="Palatino Linotype" w:cs="Tahoma"/>
                    <w:sz w:val="22"/>
                    <w:szCs w:val="22"/>
                    <w:lang w:val="es-MX" w:eastAsia="en-US"/>
                  </w:rPr>
                  <w:t xml:space="preserve"> de Tultitlá</w:t>
                </w:r>
                <w:r>
                  <w:rPr>
                    <w:rFonts w:ascii="Palatino Linotype" w:eastAsia="Calibri" w:hAnsi="Palatino Linotype" w:cs="Tahoma"/>
                    <w:sz w:val="22"/>
                    <w:szCs w:val="22"/>
                    <w:lang w:val="es-MX" w:eastAsia="en-US"/>
                  </w:rPr>
                  <w:t>n</w:t>
                </w:r>
              </w:p>
            </w:tc>
          </w:tr>
          <w:tr w:rsidR="00753ABF" w:rsidTr="00753ABF">
            <w:trPr>
              <w:trHeight w:val="283"/>
            </w:trPr>
            <w:tc>
              <w:tcPr>
                <w:tcW w:w="3124" w:type="dxa"/>
                <w:gridSpan w:val="2"/>
              </w:tcPr>
              <w:p w:rsidR="00753ABF" w:rsidRPr="00026EBB" w:rsidRDefault="00753AB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rsidR="00753ABF" w:rsidRPr="00026EBB" w:rsidRDefault="00753AB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BD181B" w:rsidRPr="005C106F" w:rsidRDefault="00BD181B" w:rsidP="005743D2">
          <w:pPr>
            <w:tabs>
              <w:tab w:val="right" w:pos="8838"/>
            </w:tabs>
            <w:ind w:left="-28"/>
            <w:jc w:val="both"/>
            <w:rPr>
              <w:rFonts w:ascii="Arial" w:eastAsia="Calibri" w:hAnsi="Arial" w:cs="Arial"/>
              <w:b/>
              <w:sz w:val="22"/>
              <w:szCs w:val="22"/>
              <w:lang w:eastAsia="en-US"/>
            </w:rPr>
          </w:pPr>
        </w:p>
      </w:tc>
    </w:tr>
  </w:tbl>
  <w:p w:rsidR="00BD181B" w:rsidRPr="00443C6B" w:rsidRDefault="00BD181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D181B" w:rsidRPr="005C106F" w:rsidTr="003B165A">
      <w:trPr>
        <w:trHeight w:val="1435"/>
      </w:trPr>
      <w:tc>
        <w:tcPr>
          <w:tcW w:w="2835" w:type="dxa"/>
          <w:shd w:val="clear" w:color="auto" w:fill="auto"/>
        </w:tcPr>
        <w:p w:rsidR="00BD181B" w:rsidRPr="005C106F" w:rsidRDefault="00BD181B" w:rsidP="00DB7E5F">
          <w:pPr>
            <w:tabs>
              <w:tab w:val="right" w:pos="4273"/>
            </w:tabs>
            <w:rPr>
              <w:rFonts w:ascii="Garamond" w:eastAsia="Calibri" w:hAnsi="Garamond"/>
              <w:sz w:val="16"/>
              <w:szCs w:val="16"/>
              <w:lang w:eastAsia="en-US"/>
            </w:rPr>
          </w:pPr>
        </w:p>
      </w:tc>
      <w:tc>
        <w:tcPr>
          <w:tcW w:w="6733" w:type="dxa"/>
          <w:shd w:val="clear" w:color="auto" w:fill="auto"/>
        </w:tcPr>
        <w:p w:rsidR="00BD181B" w:rsidRPr="005C106F" w:rsidRDefault="00BD181B" w:rsidP="00DB7E5F">
          <w:pPr>
            <w:tabs>
              <w:tab w:val="right" w:pos="8838"/>
            </w:tabs>
            <w:ind w:left="-28"/>
            <w:jc w:val="both"/>
            <w:rPr>
              <w:rFonts w:ascii="Arial" w:eastAsia="Calibri" w:hAnsi="Arial" w:cs="Arial"/>
              <w:b/>
              <w:sz w:val="22"/>
              <w:szCs w:val="22"/>
              <w:lang w:eastAsia="en-US"/>
            </w:rPr>
          </w:pPr>
        </w:p>
      </w:tc>
    </w:tr>
  </w:tbl>
  <w:p w:rsidR="00BD181B" w:rsidRDefault="00BD181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4"/>
  </w:num>
  <w:num w:numId="2">
    <w:abstractNumId w:val="0"/>
  </w:num>
  <w:num w:numId="3">
    <w:abstractNumId w:val="2"/>
  </w:num>
  <w:num w:numId="4">
    <w:abstractNumId w:val="23"/>
  </w:num>
  <w:num w:numId="5">
    <w:abstractNumId w:val="5"/>
  </w:num>
  <w:num w:numId="6">
    <w:abstractNumId w:val="22"/>
  </w:num>
  <w:num w:numId="7">
    <w:abstractNumId w:val="4"/>
  </w:num>
  <w:num w:numId="8">
    <w:abstractNumId w:val="20"/>
  </w:num>
  <w:num w:numId="9">
    <w:abstractNumId w:val="10"/>
  </w:num>
  <w:num w:numId="10">
    <w:abstractNumId w:val="1"/>
  </w:num>
  <w:num w:numId="11">
    <w:abstractNumId w:val="9"/>
  </w:num>
  <w:num w:numId="12">
    <w:abstractNumId w:val="13"/>
  </w:num>
  <w:num w:numId="13">
    <w:abstractNumId w:val="6"/>
  </w:num>
  <w:num w:numId="14">
    <w:abstractNumId w:val="7"/>
  </w:num>
  <w:num w:numId="15">
    <w:abstractNumId w:val="8"/>
  </w:num>
  <w:num w:numId="16">
    <w:abstractNumId w:val="16"/>
  </w:num>
  <w:num w:numId="17">
    <w:abstractNumId w:val="11"/>
  </w:num>
  <w:num w:numId="18">
    <w:abstractNumId w:val="12"/>
  </w:num>
  <w:num w:numId="19">
    <w:abstractNumId w:val="18"/>
  </w:num>
  <w:num w:numId="20">
    <w:abstractNumId w:val="17"/>
  </w:num>
  <w:num w:numId="21">
    <w:abstractNumId w:val="15"/>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068E"/>
    <w:rsid w:val="00013A19"/>
    <w:rsid w:val="00014465"/>
    <w:rsid w:val="00017019"/>
    <w:rsid w:val="000212E5"/>
    <w:rsid w:val="00021C64"/>
    <w:rsid w:val="000241C5"/>
    <w:rsid w:val="00026EBB"/>
    <w:rsid w:val="000313A7"/>
    <w:rsid w:val="00032F5B"/>
    <w:rsid w:val="00034E9D"/>
    <w:rsid w:val="000373BC"/>
    <w:rsid w:val="00037B34"/>
    <w:rsid w:val="00037F4B"/>
    <w:rsid w:val="0004168D"/>
    <w:rsid w:val="00043C4B"/>
    <w:rsid w:val="0004646B"/>
    <w:rsid w:val="000477E7"/>
    <w:rsid w:val="00047D67"/>
    <w:rsid w:val="000528E6"/>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67E4"/>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61DF9"/>
    <w:rsid w:val="00162CCE"/>
    <w:rsid w:val="00165891"/>
    <w:rsid w:val="00167281"/>
    <w:rsid w:val="00170545"/>
    <w:rsid w:val="00171ADD"/>
    <w:rsid w:val="00173688"/>
    <w:rsid w:val="0017459B"/>
    <w:rsid w:val="00182F0F"/>
    <w:rsid w:val="00183D24"/>
    <w:rsid w:val="001851A6"/>
    <w:rsid w:val="001875A7"/>
    <w:rsid w:val="001879E1"/>
    <w:rsid w:val="0019389B"/>
    <w:rsid w:val="00194582"/>
    <w:rsid w:val="001A1B94"/>
    <w:rsid w:val="001A22F5"/>
    <w:rsid w:val="001A7FD2"/>
    <w:rsid w:val="001B107D"/>
    <w:rsid w:val="001B2CD9"/>
    <w:rsid w:val="001B3007"/>
    <w:rsid w:val="001B62A0"/>
    <w:rsid w:val="001C282F"/>
    <w:rsid w:val="001D0086"/>
    <w:rsid w:val="001D0094"/>
    <w:rsid w:val="001D7012"/>
    <w:rsid w:val="001D7BD2"/>
    <w:rsid w:val="001E2A4D"/>
    <w:rsid w:val="001E3BA6"/>
    <w:rsid w:val="001E53C2"/>
    <w:rsid w:val="001F0E9C"/>
    <w:rsid w:val="001F1540"/>
    <w:rsid w:val="001F652C"/>
    <w:rsid w:val="001F739F"/>
    <w:rsid w:val="001F78D9"/>
    <w:rsid w:val="00202DB8"/>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39E6"/>
    <w:rsid w:val="00281A35"/>
    <w:rsid w:val="00283E90"/>
    <w:rsid w:val="00284486"/>
    <w:rsid w:val="00285644"/>
    <w:rsid w:val="0028581E"/>
    <w:rsid w:val="00293491"/>
    <w:rsid w:val="00293A8C"/>
    <w:rsid w:val="00293E0D"/>
    <w:rsid w:val="002A0FB8"/>
    <w:rsid w:val="002A3B3C"/>
    <w:rsid w:val="002A6193"/>
    <w:rsid w:val="002A7BD4"/>
    <w:rsid w:val="002A7F32"/>
    <w:rsid w:val="002B20A1"/>
    <w:rsid w:val="002B226E"/>
    <w:rsid w:val="002B46D4"/>
    <w:rsid w:val="002B54CF"/>
    <w:rsid w:val="002C5695"/>
    <w:rsid w:val="002D1BE4"/>
    <w:rsid w:val="002D5DDD"/>
    <w:rsid w:val="002E5015"/>
    <w:rsid w:val="002E6811"/>
    <w:rsid w:val="002E7ACF"/>
    <w:rsid w:val="002F0CE9"/>
    <w:rsid w:val="002F199F"/>
    <w:rsid w:val="002F3BD0"/>
    <w:rsid w:val="002F5B6A"/>
    <w:rsid w:val="00300A0B"/>
    <w:rsid w:val="00300A28"/>
    <w:rsid w:val="00301F46"/>
    <w:rsid w:val="00303CAD"/>
    <w:rsid w:val="00306418"/>
    <w:rsid w:val="003100F3"/>
    <w:rsid w:val="00310C11"/>
    <w:rsid w:val="00315492"/>
    <w:rsid w:val="00316600"/>
    <w:rsid w:val="003172EC"/>
    <w:rsid w:val="003201BA"/>
    <w:rsid w:val="0032170B"/>
    <w:rsid w:val="00323325"/>
    <w:rsid w:val="003243B0"/>
    <w:rsid w:val="00325EC0"/>
    <w:rsid w:val="003340EC"/>
    <w:rsid w:val="003350FF"/>
    <w:rsid w:val="0034057C"/>
    <w:rsid w:val="00350142"/>
    <w:rsid w:val="00353B6D"/>
    <w:rsid w:val="00354920"/>
    <w:rsid w:val="00355DC6"/>
    <w:rsid w:val="003604D7"/>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1A43"/>
    <w:rsid w:val="003D1A64"/>
    <w:rsid w:val="003E13A6"/>
    <w:rsid w:val="003E31E5"/>
    <w:rsid w:val="003E32ED"/>
    <w:rsid w:val="003E3A39"/>
    <w:rsid w:val="003E3CBF"/>
    <w:rsid w:val="003E58C9"/>
    <w:rsid w:val="003F578D"/>
    <w:rsid w:val="003F650B"/>
    <w:rsid w:val="003F67B8"/>
    <w:rsid w:val="004004E9"/>
    <w:rsid w:val="00400FDE"/>
    <w:rsid w:val="00402595"/>
    <w:rsid w:val="004052C5"/>
    <w:rsid w:val="004100AA"/>
    <w:rsid w:val="00412203"/>
    <w:rsid w:val="0041563A"/>
    <w:rsid w:val="00417DE3"/>
    <w:rsid w:val="00420B07"/>
    <w:rsid w:val="00422869"/>
    <w:rsid w:val="00426448"/>
    <w:rsid w:val="0043257A"/>
    <w:rsid w:val="00436FD3"/>
    <w:rsid w:val="004406CF"/>
    <w:rsid w:val="00441804"/>
    <w:rsid w:val="004435B4"/>
    <w:rsid w:val="0046048A"/>
    <w:rsid w:val="00461690"/>
    <w:rsid w:val="00466346"/>
    <w:rsid w:val="00470AC2"/>
    <w:rsid w:val="004751D6"/>
    <w:rsid w:val="00477DBA"/>
    <w:rsid w:val="00477E20"/>
    <w:rsid w:val="00480BB8"/>
    <w:rsid w:val="00481674"/>
    <w:rsid w:val="00481D51"/>
    <w:rsid w:val="0048519E"/>
    <w:rsid w:val="00485EC7"/>
    <w:rsid w:val="004860BD"/>
    <w:rsid w:val="00487430"/>
    <w:rsid w:val="00492DCA"/>
    <w:rsid w:val="004A0A7B"/>
    <w:rsid w:val="004A0BB0"/>
    <w:rsid w:val="004A26CD"/>
    <w:rsid w:val="004A3584"/>
    <w:rsid w:val="004A5121"/>
    <w:rsid w:val="004A577A"/>
    <w:rsid w:val="004A7990"/>
    <w:rsid w:val="004B1796"/>
    <w:rsid w:val="004B591D"/>
    <w:rsid w:val="004B7542"/>
    <w:rsid w:val="004C4ACC"/>
    <w:rsid w:val="004C7E83"/>
    <w:rsid w:val="004D5DB3"/>
    <w:rsid w:val="004D65B7"/>
    <w:rsid w:val="004E345F"/>
    <w:rsid w:val="004E41C7"/>
    <w:rsid w:val="004F2D88"/>
    <w:rsid w:val="004F41A2"/>
    <w:rsid w:val="005070C3"/>
    <w:rsid w:val="005124DC"/>
    <w:rsid w:val="00514036"/>
    <w:rsid w:val="005220BE"/>
    <w:rsid w:val="00542D5F"/>
    <w:rsid w:val="005435DE"/>
    <w:rsid w:val="00544C28"/>
    <w:rsid w:val="00546BAE"/>
    <w:rsid w:val="00552EBD"/>
    <w:rsid w:val="00553827"/>
    <w:rsid w:val="00555F71"/>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C0DBE"/>
    <w:rsid w:val="005C4034"/>
    <w:rsid w:val="005C465F"/>
    <w:rsid w:val="005C651C"/>
    <w:rsid w:val="005D1427"/>
    <w:rsid w:val="005D2B62"/>
    <w:rsid w:val="005D49C8"/>
    <w:rsid w:val="005D5607"/>
    <w:rsid w:val="005E37E9"/>
    <w:rsid w:val="005E3922"/>
    <w:rsid w:val="005F03DB"/>
    <w:rsid w:val="005F1701"/>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6F25"/>
    <w:rsid w:val="00667C1C"/>
    <w:rsid w:val="00671885"/>
    <w:rsid w:val="00673DD4"/>
    <w:rsid w:val="00674AEB"/>
    <w:rsid w:val="006753B0"/>
    <w:rsid w:val="00681656"/>
    <w:rsid w:val="00683CB5"/>
    <w:rsid w:val="0068455C"/>
    <w:rsid w:val="006851C1"/>
    <w:rsid w:val="00685328"/>
    <w:rsid w:val="0069333E"/>
    <w:rsid w:val="00693C8E"/>
    <w:rsid w:val="006969BA"/>
    <w:rsid w:val="006A026A"/>
    <w:rsid w:val="006A0425"/>
    <w:rsid w:val="006A1D62"/>
    <w:rsid w:val="006A3EA8"/>
    <w:rsid w:val="006A6D7F"/>
    <w:rsid w:val="006B0298"/>
    <w:rsid w:val="006B0E83"/>
    <w:rsid w:val="006B5493"/>
    <w:rsid w:val="006C10C0"/>
    <w:rsid w:val="006C1B1D"/>
    <w:rsid w:val="006C32BB"/>
    <w:rsid w:val="006C3747"/>
    <w:rsid w:val="006C7760"/>
    <w:rsid w:val="006C7EEA"/>
    <w:rsid w:val="006D3A39"/>
    <w:rsid w:val="006D522C"/>
    <w:rsid w:val="006D56AA"/>
    <w:rsid w:val="006D7795"/>
    <w:rsid w:val="006D7ACB"/>
    <w:rsid w:val="006E00EF"/>
    <w:rsid w:val="006E1A7A"/>
    <w:rsid w:val="006E76AC"/>
    <w:rsid w:val="006F01E7"/>
    <w:rsid w:val="006F1F3A"/>
    <w:rsid w:val="006F76DD"/>
    <w:rsid w:val="006F7EB8"/>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515BC"/>
    <w:rsid w:val="00753ABF"/>
    <w:rsid w:val="007573B2"/>
    <w:rsid w:val="007574BB"/>
    <w:rsid w:val="0075764C"/>
    <w:rsid w:val="00762198"/>
    <w:rsid w:val="00763CE8"/>
    <w:rsid w:val="00764E7C"/>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6E6C"/>
    <w:rsid w:val="007C7EB6"/>
    <w:rsid w:val="007D2F75"/>
    <w:rsid w:val="007D3C0E"/>
    <w:rsid w:val="007E22E7"/>
    <w:rsid w:val="007E4232"/>
    <w:rsid w:val="007E69BB"/>
    <w:rsid w:val="007E6AB8"/>
    <w:rsid w:val="007F2109"/>
    <w:rsid w:val="007F21C5"/>
    <w:rsid w:val="007F3EF1"/>
    <w:rsid w:val="00801BCE"/>
    <w:rsid w:val="00802515"/>
    <w:rsid w:val="0081283F"/>
    <w:rsid w:val="0081480A"/>
    <w:rsid w:val="008202EB"/>
    <w:rsid w:val="008240D3"/>
    <w:rsid w:val="00827F88"/>
    <w:rsid w:val="008336A5"/>
    <w:rsid w:val="00835474"/>
    <w:rsid w:val="008373C0"/>
    <w:rsid w:val="0084145F"/>
    <w:rsid w:val="00841DA2"/>
    <w:rsid w:val="008458F6"/>
    <w:rsid w:val="00845AED"/>
    <w:rsid w:val="0084708E"/>
    <w:rsid w:val="00851AE4"/>
    <w:rsid w:val="0085598D"/>
    <w:rsid w:val="00862771"/>
    <w:rsid w:val="0086682F"/>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2FA1"/>
    <w:rsid w:val="008D2C4C"/>
    <w:rsid w:val="008D7E0D"/>
    <w:rsid w:val="008D7EDB"/>
    <w:rsid w:val="008E1829"/>
    <w:rsid w:val="008E2327"/>
    <w:rsid w:val="008E5077"/>
    <w:rsid w:val="008E64F0"/>
    <w:rsid w:val="008E6FF3"/>
    <w:rsid w:val="008E7B05"/>
    <w:rsid w:val="008F18ED"/>
    <w:rsid w:val="008F3EA1"/>
    <w:rsid w:val="008F46C2"/>
    <w:rsid w:val="009001FC"/>
    <w:rsid w:val="009020A8"/>
    <w:rsid w:val="00903D37"/>
    <w:rsid w:val="0091055D"/>
    <w:rsid w:val="00914C61"/>
    <w:rsid w:val="00917D6F"/>
    <w:rsid w:val="00921B1A"/>
    <w:rsid w:val="00921DDA"/>
    <w:rsid w:val="0092600D"/>
    <w:rsid w:val="00927D70"/>
    <w:rsid w:val="0093039D"/>
    <w:rsid w:val="00931E4F"/>
    <w:rsid w:val="0093364D"/>
    <w:rsid w:val="00936574"/>
    <w:rsid w:val="00943BCE"/>
    <w:rsid w:val="00955268"/>
    <w:rsid w:val="00956793"/>
    <w:rsid w:val="00960346"/>
    <w:rsid w:val="009617D3"/>
    <w:rsid w:val="0096463B"/>
    <w:rsid w:val="0096693C"/>
    <w:rsid w:val="00967869"/>
    <w:rsid w:val="00971F54"/>
    <w:rsid w:val="009725C5"/>
    <w:rsid w:val="00973F40"/>
    <w:rsid w:val="00973FDF"/>
    <w:rsid w:val="00983AA1"/>
    <w:rsid w:val="009849EF"/>
    <w:rsid w:val="00985849"/>
    <w:rsid w:val="00986DB7"/>
    <w:rsid w:val="0098795A"/>
    <w:rsid w:val="009934CF"/>
    <w:rsid w:val="009A0C8C"/>
    <w:rsid w:val="009A0D75"/>
    <w:rsid w:val="009A347A"/>
    <w:rsid w:val="009A521D"/>
    <w:rsid w:val="009A620E"/>
    <w:rsid w:val="009B548D"/>
    <w:rsid w:val="009B6A6F"/>
    <w:rsid w:val="009C1AFE"/>
    <w:rsid w:val="009C4081"/>
    <w:rsid w:val="009C5F24"/>
    <w:rsid w:val="009D048B"/>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7916"/>
    <w:rsid w:val="00A50FAD"/>
    <w:rsid w:val="00A536DA"/>
    <w:rsid w:val="00A571CD"/>
    <w:rsid w:val="00A57C3D"/>
    <w:rsid w:val="00A6697B"/>
    <w:rsid w:val="00A74C2D"/>
    <w:rsid w:val="00A76B34"/>
    <w:rsid w:val="00A83487"/>
    <w:rsid w:val="00A854FF"/>
    <w:rsid w:val="00A87035"/>
    <w:rsid w:val="00A8745D"/>
    <w:rsid w:val="00A9024A"/>
    <w:rsid w:val="00A90F9B"/>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5EE6"/>
    <w:rsid w:val="00AD0D24"/>
    <w:rsid w:val="00AD1923"/>
    <w:rsid w:val="00AD2611"/>
    <w:rsid w:val="00AD29FD"/>
    <w:rsid w:val="00AD3AC5"/>
    <w:rsid w:val="00AD3D57"/>
    <w:rsid w:val="00AD7301"/>
    <w:rsid w:val="00AE47BF"/>
    <w:rsid w:val="00AF6432"/>
    <w:rsid w:val="00AF79BD"/>
    <w:rsid w:val="00B04421"/>
    <w:rsid w:val="00B07F12"/>
    <w:rsid w:val="00B1415B"/>
    <w:rsid w:val="00B15278"/>
    <w:rsid w:val="00B21BEE"/>
    <w:rsid w:val="00B234EC"/>
    <w:rsid w:val="00B274AE"/>
    <w:rsid w:val="00B274BF"/>
    <w:rsid w:val="00B31222"/>
    <w:rsid w:val="00B37CF8"/>
    <w:rsid w:val="00B42E81"/>
    <w:rsid w:val="00B4329D"/>
    <w:rsid w:val="00B443F5"/>
    <w:rsid w:val="00B517D5"/>
    <w:rsid w:val="00B520F9"/>
    <w:rsid w:val="00B52812"/>
    <w:rsid w:val="00B5495A"/>
    <w:rsid w:val="00B577A3"/>
    <w:rsid w:val="00B6258B"/>
    <w:rsid w:val="00B64641"/>
    <w:rsid w:val="00B67D38"/>
    <w:rsid w:val="00B7262F"/>
    <w:rsid w:val="00B727C5"/>
    <w:rsid w:val="00B73823"/>
    <w:rsid w:val="00B73FD4"/>
    <w:rsid w:val="00B74FC5"/>
    <w:rsid w:val="00B75A6C"/>
    <w:rsid w:val="00B82F2D"/>
    <w:rsid w:val="00B83E2A"/>
    <w:rsid w:val="00B83E38"/>
    <w:rsid w:val="00B85DF3"/>
    <w:rsid w:val="00B86C19"/>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732A"/>
    <w:rsid w:val="00BC758B"/>
    <w:rsid w:val="00BD0C28"/>
    <w:rsid w:val="00BD181B"/>
    <w:rsid w:val="00BD2EAC"/>
    <w:rsid w:val="00BD4BB3"/>
    <w:rsid w:val="00BD5CDF"/>
    <w:rsid w:val="00BE17C6"/>
    <w:rsid w:val="00BE2BD3"/>
    <w:rsid w:val="00BE4865"/>
    <w:rsid w:val="00BE69BF"/>
    <w:rsid w:val="00BE725A"/>
    <w:rsid w:val="00BE7430"/>
    <w:rsid w:val="00BE7B48"/>
    <w:rsid w:val="00BF3381"/>
    <w:rsid w:val="00C105B6"/>
    <w:rsid w:val="00C10FCF"/>
    <w:rsid w:val="00C16B4B"/>
    <w:rsid w:val="00C17427"/>
    <w:rsid w:val="00C20C00"/>
    <w:rsid w:val="00C210FD"/>
    <w:rsid w:val="00C21EB2"/>
    <w:rsid w:val="00C22901"/>
    <w:rsid w:val="00C22F6B"/>
    <w:rsid w:val="00C25238"/>
    <w:rsid w:val="00C305F2"/>
    <w:rsid w:val="00C3345C"/>
    <w:rsid w:val="00C407E5"/>
    <w:rsid w:val="00C42DAC"/>
    <w:rsid w:val="00C4342B"/>
    <w:rsid w:val="00C459A9"/>
    <w:rsid w:val="00C502A5"/>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87213"/>
    <w:rsid w:val="00C901BB"/>
    <w:rsid w:val="00C90CD3"/>
    <w:rsid w:val="00C92552"/>
    <w:rsid w:val="00C93F1B"/>
    <w:rsid w:val="00C976D1"/>
    <w:rsid w:val="00CA71D4"/>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4012"/>
    <w:rsid w:val="00CF5C25"/>
    <w:rsid w:val="00D02BC6"/>
    <w:rsid w:val="00D0310D"/>
    <w:rsid w:val="00D05803"/>
    <w:rsid w:val="00D05C7C"/>
    <w:rsid w:val="00D06906"/>
    <w:rsid w:val="00D07742"/>
    <w:rsid w:val="00D1276A"/>
    <w:rsid w:val="00D14DB7"/>
    <w:rsid w:val="00D15ED5"/>
    <w:rsid w:val="00D22B6A"/>
    <w:rsid w:val="00D348F7"/>
    <w:rsid w:val="00D3703D"/>
    <w:rsid w:val="00D40BC3"/>
    <w:rsid w:val="00D434EC"/>
    <w:rsid w:val="00D44E9D"/>
    <w:rsid w:val="00D472A7"/>
    <w:rsid w:val="00D47869"/>
    <w:rsid w:val="00D61A0E"/>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D53DC"/>
    <w:rsid w:val="00DE2966"/>
    <w:rsid w:val="00DE4107"/>
    <w:rsid w:val="00DF0B5E"/>
    <w:rsid w:val="00DF0ED5"/>
    <w:rsid w:val="00DF72D9"/>
    <w:rsid w:val="00DF7EC8"/>
    <w:rsid w:val="00E028ED"/>
    <w:rsid w:val="00E104F6"/>
    <w:rsid w:val="00E10748"/>
    <w:rsid w:val="00E12F57"/>
    <w:rsid w:val="00E14282"/>
    <w:rsid w:val="00E27DDF"/>
    <w:rsid w:val="00E27E01"/>
    <w:rsid w:val="00E30A90"/>
    <w:rsid w:val="00E32DBA"/>
    <w:rsid w:val="00E350F4"/>
    <w:rsid w:val="00E42ED4"/>
    <w:rsid w:val="00E43469"/>
    <w:rsid w:val="00E445DA"/>
    <w:rsid w:val="00E45379"/>
    <w:rsid w:val="00E50B22"/>
    <w:rsid w:val="00E51E18"/>
    <w:rsid w:val="00E533BD"/>
    <w:rsid w:val="00E53706"/>
    <w:rsid w:val="00E573C6"/>
    <w:rsid w:val="00E57CE2"/>
    <w:rsid w:val="00E617BD"/>
    <w:rsid w:val="00E70503"/>
    <w:rsid w:val="00E705B4"/>
    <w:rsid w:val="00E72967"/>
    <w:rsid w:val="00E8155D"/>
    <w:rsid w:val="00E86361"/>
    <w:rsid w:val="00E90C37"/>
    <w:rsid w:val="00EA0E04"/>
    <w:rsid w:val="00EA220D"/>
    <w:rsid w:val="00EA3156"/>
    <w:rsid w:val="00EA40A2"/>
    <w:rsid w:val="00EA4CD5"/>
    <w:rsid w:val="00EA5D2C"/>
    <w:rsid w:val="00EA5D8E"/>
    <w:rsid w:val="00EA68DA"/>
    <w:rsid w:val="00EB07CF"/>
    <w:rsid w:val="00EB3B88"/>
    <w:rsid w:val="00EC3B8F"/>
    <w:rsid w:val="00EC5CA0"/>
    <w:rsid w:val="00EC7372"/>
    <w:rsid w:val="00ED30E8"/>
    <w:rsid w:val="00ED3B69"/>
    <w:rsid w:val="00ED6CD1"/>
    <w:rsid w:val="00ED729D"/>
    <w:rsid w:val="00EE5F2E"/>
    <w:rsid w:val="00EF4A64"/>
    <w:rsid w:val="00F00407"/>
    <w:rsid w:val="00F02171"/>
    <w:rsid w:val="00F033EF"/>
    <w:rsid w:val="00F061A6"/>
    <w:rsid w:val="00F107AF"/>
    <w:rsid w:val="00F11AB3"/>
    <w:rsid w:val="00F15D77"/>
    <w:rsid w:val="00F20633"/>
    <w:rsid w:val="00F218DA"/>
    <w:rsid w:val="00F23E81"/>
    <w:rsid w:val="00F25CFE"/>
    <w:rsid w:val="00F35243"/>
    <w:rsid w:val="00F36AD0"/>
    <w:rsid w:val="00F36DFE"/>
    <w:rsid w:val="00F4018F"/>
    <w:rsid w:val="00F43E6E"/>
    <w:rsid w:val="00F44423"/>
    <w:rsid w:val="00F479BF"/>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E99"/>
    <w:rsid w:val="00F9650A"/>
    <w:rsid w:val="00F967C7"/>
    <w:rsid w:val="00FA0437"/>
    <w:rsid w:val="00FA233F"/>
    <w:rsid w:val="00FA2E05"/>
    <w:rsid w:val="00FA4111"/>
    <w:rsid w:val="00FA7D57"/>
    <w:rsid w:val="00FB0008"/>
    <w:rsid w:val="00FB071C"/>
    <w:rsid w:val="00FB3EA0"/>
    <w:rsid w:val="00FB4127"/>
    <w:rsid w:val="00FB55F4"/>
    <w:rsid w:val="00FC0B63"/>
    <w:rsid w:val="00FC2209"/>
    <w:rsid w:val="00FC293B"/>
    <w:rsid w:val="00FC7531"/>
    <w:rsid w:val="00FC7EAA"/>
    <w:rsid w:val="00FD4FA5"/>
    <w:rsid w:val="00FD5166"/>
    <w:rsid w:val="00FE5410"/>
    <w:rsid w:val="00FE5418"/>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scjn.gob.mx/ConsultaTematica/PaginasPub/DetallePub.aspx?AsuntoID=1873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E9DB-EDAE-497C-9E93-40D34F60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31</Pages>
  <Words>7668</Words>
  <Characters>42178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Silvia Rita Paz Arellano</cp:lastModifiedBy>
  <cp:revision>24</cp:revision>
  <cp:lastPrinted>2018-11-20T20:18:00Z</cp:lastPrinted>
  <dcterms:created xsi:type="dcterms:W3CDTF">2018-11-09T03:50:00Z</dcterms:created>
  <dcterms:modified xsi:type="dcterms:W3CDTF">2018-11-29T01:12:00Z</dcterms:modified>
</cp:coreProperties>
</file>