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452" w:rsidRPr="00BA791B" w:rsidRDefault="00AB0753">
      <w:pPr>
        <w:rPr>
          <w:sz w:val="20"/>
          <w:szCs w:val="24"/>
        </w:rPr>
      </w:pPr>
    </w:p>
    <w:p w:rsidR="00247AFA" w:rsidRPr="00BA791B" w:rsidRDefault="00247AFA">
      <w:pPr>
        <w:rPr>
          <w:sz w:val="20"/>
          <w:szCs w:val="24"/>
        </w:rPr>
      </w:pPr>
    </w:p>
    <w:p w:rsidR="00247AFA" w:rsidRPr="00985DB9" w:rsidRDefault="00247AFA" w:rsidP="00247AFA">
      <w:pPr>
        <w:spacing w:before="240" w:after="240" w:line="360" w:lineRule="auto"/>
        <w:jc w:val="right"/>
        <w:rPr>
          <w:rFonts w:ascii="Palatino Linotype" w:hAnsi="Palatino Linotype"/>
          <w:b/>
          <w:szCs w:val="24"/>
        </w:rPr>
      </w:pPr>
      <w:r w:rsidRPr="00985DB9">
        <w:rPr>
          <w:rFonts w:ascii="Palatino Linotype" w:hAnsi="Palatino Linotype"/>
          <w:b/>
          <w:szCs w:val="24"/>
        </w:rPr>
        <w:t xml:space="preserve">Metepec, México, </w:t>
      </w:r>
      <w:r w:rsidR="004561F2" w:rsidRPr="00985DB9">
        <w:rPr>
          <w:rFonts w:ascii="Palatino Linotype" w:hAnsi="Palatino Linotype"/>
          <w:b/>
          <w:szCs w:val="24"/>
        </w:rPr>
        <w:t>Diciembre 11</w:t>
      </w:r>
      <w:r w:rsidR="007D4237" w:rsidRPr="00985DB9">
        <w:rPr>
          <w:rFonts w:ascii="Palatino Linotype" w:hAnsi="Palatino Linotype"/>
          <w:b/>
          <w:szCs w:val="24"/>
        </w:rPr>
        <w:t>, de 2018</w:t>
      </w:r>
    </w:p>
    <w:p w:rsidR="00247AFA" w:rsidRPr="00985DB9" w:rsidRDefault="00247AFA" w:rsidP="00247AFA">
      <w:pPr>
        <w:spacing w:before="240" w:after="240" w:line="360" w:lineRule="auto"/>
        <w:jc w:val="both"/>
        <w:rPr>
          <w:b/>
          <w:noProof/>
          <w:szCs w:val="24"/>
          <w:lang w:eastAsia="es-MX"/>
        </w:rPr>
      </w:pPr>
      <w:r w:rsidRPr="00985DB9">
        <w:rPr>
          <w:b/>
          <w:noProof/>
          <w:szCs w:val="24"/>
          <w:lang w:eastAsia="es-MX"/>
        </w:rPr>
        <mc:AlternateContent>
          <mc:Choice Requires="wps">
            <w:drawing>
              <wp:anchor distT="0" distB="0" distL="114300" distR="114300" simplePos="0" relativeHeight="251659264" behindDoc="1" locked="0" layoutInCell="0" allowOverlap="1" wp14:anchorId="65CB3DAE" wp14:editId="410A239D">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47AFA" w:rsidRDefault="00247AFA" w:rsidP="00247AFA">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5CB3DAE"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247AFA" w:rsidRDefault="00247AFA" w:rsidP="00247AFA">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Pr="00985DB9">
        <w:rPr>
          <w:rFonts w:ascii="Palatino Linotype" w:hAnsi="Palatino Linotype"/>
          <w:b/>
          <w:szCs w:val="24"/>
        </w:rPr>
        <w:t xml:space="preserve">VOTO PARTICULAR QUE FORMULA EL COMISIONADO JAVIER MARTÍNEZ CRUZ, EN RELACIÓN CON LA RESOLUCIÓN DICTADA POR EL PLENO DEL INSTITUTO DE TRANSPARENCIA, ACCESO A LA INFORMACIÓN PÚBLICA Y PROTECCIÓN DE DATOS PERSONALES DEL ESTADO DE MÉXICO Y MUNICIPIOS, EN LA </w:t>
      </w:r>
      <w:r w:rsidR="004561F2" w:rsidRPr="00985DB9">
        <w:rPr>
          <w:rFonts w:ascii="Palatino Linotype" w:hAnsi="Palatino Linotype"/>
          <w:b/>
          <w:szCs w:val="24"/>
        </w:rPr>
        <w:t>CUDRA</w:t>
      </w:r>
      <w:r w:rsidR="00676AA1" w:rsidRPr="00985DB9">
        <w:rPr>
          <w:rFonts w:ascii="Palatino Linotype" w:hAnsi="Palatino Linotype"/>
          <w:b/>
          <w:szCs w:val="24"/>
        </w:rPr>
        <w:t>GÉSIMA</w:t>
      </w:r>
      <w:r w:rsidRPr="00985DB9">
        <w:rPr>
          <w:rFonts w:ascii="Palatino Linotype" w:hAnsi="Palatino Linotype"/>
          <w:b/>
          <w:szCs w:val="24"/>
        </w:rPr>
        <w:t xml:space="preserve"> </w:t>
      </w:r>
      <w:r w:rsidR="004561F2" w:rsidRPr="00985DB9">
        <w:rPr>
          <w:rFonts w:ascii="Palatino Linotype" w:hAnsi="Palatino Linotype"/>
          <w:b/>
          <w:szCs w:val="24"/>
        </w:rPr>
        <w:t>QUINTA</w:t>
      </w:r>
      <w:r w:rsidRPr="00985DB9">
        <w:rPr>
          <w:rFonts w:ascii="Palatino Linotype" w:hAnsi="Palatino Linotype"/>
          <w:b/>
          <w:szCs w:val="24"/>
        </w:rPr>
        <w:t xml:space="preserve"> SESIÓN ORDINARIA DEL </w:t>
      </w:r>
      <w:r w:rsidR="004561F2" w:rsidRPr="00985DB9">
        <w:rPr>
          <w:rFonts w:ascii="Palatino Linotype" w:hAnsi="Palatino Linotype"/>
          <w:b/>
          <w:szCs w:val="24"/>
        </w:rPr>
        <w:t>SEIS</w:t>
      </w:r>
      <w:r w:rsidR="00AA0455" w:rsidRPr="00985DB9">
        <w:rPr>
          <w:rFonts w:ascii="Palatino Linotype" w:hAnsi="Palatino Linotype"/>
          <w:b/>
          <w:szCs w:val="24"/>
        </w:rPr>
        <w:t xml:space="preserve"> DE </w:t>
      </w:r>
      <w:r w:rsidR="004561F2" w:rsidRPr="00985DB9">
        <w:rPr>
          <w:rFonts w:ascii="Palatino Linotype" w:hAnsi="Palatino Linotype"/>
          <w:b/>
          <w:szCs w:val="24"/>
        </w:rPr>
        <w:t>DICIEMBRE</w:t>
      </w:r>
      <w:r w:rsidR="00365C9A" w:rsidRPr="00985DB9">
        <w:rPr>
          <w:rFonts w:ascii="Palatino Linotype" w:hAnsi="Palatino Linotype"/>
          <w:b/>
          <w:szCs w:val="24"/>
        </w:rPr>
        <w:t xml:space="preserve"> </w:t>
      </w:r>
      <w:r w:rsidR="00676AA1" w:rsidRPr="00985DB9">
        <w:rPr>
          <w:rFonts w:ascii="Palatino Linotype" w:hAnsi="Palatino Linotype"/>
          <w:b/>
          <w:szCs w:val="24"/>
        </w:rPr>
        <w:t>DE DOS MIL DIECIOCHO</w:t>
      </w:r>
      <w:r w:rsidRPr="00985DB9">
        <w:rPr>
          <w:rFonts w:ascii="Palatino Linotype" w:hAnsi="Palatino Linotype"/>
          <w:b/>
          <w:szCs w:val="24"/>
        </w:rPr>
        <w:t xml:space="preserve">, EN EL RECURSO DE REVISIÓN </w:t>
      </w:r>
      <w:r w:rsidR="004561F2" w:rsidRPr="00985DB9">
        <w:rPr>
          <w:rFonts w:ascii="Palatino Linotype" w:hAnsi="Palatino Linotype"/>
          <w:b/>
          <w:bCs/>
          <w:szCs w:val="24"/>
        </w:rPr>
        <w:t>03813</w:t>
      </w:r>
      <w:r w:rsidR="00676AA1" w:rsidRPr="00985DB9">
        <w:rPr>
          <w:rFonts w:ascii="Palatino Linotype" w:hAnsi="Palatino Linotype"/>
          <w:b/>
          <w:bCs/>
          <w:szCs w:val="24"/>
        </w:rPr>
        <w:t>/INFOEM/IP/RR/2018</w:t>
      </w:r>
      <w:r w:rsidR="004561F2" w:rsidRPr="00985DB9">
        <w:rPr>
          <w:rFonts w:ascii="Palatino Linotype" w:hAnsi="Palatino Linotype"/>
          <w:b/>
          <w:szCs w:val="24"/>
        </w:rPr>
        <w:t xml:space="preserve">, </w:t>
      </w:r>
      <w:r w:rsidR="004561F2" w:rsidRPr="00985DB9">
        <w:rPr>
          <w:rFonts w:ascii="Palatino Linotype" w:hAnsi="Palatino Linotype"/>
          <w:b/>
        </w:rPr>
        <w:t>03814/INFOEM/IP/RR/2018, 03815/INFOEM/IP/RR/2018, 03816/INFOEM/IP/RR/2018 y 03817/INFOEM/IP/RR/2018 acumulados.</w:t>
      </w:r>
    </w:p>
    <w:p w:rsidR="00365C9A" w:rsidRPr="00985DB9" w:rsidRDefault="00365C9A" w:rsidP="00365C9A">
      <w:pPr>
        <w:spacing w:before="240" w:after="240" w:line="360" w:lineRule="auto"/>
        <w:jc w:val="both"/>
        <w:rPr>
          <w:rFonts w:ascii="Palatino Linotype" w:hAnsi="Palatino Linotype"/>
          <w:szCs w:val="24"/>
        </w:rPr>
      </w:pPr>
      <w:r w:rsidRPr="00985DB9">
        <w:rPr>
          <w:rFonts w:ascii="Palatino Linotype" w:hAnsi="Palatino Linotype"/>
          <w:szCs w:val="24"/>
        </w:rPr>
        <w:t>El Pleno del Instituto de Transparencia, Acceso a la Información Pública y Protección de Datos Personales del Estado de México re</w:t>
      </w:r>
      <w:r w:rsidR="007D4237" w:rsidRPr="00985DB9">
        <w:rPr>
          <w:rFonts w:ascii="Palatino Linotype" w:hAnsi="Palatino Linotype"/>
          <w:szCs w:val="24"/>
        </w:rPr>
        <w:t>solvió por unanimidad de votos,</w:t>
      </w:r>
      <w:r w:rsidRPr="00985DB9">
        <w:rPr>
          <w:rFonts w:ascii="Palatino Linotype" w:hAnsi="Palatino Linotype"/>
          <w:szCs w:val="24"/>
        </w:rPr>
        <w:t xml:space="preserve"> la resolución relativa al recurso de revisión </w:t>
      </w:r>
      <w:r w:rsidR="004561F2" w:rsidRPr="00985DB9">
        <w:rPr>
          <w:rFonts w:ascii="Palatino Linotype" w:hAnsi="Palatino Linotype"/>
          <w:b/>
          <w:bCs/>
          <w:szCs w:val="24"/>
        </w:rPr>
        <w:t>03813</w:t>
      </w:r>
      <w:r w:rsidR="00AA0455" w:rsidRPr="00985DB9">
        <w:rPr>
          <w:rFonts w:ascii="Palatino Linotype" w:hAnsi="Palatino Linotype"/>
          <w:b/>
          <w:bCs/>
          <w:szCs w:val="24"/>
        </w:rPr>
        <w:t>/INFOEM/IP/RR/2018</w:t>
      </w:r>
      <w:r w:rsidR="004561F2" w:rsidRPr="00985DB9">
        <w:rPr>
          <w:rFonts w:ascii="Palatino Linotype" w:hAnsi="Palatino Linotype"/>
          <w:b/>
          <w:bCs/>
          <w:szCs w:val="24"/>
        </w:rPr>
        <w:t xml:space="preserve"> y acumulados</w:t>
      </w:r>
      <w:r w:rsidRPr="00985DB9">
        <w:rPr>
          <w:rFonts w:ascii="Palatino Linotype" w:hAnsi="Palatino Linotype" w:cs="Arial"/>
          <w:bCs/>
          <w:szCs w:val="24"/>
          <w:lang w:eastAsia="es-MX"/>
        </w:rPr>
        <w:t xml:space="preserve"> </w:t>
      </w:r>
      <w:r w:rsidR="00C30FB8" w:rsidRPr="00985DB9">
        <w:rPr>
          <w:rFonts w:ascii="Palatino Linotype" w:hAnsi="Palatino Linotype"/>
          <w:szCs w:val="24"/>
        </w:rPr>
        <w:t>presentada por el Comisionado</w:t>
      </w:r>
      <w:r w:rsidR="007D4237" w:rsidRPr="00985DB9">
        <w:rPr>
          <w:rFonts w:ascii="Palatino Linotype" w:hAnsi="Palatino Linotype"/>
          <w:szCs w:val="24"/>
        </w:rPr>
        <w:t xml:space="preserve"> </w:t>
      </w:r>
      <w:r w:rsidR="00C30FB8" w:rsidRPr="00985DB9">
        <w:rPr>
          <w:rFonts w:ascii="Palatino Linotype" w:hAnsi="Palatino Linotype"/>
          <w:szCs w:val="24"/>
        </w:rPr>
        <w:t>José Guadalupe Luna Hernández</w:t>
      </w:r>
      <w:r w:rsidRPr="00985DB9">
        <w:rPr>
          <w:rFonts w:ascii="Palatino Linotype" w:hAnsi="Palatino Linotype"/>
          <w:szCs w:val="24"/>
        </w:rPr>
        <w:t xml:space="preserve">, respecto de la cual, el suscrito, formula </w:t>
      </w:r>
      <w:r w:rsidRPr="00985DB9">
        <w:rPr>
          <w:rFonts w:ascii="Palatino Linotype" w:hAnsi="Palatino Linotype"/>
          <w:b/>
          <w:szCs w:val="24"/>
        </w:rPr>
        <w:t>VOTO PARTICULAR</w:t>
      </w:r>
      <w:r w:rsidRPr="00985DB9">
        <w:rPr>
          <w:rFonts w:ascii="Palatino Linotype" w:hAnsi="Palatino Linotype"/>
          <w:szCs w:val="24"/>
        </w:rPr>
        <w:t>, con fundamento en el artículo 14 fracción XI del Reglamento del Instituto de Transparencia, Acceso a la Información Pública y Protección de Personales Datos del Estado de México.</w:t>
      </w:r>
    </w:p>
    <w:p w:rsidR="007D4237" w:rsidRPr="00985DB9" w:rsidRDefault="00C20EEA" w:rsidP="00696583">
      <w:pPr>
        <w:spacing w:before="240" w:after="240" w:line="360" w:lineRule="auto"/>
        <w:jc w:val="both"/>
        <w:rPr>
          <w:rFonts w:ascii="Palatino Linotype" w:eastAsia="Calibri" w:hAnsi="Palatino Linotype" w:cs="Arial"/>
          <w:i/>
          <w:color w:val="000000" w:themeColor="text1"/>
          <w:szCs w:val="24"/>
        </w:rPr>
      </w:pPr>
      <w:r w:rsidRPr="00985DB9">
        <w:rPr>
          <w:rFonts w:ascii="Palatino Linotype" w:hAnsi="Palatino Linotype"/>
          <w:szCs w:val="24"/>
        </w:rPr>
        <w:t>P</w:t>
      </w:r>
      <w:r w:rsidR="00600BA3" w:rsidRPr="00985DB9">
        <w:rPr>
          <w:rFonts w:ascii="Palatino Linotype" w:hAnsi="Palatino Linotype"/>
          <w:szCs w:val="24"/>
        </w:rPr>
        <w:t>revia emisión del presente voto, cabe precisar que la materia en que radicó el recurso</w:t>
      </w:r>
      <w:r w:rsidR="00320195" w:rsidRPr="00985DB9">
        <w:rPr>
          <w:rFonts w:ascii="Palatino Linotype" w:hAnsi="Palatino Linotype"/>
          <w:szCs w:val="24"/>
        </w:rPr>
        <w:t xml:space="preserve"> de revisión, </w:t>
      </w:r>
      <w:r w:rsidR="00600BA3" w:rsidRPr="00985DB9">
        <w:rPr>
          <w:rFonts w:ascii="Palatino Linotype" w:hAnsi="Palatino Linotype"/>
          <w:szCs w:val="24"/>
        </w:rPr>
        <w:t xml:space="preserve">fue en que se proporcionara por parte del </w:t>
      </w:r>
      <w:r w:rsidR="00C30FB8" w:rsidRPr="00985DB9">
        <w:rPr>
          <w:rFonts w:ascii="Palatino Linotype" w:hAnsi="Palatino Linotype"/>
          <w:szCs w:val="24"/>
        </w:rPr>
        <w:t>Sujeto Obligado</w:t>
      </w:r>
      <w:r w:rsidR="00D6696F" w:rsidRPr="00985DB9">
        <w:rPr>
          <w:rFonts w:ascii="Palatino Linotype" w:hAnsi="Palatino Linotype"/>
          <w:szCs w:val="24"/>
        </w:rPr>
        <w:t xml:space="preserve"> lo siguiente</w:t>
      </w:r>
      <w:r w:rsidR="00600BA3" w:rsidRPr="00985DB9">
        <w:rPr>
          <w:rFonts w:ascii="Palatino Linotype" w:hAnsi="Palatino Linotype"/>
          <w:szCs w:val="24"/>
        </w:rPr>
        <w:t xml:space="preserve"> </w:t>
      </w:r>
      <w:r w:rsidR="00AA0455" w:rsidRPr="00985DB9">
        <w:rPr>
          <w:rFonts w:ascii="Palatino Linotype" w:eastAsia="Times New Roman" w:hAnsi="Palatino Linotype" w:cs="Times New Roman"/>
          <w:i/>
          <w:szCs w:val="14"/>
          <w:lang w:val="es-ES"/>
        </w:rPr>
        <w:t xml:space="preserve"> “</w:t>
      </w:r>
      <w:r w:rsidR="004561F2" w:rsidRPr="00985DB9">
        <w:rPr>
          <w:rFonts w:ascii="Palatino Linotype" w:eastAsia="Times New Roman" w:hAnsi="Palatino Linotype" w:cs="Times New Roman"/>
          <w:i/>
          <w:szCs w:val="14"/>
        </w:rPr>
        <w:t>Documentación y comprobantes bancarios que entregó la UAEM a la Secretaría de Finanzas para comprobar los egresos destinados a “SEGURIDAD SOCIAL”, reportados en cada uno de los “Estado de Actividades” mensuales de los años 2014, 2015, 2016, 2017 y 2018.</w:t>
      </w:r>
      <w:r w:rsidR="007D4237" w:rsidRPr="00985DB9">
        <w:rPr>
          <w:rFonts w:ascii="Palatino Linotype" w:hAnsi="Palatino Linotype"/>
          <w:i/>
          <w:szCs w:val="24"/>
          <w:lang w:val="es-ES_tradnl"/>
        </w:rPr>
        <w:t>”</w:t>
      </w:r>
      <w:r w:rsidR="007D4237" w:rsidRPr="00985DB9">
        <w:rPr>
          <w:rFonts w:ascii="Palatino Linotype" w:hAnsi="Palatino Linotype"/>
          <w:i/>
          <w:szCs w:val="24"/>
        </w:rPr>
        <w:t xml:space="preserve"> </w:t>
      </w:r>
      <w:r w:rsidR="00696583" w:rsidRPr="00985DB9">
        <w:rPr>
          <w:rFonts w:ascii="Palatino Linotype" w:hAnsi="Palatino Linotype"/>
          <w:i/>
          <w:szCs w:val="24"/>
        </w:rPr>
        <w:t>(Sic)</w:t>
      </w:r>
      <w:r w:rsidR="007D4237" w:rsidRPr="00985DB9">
        <w:rPr>
          <w:rFonts w:ascii="Palatino Linotype" w:hAnsi="Palatino Linotype"/>
          <w:i/>
          <w:szCs w:val="24"/>
          <w:lang w:val="es-ES_tradnl"/>
        </w:rPr>
        <w:t>.</w:t>
      </w:r>
      <w:r w:rsidR="00600BA3" w:rsidRPr="00985DB9">
        <w:rPr>
          <w:rFonts w:ascii="Palatino Linotype" w:eastAsia="Calibri" w:hAnsi="Palatino Linotype" w:cs="Arial"/>
          <w:color w:val="000000" w:themeColor="text1"/>
          <w:szCs w:val="24"/>
          <w:lang w:val="es-ES"/>
        </w:rPr>
        <w:t xml:space="preserve"> </w:t>
      </w:r>
    </w:p>
    <w:p w:rsidR="00C25709" w:rsidRPr="00985DB9" w:rsidRDefault="00C25709" w:rsidP="00C25709">
      <w:pPr>
        <w:spacing w:before="240" w:after="240" w:line="360" w:lineRule="auto"/>
        <w:jc w:val="both"/>
        <w:rPr>
          <w:rFonts w:ascii="Palatino Linotype" w:hAnsi="Palatino Linotype"/>
        </w:rPr>
      </w:pPr>
      <w:r w:rsidRPr="00985DB9">
        <w:rPr>
          <w:rFonts w:ascii="Palatino Linotype" w:hAnsi="Palatino Linotype"/>
        </w:rPr>
        <w:lastRenderedPageBreak/>
        <w:t xml:space="preserve">Al respecto, dicho Sujeto Obligado </w:t>
      </w:r>
      <w:r w:rsidR="00094469" w:rsidRPr="00985DB9">
        <w:rPr>
          <w:rFonts w:ascii="Palatino Linotype" w:hAnsi="Palatino Linotype"/>
        </w:rPr>
        <w:t>sugirió al recurrente, que dirigiera la solicitud de información a la Universidad Autónoma del Estado de México.</w:t>
      </w:r>
    </w:p>
    <w:p w:rsidR="00F42030" w:rsidRPr="00985DB9" w:rsidRDefault="00094469" w:rsidP="00F42030">
      <w:pPr>
        <w:spacing w:before="240" w:after="240" w:line="360" w:lineRule="auto"/>
        <w:jc w:val="both"/>
        <w:rPr>
          <w:rFonts w:ascii="Palatino Linotype" w:hAnsi="Palatino Linotype"/>
          <w:lang w:val="es-ES_tradnl"/>
        </w:rPr>
      </w:pPr>
      <w:r w:rsidRPr="00985DB9">
        <w:rPr>
          <w:rFonts w:ascii="Palatino Linotype" w:hAnsi="Palatino Linotype"/>
        </w:rPr>
        <w:t xml:space="preserve">Posteriormente, la parte recurrente, </w:t>
      </w:r>
      <w:r w:rsidRPr="00985DB9">
        <w:rPr>
          <w:rFonts w:ascii="Palatino Linotype" w:hAnsi="Palatino Linotype"/>
          <w:lang w:val="es-ES_tradnl"/>
        </w:rPr>
        <w:t>señaló que no se le proporcionó la información, manifestando que estaba en el entendido de que la información que peticionó era entregada a la Secretaría de Finanzas y siendo este el caso, ésta no debería negársele.</w:t>
      </w:r>
    </w:p>
    <w:p w:rsidR="00F42030" w:rsidRPr="00985DB9" w:rsidRDefault="00094469" w:rsidP="00F42030">
      <w:pPr>
        <w:spacing w:before="240" w:after="240" w:line="360" w:lineRule="auto"/>
        <w:jc w:val="both"/>
        <w:rPr>
          <w:rFonts w:ascii="Palatino Linotype" w:hAnsi="Palatino Linotype"/>
          <w:lang w:val="es-ES_tradnl"/>
        </w:rPr>
      </w:pPr>
      <w:r w:rsidRPr="00985DB9">
        <w:rPr>
          <w:rFonts w:ascii="Palatino Linotype" w:hAnsi="Palatino Linotype"/>
        </w:rPr>
        <w:t>Dicho</w:t>
      </w:r>
      <w:r w:rsidR="00C25709" w:rsidRPr="00985DB9">
        <w:rPr>
          <w:rFonts w:ascii="Palatino Linotype" w:hAnsi="Palatino Linotype"/>
        </w:rPr>
        <w:t xml:space="preserve"> lo anterior, el Sujeto Obligado </w:t>
      </w:r>
      <w:r w:rsidRPr="00985DB9">
        <w:rPr>
          <w:rFonts w:ascii="Palatino Linotype" w:hAnsi="Palatino Linotype"/>
        </w:rPr>
        <w:t>remitió informes justificados</w:t>
      </w:r>
      <w:r w:rsidR="00F42030" w:rsidRPr="00985DB9">
        <w:rPr>
          <w:rFonts w:ascii="Palatino Linotype" w:hAnsi="Palatino Linotype"/>
        </w:rPr>
        <w:t>, en los cuales ratifico de manera general, sus respuestas</w:t>
      </w:r>
      <w:r w:rsidR="00F42030" w:rsidRPr="00985DB9">
        <w:rPr>
          <w:rFonts w:ascii="Palatino Linotype" w:hAnsi="Palatino Linotype"/>
          <w:lang w:val="es-ES_tradnl"/>
        </w:rPr>
        <w:t xml:space="preserve"> señalando que la Secretaría de Finanzas no es competente para atender lo relativo a la información peticionada, siendo que la UAEM es quien genera, administra y conserva la información relativa a la documentación y comprobantes bancarios de los egresos destinados a seguridad social.</w:t>
      </w:r>
    </w:p>
    <w:p w:rsidR="00C25709" w:rsidRPr="00985DB9" w:rsidRDefault="00C25709" w:rsidP="00C25709">
      <w:pPr>
        <w:spacing w:before="240" w:after="240" w:line="360" w:lineRule="auto"/>
        <w:jc w:val="both"/>
        <w:rPr>
          <w:rFonts w:ascii="Palatino Linotype" w:hAnsi="Palatino Linotype"/>
        </w:rPr>
      </w:pPr>
      <w:r w:rsidRPr="00985DB9">
        <w:rPr>
          <w:rFonts w:ascii="Palatino Linotype" w:hAnsi="Palatino Linotype"/>
        </w:rPr>
        <w:t>resumen- que la omisión de dar respuesta por parte del Sujeto Obligado constituye una vulneración al derecho de acceso a la información pública, el cual está constreñido a promover, respetar, proteger y más aún a garantizar de conformidad con la propia Constitución Política del Estados Unidos Mexicanos, sin embargo, también argumentó que para dar cumplimiento a la resolución el Sujeto Obligado debía atender la solicitud de información sin que fuera necesario para este Órgano Garante analizar si la información que le fue solicitada obra en los archivos del Sujeto Obligado, dejándole el deber a éste de sustanciar todo el procedimiento de acceso a la información pública verificando si la información que se le requirió corresponde al ejercicio de sus facultades, competencias o funciones; luego, si la información se encuentra en dicho supuesto y es localizada en sus archivos valorar si procede su entrega en su totalidad, en versión pública o debe restringirse el acceso por tratarse de información clasificada y para el caso de no se localice valorar la emisión de una declaración formal de inexistencia los supuestos en que ello debe ocurrir.</w:t>
      </w:r>
    </w:p>
    <w:p w:rsidR="00C25709" w:rsidRPr="00985DB9" w:rsidRDefault="00C25709" w:rsidP="00C25709">
      <w:pPr>
        <w:spacing w:before="240" w:after="240" w:line="360" w:lineRule="auto"/>
        <w:jc w:val="both"/>
        <w:rPr>
          <w:rFonts w:ascii="Palatino Linotype" w:hAnsi="Palatino Linotype"/>
        </w:rPr>
      </w:pPr>
      <w:r w:rsidRPr="00985DB9">
        <w:rPr>
          <w:rFonts w:ascii="Palatino Linotype" w:hAnsi="Palatino Linotype"/>
        </w:rPr>
        <w:lastRenderedPageBreak/>
        <w:t xml:space="preserve">De tal manera que en los resolutivos, únicamente se determina ordenar la atención a la solicitud de acceso a la información de la recurrente y </w:t>
      </w:r>
      <w:r w:rsidRPr="00985DB9">
        <w:rPr>
          <w:rFonts w:ascii="Palatino Linotype" w:hAnsi="Palatino Linotype"/>
          <w:i/>
        </w:rPr>
        <w:t>en su caso</w:t>
      </w:r>
      <w:r w:rsidRPr="00985DB9">
        <w:rPr>
          <w:rFonts w:ascii="Palatino Linotype" w:hAnsi="Palatino Linotype"/>
        </w:rPr>
        <w:t xml:space="preserve"> entregar la información.</w:t>
      </w:r>
    </w:p>
    <w:p w:rsidR="00C25709" w:rsidRPr="00985DB9" w:rsidRDefault="00C25709" w:rsidP="00C25709">
      <w:pPr>
        <w:spacing w:before="240" w:after="240" w:line="360" w:lineRule="auto"/>
        <w:jc w:val="both"/>
        <w:rPr>
          <w:rFonts w:ascii="Palatino Linotype" w:hAnsi="Palatino Linotype"/>
        </w:rPr>
      </w:pPr>
      <w:r w:rsidRPr="00985DB9">
        <w:rPr>
          <w:rFonts w:ascii="Palatino Linotype" w:hAnsi="Palatino Linotype"/>
        </w:rPr>
        <w:t xml:space="preserve">En otras palabras, en la resolución motivo del presente voto no se analiza si el Sujeto Obligado genera, posee o administra la información que le fue requerida en razón del ejercicio de las distintas facultades competencias y funciones que los ordenamientos jurídicos le confieren; y por ende mucho menos se analiza la procedencia de la entrega de la información, por considerar que al devenir la </w:t>
      </w:r>
      <w:r w:rsidR="00EF041D" w:rsidRPr="00985DB9">
        <w:rPr>
          <w:rFonts w:ascii="Palatino Linotype" w:hAnsi="Palatino Linotype"/>
          <w:i/>
        </w:rPr>
        <w:t>Litis,</w:t>
      </w:r>
      <w:r w:rsidRPr="00985DB9">
        <w:rPr>
          <w:rFonts w:ascii="Palatino Linotype" w:hAnsi="Palatino Linotype"/>
        </w:rPr>
        <w:t xml:space="preserve"> de una falta de respuesta, corresponde al Sujeto Obligado valorar todo ello y entonces atender la solicitud de acceso a la información que le fue formulada.</w:t>
      </w:r>
    </w:p>
    <w:p w:rsidR="00C25709" w:rsidRPr="00985DB9" w:rsidRDefault="00C25709" w:rsidP="00C25709">
      <w:pPr>
        <w:spacing w:before="240" w:after="240" w:line="360" w:lineRule="auto"/>
        <w:jc w:val="both"/>
        <w:rPr>
          <w:rFonts w:ascii="Palatino Linotype" w:hAnsi="Palatino Linotype"/>
        </w:rPr>
      </w:pPr>
      <w:r w:rsidRPr="00985DB9">
        <w:rPr>
          <w:rFonts w:ascii="Palatino Linotype" w:hAnsi="Palatino Linotype"/>
        </w:rPr>
        <w:t>Lo anterior</w:t>
      </w:r>
      <w:r w:rsidR="00EF041D" w:rsidRPr="00985DB9">
        <w:rPr>
          <w:rFonts w:ascii="Palatino Linotype" w:hAnsi="Palatino Linotype"/>
        </w:rPr>
        <w:t>,</w:t>
      </w:r>
      <w:r w:rsidRPr="00985DB9">
        <w:rPr>
          <w:rFonts w:ascii="Palatino Linotype" w:hAnsi="Palatino Linotype"/>
        </w:rPr>
        <w:t xml:space="preserve"> es la razón del presente voto, pues si bien comparto el deber para el Sujeto Obligado de dar atención a la solicitud de información, lo cual es incuestionable, lo cierto es que considero que la labor </w:t>
      </w:r>
      <w:r w:rsidR="00FB6387" w:rsidRPr="00985DB9">
        <w:rPr>
          <w:rFonts w:ascii="Palatino Linotype" w:hAnsi="Palatino Linotype"/>
        </w:rPr>
        <w:t>de</w:t>
      </w:r>
      <w:r w:rsidRPr="00985DB9">
        <w:rPr>
          <w:rFonts w:ascii="Palatino Linotype" w:hAnsi="Palatino Linotype"/>
        </w:rPr>
        <w:t xml:space="preserve"> este Órgano Garante no puede limitarse a ordenarle al Sujeto Obligado la realización de lo que no hizo en un principio, ello por las consideraciones que a continuación explico.</w:t>
      </w:r>
    </w:p>
    <w:p w:rsidR="00C25709" w:rsidRPr="00985DB9" w:rsidRDefault="00C25709" w:rsidP="00C25709">
      <w:pPr>
        <w:spacing w:before="240" w:after="240" w:line="360" w:lineRule="auto"/>
        <w:jc w:val="both"/>
        <w:rPr>
          <w:rFonts w:ascii="Palatino Linotype" w:hAnsi="Palatino Linotype"/>
        </w:rPr>
      </w:pPr>
      <w:r w:rsidRPr="00985DB9">
        <w:rPr>
          <w:rFonts w:ascii="Palatino Linotype" w:hAnsi="Palatino Linotype"/>
        </w:rPr>
        <w:t>En un primer momento es importante resaltar que la Ley de Transparencia y Acceso a la Información Pública del Estado de México y Municipios señala que todo procedimiento en la materia del derecho de acceso a la información deberá sustanciarse de manera sencilla y expedita, además de que en el procedimiento de acceso, entrega y publicación de la información se propiciaran las condiciones necesarias para que sea accesible a cualquier persona, de conformidad con el artículo 5 de la Constitución Local y las demás disposiciones en la materia, tal y como se desprende de sus artículo 21 y 22, a saber:</w:t>
      </w:r>
    </w:p>
    <w:p w:rsidR="00C25709" w:rsidRPr="00985DB9" w:rsidRDefault="00C25709" w:rsidP="00C25709">
      <w:pPr>
        <w:spacing w:before="240" w:after="240" w:line="240" w:lineRule="auto"/>
        <w:ind w:left="851" w:right="900"/>
        <w:jc w:val="both"/>
        <w:rPr>
          <w:rFonts w:ascii="Palatino Linotype" w:hAnsi="Palatino Linotype"/>
          <w:i/>
        </w:rPr>
      </w:pPr>
      <w:r w:rsidRPr="00985DB9">
        <w:rPr>
          <w:rFonts w:ascii="Palatino Linotype" w:hAnsi="Palatino Linotype"/>
          <w:i/>
        </w:rPr>
        <w:lastRenderedPageBreak/>
        <w:t xml:space="preserve">“Artículo 21. Todo procedimiento en materia de derecho de acceso a la información deberá sustanciarse de manera sencilla y expedita, de conformidad con las bases de esta Ley.” </w:t>
      </w:r>
    </w:p>
    <w:p w:rsidR="00C25709" w:rsidRPr="00985DB9" w:rsidRDefault="00C25709" w:rsidP="00C25709">
      <w:pPr>
        <w:spacing w:before="240" w:after="240" w:line="240" w:lineRule="auto"/>
        <w:ind w:left="851" w:right="900"/>
        <w:jc w:val="both"/>
        <w:rPr>
          <w:rFonts w:ascii="Palatino Linotype" w:hAnsi="Palatino Linotype"/>
          <w:i/>
        </w:rPr>
      </w:pPr>
      <w:r w:rsidRPr="00985DB9">
        <w:rPr>
          <w:rFonts w:ascii="Palatino Linotype" w:hAnsi="Palatino Linotype"/>
          <w:i/>
        </w:rPr>
        <w:t>“Artículo 22. En el procedimiento de acceso, entrega y publicación de la información se propiciarán las condiciones necesarias para que ésta sea accesible a cualquier persona, de conformidad con el artículo 5 de la Constitución Local y demás disposiciones de la materia.”</w:t>
      </w:r>
    </w:p>
    <w:p w:rsidR="00C25709" w:rsidRPr="00985DB9" w:rsidRDefault="00C25709" w:rsidP="00C25709">
      <w:pPr>
        <w:spacing w:before="240" w:after="240" w:line="360" w:lineRule="auto"/>
        <w:jc w:val="both"/>
        <w:rPr>
          <w:rFonts w:ascii="Palatino Linotype" w:hAnsi="Palatino Linotype"/>
        </w:rPr>
      </w:pPr>
      <w:r w:rsidRPr="00985DB9">
        <w:rPr>
          <w:rFonts w:ascii="Palatino Linotype" w:hAnsi="Palatino Linotype"/>
        </w:rPr>
        <w:t>Ahora, como bien se refirió en la resolución que se comenta, este Instituto de Transparencia, es el Órgano público estatal constitucionalmente autónomo, especializado, independiente, imparcial y colegiado, responsable de garantizar tanto el derecho de acceso a la información pública y la protección de datos personales en posesión de los sujetos obligados.</w:t>
      </w:r>
    </w:p>
    <w:p w:rsidR="00C25709" w:rsidRPr="00985DB9" w:rsidRDefault="00C25709" w:rsidP="00C25709">
      <w:pPr>
        <w:spacing w:before="240" w:after="240" w:line="360" w:lineRule="auto"/>
        <w:jc w:val="both"/>
        <w:rPr>
          <w:rFonts w:ascii="Palatino Linotype" w:hAnsi="Palatino Linotype"/>
        </w:rPr>
      </w:pPr>
      <w:r w:rsidRPr="00985DB9">
        <w:rPr>
          <w:rFonts w:ascii="Palatino Linotype" w:hAnsi="Palatino Linotype"/>
        </w:rPr>
        <w:t xml:space="preserve">En tal tesitura, si nos remitimos al significado de </w:t>
      </w:r>
      <w:r w:rsidRPr="00985DB9">
        <w:rPr>
          <w:rFonts w:ascii="Palatino Linotype" w:hAnsi="Palatino Linotype"/>
          <w:i/>
        </w:rPr>
        <w:t>garantizar</w:t>
      </w:r>
      <w:r w:rsidRPr="00985DB9">
        <w:rPr>
          <w:rFonts w:ascii="Palatino Linotype" w:hAnsi="Palatino Linotype"/>
        </w:rPr>
        <w:t xml:space="preserve"> tenemos que ello implica, asegurar, proteger, dar certeza o seguridad sobre algo; de tal manera que si ante una falta de respuesta a una solicitud de acceso a la información pública por parte de los Sujetos Obligados, el Órgano responsable de garantizar dicho derecho se limita a referirle al Sujeto Obligado su deber de atender la solicitud de acceso a la información, explicándole el proceso que debe seguir para ello o las cuestiones que debe prever, no está asegurando ni dando certeza de la atención al derecho del particular.</w:t>
      </w:r>
    </w:p>
    <w:p w:rsidR="00C25709" w:rsidRPr="00985DB9" w:rsidRDefault="00C25709" w:rsidP="00C25709">
      <w:pPr>
        <w:spacing w:before="240" w:after="240" w:line="360" w:lineRule="auto"/>
        <w:jc w:val="both"/>
        <w:rPr>
          <w:rFonts w:ascii="Palatino Linotype" w:hAnsi="Palatino Linotype"/>
        </w:rPr>
      </w:pPr>
      <w:r w:rsidRPr="00985DB9">
        <w:rPr>
          <w:rFonts w:ascii="Palatino Linotype" w:hAnsi="Palatino Linotype"/>
        </w:rPr>
        <w:t xml:space="preserve">Pues la Ley de Transparencia, ya es lo suficientemente clara señalando el procedimiento de acceso a la información pública, en su Título Séptimo, </w:t>
      </w:r>
      <w:r w:rsidRPr="00985DB9">
        <w:rPr>
          <w:rFonts w:ascii="Palatino Linotype" w:hAnsi="Palatino Linotype"/>
          <w:i/>
        </w:rPr>
        <w:t xml:space="preserve">Acceso a la Información Pública, </w:t>
      </w:r>
      <w:r w:rsidRPr="00985DB9">
        <w:rPr>
          <w:rFonts w:ascii="Palatino Linotype" w:hAnsi="Palatino Linotype"/>
        </w:rPr>
        <w:t xml:space="preserve">Capítulo I, </w:t>
      </w:r>
      <w:r w:rsidRPr="00985DB9">
        <w:rPr>
          <w:rFonts w:ascii="Palatino Linotype" w:hAnsi="Palatino Linotype"/>
          <w:i/>
        </w:rPr>
        <w:t>Del Procedimiento de Acceso a la Información Pública,</w:t>
      </w:r>
      <w:r w:rsidRPr="00985DB9">
        <w:rPr>
          <w:rFonts w:ascii="Palatino Linotype" w:hAnsi="Palatino Linotype"/>
        </w:rPr>
        <w:t xml:space="preserve"> estableciendo los pasos a seguir desde el momento en que es recibida la solicitud de acceso a la información y las acciones a seguir desde el análisis de la competencia para responder hasta la posibilidad de entrega de la información, dependiendo de su naturaleza.</w:t>
      </w:r>
    </w:p>
    <w:p w:rsidR="00C25709" w:rsidRPr="00985DB9" w:rsidRDefault="00C25709" w:rsidP="00C25709">
      <w:pPr>
        <w:spacing w:before="240" w:after="240" w:line="360" w:lineRule="auto"/>
        <w:jc w:val="both"/>
        <w:rPr>
          <w:rFonts w:ascii="Palatino Linotype" w:hAnsi="Palatino Linotype"/>
        </w:rPr>
      </w:pPr>
      <w:r w:rsidRPr="00985DB9">
        <w:rPr>
          <w:rFonts w:ascii="Palatino Linotype" w:hAnsi="Palatino Linotype"/>
        </w:rPr>
        <w:lastRenderedPageBreak/>
        <w:t>En otras palabras</w:t>
      </w:r>
      <w:r w:rsidR="00EF041D" w:rsidRPr="00985DB9">
        <w:rPr>
          <w:rFonts w:ascii="Palatino Linotype" w:hAnsi="Palatino Linotype"/>
        </w:rPr>
        <w:t>,</w:t>
      </w:r>
      <w:r w:rsidRPr="00985DB9">
        <w:rPr>
          <w:rFonts w:ascii="Palatino Linotype" w:hAnsi="Palatino Linotype"/>
        </w:rPr>
        <w:t xml:space="preserve"> una resolución no puede ser solamente el medio donde se explique de manera extensa lo dictado por la ley, sino debe ser el medio en el que se juzgue el actuar del Sujeto Obligado, pero sin que se traduzca en una simple opinión, sino en un medio que a</w:t>
      </w:r>
      <w:r w:rsidR="00EF041D" w:rsidRPr="00985DB9">
        <w:rPr>
          <w:rFonts w:ascii="Palatino Linotype" w:hAnsi="Palatino Linotype"/>
        </w:rPr>
        <w:t>segure la atención del derecho.</w:t>
      </w:r>
    </w:p>
    <w:p w:rsidR="00C25709" w:rsidRPr="00985DB9" w:rsidRDefault="00C25709" w:rsidP="00C25709">
      <w:pPr>
        <w:spacing w:before="240" w:after="240" w:line="360" w:lineRule="auto"/>
        <w:jc w:val="both"/>
        <w:rPr>
          <w:rFonts w:ascii="Palatino Linotype" w:hAnsi="Palatino Linotype"/>
        </w:rPr>
      </w:pPr>
      <w:r w:rsidRPr="00985DB9">
        <w:rPr>
          <w:rFonts w:ascii="Palatino Linotype" w:hAnsi="Palatino Linotype"/>
        </w:rPr>
        <w:t>En ese sentido, si la violación del derecho de acceso a la información del derecho de acceso a la información ya se ha materializado con la falta de trámite de la solicitud por parte del Sujeto Obligado y ello resulta indudable, el Órgano Garante no puede delimitar su actuar a explicar lo que el Sujeto Obligado debe hacer, pues ello ya debe ser del conocimiento del Sujeto Obligado pues es su obligación conocer y atender lo establecido por la Ley de Transparencia, tanto General como Local y las demás disposiciones aplicables, dado que una resolución no es una explicación sino una decisión del órgano juzgador con facultad para ello.</w:t>
      </w:r>
    </w:p>
    <w:p w:rsidR="00C25709" w:rsidRPr="00985DB9" w:rsidRDefault="00EF041D" w:rsidP="00C25709">
      <w:pPr>
        <w:spacing w:before="240" w:after="240" w:line="360" w:lineRule="auto"/>
        <w:jc w:val="both"/>
        <w:rPr>
          <w:rFonts w:ascii="Palatino Linotype" w:hAnsi="Palatino Linotype"/>
        </w:rPr>
      </w:pPr>
      <w:r w:rsidRPr="00985DB9">
        <w:rPr>
          <w:rFonts w:ascii="Palatino Linotype" w:hAnsi="Palatino Linotype"/>
        </w:rPr>
        <w:t xml:space="preserve">Además de que analizar </w:t>
      </w:r>
      <w:r w:rsidR="00C25709" w:rsidRPr="00985DB9">
        <w:rPr>
          <w:rFonts w:ascii="Palatino Linotype" w:hAnsi="Palatino Linotype"/>
        </w:rPr>
        <w:t>la naturaleza de la información y la procedencia de su entrega, coadyuvaría a cumplir con observar los pri</w:t>
      </w:r>
      <w:r w:rsidRPr="00985DB9">
        <w:rPr>
          <w:rFonts w:ascii="Palatino Linotype" w:hAnsi="Palatino Linotype"/>
        </w:rPr>
        <w:t>ncipios de sencillez y expedites</w:t>
      </w:r>
      <w:r w:rsidR="00C25709" w:rsidRPr="00985DB9">
        <w:rPr>
          <w:rFonts w:ascii="Palatino Linotype" w:hAnsi="Palatino Linotype"/>
        </w:rPr>
        <w:t xml:space="preserve"> que la Ley obliga a tomar en consideración en el proceso de acceso a la información, pues de lo contrario si resulta evidente que la información no corresponde a las facultades del Sujeto Obligado o aun correspondiendo es evidente que no puede ser entregada por encuadrar en algún supuesto de restricción, constreñirse a ordenarle al Sujeto Obligado a la atención de la solicitud de información, en realidad aumentaría el tiempo en que el solicitante vería la atención a su derecho, cuando ello puede mejorarse, explicando la incompetencia del Sujeto Obligado, u ordenando la entrega de la información o del acuerdo que fundamente la restricción.</w:t>
      </w:r>
    </w:p>
    <w:p w:rsidR="00C25709" w:rsidRPr="00985DB9" w:rsidRDefault="00C25709" w:rsidP="00C25709">
      <w:pPr>
        <w:spacing w:before="240" w:after="240" w:line="360" w:lineRule="auto"/>
        <w:jc w:val="both"/>
        <w:rPr>
          <w:rFonts w:ascii="Palatino Linotype" w:hAnsi="Palatino Linotype"/>
        </w:rPr>
      </w:pPr>
      <w:r w:rsidRPr="00985DB9">
        <w:rPr>
          <w:rFonts w:ascii="Palatino Linotype" w:hAnsi="Palatino Linotype"/>
        </w:rPr>
        <w:lastRenderedPageBreak/>
        <w:t>Más aun, no debe perderse de vista que el artículo 4 de la Ley de Transparencia vigente en la entidad establece que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local y demás disposiciones de la materia, privilegiando el principio de máxima publicidad de la información y que solo podrá ser clasificada excepcionalmente como reservada temporalmente por razones de interés público, en los términos de las causas legítimas y estrictamente necesarias previstas por la Ley.</w:t>
      </w:r>
    </w:p>
    <w:p w:rsidR="00C25709" w:rsidRPr="00985DB9" w:rsidRDefault="00C25709" w:rsidP="00C25709">
      <w:pPr>
        <w:spacing w:before="240" w:after="240" w:line="360" w:lineRule="auto"/>
        <w:jc w:val="both"/>
        <w:rPr>
          <w:rFonts w:ascii="Palatino Linotype" w:hAnsi="Palatino Linotype"/>
        </w:rPr>
      </w:pPr>
      <w:r w:rsidRPr="00985DB9">
        <w:rPr>
          <w:rFonts w:ascii="Palatino Linotype" w:hAnsi="Palatino Linotype"/>
        </w:rPr>
        <w:t xml:space="preserve">Es decir, es factible y jurídicamente necesario que si existe obligación expresa por la Ley que rige la materia para hacer pública determinada información de los Sujetos Obligados cuando se presente una solicitud de información al respecto, se ordene la entrega de dicha información, aun cuando el Sujeto Obligado haya sido omiso en contestar en un inicio, pues no es necesario pedirle que analice sus facultades y la procedencia de la información cuando la publicidad de </w:t>
      </w:r>
      <w:r w:rsidR="00EF041D" w:rsidRPr="00985DB9">
        <w:rPr>
          <w:rFonts w:ascii="Palatino Linotype" w:hAnsi="Palatino Linotype"/>
        </w:rPr>
        <w:t>ésta ya está expresamente ordenada</w:t>
      </w:r>
      <w:r w:rsidRPr="00985DB9">
        <w:rPr>
          <w:rFonts w:ascii="Palatino Linotype" w:hAnsi="Palatino Linotype"/>
        </w:rPr>
        <w:t xml:space="preserve"> por la Ley; incluso lo mismo ocurre, cuando se localiza precepto normativo del aplicable al Sujeto Obligado que haga indubitable que posee en su archivos la información que le es requerida, aun cuando no se trate de información pública de oficio; tarea que si bien no se logra en la garantía primaria del derecho de acceso a la información (el procedimiento de su acceso), por defecto en el actuar del Sujeto Obligado de que se trate, ello debe asegurarse en la garantía secundaria (el recurso de revisión) correspondiéndole al Órgano Garante.</w:t>
      </w:r>
    </w:p>
    <w:p w:rsidR="00C25709" w:rsidRPr="00985DB9" w:rsidRDefault="00C25709" w:rsidP="00C25709">
      <w:pPr>
        <w:spacing w:before="240" w:after="240" w:line="360" w:lineRule="auto"/>
        <w:jc w:val="both"/>
        <w:rPr>
          <w:rFonts w:ascii="Palatino Linotype" w:hAnsi="Palatino Linotype"/>
        </w:rPr>
      </w:pPr>
      <w:r w:rsidRPr="00985DB9">
        <w:rPr>
          <w:rFonts w:ascii="Palatino Linotype" w:hAnsi="Palatino Linotype"/>
        </w:rPr>
        <w:t xml:space="preserve">De ahí, que no se comparta que la resolución se limite en los resolutivos a ordenar la atención a la solicitud de información y en su caso la entrega de la información; máxime que la Ley de Transparencia y Acceso a la Información Pública, no señala que eso pueda ser una </w:t>
      </w:r>
      <w:r w:rsidRPr="00985DB9">
        <w:rPr>
          <w:rFonts w:ascii="Palatino Linotype" w:hAnsi="Palatino Linotype"/>
        </w:rPr>
        <w:lastRenderedPageBreak/>
        <w:t>posibilidad para las resoluciones que emite el Órgano Garante</w:t>
      </w:r>
      <w:r w:rsidRPr="00985DB9">
        <w:rPr>
          <w:rFonts w:ascii="Palatino Linotype" w:hAnsi="Palatino Linotype"/>
          <w:vertAlign w:val="superscript"/>
        </w:rPr>
        <w:footnoteReference w:id="1"/>
      </w:r>
      <w:r w:rsidRPr="00985DB9">
        <w:rPr>
          <w:rFonts w:ascii="Palatino Linotype" w:hAnsi="Palatino Linotype"/>
        </w:rPr>
        <w:t>, ya que únicamente da la posibilidad a desechar o sobreseer el recurso, confirmar la respuesta del Sujeto Obligado, revocar o modificar la respuesta del Sujeto Obligado y ordenar la entrega de la información, siendo evidentemente la primera y última de las opciones sentidos en los que pudiera resolverse los casos de una omisión de respuesta.</w:t>
      </w:r>
    </w:p>
    <w:p w:rsidR="00C25709" w:rsidRPr="00985DB9" w:rsidRDefault="00C25709" w:rsidP="00C25709">
      <w:pPr>
        <w:spacing w:before="240" w:after="0" w:line="360" w:lineRule="auto"/>
        <w:jc w:val="both"/>
        <w:rPr>
          <w:rFonts w:ascii="Palatino Linotype" w:hAnsi="Palatino Linotype" w:cs="Arial"/>
        </w:rPr>
      </w:pPr>
      <w:r w:rsidRPr="00985DB9">
        <w:rPr>
          <w:rFonts w:ascii="Palatino Linotype" w:hAnsi="Palatino Linotype" w:cs="Arial"/>
        </w:rPr>
        <w:t xml:space="preserve">Por todo lo expuesto es que formulo el presente voto particular, en los términos precisados, concluyendo que las consideraciones aquí expuestas hubieran resultado importantes para ordenar la entrega de la información motivo del recurso de revisión que fue resuelto </w:t>
      </w:r>
      <w:r w:rsidR="00EF041D" w:rsidRPr="00985DB9">
        <w:rPr>
          <w:rFonts w:ascii="Palatino Linotype" w:hAnsi="Palatino Linotype" w:cs="Arial"/>
        </w:rPr>
        <w:t>por el Pleno de este Instituto.</w:t>
      </w:r>
    </w:p>
    <w:p w:rsidR="005322BC" w:rsidRPr="00985DB9" w:rsidRDefault="005322BC" w:rsidP="00227985">
      <w:pPr>
        <w:spacing w:before="240" w:after="0" w:line="360" w:lineRule="auto"/>
        <w:jc w:val="both"/>
        <w:rPr>
          <w:rFonts w:ascii="Palatino Linotype" w:hAnsi="Palatino Linotype" w:cs="Arial"/>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227985" w:rsidRPr="00985DB9" w:rsidTr="00C50BB6">
        <w:trPr>
          <w:trHeight w:val="809"/>
          <w:jc w:val="center"/>
        </w:trPr>
        <w:tc>
          <w:tcPr>
            <w:tcW w:w="4396" w:type="dxa"/>
          </w:tcPr>
          <w:p w:rsidR="00227985" w:rsidRPr="00985DB9" w:rsidRDefault="00227985" w:rsidP="00803B8F">
            <w:pPr>
              <w:rPr>
                <w:rFonts w:ascii="Palatino Linotype" w:hAnsi="Palatino Linotype"/>
                <w:b/>
                <w:sz w:val="24"/>
                <w:szCs w:val="24"/>
              </w:rPr>
            </w:pPr>
          </w:p>
          <w:p w:rsidR="001F0720" w:rsidRPr="00985DB9" w:rsidRDefault="001F0720" w:rsidP="00803B8F">
            <w:pPr>
              <w:rPr>
                <w:rFonts w:ascii="Palatino Linotype" w:hAnsi="Palatino Linotype"/>
                <w:b/>
                <w:sz w:val="24"/>
                <w:szCs w:val="24"/>
              </w:rPr>
            </w:pPr>
          </w:p>
          <w:p w:rsidR="001F0720" w:rsidRPr="00985DB9" w:rsidRDefault="001F0720" w:rsidP="00C50BB6">
            <w:pPr>
              <w:jc w:val="center"/>
              <w:rPr>
                <w:rFonts w:ascii="Palatino Linotype" w:hAnsi="Palatino Linotype"/>
                <w:b/>
                <w:sz w:val="24"/>
                <w:szCs w:val="24"/>
              </w:rPr>
            </w:pPr>
          </w:p>
          <w:p w:rsidR="00227985" w:rsidRPr="00985DB9" w:rsidRDefault="00227985" w:rsidP="00C50BB6">
            <w:pPr>
              <w:jc w:val="center"/>
              <w:rPr>
                <w:rFonts w:ascii="Palatino Linotype" w:hAnsi="Palatino Linotype"/>
                <w:b/>
                <w:sz w:val="24"/>
                <w:szCs w:val="24"/>
              </w:rPr>
            </w:pPr>
            <w:r w:rsidRPr="00985DB9">
              <w:rPr>
                <w:rFonts w:ascii="Palatino Linotype" w:hAnsi="Palatino Linotype"/>
                <w:b/>
                <w:sz w:val="24"/>
                <w:szCs w:val="24"/>
              </w:rPr>
              <w:t>Javier Martínez Cruz</w:t>
            </w:r>
          </w:p>
        </w:tc>
      </w:tr>
      <w:tr w:rsidR="00227985" w:rsidRPr="00BA791B" w:rsidTr="00BA791B">
        <w:trPr>
          <w:trHeight w:val="92"/>
          <w:jc w:val="center"/>
        </w:trPr>
        <w:tc>
          <w:tcPr>
            <w:tcW w:w="4396" w:type="dxa"/>
          </w:tcPr>
          <w:p w:rsidR="00227985" w:rsidRPr="00BA791B" w:rsidRDefault="00227985" w:rsidP="00C50BB6">
            <w:pPr>
              <w:jc w:val="center"/>
              <w:rPr>
                <w:rFonts w:ascii="Palatino Linotype" w:hAnsi="Palatino Linotype"/>
                <w:b/>
                <w:sz w:val="24"/>
                <w:szCs w:val="24"/>
              </w:rPr>
            </w:pPr>
            <w:r w:rsidRPr="00985DB9">
              <w:rPr>
                <w:rFonts w:ascii="Palatino Linotype" w:hAnsi="Palatino Linotype"/>
                <w:b/>
                <w:sz w:val="24"/>
                <w:szCs w:val="24"/>
              </w:rPr>
              <w:t>Comisionado</w:t>
            </w:r>
            <w:bookmarkStart w:id="0" w:name="_GoBack"/>
            <w:bookmarkEnd w:id="0"/>
          </w:p>
          <w:p w:rsidR="00DF658A" w:rsidRPr="00BA791B" w:rsidRDefault="00DF658A" w:rsidP="00C50BB6">
            <w:pPr>
              <w:jc w:val="center"/>
              <w:rPr>
                <w:rFonts w:ascii="Palatino Linotype" w:hAnsi="Palatino Linotype"/>
                <w:b/>
                <w:sz w:val="24"/>
                <w:szCs w:val="24"/>
              </w:rPr>
            </w:pPr>
          </w:p>
          <w:p w:rsidR="00227985" w:rsidRPr="00BA791B" w:rsidRDefault="00227985" w:rsidP="0059780A">
            <w:pPr>
              <w:rPr>
                <w:rFonts w:ascii="Palatino Linotype" w:hAnsi="Palatino Linotype"/>
                <w:sz w:val="24"/>
                <w:szCs w:val="24"/>
              </w:rPr>
            </w:pPr>
          </w:p>
        </w:tc>
      </w:tr>
    </w:tbl>
    <w:p w:rsidR="00247AFA" w:rsidRPr="00BA791B" w:rsidRDefault="00247AFA" w:rsidP="0059780A">
      <w:pPr>
        <w:rPr>
          <w:sz w:val="20"/>
          <w:szCs w:val="24"/>
        </w:rPr>
      </w:pPr>
    </w:p>
    <w:sectPr w:rsidR="00247AFA" w:rsidRPr="00BA791B">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753" w:rsidRDefault="00AB0753" w:rsidP="00247AFA">
      <w:pPr>
        <w:spacing w:after="0" w:line="240" w:lineRule="auto"/>
      </w:pPr>
      <w:r>
        <w:separator/>
      </w:r>
    </w:p>
  </w:endnote>
  <w:endnote w:type="continuationSeparator" w:id="0">
    <w:p w:rsidR="00AB0753" w:rsidRDefault="00AB0753" w:rsidP="00247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E65" w:rsidRDefault="009D3E65" w:rsidP="00E555F0">
    <w:pPr>
      <w:tabs>
        <w:tab w:val="center" w:pos="4419"/>
        <w:tab w:val="right" w:pos="8838"/>
      </w:tabs>
      <w:spacing w:after="0" w:line="240" w:lineRule="auto"/>
      <w:jc w:val="right"/>
      <w:rPr>
        <w:rFonts w:ascii="Arial" w:eastAsia="Calibri" w:hAnsi="Arial" w:cs="Arial"/>
        <w:b/>
        <w:bCs/>
        <w:sz w:val="20"/>
        <w:szCs w:val="20"/>
        <w:lang w:val="es-ES" w:eastAsia="es-ES"/>
      </w:rPr>
    </w:pPr>
  </w:p>
  <w:p w:rsidR="009D3E65" w:rsidRDefault="009D3E65" w:rsidP="00E555F0">
    <w:pPr>
      <w:tabs>
        <w:tab w:val="center" w:pos="4419"/>
        <w:tab w:val="right" w:pos="8838"/>
      </w:tabs>
      <w:spacing w:after="0" w:line="240" w:lineRule="auto"/>
      <w:jc w:val="right"/>
      <w:rPr>
        <w:rFonts w:ascii="Arial" w:eastAsia="Calibri" w:hAnsi="Arial" w:cs="Arial"/>
        <w:b/>
        <w:bCs/>
        <w:sz w:val="20"/>
        <w:szCs w:val="20"/>
        <w:lang w:val="es-ES" w:eastAsia="es-ES"/>
      </w:rPr>
    </w:pPr>
  </w:p>
  <w:p w:rsidR="009D3E65" w:rsidRDefault="009D3E65" w:rsidP="00E555F0">
    <w:pPr>
      <w:tabs>
        <w:tab w:val="center" w:pos="4419"/>
        <w:tab w:val="right" w:pos="8838"/>
      </w:tabs>
      <w:spacing w:after="0" w:line="240" w:lineRule="auto"/>
      <w:jc w:val="right"/>
      <w:rPr>
        <w:rFonts w:ascii="Arial" w:eastAsia="Calibri" w:hAnsi="Arial" w:cs="Arial"/>
        <w:b/>
        <w:bCs/>
        <w:sz w:val="20"/>
        <w:szCs w:val="20"/>
        <w:lang w:val="es-ES" w:eastAsia="es-ES"/>
      </w:rPr>
    </w:pPr>
  </w:p>
  <w:p w:rsidR="009D3E65" w:rsidRDefault="009D3E65" w:rsidP="00E555F0">
    <w:pPr>
      <w:tabs>
        <w:tab w:val="center" w:pos="4419"/>
        <w:tab w:val="right" w:pos="8838"/>
      </w:tabs>
      <w:spacing w:after="0" w:line="240" w:lineRule="auto"/>
      <w:jc w:val="right"/>
      <w:rPr>
        <w:rFonts w:ascii="Arial" w:eastAsia="Calibri" w:hAnsi="Arial" w:cs="Arial"/>
        <w:b/>
        <w:bCs/>
        <w:sz w:val="20"/>
        <w:szCs w:val="20"/>
        <w:lang w:val="es-ES" w:eastAsia="es-ES"/>
      </w:rPr>
    </w:pPr>
  </w:p>
  <w:p w:rsidR="009D3E65" w:rsidRDefault="009D3E65" w:rsidP="00E555F0">
    <w:pPr>
      <w:tabs>
        <w:tab w:val="center" w:pos="4419"/>
        <w:tab w:val="right" w:pos="8838"/>
      </w:tabs>
      <w:spacing w:after="0" w:line="240" w:lineRule="auto"/>
      <w:jc w:val="right"/>
      <w:rPr>
        <w:rFonts w:ascii="Arial" w:eastAsia="Calibri" w:hAnsi="Arial" w:cs="Arial"/>
        <w:b/>
        <w:bCs/>
        <w:sz w:val="20"/>
        <w:szCs w:val="20"/>
        <w:lang w:val="es-ES" w:eastAsia="es-ES"/>
      </w:rPr>
    </w:pPr>
  </w:p>
  <w:p w:rsidR="00E555F0" w:rsidRPr="00B7621A" w:rsidRDefault="00E555F0" w:rsidP="00E555F0">
    <w:pPr>
      <w:tabs>
        <w:tab w:val="center" w:pos="4419"/>
        <w:tab w:val="right" w:pos="8838"/>
      </w:tabs>
      <w:spacing w:after="0" w:line="240" w:lineRule="auto"/>
      <w:jc w:val="right"/>
      <w:rPr>
        <w:rFonts w:ascii="Calibri" w:eastAsia="Calibri" w:hAnsi="Calibri" w:cs="Times New Roman"/>
      </w:rPr>
    </w:pPr>
    <w:r w:rsidRPr="00B7621A">
      <w:rPr>
        <w:rFonts w:ascii="Arial" w:eastAsia="Calibri" w:hAnsi="Arial" w:cs="Arial"/>
        <w:b/>
        <w:bCs/>
        <w:sz w:val="20"/>
        <w:szCs w:val="20"/>
        <w:lang w:val="es-ES" w:eastAsia="es-ES"/>
      </w:rPr>
      <w:t xml:space="preserve">Página </w:t>
    </w:r>
    <w:r w:rsidRPr="00B7621A">
      <w:rPr>
        <w:rFonts w:ascii="Arial" w:eastAsia="Calibri" w:hAnsi="Arial" w:cs="Arial"/>
        <w:b/>
        <w:bCs/>
        <w:sz w:val="20"/>
        <w:szCs w:val="20"/>
        <w:lang w:val="es-ES" w:eastAsia="es-ES"/>
      </w:rPr>
      <w:fldChar w:fldCharType="begin"/>
    </w:r>
    <w:r w:rsidRPr="00B7621A">
      <w:rPr>
        <w:rFonts w:ascii="Arial" w:eastAsia="Calibri" w:hAnsi="Arial" w:cs="Arial"/>
        <w:b/>
        <w:bCs/>
        <w:sz w:val="20"/>
        <w:szCs w:val="20"/>
        <w:lang w:val="es-ES" w:eastAsia="es-ES"/>
      </w:rPr>
      <w:instrText>PAGE</w:instrText>
    </w:r>
    <w:r w:rsidRPr="00B7621A">
      <w:rPr>
        <w:rFonts w:ascii="Arial" w:eastAsia="Calibri" w:hAnsi="Arial" w:cs="Arial"/>
        <w:b/>
        <w:bCs/>
        <w:sz w:val="20"/>
        <w:szCs w:val="20"/>
        <w:lang w:val="es-ES" w:eastAsia="es-ES"/>
      </w:rPr>
      <w:fldChar w:fldCharType="separate"/>
    </w:r>
    <w:r w:rsidR="00985DB9">
      <w:rPr>
        <w:rFonts w:ascii="Arial" w:eastAsia="Calibri" w:hAnsi="Arial" w:cs="Arial"/>
        <w:b/>
        <w:bCs/>
        <w:noProof/>
        <w:sz w:val="20"/>
        <w:szCs w:val="20"/>
        <w:lang w:val="es-ES" w:eastAsia="es-ES"/>
      </w:rPr>
      <w:t>7</w:t>
    </w:r>
    <w:r w:rsidRPr="00B7621A">
      <w:rPr>
        <w:rFonts w:ascii="Arial" w:eastAsia="Calibri" w:hAnsi="Arial" w:cs="Arial"/>
        <w:b/>
        <w:bCs/>
        <w:sz w:val="20"/>
        <w:szCs w:val="20"/>
        <w:lang w:val="es-ES" w:eastAsia="es-ES"/>
      </w:rPr>
      <w:fldChar w:fldCharType="end"/>
    </w:r>
    <w:r w:rsidRPr="00B7621A">
      <w:rPr>
        <w:rFonts w:ascii="Arial" w:eastAsia="Calibri" w:hAnsi="Arial" w:cs="Arial"/>
        <w:sz w:val="20"/>
        <w:szCs w:val="20"/>
        <w:lang w:val="es-ES" w:eastAsia="es-ES"/>
      </w:rPr>
      <w:t xml:space="preserve"> de </w:t>
    </w:r>
    <w:r w:rsidRPr="00B7621A">
      <w:rPr>
        <w:rFonts w:ascii="Arial" w:eastAsia="Calibri" w:hAnsi="Arial" w:cs="Arial"/>
        <w:b/>
        <w:bCs/>
        <w:sz w:val="20"/>
        <w:szCs w:val="20"/>
        <w:lang w:val="es-ES" w:eastAsia="es-ES"/>
      </w:rPr>
      <w:fldChar w:fldCharType="begin"/>
    </w:r>
    <w:r w:rsidRPr="00B7621A">
      <w:rPr>
        <w:rFonts w:ascii="Arial" w:eastAsia="Calibri" w:hAnsi="Arial" w:cs="Arial"/>
        <w:b/>
        <w:bCs/>
        <w:sz w:val="20"/>
        <w:szCs w:val="20"/>
        <w:lang w:val="es-ES" w:eastAsia="es-ES"/>
      </w:rPr>
      <w:instrText>NUMPAGES</w:instrText>
    </w:r>
    <w:r w:rsidRPr="00B7621A">
      <w:rPr>
        <w:rFonts w:ascii="Arial" w:eastAsia="Calibri" w:hAnsi="Arial" w:cs="Arial"/>
        <w:b/>
        <w:bCs/>
        <w:sz w:val="20"/>
        <w:szCs w:val="20"/>
        <w:lang w:val="es-ES" w:eastAsia="es-ES"/>
      </w:rPr>
      <w:fldChar w:fldCharType="separate"/>
    </w:r>
    <w:r w:rsidR="00985DB9">
      <w:rPr>
        <w:rFonts w:ascii="Arial" w:eastAsia="Calibri" w:hAnsi="Arial" w:cs="Arial"/>
        <w:b/>
        <w:bCs/>
        <w:noProof/>
        <w:sz w:val="20"/>
        <w:szCs w:val="20"/>
        <w:lang w:val="es-ES" w:eastAsia="es-ES"/>
      </w:rPr>
      <w:t>7</w:t>
    </w:r>
    <w:r w:rsidRPr="00B7621A">
      <w:rPr>
        <w:rFonts w:ascii="Arial" w:eastAsia="Calibri" w:hAnsi="Arial" w:cs="Arial"/>
        <w:b/>
        <w:bCs/>
        <w:sz w:val="20"/>
        <w:szCs w:val="20"/>
        <w:lang w:val="es-ES" w:eastAsia="es-ES"/>
      </w:rPr>
      <w:fldChar w:fldCharType="end"/>
    </w:r>
  </w:p>
  <w:p w:rsidR="00E555F0" w:rsidRDefault="00E555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753" w:rsidRDefault="00AB0753" w:rsidP="00247AFA">
      <w:pPr>
        <w:spacing w:after="0" w:line="240" w:lineRule="auto"/>
      </w:pPr>
      <w:r>
        <w:separator/>
      </w:r>
    </w:p>
  </w:footnote>
  <w:footnote w:type="continuationSeparator" w:id="0">
    <w:p w:rsidR="00AB0753" w:rsidRDefault="00AB0753" w:rsidP="00247AFA">
      <w:pPr>
        <w:spacing w:after="0" w:line="240" w:lineRule="auto"/>
      </w:pPr>
      <w:r>
        <w:continuationSeparator/>
      </w:r>
    </w:p>
  </w:footnote>
  <w:footnote w:id="1">
    <w:p w:rsidR="00C25709" w:rsidRPr="00CC2A00" w:rsidRDefault="00C25709" w:rsidP="00C25709">
      <w:pPr>
        <w:pStyle w:val="Textonotapie"/>
        <w:jc w:val="both"/>
        <w:rPr>
          <w:rFonts w:ascii="Palatino Linotype" w:hAnsi="Palatino Linotype"/>
          <w:sz w:val="16"/>
        </w:rPr>
      </w:pPr>
      <w:r>
        <w:rPr>
          <w:rStyle w:val="Refdenotaalpie"/>
        </w:rPr>
        <w:footnoteRef/>
      </w:r>
      <w:r>
        <w:t xml:space="preserve"> </w:t>
      </w:r>
      <w:r w:rsidRPr="00CC2A00">
        <w:rPr>
          <w:rFonts w:ascii="Palatino Linotype" w:hAnsi="Palatino Linotype"/>
          <w:sz w:val="16"/>
        </w:rPr>
        <w:t xml:space="preserve">“Artículo 186. Las resoluciones del Instituto podrán: </w:t>
      </w:r>
    </w:p>
    <w:p w:rsidR="00C25709" w:rsidRPr="00CC2A00" w:rsidRDefault="00C25709" w:rsidP="00C25709">
      <w:pPr>
        <w:pStyle w:val="Textonotapie"/>
        <w:jc w:val="both"/>
        <w:rPr>
          <w:rFonts w:ascii="Palatino Linotype" w:hAnsi="Palatino Linotype"/>
          <w:sz w:val="16"/>
        </w:rPr>
      </w:pPr>
      <w:r w:rsidRPr="00CC2A00">
        <w:rPr>
          <w:rFonts w:ascii="Palatino Linotype" w:hAnsi="Palatino Linotype"/>
          <w:sz w:val="16"/>
        </w:rPr>
        <w:t xml:space="preserve">I. Desechar o sobreseer el recurso; </w:t>
      </w:r>
    </w:p>
    <w:p w:rsidR="00C25709" w:rsidRPr="00CC2A00" w:rsidRDefault="00C25709" w:rsidP="00C25709">
      <w:pPr>
        <w:pStyle w:val="Textonotapie"/>
        <w:jc w:val="both"/>
        <w:rPr>
          <w:rFonts w:ascii="Palatino Linotype" w:hAnsi="Palatino Linotype"/>
          <w:sz w:val="16"/>
        </w:rPr>
      </w:pPr>
      <w:r w:rsidRPr="00CC2A00">
        <w:rPr>
          <w:rFonts w:ascii="Palatino Linotype" w:hAnsi="Palatino Linotype"/>
          <w:sz w:val="16"/>
        </w:rPr>
        <w:t xml:space="preserve">II. Confirmar la respuesta del sujeto obligado; </w:t>
      </w:r>
    </w:p>
    <w:p w:rsidR="00C25709" w:rsidRPr="00CC2A00" w:rsidRDefault="00C25709" w:rsidP="00C25709">
      <w:pPr>
        <w:pStyle w:val="Textonotapie"/>
        <w:jc w:val="both"/>
        <w:rPr>
          <w:rFonts w:ascii="Palatino Linotype" w:hAnsi="Palatino Linotype"/>
          <w:sz w:val="16"/>
        </w:rPr>
      </w:pPr>
      <w:r w:rsidRPr="00CC2A00">
        <w:rPr>
          <w:rFonts w:ascii="Palatino Linotype" w:hAnsi="Palatino Linotype"/>
          <w:sz w:val="16"/>
        </w:rPr>
        <w:t xml:space="preserve">III. Revocar o modificar la respuesta del sujeto obligado; y </w:t>
      </w:r>
    </w:p>
    <w:p w:rsidR="00C25709" w:rsidRDefault="00C25709" w:rsidP="00C25709">
      <w:pPr>
        <w:pStyle w:val="Textonotapie"/>
        <w:jc w:val="both"/>
      </w:pPr>
      <w:r w:rsidRPr="00CC2A00">
        <w:rPr>
          <w:rFonts w:ascii="Palatino Linotype" w:hAnsi="Palatino Linotype"/>
          <w:sz w:val="16"/>
        </w:rPr>
        <w:t>IV. Ordenar la entrega de 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AFA" w:rsidRPr="00FD1289" w:rsidRDefault="00AB0753" w:rsidP="00247AFA">
    <w:pPr>
      <w:pStyle w:val="Encabezado"/>
      <w:jc w:val="right"/>
      <w:rPr>
        <w:rFonts w:ascii="Palatino Linotype" w:hAnsi="Palatino Linotype"/>
        <w:b/>
        <w:sz w:val="24"/>
        <w:szCs w:val="24"/>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49" type="#_x0000_t75" style="position:absolute;left:0;text-align:left;margin-left:-83.15pt;margin-top:-118.9pt;width:598.5pt;height:779.25pt;z-index:-251658752;mso-position-horizontal-relative:margin;mso-position-vertical-relative:margin" o:allowincell="f">
          <v:imagedata r:id="rId1" o:title="fondo opinion particular"/>
          <w10:wrap anchorx="margin" anchory="margin"/>
        </v:shape>
      </w:pict>
    </w:r>
    <w:r w:rsidR="00247AFA">
      <w:rPr>
        <w:rFonts w:ascii="Palatino Linotype" w:hAnsi="Palatino Linotype"/>
        <w:b/>
      </w:rPr>
      <w:t>V</w:t>
    </w:r>
    <w:r w:rsidR="00247AFA" w:rsidRPr="00FD1289">
      <w:rPr>
        <w:rFonts w:ascii="Palatino Linotype" w:hAnsi="Palatino Linotype"/>
        <w:b/>
        <w:sz w:val="24"/>
        <w:szCs w:val="24"/>
      </w:rPr>
      <w:t>OTO PARTICULAR</w:t>
    </w:r>
  </w:p>
  <w:p w:rsidR="004D1CAC" w:rsidRPr="009D3E65" w:rsidRDefault="00247AFA" w:rsidP="004D1CAC">
    <w:pPr>
      <w:pStyle w:val="Encabezado"/>
      <w:jc w:val="right"/>
      <w:rPr>
        <w:rFonts w:ascii="Palatino Linotype" w:hAnsi="Palatino Linotype" w:cs="Arial"/>
        <w:b/>
        <w:bCs/>
        <w:sz w:val="24"/>
        <w:szCs w:val="24"/>
        <w:lang w:eastAsia="es-MX"/>
      </w:rPr>
    </w:pPr>
    <w:r w:rsidRPr="00FD1289">
      <w:rPr>
        <w:rFonts w:ascii="Palatino Linotype" w:hAnsi="Palatino Linotype"/>
        <w:b/>
        <w:sz w:val="24"/>
        <w:szCs w:val="24"/>
      </w:rPr>
      <w:t xml:space="preserve">RECURSO DE REVISIÓN </w:t>
    </w:r>
    <w:r w:rsidR="004561F2">
      <w:rPr>
        <w:rFonts w:ascii="Palatino Linotype" w:hAnsi="Palatino Linotype" w:cs="Arial"/>
        <w:b/>
        <w:bCs/>
        <w:sz w:val="24"/>
        <w:szCs w:val="24"/>
        <w:lang w:eastAsia="es-MX"/>
      </w:rPr>
      <w:t>03813</w:t>
    </w:r>
    <w:r w:rsidR="00676AA1">
      <w:rPr>
        <w:rFonts w:ascii="Palatino Linotype" w:hAnsi="Palatino Linotype" w:cs="Arial"/>
        <w:b/>
        <w:bCs/>
        <w:sz w:val="24"/>
        <w:szCs w:val="24"/>
        <w:lang w:eastAsia="es-MX"/>
      </w:rPr>
      <w:t>/INFOEM/IP/RR/2018</w:t>
    </w:r>
    <w:r w:rsidR="004561F2">
      <w:rPr>
        <w:rFonts w:ascii="Palatino Linotype" w:hAnsi="Palatino Linotype" w:cs="Arial"/>
        <w:b/>
        <w:bCs/>
        <w:sz w:val="24"/>
        <w:szCs w:val="24"/>
        <w:lang w:eastAsia="es-MX"/>
      </w:rPr>
      <w:t xml:space="preserve"> y acumulados</w:t>
    </w:r>
  </w:p>
  <w:p w:rsidR="00247AFA" w:rsidRDefault="00247AFA">
    <w:pPr>
      <w:pStyle w:val="Encabezado"/>
    </w:pPr>
  </w:p>
  <w:p w:rsidR="004D1CAC" w:rsidRDefault="004D1CAC">
    <w:pPr>
      <w:pStyle w:val="Encabezado"/>
    </w:pPr>
  </w:p>
  <w:p w:rsidR="004D1CAC" w:rsidRDefault="004D1CAC">
    <w:pPr>
      <w:pStyle w:val="Encabezado"/>
    </w:pPr>
  </w:p>
  <w:p w:rsidR="004D1CAC" w:rsidRDefault="004D1CA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014DB2"/>
    <w:multiLevelType w:val="hybridMultilevel"/>
    <w:tmpl w:val="F9664EB0"/>
    <w:lvl w:ilvl="0" w:tplc="080A0019">
      <w:start w:val="1"/>
      <w:numFmt w:val="lowerLetter"/>
      <w:lvlText w:val="%1."/>
      <w:lvlJc w:val="left"/>
      <w:pPr>
        <w:ind w:left="1776" w:hanging="360"/>
      </w:pPr>
      <w:rPr>
        <w:rFonts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1" w15:restartNumberingAfterBreak="0">
    <w:nsid w:val="2B2A3375"/>
    <w:multiLevelType w:val="hybridMultilevel"/>
    <w:tmpl w:val="582AC1FA"/>
    <w:lvl w:ilvl="0" w:tplc="24845AD0">
      <w:start w:val="1"/>
      <w:numFmt w:val="decimal"/>
      <w:lvlText w:val="%1."/>
      <w:lvlJc w:val="left"/>
      <w:pPr>
        <w:ind w:left="644" w:hanging="360"/>
      </w:pPr>
      <w:rPr>
        <w:sz w:val="14"/>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34317490"/>
    <w:multiLevelType w:val="hybridMultilevel"/>
    <w:tmpl w:val="A6A803F2"/>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C38028E"/>
    <w:multiLevelType w:val="hybridMultilevel"/>
    <w:tmpl w:val="06E04306"/>
    <w:lvl w:ilvl="0" w:tplc="64CA1EF6">
      <w:start w:val="1"/>
      <w:numFmt w:val="lowerLetter"/>
      <w:lvlText w:val="%1)"/>
      <w:lvlJc w:val="left"/>
      <w:pPr>
        <w:ind w:left="720" w:hanging="360"/>
      </w:pPr>
      <w:rPr>
        <w:rFonts w:eastAsiaTheme="minorEastAsia" w:cs="Arial"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67F4243"/>
    <w:multiLevelType w:val="hybridMultilevel"/>
    <w:tmpl w:val="ED5C7756"/>
    <w:lvl w:ilvl="0" w:tplc="080A000F">
      <w:start w:val="1"/>
      <w:numFmt w:val="decimal"/>
      <w:lvlText w:val="%1."/>
      <w:lvlJc w:val="left"/>
      <w:pPr>
        <w:ind w:left="644" w:hanging="360"/>
      </w:pPr>
    </w:lvl>
    <w:lvl w:ilvl="1" w:tplc="9DC4F70E">
      <w:start w:val="1"/>
      <w:numFmt w:val="lowerLetter"/>
      <w:lvlText w:val="%2."/>
      <w:lvlJc w:val="left"/>
      <w:pPr>
        <w:ind w:left="1364" w:hanging="360"/>
      </w:pPr>
      <w:rPr>
        <w:sz w:val="14"/>
      </w:r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15:restartNumberingAfterBreak="0">
    <w:nsid w:val="758F3DB5"/>
    <w:multiLevelType w:val="hybridMultilevel"/>
    <w:tmpl w:val="303236D2"/>
    <w:lvl w:ilvl="0" w:tplc="E22E8C9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1"/>
  </w:num>
  <w:num w:numId="2">
    <w:abstractNumId w:val="4"/>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AFA"/>
    <w:rsid w:val="00026D5A"/>
    <w:rsid w:val="000405C0"/>
    <w:rsid w:val="00067249"/>
    <w:rsid w:val="00074BC0"/>
    <w:rsid w:val="00094469"/>
    <w:rsid w:val="000953DB"/>
    <w:rsid w:val="000A0233"/>
    <w:rsid w:val="000A6F2D"/>
    <w:rsid w:val="001047AF"/>
    <w:rsid w:val="00135DC4"/>
    <w:rsid w:val="0015436A"/>
    <w:rsid w:val="001A4822"/>
    <w:rsid w:val="001D7F8C"/>
    <w:rsid w:val="001F0720"/>
    <w:rsid w:val="001F445C"/>
    <w:rsid w:val="00227985"/>
    <w:rsid w:val="00247AFA"/>
    <w:rsid w:val="00290B8C"/>
    <w:rsid w:val="002E5896"/>
    <w:rsid w:val="003128DF"/>
    <w:rsid w:val="00320195"/>
    <w:rsid w:val="003263BA"/>
    <w:rsid w:val="00327CA0"/>
    <w:rsid w:val="00330E2B"/>
    <w:rsid w:val="00333FB3"/>
    <w:rsid w:val="00354676"/>
    <w:rsid w:val="00365C9A"/>
    <w:rsid w:val="00381E19"/>
    <w:rsid w:val="003F1069"/>
    <w:rsid w:val="004561F2"/>
    <w:rsid w:val="00494872"/>
    <w:rsid w:val="004B07A8"/>
    <w:rsid w:val="004D1CAC"/>
    <w:rsid w:val="004E3E94"/>
    <w:rsid w:val="00515607"/>
    <w:rsid w:val="005322BC"/>
    <w:rsid w:val="00563AE5"/>
    <w:rsid w:val="00581A89"/>
    <w:rsid w:val="0059780A"/>
    <w:rsid w:val="005D273A"/>
    <w:rsid w:val="00600BA3"/>
    <w:rsid w:val="0063142F"/>
    <w:rsid w:val="00641437"/>
    <w:rsid w:val="00642384"/>
    <w:rsid w:val="00661191"/>
    <w:rsid w:val="00665FB4"/>
    <w:rsid w:val="00676AA1"/>
    <w:rsid w:val="00696583"/>
    <w:rsid w:val="006E3920"/>
    <w:rsid w:val="007529BE"/>
    <w:rsid w:val="00785058"/>
    <w:rsid w:val="0079291E"/>
    <w:rsid w:val="007A62D9"/>
    <w:rsid w:val="007D3ACA"/>
    <w:rsid w:val="007D4237"/>
    <w:rsid w:val="008030EC"/>
    <w:rsid w:val="00803B8F"/>
    <w:rsid w:val="008633C2"/>
    <w:rsid w:val="00866EF3"/>
    <w:rsid w:val="0087546B"/>
    <w:rsid w:val="008D542B"/>
    <w:rsid w:val="008E6B30"/>
    <w:rsid w:val="00910D74"/>
    <w:rsid w:val="009450D0"/>
    <w:rsid w:val="009472B6"/>
    <w:rsid w:val="00985DB9"/>
    <w:rsid w:val="009D3E65"/>
    <w:rsid w:val="00A003D8"/>
    <w:rsid w:val="00A275AD"/>
    <w:rsid w:val="00A519A0"/>
    <w:rsid w:val="00A645F0"/>
    <w:rsid w:val="00A74B64"/>
    <w:rsid w:val="00AA0455"/>
    <w:rsid w:val="00AB0753"/>
    <w:rsid w:val="00B65B8E"/>
    <w:rsid w:val="00BA791B"/>
    <w:rsid w:val="00BC44E5"/>
    <w:rsid w:val="00C20EEA"/>
    <w:rsid w:val="00C25709"/>
    <w:rsid w:val="00C30FB8"/>
    <w:rsid w:val="00CC313E"/>
    <w:rsid w:val="00CC3F5C"/>
    <w:rsid w:val="00CE3748"/>
    <w:rsid w:val="00D645C9"/>
    <w:rsid w:val="00D6696F"/>
    <w:rsid w:val="00D9057B"/>
    <w:rsid w:val="00DA11BE"/>
    <w:rsid w:val="00DA6B9D"/>
    <w:rsid w:val="00DB6D11"/>
    <w:rsid w:val="00DF658A"/>
    <w:rsid w:val="00E17F4F"/>
    <w:rsid w:val="00E23BCA"/>
    <w:rsid w:val="00E35C9D"/>
    <w:rsid w:val="00E555F0"/>
    <w:rsid w:val="00EF041D"/>
    <w:rsid w:val="00F17720"/>
    <w:rsid w:val="00F370A8"/>
    <w:rsid w:val="00F4125F"/>
    <w:rsid w:val="00F42030"/>
    <w:rsid w:val="00F53D42"/>
    <w:rsid w:val="00F70233"/>
    <w:rsid w:val="00F7442A"/>
    <w:rsid w:val="00FB6387"/>
    <w:rsid w:val="00FD1289"/>
    <w:rsid w:val="00FD52C0"/>
    <w:rsid w:val="00FF09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A453277-0DBF-4EFC-9905-357DE06FE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AF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7A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7AFA"/>
  </w:style>
  <w:style w:type="paragraph" w:styleId="Piedepgina">
    <w:name w:val="footer"/>
    <w:basedOn w:val="Normal"/>
    <w:link w:val="PiedepginaCar"/>
    <w:uiPriority w:val="99"/>
    <w:unhideWhenUsed/>
    <w:rsid w:val="00247A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7AFA"/>
  </w:style>
  <w:style w:type="paragraph" w:styleId="NormalWeb">
    <w:name w:val="Normal (Web)"/>
    <w:basedOn w:val="Normal"/>
    <w:uiPriority w:val="99"/>
    <w:semiHidden/>
    <w:unhideWhenUsed/>
    <w:rsid w:val="00247AFA"/>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styleId="Hipervnculo">
    <w:name w:val="Hyperlink"/>
    <w:basedOn w:val="Fuentedeprrafopredeter"/>
    <w:uiPriority w:val="99"/>
    <w:unhideWhenUsed/>
    <w:rsid w:val="00600BA3"/>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65FB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65FB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semiHidden/>
    <w:unhideWhenUsed/>
    <w:rsid w:val="00665FB4"/>
    <w:rPr>
      <w:vertAlign w:val="superscript"/>
    </w:rPr>
  </w:style>
  <w:style w:type="table" w:styleId="Tablaconcuadrcula">
    <w:name w:val="Table Grid"/>
    <w:basedOn w:val="Tablanormal"/>
    <w:uiPriority w:val="39"/>
    <w:rsid w:val="00227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63AE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3AE5"/>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F4125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41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11365">
      <w:bodyDiv w:val="1"/>
      <w:marLeft w:val="0"/>
      <w:marRight w:val="0"/>
      <w:marTop w:val="0"/>
      <w:marBottom w:val="0"/>
      <w:divBdr>
        <w:top w:val="none" w:sz="0" w:space="0" w:color="auto"/>
        <w:left w:val="none" w:sz="0" w:space="0" w:color="auto"/>
        <w:bottom w:val="none" w:sz="0" w:space="0" w:color="auto"/>
        <w:right w:val="none" w:sz="0" w:space="0" w:color="auto"/>
      </w:divBdr>
    </w:div>
    <w:div w:id="186799296">
      <w:bodyDiv w:val="1"/>
      <w:marLeft w:val="0"/>
      <w:marRight w:val="0"/>
      <w:marTop w:val="0"/>
      <w:marBottom w:val="0"/>
      <w:divBdr>
        <w:top w:val="none" w:sz="0" w:space="0" w:color="auto"/>
        <w:left w:val="none" w:sz="0" w:space="0" w:color="auto"/>
        <w:bottom w:val="none" w:sz="0" w:space="0" w:color="auto"/>
        <w:right w:val="none" w:sz="0" w:space="0" w:color="auto"/>
      </w:divBdr>
    </w:div>
    <w:div w:id="304895823">
      <w:bodyDiv w:val="1"/>
      <w:marLeft w:val="0"/>
      <w:marRight w:val="0"/>
      <w:marTop w:val="0"/>
      <w:marBottom w:val="0"/>
      <w:divBdr>
        <w:top w:val="none" w:sz="0" w:space="0" w:color="auto"/>
        <w:left w:val="none" w:sz="0" w:space="0" w:color="auto"/>
        <w:bottom w:val="none" w:sz="0" w:space="0" w:color="auto"/>
        <w:right w:val="none" w:sz="0" w:space="0" w:color="auto"/>
      </w:divBdr>
    </w:div>
    <w:div w:id="602500061">
      <w:bodyDiv w:val="1"/>
      <w:marLeft w:val="0"/>
      <w:marRight w:val="0"/>
      <w:marTop w:val="0"/>
      <w:marBottom w:val="0"/>
      <w:divBdr>
        <w:top w:val="none" w:sz="0" w:space="0" w:color="auto"/>
        <w:left w:val="none" w:sz="0" w:space="0" w:color="auto"/>
        <w:bottom w:val="none" w:sz="0" w:space="0" w:color="auto"/>
        <w:right w:val="none" w:sz="0" w:space="0" w:color="auto"/>
      </w:divBdr>
    </w:div>
    <w:div w:id="1043287800">
      <w:bodyDiv w:val="1"/>
      <w:marLeft w:val="0"/>
      <w:marRight w:val="0"/>
      <w:marTop w:val="0"/>
      <w:marBottom w:val="0"/>
      <w:divBdr>
        <w:top w:val="none" w:sz="0" w:space="0" w:color="auto"/>
        <w:left w:val="none" w:sz="0" w:space="0" w:color="auto"/>
        <w:bottom w:val="none" w:sz="0" w:space="0" w:color="auto"/>
        <w:right w:val="none" w:sz="0" w:space="0" w:color="auto"/>
      </w:divBdr>
    </w:div>
    <w:div w:id="1184176219">
      <w:bodyDiv w:val="1"/>
      <w:marLeft w:val="0"/>
      <w:marRight w:val="0"/>
      <w:marTop w:val="0"/>
      <w:marBottom w:val="0"/>
      <w:divBdr>
        <w:top w:val="none" w:sz="0" w:space="0" w:color="auto"/>
        <w:left w:val="none" w:sz="0" w:space="0" w:color="auto"/>
        <w:bottom w:val="none" w:sz="0" w:space="0" w:color="auto"/>
        <w:right w:val="none" w:sz="0" w:space="0" w:color="auto"/>
      </w:divBdr>
    </w:div>
    <w:div w:id="1336030878">
      <w:bodyDiv w:val="1"/>
      <w:marLeft w:val="0"/>
      <w:marRight w:val="0"/>
      <w:marTop w:val="0"/>
      <w:marBottom w:val="0"/>
      <w:divBdr>
        <w:top w:val="none" w:sz="0" w:space="0" w:color="auto"/>
        <w:left w:val="none" w:sz="0" w:space="0" w:color="auto"/>
        <w:bottom w:val="none" w:sz="0" w:space="0" w:color="auto"/>
        <w:right w:val="none" w:sz="0" w:space="0" w:color="auto"/>
      </w:divBdr>
    </w:div>
    <w:div w:id="162820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1372DE-1666-4279-80EA-EE89D7960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1802</Words>
  <Characters>9912</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11691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4</cp:revision>
  <cp:lastPrinted>2018-09-10T18:53:00Z</cp:lastPrinted>
  <dcterms:created xsi:type="dcterms:W3CDTF">2019-02-22T21:03:00Z</dcterms:created>
  <dcterms:modified xsi:type="dcterms:W3CDTF">2019-02-25T18:57:00Z</dcterms:modified>
</cp:coreProperties>
</file>