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921"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985849" w:rsidTr="00264223">
        <w:trPr>
          <w:trHeight w:val="144"/>
        </w:trPr>
        <w:tc>
          <w:tcPr>
            <w:tcW w:w="2869" w:type="dxa"/>
          </w:tcPr>
          <w:p w:rsidR="00264223" w:rsidRPr="00985849" w:rsidRDefault="00264223" w:rsidP="00985849">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Recurso de Revisión:</w:t>
            </w:r>
          </w:p>
        </w:tc>
        <w:tc>
          <w:tcPr>
            <w:tcW w:w="3539" w:type="dxa"/>
          </w:tcPr>
          <w:p w:rsidR="00264223" w:rsidRPr="00985849" w:rsidRDefault="0054438C" w:rsidP="00985849">
            <w:pPr>
              <w:tabs>
                <w:tab w:val="right" w:pos="8838"/>
              </w:tabs>
              <w:spacing w:line="360" w:lineRule="auto"/>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03891</w:t>
            </w:r>
            <w:r w:rsidR="00264223" w:rsidRPr="00985849">
              <w:rPr>
                <w:rFonts w:ascii="Palatino Linotype" w:eastAsia="Calibri" w:hAnsi="Palatino Linotype" w:cs="Tahoma"/>
                <w:bCs/>
                <w:sz w:val="22"/>
                <w:szCs w:val="22"/>
                <w:lang w:eastAsia="en-US"/>
              </w:rPr>
              <w:t>/INFOEM/IP/RR/2018</w:t>
            </w:r>
          </w:p>
        </w:tc>
      </w:tr>
      <w:tr w:rsidR="00264223" w:rsidRPr="00985849" w:rsidTr="00264223">
        <w:trPr>
          <w:trHeight w:val="144"/>
        </w:trPr>
        <w:tc>
          <w:tcPr>
            <w:tcW w:w="2869" w:type="dxa"/>
          </w:tcPr>
          <w:p w:rsidR="00264223" w:rsidRPr="00985849" w:rsidRDefault="00264223" w:rsidP="00985849">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Recurrente:</w:t>
            </w:r>
          </w:p>
        </w:tc>
        <w:tc>
          <w:tcPr>
            <w:tcW w:w="3539" w:type="dxa"/>
          </w:tcPr>
          <w:p w:rsidR="00264223" w:rsidRPr="00985849" w:rsidRDefault="00F06F4D" w:rsidP="00985849">
            <w:pPr>
              <w:tabs>
                <w:tab w:val="right" w:pos="8838"/>
              </w:tabs>
              <w:spacing w:line="360" w:lineRule="auto"/>
              <w:ind w:right="171"/>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XXXXXXXXXXXXXXXX</w:t>
            </w:r>
          </w:p>
        </w:tc>
      </w:tr>
      <w:tr w:rsidR="00264223" w:rsidRPr="00985849" w:rsidTr="00264223">
        <w:trPr>
          <w:trHeight w:val="283"/>
        </w:trPr>
        <w:tc>
          <w:tcPr>
            <w:tcW w:w="2869" w:type="dxa"/>
          </w:tcPr>
          <w:p w:rsidR="00264223" w:rsidRPr="00985849" w:rsidRDefault="00956793" w:rsidP="00985849">
            <w:pPr>
              <w:tabs>
                <w:tab w:val="right" w:pos="8838"/>
              </w:tabs>
              <w:spacing w:line="360" w:lineRule="auto"/>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00264223" w:rsidRPr="00985849">
              <w:rPr>
                <w:rFonts w:ascii="Palatino Linotype" w:eastAsia="Calibri" w:hAnsi="Palatino Linotype" w:cs="Tahoma"/>
                <w:b/>
                <w:sz w:val="22"/>
                <w:szCs w:val="22"/>
                <w:lang w:val="es-MX" w:eastAsia="en-US"/>
              </w:rPr>
              <w:t>:</w:t>
            </w:r>
          </w:p>
        </w:tc>
        <w:tc>
          <w:tcPr>
            <w:tcW w:w="3539" w:type="dxa"/>
          </w:tcPr>
          <w:p w:rsidR="00264223" w:rsidRPr="00985849" w:rsidRDefault="00264223" w:rsidP="0054438C">
            <w:pPr>
              <w:tabs>
                <w:tab w:val="right" w:pos="8838"/>
              </w:tabs>
              <w:spacing w:line="360"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Ayuntamiento</w:t>
            </w:r>
            <w:r w:rsidR="00026EBB" w:rsidRPr="00985849">
              <w:rPr>
                <w:rFonts w:ascii="Palatino Linotype" w:eastAsia="Calibri" w:hAnsi="Palatino Linotype" w:cs="Tahoma"/>
                <w:sz w:val="22"/>
                <w:szCs w:val="22"/>
                <w:lang w:val="es-MX" w:eastAsia="en-US"/>
              </w:rPr>
              <w:t xml:space="preserve"> de </w:t>
            </w:r>
            <w:r w:rsidR="0054438C">
              <w:rPr>
                <w:rFonts w:ascii="Palatino Linotype" w:eastAsia="Calibri" w:hAnsi="Palatino Linotype" w:cs="Tahoma"/>
                <w:sz w:val="22"/>
                <w:szCs w:val="22"/>
                <w:lang w:val="es-MX" w:eastAsia="en-US"/>
              </w:rPr>
              <w:t xml:space="preserve">Timilpan </w:t>
            </w:r>
          </w:p>
        </w:tc>
      </w:tr>
      <w:tr w:rsidR="00264223" w:rsidRPr="00985849" w:rsidTr="00264223">
        <w:trPr>
          <w:trHeight w:val="283"/>
        </w:trPr>
        <w:tc>
          <w:tcPr>
            <w:tcW w:w="2869" w:type="dxa"/>
          </w:tcPr>
          <w:p w:rsidR="00264223" w:rsidRPr="00985849" w:rsidRDefault="00264223" w:rsidP="00985849">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Comisionado Ponente:</w:t>
            </w:r>
          </w:p>
        </w:tc>
        <w:tc>
          <w:tcPr>
            <w:tcW w:w="3539" w:type="dxa"/>
          </w:tcPr>
          <w:p w:rsidR="00264223" w:rsidRPr="00985849" w:rsidRDefault="00264223" w:rsidP="00985849">
            <w:pPr>
              <w:tabs>
                <w:tab w:val="right" w:pos="8838"/>
              </w:tabs>
              <w:spacing w:line="360"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Luis Gustavo Parra Noriega</w:t>
            </w:r>
          </w:p>
        </w:tc>
      </w:tr>
    </w:tbl>
    <w:p w:rsidR="00B6258B" w:rsidRPr="00985849" w:rsidRDefault="00B6258B" w:rsidP="00985849">
      <w:pPr>
        <w:spacing w:line="360" w:lineRule="auto"/>
        <w:jc w:val="both"/>
        <w:rPr>
          <w:rFonts w:ascii="Palatino Linotype" w:hAnsi="Palatino Linotype" w:cs="Tahoma"/>
          <w:bCs/>
          <w:sz w:val="22"/>
          <w:szCs w:val="22"/>
        </w:rPr>
      </w:pPr>
    </w:p>
    <w:p w:rsidR="0074285B" w:rsidRPr="00985849" w:rsidRDefault="00D22B6A" w:rsidP="00985849">
      <w:pPr>
        <w:spacing w:line="360" w:lineRule="auto"/>
        <w:jc w:val="both"/>
        <w:rPr>
          <w:rFonts w:ascii="Palatino Linotype" w:hAnsi="Palatino Linotype"/>
          <w:noProof/>
          <w:sz w:val="22"/>
          <w:szCs w:val="22"/>
          <w:lang w:val="es-ES"/>
        </w:rPr>
      </w:pPr>
      <w:r w:rsidRPr="0098584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E14148">
        <w:rPr>
          <w:rFonts w:ascii="Palatino Linotype" w:hAnsi="Palatino Linotype" w:cs="Tahoma"/>
          <w:bCs/>
          <w:sz w:val="22"/>
          <w:szCs w:val="22"/>
        </w:rPr>
        <w:t>seis</w:t>
      </w:r>
      <w:r w:rsidR="0054438C">
        <w:rPr>
          <w:rFonts w:ascii="Palatino Linotype" w:hAnsi="Palatino Linotype" w:cs="Tahoma"/>
          <w:bCs/>
          <w:sz w:val="22"/>
          <w:szCs w:val="22"/>
        </w:rPr>
        <w:t xml:space="preserve"> de diciembre </w:t>
      </w:r>
      <w:r w:rsidRPr="00985849">
        <w:rPr>
          <w:rFonts w:ascii="Palatino Linotype" w:hAnsi="Palatino Linotype" w:cs="Tahoma"/>
          <w:bCs/>
          <w:sz w:val="22"/>
          <w:szCs w:val="22"/>
        </w:rPr>
        <w:t>de dos mil dieciocho.</w:t>
      </w:r>
    </w:p>
    <w:p w:rsidR="00492DCA" w:rsidRPr="00985849" w:rsidRDefault="00492DCA" w:rsidP="00985849">
      <w:pPr>
        <w:spacing w:line="360" w:lineRule="auto"/>
        <w:jc w:val="both"/>
        <w:rPr>
          <w:rFonts w:ascii="Palatino Linotype" w:hAnsi="Palatino Linotype"/>
          <w:noProof/>
          <w:sz w:val="22"/>
          <w:szCs w:val="22"/>
          <w:lang w:val="es-ES"/>
        </w:rPr>
      </w:pPr>
    </w:p>
    <w:p w:rsidR="00400FDE" w:rsidRPr="00985849" w:rsidRDefault="00575DE3" w:rsidP="00985849">
      <w:pPr>
        <w:spacing w:line="360" w:lineRule="auto"/>
        <w:jc w:val="both"/>
        <w:rPr>
          <w:rFonts w:ascii="Palatino Linotype" w:hAnsi="Palatino Linotype" w:cs="Tahoma"/>
          <w:bCs/>
          <w:sz w:val="22"/>
          <w:szCs w:val="22"/>
        </w:rPr>
      </w:pPr>
      <w:r w:rsidRPr="00985849">
        <w:rPr>
          <w:rFonts w:ascii="Palatino Linotype" w:hAnsi="Palatino Linotype" w:cs="Tahoma"/>
          <w:b/>
          <w:bCs/>
          <w:color w:val="0D0D0D" w:themeColor="text1" w:themeTint="F2"/>
          <w:sz w:val="22"/>
          <w:szCs w:val="22"/>
        </w:rPr>
        <w:t>VISTO</w:t>
      </w:r>
      <w:r w:rsidR="0019389B" w:rsidRPr="00985849">
        <w:rPr>
          <w:rFonts w:ascii="Palatino Linotype" w:hAnsi="Palatino Linotype" w:cs="Tahoma"/>
          <w:bCs/>
          <w:color w:val="0D0D0D" w:themeColor="text1" w:themeTint="F2"/>
          <w:sz w:val="22"/>
          <w:szCs w:val="22"/>
        </w:rPr>
        <w:t xml:space="preserve"> el expediente conformado </w:t>
      </w:r>
      <w:r w:rsidR="00422869" w:rsidRPr="00985849">
        <w:rPr>
          <w:rFonts w:ascii="Palatino Linotype" w:hAnsi="Palatino Linotype" w:cs="Tahoma"/>
          <w:bCs/>
          <w:color w:val="0D0D0D" w:themeColor="text1" w:themeTint="F2"/>
          <w:sz w:val="22"/>
          <w:szCs w:val="22"/>
        </w:rPr>
        <w:t xml:space="preserve">con motivo del Recurso de Revisión </w:t>
      </w:r>
      <w:r w:rsidR="0054438C">
        <w:rPr>
          <w:rFonts w:ascii="Palatino Linotype" w:hAnsi="Palatino Linotype" w:cs="Tahoma"/>
          <w:b/>
          <w:bCs/>
          <w:color w:val="0D0D0D" w:themeColor="text1" w:themeTint="F2"/>
          <w:sz w:val="22"/>
          <w:szCs w:val="22"/>
        </w:rPr>
        <w:t>03891</w:t>
      </w:r>
      <w:r w:rsidR="006C1B1D" w:rsidRPr="00985849">
        <w:rPr>
          <w:rFonts w:ascii="Palatino Linotype" w:hAnsi="Palatino Linotype" w:cs="Tahoma"/>
          <w:b/>
          <w:bCs/>
          <w:color w:val="0D0D0D" w:themeColor="text1" w:themeTint="F2"/>
          <w:sz w:val="22"/>
          <w:szCs w:val="22"/>
        </w:rPr>
        <w:t>/</w:t>
      </w:r>
      <w:r w:rsidR="002A0FB8" w:rsidRPr="00985849">
        <w:rPr>
          <w:rFonts w:ascii="Palatino Linotype" w:hAnsi="Palatino Linotype" w:cs="Tahoma"/>
          <w:b/>
          <w:bCs/>
          <w:color w:val="0D0D0D" w:themeColor="text1" w:themeTint="F2"/>
          <w:sz w:val="22"/>
          <w:szCs w:val="22"/>
        </w:rPr>
        <w:t>INFOEM</w:t>
      </w:r>
      <w:r w:rsidR="006C1B1D" w:rsidRPr="00985849">
        <w:rPr>
          <w:rFonts w:ascii="Palatino Linotype" w:hAnsi="Palatino Linotype" w:cs="Tahoma"/>
          <w:b/>
          <w:bCs/>
          <w:color w:val="0D0D0D" w:themeColor="text1" w:themeTint="F2"/>
          <w:sz w:val="22"/>
          <w:szCs w:val="22"/>
        </w:rPr>
        <w:t>/IP/2018</w:t>
      </w:r>
      <w:r w:rsidR="00422869" w:rsidRPr="00985849">
        <w:rPr>
          <w:rFonts w:ascii="Palatino Linotype" w:hAnsi="Palatino Linotype" w:cs="Tahoma"/>
          <w:bCs/>
          <w:color w:val="0D0D0D" w:themeColor="text1" w:themeTint="F2"/>
          <w:sz w:val="22"/>
          <w:szCs w:val="22"/>
        </w:rPr>
        <w:t xml:space="preserve">, </w:t>
      </w:r>
      <w:r w:rsidR="00127757" w:rsidRPr="00985849">
        <w:rPr>
          <w:rFonts w:ascii="Palatino Linotype" w:hAnsi="Palatino Linotype" w:cs="Tahoma"/>
          <w:bCs/>
          <w:color w:val="0D0D0D" w:themeColor="text1" w:themeTint="F2"/>
          <w:sz w:val="22"/>
          <w:szCs w:val="22"/>
        </w:rPr>
        <w:t>interpuesto por</w:t>
      </w:r>
      <w:r w:rsidR="00E70503" w:rsidRPr="00985849">
        <w:rPr>
          <w:rFonts w:ascii="Palatino Linotype" w:hAnsi="Palatino Linotype" w:cs="Tahoma"/>
          <w:bCs/>
          <w:color w:val="0D0D0D" w:themeColor="text1" w:themeTint="F2"/>
          <w:sz w:val="22"/>
          <w:szCs w:val="22"/>
        </w:rPr>
        <w:t xml:space="preserve"> </w:t>
      </w:r>
      <w:r w:rsidR="00F06F4D">
        <w:rPr>
          <w:rFonts w:ascii="Palatino Linotype" w:hAnsi="Palatino Linotype" w:cs="Tahoma"/>
          <w:b/>
          <w:bCs/>
          <w:color w:val="0D0D0D" w:themeColor="text1" w:themeTint="F2"/>
          <w:sz w:val="22"/>
          <w:szCs w:val="22"/>
        </w:rPr>
        <w:t>XXXXXXXXXXXXXXXXX</w:t>
      </w:r>
      <w:r w:rsidR="000A238F" w:rsidRPr="00985849">
        <w:rPr>
          <w:rFonts w:ascii="Palatino Linotype" w:hAnsi="Palatino Linotype" w:cs="Tahoma"/>
          <w:bCs/>
          <w:color w:val="0D0D0D" w:themeColor="text1" w:themeTint="F2"/>
          <w:sz w:val="22"/>
          <w:szCs w:val="22"/>
        </w:rPr>
        <w:t>, en lo sucesivo recurrente o particular,</w:t>
      </w:r>
      <w:r w:rsidR="00A9024A" w:rsidRPr="00985849">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en contra de la </w:t>
      </w:r>
      <w:r w:rsidR="00576F74" w:rsidRPr="00985849">
        <w:rPr>
          <w:rFonts w:ascii="Palatino Linotype" w:hAnsi="Palatino Linotype" w:cs="Tahoma"/>
          <w:bCs/>
          <w:color w:val="0D0D0D" w:themeColor="text1" w:themeTint="F2"/>
          <w:sz w:val="22"/>
          <w:szCs w:val="22"/>
        </w:rPr>
        <w:t xml:space="preserve">falta de </w:t>
      </w:r>
      <w:r w:rsidR="00DC1594" w:rsidRPr="00985849">
        <w:rPr>
          <w:rFonts w:ascii="Palatino Linotype" w:hAnsi="Palatino Linotype" w:cs="Tahoma"/>
          <w:bCs/>
          <w:color w:val="0D0D0D" w:themeColor="text1" w:themeTint="F2"/>
          <w:sz w:val="22"/>
          <w:szCs w:val="22"/>
        </w:rPr>
        <w:t xml:space="preserve">respuesta del </w:t>
      </w:r>
      <w:r w:rsidR="00956793">
        <w:rPr>
          <w:rFonts w:ascii="Palatino Linotype" w:hAnsi="Palatino Linotype" w:cs="Tahoma"/>
          <w:bCs/>
          <w:color w:val="0D0D0D" w:themeColor="text1" w:themeTint="F2"/>
          <w:sz w:val="22"/>
          <w:szCs w:val="22"/>
        </w:rPr>
        <w:t>Sujeto Obligado</w:t>
      </w:r>
      <w:r w:rsidR="003C5742">
        <w:rPr>
          <w:rFonts w:ascii="Palatino Linotype" w:hAnsi="Palatino Linotype" w:cs="Tahoma"/>
          <w:bCs/>
          <w:color w:val="0D0D0D" w:themeColor="text1" w:themeTint="F2"/>
          <w:sz w:val="22"/>
          <w:szCs w:val="22"/>
        </w:rPr>
        <w:t>,</w:t>
      </w:r>
      <w:r w:rsidR="002A0FB8" w:rsidRPr="00985849">
        <w:rPr>
          <w:rFonts w:ascii="Palatino Linotype" w:hAnsi="Palatino Linotype" w:cs="Tahoma"/>
          <w:bCs/>
          <w:color w:val="0D0D0D" w:themeColor="text1" w:themeTint="F2"/>
          <w:sz w:val="22"/>
          <w:szCs w:val="22"/>
        </w:rPr>
        <w:t xml:space="preserve"> </w:t>
      </w:r>
      <w:r w:rsidR="00DC1594" w:rsidRPr="00697A6D">
        <w:rPr>
          <w:rFonts w:ascii="Palatino Linotype" w:hAnsi="Palatino Linotype" w:cs="Tahoma"/>
          <w:b/>
          <w:bCs/>
          <w:color w:val="0D0D0D" w:themeColor="text1" w:themeTint="F2"/>
          <w:sz w:val="22"/>
          <w:szCs w:val="22"/>
        </w:rPr>
        <w:t>Ayuntamiento de</w:t>
      </w:r>
      <w:r w:rsidR="0054438C" w:rsidRPr="00697A6D">
        <w:rPr>
          <w:rFonts w:ascii="Palatino Linotype" w:hAnsi="Palatino Linotype" w:cs="Tahoma"/>
          <w:b/>
          <w:bCs/>
          <w:color w:val="0D0D0D" w:themeColor="text1" w:themeTint="F2"/>
          <w:sz w:val="22"/>
          <w:szCs w:val="22"/>
        </w:rPr>
        <w:t xml:space="preserve"> Timilpan</w:t>
      </w:r>
      <w:r w:rsidR="00DC1594" w:rsidRPr="00985849">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 xml:space="preserve">se emite la presente Resolución, </w:t>
      </w:r>
      <w:r w:rsidR="00DC1594" w:rsidRPr="00985849">
        <w:rPr>
          <w:rFonts w:ascii="Palatino Linotype" w:hAnsi="Palatino Linotype" w:cs="Tahoma"/>
          <w:bCs/>
          <w:color w:val="0D0D0D" w:themeColor="text1" w:themeTint="F2"/>
          <w:sz w:val="22"/>
          <w:szCs w:val="22"/>
        </w:rPr>
        <w:t>con base en</w:t>
      </w:r>
      <w:r w:rsidR="0098795A">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los </w:t>
      </w:r>
      <w:r w:rsidR="006C1B1D" w:rsidRPr="00985849">
        <w:rPr>
          <w:rFonts w:ascii="Palatino Linotype" w:hAnsi="Palatino Linotype" w:cs="Tahoma"/>
          <w:bCs/>
          <w:color w:val="0D0D0D" w:themeColor="text1" w:themeTint="F2"/>
          <w:sz w:val="22"/>
          <w:szCs w:val="22"/>
        </w:rPr>
        <w:t>A</w:t>
      </w:r>
      <w:r w:rsidR="00DC1594" w:rsidRPr="00985849">
        <w:rPr>
          <w:rFonts w:ascii="Palatino Linotype" w:hAnsi="Palatino Linotype" w:cs="Tahoma"/>
          <w:bCs/>
          <w:color w:val="0D0D0D" w:themeColor="text1" w:themeTint="F2"/>
          <w:sz w:val="22"/>
          <w:szCs w:val="22"/>
        </w:rPr>
        <w:t xml:space="preserve">ntecedentes y </w:t>
      </w:r>
      <w:r w:rsidR="002A0FB8" w:rsidRPr="00985849">
        <w:rPr>
          <w:rFonts w:ascii="Palatino Linotype" w:hAnsi="Palatino Linotype" w:cs="Tahoma"/>
          <w:bCs/>
          <w:color w:val="0D0D0D" w:themeColor="text1" w:themeTint="F2"/>
          <w:sz w:val="22"/>
          <w:szCs w:val="22"/>
        </w:rPr>
        <w:t>C</w:t>
      </w:r>
      <w:r w:rsidR="002A0FB8" w:rsidRPr="00985849">
        <w:rPr>
          <w:rFonts w:ascii="Palatino Linotype" w:hAnsi="Palatino Linotype" w:cs="Tahoma"/>
          <w:bCs/>
          <w:sz w:val="22"/>
          <w:szCs w:val="22"/>
        </w:rPr>
        <w:t xml:space="preserve">onsiderandos </w:t>
      </w:r>
      <w:r w:rsidR="00DC1594" w:rsidRPr="00985849">
        <w:rPr>
          <w:rFonts w:ascii="Palatino Linotype" w:hAnsi="Palatino Linotype" w:cs="Tahoma"/>
          <w:bCs/>
          <w:sz w:val="22"/>
          <w:szCs w:val="22"/>
        </w:rPr>
        <w:t>que a continuación se exponen</w:t>
      </w:r>
      <w:r w:rsidR="00B31222" w:rsidRPr="00985849">
        <w:rPr>
          <w:rFonts w:ascii="Palatino Linotype" w:hAnsi="Palatino Linotype" w:cs="Tahoma"/>
          <w:bCs/>
          <w:sz w:val="22"/>
          <w:szCs w:val="22"/>
        </w:rPr>
        <w:t>:</w:t>
      </w:r>
    </w:p>
    <w:p w:rsidR="00634CEB" w:rsidRPr="00985849" w:rsidRDefault="00634CEB" w:rsidP="00985849">
      <w:pPr>
        <w:tabs>
          <w:tab w:val="center" w:pos="4522"/>
          <w:tab w:val="left" w:pos="7245"/>
          <w:tab w:val="right" w:pos="9044"/>
        </w:tabs>
        <w:spacing w:line="360" w:lineRule="auto"/>
        <w:rPr>
          <w:rFonts w:ascii="Palatino Linotype" w:hAnsi="Palatino Linotype" w:cs="Tahoma"/>
          <w:b/>
          <w:sz w:val="22"/>
          <w:szCs w:val="22"/>
        </w:rPr>
      </w:pPr>
    </w:p>
    <w:p w:rsidR="00B31222" w:rsidRPr="00985849" w:rsidRDefault="00B31222" w:rsidP="00985849">
      <w:pPr>
        <w:tabs>
          <w:tab w:val="center" w:pos="4522"/>
          <w:tab w:val="left" w:pos="7245"/>
          <w:tab w:val="right" w:pos="9044"/>
        </w:tabs>
        <w:spacing w:line="360" w:lineRule="auto"/>
        <w:jc w:val="center"/>
        <w:rPr>
          <w:rFonts w:ascii="Palatino Linotype" w:hAnsi="Palatino Linotype" w:cs="Tahoma"/>
          <w:b/>
          <w:sz w:val="22"/>
          <w:szCs w:val="22"/>
        </w:rPr>
      </w:pPr>
      <w:r w:rsidRPr="00985849">
        <w:rPr>
          <w:rFonts w:ascii="Palatino Linotype" w:hAnsi="Palatino Linotype" w:cs="Tahoma"/>
          <w:b/>
          <w:sz w:val="22"/>
          <w:szCs w:val="22"/>
        </w:rPr>
        <w:t>ANTECEDENTES:</w:t>
      </w:r>
    </w:p>
    <w:p w:rsidR="00683CB5" w:rsidRPr="00985849" w:rsidRDefault="00683CB5" w:rsidP="00985849">
      <w:pPr>
        <w:tabs>
          <w:tab w:val="center" w:pos="4522"/>
          <w:tab w:val="left" w:pos="7245"/>
          <w:tab w:val="right" w:pos="9044"/>
        </w:tabs>
        <w:spacing w:line="360" w:lineRule="auto"/>
        <w:rPr>
          <w:rFonts w:ascii="Palatino Linotype" w:hAnsi="Palatino Linotype" w:cs="Tahoma"/>
          <w:b/>
          <w:sz w:val="22"/>
          <w:szCs w:val="22"/>
        </w:rPr>
      </w:pPr>
    </w:p>
    <w:p w:rsidR="00DC1594" w:rsidRPr="00985849" w:rsidRDefault="00B31222"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 xml:space="preserve">I. Presentación de la solicitud de información. </w:t>
      </w:r>
    </w:p>
    <w:p w:rsidR="00DC1594" w:rsidRPr="00985849" w:rsidRDefault="00DC1594" w:rsidP="00985849">
      <w:pPr>
        <w:pStyle w:val="Prrafodelista"/>
        <w:tabs>
          <w:tab w:val="left" w:pos="1050"/>
        </w:tabs>
        <w:spacing w:line="360" w:lineRule="auto"/>
        <w:ind w:left="0"/>
        <w:contextualSpacing w:val="0"/>
        <w:jc w:val="both"/>
        <w:rPr>
          <w:rFonts w:ascii="Palatino Linotype" w:hAnsi="Palatino Linotype" w:cs="Tahoma"/>
          <w:szCs w:val="22"/>
        </w:rPr>
      </w:pPr>
    </w:p>
    <w:p w:rsidR="00637179" w:rsidRPr="00985849" w:rsidRDefault="00AA417B" w:rsidP="00985849">
      <w:pPr>
        <w:pStyle w:val="Prrafodelista"/>
        <w:tabs>
          <w:tab w:val="left" w:pos="567"/>
        </w:tabs>
        <w:spacing w:line="360" w:lineRule="auto"/>
        <w:ind w:left="0"/>
        <w:contextualSpacing w:val="0"/>
        <w:jc w:val="both"/>
        <w:rPr>
          <w:rFonts w:ascii="Palatino Linotype" w:hAnsi="Palatino Linotype" w:cs="Tahoma"/>
          <w:szCs w:val="22"/>
        </w:rPr>
      </w:pPr>
      <w:r w:rsidRPr="00985849">
        <w:rPr>
          <w:rFonts w:ascii="Palatino Linotype" w:hAnsi="Palatino Linotype" w:cs="Tahoma"/>
          <w:szCs w:val="22"/>
        </w:rPr>
        <w:t>Con fecha</w:t>
      </w:r>
      <w:r w:rsidR="00A9024A" w:rsidRPr="00985849">
        <w:rPr>
          <w:rFonts w:ascii="Palatino Linotype" w:hAnsi="Palatino Linotype" w:cs="Tahoma"/>
          <w:szCs w:val="22"/>
        </w:rPr>
        <w:t xml:space="preserve"> tres de septiembre </w:t>
      </w:r>
      <w:r w:rsidRPr="00985849">
        <w:rPr>
          <w:rFonts w:ascii="Palatino Linotype" w:hAnsi="Palatino Linotype" w:cs="Tahoma"/>
          <w:szCs w:val="22"/>
        </w:rPr>
        <w:t>de</w:t>
      </w:r>
      <w:r w:rsidR="00B31222" w:rsidRPr="00985849">
        <w:rPr>
          <w:rFonts w:ascii="Palatino Linotype" w:hAnsi="Palatino Linotype" w:cs="Tahoma"/>
          <w:szCs w:val="22"/>
        </w:rPr>
        <w:t xml:space="preserve"> dos mil dieciocho, </w:t>
      </w:r>
      <w:r w:rsidR="00E573C6" w:rsidRPr="00985849">
        <w:rPr>
          <w:rFonts w:ascii="Palatino Linotype" w:hAnsi="Palatino Linotype" w:cs="Tahoma"/>
          <w:szCs w:val="22"/>
        </w:rPr>
        <w:t>el</w:t>
      </w:r>
      <w:r w:rsidR="00A9024A" w:rsidRPr="00985849">
        <w:rPr>
          <w:rFonts w:ascii="Palatino Linotype" w:hAnsi="Palatino Linotype" w:cs="Tahoma"/>
          <w:szCs w:val="22"/>
        </w:rPr>
        <w:t xml:space="preserve"> p</w:t>
      </w:r>
      <w:r w:rsidR="00EA68DA" w:rsidRPr="00985849">
        <w:rPr>
          <w:rFonts w:ascii="Palatino Linotype" w:hAnsi="Palatino Linotype" w:cs="Tahoma"/>
          <w:szCs w:val="22"/>
        </w:rPr>
        <w:t xml:space="preserve">articular presentó </w:t>
      </w:r>
      <w:r w:rsidR="00B31222" w:rsidRPr="00985849">
        <w:rPr>
          <w:rFonts w:ascii="Palatino Linotype" w:hAnsi="Palatino Linotype" w:cs="Tahoma"/>
          <w:szCs w:val="22"/>
        </w:rPr>
        <w:t>solicitud de acceso a la información</w:t>
      </w:r>
      <w:r w:rsidR="00C55151" w:rsidRPr="00985849">
        <w:rPr>
          <w:rFonts w:ascii="Palatino Linotype" w:hAnsi="Palatino Linotype" w:cs="Tahoma"/>
          <w:szCs w:val="22"/>
        </w:rPr>
        <w:t xml:space="preserve"> pública a través d</w:t>
      </w:r>
      <w:r w:rsidR="000C27CA" w:rsidRPr="00985849">
        <w:rPr>
          <w:rFonts w:ascii="Palatino Linotype" w:hAnsi="Palatino Linotype" w:cs="Tahoma"/>
          <w:szCs w:val="22"/>
          <w:lang w:val="es-ES"/>
        </w:rPr>
        <w:t>el Sistema de Acceso a la Información Mexiquense</w:t>
      </w:r>
      <w:r w:rsidR="004100AA" w:rsidRPr="00985849">
        <w:rPr>
          <w:rFonts w:ascii="Palatino Linotype" w:hAnsi="Palatino Linotype" w:cs="Tahoma"/>
          <w:szCs w:val="22"/>
          <w:lang w:val="es-ES"/>
        </w:rPr>
        <w:t xml:space="preserve"> (SAIMEX)</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ante e</w:t>
      </w:r>
      <w:r w:rsidR="000C27CA" w:rsidRPr="00985849">
        <w:rPr>
          <w:rFonts w:ascii="Palatino Linotype" w:hAnsi="Palatino Linotype" w:cs="Tahoma"/>
          <w:szCs w:val="22"/>
        </w:rPr>
        <w:t xml:space="preserve">l Ayuntamiento de </w:t>
      </w:r>
      <w:r w:rsidR="0054438C">
        <w:rPr>
          <w:rFonts w:ascii="Palatino Linotype" w:hAnsi="Palatino Linotype" w:cs="Tahoma"/>
          <w:szCs w:val="22"/>
        </w:rPr>
        <w:t>Timilpan</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mediante la cual requirió</w:t>
      </w:r>
      <w:r w:rsidR="00B31222" w:rsidRPr="00985849">
        <w:rPr>
          <w:rFonts w:ascii="Palatino Linotype" w:hAnsi="Palatino Linotype" w:cs="Tahoma"/>
          <w:szCs w:val="22"/>
        </w:rPr>
        <w:t>:</w:t>
      </w:r>
    </w:p>
    <w:p w:rsidR="00634CEB" w:rsidRPr="00985849" w:rsidRDefault="00634CEB" w:rsidP="00985849">
      <w:pPr>
        <w:pStyle w:val="Prrafodelista"/>
        <w:tabs>
          <w:tab w:val="left" w:pos="567"/>
        </w:tabs>
        <w:spacing w:line="360" w:lineRule="auto"/>
        <w:ind w:left="0"/>
        <w:contextualSpacing w:val="0"/>
        <w:jc w:val="both"/>
        <w:rPr>
          <w:rFonts w:ascii="Palatino Linotype" w:hAnsi="Palatino Linotype" w:cs="Tahoma"/>
          <w:szCs w:val="22"/>
        </w:rPr>
      </w:pPr>
    </w:p>
    <w:p w:rsidR="00C55151" w:rsidRPr="00985849" w:rsidRDefault="009C0D1E" w:rsidP="009C0D1E">
      <w:pPr>
        <w:tabs>
          <w:tab w:val="left" w:pos="4667"/>
        </w:tabs>
        <w:spacing w:line="360" w:lineRule="auto"/>
        <w:ind w:left="567" w:right="567"/>
        <w:jc w:val="both"/>
        <w:rPr>
          <w:rFonts w:ascii="Palatino Linotype" w:hAnsi="Palatino Linotype" w:cs="Tahoma"/>
          <w:bCs/>
        </w:rPr>
      </w:pPr>
      <w:r w:rsidRPr="009C0D1E">
        <w:rPr>
          <w:rFonts w:ascii="Palatino Linotype" w:hAnsi="Palatino Linotype" w:cs="Tahoma"/>
          <w:bCs/>
        </w:rPr>
        <w:t>Solicito la nómina de las dos quincenas de marzo 2018, con el nombre de cada servidor público y funcionario, su sueldo y</w:t>
      </w:r>
      <w:r>
        <w:rPr>
          <w:rFonts w:ascii="Palatino Linotype" w:hAnsi="Palatino Linotype" w:cs="Tahoma"/>
          <w:bCs/>
        </w:rPr>
        <w:t xml:space="preserve"> salario bruto sin excedentes o </w:t>
      </w:r>
      <w:r w:rsidRPr="009C0D1E">
        <w:rPr>
          <w:rFonts w:ascii="Palatino Linotype" w:hAnsi="Palatino Linotype" w:cs="Tahoma"/>
          <w:bCs/>
        </w:rPr>
        <w:t>compensaciones. Solicito la nómina de las dos quincenas de marzo 2018, con el nombre de cada servidor público y funcio</w:t>
      </w:r>
      <w:r>
        <w:rPr>
          <w:rFonts w:ascii="Palatino Linotype" w:hAnsi="Palatino Linotype" w:cs="Tahoma"/>
          <w:bCs/>
        </w:rPr>
        <w:t xml:space="preserve">nario y todos los conceptos que </w:t>
      </w:r>
      <w:r w:rsidRPr="009C0D1E">
        <w:rPr>
          <w:rFonts w:ascii="Palatino Linotype" w:hAnsi="Palatino Linotype" w:cs="Tahoma"/>
          <w:bCs/>
        </w:rPr>
        <w:t xml:space="preserve">forman parte del sobresueldo, compensaciones, horas extras, comisiones, apoyos escolares, vales, apoyos en general, excedentes y similares de </w:t>
      </w:r>
      <w:r>
        <w:rPr>
          <w:rFonts w:ascii="Palatino Linotype" w:hAnsi="Palatino Linotype" w:cs="Tahoma"/>
          <w:bCs/>
        </w:rPr>
        <w:t xml:space="preserve">cada </w:t>
      </w:r>
      <w:r w:rsidRPr="009C0D1E">
        <w:rPr>
          <w:rFonts w:ascii="Palatino Linotype" w:hAnsi="Palatino Linotype" w:cs="Tahoma"/>
          <w:bCs/>
        </w:rPr>
        <w:t>persona en la nómina, lista de raya, sindicalizados, personal de confianza, policía y similares.</w:t>
      </w:r>
      <w:r w:rsidR="00A9024A" w:rsidRPr="00985849">
        <w:rPr>
          <w:rFonts w:ascii="Palatino Linotype" w:hAnsi="Palatino Linotype" w:cs="Tahoma"/>
          <w:b/>
          <w:bCs/>
        </w:rPr>
        <w:t xml:space="preserve">. </w:t>
      </w:r>
      <w:r w:rsidR="00C55151" w:rsidRPr="00985849">
        <w:rPr>
          <w:rFonts w:ascii="Palatino Linotype" w:hAnsi="Palatino Linotype" w:cs="Tahoma"/>
          <w:bCs/>
        </w:rPr>
        <w:t>(</w:t>
      </w:r>
      <w:r w:rsidR="00C55151" w:rsidRPr="00985849">
        <w:rPr>
          <w:rFonts w:ascii="Palatino Linotype" w:hAnsi="Palatino Linotype" w:cs="Tahoma"/>
          <w:bCs/>
          <w:i/>
        </w:rPr>
        <w:t>Sic.</w:t>
      </w:r>
      <w:r w:rsidR="00C55151" w:rsidRPr="00985849">
        <w:rPr>
          <w:rFonts w:ascii="Palatino Linotype" w:hAnsi="Palatino Linotype" w:cs="Tahoma"/>
          <w:bCs/>
        </w:rPr>
        <w:t>)</w:t>
      </w:r>
    </w:p>
    <w:p w:rsidR="00026EBB" w:rsidRDefault="00026EBB" w:rsidP="00985849">
      <w:pPr>
        <w:tabs>
          <w:tab w:val="left" w:pos="4667"/>
        </w:tabs>
        <w:spacing w:line="360" w:lineRule="auto"/>
        <w:ind w:left="567" w:right="567"/>
        <w:jc w:val="both"/>
        <w:rPr>
          <w:rFonts w:ascii="Palatino Linotype" w:hAnsi="Palatino Linotype" w:cs="Tahoma"/>
          <w:bCs/>
          <w:sz w:val="22"/>
          <w:szCs w:val="22"/>
        </w:rPr>
      </w:pPr>
    </w:p>
    <w:p w:rsidR="0098795A" w:rsidRPr="00985849" w:rsidRDefault="0098795A" w:rsidP="00985849">
      <w:pPr>
        <w:tabs>
          <w:tab w:val="left" w:pos="4667"/>
        </w:tabs>
        <w:spacing w:line="360" w:lineRule="auto"/>
        <w:ind w:left="567" w:right="567"/>
        <w:jc w:val="both"/>
        <w:rPr>
          <w:rFonts w:ascii="Palatino Linotype" w:hAnsi="Palatino Linotype" w:cs="Tahoma"/>
          <w:bCs/>
          <w:sz w:val="22"/>
          <w:szCs w:val="22"/>
        </w:rPr>
      </w:pPr>
    </w:p>
    <w:p w:rsidR="007A2F67" w:rsidRPr="00985849" w:rsidRDefault="000C27CA" w:rsidP="00985849">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lastRenderedPageBreak/>
        <w:t>MODALIDAD DE ENTREGA</w:t>
      </w:r>
    </w:p>
    <w:p w:rsidR="00492DCA" w:rsidRPr="00985849" w:rsidRDefault="00026EBB" w:rsidP="00985849">
      <w:pPr>
        <w:tabs>
          <w:tab w:val="left" w:pos="4667"/>
        </w:tabs>
        <w:spacing w:line="360" w:lineRule="auto"/>
        <w:ind w:left="567" w:right="567"/>
        <w:jc w:val="both"/>
        <w:rPr>
          <w:rFonts w:ascii="Palatino Linotype" w:hAnsi="Palatino Linotype" w:cs="Tahoma"/>
          <w:bCs/>
        </w:rPr>
      </w:pPr>
      <w:r w:rsidRPr="00985849">
        <w:rPr>
          <w:rFonts w:ascii="Palatino Linotype" w:hAnsi="Palatino Linotype" w:cs="Tahoma"/>
          <w:bCs/>
        </w:rPr>
        <w:t>A través del SAIMEX</w:t>
      </w:r>
      <w:r w:rsidR="00EA68DA" w:rsidRPr="00985849">
        <w:rPr>
          <w:rFonts w:ascii="Palatino Linotype" w:hAnsi="Palatino Linotype" w:cs="Tahoma"/>
          <w:bCs/>
        </w:rPr>
        <w:t>.</w:t>
      </w:r>
    </w:p>
    <w:p w:rsidR="00492DCA" w:rsidRPr="00985849" w:rsidRDefault="00492DCA" w:rsidP="00985849">
      <w:pPr>
        <w:spacing w:line="360" w:lineRule="auto"/>
        <w:rPr>
          <w:rFonts w:ascii="Palatino Linotype" w:hAnsi="Palatino Linotype" w:cs="Tahoma"/>
          <w:bCs/>
          <w:sz w:val="22"/>
          <w:szCs w:val="22"/>
        </w:rPr>
      </w:pPr>
    </w:p>
    <w:p w:rsidR="00AA5A86" w:rsidRPr="00985849" w:rsidRDefault="006C1B1D"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I</w:t>
      </w:r>
      <w:r w:rsidR="0096693C">
        <w:rPr>
          <w:rFonts w:ascii="Palatino Linotype" w:hAnsi="Palatino Linotype" w:cs="Tahoma"/>
          <w:b/>
          <w:szCs w:val="22"/>
        </w:rPr>
        <w:t>I</w:t>
      </w:r>
      <w:r w:rsidR="00C55151" w:rsidRPr="00985849">
        <w:rPr>
          <w:rFonts w:ascii="Palatino Linotype" w:hAnsi="Palatino Linotype" w:cs="Tahoma"/>
          <w:b/>
          <w:szCs w:val="22"/>
        </w:rPr>
        <w:t xml:space="preserve">. </w:t>
      </w:r>
      <w:r w:rsidR="00AA5A86" w:rsidRPr="00985849">
        <w:rPr>
          <w:rFonts w:ascii="Palatino Linotype" w:hAnsi="Palatino Linotype" w:cs="Tahoma"/>
          <w:b/>
          <w:szCs w:val="22"/>
        </w:rPr>
        <w:t xml:space="preserve">Respuesta del </w:t>
      </w:r>
      <w:r w:rsidR="00956793">
        <w:rPr>
          <w:rFonts w:ascii="Palatino Linotype" w:hAnsi="Palatino Linotype" w:cs="Tahoma"/>
          <w:b/>
          <w:szCs w:val="22"/>
        </w:rPr>
        <w:t>Sujeto Obligado</w:t>
      </w:r>
      <w:r w:rsidR="00AA5A86" w:rsidRPr="00985849">
        <w:rPr>
          <w:rFonts w:ascii="Palatino Linotype" w:hAnsi="Palatino Linotype" w:cs="Tahoma"/>
          <w:b/>
          <w:szCs w:val="22"/>
        </w:rPr>
        <w:t>.</w:t>
      </w:r>
    </w:p>
    <w:p w:rsidR="00264223" w:rsidRPr="00985849" w:rsidRDefault="00264223" w:rsidP="00985849">
      <w:pPr>
        <w:pStyle w:val="Prrafodelista"/>
        <w:tabs>
          <w:tab w:val="left" w:pos="567"/>
        </w:tabs>
        <w:spacing w:line="360" w:lineRule="auto"/>
        <w:ind w:left="0"/>
        <w:contextualSpacing w:val="0"/>
        <w:jc w:val="both"/>
        <w:rPr>
          <w:rFonts w:ascii="Palatino Linotype" w:hAnsi="Palatino Linotype" w:cs="Tahoma"/>
          <w:b/>
          <w:szCs w:val="22"/>
        </w:rPr>
      </w:pPr>
    </w:p>
    <w:p w:rsidR="00A9024A" w:rsidRDefault="00EA68DA" w:rsidP="00985849">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hAnsi="Palatino Linotype" w:cs="Tahoma"/>
          <w:sz w:val="22"/>
          <w:szCs w:val="22"/>
        </w:rPr>
        <w:t>De</w:t>
      </w:r>
      <w:r w:rsidR="0098795A">
        <w:rPr>
          <w:rFonts w:ascii="Palatino Linotype" w:hAnsi="Palatino Linotype" w:cs="Tahoma"/>
          <w:sz w:val="22"/>
          <w:szCs w:val="22"/>
        </w:rPr>
        <w:t xml:space="preserve"> </w:t>
      </w:r>
      <w:r w:rsidR="00AA5A86" w:rsidRPr="00985849">
        <w:rPr>
          <w:rFonts w:ascii="Palatino Linotype" w:hAnsi="Palatino Linotype" w:cs="Tahoma"/>
          <w:sz w:val="22"/>
          <w:szCs w:val="22"/>
        </w:rPr>
        <w:t xml:space="preserve">las constancias que obran en el expediente electrónico del </w:t>
      </w:r>
      <w:r w:rsidR="00AA5A86" w:rsidRPr="00985849">
        <w:rPr>
          <w:rFonts w:ascii="Palatino Linotype" w:hAnsi="Palatino Linotype" w:cs="Tahoma"/>
          <w:sz w:val="22"/>
          <w:szCs w:val="22"/>
          <w:lang w:val="es-ES"/>
        </w:rPr>
        <w:t xml:space="preserve">Sistema de Acceso a la Información Mexiquense (SAIMEX), se advierte que </w:t>
      </w:r>
      <w:r w:rsidR="00AA5A86" w:rsidRPr="00985849">
        <w:rPr>
          <w:rFonts w:ascii="Palatino Linotype" w:hAnsi="Palatino Linotype" w:cs="Tahoma"/>
          <w:b/>
          <w:sz w:val="22"/>
          <w:szCs w:val="22"/>
          <w:lang w:val="es-ES"/>
        </w:rPr>
        <w:t xml:space="preserve">el Ayuntamiento de </w:t>
      </w:r>
      <w:r w:rsidR="009C0D1E">
        <w:rPr>
          <w:rFonts w:ascii="Palatino Linotype" w:hAnsi="Palatino Linotype" w:cs="Tahoma"/>
          <w:b/>
          <w:sz w:val="22"/>
          <w:szCs w:val="22"/>
          <w:lang w:val="es-ES"/>
        </w:rPr>
        <w:t>Timilpan</w:t>
      </w:r>
      <w:r w:rsidR="00A9024A" w:rsidRPr="00985849">
        <w:rPr>
          <w:rFonts w:ascii="Palatino Linotype" w:hAnsi="Palatino Linotype" w:cs="Tahoma"/>
          <w:b/>
          <w:sz w:val="22"/>
          <w:szCs w:val="22"/>
          <w:lang w:val="es-ES"/>
        </w:rPr>
        <w:t xml:space="preserve"> </w:t>
      </w:r>
      <w:r w:rsidR="00AA5A86" w:rsidRPr="00985849">
        <w:rPr>
          <w:rFonts w:ascii="Palatino Linotype" w:hAnsi="Palatino Linotype" w:cs="Tahoma"/>
          <w:b/>
          <w:sz w:val="22"/>
          <w:szCs w:val="22"/>
          <w:lang w:val="es-ES"/>
        </w:rPr>
        <w:t xml:space="preserve">no </w:t>
      </w:r>
      <w:r w:rsidRPr="00985849">
        <w:rPr>
          <w:rFonts w:ascii="Palatino Linotype" w:hAnsi="Palatino Linotype" w:cs="Tahoma"/>
          <w:b/>
          <w:sz w:val="22"/>
          <w:szCs w:val="22"/>
          <w:lang w:val="es-ES"/>
        </w:rPr>
        <w:t xml:space="preserve">otorgó respuesta a la solicitud de acceso a la información pública con número de folio </w:t>
      </w:r>
      <w:r w:rsidR="009C0D1E" w:rsidRPr="009C0D1E">
        <w:rPr>
          <w:rFonts w:ascii="Palatino Linotype" w:hAnsi="Palatino Linotype" w:cs="Tahoma"/>
          <w:b/>
          <w:sz w:val="22"/>
          <w:szCs w:val="22"/>
          <w:lang w:val="es-ES"/>
        </w:rPr>
        <w:t>00084/TIMILPAN/IP/2018</w:t>
      </w:r>
      <w:r w:rsidR="00A9024A" w:rsidRPr="00985849">
        <w:rPr>
          <w:rFonts w:ascii="Palatino Linotype" w:hAnsi="Palatino Linotype" w:cs="Tahoma"/>
          <w:b/>
          <w:sz w:val="22"/>
          <w:szCs w:val="22"/>
          <w:lang w:val="es-ES"/>
        </w:rPr>
        <w:t xml:space="preserve">, </w:t>
      </w:r>
      <w:r w:rsidR="0098795A">
        <w:rPr>
          <w:rFonts w:ascii="Palatino Linotype" w:hAnsi="Palatino Linotype" w:cs="Tahoma"/>
          <w:sz w:val="22"/>
          <w:szCs w:val="22"/>
          <w:lang w:val="es-ES"/>
        </w:rPr>
        <w:t>asimismo, se advierte</w:t>
      </w:r>
      <w:r w:rsidR="00A9024A" w:rsidRPr="00985849">
        <w:rPr>
          <w:rFonts w:ascii="Palatino Linotype" w:hAnsi="Palatino Linotype" w:cs="Tahoma"/>
          <w:sz w:val="22"/>
          <w:szCs w:val="22"/>
          <w:lang w:val="es-ES"/>
        </w:rPr>
        <w:t xml:space="preserve"> que turn</w:t>
      </w:r>
      <w:r w:rsidR="0098795A">
        <w:rPr>
          <w:rFonts w:ascii="Palatino Linotype" w:hAnsi="Palatino Linotype" w:cs="Tahoma"/>
          <w:sz w:val="22"/>
          <w:szCs w:val="22"/>
          <w:lang w:val="es-ES"/>
        </w:rPr>
        <w:t>ó</w:t>
      </w:r>
      <w:r w:rsidR="009C0D1E">
        <w:rPr>
          <w:rFonts w:ascii="Palatino Linotype" w:hAnsi="Palatino Linotype" w:cs="Tahoma"/>
          <w:sz w:val="22"/>
          <w:szCs w:val="22"/>
          <w:lang w:val="es-ES"/>
        </w:rPr>
        <w:t xml:space="preserve"> la solicitud al</w:t>
      </w:r>
      <w:r w:rsidR="00A9024A" w:rsidRPr="00985849">
        <w:rPr>
          <w:rFonts w:ascii="Palatino Linotype" w:hAnsi="Palatino Linotype" w:cs="Tahoma"/>
          <w:sz w:val="22"/>
          <w:szCs w:val="22"/>
          <w:lang w:val="es-ES"/>
        </w:rPr>
        <w:t xml:space="preserve"> </w:t>
      </w:r>
      <w:r w:rsidR="0098795A">
        <w:rPr>
          <w:rFonts w:ascii="Palatino Linotype" w:hAnsi="Palatino Linotype" w:cs="Tahoma"/>
          <w:sz w:val="22"/>
          <w:szCs w:val="22"/>
          <w:lang w:val="es-ES"/>
        </w:rPr>
        <w:t>S</w:t>
      </w:r>
      <w:r w:rsidR="009C0D1E">
        <w:rPr>
          <w:rFonts w:ascii="Palatino Linotype" w:hAnsi="Palatino Linotype" w:cs="Tahoma"/>
          <w:sz w:val="22"/>
          <w:szCs w:val="22"/>
          <w:lang w:val="es-ES"/>
        </w:rPr>
        <w:t>ervidor</w:t>
      </w:r>
      <w:r w:rsidR="00A9024A" w:rsidRPr="00985849">
        <w:rPr>
          <w:rFonts w:ascii="Palatino Linotype" w:hAnsi="Palatino Linotype" w:cs="Tahoma"/>
          <w:sz w:val="22"/>
          <w:szCs w:val="22"/>
          <w:lang w:val="es-ES"/>
        </w:rPr>
        <w:t xml:space="preserve"> </w:t>
      </w:r>
      <w:r w:rsidR="0098795A">
        <w:rPr>
          <w:rFonts w:ascii="Palatino Linotype" w:hAnsi="Palatino Linotype" w:cs="Tahoma"/>
          <w:sz w:val="22"/>
          <w:szCs w:val="22"/>
          <w:lang w:val="es-ES"/>
        </w:rPr>
        <w:t>P</w:t>
      </w:r>
      <w:r w:rsidR="009C0D1E">
        <w:rPr>
          <w:rFonts w:ascii="Palatino Linotype" w:hAnsi="Palatino Linotype" w:cs="Tahoma"/>
          <w:sz w:val="22"/>
          <w:szCs w:val="22"/>
          <w:lang w:val="es-ES"/>
        </w:rPr>
        <w:t>úblico</w:t>
      </w:r>
      <w:r w:rsidR="0098795A" w:rsidRPr="00985849">
        <w:rPr>
          <w:rFonts w:ascii="Palatino Linotype" w:hAnsi="Palatino Linotype" w:cs="Tahoma"/>
          <w:sz w:val="22"/>
          <w:szCs w:val="22"/>
          <w:lang w:val="es-ES"/>
        </w:rPr>
        <w:t xml:space="preserve"> </w:t>
      </w:r>
      <w:r w:rsidR="0098795A">
        <w:rPr>
          <w:rFonts w:ascii="Palatino Linotype" w:hAnsi="Palatino Linotype" w:cs="Tahoma"/>
          <w:sz w:val="22"/>
          <w:szCs w:val="22"/>
          <w:lang w:val="es-ES"/>
        </w:rPr>
        <w:t>H</w:t>
      </w:r>
      <w:r w:rsidR="009C0D1E">
        <w:rPr>
          <w:rFonts w:ascii="Palatino Linotype" w:hAnsi="Palatino Linotype" w:cs="Tahoma"/>
          <w:sz w:val="22"/>
          <w:szCs w:val="22"/>
          <w:lang w:val="es-ES"/>
        </w:rPr>
        <w:t>abilitado</w:t>
      </w:r>
      <w:r w:rsidR="0098795A">
        <w:rPr>
          <w:rFonts w:ascii="Palatino Linotype" w:hAnsi="Palatino Linotype" w:cs="Tahoma"/>
          <w:sz w:val="22"/>
          <w:szCs w:val="22"/>
          <w:lang w:val="es-ES"/>
        </w:rPr>
        <w:t xml:space="preserve">, </w:t>
      </w:r>
      <w:r w:rsidR="009C0D1E">
        <w:rPr>
          <w:rFonts w:ascii="Palatino Linotype" w:hAnsi="Palatino Linotype" w:cs="Tahoma"/>
          <w:sz w:val="22"/>
          <w:szCs w:val="22"/>
          <w:lang w:val="es-ES"/>
        </w:rPr>
        <w:t>el cual no emitió</w:t>
      </w:r>
      <w:r w:rsidR="00A9024A" w:rsidRPr="00985849">
        <w:rPr>
          <w:rFonts w:ascii="Palatino Linotype" w:hAnsi="Palatino Linotype" w:cs="Tahoma"/>
          <w:sz w:val="22"/>
          <w:szCs w:val="22"/>
          <w:lang w:val="es-ES"/>
        </w:rPr>
        <w:t xml:space="preserve"> respuesta alguna</w:t>
      </w:r>
      <w:r w:rsidR="009C0D1E">
        <w:rPr>
          <w:rFonts w:ascii="Palatino Linotype" w:hAnsi="Palatino Linotype" w:cs="Tahoma"/>
          <w:sz w:val="22"/>
          <w:szCs w:val="22"/>
          <w:lang w:val="es-ES"/>
        </w:rPr>
        <w:t>.</w:t>
      </w:r>
    </w:p>
    <w:p w:rsidR="009C0D1E" w:rsidRPr="009A0C8C" w:rsidRDefault="009C0D1E" w:rsidP="00985849">
      <w:pPr>
        <w:autoSpaceDE w:val="0"/>
        <w:autoSpaceDN w:val="0"/>
        <w:adjustRightInd w:val="0"/>
        <w:spacing w:line="360" w:lineRule="auto"/>
        <w:jc w:val="both"/>
        <w:rPr>
          <w:rFonts w:ascii="Palatino Linotype" w:hAnsi="Palatino Linotype" w:cs="Tahoma"/>
          <w:sz w:val="22"/>
          <w:szCs w:val="22"/>
          <w:lang w:val="es-ES"/>
        </w:rPr>
      </w:pPr>
    </w:p>
    <w:p w:rsidR="00587F23" w:rsidRPr="00985849" w:rsidRDefault="00D95C7A" w:rsidP="00985849">
      <w:pPr>
        <w:autoSpaceDE w:val="0"/>
        <w:autoSpaceDN w:val="0"/>
        <w:adjustRightInd w:val="0"/>
        <w:spacing w:line="360" w:lineRule="auto"/>
        <w:jc w:val="both"/>
        <w:rPr>
          <w:rFonts w:ascii="Palatino Linotype" w:hAnsi="Palatino Linotype" w:cs="Tahoma"/>
          <w:b/>
          <w:sz w:val="22"/>
          <w:szCs w:val="22"/>
        </w:rPr>
      </w:pPr>
      <w:r w:rsidRPr="00985849">
        <w:rPr>
          <w:rFonts w:ascii="Palatino Linotype" w:hAnsi="Palatino Linotype" w:cs="Tahoma"/>
          <w:b/>
          <w:sz w:val="22"/>
          <w:szCs w:val="22"/>
        </w:rPr>
        <w:t>I</w:t>
      </w:r>
      <w:r w:rsidR="0096693C">
        <w:rPr>
          <w:rFonts w:ascii="Palatino Linotype" w:hAnsi="Palatino Linotype" w:cs="Tahoma"/>
          <w:b/>
          <w:sz w:val="22"/>
          <w:szCs w:val="22"/>
        </w:rPr>
        <w:t>I</w:t>
      </w:r>
      <w:r w:rsidRPr="00985849">
        <w:rPr>
          <w:rFonts w:ascii="Palatino Linotype" w:hAnsi="Palatino Linotype" w:cs="Tahoma"/>
          <w:b/>
          <w:sz w:val="22"/>
          <w:szCs w:val="22"/>
        </w:rPr>
        <w:t>I</w:t>
      </w:r>
      <w:r w:rsidR="00AA5A86" w:rsidRPr="00985849">
        <w:rPr>
          <w:rFonts w:ascii="Palatino Linotype" w:hAnsi="Palatino Linotype" w:cs="Tahoma"/>
          <w:b/>
          <w:sz w:val="22"/>
          <w:szCs w:val="22"/>
        </w:rPr>
        <w:t xml:space="preserve">. </w:t>
      </w:r>
      <w:r w:rsidR="004100AA" w:rsidRPr="00985849">
        <w:rPr>
          <w:rFonts w:ascii="Palatino Linotype" w:hAnsi="Palatino Linotype" w:cs="Tahoma"/>
          <w:b/>
          <w:sz w:val="22"/>
          <w:szCs w:val="22"/>
        </w:rPr>
        <w:t>Interposición</w:t>
      </w:r>
      <w:r w:rsidR="00C459A9" w:rsidRPr="00985849">
        <w:rPr>
          <w:rFonts w:ascii="Palatino Linotype" w:hAnsi="Palatino Linotype" w:cs="Tahoma"/>
          <w:b/>
          <w:sz w:val="22"/>
          <w:szCs w:val="22"/>
        </w:rPr>
        <w:t xml:space="preserve"> del Recurso de R</w:t>
      </w:r>
      <w:r w:rsidR="00C25238" w:rsidRPr="00985849">
        <w:rPr>
          <w:rFonts w:ascii="Palatino Linotype" w:hAnsi="Palatino Linotype" w:cs="Tahoma"/>
          <w:b/>
          <w:sz w:val="22"/>
          <w:szCs w:val="22"/>
        </w:rPr>
        <w:t xml:space="preserve">evisión. </w:t>
      </w:r>
    </w:p>
    <w:p w:rsidR="00587F23" w:rsidRPr="00985849" w:rsidRDefault="00587F23" w:rsidP="00985849">
      <w:pPr>
        <w:autoSpaceDE w:val="0"/>
        <w:autoSpaceDN w:val="0"/>
        <w:adjustRightInd w:val="0"/>
        <w:spacing w:line="360" w:lineRule="auto"/>
        <w:jc w:val="both"/>
        <w:rPr>
          <w:rFonts w:ascii="Palatino Linotype" w:hAnsi="Palatino Linotype" w:cs="Tahoma"/>
          <w:b/>
          <w:sz w:val="22"/>
          <w:szCs w:val="22"/>
        </w:rPr>
      </w:pPr>
    </w:p>
    <w:p w:rsidR="00264223" w:rsidRPr="00985849" w:rsidRDefault="006C1B1D" w:rsidP="00985849">
      <w:pPr>
        <w:autoSpaceDE w:val="0"/>
        <w:autoSpaceDN w:val="0"/>
        <w:adjustRightInd w:val="0"/>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Con </w:t>
      </w:r>
      <w:r w:rsidR="00A9024A" w:rsidRPr="00985849">
        <w:rPr>
          <w:rFonts w:ascii="Palatino Linotype" w:hAnsi="Palatino Linotype" w:cs="Tahoma"/>
          <w:sz w:val="22"/>
          <w:szCs w:val="22"/>
        </w:rPr>
        <w:t xml:space="preserve">fecha </w:t>
      </w:r>
      <w:r w:rsidR="009C0D1E">
        <w:rPr>
          <w:rFonts w:ascii="Palatino Linotype" w:hAnsi="Palatino Linotype" w:cs="Tahoma"/>
          <w:sz w:val="22"/>
          <w:szCs w:val="22"/>
        </w:rPr>
        <w:t xml:space="preserve">doce </w:t>
      </w:r>
      <w:r w:rsidR="00A9024A" w:rsidRPr="00985849">
        <w:rPr>
          <w:rFonts w:ascii="Palatino Linotype" w:hAnsi="Palatino Linotype" w:cs="Tahoma"/>
          <w:sz w:val="22"/>
          <w:szCs w:val="22"/>
        </w:rPr>
        <w:t>de octubre</w:t>
      </w:r>
      <w:r w:rsidR="00C25238" w:rsidRPr="00985849">
        <w:rPr>
          <w:rFonts w:ascii="Palatino Linotype" w:hAnsi="Palatino Linotype" w:cs="Tahoma"/>
          <w:sz w:val="22"/>
          <w:szCs w:val="22"/>
        </w:rPr>
        <w:t xml:space="preserve"> de dos mil dieciocho, se recibió en este </w:t>
      </w:r>
      <w:r w:rsidR="00C25238" w:rsidRPr="00985849">
        <w:rPr>
          <w:rFonts w:ascii="Palatino Linotype" w:eastAsia="Calibri" w:hAnsi="Palatino Linotype" w:cs="Tahoma"/>
          <w:sz w:val="22"/>
          <w:szCs w:val="22"/>
          <w:lang w:eastAsia="en-US"/>
        </w:rPr>
        <w:t xml:space="preserve">Instituto, a través del </w:t>
      </w:r>
      <w:r w:rsidR="000313A7" w:rsidRPr="00985849">
        <w:rPr>
          <w:rFonts w:ascii="Palatino Linotype" w:hAnsi="Palatino Linotype" w:cs="Tahoma"/>
          <w:sz w:val="22"/>
          <w:szCs w:val="22"/>
          <w:lang w:val="es-ES"/>
        </w:rPr>
        <w:t>Sistema de Acceso a la Información Mexiquense (SAIMEX)</w:t>
      </w:r>
      <w:r w:rsidRPr="00985849">
        <w:rPr>
          <w:rFonts w:ascii="Palatino Linotype" w:hAnsi="Palatino Linotype" w:cs="Tahoma"/>
          <w:sz w:val="22"/>
          <w:szCs w:val="22"/>
        </w:rPr>
        <w:t>, el Recurso de R</w:t>
      </w:r>
      <w:r w:rsidR="00C25238" w:rsidRPr="00985849">
        <w:rPr>
          <w:rFonts w:ascii="Palatino Linotype" w:hAnsi="Palatino Linotype" w:cs="Tahoma"/>
          <w:sz w:val="22"/>
          <w:szCs w:val="22"/>
        </w:rPr>
        <w:t xml:space="preserve">evisión interpuesto por </w:t>
      </w:r>
      <w:r w:rsidR="00E573C6" w:rsidRPr="00985849">
        <w:rPr>
          <w:rFonts w:ascii="Palatino Linotype" w:hAnsi="Palatino Linotype" w:cs="Tahoma"/>
          <w:sz w:val="22"/>
          <w:szCs w:val="22"/>
        </w:rPr>
        <w:t>el particular</w:t>
      </w:r>
      <w:r w:rsidR="00C25238" w:rsidRPr="00985849">
        <w:rPr>
          <w:rFonts w:ascii="Palatino Linotype" w:hAnsi="Palatino Linotype" w:cs="Tahoma"/>
          <w:sz w:val="22"/>
          <w:szCs w:val="22"/>
        </w:rPr>
        <w:t xml:space="preserve">, en contra de la </w:t>
      </w:r>
      <w:r w:rsidR="00621760" w:rsidRPr="00985849">
        <w:rPr>
          <w:rFonts w:ascii="Palatino Linotype" w:hAnsi="Palatino Linotype" w:cs="Tahoma"/>
          <w:sz w:val="22"/>
          <w:szCs w:val="22"/>
        </w:rPr>
        <w:t xml:space="preserve">falta de </w:t>
      </w:r>
      <w:r w:rsidR="00C25238" w:rsidRPr="00985849">
        <w:rPr>
          <w:rFonts w:ascii="Palatino Linotype" w:hAnsi="Palatino Linotype" w:cs="Tahoma"/>
          <w:sz w:val="22"/>
          <w:szCs w:val="22"/>
        </w:rPr>
        <w:t xml:space="preserve">respuesta </w:t>
      </w:r>
      <w:r w:rsidR="00587F23" w:rsidRPr="00985849">
        <w:rPr>
          <w:rFonts w:ascii="Palatino Linotype" w:hAnsi="Palatino Linotype" w:cs="Tahoma"/>
          <w:sz w:val="22"/>
          <w:szCs w:val="22"/>
        </w:rPr>
        <w:t xml:space="preserve">del </w:t>
      </w:r>
      <w:r w:rsidR="00956793">
        <w:rPr>
          <w:rFonts w:ascii="Palatino Linotype" w:hAnsi="Palatino Linotype" w:cs="Tahoma"/>
          <w:sz w:val="22"/>
          <w:szCs w:val="22"/>
        </w:rPr>
        <w:t>Sujeto Obligado</w:t>
      </w:r>
      <w:r w:rsidR="00C25238" w:rsidRPr="00985849">
        <w:rPr>
          <w:rFonts w:ascii="Palatino Linotype" w:hAnsi="Palatino Linotype" w:cs="Tahoma"/>
          <w:sz w:val="22"/>
          <w:szCs w:val="22"/>
        </w:rPr>
        <w:t>, en los siguientes</w:t>
      </w:r>
      <w:r w:rsidR="00587F23" w:rsidRPr="00985849">
        <w:rPr>
          <w:rFonts w:ascii="Palatino Linotype" w:hAnsi="Palatino Linotype" w:cs="Tahoma"/>
          <w:sz w:val="22"/>
          <w:szCs w:val="22"/>
        </w:rPr>
        <w:t xml:space="preserve"> términos</w:t>
      </w:r>
      <w:r w:rsidR="00C25238" w:rsidRPr="00985849">
        <w:rPr>
          <w:rFonts w:ascii="Palatino Linotype" w:hAnsi="Palatino Linotype" w:cs="Tahoma"/>
          <w:sz w:val="22"/>
          <w:szCs w:val="22"/>
        </w:rPr>
        <w:t>:</w:t>
      </w:r>
    </w:p>
    <w:p w:rsidR="00264223" w:rsidRPr="00985849" w:rsidRDefault="00264223" w:rsidP="00985849">
      <w:pPr>
        <w:autoSpaceDE w:val="0"/>
        <w:autoSpaceDN w:val="0"/>
        <w:adjustRightInd w:val="0"/>
        <w:spacing w:line="360" w:lineRule="auto"/>
        <w:jc w:val="both"/>
        <w:rPr>
          <w:rFonts w:ascii="Palatino Linotype" w:hAnsi="Palatino Linotype" w:cs="Tahoma"/>
          <w:sz w:val="22"/>
          <w:szCs w:val="22"/>
        </w:rPr>
      </w:pPr>
    </w:p>
    <w:p w:rsidR="00C25238" w:rsidRPr="00985849" w:rsidRDefault="00B727C5" w:rsidP="00985849">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w:t>
      </w:r>
      <w:r w:rsidR="00C25238" w:rsidRPr="00985849">
        <w:rPr>
          <w:rFonts w:ascii="Palatino Linotype" w:hAnsi="Palatino Linotype" w:cs="Tahoma"/>
          <w:b/>
          <w:bCs/>
          <w:sz w:val="22"/>
          <w:szCs w:val="22"/>
        </w:rPr>
        <w:t>ACTO IMPUGNADO</w:t>
      </w:r>
    </w:p>
    <w:p w:rsidR="00CD3A5D" w:rsidRPr="00985849" w:rsidRDefault="009C0D1E" w:rsidP="00985849">
      <w:pPr>
        <w:autoSpaceDE w:val="0"/>
        <w:autoSpaceDN w:val="0"/>
        <w:adjustRightInd w:val="0"/>
        <w:spacing w:line="360" w:lineRule="auto"/>
        <w:ind w:left="567" w:right="567"/>
        <w:jc w:val="both"/>
        <w:rPr>
          <w:rFonts w:ascii="Palatino Linotype" w:hAnsi="Palatino Linotype" w:cs="Tahoma"/>
        </w:rPr>
      </w:pPr>
      <w:r w:rsidRPr="009C0D1E">
        <w:rPr>
          <w:rFonts w:ascii="Palatino Linotype" w:hAnsi="Palatino Linotype" w:cs="Tahoma"/>
        </w:rPr>
        <w:t xml:space="preserve">la nula respuesta del sujeto </w:t>
      </w:r>
      <w:proofErr w:type="gramStart"/>
      <w:r w:rsidRPr="009C0D1E">
        <w:rPr>
          <w:rFonts w:ascii="Palatino Linotype" w:hAnsi="Palatino Linotype" w:cs="Tahoma"/>
        </w:rPr>
        <w:t>obligado.</w:t>
      </w:r>
      <w:r w:rsidR="00026EBB" w:rsidRPr="00985849">
        <w:rPr>
          <w:rFonts w:ascii="Palatino Linotype" w:hAnsi="Palatino Linotype" w:cs="Tahoma"/>
        </w:rPr>
        <w:t>.</w:t>
      </w:r>
      <w:proofErr w:type="gramEnd"/>
      <w:r w:rsidR="00B727C5" w:rsidRPr="00985849">
        <w:rPr>
          <w:rFonts w:ascii="Palatino Linotype" w:hAnsi="Palatino Linotype" w:cs="Tahoma"/>
        </w:rPr>
        <w:t>”</w:t>
      </w:r>
    </w:p>
    <w:p w:rsidR="000313A7" w:rsidRPr="00985849" w:rsidRDefault="000313A7" w:rsidP="00985849">
      <w:pPr>
        <w:autoSpaceDE w:val="0"/>
        <w:autoSpaceDN w:val="0"/>
        <w:adjustRightInd w:val="0"/>
        <w:spacing w:line="360" w:lineRule="auto"/>
        <w:ind w:left="567" w:right="567"/>
        <w:jc w:val="both"/>
        <w:rPr>
          <w:rFonts w:ascii="Palatino Linotype" w:hAnsi="Palatino Linotype" w:cs="Tahoma"/>
          <w:sz w:val="22"/>
          <w:szCs w:val="22"/>
        </w:rPr>
      </w:pPr>
    </w:p>
    <w:p w:rsidR="00C25238" w:rsidRPr="00985849" w:rsidRDefault="00B727C5" w:rsidP="00985849">
      <w:pPr>
        <w:autoSpaceDE w:val="0"/>
        <w:autoSpaceDN w:val="0"/>
        <w:adjustRightInd w:val="0"/>
        <w:spacing w:line="360" w:lineRule="auto"/>
        <w:ind w:left="567" w:right="567"/>
        <w:jc w:val="both"/>
        <w:rPr>
          <w:rFonts w:ascii="Palatino Linotype" w:hAnsi="Palatino Linotype" w:cs="Tahoma"/>
          <w:b/>
          <w:sz w:val="22"/>
          <w:szCs w:val="22"/>
        </w:rPr>
      </w:pPr>
      <w:r w:rsidRPr="00985849">
        <w:rPr>
          <w:rFonts w:ascii="Palatino Linotype" w:hAnsi="Palatino Linotype" w:cs="Tahoma"/>
          <w:b/>
          <w:sz w:val="22"/>
          <w:szCs w:val="22"/>
        </w:rPr>
        <w:t>“</w:t>
      </w:r>
      <w:r w:rsidR="00C25238" w:rsidRPr="00985849">
        <w:rPr>
          <w:rFonts w:ascii="Palatino Linotype" w:hAnsi="Palatino Linotype" w:cs="Tahoma"/>
          <w:b/>
          <w:sz w:val="22"/>
          <w:szCs w:val="22"/>
        </w:rPr>
        <w:t>RAZONES O MOTIVOS DE LA INCONFORMIDAD</w:t>
      </w:r>
    </w:p>
    <w:p w:rsidR="00B73823" w:rsidRDefault="009C0D1E" w:rsidP="009C0D1E">
      <w:pPr>
        <w:autoSpaceDE w:val="0"/>
        <w:autoSpaceDN w:val="0"/>
        <w:adjustRightInd w:val="0"/>
        <w:spacing w:line="360" w:lineRule="auto"/>
        <w:ind w:left="567" w:right="567"/>
        <w:jc w:val="both"/>
        <w:rPr>
          <w:rFonts w:ascii="Palatino Linotype" w:hAnsi="Palatino Linotype" w:cs="Tahoma"/>
        </w:rPr>
      </w:pPr>
      <w:r w:rsidRPr="009C0D1E">
        <w:rPr>
          <w:rFonts w:ascii="Palatino Linotype" w:hAnsi="Palatino Linotype" w:cs="Tahoma"/>
        </w:rPr>
        <w:t xml:space="preserve">no transparentan la información </w:t>
      </w:r>
      <w:proofErr w:type="gramStart"/>
      <w:r w:rsidRPr="009C0D1E">
        <w:rPr>
          <w:rFonts w:ascii="Palatino Linotype" w:hAnsi="Palatino Linotype" w:cs="Tahoma"/>
        </w:rPr>
        <w:t>solicitada.</w:t>
      </w:r>
      <w:r w:rsidR="00026EBB" w:rsidRPr="00985849">
        <w:rPr>
          <w:rFonts w:ascii="Palatino Linotype" w:hAnsi="Palatino Linotype" w:cs="Tahoma"/>
        </w:rPr>
        <w:t>.</w:t>
      </w:r>
      <w:proofErr w:type="gramEnd"/>
      <w:r w:rsidR="00B727C5" w:rsidRPr="00985849">
        <w:rPr>
          <w:rFonts w:ascii="Palatino Linotype" w:hAnsi="Palatino Linotype" w:cs="Tahoma"/>
        </w:rPr>
        <w:t>”</w:t>
      </w:r>
      <w:r w:rsidR="006C1B1D" w:rsidRPr="00985849">
        <w:rPr>
          <w:rFonts w:ascii="Palatino Linotype" w:hAnsi="Palatino Linotype" w:cs="Tahoma"/>
        </w:rPr>
        <w:t xml:space="preserve"> (</w:t>
      </w:r>
      <w:r w:rsidR="006C1B1D" w:rsidRPr="00985849">
        <w:rPr>
          <w:rFonts w:ascii="Palatino Linotype" w:hAnsi="Palatino Linotype" w:cs="Tahoma"/>
          <w:i/>
        </w:rPr>
        <w:t>Sic.</w:t>
      </w:r>
      <w:r w:rsidR="006C1B1D" w:rsidRPr="00985849">
        <w:rPr>
          <w:rFonts w:ascii="Palatino Linotype" w:hAnsi="Palatino Linotype" w:cs="Tahoma"/>
        </w:rPr>
        <w:t>)</w:t>
      </w:r>
    </w:p>
    <w:p w:rsidR="009C0D1E" w:rsidRPr="009C0D1E" w:rsidRDefault="009C0D1E" w:rsidP="009C0D1E">
      <w:pPr>
        <w:autoSpaceDE w:val="0"/>
        <w:autoSpaceDN w:val="0"/>
        <w:adjustRightInd w:val="0"/>
        <w:spacing w:line="360" w:lineRule="auto"/>
        <w:ind w:left="567" w:right="567"/>
        <w:jc w:val="both"/>
        <w:rPr>
          <w:rFonts w:ascii="Palatino Linotype" w:hAnsi="Palatino Linotype" w:cs="Tahoma"/>
        </w:rPr>
      </w:pPr>
    </w:p>
    <w:p w:rsidR="00B31222" w:rsidRPr="00985849" w:rsidRDefault="0096693C" w:rsidP="00985849">
      <w:pPr>
        <w:spacing w:line="360" w:lineRule="auto"/>
        <w:jc w:val="both"/>
        <w:rPr>
          <w:rFonts w:ascii="Palatino Linotype" w:eastAsia="Batang" w:hAnsi="Palatino Linotype" w:cs="Tahoma"/>
          <w:b/>
          <w:bCs/>
          <w:sz w:val="22"/>
          <w:szCs w:val="22"/>
        </w:rPr>
      </w:pPr>
      <w:r w:rsidRPr="00985849">
        <w:rPr>
          <w:rFonts w:ascii="Palatino Linotype" w:hAnsi="Palatino Linotype" w:cs="Tahoma"/>
          <w:b/>
          <w:sz w:val="22"/>
          <w:szCs w:val="22"/>
        </w:rPr>
        <w:t>I</w:t>
      </w:r>
      <w:r>
        <w:rPr>
          <w:rFonts w:ascii="Palatino Linotype" w:hAnsi="Palatino Linotype" w:cs="Tahoma"/>
          <w:b/>
          <w:sz w:val="22"/>
          <w:szCs w:val="22"/>
        </w:rPr>
        <w:t>V</w:t>
      </w:r>
      <w:r w:rsidR="00B31222" w:rsidRPr="00985849">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 xml:space="preserve">Trámite del </w:t>
      </w:r>
      <w:r w:rsidR="00C459A9" w:rsidRPr="00985849">
        <w:rPr>
          <w:rFonts w:ascii="Palatino Linotype" w:hAnsi="Palatino Linotype" w:cs="Tahoma"/>
          <w:b/>
          <w:sz w:val="22"/>
          <w:szCs w:val="22"/>
        </w:rPr>
        <w:t>Recurso de Revisión</w:t>
      </w:r>
      <w:r w:rsidR="00B73823">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ante el Instituto</w:t>
      </w:r>
      <w:r w:rsidR="00E445DA" w:rsidRPr="00985849">
        <w:rPr>
          <w:rFonts w:ascii="Palatino Linotype" w:eastAsia="Batang" w:hAnsi="Palatino Linotype" w:cs="Tahoma"/>
          <w:b/>
          <w:bCs/>
          <w:sz w:val="22"/>
          <w:szCs w:val="22"/>
        </w:rPr>
        <w:t>.</w:t>
      </w:r>
    </w:p>
    <w:p w:rsidR="00E445DA" w:rsidRPr="00985849" w:rsidRDefault="00E445DA" w:rsidP="00985849">
      <w:pPr>
        <w:spacing w:line="360" w:lineRule="auto"/>
        <w:jc w:val="both"/>
        <w:rPr>
          <w:rFonts w:ascii="Palatino Linotype" w:eastAsia="Batang" w:hAnsi="Palatino Linotype" w:cs="Tahoma"/>
          <w:b/>
          <w:bCs/>
          <w:sz w:val="22"/>
          <w:szCs w:val="22"/>
        </w:rPr>
      </w:pPr>
    </w:p>
    <w:p w:rsidR="00B31222" w:rsidRPr="00985849" w:rsidRDefault="00A90F9B" w:rsidP="00985849">
      <w:pPr>
        <w:spacing w:line="360" w:lineRule="auto"/>
        <w:jc w:val="both"/>
        <w:rPr>
          <w:rFonts w:ascii="Palatino Linotype" w:eastAsia="Batang" w:hAnsi="Palatino Linotype" w:cs="Tahoma"/>
          <w:bCs/>
          <w:sz w:val="22"/>
          <w:szCs w:val="22"/>
        </w:rPr>
      </w:pPr>
      <w:r w:rsidRPr="00985849">
        <w:rPr>
          <w:rFonts w:ascii="Palatino Linotype" w:eastAsia="Batang" w:hAnsi="Palatino Linotype" w:cs="Tahoma"/>
          <w:b/>
          <w:bCs/>
          <w:sz w:val="22"/>
          <w:szCs w:val="22"/>
        </w:rPr>
        <w:lastRenderedPageBreak/>
        <w:t xml:space="preserve">a) </w:t>
      </w:r>
      <w:r w:rsidR="00B31222" w:rsidRPr="00985849">
        <w:rPr>
          <w:rFonts w:ascii="Palatino Linotype" w:eastAsia="Batang" w:hAnsi="Palatino Linotype" w:cs="Tahoma"/>
          <w:b/>
          <w:bCs/>
          <w:sz w:val="22"/>
          <w:szCs w:val="22"/>
        </w:rPr>
        <w:t xml:space="preserve">Turno del </w:t>
      </w:r>
      <w:r w:rsidR="00C459A9" w:rsidRPr="00985849">
        <w:rPr>
          <w:rFonts w:ascii="Palatino Linotype" w:hAnsi="Palatino Linotype" w:cs="Tahoma"/>
          <w:b/>
          <w:sz w:val="22"/>
          <w:szCs w:val="22"/>
        </w:rPr>
        <w:t>Recurso de Revisión</w:t>
      </w:r>
      <w:r w:rsidRPr="00985849">
        <w:rPr>
          <w:rFonts w:ascii="Palatino Linotype" w:eastAsia="Batang" w:hAnsi="Palatino Linotype" w:cs="Tahoma"/>
          <w:b/>
          <w:bCs/>
          <w:sz w:val="22"/>
          <w:szCs w:val="22"/>
        </w:rPr>
        <w:t>.</w:t>
      </w:r>
      <w:r w:rsidR="00A9024A" w:rsidRPr="00985849">
        <w:rPr>
          <w:rFonts w:ascii="Palatino Linotype" w:eastAsia="Batang" w:hAnsi="Palatino Linotype" w:cs="Tahoma"/>
          <w:b/>
          <w:bCs/>
          <w:sz w:val="22"/>
          <w:szCs w:val="22"/>
        </w:rPr>
        <w:t xml:space="preserve"> </w:t>
      </w:r>
      <w:r w:rsidR="00E573C6" w:rsidRPr="00985849">
        <w:rPr>
          <w:rFonts w:ascii="Palatino Linotype" w:eastAsia="Batang" w:hAnsi="Palatino Linotype" w:cs="Tahoma"/>
          <w:bCs/>
          <w:sz w:val="22"/>
          <w:szCs w:val="22"/>
        </w:rPr>
        <w:t>Con fecha</w:t>
      </w:r>
      <w:r w:rsidR="009C0D1E">
        <w:rPr>
          <w:rFonts w:ascii="Palatino Linotype" w:eastAsia="Batang" w:hAnsi="Palatino Linotype" w:cs="Tahoma"/>
          <w:bCs/>
          <w:sz w:val="22"/>
          <w:szCs w:val="22"/>
        </w:rPr>
        <w:t xml:space="preserve"> doce</w:t>
      </w:r>
      <w:r w:rsidR="00A9024A" w:rsidRPr="00985849">
        <w:rPr>
          <w:rFonts w:ascii="Palatino Linotype" w:eastAsia="Batang" w:hAnsi="Palatino Linotype" w:cs="Tahoma"/>
          <w:bCs/>
          <w:sz w:val="22"/>
          <w:szCs w:val="22"/>
        </w:rPr>
        <w:t xml:space="preserve"> </w:t>
      </w:r>
      <w:r w:rsidR="00625DFB" w:rsidRPr="00985849">
        <w:rPr>
          <w:rFonts w:ascii="Palatino Linotype" w:eastAsia="Batang" w:hAnsi="Palatino Linotype" w:cs="Tahoma"/>
          <w:bCs/>
          <w:sz w:val="22"/>
          <w:szCs w:val="22"/>
        </w:rPr>
        <w:t xml:space="preserve">de </w:t>
      </w:r>
      <w:r w:rsidR="00A9024A" w:rsidRPr="00985849">
        <w:rPr>
          <w:rFonts w:ascii="Palatino Linotype" w:eastAsia="Batang" w:hAnsi="Palatino Linotype" w:cs="Tahoma"/>
          <w:bCs/>
          <w:sz w:val="22"/>
          <w:szCs w:val="22"/>
        </w:rPr>
        <w:t xml:space="preserve">octubre </w:t>
      </w:r>
      <w:r w:rsidR="00B31222" w:rsidRPr="00985849">
        <w:rPr>
          <w:rFonts w:ascii="Palatino Linotype" w:eastAsia="Batang" w:hAnsi="Palatino Linotype" w:cs="Tahoma"/>
          <w:bCs/>
          <w:sz w:val="22"/>
          <w:szCs w:val="22"/>
        </w:rPr>
        <w:t>de dos mil dieciocho, e</w:t>
      </w:r>
      <w:r w:rsidR="001F78D9" w:rsidRPr="00985849">
        <w:rPr>
          <w:rFonts w:ascii="Palatino Linotype" w:eastAsia="Batang" w:hAnsi="Palatino Linotype" w:cs="Tahoma"/>
          <w:bCs/>
          <w:sz w:val="22"/>
          <w:szCs w:val="22"/>
        </w:rPr>
        <w:t>l</w:t>
      </w:r>
      <w:r w:rsidR="00A9024A" w:rsidRPr="00985849">
        <w:rPr>
          <w:rFonts w:ascii="Palatino Linotype" w:eastAsia="Batang" w:hAnsi="Palatino Linotype" w:cs="Tahoma"/>
          <w:bCs/>
          <w:sz w:val="22"/>
          <w:szCs w:val="22"/>
        </w:rPr>
        <w:t xml:space="preserve"> </w:t>
      </w:r>
      <w:r w:rsidR="001F78D9" w:rsidRPr="00985849">
        <w:rPr>
          <w:rFonts w:ascii="Palatino Linotype" w:hAnsi="Palatino Linotype" w:cs="Tahoma"/>
          <w:sz w:val="22"/>
          <w:szCs w:val="22"/>
          <w:lang w:val="es-ES"/>
        </w:rPr>
        <w:t>Sistema de Acceso a la Información Mexiquense (SAIMEX),</w:t>
      </w:r>
      <w:r w:rsidR="00B31222" w:rsidRPr="00985849">
        <w:rPr>
          <w:rFonts w:ascii="Palatino Linotype" w:eastAsia="Batang" w:hAnsi="Palatino Linotype" w:cs="Tahoma"/>
          <w:bCs/>
          <w:sz w:val="22"/>
          <w:szCs w:val="22"/>
        </w:rPr>
        <w:t xml:space="preserve"> asignó el número de expediente </w:t>
      </w:r>
      <w:r w:rsidR="009C0D1E">
        <w:rPr>
          <w:rFonts w:ascii="Palatino Linotype" w:eastAsia="Batang" w:hAnsi="Palatino Linotype" w:cs="Tahoma"/>
          <w:b/>
          <w:bCs/>
          <w:sz w:val="22"/>
          <w:szCs w:val="22"/>
        </w:rPr>
        <w:t>0389</w:t>
      </w:r>
      <w:r w:rsidR="00A9024A" w:rsidRPr="00985849">
        <w:rPr>
          <w:rFonts w:ascii="Palatino Linotype" w:eastAsia="Batang" w:hAnsi="Palatino Linotype" w:cs="Tahoma"/>
          <w:b/>
          <w:bCs/>
          <w:sz w:val="22"/>
          <w:szCs w:val="22"/>
        </w:rPr>
        <w:t>1</w:t>
      </w:r>
      <w:r w:rsidR="000313A7" w:rsidRPr="00985849">
        <w:rPr>
          <w:rFonts w:ascii="Palatino Linotype" w:eastAsia="Batang" w:hAnsi="Palatino Linotype" w:cs="Tahoma"/>
          <w:b/>
          <w:bCs/>
          <w:sz w:val="22"/>
          <w:szCs w:val="22"/>
        </w:rPr>
        <w:t>/INFOEM/IP/RR/2018</w:t>
      </w:r>
      <w:r w:rsidR="001F78D9" w:rsidRPr="00985849">
        <w:rPr>
          <w:rFonts w:ascii="Palatino Linotype" w:eastAsia="Batang" w:hAnsi="Palatino Linotype" w:cs="Tahoma"/>
          <w:b/>
          <w:bCs/>
          <w:sz w:val="22"/>
          <w:szCs w:val="22"/>
        </w:rPr>
        <w:t>,</w:t>
      </w:r>
      <w:r w:rsidR="00E70503"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Cs/>
          <w:sz w:val="22"/>
          <w:szCs w:val="22"/>
        </w:rPr>
        <w:t xml:space="preserve">al </w:t>
      </w:r>
      <w:r w:rsidR="00C459A9" w:rsidRPr="00985849">
        <w:rPr>
          <w:rFonts w:ascii="Palatino Linotype" w:eastAsia="Batang" w:hAnsi="Palatino Linotype" w:cs="Tahoma"/>
          <w:bCs/>
          <w:sz w:val="22"/>
          <w:szCs w:val="22"/>
        </w:rPr>
        <w:t xml:space="preserve">medio de impugnación </w:t>
      </w:r>
      <w:r w:rsidR="00A854FF" w:rsidRPr="00985849">
        <w:rPr>
          <w:rFonts w:ascii="Palatino Linotype" w:eastAsia="Batang" w:hAnsi="Palatino Linotype" w:cs="Tahoma"/>
          <w:bCs/>
          <w:sz w:val="22"/>
          <w:szCs w:val="22"/>
        </w:rPr>
        <w:t>que nos ocupa</w:t>
      </w:r>
      <w:r w:rsidR="00B31222" w:rsidRPr="00985849">
        <w:rPr>
          <w:rFonts w:ascii="Palatino Linotype" w:eastAsia="Batang" w:hAnsi="Palatino Linotype" w:cs="Tahoma"/>
          <w:bCs/>
          <w:sz w:val="22"/>
          <w:szCs w:val="22"/>
        </w:rPr>
        <w:t xml:space="preserve">, con base en el sistema aprobado por el Pleno de este </w:t>
      </w:r>
      <w:r w:rsidR="00A854FF" w:rsidRPr="00985849">
        <w:rPr>
          <w:rFonts w:ascii="Palatino Linotype" w:eastAsia="Batang" w:hAnsi="Palatino Linotype" w:cs="Tahoma"/>
          <w:bCs/>
          <w:sz w:val="22"/>
          <w:szCs w:val="22"/>
        </w:rPr>
        <w:t>Órgano Garante y</w:t>
      </w:r>
      <w:r w:rsidR="00B31222" w:rsidRPr="00985849">
        <w:rPr>
          <w:rFonts w:ascii="Palatino Linotype" w:eastAsia="Batang" w:hAnsi="Palatino Linotype" w:cs="Tahoma"/>
          <w:bCs/>
          <w:sz w:val="22"/>
          <w:szCs w:val="22"/>
        </w:rPr>
        <w:t xml:space="preserve"> lo turnó a</w:t>
      </w:r>
      <w:r w:rsidR="00625DFB" w:rsidRPr="00985849">
        <w:rPr>
          <w:rFonts w:ascii="Palatino Linotype" w:eastAsia="Batang" w:hAnsi="Palatino Linotype" w:cs="Tahoma"/>
          <w:bCs/>
          <w:sz w:val="22"/>
          <w:szCs w:val="22"/>
        </w:rPr>
        <w:t>l Comisionado Ponente</w:t>
      </w:r>
      <w:r w:rsidR="00A9024A" w:rsidRPr="00985849">
        <w:rPr>
          <w:rFonts w:ascii="Palatino Linotype" w:eastAsia="Batang" w:hAnsi="Palatino Linotype" w:cs="Tahoma"/>
          <w:bCs/>
          <w:sz w:val="22"/>
          <w:szCs w:val="22"/>
        </w:rPr>
        <w:t xml:space="preserve"> </w:t>
      </w:r>
      <w:r w:rsidR="00A854FF" w:rsidRPr="00985849">
        <w:rPr>
          <w:rFonts w:ascii="Palatino Linotype" w:eastAsia="Batang" w:hAnsi="Palatino Linotype" w:cs="Tahoma"/>
          <w:b/>
          <w:bCs/>
          <w:sz w:val="22"/>
          <w:szCs w:val="22"/>
        </w:rPr>
        <w:t>Luis Gustavo Parra Noriega</w:t>
      </w:r>
      <w:r w:rsidR="00B31222" w:rsidRPr="00985849">
        <w:rPr>
          <w:rFonts w:ascii="Palatino Linotype" w:eastAsia="Batang" w:hAnsi="Palatino Linotype" w:cs="Tahoma"/>
          <w:bCs/>
          <w:sz w:val="22"/>
          <w:szCs w:val="22"/>
        </w:rPr>
        <w:t xml:space="preserve">, para los efectos del artículo </w:t>
      </w:r>
      <w:r w:rsidR="00625DFB" w:rsidRPr="00985849">
        <w:rPr>
          <w:rFonts w:ascii="Palatino Linotype" w:eastAsia="Batang" w:hAnsi="Palatino Linotype" w:cs="Tahoma"/>
          <w:bCs/>
          <w:sz w:val="22"/>
          <w:szCs w:val="22"/>
        </w:rPr>
        <w:t>185</w:t>
      </w:r>
      <w:r w:rsidR="00B31222" w:rsidRPr="00985849">
        <w:rPr>
          <w:rFonts w:ascii="Palatino Linotype" w:eastAsia="Batang" w:hAnsi="Palatino Linotype" w:cs="Tahoma"/>
          <w:bCs/>
          <w:sz w:val="22"/>
          <w:szCs w:val="22"/>
        </w:rPr>
        <w:t>, fracción I</w:t>
      </w:r>
      <w:r w:rsidR="00B73823">
        <w:rPr>
          <w:rFonts w:ascii="Palatino Linotype" w:eastAsia="Batang" w:hAnsi="Palatino Linotype" w:cs="Tahoma"/>
          <w:bCs/>
          <w:sz w:val="22"/>
          <w:szCs w:val="22"/>
        </w:rPr>
        <w:t>,</w:t>
      </w:r>
      <w:r w:rsidR="00B31222" w:rsidRPr="00985849">
        <w:rPr>
          <w:rFonts w:ascii="Palatino Linotype" w:eastAsia="Batang" w:hAnsi="Palatino Linotype" w:cs="Tahoma"/>
          <w:bCs/>
          <w:sz w:val="22"/>
          <w:szCs w:val="22"/>
        </w:rPr>
        <w:t xml:space="preserve"> de la </w:t>
      </w:r>
      <w:r w:rsidR="00625DFB" w:rsidRPr="00985849">
        <w:rPr>
          <w:rFonts w:ascii="Palatino Linotype" w:eastAsia="Batang" w:hAnsi="Palatino Linotype" w:cs="Tahoma"/>
          <w:bCs/>
          <w:sz w:val="22"/>
          <w:szCs w:val="22"/>
        </w:rPr>
        <w:t>Ley de Transparencia y Acceso a la Información Pública del Estado de México y Municipios</w:t>
      </w:r>
      <w:r w:rsidR="00B31222" w:rsidRPr="00985849">
        <w:rPr>
          <w:rFonts w:ascii="Palatino Linotype" w:eastAsia="Batang" w:hAnsi="Palatino Linotype" w:cs="Tahoma"/>
          <w:bCs/>
          <w:sz w:val="22"/>
          <w:szCs w:val="22"/>
        </w:rPr>
        <w:t>.</w:t>
      </w:r>
    </w:p>
    <w:p w:rsidR="00B31222" w:rsidRPr="00985849" w:rsidRDefault="00B31222" w:rsidP="00985849">
      <w:pPr>
        <w:spacing w:line="360" w:lineRule="auto"/>
        <w:jc w:val="both"/>
        <w:rPr>
          <w:rFonts w:ascii="Palatino Linotype" w:eastAsia="Batang" w:hAnsi="Palatino Linotype" w:cs="Tahoma"/>
          <w:b/>
          <w:bCs/>
          <w:sz w:val="22"/>
          <w:szCs w:val="22"/>
        </w:rPr>
      </w:pPr>
    </w:p>
    <w:p w:rsidR="002F199F" w:rsidRPr="00985849" w:rsidRDefault="00625DFB" w:rsidP="00985849">
      <w:pPr>
        <w:spacing w:line="360" w:lineRule="auto"/>
        <w:jc w:val="both"/>
        <w:rPr>
          <w:rFonts w:ascii="Palatino Linotype" w:hAnsi="Palatino Linotype" w:cs="Tahoma"/>
          <w:bCs/>
          <w:sz w:val="22"/>
          <w:szCs w:val="22"/>
        </w:rPr>
      </w:pPr>
      <w:r w:rsidRPr="00985849">
        <w:rPr>
          <w:rFonts w:ascii="Palatino Linotype" w:eastAsia="Batang" w:hAnsi="Palatino Linotype" w:cs="Tahoma"/>
          <w:b/>
          <w:bCs/>
          <w:sz w:val="22"/>
          <w:szCs w:val="22"/>
        </w:rPr>
        <w:t>b</w:t>
      </w:r>
      <w:r w:rsidR="009F46DC"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
          <w:bCs/>
          <w:sz w:val="22"/>
          <w:szCs w:val="22"/>
        </w:rPr>
        <w:t xml:space="preserve">Admisión del </w:t>
      </w:r>
      <w:r w:rsidR="00C459A9" w:rsidRPr="00985849">
        <w:rPr>
          <w:rFonts w:ascii="Palatino Linotype" w:hAnsi="Palatino Linotype" w:cs="Tahoma"/>
          <w:b/>
          <w:sz w:val="22"/>
          <w:szCs w:val="22"/>
        </w:rPr>
        <w:t>Recurso de Revisión</w:t>
      </w:r>
      <w:r w:rsidR="00B31222" w:rsidRPr="00985849">
        <w:rPr>
          <w:rFonts w:ascii="Palatino Linotype" w:eastAsia="Batang" w:hAnsi="Palatino Linotype" w:cs="Tahoma"/>
          <w:b/>
          <w:bCs/>
          <w:sz w:val="22"/>
          <w:szCs w:val="22"/>
          <w:lang w:val="es-ES_tradnl"/>
        </w:rPr>
        <w:t xml:space="preserve">. </w:t>
      </w:r>
      <w:r w:rsidR="00E573C6" w:rsidRPr="00985849">
        <w:rPr>
          <w:rFonts w:ascii="Palatino Linotype" w:eastAsia="Batang" w:hAnsi="Palatino Linotype" w:cs="Tahoma"/>
          <w:bCs/>
          <w:sz w:val="22"/>
          <w:szCs w:val="22"/>
          <w:lang w:val="es-ES_tradnl"/>
        </w:rPr>
        <w:t>Con fecha</w:t>
      </w:r>
      <w:r w:rsidR="009C0D1E">
        <w:rPr>
          <w:rFonts w:ascii="Palatino Linotype" w:eastAsia="Batang" w:hAnsi="Palatino Linotype" w:cs="Tahoma"/>
          <w:bCs/>
          <w:sz w:val="22"/>
          <w:szCs w:val="22"/>
          <w:lang w:val="es-ES_tradnl"/>
        </w:rPr>
        <w:t xml:space="preserve"> dieciocho</w:t>
      </w:r>
      <w:r w:rsidR="00A9024A" w:rsidRPr="00985849">
        <w:rPr>
          <w:rFonts w:ascii="Palatino Linotype" w:eastAsia="Batang" w:hAnsi="Palatino Linotype" w:cs="Tahoma"/>
          <w:bCs/>
          <w:sz w:val="22"/>
          <w:szCs w:val="22"/>
          <w:lang w:val="es-ES_tradnl"/>
        </w:rPr>
        <w:t xml:space="preserve"> de octubre </w:t>
      </w:r>
      <w:r w:rsidR="00B31222" w:rsidRPr="00985849">
        <w:rPr>
          <w:rFonts w:ascii="Palatino Linotype" w:eastAsia="Batang" w:hAnsi="Palatino Linotype" w:cs="Tahoma"/>
          <w:bCs/>
          <w:sz w:val="22"/>
          <w:szCs w:val="22"/>
          <w:lang w:val="es-ES_tradnl"/>
        </w:rPr>
        <w:t xml:space="preserve">de dos mil dieciocho, </w:t>
      </w:r>
      <w:r w:rsidR="009F46DC" w:rsidRPr="00985849">
        <w:rPr>
          <w:rFonts w:ascii="Palatino Linotype" w:hAnsi="Palatino Linotype" w:cs="Tahoma"/>
          <w:sz w:val="22"/>
          <w:szCs w:val="22"/>
        </w:rPr>
        <w:t>se</w:t>
      </w:r>
      <w:r w:rsidR="00A9024A" w:rsidRPr="00985849">
        <w:rPr>
          <w:rFonts w:ascii="Palatino Linotype" w:hAnsi="Palatino Linotype" w:cs="Tahoma"/>
          <w:sz w:val="22"/>
          <w:szCs w:val="22"/>
        </w:rPr>
        <w:t xml:space="preserve"> </w:t>
      </w:r>
      <w:r w:rsidR="009F46DC" w:rsidRPr="00985849">
        <w:rPr>
          <w:rFonts w:ascii="Palatino Linotype" w:eastAsia="Calibri" w:hAnsi="Palatino Linotype" w:cs="Tahoma"/>
          <w:b/>
          <w:sz w:val="22"/>
          <w:szCs w:val="22"/>
          <w:lang w:eastAsia="en-US"/>
        </w:rPr>
        <w:t>acordó la admisión</w:t>
      </w:r>
      <w:r w:rsidR="009F46DC" w:rsidRPr="00985849">
        <w:rPr>
          <w:rFonts w:ascii="Palatino Linotype" w:eastAsia="Calibri" w:hAnsi="Palatino Linotype" w:cs="Tahoma"/>
          <w:sz w:val="22"/>
          <w:szCs w:val="22"/>
          <w:lang w:eastAsia="en-US"/>
        </w:rPr>
        <w:t xml:space="preserve"> de</w:t>
      </w:r>
      <w:r w:rsidR="00C459A9" w:rsidRPr="00985849">
        <w:rPr>
          <w:rFonts w:ascii="Palatino Linotype" w:hAnsi="Palatino Linotype" w:cs="Tahoma"/>
          <w:sz w:val="22"/>
          <w:szCs w:val="22"/>
        </w:rPr>
        <w:t>l Recurso de R</w:t>
      </w:r>
      <w:r w:rsidR="009F46DC" w:rsidRPr="00985849">
        <w:rPr>
          <w:rFonts w:ascii="Palatino Linotype" w:hAnsi="Palatino Linotype" w:cs="Tahoma"/>
          <w:sz w:val="22"/>
          <w:szCs w:val="22"/>
        </w:rPr>
        <w:t xml:space="preserve">evisión interpuesto por </w:t>
      </w:r>
      <w:r w:rsidR="00E573C6" w:rsidRPr="00985849">
        <w:rPr>
          <w:rFonts w:ascii="Palatino Linotype" w:hAnsi="Palatino Linotype" w:cs="Tahoma"/>
          <w:sz w:val="22"/>
          <w:szCs w:val="22"/>
        </w:rPr>
        <w:t>el</w:t>
      </w:r>
      <w:r w:rsidR="00E70503" w:rsidRPr="00985849">
        <w:rPr>
          <w:rFonts w:ascii="Palatino Linotype" w:hAnsi="Palatino Linotype" w:cs="Tahoma"/>
          <w:sz w:val="22"/>
          <w:szCs w:val="22"/>
        </w:rPr>
        <w:t xml:space="preserve"> </w:t>
      </w:r>
      <w:r w:rsidR="001F78D9" w:rsidRPr="00985849">
        <w:rPr>
          <w:rFonts w:ascii="Palatino Linotype" w:hAnsi="Palatino Linotype" w:cs="Tahoma"/>
          <w:sz w:val="22"/>
          <w:szCs w:val="22"/>
        </w:rPr>
        <w:t>R</w:t>
      </w:r>
      <w:r w:rsidR="009F46DC" w:rsidRPr="00985849">
        <w:rPr>
          <w:rFonts w:ascii="Palatino Linotype" w:hAnsi="Palatino Linotype" w:cs="Tahoma"/>
          <w:sz w:val="22"/>
          <w:szCs w:val="22"/>
        </w:rPr>
        <w:t xml:space="preserve">ecurrente en contra </w:t>
      </w:r>
      <w:r w:rsidRPr="00985849">
        <w:rPr>
          <w:rFonts w:ascii="Palatino Linotype" w:hAnsi="Palatino Linotype" w:cs="Tahoma"/>
          <w:sz w:val="22"/>
          <w:szCs w:val="22"/>
        </w:rPr>
        <w:t xml:space="preserve">del </w:t>
      </w:r>
      <w:r w:rsidRPr="00985849">
        <w:rPr>
          <w:rFonts w:ascii="Palatino Linotype" w:hAnsi="Palatino Linotype" w:cs="Tahoma"/>
          <w:b/>
          <w:sz w:val="22"/>
          <w:szCs w:val="22"/>
        </w:rPr>
        <w:t xml:space="preserve">Ayuntamiento de </w:t>
      </w:r>
      <w:r w:rsidR="009C0D1E">
        <w:rPr>
          <w:rFonts w:ascii="Palatino Linotype" w:hAnsi="Palatino Linotype" w:cs="Tahoma"/>
          <w:b/>
          <w:sz w:val="22"/>
          <w:szCs w:val="22"/>
        </w:rPr>
        <w:t>Timilpan</w:t>
      </w:r>
      <w:r w:rsidR="009F46DC" w:rsidRPr="00985849">
        <w:rPr>
          <w:rFonts w:ascii="Palatino Linotype" w:hAnsi="Palatino Linotype" w:cs="Tahoma"/>
          <w:sz w:val="22"/>
          <w:szCs w:val="22"/>
        </w:rPr>
        <w:t xml:space="preserve">, </w:t>
      </w:r>
      <w:r w:rsidR="00E573C6" w:rsidRPr="00985849">
        <w:rPr>
          <w:rFonts w:ascii="Palatino Linotype" w:hAnsi="Palatino Linotype" w:cs="Tahoma"/>
          <w:bCs/>
          <w:sz w:val="22"/>
          <w:szCs w:val="22"/>
          <w:lang w:val="es-ES"/>
        </w:rPr>
        <w:t xml:space="preserve">la </w:t>
      </w:r>
      <w:r w:rsidR="00E573C6" w:rsidRPr="00985849">
        <w:rPr>
          <w:rFonts w:ascii="Palatino Linotype" w:hAnsi="Palatino Linotype" w:cs="Tahoma"/>
          <w:b/>
          <w:bCs/>
          <w:sz w:val="22"/>
          <w:szCs w:val="22"/>
          <w:lang w:val="es-ES"/>
        </w:rPr>
        <w:t xml:space="preserve">integración del expediente </w:t>
      </w:r>
      <w:r w:rsidR="00E573C6" w:rsidRPr="00985849">
        <w:rPr>
          <w:rFonts w:ascii="Palatino Linotype" w:hAnsi="Palatino Linotype" w:cs="Tahoma"/>
          <w:bCs/>
          <w:sz w:val="22"/>
          <w:szCs w:val="22"/>
          <w:lang w:val="es-ES"/>
        </w:rPr>
        <w:t xml:space="preserve">y </w:t>
      </w:r>
      <w:r w:rsidR="00E573C6" w:rsidRPr="00985849">
        <w:rPr>
          <w:rFonts w:ascii="Palatino Linotype" w:hAnsi="Palatino Linotype" w:cs="Tahoma"/>
          <w:b/>
          <w:bCs/>
          <w:sz w:val="22"/>
          <w:szCs w:val="22"/>
          <w:lang w:val="es-ES"/>
        </w:rPr>
        <w:t xml:space="preserve">su puesta a disposición </w:t>
      </w:r>
      <w:r w:rsidR="002C7038">
        <w:rPr>
          <w:rFonts w:ascii="Palatino Linotype" w:hAnsi="Palatino Linotype" w:cs="Tahoma"/>
          <w:bCs/>
          <w:sz w:val="22"/>
          <w:szCs w:val="22"/>
          <w:lang w:val="es-ES"/>
        </w:rPr>
        <w:t>a</w:t>
      </w:r>
      <w:r w:rsidR="002C7038" w:rsidRPr="00985849">
        <w:rPr>
          <w:rFonts w:ascii="Palatino Linotype" w:hAnsi="Palatino Linotype" w:cs="Tahoma"/>
          <w:bCs/>
          <w:sz w:val="22"/>
          <w:szCs w:val="22"/>
          <w:lang w:val="es-ES"/>
        </w:rPr>
        <w:t xml:space="preserve"> </w:t>
      </w:r>
      <w:r w:rsidR="00E573C6" w:rsidRPr="00985849">
        <w:rPr>
          <w:rFonts w:ascii="Palatino Linotype" w:hAnsi="Palatino Linotype" w:cs="Tahoma"/>
          <w:bCs/>
          <w:sz w:val="22"/>
          <w:szCs w:val="22"/>
          <w:lang w:val="es-ES"/>
        </w:rPr>
        <w:t>las partes, en términos del artículo 185, fracciones I y II</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 acto que fue notificado el mismo día, a través del Sistema de Acceso a la Información Mexiquense</w:t>
      </w:r>
      <w:r w:rsidR="00B73823">
        <w:rPr>
          <w:rFonts w:ascii="Palatino Linotype" w:hAnsi="Palatino Linotype" w:cs="Tahoma"/>
          <w:bCs/>
          <w:sz w:val="22"/>
          <w:szCs w:val="22"/>
        </w:rPr>
        <w:t xml:space="preserve"> (SAIMEX)</w:t>
      </w:r>
      <w:r w:rsidR="00E573C6" w:rsidRPr="00985849">
        <w:rPr>
          <w:rFonts w:ascii="Palatino Linotype" w:hAnsi="Palatino Linotype" w:cs="Tahoma"/>
          <w:bCs/>
          <w:sz w:val="22"/>
          <w:szCs w:val="22"/>
        </w:rPr>
        <w:t>, otorgándoles un plazo de siete días hábiles posteriores a dicha</w:t>
      </w:r>
      <w:r w:rsidR="002C7038">
        <w:rPr>
          <w:rFonts w:ascii="Palatino Linotype" w:hAnsi="Palatino Linotype" w:cs="Tahoma"/>
          <w:bCs/>
          <w:sz w:val="22"/>
          <w:szCs w:val="22"/>
        </w:rPr>
        <w:t>s</w:t>
      </w:r>
      <w:r w:rsidR="00E573C6" w:rsidRPr="00985849">
        <w:rPr>
          <w:rFonts w:ascii="Palatino Linotype" w:hAnsi="Palatino Linotype" w:cs="Tahoma"/>
          <w:bCs/>
          <w:sz w:val="22"/>
          <w:szCs w:val="22"/>
        </w:rPr>
        <w:t xml:space="preserve"> notificaciones para que manifestaran lo que a su derecho conviniera y formularan alegatos, </w:t>
      </w:r>
      <w:r w:rsidR="00E573C6" w:rsidRPr="00985849">
        <w:rPr>
          <w:rFonts w:ascii="Palatino Linotype" w:hAnsi="Palatino Linotype" w:cs="Tahoma"/>
          <w:bCs/>
          <w:sz w:val="22"/>
          <w:szCs w:val="22"/>
          <w:lang w:val="es-ES"/>
        </w:rPr>
        <w:t>en términos del artículo 185, fracción IV</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w:t>
      </w:r>
      <w:r w:rsidR="00681656" w:rsidRPr="00985849">
        <w:rPr>
          <w:rFonts w:ascii="Palatino Linotype" w:hAnsi="Palatino Linotype" w:cs="Tahoma"/>
          <w:bCs/>
          <w:sz w:val="22"/>
          <w:szCs w:val="22"/>
        </w:rPr>
        <w:t>.</w:t>
      </w:r>
      <w:r w:rsidR="002F199F" w:rsidRPr="00985849">
        <w:rPr>
          <w:rFonts w:ascii="Palatino Linotype" w:hAnsi="Palatino Linotype" w:cs="Tahoma"/>
          <w:bCs/>
          <w:sz w:val="22"/>
          <w:szCs w:val="22"/>
        </w:rPr>
        <w:t xml:space="preserve"> </w:t>
      </w:r>
      <w:r w:rsidR="00514036" w:rsidRPr="00985849">
        <w:rPr>
          <w:rFonts w:ascii="Palatino Linotype" w:hAnsi="Palatino Linotype" w:cs="Tahoma"/>
          <w:bCs/>
          <w:sz w:val="22"/>
          <w:szCs w:val="22"/>
        </w:rPr>
        <w:t xml:space="preserve"> </w:t>
      </w:r>
      <w:r w:rsidR="002F199F" w:rsidRPr="00985849">
        <w:rPr>
          <w:rFonts w:ascii="Palatino Linotype" w:hAnsi="Palatino Linotype" w:cs="Tahoma"/>
          <w:bCs/>
          <w:sz w:val="22"/>
          <w:szCs w:val="22"/>
        </w:rPr>
        <w:t xml:space="preserve">Así mismo, transcurrido el plazo establecido, no se presentaron manifestaciones por parte del Recurrente </w:t>
      </w:r>
      <w:r w:rsidR="002C7038">
        <w:rPr>
          <w:rFonts w:ascii="Palatino Linotype" w:hAnsi="Palatino Linotype" w:cs="Tahoma"/>
          <w:bCs/>
          <w:sz w:val="22"/>
          <w:szCs w:val="22"/>
        </w:rPr>
        <w:t>ni</w:t>
      </w:r>
      <w:r w:rsidR="002F199F" w:rsidRPr="00985849">
        <w:rPr>
          <w:rFonts w:ascii="Palatino Linotype" w:hAnsi="Palatino Linotype" w:cs="Tahoma"/>
          <w:bCs/>
          <w:sz w:val="22"/>
          <w:szCs w:val="22"/>
        </w:rPr>
        <w:t xml:space="preserve"> del </w:t>
      </w:r>
      <w:r w:rsidR="00956793">
        <w:rPr>
          <w:rFonts w:ascii="Palatino Linotype" w:hAnsi="Palatino Linotype" w:cs="Tahoma"/>
          <w:bCs/>
          <w:sz w:val="22"/>
          <w:szCs w:val="22"/>
        </w:rPr>
        <w:t>Sujeto Obligado</w:t>
      </w:r>
      <w:r w:rsidR="002F199F" w:rsidRPr="00985849">
        <w:rPr>
          <w:rFonts w:ascii="Palatino Linotype" w:hAnsi="Palatino Linotype" w:cs="Tahoma"/>
          <w:bCs/>
          <w:sz w:val="22"/>
          <w:szCs w:val="22"/>
        </w:rPr>
        <w:t xml:space="preserve">, por lo que se decretó el cierre de instrucción. </w:t>
      </w:r>
    </w:p>
    <w:p w:rsidR="005F1701" w:rsidRPr="00985849" w:rsidRDefault="005F1701" w:rsidP="00985849">
      <w:pPr>
        <w:spacing w:line="360" w:lineRule="auto"/>
        <w:jc w:val="both"/>
        <w:rPr>
          <w:rFonts w:ascii="Palatino Linotype" w:hAnsi="Palatino Linotype" w:cs="Tahoma"/>
          <w:bCs/>
          <w:sz w:val="22"/>
          <w:szCs w:val="22"/>
        </w:rPr>
      </w:pPr>
    </w:p>
    <w:p w:rsidR="00B31222" w:rsidRPr="00985849" w:rsidRDefault="004406CF" w:rsidP="00985849">
      <w:pPr>
        <w:spacing w:line="360" w:lineRule="auto"/>
        <w:jc w:val="both"/>
        <w:rPr>
          <w:rFonts w:ascii="Palatino Linotype" w:hAnsi="Palatino Linotype" w:cs="Tahoma"/>
          <w:sz w:val="22"/>
          <w:szCs w:val="22"/>
        </w:rPr>
      </w:pPr>
      <w:r w:rsidRPr="00985849">
        <w:rPr>
          <w:rFonts w:ascii="Palatino Linotype" w:hAnsi="Palatino Linotype" w:cs="Tahoma"/>
          <w:b/>
          <w:sz w:val="22"/>
          <w:szCs w:val="22"/>
        </w:rPr>
        <w:t>c</w:t>
      </w:r>
      <w:r w:rsidR="00B31222" w:rsidRPr="00985849">
        <w:rPr>
          <w:rFonts w:ascii="Palatino Linotype" w:hAnsi="Palatino Linotype" w:cs="Tahoma"/>
          <w:b/>
          <w:sz w:val="22"/>
          <w:szCs w:val="22"/>
        </w:rPr>
        <w:t>) Cierre de instrucción</w:t>
      </w:r>
      <w:r w:rsidR="008E5077" w:rsidRPr="00985849">
        <w:rPr>
          <w:rFonts w:ascii="Palatino Linotype" w:hAnsi="Palatino Linotype" w:cs="Tahoma"/>
          <w:b/>
          <w:sz w:val="22"/>
          <w:szCs w:val="22"/>
        </w:rPr>
        <w:t>.</w:t>
      </w:r>
      <w:r w:rsidR="00514036" w:rsidRPr="00985849">
        <w:rPr>
          <w:rFonts w:ascii="Palatino Linotype" w:hAnsi="Palatino Linotype" w:cs="Tahoma"/>
          <w:b/>
          <w:sz w:val="22"/>
          <w:szCs w:val="22"/>
        </w:rPr>
        <w:t xml:space="preserve"> </w:t>
      </w:r>
      <w:r w:rsidR="00E573C6" w:rsidRPr="00985849">
        <w:rPr>
          <w:rFonts w:ascii="Palatino Linotype" w:hAnsi="Palatino Linotype" w:cs="Tahoma"/>
          <w:sz w:val="22"/>
          <w:szCs w:val="22"/>
        </w:rPr>
        <w:t xml:space="preserve">Con </w:t>
      </w:r>
      <w:r w:rsidR="00E573C6" w:rsidRPr="00DE6AEC">
        <w:rPr>
          <w:rFonts w:ascii="Palatino Linotype" w:hAnsi="Palatino Linotype" w:cs="Tahoma"/>
          <w:sz w:val="22"/>
          <w:szCs w:val="22"/>
        </w:rPr>
        <w:t>fecha</w:t>
      </w:r>
      <w:r w:rsidR="009C0D1E" w:rsidRPr="00DE6AEC">
        <w:rPr>
          <w:rFonts w:ascii="Palatino Linotype" w:hAnsi="Palatino Linotype" w:cs="Tahoma"/>
          <w:sz w:val="22"/>
          <w:szCs w:val="22"/>
        </w:rPr>
        <w:t xml:space="preserve"> </w:t>
      </w:r>
      <w:r w:rsidR="00E9556C" w:rsidRPr="00DE6AEC">
        <w:rPr>
          <w:rFonts w:ascii="Palatino Linotype" w:hAnsi="Palatino Linotype" w:cs="Tahoma"/>
          <w:sz w:val="22"/>
          <w:szCs w:val="22"/>
        </w:rPr>
        <w:t xml:space="preserve">veintinueve </w:t>
      </w:r>
      <w:r w:rsidR="00514036" w:rsidRPr="00DE6AEC">
        <w:rPr>
          <w:rFonts w:ascii="Palatino Linotype" w:hAnsi="Palatino Linotype" w:cs="Tahoma"/>
          <w:sz w:val="22"/>
          <w:szCs w:val="22"/>
        </w:rPr>
        <w:t xml:space="preserve">de noviembre </w:t>
      </w:r>
      <w:r w:rsidR="00B31222" w:rsidRPr="00DE6AEC">
        <w:rPr>
          <w:rFonts w:ascii="Palatino Linotype" w:hAnsi="Palatino Linotype" w:cs="Tahoma"/>
          <w:sz w:val="22"/>
          <w:szCs w:val="22"/>
        </w:rPr>
        <w:t>de dos mil dieciocho</w:t>
      </w:r>
      <w:r w:rsidR="00B31222" w:rsidRPr="00E9556C">
        <w:rPr>
          <w:rFonts w:ascii="Palatino Linotype" w:hAnsi="Palatino Linotype" w:cs="Tahoma"/>
          <w:sz w:val="22"/>
          <w:szCs w:val="22"/>
        </w:rPr>
        <w:t>,</w:t>
      </w:r>
      <w:r w:rsidR="00B31222" w:rsidRPr="00985849">
        <w:rPr>
          <w:rFonts w:ascii="Palatino Linotype" w:hAnsi="Palatino Linotype" w:cs="Tahoma"/>
          <w:sz w:val="22"/>
          <w:szCs w:val="22"/>
        </w:rPr>
        <w:t xml:space="preserve"> al no existir diligencias pendientes por desahogar, se emitió el acuerdo por medio del cual se declaró cerrada la instrucción</w:t>
      </w:r>
      <w:r w:rsidR="008839DA" w:rsidRPr="00985849">
        <w:rPr>
          <w:rFonts w:ascii="Palatino Linotype" w:hAnsi="Palatino Linotype" w:cs="Tahoma"/>
          <w:sz w:val="22"/>
          <w:szCs w:val="22"/>
        </w:rPr>
        <w:t xml:space="preserve"> y se determinó</w:t>
      </w:r>
      <w:r w:rsidR="00B73823">
        <w:rPr>
          <w:rFonts w:ascii="Palatino Linotype" w:hAnsi="Palatino Linotype" w:cs="Tahoma"/>
          <w:sz w:val="22"/>
          <w:szCs w:val="22"/>
        </w:rPr>
        <w:t xml:space="preserve"> </w:t>
      </w:r>
      <w:r w:rsidR="008839DA" w:rsidRPr="00985849">
        <w:rPr>
          <w:rFonts w:ascii="Palatino Linotype" w:hAnsi="Palatino Linotype" w:cs="Tahoma"/>
          <w:sz w:val="22"/>
          <w:szCs w:val="22"/>
        </w:rPr>
        <w:t xml:space="preserve">pasar </w:t>
      </w:r>
      <w:r w:rsidR="00B31222" w:rsidRPr="00985849">
        <w:rPr>
          <w:rFonts w:ascii="Palatino Linotype" w:hAnsi="Palatino Linotype" w:cs="Tahoma"/>
          <w:sz w:val="22"/>
          <w:szCs w:val="22"/>
        </w:rPr>
        <w:t>el expediente a resolución, en términos de lo dispuesto en los artículos 1</w:t>
      </w:r>
      <w:r w:rsidR="0048519E" w:rsidRPr="00985849">
        <w:rPr>
          <w:rFonts w:ascii="Palatino Linotype" w:hAnsi="Palatino Linotype" w:cs="Tahoma"/>
          <w:sz w:val="22"/>
          <w:szCs w:val="22"/>
        </w:rPr>
        <w:t>85</w:t>
      </w:r>
      <w:r w:rsidR="00B31222" w:rsidRPr="00985849">
        <w:rPr>
          <w:rFonts w:ascii="Palatino Linotype" w:hAnsi="Palatino Linotype" w:cs="Tahoma"/>
          <w:sz w:val="22"/>
          <w:szCs w:val="22"/>
        </w:rPr>
        <w:t>, fracciones VI y VIII</w:t>
      </w:r>
      <w:r w:rsidR="00973FDF" w:rsidRPr="00985849">
        <w:rPr>
          <w:rFonts w:ascii="Palatino Linotype" w:hAnsi="Palatino Linotype" w:cs="Tahoma"/>
          <w:sz w:val="22"/>
          <w:szCs w:val="22"/>
        </w:rPr>
        <w:t>,</w:t>
      </w:r>
      <w:r w:rsidR="00B31222" w:rsidRPr="00985849">
        <w:rPr>
          <w:rFonts w:ascii="Palatino Linotype" w:hAnsi="Palatino Linotype" w:cs="Tahoma"/>
          <w:sz w:val="22"/>
          <w:szCs w:val="22"/>
        </w:rPr>
        <w:t xml:space="preserve"> de la Ley </w:t>
      </w:r>
      <w:r w:rsidR="0048519E" w:rsidRPr="00985849">
        <w:rPr>
          <w:rFonts w:ascii="Palatino Linotype" w:hAnsi="Palatino Linotype" w:cs="Tahoma"/>
          <w:sz w:val="22"/>
          <w:szCs w:val="22"/>
        </w:rPr>
        <w:t>de Transparencia y Acceso a la Información Pública del Estado de México y Municipios</w:t>
      </w:r>
      <w:r w:rsidR="00B31222" w:rsidRPr="00985849">
        <w:rPr>
          <w:rFonts w:ascii="Palatino Linotype" w:hAnsi="Palatino Linotype" w:cs="Tahoma"/>
          <w:sz w:val="22"/>
          <w:szCs w:val="22"/>
        </w:rPr>
        <w:t xml:space="preserve">, mismo que fue notificado a las partes </w:t>
      </w:r>
      <w:r w:rsidR="0048519E" w:rsidRPr="00985849">
        <w:rPr>
          <w:rFonts w:ascii="Palatino Linotype" w:hAnsi="Palatino Linotype" w:cs="Tahoma"/>
          <w:sz w:val="22"/>
          <w:szCs w:val="22"/>
        </w:rPr>
        <w:t xml:space="preserve">el mismo día, a través del </w:t>
      </w:r>
      <w:r w:rsidR="000313A7" w:rsidRPr="00985849">
        <w:rPr>
          <w:rFonts w:ascii="Palatino Linotype" w:hAnsi="Palatino Linotype" w:cs="Tahoma"/>
          <w:sz w:val="22"/>
          <w:szCs w:val="22"/>
          <w:lang w:val="es-ES"/>
        </w:rPr>
        <w:t>Sistema de Acceso a la Información Mexiquense (SAIMEX)</w:t>
      </w:r>
      <w:r w:rsidR="006A026A" w:rsidRPr="00985849">
        <w:rPr>
          <w:rFonts w:ascii="Palatino Linotype" w:hAnsi="Palatino Linotype" w:cs="Tahoma"/>
          <w:sz w:val="22"/>
          <w:szCs w:val="22"/>
        </w:rPr>
        <w:t>.</w:t>
      </w:r>
    </w:p>
    <w:p w:rsidR="00B31222" w:rsidRDefault="00B31222" w:rsidP="00985849">
      <w:pPr>
        <w:spacing w:line="360" w:lineRule="auto"/>
        <w:jc w:val="both"/>
        <w:rPr>
          <w:rFonts w:ascii="Palatino Linotype" w:hAnsi="Palatino Linotype" w:cs="Tahoma"/>
          <w:b/>
          <w:sz w:val="22"/>
          <w:szCs w:val="22"/>
        </w:rPr>
      </w:pPr>
    </w:p>
    <w:p w:rsidR="00FC695D" w:rsidRDefault="00FC695D" w:rsidP="00FC695D">
      <w:pPr>
        <w:spacing w:line="360" w:lineRule="auto"/>
        <w:jc w:val="both"/>
        <w:rPr>
          <w:rFonts w:ascii="Palatino Linotype" w:eastAsia="Calibri" w:hAnsi="Palatino Linotype" w:cs="Tahoma"/>
          <w:bCs/>
          <w:sz w:val="22"/>
          <w:szCs w:val="22"/>
          <w:lang w:val="es-ES" w:eastAsia="en-US"/>
        </w:rPr>
      </w:pPr>
      <w:r>
        <w:rPr>
          <w:rFonts w:ascii="Palatino Linotype" w:hAnsi="Palatino Linotype" w:cs="Tahoma"/>
          <w:b/>
          <w:sz w:val="22"/>
          <w:szCs w:val="22"/>
        </w:rPr>
        <w:lastRenderedPageBreak/>
        <w:t>e</w:t>
      </w:r>
      <w:r w:rsidRPr="00985849">
        <w:rPr>
          <w:rFonts w:ascii="Palatino Linotype" w:hAnsi="Palatino Linotype" w:cs="Tahoma"/>
          <w:b/>
          <w:sz w:val="22"/>
          <w:szCs w:val="22"/>
        </w:rPr>
        <w:t xml:space="preserve">) </w:t>
      </w:r>
      <w:r w:rsidRPr="00B754F3">
        <w:rPr>
          <w:rFonts w:ascii="Palatino Linotype" w:eastAsia="Calibri" w:hAnsi="Palatino Linotype" w:cs="Tahoma"/>
          <w:b/>
          <w:bCs/>
          <w:sz w:val="22"/>
          <w:szCs w:val="22"/>
          <w:lang w:val="es-ES" w:eastAsia="en-US"/>
        </w:rPr>
        <w:t xml:space="preserve">Ampliación del plazo para resolver: </w:t>
      </w:r>
      <w:r w:rsidRPr="00B754F3">
        <w:rPr>
          <w:rFonts w:ascii="Palatino Linotype" w:eastAsia="Calibri" w:hAnsi="Palatino Linotype" w:cs="Tahoma"/>
          <w:bCs/>
          <w:sz w:val="22"/>
          <w:szCs w:val="22"/>
          <w:lang w:val="es-ES" w:eastAsia="en-US"/>
        </w:rPr>
        <w:t xml:space="preserve">Con fecha </w:t>
      </w:r>
      <w:r>
        <w:rPr>
          <w:rFonts w:ascii="Palatino Linotype" w:eastAsia="Calibri" w:hAnsi="Palatino Linotype" w:cs="Tahoma"/>
          <w:bCs/>
          <w:sz w:val="22"/>
          <w:szCs w:val="22"/>
          <w:lang w:val="es-ES" w:eastAsia="en-US"/>
        </w:rPr>
        <w:t>veintinueve</w:t>
      </w:r>
      <w:r w:rsidRPr="00B754F3">
        <w:rPr>
          <w:rFonts w:ascii="Palatino Linotype" w:eastAsia="Calibri" w:hAnsi="Palatino Linotype" w:cs="Tahoma"/>
          <w:bCs/>
          <w:sz w:val="22"/>
          <w:szCs w:val="22"/>
          <w:lang w:val="es-ES" w:eastAsia="en-US"/>
        </w:rPr>
        <w:t xml:space="preserve"> de noviembre de dos mil dieciocho, el Comisionado Ponente, con fundamento en lo dispuesto por el artículo 181, párrafo tercero, de la Ley de Transparencia y Acceso a la Información Pública del Estado de México y Municipios, </w:t>
      </w:r>
      <w:r w:rsidRPr="00B754F3">
        <w:rPr>
          <w:rFonts w:ascii="Palatino Linotype" w:eastAsia="Calibri" w:hAnsi="Palatino Linotype" w:cs="Tahoma"/>
          <w:b/>
          <w:bCs/>
          <w:sz w:val="22"/>
          <w:szCs w:val="22"/>
          <w:lang w:val="es-ES" w:eastAsia="en-US"/>
        </w:rPr>
        <w:t>acordó ampliar</w:t>
      </w:r>
      <w:r w:rsidRPr="00B754F3">
        <w:rPr>
          <w:rFonts w:ascii="Palatino Linotype" w:eastAsia="Calibri" w:hAnsi="Palatino Linotype" w:cs="Tahoma"/>
          <w:bCs/>
          <w:sz w:val="22"/>
          <w:szCs w:val="22"/>
          <w:lang w:val="es-ES" w:eastAsia="en-US"/>
        </w:rPr>
        <w:t xml:space="preserve"> por un periodo de quince días hábiles, el plazo para resolver el recurso de revisión que nos ocupa; acto que fue notificado a las partes mediante el Sistema de Acceso a la Información Mexiquense, el mismo día de su emisión.</w:t>
      </w:r>
    </w:p>
    <w:p w:rsidR="00CC46D1" w:rsidRDefault="00CC46D1" w:rsidP="00985849">
      <w:pPr>
        <w:spacing w:line="360" w:lineRule="auto"/>
        <w:jc w:val="both"/>
        <w:rPr>
          <w:rFonts w:ascii="Palatino Linotype" w:hAnsi="Palatino Linotype" w:cs="Tahoma"/>
          <w:color w:val="000000"/>
          <w:sz w:val="22"/>
          <w:szCs w:val="22"/>
        </w:rPr>
      </w:pPr>
    </w:p>
    <w:p w:rsidR="004F2D88" w:rsidRPr="00985849" w:rsidRDefault="004F2D88" w:rsidP="00985849">
      <w:pPr>
        <w:spacing w:line="360" w:lineRule="auto"/>
        <w:jc w:val="both"/>
        <w:rPr>
          <w:rFonts w:ascii="Palatino Linotype" w:hAnsi="Palatino Linotype" w:cs="Tahoma"/>
          <w:color w:val="000000"/>
          <w:sz w:val="22"/>
          <w:szCs w:val="22"/>
        </w:rPr>
      </w:pPr>
      <w:r w:rsidRPr="00985849">
        <w:rPr>
          <w:rFonts w:ascii="Palatino Linotype" w:hAnsi="Palatino Linotype" w:cs="Tahoma"/>
          <w:color w:val="000000"/>
          <w:sz w:val="22"/>
          <w:szCs w:val="22"/>
        </w:rPr>
        <w:t xml:space="preserve">En </w:t>
      </w:r>
      <w:r w:rsidR="00367F82" w:rsidRPr="00985849">
        <w:rPr>
          <w:rFonts w:ascii="Palatino Linotype" w:hAnsi="Palatino Linotype" w:cs="Tahoma"/>
          <w:color w:val="000000"/>
          <w:sz w:val="22"/>
          <w:szCs w:val="22"/>
        </w:rPr>
        <w:t>razón de que fue debidamente su</w:t>
      </w:r>
      <w:r w:rsidRPr="00985849">
        <w:rPr>
          <w:rFonts w:ascii="Palatino Linotype" w:hAnsi="Palatino Linotype" w:cs="Tahoma"/>
          <w:color w:val="000000"/>
          <w:sz w:val="22"/>
          <w:szCs w:val="22"/>
        </w:rPr>
        <w:t xml:space="preserve">stanciado el expediente </w:t>
      </w:r>
      <w:r w:rsidR="00367F82" w:rsidRPr="00985849">
        <w:rPr>
          <w:rFonts w:ascii="Palatino Linotype" w:hAnsi="Palatino Linotype" w:cs="Tahoma"/>
          <w:color w:val="000000"/>
          <w:sz w:val="22"/>
          <w:szCs w:val="22"/>
        </w:rPr>
        <w:t xml:space="preserve">electrónico </w:t>
      </w:r>
      <w:r w:rsidRPr="00985849">
        <w:rPr>
          <w:rFonts w:ascii="Palatino Linotype" w:hAnsi="Palatino Linotype" w:cs="Tahoma"/>
          <w:color w:val="000000"/>
          <w:sz w:val="22"/>
          <w:szCs w:val="22"/>
        </w:rPr>
        <w:t>y no exist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dilige</w:t>
      </w:r>
      <w:r w:rsidR="00367F82" w:rsidRPr="00985849">
        <w:rPr>
          <w:rFonts w:ascii="Palatino Linotype" w:hAnsi="Palatino Linotype" w:cs="Tahoma"/>
          <w:color w:val="000000"/>
          <w:sz w:val="22"/>
          <w:szCs w:val="22"/>
        </w:rPr>
        <w:t xml:space="preserve">ncia pendiente de desahogo, se </w:t>
      </w:r>
      <w:r w:rsidRPr="00985849">
        <w:rPr>
          <w:rFonts w:ascii="Palatino Linotype" w:hAnsi="Palatino Linotype" w:cs="Tahoma"/>
          <w:color w:val="000000"/>
          <w:sz w:val="22"/>
          <w:szCs w:val="22"/>
        </w:rPr>
        <w:t>emit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la resolución que conforme a Derecho proceda, de acuerdo a l</w:t>
      </w:r>
      <w:r w:rsidR="009A620E" w:rsidRPr="00985849">
        <w:rPr>
          <w:rFonts w:ascii="Palatino Linotype" w:hAnsi="Palatino Linotype" w:cs="Tahoma"/>
          <w:color w:val="000000"/>
          <w:sz w:val="22"/>
          <w:szCs w:val="22"/>
        </w:rPr>
        <w:t>o</w:t>
      </w:r>
      <w:r w:rsidRPr="00985849">
        <w:rPr>
          <w:rFonts w:ascii="Palatino Linotype" w:hAnsi="Palatino Linotype" w:cs="Tahoma"/>
          <w:color w:val="000000"/>
          <w:sz w:val="22"/>
          <w:szCs w:val="22"/>
        </w:rPr>
        <w:t xml:space="preserve">s siguientes: </w:t>
      </w:r>
    </w:p>
    <w:p w:rsidR="00264223" w:rsidRPr="00985849" w:rsidRDefault="00264223" w:rsidP="00985849">
      <w:pPr>
        <w:spacing w:line="360" w:lineRule="auto"/>
        <w:jc w:val="center"/>
        <w:rPr>
          <w:rFonts w:ascii="Palatino Linotype" w:hAnsi="Palatino Linotype" w:cs="Tahoma"/>
          <w:b/>
          <w:sz w:val="22"/>
          <w:szCs w:val="22"/>
        </w:rPr>
      </w:pPr>
    </w:p>
    <w:p w:rsidR="00264223" w:rsidRPr="00985849" w:rsidRDefault="009A620E" w:rsidP="00985849">
      <w:pPr>
        <w:spacing w:line="360" w:lineRule="auto"/>
        <w:jc w:val="center"/>
        <w:rPr>
          <w:rFonts w:ascii="Palatino Linotype" w:hAnsi="Palatino Linotype" w:cs="Tahoma"/>
          <w:b/>
          <w:sz w:val="22"/>
          <w:szCs w:val="22"/>
          <w:lang w:val="es-ES"/>
        </w:rPr>
      </w:pPr>
      <w:r w:rsidRPr="00985849">
        <w:rPr>
          <w:rFonts w:ascii="Palatino Linotype" w:hAnsi="Palatino Linotype" w:cs="Tahoma"/>
          <w:b/>
          <w:sz w:val="22"/>
          <w:szCs w:val="22"/>
          <w:lang w:val="es-ES"/>
        </w:rPr>
        <w:t>CONSIDERANDOS</w:t>
      </w:r>
      <w:r w:rsidR="004F2D88" w:rsidRPr="00985849">
        <w:rPr>
          <w:rFonts w:ascii="Palatino Linotype" w:hAnsi="Palatino Linotype" w:cs="Tahoma"/>
          <w:b/>
          <w:sz w:val="22"/>
          <w:szCs w:val="22"/>
          <w:lang w:val="es-ES"/>
        </w:rPr>
        <w:t>:</w:t>
      </w:r>
    </w:p>
    <w:p w:rsidR="00264223" w:rsidRPr="00985849" w:rsidRDefault="00264223" w:rsidP="00985849">
      <w:pPr>
        <w:spacing w:line="360" w:lineRule="auto"/>
        <w:jc w:val="center"/>
        <w:rPr>
          <w:rFonts w:ascii="Palatino Linotype" w:hAnsi="Palatino Linotype" w:cs="Tahoma"/>
          <w:b/>
          <w:sz w:val="22"/>
          <w:szCs w:val="22"/>
          <w:lang w:val="es-ES"/>
        </w:rPr>
      </w:pPr>
    </w:p>
    <w:p w:rsidR="00B64641" w:rsidRPr="00985849" w:rsidRDefault="0096693C" w:rsidP="00985849">
      <w:pPr>
        <w:autoSpaceDE w:val="0"/>
        <w:autoSpaceDN w:val="0"/>
        <w:adjustRightInd w:val="0"/>
        <w:spacing w:line="360" w:lineRule="auto"/>
        <w:jc w:val="both"/>
        <w:rPr>
          <w:rFonts w:ascii="Palatino Linotype" w:hAnsi="Palatino Linotype" w:cs="Tahoma"/>
          <w:b/>
          <w:sz w:val="22"/>
          <w:szCs w:val="22"/>
          <w:lang w:val="es-ES"/>
        </w:rPr>
      </w:pPr>
      <w:r w:rsidRPr="00985849">
        <w:rPr>
          <w:rFonts w:ascii="Palatino Linotype" w:eastAsia="Calibri" w:hAnsi="Palatino Linotype" w:cs="Tahoma"/>
          <w:b/>
          <w:color w:val="000000"/>
          <w:sz w:val="22"/>
          <w:szCs w:val="22"/>
          <w:lang w:val="es-ES" w:eastAsia="es-MX"/>
        </w:rPr>
        <w:t>PRIMER</w:t>
      </w:r>
      <w:r>
        <w:rPr>
          <w:rFonts w:ascii="Palatino Linotype" w:eastAsia="Calibri" w:hAnsi="Palatino Linotype" w:cs="Tahoma"/>
          <w:b/>
          <w:color w:val="000000"/>
          <w:sz w:val="22"/>
          <w:szCs w:val="22"/>
          <w:lang w:val="es-ES" w:eastAsia="es-MX"/>
        </w:rPr>
        <w:t>O</w:t>
      </w:r>
      <w:r w:rsidR="00B64641" w:rsidRPr="00985849">
        <w:rPr>
          <w:rFonts w:ascii="Palatino Linotype" w:eastAsia="Calibri" w:hAnsi="Palatino Linotype" w:cs="Tahoma"/>
          <w:color w:val="000000"/>
          <w:sz w:val="22"/>
          <w:szCs w:val="22"/>
          <w:lang w:val="es-ES" w:eastAsia="es-MX"/>
        </w:rPr>
        <w:t xml:space="preserve">. </w:t>
      </w:r>
      <w:r w:rsidR="00B64641" w:rsidRPr="00985849">
        <w:rPr>
          <w:rFonts w:ascii="Palatino Linotype" w:hAnsi="Palatino Linotype" w:cs="Tahoma"/>
          <w:b/>
          <w:sz w:val="22"/>
          <w:szCs w:val="22"/>
          <w:lang w:val="es-ES"/>
        </w:rPr>
        <w:t>Competencia.</w:t>
      </w:r>
    </w:p>
    <w:p w:rsidR="00B727C5" w:rsidRPr="00985849" w:rsidRDefault="00B727C5" w:rsidP="00985849">
      <w:pPr>
        <w:autoSpaceDE w:val="0"/>
        <w:autoSpaceDN w:val="0"/>
        <w:adjustRightInd w:val="0"/>
        <w:spacing w:line="360" w:lineRule="auto"/>
        <w:jc w:val="both"/>
        <w:rPr>
          <w:rFonts w:ascii="Palatino Linotype" w:hAnsi="Palatino Linotype" w:cs="Tahoma"/>
          <w:sz w:val="22"/>
          <w:szCs w:val="22"/>
          <w:lang w:val="es-ES"/>
        </w:rPr>
      </w:pPr>
    </w:p>
    <w:p w:rsidR="004F2D88" w:rsidRPr="00985849" w:rsidRDefault="009C4081" w:rsidP="00985849">
      <w:pPr>
        <w:spacing w:line="360" w:lineRule="auto"/>
        <w:jc w:val="both"/>
        <w:rPr>
          <w:rFonts w:ascii="Palatino Linotype" w:hAnsi="Palatino Linotype" w:cs="Tahoma"/>
          <w:sz w:val="22"/>
          <w:szCs w:val="22"/>
          <w:shd w:val="clear" w:color="auto" w:fill="FFFFFF"/>
        </w:rPr>
      </w:pPr>
      <w:r w:rsidRPr="0098584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apartado A de la Constitución Política de los Estados Unidos Mexicanos; 5</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E70503" w:rsidRPr="00985849" w:rsidRDefault="00E70503" w:rsidP="00985849">
      <w:pPr>
        <w:spacing w:line="360" w:lineRule="auto"/>
        <w:jc w:val="both"/>
        <w:rPr>
          <w:rFonts w:ascii="Palatino Linotype" w:eastAsia="Calibri" w:hAnsi="Palatino Linotype" w:cs="Tahoma"/>
          <w:bCs/>
          <w:color w:val="000000"/>
          <w:sz w:val="22"/>
          <w:szCs w:val="22"/>
          <w:lang w:val="es-ES" w:eastAsia="es-ES_tradnl"/>
        </w:rPr>
      </w:pPr>
    </w:p>
    <w:p w:rsidR="00D90C9D" w:rsidRPr="00985849" w:rsidRDefault="0096693C" w:rsidP="00985849">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985849">
        <w:rPr>
          <w:rFonts w:ascii="Palatino Linotype" w:eastAsia="Calibri" w:hAnsi="Palatino Linotype" w:cs="Tahoma"/>
          <w:b/>
          <w:color w:val="000000"/>
          <w:sz w:val="22"/>
          <w:szCs w:val="22"/>
          <w:lang w:val="es-ES" w:eastAsia="es-MX"/>
        </w:rPr>
        <w:lastRenderedPageBreak/>
        <w:t>SEGUND</w:t>
      </w:r>
      <w:r>
        <w:rPr>
          <w:rFonts w:ascii="Palatino Linotype" w:eastAsia="Calibri" w:hAnsi="Palatino Linotype" w:cs="Tahoma"/>
          <w:b/>
          <w:color w:val="000000"/>
          <w:sz w:val="22"/>
          <w:szCs w:val="22"/>
          <w:lang w:val="es-ES" w:eastAsia="es-MX"/>
        </w:rPr>
        <w:t>O</w:t>
      </w:r>
      <w:r w:rsidR="009C4081" w:rsidRPr="00985849">
        <w:rPr>
          <w:rFonts w:ascii="Palatino Linotype" w:eastAsia="Calibri" w:hAnsi="Palatino Linotype" w:cs="Tahoma"/>
          <w:b/>
          <w:color w:val="000000"/>
          <w:sz w:val="22"/>
          <w:szCs w:val="22"/>
          <w:lang w:val="es-ES" w:eastAsia="es-MX"/>
        </w:rPr>
        <w:t>. Causales de improcedencia y sobreseimiento.</w:t>
      </w:r>
    </w:p>
    <w:p w:rsidR="009C4081" w:rsidRPr="00985849" w:rsidRDefault="009C4081"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CF4012" w:rsidRPr="00985849" w:rsidRDefault="00FE5410"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Previo al análisis de fondo del asunto que no ocupa, e</w:t>
      </w:r>
      <w:r w:rsidR="00683CB5" w:rsidRPr="00985849">
        <w:rPr>
          <w:rFonts w:ascii="Palatino Linotype" w:eastAsia="Calibri" w:hAnsi="Palatino Linotype" w:cs="Tahoma"/>
          <w:color w:val="000000"/>
          <w:sz w:val="22"/>
          <w:szCs w:val="22"/>
          <w:lang w:val="es-ES" w:eastAsia="es-MX"/>
        </w:rPr>
        <w:t>ste Instituto realiza</w:t>
      </w:r>
      <w:r w:rsidRPr="00985849">
        <w:rPr>
          <w:rFonts w:ascii="Palatino Linotype" w:eastAsia="Calibri" w:hAnsi="Palatino Linotype" w:cs="Tahoma"/>
          <w:color w:val="000000"/>
          <w:sz w:val="22"/>
          <w:szCs w:val="22"/>
          <w:lang w:val="es-ES" w:eastAsia="es-MX"/>
        </w:rPr>
        <w:t>rá</w:t>
      </w:r>
      <w:r w:rsidR="00683CB5" w:rsidRPr="00985849">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683CB5" w:rsidRPr="00985849" w:rsidRDefault="00683CB5"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E14282" w:rsidRPr="00985849" w:rsidRDefault="00FE5410" w:rsidP="00985849">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eastAsia="Calibri" w:hAnsi="Palatino Linotype" w:cs="Tahoma"/>
          <w:color w:val="000000"/>
          <w:sz w:val="22"/>
          <w:szCs w:val="22"/>
          <w:lang w:val="es-ES" w:eastAsia="es-MX"/>
        </w:rPr>
        <w:t>No obstante, e</w:t>
      </w:r>
      <w:r w:rsidR="00CF4012" w:rsidRPr="00985849">
        <w:rPr>
          <w:rFonts w:ascii="Palatino Linotype" w:eastAsia="Calibri" w:hAnsi="Palatino Linotype" w:cs="Tahoma"/>
          <w:color w:val="000000"/>
          <w:sz w:val="22"/>
          <w:szCs w:val="22"/>
          <w:lang w:val="es-ES" w:eastAsia="es-MX"/>
        </w:rPr>
        <w:t xml:space="preserve">n el presente caso, no se actualiza ninguna de las causales de improcedencia establecidas en el ordenamiento jurídico previamente señalado, toda vez que este Instituto no tiene conocimiento </w:t>
      </w:r>
      <w:r w:rsidR="00CF4012" w:rsidRPr="00985849">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CF4012" w:rsidRPr="00985849" w:rsidRDefault="00CF4012" w:rsidP="00985849">
      <w:pPr>
        <w:autoSpaceDE w:val="0"/>
        <w:autoSpaceDN w:val="0"/>
        <w:adjustRightInd w:val="0"/>
        <w:spacing w:line="360" w:lineRule="auto"/>
        <w:jc w:val="both"/>
        <w:rPr>
          <w:rFonts w:ascii="Palatino Linotype" w:hAnsi="Palatino Linotype" w:cs="Tahoma"/>
          <w:sz w:val="22"/>
          <w:szCs w:val="22"/>
          <w:lang w:val="es-ES"/>
        </w:rPr>
      </w:pPr>
    </w:p>
    <w:p w:rsidR="00CF4012" w:rsidRPr="00985849" w:rsidRDefault="004F41A2"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Aunado a lo anterior</w:t>
      </w:r>
      <w:r w:rsidR="00CF4012"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se observa </w:t>
      </w:r>
      <w:r w:rsidR="00CF4012" w:rsidRPr="00985849">
        <w:rPr>
          <w:rFonts w:ascii="Palatino Linotype" w:eastAsia="Calibri" w:hAnsi="Palatino Linotype" w:cs="Tahoma"/>
          <w:color w:val="000000"/>
          <w:sz w:val="22"/>
          <w:szCs w:val="22"/>
          <w:lang w:val="es-ES" w:eastAsia="es-MX"/>
        </w:rPr>
        <w:t>que el medio de impugnación fue presenta</w:t>
      </w:r>
      <w:r w:rsidR="005A3131" w:rsidRPr="00985849">
        <w:rPr>
          <w:rFonts w:ascii="Palatino Linotype" w:eastAsia="Calibri" w:hAnsi="Palatino Linotype" w:cs="Tahoma"/>
          <w:color w:val="000000"/>
          <w:sz w:val="22"/>
          <w:szCs w:val="22"/>
          <w:lang w:val="es-ES" w:eastAsia="es-MX"/>
        </w:rPr>
        <w:t>do</w:t>
      </w:r>
      <w:r w:rsidR="00CF4012" w:rsidRPr="00985849">
        <w:rPr>
          <w:rFonts w:ascii="Palatino Linotype" w:eastAsia="Calibri" w:hAnsi="Palatino Linotype" w:cs="Tahoma"/>
          <w:color w:val="000000"/>
          <w:sz w:val="22"/>
          <w:szCs w:val="22"/>
          <w:lang w:val="es-ES" w:eastAsia="es-MX"/>
        </w:rPr>
        <w:t xml:space="preserve"> en tiempo, toda vez que ante la ausencia de la respuesta del Ente Recurrido, se constituye la </w:t>
      </w:r>
      <w:r w:rsidR="00CF4012" w:rsidRPr="00985849">
        <w:rPr>
          <w:rFonts w:ascii="Palatino Linotype" w:eastAsia="Calibri" w:hAnsi="Palatino Linotype" w:cs="Tahoma"/>
          <w:b/>
          <w:i/>
          <w:color w:val="000000"/>
          <w:sz w:val="22"/>
          <w:szCs w:val="22"/>
          <w:lang w:val="es-ES" w:eastAsia="es-MX"/>
        </w:rPr>
        <w:t>negativa ficta</w:t>
      </w:r>
      <w:r w:rsidR="00CF4012" w:rsidRPr="00985849">
        <w:rPr>
          <w:rFonts w:ascii="Palatino Linotype" w:eastAsia="Calibri" w:hAnsi="Palatino Linotype" w:cs="Tahoma"/>
          <w:color w:val="000000"/>
          <w:sz w:val="22"/>
          <w:szCs w:val="22"/>
          <w:lang w:val="es-ES" w:eastAsia="es-MX"/>
        </w:rPr>
        <w:t>, que genera la posibilidad de los particulares de interponer un medio de impugnación ante tal omisión</w:t>
      </w:r>
      <w:r w:rsidR="003A78B5" w:rsidRPr="00985849">
        <w:rPr>
          <w:rFonts w:ascii="Palatino Linotype" w:eastAsia="Calibri" w:hAnsi="Palatino Linotype" w:cs="Tahoma"/>
          <w:color w:val="000000"/>
          <w:sz w:val="22"/>
          <w:szCs w:val="22"/>
          <w:lang w:val="es-ES" w:eastAsia="es-MX"/>
        </w:rPr>
        <w:t xml:space="preserve">, en cualquier </w:t>
      </w:r>
      <w:r w:rsidRPr="00985849">
        <w:rPr>
          <w:rFonts w:ascii="Palatino Linotype" w:eastAsia="Calibri" w:hAnsi="Palatino Linotype" w:cs="Tahoma"/>
          <w:color w:val="000000"/>
          <w:sz w:val="22"/>
          <w:szCs w:val="22"/>
          <w:lang w:val="es-ES" w:eastAsia="es-MX"/>
        </w:rPr>
        <w:t>momento, conforme</w:t>
      </w:r>
      <w:r w:rsidR="00CF4012" w:rsidRPr="00985849">
        <w:rPr>
          <w:rFonts w:ascii="Palatino Linotype" w:eastAsia="Calibri" w:hAnsi="Palatino Linotype" w:cs="Tahoma"/>
          <w:color w:val="000000"/>
          <w:sz w:val="22"/>
          <w:szCs w:val="22"/>
          <w:lang w:val="es-ES" w:eastAsia="es-MX"/>
        </w:rPr>
        <w:t xml:space="preserve"> a lo establecido</w:t>
      </w:r>
      <w:r w:rsidR="004C7E83" w:rsidRPr="00985849">
        <w:rPr>
          <w:rFonts w:ascii="Palatino Linotype" w:eastAsia="Calibri" w:hAnsi="Palatino Linotype" w:cs="Tahoma"/>
          <w:color w:val="000000"/>
          <w:sz w:val="22"/>
          <w:szCs w:val="22"/>
          <w:lang w:val="es-ES" w:eastAsia="es-MX"/>
        </w:rPr>
        <w:t xml:space="preserve"> en los artículos</w:t>
      </w:r>
      <w:r w:rsidR="00D12167">
        <w:rPr>
          <w:rFonts w:ascii="Palatino Linotype" w:eastAsia="Calibri" w:hAnsi="Palatino Linotype" w:cs="Tahoma"/>
          <w:color w:val="000000"/>
          <w:sz w:val="22"/>
          <w:szCs w:val="22"/>
          <w:lang w:val="es-ES" w:eastAsia="es-MX"/>
        </w:rPr>
        <w:t xml:space="preserve"> </w:t>
      </w:r>
      <w:r w:rsidR="003A78B5" w:rsidRPr="00985849">
        <w:rPr>
          <w:rFonts w:ascii="Palatino Linotype" w:eastAsia="Calibri" w:hAnsi="Palatino Linotype" w:cs="Tahoma"/>
          <w:color w:val="000000"/>
          <w:sz w:val="22"/>
          <w:szCs w:val="22"/>
          <w:lang w:val="es-ES" w:eastAsia="es-MX"/>
        </w:rPr>
        <w:t>166 y 178</w:t>
      </w:r>
      <w:r w:rsidR="008E1829" w:rsidRPr="00985849">
        <w:rPr>
          <w:rFonts w:ascii="Palatino Linotype" w:eastAsia="Calibri" w:hAnsi="Palatino Linotype" w:cs="Tahoma"/>
          <w:color w:val="000000"/>
          <w:sz w:val="22"/>
          <w:szCs w:val="22"/>
          <w:lang w:val="es-ES" w:eastAsia="es-MX"/>
        </w:rPr>
        <w:t xml:space="preserve">, párrafo </w:t>
      </w:r>
      <w:r w:rsidR="00261DD6" w:rsidRPr="00985849">
        <w:rPr>
          <w:rFonts w:ascii="Palatino Linotype" w:eastAsia="Calibri" w:hAnsi="Palatino Linotype" w:cs="Tahoma"/>
          <w:color w:val="000000"/>
          <w:sz w:val="22"/>
          <w:szCs w:val="22"/>
          <w:lang w:val="es-ES" w:eastAsia="es-MX"/>
        </w:rPr>
        <w:t>segundo</w:t>
      </w:r>
      <w:r w:rsidR="003A78B5" w:rsidRPr="00985849">
        <w:rPr>
          <w:rFonts w:ascii="Palatino Linotype" w:eastAsia="Calibri" w:hAnsi="Palatino Linotype" w:cs="Tahoma"/>
          <w:color w:val="000000"/>
          <w:sz w:val="22"/>
          <w:szCs w:val="22"/>
          <w:lang w:val="es-ES" w:eastAsia="es-MX"/>
        </w:rPr>
        <w:t xml:space="preserve"> de la Ley de Transparencia y Acceso a la Información Pública del Estado de México y los Municipios.</w:t>
      </w:r>
    </w:p>
    <w:p w:rsidR="009C4081" w:rsidRPr="00985849" w:rsidRDefault="009C4081"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3A78B5" w:rsidRPr="00985849" w:rsidRDefault="004F41A2" w:rsidP="00985849">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985849">
        <w:rPr>
          <w:rFonts w:ascii="Palatino Linotype" w:eastAsia="Calibri" w:hAnsi="Palatino Linotype" w:cs="Tahoma"/>
          <w:color w:val="000000"/>
          <w:sz w:val="22"/>
          <w:szCs w:val="22"/>
          <w:lang w:val="es-ES" w:eastAsia="es-MX"/>
        </w:rPr>
        <w:lastRenderedPageBreak/>
        <w:t>Finalmente</w:t>
      </w:r>
      <w:r w:rsidR="003A78B5"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en el asunto que nos ocupa </w:t>
      </w:r>
      <w:r w:rsidR="003A78B5" w:rsidRPr="00985849">
        <w:rPr>
          <w:rFonts w:ascii="Palatino Linotype" w:eastAsia="Calibri" w:hAnsi="Palatino Linotype" w:cs="Tahoma"/>
          <w:color w:val="000000"/>
          <w:sz w:val="22"/>
          <w:szCs w:val="22"/>
          <w:lang w:val="es-ES" w:eastAsia="es-MX"/>
        </w:rPr>
        <w:t>se actualiza la causal de procedencia señalada en el artículo 179, fracción VII de la Ley de la materia</w:t>
      </w:r>
      <w:r w:rsidR="003A78B5" w:rsidRPr="00985849">
        <w:rPr>
          <w:rFonts w:ascii="Palatino Linotype" w:eastAsia="Calibri" w:hAnsi="Palatino Linotype" w:cs="Tahoma"/>
          <w:bCs/>
          <w:color w:val="000000"/>
          <w:sz w:val="22"/>
          <w:szCs w:val="22"/>
          <w:lang w:val="es-ES" w:eastAsia="es-MX"/>
        </w:rPr>
        <w:t>, toda vez que la solicitante se inconformó con la falta de respuesta a su solicitud de información.</w:t>
      </w:r>
    </w:p>
    <w:p w:rsidR="00B73823" w:rsidRPr="00985849" w:rsidRDefault="00B73823" w:rsidP="00985849">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p>
    <w:p w:rsidR="008E5077" w:rsidRPr="00985849" w:rsidRDefault="004F2D88" w:rsidP="00985849">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
          <w:sz w:val="22"/>
          <w:szCs w:val="22"/>
          <w:lang w:val="es-ES" w:eastAsia="es-ES_tradnl"/>
        </w:rPr>
        <w:t>Causales de sobreseimiento.</w:t>
      </w:r>
    </w:p>
    <w:p w:rsidR="008E5077" w:rsidRPr="00985849" w:rsidRDefault="008E5077" w:rsidP="00985849">
      <w:pPr>
        <w:spacing w:line="360" w:lineRule="auto"/>
        <w:jc w:val="both"/>
        <w:rPr>
          <w:rFonts w:ascii="Palatino Linotype" w:eastAsia="Calibri" w:hAnsi="Palatino Linotype" w:cs="Tahoma"/>
          <w:sz w:val="22"/>
          <w:szCs w:val="22"/>
          <w:lang w:val="es-ES" w:eastAsia="es-ES_tradnl"/>
        </w:rPr>
      </w:pPr>
    </w:p>
    <w:p w:rsidR="00F02171" w:rsidRPr="00985849" w:rsidRDefault="004F2D88" w:rsidP="00985849">
      <w:pPr>
        <w:spacing w:line="360" w:lineRule="auto"/>
        <w:jc w:val="both"/>
        <w:rPr>
          <w:rFonts w:ascii="Palatino Linotype" w:hAnsi="Palatino Linotype" w:cs="Tahoma"/>
          <w:sz w:val="22"/>
          <w:szCs w:val="22"/>
          <w:lang w:val="es-ES"/>
        </w:rPr>
      </w:pPr>
      <w:r w:rsidRPr="00985849">
        <w:rPr>
          <w:rFonts w:ascii="Palatino Linotype" w:eastAsia="Calibri" w:hAnsi="Palatino Linotype" w:cs="Tahoma"/>
          <w:sz w:val="22"/>
          <w:szCs w:val="22"/>
          <w:lang w:val="es-ES" w:eastAsia="es-ES_tradnl"/>
        </w:rPr>
        <w:t xml:space="preserve">Por </w:t>
      </w:r>
      <w:r w:rsidR="004F41A2" w:rsidRPr="00985849">
        <w:rPr>
          <w:rFonts w:ascii="Palatino Linotype" w:eastAsia="Calibri" w:hAnsi="Palatino Linotype" w:cs="Tahoma"/>
          <w:sz w:val="22"/>
          <w:szCs w:val="22"/>
          <w:lang w:val="es-ES" w:eastAsia="es-ES_tradnl"/>
        </w:rPr>
        <w:t>lo que hace a las causales de sobreseimiento,</w:t>
      </w:r>
      <w:r w:rsidR="00514036" w:rsidRPr="00985849">
        <w:rPr>
          <w:rFonts w:ascii="Palatino Linotype" w:eastAsia="Calibri" w:hAnsi="Palatino Linotype" w:cs="Tahoma"/>
          <w:sz w:val="22"/>
          <w:szCs w:val="22"/>
          <w:lang w:val="es-ES" w:eastAsia="es-ES_tradnl"/>
        </w:rPr>
        <w:t xml:space="preserve"> </w:t>
      </w:r>
      <w:r w:rsidR="007F21C5" w:rsidRPr="00985849">
        <w:rPr>
          <w:rFonts w:ascii="Palatino Linotype" w:eastAsia="Calibri" w:hAnsi="Palatino Linotype" w:cs="Tahoma"/>
          <w:sz w:val="22"/>
          <w:szCs w:val="22"/>
          <w:lang w:val="es-ES" w:eastAsia="es-ES_tradnl"/>
        </w:rPr>
        <w:t>d</w:t>
      </w:r>
      <w:r w:rsidR="00F02171" w:rsidRPr="00985849">
        <w:rPr>
          <w:rFonts w:ascii="Palatino Linotype" w:eastAsia="Calibri" w:hAnsi="Palatino Linotype" w:cs="Tahoma"/>
          <w:sz w:val="22"/>
          <w:szCs w:val="22"/>
          <w:lang w:val="es-ES" w:eastAsia="es-ES_tradnl"/>
        </w:rPr>
        <w:t>el análisis realizado por este Instituto, se advierte que</w:t>
      </w:r>
      <w:r w:rsidR="00F02171" w:rsidRPr="00985849">
        <w:rPr>
          <w:rFonts w:ascii="Palatino Linotype" w:eastAsia="Calibri" w:hAnsi="Palatino Linotype" w:cs="Tahoma"/>
          <w:b/>
          <w:sz w:val="22"/>
          <w:szCs w:val="22"/>
          <w:lang w:val="es-ES" w:eastAsia="es-ES_tradnl"/>
        </w:rPr>
        <w:t xml:space="preserve"> no se actualiza </w:t>
      </w:r>
      <w:r w:rsidR="004F41A2" w:rsidRPr="00985849">
        <w:rPr>
          <w:rFonts w:ascii="Palatino Linotype" w:eastAsia="Calibri" w:hAnsi="Palatino Linotype" w:cs="Tahoma"/>
          <w:b/>
          <w:sz w:val="22"/>
          <w:szCs w:val="22"/>
          <w:lang w:val="es-ES" w:eastAsia="es-ES_tradnl"/>
        </w:rPr>
        <w:t>ninguna</w:t>
      </w:r>
      <w:r w:rsidR="00B73823">
        <w:rPr>
          <w:rFonts w:ascii="Palatino Linotype" w:eastAsia="Calibri" w:hAnsi="Palatino Linotype" w:cs="Tahoma"/>
          <w:b/>
          <w:sz w:val="22"/>
          <w:szCs w:val="22"/>
          <w:lang w:val="es-ES" w:eastAsia="es-ES_tradnl"/>
        </w:rPr>
        <w:t xml:space="preserve"> </w:t>
      </w:r>
      <w:r w:rsidR="004F41A2" w:rsidRPr="00985849">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985849">
        <w:rPr>
          <w:rFonts w:ascii="Palatino Linotype" w:eastAsia="Calibri" w:hAnsi="Palatino Linotype" w:cs="Tahoma"/>
          <w:b/>
          <w:sz w:val="22"/>
          <w:szCs w:val="22"/>
          <w:lang w:val="es-ES" w:eastAsia="es-ES_tradnl"/>
        </w:rPr>
        <w:t xml:space="preserve">; </w:t>
      </w:r>
      <w:r w:rsidR="007F21C5" w:rsidRPr="00985849">
        <w:rPr>
          <w:rFonts w:ascii="Palatino Linotype" w:hAnsi="Palatino Linotype" w:cs="Tahoma"/>
          <w:sz w:val="22"/>
          <w:szCs w:val="22"/>
          <w:lang w:val="es-ES"/>
        </w:rPr>
        <w:t>l</w:t>
      </w:r>
      <w:r w:rsidR="00F02171" w:rsidRPr="00985849">
        <w:rPr>
          <w:rFonts w:ascii="Palatino Linotype" w:hAnsi="Palatino Linotype" w:cs="Tahoma"/>
          <w:sz w:val="22"/>
          <w:szCs w:val="22"/>
          <w:lang w:val="es-ES"/>
        </w:rPr>
        <w:t xml:space="preserve">o anterior, en virtud de que no </w:t>
      </w:r>
      <w:r w:rsidR="004F41A2" w:rsidRPr="00985849">
        <w:rPr>
          <w:rFonts w:ascii="Palatino Linotype" w:hAnsi="Palatino Linotype" w:cs="Tahoma"/>
          <w:sz w:val="22"/>
          <w:szCs w:val="22"/>
          <w:lang w:val="es-ES"/>
        </w:rPr>
        <w:t>existe</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constancia en el expediente en que se actúa, de que </w:t>
      </w:r>
      <w:r w:rsidR="006F01E7" w:rsidRPr="00985849">
        <w:rPr>
          <w:rFonts w:ascii="Palatino Linotype" w:hAnsi="Palatino Linotype" w:cs="Tahoma"/>
          <w:sz w:val="22"/>
          <w:szCs w:val="22"/>
          <w:lang w:val="es-ES"/>
        </w:rPr>
        <w:t xml:space="preserve">la </w:t>
      </w:r>
      <w:r w:rsidR="00F02171" w:rsidRPr="00985849">
        <w:rPr>
          <w:rFonts w:ascii="Palatino Linotype" w:hAnsi="Palatino Linotype" w:cs="Tahoma"/>
          <w:sz w:val="22"/>
          <w:szCs w:val="22"/>
          <w:lang w:val="es-ES"/>
        </w:rPr>
        <w:t xml:space="preserve">recurrente se </w:t>
      </w:r>
      <w:r w:rsidR="00F00407" w:rsidRPr="00985849">
        <w:rPr>
          <w:rFonts w:ascii="Palatino Linotype" w:hAnsi="Palatino Linotype" w:cs="Tahoma"/>
          <w:sz w:val="22"/>
          <w:szCs w:val="22"/>
          <w:lang w:val="es-ES"/>
        </w:rPr>
        <w:t>hubiera</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desistido del recurso, </w:t>
      </w:r>
      <w:r w:rsidR="00F00407" w:rsidRPr="00985849">
        <w:rPr>
          <w:rFonts w:ascii="Palatino Linotype" w:hAnsi="Palatino Linotype" w:cs="Tahoma"/>
          <w:sz w:val="22"/>
          <w:szCs w:val="22"/>
          <w:lang w:val="es-ES"/>
        </w:rPr>
        <w:t>hubiera</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fallecido, </w:t>
      </w:r>
      <w:r w:rsidR="00F00407" w:rsidRPr="00985849">
        <w:rPr>
          <w:rFonts w:ascii="Palatino Linotype" w:hAnsi="Palatino Linotype" w:cs="Tahoma"/>
          <w:sz w:val="22"/>
          <w:szCs w:val="22"/>
          <w:lang w:val="es-ES"/>
        </w:rPr>
        <w:t xml:space="preserve">que </w:t>
      </w:r>
      <w:r w:rsidR="00F02171" w:rsidRPr="00985849">
        <w:rPr>
          <w:rFonts w:ascii="Palatino Linotype" w:hAnsi="Palatino Linotype" w:cs="Tahoma"/>
          <w:sz w:val="22"/>
          <w:szCs w:val="22"/>
          <w:lang w:val="es-ES"/>
        </w:rPr>
        <w:t>sobreviniera alguna c</w:t>
      </w:r>
      <w:r w:rsidR="00C459A9" w:rsidRPr="00985849">
        <w:rPr>
          <w:rFonts w:ascii="Palatino Linotype" w:hAnsi="Palatino Linotype" w:cs="Tahoma"/>
          <w:sz w:val="22"/>
          <w:szCs w:val="22"/>
          <w:lang w:val="es-ES"/>
        </w:rPr>
        <w:t xml:space="preserve">ausal de improcedencia, que el </w:t>
      </w:r>
      <w:r w:rsidR="00956793">
        <w:rPr>
          <w:rFonts w:ascii="Palatino Linotype" w:hAnsi="Palatino Linotype" w:cs="Tahoma"/>
          <w:sz w:val="22"/>
          <w:szCs w:val="22"/>
          <w:lang w:val="es-ES"/>
        </w:rPr>
        <w:t>Sujeto Obligado</w:t>
      </w:r>
      <w:r w:rsidR="00F02171" w:rsidRPr="00985849">
        <w:rPr>
          <w:rFonts w:ascii="Palatino Linotype" w:hAnsi="Palatino Linotype" w:cs="Tahoma"/>
          <w:sz w:val="22"/>
          <w:szCs w:val="22"/>
          <w:lang w:val="es-ES"/>
        </w:rPr>
        <w:t xml:space="preserve"> hubiese modificado o revocado el acto impugnado</w:t>
      </w:r>
      <w:r w:rsidR="00F00407" w:rsidRPr="00985849">
        <w:rPr>
          <w:rFonts w:ascii="Palatino Linotype" w:hAnsi="Palatino Linotype" w:cs="Tahoma"/>
          <w:sz w:val="22"/>
          <w:szCs w:val="22"/>
          <w:lang w:val="es-ES"/>
        </w:rPr>
        <w:t>,</w:t>
      </w:r>
      <w:r w:rsidR="00F02171" w:rsidRPr="00985849">
        <w:rPr>
          <w:rFonts w:ascii="Palatino Linotype" w:hAnsi="Palatino Linotype" w:cs="Tahoma"/>
          <w:sz w:val="22"/>
          <w:szCs w:val="22"/>
          <w:lang w:val="es-ES"/>
        </w:rPr>
        <w:t xml:space="preserve"> o bien </w:t>
      </w:r>
      <w:r w:rsidR="00F00407" w:rsidRPr="00985849">
        <w:rPr>
          <w:rFonts w:ascii="Palatino Linotype" w:hAnsi="Palatino Linotype" w:cs="Tahoma"/>
          <w:sz w:val="22"/>
          <w:szCs w:val="22"/>
          <w:lang w:val="es-ES"/>
        </w:rPr>
        <w:t>que el recurso de revisión hubiera</w:t>
      </w:r>
      <w:r w:rsidR="00B73823">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quedado sin materia.</w:t>
      </w:r>
    </w:p>
    <w:p w:rsidR="00F02171" w:rsidRPr="00985849" w:rsidRDefault="00F02171" w:rsidP="00985849">
      <w:pPr>
        <w:spacing w:line="360" w:lineRule="auto"/>
        <w:jc w:val="both"/>
        <w:rPr>
          <w:rFonts w:ascii="Palatino Linotype" w:hAnsi="Palatino Linotype" w:cs="Tahoma"/>
          <w:sz w:val="22"/>
          <w:szCs w:val="22"/>
          <w:lang w:val="es-ES"/>
        </w:rPr>
      </w:pPr>
    </w:p>
    <w:p w:rsidR="00F02171" w:rsidRPr="00985849" w:rsidRDefault="00F02171" w:rsidP="00985849">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Cs/>
          <w:sz w:val="22"/>
          <w:szCs w:val="22"/>
          <w:lang w:val="es-ES" w:eastAsia="es-ES_tradnl"/>
        </w:rPr>
        <w:t xml:space="preserve">Por tales motivos, </w:t>
      </w:r>
      <w:r w:rsidRPr="00985849">
        <w:rPr>
          <w:rFonts w:ascii="Palatino Linotype" w:eastAsia="Calibri" w:hAnsi="Palatino Linotype" w:cs="Tahoma"/>
          <w:sz w:val="22"/>
          <w:szCs w:val="22"/>
          <w:lang w:val="es-ES" w:eastAsia="es-ES_tradnl"/>
        </w:rPr>
        <w:t xml:space="preserve">se considera procedente entrar al fondo del presente asunto. </w:t>
      </w:r>
    </w:p>
    <w:p w:rsidR="004F2D88" w:rsidRPr="00985849" w:rsidRDefault="004F2D88" w:rsidP="00985849">
      <w:pPr>
        <w:spacing w:line="360" w:lineRule="auto"/>
        <w:jc w:val="both"/>
        <w:rPr>
          <w:rFonts w:ascii="Palatino Linotype" w:hAnsi="Palatino Linotype" w:cs="Tahoma"/>
          <w:b/>
          <w:sz w:val="22"/>
          <w:szCs w:val="22"/>
          <w:lang w:val="es-ES"/>
        </w:rPr>
      </w:pPr>
    </w:p>
    <w:p w:rsidR="0025469C" w:rsidRPr="00985849" w:rsidRDefault="0096693C" w:rsidP="00985849">
      <w:pPr>
        <w:tabs>
          <w:tab w:val="left" w:pos="4962"/>
        </w:tabs>
        <w:spacing w:line="360" w:lineRule="auto"/>
        <w:jc w:val="both"/>
        <w:rPr>
          <w:rFonts w:ascii="Palatino Linotype" w:eastAsia="Calibri" w:hAnsi="Palatino Linotype" w:cs="Tahoma"/>
          <w:b/>
          <w:iCs/>
          <w:sz w:val="22"/>
          <w:szCs w:val="22"/>
          <w:lang w:val="es-ES" w:eastAsia="es-ES_tradnl"/>
        </w:rPr>
      </w:pPr>
      <w:r w:rsidRPr="00985849">
        <w:rPr>
          <w:rFonts w:ascii="Palatino Linotype" w:eastAsia="Calibri" w:hAnsi="Palatino Linotype" w:cs="Tahoma"/>
          <w:b/>
          <w:iCs/>
          <w:sz w:val="22"/>
          <w:szCs w:val="22"/>
          <w:lang w:val="es-ES" w:eastAsia="es-ES_tradnl"/>
        </w:rPr>
        <w:t>TERCER</w:t>
      </w:r>
      <w:r>
        <w:rPr>
          <w:rFonts w:ascii="Palatino Linotype" w:eastAsia="Calibri" w:hAnsi="Palatino Linotype" w:cs="Tahoma"/>
          <w:b/>
          <w:iCs/>
          <w:sz w:val="22"/>
          <w:szCs w:val="22"/>
          <w:lang w:val="es-ES" w:eastAsia="es-ES_tradnl"/>
        </w:rPr>
        <w:t>O</w:t>
      </w:r>
      <w:r w:rsidR="00F02171" w:rsidRPr="00985849">
        <w:rPr>
          <w:rFonts w:ascii="Palatino Linotype" w:eastAsia="Calibri" w:hAnsi="Palatino Linotype" w:cs="Tahoma"/>
          <w:b/>
          <w:iCs/>
          <w:sz w:val="22"/>
          <w:szCs w:val="22"/>
          <w:lang w:val="es-ES" w:eastAsia="es-ES_tradnl"/>
        </w:rPr>
        <w:t xml:space="preserve">. </w:t>
      </w:r>
      <w:r w:rsidR="0025469C" w:rsidRPr="00985849">
        <w:rPr>
          <w:rFonts w:ascii="Palatino Linotype" w:eastAsia="Calibri" w:hAnsi="Palatino Linotype" w:cs="Tahoma"/>
          <w:b/>
          <w:iCs/>
          <w:sz w:val="22"/>
          <w:szCs w:val="22"/>
          <w:lang w:val="es-ES" w:eastAsia="es-ES_tradnl"/>
        </w:rPr>
        <w:t xml:space="preserve">Determinación </w:t>
      </w:r>
      <w:r w:rsidR="009617D3" w:rsidRPr="00985849">
        <w:rPr>
          <w:rFonts w:ascii="Palatino Linotype" w:eastAsia="Calibri" w:hAnsi="Palatino Linotype" w:cs="Tahoma"/>
          <w:b/>
          <w:iCs/>
          <w:sz w:val="22"/>
          <w:szCs w:val="22"/>
          <w:lang w:val="es-ES" w:eastAsia="es-ES_tradnl"/>
        </w:rPr>
        <w:t xml:space="preserve">de la </w:t>
      </w:r>
      <w:r w:rsidR="00CF4012" w:rsidRPr="00985849">
        <w:rPr>
          <w:rFonts w:ascii="Palatino Linotype" w:eastAsia="Calibri" w:hAnsi="Palatino Linotype" w:cs="Tahoma"/>
          <w:b/>
          <w:iCs/>
          <w:sz w:val="22"/>
          <w:szCs w:val="22"/>
          <w:lang w:val="es-ES" w:eastAsia="es-ES_tradnl"/>
        </w:rPr>
        <w:t>Controversia</w:t>
      </w:r>
      <w:r w:rsidR="00F02171" w:rsidRPr="00985849">
        <w:rPr>
          <w:rFonts w:ascii="Palatino Linotype" w:eastAsia="Calibri" w:hAnsi="Palatino Linotype" w:cs="Tahoma"/>
          <w:b/>
          <w:iCs/>
          <w:sz w:val="22"/>
          <w:szCs w:val="22"/>
          <w:lang w:val="es-ES" w:eastAsia="es-ES_tradnl"/>
        </w:rPr>
        <w:t xml:space="preserve">. </w:t>
      </w:r>
    </w:p>
    <w:p w:rsidR="0025469C" w:rsidRPr="00985849" w:rsidRDefault="0025469C" w:rsidP="00985849">
      <w:pPr>
        <w:tabs>
          <w:tab w:val="left" w:pos="4962"/>
        </w:tabs>
        <w:spacing w:line="360" w:lineRule="auto"/>
        <w:jc w:val="both"/>
        <w:rPr>
          <w:rFonts w:ascii="Palatino Linotype" w:eastAsia="Calibri" w:hAnsi="Palatino Linotype" w:cs="Tahoma"/>
          <w:b/>
          <w:iCs/>
          <w:sz w:val="22"/>
          <w:szCs w:val="22"/>
          <w:lang w:val="es-ES" w:eastAsia="es-ES_tradnl"/>
        </w:rPr>
      </w:pPr>
    </w:p>
    <w:p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p>
    <w:p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 xml:space="preserve">El peticionario solicitó, respecto a las dos quincenas de marzo de dos mil dieciocho, con relación a </w:t>
      </w:r>
      <w:r w:rsidR="00C2733C">
        <w:rPr>
          <w:rFonts w:ascii="Palatino Linotype" w:eastAsia="Calibri" w:hAnsi="Palatino Linotype" w:cs="Tahoma"/>
          <w:iCs/>
          <w:sz w:val="22"/>
          <w:szCs w:val="22"/>
          <w:lang w:val="es-ES" w:eastAsia="es-ES_tradnl"/>
        </w:rPr>
        <w:t xml:space="preserve">todos </w:t>
      </w:r>
      <w:r w:rsidRPr="00985849">
        <w:rPr>
          <w:rFonts w:ascii="Palatino Linotype" w:eastAsia="Calibri" w:hAnsi="Palatino Linotype" w:cs="Tahoma"/>
          <w:iCs/>
          <w:sz w:val="22"/>
          <w:szCs w:val="22"/>
          <w:lang w:val="es-ES" w:eastAsia="es-ES_tradnl"/>
        </w:rPr>
        <w:t>los trabajadores</w:t>
      </w:r>
      <w:r w:rsidR="00C2733C">
        <w:rPr>
          <w:rFonts w:ascii="Palatino Linotype" w:eastAsia="Calibri" w:hAnsi="Palatino Linotype" w:cs="Tahoma"/>
          <w:iCs/>
          <w:sz w:val="22"/>
          <w:szCs w:val="22"/>
          <w:lang w:val="es-ES" w:eastAsia="es-ES_tradnl"/>
        </w:rPr>
        <w:t>, incluidos los</w:t>
      </w:r>
      <w:r w:rsidRPr="00985849">
        <w:rPr>
          <w:rFonts w:ascii="Palatino Linotype" w:eastAsia="Calibri" w:hAnsi="Palatino Linotype" w:cs="Tahoma"/>
          <w:iCs/>
          <w:sz w:val="22"/>
          <w:szCs w:val="22"/>
          <w:lang w:val="es-ES" w:eastAsia="es-ES_tradnl"/>
        </w:rPr>
        <w:t xml:space="preserve"> sindicalizados,</w:t>
      </w:r>
      <w:r w:rsidR="00C2733C">
        <w:rPr>
          <w:rFonts w:ascii="Palatino Linotype" w:eastAsia="Calibri" w:hAnsi="Palatino Linotype" w:cs="Tahoma"/>
          <w:iCs/>
          <w:sz w:val="22"/>
          <w:szCs w:val="22"/>
          <w:lang w:val="es-ES" w:eastAsia="es-ES_tradnl"/>
        </w:rPr>
        <w:t xml:space="preserve"> de</w:t>
      </w:r>
      <w:r w:rsidRPr="00985849">
        <w:rPr>
          <w:rFonts w:ascii="Palatino Linotype" w:eastAsia="Calibri" w:hAnsi="Palatino Linotype" w:cs="Tahoma"/>
          <w:iCs/>
          <w:sz w:val="22"/>
          <w:szCs w:val="22"/>
          <w:lang w:val="es-ES" w:eastAsia="es-ES_tradnl"/>
        </w:rPr>
        <w:t xml:space="preserve"> confianza, policía y similares, lo siguiente:</w:t>
      </w:r>
    </w:p>
    <w:p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p>
    <w:p w:rsidR="00753ABF" w:rsidRPr="00985849" w:rsidRDefault="00753ABF" w:rsidP="00985849">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985849">
        <w:rPr>
          <w:rFonts w:ascii="Palatino Linotype" w:eastAsia="Calibri" w:hAnsi="Palatino Linotype" w:cs="Tahoma"/>
          <w:iCs/>
          <w:szCs w:val="22"/>
          <w:lang w:val="es-ES" w:eastAsia="es-ES_tradnl"/>
        </w:rPr>
        <w:t>Nómina, con el nombre de cada servidor o funcionario, con el salario bruto sin excedentes y compensaciones.</w:t>
      </w:r>
    </w:p>
    <w:p w:rsidR="00753ABF" w:rsidRPr="00985849" w:rsidRDefault="00753ABF" w:rsidP="00985849">
      <w:pPr>
        <w:pStyle w:val="Prrafodelista"/>
        <w:tabs>
          <w:tab w:val="left" w:pos="4962"/>
        </w:tabs>
        <w:spacing w:line="360" w:lineRule="auto"/>
        <w:jc w:val="both"/>
        <w:rPr>
          <w:rFonts w:ascii="Palatino Linotype" w:eastAsia="Calibri" w:hAnsi="Palatino Linotype" w:cs="Tahoma"/>
          <w:iCs/>
          <w:szCs w:val="22"/>
          <w:lang w:val="es-ES" w:eastAsia="es-ES_tradnl"/>
        </w:rPr>
      </w:pPr>
    </w:p>
    <w:p w:rsidR="00753ABF" w:rsidRPr="00985849" w:rsidRDefault="00753ABF" w:rsidP="00985849">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985849">
        <w:rPr>
          <w:rFonts w:ascii="Palatino Linotype" w:eastAsia="Calibri" w:hAnsi="Palatino Linotype" w:cs="Tahoma"/>
          <w:iCs/>
          <w:szCs w:val="22"/>
          <w:lang w:val="es-ES" w:eastAsia="es-ES_tradnl"/>
        </w:rPr>
        <w:t>Nómina, con el nombre de los servidores públicos, con todos los conceptos que forman parte del sobresueldo (compensaciones, horas extras, comisiones, apoyos, vales, exentes y similares).</w:t>
      </w:r>
    </w:p>
    <w:p w:rsidR="00753ABF" w:rsidRPr="00985849" w:rsidRDefault="00753ABF" w:rsidP="00985849">
      <w:pPr>
        <w:pStyle w:val="Prrafodelista"/>
        <w:spacing w:line="360" w:lineRule="auto"/>
        <w:rPr>
          <w:rFonts w:ascii="Palatino Linotype" w:eastAsia="Calibri" w:hAnsi="Palatino Linotype" w:cs="Tahoma"/>
          <w:iCs/>
          <w:szCs w:val="22"/>
          <w:lang w:val="es-ES" w:eastAsia="es-ES_tradnl"/>
        </w:rPr>
      </w:pPr>
    </w:p>
    <w:p w:rsidR="00753ABF" w:rsidRPr="00985849" w:rsidRDefault="00753ABF" w:rsidP="00985849">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985849">
        <w:rPr>
          <w:rFonts w:ascii="Palatino Linotype" w:eastAsia="Calibri" w:hAnsi="Palatino Linotype" w:cs="Tahoma"/>
          <w:iCs/>
          <w:szCs w:val="22"/>
          <w:lang w:val="es-ES" w:eastAsia="es-ES_tradnl"/>
        </w:rPr>
        <w:t>Listas de raya.</w:t>
      </w:r>
    </w:p>
    <w:p w:rsidR="00BB49A0" w:rsidRPr="00985849" w:rsidRDefault="00BB49A0" w:rsidP="00985849">
      <w:pPr>
        <w:tabs>
          <w:tab w:val="left" w:pos="4962"/>
        </w:tabs>
        <w:spacing w:line="360" w:lineRule="auto"/>
        <w:jc w:val="both"/>
        <w:rPr>
          <w:rFonts w:ascii="Palatino Linotype" w:eastAsia="Calibri" w:hAnsi="Palatino Linotype" w:cs="Tahoma"/>
          <w:iCs/>
          <w:sz w:val="22"/>
          <w:szCs w:val="22"/>
          <w:lang w:val="es-ES" w:eastAsia="es-ES_tradnl"/>
        </w:rPr>
      </w:pPr>
    </w:p>
    <w:p w:rsidR="008E5077" w:rsidRPr="00985849" w:rsidRDefault="00F00407"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 xml:space="preserve">Concluido el plazo para otorgar respuesta, el </w:t>
      </w:r>
      <w:r w:rsidR="00956793">
        <w:rPr>
          <w:rFonts w:ascii="Palatino Linotype" w:eastAsia="Calibri" w:hAnsi="Palatino Linotype" w:cs="Tahoma"/>
          <w:iCs/>
          <w:sz w:val="22"/>
          <w:szCs w:val="22"/>
          <w:lang w:val="es-ES" w:eastAsia="es-ES_tradnl"/>
        </w:rPr>
        <w:t>Sujeto Obligado</w:t>
      </w:r>
      <w:r w:rsidRPr="00985849">
        <w:rPr>
          <w:rFonts w:ascii="Palatino Linotype" w:eastAsia="Calibri" w:hAnsi="Palatino Linotype" w:cs="Tahoma"/>
          <w:iCs/>
          <w:sz w:val="22"/>
          <w:szCs w:val="22"/>
          <w:lang w:val="es-ES" w:eastAsia="es-ES_tradnl"/>
        </w:rPr>
        <w:t xml:space="preserve"> fue omiso en atender la solicitud de acceso a la información pública </w:t>
      </w:r>
      <w:r w:rsidR="006F76DD" w:rsidRPr="00985849">
        <w:rPr>
          <w:rFonts w:ascii="Palatino Linotype" w:eastAsia="Calibri" w:hAnsi="Palatino Linotype" w:cs="Tahoma"/>
          <w:iCs/>
          <w:sz w:val="22"/>
          <w:szCs w:val="22"/>
          <w:lang w:val="es-ES" w:eastAsia="es-ES_tradnl"/>
        </w:rPr>
        <w:t>que nos ocupa</w:t>
      </w:r>
      <w:r w:rsidR="00F23E81" w:rsidRPr="00985849">
        <w:rPr>
          <w:rFonts w:ascii="Palatino Linotype" w:eastAsia="Calibri" w:hAnsi="Palatino Linotype" w:cs="Tahoma"/>
          <w:iCs/>
          <w:sz w:val="22"/>
          <w:szCs w:val="22"/>
          <w:lang w:val="es-ES" w:eastAsia="es-ES_tradnl"/>
        </w:rPr>
        <w:t>; r</w:t>
      </w:r>
      <w:r w:rsidR="00BD5CDF" w:rsidRPr="00985849">
        <w:rPr>
          <w:rFonts w:ascii="Palatino Linotype" w:eastAsia="Calibri" w:hAnsi="Palatino Linotype" w:cs="Tahoma"/>
          <w:iCs/>
          <w:sz w:val="22"/>
          <w:szCs w:val="22"/>
          <w:lang w:val="es-ES" w:eastAsia="es-ES_tradnl"/>
        </w:rPr>
        <w:t>azón por la cual</w:t>
      </w:r>
      <w:r w:rsidR="00F23E81" w:rsidRPr="00985849">
        <w:rPr>
          <w:rFonts w:ascii="Palatino Linotype" w:eastAsia="Calibri" w:hAnsi="Palatino Linotype" w:cs="Tahoma"/>
          <w:iCs/>
          <w:sz w:val="22"/>
          <w:szCs w:val="22"/>
          <w:lang w:val="es-ES" w:eastAsia="es-ES_tradnl"/>
        </w:rPr>
        <w:t>,</w:t>
      </w:r>
      <w:r w:rsidR="00BD5CDF" w:rsidRPr="00985849">
        <w:rPr>
          <w:rFonts w:ascii="Palatino Linotype" w:eastAsia="Calibri" w:hAnsi="Palatino Linotype" w:cs="Tahoma"/>
          <w:iCs/>
          <w:sz w:val="22"/>
          <w:szCs w:val="22"/>
          <w:lang w:val="es-ES" w:eastAsia="es-ES_tradnl"/>
        </w:rPr>
        <w:t xml:space="preserve"> el particular presentó un recurso de revisión ante este Instituto, </w:t>
      </w:r>
      <w:r w:rsidR="005A3131" w:rsidRPr="00985849">
        <w:rPr>
          <w:rFonts w:ascii="Palatino Linotype" w:eastAsia="Calibri" w:hAnsi="Palatino Linotype" w:cs="Tahoma"/>
          <w:iCs/>
          <w:sz w:val="22"/>
          <w:szCs w:val="22"/>
          <w:lang w:val="es-ES" w:eastAsia="es-ES_tradnl"/>
        </w:rPr>
        <w:t xml:space="preserve">en el </w:t>
      </w:r>
      <w:r w:rsidR="00F23E81" w:rsidRPr="00985849">
        <w:rPr>
          <w:rFonts w:ascii="Palatino Linotype" w:eastAsia="Calibri" w:hAnsi="Palatino Linotype" w:cs="Tahoma"/>
          <w:iCs/>
          <w:sz w:val="22"/>
          <w:szCs w:val="22"/>
          <w:lang w:val="es-ES" w:eastAsia="es-ES_tradnl"/>
        </w:rPr>
        <w:t>que</w:t>
      </w:r>
      <w:r w:rsidR="00B73823">
        <w:rPr>
          <w:rFonts w:ascii="Palatino Linotype" w:eastAsia="Calibri" w:hAnsi="Palatino Linotype" w:cs="Tahoma"/>
          <w:iCs/>
          <w:sz w:val="22"/>
          <w:szCs w:val="22"/>
          <w:lang w:val="es-ES" w:eastAsia="es-ES_tradnl"/>
        </w:rPr>
        <w:t xml:space="preserve"> </w:t>
      </w:r>
      <w:r w:rsidR="00BD5CDF" w:rsidRPr="00985849">
        <w:rPr>
          <w:rFonts w:ascii="Palatino Linotype" w:eastAsia="Calibri" w:hAnsi="Palatino Linotype" w:cs="Tahoma"/>
          <w:iCs/>
          <w:sz w:val="22"/>
          <w:szCs w:val="22"/>
          <w:lang w:val="es-ES" w:eastAsia="es-ES_tradnl"/>
        </w:rPr>
        <w:t>manifest</w:t>
      </w:r>
      <w:r w:rsidR="005A3131" w:rsidRPr="00985849">
        <w:rPr>
          <w:rFonts w:ascii="Palatino Linotype" w:eastAsia="Calibri" w:hAnsi="Palatino Linotype" w:cs="Tahoma"/>
          <w:iCs/>
          <w:sz w:val="22"/>
          <w:szCs w:val="22"/>
          <w:lang w:val="es-ES" w:eastAsia="es-ES_tradnl"/>
        </w:rPr>
        <w:t>ó</w:t>
      </w:r>
      <w:r w:rsidR="00BD5CDF" w:rsidRPr="00985849">
        <w:rPr>
          <w:rFonts w:ascii="Palatino Linotype" w:eastAsia="Calibri" w:hAnsi="Palatino Linotype" w:cs="Tahoma"/>
          <w:iCs/>
          <w:sz w:val="22"/>
          <w:szCs w:val="22"/>
          <w:lang w:val="es-ES" w:eastAsia="es-ES_tradnl"/>
        </w:rPr>
        <w:t xml:space="preserve"> como agravio la falta de respuesta del </w:t>
      </w:r>
      <w:r w:rsidR="00956793">
        <w:rPr>
          <w:rFonts w:ascii="Palatino Linotype" w:eastAsia="Calibri" w:hAnsi="Palatino Linotype" w:cs="Tahoma"/>
          <w:iCs/>
          <w:sz w:val="22"/>
          <w:szCs w:val="22"/>
          <w:lang w:val="es-ES" w:eastAsia="es-ES_tradnl"/>
        </w:rPr>
        <w:t>Sujeto Obligado</w:t>
      </w:r>
      <w:r w:rsidR="00BD5CDF" w:rsidRPr="00985849">
        <w:rPr>
          <w:rFonts w:ascii="Palatino Linotype" w:eastAsia="Calibri" w:hAnsi="Palatino Linotype" w:cs="Tahoma"/>
          <w:iCs/>
          <w:sz w:val="22"/>
          <w:szCs w:val="22"/>
          <w:lang w:val="es-ES" w:eastAsia="es-ES_tradnl"/>
        </w:rPr>
        <w:t xml:space="preserve"> a la solicitud de acceso a la información </w:t>
      </w:r>
      <w:r w:rsidR="00F23E81" w:rsidRPr="00985849">
        <w:rPr>
          <w:rFonts w:ascii="Palatino Linotype" w:eastAsia="Calibri" w:hAnsi="Palatino Linotype" w:cs="Tahoma"/>
          <w:iCs/>
          <w:sz w:val="22"/>
          <w:szCs w:val="22"/>
          <w:lang w:val="es-ES" w:eastAsia="es-ES_tradnl"/>
        </w:rPr>
        <w:t xml:space="preserve">con </w:t>
      </w:r>
      <w:r w:rsidR="00BD5CDF" w:rsidRPr="00985849">
        <w:rPr>
          <w:rFonts w:ascii="Palatino Linotype" w:eastAsia="Calibri" w:hAnsi="Palatino Linotype" w:cs="Tahoma"/>
          <w:iCs/>
          <w:sz w:val="22"/>
          <w:szCs w:val="22"/>
          <w:lang w:val="es-ES" w:eastAsia="es-ES_tradnl"/>
        </w:rPr>
        <w:t>número</w:t>
      </w:r>
      <w:r w:rsidR="00F23E81" w:rsidRPr="00985849">
        <w:rPr>
          <w:rFonts w:ascii="Palatino Linotype" w:eastAsia="Calibri" w:hAnsi="Palatino Linotype" w:cs="Tahoma"/>
          <w:iCs/>
          <w:sz w:val="22"/>
          <w:szCs w:val="22"/>
          <w:lang w:val="es-ES" w:eastAsia="es-ES_tradnl"/>
        </w:rPr>
        <w:t xml:space="preserve"> de folio </w:t>
      </w:r>
      <w:r w:rsidR="00ED021D" w:rsidRPr="00574856">
        <w:rPr>
          <w:rFonts w:ascii="Palatino Linotype" w:eastAsia="Calibri" w:hAnsi="Palatino Linotype" w:cs="Tahoma"/>
          <w:b/>
          <w:iCs/>
          <w:sz w:val="22"/>
          <w:szCs w:val="22"/>
          <w:lang w:val="es-ES" w:eastAsia="es-ES_tradnl"/>
        </w:rPr>
        <w:t>00084/TIMILPAN/IP/2018</w:t>
      </w:r>
      <w:r w:rsidR="00BB49A0" w:rsidRPr="00985849">
        <w:rPr>
          <w:rFonts w:ascii="Palatino Linotype" w:eastAsia="Calibri" w:hAnsi="Palatino Linotype" w:cs="Tahoma"/>
          <w:iCs/>
          <w:sz w:val="22"/>
          <w:szCs w:val="22"/>
          <w:lang w:val="es-ES" w:eastAsia="es-ES_tradnl"/>
        </w:rPr>
        <w:t xml:space="preserve">, </w:t>
      </w:r>
      <w:r w:rsidR="00BD5CDF" w:rsidRPr="00985849">
        <w:rPr>
          <w:rFonts w:ascii="Palatino Linotype" w:eastAsia="Calibri" w:hAnsi="Palatino Linotype" w:cs="Tahoma"/>
          <w:iCs/>
          <w:sz w:val="22"/>
          <w:szCs w:val="22"/>
          <w:lang w:val="es-ES" w:eastAsia="es-ES_tradnl"/>
        </w:rPr>
        <w:t>dentro de los plazos previstos por la Ley de</w:t>
      </w:r>
      <w:r w:rsidR="00BB49A0" w:rsidRPr="00985849">
        <w:rPr>
          <w:rFonts w:ascii="Palatino Linotype" w:eastAsia="Calibri" w:hAnsi="Palatino Linotype" w:cs="Tahoma"/>
          <w:iCs/>
          <w:sz w:val="22"/>
          <w:szCs w:val="22"/>
          <w:lang w:val="es-ES" w:eastAsia="es-ES_tradnl"/>
        </w:rPr>
        <w:t xml:space="preserve"> Transparencia y Acceso a la Información Pública del Estado de México y Municipios</w:t>
      </w:r>
      <w:r w:rsidR="00BD5CDF" w:rsidRPr="00985849">
        <w:rPr>
          <w:rFonts w:ascii="Palatino Linotype" w:eastAsia="Calibri" w:hAnsi="Palatino Linotype" w:cs="Tahoma"/>
          <w:iCs/>
          <w:sz w:val="22"/>
          <w:szCs w:val="22"/>
          <w:lang w:val="es-ES" w:eastAsia="es-ES_tradnl"/>
        </w:rPr>
        <w:t>.</w:t>
      </w:r>
    </w:p>
    <w:p w:rsidR="00315492" w:rsidRPr="00985849" w:rsidRDefault="00315492" w:rsidP="00985849">
      <w:pPr>
        <w:tabs>
          <w:tab w:val="left" w:pos="4962"/>
        </w:tabs>
        <w:spacing w:line="360" w:lineRule="auto"/>
        <w:jc w:val="both"/>
        <w:rPr>
          <w:rFonts w:ascii="Palatino Linotype" w:eastAsia="Calibri" w:hAnsi="Palatino Linotype" w:cs="Tahoma"/>
          <w:b/>
          <w:iCs/>
          <w:sz w:val="22"/>
          <w:szCs w:val="22"/>
          <w:lang w:val="es-ES" w:eastAsia="es-ES_tradnl"/>
        </w:rPr>
      </w:pPr>
    </w:p>
    <w:p w:rsidR="00BD5CDF" w:rsidRPr="00985849" w:rsidRDefault="00BD5CD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00BD5CDF" w:rsidRPr="00985849" w:rsidRDefault="00BD5CDF" w:rsidP="00985849">
      <w:pPr>
        <w:tabs>
          <w:tab w:val="left" w:pos="4962"/>
        </w:tabs>
        <w:spacing w:line="360" w:lineRule="auto"/>
        <w:jc w:val="both"/>
        <w:rPr>
          <w:rFonts w:ascii="Palatino Linotype" w:eastAsia="Calibri" w:hAnsi="Palatino Linotype" w:cs="Tahoma"/>
          <w:b/>
          <w:iCs/>
          <w:sz w:val="22"/>
          <w:szCs w:val="22"/>
          <w:lang w:val="es-ES" w:eastAsia="es-ES_tradnl"/>
        </w:rPr>
      </w:pPr>
    </w:p>
    <w:p w:rsidR="00B37CF8" w:rsidRPr="00985849" w:rsidRDefault="00B37CF8" w:rsidP="00985849">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rsidR="00B37CF8" w:rsidRPr="00985849" w:rsidRDefault="00B37CF8" w:rsidP="00985849">
      <w:pPr>
        <w:spacing w:line="360" w:lineRule="auto"/>
        <w:ind w:right="-93"/>
        <w:jc w:val="both"/>
        <w:rPr>
          <w:rFonts w:ascii="Palatino Linotype" w:hAnsi="Palatino Linotype" w:cs="Tahoma"/>
          <w:b/>
          <w:sz w:val="22"/>
          <w:szCs w:val="22"/>
        </w:rPr>
      </w:pPr>
    </w:p>
    <w:p w:rsidR="00B37CF8" w:rsidRPr="00985849" w:rsidRDefault="00B37CF8" w:rsidP="00985849">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B37CF8" w:rsidRPr="00985849" w:rsidRDefault="00B37CF8" w:rsidP="00985849">
      <w:pPr>
        <w:spacing w:line="360" w:lineRule="auto"/>
        <w:contextualSpacing/>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sidR="00956793">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92, fracción VIII,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w:t>
      </w:r>
      <w:r w:rsidR="00956793">
        <w:rPr>
          <w:rFonts w:ascii="Palatino Linotype" w:hAnsi="Palatino Linotype" w:cs="Tahoma"/>
          <w:sz w:val="22"/>
          <w:szCs w:val="22"/>
        </w:rPr>
        <w:t>Obligado</w:t>
      </w:r>
      <w:r w:rsidRPr="00985849">
        <w:rPr>
          <w:rFonts w:ascii="Palatino Linotype" w:hAnsi="Palatino Linotype" w:cs="Tahoma"/>
          <w:sz w:val="22"/>
          <w:szCs w:val="22"/>
        </w:rPr>
        <w:t>s.</w:t>
      </w:r>
    </w:p>
    <w:p w:rsidR="00B37CF8" w:rsidRPr="00985849" w:rsidRDefault="00B37CF8" w:rsidP="00985849">
      <w:pPr>
        <w:tabs>
          <w:tab w:val="left" w:pos="4962"/>
        </w:tabs>
        <w:spacing w:line="360" w:lineRule="auto"/>
        <w:jc w:val="both"/>
        <w:rPr>
          <w:rFonts w:ascii="Palatino Linotype" w:eastAsia="Calibri" w:hAnsi="Palatino Linotype" w:cs="Tahoma"/>
          <w:b/>
          <w:iCs/>
          <w:sz w:val="22"/>
          <w:szCs w:val="22"/>
          <w:lang w:val="es-ES" w:eastAsia="es-ES_tradnl"/>
        </w:rPr>
      </w:pPr>
    </w:p>
    <w:p w:rsidR="00237D0D" w:rsidRPr="00985849" w:rsidRDefault="00B37CF8" w:rsidP="00985849">
      <w:pPr>
        <w:spacing w:line="360" w:lineRule="auto"/>
        <w:ind w:right="-93"/>
        <w:jc w:val="both"/>
        <w:rPr>
          <w:rFonts w:ascii="Palatino Linotype" w:hAnsi="Palatino Linotype" w:cs="Tahoma"/>
          <w:b/>
          <w:sz w:val="22"/>
          <w:szCs w:val="22"/>
          <w:lang w:val="es-ES"/>
        </w:rPr>
      </w:pPr>
      <w:r w:rsidRPr="00985849">
        <w:rPr>
          <w:rFonts w:ascii="Palatino Linotype" w:hAnsi="Palatino Linotype" w:cs="Tahoma"/>
          <w:b/>
          <w:sz w:val="22"/>
          <w:szCs w:val="22"/>
          <w:lang w:val="es-ES"/>
        </w:rPr>
        <w:t>QUINTO</w:t>
      </w:r>
      <w:r w:rsidR="009617D3" w:rsidRPr="00985849">
        <w:rPr>
          <w:rFonts w:ascii="Palatino Linotype" w:hAnsi="Palatino Linotype" w:cs="Tahoma"/>
          <w:b/>
          <w:sz w:val="22"/>
          <w:szCs w:val="22"/>
          <w:lang w:val="es-ES"/>
        </w:rPr>
        <w:t>. Estudio de Fondo.</w:t>
      </w:r>
    </w:p>
    <w:p w:rsidR="00264223" w:rsidRPr="00985849" w:rsidRDefault="00264223" w:rsidP="00985849">
      <w:pPr>
        <w:spacing w:line="360" w:lineRule="auto"/>
        <w:ind w:right="-93"/>
        <w:jc w:val="both"/>
        <w:rPr>
          <w:rFonts w:ascii="Palatino Linotype" w:hAnsi="Palatino Linotype" w:cs="Tahoma"/>
          <w:b/>
          <w:sz w:val="22"/>
          <w:szCs w:val="22"/>
          <w:lang w:val="es-ES"/>
        </w:rPr>
      </w:pPr>
    </w:p>
    <w:p w:rsidR="008E6FF3" w:rsidRPr="00985849" w:rsidRDefault="000477E7"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Expuesta la controversia</w:t>
      </w:r>
      <w:r w:rsidR="0032170B" w:rsidRPr="00985849">
        <w:rPr>
          <w:rFonts w:ascii="Palatino Linotype" w:eastAsia="Calibri" w:hAnsi="Palatino Linotype" w:cs="Tahoma"/>
          <w:bCs/>
          <w:sz w:val="22"/>
          <w:szCs w:val="22"/>
          <w:lang w:eastAsia="en-US"/>
        </w:rPr>
        <w:t xml:space="preserve">, </w:t>
      </w:r>
      <w:r w:rsidR="00880552" w:rsidRPr="00985849">
        <w:rPr>
          <w:rFonts w:ascii="Palatino Linotype" w:eastAsia="Calibri" w:hAnsi="Palatino Linotype" w:cs="Tahoma"/>
          <w:bCs/>
          <w:sz w:val="22"/>
          <w:szCs w:val="22"/>
          <w:lang w:eastAsia="en-US"/>
        </w:rPr>
        <w:t>s</w:t>
      </w:r>
      <w:r w:rsidR="00B07F12" w:rsidRPr="00985849">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 procede al análisis del agravio hecho valer por la ahora </w:t>
      </w:r>
      <w:r w:rsidR="00B07F12" w:rsidRPr="00985849">
        <w:rPr>
          <w:rFonts w:ascii="Palatino Linotype" w:eastAsia="Calibri" w:hAnsi="Palatino Linotype" w:cs="Tahoma"/>
          <w:bCs/>
          <w:sz w:val="22"/>
          <w:szCs w:val="22"/>
          <w:lang w:eastAsia="en-US"/>
        </w:rPr>
        <w:t>Recurrente</w:t>
      </w:r>
      <w:r w:rsidR="0032170B" w:rsidRPr="00985849">
        <w:rPr>
          <w:rFonts w:ascii="Palatino Linotype" w:eastAsia="Calibri" w:hAnsi="Palatino Linotype" w:cs="Tahoma"/>
          <w:bCs/>
          <w:sz w:val="22"/>
          <w:szCs w:val="22"/>
          <w:lang w:eastAsia="en-US"/>
        </w:rPr>
        <w:t xml:space="preserve">, concerniente a la falta de respuesta del Ayuntamiento de </w:t>
      </w:r>
      <w:r w:rsidR="00ED021D">
        <w:rPr>
          <w:rFonts w:ascii="Palatino Linotype" w:eastAsia="Calibri" w:hAnsi="Palatino Linotype" w:cs="Tahoma"/>
          <w:bCs/>
          <w:sz w:val="22"/>
          <w:szCs w:val="22"/>
          <w:lang w:eastAsia="en-US"/>
        </w:rPr>
        <w:t>Timilpan</w:t>
      </w:r>
      <w:r w:rsidR="00A112F7" w:rsidRPr="00985849">
        <w:rPr>
          <w:rFonts w:ascii="Palatino Linotype" w:eastAsia="Calibri" w:hAnsi="Palatino Linotype" w:cs="Tahoma"/>
          <w:bCs/>
          <w:sz w:val="22"/>
          <w:szCs w:val="22"/>
          <w:lang w:eastAsia="en-US"/>
        </w:rPr>
        <w:t xml:space="preserve"> </w:t>
      </w:r>
      <w:r w:rsidR="0032170B" w:rsidRPr="00985849">
        <w:rPr>
          <w:rFonts w:ascii="Palatino Linotype" w:eastAsia="Calibri" w:hAnsi="Palatino Linotype" w:cs="Tahoma"/>
          <w:bCs/>
          <w:sz w:val="22"/>
          <w:szCs w:val="22"/>
          <w:lang w:eastAsia="en-US"/>
        </w:rPr>
        <w:t>al requerimiento informativo.</w:t>
      </w:r>
    </w:p>
    <w:p w:rsidR="00264223" w:rsidRPr="00985849" w:rsidRDefault="00264223" w:rsidP="00985849">
      <w:pPr>
        <w:spacing w:line="360" w:lineRule="auto"/>
        <w:ind w:right="-93"/>
        <w:jc w:val="both"/>
        <w:rPr>
          <w:rFonts w:ascii="Palatino Linotype" w:eastAsia="Calibri" w:hAnsi="Palatino Linotype" w:cs="Tahoma"/>
          <w:bCs/>
          <w:sz w:val="22"/>
          <w:szCs w:val="22"/>
          <w:lang w:eastAsia="en-US"/>
        </w:rPr>
      </w:pPr>
    </w:p>
    <w:p w:rsidR="008E6FF3" w:rsidRPr="00985849" w:rsidRDefault="00E617BD"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principio, es de suma importan</w:t>
      </w:r>
      <w:r w:rsidR="00F5374C" w:rsidRPr="00985849">
        <w:rPr>
          <w:rFonts w:ascii="Palatino Linotype" w:eastAsia="Calibri" w:hAnsi="Palatino Linotype" w:cs="Tahoma"/>
          <w:bCs/>
          <w:sz w:val="22"/>
          <w:szCs w:val="22"/>
          <w:lang w:eastAsia="en-US"/>
        </w:rPr>
        <w:t>cia</w:t>
      </w:r>
      <w:r w:rsidRPr="00985849">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985849">
        <w:rPr>
          <w:rFonts w:ascii="Palatino Linotype" w:eastAsia="Calibri" w:hAnsi="Palatino Linotype" w:cs="Tahoma"/>
          <w:bCs/>
          <w:sz w:val="22"/>
          <w:szCs w:val="22"/>
          <w:lang w:eastAsia="en-US"/>
        </w:rPr>
        <w:t xml:space="preserve">ón de acceso por parte de los Sujetos </w:t>
      </w:r>
      <w:r w:rsidR="00956793">
        <w:rPr>
          <w:rFonts w:ascii="Palatino Linotype" w:eastAsia="Calibri" w:hAnsi="Palatino Linotype" w:cs="Tahoma"/>
          <w:bCs/>
          <w:sz w:val="22"/>
          <w:szCs w:val="22"/>
          <w:lang w:eastAsia="en-US"/>
        </w:rPr>
        <w:t>Obligado</w:t>
      </w:r>
      <w:r w:rsidRPr="00985849">
        <w:rPr>
          <w:rFonts w:ascii="Palatino Linotype" w:eastAsia="Calibri" w:hAnsi="Palatino Linotype" w:cs="Tahoma"/>
          <w:bCs/>
          <w:sz w:val="22"/>
          <w:szCs w:val="22"/>
          <w:lang w:eastAsia="en-US"/>
        </w:rPr>
        <w:t>s, lo</w:t>
      </w:r>
      <w:r w:rsidR="00F23E81" w:rsidRPr="00985849">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rsidR="00E617BD" w:rsidRPr="00985849" w:rsidRDefault="00E617BD" w:rsidP="00985849">
      <w:pPr>
        <w:spacing w:line="360" w:lineRule="auto"/>
        <w:ind w:right="-93"/>
        <w:jc w:val="both"/>
        <w:rPr>
          <w:rFonts w:ascii="Palatino Linotype" w:eastAsia="Calibri" w:hAnsi="Palatino Linotype" w:cs="Tahoma"/>
          <w:bCs/>
          <w:sz w:val="22"/>
          <w:szCs w:val="22"/>
          <w:lang w:eastAsia="en-US"/>
        </w:rPr>
      </w:pPr>
    </w:p>
    <w:p w:rsidR="00F91800" w:rsidRPr="00985849" w:rsidRDefault="00E617BD"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985849">
        <w:rPr>
          <w:rFonts w:ascii="Palatino Linotype" w:eastAsia="Calibri" w:hAnsi="Palatino Linotype" w:cs="Tahoma"/>
          <w:bCs/>
          <w:szCs w:val="22"/>
          <w:lang w:eastAsia="en-US"/>
        </w:rPr>
        <w:t>s</w:t>
      </w:r>
      <w:r w:rsidRPr="00985849">
        <w:rPr>
          <w:rFonts w:ascii="Palatino Linotype" w:eastAsia="Calibri" w:hAnsi="Palatino Linotype" w:cs="Tahoma"/>
          <w:bCs/>
          <w:szCs w:val="22"/>
          <w:lang w:eastAsia="en-US"/>
        </w:rPr>
        <w:t>, expeditos, oportunos y gratuitos</w:t>
      </w:r>
      <w:r w:rsidR="005743D2" w:rsidRPr="00985849">
        <w:rPr>
          <w:rFonts w:ascii="Palatino Linotype" w:eastAsia="Calibri" w:hAnsi="Palatino Linotype" w:cs="Tahoma"/>
          <w:bCs/>
          <w:szCs w:val="22"/>
          <w:lang w:eastAsia="en-US"/>
        </w:rPr>
        <w:t>;</w:t>
      </w:r>
    </w:p>
    <w:p w:rsidR="00264223" w:rsidRPr="00985849" w:rsidRDefault="00264223" w:rsidP="00985849">
      <w:pPr>
        <w:spacing w:line="360" w:lineRule="auto"/>
        <w:ind w:left="360" w:right="-93"/>
        <w:jc w:val="both"/>
        <w:rPr>
          <w:rFonts w:ascii="Palatino Linotype" w:eastAsia="Calibri" w:hAnsi="Palatino Linotype" w:cs="Tahoma"/>
          <w:bCs/>
          <w:sz w:val="22"/>
          <w:szCs w:val="22"/>
          <w:lang w:eastAsia="en-US"/>
        </w:rPr>
      </w:pPr>
    </w:p>
    <w:p w:rsidR="00F91800" w:rsidRPr="00985849"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lastRenderedPageBreak/>
        <w:t xml:space="preserve">Transparentar la gestión pública, mediante la difusión de la información generada por los Sujetos </w:t>
      </w:r>
      <w:r w:rsidR="00956793">
        <w:rPr>
          <w:rFonts w:ascii="Palatino Linotype" w:eastAsia="Calibri" w:hAnsi="Palatino Linotype" w:cs="Tahoma"/>
          <w:bCs/>
          <w:szCs w:val="22"/>
          <w:lang w:eastAsia="en-US"/>
        </w:rPr>
        <w:t>Obligado</w:t>
      </w:r>
      <w:r w:rsidR="005743D2" w:rsidRPr="00985849">
        <w:rPr>
          <w:rFonts w:ascii="Palatino Linotype" w:eastAsia="Calibri" w:hAnsi="Palatino Linotype" w:cs="Tahoma"/>
          <w:bCs/>
          <w:szCs w:val="22"/>
          <w:lang w:eastAsia="en-US"/>
        </w:rPr>
        <w:t>s, y</w:t>
      </w:r>
    </w:p>
    <w:p w:rsidR="00F91800" w:rsidRPr="00985849" w:rsidRDefault="00F91800" w:rsidP="00985849">
      <w:pPr>
        <w:pStyle w:val="Prrafodelista"/>
        <w:spacing w:line="360" w:lineRule="auto"/>
        <w:rPr>
          <w:rFonts w:ascii="Palatino Linotype" w:eastAsia="Calibri" w:hAnsi="Palatino Linotype" w:cs="Tahoma"/>
          <w:bCs/>
          <w:szCs w:val="22"/>
          <w:lang w:eastAsia="en-US"/>
        </w:rPr>
      </w:pPr>
    </w:p>
    <w:p w:rsidR="00683CB5" w:rsidRPr="00985849"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683CB5" w:rsidRPr="00985849" w:rsidRDefault="00683CB5" w:rsidP="00985849">
      <w:pPr>
        <w:spacing w:line="360" w:lineRule="auto"/>
        <w:ind w:right="-93"/>
        <w:jc w:val="both"/>
        <w:rPr>
          <w:rFonts w:ascii="Palatino Linotype" w:eastAsia="Calibri" w:hAnsi="Palatino Linotype" w:cs="Tahoma"/>
          <w:bCs/>
          <w:sz w:val="22"/>
          <w:szCs w:val="22"/>
          <w:lang w:eastAsia="en-US"/>
        </w:rPr>
      </w:pPr>
    </w:p>
    <w:p w:rsidR="00F91800" w:rsidRPr="00985849" w:rsidRDefault="00F91800"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Conforme a lo </w:t>
      </w:r>
      <w:r w:rsidR="00481674" w:rsidRPr="00985849">
        <w:rPr>
          <w:rFonts w:ascii="Palatino Linotype" w:eastAsia="Calibri" w:hAnsi="Palatino Linotype" w:cs="Tahoma"/>
          <w:bCs/>
          <w:sz w:val="22"/>
          <w:szCs w:val="22"/>
          <w:lang w:eastAsia="en-US"/>
        </w:rPr>
        <w:t>anterior</w:t>
      </w:r>
      <w:r w:rsidRPr="00985849">
        <w:rPr>
          <w:rFonts w:ascii="Palatino Linotype" w:eastAsia="Calibri" w:hAnsi="Palatino Linotype" w:cs="Tahoma"/>
          <w:bCs/>
          <w:sz w:val="22"/>
          <w:szCs w:val="22"/>
          <w:lang w:eastAsia="en-US"/>
        </w:rPr>
        <w:t xml:space="preserve">, se deprende que </w:t>
      </w:r>
      <w:r w:rsidRPr="00985849">
        <w:rPr>
          <w:rFonts w:ascii="Palatino Linotype" w:eastAsia="Calibri" w:hAnsi="Palatino Linotype" w:cs="Tahoma"/>
          <w:b/>
          <w:bCs/>
          <w:sz w:val="22"/>
          <w:szCs w:val="22"/>
          <w:lang w:eastAsia="en-US"/>
        </w:rPr>
        <w:t>los objetivos de la Ley de la materia,</w:t>
      </w:r>
      <w:r w:rsidRPr="0098584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985849">
        <w:rPr>
          <w:rFonts w:ascii="Palatino Linotype" w:eastAsia="Calibri" w:hAnsi="Palatino Linotype" w:cs="Tahoma"/>
          <w:bCs/>
          <w:sz w:val="22"/>
          <w:szCs w:val="22"/>
          <w:lang w:eastAsia="en-US"/>
        </w:rPr>
        <w:t>ón, foment</w:t>
      </w:r>
      <w:r w:rsidR="00722A84">
        <w:rPr>
          <w:rFonts w:ascii="Palatino Linotype" w:eastAsia="Calibri" w:hAnsi="Palatino Linotype" w:cs="Tahoma"/>
          <w:bCs/>
          <w:sz w:val="22"/>
          <w:szCs w:val="22"/>
          <w:lang w:eastAsia="en-US"/>
        </w:rPr>
        <w:t>o</w:t>
      </w:r>
      <w:r w:rsidR="003A7FBE" w:rsidRPr="00985849">
        <w:rPr>
          <w:rFonts w:ascii="Palatino Linotype" w:eastAsia="Calibri" w:hAnsi="Palatino Linotype" w:cs="Tahoma"/>
          <w:bCs/>
          <w:sz w:val="22"/>
          <w:szCs w:val="22"/>
          <w:lang w:eastAsia="en-US"/>
        </w:rPr>
        <w:t xml:space="preserve"> y difusión de la cultura de transparencia y la rendición de cuentas, a través de</w:t>
      </w:r>
      <w:r w:rsidR="00722A84">
        <w:rPr>
          <w:rFonts w:ascii="Palatino Linotype" w:eastAsia="Calibri" w:hAnsi="Palatino Linotype" w:cs="Tahoma"/>
          <w:bCs/>
          <w:sz w:val="22"/>
          <w:szCs w:val="22"/>
          <w:lang w:eastAsia="en-US"/>
        </w:rPr>
        <w:t>l</w:t>
      </w:r>
      <w:r w:rsidR="003A7FBE" w:rsidRPr="00985849">
        <w:rPr>
          <w:rFonts w:ascii="Palatino Linotype" w:eastAsia="Calibri" w:hAnsi="Palatino Linotype" w:cs="Tahoma"/>
          <w:bCs/>
          <w:sz w:val="22"/>
          <w:szCs w:val="22"/>
          <w:lang w:eastAsia="en-US"/>
        </w:rPr>
        <w:t xml:space="preserve"> establecimiento de políticas públicas y mecanismos que garanticen la publicidad de información oportuna, verificable, comprensible, actualizada y completa.</w:t>
      </w:r>
    </w:p>
    <w:p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p>
    <w:p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ese orden de ideas, para la atención de las solicitud</w:t>
      </w:r>
      <w:r w:rsidR="00722A84">
        <w:rPr>
          <w:rFonts w:ascii="Palatino Linotype" w:eastAsia="Calibri" w:hAnsi="Palatino Linotype" w:cs="Tahoma"/>
          <w:bCs/>
          <w:sz w:val="22"/>
          <w:szCs w:val="22"/>
          <w:lang w:eastAsia="en-US"/>
        </w:rPr>
        <w:t>es</w:t>
      </w:r>
      <w:r w:rsidRPr="00985849">
        <w:rPr>
          <w:rFonts w:ascii="Palatino Linotype" w:eastAsia="Calibri" w:hAnsi="Palatino Linotype" w:cs="Tahoma"/>
          <w:bCs/>
          <w:sz w:val="22"/>
          <w:szCs w:val="22"/>
          <w:lang w:eastAsia="en-US"/>
        </w:rPr>
        <w:t xml:space="preserve"> de acceso a la información, debe privilegiarse el </w:t>
      </w:r>
      <w:r w:rsidRPr="00985849">
        <w:rPr>
          <w:rFonts w:ascii="Palatino Linotype" w:eastAsia="Calibri" w:hAnsi="Palatino Linotype" w:cs="Tahoma"/>
          <w:b/>
          <w:bCs/>
          <w:sz w:val="22"/>
          <w:szCs w:val="22"/>
          <w:lang w:eastAsia="en-US"/>
        </w:rPr>
        <w:t>principio de máxima publicidad</w:t>
      </w:r>
      <w:r w:rsidRPr="00985849">
        <w:rPr>
          <w:rFonts w:ascii="Palatino Linotype" w:eastAsia="Calibri" w:hAnsi="Palatino Linotype" w:cs="Tahoma"/>
          <w:bCs/>
          <w:sz w:val="22"/>
          <w:szCs w:val="22"/>
          <w:lang w:eastAsia="en-US"/>
        </w:rPr>
        <w:t xml:space="preserve"> el cual dispone que toda la información en posesión de los sujetos </w:t>
      </w:r>
      <w:r w:rsidR="00722A84">
        <w:rPr>
          <w:rFonts w:ascii="Palatino Linotype" w:eastAsia="Calibri" w:hAnsi="Palatino Linotype" w:cs="Tahoma"/>
          <w:bCs/>
          <w:sz w:val="22"/>
          <w:szCs w:val="22"/>
          <w:lang w:eastAsia="en-US"/>
        </w:rPr>
        <w:t>o</w:t>
      </w:r>
      <w:r w:rsidR="00956793">
        <w:rPr>
          <w:rFonts w:ascii="Palatino Linotype" w:eastAsia="Calibri" w:hAnsi="Palatino Linotype" w:cs="Tahoma"/>
          <w:bCs/>
          <w:sz w:val="22"/>
          <w:szCs w:val="22"/>
          <w:lang w:eastAsia="en-US"/>
        </w:rPr>
        <w:t>bligado</w:t>
      </w:r>
      <w:r w:rsidRPr="00985849">
        <w:rPr>
          <w:rFonts w:ascii="Palatino Linotype" w:eastAsia="Calibri" w:hAnsi="Palatino Linotype" w:cs="Tahoma"/>
          <w:bCs/>
          <w:sz w:val="22"/>
          <w:szCs w:val="22"/>
          <w:lang w:eastAsia="en-US"/>
        </w:rPr>
        <w:t>s será pública, completa, oportuna y accesible, sujeta a un claro régimen de excepciones que deberán estar definidas y ser legítimas y estrictamente necesarias en una sociedad democrática.</w:t>
      </w:r>
    </w:p>
    <w:p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p>
    <w:p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Para lograr lo </w:t>
      </w:r>
      <w:r w:rsidR="00481674" w:rsidRPr="00985849">
        <w:rPr>
          <w:rFonts w:ascii="Palatino Linotype" w:eastAsia="Calibri" w:hAnsi="Palatino Linotype" w:cs="Tahoma"/>
          <w:bCs/>
          <w:sz w:val="22"/>
          <w:szCs w:val="22"/>
          <w:lang w:eastAsia="en-US"/>
        </w:rPr>
        <w:t>precisado</w:t>
      </w:r>
      <w:r w:rsidRPr="00985849">
        <w:rPr>
          <w:rFonts w:ascii="Palatino Linotype" w:eastAsia="Calibri" w:hAnsi="Palatino Linotype" w:cs="Tahoma"/>
          <w:bCs/>
          <w:sz w:val="22"/>
          <w:szCs w:val="22"/>
          <w:lang w:eastAsia="en-US"/>
        </w:rPr>
        <w:t xml:space="preserve">, los </w:t>
      </w:r>
      <w:r w:rsidR="00722A84">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ujetos </w:t>
      </w:r>
      <w:r w:rsidR="00722A84">
        <w:rPr>
          <w:rFonts w:ascii="Palatino Linotype" w:eastAsia="Calibri" w:hAnsi="Palatino Linotype" w:cs="Tahoma"/>
          <w:bCs/>
          <w:sz w:val="22"/>
          <w:szCs w:val="22"/>
          <w:lang w:eastAsia="en-US"/>
        </w:rPr>
        <w:t>obligado</w:t>
      </w:r>
      <w:r w:rsidR="00722A84"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985849">
        <w:rPr>
          <w:rFonts w:ascii="Palatino Linotype" w:eastAsia="Calibri" w:hAnsi="Palatino Linotype" w:cs="Tahoma"/>
          <w:bCs/>
          <w:sz w:val="22"/>
          <w:szCs w:val="22"/>
          <w:lang w:eastAsia="en-US"/>
        </w:rPr>
        <w:t>151, 160, 162, 163, 164, 165</w:t>
      </w:r>
      <w:r w:rsidR="000C59CB" w:rsidRPr="00985849">
        <w:rPr>
          <w:rFonts w:ascii="Palatino Linotype" w:eastAsia="Calibri" w:hAnsi="Palatino Linotype" w:cs="Tahoma"/>
          <w:bCs/>
          <w:sz w:val="22"/>
          <w:szCs w:val="22"/>
          <w:lang w:eastAsia="en-US"/>
        </w:rPr>
        <w:t xml:space="preserve"> y 166</w:t>
      </w:r>
      <w:r w:rsidR="00AC2C6E" w:rsidRPr="00985849">
        <w:rPr>
          <w:rFonts w:ascii="Palatino Linotype" w:eastAsia="Calibri" w:hAnsi="Palatino Linotype" w:cs="Tahoma"/>
          <w:bCs/>
          <w:sz w:val="22"/>
          <w:szCs w:val="22"/>
          <w:lang w:eastAsia="en-US"/>
        </w:rPr>
        <w:t>,</w:t>
      </w:r>
      <w:r w:rsidR="000C59CB" w:rsidRPr="00985849">
        <w:rPr>
          <w:rFonts w:ascii="Palatino Linotype" w:eastAsia="Calibri" w:hAnsi="Palatino Linotype" w:cs="Tahoma"/>
          <w:bCs/>
          <w:sz w:val="22"/>
          <w:szCs w:val="22"/>
          <w:lang w:eastAsia="en-US"/>
        </w:rPr>
        <w:t xml:space="preserve"> de la Ley</w:t>
      </w:r>
      <w:r w:rsidR="001879E1" w:rsidRPr="00985849">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rsidR="001879E1" w:rsidRPr="00985849" w:rsidRDefault="001879E1" w:rsidP="00985849">
      <w:pPr>
        <w:spacing w:line="360" w:lineRule="auto"/>
        <w:ind w:right="-93"/>
        <w:jc w:val="both"/>
        <w:rPr>
          <w:rFonts w:ascii="Palatino Linotype" w:eastAsia="Calibri" w:hAnsi="Palatino Linotype" w:cs="Tahoma"/>
          <w:bCs/>
          <w:sz w:val="22"/>
          <w:szCs w:val="22"/>
          <w:lang w:eastAsia="en-US"/>
        </w:rPr>
      </w:pPr>
    </w:p>
    <w:p w:rsidR="001879E1" w:rsidRPr="00985849" w:rsidRDefault="000212E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 xml:space="preserve">Las Unidades de Transparencia de los </w:t>
      </w:r>
      <w:r w:rsidR="004B021F">
        <w:rPr>
          <w:rFonts w:ascii="Palatino Linotype" w:eastAsia="Calibri" w:hAnsi="Palatino Linotype" w:cs="Tahoma"/>
          <w:bCs/>
          <w:szCs w:val="22"/>
          <w:lang w:eastAsia="en-US"/>
        </w:rPr>
        <w:t>s</w:t>
      </w:r>
      <w:r w:rsidR="004B021F" w:rsidRPr="00985849">
        <w:rPr>
          <w:rFonts w:ascii="Palatino Linotype" w:eastAsia="Calibri" w:hAnsi="Palatino Linotype" w:cs="Tahoma"/>
          <w:bCs/>
          <w:szCs w:val="22"/>
          <w:lang w:eastAsia="en-US"/>
        </w:rPr>
        <w:t xml:space="preserve">ujetos </w:t>
      </w:r>
      <w:r w:rsidR="004B021F">
        <w:rPr>
          <w:rFonts w:ascii="Palatino Linotype" w:eastAsia="Calibri" w:hAnsi="Palatino Linotype" w:cs="Tahoma"/>
          <w:bCs/>
          <w:szCs w:val="22"/>
          <w:lang w:eastAsia="en-US"/>
        </w:rPr>
        <w:t>obligado</w:t>
      </w:r>
      <w:r w:rsidR="004B021F" w:rsidRPr="00985849">
        <w:rPr>
          <w:rFonts w:ascii="Palatino Linotype" w:eastAsia="Calibri" w:hAnsi="Palatino Linotype" w:cs="Tahoma"/>
          <w:bCs/>
          <w:szCs w:val="22"/>
          <w:lang w:eastAsia="en-US"/>
        </w:rPr>
        <w:t xml:space="preserve">s </w:t>
      </w:r>
      <w:r w:rsidRPr="00985849">
        <w:rPr>
          <w:rFonts w:ascii="Palatino Linotype" w:eastAsia="Calibri" w:hAnsi="Palatino Linotype" w:cs="Tahoma"/>
          <w:bCs/>
          <w:szCs w:val="22"/>
          <w:lang w:eastAsia="en-US"/>
        </w:rPr>
        <w:t xml:space="preserve">deben garantizar las medidas y condiciones de accesibilidad para que toda persona puede ejercer el derecho de acceso </w:t>
      </w:r>
      <w:r w:rsidRPr="00985849">
        <w:rPr>
          <w:rFonts w:ascii="Palatino Linotype" w:eastAsia="Calibri" w:hAnsi="Palatino Linotype" w:cs="Tahoma"/>
          <w:bCs/>
          <w:szCs w:val="22"/>
          <w:lang w:eastAsia="en-US"/>
        </w:rPr>
        <w:lastRenderedPageBreak/>
        <w:t>a la información</w:t>
      </w:r>
      <w:r w:rsidR="002435DC" w:rsidRPr="00985849">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985849">
        <w:rPr>
          <w:rFonts w:ascii="Palatino Linotype" w:eastAsia="Calibri" w:hAnsi="Palatino Linotype" w:cs="Tahoma"/>
          <w:bCs/>
          <w:szCs w:val="22"/>
          <w:lang w:eastAsia="en-US"/>
        </w:rPr>
        <w:t>a cabo todas las gestiones necesarias para facilitar el acceso de la informaci</w:t>
      </w:r>
      <w:r w:rsidR="005743D2" w:rsidRPr="00985849">
        <w:rPr>
          <w:rFonts w:ascii="Palatino Linotype" w:eastAsia="Calibri" w:hAnsi="Palatino Linotype" w:cs="Tahoma"/>
          <w:bCs/>
          <w:szCs w:val="22"/>
          <w:lang w:eastAsia="en-US"/>
        </w:rPr>
        <w:t>ón;</w:t>
      </w:r>
    </w:p>
    <w:p w:rsidR="000212E5" w:rsidRPr="00985849" w:rsidRDefault="000212E5" w:rsidP="00985849">
      <w:pPr>
        <w:pStyle w:val="Prrafodelista"/>
        <w:spacing w:line="360" w:lineRule="auto"/>
        <w:ind w:right="-93"/>
        <w:jc w:val="both"/>
        <w:rPr>
          <w:rFonts w:ascii="Palatino Linotype" w:eastAsia="Calibri" w:hAnsi="Palatino Linotype" w:cs="Tahoma"/>
          <w:bCs/>
          <w:szCs w:val="22"/>
          <w:lang w:eastAsia="en-US"/>
        </w:rPr>
      </w:pPr>
    </w:p>
    <w:p w:rsidR="000212E5" w:rsidRPr="00985849" w:rsidRDefault="001133D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 respuesta a los requerimientos informativos deberá notificarse al interesado en el menor tiempo posible</w:t>
      </w:r>
      <w:r w:rsidR="00782EA4" w:rsidRPr="00985849">
        <w:rPr>
          <w:rFonts w:ascii="Palatino Linotype" w:eastAsia="Calibri" w:hAnsi="Palatino Linotype" w:cs="Tahoma"/>
          <w:bCs/>
          <w:szCs w:val="22"/>
          <w:lang w:eastAsia="en-US"/>
        </w:rPr>
        <w:t>, que no podrá exceder</w:t>
      </w:r>
      <w:r w:rsidR="004B021F">
        <w:rPr>
          <w:rFonts w:ascii="Palatino Linotype" w:eastAsia="Calibri" w:hAnsi="Palatino Linotype" w:cs="Tahoma"/>
          <w:bCs/>
          <w:szCs w:val="22"/>
          <w:lang w:eastAsia="en-US"/>
        </w:rPr>
        <w:t xml:space="preserve"> de</w:t>
      </w:r>
      <w:r w:rsidR="00782EA4" w:rsidRPr="00985849">
        <w:rPr>
          <w:rFonts w:ascii="Palatino Linotype" w:eastAsia="Calibri" w:hAnsi="Palatino Linotype" w:cs="Tahoma"/>
          <w:bCs/>
          <w:szCs w:val="22"/>
          <w:lang w:eastAsia="en-US"/>
        </w:rPr>
        <w:t xml:space="preserve"> </w:t>
      </w:r>
      <w:r w:rsidR="00782EA4" w:rsidRPr="00985849">
        <w:rPr>
          <w:rFonts w:ascii="Palatino Linotype" w:eastAsia="Calibri" w:hAnsi="Palatino Linotype" w:cs="Tahoma"/>
          <w:b/>
          <w:bCs/>
          <w:szCs w:val="22"/>
          <w:lang w:eastAsia="en-US"/>
        </w:rPr>
        <w:t xml:space="preserve">quince días, contados a partir del día siguiente a la presentación de </w:t>
      </w:r>
      <w:r w:rsidR="003A67E6">
        <w:rPr>
          <w:rFonts w:ascii="Palatino Linotype" w:eastAsia="Calibri" w:hAnsi="Palatino Linotype" w:cs="Tahoma"/>
          <w:b/>
          <w:bCs/>
          <w:szCs w:val="22"/>
          <w:lang w:eastAsia="en-US"/>
        </w:rPr>
        <w:t>e</w:t>
      </w:r>
      <w:r w:rsidR="00782EA4" w:rsidRPr="00985849">
        <w:rPr>
          <w:rFonts w:ascii="Palatino Linotype" w:eastAsia="Calibri" w:hAnsi="Palatino Linotype" w:cs="Tahoma"/>
          <w:b/>
          <w:bCs/>
          <w:szCs w:val="22"/>
          <w:lang w:eastAsia="en-US"/>
        </w:rPr>
        <w:t>sta.</w:t>
      </w:r>
      <w:r w:rsidR="00782EA4" w:rsidRPr="00985849">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985849">
        <w:rPr>
          <w:rFonts w:ascii="Palatino Linotype" w:eastAsia="Calibri" w:hAnsi="Palatino Linotype" w:cs="Tahoma"/>
          <w:bCs/>
          <w:szCs w:val="22"/>
          <w:lang w:eastAsia="en-US"/>
        </w:rPr>
        <w:t>é de Transparencia;</w:t>
      </w:r>
    </w:p>
    <w:p w:rsidR="00782EA4" w:rsidRPr="00985849" w:rsidRDefault="00782EA4" w:rsidP="00985849">
      <w:pPr>
        <w:pStyle w:val="Prrafodelista"/>
        <w:spacing w:line="360" w:lineRule="auto"/>
        <w:rPr>
          <w:rFonts w:ascii="Palatino Linotype" w:eastAsia="Calibri" w:hAnsi="Palatino Linotype" w:cs="Tahoma"/>
          <w:bCs/>
          <w:szCs w:val="22"/>
          <w:lang w:eastAsia="en-US"/>
        </w:rPr>
      </w:pPr>
    </w:p>
    <w:p w:rsidR="00782EA4" w:rsidRPr="00985849"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985849">
        <w:rPr>
          <w:rFonts w:ascii="Palatino Linotype" w:eastAsia="Calibri" w:hAnsi="Palatino Linotype" w:cs="Tahoma"/>
          <w:b/>
          <w:bCs/>
          <w:szCs w:val="22"/>
          <w:lang w:eastAsia="en-US"/>
        </w:rPr>
        <w:t>que se encuentren en sus archivos o que estén constreñidos a</w:t>
      </w:r>
      <w:r w:rsidR="005743D2" w:rsidRPr="00985849">
        <w:rPr>
          <w:rFonts w:ascii="Palatino Linotype" w:eastAsia="Calibri" w:hAnsi="Palatino Linotype" w:cs="Tahoma"/>
          <w:b/>
          <w:bCs/>
          <w:szCs w:val="22"/>
          <w:lang w:eastAsia="en-US"/>
        </w:rPr>
        <w:t xml:space="preserve"> elaborar;</w:t>
      </w:r>
    </w:p>
    <w:p w:rsidR="00782EA4" w:rsidRPr="00985849" w:rsidRDefault="00782EA4" w:rsidP="00985849">
      <w:pPr>
        <w:pStyle w:val="Prrafodelista"/>
        <w:spacing w:line="360" w:lineRule="auto"/>
        <w:rPr>
          <w:rFonts w:ascii="Palatino Linotype" w:eastAsia="Calibri" w:hAnsi="Palatino Linotype" w:cs="Tahoma"/>
          <w:b/>
          <w:bCs/>
          <w:szCs w:val="22"/>
          <w:lang w:eastAsia="en-US"/>
        </w:rPr>
      </w:pPr>
    </w:p>
    <w:p w:rsidR="00782EA4" w:rsidRPr="00985849"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El acceso se dará en la modalidad de entrega y en su caso, de </w:t>
      </w:r>
      <w:r w:rsidR="00A571CD" w:rsidRPr="00985849">
        <w:rPr>
          <w:rFonts w:ascii="Palatino Linotype" w:eastAsia="Calibri" w:hAnsi="Palatino Linotype" w:cs="Tahoma"/>
          <w:bCs/>
          <w:szCs w:val="22"/>
          <w:lang w:eastAsia="en-US"/>
        </w:rPr>
        <w:t xml:space="preserve">envío </w:t>
      </w:r>
      <w:r w:rsidRPr="00985849">
        <w:rPr>
          <w:rFonts w:ascii="Palatino Linotype" w:eastAsia="Calibri" w:hAnsi="Palatino Linotype" w:cs="Tahoma"/>
          <w:bCs/>
          <w:szCs w:val="22"/>
          <w:lang w:eastAsia="en-US"/>
        </w:rPr>
        <w:t xml:space="preserve">elegido por </w:t>
      </w:r>
      <w:r w:rsidR="006F01E7" w:rsidRPr="00985849">
        <w:rPr>
          <w:rFonts w:ascii="Palatino Linotype" w:eastAsia="Calibri" w:hAnsi="Palatino Linotype" w:cs="Tahoma"/>
          <w:bCs/>
          <w:szCs w:val="22"/>
          <w:lang w:eastAsia="en-US"/>
        </w:rPr>
        <w:t>la</w:t>
      </w:r>
      <w:r w:rsidRPr="00985849">
        <w:rPr>
          <w:rFonts w:ascii="Palatino Linotype" w:eastAsia="Calibri" w:hAnsi="Palatino Linotype" w:cs="Tahoma"/>
          <w:bCs/>
          <w:szCs w:val="22"/>
          <w:lang w:eastAsia="en-US"/>
        </w:rPr>
        <w:t xml:space="preserve"> solicitante, </w:t>
      </w:r>
      <w:r w:rsidR="00A571CD" w:rsidRPr="00985849">
        <w:rPr>
          <w:rFonts w:ascii="Palatino Linotype" w:eastAsia="Calibri" w:hAnsi="Palatino Linotype" w:cs="Tahoma"/>
          <w:bCs/>
          <w:szCs w:val="22"/>
          <w:lang w:eastAsia="en-US"/>
        </w:rPr>
        <w:t>cuando</w:t>
      </w:r>
      <w:r w:rsidRPr="00985849">
        <w:rPr>
          <w:rFonts w:ascii="Palatino Linotype" w:eastAsia="Calibri" w:hAnsi="Palatino Linotype" w:cs="Tahoma"/>
          <w:bCs/>
          <w:szCs w:val="22"/>
          <w:lang w:eastAsia="en-US"/>
        </w:rPr>
        <w:t xml:space="preserve"> no</w:t>
      </w:r>
      <w:r w:rsidR="00A571CD" w:rsidRPr="00985849">
        <w:rPr>
          <w:rFonts w:ascii="Palatino Linotype" w:eastAsia="Calibri" w:hAnsi="Palatino Linotype" w:cs="Tahoma"/>
          <w:bCs/>
          <w:szCs w:val="22"/>
          <w:lang w:eastAsia="en-US"/>
        </w:rPr>
        <w:t xml:space="preserve"> se</w:t>
      </w:r>
      <w:r w:rsidRPr="00985849">
        <w:rPr>
          <w:rFonts w:ascii="Palatino Linotype" w:eastAsia="Calibri" w:hAnsi="Palatino Linotype" w:cs="Tahoma"/>
          <w:bCs/>
          <w:szCs w:val="22"/>
          <w:lang w:eastAsia="en-US"/>
        </w:rPr>
        <w:t xml:space="preserve"> pueda ent</w:t>
      </w:r>
      <w:r w:rsidR="00C459A9" w:rsidRPr="00985849">
        <w:rPr>
          <w:rFonts w:ascii="Palatino Linotype" w:eastAsia="Calibri" w:hAnsi="Palatino Linotype" w:cs="Tahoma"/>
          <w:bCs/>
          <w:szCs w:val="22"/>
          <w:lang w:eastAsia="en-US"/>
        </w:rPr>
        <w:t xml:space="preserve">regar en dicha modalidad, el </w:t>
      </w:r>
      <w:r w:rsidR="00956793">
        <w:rPr>
          <w:rFonts w:ascii="Palatino Linotype" w:eastAsia="Calibri" w:hAnsi="Palatino Linotype" w:cs="Tahoma"/>
          <w:bCs/>
          <w:szCs w:val="22"/>
          <w:lang w:eastAsia="en-US"/>
        </w:rPr>
        <w:t>Sujeto Obligado</w:t>
      </w:r>
      <w:r w:rsidRPr="00985849">
        <w:rPr>
          <w:rFonts w:ascii="Palatino Linotype" w:eastAsia="Calibri" w:hAnsi="Palatino Linotype" w:cs="Tahoma"/>
          <w:bCs/>
          <w:szCs w:val="22"/>
          <w:lang w:eastAsia="en-US"/>
        </w:rPr>
        <w:t xml:space="preserve"> deberá ofrecer otras; por lo cual, deberá fundamentar</w:t>
      </w:r>
      <w:r w:rsidR="00AB0749" w:rsidRPr="00985849">
        <w:rPr>
          <w:rFonts w:ascii="Palatino Linotype" w:eastAsia="Calibri" w:hAnsi="Palatino Linotype" w:cs="Tahoma"/>
          <w:bCs/>
          <w:szCs w:val="22"/>
          <w:lang w:eastAsia="en-US"/>
        </w:rPr>
        <w:t xml:space="preserve"> y motivar la necesidad d</w:t>
      </w:r>
      <w:r w:rsidR="00F5374C" w:rsidRPr="00985849">
        <w:rPr>
          <w:rFonts w:ascii="Palatino Linotype" w:eastAsia="Calibri" w:hAnsi="Palatino Linotype" w:cs="Tahoma"/>
          <w:bCs/>
          <w:szCs w:val="22"/>
          <w:lang w:eastAsia="en-US"/>
        </w:rPr>
        <w:t>e modificar el medio de entrega, y</w:t>
      </w:r>
    </w:p>
    <w:p w:rsidR="00F5374C" w:rsidRPr="00985849" w:rsidRDefault="00F5374C" w:rsidP="00985849">
      <w:pPr>
        <w:pStyle w:val="Prrafodelista"/>
        <w:spacing w:line="360" w:lineRule="auto"/>
        <w:rPr>
          <w:rFonts w:ascii="Palatino Linotype" w:eastAsia="Calibri" w:hAnsi="Palatino Linotype" w:cs="Tahoma"/>
          <w:b/>
          <w:bCs/>
          <w:szCs w:val="22"/>
          <w:lang w:eastAsia="en-US"/>
        </w:rPr>
      </w:pPr>
    </w:p>
    <w:p w:rsidR="00782EA4" w:rsidRPr="00985849" w:rsidRDefault="00782EA4" w:rsidP="00985849">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tendrán disponible la información requerida durante un </w:t>
      </w:r>
      <w:r w:rsidR="00AB0749" w:rsidRPr="00985849">
        <w:rPr>
          <w:rFonts w:ascii="Palatino Linotype" w:eastAsia="Calibri" w:hAnsi="Palatino Linotype" w:cs="Tahoma"/>
          <w:bCs/>
          <w:szCs w:val="22"/>
          <w:lang w:eastAsia="en-US"/>
        </w:rPr>
        <w:t>plazo</w:t>
      </w:r>
      <w:r w:rsidR="00DB7E5F" w:rsidRPr="00985849">
        <w:rPr>
          <w:rFonts w:ascii="Palatino Linotype" w:eastAsia="Calibri" w:hAnsi="Palatino Linotype" w:cs="Tahoma"/>
          <w:bCs/>
          <w:szCs w:val="22"/>
          <w:lang w:eastAsia="en-US"/>
        </w:rPr>
        <w:t xml:space="preserve"> mínimo de sesenta días hábiles, contados a partir de que </w:t>
      </w:r>
      <w:r w:rsidR="006F01E7" w:rsidRPr="00985849">
        <w:rPr>
          <w:rFonts w:ascii="Palatino Linotype" w:eastAsia="Calibri" w:hAnsi="Palatino Linotype" w:cs="Tahoma"/>
          <w:bCs/>
          <w:szCs w:val="22"/>
          <w:lang w:eastAsia="en-US"/>
        </w:rPr>
        <w:t xml:space="preserve">la </w:t>
      </w:r>
      <w:r w:rsidR="00DB7E5F" w:rsidRPr="00985849">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985849">
        <w:rPr>
          <w:rFonts w:ascii="Palatino Linotype" w:eastAsia="Calibri" w:hAnsi="Palatino Linotype" w:cs="Tahoma"/>
          <w:bCs/>
          <w:szCs w:val="22"/>
          <w:lang w:eastAsia="en-US"/>
        </w:rPr>
        <w:t>a</w:t>
      </w:r>
      <w:r w:rsidR="00DB7E5F" w:rsidRPr="00985849">
        <w:rPr>
          <w:rFonts w:ascii="Palatino Linotype" w:eastAsia="Calibri" w:hAnsi="Palatino Linotype" w:cs="Tahoma"/>
          <w:bCs/>
          <w:szCs w:val="22"/>
          <w:lang w:eastAsia="en-US"/>
        </w:rPr>
        <w:t xml:space="preserve"> dicha temporalidad, los </w:t>
      </w:r>
      <w:r w:rsidR="004B021F">
        <w:rPr>
          <w:rFonts w:ascii="Palatino Linotype" w:eastAsia="Calibri" w:hAnsi="Palatino Linotype" w:cs="Tahoma"/>
          <w:bCs/>
          <w:szCs w:val="22"/>
          <w:lang w:eastAsia="en-US"/>
        </w:rPr>
        <w:lastRenderedPageBreak/>
        <w:t>s</w:t>
      </w:r>
      <w:r w:rsidR="00DB7E5F" w:rsidRPr="00985849">
        <w:rPr>
          <w:rFonts w:ascii="Palatino Linotype" w:eastAsia="Calibri" w:hAnsi="Palatino Linotype" w:cs="Tahoma"/>
          <w:bCs/>
          <w:szCs w:val="22"/>
          <w:lang w:eastAsia="en-US"/>
        </w:rPr>
        <w:t xml:space="preserve">ujetos </w:t>
      </w:r>
      <w:r w:rsidR="004B021F">
        <w:rPr>
          <w:rFonts w:ascii="Palatino Linotype" w:eastAsia="Calibri" w:hAnsi="Palatino Linotype" w:cs="Tahoma"/>
          <w:bCs/>
          <w:szCs w:val="22"/>
          <w:lang w:eastAsia="en-US"/>
        </w:rPr>
        <w:t>obligado</w:t>
      </w:r>
      <w:r w:rsidR="004B021F" w:rsidRPr="00985849">
        <w:rPr>
          <w:rFonts w:ascii="Palatino Linotype" w:eastAsia="Calibri" w:hAnsi="Palatino Linotype" w:cs="Tahoma"/>
          <w:bCs/>
          <w:szCs w:val="22"/>
          <w:lang w:eastAsia="en-US"/>
        </w:rPr>
        <w:t xml:space="preserve">s </w:t>
      </w:r>
      <w:r w:rsidR="00DB7E5F" w:rsidRPr="00985849">
        <w:rPr>
          <w:rFonts w:ascii="Palatino Linotype" w:eastAsia="Calibri" w:hAnsi="Palatino Linotype" w:cs="Tahoma"/>
          <w:bCs/>
          <w:szCs w:val="22"/>
          <w:lang w:eastAsia="en-US"/>
        </w:rPr>
        <w:t>darán por concluida la solicitud y procederán de ser el caso, a la destrucci</w:t>
      </w:r>
      <w:r w:rsidR="005743D2" w:rsidRPr="00985849">
        <w:rPr>
          <w:rFonts w:ascii="Palatino Linotype" w:eastAsia="Calibri" w:hAnsi="Palatino Linotype" w:cs="Tahoma"/>
          <w:bCs/>
          <w:szCs w:val="22"/>
          <w:lang w:eastAsia="en-US"/>
        </w:rPr>
        <w:t>ón del material;</w:t>
      </w:r>
    </w:p>
    <w:p w:rsidR="00DB7E5F" w:rsidRPr="00985849" w:rsidRDefault="00DB7E5F" w:rsidP="00985849">
      <w:pPr>
        <w:pStyle w:val="Prrafodelista"/>
        <w:spacing w:line="360" w:lineRule="auto"/>
        <w:rPr>
          <w:rFonts w:ascii="Palatino Linotype" w:eastAsia="Calibri" w:hAnsi="Palatino Linotype" w:cs="Tahoma"/>
          <w:b/>
          <w:bCs/>
          <w:szCs w:val="22"/>
          <w:lang w:eastAsia="en-US"/>
        </w:rPr>
      </w:pPr>
    </w:p>
    <w:p w:rsidR="00753ABF" w:rsidRPr="00985849" w:rsidRDefault="00DB7E5F" w:rsidP="00985849">
      <w:pPr>
        <w:spacing w:line="360" w:lineRule="auto"/>
        <w:ind w:right="-93"/>
        <w:jc w:val="both"/>
        <w:rPr>
          <w:rFonts w:ascii="Palatino Linotype" w:hAnsi="Palatino Linotype"/>
          <w:noProof/>
          <w:sz w:val="22"/>
          <w:szCs w:val="22"/>
          <w:lang w:eastAsia="es-MX"/>
        </w:rPr>
      </w:pPr>
      <w:r w:rsidRPr="00985849">
        <w:rPr>
          <w:rFonts w:ascii="Palatino Linotype" w:eastAsia="Calibri" w:hAnsi="Palatino Linotype" w:cs="Tahoma"/>
          <w:bCs/>
          <w:sz w:val="22"/>
          <w:szCs w:val="22"/>
          <w:lang w:eastAsia="en-US"/>
        </w:rPr>
        <w:t xml:space="preserve">Una vez establecido lo anterior, es preciso </w:t>
      </w:r>
      <w:r w:rsidR="00F5374C" w:rsidRPr="00985849">
        <w:rPr>
          <w:rFonts w:ascii="Palatino Linotype" w:eastAsia="Calibri" w:hAnsi="Palatino Linotype" w:cs="Tahoma"/>
          <w:bCs/>
          <w:sz w:val="22"/>
          <w:szCs w:val="22"/>
          <w:lang w:eastAsia="en-US"/>
        </w:rPr>
        <w:t xml:space="preserve">indicar </w:t>
      </w:r>
      <w:r w:rsidR="00983AA1" w:rsidRPr="00985849">
        <w:rPr>
          <w:rFonts w:ascii="Palatino Linotype" w:eastAsia="Calibri" w:hAnsi="Palatino Linotype" w:cs="Tahoma"/>
          <w:bCs/>
          <w:sz w:val="22"/>
          <w:szCs w:val="22"/>
          <w:lang w:eastAsia="en-US"/>
        </w:rPr>
        <w:t>que el agravio del</w:t>
      </w:r>
      <w:r w:rsidRPr="00985849">
        <w:rPr>
          <w:rFonts w:ascii="Palatino Linotype" w:eastAsia="Calibri" w:hAnsi="Palatino Linotype" w:cs="Tahoma"/>
          <w:bCs/>
          <w:sz w:val="22"/>
          <w:szCs w:val="22"/>
          <w:lang w:eastAsia="en-US"/>
        </w:rPr>
        <w:t xml:space="preserve"> peticionari</w:t>
      </w:r>
      <w:r w:rsidR="00983AA1" w:rsidRPr="00985849">
        <w:rPr>
          <w:rFonts w:ascii="Palatino Linotype" w:eastAsia="Calibri" w:hAnsi="Palatino Linotype" w:cs="Tahoma"/>
          <w:bCs/>
          <w:sz w:val="22"/>
          <w:szCs w:val="22"/>
          <w:lang w:eastAsia="en-US"/>
        </w:rPr>
        <w:t>o</w:t>
      </w:r>
      <w:r w:rsidRPr="00985849">
        <w:rPr>
          <w:rFonts w:ascii="Palatino Linotype" w:eastAsia="Calibri" w:hAnsi="Palatino Linotype" w:cs="Tahoma"/>
          <w:bCs/>
          <w:sz w:val="22"/>
          <w:szCs w:val="22"/>
          <w:lang w:eastAsia="en-US"/>
        </w:rPr>
        <w:t xml:space="preserve"> consistió en que a la fecha de la </w:t>
      </w:r>
      <w:r w:rsidR="00F5374C" w:rsidRPr="00985849">
        <w:rPr>
          <w:rFonts w:ascii="Palatino Linotype" w:eastAsia="Calibri" w:hAnsi="Palatino Linotype" w:cs="Tahoma"/>
          <w:bCs/>
          <w:sz w:val="22"/>
          <w:szCs w:val="22"/>
          <w:lang w:eastAsia="en-US"/>
        </w:rPr>
        <w:t xml:space="preserve">interposición del </w:t>
      </w:r>
      <w:r w:rsidR="006C7EEA" w:rsidRPr="00985849">
        <w:rPr>
          <w:rFonts w:ascii="Palatino Linotype" w:eastAsia="Calibri" w:hAnsi="Palatino Linotype" w:cs="Tahoma"/>
          <w:bCs/>
          <w:sz w:val="22"/>
          <w:szCs w:val="22"/>
          <w:lang w:eastAsia="en-US"/>
        </w:rPr>
        <w:t>Recurso de Re</w:t>
      </w:r>
      <w:r w:rsidRPr="00985849">
        <w:rPr>
          <w:rFonts w:ascii="Palatino Linotype" w:eastAsia="Calibri" w:hAnsi="Palatino Linotype" w:cs="Tahoma"/>
          <w:bCs/>
          <w:sz w:val="22"/>
          <w:szCs w:val="22"/>
          <w:lang w:eastAsia="en-US"/>
        </w:rPr>
        <w:t xml:space="preserve">visión, el Ayuntamiento de </w:t>
      </w:r>
      <w:r w:rsidR="00ED021D">
        <w:rPr>
          <w:rFonts w:ascii="Palatino Linotype" w:eastAsia="Calibri" w:hAnsi="Palatino Linotype" w:cs="Tahoma"/>
          <w:bCs/>
          <w:sz w:val="22"/>
          <w:szCs w:val="22"/>
          <w:lang w:eastAsia="en-US"/>
        </w:rPr>
        <w:t>Timilpan</w:t>
      </w:r>
      <w:r w:rsidR="00753ABF" w:rsidRPr="00985849">
        <w:rPr>
          <w:rFonts w:ascii="Palatino Linotype" w:eastAsia="Calibri" w:hAnsi="Palatino Linotype" w:cs="Tahoma"/>
          <w:bCs/>
          <w:sz w:val="22"/>
          <w:szCs w:val="22"/>
          <w:lang w:eastAsia="en-US"/>
        </w:rPr>
        <w:t xml:space="preserve"> </w:t>
      </w:r>
      <w:r w:rsidRPr="00985849">
        <w:rPr>
          <w:rFonts w:ascii="Palatino Linotype" w:eastAsia="Calibri" w:hAnsi="Palatino Linotype" w:cs="Tahoma"/>
          <w:bCs/>
          <w:sz w:val="22"/>
          <w:szCs w:val="22"/>
          <w:lang w:eastAsia="en-US"/>
        </w:rPr>
        <w:t>no hab</w:t>
      </w:r>
      <w:r w:rsidR="00485EC7" w:rsidRPr="00985849">
        <w:rPr>
          <w:rFonts w:ascii="Palatino Linotype" w:eastAsia="Calibri" w:hAnsi="Palatino Linotype" w:cs="Tahoma"/>
          <w:bCs/>
          <w:sz w:val="22"/>
          <w:szCs w:val="22"/>
          <w:lang w:eastAsia="en-US"/>
        </w:rPr>
        <w:t>ía registrado respuesta o prórroga a su requerimiento de acceso a la información</w:t>
      </w:r>
      <w:r w:rsidR="00D96BF1" w:rsidRPr="00985849">
        <w:rPr>
          <w:rFonts w:ascii="Palatino Linotype" w:eastAsia="Calibri" w:hAnsi="Palatino Linotype" w:cs="Tahoma"/>
          <w:b/>
          <w:bCs/>
          <w:sz w:val="22"/>
          <w:szCs w:val="22"/>
          <w:lang w:eastAsia="en-US"/>
        </w:rPr>
        <w:t xml:space="preserve">, </w:t>
      </w:r>
      <w:r w:rsidR="00D96BF1" w:rsidRPr="00985849">
        <w:rPr>
          <w:rFonts w:ascii="Palatino Linotype" w:eastAsia="Calibri" w:hAnsi="Palatino Linotype" w:cs="Tahoma"/>
          <w:bCs/>
          <w:sz w:val="22"/>
          <w:szCs w:val="22"/>
          <w:lang w:eastAsia="en-US"/>
        </w:rPr>
        <w:t>únicamente</w:t>
      </w:r>
      <w:r w:rsidR="00ED021D">
        <w:rPr>
          <w:rFonts w:ascii="Palatino Linotype" w:eastAsia="Calibri" w:hAnsi="Palatino Linotype" w:cs="Tahoma"/>
          <w:bCs/>
          <w:sz w:val="22"/>
          <w:szCs w:val="22"/>
          <w:lang w:eastAsia="en-US"/>
        </w:rPr>
        <w:t xml:space="preserve"> consta el turno </w:t>
      </w:r>
      <w:r w:rsidR="00753ABF" w:rsidRPr="00985849">
        <w:rPr>
          <w:rFonts w:ascii="Palatino Linotype" w:eastAsia="Calibri" w:hAnsi="Palatino Linotype" w:cs="Tahoma"/>
          <w:bCs/>
          <w:sz w:val="22"/>
          <w:szCs w:val="22"/>
          <w:lang w:eastAsia="en-US"/>
        </w:rPr>
        <w:t>de la solicitud a los</w:t>
      </w:r>
      <w:r w:rsidR="00D96BF1" w:rsidRPr="00985849">
        <w:rPr>
          <w:rFonts w:ascii="Palatino Linotype" w:eastAsia="Calibri" w:hAnsi="Palatino Linotype" w:cs="Tahoma"/>
          <w:bCs/>
          <w:sz w:val="22"/>
          <w:szCs w:val="22"/>
          <w:lang w:eastAsia="en-US"/>
        </w:rPr>
        <w:t xml:space="preserve"> servidor</w:t>
      </w:r>
      <w:r w:rsidR="00753ABF" w:rsidRPr="00985849">
        <w:rPr>
          <w:rFonts w:ascii="Palatino Linotype" w:eastAsia="Calibri" w:hAnsi="Palatino Linotype" w:cs="Tahoma"/>
          <w:bCs/>
          <w:sz w:val="22"/>
          <w:szCs w:val="22"/>
          <w:lang w:eastAsia="en-US"/>
        </w:rPr>
        <w:t>es</w:t>
      </w:r>
      <w:r w:rsidR="00D96BF1" w:rsidRPr="00985849">
        <w:rPr>
          <w:rFonts w:ascii="Palatino Linotype" w:eastAsia="Calibri" w:hAnsi="Palatino Linotype" w:cs="Tahoma"/>
          <w:bCs/>
          <w:sz w:val="22"/>
          <w:szCs w:val="22"/>
          <w:lang w:eastAsia="en-US"/>
        </w:rPr>
        <w:t xml:space="preserve"> público</w:t>
      </w:r>
      <w:r w:rsidR="00753ABF" w:rsidRPr="00985849">
        <w:rPr>
          <w:rFonts w:ascii="Palatino Linotype" w:eastAsia="Calibri" w:hAnsi="Palatino Linotype" w:cs="Tahoma"/>
          <w:bCs/>
          <w:sz w:val="22"/>
          <w:szCs w:val="22"/>
          <w:lang w:eastAsia="en-US"/>
        </w:rPr>
        <w:t>s</w:t>
      </w:r>
      <w:r w:rsidR="00D96BF1" w:rsidRPr="00985849">
        <w:rPr>
          <w:rFonts w:ascii="Palatino Linotype" w:eastAsia="Calibri" w:hAnsi="Palatino Linotype" w:cs="Tahoma"/>
          <w:bCs/>
          <w:sz w:val="22"/>
          <w:szCs w:val="22"/>
          <w:lang w:eastAsia="en-US"/>
        </w:rPr>
        <w:t xml:space="preserve"> habilitado</w:t>
      </w:r>
      <w:r w:rsidR="00753ABF" w:rsidRPr="00985849">
        <w:rPr>
          <w:rFonts w:ascii="Palatino Linotype" w:eastAsia="Calibri" w:hAnsi="Palatino Linotype" w:cs="Tahoma"/>
          <w:bCs/>
          <w:sz w:val="22"/>
          <w:szCs w:val="22"/>
          <w:lang w:eastAsia="en-US"/>
        </w:rPr>
        <w:t>s</w:t>
      </w:r>
      <w:r w:rsidR="00D96BF1" w:rsidRPr="00985849">
        <w:rPr>
          <w:rFonts w:ascii="Palatino Linotype" w:eastAsia="Calibri" w:hAnsi="Palatino Linotype" w:cs="Tahoma"/>
          <w:bCs/>
          <w:sz w:val="22"/>
          <w:szCs w:val="22"/>
          <w:lang w:eastAsia="en-US"/>
        </w:rPr>
        <w:t>, como se verific</w:t>
      </w:r>
      <w:r w:rsidR="002D5DDD" w:rsidRPr="00985849">
        <w:rPr>
          <w:rFonts w:ascii="Palatino Linotype" w:eastAsia="Calibri" w:hAnsi="Palatino Linotype" w:cs="Tahoma"/>
          <w:bCs/>
          <w:sz w:val="22"/>
          <w:szCs w:val="22"/>
          <w:lang w:eastAsia="en-US"/>
        </w:rPr>
        <w:t>ó</w:t>
      </w:r>
      <w:r w:rsidR="00D96BF1" w:rsidRPr="00985849">
        <w:rPr>
          <w:rFonts w:ascii="Palatino Linotype" w:eastAsia="Calibri" w:hAnsi="Palatino Linotype" w:cs="Tahoma"/>
          <w:bCs/>
          <w:sz w:val="22"/>
          <w:szCs w:val="22"/>
          <w:lang w:eastAsia="en-US"/>
        </w:rPr>
        <w:t xml:space="preserve"> en el  </w:t>
      </w:r>
      <w:r w:rsidR="00D96BF1" w:rsidRPr="00985849">
        <w:rPr>
          <w:rFonts w:ascii="Palatino Linotype" w:hAnsi="Palatino Linotype" w:cs="Tahoma"/>
          <w:sz w:val="22"/>
          <w:szCs w:val="22"/>
          <w:lang w:val="es-ES"/>
        </w:rPr>
        <w:t>Sistema de Acceso a la Información Mexiquense (SAIMEX), plataforma utilizada para presentar el requerimiento de información.</w:t>
      </w:r>
    </w:p>
    <w:p w:rsidR="00ED021D" w:rsidRDefault="00540B48" w:rsidP="00985849">
      <w:pPr>
        <w:spacing w:line="360" w:lineRule="auto"/>
        <w:ind w:right="-93"/>
        <w:jc w:val="both"/>
        <w:rPr>
          <w:noProof/>
          <w:lang w:eastAsia="es-MX"/>
        </w:rPr>
      </w:pPr>
      <w:r>
        <w:rPr>
          <w:noProof/>
          <w:lang w:val="es-ES"/>
        </w:rPr>
        <w:drawing>
          <wp:anchor distT="0" distB="0" distL="114300" distR="114300" simplePos="0" relativeHeight="251658240" behindDoc="1" locked="0" layoutInCell="1" allowOverlap="1">
            <wp:simplePos x="0" y="0"/>
            <wp:positionH relativeFrom="margin">
              <wp:posOffset>-332106</wp:posOffset>
            </wp:positionH>
            <wp:positionV relativeFrom="paragraph">
              <wp:posOffset>260350</wp:posOffset>
            </wp:positionV>
            <wp:extent cx="6591895" cy="12573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35974" b="30116"/>
                    <a:stretch/>
                  </pic:blipFill>
                  <pic:spPr bwMode="auto">
                    <a:xfrm>
                      <a:off x="0" y="0"/>
                      <a:ext cx="6601456" cy="1259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6BF1" w:rsidRPr="00985849" w:rsidRDefault="00D96BF1" w:rsidP="00985849">
      <w:pPr>
        <w:spacing w:line="360" w:lineRule="auto"/>
        <w:ind w:right="-93"/>
        <w:jc w:val="both"/>
        <w:rPr>
          <w:rFonts w:ascii="Palatino Linotype" w:hAnsi="Palatino Linotype" w:cs="Tahoma"/>
          <w:sz w:val="22"/>
          <w:szCs w:val="22"/>
          <w:lang w:val="es-ES"/>
        </w:rPr>
      </w:pPr>
    </w:p>
    <w:p w:rsidR="002D5DDD" w:rsidRPr="00985849" w:rsidRDefault="002D5DDD" w:rsidP="00985849">
      <w:pPr>
        <w:spacing w:line="360" w:lineRule="auto"/>
        <w:ind w:right="-93"/>
        <w:jc w:val="both"/>
        <w:rPr>
          <w:rFonts w:ascii="Palatino Linotype" w:eastAsia="Calibri" w:hAnsi="Palatino Linotype" w:cs="Tahoma"/>
          <w:bCs/>
          <w:sz w:val="22"/>
          <w:szCs w:val="22"/>
          <w:lang w:eastAsia="en-US"/>
        </w:rPr>
      </w:pPr>
    </w:p>
    <w:p w:rsidR="00540B48" w:rsidRDefault="00540B48" w:rsidP="00540B48">
      <w:pPr>
        <w:tabs>
          <w:tab w:val="left" w:pos="3165"/>
        </w:tabs>
        <w:spacing w:line="360" w:lineRule="auto"/>
        <w:ind w:right="-93" w:firstLine="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b/>
      </w:r>
    </w:p>
    <w:p w:rsidR="00540B48" w:rsidRDefault="00540B48" w:rsidP="00985849">
      <w:pPr>
        <w:spacing w:line="360" w:lineRule="auto"/>
        <w:ind w:right="-93" w:firstLine="1"/>
        <w:jc w:val="both"/>
        <w:rPr>
          <w:rFonts w:ascii="Palatino Linotype" w:eastAsia="Calibri" w:hAnsi="Palatino Linotype" w:cs="Tahoma"/>
          <w:bCs/>
          <w:sz w:val="22"/>
          <w:szCs w:val="22"/>
          <w:lang w:eastAsia="en-US"/>
        </w:rPr>
      </w:pPr>
    </w:p>
    <w:p w:rsidR="00540B48" w:rsidRDefault="00540B48" w:rsidP="00985849">
      <w:pPr>
        <w:spacing w:line="360" w:lineRule="auto"/>
        <w:ind w:right="-93" w:firstLine="1"/>
        <w:jc w:val="both"/>
        <w:rPr>
          <w:rFonts w:ascii="Palatino Linotype" w:eastAsia="Calibri" w:hAnsi="Palatino Linotype" w:cs="Tahoma"/>
          <w:bCs/>
          <w:sz w:val="22"/>
          <w:szCs w:val="22"/>
          <w:lang w:eastAsia="en-US"/>
        </w:rPr>
      </w:pPr>
    </w:p>
    <w:p w:rsidR="00AC2C6E" w:rsidRPr="00985849" w:rsidRDefault="00AB7E6A" w:rsidP="00985849">
      <w:pPr>
        <w:spacing w:line="360" w:lineRule="auto"/>
        <w:ind w:right="-93" w:firstLine="1"/>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ese orden de ideas</w:t>
      </w:r>
      <w:r w:rsidR="00AC2C6E" w:rsidRPr="00985849">
        <w:rPr>
          <w:rFonts w:ascii="Palatino Linotype" w:eastAsia="Calibri" w:hAnsi="Palatino Linotype" w:cs="Tahoma"/>
          <w:bCs/>
          <w:sz w:val="22"/>
          <w:szCs w:val="22"/>
          <w:lang w:eastAsia="en-US"/>
        </w:rPr>
        <w:t xml:space="preserve">, el plazo con el que contaba el </w:t>
      </w:r>
      <w:r w:rsidR="00956793">
        <w:rPr>
          <w:rFonts w:ascii="Palatino Linotype" w:eastAsia="Calibri" w:hAnsi="Palatino Linotype" w:cs="Tahoma"/>
          <w:bCs/>
          <w:sz w:val="22"/>
          <w:szCs w:val="22"/>
          <w:lang w:eastAsia="en-US"/>
        </w:rPr>
        <w:t>Sujeto Obligado</w:t>
      </w:r>
      <w:r w:rsidR="00AC2C6E" w:rsidRPr="00985849">
        <w:rPr>
          <w:rFonts w:ascii="Palatino Linotype" w:eastAsia="Calibri" w:hAnsi="Palatino Linotype" w:cs="Tahoma"/>
          <w:bCs/>
          <w:sz w:val="22"/>
          <w:szCs w:val="22"/>
          <w:lang w:eastAsia="en-US"/>
        </w:rPr>
        <w:t xml:space="preserve"> para emitir contestación</w:t>
      </w:r>
      <w:r w:rsidR="00956793">
        <w:rPr>
          <w:rFonts w:ascii="Palatino Linotype" w:eastAsia="Calibri" w:hAnsi="Palatino Linotype" w:cs="Tahoma"/>
          <w:bCs/>
          <w:sz w:val="22"/>
          <w:szCs w:val="22"/>
          <w:lang w:eastAsia="en-US"/>
        </w:rPr>
        <w:t xml:space="preserve"> </w:t>
      </w:r>
      <w:r w:rsidR="00AC2C6E" w:rsidRPr="00985849">
        <w:rPr>
          <w:rFonts w:ascii="Palatino Linotype" w:eastAsia="Calibri" w:hAnsi="Palatino Linotype" w:cs="Tahoma"/>
          <w:bCs/>
          <w:sz w:val="22"/>
          <w:szCs w:val="22"/>
          <w:lang w:eastAsia="en-US"/>
        </w:rPr>
        <w:t xml:space="preserve">al requerimiento informativo, comenzó a correr el </w:t>
      </w:r>
      <w:r w:rsidR="00753ABF" w:rsidRPr="00985849">
        <w:rPr>
          <w:rFonts w:ascii="Palatino Linotype" w:eastAsia="Calibri" w:hAnsi="Palatino Linotype" w:cs="Tahoma"/>
          <w:b/>
          <w:bCs/>
          <w:sz w:val="22"/>
          <w:szCs w:val="22"/>
          <w:lang w:eastAsia="en-US"/>
        </w:rPr>
        <w:t xml:space="preserve">cuatro de septiembre </w:t>
      </w:r>
      <w:r w:rsidR="00F107AF" w:rsidRPr="00985849">
        <w:rPr>
          <w:rFonts w:ascii="Palatino Linotype" w:eastAsia="Calibri" w:hAnsi="Palatino Linotype" w:cs="Tahoma"/>
          <w:b/>
          <w:bCs/>
          <w:sz w:val="22"/>
          <w:szCs w:val="22"/>
          <w:lang w:eastAsia="en-US"/>
        </w:rPr>
        <w:t>de</w:t>
      </w:r>
      <w:r w:rsidR="00AC2C6E" w:rsidRPr="00985849">
        <w:rPr>
          <w:rFonts w:ascii="Palatino Linotype" w:eastAsia="Calibri" w:hAnsi="Palatino Linotype" w:cs="Tahoma"/>
          <w:b/>
          <w:bCs/>
          <w:sz w:val="22"/>
          <w:szCs w:val="22"/>
          <w:lang w:eastAsia="en-US"/>
        </w:rPr>
        <w:t xml:space="preserve"> la presente anualidad</w:t>
      </w:r>
      <w:r w:rsidR="00AC2C6E" w:rsidRPr="00985849">
        <w:rPr>
          <w:rFonts w:ascii="Palatino Linotype" w:eastAsia="Calibri" w:hAnsi="Palatino Linotype" w:cs="Tahoma"/>
          <w:bCs/>
          <w:sz w:val="22"/>
          <w:szCs w:val="22"/>
          <w:lang w:eastAsia="en-US"/>
        </w:rPr>
        <w:t xml:space="preserve"> y feneció el </w:t>
      </w:r>
      <w:r w:rsidR="00DD53DC" w:rsidRPr="00985849">
        <w:rPr>
          <w:rFonts w:ascii="Palatino Linotype" w:eastAsia="Calibri" w:hAnsi="Palatino Linotype" w:cs="Tahoma"/>
          <w:b/>
          <w:bCs/>
          <w:sz w:val="22"/>
          <w:szCs w:val="22"/>
          <w:lang w:eastAsia="en-US"/>
        </w:rPr>
        <w:t>veinticuatro</w:t>
      </w:r>
      <w:r w:rsidR="00753ABF" w:rsidRPr="00985849">
        <w:rPr>
          <w:rFonts w:ascii="Palatino Linotype" w:eastAsia="Calibri" w:hAnsi="Palatino Linotype" w:cs="Tahoma"/>
          <w:b/>
          <w:bCs/>
          <w:sz w:val="22"/>
          <w:szCs w:val="22"/>
          <w:lang w:eastAsia="en-US"/>
        </w:rPr>
        <w:t xml:space="preserve"> de septiembre</w:t>
      </w:r>
      <w:r w:rsidR="00F107AF" w:rsidRPr="00985849">
        <w:rPr>
          <w:rFonts w:ascii="Palatino Linotype" w:eastAsia="Calibri" w:hAnsi="Palatino Linotype" w:cs="Tahoma"/>
          <w:b/>
          <w:bCs/>
          <w:sz w:val="22"/>
          <w:szCs w:val="22"/>
          <w:lang w:eastAsia="en-US"/>
        </w:rPr>
        <w:t xml:space="preserve"> del mismo </w:t>
      </w:r>
      <w:r w:rsidR="00AC2C6E" w:rsidRPr="00985849">
        <w:rPr>
          <w:rFonts w:ascii="Palatino Linotype" w:eastAsia="Calibri" w:hAnsi="Palatino Linotype" w:cs="Tahoma"/>
          <w:b/>
          <w:bCs/>
          <w:sz w:val="22"/>
          <w:szCs w:val="22"/>
          <w:lang w:eastAsia="en-US"/>
        </w:rPr>
        <w:t>año</w:t>
      </w:r>
      <w:r w:rsidR="006C7EEA" w:rsidRPr="00985849">
        <w:rPr>
          <w:rFonts w:ascii="Palatino Linotype" w:eastAsia="Calibri" w:hAnsi="Palatino Linotype" w:cs="Tahoma"/>
          <w:b/>
          <w:bCs/>
          <w:sz w:val="22"/>
          <w:szCs w:val="22"/>
          <w:lang w:eastAsia="en-US"/>
        </w:rPr>
        <w:t xml:space="preserve">; </w:t>
      </w:r>
      <w:r w:rsidR="006C7EEA" w:rsidRPr="00985849">
        <w:rPr>
          <w:rFonts w:ascii="Palatino Linotype" w:eastAsia="Calibri" w:hAnsi="Palatino Linotype" w:cs="Tahoma"/>
          <w:bCs/>
          <w:sz w:val="22"/>
          <w:szCs w:val="22"/>
          <w:lang w:eastAsia="en-US"/>
        </w:rPr>
        <w:t xml:space="preserve">lo </w:t>
      </w:r>
      <w:r w:rsidR="00AC2C6E" w:rsidRPr="00985849">
        <w:rPr>
          <w:rFonts w:ascii="Palatino Linotype" w:eastAsia="Calibri" w:hAnsi="Palatino Linotype" w:cs="Tahoma"/>
          <w:bCs/>
          <w:sz w:val="22"/>
          <w:szCs w:val="22"/>
          <w:lang w:eastAsia="en-US"/>
        </w:rPr>
        <w:t xml:space="preserve">anterior, </w:t>
      </w:r>
      <w:r w:rsidR="00D81BAE" w:rsidRPr="00985849">
        <w:rPr>
          <w:rFonts w:ascii="Palatino Linotype" w:eastAsia="Calibri" w:hAnsi="Palatino Linotype" w:cs="Tahoma"/>
          <w:bCs/>
          <w:sz w:val="22"/>
          <w:szCs w:val="22"/>
          <w:lang w:eastAsia="en-US"/>
        </w:rPr>
        <w:t xml:space="preserve">sin contar los días </w:t>
      </w:r>
      <w:r w:rsidR="00DD53DC" w:rsidRPr="00985849">
        <w:rPr>
          <w:rFonts w:ascii="Palatino Linotype" w:eastAsia="Calibri" w:hAnsi="Palatino Linotype" w:cs="Tahoma"/>
          <w:bCs/>
          <w:sz w:val="22"/>
          <w:szCs w:val="22"/>
          <w:lang w:eastAsia="en-US"/>
        </w:rPr>
        <w:t xml:space="preserve">ocho, nueve, quince, dieciséis, veintidós y veintitrés </w:t>
      </w:r>
      <w:r w:rsidR="00D81BAE" w:rsidRPr="00985849">
        <w:rPr>
          <w:rFonts w:ascii="Palatino Linotype" w:eastAsia="Calibri" w:hAnsi="Palatino Linotype" w:cs="Tahoma"/>
          <w:bCs/>
          <w:sz w:val="22"/>
          <w:szCs w:val="22"/>
          <w:lang w:eastAsia="en-US"/>
        </w:rPr>
        <w:t>al ser inhábiles de conformidad con el artículo 3</w:t>
      </w:r>
      <w:r w:rsidR="006C7EEA" w:rsidRPr="00985849">
        <w:rPr>
          <w:rFonts w:ascii="Palatino Linotype" w:eastAsia="Calibri" w:hAnsi="Palatino Linotype" w:cs="Tahoma"/>
          <w:bCs/>
          <w:sz w:val="22"/>
          <w:szCs w:val="22"/>
          <w:lang w:eastAsia="en-US"/>
        </w:rPr>
        <w:t>°</w:t>
      </w:r>
      <w:r w:rsidR="00D81BAE" w:rsidRPr="00985849">
        <w:rPr>
          <w:rFonts w:ascii="Palatino Linotype" w:eastAsia="Calibri" w:hAnsi="Palatino Linotype" w:cs="Tahoma"/>
          <w:bCs/>
          <w:sz w:val="22"/>
          <w:szCs w:val="22"/>
          <w:lang w:eastAsia="en-US"/>
        </w:rPr>
        <w:t>, fracción X</w:t>
      </w:r>
      <w:r w:rsidR="00481674" w:rsidRPr="00985849">
        <w:rPr>
          <w:rFonts w:ascii="Palatino Linotype" w:eastAsia="Calibri" w:hAnsi="Palatino Linotype" w:cs="Tahoma"/>
          <w:bCs/>
          <w:sz w:val="22"/>
          <w:szCs w:val="22"/>
          <w:lang w:eastAsia="en-US"/>
        </w:rPr>
        <w:t>,</w:t>
      </w:r>
      <w:r w:rsidR="00D81BAE" w:rsidRPr="00985849">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a la Información P</w:t>
      </w:r>
      <w:r w:rsidR="00CE1BC9" w:rsidRPr="00985849">
        <w:rPr>
          <w:rFonts w:ascii="Palatino Linotype" w:eastAsia="Calibri" w:hAnsi="Palatino Linotype" w:cs="Tahoma"/>
          <w:bCs/>
          <w:sz w:val="22"/>
          <w:szCs w:val="22"/>
          <w:lang w:eastAsia="en-US"/>
        </w:rPr>
        <w:t>ública del Estado de México y Municipios, para el año dos mil dieciocho y enero dos mil diecinueve</w:t>
      </w:r>
      <w:r w:rsidR="006C7EEA" w:rsidRPr="00985849">
        <w:rPr>
          <w:rFonts w:ascii="Palatino Linotype" w:eastAsia="Calibri" w:hAnsi="Palatino Linotype" w:cs="Tahoma"/>
          <w:bCs/>
          <w:sz w:val="22"/>
          <w:szCs w:val="22"/>
          <w:lang w:eastAsia="en-US"/>
        </w:rPr>
        <w:t xml:space="preserve">, publicado en el Periódico Oficial </w:t>
      </w:r>
      <w:r w:rsidR="007573B2" w:rsidRPr="00985849">
        <w:rPr>
          <w:rFonts w:ascii="Palatino Linotype" w:eastAsia="Calibri" w:hAnsi="Palatino Linotype" w:cs="Tahoma"/>
          <w:bCs/>
          <w:sz w:val="22"/>
          <w:szCs w:val="22"/>
          <w:lang w:eastAsia="en-US"/>
        </w:rPr>
        <w:t xml:space="preserve">del Gobierno del Estado de México </w:t>
      </w:r>
      <w:r w:rsidR="006C7EEA" w:rsidRPr="00985849">
        <w:rPr>
          <w:rFonts w:ascii="Palatino Linotype" w:eastAsia="Calibri" w:hAnsi="Palatino Linotype" w:cs="Tahoma"/>
          <w:bCs/>
          <w:sz w:val="22"/>
          <w:szCs w:val="22"/>
          <w:lang w:eastAsia="en-US"/>
        </w:rPr>
        <w:t>“Gaceta del Gobierno” el</w:t>
      </w:r>
      <w:r w:rsidR="007573B2" w:rsidRPr="00985849">
        <w:rPr>
          <w:rFonts w:ascii="Palatino Linotype" w:eastAsia="Calibri" w:hAnsi="Palatino Linotype" w:cs="Tahoma"/>
          <w:bCs/>
          <w:sz w:val="22"/>
          <w:szCs w:val="22"/>
          <w:lang w:eastAsia="en-US"/>
        </w:rPr>
        <w:t xml:space="preserve"> ve</w:t>
      </w:r>
      <w:r w:rsidR="00A571CD" w:rsidRPr="00985849">
        <w:rPr>
          <w:rFonts w:ascii="Palatino Linotype" w:eastAsia="Calibri" w:hAnsi="Palatino Linotype" w:cs="Tahoma"/>
          <w:bCs/>
          <w:sz w:val="22"/>
          <w:szCs w:val="22"/>
          <w:lang w:eastAsia="en-US"/>
        </w:rPr>
        <w:t>i</w:t>
      </w:r>
      <w:r w:rsidR="007573B2" w:rsidRPr="00985849">
        <w:rPr>
          <w:rFonts w:ascii="Palatino Linotype" w:eastAsia="Calibri" w:hAnsi="Palatino Linotype" w:cs="Tahoma"/>
          <w:bCs/>
          <w:sz w:val="22"/>
          <w:szCs w:val="22"/>
          <w:lang w:eastAsia="en-US"/>
        </w:rPr>
        <w:t>nte de diciembre de dos mil diecisiete.</w:t>
      </w:r>
    </w:p>
    <w:p w:rsidR="00264223" w:rsidRPr="00985849" w:rsidRDefault="00264223" w:rsidP="00985849">
      <w:pPr>
        <w:spacing w:line="360" w:lineRule="auto"/>
        <w:ind w:right="-93"/>
        <w:jc w:val="both"/>
        <w:rPr>
          <w:rFonts w:ascii="Palatino Linotype" w:eastAsia="Calibri" w:hAnsi="Palatino Linotype" w:cs="Tahoma"/>
          <w:bCs/>
          <w:sz w:val="22"/>
          <w:szCs w:val="22"/>
          <w:lang w:eastAsia="en-US"/>
        </w:rPr>
      </w:pPr>
    </w:p>
    <w:p w:rsidR="00DD53DC" w:rsidRPr="00985849" w:rsidRDefault="00CE1BC9" w:rsidP="00985849">
      <w:pPr>
        <w:spacing w:line="360" w:lineRule="auto"/>
        <w:ind w:right="-93"/>
        <w:jc w:val="both"/>
        <w:rPr>
          <w:rFonts w:ascii="Palatino Linotype" w:hAnsi="Palatino Linotype"/>
          <w:noProof/>
          <w:sz w:val="22"/>
          <w:szCs w:val="22"/>
          <w:lang w:eastAsia="es-MX"/>
        </w:rPr>
      </w:pPr>
      <w:r w:rsidRPr="00985849">
        <w:rPr>
          <w:rFonts w:ascii="Palatino Linotype" w:eastAsia="Calibri" w:hAnsi="Palatino Linotype" w:cs="Tahoma"/>
          <w:bCs/>
          <w:sz w:val="22"/>
          <w:szCs w:val="22"/>
          <w:lang w:eastAsia="en-US"/>
        </w:rPr>
        <w:lastRenderedPageBreak/>
        <w:t xml:space="preserve">Conforme a lo anterior, este Instituto </w:t>
      </w:r>
      <w:r w:rsidR="002E5015" w:rsidRPr="00985849">
        <w:rPr>
          <w:rFonts w:ascii="Palatino Linotype" w:eastAsia="Calibri" w:hAnsi="Palatino Linotype" w:cs="Tahoma"/>
          <w:bCs/>
          <w:sz w:val="22"/>
          <w:szCs w:val="22"/>
          <w:lang w:eastAsia="en-US"/>
        </w:rPr>
        <w:t>v</w:t>
      </w:r>
      <w:r w:rsidRPr="00985849">
        <w:rPr>
          <w:rFonts w:ascii="Palatino Linotype" w:eastAsia="Calibri" w:hAnsi="Palatino Linotype" w:cs="Tahoma"/>
          <w:bCs/>
          <w:sz w:val="22"/>
          <w:szCs w:val="22"/>
          <w:lang w:eastAsia="en-US"/>
        </w:rPr>
        <w:t>erific</w:t>
      </w:r>
      <w:r w:rsidR="002E5015" w:rsidRPr="00985849">
        <w:rPr>
          <w:rFonts w:ascii="Palatino Linotype" w:eastAsia="Calibri" w:hAnsi="Palatino Linotype" w:cs="Tahoma"/>
          <w:bCs/>
          <w:sz w:val="22"/>
          <w:szCs w:val="22"/>
          <w:lang w:eastAsia="en-US"/>
        </w:rPr>
        <w:t xml:space="preserve">ó que en efecto, no se registró </w:t>
      </w:r>
      <w:r w:rsidRPr="00985849">
        <w:rPr>
          <w:rFonts w:ascii="Palatino Linotype" w:eastAsia="Calibri" w:hAnsi="Palatino Linotype" w:cs="Tahoma"/>
          <w:bCs/>
          <w:sz w:val="22"/>
          <w:szCs w:val="22"/>
          <w:lang w:eastAsia="en-US"/>
        </w:rPr>
        <w:t>una re</w:t>
      </w:r>
      <w:r w:rsidR="00650EC4">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puesta a la solicitud de la ahora </w:t>
      </w:r>
      <w:r w:rsidR="002E5015" w:rsidRPr="00985849">
        <w:rPr>
          <w:rFonts w:ascii="Palatino Linotype" w:eastAsia="Calibri" w:hAnsi="Palatino Linotype" w:cs="Tahoma"/>
          <w:bCs/>
          <w:sz w:val="22"/>
          <w:szCs w:val="22"/>
          <w:lang w:eastAsia="en-US"/>
        </w:rPr>
        <w:t>Recurrente</w:t>
      </w:r>
      <w:r w:rsidRPr="00985849">
        <w:rPr>
          <w:rFonts w:ascii="Palatino Linotype" w:eastAsia="Calibri" w:hAnsi="Palatino Linotype" w:cs="Tahoma"/>
          <w:bCs/>
          <w:sz w:val="22"/>
          <w:szCs w:val="22"/>
          <w:lang w:eastAsia="en-US"/>
        </w:rPr>
        <w:t xml:space="preserve">, en el </w:t>
      </w:r>
      <w:r w:rsidRPr="00985849">
        <w:rPr>
          <w:rFonts w:ascii="Palatino Linotype" w:hAnsi="Palatino Linotype" w:cs="Tahoma"/>
          <w:sz w:val="22"/>
          <w:szCs w:val="22"/>
          <w:lang w:val="es-ES"/>
        </w:rPr>
        <w:t>Sistema de Acceso a la I</w:t>
      </w:r>
      <w:r w:rsidR="00D96BF1" w:rsidRPr="00985849">
        <w:rPr>
          <w:rFonts w:ascii="Palatino Linotype" w:hAnsi="Palatino Linotype" w:cs="Tahoma"/>
          <w:sz w:val="22"/>
          <w:szCs w:val="22"/>
          <w:lang w:val="es-ES"/>
        </w:rPr>
        <w:t>nformación Mexiquense (SAIMEX).</w:t>
      </w:r>
    </w:p>
    <w:p w:rsidR="00540B48" w:rsidRDefault="00540B48" w:rsidP="00985849">
      <w:pPr>
        <w:spacing w:line="360" w:lineRule="auto"/>
        <w:ind w:right="-93"/>
        <w:jc w:val="both"/>
        <w:rPr>
          <w:rFonts w:ascii="Palatino Linotype" w:eastAsia="Calibri" w:hAnsi="Palatino Linotype" w:cs="Tahoma"/>
          <w:bCs/>
          <w:sz w:val="22"/>
          <w:szCs w:val="22"/>
          <w:lang w:eastAsia="en-US"/>
        </w:rPr>
      </w:pPr>
    </w:p>
    <w:p w:rsidR="00CE1BC9" w:rsidRPr="00985849" w:rsidRDefault="00CE1BC9" w:rsidP="00985849">
      <w:pPr>
        <w:spacing w:line="360" w:lineRule="auto"/>
        <w:ind w:right="-93"/>
        <w:jc w:val="both"/>
        <w:rPr>
          <w:rFonts w:ascii="Palatino Linotype" w:eastAsia="Calibri" w:hAnsi="Palatino Linotype" w:cs="Tahoma"/>
          <w:b/>
          <w:bCs/>
          <w:sz w:val="22"/>
          <w:szCs w:val="22"/>
          <w:lang w:eastAsia="en-US"/>
        </w:rPr>
      </w:pPr>
      <w:r w:rsidRPr="00985849">
        <w:rPr>
          <w:rFonts w:ascii="Palatino Linotype" w:eastAsia="Calibri" w:hAnsi="Palatino Linotype" w:cs="Tahoma"/>
          <w:bCs/>
          <w:sz w:val="22"/>
          <w:szCs w:val="22"/>
          <w:lang w:eastAsia="en-US"/>
        </w:rPr>
        <w:t xml:space="preserve">Conforme a lo </w:t>
      </w:r>
      <w:r w:rsidR="005743D2" w:rsidRPr="00985849">
        <w:rPr>
          <w:rFonts w:ascii="Palatino Linotype" w:eastAsia="Calibri" w:hAnsi="Palatino Linotype" w:cs="Tahoma"/>
          <w:bCs/>
          <w:sz w:val="22"/>
          <w:szCs w:val="22"/>
          <w:lang w:eastAsia="en-US"/>
        </w:rPr>
        <w:t>observado</w:t>
      </w:r>
      <w:r w:rsidRPr="00985849">
        <w:rPr>
          <w:rFonts w:ascii="Palatino Linotype" w:eastAsia="Calibri" w:hAnsi="Palatino Linotype" w:cs="Tahoma"/>
          <w:bCs/>
          <w:sz w:val="22"/>
          <w:szCs w:val="22"/>
          <w:lang w:eastAsia="en-US"/>
        </w:rPr>
        <w:t>, se advi</w:t>
      </w:r>
      <w:r w:rsidR="00AA70FB" w:rsidRPr="00985849">
        <w:rPr>
          <w:rFonts w:ascii="Palatino Linotype" w:eastAsia="Calibri" w:hAnsi="Palatino Linotype" w:cs="Tahoma"/>
          <w:bCs/>
          <w:sz w:val="22"/>
          <w:szCs w:val="22"/>
          <w:lang w:eastAsia="en-US"/>
        </w:rPr>
        <w:t xml:space="preserve">erte que, tal como lo indicó el </w:t>
      </w:r>
      <w:r w:rsidRPr="00985849">
        <w:rPr>
          <w:rFonts w:ascii="Palatino Linotype" w:eastAsia="Calibri" w:hAnsi="Palatino Linotype" w:cs="Tahoma"/>
          <w:bCs/>
          <w:sz w:val="22"/>
          <w:szCs w:val="22"/>
          <w:lang w:eastAsia="en-US"/>
        </w:rPr>
        <w:t xml:space="preserve">particular, el Ayuntamiento de </w:t>
      </w:r>
      <w:r w:rsidR="00540B48">
        <w:rPr>
          <w:rFonts w:ascii="Palatino Linotype" w:eastAsia="Calibri" w:hAnsi="Palatino Linotype" w:cs="Tahoma"/>
          <w:bCs/>
          <w:sz w:val="22"/>
          <w:szCs w:val="22"/>
          <w:lang w:eastAsia="en-US"/>
        </w:rPr>
        <w:t xml:space="preserve">Timilpan </w:t>
      </w:r>
      <w:r w:rsidR="005743D2" w:rsidRPr="00985849">
        <w:rPr>
          <w:rFonts w:ascii="Palatino Linotype" w:eastAsia="Calibri" w:hAnsi="Palatino Linotype" w:cs="Tahoma"/>
          <w:bCs/>
          <w:sz w:val="22"/>
          <w:szCs w:val="22"/>
          <w:lang w:eastAsia="en-US"/>
        </w:rPr>
        <w:t xml:space="preserve">no emitió respuesta, ni solicitó una prórroga </w:t>
      </w:r>
      <w:r w:rsidR="00F20633" w:rsidRPr="00985849">
        <w:rPr>
          <w:rFonts w:ascii="Palatino Linotype" w:eastAsia="Calibri" w:hAnsi="Palatino Linotype" w:cs="Tahoma"/>
          <w:bCs/>
          <w:sz w:val="22"/>
          <w:szCs w:val="22"/>
          <w:lang w:eastAsia="en-US"/>
        </w:rPr>
        <w:t>para</w:t>
      </w:r>
      <w:r w:rsidR="005743D2" w:rsidRPr="00985849">
        <w:rPr>
          <w:rFonts w:ascii="Palatino Linotype" w:eastAsia="Calibri" w:hAnsi="Palatino Linotype" w:cs="Tahoma"/>
          <w:bCs/>
          <w:sz w:val="22"/>
          <w:szCs w:val="22"/>
          <w:lang w:eastAsia="en-US"/>
        </w:rPr>
        <w:t xml:space="preserve"> dar contestación a la solicitud de información, dentro de los plazos establecidos en</w:t>
      </w:r>
      <w:r w:rsidR="004E345F" w:rsidRPr="00985849">
        <w:rPr>
          <w:rFonts w:ascii="Palatino Linotype" w:eastAsia="Calibri" w:hAnsi="Palatino Linotype" w:cs="Tahoma"/>
          <w:bCs/>
          <w:sz w:val="22"/>
          <w:szCs w:val="22"/>
          <w:lang w:eastAsia="en-US"/>
        </w:rPr>
        <w:t xml:space="preserve"> el artículo 163 de</w:t>
      </w:r>
      <w:r w:rsidR="005743D2" w:rsidRPr="00985849">
        <w:rPr>
          <w:rFonts w:ascii="Palatino Linotype" w:eastAsia="Calibri" w:hAnsi="Palatino Linotype" w:cs="Tahoma"/>
          <w:bCs/>
          <w:sz w:val="22"/>
          <w:szCs w:val="22"/>
          <w:lang w:eastAsia="en-US"/>
        </w:rPr>
        <w:t xml:space="preserve"> la Ley de la materia, pues tenía hasta el </w:t>
      </w:r>
      <w:r w:rsidR="00AA70FB" w:rsidRPr="00985849">
        <w:rPr>
          <w:rFonts w:ascii="Palatino Linotype" w:eastAsia="Calibri" w:hAnsi="Palatino Linotype" w:cs="Tahoma"/>
          <w:bCs/>
          <w:sz w:val="22"/>
          <w:szCs w:val="22"/>
          <w:lang w:eastAsia="en-US"/>
        </w:rPr>
        <w:t>veint</w:t>
      </w:r>
      <w:r w:rsidR="003A67E6">
        <w:rPr>
          <w:rFonts w:ascii="Palatino Linotype" w:eastAsia="Calibri" w:hAnsi="Palatino Linotype" w:cs="Tahoma"/>
          <w:bCs/>
          <w:sz w:val="22"/>
          <w:szCs w:val="22"/>
          <w:lang w:eastAsia="en-US"/>
        </w:rPr>
        <w:t>icuatro</w:t>
      </w:r>
      <w:r w:rsidR="005743D2" w:rsidRPr="00985849">
        <w:rPr>
          <w:rFonts w:ascii="Palatino Linotype" w:eastAsia="Calibri" w:hAnsi="Palatino Linotype" w:cs="Tahoma"/>
          <w:bCs/>
          <w:sz w:val="22"/>
          <w:szCs w:val="22"/>
          <w:lang w:eastAsia="en-US"/>
        </w:rPr>
        <w:t xml:space="preserve"> de </w:t>
      </w:r>
      <w:r w:rsidR="003A67E6">
        <w:rPr>
          <w:rFonts w:ascii="Palatino Linotype" w:eastAsia="Calibri" w:hAnsi="Palatino Linotype" w:cs="Tahoma"/>
          <w:bCs/>
          <w:sz w:val="22"/>
          <w:szCs w:val="22"/>
          <w:lang w:eastAsia="en-US"/>
        </w:rPr>
        <w:t>septiembre</w:t>
      </w:r>
      <w:r w:rsidR="005743D2" w:rsidRPr="00985849">
        <w:rPr>
          <w:rFonts w:ascii="Palatino Linotype" w:eastAsia="Calibri" w:hAnsi="Palatino Linotype" w:cs="Tahoma"/>
          <w:bCs/>
          <w:sz w:val="22"/>
          <w:szCs w:val="22"/>
          <w:lang w:eastAsia="en-US"/>
        </w:rPr>
        <w:t xml:space="preserve"> de dos mil dieciocho para notificar alguna de las dos situaciones; inclus</w:t>
      </w:r>
      <w:r w:rsidR="001B54B9">
        <w:rPr>
          <w:rFonts w:ascii="Palatino Linotype" w:eastAsia="Calibri" w:hAnsi="Palatino Linotype" w:cs="Tahoma"/>
          <w:bCs/>
          <w:sz w:val="22"/>
          <w:szCs w:val="22"/>
          <w:lang w:eastAsia="en-US"/>
        </w:rPr>
        <w:t>o</w:t>
      </w:r>
      <w:r w:rsidR="005743D2" w:rsidRPr="00985849">
        <w:rPr>
          <w:rFonts w:ascii="Palatino Linotype" w:eastAsia="Calibri" w:hAnsi="Palatino Linotype" w:cs="Tahoma"/>
          <w:bCs/>
          <w:sz w:val="22"/>
          <w:szCs w:val="22"/>
          <w:lang w:eastAsia="en-US"/>
        </w:rPr>
        <w:t xml:space="preserve"> a la fecha de la presente resolución no ha otorgado información o documentación alguna que atienda la solicitud de información; por lo que, resulta evidente que </w:t>
      </w:r>
      <w:r w:rsidR="00AA70FB" w:rsidRPr="00985849">
        <w:rPr>
          <w:rFonts w:ascii="Palatino Linotype" w:eastAsia="Calibri" w:hAnsi="Palatino Linotype" w:cs="Tahoma"/>
          <w:b/>
          <w:bCs/>
          <w:sz w:val="22"/>
          <w:szCs w:val="22"/>
          <w:lang w:eastAsia="en-US"/>
        </w:rPr>
        <w:t>el agravio hecho valer por el</w:t>
      </w:r>
      <w:r w:rsidR="006A3EA8" w:rsidRPr="00985849">
        <w:rPr>
          <w:rFonts w:ascii="Palatino Linotype" w:eastAsia="Calibri" w:hAnsi="Palatino Linotype" w:cs="Tahoma"/>
          <w:b/>
          <w:bCs/>
          <w:sz w:val="22"/>
          <w:szCs w:val="22"/>
          <w:lang w:eastAsia="en-US"/>
        </w:rPr>
        <w:t xml:space="preserve"> </w:t>
      </w:r>
      <w:r w:rsidR="004E345F" w:rsidRPr="00985849">
        <w:rPr>
          <w:rFonts w:ascii="Palatino Linotype" w:eastAsia="Calibri" w:hAnsi="Palatino Linotype" w:cs="Tahoma"/>
          <w:b/>
          <w:bCs/>
          <w:sz w:val="22"/>
          <w:szCs w:val="22"/>
          <w:lang w:eastAsia="en-US"/>
        </w:rPr>
        <w:t xml:space="preserve">Recurrente resulta </w:t>
      </w:r>
      <w:r w:rsidR="005743D2" w:rsidRPr="00985849">
        <w:rPr>
          <w:rFonts w:ascii="Palatino Linotype" w:eastAsia="Calibri" w:hAnsi="Palatino Linotype" w:cs="Tahoma"/>
          <w:b/>
          <w:bCs/>
          <w:sz w:val="22"/>
          <w:szCs w:val="22"/>
          <w:lang w:eastAsia="en-US"/>
        </w:rPr>
        <w:t>fundado.</w:t>
      </w:r>
    </w:p>
    <w:p w:rsidR="0096463B" w:rsidRDefault="0096463B" w:rsidP="00985849">
      <w:pPr>
        <w:spacing w:line="360" w:lineRule="auto"/>
        <w:ind w:right="-93"/>
        <w:jc w:val="both"/>
        <w:rPr>
          <w:rFonts w:ascii="Palatino Linotype" w:eastAsia="Calibri" w:hAnsi="Palatino Linotype" w:cs="Tahoma"/>
          <w:bCs/>
          <w:sz w:val="22"/>
          <w:szCs w:val="22"/>
          <w:lang w:eastAsia="en-US"/>
        </w:rPr>
      </w:pPr>
    </w:p>
    <w:p w:rsidR="00540B48" w:rsidRDefault="00AD7301" w:rsidP="00AD730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Pr="00F67BDF">
        <w:rPr>
          <w:rFonts w:ascii="Palatino Linotype" w:eastAsia="Calibri" w:hAnsi="Palatino Linotype" w:cs="Tahoma"/>
          <w:bCs/>
          <w:sz w:val="22"/>
          <w:szCs w:val="22"/>
          <w:lang w:eastAsia="en-US"/>
        </w:rPr>
        <w:t>l Ayuntamiento de</w:t>
      </w:r>
      <w:r w:rsidR="00540B48">
        <w:rPr>
          <w:rFonts w:ascii="Palatino Linotype" w:eastAsia="Calibri" w:hAnsi="Palatino Linotype" w:cs="Tahoma"/>
          <w:bCs/>
          <w:sz w:val="22"/>
          <w:szCs w:val="22"/>
          <w:lang w:eastAsia="en-US"/>
        </w:rPr>
        <w:t xml:space="preserve"> Timilpan</w:t>
      </w:r>
      <w:r w:rsidRPr="00F67BDF">
        <w:rPr>
          <w:rFonts w:ascii="Palatino Linotype" w:eastAsia="Calibri" w:hAnsi="Palatino Linotype" w:cs="Tahoma"/>
          <w:bCs/>
          <w:sz w:val="22"/>
          <w:szCs w:val="22"/>
          <w:lang w:eastAsia="en-US"/>
        </w:rPr>
        <w:t xml:space="preserve"> turnó la solicitud de información, </w:t>
      </w:r>
      <w:r w:rsidR="00540B48">
        <w:rPr>
          <w:rFonts w:ascii="Palatino Linotype" w:eastAsia="Calibri" w:hAnsi="Palatino Linotype" w:cs="Tahoma"/>
          <w:bCs/>
          <w:sz w:val="22"/>
          <w:szCs w:val="22"/>
          <w:lang w:eastAsia="en-US"/>
        </w:rPr>
        <w:t>al Servidor Público Habilitado de la Tesorería, conforme a lo corrobora</w:t>
      </w:r>
      <w:r w:rsidR="00727568">
        <w:rPr>
          <w:rFonts w:ascii="Palatino Linotype" w:eastAsia="Calibri" w:hAnsi="Palatino Linotype" w:cs="Tahoma"/>
          <w:bCs/>
          <w:sz w:val="22"/>
          <w:szCs w:val="22"/>
          <w:lang w:eastAsia="en-US"/>
        </w:rPr>
        <w:t>do</w:t>
      </w:r>
      <w:r w:rsidR="00540B48">
        <w:rPr>
          <w:rFonts w:ascii="Palatino Linotype" w:eastAsia="Calibri" w:hAnsi="Palatino Linotype" w:cs="Tahoma"/>
          <w:bCs/>
          <w:sz w:val="22"/>
          <w:szCs w:val="22"/>
          <w:lang w:eastAsia="en-US"/>
        </w:rPr>
        <w:t xml:space="preserve"> en el Directorio de Servidores Públicos del Sujeto Obligado en el Sistema Ipomex.</w:t>
      </w:r>
    </w:p>
    <w:p w:rsidR="00540B48" w:rsidRDefault="00540B48" w:rsidP="00AD7301">
      <w:pPr>
        <w:spacing w:line="360" w:lineRule="auto"/>
        <w:ind w:right="-93"/>
        <w:jc w:val="both"/>
        <w:rPr>
          <w:noProof/>
          <w:lang w:eastAsia="es-MX"/>
        </w:rPr>
      </w:pPr>
      <w:r>
        <w:rPr>
          <w:noProof/>
          <w:lang w:val="es-ES"/>
        </w:rPr>
        <w:drawing>
          <wp:anchor distT="0" distB="0" distL="114300" distR="114300" simplePos="0" relativeHeight="251660288" behindDoc="1" locked="0" layoutInCell="1" allowOverlap="1">
            <wp:simplePos x="0" y="0"/>
            <wp:positionH relativeFrom="column">
              <wp:posOffset>505934</wp:posOffset>
            </wp:positionH>
            <wp:positionV relativeFrom="paragraph">
              <wp:posOffset>83204</wp:posOffset>
            </wp:positionV>
            <wp:extent cx="4653849" cy="2473003"/>
            <wp:effectExtent l="0" t="0" r="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253" t="30666" r="32332" b="23039"/>
                    <a:stretch/>
                  </pic:blipFill>
                  <pic:spPr bwMode="auto">
                    <a:xfrm>
                      <a:off x="0" y="0"/>
                      <a:ext cx="4653849" cy="24730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0B48" w:rsidRDefault="00540B48" w:rsidP="00AD7301">
      <w:pPr>
        <w:spacing w:line="360" w:lineRule="auto"/>
        <w:ind w:right="-93"/>
        <w:jc w:val="both"/>
        <w:rPr>
          <w:rFonts w:ascii="Palatino Linotype" w:eastAsia="Calibri" w:hAnsi="Palatino Linotype" w:cs="Tahoma"/>
          <w:bCs/>
          <w:sz w:val="22"/>
          <w:szCs w:val="22"/>
          <w:lang w:eastAsia="en-US"/>
        </w:rPr>
      </w:pPr>
    </w:p>
    <w:p w:rsidR="00540B48" w:rsidRDefault="00727568" w:rsidP="00AD7301">
      <w:pPr>
        <w:spacing w:line="360" w:lineRule="auto"/>
        <w:ind w:right="-93"/>
        <w:jc w:val="both"/>
        <w:rPr>
          <w:noProof/>
          <w:lang w:eastAsia="es-MX"/>
        </w:rPr>
      </w:pPr>
      <w:r>
        <w:rPr>
          <w:rFonts w:ascii="Palatino Linotype" w:eastAsia="Calibri" w:hAnsi="Palatino Linotype" w:cs="Tahoma"/>
          <w:bCs/>
          <w:noProof/>
          <w:sz w:val="22"/>
          <w:szCs w:val="22"/>
          <w:lang w:val="es-ES"/>
        </w:rPr>
        <mc:AlternateContent>
          <mc:Choice Requires="wps">
            <w:drawing>
              <wp:anchor distT="0" distB="0" distL="114300" distR="114300" simplePos="0" relativeHeight="251667456" behindDoc="0" locked="0" layoutInCell="1" allowOverlap="1">
                <wp:simplePos x="0" y="0"/>
                <wp:positionH relativeFrom="column">
                  <wp:posOffset>799948</wp:posOffset>
                </wp:positionH>
                <wp:positionV relativeFrom="paragraph">
                  <wp:posOffset>73679</wp:posOffset>
                </wp:positionV>
                <wp:extent cx="4046562" cy="334370"/>
                <wp:effectExtent l="19050" t="19050" r="11430" b="27940"/>
                <wp:wrapNone/>
                <wp:docPr id="12" name="Rectángulo 12"/>
                <wp:cNvGraphicFramePr/>
                <a:graphic xmlns:a="http://schemas.openxmlformats.org/drawingml/2006/main">
                  <a:graphicData uri="http://schemas.microsoft.com/office/word/2010/wordprocessingShape">
                    <wps:wsp>
                      <wps:cNvSpPr/>
                      <wps:spPr>
                        <a:xfrm>
                          <a:off x="0" y="0"/>
                          <a:ext cx="4046562" cy="334370"/>
                        </a:xfrm>
                        <a:prstGeom prst="rect">
                          <a:avLst/>
                        </a:prstGeom>
                        <a:noFill/>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2AC8F" id="Rectángulo 12" o:spid="_x0000_s1026" style="position:absolute;margin-left:63pt;margin-top:5.8pt;width:318.65pt;height:2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" filled="f" strokecolor="#ffc000 [3207]" strokeweight="3pt"/>
            </w:pict>
          </mc:Fallback>
        </mc:AlternateContent>
      </w:r>
    </w:p>
    <w:p w:rsidR="00540B48" w:rsidRDefault="00540B48" w:rsidP="00AD7301">
      <w:pPr>
        <w:spacing w:line="360" w:lineRule="auto"/>
        <w:ind w:right="-93"/>
        <w:jc w:val="both"/>
        <w:rPr>
          <w:rFonts w:ascii="Palatino Linotype" w:eastAsia="Calibri" w:hAnsi="Palatino Linotype" w:cs="Tahoma"/>
          <w:bCs/>
          <w:sz w:val="22"/>
          <w:szCs w:val="22"/>
          <w:lang w:eastAsia="en-US"/>
        </w:rPr>
      </w:pPr>
    </w:p>
    <w:p w:rsidR="00540B48" w:rsidRDefault="00540B48" w:rsidP="00AD7301">
      <w:pPr>
        <w:spacing w:line="360" w:lineRule="auto"/>
        <w:ind w:right="-93"/>
        <w:jc w:val="both"/>
        <w:rPr>
          <w:rFonts w:ascii="Palatino Linotype" w:eastAsia="Calibri" w:hAnsi="Palatino Linotype" w:cs="Tahoma"/>
          <w:bCs/>
          <w:sz w:val="22"/>
          <w:szCs w:val="22"/>
          <w:lang w:eastAsia="en-US"/>
        </w:rPr>
      </w:pPr>
    </w:p>
    <w:p w:rsidR="00540B48" w:rsidRDefault="00540B48" w:rsidP="00AD7301">
      <w:pPr>
        <w:spacing w:line="360" w:lineRule="auto"/>
        <w:ind w:right="-93"/>
        <w:jc w:val="both"/>
        <w:rPr>
          <w:rFonts w:ascii="Palatino Linotype" w:eastAsia="Calibri" w:hAnsi="Palatino Linotype" w:cs="Tahoma"/>
          <w:bCs/>
          <w:sz w:val="22"/>
          <w:szCs w:val="22"/>
          <w:lang w:eastAsia="en-US"/>
        </w:rPr>
      </w:pPr>
    </w:p>
    <w:p w:rsidR="00540B48" w:rsidRDefault="00540B48" w:rsidP="00AD7301">
      <w:pPr>
        <w:spacing w:line="360" w:lineRule="auto"/>
        <w:ind w:right="-93"/>
        <w:jc w:val="both"/>
        <w:rPr>
          <w:rFonts w:ascii="Palatino Linotype" w:eastAsia="Calibri" w:hAnsi="Palatino Linotype" w:cs="Tahoma"/>
          <w:bCs/>
          <w:sz w:val="22"/>
          <w:szCs w:val="22"/>
          <w:lang w:eastAsia="en-US"/>
        </w:rPr>
      </w:pPr>
    </w:p>
    <w:p w:rsidR="00540B48" w:rsidRDefault="00540B48" w:rsidP="00AD7301">
      <w:pPr>
        <w:spacing w:line="360" w:lineRule="auto"/>
        <w:ind w:right="-93"/>
        <w:jc w:val="both"/>
        <w:rPr>
          <w:rFonts w:ascii="Palatino Linotype" w:eastAsia="Calibri" w:hAnsi="Palatino Linotype" w:cs="Tahoma"/>
          <w:bCs/>
          <w:sz w:val="22"/>
          <w:szCs w:val="22"/>
          <w:lang w:eastAsia="en-US"/>
        </w:rPr>
      </w:pPr>
    </w:p>
    <w:p w:rsidR="00540B48" w:rsidRDefault="00540B48" w:rsidP="00AD7301">
      <w:pPr>
        <w:spacing w:line="360" w:lineRule="auto"/>
        <w:ind w:right="-93"/>
        <w:jc w:val="both"/>
        <w:rPr>
          <w:rFonts w:ascii="Palatino Linotype" w:eastAsia="Calibri" w:hAnsi="Palatino Linotype" w:cs="Tahoma"/>
          <w:bCs/>
          <w:sz w:val="22"/>
          <w:szCs w:val="22"/>
          <w:lang w:eastAsia="en-US"/>
        </w:rPr>
      </w:pPr>
    </w:p>
    <w:p w:rsidR="00540B48" w:rsidRDefault="00540B48" w:rsidP="00AD7301">
      <w:pPr>
        <w:spacing w:line="360" w:lineRule="auto"/>
        <w:ind w:right="-93"/>
        <w:jc w:val="both"/>
        <w:rPr>
          <w:rFonts w:ascii="Palatino Linotype" w:eastAsia="Calibri" w:hAnsi="Palatino Linotype" w:cs="Tahoma"/>
          <w:bCs/>
          <w:sz w:val="22"/>
          <w:szCs w:val="22"/>
          <w:lang w:eastAsia="en-US"/>
        </w:rPr>
      </w:pPr>
    </w:p>
    <w:p w:rsidR="00CD2D24" w:rsidRDefault="00CD2D24" w:rsidP="00AD7301">
      <w:pPr>
        <w:spacing w:line="360" w:lineRule="auto"/>
        <w:ind w:right="-93"/>
        <w:jc w:val="both"/>
        <w:rPr>
          <w:rFonts w:ascii="Palatino Linotype" w:eastAsia="Calibri" w:hAnsi="Palatino Linotype" w:cs="Tahoma"/>
          <w:bCs/>
          <w:sz w:val="22"/>
          <w:szCs w:val="22"/>
          <w:lang w:eastAsia="en-US"/>
        </w:rPr>
      </w:pPr>
    </w:p>
    <w:p w:rsidR="00AD7301" w:rsidRPr="003E3CBF" w:rsidRDefault="00540B48" w:rsidP="00AD730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w:t>
      </w:r>
      <w:r w:rsidR="00AD7301" w:rsidRPr="00F67BDF">
        <w:rPr>
          <w:rFonts w:ascii="Palatino Linotype" w:eastAsia="Calibri" w:hAnsi="Palatino Linotype" w:cs="Tahoma"/>
          <w:bCs/>
          <w:sz w:val="22"/>
          <w:szCs w:val="22"/>
          <w:lang w:eastAsia="en-US"/>
        </w:rPr>
        <w:t xml:space="preserve">or </w:t>
      </w:r>
      <w:r>
        <w:rPr>
          <w:rFonts w:ascii="Palatino Linotype" w:eastAsia="Calibri" w:hAnsi="Palatino Linotype" w:cs="Tahoma"/>
          <w:bCs/>
          <w:sz w:val="22"/>
          <w:szCs w:val="22"/>
          <w:lang w:eastAsia="en-US"/>
        </w:rPr>
        <w:t>tal motivo</w:t>
      </w:r>
      <w:r w:rsidR="00AD7301" w:rsidRPr="00F67BDF">
        <w:rPr>
          <w:rFonts w:ascii="Palatino Linotype" w:eastAsia="Calibri" w:hAnsi="Palatino Linotype" w:cs="Tahoma"/>
          <w:bCs/>
          <w:sz w:val="22"/>
          <w:szCs w:val="22"/>
          <w:lang w:eastAsia="en-US"/>
        </w:rPr>
        <w:t xml:space="preserve">, es necesario hacer referencia </w:t>
      </w:r>
      <w:r w:rsidR="00AD7301" w:rsidRPr="00F67BDF">
        <w:rPr>
          <w:rFonts w:ascii="Palatino Linotype" w:hAnsi="Palatino Linotype" w:cs="Tahoma"/>
          <w:sz w:val="22"/>
          <w:szCs w:val="22"/>
        </w:rPr>
        <w:t xml:space="preserve">al </w:t>
      </w:r>
      <w:r w:rsidR="00AD7301" w:rsidRPr="00F67BDF">
        <w:rPr>
          <w:rFonts w:ascii="Palatino Linotype" w:hAnsi="Palatino Linotype" w:cs="Tahoma"/>
          <w:b/>
          <w:sz w:val="22"/>
          <w:szCs w:val="22"/>
        </w:rPr>
        <w:t xml:space="preserve">procedimiento de búsqueda que deben seguir los </w:t>
      </w:r>
      <w:r w:rsidR="00BD457D">
        <w:rPr>
          <w:rFonts w:ascii="Palatino Linotype" w:hAnsi="Palatino Linotype" w:cs="Tahoma"/>
          <w:b/>
          <w:sz w:val="22"/>
          <w:szCs w:val="22"/>
        </w:rPr>
        <w:t>s</w:t>
      </w:r>
      <w:r w:rsidR="00BD457D" w:rsidRPr="00F67BDF">
        <w:rPr>
          <w:rFonts w:ascii="Palatino Linotype" w:hAnsi="Palatino Linotype" w:cs="Tahoma"/>
          <w:b/>
          <w:sz w:val="22"/>
          <w:szCs w:val="22"/>
        </w:rPr>
        <w:t xml:space="preserve">ujetos </w:t>
      </w:r>
      <w:r w:rsidR="00BD457D">
        <w:rPr>
          <w:rFonts w:ascii="Palatino Linotype" w:hAnsi="Palatino Linotype" w:cs="Tahoma"/>
          <w:b/>
          <w:sz w:val="22"/>
          <w:szCs w:val="22"/>
        </w:rPr>
        <w:t>obligado</w:t>
      </w:r>
      <w:r w:rsidR="00BD457D" w:rsidRPr="00F67BDF">
        <w:rPr>
          <w:rFonts w:ascii="Palatino Linotype" w:hAnsi="Palatino Linotype" w:cs="Tahoma"/>
          <w:b/>
          <w:sz w:val="22"/>
          <w:szCs w:val="22"/>
        </w:rPr>
        <w:t xml:space="preserve">s </w:t>
      </w:r>
      <w:r w:rsidR="00AD7301" w:rsidRPr="00F67BDF">
        <w:rPr>
          <w:rFonts w:ascii="Palatino Linotype" w:hAnsi="Palatino Linotype" w:cs="Tahoma"/>
          <w:b/>
          <w:sz w:val="22"/>
          <w:szCs w:val="22"/>
        </w:rPr>
        <w:t>para localizar la información</w:t>
      </w:r>
      <w:r w:rsidR="00AD7301" w:rsidRPr="00F67BDF">
        <w:rPr>
          <w:rFonts w:ascii="Palatino Linotype" w:hAnsi="Palatino Linotype" w:cs="Tahoma"/>
          <w:sz w:val="22"/>
          <w:szCs w:val="22"/>
        </w:rPr>
        <w:t xml:space="preserve">, el cual se encuentra previsto en los </w:t>
      </w:r>
      <w:r w:rsidR="00AD7301" w:rsidRPr="00F67BDF">
        <w:rPr>
          <w:rFonts w:ascii="Palatino Linotype" w:hAnsi="Palatino Linotype" w:cs="Tahoma"/>
          <w:sz w:val="22"/>
          <w:szCs w:val="22"/>
        </w:rPr>
        <w:lastRenderedPageBreak/>
        <w:t>artículos</w:t>
      </w:r>
      <w:r w:rsidR="00AD7301" w:rsidRPr="00F67BDF">
        <w:rPr>
          <w:rFonts w:ascii="Palatino Linotype" w:eastAsia="Calibri" w:hAnsi="Palatino Linotype" w:cs="Tahoma"/>
          <w:bCs/>
          <w:sz w:val="22"/>
          <w:szCs w:val="22"/>
          <w:lang w:eastAsia="en-US"/>
        </w:rPr>
        <w:t xml:space="preserve"> 160 y 162</w:t>
      </w:r>
      <w:r w:rsidR="00AD7301">
        <w:rPr>
          <w:rFonts w:ascii="Palatino Linotype" w:eastAsia="Calibri" w:hAnsi="Palatino Linotype" w:cs="Tahoma"/>
          <w:bCs/>
          <w:sz w:val="22"/>
          <w:szCs w:val="22"/>
          <w:lang w:eastAsia="en-US"/>
        </w:rPr>
        <w:t xml:space="preserve"> </w:t>
      </w:r>
      <w:r w:rsidR="00AD7301" w:rsidRPr="00F67BDF">
        <w:rPr>
          <w:rFonts w:ascii="Palatino Linotype" w:eastAsia="Calibri" w:hAnsi="Palatino Linotype" w:cs="Tahoma"/>
          <w:bCs/>
          <w:sz w:val="22"/>
          <w:szCs w:val="22"/>
          <w:lang w:eastAsia="en-US"/>
        </w:rPr>
        <w:t xml:space="preserve">de la Ley de Transparencia y Acceso a la Información Pública del Estado de México y Municipios,  </w:t>
      </w:r>
      <w:r w:rsidR="006B79C8">
        <w:rPr>
          <w:rFonts w:ascii="Palatino Linotype" w:eastAsia="Calibri" w:hAnsi="Palatino Linotype" w:cs="Tahoma"/>
          <w:bCs/>
          <w:sz w:val="22"/>
          <w:szCs w:val="22"/>
          <w:lang w:eastAsia="en-US"/>
        </w:rPr>
        <w:t>que se detalla a continuación</w:t>
      </w:r>
      <w:r w:rsidR="00AD7301" w:rsidRPr="00F67BDF">
        <w:rPr>
          <w:rFonts w:ascii="Palatino Linotype" w:eastAsia="Calibri" w:hAnsi="Palatino Linotype" w:cs="Tahoma"/>
          <w:bCs/>
          <w:sz w:val="22"/>
          <w:szCs w:val="22"/>
          <w:lang w:eastAsia="en-US"/>
        </w:rPr>
        <w:t>:</w:t>
      </w:r>
    </w:p>
    <w:p w:rsidR="00AD7301" w:rsidRPr="00F67BDF" w:rsidRDefault="00AD7301" w:rsidP="00AD7301">
      <w:pPr>
        <w:spacing w:line="360" w:lineRule="auto"/>
        <w:jc w:val="both"/>
        <w:rPr>
          <w:rFonts w:ascii="Palatino Linotype" w:eastAsia="Calibri" w:hAnsi="Palatino Linotype" w:cs="Tahoma"/>
          <w:bCs/>
          <w:sz w:val="22"/>
          <w:szCs w:val="22"/>
          <w:lang w:val="es-ES" w:eastAsia="en-US"/>
        </w:rPr>
      </w:pPr>
    </w:p>
    <w:p w:rsidR="00AD7301" w:rsidRPr="00F67BDF" w:rsidRDefault="00AD7301" w:rsidP="00AD7301">
      <w:pPr>
        <w:numPr>
          <w:ilvl w:val="0"/>
          <w:numId w:val="22"/>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AD7301" w:rsidRPr="00F67BDF" w:rsidRDefault="00AD7301" w:rsidP="00AD7301">
      <w:pPr>
        <w:spacing w:line="360" w:lineRule="auto"/>
        <w:ind w:left="720"/>
        <w:jc w:val="both"/>
        <w:rPr>
          <w:rFonts w:ascii="Palatino Linotype" w:eastAsia="Calibri" w:hAnsi="Palatino Linotype" w:cs="Tahoma"/>
          <w:bCs/>
          <w:sz w:val="22"/>
          <w:szCs w:val="22"/>
          <w:lang w:val="es-ES" w:eastAsia="en-US"/>
        </w:rPr>
      </w:pPr>
    </w:p>
    <w:p w:rsidR="00AD7301" w:rsidRPr="0070683A" w:rsidRDefault="00AD7301" w:rsidP="0070683A">
      <w:pPr>
        <w:numPr>
          <w:ilvl w:val="0"/>
          <w:numId w:val="22"/>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 xml:space="preserve">Los sujetos </w:t>
      </w:r>
      <w:r w:rsidR="00E23EA6">
        <w:rPr>
          <w:rFonts w:ascii="Palatino Linotype" w:eastAsia="Calibri" w:hAnsi="Palatino Linotype" w:cs="Tahoma"/>
          <w:bCs/>
          <w:sz w:val="22"/>
          <w:szCs w:val="22"/>
          <w:lang w:val="es-ES" w:eastAsia="en-US"/>
        </w:rPr>
        <w:t>o</w:t>
      </w:r>
      <w:r w:rsidR="00956793">
        <w:rPr>
          <w:rFonts w:ascii="Palatino Linotype" w:eastAsia="Calibri" w:hAnsi="Palatino Linotype" w:cs="Tahoma"/>
          <w:bCs/>
          <w:sz w:val="22"/>
          <w:szCs w:val="22"/>
          <w:lang w:val="es-ES" w:eastAsia="en-US"/>
        </w:rPr>
        <w:t>bligado</w:t>
      </w:r>
      <w:r w:rsidRPr="00F67BDF">
        <w:rPr>
          <w:rFonts w:ascii="Palatino Linotype" w:eastAsia="Calibri" w:hAnsi="Palatino Linotype" w:cs="Tahoma"/>
          <w:bCs/>
          <w:sz w:val="22"/>
          <w:szCs w:val="22"/>
          <w:lang w:val="es-ES" w:eastAsia="en-US"/>
        </w:rPr>
        <w:t xml:space="preserve">s otorgaran acceso a los documentos que se encuentren en sus archivos o que estén </w:t>
      </w:r>
      <w:r w:rsidR="00E23EA6">
        <w:rPr>
          <w:rFonts w:ascii="Palatino Linotype" w:eastAsia="Calibri" w:hAnsi="Palatino Linotype" w:cs="Tahoma"/>
          <w:bCs/>
          <w:sz w:val="22"/>
          <w:szCs w:val="22"/>
          <w:lang w:val="es-ES" w:eastAsia="en-US"/>
        </w:rPr>
        <w:t>o</w:t>
      </w:r>
      <w:r w:rsidR="00956793">
        <w:rPr>
          <w:rFonts w:ascii="Palatino Linotype" w:eastAsia="Calibri" w:hAnsi="Palatino Linotype" w:cs="Tahoma"/>
          <w:bCs/>
          <w:sz w:val="22"/>
          <w:szCs w:val="22"/>
          <w:lang w:val="es-ES" w:eastAsia="en-US"/>
        </w:rPr>
        <w:t>bligado</w:t>
      </w:r>
      <w:r w:rsidRPr="00F67BDF">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rsidR="00AD7301" w:rsidRDefault="00AD7301" w:rsidP="00AD7301">
      <w:pPr>
        <w:spacing w:line="360" w:lineRule="auto"/>
        <w:ind w:right="-93"/>
        <w:jc w:val="both"/>
        <w:rPr>
          <w:rFonts w:ascii="Palatino Linotype" w:eastAsia="Calibri" w:hAnsi="Palatino Linotype" w:cs="Tahoma"/>
          <w:bCs/>
          <w:sz w:val="22"/>
          <w:szCs w:val="22"/>
          <w:lang w:eastAsia="en-US"/>
        </w:rPr>
      </w:pPr>
    </w:p>
    <w:p w:rsidR="00FD7E9D" w:rsidRDefault="00AD7301" w:rsidP="00AD7301">
      <w:pPr>
        <w:spacing w:line="360" w:lineRule="auto"/>
        <w:ind w:right="-93"/>
        <w:jc w:val="both"/>
        <w:rPr>
          <w:rFonts w:ascii="Palatino Linotype" w:eastAsia="Calibri" w:hAnsi="Palatino Linotype" w:cs="Tahoma"/>
          <w:bCs/>
          <w:sz w:val="22"/>
          <w:szCs w:val="22"/>
          <w:lang w:eastAsia="en-US"/>
        </w:rPr>
      </w:pPr>
      <w:r w:rsidRPr="00E442D7">
        <w:rPr>
          <w:rFonts w:ascii="Palatino Linotype" w:eastAsia="Calibri" w:hAnsi="Palatino Linotype" w:cs="Tahoma"/>
          <w:bCs/>
          <w:sz w:val="22"/>
          <w:szCs w:val="22"/>
          <w:lang w:eastAsia="en-US"/>
        </w:rPr>
        <w:t xml:space="preserve">En ese sentido, el Bando Municipal </w:t>
      </w:r>
      <w:r w:rsidR="00E442D7">
        <w:rPr>
          <w:rFonts w:ascii="Palatino Linotype" w:eastAsia="Calibri" w:hAnsi="Palatino Linotype" w:cs="Tahoma"/>
          <w:bCs/>
          <w:sz w:val="22"/>
          <w:szCs w:val="22"/>
          <w:lang w:eastAsia="en-US"/>
        </w:rPr>
        <w:t>de Timilpan</w:t>
      </w:r>
      <w:r w:rsidRPr="00E442D7">
        <w:rPr>
          <w:rFonts w:ascii="Palatino Linotype" w:eastAsia="Calibri" w:hAnsi="Palatino Linotype" w:cs="Tahoma"/>
          <w:bCs/>
          <w:sz w:val="22"/>
          <w:szCs w:val="22"/>
          <w:lang w:eastAsia="en-US"/>
        </w:rPr>
        <w:t xml:space="preserve">, </w:t>
      </w:r>
      <w:r w:rsidR="00BA547A" w:rsidRPr="00E442D7">
        <w:rPr>
          <w:rFonts w:ascii="Palatino Linotype" w:eastAsia="Calibri" w:hAnsi="Palatino Linotype" w:cs="Tahoma"/>
          <w:bCs/>
          <w:sz w:val="22"/>
          <w:szCs w:val="22"/>
          <w:lang w:eastAsia="en-US"/>
        </w:rPr>
        <w:t>Estado d</w:t>
      </w:r>
      <w:r w:rsidRPr="00E442D7">
        <w:rPr>
          <w:rFonts w:ascii="Palatino Linotype" w:eastAsia="Calibri" w:hAnsi="Palatino Linotype" w:cs="Tahoma"/>
          <w:bCs/>
          <w:sz w:val="22"/>
          <w:szCs w:val="22"/>
          <w:lang w:eastAsia="en-US"/>
        </w:rPr>
        <w:t xml:space="preserve">e México </w:t>
      </w:r>
      <w:r w:rsidR="00E01527">
        <w:rPr>
          <w:rFonts w:ascii="Palatino Linotype" w:eastAsia="Calibri" w:hAnsi="Palatino Linotype" w:cs="Tahoma"/>
          <w:bCs/>
          <w:sz w:val="22"/>
          <w:szCs w:val="22"/>
          <w:lang w:eastAsia="en-US"/>
        </w:rPr>
        <w:t>dos mil dieciocho</w:t>
      </w:r>
      <w:r w:rsidR="00E442D7">
        <w:rPr>
          <w:rFonts w:ascii="Palatino Linotype" w:eastAsia="Calibri" w:hAnsi="Palatino Linotype" w:cs="Tahoma"/>
          <w:bCs/>
          <w:sz w:val="22"/>
          <w:szCs w:val="22"/>
          <w:lang w:eastAsia="en-US"/>
        </w:rPr>
        <w:t xml:space="preserve">, en su artículo 40 relacionado con la Administración Pública Municipal, </w:t>
      </w:r>
      <w:r w:rsidRPr="00E442D7">
        <w:rPr>
          <w:rFonts w:ascii="Palatino Linotype" w:eastAsia="Calibri" w:hAnsi="Palatino Linotype" w:cs="Tahoma"/>
          <w:bCs/>
          <w:sz w:val="22"/>
          <w:szCs w:val="22"/>
          <w:lang w:eastAsia="en-US"/>
        </w:rPr>
        <w:t xml:space="preserve">considera a la Tesorería Municipal como parte de las dependencias  que formarán la Administración Municipal del </w:t>
      </w:r>
      <w:r w:rsidR="00956793" w:rsidRPr="00E442D7">
        <w:rPr>
          <w:rFonts w:ascii="Palatino Linotype" w:eastAsia="Calibri" w:hAnsi="Palatino Linotype" w:cs="Tahoma"/>
          <w:bCs/>
          <w:sz w:val="22"/>
          <w:szCs w:val="22"/>
          <w:lang w:eastAsia="en-US"/>
        </w:rPr>
        <w:t>Sujeto Obligado</w:t>
      </w:r>
      <w:r w:rsidR="003A67E6" w:rsidRPr="00E442D7">
        <w:rPr>
          <w:rFonts w:ascii="Palatino Linotype" w:eastAsia="Calibri" w:hAnsi="Palatino Linotype" w:cs="Tahoma"/>
          <w:bCs/>
          <w:sz w:val="22"/>
          <w:szCs w:val="22"/>
          <w:lang w:eastAsia="en-US"/>
        </w:rPr>
        <w:t>.</w:t>
      </w:r>
    </w:p>
    <w:p w:rsidR="00FD7E9D" w:rsidRDefault="00FD7E9D" w:rsidP="00AD7301">
      <w:pPr>
        <w:spacing w:line="360" w:lineRule="auto"/>
        <w:ind w:right="-93"/>
        <w:jc w:val="both"/>
        <w:rPr>
          <w:rFonts w:ascii="Palatino Linotype" w:eastAsia="Calibri" w:hAnsi="Palatino Linotype" w:cs="Tahoma"/>
          <w:bCs/>
          <w:sz w:val="22"/>
          <w:szCs w:val="22"/>
          <w:lang w:eastAsia="en-US"/>
        </w:rPr>
      </w:pPr>
    </w:p>
    <w:p w:rsidR="00AD7301" w:rsidRPr="00E442D7" w:rsidRDefault="00FD7E9D" w:rsidP="00AD730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igual forma, conforme a lo que establece la Ley de Fiscalización Superior del Estado de México, publicada el 26 de agosto de 2004, en el Periódico Oficial “Gaceta del Gobierno”, en </w:t>
      </w:r>
      <w:r w:rsidR="00EC6641">
        <w:rPr>
          <w:rFonts w:ascii="Palatino Linotype" w:eastAsia="Calibri" w:hAnsi="Palatino Linotype" w:cs="Tahoma"/>
          <w:bCs/>
          <w:sz w:val="22"/>
          <w:szCs w:val="22"/>
          <w:lang w:eastAsia="en-US"/>
        </w:rPr>
        <w:t>los</w:t>
      </w:r>
      <w:r>
        <w:rPr>
          <w:rFonts w:ascii="Palatino Linotype" w:eastAsia="Calibri" w:hAnsi="Palatino Linotype" w:cs="Tahoma"/>
          <w:bCs/>
          <w:sz w:val="22"/>
          <w:szCs w:val="22"/>
          <w:lang w:eastAsia="en-US"/>
        </w:rPr>
        <w:t xml:space="preserve"> artículos 2</w:t>
      </w:r>
      <w:r w:rsidR="00B63AE7">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fracción XI, 33, 46, 48 y 49, es facultad de la </w:t>
      </w:r>
      <w:r w:rsidR="00EC6641">
        <w:rPr>
          <w:rFonts w:ascii="Palatino Linotype" w:eastAsia="Calibri" w:hAnsi="Palatino Linotype" w:cs="Tahoma"/>
          <w:bCs/>
          <w:sz w:val="22"/>
          <w:szCs w:val="22"/>
          <w:lang w:eastAsia="en-US"/>
        </w:rPr>
        <w:t>T</w:t>
      </w:r>
      <w:r>
        <w:rPr>
          <w:rFonts w:ascii="Palatino Linotype" w:eastAsia="Calibri" w:hAnsi="Palatino Linotype" w:cs="Tahoma"/>
          <w:bCs/>
          <w:sz w:val="22"/>
          <w:szCs w:val="22"/>
          <w:lang w:eastAsia="en-US"/>
        </w:rPr>
        <w:t>esorería Municipal</w:t>
      </w:r>
      <w:r w:rsidR="00EC6641">
        <w:rPr>
          <w:rFonts w:ascii="Palatino Linotype" w:eastAsia="Calibri" w:hAnsi="Palatino Linotype" w:cs="Tahoma"/>
          <w:bCs/>
          <w:sz w:val="22"/>
          <w:szCs w:val="22"/>
          <w:lang w:eastAsia="en-US"/>
        </w:rPr>
        <w:t xml:space="preserve"> entregar los </w:t>
      </w:r>
      <w:r>
        <w:rPr>
          <w:rFonts w:ascii="Palatino Linotype" w:eastAsia="Calibri" w:hAnsi="Palatino Linotype" w:cs="Tahoma"/>
          <w:bCs/>
          <w:sz w:val="22"/>
          <w:szCs w:val="22"/>
          <w:lang w:eastAsia="en-US"/>
        </w:rPr>
        <w:t xml:space="preserve"> informe</w:t>
      </w:r>
      <w:r w:rsidR="00EC6641">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mensuales</w:t>
      </w:r>
      <w:r w:rsidR="00EC6641">
        <w:rPr>
          <w:rFonts w:ascii="Palatino Linotype" w:eastAsia="Calibri" w:hAnsi="Palatino Linotype" w:cs="Tahoma"/>
          <w:bCs/>
          <w:sz w:val="22"/>
          <w:szCs w:val="22"/>
          <w:lang w:eastAsia="en-US"/>
        </w:rPr>
        <w:t>, de cuales se detalla</w:t>
      </w:r>
      <w:r>
        <w:rPr>
          <w:rFonts w:ascii="Palatino Linotype" w:eastAsia="Calibri" w:hAnsi="Palatino Linotype" w:cs="Tahoma"/>
          <w:bCs/>
          <w:sz w:val="22"/>
          <w:szCs w:val="22"/>
          <w:lang w:eastAsia="en-US"/>
        </w:rPr>
        <w:t xml:space="preserve"> el estado que guarda la cuenta pública Mun</w:t>
      </w:r>
      <w:r w:rsidR="00EC6641">
        <w:rPr>
          <w:rFonts w:ascii="Palatino Linotype" w:eastAsia="Calibri" w:hAnsi="Palatino Linotype" w:cs="Tahoma"/>
          <w:bCs/>
          <w:sz w:val="22"/>
          <w:szCs w:val="22"/>
          <w:lang w:eastAsia="en-US"/>
        </w:rPr>
        <w:t xml:space="preserve">icipal y en el que se incluye el detalle de la nómina general del Ayuntamiento. </w:t>
      </w:r>
    </w:p>
    <w:p w:rsidR="00470AC2" w:rsidRPr="00752AFF" w:rsidRDefault="00470AC2" w:rsidP="00AD7301">
      <w:pPr>
        <w:widowControl w:val="0"/>
        <w:spacing w:line="360" w:lineRule="auto"/>
        <w:ind w:right="-91"/>
        <w:jc w:val="both"/>
        <w:rPr>
          <w:rFonts w:ascii="Palatino Linotype" w:eastAsia="Calibri" w:hAnsi="Palatino Linotype" w:cs="Tahoma"/>
          <w:bCs/>
          <w:sz w:val="22"/>
          <w:szCs w:val="22"/>
          <w:lang w:eastAsia="en-US"/>
        </w:rPr>
      </w:pPr>
    </w:p>
    <w:p w:rsidR="00CE3270" w:rsidRDefault="00AD7301" w:rsidP="00AD7301">
      <w:pPr>
        <w:widowControl w:val="0"/>
        <w:spacing w:line="360" w:lineRule="auto"/>
        <w:ind w:right="-91"/>
        <w:jc w:val="both"/>
        <w:rPr>
          <w:rFonts w:ascii="Palatino Linotype" w:eastAsia="Calibri" w:hAnsi="Palatino Linotype" w:cs="Tahoma"/>
          <w:bCs/>
          <w:sz w:val="22"/>
          <w:szCs w:val="22"/>
          <w:lang w:eastAsia="en-US"/>
        </w:rPr>
      </w:pPr>
      <w:r w:rsidRPr="00752AFF">
        <w:rPr>
          <w:rFonts w:ascii="Palatino Linotype" w:eastAsia="Calibri" w:hAnsi="Palatino Linotype" w:cs="Tahoma"/>
          <w:bCs/>
          <w:sz w:val="22"/>
          <w:szCs w:val="22"/>
          <w:lang w:eastAsia="en-US"/>
        </w:rPr>
        <w:t xml:space="preserve">Conforme a lo anterior, se advierte que el </w:t>
      </w:r>
      <w:r w:rsidR="00956793" w:rsidRPr="00752AFF">
        <w:rPr>
          <w:rFonts w:ascii="Palatino Linotype" w:eastAsia="Calibri" w:hAnsi="Palatino Linotype" w:cs="Tahoma"/>
          <w:bCs/>
          <w:sz w:val="22"/>
          <w:szCs w:val="22"/>
          <w:lang w:eastAsia="en-US"/>
        </w:rPr>
        <w:t>Sujeto Obligado</w:t>
      </w:r>
      <w:r w:rsidRPr="00752AFF">
        <w:rPr>
          <w:rFonts w:ascii="Palatino Linotype" w:eastAsia="Calibri" w:hAnsi="Palatino Linotype" w:cs="Tahoma"/>
          <w:bCs/>
          <w:sz w:val="22"/>
          <w:szCs w:val="22"/>
          <w:lang w:eastAsia="en-US"/>
        </w:rPr>
        <w:t xml:space="preserve"> cuenta con un área específica para conocer </w:t>
      </w:r>
      <w:r w:rsidR="00752AFF" w:rsidRPr="00752AFF">
        <w:rPr>
          <w:rFonts w:ascii="Palatino Linotype" w:eastAsia="Calibri" w:hAnsi="Palatino Linotype" w:cs="Tahoma"/>
          <w:bCs/>
          <w:sz w:val="22"/>
          <w:szCs w:val="22"/>
          <w:lang w:eastAsia="en-US"/>
        </w:rPr>
        <w:t>de la solicitud de información</w:t>
      </w:r>
      <w:r w:rsidRPr="00752AFF">
        <w:rPr>
          <w:rFonts w:ascii="Palatino Linotype" w:eastAsia="Calibri" w:hAnsi="Palatino Linotype" w:cs="Tahoma"/>
          <w:bCs/>
          <w:sz w:val="22"/>
          <w:szCs w:val="22"/>
          <w:lang w:eastAsia="en-US"/>
        </w:rPr>
        <w:t xml:space="preserve">, </w:t>
      </w:r>
      <w:r w:rsidRPr="00752AFF">
        <w:rPr>
          <w:rFonts w:ascii="Palatino Linotype" w:eastAsia="Calibri" w:hAnsi="Palatino Linotype" w:cs="Tahoma"/>
          <w:b/>
          <w:bCs/>
          <w:sz w:val="22"/>
          <w:szCs w:val="22"/>
          <w:lang w:eastAsia="en-US"/>
        </w:rPr>
        <w:t xml:space="preserve">la </w:t>
      </w:r>
      <w:r w:rsidR="00752AFF" w:rsidRPr="00752AFF">
        <w:rPr>
          <w:rFonts w:ascii="Palatino Linotype" w:eastAsia="Calibri" w:hAnsi="Palatino Linotype" w:cs="Tahoma"/>
          <w:b/>
          <w:bCs/>
          <w:sz w:val="22"/>
          <w:szCs w:val="22"/>
          <w:lang w:eastAsia="en-US"/>
        </w:rPr>
        <w:t xml:space="preserve">Tesorería Municipal, </w:t>
      </w:r>
      <w:r w:rsidRPr="00752AFF">
        <w:rPr>
          <w:rFonts w:ascii="Palatino Linotype" w:eastAsia="Calibri" w:hAnsi="Palatino Linotype" w:cs="Tahoma"/>
          <w:bCs/>
          <w:sz w:val="22"/>
          <w:szCs w:val="22"/>
          <w:lang w:eastAsia="en-US"/>
        </w:rPr>
        <w:t xml:space="preserve">al contar con atribuciones para </w:t>
      </w:r>
      <w:r w:rsidRPr="00752AFF">
        <w:rPr>
          <w:rFonts w:ascii="Palatino Linotype" w:eastAsia="Calibri" w:hAnsi="Palatino Linotype" w:cs="Tahoma"/>
          <w:bCs/>
          <w:sz w:val="22"/>
          <w:szCs w:val="22"/>
          <w:lang w:eastAsia="en-US"/>
        </w:rPr>
        <w:lastRenderedPageBreak/>
        <w:t xml:space="preserve">conocer de las remuneraciones otorgadas a los servidores públicos que laboran en el Ayuntamiento en cuestión;  por lo que, se advierte que </w:t>
      </w:r>
      <w:r w:rsidR="00752AFF" w:rsidRPr="00752AFF">
        <w:rPr>
          <w:rFonts w:ascii="Palatino Linotype" w:eastAsia="Calibri" w:hAnsi="Palatino Linotype" w:cs="Tahoma"/>
          <w:bCs/>
          <w:sz w:val="22"/>
          <w:szCs w:val="22"/>
          <w:lang w:eastAsia="en-US"/>
        </w:rPr>
        <w:t xml:space="preserve">se </w:t>
      </w:r>
      <w:r w:rsidRPr="00752AFF">
        <w:rPr>
          <w:rFonts w:ascii="Palatino Linotype" w:eastAsia="Calibri" w:hAnsi="Palatino Linotype" w:cs="Tahoma"/>
          <w:bCs/>
          <w:sz w:val="22"/>
          <w:szCs w:val="22"/>
          <w:lang w:eastAsia="en-US"/>
        </w:rPr>
        <w:t xml:space="preserve">turnó la solicitud de información al área, que conforme a sus atribuciones pudiera contar con la información requerida por el particular; </w:t>
      </w:r>
      <w:r w:rsidR="0070683A" w:rsidRPr="00752AFF">
        <w:rPr>
          <w:rFonts w:ascii="Palatino Linotype" w:eastAsia="Calibri" w:hAnsi="Palatino Linotype" w:cs="Tahoma"/>
          <w:bCs/>
          <w:sz w:val="22"/>
          <w:szCs w:val="22"/>
          <w:lang w:eastAsia="en-US"/>
        </w:rPr>
        <w:t xml:space="preserve">sin que la área competente </w:t>
      </w:r>
      <w:r w:rsidR="00425E3E" w:rsidRPr="00752AFF">
        <w:rPr>
          <w:rFonts w:ascii="Palatino Linotype" w:eastAsia="Calibri" w:hAnsi="Palatino Linotype" w:cs="Tahoma"/>
          <w:bCs/>
          <w:sz w:val="22"/>
          <w:szCs w:val="22"/>
          <w:lang w:eastAsia="en-US"/>
        </w:rPr>
        <w:t>emiti</w:t>
      </w:r>
      <w:r w:rsidR="00425E3E">
        <w:rPr>
          <w:rFonts w:ascii="Palatino Linotype" w:eastAsia="Calibri" w:hAnsi="Palatino Linotype" w:cs="Tahoma"/>
          <w:bCs/>
          <w:sz w:val="22"/>
          <w:szCs w:val="22"/>
          <w:lang w:eastAsia="en-US"/>
        </w:rPr>
        <w:t>era</w:t>
      </w:r>
      <w:r w:rsidR="00425E3E" w:rsidRPr="00752AFF">
        <w:rPr>
          <w:rFonts w:ascii="Palatino Linotype" w:eastAsia="Calibri" w:hAnsi="Palatino Linotype" w:cs="Tahoma"/>
          <w:bCs/>
          <w:sz w:val="22"/>
          <w:szCs w:val="22"/>
          <w:lang w:eastAsia="en-US"/>
        </w:rPr>
        <w:t xml:space="preserve"> </w:t>
      </w:r>
      <w:r w:rsidR="0070683A" w:rsidRPr="00752AFF">
        <w:rPr>
          <w:rFonts w:ascii="Palatino Linotype" w:eastAsia="Calibri" w:hAnsi="Palatino Linotype" w:cs="Tahoma"/>
          <w:bCs/>
          <w:sz w:val="22"/>
          <w:szCs w:val="22"/>
          <w:lang w:eastAsia="en-US"/>
        </w:rPr>
        <w:t>respuesta alguna.</w:t>
      </w:r>
      <w:r w:rsidR="0070683A">
        <w:rPr>
          <w:rFonts w:ascii="Palatino Linotype" w:eastAsia="Calibri" w:hAnsi="Palatino Linotype" w:cs="Tahoma"/>
          <w:bCs/>
          <w:sz w:val="22"/>
          <w:szCs w:val="22"/>
          <w:lang w:eastAsia="en-US"/>
        </w:rPr>
        <w:t xml:space="preserve"> </w:t>
      </w:r>
    </w:p>
    <w:p w:rsidR="00AD7301" w:rsidRPr="00985849" w:rsidRDefault="00AD7301" w:rsidP="00DE6AEC">
      <w:pPr>
        <w:widowControl w:val="0"/>
        <w:spacing w:line="360" w:lineRule="auto"/>
        <w:ind w:right="-91"/>
        <w:jc w:val="both"/>
        <w:rPr>
          <w:rFonts w:ascii="Palatino Linotype" w:eastAsia="Calibri" w:hAnsi="Palatino Linotype" w:cs="Tahoma"/>
          <w:bCs/>
          <w:sz w:val="22"/>
          <w:szCs w:val="22"/>
          <w:lang w:eastAsia="en-US"/>
        </w:rPr>
      </w:pPr>
    </w:p>
    <w:p w:rsidR="00C254E8" w:rsidRDefault="00B37CF8" w:rsidP="0070683A">
      <w:pPr>
        <w:tabs>
          <w:tab w:val="left" w:pos="4962"/>
        </w:tabs>
        <w:spacing w:line="360" w:lineRule="auto"/>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Expuestas las posturas de las partes, se</w:t>
      </w:r>
      <w:r w:rsidR="002E6811" w:rsidRPr="00985849">
        <w:rPr>
          <w:rFonts w:ascii="Palatino Linotype" w:eastAsia="Calibri" w:hAnsi="Palatino Linotype" w:cs="Tahoma"/>
          <w:bCs/>
          <w:sz w:val="22"/>
          <w:szCs w:val="22"/>
          <w:lang w:eastAsia="en-US"/>
        </w:rPr>
        <w:t xml:space="preserve"> procede al análisis de la naturaleza de la informaci</w:t>
      </w:r>
      <w:r w:rsidR="00A35EFA" w:rsidRPr="00985849">
        <w:rPr>
          <w:rFonts w:ascii="Palatino Linotype" w:eastAsia="Calibri" w:hAnsi="Palatino Linotype" w:cs="Tahoma"/>
          <w:bCs/>
          <w:sz w:val="22"/>
          <w:szCs w:val="22"/>
          <w:lang w:eastAsia="en-US"/>
        </w:rPr>
        <w:t>ón</w:t>
      </w:r>
      <w:r w:rsidR="0070683A">
        <w:rPr>
          <w:rFonts w:ascii="Palatino Linotype" w:eastAsia="Calibri" w:hAnsi="Palatino Linotype" w:cs="Tahoma"/>
          <w:bCs/>
          <w:sz w:val="22"/>
          <w:szCs w:val="22"/>
          <w:lang w:eastAsia="en-US"/>
        </w:rPr>
        <w:t xml:space="preserve">. </w:t>
      </w:r>
      <w:r w:rsidRPr="00985849">
        <w:rPr>
          <w:rFonts w:ascii="Palatino Linotype" w:eastAsia="Calibri" w:hAnsi="Palatino Linotype" w:cs="Tahoma"/>
          <w:bCs/>
          <w:sz w:val="22"/>
          <w:szCs w:val="22"/>
          <w:lang w:eastAsia="en-US"/>
        </w:rPr>
        <w:t xml:space="preserve"> </w:t>
      </w:r>
    </w:p>
    <w:p w:rsidR="00C254E8" w:rsidRDefault="00C254E8" w:rsidP="0070683A">
      <w:pPr>
        <w:tabs>
          <w:tab w:val="left" w:pos="4962"/>
        </w:tabs>
        <w:spacing w:line="360" w:lineRule="auto"/>
        <w:jc w:val="both"/>
        <w:rPr>
          <w:rFonts w:ascii="Palatino Linotype" w:eastAsia="Calibri" w:hAnsi="Palatino Linotype" w:cs="Tahoma"/>
          <w:bCs/>
          <w:sz w:val="22"/>
          <w:szCs w:val="22"/>
          <w:lang w:eastAsia="en-US"/>
        </w:rPr>
      </w:pPr>
    </w:p>
    <w:p w:rsidR="0070683A" w:rsidRPr="00985849" w:rsidRDefault="00C254E8" w:rsidP="0070683A">
      <w:pPr>
        <w:tabs>
          <w:tab w:val="left" w:pos="4962"/>
        </w:tabs>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 xml:space="preserve">Así, la </w:t>
      </w:r>
      <w:r w:rsidR="0070683A" w:rsidRPr="00DE6AEC">
        <w:rPr>
          <w:rFonts w:ascii="Palatino Linotype" w:hAnsi="Palatino Linotype" w:cs="Tahoma"/>
          <w:sz w:val="22"/>
          <w:szCs w:val="22"/>
        </w:rPr>
        <w:t>nómina</w:t>
      </w:r>
      <w:r w:rsidR="0070683A" w:rsidRPr="00C254E8">
        <w:rPr>
          <w:rFonts w:ascii="Palatino Linotype" w:hAnsi="Palatino Linotype" w:cs="Tahoma"/>
          <w:sz w:val="22"/>
          <w:szCs w:val="22"/>
        </w:rPr>
        <w:t>,</w:t>
      </w:r>
      <w:r w:rsidR="0070683A" w:rsidRPr="00985849">
        <w:rPr>
          <w:rFonts w:ascii="Palatino Linotype" w:hAnsi="Palatino Linotype" w:cs="Tahoma"/>
          <w:sz w:val="22"/>
          <w:szCs w:val="22"/>
        </w:rPr>
        <w:t xml:space="preserve"> conforme al “Glosario de Términos </w:t>
      </w:r>
      <w:r w:rsidR="009365C9">
        <w:rPr>
          <w:rFonts w:ascii="Palatino Linotype" w:hAnsi="Palatino Linotype" w:cs="Tahoma"/>
          <w:sz w:val="22"/>
          <w:szCs w:val="22"/>
        </w:rPr>
        <w:t>m</w:t>
      </w:r>
      <w:r w:rsidR="0070683A" w:rsidRPr="00985849">
        <w:rPr>
          <w:rFonts w:ascii="Palatino Linotype" w:hAnsi="Palatino Linotype" w:cs="Tahoma"/>
          <w:sz w:val="22"/>
          <w:szCs w:val="22"/>
        </w:rPr>
        <w:t xml:space="preserve">ás Usuales de Finanzas Publicas” publicado por el Centro de Estudios de las Finanzas Públicas de la Cámara de Diputados del H. Congreso de la Unión, </w:t>
      </w:r>
      <w:r w:rsidR="009365C9">
        <w:rPr>
          <w:rFonts w:ascii="Palatino Linotype" w:hAnsi="Palatino Linotype" w:cs="Tahoma"/>
          <w:sz w:val="22"/>
          <w:szCs w:val="22"/>
        </w:rPr>
        <w:t>es</w:t>
      </w:r>
      <w:r w:rsidR="009365C9" w:rsidRPr="00985849">
        <w:rPr>
          <w:rFonts w:ascii="Palatino Linotype" w:hAnsi="Palatino Linotype" w:cs="Tahoma"/>
          <w:sz w:val="22"/>
          <w:szCs w:val="22"/>
        </w:rPr>
        <w:t xml:space="preserve"> </w:t>
      </w:r>
      <w:r w:rsidR="0070683A" w:rsidRPr="00985849">
        <w:rPr>
          <w:rFonts w:ascii="Palatino Linotype" w:hAnsi="Palatino Linotype" w:cs="Tahoma"/>
          <w:sz w:val="22"/>
          <w:szCs w:val="22"/>
        </w:rPr>
        <w:t>defin</w:t>
      </w:r>
      <w:r w:rsidR="009365C9">
        <w:rPr>
          <w:rFonts w:ascii="Palatino Linotype" w:hAnsi="Palatino Linotype" w:cs="Tahoma"/>
          <w:sz w:val="22"/>
          <w:szCs w:val="22"/>
        </w:rPr>
        <w:t>ida</w:t>
      </w:r>
      <w:r w:rsidR="0070683A" w:rsidRPr="00985849">
        <w:rPr>
          <w:rFonts w:ascii="Palatino Linotype" w:hAnsi="Palatino Linotype" w:cs="Tahoma"/>
          <w:sz w:val="22"/>
          <w:szCs w:val="22"/>
        </w:rPr>
        <w:t xml:space="preserve"> como:</w:t>
      </w:r>
    </w:p>
    <w:p w:rsidR="0070683A" w:rsidRPr="00985849" w:rsidRDefault="0070683A" w:rsidP="0070683A">
      <w:pPr>
        <w:spacing w:line="360" w:lineRule="auto"/>
        <w:jc w:val="both"/>
        <w:rPr>
          <w:rFonts w:ascii="Palatino Linotype" w:hAnsi="Palatino Linotype" w:cs="Tahoma"/>
          <w:sz w:val="22"/>
          <w:szCs w:val="22"/>
        </w:rPr>
      </w:pPr>
    </w:p>
    <w:p w:rsidR="0070683A" w:rsidRPr="00985849" w:rsidRDefault="0070683A" w:rsidP="0070683A">
      <w:pPr>
        <w:spacing w:line="360" w:lineRule="auto"/>
        <w:ind w:left="567" w:right="539"/>
        <w:jc w:val="both"/>
        <w:rPr>
          <w:rFonts w:ascii="Palatino Linotype" w:hAnsi="Palatino Linotype" w:cs="Tahoma"/>
          <w:sz w:val="22"/>
          <w:szCs w:val="22"/>
        </w:rPr>
      </w:pPr>
      <w:r w:rsidRPr="00985849">
        <w:rPr>
          <w:rFonts w:ascii="Palatino Linotype" w:hAnsi="Palatino Linotype" w:cs="Tahoma"/>
          <w:sz w:val="22"/>
          <w:szCs w:val="22"/>
        </w:rPr>
        <w:t>“NOMINA</w:t>
      </w:r>
    </w:p>
    <w:p w:rsidR="0070683A" w:rsidRPr="00985849" w:rsidRDefault="0070683A" w:rsidP="0070683A">
      <w:pPr>
        <w:spacing w:line="360" w:lineRule="auto"/>
        <w:ind w:left="567" w:right="539"/>
        <w:jc w:val="both"/>
        <w:rPr>
          <w:rFonts w:ascii="Palatino Linotype" w:hAnsi="Palatino Linotype" w:cs="Tahoma"/>
          <w:sz w:val="22"/>
          <w:szCs w:val="22"/>
        </w:rPr>
      </w:pPr>
      <w:r w:rsidRPr="00985849">
        <w:rPr>
          <w:rFonts w:ascii="Palatino Linotype" w:hAnsi="Palatino Linotype" w:cs="Tahoma"/>
          <w:b/>
          <w:sz w:val="22"/>
          <w:szCs w:val="22"/>
          <w:u w:val="single"/>
        </w:rPr>
        <w:t>Listado general de los trabajadores de una institución, en el cual se asientan las percepciones brutas, deducciones y alcance neto de las mismas</w:t>
      </w:r>
      <w:r w:rsidRPr="00985849">
        <w:rPr>
          <w:rFonts w:ascii="Palatino Linotype" w:hAnsi="Palatino Linotype" w:cs="Tahoma"/>
          <w:sz w:val="22"/>
          <w:szCs w:val="22"/>
        </w:rPr>
        <w:t>; la nómina es utilizada para efectuar los pagos periódicos (semanales, quincenales o mensuales) a los trabajadores por concepto de sueldos y salarios.”</w:t>
      </w:r>
    </w:p>
    <w:p w:rsidR="00B37CF8" w:rsidRDefault="0070683A" w:rsidP="0070683A">
      <w:pPr>
        <w:spacing w:line="360" w:lineRule="auto"/>
        <w:ind w:left="567" w:right="539"/>
        <w:jc w:val="both"/>
        <w:rPr>
          <w:rFonts w:ascii="Palatino Linotype" w:hAnsi="Palatino Linotype" w:cs="Tahoma"/>
          <w:sz w:val="22"/>
          <w:szCs w:val="22"/>
        </w:rPr>
      </w:pPr>
      <w:r w:rsidRPr="00985849">
        <w:rPr>
          <w:rFonts w:ascii="Palatino Linotype" w:hAnsi="Palatino Linotype" w:cs="Tahoma"/>
          <w:sz w:val="22"/>
          <w:szCs w:val="22"/>
        </w:rPr>
        <w:t>(Énfasis añadido)</w:t>
      </w:r>
    </w:p>
    <w:p w:rsidR="00B37CF8" w:rsidRPr="00985849" w:rsidRDefault="00B37CF8" w:rsidP="00985849">
      <w:pPr>
        <w:spacing w:line="360" w:lineRule="auto"/>
        <w:ind w:right="-93"/>
        <w:jc w:val="both"/>
        <w:rPr>
          <w:rFonts w:ascii="Palatino Linotype" w:eastAsia="Calibri" w:hAnsi="Palatino Linotype" w:cs="Tahoma"/>
          <w:bCs/>
          <w:sz w:val="22"/>
          <w:szCs w:val="22"/>
          <w:lang w:eastAsia="en-US"/>
        </w:rPr>
      </w:pPr>
    </w:p>
    <w:p w:rsidR="00B37CF8" w:rsidRPr="00985849" w:rsidRDefault="00B37CF8"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ese contexto, cabe recordar que el particular solicitó diversas relaciones con los siguientes datos, </w:t>
      </w:r>
      <w:r w:rsidRPr="00985849">
        <w:rPr>
          <w:rFonts w:ascii="Palatino Linotype" w:eastAsia="Calibri" w:hAnsi="Palatino Linotype" w:cs="Tahoma"/>
          <w:b/>
          <w:bCs/>
          <w:sz w:val="22"/>
          <w:szCs w:val="22"/>
          <w:lang w:eastAsia="en-US"/>
        </w:rPr>
        <w:t>el sueldo bruto y el sobresueldo</w:t>
      </w:r>
      <w:r w:rsidRPr="00985849">
        <w:rPr>
          <w:rFonts w:ascii="Palatino Linotype" w:eastAsia="Calibri" w:hAnsi="Palatino Linotype" w:cs="Tahoma"/>
          <w:bCs/>
          <w:sz w:val="22"/>
          <w:szCs w:val="22"/>
          <w:lang w:eastAsia="en-US"/>
        </w:rPr>
        <w:t xml:space="preserve">, entendiéndose este como las demás prestaciones con las que cuenta un trabajador, a parte del salario; por lo que, en el presente caso, se logra advertir que su pretensión </w:t>
      </w:r>
      <w:r w:rsidRPr="0070683A">
        <w:rPr>
          <w:rFonts w:ascii="Palatino Linotype" w:eastAsia="Calibri" w:hAnsi="Palatino Linotype" w:cs="Tahoma"/>
          <w:b/>
          <w:bCs/>
          <w:sz w:val="22"/>
          <w:szCs w:val="22"/>
          <w:u w:val="single"/>
          <w:lang w:eastAsia="en-US"/>
        </w:rPr>
        <w:t>es obtener el documento, que contenga las percepciones</w:t>
      </w:r>
      <w:r w:rsidRPr="00985849">
        <w:rPr>
          <w:rFonts w:ascii="Palatino Linotype" w:eastAsia="Calibri" w:hAnsi="Palatino Linotype" w:cs="Tahoma"/>
          <w:bCs/>
          <w:sz w:val="22"/>
          <w:szCs w:val="22"/>
          <w:lang w:eastAsia="en-US"/>
        </w:rPr>
        <w:t xml:space="preserve"> que reciben los servidores públicos que laboran en el Ayuntamiento de</w:t>
      </w:r>
      <w:r w:rsidR="0072762D">
        <w:rPr>
          <w:rFonts w:ascii="Palatino Linotype" w:eastAsia="Calibri" w:hAnsi="Palatino Linotype" w:cs="Tahoma"/>
          <w:bCs/>
          <w:sz w:val="22"/>
          <w:szCs w:val="22"/>
          <w:lang w:eastAsia="en-US"/>
        </w:rPr>
        <w:t xml:space="preserve"> Timilpan</w:t>
      </w:r>
      <w:r w:rsidRPr="00985849">
        <w:rPr>
          <w:rFonts w:ascii="Palatino Linotype" w:eastAsia="Calibri" w:hAnsi="Palatino Linotype" w:cs="Tahoma"/>
          <w:bCs/>
          <w:sz w:val="22"/>
          <w:szCs w:val="22"/>
          <w:lang w:eastAsia="en-US"/>
        </w:rPr>
        <w:t>; esto es, de los trabajadores de base, confianza, sindicalizados, policías, temporales (lista de raya) y similares.</w:t>
      </w:r>
    </w:p>
    <w:p w:rsidR="00B37CF8" w:rsidRPr="00985849" w:rsidRDefault="00B37CF8" w:rsidP="00985849">
      <w:pPr>
        <w:spacing w:line="360" w:lineRule="auto"/>
        <w:ind w:right="-93"/>
        <w:jc w:val="both"/>
        <w:rPr>
          <w:rFonts w:ascii="Palatino Linotype" w:eastAsia="Calibri" w:hAnsi="Palatino Linotype" w:cs="Tahoma"/>
          <w:bCs/>
          <w:sz w:val="22"/>
          <w:szCs w:val="22"/>
          <w:lang w:eastAsia="en-US"/>
        </w:rPr>
      </w:pPr>
    </w:p>
    <w:p w:rsidR="00B37CF8" w:rsidRPr="00985849" w:rsidRDefault="00B37CF8"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traer a colación </w:t>
      </w:r>
      <w:r w:rsidR="008B60FB">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 xml:space="preserve">el artículo 147 de la Constitución Política del Estado Libre y Soberano de México, establece que los trabajadores al </w:t>
      </w:r>
      <w:r w:rsidRPr="00985849">
        <w:rPr>
          <w:rFonts w:ascii="Palatino Linotype" w:eastAsia="Calibri" w:hAnsi="Palatino Linotype" w:cs="Tahoma"/>
          <w:bCs/>
          <w:sz w:val="22"/>
          <w:szCs w:val="22"/>
          <w:lang w:eastAsia="en-US"/>
        </w:rPr>
        <w:lastRenderedPageBreak/>
        <w:t>servicio del Estado</w:t>
      </w:r>
      <w:r w:rsidR="008B60FB">
        <w:rPr>
          <w:rFonts w:ascii="Palatino Linotype" w:eastAsia="Calibri" w:hAnsi="Palatino Linotype" w:cs="Tahoma"/>
          <w:bCs/>
          <w:sz w:val="22"/>
          <w:szCs w:val="22"/>
          <w:lang w:eastAsia="en-US"/>
        </w:rPr>
        <w:t xml:space="preserve"> y </w:t>
      </w:r>
      <w:r w:rsidRPr="00985849">
        <w:rPr>
          <w:rFonts w:ascii="Palatino Linotype" w:eastAsia="Calibri" w:hAnsi="Palatino Linotype" w:cs="Tahoma"/>
          <w:bCs/>
          <w:sz w:val="22"/>
          <w:szCs w:val="22"/>
          <w:lang w:eastAsia="en-US"/>
        </w:rPr>
        <w:t xml:space="preserve">los miembros de los Ayuntamientos, recibirán una remuneración adecuada e irrenunciable por el desempeño de su empleo, cargo o comisión, que será determinada en el presupuesto de egresos que corresponda. </w:t>
      </w:r>
    </w:p>
    <w:p w:rsidR="004D65B7" w:rsidRPr="00985849" w:rsidRDefault="004D65B7" w:rsidP="00985849">
      <w:pPr>
        <w:spacing w:line="360" w:lineRule="auto"/>
        <w:ind w:right="-93"/>
        <w:jc w:val="both"/>
        <w:rPr>
          <w:rFonts w:ascii="Palatino Linotype" w:eastAsia="Calibri" w:hAnsi="Palatino Linotype" w:cs="Tahoma"/>
          <w:bCs/>
          <w:sz w:val="22"/>
          <w:szCs w:val="22"/>
          <w:lang w:eastAsia="en-US"/>
        </w:rPr>
      </w:pPr>
    </w:p>
    <w:p w:rsidR="00B37CF8" w:rsidRPr="00985849" w:rsidRDefault="00B37CF8"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0477E7" w:rsidRDefault="000477E7" w:rsidP="00985849">
      <w:pPr>
        <w:spacing w:line="360" w:lineRule="auto"/>
        <w:ind w:right="-93"/>
        <w:jc w:val="both"/>
        <w:rPr>
          <w:rFonts w:ascii="Palatino Linotype" w:eastAsia="Calibri" w:hAnsi="Palatino Linotype" w:cs="Tahoma"/>
          <w:bCs/>
          <w:sz w:val="22"/>
          <w:szCs w:val="22"/>
          <w:lang w:eastAsia="en-US"/>
        </w:rPr>
      </w:pPr>
    </w:p>
    <w:p w:rsidR="002C5695" w:rsidRDefault="002C5695" w:rsidP="002C56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 la</w:t>
      </w:r>
      <w:r w:rsidRPr="002C5695">
        <w:rPr>
          <w:rFonts w:ascii="Palatino Linotype" w:eastAsia="Calibri" w:hAnsi="Palatino Linotype" w:cs="Tahoma"/>
          <w:bCs/>
          <w:sz w:val="22"/>
          <w:szCs w:val="22"/>
          <w:lang w:eastAsia="en-US"/>
        </w:rPr>
        <w:t xml:space="preserve"> Ley del Trabajo de los Servidores Públicos del Estado y Municipios, en su artículo 220</w:t>
      </w:r>
      <w:r>
        <w:rPr>
          <w:rFonts w:ascii="Palatino Linotype" w:eastAsia="Calibri" w:hAnsi="Palatino Linotype" w:cs="Tahoma"/>
          <w:bCs/>
          <w:sz w:val="22"/>
          <w:szCs w:val="22"/>
          <w:lang w:eastAsia="en-US"/>
        </w:rPr>
        <w:t xml:space="preserve"> K, establece los documentos que tiene la obligación de conservar el </w:t>
      </w:r>
      <w:r w:rsidR="00956793">
        <w:rPr>
          <w:rFonts w:ascii="Palatino Linotype" w:eastAsia="Calibri" w:hAnsi="Palatino Linotype" w:cs="Tahoma"/>
          <w:bCs/>
          <w:sz w:val="22"/>
          <w:szCs w:val="22"/>
          <w:lang w:eastAsia="en-US"/>
        </w:rPr>
        <w:t>Sujeto Obligado</w:t>
      </w:r>
      <w:r>
        <w:rPr>
          <w:rFonts w:ascii="Palatino Linotype" w:eastAsia="Calibri" w:hAnsi="Palatino Linotype" w:cs="Tahoma"/>
          <w:bCs/>
          <w:sz w:val="22"/>
          <w:szCs w:val="22"/>
          <w:lang w:eastAsia="en-US"/>
        </w:rPr>
        <w:t xml:space="preserve">, entre los que se encuentran los recibos de pagos: </w:t>
      </w:r>
    </w:p>
    <w:p w:rsidR="002C5695" w:rsidRDefault="002C5695" w:rsidP="002C5695">
      <w:pPr>
        <w:tabs>
          <w:tab w:val="left" w:pos="4962"/>
        </w:tabs>
        <w:spacing w:line="360" w:lineRule="auto"/>
        <w:ind w:left="567" w:right="539"/>
        <w:jc w:val="both"/>
        <w:rPr>
          <w:rFonts w:ascii="Palatino Linotype" w:hAnsi="Palatino Linotype" w:cs="Tahoma"/>
        </w:rPr>
      </w:pPr>
    </w:p>
    <w:p w:rsidR="002C5695" w:rsidRPr="002C5695" w:rsidRDefault="002C5695" w:rsidP="009A0C8C">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ARTÍCULO 220 K.- La institución o dependencia pública t</w:t>
      </w:r>
      <w:r>
        <w:rPr>
          <w:rFonts w:ascii="Palatino Linotype" w:hAnsi="Palatino Linotype" w:cs="Tahoma"/>
        </w:rPr>
        <w:t xml:space="preserve">iene la obligación de conservar </w:t>
      </w:r>
      <w:r w:rsidRPr="002C5695">
        <w:rPr>
          <w:rFonts w:ascii="Palatino Linotype" w:hAnsi="Palatino Linotype" w:cs="Tahoma"/>
        </w:rPr>
        <w:t>y exhibir en el proceso los documentos que a continuación se precisan:</w:t>
      </w:r>
    </w:p>
    <w:p w:rsidR="002C5695" w:rsidRPr="002C5695" w:rsidRDefault="002C5695" w:rsidP="009A0C8C">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I. Contratos, Nombramientos o Formato Único de Mov</w:t>
      </w:r>
      <w:r>
        <w:rPr>
          <w:rFonts w:ascii="Palatino Linotype" w:hAnsi="Palatino Linotype" w:cs="Tahoma"/>
        </w:rPr>
        <w:t xml:space="preserve">imientos de Personal, cuando no </w:t>
      </w:r>
      <w:r w:rsidRPr="002C5695">
        <w:rPr>
          <w:rFonts w:ascii="Palatino Linotype" w:hAnsi="Palatino Linotype" w:cs="Tahoma"/>
        </w:rPr>
        <w:t>exista Convenio de condiciones generales de trabajo aplicable;</w:t>
      </w:r>
    </w:p>
    <w:p w:rsidR="002C5695" w:rsidRPr="002C5695" w:rsidRDefault="002C5695" w:rsidP="009A0C8C">
      <w:pPr>
        <w:tabs>
          <w:tab w:val="left" w:pos="4962"/>
        </w:tabs>
        <w:spacing w:line="360" w:lineRule="auto"/>
        <w:ind w:left="567" w:right="567"/>
        <w:jc w:val="both"/>
        <w:rPr>
          <w:rFonts w:ascii="Palatino Linotype" w:hAnsi="Palatino Linotype" w:cs="Tahoma"/>
          <w:b/>
          <w:u w:val="single"/>
        </w:rPr>
      </w:pPr>
      <w:r w:rsidRPr="002C5695">
        <w:rPr>
          <w:rFonts w:ascii="Palatino Linotype" w:hAnsi="Palatino Linotype" w:cs="Tahoma"/>
          <w:b/>
          <w:u w:val="single"/>
        </w:rPr>
        <w:t>II. Recibos de pagos de salarios o las constancias documentales del pago de salario cuando sea por depósito o mediante información electrónica;</w:t>
      </w:r>
    </w:p>
    <w:p w:rsidR="002C5695" w:rsidRPr="002C5695" w:rsidRDefault="002C5695" w:rsidP="009A0C8C">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III. Controles de asistencia o la información magnética o e</w:t>
      </w:r>
      <w:r>
        <w:rPr>
          <w:rFonts w:ascii="Palatino Linotype" w:hAnsi="Palatino Linotype" w:cs="Tahoma"/>
        </w:rPr>
        <w:t xml:space="preserve">lectrónica de asistencia de los </w:t>
      </w:r>
      <w:r w:rsidRPr="002C5695">
        <w:rPr>
          <w:rFonts w:ascii="Palatino Linotype" w:hAnsi="Palatino Linotype" w:cs="Tahoma"/>
        </w:rPr>
        <w:t>servidores públicos;</w:t>
      </w:r>
    </w:p>
    <w:p w:rsidR="002C5695" w:rsidRPr="002C5695" w:rsidRDefault="002C5695" w:rsidP="009A0C8C">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b/>
          <w:u w:val="single"/>
        </w:rPr>
        <w:t>IV. Recibos o las constancias de depósito o del medio de información magnética o electrónica que sean utilizadas para el pago de salarios, prima vacacional, aguinaldo y demás prestaciones establecidas en la presente ley;</w:t>
      </w:r>
      <w:r w:rsidRPr="002C5695">
        <w:rPr>
          <w:rFonts w:ascii="Palatino Linotype" w:hAnsi="Palatino Linotype" w:cs="Tahoma"/>
        </w:rPr>
        <w:t xml:space="preserve"> y</w:t>
      </w:r>
    </w:p>
    <w:p w:rsidR="002C5695" w:rsidRDefault="002C5695" w:rsidP="009A0C8C">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V. Los demás que señalen las leyes.</w:t>
      </w:r>
    </w:p>
    <w:p w:rsidR="002C5695" w:rsidRPr="00985849" w:rsidRDefault="002C5695" w:rsidP="00985849">
      <w:pPr>
        <w:spacing w:line="360" w:lineRule="auto"/>
        <w:ind w:right="-93"/>
        <w:jc w:val="both"/>
        <w:rPr>
          <w:rFonts w:ascii="Palatino Linotype" w:eastAsia="Calibri" w:hAnsi="Palatino Linotype" w:cs="Tahoma"/>
          <w:bCs/>
          <w:sz w:val="22"/>
          <w:szCs w:val="22"/>
          <w:lang w:eastAsia="en-US"/>
        </w:rPr>
      </w:pPr>
    </w:p>
    <w:p w:rsidR="00B37CF8" w:rsidRDefault="00FC293B" w:rsidP="0098584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 forma, que </w:t>
      </w:r>
      <w:r w:rsidR="00EF2F2C">
        <w:rPr>
          <w:rFonts w:ascii="Palatino Linotype" w:eastAsia="Calibri" w:hAnsi="Palatino Linotype" w:cs="Tahoma"/>
          <w:bCs/>
          <w:sz w:val="22"/>
          <w:szCs w:val="22"/>
          <w:lang w:eastAsia="en-US"/>
        </w:rPr>
        <w:t>lo</w:t>
      </w:r>
      <w:r>
        <w:rPr>
          <w:rFonts w:ascii="Palatino Linotype" w:eastAsia="Calibri" w:hAnsi="Palatino Linotype" w:cs="Tahoma"/>
          <w:bCs/>
          <w:sz w:val="22"/>
          <w:szCs w:val="22"/>
          <w:lang w:eastAsia="en-US"/>
        </w:rPr>
        <w:t xml:space="preserve"> </w:t>
      </w:r>
      <w:r w:rsidR="00EF2F2C">
        <w:rPr>
          <w:rFonts w:ascii="Palatino Linotype" w:eastAsia="Calibri" w:hAnsi="Palatino Linotype" w:cs="Tahoma"/>
          <w:bCs/>
          <w:sz w:val="22"/>
          <w:szCs w:val="22"/>
          <w:lang w:eastAsia="en-US"/>
        </w:rPr>
        <w:t xml:space="preserve">solicitado </w:t>
      </w:r>
      <w:r>
        <w:rPr>
          <w:rFonts w:ascii="Palatino Linotype" w:eastAsia="Calibri" w:hAnsi="Palatino Linotype" w:cs="Tahoma"/>
          <w:bCs/>
          <w:sz w:val="22"/>
          <w:szCs w:val="22"/>
          <w:lang w:eastAsia="en-US"/>
        </w:rPr>
        <w:t>por el Recurrente, corresponde a los recibos</w:t>
      </w:r>
      <w:r w:rsidR="00EF2F2C">
        <w:rPr>
          <w:rFonts w:ascii="Palatino Linotype" w:eastAsia="Calibri" w:hAnsi="Palatino Linotype" w:cs="Tahoma"/>
          <w:bCs/>
          <w:sz w:val="22"/>
          <w:szCs w:val="22"/>
          <w:lang w:eastAsia="en-US"/>
        </w:rPr>
        <w:t xml:space="preserve"> o </w:t>
      </w:r>
      <w:r>
        <w:rPr>
          <w:rFonts w:ascii="Palatino Linotype" w:eastAsia="Calibri" w:hAnsi="Palatino Linotype" w:cs="Tahoma"/>
          <w:bCs/>
          <w:sz w:val="22"/>
          <w:szCs w:val="22"/>
          <w:lang w:eastAsia="en-US"/>
        </w:rPr>
        <w:t>constancias documentales del pago de salarios y prestaciones, que conforme a lo expuesto</w:t>
      </w:r>
      <w:r w:rsidR="00FA4111">
        <w:rPr>
          <w:rFonts w:ascii="Palatino Linotype" w:eastAsia="Calibri" w:hAnsi="Palatino Linotype" w:cs="Tahoma"/>
          <w:bCs/>
          <w:sz w:val="22"/>
          <w:szCs w:val="22"/>
          <w:lang w:eastAsia="en-US"/>
        </w:rPr>
        <w:t>,</w:t>
      </w:r>
      <w:r w:rsidR="00EF2F2C">
        <w:rPr>
          <w:rFonts w:ascii="Palatino Linotype" w:eastAsia="Calibri" w:hAnsi="Palatino Linotype" w:cs="Tahoma"/>
          <w:bCs/>
          <w:sz w:val="22"/>
          <w:szCs w:val="22"/>
          <w:lang w:eastAsia="en-US"/>
        </w:rPr>
        <w:t xml:space="preserve"> pueden ser la </w:t>
      </w:r>
      <w:r w:rsidR="00EF2F2C">
        <w:rPr>
          <w:rFonts w:ascii="Palatino Linotype" w:eastAsia="Calibri" w:hAnsi="Palatino Linotype" w:cs="Tahoma"/>
          <w:bCs/>
          <w:sz w:val="22"/>
          <w:szCs w:val="22"/>
          <w:lang w:eastAsia="en-US"/>
        </w:rPr>
        <w:lastRenderedPageBreak/>
        <w:t>nómina general o</w:t>
      </w:r>
      <w:r>
        <w:rPr>
          <w:rFonts w:ascii="Palatino Linotype" w:eastAsia="Calibri" w:hAnsi="Palatino Linotype" w:cs="Tahoma"/>
          <w:bCs/>
          <w:sz w:val="22"/>
          <w:szCs w:val="22"/>
          <w:lang w:eastAsia="en-US"/>
        </w:rPr>
        <w:t xml:space="preserve"> </w:t>
      </w:r>
      <w:r w:rsidR="00FA4111">
        <w:rPr>
          <w:rFonts w:ascii="Palatino Linotype" w:eastAsia="Calibri" w:hAnsi="Palatino Linotype" w:cs="Tahoma"/>
          <w:bCs/>
          <w:sz w:val="22"/>
          <w:szCs w:val="22"/>
          <w:lang w:eastAsia="en-US"/>
        </w:rPr>
        <w:t>los recibos de nómina de los servidore</w:t>
      </w:r>
      <w:r w:rsidR="0072762D">
        <w:rPr>
          <w:rFonts w:ascii="Palatino Linotype" w:eastAsia="Calibri" w:hAnsi="Palatino Linotype" w:cs="Tahoma"/>
          <w:bCs/>
          <w:sz w:val="22"/>
          <w:szCs w:val="22"/>
          <w:lang w:eastAsia="en-US"/>
        </w:rPr>
        <w:t xml:space="preserve">s públicos del Ayuntamiento de Timilpan </w:t>
      </w:r>
      <w:r w:rsidR="00FA4111">
        <w:rPr>
          <w:rFonts w:ascii="Palatino Linotype" w:eastAsia="Calibri" w:hAnsi="Palatino Linotype" w:cs="Tahoma"/>
          <w:bCs/>
          <w:sz w:val="22"/>
          <w:szCs w:val="22"/>
          <w:lang w:eastAsia="en-US"/>
        </w:rPr>
        <w:t xml:space="preserve">correspondiente a las dos quincenas de marzo de </w:t>
      </w:r>
      <w:r w:rsidR="00EF2F2C">
        <w:rPr>
          <w:rFonts w:ascii="Palatino Linotype" w:eastAsia="Calibri" w:hAnsi="Palatino Linotype" w:cs="Tahoma"/>
          <w:bCs/>
          <w:sz w:val="22"/>
          <w:szCs w:val="22"/>
          <w:lang w:eastAsia="en-US"/>
        </w:rPr>
        <w:t>dos mil dieciocho</w:t>
      </w:r>
      <w:r w:rsidR="00FA4111">
        <w:rPr>
          <w:rFonts w:ascii="Palatino Linotype" w:eastAsia="Calibri" w:hAnsi="Palatino Linotype" w:cs="Tahoma"/>
          <w:bCs/>
          <w:sz w:val="22"/>
          <w:szCs w:val="22"/>
          <w:lang w:eastAsia="en-US"/>
        </w:rPr>
        <w:t>,</w:t>
      </w:r>
      <w:r w:rsidR="00EF2F2C">
        <w:rPr>
          <w:rFonts w:ascii="Palatino Linotype" w:eastAsia="Calibri" w:hAnsi="Palatino Linotype" w:cs="Tahoma"/>
          <w:bCs/>
          <w:sz w:val="22"/>
          <w:szCs w:val="22"/>
          <w:lang w:eastAsia="en-US"/>
        </w:rPr>
        <w:t xml:space="preserve"> con lo que</w:t>
      </w:r>
      <w:r w:rsidR="008B60FB">
        <w:rPr>
          <w:rFonts w:ascii="Palatino Linotype" w:eastAsia="Calibri" w:hAnsi="Palatino Linotype" w:cs="Tahoma"/>
          <w:bCs/>
          <w:sz w:val="22"/>
          <w:szCs w:val="22"/>
          <w:lang w:eastAsia="en-US"/>
        </w:rPr>
        <w:t xml:space="preserve"> </w:t>
      </w:r>
      <w:r w:rsidR="00FA4111">
        <w:rPr>
          <w:rFonts w:ascii="Palatino Linotype" w:eastAsia="Calibri" w:hAnsi="Palatino Linotype" w:cs="Tahoma"/>
          <w:bCs/>
          <w:sz w:val="22"/>
          <w:szCs w:val="22"/>
          <w:lang w:eastAsia="en-US"/>
        </w:rPr>
        <w:t>se satisface el derecho del particular</w:t>
      </w:r>
      <w:r w:rsidR="00752AFF">
        <w:rPr>
          <w:rFonts w:ascii="Palatino Linotype" w:eastAsia="Calibri" w:hAnsi="Palatino Linotype" w:cs="Tahoma"/>
          <w:bCs/>
          <w:sz w:val="22"/>
          <w:szCs w:val="22"/>
          <w:lang w:eastAsia="en-US"/>
        </w:rPr>
        <w:t>.</w:t>
      </w:r>
      <w:r w:rsidR="00FA4111">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 </w:t>
      </w:r>
      <w:r w:rsidR="00EF2F2C">
        <w:rPr>
          <w:rFonts w:ascii="Palatino Linotype" w:eastAsia="Calibri" w:hAnsi="Palatino Linotype" w:cs="Tahoma"/>
          <w:bCs/>
          <w:sz w:val="22"/>
          <w:szCs w:val="22"/>
          <w:lang w:eastAsia="en-US"/>
        </w:rPr>
        <w:t>Con base en lo expuesto</w:t>
      </w:r>
      <w:r w:rsidR="002C5695">
        <w:rPr>
          <w:rFonts w:ascii="Palatino Linotype" w:eastAsia="Calibri" w:hAnsi="Palatino Linotype" w:cs="Tahoma"/>
          <w:bCs/>
          <w:sz w:val="22"/>
          <w:szCs w:val="22"/>
          <w:lang w:eastAsia="en-US"/>
        </w:rPr>
        <w:t xml:space="preserve">, </w:t>
      </w:r>
      <w:r w:rsidR="008B60FB">
        <w:rPr>
          <w:rFonts w:ascii="Palatino Linotype" w:eastAsia="Calibri" w:hAnsi="Palatino Linotype" w:cs="Tahoma"/>
          <w:bCs/>
          <w:sz w:val="22"/>
          <w:szCs w:val="22"/>
          <w:lang w:eastAsia="en-US"/>
        </w:rPr>
        <w:t xml:space="preserve">el </w:t>
      </w:r>
      <w:r w:rsidR="00956793">
        <w:rPr>
          <w:rFonts w:ascii="Palatino Linotype" w:eastAsia="Calibri" w:hAnsi="Palatino Linotype" w:cs="Tahoma"/>
          <w:bCs/>
          <w:sz w:val="22"/>
          <w:szCs w:val="22"/>
          <w:lang w:eastAsia="en-US"/>
        </w:rPr>
        <w:t>Sujeto Obligado</w:t>
      </w:r>
      <w:r w:rsidR="00B37CF8" w:rsidRPr="00985849">
        <w:rPr>
          <w:rFonts w:ascii="Palatino Linotype" w:eastAsia="Calibri" w:hAnsi="Palatino Linotype" w:cs="Tahoma"/>
          <w:bCs/>
          <w:sz w:val="22"/>
          <w:szCs w:val="22"/>
          <w:lang w:eastAsia="en-US"/>
        </w:rPr>
        <w:t xml:space="preserve"> </w:t>
      </w:r>
      <w:r w:rsidR="00B37CF8" w:rsidRPr="00985849">
        <w:rPr>
          <w:rFonts w:ascii="Palatino Linotype" w:eastAsia="Calibri" w:hAnsi="Palatino Linotype" w:cs="Tahoma"/>
          <w:b/>
          <w:bCs/>
          <w:sz w:val="22"/>
          <w:szCs w:val="22"/>
          <w:lang w:eastAsia="en-US"/>
        </w:rPr>
        <w:t xml:space="preserve">tiene competencia para conocer </w:t>
      </w:r>
      <w:r>
        <w:rPr>
          <w:rFonts w:ascii="Palatino Linotype" w:eastAsia="Calibri" w:hAnsi="Palatino Linotype" w:cs="Tahoma"/>
          <w:b/>
          <w:bCs/>
          <w:sz w:val="22"/>
          <w:szCs w:val="22"/>
          <w:lang w:eastAsia="en-US"/>
        </w:rPr>
        <w:t xml:space="preserve">y poseer  </w:t>
      </w:r>
      <w:r w:rsidR="00B37CF8" w:rsidRPr="00985849">
        <w:rPr>
          <w:rFonts w:ascii="Palatino Linotype" w:eastAsia="Calibri" w:hAnsi="Palatino Linotype" w:cs="Tahoma"/>
          <w:b/>
          <w:bCs/>
          <w:sz w:val="22"/>
          <w:szCs w:val="22"/>
          <w:lang w:eastAsia="en-US"/>
        </w:rPr>
        <w:t>la información solicitada</w:t>
      </w:r>
      <w:r w:rsidR="00B37CF8" w:rsidRPr="00985849">
        <w:rPr>
          <w:rFonts w:ascii="Palatino Linotype" w:eastAsia="Calibri" w:hAnsi="Palatino Linotype" w:cs="Tahoma"/>
          <w:bCs/>
          <w:sz w:val="22"/>
          <w:szCs w:val="22"/>
          <w:lang w:eastAsia="en-US"/>
        </w:rPr>
        <w:t xml:space="preserve"> relacionada</w:t>
      </w:r>
      <w:r>
        <w:rPr>
          <w:rFonts w:ascii="Palatino Linotype" w:eastAsia="Calibri" w:hAnsi="Palatino Linotype" w:cs="Tahoma"/>
          <w:bCs/>
          <w:sz w:val="22"/>
          <w:szCs w:val="22"/>
          <w:lang w:eastAsia="en-US"/>
        </w:rPr>
        <w:t xml:space="preserve"> con la nómina de las dos quincenas de marzo de </w:t>
      </w:r>
      <w:r w:rsidR="00EF2F2C">
        <w:rPr>
          <w:rFonts w:ascii="Palatino Linotype" w:eastAsia="Calibri" w:hAnsi="Palatino Linotype" w:cs="Tahoma"/>
          <w:bCs/>
          <w:sz w:val="22"/>
          <w:szCs w:val="22"/>
          <w:lang w:eastAsia="en-US"/>
        </w:rPr>
        <w:t xml:space="preserve">dos mil dieciocho </w:t>
      </w:r>
      <w:r>
        <w:rPr>
          <w:rFonts w:ascii="Palatino Linotype" w:eastAsia="Calibri" w:hAnsi="Palatino Linotype" w:cs="Tahoma"/>
          <w:bCs/>
          <w:sz w:val="22"/>
          <w:szCs w:val="22"/>
          <w:lang w:eastAsia="en-US"/>
        </w:rPr>
        <w:t>de los servidores públicos del A</w:t>
      </w:r>
      <w:r w:rsidR="0072762D">
        <w:rPr>
          <w:rFonts w:ascii="Palatino Linotype" w:eastAsia="Calibri" w:hAnsi="Palatino Linotype" w:cs="Tahoma"/>
          <w:bCs/>
          <w:sz w:val="22"/>
          <w:szCs w:val="22"/>
          <w:lang w:eastAsia="en-US"/>
        </w:rPr>
        <w:t>yuntamiento de Timilpan.</w:t>
      </w:r>
    </w:p>
    <w:p w:rsidR="00A576F6" w:rsidRDefault="00A576F6" w:rsidP="00985849">
      <w:pPr>
        <w:spacing w:line="360" w:lineRule="auto"/>
        <w:ind w:right="-93"/>
        <w:jc w:val="both"/>
        <w:rPr>
          <w:rFonts w:ascii="Palatino Linotype" w:eastAsia="Calibri" w:hAnsi="Palatino Linotype" w:cs="Tahoma"/>
          <w:bCs/>
          <w:sz w:val="22"/>
          <w:szCs w:val="22"/>
          <w:lang w:eastAsia="en-US"/>
        </w:rPr>
      </w:pPr>
    </w:p>
    <w:p w:rsidR="00A576F6" w:rsidRDefault="00A576F6" w:rsidP="00A576F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 xml:space="preserve">l Órgano Superior de Fiscalización emite anualmente los Lineamientos para </w:t>
      </w:r>
      <w:r>
        <w:rPr>
          <w:rFonts w:ascii="Palatino Linotype" w:eastAsia="Calibri" w:hAnsi="Palatino Linotype" w:cs="Tahoma"/>
          <w:bCs/>
          <w:sz w:val="22"/>
          <w:szCs w:val="22"/>
          <w:lang w:eastAsia="en-US"/>
        </w:rPr>
        <w:t>la elaboración y presentación del Informe Mensual Municipal, los cuales tienen como objetivo establecer las especificaciones necesarias que las entidades fiscalizables deben cumplir para la elaboración y presentación de los informes mensuales.</w:t>
      </w:r>
    </w:p>
    <w:p w:rsidR="00A576F6" w:rsidRPr="006A3E93" w:rsidRDefault="00A576F6" w:rsidP="00A576F6">
      <w:pPr>
        <w:spacing w:line="360" w:lineRule="auto"/>
        <w:ind w:right="-93"/>
        <w:jc w:val="both"/>
        <w:rPr>
          <w:rFonts w:ascii="Palatino Linotype" w:eastAsia="Calibri" w:hAnsi="Palatino Linotype" w:cs="Tahoma"/>
          <w:bCs/>
          <w:i/>
          <w:sz w:val="22"/>
          <w:szCs w:val="22"/>
          <w:lang w:eastAsia="en-US"/>
        </w:rPr>
      </w:pPr>
    </w:p>
    <w:p w:rsidR="00A576F6" w:rsidRDefault="00A576F6" w:rsidP="00A576F6">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w:t>
      </w:r>
      <w:r w:rsidR="006D5AA5">
        <w:rPr>
          <w:rFonts w:ascii="Palatino Linotype" w:eastAsia="Calibri" w:hAnsi="Palatino Linotype" w:cs="Tahoma"/>
          <w:bCs/>
          <w:sz w:val="22"/>
          <w:szCs w:val="22"/>
          <w:lang w:eastAsia="en-US"/>
        </w:rPr>
        <w:t xml:space="preserve"> del Estado de México</w:t>
      </w:r>
      <w:r w:rsidRPr="006A3E93">
        <w:rPr>
          <w:rFonts w:ascii="Palatino Linotype" w:eastAsia="Calibri" w:hAnsi="Palatino Linotype" w:cs="Tahoma"/>
          <w:bCs/>
          <w:sz w:val="22"/>
          <w:szCs w:val="22"/>
          <w:lang w:eastAsia="en-US"/>
        </w:rPr>
        <w:t xml:space="preserve"> dentro de los </w:t>
      </w:r>
      <w:r w:rsidR="006D5AA5">
        <w:rPr>
          <w:rFonts w:ascii="Palatino Linotype" w:eastAsia="Calibri" w:hAnsi="Palatino Linotype" w:cs="Tahoma"/>
          <w:bCs/>
          <w:sz w:val="22"/>
          <w:szCs w:val="22"/>
          <w:lang w:eastAsia="en-US"/>
        </w:rPr>
        <w:t>veinte</w:t>
      </w:r>
      <w:r w:rsidR="006D5AA5" w:rsidRPr="006A3E93">
        <w:rPr>
          <w:rFonts w:ascii="Palatino Linotype" w:eastAsia="Calibri" w:hAnsi="Palatino Linotype" w:cs="Tahoma"/>
          <w:bCs/>
          <w:sz w:val="22"/>
          <w:szCs w:val="22"/>
          <w:lang w:eastAsia="en-US"/>
        </w:rPr>
        <w:t xml:space="preserve"> </w:t>
      </w:r>
      <w:r w:rsidRPr="006A3E93">
        <w:rPr>
          <w:rFonts w:ascii="Palatino Linotype" w:eastAsia="Calibri" w:hAnsi="Palatino Linotype" w:cs="Tahoma"/>
          <w:bCs/>
          <w:sz w:val="22"/>
          <w:szCs w:val="22"/>
          <w:lang w:eastAsia="en-US"/>
        </w:rPr>
        <w:t xml:space="preserve">días posteriores al término del mes correspondiente </w:t>
      </w:r>
      <w:r>
        <w:rPr>
          <w:rFonts w:ascii="Palatino Linotype" w:eastAsia="Calibri" w:hAnsi="Palatino Linotype" w:cs="Tahoma"/>
          <w:bCs/>
          <w:sz w:val="22"/>
          <w:szCs w:val="22"/>
          <w:lang w:eastAsia="en-US"/>
        </w:rPr>
        <w:t xml:space="preserve">tal y como lo señala </w:t>
      </w:r>
      <w:r w:rsidRPr="006A3E93">
        <w:rPr>
          <w:rFonts w:ascii="Palatino Linotype" w:eastAsia="Calibri" w:hAnsi="Palatino Linotype" w:cs="Tahoma"/>
          <w:bCs/>
          <w:sz w:val="22"/>
          <w:szCs w:val="22"/>
          <w:lang w:eastAsia="en-US"/>
        </w:rPr>
        <w:t>el artículo 32 de la Ley de Fiscalización Superior del Estado de México</w:t>
      </w:r>
      <w:r>
        <w:rPr>
          <w:rFonts w:ascii="Palatino Linotype" w:eastAsia="Calibri" w:hAnsi="Palatino Linotype" w:cs="Tahoma"/>
          <w:bCs/>
          <w:sz w:val="22"/>
          <w:szCs w:val="22"/>
          <w:lang w:eastAsia="en-US"/>
        </w:rPr>
        <w:t>.</w:t>
      </w:r>
    </w:p>
    <w:p w:rsidR="00A576F6" w:rsidRDefault="00A576F6" w:rsidP="00A576F6">
      <w:pPr>
        <w:spacing w:line="360" w:lineRule="auto"/>
        <w:ind w:right="-93"/>
        <w:jc w:val="both"/>
        <w:rPr>
          <w:rFonts w:ascii="Palatino Linotype" w:eastAsia="Calibri" w:hAnsi="Palatino Linotype" w:cs="Tahoma"/>
          <w:bCs/>
          <w:sz w:val="22"/>
          <w:szCs w:val="22"/>
          <w:lang w:eastAsia="en-US"/>
        </w:rPr>
      </w:pPr>
    </w:p>
    <w:p w:rsidR="00A576F6" w:rsidRDefault="00A576F6" w:rsidP="00A576F6">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Ahora bien,</w:t>
      </w:r>
      <w:r w:rsidRPr="006A3E93">
        <w:rPr>
          <w:rFonts w:ascii="Palatino Linotype" w:eastAsia="Calibri" w:hAnsi="Palatino Linotype" w:cs="Tahoma"/>
          <w:bCs/>
          <w:sz w:val="22"/>
          <w:szCs w:val="22"/>
          <w:lang w:eastAsia="en-US"/>
        </w:rPr>
        <w:t xml:space="preserve"> en los </w:t>
      </w:r>
      <w:r>
        <w:rPr>
          <w:rFonts w:ascii="Palatino Linotype" w:eastAsia="Calibri" w:hAnsi="Palatino Linotype" w:cs="Tahoma"/>
          <w:bCs/>
          <w:sz w:val="22"/>
          <w:szCs w:val="22"/>
          <w:lang w:eastAsia="en-US"/>
        </w:rPr>
        <w:t>Lineamientos referidos, se advierte e</w:t>
      </w:r>
      <w:r w:rsidRPr="006A3E93">
        <w:rPr>
          <w:rFonts w:ascii="Palatino Linotype" w:eastAsia="Calibri" w:hAnsi="Palatino Linotype" w:cs="Tahoma"/>
          <w:bCs/>
          <w:sz w:val="22"/>
          <w:szCs w:val="22"/>
          <w:lang w:eastAsia="en-US"/>
        </w:rPr>
        <w:t>l análisis</w:t>
      </w:r>
      <w:r w:rsidR="006D5AA5">
        <w:rPr>
          <w:rFonts w:ascii="Palatino Linotype" w:eastAsia="Calibri" w:hAnsi="Palatino Linotype" w:cs="Tahoma"/>
          <w:bCs/>
          <w:sz w:val="22"/>
          <w:szCs w:val="22"/>
          <w:lang w:eastAsia="en-US"/>
        </w:rPr>
        <w:t xml:space="preserve"> del tema</w:t>
      </w:r>
      <w:r w:rsidRPr="006A3E93">
        <w:rPr>
          <w:rFonts w:ascii="Palatino Linotype" w:eastAsia="Calibri" w:hAnsi="Palatino Linotype" w:cs="Tahoma"/>
          <w:bCs/>
          <w:sz w:val="22"/>
          <w:szCs w:val="22"/>
          <w:lang w:eastAsia="en-US"/>
        </w:rPr>
        <w:t xml:space="preserve"> que nos ocupa, </w:t>
      </w:r>
      <w:r>
        <w:rPr>
          <w:rFonts w:ascii="Palatino Linotype" w:eastAsia="Calibri" w:hAnsi="Palatino Linotype" w:cs="Tahoma"/>
          <w:bCs/>
          <w:sz w:val="22"/>
          <w:szCs w:val="22"/>
          <w:lang w:eastAsia="en-US"/>
        </w:rPr>
        <w:t xml:space="preserve">específicamente </w:t>
      </w:r>
      <w:r w:rsidR="000F361A">
        <w:rPr>
          <w:rFonts w:ascii="Palatino Linotype" w:eastAsia="Calibri" w:hAnsi="Palatino Linotype" w:cs="Tahoma"/>
          <w:bCs/>
          <w:sz w:val="22"/>
          <w:szCs w:val="22"/>
          <w:lang w:eastAsia="en-US"/>
        </w:rPr>
        <w:t xml:space="preserve">en </w:t>
      </w:r>
      <w:r w:rsidRPr="006A3E93">
        <w:rPr>
          <w:rFonts w:ascii="Palatino Linotype" w:eastAsia="Calibri" w:hAnsi="Palatino Linotype" w:cs="Tahoma"/>
          <w:bCs/>
          <w:sz w:val="22"/>
          <w:szCs w:val="22"/>
          <w:lang w:eastAsia="en-US"/>
        </w:rPr>
        <w:t>el Disco 4, relativo a la información de nó</w:t>
      </w:r>
      <w:r>
        <w:rPr>
          <w:rFonts w:ascii="Palatino Linotype" w:eastAsia="Calibri" w:hAnsi="Palatino Linotype" w:cs="Tahoma"/>
          <w:bCs/>
          <w:sz w:val="22"/>
          <w:szCs w:val="22"/>
          <w:lang w:eastAsia="en-US"/>
        </w:rPr>
        <w:t xml:space="preserve">mina, </w:t>
      </w:r>
      <w:r w:rsidR="000F361A">
        <w:rPr>
          <w:rFonts w:ascii="Palatino Linotype" w:eastAsia="Calibri" w:hAnsi="Palatino Linotype" w:cs="Tahoma"/>
          <w:bCs/>
          <w:sz w:val="22"/>
          <w:szCs w:val="22"/>
          <w:lang w:eastAsia="en-US"/>
        </w:rPr>
        <w:t>en donde se precisa cómo debe realizarse</w:t>
      </w:r>
      <w:r>
        <w:rPr>
          <w:rFonts w:ascii="Palatino Linotype" w:eastAsia="Calibri" w:hAnsi="Palatino Linotype" w:cs="Tahoma"/>
          <w:bCs/>
          <w:sz w:val="22"/>
          <w:szCs w:val="22"/>
          <w:lang w:eastAsia="en-US"/>
        </w:rPr>
        <w:t xml:space="preserve"> </w:t>
      </w:r>
      <w:r w:rsidRPr="006A3E93">
        <w:rPr>
          <w:rFonts w:ascii="Palatino Linotype" w:eastAsia="Calibri" w:hAnsi="Palatino Linotype" w:cs="Tahoma"/>
          <w:bCs/>
          <w:sz w:val="22"/>
          <w:szCs w:val="22"/>
          <w:lang w:val="es-ES" w:eastAsia="en-US"/>
        </w:rPr>
        <w:t xml:space="preserve"> la presentación de la </w:t>
      </w:r>
      <w:r w:rsidR="000F361A">
        <w:rPr>
          <w:rFonts w:ascii="Palatino Linotype" w:eastAsia="Calibri" w:hAnsi="Palatino Linotype" w:cs="Tahoma"/>
          <w:bCs/>
          <w:sz w:val="22"/>
          <w:szCs w:val="22"/>
          <w:lang w:val="es-ES" w:eastAsia="en-US"/>
        </w:rPr>
        <w:t>i</w:t>
      </w:r>
      <w:r w:rsidR="000F361A" w:rsidRPr="006A3E93">
        <w:rPr>
          <w:rFonts w:ascii="Palatino Linotype" w:eastAsia="Calibri" w:hAnsi="Palatino Linotype" w:cs="Tahoma"/>
          <w:bCs/>
          <w:sz w:val="22"/>
          <w:szCs w:val="22"/>
          <w:lang w:val="es-ES" w:eastAsia="en-US"/>
        </w:rPr>
        <w:t xml:space="preserve">nformación </w:t>
      </w:r>
      <w:r w:rsidR="000F361A">
        <w:rPr>
          <w:rFonts w:ascii="Palatino Linotype" w:eastAsia="Calibri" w:hAnsi="Palatino Linotype" w:cs="Tahoma"/>
          <w:bCs/>
          <w:sz w:val="22"/>
          <w:szCs w:val="22"/>
          <w:lang w:val="es-ES" w:eastAsia="en-US"/>
        </w:rPr>
        <w:t>de</w:t>
      </w:r>
      <w:r w:rsidR="000F361A" w:rsidRPr="006A3E93">
        <w:rPr>
          <w:rFonts w:ascii="Palatino Linotype" w:eastAsia="Calibri" w:hAnsi="Palatino Linotype" w:cs="Tahoma"/>
          <w:bCs/>
          <w:sz w:val="22"/>
          <w:szCs w:val="22"/>
          <w:lang w:val="es-ES" w:eastAsia="en-US"/>
        </w:rPr>
        <w:t xml:space="preserve"> </w:t>
      </w:r>
      <w:r w:rsidRPr="006A3E93">
        <w:rPr>
          <w:rFonts w:ascii="Palatino Linotype" w:eastAsia="Calibri" w:hAnsi="Palatino Linotype" w:cs="Tahoma"/>
          <w:bCs/>
          <w:sz w:val="22"/>
          <w:szCs w:val="22"/>
          <w:lang w:val="es-ES" w:eastAsia="en-US"/>
        </w:rPr>
        <w:t xml:space="preserve">la Nómina tal y como se muestra en las siguientes imágenes: </w:t>
      </w:r>
    </w:p>
    <w:p w:rsidR="00A576F6" w:rsidRDefault="00A576F6" w:rsidP="00985849">
      <w:pPr>
        <w:spacing w:line="360" w:lineRule="auto"/>
        <w:ind w:right="-93"/>
        <w:jc w:val="both"/>
        <w:rPr>
          <w:rFonts w:ascii="Palatino Linotype" w:eastAsia="Calibri" w:hAnsi="Palatino Linotype" w:cs="Tahoma"/>
          <w:bCs/>
          <w:sz w:val="22"/>
          <w:szCs w:val="22"/>
          <w:lang w:eastAsia="en-US"/>
        </w:rPr>
      </w:pPr>
    </w:p>
    <w:p w:rsidR="00A576F6" w:rsidRDefault="00A576F6" w:rsidP="00985849">
      <w:pPr>
        <w:spacing w:line="360" w:lineRule="auto"/>
        <w:ind w:right="-93"/>
        <w:jc w:val="both"/>
        <w:rPr>
          <w:rFonts w:ascii="Palatino Linotype" w:eastAsia="Calibri" w:hAnsi="Palatino Linotype" w:cs="Tahoma"/>
          <w:bCs/>
          <w:sz w:val="22"/>
          <w:szCs w:val="22"/>
          <w:lang w:eastAsia="en-US"/>
        </w:rPr>
      </w:pPr>
    </w:p>
    <w:p w:rsidR="00A576F6" w:rsidRDefault="00A576F6" w:rsidP="00985849">
      <w:pPr>
        <w:spacing w:line="360" w:lineRule="auto"/>
        <w:ind w:right="-93"/>
        <w:jc w:val="both"/>
        <w:rPr>
          <w:rFonts w:ascii="Palatino Linotype" w:eastAsia="Calibri" w:hAnsi="Palatino Linotype" w:cs="Tahoma"/>
          <w:bCs/>
          <w:sz w:val="22"/>
          <w:szCs w:val="22"/>
          <w:lang w:eastAsia="en-US"/>
        </w:rPr>
      </w:pPr>
    </w:p>
    <w:p w:rsidR="00A576F6" w:rsidRDefault="00A576F6" w:rsidP="00985849">
      <w:pPr>
        <w:spacing w:line="360" w:lineRule="auto"/>
        <w:ind w:right="-93"/>
        <w:jc w:val="both"/>
        <w:rPr>
          <w:rFonts w:ascii="Palatino Linotype" w:eastAsia="Calibri" w:hAnsi="Palatino Linotype" w:cs="Tahoma"/>
          <w:bCs/>
          <w:sz w:val="22"/>
          <w:szCs w:val="22"/>
          <w:lang w:eastAsia="en-US"/>
        </w:rPr>
      </w:pPr>
    </w:p>
    <w:p w:rsidR="00A576F6" w:rsidRPr="00985849" w:rsidRDefault="00A576F6" w:rsidP="00697A6D">
      <w:pPr>
        <w:spacing w:line="360" w:lineRule="auto"/>
        <w:ind w:right="-93"/>
        <w:jc w:val="center"/>
        <w:rPr>
          <w:rFonts w:ascii="Palatino Linotype" w:eastAsia="Calibri" w:hAnsi="Palatino Linotype" w:cs="Tahoma"/>
          <w:bCs/>
          <w:sz w:val="22"/>
          <w:szCs w:val="22"/>
          <w:lang w:eastAsia="en-US"/>
        </w:rPr>
      </w:pPr>
      <w:r w:rsidRPr="006A3E93">
        <w:rPr>
          <w:rFonts w:ascii="Palatino Linotype" w:eastAsia="Calibri" w:hAnsi="Palatino Linotype" w:cs="Tahoma"/>
          <w:bCs/>
          <w:noProof/>
          <w:sz w:val="22"/>
          <w:szCs w:val="22"/>
          <w:lang w:val="es-ES"/>
        </w:rPr>
        <w:drawing>
          <wp:inline distT="0" distB="0" distL="0" distR="0" wp14:anchorId="115B2A2E" wp14:editId="716DDB4F">
            <wp:extent cx="5338868" cy="7004649"/>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50" t="5236" r="33666" b="14543"/>
                    <a:stretch/>
                  </pic:blipFill>
                  <pic:spPr bwMode="auto">
                    <a:xfrm>
                      <a:off x="0" y="0"/>
                      <a:ext cx="5338868" cy="7004649"/>
                    </a:xfrm>
                    <a:prstGeom prst="rect">
                      <a:avLst/>
                    </a:prstGeom>
                    <a:ln>
                      <a:noFill/>
                    </a:ln>
                    <a:extLst>
                      <a:ext uri="{53640926-AAD7-44D8-BBD7-CCE9431645EC}">
                        <a14:shadowObscured xmlns:a14="http://schemas.microsoft.com/office/drawing/2010/main"/>
                      </a:ext>
                    </a:extLst>
                  </pic:spPr>
                </pic:pic>
              </a:graphicData>
            </a:graphic>
          </wp:inline>
        </w:drawing>
      </w:r>
    </w:p>
    <w:p w:rsidR="00AD7301" w:rsidRPr="00985849" w:rsidRDefault="00AD7301" w:rsidP="00AD7301">
      <w:pPr>
        <w:spacing w:line="360" w:lineRule="auto"/>
        <w:ind w:right="-93"/>
        <w:jc w:val="both"/>
        <w:rPr>
          <w:rFonts w:ascii="Palatino Linotype" w:eastAsia="Calibri" w:hAnsi="Palatino Linotype" w:cs="Tahoma"/>
          <w:bCs/>
          <w:sz w:val="22"/>
          <w:szCs w:val="22"/>
          <w:lang w:eastAsia="en-US"/>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r w:rsidRPr="006A3E93">
        <w:rPr>
          <w:rFonts w:ascii="Palatino Linotype" w:eastAsia="Calibri" w:hAnsi="Palatino Linotype" w:cs="Tahoma"/>
          <w:bCs/>
          <w:noProof/>
          <w:sz w:val="22"/>
          <w:szCs w:val="22"/>
          <w:lang w:val="es-ES"/>
        </w:rPr>
        <w:drawing>
          <wp:anchor distT="0" distB="0" distL="114300" distR="114300" simplePos="0" relativeHeight="251661312" behindDoc="1" locked="0" layoutInCell="1" allowOverlap="1">
            <wp:simplePos x="0" y="0"/>
            <wp:positionH relativeFrom="margin">
              <wp:align>center</wp:align>
            </wp:positionH>
            <wp:positionV relativeFrom="paragraph">
              <wp:posOffset>225425</wp:posOffset>
            </wp:positionV>
            <wp:extent cx="5684293" cy="2971667"/>
            <wp:effectExtent l="0" t="0" r="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200" t="19269" r="15372" b="16211"/>
                    <a:stretch/>
                  </pic:blipFill>
                  <pic:spPr bwMode="auto">
                    <a:xfrm>
                      <a:off x="0" y="0"/>
                      <a:ext cx="5684293" cy="2971667"/>
                    </a:xfrm>
                    <a:prstGeom prst="rect">
                      <a:avLst/>
                    </a:prstGeom>
                    <a:ln>
                      <a:noFill/>
                    </a:ln>
                    <a:extLst>
                      <a:ext uri="{53640926-AAD7-44D8-BBD7-CCE9431645EC}">
                        <a14:shadowObscured xmlns:a14="http://schemas.microsoft.com/office/drawing/2010/main"/>
                      </a:ext>
                    </a:extLst>
                  </pic:spPr>
                </pic:pic>
              </a:graphicData>
            </a:graphic>
          </wp:anchor>
        </w:drawing>
      </w: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A98" w:rsidP="00AD7301">
      <w:pPr>
        <w:tabs>
          <w:tab w:val="left" w:pos="4962"/>
        </w:tabs>
        <w:spacing w:line="360" w:lineRule="auto"/>
        <w:jc w:val="both"/>
        <w:rPr>
          <w:rFonts w:ascii="Palatino Linotype" w:hAnsi="Palatino Linotype" w:cs="Tahoma"/>
          <w:b/>
          <w:caps/>
          <w:sz w:val="22"/>
          <w:szCs w:val="22"/>
        </w:rPr>
      </w:pPr>
      <w:r>
        <w:rPr>
          <w:rFonts w:ascii="Palatino Linotype" w:hAnsi="Palatino Linotype" w:cs="Tahoma"/>
          <w:b/>
          <w:caps/>
          <w:noProof/>
          <w:sz w:val="22"/>
          <w:szCs w:val="22"/>
          <w:lang w:val="es-ES"/>
        </w:rPr>
        <w:drawing>
          <wp:anchor distT="0" distB="0" distL="114300" distR="114300" simplePos="0" relativeHeight="251662336" behindDoc="0" locked="0" layoutInCell="1" allowOverlap="1">
            <wp:simplePos x="0" y="0"/>
            <wp:positionH relativeFrom="column">
              <wp:posOffset>534035</wp:posOffset>
            </wp:positionH>
            <wp:positionV relativeFrom="paragraph">
              <wp:posOffset>262890</wp:posOffset>
            </wp:positionV>
            <wp:extent cx="1914525" cy="4660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466090"/>
                    </a:xfrm>
                    <a:prstGeom prst="rect">
                      <a:avLst/>
                    </a:prstGeom>
                    <a:noFill/>
                  </pic:spPr>
                </pic:pic>
              </a:graphicData>
            </a:graphic>
            <wp14:sizeRelH relativeFrom="margin">
              <wp14:pctWidth>0</wp14:pctWidth>
            </wp14:sizeRelH>
            <wp14:sizeRelV relativeFrom="margin">
              <wp14:pctHeight>0</wp14:pctHeight>
            </wp14:sizeRelV>
          </wp:anchor>
        </w:drawing>
      </w:r>
      <w:r>
        <w:rPr>
          <w:rFonts w:ascii="Palatino Linotype" w:hAnsi="Palatino Linotype" w:cs="Tahoma"/>
          <w:b/>
          <w:caps/>
          <w:noProof/>
          <w:sz w:val="22"/>
          <w:szCs w:val="22"/>
          <w:lang w:val="es-ES"/>
        </w:rPr>
        <w:drawing>
          <wp:anchor distT="0" distB="0" distL="114300" distR="114300" simplePos="0" relativeHeight="251664384" behindDoc="0" locked="0" layoutInCell="1" allowOverlap="1">
            <wp:simplePos x="0" y="0"/>
            <wp:positionH relativeFrom="column">
              <wp:posOffset>2334895</wp:posOffset>
            </wp:positionH>
            <wp:positionV relativeFrom="paragraph">
              <wp:posOffset>6985</wp:posOffset>
            </wp:positionV>
            <wp:extent cx="658495" cy="255905"/>
            <wp:effectExtent l="0" t="0" r="825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495" cy="255905"/>
                    </a:xfrm>
                    <a:prstGeom prst="rect">
                      <a:avLst/>
                    </a:prstGeom>
                    <a:noFill/>
                  </pic:spPr>
                </pic:pic>
              </a:graphicData>
            </a:graphic>
          </wp:anchor>
        </w:drawing>
      </w: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A98" w:rsidP="00AD7301">
      <w:pPr>
        <w:tabs>
          <w:tab w:val="left" w:pos="4962"/>
        </w:tabs>
        <w:spacing w:line="360" w:lineRule="auto"/>
        <w:jc w:val="both"/>
        <w:rPr>
          <w:rFonts w:ascii="Palatino Linotype" w:hAnsi="Palatino Linotype" w:cs="Tahoma"/>
          <w:b/>
          <w:caps/>
          <w:sz w:val="22"/>
          <w:szCs w:val="22"/>
        </w:rPr>
      </w:pPr>
      <w:r>
        <w:rPr>
          <w:rFonts w:ascii="Palatino Linotype" w:hAnsi="Palatino Linotype" w:cs="Tahoma"/>
          <w:b/>
          <w:caps/>
          <w:noProof/>
          <w:sz w:val="22"/>
          <w:szCs w:val="22"/>
          <w:lang w:val="es-ES"/>
        </w:rPr>
        <w:drawing>
          <wp:anchor distT="0" distB="0" distL="114300" distR="114300" simplePos="0" relativeHeight="251663360" behindDoc="0" locked="0" layoutInCell="1" allowOverlap="1">
            <wp:simplePos x="0" y="0"/>
            <wp:positionH relativeFrom="margin">
              <wp:align>center</wp:align>
            </wp:positionH>
            <wp:positionV relativeFrom="paragraph">
              <wp:posOffset>1007745</wp:posOffset>
            </wp:positionV>
            <wp:extent cx="658495" cy="274320"/>
            <wp:effectExtent l="0" t="0" r="825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495" cy="274320"/>
                    </a:xfrm>
                    <a:prstGeom prst="rect">
                      <a:avLst/>
                    </a:prstGeom>
                    <a:noFill/>
                  </pic:spPr>
                </pic:pic>
              </a:graphicData>
            </a:graphic>
          </wp:anchor>
        </w:drawing>
      </w:r>
      <w:r w:rsidR="00A576F6" w:rsidRPr="006A3E93">
        <w:rPr>
          <w:rFonts w:ascii="Palatino Linotype" w:eastAsia="Calibri" w:hAnsi="Palatino Linotype" w:cs="Tahoma"/>
          <w:bCs/>
          <w:noProof/>
          <w:sz w:val="22"/>
          <w:szCs w:val="22"/>
          <w:lang w:val="es-ES"/>
        </w:rPr>
        <w:drawing>
          <wp:inline distT="0" distB="0" distL="0" distR="0" wp14:anchorId="4F1D3BFC" wp14:editId="2F931BE6">
            <wp:extent cx="5742940" cy="32410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210" t="19115" r="20245" b="14959"/>
                    <a:stretch/>
                  </pic:blipFill>
                  <pic:spPr bwMode="auto">
                    <a:xfrm>
                      <a:off x="0" y="0"/>
                      <a:ext cx="5742940" cy="3241040"/>
                    </a:xfrm>
                    <a:prstGeom prst="rect">
                      <a:avLst/>
                    </a:prstGeom>
                    <a:ln>
                      <a:noFill/>
                    </a:ln>
                    <a:extLst>
                      <a:ext uri="{53640926-AAD7-44D8-BBD7-CCE9431645EC}">
                        <a14:shadowObscured xmlns:a14="http://schemas.microsoft.com/office/drawing/2010/main"/>
                      </a:ext>
                    </a:extLst>
                  </pic:spPr>
                </pic:pic>
              </a:graphicData>
            </a:graphic>
          </wp:inline>
        </w:drawing>
      </w: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r w:rsidRPr="006A3E93">
        <w:rPr>
          <w:rFonts w:ascii="Palatino Linotype" w:eastAsia="Calibri" w:hAnsi="Palatino Linotype" w:cs="Tahoma"/>
          <w:bCs/>
          <w:noProof/>
          <w:sz w:val="22"/>
          <w:szCs w:val="22"/>
          <w:lang w:val="es-ES"/>
        </w:rPr>
        <w:drawing>
          <wp:inline distT="0" distB="0" distL="0" distR="0" wp14:anchorId="11802846" wp14:editId="7C95B8C1">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06" t="7330" r="32130" b="6155"/>
                    <a:stretch/>
                  </pic:blipFill>
                  <pic:spPr bwMode="auto">
                    <a:xfrm>
                      <a:off x="0" y="0"/>
                      <a:ext cx="5272969" cy="6995321"/>
                    </a:xfrm>
                    <a:prstGeom prst="rect">
                      <a:avLst/>
                    </a:prstGeom>
                    <a:ln>
                      <a:noFill/>
                    </a:ln>
                    <a:extLst>
                      <a:ext uri="{53640926-AAD7-44D8-BBD7-CCE9431645EC}">
                        <a14:shadowObscured xmlns:a14="http://schemas.microsoft.com/office/drawing/2010/main"/>
                      </a:ext>
                    </a:extLst>
                  </pic:spPr>
                </pic:pic>
              </a:graphicData>
            </a:graphic>
          </wp:inline>
        </w:drawing>
      </w: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r w:rsidRPr="006A3E93">
        <w:rPr>
          <w:rFonts w:ascii="Palatino Linotype" w:eastAsia="Calibri" w:hAnsi="Palatino Linotype" w:cs="Tahoma"/>
          <w:bCs/>
          <w:noProof/>
          <w:sz w:val="22"/>
          <w:szCs w:val="22"/>
          <w:lang w:val="es-ES"/>
        </w:rPr>
        <w:drawing>
          <wp:inline distT="0" distB="0" distL="0" distR="0" wp14:anchorId="3A6F007B" wp14:editId="4F725303">
            <wp:extent cx="5213268" cy="3450688"/>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430" t="16584" r="21982" b="7421"/>
                    <a:stretch/>
                  </pic:blipFill>
                  <pic:spPr bwMode="auto">
                    <a:xfrm>
                      <a:off x="0" y="0"/>
                      <a:ext cx="5232256" cy="3463256"/>
                    </a:xfrm>
                    <a:prstGeom prst="rect">
                      <a:avLst/>
                    </a:prstGeom>
                    <a:ln>
                      <a:noFill/>
                    </a:ln>
                    <a:extLst>
                      <a:ext uri="{53640926-AAD7-44D8-BBD7-CCE9431645EC}">
                        <a14:shadowObscured xmlns:a14="http://schemas.microsoft.com/office/drawing/2010/main"/>
                      </a:ext>
                    </a:extLst>
                  </pic:spPr>
                </pic:pic>
              </a:graphicData>
            </a:graphic>
          </wp:inline>
        </w:drawing>
      </w:r>
    </w:p>
    <w:p w:rsidR="00A57A98" w:rsidRDefault="00A57A98" w:rsidP="00A576F6">
      <w:pPr>
        <w:spacing w:line="360" w:lineRule="auto"/>
        <w:ind w:right="-93"/>
        <w:jc w:val="both"/>
        <w:rPr>
          <w:rFonts w:ascii="Palatino Linotype" w:eastAsia="Calibri" w:hAnsi="Palatino Linotype" w:cs="Tahoma"/>
          <w:bCs/>
          <w:sz w:val="22"/>
          <w:szCs w:val="22"/>
          <w:lang w:eastAsia="en-US"/>
        </w:rPr>
      </w:pPr>
    </w:p>
    <w:p w:rsidR="00A576F6" w:rsidRDefault="00A576F6" w:rsidP="00A576F6">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eastAsia="en-US"/>
        </w:rPr>
        <w:t>De tal forma, que l</w:t>
      </w:r>
      <w:r w:rsidR="00A43739">
        <w:rPr>
          <w:rFonts w:ascii="Palatino Linotype" w:eastAsia="Calibri" w:hAnsi="Palatino Linotype" w:cs="Tahoma"/>
          <w:bCs/>
          <w:sz w:val="22"/>
          <w:szCs w:val="22"/>
          <w:lang w:eastAsia="en-US"/>
        </w:rPr>
        <w:t xml:space="preserve">o </w:t>
      </w:r>
      <w:r>
        <w:rPr>
          <w:rFonts w:ascii="Palatino Linotype" w:eastAsia="Calibri" w:hAnsi="Palatino Linotype" w:cs="Tahoma"/>
          <w:bCs/>
          <w:sz w:val="22"/>
          <w:szCs w:val="22"/>
          <w:lang w:eastAsia="en-US"/>
        </w:rPr>
        <w:t>solicitad</w:t>
      </w:r>
      <w:r w:rsidR="00A43739">
        <w:rPr>
          <w:rFonts w:ascii="Palatino Linotype" w:eastAsia="Calibri" w:hAnsi="Palatino Linotype" w:cs="Tahoma"/>
          <w:bCs/>
          <w:sz w:val="22"/>
          <w:szCs w:val="22"/>
          <w:lang w:eastAsia="en-US"/>
        </w:rPr>
        <w:t>o</w:t>
      </w:r>
      <w:r>
        <w:rPr>
          <w:rFonts w:ascii="Palatino Linotype" w:eastAsia="Calibri" w:hAnsi="Palatino Linotype" w:cs="Tahoma"/>
          <w:bCs/>
          <w:sz w:val="22"/>
          <w:szCs w:val="22"/>
          <w:lang w:eastAsia="en-US"/>
        </w:rPr>
        <w:t xml:space="preserve"> por el Recurrente, </w:t>
      </w:r>
      <w:r w:rsidR="00E54C94">
        <w:rPr>
          <w:rFonts w:ascii="Palatino Linotype" w:eastAsia="Calibri" w:hAnsi="Palatino Linotype" w:cs="Tahoma"/>
          <w:bCs/>
          <w:sz w:val="22"/>
          <w:szCs w:val="22"/>
          <w:lang w:eastAsia="en-US"/>
        </w:rPr>
        <w:t>puede atenderse con la nómina general o</w:t>
      </w:r>
      <w:r>
        <w:rPr>
          <w:rFonts w:ascii="Palatino Linotype" w:eastAsia="Calibri" w:hAnsi="Palatino Linotype" w:cs="Tahoma"/>
          <w:bCs/>
          <w:sz w:val="22"/>
          <w:szCs w:val="22"/>
          <w:lang w:eastAsia="en-US"/>
        </w:rPr>
        <w:t xml:space="preserve"> los recibos</w:t>
      </w:r>
      <w:r w:rsidR="00E54C94">
        <w:rPr>
          <w:rFonts w:ascii="Palatino Linotype" w:eastAsia="Calibri" w:hAnsi="Palatino Linotype" w:cs="Tahoma"/>
          <w:bCs/>
          <w:sz w:val="22"/>
          <w:szCs w:val="22"/>
          <w:lang w:eastAsia="en-US"/>
        </w:rPr>
        <w:t xml:space="preserve"> de nómina</w:t>
      </w:r>
      <w:r>
        <w:rPr>
          <w:rFonts w:ascii="Palatino Linotype" w:eastAsia="Calibri" w:hAnsi="Palatino Linotype" w:cs="Tahoma"/>
          <w:bCs/>
          <w:sz w:val="22"/>
          <w:szCs w:val="22"/>
          <w:lang w:eastAsia="en-US"/>
        </w:rPr>
        <w:t xml:space="preserve">, constancias documentales </w:t>
      </w:r>
      <w:r w:rsidR="00E54C94">
        <w:rPr>
          <w:rFonts w:ascii="Palatino Linotype" w:eastAsia="Calibri" w:hAnsi="Palatino Linotype" w:cs="Tahoma"/>
          <w:bCs/>
          <w:sz w:val="22"/>
          <w:szCs w:val="22"/>
          <w:lang w:eastAsia="en-US"/>
        </w:rPr>
        <w:t xml:space="preserve">en donde obra </w:t>
      </w:r>
      <w:r>
        <w:rPr>
          <w:rFonts w:ascii="Palatino Linotype" w:eastAsia="Calibri" w:hAnsi="Palatino Linotype" w:cs="Tahoma"/>
          <w:bCs/>
          <w:sz w:val="22"/>
          <w:szCs w:val="22"/>
          <w:lang w:eastAsia="en-US"/>
        </w:rPr>
        <w:t>el pago de salarios y prestaciones</w:t>
      </w:r>
      <w:r w:rsidR="00E54C94">
        <w:rPr>
          <w:rFonts w:ascii="Palatino Linotype" w:eastAsia="Calibri" w:hAnsi="Palatino Linotype" w:cs="Tahoma"/>
          <w:bCs/>
          <w:sz w:val="22"/>
          <w:szCs w:val="22"/>
          <w:lang w:eastAsia="en-US"/>
        </w:rPr>
        <w:t xml:space="preserve"> de servidores públicos;</w:t>
      </w:r>
      <w:r w:rsidRPr="00F63A08">
        <w:rPr>
          <w:rFonts w:ascii="Palatino Linotype" w:eastAsia="Calibri" w:hAnsi="Palatino Linotype" w:cs="Tahoma"/>
          <w:bCs/>
          <w:sz w:val="22"/>
          <w:szCs w:val="22"/>
          <w:lang w:val="es-ES_tradnl" w:eastAsia="en-US"/>
        </w:rPr>
        <w:t xml:space="preserve"> por lo que es dable </w:t>
      </w:r>
      <w:r w:rsidRPr="00F63A08">
        <w:rPr>
          <w:rFonts w:ascii="Palatino Linotype" w:eastAsia="Calibri" w:hAnsi="Palatino Linotype" w:cs="Tahoma"/>
          <w:b/>
          <w:bCs/>
          <w:sz w:val="22"/>
          <w:szCs w:val="22"/>
          <w:lang w:val="es-ES_tradnl" w:eastAsia="en-US"/>
        </w:rPr>
        <w:t>ORDENAR</w:t>
      </w:r>
      <w:r w:rsidRPr="00F63A08">
        <w:rPr>
          <w:rFonts w:ascii="Palatino Linotype" w:eastAsia="Calibri" w:hAnsi="Palatino Linotype" w:cs="Tahoma"/>
          <w:bCs/>
          <w:sz w:val="22"/>
          <w:szCs w:val="22"/>
          <w:lang w:val="es-ES_tradnl" w:eastAsia="en-US"/>
        </w:rPr>
        <w:t xml:space="preserve"> una búsqueda exhaustiva y razonable de la información, en las áreas competentes</w:t>
      </w:r>
      <w:r>
        <w:rPr>
          <w:rFonts w:ascii="Palatino Linotype" w:eastAsia="Calibri" w:hAnsi="Palatino Linotype" w:cs="Tahoma"/>
          <w:bCs/>
          <w:sz w:val="22"/>
          <w:szCs w:val="22"/>
          <w:lang w:val="es-ES_tradnl" w:eastAsia="en-US"/>
        </w:rPr>
        <w:t>, respecto</w:t>
      </w:r>
      <w:r w:rsidRPr="00F63A08">
        <w:rPr>
          <w:rFonts w:ascii="Palatino Linotype" w:eastAsia="Calibri" w:hAnsi="Palatino Linotype" w:cs="Tahoma"/>
          <w:bCs/>
          <w:sz w:val="22"/>
          <w:szCs w:val="22"/>
          <w:lang w:val="es-ES_tradnl" w:eastAsia="en-US"/>
        </w:rPr>
        <w:t xml:space="preserve"> de la nómina del mes de marzo de </w:t>
      </w:r>
      <w:r w:rsidR="00E54C94">
        <w:rPr>
          <w:rFonts w:ascii="Palatino Linotype" w:eastAsia="Calibri" w:hAnsi="Palatino Linotype" w:cs="Tahoma"/>
          <w:bCs/>
          <w:sz w:val="22"/>
          <w:szCs w:val="22"/>
          <w:lang w:val="es-ES_tradnl" w:eastAsia="en-US"/>
        </w:rPr>
        <w:t>dos mil dieciocho</w:t>
      </w:r>
      <w:r w:rsidRPr="00F63A08">
        <w:rPr>
          <w:rFonts w:ascii="Palatino Linotype" w:eastAsia="Calibri" w:hAnsi="Palatino Linotype" w:cs="Tahoma"/>
          <w:bCs/>
          <w:sz w:val="22"/>
          <w:szCs w:val="22"/>
          <w:lang w:val="es-ES_tradnl" w:eastAsia="en-US"/>
        </w:rPr>
        <w:t xml:space="preserve"> y hacer entrega de la misma vía SAIMEX en versión pública en los términos del considerando siguiente.</w:t>
      </w: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Pr="00367637" w:rsidRDefault="003D34FE" w:rsidP="00A576F6">
      <w:pPr>
        <w:spacing w:line="360" w:lineRule="auto"/>
        <w:ind w:right="-93"/>
        <w:jc w:val="both"/>
        <w:rPr>
          <w:rFonts w:ascii="Palatino Linotype" w:eastAsia="Calibri" w:hAnsi="Palatino Linotype" w:cs="Tahoma"/>
          <w:b/>
          <w:bCs/>
          <w:i/>
          <w:sz w:val="22"/>
          <w:szCs w:val="22"/>
          <w:lang w:eastAsia="en-US"/>
        </w:rPr>
      </w:pPr>
      <w:r w:rsidRPr="00367637">
        <w:rPr>
          <w:rFonts w:ascii="Palatino Linotype" w:eastAsia="Calibri" w:hAnsi="Palatino Linotype" w:cs="Tahoma"/>
          <w:bCs/>
          <w:sz w:val="22"/>
          <w:szCs w:val="22"/>
          <w:lang w:val="es-ES_tradnl" w:eastAsia="en-US"/>
        </w:rPr>
        <w:t xml:space="preserve">Por lo que refiere a la </w:t>
      </w:r>
      <w:r w:rsidR="00A576F6" w:rsidRPr="00367637">
        <w:rPr>
          <w:rFonts w:ascii="Palatino Linotype" w:eastAsia="Calibri" w:hAnsi="Palatino Linotype" w:cs="Tahoma"/>
          <w:b/>
          <w:bCs/>
          <w:sz w:val="22"/>
          <w:szCs w:val="22"/>
          <w:lang w:val="es-ES_tradnl" w:eastAsia="en-US"/>
        </w:rPr>
        <w:t>Lista de raya</w:t>
      </w:r>
      <w:r w:rsidRPr="00367637">
        <w:rPr>
          <w:rFonts w:ascii="Palatino Linotype" w:eastAsia="Calibri" w:hAnsi="Palatino Linotype" w:cs="Tahoma"/>
          <w:b/>
          <w:bCs/>
          <w:sz w:val="22"/>
          <w:szCs w:val="22"/>
          <w:lang w:val="es-ES_tradnl" w:eastAsia="en-US"/>
        </w:rPr>
        <w:t xml:space="preserve">; </w:t>
      </w:r>
      <w:r w:rsidR="00A576F6" w:rsidRPr="00367637">
        <w:rPr>
          <w:rFonts w:ascii="Palatino Linotype" w:eastAsia="Calibri" w:hAnsi="Palatino Linotype" w:cs="Tahoma"/>
          <w:bCs/>
          <w:sz w:val="22"/>
          <w:szCs w:val="22"/>
          <w:lang w:val="es-ES_tradnl" w:eastAsia="en-US"/>
        </w:rPr>
        <w:t>es de precisar que en nuestra legislación no existe como tal una definición de esta; sin embargo, se entiende como una modalidad para contratar a personas por parte del Sujeto Obligado por un tiempo determinado</w:t>
      </w:r>
      <w:r w:rsidR="00A576F6" w:rsidRPr="00367637">
        <w:rPr>
          <w:rFonts w:ascii="Palatino Linotype" w:eastAsia="Calibri" w:hAnsi="Palatino Linotype" w:cs="Tahoma"/>
          <w:bCs/>
          <w:i/>
          <w:sz w:val="22"/>
          <w:szCs w:val="22"/>
          <w:lang w:eastAsia="en-US"/>
        </w:rPr>
        <w:t>.</w:t>
      </w:r>
    </w:p>
    <w:p w:rsidR="00A576F6" w:rsidRPr="00B54E04" w:rsidRDefault="00A576F6" w:rsidP="00A576F6">
      <w:pPr>
        <w:spacing w:line="360" w:lineRule="auto"/>
        <w:ind w:right="-93"/>
        <w:jc w:val="both"/>
        <w:rPr>
          <w:rFonts w:ascii="Palatino Linotype" w:eastAsia="Calibri" w:hAnsi="Palatino Linotype" w:cs="Tahoma"/>
          <w:b/>
          <w:bCs/>
          <w:i/>
          <w:sz w:val="18"/>
          <w:szCs w:val="22"/>
          <w:lang w:eastAsia="en-US"/>
        </w:rPr>
      </w:pPr>
    </w:p>
    <w:p w:rsidR="00A576F6" w:rsidRPr="00FE5ED9" w:rsidRDefault="00A576F6" w:rsidP="00A576F6">
      <w:pPr>
        <w:spacing w:line="360" w:lineRule="auto"/>
        <w:ind w:right="-93"/>
        <w:jc w:val="both"/>
        <w:rPr>
          <w:rFonts w:ascii="Palatino Linotype" w:eastAsia="Calibri" w:hAnsi="Palatino Linotype" w:cs="Tahoma"/>
          <w:bCs/>
          <w:sz w:val="22"/>
          <w:szCs w:val="22"/>
          <w:lang w:val="es-ES" w:eastAsia="en-US"/>
        </w:rPr>
      </w:pPr>
      <w:r w:rsidRPr="00193B6B">
        <w:rPr>
          <w:rFonts w:ascii="Palatino Linotype" w:eastAsia="Calibri" w:hAnsi="Palatino Linotype" w:cs="Tahoma"/>
          <w:bCs/>
          <w:sz w:val="22"/>
          <w:szCs w:val="22"/>
          <w:lang w:val="es-ES_tradnl" w:eastAsia="en-US"/>
        </w:rPr>
        <w:lastRenderedPageBreak/>
        <w:t>Aunado a ello el artículo 804</w:t>
      </w:r>
      <w:r>
        <w:rPr>
          <w:rFonts w:ascii="Palatino Linotype" w:eastAsia="Calibri" w:hAnsi="Palatino Linotype" w:cs="Tahoma"/>
          <w:bCs/>
          <w:sz w:val="22"/>
          <w:szCs w:val="22"/>
          <w:lang w:val="es-ES_tradnl" w:eastAsia="en-US"/>
        </w:rPr>
        <w:t>, fracción II</w:t>
      </w:r>
      <w:r w:rsidR="00ED741E">
        <w:rPr>
          <w:rFonts w:ascii="Palatino Linotype" w:eastAsia="Calibri" w:hAnsi="Palatino Linotype" w:cs="Tahoma"/>
          <w:bCs/>
          <w:sz w:val="22"/>
          <w:szCs w:val="22"/>
          <w:lang w:val="es-ES_tradnl" w:eastAsia="en-US"/>
        </w:rPr>
        <w:t>,</w:t>
      </w:r>
      <w:r w:rsidRPr="00193B6B">
        <w:rPr>
          <w:rFonts w:ascii="Palatino Linotype" w:eastAsia="Calibri" w:hAnsi="Palatino Linotype" w:cs="Tahoma"/>
          <w:bCs/>
          <w:sz w:val="22"/>
          <w:szCs w:val="22"/>
          <w:lang w:val="es-ES_tradnl" w:eastAsia="en-US"/>
        </w:rPr>
        <w:t xml:space="preserve"> de la </w:t>
      </w:r>
      <w:r w:rsidRPr="00FE5ED9">
        <w:rPr>
          <w:rFonts w:ascii="Palatino Linotype" w:eastAsia="Calibri" w:hAnsi="Palatino Linotype" w:cs="Tahoma"/>
          <w:bCs/>
          <w:sz w:val="22"/>
          <w:szCs w:val="22"/>
          <w:lang w:val="es-ES_tradnl" w:eastAsia="en-US"/>
        </w:rPr>
        <w:t xml:space="preserve">Ley Federal de Trabajo </w:t>
      </w:r>
      <w:r w:rsidRPr="00FE5ED9">
        <w:rPr>
          <w:rFonts w:ascii="Palatino Linotype" w:eastAsia="Calibri" w:hAnsi="Palatino Linotype" w:cs="Tahoma"/>
          <w:bCs/>
          <w:sz w:val="22"/>
          <w:szCs w:val="22"/>
          <w:lang w:val="es-ES" w:eastAsia="en-US"/>
        </w:rPr>
        <w:t xml:space="preserve">señala que </w:t>
      </w:r>
      <w:r>
        <w:rPr>
          <w:rFonts w:ascii="Palatino Linotype" w:eastAsia="Calibri" w:hAnsi="Palatino Linotype" w:cs="Tahoma"/>
          <w:bCs/>
          <w:sz w:val="22"/>
          <w:szCs w:val="22"/>
          <w:lang w:val="es-ES" w:eastAsia="en-US"/>
        </w:rPr>
        <w:t>e</w:t>
      </w:r>
      <w:r w:rsidRPr="00FE5ED9">
        <w:rPr>
          <w:rFonts w:ascii="Palatino Linotype" w:eastAsia="Calibri" w:hAnsi="Palatino Linotype" w:cs="Tahoma"/>
          <w:bCs/>
          <w:sz w:val="22"/>
          <w:szCs w:val="22"/>
          <w:lang w:val="es-ES" w:eastAsia="en-US"/>
        </w:rPr>
        <w:t xml:space="preserve">l patrón tiene </w:t>
      </w:r>
      <w:r>
        <w:rPr>
          <w:rFonts w:ascii="Palatino Linotype" w:eastAsia="Calibri" w:hAnsi="Palatino Linotype" w:cs="Tahoma"/>
          <w:bCs/>
          <w:sz w:val="22"/>
          <w:szCs w:val="22"/>
          <w:lang w:val="es-ES" w:eastAsia="en-US"/>
        </w:rPr>
        <w:t xml:space="preserve">la </w:t>
      </w:r>
      <w:r w:rsidRPr="00FE5ED9">
        <w:rPr>
          <w:rFonts w:ascii="Palatino Linotype" w:eastAsia="Calibri" w:hAnsi="Palatino Linotype" w:cs="Tahoma"/>
          <w:bCs/>
          <w:sz w:val="22"/>
          <w:szCs w:val="22"/>
          <w:lang w:val="es-ES" w:eastAsia="en-US"/>
        </w:rPr>
        <w:t xml:space="preserve">obligación de conservar y </w:t>
      </w:r>
      <w:r>
        <w:rPr>
          <w:rFonts w:ascii="Palatino Linotype" w:eastAsia="Calibri" w:hAnsi="Palatino Linotype" w:cs="Tahoma"/>
          <w:bCs/>
          <w:sz w:val="22"/>
          <w:szCs w:val="22"/>
          <w:lang w:val="es-ES" w:eastAsia="en-US"/>
        </w:rPr>
        <w:t xml:space="preserve">en su caso </w:t>
      </w:r>
      <w:r w:rsidRPr="00FE5ED9">
        <w:rPr>
          <w:rFonts w:ascii="Palatino Linotype" w:eastAsia="Calibri" w:hAnsi="Palatino Linotype" w:cs="Tahoma"/>
          <w:bCs/>
          <w:sz w:val="22"/>
          <w:szCs w:val="22"/>
          <w:lang w:val="es-ES" w:eastAsia="en-US"/>
        </w:rPr>
        <w:t xml:space="preserve">exhibir en juicio los documentos </w:t>
      </w:r>
      <w:r>
        <w:rPr>
          <w:rFonts w:ascii="Palatino Linotype" w:eastAsia="Calibri" w:hAnsi="Palatino Linotype" w:cs="Tahoma"/>
          <w:bCs/>
          <w:sz w:val="22"/>
          <w:szCs w:val="22"/>
          <w:lang w:val="es-ES" w:eastAsia="en-US"/>
        </w:rPr>
        <w:t>consistentes en las</w:t>
      </w:r>
      <w:r w:rsidRPr="00FE5ED9">
        <w:rPr>
          <w:rFonts w:ascii="Palatino Linotype" w:eastAsia="Calibri" w:hAnsi="Palatino Linotype" w:cs="Tahoma"/>
          <w:bCs/>
          <w:sz w:val="22"/>
          <w:szCs w:val="22"/>
          <w:lang w:val="es-ES" w:eastAsia="en-US"/>
        </w:rPr>
        <w:t xml:space="preserve"> Listas de raya o nómina de personal, cuando se lleven en el centro de trabajo;</w:t>
      </w:r>
      <w:r>
        <w:rPr>
          <w:rFonts w:ascii="Palatino Linotype" w:eastAsia="Calibri" w:hAnsi="Palatino Linotype" w:cs="Tahoma"/>
          <w:bCs/>
          <w:sz w:val="22"/>
          <w:szCs w:val="22"/>
          <w:lang w:val="es-ES" w:eastAsia="en-US"/>
        </w:rPr>
        <w:t xml:space="preserve"> o recibos de pagos de salarios.</w:t>
      </w:r>
    </w:p>
    <w:p w:rsidR="00A576F6" w:rsidRPr="00B54E04" w:rsidRDefault="00A576F6" w:rsidP="00A576F6">
      <w:pPr>
        <w:spacing w:line="360" w:lineRule="auto"/>
        <w:ind w:right="-93"/>
        <w:jc w:val="both"/>
        <w:rPr>
          <w:rFonts w:ascii="Palatino Linotype" w:eastAsia="Calibri" w:hAnsi="Palatino Linotype" w:cs="Tahoma"/>
          <w:bCs/>
          <w:sz w:val="18"/>
          <w:szCs w:val="22"/>
          <w:lang w:val="es-ES" w:eastAsia="en-US"/>
        </w:rPr>
      </w:pPr>
    </w:p>
    <w:p w:rsidR="00A576F6" w:rsidRPr="00193B6B" w:rsidRDefault="00A576F6" w:rsidP="00A576F6">
      <w:pPr>
        <w:spacing w:line="360" w:lineRule="auto"/>
        <w:ind w:right="-93"/>
        <w:jc w:val="both"/>
        <w:rPr>
          <w:rFonts w:ascii="Palatino Linotype" w:eastAsia="Calibri" w:hAnsi="Palatino Linotype" w:cs="Tahoma"/>
          <w:bCs/>
          <w:i/>
          <w:sz w:val="22"/>
          <w:szCs w:val="22"/>
          <w:lang w:val="es-ES" w:eastAsia="en-US"/>
        </w:rPr>
      </w:pPr>
      <w:r w:rsidRPr="00193B6B">
        <w:rPr>
          <w:rFonts w:ascii="Palatino Linotype" w:eastAsia="Calibri" w:hAnsi="Palatino Linotype" w:cs="Tahoma"/>
          <w:bCs/>
          <w:sz w:val="22"/>
          <w:szCs w:val="22"/>
          <w:lang w:val="es-ES_tradnl" w:eastAsia="en-US"/>
        </w:rPr>
        <w:t>De lo establecido en el precepto legal anterior</w:t>
      </w:r>
      <w:r w:rsidR="009C5C0B">
        <w:rPr>
          <w:rFonts w:ascii="Palatino Linotype" w:eastAsia="Calibri" w:hAnsi="Palatino Linotype" w:cs="Tahoma"/>
          <w:bCs/>
          <w:sz w:val="22"/>
          <w:szCs w:val="22"/>
          <w:lang w:val="es-ES_tradnl" w:eastAsia="en-US"/>
        </w:rPr>
        <w:t>,</w:t>
      </w:r>
      <w:r w:rsidRPr="00193B6B">
        <w:rPr>
          <w:rFonts w:ascii="Palatino Linotype" w:eastAsia="Calibri" w:hAnsi="Palatino Linotype" w:cs="Tahoma"/>
          <w:bCs/>
          <w:sz w:val="22"/>
          <w:szCs w:val="22"/>
          <w:lang w:val="es-ES_tradnl" w:eastAsia="en-US"/>
        </w:rPr>
        <w:t xml:space="preserve"> se llega a la conclusión de que la lista de raya </w:t>
      </w:r>
      <w:r>
        <w:rPr>
          <w:rFonts w:ascii="Palatino Linotype" w:eastAsia="Calibri" w:hAnsi="Palatino Linotype" w:cs="Tahoma"/>
          <w:bCs/>
          <w:sz w:val="22"/>
          <w:szCs w:val="22"/>
          <w:lang w:val="es-ES_tradnl" w:eastAsia="en-US"/>
        </w:rPr>
        <w:t xml:space="preserve">al igual que la nómina </w:t>
      </w:r>
      <w:r w:rsidRPr="00193B6B">
        <w:rPr>
          <w:rFonts w:ascii="Palatino Linotype" w:eastAsia="Calibri" w:hAnsi="Palatino Linotype" w:cs="Tahoma"/>
          <w:bCs/>
          <w:sz w:val="22"/>
          <w:szCs w:val="22"/>
          <w:lang w:val="es-ES_tradnl" w:eastAsia="en-US"/>
        </w:rPr>
        <w:t xml:space="preserve">consisten en registros </w:t>
      </w:r>
      <w:r>
        <w:rPr>
          <w:rFonts w:ascii="Palatino Linotype" w:eastAsia="Calibri" w:hAnsi="Palatino Linotype" w:cs="Tahoma"/>
          <w:bCs/>
          <w:sz w:val="22"/>
          <w:szCs w:val="22"/>
          <w:lang w:val="es-ES_tradnl" w:eastAsia="en-US"/>
        </w:rPr>
        <w:t xml:space="preserve">contables que contienen la relación de los </w:t>
      </w:r>
      <w:r w:rsidRPr="00193B6B">
        <w:rPr>
          <w:rFonts w:ascii="Palatino Linotype" w:eastAsia="Calibri" w:hAnsi="Palatino Linotype" w:cs="Tahoma"/>
          <w:bCs/>
          <w:sz w:val="22"/>
          <w:szCs w:val="22"/>
          <w:lang w:val="es-ES_tradnl" w:eastAsia="en-US"/>
        </w:rPr>
        <w:t>trabajadores</w:t>
      </w:r>
      <w:r>
        <w:rPr>
          <w:rFonts w:ascii="Palatino Linotype" w:eastAsia="Calibri" w:hAnsi="Palatino Linotype" w:cs="Tahoma"/>
          <w:bCs/>
          <w:sz w:val="22"/>
          <w:szCs w:val="22"/>
          <w:lang w:val="es-ES_tradnl" w:eastAsia="en-US"/>
        </w:rPr>
        <w:t xml:space="preserve">, en los que </w:t>
      </w:r>
      <w:r w:rsidRPr="00193B6B">
        <w:rPr>
          <w:rFonts w:ascii="Palatino Linotype" w:eastAsia="Calibri" w:hAnsi="Palatino Linotype" w:cs="Tahoma"/>
          <w:bCs/>
          <w:sz w:val="22"/>
          <w:szCs w:val="22"/>
          <w:lang w:val="es-ES_tradnl" w:eastAsia="en-US"/>
        </w:rPr>
        <w:t>se asientan las percepciones brutas, deducciones y el neto a recibir de dichos trabajadores, con la diferencia de que la lista de raya se refiere al</w:t>
      </w:r>
      <w:r>
        <w:rPr>
          <w:rFonts w:ascii="Palatino Linotype" w:eastAsia="Calibri" w:hAnsi="Palatino Linotype" w:cs="Tahoma"/>
          <w:bCs/>
          <w:sz w:val="22"/>
          <w:szCs w:val="22"/>
          <w:lang w:val="es-ES_tradnl" w:eastAsia="en-US"/>
        </w:rPr>
        <w:t xml:space="preserve"> registro de los</w:t>
      </w:r>
      <w:r w:rsidRPr="00193B6B">
        <w:rPr>
          <w:rFonts w:ascii="Palatino Linotype" w:eastAsia="Calibri" w:hAnsi="Palatino Linotype" w:cs="Tahoma"/>
          <w:bCs/>
          <w:sz w:val="22"/>
          <w:szCs w:val="22"/>
          <w:lang w:val="es-ES_tradnl" w:eastAsia="en-US"/>
        </w:rPr>
        <w:t xml:space="preserve"> trabajadores</w:t>
      </w:r>
      <w:r>
        <w:rPr>
          <w:rFonts w:ascii="Palatino Linotype" w:eastAsia="Calibri" w:hAnsi="Palatino Linotype" w:cs="Tahoma"/>
          <w:bCs/>
          <w:sz w:val="22"/>
          <w:szCs w:val="22"/>
          <w:lang w:val="es-ES_tradnl" w:eastAsia="en-US"/>
        </w:rPr>
        <w:t xml:space="preserve"> </w:t>
      </w:r>
      <w:r w:rsidRPr="00B84C77">
        <w:rPr>
          <w:rFonts w:ascii="Palatino Linotype" w:eastAsia="Calibri" w:hAnsi="Palatino Linotype" w:cs="Tahoma"/>
          <w:bCs/>
          <w:sz w:val="22"/>
          <w:szCs w:val="22"/>
          <w:lang w:val="es-ES_tradnl" w:eastAsia="en-US"/>
        </w:rPr>
        <w:t>contratados por</w:t>
      </w:r>
      <w:r>
        <w:rPr>
          <w:rFonts w:ascii="Palatino Linotype" w:eastAsia="Calibri" w:hAnsi="Palatino Linotype" w:cs="Tahoma"/>
          <w:b/>
          <w:bCs/>
          <w:sz w:val="22"/>
          <w:szCs w:val="22"/>
          <w:lang w:val="es-ES_tradnl" w:eastAsia="en-US"/>
        </w:rPr>
        <w:t xml:space="preserve"> </w:t>
      </w:r>
      <w:r>
        <w:rPr>
          <w:rFonts w:ascii="Palatino Linotype" w:eastAsia="Calibri" w:hAnsi="Palatino Linotype" w:cs="Tahoma"/>
          <w:bCs/>
          <w:sz w:val="22"/>
          <w:szCs w:val="22"/>
          <w:lang w:val="es-ES_tradnl" w:eastAsia="en-US"/>
        </w:rPr>
        <w:t>plazos cortos o bien para cubrir cualquier eventualidad que no se puede determinar por tiempo o magnitud del trabajo.</w:t>
      </w:r>
    </w:p>
    <w:p w:rsidR="00A576F6" w:rsidRPr="00B54E04" w:rsidRDefault="00A576F6" w:rsidP="00A576F6">
      <w:pPr>
        <w:spacing w:line="360" w:lineRule="auto"/>
        <w:ind w:right="-93"/>
        <w:jc w:val="both"/>
        <w:rPr>
          <w:rFonts w:ascii="Palatino Linotype" w:eastAsia="Calibri" w:hAnsi="Palatino Linotype" w:cs="Tahoma"/>
          <w:bCs/>
          <w:szCs w:val="22"/>
          <w:lang w:val="es-ES_tradnl" w:eastAsia="en-US"/>
        </w:rPr>
      </w:pPr>
    </w:p>
    <w:p w:rsidR="00A576F6" w:rsidRDefault="00A576F6" w:rsidP="00A576F6">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Al respecto</w:t>
      </w:r>
      <w:r w:rsidRPr="00193B6B">
        <w:rPr>
          <w:rFonts w:ascii="Palatino Linotype" w:eastAsia="Calibri" w:hAnsi="Palatino Linotype" w:cs="Tahoma"/>
          <w:bCs/>
          <w:sz w:val="22"/>
          <w:szCs w:val="22"/>
          <w:lang w:val="es-ES_tradnl" w:eastAsia="en-US"/>
        </w:rPr>
        <w:t>,</w:t>
      </w:r>
      <w:r>
        <w:rPr>
          <w:rFonts w:ascii="Palatino Linotype" w:eastAsia="Calibri" w:hAnsi="Palatino Linotype" w:cs="Tahoma"/>
          <w:bCs/>
          <w:sz w:val="22"/>
          <w:szCs w:val="22"/>
          <w:lang w:val="es-ES_tradnl" w:eastAsia="en-US"/>
        </w:rPr>
        <w:t xml:space="preserve"> la</w:t>
      </w:r>
      <w:r w:rsidRPr="00193B6B">
        <w:rPr>
          <w:rFonts w:ascii="Palatino Linotype" w:eastAsia="Calibri" w:hAnsi="Palatino Linotype" w:cs="Tahoma"/>
          <w:bCs/>
          <w:sz w:val="22"/>
          <w:szCs w:val="22"/>
          <w:lang w:val="es-ES_tradnl" w:eastAsia="en-US"/>
        </w:rPr>
        <w:t xml:space="preserve"> </w:t>
      </w:r>
      <w:r w:rsidRPr="00B84C77">
        <w:rPr>
          <w:rFonts w:ascii="Palatino Linotype" w:eastAsia="Calibri" w:hAnsi="Palatino Linotype" w:cs="Tahoma"/>
          <w:bCs/>
          <w:sz w:val="22"/>
          <w:szCs w:val="22"/>
          <w:lang w:val="es-ES_tradnl" w:eastAsia="en-US"/>
        </w:rPr>
        <w:t>Ley del Trabajo de los Servidores Públicos del Estado y Municipios</w:t>
      </w:r>
      <w:r>
        <w:rPr>
          <w:rFonts w:ascii="Palatino Linotype" w:eastAsia="Calibri" w:hAnsi="Palatino Linotype" w:cs="Tahoma"/>
          <w:bCs/>
          <w:sz w:val="22"/>
          <w:szCs w:val="22"/>
          <w:lang w:val="es-ES_tradnl" w:eastAsia="en-US"/>
        </w:rPr>
        <w:t>, en su artículo 50 señala que el servidor público que se encuentre en la lista de raya se obliga a cumplir con los deberes inherentes al puesto especificado, al igual que los servidores públicos que tienen nombramiento, contrato o formato único de Movimientos de Personal.</w:t>
      </w:r>
    </w:p>
    <w:p w:rsidR="00A576F6" w:rsidRDefault="00A576F6" w:rsidP="00A576F6">
      <w:pPr>
        <w:spacing w:line="360" w:lineRule="auto"/>
        <w:ind w:right="-93"/>
        <w:jc w:val="both"/>
        <w:rPr>
          <w:rFonts w:ascii="Palatino Linotype" w:eastAsia="Calibri" w:hAnsi="Palatino Linotype" w:cs="Tahoma"/>
          <w:bCs/>
          <w:sz w:val="22"/>
          <w:szCs w:val="22"/>
          <w:lang w:eastAsia="en-US"/>
        </w:rPr>
      </w:pPr>
    </w:p>
    <w:p w:rsidR="00A576F6" w:rsidRPr="003F131E" w:rsidRDefault="00EC6641" w:rsidP="00A576F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Bajo este orden de ideas, </w:t>
      </w:r>
      <w:r w:rsidR="00A576F6" w:rsidRPr="007D4D1B">
        <w:rPr>
          <w:rFonts w:ascii="Palatino Linotype" w:eastAsia="Calibri" w:hAnsi="Palatino Linotype" w:cs="Tahoma"/>
          <w:bCs/>
          <w:sz w:val="22"/>
          <w:szCs w:val="22"/>
          <w:lang w:eastAsia="en-US"/>
        </w:rPr>
        <w:t xml:space="preserve">los Lineamientos para la elaboración y presentación del Informe Mensual Municipal </w:t>
      </w:r>
      <w:r w:rsidR="009C5C0B">
        <w:rPr>
          <w:rFonts w:ascii="Palatino Linotype" w:eastAsia="Calibri" w:hAnsi="Palatino Linotype" w:cs="Tahoma"/>
          <w:bCs/>
          <w:sz w:val="22"/>
          <w:szCs w:val="22"/>
          <w:lang w:eastAsia="en-US"/>
        </w:rPr>
        <w:t>dos mil dieciocho</w:t>
      </w:r>
      <w:r w:rsidR="00A576F6" w:rsidRPr="007D4D1B">
        <w:rPr>
          <w:rFonts w:ascii="Palatino Linotype" w:eastAsia="Calibri" w:hAnsi="Palatino Linotype" w:cs="Tahoma"/>
          <w:bCs/>
          <w:sz w:val="22"/>
          <w:szCs w:val="22"/>
          <w:lang w:eastAsia="en-US"/>
        </w:rPr>
        <w:t xml:space="preserve">, en el disco 5 referente a imágenes digitalizadas  específicamente en el inciso a) </w:t>
      </w:r>
      <w:r w:rsidR="00A576F6">
        <w:rPr>
          <w:rFonts w:ascii="Palatino Linotype" w:eastAsia="Calibri" w:hAnsi="Palatino Linotype" w:cs="Tahoma"/>
          <w:bCs/>
          <w:sz w:val="22"/>
          <w:szCs w:val="22"/>
          <w:lang w:eastAsia="en-US"/>
        </w:rPr>
        <w:t xml:space="preserve">Documentación comprobatoria y justificativa de los ingresos y los egresos, </w:t>
      </w:r>
      <w:r w:rsidR="00A576F6" w:rsidRPr="007D4D1B">
        <w:rPr>
          <w:rFonts w:ascii="Palatino Linotype" w:eastAsia="Calibri" w:hAnsi="Palatino Linotype" w:cs="Tahoma"/>
          <w:bCs/>
          <w:sz w:val="22"/>
          <w:szCs w:val="22"/>
          <w:lang w:eastAsia="en-US"/>
        </w:rPr>
        <w:t xml:space="preserve">punto 5.4 </w:t>
      </w:r>
      <w:r w:rsidR="00A576F6">
        <w:rPr>
          <w:rFonts w:ascii="Palatino Linotype" w:eastAsia="Calibri" w:hAnsi="Palatino Linotype" w:cs="Tahoma"/>
          <w:bCs/>
          <w:sz w:val="22"/>
          <w:szCs w:val="22"/>
          <w:lang w:eastAsia="en-US"/>
        </w:rPr>
        <w:t>referente a las p</w:t>
      </w:r>
      <w:r w:rsidR="00A576F6" w:rsidRPr="007D4D1B">
        <w:rPr>
          <w:rFonts w:ascii="Palatino Linotype" w:eastAsia="Calibri" w:hAnsi="Palatino Linotype" w:cs="Tahoma"/>
          <w:bCs/>
          <w:sz w:val="22"/>
          <w:szCs w:val="22"/>
          <w:lang w:eastAsia="en-US"/>
        </w:rPr>
        <w:t xml:space="preserve">ólizas de Cheques con su respectivo soporte documental, se </w:t>
      </w:r>
      <w:r w:rsidR="00A576F6">
        <w:rPr>
          <w:rFonts w:ascii="Palatino Linotype" w:eastAsia="Calibri" w:hAnsi="Palatino Linotype" w:cs="Tahoma"/>
          <w:bCs/>
          <w:sz w:val="22"/>
          <w:szCs w:val="22"/>
          <w:lang w:eastAsia="en-US"/>
        </w:rPr>
        <w:t xml:space="preserve">señala el informe </w:t>
      </w:r>
      <w:r w:rsidR="00A576F6" w:rsidRPr="007D4D1B">
        <w:rPr>
          <w:rFonts w:ascii="Palatino Linotype" w:eastAsia="Calibri" w:hAnsi="Palatino Linotype" w:cs="Tahoma"/>
          <w:bCs/>
          <w:sz w:val="22"/>
          <w:szCs w:val="22"/>
          <w:lang w:eastAsia="en-US"/>
        </w:rPr>
        <w:t xml:space="preserve">correspondiente a las listas de raya, como se advierte </w:t>
      </w:r>
      <w:r w:rsidR="00A576F6">
        <w:rPr>
          <w:rFonts w:ascii="Palatino Linotype" w:eastAsia="Calibri" w:hAnsi="Palatino Linotype" w:cs="Tahoma"/>
          <w:bCs/>
          <w:sz w:val="22"/>
          <w:szCs w:val="22"/>
          <w:lang w:eastAsia="en-US"/>
        </w:rPr>
        <w:t>con las siguientes imágenes</w:t>
      </w:r>
      <w:r w:rsidR="00A576F6" w:rsidRPr="007D4D1B">
        <w:rPr>
          <w:rFonts w:ascii="Palatino Linotype" w:eastAsia="Calibri" w:hAnsi="Palatino Linotype" w:cs="Tahoma"/>
          <w:bCs/>
          <w:sz w:val="22"/>
          <w:szCs w:val="22"/>
          <w:lang w:eastAsia="en-US"/>
        </w:rPr>
        <w:t>:</w:t>
      </w:r>
      <w:r w:rsidR="00A576F6" w:rsidRPr="002751CF">
        <w:rPr>
          <w:rFonts w:ascii="Palatino Linotype" w:hAnsi="Palatino Linotype" w:cs="Arial"/>
          <w:noProof/>
          <w:lang w:eastAsia="es-MX"/>
        </w:rPr>
        <w:t xml:space="preserve"> </w:t>
      </w: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A98" w:rsidP="00AD7301">
      <w:pPr>
        <w:tabs>
          <w:tab w:val="left" w:pos="4962"/>
        </w:tabs>
        <w:spacing w:line="360" w:lineRule="auto"/>
        <w:jc w:val="both"/>
        <w:rPr>
          <w:rFonts w:ascii="Palatino Linotype" w:hAnsi="Palatino Linotype" w:cs="Tahoma"/>
          <w:b/>
          <w:caps/>
          <w:sz w:val="22"/>
          <w:szCs w:val="22"/>
        </w:rPr>
      </w:pPr>
      <w:r>
        <w:rPr>
          <w:rFonts w:ascii="Palatino Linotype" w:hAnsi="Palatino Linotype" w:cs="Tahoma"/>
          <w:b/>
          <w:caps/>
          <w:noProof/>
          <w:sz w:val="22"/>
          <w:szCs w:val="22"/>
          <w:lang w:val="es-ES"/>
        </w:rPr>
        <w:lastRenderedPageBreak/>
        <w:drawing>
          <wp:anchor distT="0" distB="0" distL="114300" distR="114300" simplePos="0" relativeHeight="251665408" behindDoc="0" locked="0" layoutInCell="1" allowOverlap="1">
            <wp:simplePos x="0" y="0"/>
            <wp:positionH relativeFrom="column">
              <wp:posOffset>201295</wp:posOffset>
            </wp:positionH>
            <wp:positionV relativeFrom="paragraph">
              <wp:posOffset>1806576</wp:posOffset>
            </wp:positionV>
            <wp:extent cx="3914140" cy="35941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140" cy="359410"/>
                    </a:xfrm>
                    <a:prstGeom prst="rect">
                      <a:avLst/>
                    </a:prstGeom>
                    <a:noFill/>
                  </pic:spPr>
                </pic:pic>
              </a:graphicData>
            </a:graphic>
            <wp14:sizeRelV relativeFrom="margin">
              <wp14:pctHeight>0</wp14:pctHeight>
            </wp14:sizeRelV>
          </wp:anchor>
        </w:drawing>
      </w:r>
      <w:r w:rsidR="00A576F6" w:rsidRPr="005A1816">
        <w:rPr>
          <w:noProof/>
          <w:lang w:val="es-ES"/>
        </w:rPr>
        <w:drawing>
          <wp:inline distT="0" distB="0" distL="0" distR="0" wp14:anchorId="4B448585" wp14:editId="1EC30D78">
            <wp:extent cx="5742940" cy="69397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061" t="8635" r="32512" b="13632"/>
                    <a:stretch/>
                  </pic:blipFill>
                  <pic:spPr bwMode="auto">
                    <a:xfrm>
                      <a:off x="0" y="0"/>
                      <a:ext cx="5742940" cy="6939749"/>
                    </a:xfrm>
                    <a:prstGeom prst="rect">
                      <a:avLst/>
                    </a:prstGeom>
                    <a:ln>
                      <a:noFill/>
                    </a:ln>
                    <a:extLst>
                      <a:ext uri="{53640926-AAD7-44D8-BBD7-CCE9431645EC}">
                        <a14:shadowObscured xmlns:a14="http://schemas.microsoft.com/office/drawing/2010/main"/>
                      </a:ext>
                    </a:extLst>
                  </pic:spPr>
                </pic:pic>
              </a:graphicData>
            </a:graphic>
          </wp:inline>
        </w:drawing>
      </w: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Default="00A57A98" w:rsidP="00AD7301">
      <w:pPr>
        <w:tabs>
          <w:tab w:val="left" w:pos="4962"/>
        </w:tabs>
        <w:spacing w:line="360" w:lineRule="auto"/>
        <w:jc w:val="both"/>
        <w:rPr>
          <w:rFonts w:ascii="Palatino Linotype" w:hAnsi="Palatino Linotype" w:cs="Tahoma"/>
          <w:b/>
          <w:caps/>
          <w:sz w:val="22"/>
          <w:szCs w:val="22"/>
        </w:rPr>
      </w:pPr>
      <w:r>
        <w:rPr>
          <w:rFonts w:ascii="Palatino Linotype" w:hAnsi="Palatino Linotype" w:cs="Tahoma"/>
          <w:b/>
          <w:caps/>
          <w:noProof/>
          <w:sz w:val="22"/>
          <w:szCs w:val="22"/>
          <w:lang w:val="es-ES"/>
        </w:rPr>
        <w:lastRenderedPageBreak/>
        <w:drawing>
          <wp:anchor distT="0" distB="0" distL="114300" distR="114300" simplePos="0" relativeHeight="251666432" behindDoc="0" locked="0" layoutInCell="1" allowOverlap="1">
            <wp:simplePos x="0" y="0"/>
            <wp:positionH relativeFrom="margin">
              <wp:posOffset>353695</wp:posOffset>
            </wp:positionH>
            <wp:positionV relativeFrom="paragraph">
              <wp:posOffset>4749800</wp:posOffset>
            </wp:positionV>
            <wp:extent cx="4986020" cy="409575"/>
            <wp:effectExtent l="0" t="0" r="508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6020" cy="409575"/>
                    </a:xfrm>
                    <a:prstGeom prst="rect">
                      <a:avLst/>
                    </a:prstGeom>
                    <a:noFill/>
                  </pic:spPr>
                </pic:pic>
              </a:graphicData>
            </a:graphic>
            <wp14:sizeRelH relativeFrom="margin">
              <wp14:pctWidth>0</wp14:pctWidth>
            </wp14:sizeRelH>
            <wp14:sizeRelV relativeFrom="margin">
              <wp14:pctHeight>0</wp14:pctHeight>
            </wp14:sizeRelV>
          </wp:anchor>
        </w:drawing>
      </w:r>
      <w:r w:rsidR="00A576F6" w:rsidRPr="005A1816">
        <w:rPr>
          <w:noProof/>
          <w:lang w:val="es-ES"/>
        </w:rPr>
        <w:drawing>
          <wp:inline distT="0" distB="0" distL="0" distR="0" wp14:anchorId="2889E4CC" wp14:editId="4D1B2619">
            <wp:extent cx="5742516" cy="7315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754" t="11720" r="32685" b="8084"/>
                    <a:stretch/>
                  </pic:blipFill>
                  <pic:spPr bwMode="auto">
                    <a:xfrm>
                      <a:off x="0" y="0"/>
                      <a:ext cx="5748384" cy="7322675"/>
                    </a:xfrm>
                    <a:prstGeom prst="rect">
                      <a:avLst/>
                    </a:prstGeom>
                    <a:ln>
                      <a:noFill/>
                    </a:ln>
                    <a:extLst>
                      <a:ext uri="{53640926-AAD7-44D8-BBD7-CCE9431645EC}">
                        <a14:shadowObscured xmlns:a14="http://schemas.microsoft.com/office/drawing/2010/main"/>
                      </a:ext>
                    </a:extLst>
                  </pic:spPr>
                </pic:pic>
              </a:graphicData>
            </a:graphic>
          </wp:inline>
        </w:drawing>
      </w:r>
    </w:p>
    <w:p w:rsidR="00A576F6" w:rsidRDefault="00A576F6" w:rsidP="00AD7301">
      <w:pPr>
        <w:tabs>
          <w:tab w:val="left" w:pos="4962"/>
        </w:tabs>
        <w:spacing w:line="360" w:lineRule="auto"/>
        <w:jc w:val="both"/>
        <w:rPr>
          <w:rFonts w:ascii="Palatino Linotype" w:hAnsi="Palatino Linotype" w:cs="Tahoma"/>
          <w:b/>
          <w:caps/>
          <w:sz w:val="22"/>
          <w:szCs w:val="22"/>
        </w:rPr>
      </w:pPr>
    </w:p>
    <w:p w:rsidR="00A576F6" w:rsidRPr="00193B6B" w:rsidRDefault="00A576F6" w:rsidP="00A576F6">
      <w:pPr>
        <w:spacing w:line="360" w:lineRule="auto"/>
        <w:ind w:right="-93"/>
        <w:jc w:val="both"/>
        <w:rPr>
          <w:rFonts w:ascii="Palatino Linotype" w:eastAsia="Calibri" w:hAnsi="Palatino Linotype" w:cs="Tahoma"/>
          <w:bCs/>
          <w:sz w:val="22"/>
          <w:szCs w:val="22"/>
          <w:lang w:val="es-ES_tradnl" w:eastAsia="en-US"/>
        </w:rPr>
      </w:pPr>
      <w:r w:rsidRPr="004304DC">
        <w:rPr>
          <w:rFonts w:ascii="Palatino Linotype" w:eastAsia="Calibri" w:hAnsi="Palatino Linotype" w:cs="Tahoma"/>
          <w:bCs/>
          <w:sz w:val="22"/>
          <w:szCs w:val="22"/>
          <w:lang w:val="es-ES" w:eastAsia="en-US"/>
        </w:rPr>
        <w:lastRenderedPageBreak/>
        <w:t xml:space="preserve">Ante tales circunstancias, es dable ordenar al Sujeto Obligado, realice una búsqueda exhaustiva en todas las áreas </w:t>
      </w:r>
      <w:r w:rsidRPr="004304DC">
        <w:rPr>
          <w:rFonts w:ascii="Palatino Linotype" w:eastAsia="Calibri" w:hAnsi="Palatino Linotype" w:cs="Tahoma"/>
          <w:bCs/>
          <w:sz w:val="22"/>
          <w:szCs w:val="22"/>
          <w:lang w:val="es-ES_tradnl" w:eastAsia="en-US"/>
        </w:rPr>
        <w:t>dentro de su estructura orgánica que pudieran contar con lo solicitado y</w:t>
      </w:r>
      <w:r w:rsidR="00984C5B" w:rsidRPr="004304DC">
        <w:rPr>
          <w:rFonts w:ascii="Palatino Linotype" w:eastAsia="Calibri" w:hAnsi="Palatino Linotype" w:cs="Tahoma"/>
          <w:bCs/>
          <w:sz w:val="22"/>
          <w:szCs w:val="22"/>
          <w:lang w:val="es-ES_tradnl" w:eastAsia="en-US"/>
        </w:rPr>
        <w:t>, en su caso,</w:t>
      </w:r>
      <w:r w:rsidRPr="004304DC">
        <w:rPr>
          <w:rFonts w:ascii="Palatino Linotype" w:eastAsia="Calibri" w:hAnsi="Palatino Linotype" w:cs="Tahoma"/>
          <w:bCs/>
          <w:sz w:val="22"/>
          <w:szCs w:val="22"/>
          <w:lang w:val="es-ES_tradnl" w:eastAsia="en-US"/>
        </w:rPr>
        <w:t xml:space="preserve"> entregue el soporte documental del cual se pueda obtener </w:t>
      </w:r>
      <w:r w:rsidR="008E033D" w:rsidRPr="004304DC">
        <w:rPr>
          <w:rFonts w:ascii="Palatino Linotype" w:eastAsia="Calibri" w:hAnsi="Palatino Linotype" w:cs="Tahoma"/>
          <w:bCs/>
          <w:sz w:val="22"/>
          <w:szCs w:val="22"/>
          <w:lang w:val="es-ES_tradnl" w:eastAsia="en-US"/>
        </w:rPr>
        <w:t>L</w:t>
      </w:r>
      <w:r w:rsidRPr="004304DC">
        <w:rPr>
          <w:rFonts w:ascii="Palatino Linotype" w:eastAsia="Calibri" w:hAnsi="Palatino Linotype" w:cs="Tahoma"/>
          <w:bCs/>
          <w:sz w:val="22"/>
          <w:szCs w:val="22"/>
          <w:lang w:val="es-ES_tradnl" w:eastAsia="en-US"/>
        </w:rPr>
        <w:t xml:space="preserve">ista de </w:t>
      </w:r>
      <w:r w:rsidR="008E033D" w:rsidRPr="004304DC">
        <w:rPr>
          <w:rFonts w:ascii="Palatino Linotype" w:eastAsia="Calibri" w:hAnsi="Palatino Linotype" w:cs="Tahoma"/>
          <w:bCs/>
          <w:sz w:val="22"/>
          <w:szCs w:val="22"/>
          <w:lang w:val="es-ES_tradnl" w:eastAsia="en-US"/>
        </w:rPr>
        <w:t>Raya</w:t>
      </w:r>
      <w:r w:rsidR="004304DC">
        <w:rPr>
          <w:rFonts w:ascii="Palatino Linotype" w:eastAsia="Calibri" w:hAnsi="Palatino Linotype" w:cs="Tahoma"/>
          <w:bCs/>
          <w:sz w:val="22"/>
          <w:szCs w:val="22"/>
          <w:lang w:val="es-ES_tradnl" w:eastAsia="en-US"/>
        </w:rPr>
        <w:t xml:space="preserve"> en versión pública</w:t>
      </w:r>
      <w:r w:rsidRPr="004304DC">
        <w:rPr>
          <w:rFonts w:ascii="Palatino Linotype" w:eastAsia="Calibri" w:hAnsi="Palatino Linotype" w:cs="Tahoma"/>
          <w:bCs/>
          <w:sz w:val="22"/>
          <w:szCs w:val="22"/>
          <w:lang w:val="es-ES_tradnl" w:eastAsia="en-US"/>
        </w:rPr>
        <w:t>.</w:t>
      </w:r>
    </w:p>
    <w:p w:rsidR="00A576F6" w:rsidRDefault="00A576F6" w:rsidP="00A576F6">
      <w:pPr>
        <w:spacing w:line="360" w:lineRule="auto"/>
        <w:ind w:right="-93"/>
        <w:jc w:val="both"/>
        <w:rPr>
          <w:rFonts w:ascii="Palatino Linotype" w:eastAsia="Calibri" w:hAnsi="Palatino Linotype" w:cs="Tahoma"/>
          <w:bCs/>
          <w:sz w:val="22"/>
          <w:szCs w:val="22"/>
          <w:lang w:eastAsia="en-US"/>
        </w:rPr>
      </w:pPr>
    </w:p>
    <w:p w:rsidR="00EE77C7" w:rsidRDefault="00EE77C7" w:rsidP="00EE77C7">
      <w:pPr>
        <w:spacing w:line="360" w:lineRule="auto"/>
        <w:ind w:right="-93"/>
        <w:jc w:val="both"/>
        <w:rPr>
          <w:rFonts w:ascii="Palatino Linotype" w:eastAsia="Calibri" w:hAnsi="Palatino Linotype" w:cs="Tahoma"/>
          <w:b/>
          <w:bCs/>
          <w:sz w:val="22"/>
          <w:szCs w:val="22"/>
          <w:lang w:val="es-ES_tradnl" w:eastAsia="en-US"/>
        </w:rPr>
      </w:pPr>
      <w:r w:rsidRPr="00BC1085">
        <w:rPr>
          <w:rFonts w:ascii="Palatino Linotype" w:eastAsia="Calibri" w:hAnsi="Palatino Linotype" w:cs="Tahoma"/>
          <w:b/>
          <w:bCs/>
          <w:sz w:val="22"/>
          <w:szCs w:val="22"/>
          <w:lang w:val="es-ES_tradnl" w:eastAsia="en-US"/>
        </w:rPr>
        <w:t>Información sobre el personal de seguridad pública.</w:t>
      </w:r>
    </w:p>
    <w:p w:rsidR="00180310" w:rsidRPr="00BC1085" w:rsidRDefault="00180310" w:rsidP="00EE77C7">
      <w:pPr>
        <w:spacing w:line="360" w:lineRule="auto"/>
        <w:ind w:right="-93"/>
        <w:jc w:val="both"/>
        <w:rPr>
          <w:rFonts w:ascii="Palatino Linotype" w:eastAsia="Calibri" w:hAnsi="Palatino Linotype" w:cs="Tahoma"/>
          <w:b/>
          <w:bCs/>
          <w:sz w:val="22"/>
          <w:szCs w:val="22"/>
          <w:lang w:val="es-ES_tradnl" w:eastAsia="en-US"/>
        </w:rPr>
      </w:pPr>
    </w:p>
    <w:p w:rsidR="00EE77C7" w:rsidRPr="00A50EAF" w:rsidRDefault="00EE77C7" w:rsidP="00EE77C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Finalmente, no pasa desapercibido que el particular solicit</w:t>
      </w:r>
      <w:r>
        <w:rPr>
          <w:rFonts w:ascii="Palatino Linotype" w:eastAsia="Calibri" w:hAnsi="Palatino Linotype" w:cs="Tahoma"/>
          <w:bCs/>
          <w:sz w:val="22"/>
          <w:szCs w:val="22"/>
          <w:lang w:eastAsia="en-US"/>
        </w:rPr>
        <w:t>ó</w:t>
      </w:r>
      <w:r w:rsidRPr="00A50EAF">
        <w:rPr>
          <w:rFonts w:ascii="Palatino Linotype" w:eastAsia="Calibri" w:hAnsi="Palatino Linotype" w:cs="Tahoma"/>
          <w:bCs/>
          <w:sz w:val="22"/>
          <w:szCs w:val="22"/>
          <w:lang w:eastAsia="en-US"/>
        </w:rPr>
        <w:t xml:space="preserve"> la nómina también de los policías, de tal suerte que para atender la solicitud de acceso a la información que nos ocupa, es necesario ordenar la entrega de la información del personal de seguridad pública.</w:t>
      </w:r>
    </w:p>
    <w:p w:rsidR="00EE77C7" w:rsidRPr="00A50EAF" w:rsidRDefault="00EE77C7" w:rsidP="00EE77C7">
      <w:pPr>
        <w:spacing w:line="360" w:lineRule="auto"/>
        <w:ind w:right="-93"/>
        <w:jc w:val="both"/>
        <w:rPr>
          <w:rFonts w:ascii="Palatino Linotype" w:eastAsia="Calibri" w:hAnsi="Palatino Linotype" w:cs="Tahoma"/>
          <w:bCs/>
          <w:sz w:val="22"/>
          <w:szCs w:val="22"/>
          <w:lang w:eastAsia="en-US"/>
        </w:rPr>
      </w:pPr>
    </w:p>
    <w:p w:rsidR="00EE77C7" w:rsidRDefault="00EE77C7" w:rsidP="00EE77C7">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Al respecto, </w:t>
      </w:r>
      <w:r>
        <w:rPr>
          <w:rFonts w:ascii="Palatino Linotype" w:eastAsia="Calibri" w:hAnsi="Palatino Linotype" w:cs="Tahoma"/>
          <w:bCs/>
          <w:sz w:val="22"/>
          <w:szCs w:val="22"/>
          <w:lang w:eastAsia="en-US"/>
        </w:rPr>
        <w:t>es de señalar que se llevó a cabo la búsqueda d</w:t>
      </w:r>
      <w:r w:rsidRPr="00A50EAF">
        <w:rPr>
          <w:rFonts w:ascii="Palatino Linotype" w:eastAsia="Calibri" w:hAnsi="Palatino Linotype" w:cs="Tahoma"/>
          <w:bCs/>
          <w:sz w:val="22"/>
          <w:szCs w:val="22"/>
          <w:lang w:eastAsia="en-US"/>
        </w:rPr>
        <w:t>el Bando Municipal dos mil dieciocho</w:t>
      </w:r>
      <w:r>
        <w:rPr>
          <w:rFonts w:ascii="Palatino Linotype" w:eastAsia="Calibri" w:hAnsi="Palatino Linotype" w:cs="Tahoma"/>
          <w:bCs/>
          <w:sz w:val="22"/>
          <w:szCs w:val="22"/>
          <w:lang w:eastAsia="en-US"/>
        </w:rPr>
        <w:t xml:space="preserve"> del Ayuntamiento de </w:t>
      </w:r>
      <w:r w:rsidR="00180310">
        <w:rPr>
          <w:rFonts w:ascii="Palatino Linotype" w:eastAsia="Calibri" w:hAnsi="Palatino Linotype" w:cs="Tahoma"/>
          <w:bCs/>
          <w:sz w:val="22"/>
          <w:szCs w:val="22"/>
          <w:lang w:eastAsia="en-US"/>
        </w:rPr>
        <w:t>Timilpan</w:t>
      </w:r>
      <w:r>
        <w:rPr>
          <w:rFonts w:ascii="Palatino Linotype" w:eastAsia="Calibri" w:hAnsi="Palatino Linotype" w:cs="Tahoma"/>
          <w:bCs/>
          <w:sz w:val="22"/>
          <w:szCs w:val="22"/>
          <w:lang w:eastAsia="en-US"/>
        </w:rPr>
        <w:t xml:space="preserve">, en cuyo artículo </w:t>
      </w:r>
      <w:r w:rsidR="00180310">
        <w:rPr>
          <w:rFonts w:ascii="Palatino Linotype" w:eastAsia="Calibri" w:hAnsi="Palatino Linotype" w:cs="Tahoma"/>
          <w:bCs/>
          <w:sz w:val="22"/>
          <w:szCs w:val="22"/>
          <w:lang w:eastAsia="en-US"/>
        </w:rPr>
        <w:t>40, fracción V,</w:t>
      </w:r>
      <w:r>
        <w:rPr>
          <w:rFonts w:ascii="Palatino Linotype" w:eastAsia="Calibri" w:hAnsi="Palatino Linotype" w:cs="Tahoma"/>
          <w:bCs/>
          <w:sz w:val="22"/>
          <w:szCs w:val="22"/>
          <w:lang w:eastAsia="en-US"/>
        </w:rPr>
        <w:t xml:space="preserve"> dispone que </w:t>
      </w:r>
      <w:r w:rsidR="00180310">
        <w:rPr>
          <w:rFonts w:ascii="Palatino Linotype" w:eastAsia="Calibri" w:hAnsi="Palatino Linotype" w:cs="Tahoma"/>
          <w:bCs/>
          <w:sz w:val="22"/>
          <w:szCs w:val="22"/>
          <w:lang w:eastAsia="en-US"/>
        </w:rPr>
        <w:t>para</w:t>
      </w:r>
      <w:r>
        <w:rPr>
          <w:rFonts w:ascii="Palatino Linotype" w:eastAsia="Calibri" w:hAnsi="Palatino Linotype" w:cs="Tahoma"/>
          <w:bCs/>
          <w:sz w:val="22"/>
          <w:szCs w:val="22"/>
          <w:lang w:eastAsia="en-US"/>
        </w:rPr>
        <w:t xml:space="preserve"> </w:t>
      </w:r>
      <w:r w:rsidR="00180310" w:rsidRPr="00180310">
        <w:rPr>
          <w:rFonts w:ascii="Palatino Linotype" w:eastAsia="Calibri" w:hAnsi="Palatino Linotype" w:cs="Tahoma"/>
          <w:bCs/>
          <w:sz w:val="22"/>
          <w:szCs w:val="22"/>
          <w:lang w:eastAsia="en-US"/>
        </w:rPr>
        <w:t xml:space="preserve">el despacho de los asuntos de la Administración Pública Municipal, el Presidente Municipal se auxilia de </w:t>
      </w:r>
      <w:r w:rsidR="00180310">
        <w:rPr>
          <w:rFonts w:ascii="Palatino Linotype" w:eastAsia="Calibri" w:hAnsi="Palatino Linotype" w:cs="Tahoma"/>
          <w:bCs/>
          <w:sz w:val="22"/>
          <w:szCs w:val="22"/>
          <w:lang w:eastAsia="en-US"/>
        </w:rPr>
        <w:t xml:space="preserve">entre otras dependencias de la </w:t>
      </w:r>
      <w:r w:rsidR="00180310" w:rsidRPr="00180310">
        <w:rPr>
          <w:rFonts w:ascii="Palatino Linotype" w:eastAsia="Calibri" w:hAnsi="Palatino Linotype" w:cs="Tahoma"/>
          <w:bCs/>
          <w:sz w:val="22"/>
          <w:szCs w:val="22"/>
          <w:lang w:eastAsia="en-US"/>
        </w:rPr>
        <w:t>Dirección de Seguridad Pública y Protección Civil</w:t>
      </w:r>
      <w:r w:rsidR="00180310">
        <w:rPr>
          <w:rFonts w:ascii="Palatino Linotype" w:eastAsia="Calibri" w:hAnsi="Palatino Linotype" w:cs="Tahoma"/>
          <w:bCs/>
          <w:sz w:val="22"/>
          <w:szCs w:val="22"/>
          <w:lang w:eastAsia="en-US"/>
        </w:rPr>
        <w:t>.</w:t>
      </w:r>
    </w:p>
    <w:p w:rsidR="00180310" w:rsidRDefault="00180310" w:rsidP="00EE77C7">
      <w:pPr>
        <w:spacing w:line="360" w:lineRule="auto"/>
        <w:ind w:right="-93"/>
        <w:jc w:val="both"/>
        <w:rPr>
          <w:rFonts w:ascii="Palatino Linotype" w:eastAsia="Calibri" w:hAnsi="Palatino Linotype" w:cs="Tahoma"/>
          <w:bCs/>
          <w:sz w:val="22"/>
          <w:szCs w:val="22"/>
          <w:lang w:eastAsia="en-US"/>
        </w:rPr>
      </w:pPr>
    </w:p>
    <w:p w:rsidR="00AD13CF" w:rsidRPr="00DE6AEC" w:rsidRDefault="00EE77C7" w:rsidP="00AD13CF">
      <w:pPr>
        <w:spacing w:line="360" w:lineRule="auto"/>
        <w:ind w:right="-93"/>
        <w:jc w:val="both"/>
        <w:rPr>
          <w:rFonts w:ascii="Palatino Linotype" w:eastAsia="Calibri" w:hAnsi="Palatino Linotype" w:cs="Tahoma"/>
          <w:bCs/>
          <w:i/>
          <w:sz w:val="22"/>
          <w:szCs w:val="22"/>
          <w:lang w:eastAsia="en-US"/>
        </w:rPr>
      </w:pPr>
      <w:r>
        <w:rPr>
          <w:rFonts w:ascii="Palatino Linotype" w:eastAsia="Calibri" w:hAnsi="Palatino Linotype" w:cs="Tahoma"/>
          <w:bCs/>
          <w:sz w:val="22"/>
          <w:szCs w:val="22"/>
          <w:lang w:eastAsia="en-US"/>
        </w:rPr>
        <w:t xml:space="preserve">El artículo </w:t>
      </w:r>
      <w:r w:rsidR="00AD13CF">
        <w:rPr>
          <w:rFonts w:ascii="Palatino Linotype" w:eastAsia="Calibri" w:hAnsi="Palatino Linotype" w:cs="Tahoma"/>
          <w:bCs/>
          <w:sz w:val="22"/>
          <w:szCs w:val="22"/>
          <w:lang w:eastAsia="en-US"/>
        </w:rPr>
        <w:t>176</w:t>
      </w:r>
      <w:r>
        <w:rPr>
          <w:rFonts w:ascii="Palatino Linotype" w:eastAsia="Calibri" w:hAnsi="Palatino Linotype" w:cs="Tahoma"/>
          <w:bCs/>
          <w:sz w:val="22"/>
          <w:szCs w:val="22"/>
          <w:lang w:eastAsia="en-US"/>
        </w:rPr>
        <w:t xml:space="preserve"> del Bando</w:t>
      </w:r>
      <w:r w:rsidR="00AD13CF">
        <w:rPr>
          <w:rFonts w:ascii="Palatino Linotype" w:eastAsia="Calibri" w:hAnsi="Palatino Linotype" w:cs="Tahoma"/>
          <w:bCs/>
          <w:sz w:val="22"/>
          <w:szCs w:val="22"/>
          <w:lang w:eastAsia="en-US"/>
        </w:rPr>
        <w:t xml:space="preserve"> referido</w:t>
      </w:r>
      <w:r>
        <w:rPr>
          <w:rFonts w:ascii="Palatino Linotype" w:eastAsia="Calibri" w:hAnsi="Palatino Linotype" w:cs="Tahoma"/>
          <w:bCs/>
          <w:sz w:val="22"/>
          <w:szCs w:val="22"/>
          <w:lang w:eastAsia="en-US"/>
        </w:rPr>
        <w:t xml:space="preserve">, indica que, </w:t>
      </w:r>
      <w:r w:rsidR="00AD13CF">
        <w:rPr>
          <w:rFonts w:ascii="Palatino Linotype" w:eastAsia="Calibri" w:hAnsi="Palatino Linotype" w:cs="Tahoma"/>
          <w:bCs/>
          <w:sz w:val="22"/>
          <w:szCs w:val="22"/>
          <w:lang w:eastAsia="en-US"/>
        </w:rPr>
        <w:t>el</w:t>
      </w:r>
      <w:r w:rsidR="00AD13CF" w:rsidRPr="00AD13CF">
        <w:rPr>
          <w:rFonts w:ascii="Palatino Linotype" w:eastAsia="Calibri" w:hAnsi="Palatino Linotype" w:cs="Tahoma"/>
          <w:bCs/>
          <w:sz w:val="22"/>
          <w:szCs w:val="22"/>
          <w:lang w:eastAsia="en-US"/>
        </w:rPr>
        <w:t xml:space="preserve"> </w:t>
      </w:r>
      <w:r w:rsidR="00AD13CF" w:rsidRPr="00DE6AEC">
        <w:rPr>
          <w:rFonts w:ascii="Palatino Linotype" w:eastAsia="Calibri" w:hAnsi="Palatino Linotype" w:cs="Tahoma"/>
          <w:bCs/>
          <w:i/>
          <w:sz w:val="22"/>
          <w:szCs w:val="22"/>
          <w:lang w:eastAsia="en-US"/>
        </w:rPr>
        <w:t xml:space="preserve">Ayuntamiento por conducto del Presidente Municipal, ejercerá el mando de los Cuerpos de Seguridad Púbica Municipal, en términos de la Ley de Seguridad del Estado de México, la Ley Orgánica, Reglamentos y demás disposiciones aplicables, </w:t>
      </w:r>
      <w:r w:rsidR="00AD13CF" w:rsidRPr="00DE6AEC">
        <w:rPr>
          <w:rFonts w:ascii="Palatino Linotype" w:eastAsia="Calibri" w:hAnsi="Palatino Linotype" w:cs="Tahoma"/>
          <w:b/>
          <w:bCs/>
          <w:i/>
          <w:sz w:val="22"/>
          <w:szCs w:val="22"/>
          <w:lang w:eastAsia="en-US"/>
        </w:rPr>
        <w:t>a fin de preservar la  integridad, el orden público, prevenir la comisión de delitos, la violación de las leyes y proteger el patrimonio de la población del Municipio</w:t>
      </w:r>
      <w:r w:rsidR="00AD13CF" w:rsidRPr="00DE6AEC">
        <w:rPr>
          <w:rFonts w:ascii="Palatino Linotype" w:eastAsia="Calibri" w:hAnsi="Palatino Linotype" w:cs="Tahoma"/>
          <w:bCs/>
          <w:i/>
          <w:sz w:val="22"/>
          <w:szCs w:val="22"/>
          <w:lang w:eastAsia="en-US"/>
        </w:rPr>
        <w:t>.</w:t>
      </w:r>
    </w:p>
    <w:p w:rsidR="00EE77C7" w:rsidRPr="00A50EAF" w:rsidRDefault="00EE77C7" w:rsidP="00EE77C7">
      <w:pPr>
        <w:spacing w:line="360" w:lineRule="auto"/>
        <w:ind w:right="-93"/>
        <w:jc w:val="both"/>
        <w:rPr>
          <w:rFonts w:ascii="Palatino Linotype" w:eastAsia="Calibri" w:hAnsi="Palatino Linotype" w:cs="Tahoma"/>
          <w:bCs/>
          <w:sz w:val="22"/>
          <w:szCs w:val="22"/>
          <w:lang w:eastAsia="en-US"/>
        </w:rPr>
      </w:pPr>
    </w:p>
    <w:p w:rsidR="00EE77C7" w:rsidRPr="0068213E" w:rsidRDefault="00EE77C7" w:rsidP="00EE77C7">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Bajo este orden de ideas</w:t>
      </w:r>
      <w:r w:rsidR="0061248B">
        <w:rPr>
          <w:rFonts w:ascii="Palatino Linotype" w:eastAsia="Calibri" w:hAnsi="Palatino Linotype" w:cs="Tahoma"/>
          <w:bCs/>
          <w:sz w:val="22"/>
          <w:szCs w:val="22"/>
          <w:lang w:eastAsia="en-US"/>
        </w:rPr>
        <w:t>,</w:t>
      </w:r>
      <w:r w:rsidRPr="00A50EAF">
        <w:rPr>
          <w:rFonts w:ascii="Palatino Linotype" w:eastAsia="Calibri" w:hAnsi="Palatino Linotype" w:cs="Tahoma"/>
          <w:bCs/>
          <w:sz w:val="22"/>
          <w:szCs w:val="22"/>
          <w:lang w:eastAsia="en-US"/>
        </w:rPr>
        <w:t xml:space="preserve"> los policías que constituyen los elementos operativos del Ayuntamiento, llevan a cabo acciones de prevención del delito y combate a la delincuencia, </w:t>
      </w:r>
      <w:r w:rsidR="0061248B">
        <w:rPr>
          <w:rFonts w:ascii="Palatino Linotype" w:eastAsia="Calibri" w:hAnsi="Palatino Linotype" w:cs="Tahoma"/>
          <w:bCs/>
          <w:sz w:val="22"/>
          <w:szCs w:val="22"/>
          <w:lang w:eastAsia="en-US"/>
        </w:rPr>
        <w:t xml:space="preserve">motivo por el cual, </w:t>
      </w:r>
      <w:r w:rsidRPr="00A50EAF">
        <w:rPr>
          <w:rFonts w:ascii="Palatino Linotype" w:eastAsia="Calibri" w:hAnsi="Palatino Linotype" w:cs="Tahoma"/>
          <w:bCs/>
          <w:sz w:val="22"/>
          <w:szCs w:val="22"/>
          <w:lang w:eastAsia="en-US"/>
        </w:rPr>
        <w:t xml:space="preserve">derivado de los altos índices de criminalidad que aquejan a la Nación y a la Entidad, ha sido necesario ampliar la protección de su integridad, salud y vida. En efecto, </w:t>
      </w:r>
      <w:r w:rsidRPr="00A50EAF">
        <w:rPr>
          <w:rFonts w:ascii="Palatino Linotype" w:hAnsi="Palatino Linotype" w:cs="Tahoma"/>
          <w:sz w:val="22"/>
          <w:szCs w:val="22"/>
          <w:lang w:val="es-ES"/>
        </w:rPr>
        <w:t xml:space="preserve">el artículo 81, fracción III, de la Ley de Seguridad del Estado de México, señala que se </w:t>
      </w:r>
      <w:r w:rsidRPr="00A50EAF">
        <w:rPr>
          <w:rFonts w:ascii="Palatino Linotype" w:hAnsi="Palatino Linotype" w:cs="Tahoma"/>
          <w:sz w:val="22"/>
          <w:szCs w:val="22"/>
          <w:lang w:val="es-ES"/>
        </w:rPr>
        <w:lastRenderedPageBreak/>
        <w:t>considerada reservada la información relativa a los servidores públicos integrantes de las instituciones de seguridad pública, cuya revelación pueda poner en riesgo su vida e integridad física con motivo de sus funciones.</w:t>
      </w:r>
    </w:p>
    <w:p w:rsidR="00EE77C7" w:rsidRPr="00A50EAF" w:rsidRDefault="00EE77C7" w:rsidP="00EE77C7">
      <w:pPr>
        <w:tabs>
          <w:tab w:val="left" w:pos="4962"/>
        </w:tabs>
        <w:spacing w:line="360" w:lineRule="auto"/>
        <w:jc w:val="both"/>
        <w:rPr>
          <w:rFonts w:ascii="Palatino Linotype" w:eastAsia="Calibri" w:hAnsi="Palatino Linotype" w:cs="Tahoma"/>
          <w:bCs/>
          <w:sz w:val="22"/>
          <w:szCs w:val="22"/>
          <w:lang w:eastAsia="en-US"/>
        </w:rPr>
      </w:pP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En este contexto</w:t>
      </w:r>
      <w:r w:rsidRPr="00A50EAF">
        <w:rPr>
          <w:rFonts w:ascii="Palatino Linotype" w:hAnsi="Palatino Linotype" w:cs="Tahoma"/>
          <w:sz w:val="22"/>
          <w:szCs w:val="22"/>
          <w:lang w:val="es-ES"/>
        </w:rPr>
        <w:t xml:space="preserve">, el artículo 140, fracción IV, de la Ley de Transparencia y Acceso a la Información Pública del Estado de México y Municipios, dispone que el acceso a la información pública será restringido excepcionalmente, cuando ponga en riesgo la vida, la seguridad o la salud de una persona física. </w:t>
      </w: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A mayor abundamiento, el Vigésimo Tercero de los Lineamientos generales en materia de clasificación y desclasificación de la información, así como para la elaboración de versiones públicas, determina </w:t>
      </w:r>
      <w:bookmarkStart w:id="0" w:name="_Hlk530085510"/>
      <w:r w:rsidRPr="00A50EAF">
        <w:rPr>
          <w:rFonts w:ascii="Palatino Linotype" w:hAnsi="Palatino Linotype" w:cs="Tahoma"/>
          <w:sz w:val="22"/>
          <w:szCs w:val="22"/>
          <w:lang w:val="es-ES"/>
        </w:rPr>
        <w:t>que para clasificar la información como reservada, será necesario acreditar un vínculo, entre la persona física y la información que pueda poner en riesgo su vida, seguridad o salud.</w:t>
      </w:r>
    </w:p>
    <w:bookmarkEnd w:id="0"/>
    <w:p w:rsidR="00EE77C7" w:rsidRPr="00A50EAF" w:rsidRDefault="00EE77C7" w:rsidP="00EE77C7">
      <w:pPr>
        <w:tabs>
          <w:tab w:val="left" w:pos="4962"/>
        </w:tabs>
        <w:spacing w:line="360" w:lineRule="auto"/>
        <w:jc w:val="both"/>
        <w:rPr>
          <w:rFonts w:ascii="Palatino Linotype" w:hAnsi="Palatino Linotype" w:cs="Tahoma"/>
          <w:sz w:val="22"/>
          <w:szCs w:val="22"/>
          <w:lang w:val="es-ES"/>
        </w:rPr>
      </w:pPr>
    </w:p>
    <w:p w:rsidR="00EE77C7" w:rsidRPr="00BC1085" w:rsidRDefault="00EE77C7" w:rsidP="00EE77C7">
      <w:pPr>
        <w:tabs>
          <w:tab w:val="left" w:pos="4962"/>
        </w:tabs>
        <w:spacing w:line="360" w:lineRule="auto"/>
        <w:jc w:val="both"/>
        <w:rPr>
          <w:rFonts w:ascii="Palatino Linotype" w:hAnsi="Palatino Linotype" w:cs="Tahoma"/>
          <w:b/>
          <w:sz w:val="22"/>
          <w:szCs w:val="22"/>
          <w:lang w:val="es-ES"/>
        </w:rPr>
      </w:pPr>
      <w:r w:rsidRPr="00A50EAF">
        <w:rPr>
          <w:rFonts w:ascii="Palatino Linotype" w:hAnsi="Palatino Linotype" w:cs="Tahoma"/>
          <w:sz w:val="22"/>
          <w:szCs w:val="22"/>
          <w:lang w:val="es-ES"/>
        </w:rPr>
        <w:t xml:space="preserve">En ese sentido, el Criterio 06/09,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seguridad pública, por lo que es, una de las formas en que la delincuencia puede llegar a poner en riesgo la seguridad es anulando, impidiendo, u obstaculizando la actuación de los servidores públicos que realizan funciones de carácter operativo, mediante el conocimiento de su nombre, por lo que </w:t>
      </w:r>
      <w:r w:rsidRPr="00A50EAF">
        <w:rPr>
          <w:rFonts w:ascii="Palatino Linotype" w:hAnsi="Palatino Linotype" w:cs="Tahoma"/>
          <w:b/>
          <w:sz w:val="22"/>
          <w:szCs w:val="22"/>
          <w:lang w:val="es-ES"/>
        </w:rPr>
        <w:t>la reserva de la relación de los nombres</w:t>
      </w:r>
      <w:r w:rsidRPr="00BC1085">
        <w:rPr>
          <w:rFonts w:ascii="Palatino Linotype" w:hAnsi="Palatino Linotype" w:cs="Tahoma"/>
          <w:b/>
          <w:sz w:val="22"/>
          <w:szCs w:val="22"/>
          <w:lang w:val="es-ES"/>
        </w:rPr>
        <w:t xml:space="preserve">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lastRenderedPageBreak/>
        <w:t>Hasta aquí, se advierte lo siguiente:</w:t>
      </w: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p>
    <w:p w:rsidR="00EE77C7" w:rsidRPr="00A50EAF" w:rsidRDefault="00EE77C7" w:rsidP="00EE77C7">
      <w:pPr>
        <w:pStyle w:val="Prrafodelista"/>
        <w:numPr>
          <w:ilvl w:val="0"/>
          <w:numId w:val="29"/>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 xml:space="preserve">Que la información relativa a los </w:t>
      </w:r>
      <w:r w:rsidRPr="00BC1085">
        <w:rPr>
          <w:rFonts w:ascii="Palatino Linotype" w:hAnsi="Palatino Linotype" w:cs="Tahoma"/>
          <w:b/>
          <w:szCs w:val="22"/>
          <w:lang w:val="es-ES"/>
        </w:rPr>
        <w:t>nombres de servidores públicos integrantes de las instituciones de seguridad pública</w:t>
      </w:r>
      <w:r w:rsidRPr="00A50EAF">
        <w:rPr>
          <w:rFonts w:ascii="Palatino Linotype" w:hAnsi="Palatino Linotype" w:cs="Tahoma"/>
          <w:szCs w:val="22"/>
          <w:lang w:val="es-ES"/>
        </w:rPr>
        <w:t>, cuya revelación pueda poner en riesgo su vida e integridad física con motivo de sus funciones, es reservada.</w:t>
      </w: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p>
    <w:p w:rsidR="00EE77C7" w:rsidRPr="00A50EAF" w:rsidRDefault="00EE77C7" w:rsidP="00EE77C7">
      <w:pPr>
        <w:pStyle w:val="Prrafodelista"/>
        <w:numPr>
          <w:ilvl w:val="0"/>
          <w:numId w:val="29"/>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Que es necesario acreditar un vínculo, entre la persona física y la información que pueda poner en riesgo su vida, seguridad o salud, para que pueda ser reservada.</w:t>
      </w: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Por tanto, considerando que la información pretendida por el Particular se refiere a integrantes de las instituciones de seguridad pública y que el nombre de policías es susceptible de clasificarse, lo restante es acreditar que el conocer el nombre de un servidor público relacionado con funciones de seguridad pública, pone en riesgo la vida, seguridad o salud de este.</w:t>
      </w: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Si bien es cierto que tanto el nombre, como los cargos y funciones de los servidores públicos </w:t>
      </w:r>
      <w:r>
        <w:rPr>
          <w:rFonts w:ascii="Palatino Linotype" w:hAnsi="Palatino Linotype" w:cs="Tahoma"/>
          <w:sz w:val="22"/>
          <w:szCs w:val="22"/>
          <w:lang w:val="es-ES"/>
        </w:rPr>
        <w:t>son información</w:t>
      </w:r>
      <w:r w:rsidRPr="00A50EAF">
        <w:rPr>
          <w:rFonts w:ascii="Palatino Linotype" w:hAnsi="Palatino Linotype" w:cs="Tahoma"/>
          <w:sz w:val="22"/>
          <w:szCs w:val="22"/>
          <w:lang w:val="es-ES"/>
        </w:rPr>
        <w:t xml:space="preserve"> 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hace vulnerables en el combate a la delincuencia, por lo que proporcionarlos puede llegar a poner en riesgo su vida, salud o seguridad, propiciando un detrimento en el esfuerzo que realiza el Ayuntamiento para garantizar la seguridad.</w:t>
      </w: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p>
    <w:p w:rsidR="00EE77C7" w:rsidRPr="00BC1085" w:rsidRDefault="00EE77C7" w:rsidP="00EE77C7">
      <w:pPr>
        <w:pStyle w:val="Textonotapie"/>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lang w:val="es-ES"/>
        </w:rPr>
        <w:t xml:space="preserve">A mayor abundamiento, de acuerdo con la información reflejada en la Encuesta Nacional sobre Percepción de Inseguridad Ciudadana en México 2017, consultada el veintiséis de </w:t>
      </w:r>
      <w:r w:rsidRPr="00BC1085">
        <w:rPr>
          <w:rFonts w:ascii="Palatino Linotype" w:hAnsi="Palatino Linotype" w:cs="Tahoma"/>
          <w:sz w:val="22"/>
          <w:szCs w:val="22"/>
          <w:lang w:val="es-ES"/>
        </w:rPr>
        <w:lastRenderedPageBreak/>
        <w:t>noviembre de dos mil dieciocho a las diez horas con diez minutos (</w:t>
      </w:r>
      <w:hyperlink r:id="rId22" w:history="1">
        <w:r w:rsidRPr="00BC1085">
          <w:rPr>
            <w:rStyle w:val="Hipervnculo"/>
            <w:rFonts w:ascii="Palatino Linotype" w:hAnsi="Palatino Linotype"/>
            <w:sz w:val="22"/>
            <w:szCs w:val="22"/>
          </w:rPr>
          <w:t>https://www.mucd.org.mx/2017/10/decimo-septima-encuesta-nacional-sobre-percepcion-de-inseguridad-ciudadana-en-mexico/</w:t>
        </w:r>
      </w:hyperlink>
      <w:r w:rsidRPr="00BC1085">
        <w:rPr>
          <w:rFonts w:ascii="Palatino Linotype" w:hAnsi="Palatino Linotype"/>
          <w:sz w:val="22"/>
          <w:szCs w:val="22"/>
        </w:rPr>
        <w:t>)</w:t>
      </w:r>
      <w:r w:rsidRPr="00BC1085">
        <w:rPr>
          <w:rFonts w:ascii="Palatino Linotype" w:hAnsi="Palatino Linotype" w:cs="Tahoma"/>
          <w:sz w:val="22"/>
          <w:szCs w:val="22"/>
          <w:lang w:val="es-ES"/>
        </w:rPr>
        <w:t>, el ranking de los estados con mayor nivel de personas que reportan haber sido víctimas de un delito se encuentra liderado por el Estado de México.</w:t>
      </w: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Por lo que toca a delitos específicos, la referida encuesta señala que, en el caso de homicidios los niveles de violencia se han exacerbado por muchos años</w:t>
      </w:r>
      <w:r>
        <w:rPr>
          <w:rFonts w:ascii="Palatino Linotype" w:hAnsi="Palatino Linotype" w:cs="Tahoma"/>
          <w:sz w:val="22"/>
          <w:szCs w:val="22"/>
          <w:lang w:val="es-ES"/>
        </w:rPr>
        <w:t xml:space="preserve"> en </w:t>
      </w:r>
      <w:r w:rsidRPr="00A50EAF">
        <w:rPr>
          <w:rFonts w:ascii="Palatino Linotype" w:hAnsi="Palatino Linotype" w:cs="Tahoma"/>
          <w:sz w:val="22"/>
          <w:szCs w:val="22"/>
          <w:lang w:val="es-ES"/>
        </w:rPr>
        <w:t>los Estados siguientes: Tamaulipas, Michoacán, Guerrero, Morelos, Veracruz, Estado de México, Tabasco,</w:t>
      </w:r>
      <w:bookmarkStart w:id="1" w:name="_GoBack"/>
      <w:bookmarkEnd w:id="1"/>
      <w:r w:rsidRPr="00A50EAF">
        <w:rPr>
          <w:rFonts w:ascii="Palatino Linotype" w:hAnsi="Palatino Linotype" w:cs="Tahoma"/>
          <w:sz w:val="22"/>
          <w:szCs w:val="22"/>
          <w:lang w:val="es-ES"/>
        </w:rPr>
        <w:t xml:space="preserve"> Chihuahua, Jalisco, Sinaloa, San Luis Potosí y Guanajuato.</w:t>
      </w: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si se </w:t>
      </w:r>
      <w:r>
        <w:rPr>
          <w:rFonts w:ascii="Palatino Linotype" w:hAnsi="Palatino Linotype" w:cs="Tahoma"/>
          <w:sz w:val="22"/>
          <w:szCs w:val="22"/>
          <w:lang w:val="es-ES"/>
        </w:rPr>
        <w:t>toma</w:t>
      </w:r>
      <w:r w:rsidRPr="00A50EAF">
        <w:rPr>
          <w:rFonts w:ascii="Palatino Linotype" w:hAnsi="Palatino Linotype" w:cs="Tahoma"/>
          <w:sz w:val="22"/>
          <w:szCs w:val="22"/>
          <w:lang w:val="es-ES"/>
        </w:rPr>
        <w:t xml:space="preserve"> en cuenta que los servidores públicos dedicados a funciones de seguridad pública en el Ayuntamiento </w:t>
      </w:r>
      <w:r w:rsidR="0061248B">
        <w:rPr>
          <w:rFonts w:ascii="Palatino Linotype" w:hAnsi="Palatino Linotype" w:cs="Tahoma"/>
          <w:sz w:val="22"/>
          <w:szCs w:val="22"/>
          <w:lang w:val="es-ES"/>
        </w:rPr>
        <w:t xml:space="preserve">de Timilpan </w:t>
      </w:r>
      <w:r w:rsidRPr="00A50EAF">
        <w:rPr>
          <w:rFonts w:ascii="Palatino Linotype" w:hAnsi="Palatino Linotype" w:cs="Tahoma"/>
          <w:sz w:val="22"/>
          <w:szCs w:val="22"/>
          <w:lang w:val="es-ES"/>
        </w:rPr>
        <w:t xml:space="preserve">operan con los recursos del propio </w:t>
      </w:r>
      <w:r>
        <w:rPr>
          <w:rFonts w:ascii="Palatino Linotype" w:hAnsi="Palatino Linotype" w:cs="Tahoma"/>
          <w:sz w:val="22"/>
          <w:szCs w:val="22"/>
          <w:lang w:val="es-ES"/>
        </w:rPr>
        <w:t>Municipio</w:t>
      </w:r>
      <w:r w:rsidRPr="00A50EAF">
        <w:rPr>
          <w:rFonts w:ascii="Palatino Linotype" w:hAnsi="Palatino Linotype" w:cs="Tahoma"/>
          <w:sz w:val="22"/>
          <w:szCs w:val="22"/>
          <w:lang w:val="es-ES"/>
        </w:rPr>
        <w:t xml:space="preserve"> para combatir la delincuencia y que esta última ha escalado en gran medida durante los últimos años en la Entidad, </w:t>
      </w:r>
      <w:r>
        <w:rPr>
          <w:rFonts w:ascii="Palatino Linotype" w:hAnsi="Palatino Linotype" w:cs="Tahoma"/>
          <w:sz w:val="22"/>
          <w:szCs w:val="22"/>
          <w:lang w:val="es-ES"/>
        </w:rPr>
        <w:t>con</w:t>
      </w:r>
      <w:r w:rsidRPr="00A50EAF">
        <w:rPr>
          <w:rFonts w:ascii="Palatino Linotype" w:hAnsi="Palatino Linotype" w:cs="Tahoma"/>
          <w:sz w:val="22"/>
          <w:szCs w:val="22"/>
          <w:lang w:val="es-ES"/>
        </w:rPr>
        <w:t xml:space="preserve"> el homicidio uno de los más exacerbados; resulta un escenario riesgoso para quienes ejercen la función policial, que ciertamente </w:t>
      </w:r>
      <w:r>
        <w:rPr>
          <w:rFonts w:ascii="Palatino Linotype" w:hAnsi="Palatino Linotype" w:cs="Tahoma"/>
          <w:sz w:val="22"/>
          <w:szCs w:val="22"/>
          <w:lang w:val="es-ES"/>
        </w:rPr>
        <w:t xml:space="preserve">puede poner </w:t>
      </w:r>
      <w:r w:rsidRPr="00A50EAF">
        <w:rPr>
          <w:rFonts w:ascii="Palatino Linotype" w:hAnsi="Palatino Linotype" w:cs="Tahoma"/>
          <w:sz w:val="22"/>
          <w:szCs w:val="22"/>
          <w:lang w:val="es-ES"/>
        </w:rPr>
        <w:t>en riesgo su vida, seguridad y salud.</w:t>
      </w: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IV, de la Ley de Transparencia y Acceso a la Información Pública del Estado de México y Municipios, por el plazo máximo establecido en el artículo 125, párrafo primero de la Ley de la materia correspondiente a cinco años. Asimismo, se precisa que la información del personal administrativo adscrito al área de seguridad pública, al no realizar funciones operativas, no actualiza el supuesto de clasificación analizado, por lo que la información de estos servidores es de naturaleza pública</w:t>
      </w:r>
      <w:r>
        <w:rPr>
          <w:rFonts w:ascii="Palatino Linotype" w:hAnsi="Palatino Linotype" w:cs="Tahoma"/>
          <w:sz w:val="22"/>
          <w:szCs w:val="22"/>
          <w:lang w:val="es-ES"/>
        </w:rPr>
        <w:t xml:space="preserve"> y debe entregarse.</w:t>
      </w: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p>
    <w:p w:rsidR="00EE77C7" w:rsidRDefault="00EE77C7" w:rsidP="00EE77C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si bien el nombre de los policías del Ayuntamiento </w:t>
      </w:r>
      <w:r>
        <w:rPr>
          <w:rFonts w:ascii="Palatino Linotype" w:hAnsi="Palatino Linotype" w:cs="Tahoma"/>
          <w:sz w:val="22"/>
          <w:szCs w:val="22"/>
          <w:lang w:val="es-ES"/>
        </w:rPr>
        <w:t xml:space="preserve">actualiza el supuesto de reserva establecido en el artículo 140, fracción IV, de 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w:t>
      </w:r>
      <w:r w:rsidRPr="00976201">
        <w:rPr>
          <w:rFonts w:ascii="Palatino Linotype" w:hAnsi="Palatino Linotype" w:cs="Tahoma"/>
          <w:sz w:val="22"/>
          <w:szCs w:val="22"/>
          <w:lang w:val="es-ES"/>
        </w:rPr>
        <w:t xml:space="preserve"> </w:t>
      </w:r>
      <w:r w:rsidRPr="00846056">
        <w:rPr>
          <w:rFonts w:ascii="Palatino Linotype" w:hAnsi="Palatino Linotype" w:cs="Tahoma"/>
          <w:sz w:val="22"/>
          <w:szCs w:val="22"/>
          <w:lang w:val="es-ES"/>
        </w:rPr>
        <w:t>lo cierto es que el cargo y las percepciones de los servidores públicos son de carácter público, tal como lo señala el artículo 92</w:t>
      </w:r>
      <w:r>
        <w:rPr>
          <w:rFonts w:ascii="Palatino Linotype" w:hAnsi="Palatino Linotype" w:cs="Tahoma"/>
          <w:sz w:val="22"/>
          <w:szCs w:val="22"/>
          <w:lang w:val="es-ES"/>
        </w:rPr>
        <w:t>, fracción VIII,</w:t>
      </w:r>
      <w:r w:rsidRPr="00846056">
        <w:rPr>
          <w:rFonts w:ascii="Palatino Linotype" w:hAnsi="Palatino Linotype" w:cs="Tahoma"/>
          <w:sz w:val="22"/>
          <w:szCs w:val="22"/>
          <w:lang w:val="es-ES"/>
        </w:rPr>
        <w:t xml:space="preserve"> de la Ley en cita.</w:t>
      </w:r>
    </w:p>
    <w:p w:rsidR="00EE77C7" w:rsidRDefault="00EE77C7" w:rsidP="00EE77C7">
      <w:pPr>
        <w:tabs>
          <w:tab w:val="left" w:pos="4962"/>
        </w:tabs>
        <w:spacing w:line="360" w:lineRule="auto"/>
        <w:jc w:val="both"/>
        <w:rPr>
          <w:rFonts w:ascii="Palatino Linotype" w:hAnsi="Palatino Linotype" w:cs="Tahoma"/>
          <w:sz w:val="22"/>
          <w:szCs w:val="22"/>
          <w:lang w:val="es-ES"/>
        </w:rPr>
      </w:pPr>
    </w:p>
    <w:p w:rsidR="00EE77C7" w:rsidRPr="00A50EAF" w:rsidRDefault="00EE77C7" w:rsidP="00EE77C7">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En ese sentido, el Sujeto Obligado debe proporcionar la nómina del personal de seguridad pública, en versión pública, testando el nombre de los policías</w:t>
      </w:r>
      <w:r>
        <w:rPr>
          <w:rFonts w:ascii="Palatino Linotype" w:hAnsi="Palatino Linotype" w:cs="Tahoma"/>
          <w:sz w:val="22"/>
          <w:szCs w:val="22"/>
          <w:lang w:val="es-ES"/>
        </w:rPr>
        <w:t xml:space="preserve"> con funciones operativas</w:t>
      </w:r>
      <w:r w:rsidRPr="00A50EAF">
        <w:rPr>
          <w:rFonts w:ascii="Palatino Linotype" w:hAnsi="Palatino Linotype" w:cs="Tahoma"/>
          <w:sz w:val="22"/>
          <w:szCs w:val="22"/>
          <w:lang w:val="es-ES"/>
        </w:rPr>
        <w:t xml:space="preserve"> y proporcionando todo lo relat</w:t>
      </w:r>
      <w:r>
        <w:rPr>
          <w:rFonts w:ascii="Palatino Linotype" w:hAnsi="Palatino Linotype" w:cs="Tahoma"/>
          <w:sz w:val="22"/>
          <w:szCs w:val="22"/>
          <w:lang w:val="es-ES"/>
        </w:rPr>
        <w:t>ivo al cargo y sus percepciones, con la precisión de que el nombre del personal administrativo y aquel que no realice funciones operativas es público y procede su entrega</w:t>
      </w:r>
      <w:r w:rsidRPr="00A50EAF">
        <w:rPr>
          <w:rFonts w:ascii="Palatino Linotype" w:hAnsi="Palatino Linotype" w:cs="Tahoma"/>
          <w:sz w:val="22"/>
          <w:szCs w:val="22"/>
          <w:lang w:val="es-ES"/>
        </w:rPr>
        <w:t>.</w:t>
      </w:r>
    </w:p>
    <w:p w:rsidR="00EE77C7" w:rsidRPr="00A50EAF" w:rsidRDefault="00EE77C7" w:rsidP="00EE77C7">
      <w:pPr>
        <w:spacing w:line="360" w:lineRule="auto"/>
        <w:ind w:right="-93"/>
        <w:jc w:val="both"/>
        <w:rPr>
          <w:rFonts w:ascii="Palatino Linotype" w:eastAsia="Calibri" w:hAnsi="Palatino Linotype" w:cs="Tahoma"/>
          <w:bCs/>
          <w:sz w:val="22"/>
          <w:szCs w:val="22"/>
          <w:lang w:eastAsia="en-US"/>
        </w:rPr>
      </w:pPr>
    </w:p>
    <w:p w:rsidR="00EE77C7" w:rsidRPr="0068213E" w:rsidRDefault="00EE77C7" w:rsidP="00EE77C7">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p>
    <w:p w:rsidR="00EE77C7" w:rsidRDefault="00EE77C7" w:rsidP="00EE77C7">
      <w:pPr>
        <w:tabs>
          <w:tab w:val="left" w:pos="4962"/>
        </w:tabs>
        <w:spacing w:line="360" w:lineRule="auto"/>
        <w:jc w:val="both"/>
        <w:rPr>
          <w:rFonts w:ascii="Palatino Linotype" w:hAnsi="Palatino Linotype" w:cs="Tahoma"/>
          <w:b/>
          <w:caps/>
          <w:sz w:val="22"/>
          <w:szCs w:val="22"/>
        </w:rPr>
      </w:pPr>
    </w:p>
    <w:p w:rsidR="00EE77C7" w:rsidRDefault="00EE77C7" w:rsidP="00EE77C7">
      <w:pPr>
        <w:tabs>
          <w:tab w:val="left" w:pos="4962"/>
        </w:tabs>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rPr>
        <w:t xml:space="preserve">Como se </w:t>
      </w:r>
      <w:r>
        <w:rPr>
          <w:rFonts w:ascii="Palatino Linotype" w:hAnsi="Palatino Linotype" w:cs="Tahoma"/>
          <w:sz w:val="22"/>
          <w:szCs w:val="22"/>
        </w:rPr>
        <w:t xml:space="preserve">precisó en el considerando anterior, en la nómina que se entregue deberá eliminarse el nombre de los elementos de seguridad con funciones operativas de conformidad con lo previsto en el artículo 140, fracción IV, de la </w:t>
      </w:r>
      <w:r>
        <w:rPr>
          <w:rFonts w:ascii="Palatino Linotype" w:hAnsi="Palatino Linotype" w:cs="Tahoma"/>
          <w:sz w:val="22"/>
          <w:szCs w:val="22"/>
          <w:lang w:val="es-ES"/>
        </w:rPr>
        <w:t xml:space="preserve">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 esta clasificación deberá ser aprobada por el Comité de Transparencia del Ayuntamiento en donde se funde y motive la eliminación de la información y se precise el periodo de reserva de la misma, de conformidad con lo establecido en los artículos 125, 128, 129 y 132, fracción I de la Ley en cita.</w:t>
      </w:r>
    </w:p>
    <w:p w:rsidR="00EE77C7" w:rsidRDefault="00EE77C7" w:rsidP="00EE77C7">
      <w:pPr>
        <w:tabs>
          <w:tab w:val="left" w:pos="4962"/>
        </w:tabs>
        <w:spacing w:line="360" w:lineRule="auto"/>
        <w:jc w:val="both"/>
        <w:rPr>
          <w:rFonts w:ascii="Palatino Linotype" w:hAnsi="Palatino Linotype" w:cs="Tahoma"/>
          <w:sz w:val="22"/>
          <w:szCs w:val="22"/>
          <w:lang w:val="es-ES"/>
        </w:rPr>
      </w:pPr>
    </w:p>
    <w:p w:rsidR="00EE77C7" w:rsidRPr="00BC1085" w:rsidRDefault="00EE77C7" w:rsidP="00EE77C7">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Adicional a lo anterior, del análisis que se realizó de la nómina, se advierte que en la misma se consignan diversos datos personales relacionados con la vida privada de los servidores públicos, por lo que conviene analizar la naturaleza de estos.</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lastRenderedPageBreak/>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rsidR="00EE77C7" w:rsidRPr="00A50EAF" w:rsidRDefault="00EE77C7" w:rsidP="00EE77C7">
      <w:pPr>
        <w:spacing w:line="360" w:lineRule="auto"/>
        <w:ind w:right="-93"/>
        <w:jc w:val="both"/>
        <w:rPr>
          <w:rFonts w:ascii="Palatino Linotype" w:hAnsi="Palatino Linotype" w:cs="Tahoma"/>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w:t>
      </w:r>
      <w:r w:rsidR="00367637">
        <w:rPr>
          <w:rFonts w:ascii="Palatino Linotype" w:hAnsi="Palatino Linotype" w:cs="Tahoma"/>
          <w:bCs/>
          <w:iCs/>
          <w:sz w:val="22"/>
          <w:szCs w:val="22"/>
        </w:rPr>
        <w:t>o</w:t>
      </w:r>
      <w:r w:rsidRPr="00A50EAF">
        <w:rPr>
          <w:rFonts w:ascii="Palatino Linotype" w:hAnsi="Palatino Linotype" w:cs="Tahoma"/>
          <w:bCs/>
          <w:iCs/>
          <w:sz w:val="22"/>
          <w:szCs w:val="22"/>
        </w:rPr>
        <w:t xml:space="preserve">s </w:t>
      </w:r>
      <w:r w:rsidR="00367637">
        <w:rPr>
          <w:rFonts w:ascii="Palatino Linotype" w:hAnsi="Palatino Linotype" w:cs="Tahoma"/>
          <w:bCs/>
          <w:iCs/>
          <w:sz w:val="22"/>
          <w:szCs w:val="22"/>
        </w:rPr>
        <w:t>individuos</w:t>
      </w:r>
      <w:r w:rsidRPr="00A50EAF">
        <w:rPr>
          <w:rFonts w:ascii="Palatino Linotype" w:hAnsi="Palatino Linotype" w:cs="Tahoma"/>
          <w:bCs/>
          <w:iCs/>
          <w:sz w:val="22"/>
          <w:szCs w:val="22"/>
        </w:rPr>
        <w:t>, será protegida a través de un marco jurídico rígido, de tratamiento y manejo de datos personales.</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00EE77C7" w:rsidRPr="00A50EAF" w:rsidRDefault="00EE77C7" w:rsidP="00EE77C7">
      <w:pPr>
        <w:spacing w:line="360" w:lineRule="auto"/>
        <w:ind w:right="-93"/>
        <w:jc w:val="both"/>
        <w:rPr>
          <w:rFonts w:ascii="Palatino Linotype" w:hAnsi="Palatino Linotype" w:cs="Tahoma"/>
          <w:bCs/>
          <w:iCs/>
          <w:sz w:val="22"/>
          <w:szCs w:val="22"/>
          <w:lang w:val="es-ES"/>
        </w:rPr>
      </w:pPr>
    </w:p>
    <w:p w:rsidR="00EE77C7" w:rsidRPr="00A50EAF" w:rsidRDefault="00EE77C7" w:rsidP="00EE77C7">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rsidR="00EE77C7" w:rsidRPr="00A50EAF" w:rsidRDefault="00EE77C7" w:rsidP="00EE77C7">
      <w:pPr>
        <w:spacing w:line="360" w:lineRule="auto"/>
        <w:ind w:right="-93"/>
        <w:jc w:val="both"/>
        <w:rPr>
          <w:rFonts w:ascii="Palatino Linotype" w:hAnsi="Palatino Linotype" w:cs="Tahoma"/>
          <w:bCs/>
          <w:iCs/>
          <w:sz w:val="22"/>
          <w:szCs w:val="22"/>
          <w:lang w:val="es-ES"/>
        </w:rPr>
      </w:pPr>
    </w:p>
    <w:p w:rsidR="00EE77C7" w:rsidRPr="00A50EAF" w:rsidRDefault="00EE77C7" w:rsidP="00EE77C7">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w:t>
      </w:r>
      <w:r w:rsidR="00367637">
        <w:rPr>
          <w:rFonts w:ascii="Palatino Linotype" w:hAnsi="Palatino Linotype" w:cs="Tahoma"/>
          <w:bCs/>
          <w:iCs/>
          <w:sz w:val="22"/>
          <w:szCs w:val="22"/>
        </w:rPr>
        <w:t xml:space="preserve"> este</w:t>
      </w:r>
      <w:r w:rsidRPr="00A50EAF">
        <w:rPr>
          <w:rFonts w:ascii="Palatino Linotype" w:hAnsi="Palatino Linotype" w:cs="Tahoma"/>
          <w:bCs/>
          <w:iCs/>
          <w:sz w:val="22"/>
          <w:szCs w:val="22"/>
        </w:rPr>
        <w:t xml:space="preserve"> tema,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que obran en los archivos de las instituciones públicas, la regla es clara, ya que los datos personales que permiten verificar el desempeño de los servidores públicos y el cumplimiento de obligaciones legales, transparentan la gestión pública y favorecen la rendición </w:t>
      </w:r>
      <w:r w:rsidRPr="00A50EAF">
        <w:rPr>
          <w:rFonts w:ascii="Palatino Linotype" w:hAnsi="Palatino Linotype" w:cs="Tahoma"/>
          <w:bCs/>
          <w:iCs/>
          <w:sz w:val="22"/>
          <w:szCs w:val="22"/>
        </w:rPr>
        <w:lastRenderedPageBreak/>
        <w:t>de cuentas, constituyen información de naturaleza pública, en razón de que el beneficio de su publicidad es mayor que el beneficio de su clasificación, aun tratándose de información personal.</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w:t>
      </w:r>
      <w:r w:rsidR="00256163">
        <w:rPr>
          <w:rFonts w:ascii="Palatino Linotype" w:hAnsi="Palatino Linotype" w:cs="Tahoma"/>
          <w:bCs/>
          <w:iCs/>
          <w:sz w:val="22"/>
          <w:szCs w:val="22"/>
        </w:rPr>
        <w:t>.</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rsidR="00EE77C7" w:rsidRPr="00A50EAF" w:rsidRDefault="00EE77C7" w:rsidP="00EE77C7">
      <w:pPr>
        <w:spacing w:line="360" w:lineRule="auto"/>
        <w:ind w:left="360" w:right="-93"/>
        <w:jc w:val="both"/>
        <w:rPr>
          <w:rFonts w:ascii="Palatino Linotype" w:hAnsi="Palatino Linotype" w:cs="Tahoma"/>
          <w:bCs/>
          <w:iCs/>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w:t>
      </w:r>
      <w:r w:rsidR="00256163">
        <w:rPr>
          <w:rFonts w:ascii="Palatino Linotype" w:hAnsi="Palatino Linotype" w:cs="Tahoma"/>
          <w:bCs/>
          <w:iCs/>
          <w:sz w:val="22"/>
          <w:szCs w:val="22"/>
        </w:rPr>
        <w:t>ato relevante únicamente para lo</w:t>
      </w:r>
      <w:r w:rsidRPr="00A50EAF">
        <w:rPr>
          <w:rFonts w:ascii="Palatino Linotype" w:hAnsi="Palatino Linotype" w:cs="Tahoma"/>
          <w:bCs/>
          <w:iCs/>
          <w:sz w:val="22"/>
          <w:szCs w:val="22"/>
        </w:rPr>
        <w:t xml:space="preserve">s </w:t>
      </w:r>
      <w:r w:rsidR="00256163">
        <w:rPr>
          <w:rFonts w:ascii="Palatino Linotype" w:hAnsi="Palatino Linotype" w:cs="Tahoma"/>
          <w:bCs/>
          <w:iCs/>
          <w:sz w:val="22"/>
          <w:szCs w:val="22"/>
        </w:rPr>
        <w:t>individuos</w:t>
      </w:r>
      <w:r w:rsidRPr="00A50EAF">
        <w:rPr>
          <w:rFonts w:ascii="Palatino Linotype" w:hAnsi="Palatino Linotype" w:cs="Tahoma"/>
          <w:bCs/>
          <w:iCs/>
          <w:sz w:val="22"/>
          <w:szCs w:val="22"/>
        </w:rPr>
        <w:t xml:space="preserve"> involucrad</w:t>
      </w:r>
      <w:r w:rsidR="00256163">
        <w:rPr>
          <w:rFonts w:ascii="Palatino Linotype" w:hAnsi="Palatino Linotype" w:cs="Tahoma"/>
          <w:bCs/>
          <w:iCs/>
          <w:sz w:val="22"/>
          <w:szCs w:val="22"/>
        </w:rPr>
        <w:t>o</w:t>
      </w:r>
      <w:r w:rsidRPr="00A50EAF">
        <w:rPr>
          <w:rFonts w:ascii="Palatino Linotype" w:hAnsi="Palatino Linotype" w:cs="Tahoma"/>
          <w:bCs/>
          <w:iCs/>
          <w:sz w:val="22"/>
          <w:szCs w:val="22"/>
        </w:rPr>
        <w:t xml:space="preserve">s, en el pago de estos, en el presente caso, del pago del Impuesto Sobre el Producto del Trabajo. </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rsidR="00EE77C7" w:rsidRPr="00A50EAF" w:rsidRDefault="00EE77C7" w:rsidP="00EE77C7">
      <w:pPr>
        <w:spacing w:line="360" w:lineRule="auto"/>
        <w:ind w:right="-93"/>
        <w:jc w:val="both"/>
        <w:rPr>
          <w:rFonts w:ascii="Palatino Linotype" w:hAnsi="Palatino Linotype" w:cs="Tahoma"/>
          <w:bCs/>
          <w:iCs/>
          <w:sz w:val="22"/>
          <w:szCs w:val="22"/>
        </w:rPr>
      </w:pPr>
    </w:p>
    <w:p w:rsidR="00EE77C7" w:rsidRPr="00A50EAF" w:rsidRDefault="00EE77C7" w:rsidP="00EE77C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EE77C7" w:rsidRPr="00A50EAF" w:rsidRDefault="00EE77C7" w:rsidP="00EE77C7">
      <w:pPr>
        <w:pStyle w:val="Prrafodelista"/>
        <w:numPr>
          <w:ilvl w:val="0"/>
          <w:numId w:val="28"/>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rsidR="00EE77C7" w:rsidRPr="00A50EAF" w:rsidRDefault="00EE77C7" w:rsidP="00EE77C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00EE77C7" w:rsidRPr="00A50EAF" w:rsidRDefault="00EE77C7" w:rsidP="00EE77C7">
      <w:pPr>
        <w:spacing w:line="360" w:lineRule="auto"/>
        <w:contextualSpacing/>
        <w:jc w:val="both"/>
        <w:rPr>
          <w:rFonts w:ascii="Palatino Linotype" w:hAnsi="Palatino Linotype" w:cs="Tahoma"/>
          <w:sz w:val="22"/>
          <w:szCs w:val="22"/>
          <w:lang w:eastAsia="es-MX"/>
        </w:rPr>
      </w:pPr>
    </w:p>
    <w:p w:rsidR="00EE77C7" w:rsidRPr="00A50EAF" w:rsidRDefault="00EE77C7" w:rsidP="00EE77C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00EE77C7" w:rsidRPr="00A50EAF" w:rsidRDefault="00EE77C7" w:rsidP="00EE77C7">
      <w:pPr>
        <w:spacing w:line="360" w:lineRule="auto"/>
        <w:contextualSpacing/>
        <w:jc w:val="both"/>
        <w:rPr>
          <w:rFonts w:ascii="Palatino Linotype" w:hAnsi="Palatino Linotype" w:cs="Tahoma"/>
          <w:sz w:val="22"/>
          <w:szCs w:val="22"/>
          <w:lang w:eastAsia="es-MX"/>
        </w:rPr>
      </w:pPr>
    </w:p>
    <w:p w:rsidR="00EE77C7" w:rsidRPr="00A50EAF" w:rsidRDefault="00EE77C7" w:rsidP="00EE77C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EE77C7" w:rsidRPr="00A50EAF" w:rsidRDefault="00EE77C7" w:rsidP="00EE77C7">
      <w:pPr>
        <w:spacing w:line="360" w:lineRule="auto"/>
        <w:contextualSpacing/>
        <w:jc w:val="both"/>
        <w:rPr>
          <w:rFonts w:ascii="Palatino Linotype" w:hAnsi="Palatino Linotype" w:cs="Tahoma"/>
          <w:b/>
          <w:sz w:val="22"/>
          <w:szCs w:val="22"/>
          <w:lang w:eastAsia="es-MX"/>
        </w:rPr>
      </w:pPr>
    </w:p>
    <w:p w:rsidR="00EE77C7" w:rsidRPr="00A50EAF" w:rsidRDefault="00EE77C7" w:rsidP="00EE77C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23"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w:t>
      </w:r>
      <w:r w:rsidRPr="00A50EAF">
        <w:rPr>
          <w:rFonts w:ascii="Palatino Linotype" w:hAnsi="Palatino Linotype" w:cs="Tahoma"/>
          <w:b/>
          <w:sz w:val="22"/>
          <w:szCs w:val="22"/>
          <w:lang w:eastAsia="es-MX"/>
        </w:rPr>
        <w:lastRenderedPageBreak/>
        <w:t xml:space="preserve">interesado </w:t>
      </w:r>
      <w:r w:rsidRPr="00A50EAF">
        <w:rPr>
          <w:rFonts w:ascii="Palatino Linotype" w:hAnsi="Palatino Linotype" w:cs="Tahoma"/>
          <w:sz w:val="22"/>
          <w:szCs w:val="22"/>
          <w:lang w:eastAsia="es-MX"/>
        </w:rPr>
        <w:t>(acta de nacimiento, carta de naturalización o documento migratorio) de la siguiente forma:</w:t>
      </w:r>
    </w:p>
    <w:p w:rsidR="00EE77C7" w:rsidRPr="00A50EAF" w:rsidRDefault="00EE77C7" w:rsidP="00EE77C7">
      <w:pPr>
        <w:spacing w:line="360" w:lineRule="auto"/>
        <w:contextualSpacing/>
        <w:jc w:val="both"/>
        <w:rPr>
          <w:rFonts w:ascii="Palatino Linotype" w:hAnsi="Palatino Linotype" w:cs="Tahoma"/>
          <w:sz w:val="22"/>
          <w:szCs w:val="22"/>
          <w:lang w:eastAsia="es-MX"/>
        </w:rPr>
      </w:pPr>
    </w:p>
    <w:p w:rsidR="00EE77C7" w:rsidRPr="00A50EAF" w:rsidRDefault="00EE77C7" w:rsidP="00EE77C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rsidR="00EE77C7" w:rsidRPr="00A50EAF" w:rsidRDefault="00EE77C7" w:rsidP="00EE77C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rsidR="00EE77C7" w:rsidRPr="00A50EAF" w:rsidRDefault="00EE77C7" w:rsidP="00EE77C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rsidR="00EE77C7" w:rsidRPr="00A50EAF" w:rsidRDefault="00EE77C7" w:rsidP="00EE77C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rsidR="00EE77C7" w:rsidRPr="00A50EAF" w:rsidRDefault="00EE77C7" w:rsidP="00EE77C7">
      <w:pPr>
        <w:spacing w:line="360" w:lineRule="auto"/>
        <w:contextualSpacing/>
        <w:jc w:val="both"/>
        <w:rPr>
          <w:rFonts w:ascii="Palatino Linotype" w:hAnsi="Palatino Linotype" w:cs="Tahoma"/>
          <w:sz w:val="22"/>
          <w:szCs w:val="22"/>
          <w:lang w:eastAsia="es-MX"/>
        </w:rPr>
      </w:pPr>
    </w:p>
    <w:p w:rsidR="00EE77C7" w:rsidRPr="00A50EAF" w:rsidRDefault="00EE77C7" w:rsidP="00EE77C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rsidR="00EE77C7" w:rsidRPr="00A50EAF" w:rsidRDefault="00EE77C7" w:rsidP="00EE77C7">
      <w:pPr>
        <w:spacing w:line="360" w:lineRule="auto"/>
        <w:contextualSpacing/>
        <w:jc w:val="both"/>
        <w:rPr>
          <w:rFonts w:ascii="Palatino Linotype" w:hAnsi="Palatino Linotype" w:cs="Tahoma"/>
          <w:sz w:val="22"/>
          <w:szCs w:val="22"/>
          <w:lang w:eastAsia="es-MX"/>
        </w:rPr>
      </w:pPr>
    </w:p>
    <w:p w:rsidR="00EE77C7" w:rsidRPr="00A50EAF" w:rsidRDefault="00EE77C7" w:rsidP="00EE77C7">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EE77C7" w:rsidRPr="00A50EAF" w:rsidRDefault="00EE77C7" w:rsidP="00EE77C7">
      <w:pPr>
        <w:spacing w:line="360" w:lineRule="auto"/>
        <w:contextualSpacing/>
        <w:jc w:val="both"/>
        <w:rPr>
          <w:rFonts w:ascii="Palatino Linotype" w:hAnsi="Palatino Linotype" w:cs="Tahoma"/>
          <w:sz w:val="22"/>
          <w:szCs w:val="22"/>
        </w:rPr>
      </w:pPr>
    </w:p>
    <w:p w:rsidR="00EE77C7" w:rsidRPr="00A50EAF" w:rsidRDefault="00EE77C7" w:rsidP="00EE77C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rsidR="00EE77C7" w:rsidRPr="00A50EAF" w:rsidRDefault="00EE77C7" w:rsidP="00EE77C7">
      <w:pPr>
        <w:spacing w:line="360" w:lineRule="auto"/>
        <w:contextualSpacing/>
        <w:jc w:val="both"/>
        <w:rPr>
          <w:rFonts w:ascii="Palatino Linotype" w:hAnsi="Palatino Linotype" w:cs="Tahoma"/>
          <w:sz w:val="22"/>
          <w:szCs w:val="22"/>
        </w:rPr>
      </w:pPr>
    </w:p>
    <w:p w:rsidR="00EE77C7" w:rsidRPr="00DA07D5" w:rsidRDefault="00EE77C7" w:rsidP="00EE77C7">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w:t>
      </w:r>
      <w:r w:rsidRPr="00DA07D5">
        <w:rPr>
          <w:rFonts w:ascii="Palatino Linotype" w:eastAsia="Calibri" w:hAnsi="Palatino Linotype" w:cs="Tahoma"/>
          <w:color w:val="000000"/>
        </w:rPr>
        <w:lastRenderedPageBreak/>
        <w:t xml:space="preserve">fecha de nacimiento, su nombre, sus apellidos y su lugar de nacimiento, y esta es información que lo distingue plenamente del resto de los habitantes, por lo que es de carácter confidencial, en términos de lo dispuesto en el artículos anteriormente señalados. </w:t>
      </w:r>
    </w:p>
    <w:p w:rsidR="00EE77C7" w:rsidRPr="00A50EAF" w:rsidRDefault="00EE77C7" w:rsidP="00EE77C7">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rsidR="00EE77C7" w:rsidRPr="00A50EAF" w:rsidRDefault="00EE77C7" w:rsidP="00EE77C7">
      <w:pPr>
        <w:pStyle w:val="Prrafodelista"/>
        <w:numPr>
          <w:ilvl w:val="0"/>
          <w:numId w:val="2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rsidR="00EE77C7" w:rsidRPr="00A50EAF" w:rsidRDefault="00EE77C7" w:rsidP="00EE77C7">
      <w:pPr>
        <w:pStyle w:val="Prrafodelista"/>
        <w:spacing w:line="360" w:lineRule="auto"/>
        <w:jc w:val="both"/>
        <w:rPr>
          <w:rFonts w:ascii="Palatino Linotype" w:hAnsi="Palatino Linotype" w:cs="Tahoma"/>
          <w:szCs w:val="22"/>
          <w:lang w:eastAsia="es-MX"/>
        </w:rPr>
      </w:pPr>
    </w:p>
    <w:p w:rsidR="00EE77C7" w:rsidRPr="00A50EAF" w:rsidRDefault="00EE77C7" w:rsidP="00EE77C7">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EE77C7" w:rsidRPr="00A50EAF" w:rsidRDefault="00EE77C7" w:rsidP="00EE77C7">
      <w:pPr>
        <w:spacing w:line="360" w:lineRule="auto"/>
        <w:jc w:val="both"/>
        <w:rPr>
          <w:rFonts w:ascii="Palatino Linotype" w:hAnsi="Palatino Linotype" w:cs="Tahoma"/>
          <w:sz w:val="22"/>
          <w:szCs w:val="22"/>
          <w:lang w:eastAsia="es-MX"/>
        </w:rPr>
      </w:pPr>
    </w:p>
    <w:p w:rsidR="00EE77C7" w:rsidRPr="00A50EAF" w:rsidRDefault="00EE77C7" w:rsidP="00EE77C7">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00EE77C7" w:rsidRPr="00A50EAF" w:rsidRDefault="00EE77C7" w:rsidP="00EE77C7">
      <w:pPr>
        <w:pStyle w:val="Prrafodelista"/>
        <w:spacing w:line="360" w:lineRule="auto"/>
        <w:jc w:val="both"/>
        <w:rPr>
          <w:rFonts w:ascii="Palatino Linotype" w:hAnsi="Palatino Linotype" w:cs="Tahoma"/>
          <w:szCs w:val="22"/>
          <w:lang w:eastAsia="es-MX"/>
        </w:rPr>
      </w:pPr>
    </w:p>
    <w:p w:rsidR="00EE77C7" w:rsidRPr="00A50EAF" w:rsidRDefault="00EE77C7" w:rsidP="00EE77C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w:t>
      </w:r>
      <w:r w:rsidR="00256163">
        <w:rPr>
          <w:rFonts w:ascii="Palatino Linotype" w:hAnsi="Palatino Linotype" w:cs="Tahoma"/>
          <w:sz w:val="22"/>
          <w:szCs w:val="22"/>
          <w:lang w:eastAsia="es-MX"/>
        </w:rPr>
        <w:t>e, la clave ISSEMYM es un dato</w:t>
      </w:r>
      <w:r w:rsidRPr="00A50EAF">
        <w:rPr>
          <w:rFonts w:ascii="Palatino Linotype" w:hAnsi="Palatino Linotype" w:cs="Tahoma"/>
          <w:sz w:val="22"/>
          <w:szCs w:val="22"/>
          <w:lang w:eastAsia="es-MX"/>
        </w:rPr>
        <w:t xml:space="preserve"> que permite identificar que una persona ya trabajó o trabaja en alguna institución pública del Estado de México, por la que tiene o tuvo derecho a esta prestación de seguridad social; es de destacar que la clave ISSEMYM no cambia, </w:t>
      </w:r>
      <w:r w:rsidRPr="00A50EAF">
        <w:rPr>
          <w:rFonts w:ascii="Palatino Linotype" w:hAnsi="Palatino Linotype" w:cs="Tahoma"/>
          <w:sz w:val="22"/>
          <w:szCs w:val="22"/>
          <w:lang w:eastAsia="es-MX"/>
        </w:rPr>
        <w:lastRenderedPageBreak/>
        <w:t>aunque el trabajador se dé de baja y alta en diversas ocasiones, con motivo de haber trabajado en diferentes instituciones públicas de la Entidad.</w:t>
      </w:r>
    </w:p>
    <w:p w:rsidR="00EE77C7" w:rsidRPr="00A50EAF" w:rsidRDefault="00EE77C7" w:rsidP="00EE77C7">
      <w:pPr>
        <w:pStyle w:val="Prrafodelista"/>
        <w:spacing w:line="360" w:lineRule="auto"/>
        <w:jc w:val="both"/>
        <w:rPr>
          <w:rFonts w:ascii="Palatino Linotype" w:hAnsi="Palatino Linotype" w:cs="Tahoma"/>
          <w:szCs w:val="22"/>
          <w:lang w:eastAsia="es-MX"/>
        </w:rPr>
      </w:pPr>
    </w:p>
    <w:p w:rsidR="00EE77C7" w:rsidRPr="00A50EAF" w:rsidRDefault="00EE77C7" w:rsidP="00EE77C7">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EE77C7" w:rsidRPr="00A50EAF" w:rsidRDefault="00EE77C7" w:rsidP="00EE77C7">
      <w:pPr>
        <w:spacing w:line="360" w:lineRule="auto"/>
        <w:contextualSpacing/>
        <w:jc w:val="both"/>
        <w:rPr>
          <w:rFonts w:ascii="Palatino Linotype" w:hAnsi="Palatino Linotype" w:cs="Tahoma"/>
          <w:b/>
          <w:sz w:val="22"/>
          <w:szCs w:val="22"/>
        </w:rPr>
      </w:pPr>
    </w:p>
    <w:p w:rsidR="00EE77C7" w:rsidRPr="00BC1085" w:rsidRDefault="00EE77C7" w:rsidP="00EE77C7">
      <w:pPr>
        <w:pStyle w:val="Prrafodelista"/>
        <w:numPr>
          <w:ilvl w:val="0"/>
          <w:numId w:val="21"/>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rsidR="00EE77C7" w:rsidRDefault="00EE77C7" w:rsidP="00EE77C7">
      <w:pPr>
        <w:spacing w:line="360" w:lineRule="auto"/>
        <w:ind w:right="-93"/>
        <w:jc w:val="both"/>
        <w:rPr>
          <w:rFonts w:ascii="Palatino Linotype" w:hAnsi="Palatino Linotype" w:cs="Tahoma"/>
          <w:b/>
          <w:bCs/>
          <w:iCs/>
          <w:szCs w:val="22"/>
        </w:rPr>
      </w:pPr>
    </w:p>
    <w:p w:rsidR="00EE77C7" w:rsidRPr="00784DBB" w:rsidRDefault="00EE77C7" w:rsidP="00EE77C7">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rsidR="00EE77C7" w:rsidRPr="00784DBB" w:rsidRDefault="00EE77C7" w:rsidP="00EE77C7">
      <w:pPr>
        <w:spacing w:line="360" w:lineRule="auto"/>
        <w:ind w:right="-93"/>
        <w:jc w:val="both"/>
        <w:rPr>
          <w:rFonts w:ascii="Palatino Linotype" w:hAnsi="Palatino Linotype" w:cs="Tahoma"/>
          <w:sz w:val="22"/>
          <w:szCs w:val="22"/>
        </w:rPr>
      </w:pPr>
    </w:p>
    <w:p w:rsidR="00256163" w:rsidRDefault="00EE77C7" w:rsidP="00256163">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w:t>
      </w:r>
      <w:r w:rsidR="00256163">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rsidR="00EE77C7" w:rsidRPr="00784DBB" w:rsidRDefault="00EE77C7" w:rsidP="00EE77C7">
      <w:pPr>
        <w:spacing w:line="360" w:lineRule="auto"/>
        <w:ind w:right="-93"/>
        <w:jc w:val="both"/>
        <w:rPr>
          <w:rFonts w:ascii="Palatino Linotype" w:hAnsi="Palatino Linotype" w:cs="Tahoma"/>
          <w:sz w:val="22"/>
          <w:szCs w:val="22"/>
        </w:rPr>
      </w:pPr>
    </w:p>
    <w:p w:rsidR="00EE77C7" w:rsidRPr="00784DBB" w:rsidRDefault="00EE77C7" w:rsidP="00EE77C7">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rsidR="00EE77C7" w:rsidRPr="00784DBB" w:rsidRDefault="00EE77C7" w:rsidP="00EE77C7">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lastRenderedPageBreak/>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rsidR="00EE77C7" w:rsidRPr="00BC1085" w:rsidRDefault="00EE77C7" w:rsidP="00EE77C7">
      <w:pPr>
        <w:pStyle w:val="Prrafodelista"/>
        <w:spacing w:line="360" w:lineRule="auto"/>
        <w:ind w:right="-93"/>
        <w:rPr>
          <w:rFonts w:ascii="Palatino Linotype" w:hAnsi="Palatino Linotype" w:cs="Tahoma"/>
          <w:b/>
          <w:szCs w:val="22"/>
        </w:rPr>
      </w:pPr>
    </w:p>
    <w:p w:rsidR="00EE77C7" w:rsidRPr="00A50EAF" w:rsidRDefault="00EE77C7" w:rsidP="00EE77C7">
      <w:pPr>
        <w:pStyle w:val="Prrafodelista"/>
        <w:numPr>
          <w:ilvl w:val="0"/>
          <w:numId w:val="21"/>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rsidR="00EE77C7" w:rsidRPr="00A50EAF" w:rsidRDefault="00EE77C7" w:rsidP="00EE77C7">
      <w:pPr>
        <w:spacing w:line="360" w:lineRule="auto"/>
        <w:ind w:right="-93"/>
        <w:jc w:val="both"/>
        <w:rPr>
          <w:rFonts w:ascii="Palatino Linotype" w:hAnsi="Palatino Linotype" w:cs="Tahoma"/>
          <w:sz w:val="22"/>
          <w:szCs w:val="22"/>
        </w:rPr>
      </w:pPr>
    </w:p>
    <w:p w:rsidR="00EE77C7" w:rsidRDefault="00EE77C7" w:rsidP="00EE77C7">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rsidR="00DE6AEC" w:rsidRDefault="00DE6AEC" w:rsidP="00DE6AEC">
      <w:pPr>
        <w:shd w:val="clear" w:color="auto" w:fill="FFFFFF" w:themeFill="background1"/>
        <w:spacing w:line="360" w:lineRule="auto"/>
        <w:jc w:val="both"/>
        <w:rPr>
          <w:rFonts w:ascii="Palatino Linotype" w:hAnsi="Palatino Linotype" w:cs="Tahoma"/>
          <w:sz w:val="22"/>
          <w:szCs w:val="22"/>
        </w:rPr>
      </w:pPr>
    </w:p>
    <w:p w:rsidR="00DE6AEC" w:rsidRDefault="00DE6AEC" w:rsidP="00DE6AEC">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rsidR="00DE6AEC" w:rsidRPr="005141C6" w:rsidRDefault="00DE6AEC" w:rsidP="00DE6AEC">
      <w:pPr>
        <w:shd w:val="clear" w:color="auto" w:fill="FFFFFF" w:themeFill="background1"/>
        <w:spacing w:line="360" w:lineRule="auto"/>
        <w:ind w:left="567" w:right="567"/>
        <w:jc w:val="both"/>
        <w:rPr>
          <w:rFonts w:ascii="Palatino Linotype" w:hAnsi="Palatino Linotype" w:cs="Tahoma"/>
          <w:sz w:val="22"/>
        </w:rPr>
      </w:pPr>
    </w:p>
    <w:p w:rsidR="00DE6AEC" w:rsidRPr="005141C6" w:rsidRDefault="00DE6AEC" w:rsidP="00DE6AEC">
      <w:pPr>
        <w:shd w:val="clear" w:color="auto" w:fill="FFFFFF" w:themeFill="background1"/>
        <w:spacing w:line="360" w:lineRule="auto"/>
        <w:ind w:left="567" w:right="567"/>
        <w:jc w:val="both"/>
        <w:rPr>
          <w:rFonts w:ascii="Palatino Linotype" w:hAnsi="Palatino Linotype" w:cs="Tahoma"/>
        </w:rPr>
      </w:pPr>
      <w:r w:rsidRPr="005141C6">
        <w:rPr>
          <w:rFonts w:ascii="Palatino Linotype" w:hAnsi="Palatino Linotype" w:cs="Tahoma"/>
        </w:rPr>
        <w:t>“</w:t>
      </w:r>
      <w:r w:rsidRPr="00C617E8">
        <w:rPr>
          <w:rFonts w:ascii="Palatino Linotype" w:hAnsi="Palatino Linotype" w:cs="Tahoma"/>
          <w:b/>
        </w:rPr>
        <w:t>Cuentas bancarias y/o CLABE interbancaria de personas físicas y morales privadas.</w:t>
      </w:r>
      <w:r w:rsidRPr="005141C6">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EE77C7" w:rsidRDefault="00EE77C7" w:rsidP="00EE77C7">
      <w:pPr>
        <w:spacing w:line="360" w:lineRule="auto"/>
        <w:contextualSpacing/>
        <w:jc w:val="both"/>
        <w:rPr>
          <w:rFonts w:ascii="Palatino Linotype" w:hAnsi="Palatino Linotype" w:cs="Tahoma"/>
          <w:sz w:val="22"/>
          <w:szCs w:val="22"/>
          <w:lang w:eastAsia="es-MX"/>
        </w:rPr>
      </w:pPr>
    </w:p>
    <w:p w:rsidR="00EE77C7" w:rsidRPr="00784DBB" w:rsidRDefault="00EE77C7" w:rsidP="00EE77C7">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w:t>
      </w:r>
      <w:r>
        <w:rPr>
          <w:rFonts w:ascii="Palatino Linotype" w:hAnsi="Palatino Linotype" w:cs="Tahoma"/>
          <w:sz w:val="22"/>
          <w:szCs w:val="22"/>
          <w:lang w:eastAsia="es-MX"/>
        </w:rPr>
        <w:lastRenderedPageBreak/>
        <w:t xml:space="preserve">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rsidR="00EE77C7" w:rsidRDefault="00EE77C7" w:rsidP="00EE77C7">
      <w:pPr>
        <w:spacing w:line="360" w:lineRule="auto"/>
        <w:contextualSpacing/>
        <w:jc w:val="both"/>
        <w:rPr>
          <w:rFonts w:ascii="Palatino Linotype" w:hAnsi="Palatino Linotype" w:cs="Tahoma"/>
          <w:sz w:val="22"/>
          <w:szCs w:val="22"/>
          <w:lang w:eastAsia="es-MX"/>
        </w:rPr>
      </w:pPr>
    </w:p>
    <w:p w:rsidR="00EE77C7" w:rsidRPr="00DE6AEC" w:rsidRDefault="00EE77C7" w:rsidP="00EE77C7">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xml:space="preserve">, </w:t>
      </w:r>
      <w:r w:rsidRPr="00DE6AEC">
        <w:rPr>
          <w:rFonts w:ascii="Palatino Linotype" w:hAnsi="Palatino Linotype" w:cs="Tahoma"/>
          <w:sz w:val="22"/>
          <w:szCs w:val="22"/>
        </w:rPr>
        <w:t>adicional a la información reservada que se precisó.</w:t>
      </w:r>
    </w:p>
    <w:p w:rsidR="00FA1086" w:rsidRPr="00DE6AEC" w:rsidRDefault="00FA1086">
      <w:pPr>
        <w:spacing w:line="360" w:lineRule="auto"/>
        <w:ind w:right="-93"/>
        <w:jc w:val="both"/>
        <w:rPr>
          <w:rFonts w:ascii="Palatino Linotype" w:hAnsi="Palatino Linotype" w:cs="Tahoma"/>
          <w:sz w:val="22"/>
          <w:szCs w:val="22"/>
        </w:rPr>
      </w:pPr>
    </w:p>
    <w:p w:rsidR="00236857" w:rsidRDefault="005E3922" w:rsidP="00236857">
      <w:pPr>
        <w:spacing w:line="360" w:lineRule="auto"/>
        <w:ind w:right="-93"/>
        <w:jc w:val="both"/>
        <w:rPr>
          <w:rFonts w:ascii="Palatino Linotype" w:hAnsi="Palatino Linotype" w:cs="Tahoma"/>
          <w:bCs/>
          <w:sz w:val="22"/>
          <w:szCs w:val="22"/>
        </w:rPr>
      </w:pPr>
      <w:r w:rsidRPr="00DE6AEC">
        <w:rPr>
          <w:rFonts w:ascii="Palatino Linotype" w:hAnsi="Palatino Linotype" w:cs="Tahoma"/>
          <w:b/>
          <w:sz w:val="22"/>
          <w:szCs w:val="22"/>
        </w:rPr>
        <w:t>SÉPTIMO</w:t>
      </w:r>
      <w:r w:rsidR="002E6811" w:rsidRPr="00DE6AEC">
        <w:rPr>
          <w:rFonts w:ascii="Palatino Linotype" w:hAnsi="Palatino Linotype" w:cs="Tahoma"/>
          <w:b/>
          <w:sz w:val="22"/>
          <w:szCs w:val="22"/>
        </w:rPr>
        <w:t>. Decisión.</w:t>
      </w:r>
      <w:r w:rsidR="002E6811" w:rsidRPr="00985849">
        <w:rPr>
          <w:rFonts w:ascii="Palatino Linotype" w:hAnsi="Palatino Linotype" w:cs="Tahoma"/>
          <w:b/>
          <w:sz w:val="22"/>
          <w:szCs w:val="22"/>
        </w:rPr>
        <w:t xml:space="preserve"> </w:t>
      </w:r>
      <w:r w:rsidR="002E6811" w:rsidRPr="00985849">
        <w:rPr>
          <w:rFonts w:ascii="Palatino Linotype" w:hAnsi="Palatino Linotype" w:cs="Tahoma"/>
          <w:sz w:val="22"/>
          <w:szCs w:val="22"/>
        </w:rPr>
        <w:t>Con fundamento en el artículo 186, fracción IV</w:t>
      </w:r>
      <w:r w:rsidR="00C81961">
        <w:rPr>
          <w:rFonts w:ascii="Palatino Linotype" w:hAnsi="Palatino Linotype" w:cs="Tahoma"/>
          <w:sz w:val="22"/>
          <w:szCs w:val="22"/>
        </w:rPr>
        <w:t>,</w:t>
      </w:r>
      <w:r w:rsidR="002E6811" w:rsidRPr="00985849">
        <w:rPr>
          <w:rFonts w:ascii="Palatino Linotype" w:hAnsi="Palatino Linotype" w:cs="Tahoma"/>
          <w:sz w:val="22"/>
          <w:szCs w:val="22"/>
        </w:rPr>
        <w:t xml:space="preserve"> de la Ley de Transparencia y Acceso a la Información Pública del Estado de México y Municipios, este Instituto considera procedente </w:t>
      </w:r>
      <w:r w:rsidR="002E6811" w:rsidRPr="00985849">
        <w:rPr>
          <w:rFonts w:ascii="Palatino Linotype" w:hAnsi="Palatino Linotype" w:cs="Tahoma"/>
          <w:b/>
          <w:sz w:val="22"/>
          <w:szCs w:val="22"/>
        </w:rPr>
        <w:t xml:space="preserve">ORDENAR </w:t>
      </w:r>
      <w:r w:rsidR="000477E7" w:rsidRPr="00985849">
        <w:rPr>
          <w:rFonts w:ascii="Palatino Linotype" w:hAnsi="Palatino Linotype" w:cs="Tahoma"/>
          <w:sz w:val="22"/>
          <w:szCs w:val="22"/>
        </w:rPr>
        <w:t>al Ayuntamiento T</w:t>
      </w:r>
      <w:r w:rsidR="00124A3E">
        <w:rPr>
          <w:rFonts w:ascii="Palatino Linotype" w:hAnsi="Palatino Linotype" w:cs="Tahoma"/>
          <w:sz w:val="22"/>
          <w:szCs w:val="22"/>
        </w:rPr>
        <w:t>imilpan</w:t>
      </w:r>
      <w:r w:rsidR="002E6811" w:rsidRPr="00985849">
        <w:rPr>
          <w:rFonts w:ascii="Palatino Linotype" w:hAnsi="Palatino Linotype" w:cs="Tahoma"/>
          <w:sz w:val="22"/>
          <w:szCs w:val="22"/>
        </w:rPr>
        <w:t xml:space="preserve">, previa búsqueda exhaustiva en todas las áreas </w:t>
      </w:r>
      <w:r w:rsidR="000477E7" w:rsidRPr="00985849">
        <w:rPr>
          <w:rFonts w:ascii="Palatino Linotype" w:hAnsi="Palatino Linotype" w:cs="Tahoma"/>
          <w:sz w:val="22"/>
          <w:szCs w:val="22"/>
        </w:rPr>
        <w:t>competentes</w:t>
      </w:r>
      <w:r w:rsidR="002E6811" w:rsidRPr="00985849">
        <w:rPr>
          <w:rFonts w:ascii="Palatino Linotype" w:hAnsi="Palatino Linotype" w:cs="Tahoma"/>
          <w:bCs/>
          <w:sz w:val="22"/>
          <w:szCs w:val="22"/>
        </w:rPr>
        <w:t xml:space="preserve">, </w:t>
      </w:r>
      <w:r w:rsidR="00236857" w:rsidRPr="00A50EAF">
        <w:rPr>
          <w:rFonts w:ascii="Palatino Linotype" w:hAnsi="Palatino Linotype" w:cs="Tahoma"/>
          <w:bCs/>
          <w:sz w:val="22"/>
          <w:szCs w:val="22"/>
        </w:rPr>
        <w:t xml:space="preserve">otorgue </w:t>
      </w:r>
      <w:r w:rsidR="00236857">
        <w:rPr>
          <w:rFonts w:ascii="Palatino Linotype" w:hAnsi="Palatino Linotype" w:cs="Tahoma"/>
          <w:bCs/>
          <w:sz w:val="22"/>
          <w:szCs w:val="22"/>
        </w:rPr>
        <w:t xml:space="preserve">acceso vía el Sistema de Acceso a la Información Mexiquense (SAIMEX), versión pública de la nómina </w:t>
      </w:r>
      <w:r w:rsidR="00236857" w:rsidRPr="00A50EAF">
        <w:rPr>
          <w:rFonts w:ascii="Palatino Linotype" w:hAnsi="Palatino Linotype" w:cs="Tahoma"/>
          <w:bCs/>
          <w:sz w:val="22"/>
          <w:szCs w:val="22"/>
        </w:rPr>
        <w:t>correspondiente a las dos quincenas de</w:t>
      </w:r>
      <w:r w:rsidR="00236857">
        <w:rPr>
          <w:rFonts w:ascii="Palatino Linotype" w:hAnsi="Palatino Linotype" w:cs="Tahoma"/>
          <w:bCs/>
          <w:sz w:val="22"/>
          <w:szCs w:val="22"/>
        </w:rPr>
        <w:t>l</w:t>
      </w:r>
      <w:r w:rsidR="00236857" w:rsidRPr="00A50EAF">
        <w:rPr>
          <w:rFonts w:ascii="Palatino Linotype" w:hAnsi="Palatino Linotype" w:cs="Tahoma"/>
          <w:bCs/>
          <w:sz w:val="22"/>
          <w:szCs w:val="22"/>
        </w:rPr>
        <w:t xml:space="preserve"> mes de marzo de </w:t>
      </w:r>
      <w:r w:rsidR="00236857">
        <w:rPr>
          <w:rFonts w:ascii="Palatino Linotype" w:hAnsi="Palatino Linotype" w:cs="Tahoma"/>
          <w:bCs/>
          <w:sz w:val="22"/>
          <w:szCs w:val="22"/>
        </w:rPr>
        <w:t>dos mil dieciocho.</w:t>
      </w:r>
    </w:p>
    <w:p w:rsidR="00236857" w:rsidRDefault="00236857" w:rsidP="00236857">
      <w:pPr>
        <w:spacing w:line="360" w:lineRule="auto"/>
        <w:ind w:right="-93"/>
        <w:jc w:val="both"/>
        <w:rPr>
          <w:rFonts w:ascii="Palatino Linotype" w:hAnsi="Palatino Linotype" w:cs="Tahoma"/>
          <w:bCs/>
          <w:sz w:val="22"/>
          <w:szCs w:val="22"/>
        </w:rPr>
      </w:pPr>
    </w:p>
    <w:p w:rsidR="00236857" w:rsidRPr="00A50EAF" w:rsidRDefault="00236857" w:rsidP="00236857">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Asimismo, deberá entregar en caso de que se generen, versiones públicas del documento o documentos en donde conste cualquier tipo de sobre sueldo, así como de la Lista de Raya, ambos de las dos quincenas </w:t>
      </w:r>
      <w:r w:rsidRPr="00784DBB">
        <w:rPr>
          <w:rFonts w:ascii="Palatino Linotype" w:hAnsi="Palatino Linotype" w:cs="Tahoma"/>
          <w:bCs/>
          <w:sz w:val="22"/>
          <w:szCs w:val="22"/>
        </w:rPr>
        <w:t>de</w:t>
      </w:r>
      <w:r>
        <w:rPr>
          <w:rFonts w:ascii="Palatino Linotype" w:hAnsi="Palatino Linotype" w:cs="Tahoma"/>
          <w:bCs/>
          <w:sz w:val="22"/>
          <w:szCs w:val="22"/>
        </w:rPr>
        <w:t>l</w:t>
      </w:r>
      <w:r w:rsidRPr="00784DBB">
        <w:rPr>
          <w:rFonts w:ascii="Palatino Linotype" w:hAnsi="Palatino Linotype" w:cs="Tahoma"/>
          <w:bCs/>
          <w:sz w:val="22"/>
          <w:szCs w:val="22"/>
        </w:rPr>
        <w:t xml:space="preserve"> mes de marzo de </w:t>
      </w:r>
      <w:r>
        <w:rPr>
          <w:rFonts w:ascii="Palatino Linotype" w:hAnsi="Palatino Linotype" w:cs="Tahoma"/>
          <w:bCs/>
          <w:sz w:val="22"/>
          <w:szCs w:val="22"/>
        </w:rPr>
        <w:t>dos mil dieciocho.</w:t>
      </w:r>
    </w:p>
    <w:p w:rsidR="00236857" w:rsidRPr="00A50EAF" w:rsidRDefault="00236857" w:rsidP="00236857">
      <w:pPr>
        <w:spacing w:line="360" w:lineRule="auto"/>
        <w:ind w:right="-93"/>
        <w:jc w:val="both"/>
        <w:rPr>
          <w:rFonts w:ascii="Palatino Linotype" w:hAnsi="Palatino Linotype" w:cs="Tahoma"/>
          <w:sz w:val="22"/>
          <w:szCs w:val="22"/>
          <w:lang w:val="es-ES"/>
        </w:rPr>
      </w:pPr>
    </w:p>
    <w:p w:rsidR="00236857" w:rsidRPr="00A50EAF" w:rsidRDefault="00236857" w:rsidP="00236857">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 documentación se deberá entregar </w:t>
      </w:r>
      <w:r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del artículo 140, fracción IV y </w:t>
      </w:r>
      <w:r w:rsidRPr="00A50EAF">
        <w:rPr>
          <w:rFonts w:ascii="Palatino Linotype" w:hAnsi="Palatino Linotype" w:cs="Tahoma"/>
          <w:sz w:val="22"/>
          <w:szCs w:val="22"/>
          <w:lang w:val="es-ES"/>
        </w:rPr>
        <w:t>143, fracción I de la Ley de Transparencia y Acceso a la Información Pública del Estado de México y Municipios</w:t>
      </w:r>
      <w:r>
        <w:rPr>
          <w:rFonts w:ascii="Palatino Linotype" w:hAnsi="Palatino Linotype" w:cs="Tahoma"/>
          <w:sz w:val="22"/>
          <w:szCs w:val="22"/>
          <w:lang w:val="es-ES"/>
        </w:rPr>
        <w:t xml:space="preserve">; lo anterior, de conformidad con lo establecido en los Considerandos </w:t>
      </w:r>
      <w:r w:rsidRPr="00DE6AEC">
        <w:rPr>
          <w:rFonts w:ascii="Palatino Linotype" w:hAnsi="Palatino Linotype" w:cs="Tahoma"/>
          <w:caps/>
          <w:sz w:val="22"/>
          <w:szCs w:val="22"/>
          <w:lang w:val="es-ES"/>
        </w:rPr>
        <w:t>Quinto</w:t>
      </w:r>
      <w:r>
        <w:rPr>
          <w:rFonts w:ascii="Palatino Linotype" w:hAnsi="Palatino Linotype" w:cs="Tahoma"/>
          <w:sz w:val="22"/>
          <w:szCs w:val="22"/>
          <w:lang w:val="es-ES"/>
        </w:rPr>
        <w:t xml:space="preserve"> y </w:t>
      </w:r>
      <w:r w:rsidRPr="00DE6AEC">
        <w:rPr>
          <w:rFonts w:ascii="Palatino Linotype" w:hAnsi="Palatino Linotype" w:cs="Tahoma"/>
          <w:caps/>
          <w:sz w:val="22"/>
          <w:szCs w:val="22"/>
          <w:lang w:val="es-ES"/>
        </w:rPr>
        <w:t>Sexto</w:t>
      </w:r>
      <w:r>
        <w:rPr>
          <w:rFonts w:ascii="Palatino Linotype" w:hAnsi="Palatino Linotype" w:cs="Tahoma"/>
          <w:sz w:val="22"/>
          <w:szCs w:val="22"/>
          <w:lang w:val="es-ES"/>
        </w:rPr>
        <w:t xml:space="preserve"> de la presente Resolución.</w:t>
      </w:r>
    </w:p>
    <w:p w:rsidR="00C56AE3" w:rsidRPr="009A0C8C" w:rsidRDefault="00C56AE3" w:rsidP="00236857">
      <w:pPr>
        <w:spacing w:line="360" w:lineRule="auto"/>
        <w:ind w:right="-93"/>
        <w:jc w:val="both"/>
        <w:rPr>
          <w:rFonts w:ascii="Palatino Linotype" w:hAnsi="Palatino Linotype" w:cs="Tahoma"/>
          <w:sz w:val="22"/>
          <w:szCs w:val="22"/>
          <w:lang w:val="es-ES"/>
        </w:rPr>
      </w:pPr>
    </w:p>
    <w:p w:rsidR="00EA40A2" w:rsidRPr="00985849" w:rsidRDefault="005E3922" w:rsidP="00985849">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OCTAVO</w:t>
      </w:r>
      <w:r w:rsidR="0038438A" w:rsidRPr="00985849">
        <w:rPr>
          <w:rFonts w:ascii="Palatino Linotype" w:hAnsi="Palatino Linotype" w:cs="Tahoma"/>
          <w:b/>
          <w:sz w:val="22"/>
          <w:szCs w:val="22"/>
        </w:rPr>
        <w:t xml:space="preserve">. </w:t>
      </w:r>
      <w:r w:rsidR="00107D2F" w:rsidRPr="00985849">
        <w:rPr>
          <w:rFonts w:ascii="Palatino Linotype" w:hAnsi="Palatino Linotype" w:cs="Tahoma"/>
          <w:b/>
          <w:sz w:val="22"/>
          <w:szCs w:val="22"/>
        </w:rPr>
        <w:t xml:space="preserve">Vista a la Contraloría </w:t>
      </w:r>
      <w:r w:rsidR="00EA4CD5" w:rsidRPr="00985849">
        <w:rPr>
          <w:rFonts w:ascii="Palatino Linotype" w:hAnsi="Palatino Linotype" w:cs="Tahoma"/>
          <w:b/>
          <w:sz w:val="22"/>
          <w:szCs w:val="22"/>
        </w:rPr>
        <w:t xml:space="preserve">Interna y </w:t>
      </w:r>
      <w:r w:rsidR="00EA4CD5" w:rsidRPr="00985849">
        <w:rPr>
          <w:rFonts w:ascii="Palatino Linotype" w:eastAsia="Calibri" w:hAnsi="Palatino Linotype" w:cs="Tahoma"/>
          <w:b/>
          <w:bCs/>
          <w:sz w:val="22"/>
          <w:szCs w:val="22"/>
          <w:lang w:val="es-ES_tradnl" w:eastAsia="en-US"/>
        </w:rPr>
        <w:t>Órgano de Control y Vigilancia</w:t>
      </w:r>
      <w:r w:rsidR="00107D2F" w:rsidRPr="00985849">
        <w:rPr>
          <w:rFonts w:ascii="Palatino Linotype" w:hAnsi="Palatino Linotype" w:cs="Tahoma"/>
          <w:b/>
          <w:sz w:val="22"/>
          <w:szCs w:val="22"/>
        </w:rPr>
        <w:t xml:space="preserve">. </w:t>
      </w:r>
    </w:p>
    <w:p w:rsidR="00EA40A2" w:rsidRPr="00985849" w:rsidRDefault="00EA40A2" w:rsidP="00985849">
      <w:pPr>
        <w:spacing w:line="360" w:lineRule="auto"/>
        <w:ind w:right="-93"/>
        <w:jc w:val="both"/>
        <w:rPr>
          <w:rFonts w:ascii="Palatino Linotype" w:hAnsi="Palatino Linotype" w:cs="Tahoma"/>
          <w:b/>
          <w:sz w:val="22"/>
          <w:szCs w:val="22"/>
        </w:rPr>
      </w:pPr>
    </w:p>
    <w:p w:rsidR="00C56AE3" w:rsidRDefault="00EA40A2" w:rsidP="00C56AE3">
      <w:pPr>
        <w:spacing w:line="360" w:lineRule="auto"/>
        <w:ind w:right="-93"/>
        <w:jc w:val="both"/>
        <w:rPr>
          <w:rFonts w:ascii="Palatino Linotype" w:hAnsi="Palatino Linotype" w:cs="Tahoma"/>
          <w:sz w:val="22"/>
          <w:szCs w:val="22"/>
        </w:rPr>
      </w:pPr>
      <w:r w:rsidRPr="00985849">
        <w:rPr>
          <w:rFonts w:ascii="Palatino Linotype" w:hAnsi="Palatino Linotype" w:cs="Tahoma"/>
          <w:sz w:val="22"/>
          <w:szCs w:val="22"/>
        </w:rPr>
        <w:t>E</w:t>
      </w:r>
      <w:r w:rsidR="0038438A" w:rsidRPr="00985849">
        <w:rPr>
          <w:rFonts w:ascii="Palatino Linotype" w:hAnsi="Palatino Linotype" w:cs="Tahoma"/>
          <w:sz w:val="22"/>
          <w:szCs w:val="22"/>
        </w:rPr>
        <w:t xml:space="preserve">n el caso en estudio, ha quedado </w:t>
      </w:r>
      <w:r w:rsidR="00236857">
        <w:rPr>
          <w:rFonts w:ascii="Palatino Linotype" w:hAnsi="Palatino Linotype" w:cs="Tahoma"/>
          <w:sz w:val="22"/>
          <w:szCs w:val="22"/>
        </w:rPr>
        <w:t>precisado</w:t>
      </w:r>
      <w:r w:rsidR="00236857" w:rsidRPr="00985849">
        <w:rPr>
          <w:rFonts w:ascii="Palatino Linotype" w:hAnsi="Palatino Linotype" w:cs="Tahoma"/>
          <w:sz w:val="22"/>
          <w:szCs w:val="22"/>
        </w:rPr>
        <w:t xml:space="preserve"> </w:t>
      </w:r>
      <w:r w:rsidR="0038438A" w:rsidRPr="00985849">
        <w:rPr>
          <w:rFonts w:ascii="Palatino Linotype" w:hAnsi="Palatino Linotype" w:cs="Tahoma"/>
          <w:sz w:val="22"/>
          <w:szCs w:val="22"/>
        </w:rPr>
        <w:t xml:space="preserve">que el </w:t>
      </w:r>
      <w:r w:rsidR="00C459A9" w:rsidRPr="00985849">
        <w:rPr>
          <w:rFonts w:ascii="Palatino Linotype" w:hAnsi="Palatino Linotype" w:cs="Tahoma"/>
          <w:sz w:val="22"/>
          <w:szCs w:val="22"/>
        </w:rPr>
        <w:t xml:space="preserve">Ayuntamiento de </w:t>
      </w:r>
      <w:r w:rsidR="0072762D">
        <w:rPr>
          <w:rFonts w:ascii="Palatino Linotype" w:hAnsi="Palatino Linotype" w:cs="Tahoma"/>
          <w:sz w:val="22"/>
          <w:szCs w:val="22"/>
        </w:rPr>
        <w:t>Timilpan</w:t>
      </w:r>
      <w:r w:rsidR="0004168D" w:rsidRPr="00985849">
        <w:rPr>
          <w:rFonts w:ascii="Palatino Linotype" w:hAnsi="Palatino Linotype" w:cs="Tahoma"/>
          <w:sz w:val="22"/>
          <w:szCs w:val="22"/>
        </w:rPr>
        <w:t xml:space="preserve"> </w:t>
      </w:r>
      <w:r w:rsidR="0038438A" w:rsidRPr="00985849">
        <w:rPr>
          <w:rFonts w:ascii="Palatino Linotype" w:hAnsi="Palatino Linotype" w:cs="Tahoma"/>
          <w:sz w:val="22"/>
          <w:szCs w:val="22"/>
        </w:rPr>
        <w:t xml:space="preserve">no emitió respuesta en el plazo señalado en el artículo </w:t>
      </w:r>
      <w:r w:rsidR="000528E6" w:rsidRPr="00985849">
        <w:rPr>
          <w:rFonts w:ascii="Palatino Linotype" w:hAnsi="Palatino Linotype" w:cs="Tahoma"/>
          <w:sz w:val="22"/>
          <w:szCs w:val="22"/>
        </w:rPr>
        <w:t>163 de la Ley de Transparencia y Acceso a la Información Pública del Estado de México y Municipios.</w:t>
      </w:r>
    </w:p>
    <w:p w:rsidR="00124A3E" w:rsidRPr="00264223" w:rsidRDefault="00124A3E" w:rsidP="00C56AE3">
      <w:pPr>
        <w:spacing w:line="360" w:lineRule="auto"/>
        <w:ind w:right="-93"/>
        <w:jc w:val="both"/>
        <w:rPr>
          <w:rFonts w:ascii="Palatino Linotype" w:hAnsi="Palatino Linotype" w:cs="Tahoma"/>
          <w:sz w:val="22"/>
          <w:szCs w:val="22"/>
        </w:rPr>
      </w:pPr>
    </w:p>
    <w:p w:rsidR="00C56AE3" w:rsidRPr="005C0DBE" w:rsidRDefault="00C56AE3" w:rsidP="00C56AE3">
      <w:pPr>
        <w:spacing w:line="360" w:lineRule="auto"/>
        <w:ind w:right="-93"/>
        <w:jc w:val="both"/>
        <w:rPr>
          <w:rFonts w:ascii="Palatino Linotype" w:eastAsia="Calibri" w:hAnsi="Palatino Linotype" w:cs="Tahoma"/>
          <w:bCs/>
          <w:sz w:val="22"/>
          <w:szCs w:val="22"/>
          <w:lang w:eastAsia="en-US"/>
        </w:rPr>
      </w:pPr>
      <w:r w:rsidRPr="00264223">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w:t>
      </w:r>
      <w:r>
        <w:rPr>
          <w:rFonts w:ascii="Palatino Linotype" w:eastAsia="Calibri" w:hAnsi="Palatino Linotype" w:cs="Tahoma"/>
          <w:bCs/>
          <w:sz w:val="22"/>
          <w:szCs w:val="22"/>
          <w:lang w:eastAsia="en-US"/>
        </w:rPr>
        <w:t xml:space="preserve">responsabilidad administrativa los </w:t>
      </w:r>
      <w:r w:rsidRPr="00264223">
        <w:rPr>
          <w:rFonts w:ascii="Palatino Linotype" w:eastAsia="Calibri" w:hAnsi="Palatino Linotype" w:cs="Tahoma"/>
          <w:bCs/>
          <w:sz w:val="22"/>
          <w:szCs w:val="22"/>
          <w:lang w:eastAsia="en-US"/>
        </w:rPr>
        <w:t>incumplimiento</w:t>
      </w:r>
      <w:r w:rsidR="00236857">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p>
    <w:p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prevé que este Instituto deberá dar vista a la Contraloría Interna, con el fin de que determine el grado de responsabilidad de los servidores públicos que incumplan con las obligaciones establecidas en la Ley.</w:t>
      </w:r>
    </w:p>
    <w:p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p>
    <w:p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rsidR="003C6934" w:rsidRPr="00985849" w:rsidRDefault="003C6934" w:rsidP="00985849">
      <w:pPr>
        <w:spacing w:line="360" w:lineRule="auto"/>
        <w:ind w:right="-93"/>
        <w:jc w:val="both"/>
        <w:rPr>
          <w:rFonts w:ascii="Palatino Linotype" w:eastAsia="Calibri" w:hAnsi="Palatino Linotype" w:cs="Tahoma"/>
          <w:bCs/>
          <w:sz w:val="22"/>
          <w:szCs w:val="22"/>
          <w:lang w:eastAsia="en-US"/>
        </w:rPr>
      </w:pPr>
    </w:p>
    <w:p w:rsidR="003C6934" w:rsidRPr="00985849" w:rsidRDefault="003C6934"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Por lo expuesto y fundado, este Pleno:</w:t>
      </w:r>
    </w:p>
    <w:p w:rsidR="00B6258B" w:rsidRDefault="00B6258B" w:rsidP="00985849">
      <w:pPr>
        <w:spacing w:line="360" w:lineRule="auto"/>
        <w:ind w:right="-93"/>
        <w:jc w:val="both"/>
        <w:rPr>
          <w:rFonts w:ascii="Palatino Linotype" w:eastAsia="Calibri" w:hAnsi="Palatino Linotype" w:cs="Tahoma"/>
          <w:bCs/>
          <w:sz w:val="22"/>
          <w:szCs w:val="22"/>
          <w:lang w:eastAsia="en-US"/>
        </w:rPr>
      </w:pPr>
    </w:p>
    <w:p w:rsidR="00697A6D" w:rsidRDefault="00697A6D" w:rsidP="00985849">
      <w:pPr>
        <w:spacing w:line="360" w:lineRule="auto"/>
        <w:ind w:right="-93"/>
        <w:jc w:val="both"/>
        <w:rPr>
          <w:rFonts w:ascii="Palatino Linotype" w:eastAsia="Calibri" w:hAnsi="Palatino Linotype" w:cs="Tahoma"/>
          <w:bCs/>
          <w:sz w:val="22"/>
          <w:szCs w:val="22"/>
          <w:lang w:eastAsia="en-US"/>
        </w:rPr>
      </w:pPr>
    </w:p>
    <w:p w:rsidR="00697A6D" w:rsidRDefault="00697A6D" w:rsidP="00985849">
      <w:pPr>
        <w:spacing w:line="360" w:lineRule="auto"/>
        <w:ind w:right="-93"/>
        <w:jc w:val="both"/>
        <w:rPr>
          <w:rFonts w:ascii="Palatino Linotype" w:eastAsia="Calibri" w:hAnsi="Palatino Linotype" w:cs="Tahoma"/>
          <w:bCs/>
          <w:sz w:val="22"/>
          <w:szCs w:val="22"/>
          <w:lang w:eastAsia="en-US"/>
        </w:rPr>
      </w:pPr>
    </w:p>
    <w:p w:rsidR="00697A6D" w:rsidRPr="00985849" w:rsidRDefault="00697A6D" w:rsidP="00985849">
      <w:pPr>
        <w:spacing w:line="360" w:lineRule="auto"/>
        <w:ind w:right="-93"/>
        <w:jc w:val="both"/>
        <w:rPr>
          <w:rFonts w:ascii="Palatino Linotype" w:eastAsia="Calibri" w:hAnsi="Palatino Linotype" w:cs="Tahoma"/>
          <w:bCs/>
          <w:sz w:val="22"/>
          <w:szCs w:val="22"/>
          <w:lang w:eastAsia="en-US"/>
        </w:rPr>
      </w:pPr>
    </w:p>
    <w:p w:rsidR="003C6934" w:rsidRPr="00985849" w:rsidRDefault="003C6934" w:rsidP="00985849">
      <w:pPr>
        <w:spacing w:line="360" w:lineRule="auto"/>
        <w:ind w:right="-93"/>
        <w:jc w:val="center"/>
        <w:rPr>
          <w:rFonts w:ascii="Palatino Linotype" w:eastAsia="Calibri" w:hAnsi="Palatino Linotype" w:cs="Tahoma"/>
          <w:b/>
          <w:bCs/>
          <w:sz w:val="22"/>
          <w:szCs w:val="22"/>
          <w:lang w:eastAsia="en-US"/>
        </w:rPr>
      </w:pPr>
      <w:r w:rsidRPr="00985849">
        <w:rPr>
          <w:rFonts w:ascii="Palatino Linotype" w:eastAsia="Calibri" w:hAnsi="Palatino Linotype" w:cs="Tahoma"/>
          <w:b/>
          <w:bCs/>
          <w:sz w:val="22"/>
          <w:szCs w:val="22"/>
          <w:lang w:eastAsia="en-US"/>
        </w:rPr>
        <w:t>RESUELVE:</w:t>
      </w:r>
    </w:p>
    <w:p w:rsidR="003C6934" w:rsidRPr="00985849" w:rsidRDefault="003C6934" w:rsidP="00985849">
      <w:pPr>
        <w:spacing w:line="360" w:lineRule="auto"/>
        <w:ind w:right="-93"/>
        <w:rPr>
          <w:rFonts w:ascii="Palatino Linotype" w:eastAsia="Calibri" w:hAnsi="Palatino Linotype" w:cs="Tahoma"/>
          <w:b/>
          <w:bCs/>
          <w:sz w:val="22"/>
          <w:szCs w:val="22"/>
          <w:lang w:eastAsia="en-US"/>
        </w:rPr>
      </w:pPr>
    </w:p>
    <w:p w:rsidR="00BE725A" w:rsidRPr="00985849" w:rsidRDefault="003C6934" w:rsidP="00985849">
      <w:pPr>
        <w:shd w:val="clear" w:color="auto" w:fill="FFFFFF" w:themeFill="background1"/>
        <w:spacing w:line="360" w:lineRule="auto"/>
        <w:jc w:val="both"/>
        <w:rPr>
          <w:rFonts w:ascii="Palatino Linotype" w:eastAsia="Calibri" w:hAnsi="Palatino Linotype" w:cs="Tahoma"/>
          <w:bCs/>
          <w:sz w:val="22"/>
          <w:szCs w:val="22"/>
          <w:lang w:eastAsia="en-US"/>
        </w:rPr>
      </w:pPr>
      <w:r w:rsidRPr="00985849">
        <w:rPr>
          <w:rFonts w:ascii="Palatino Linotype" w:eastAsia="Calibri" w:hAnsi="Palatino Linotype" w:cs="Tahoma"/>
          <w:b/>
          <w:bCs/>
          <w:sz w:val="22"/>
          <w:szCs w:val="22"/>
          <w:lang w:eastAsia="en-US"/>
        </w:rPr>
        <w:t xml:space="preserve">PRIMERO. </w:t>
      </w:r>
      <w:r w:rsidR="00BE725A" w:rsidRPr="00985849">
        <w:rPr>
          <w:rFonts w:ascii="Palatino Linotype" w:eastAsia="Calibri" w:hAnsi="Palatino Linotype" w:cs="Tahoma"/>
          <w:bCs/>
          <w:sz w:val="22"/>
          <w:szCs w:val="22"/>
          <w:lang w:eastAsia="en-US"/>
        </w:rPr>
        <w:t xml:space="preserve">Resultan </w:t>
      </w:r>
      <w:r w:rsidR="000813B0" w:rsidRPr="00985849">
        <w:rPr>
          <w:rFonts w:ascii="Palatino Linotype" w:eastAsia="Calibri" w:hAnsi="Palatino Linotype" w:cs="Tahoma"/>
          <w:b/>
          <w:bCs/>
          <w:sz w:val="22"/>
          <w:szCs w:val="22"/>
          <w:lang w:eastAsia="en-US"/>
        </w:rPr>
        <w:t>FUNDADAS</w:t>
      </w:r>
      <w:r w:rsidR="00BE725A" w:rsidRPr="00985849">
        <w:rPr>
          <w:rFonts w:ascii="Palatino Linotype" w:eastAsia="Calibri" w:hAnsi="Palatino Linotype" w:cs="Tahoma"/>
          <w:bCs/>
          <w:sz w:val="22"/>
          <w:szCs w:val="22"/>
          <w:lang w:eastAsia="en-US"/>
        </w:rPr>
        <w:t xml:space="preserve"> las razones o motivos de inconformidad hechos valer por </w:t>
      </w:r>
      <w:r w:rsidR="002D5DDD" w:rsidRPr="00985849">
        <w:rPr>
          <w:rFonts w:ascii="Palatino Linotype" w:eastAsia="Calibri" w:hAnsi="Palatino Linotype" w:cs="Tahoma"/>
          <w:bCs/>
          <w:sz w:val="22"/>
          <w:szCs w:val="22"/>
          <w:lang w:eastAsia="en-US"/>
        </w:rPr>
        <w:t xml:space="preserve">el </w:t>
      </w:r>
      <w:r w:rsidR="00BE725A" w:rsidRPr="00985849">
        <w:rPr>
          <w:rFonts w:ascii="Palatino Linotype" w:eastAsia="Calibri" w:hAnsi="Palatino Linotype" w:cs="Tahoma"/>
          <w:bCs/>
          <w:sz w:val="22"/>
          <w:szCs w:val="22"/>
          <w:lang w:eastAsia="en-US"/>
        </w:rPr>
        <w:t xml:space="preserve"> Recurrente, en términos del considerando </w:t>
      </w:r>
      <w:r w:rsidR="00956793">
        <w:rPr>
          <w:rFonts w:ascii="Palatino Linotype" w:eastAsia="Calibri" w:hAnsi="Palatino Linotype" w:cs="Tahoma"/>
          <w:bCs/>
          <w:sz w:val="22"/>
          <w:szCs w:val="22"/>
          <w:lang w:eastAsia="en-US"/>
        </w:rPr>
        <w:t xml:space="preserve">QUINTO </w:t>
      </w:r>
      <w:r w:rsidR="00BE725A" w:rsidRPr="00985849">
        <w:rPr>
          <w:rFonts w:ascii="Palatino Linotype" w:eastAsia="Calibri" w:hAnsi="Palatino Linotype" w:cs="Tahoma"/>
          <w:bCs/>
          <w:sz w:val="22"/>
          <w:szCs w:val="22"/>
          <w:lang w:eastAsia="en-US"/>
        </w:rPr>
        <w:t>de la presente resolución.</w:t>
      </w:r>
    </w:p>
    <w:p w:rsidR="00BE725A" w:rsidRPr="00985849" w:rsidRDefault="00BE725A" w:rsidP="00985849">
      <w:pPr>
        <w:shd w:val="clear" w:color="auto" w:fill="FFFFFF" w:themeFill="background1"/>
        <w:spacing w:line="360" w:lineRule="auto"/>
        <w:jc w:val="both"/>
        <w:rPr>
          <w:rFonts w:ascii="Palatino Linotype" w:eastAsia="Calibri" w:hAnsi="Palatino Linotype" w:cs="Tahoma"/>
          <w:bCs/>
          <w:sz w:val="22"/>
          <w:szCs w:val="22"/>
          <w:lang w:eastAsia="en-US"/>
        </w:rPr>
      </w:pPr>
    </w:p>
    <w:p w:rsidR="0018368E" w:rsidRDefault="00BE725A" w:rsidP="0018368E">
      <w:pPr>
        <w:spacing w:line="360" w:lineRule="auto"/>
        <w:ind w:right="-93"/>
        <w:jc w:val="both"/>
        <w:rPr>
          <w:rFonts w:ascii="Palatino Linotype" w:hAnsi="Palatino Linotype" w:cs="Tahoma"/>
          <w:bCs/>
          <w:sz w:val="22"/>
          <w:szCs w:val="22"/>
        </w:rPr>
      </w:pPr>
      <w:r w:rsidRPr="00985849">
        <w:rPr>
          <w:rFonts w:ascii="Palatino Linotype" w:eastAsia="Calibri" w:hAnsi="Palatino Linotype" w:cs="Tahoma"/>
          <w:b/>
          <w:bCs/>
          <w:sz w:val="22"/>
          <w:szCs w:val="22"/>
          <w:lang w:eastAsia="en-US"/>
        </w:rPr>
        <w:t>SEGUNDO.</w:t>
      </w:r>
      <w:r w:rsidR="00E70503" w:rsidRPr="00985849">
        <w:rPr>
          <w:rFonts w:ascii="Palatino Linotype" w:eastAsia="Calibri" w:hAnsi="Palatino Linotype" w:cs="Tahoma"/>
          <w:b/>
          <w:bCs/>
          <w:sz w:val="22"/>
          <w:szCs w:val="22"/>
          <w:lang w:eastAsia="en-US"/>
        </w:rPr>
        <w:t xml:space="preserve"> </w:t>
      </w:r>
      <w:r w:rsidR="00130F33" w:rsidRPr="00985849">
        <w:rPr>
          <w:rFonts w:ascii="Palatino Linotype" w:eastAsia="Calibri" w:hAnsi="Palatino Linotype" w:cs="Tahoma"/>
          <w:sz w:val="22"/>
          <w:szCs w:val="22"/>
          <w:lang w:eastAsia="es-MX"/>
        </w:rPr>
        <w:t xml:space="preserve">Se </w:t>
      </w:r>
      <w:r w:rsidR="00130F33" w:rsidRPr="00985849">
        <w:rPr>
          <w:rFonts w:ascii="Palatino Linotype" w:eastAsia="Calibri" w:hAnsi="Palatino Linotype" w:cs="Tahoma"/>
          <w:b/>
          <w:sz w:val="22"/>
          <w:szCs w:val="22"/>
          <w:lang w:eastAsia="es-MX"/>
        </w:rPr>
        <w:t xml:space="preserve">ORDENA </w:t>
      </w:r>
      <w:r w:rsidR="00130F33" w:rsidRPr="00985849">
        <w:rPr>
          <w:rFonts w:ascii="Palatino Linotype" w:eastAsia="Calibri" w:hAnsi="Palatino Linotype" w:cs="Tahoma"/>
          <w:sz w:val="22"/>
          <w:szCs w:val="22"/>
          <w:lang w:eastAsia="es-MX"/>
        </w:rPr>
        <w:t xml:space="preserve">al Ayuntamiento de </w:t>
      </w:r>
      <w:r w:rsidR="000477E7" w:rsidRPr="00985849">
        <w:rPr>
          <w:rFonts w:ascii="Palatino Linotype" w:eastAsia="Calibri" w:hAnsi="Palatino Linotype" w:cs="Tahoma"/>
          <w:sz w:val="22"/>
          <w:szCs w:val="22"/>
          <w:lang w:eastAsia="es-MX"/>
        </w:rPr>
        <w:t>T</w:t>
      </w:r>
      <w:r w:rsidR="00124A3E">
        <w:rPr>
          <w:rFonts w:ascii="Palatino Linotype" w:eastAsia="Calibri" w:hAnsi="Palatino Linotype" w:cs="Tahoma"/>
          <w:sz w:val="22"/>
          <w:szCs w:val="22"/>
          <w:lang w:eastAsia="es-MX"/>
        </w:rPr>
        <w:t>imilpan</w:t>
      </w:r>
      <w:r w:rsidR="00130F33" w:rsidRPr="00985849">
        <w:rPr>
          <w:rFonts w:ascii="Palatino Linotype" w:eastAsia="Calibri" w:hAnsi="Palatino Linotype" w:cs="Tahoma"/>
          <w:sz w:val="22"/>
          <w:szCs w:val="22"/>
          <w:lang w:eastAsia="es-MX"/>
        </w:rPr>
        <w:t xml:space="preserve">, </w:t>
      </w:r>
      <w:r w:rsidR="0018368E" w:rsidRPr="00985849">
        <w:rPr>
          <w:rFonts w:ascii="Palatino Linotype" w:hAnsi="Palatino Linotype" w:cs="Tahoma"/>
          <w:sz w:val="22"/>
          <w:szCs w:val="22"/>
        </w:rPr>
        <w:t>previa búsqueda exhaustiva en todas las áreas competentes</w:t>
      </w:r>
      <w:r w:rsidR="0018368E" w:rsidRPr="00985849">
        <w:rPr>
          <w:rFonts w:ascii="Palatino Linotype" w:hAnsi="Palatino Linotype" w:cs="Tahoma"/>
          <w:bCs/>
          <w:sz w:val="22"/>
          <w:szCs w:val="22"/>
        </w:rPr>
        <w:t xml:space="preserve">, </w:t>
      </w:r>
      <w:r w:rsidR="0018368E" w:rsidRPr="00A50EAF">
        <w:rPr>
          <w:rFonts w:ascii="Palatino Linotype" w:hAnsi="Palatino Linotype" w:cs="Tahoma"/>
          <w:bCs/>
          <w:sz w:val="22"/>
          <w:szCs w:val="22"/>
        </w:rPr>
        <w:t xml:space="preserve">otorgue </w:t>
      </w:r>
      <w:r w:rsidR="0018368E">
        <w:rPr>
          <w:rFonts w:ascii="Palatino Linotype" w:hAnsi="Palatino Linotype" w:cs="Tahoma"/>
          <w:bCs/>
          <w:sz w:val="22"/>
          <w:szCs w:val="22"/>
        </w:rPr>
        <w:t xml:space="preserve">acceso vía el Sistema de Acceso a la Información Mexiquense (SAIMEX), versión pública de la nómina </w:t>
      </w:r>
      <w:r w:rsidR="0018368E" w:rsidRPr="00A50EAF">
        <w:rPr>
          <w:rFonts w:ascii="Palatino Linotype" w:hAnsi="Palatino Linotype" w:cs="Tahoma"/>
          <w:bCs/>
          <w:sz w:val="22"/>
          <w:szCs w:val="22"/>
        </w:rPr>
        <w:t>correspondiente a las dos quincenas de</w:t>
      </w:r>
      <w:r w:rsidR="0018368E">
        <w:rPr>
          <w:rFonts w:ascii="Palatino Linotype" w:hAnsi="Palatino Linotype" w:cs="Tahoma"/>
          <w:bCs/>
          <w:sz w:val="22"/>
          <w:szCs w:val="22"/>
        </w:rPr>
        <w:t>l</w:t>
      </w:r>
      <w:r w:rsidR="0018368E" w:rsidRPr="00A50EAF">
        <w:rPr>
          <w:rFonts w:ascii="Palatino Linotype" w:hAnsi="Palatino Linotype" w:cs="Tahoma"/>
          <w:bCs/>
          <w:sz w:val="22"/>
          <w:szCs w:val="22"/>
        </w:rPr>
        <w:t xml:space="preserve"> mes de marzo de </w:t>
      </w:r>
      <w:r w:rsidR="0018368E">
        <w:rPr>
          <w:rFonts w:ascii="Palatino Linotype" w:hAnsi="Palatino Linotype" w:cs="Tahoma"/>
          <w:bCs/>
          <w:sz w:val="22"/>
          <w:szCs w:val="22"/>
        </w:rPr>
        <w:t>dos mil dieciocho.</w:t>
      </w:r>
    </w:p>
    <w:p w:rsidR="0018368E" w:rsidRDefault="0018368E" w:rsidP="0018368E">
      <w:pPr>
        <w:spacing w:line="360" w:lineRule="auto"/>
        <w:ind w:right="-93"/>
        <w:jc w:val="both"/>
        <w:rPr>
          <w:rFonts w:ascii="Palatino Linotype" w:hAnsi="Palatino Linotype" w:cs="Tahoma"/>
          <w:bCs/>
          <w:sz w:val="22"/>
          <w:szCs w:val="22"/>
        </w:rPr>
      </w:pPr>
    </w:p>
    <w:p w:rsidR="0018368E" w:rsidRPr="00A50EAF" w:rsidRDefault="0018368E" w:rsidP="0018368E">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Asimismo, deberá entregar en caso de que se generen, versiones públicas del documento o documentos en donde conste cualquier tipo de sobre sueldo, así como de la Lista de Raya, ambos de las dos quincenas </w:t>
      </w:r>
      <w:r w:rsidRPr="00784DBB">
        <w:rPr>
          <w:rFonts w:ascii="Palatino Linotype" w:hAnsi="Palatino Linotype" w:cs="Tahoma"/>
          <w:bCs/>
          <w:sz w:val="22"/>
          <w:szCs w:val="22"/>
        </w:rPr>
        <w:t>de</w:t>
      </w:r>
      <w:r>
        <w:rPr>
          <w:rFonts w:ascii="Palatino Linotype" w:hAnsi="Palatino Linotype" w:cs="Tahoma"/>
          <w:bCs/>
          <w:sz w:val="22"/>
          <w:szCs w:val="22"/>
        </w:rPr>
        <w:t>l</w:t>
      </w:r>
      <w:r w:rsidRPr="00784DBB">
        <w:rPr>
          <w:rFonts w:ascii="Palatino Linotype" w:hAnsi="Palatino Linotype" w:cs="Tahoma"/>
          <w:bCs/>
          <w:sz w:val="22"/>
          <w:szCs w:val="22"/>
        </w:rPr>
        <w:t xml:space="preserve"> mes de marzo de </w:t>
      </w:r>
      <w:r>
        <w:rPr>
          <w:rFonts w:ascii="Palatino Linotype" w:hAnsi="Palatino Linotype" w:cs="Tahoma"/>
          <w:bCs/>
          <w:sz w:val="22"/>
          <w:szCs w:val="22"/>
        </w:rPr>
        <w:t>dos mil dieciocho.</w:t>
      </w:r>
    </w:p>
    <w:p w:rsidR="0018368E" w:rsidRPr="00A50EAF" w:rsidRDefault="0018368E" w:rsidP="0018368E">
      <w:pPr>
        <w:spacing w:line="360" w:lineRule="auto"/>
        <w:ind w:right="-93"/>
        <w:jc w:val="both"/>
        <w:rPr>
          <w:rFonts w:ascii="Palatino Linotype" w:hAnsi="Palatino Linotype" w:cs="Tahoma"/>
          <w:sz w:val="22"/>
          <w:szCs w:val="22"/>
          <w:lang w:val="es-ES"/>
        </w:rPr>
      </w:pPr>
    </w:p>
    <w:p w:rsidR="0018368E" w:rsidRPr="00A50EAF" w:rsidRDefault="0018368E" w:rsidP="0018368E">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 documentación se deberá entregar </w:t>
      </w:r>
      <w:r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del artículo 140, fracción IV y </w:t>
      </w:r>
      <w:r w:rsidRPr="00A50EAF">
        <w:rPr>
          <w:rFonts w:ascii="Palatino Linotype" w:hAnsi="Palatino Linotype" w:cs="Tahoma"/>
          <w:sz w:val="22"/>
          <w:szCs w:val="22"/>
          <w:lang w:val="es-ES"/>
        </w:rPr>
        <w:t>143, fracción I de la Ley de Transparencia y Acceso a la Información Pública del Estado de México y Municipios</w:t>
      </w:r>
      <w:r>
        <w:rPr>
          <w:rFonts w:ascii="Palatino Linotype" w:hAnsi="Palatino Linotype" w:cs="Tahoma"/>
          <w:sz w:val="22"/>
          <w:szCs w:val="22"/>
          <w:lang w:val="es-ES"/>
        </w:rPr>
        <w:t xml:space="preserve">; lo anterior, de conformidad con lo establecido en los Considerandos </w:t>
      </w:r>
      <w:r w:rsidRPr="00A727DD">
        <w:rPr>
          <w:rFonts w:ascii="Palatino Linotype" w:hAnsi="Palatino Linotype" w:cs="Tahoma"/>
          <w:caps/>
          <w:sz w:val="22"/>
          <w:szCs w:val="22"/>
          <w:lang w:val="es-ES"/>
        </w:rPr>
        <w:t>Quinto</w:t>
      </w:r>
      <w:r>
        <w:rPr>
          <w:rFonts w:ascii="Palatino Linotype" w:hAnsi="Palatino Linotype" w:cs="Tahoma"/>
          <w:sz w:val="22"/>
          <w:szCs w:val="22"/>
          <w:lang w:val="es-ES"/>
        </w:rPr>
        <w:t xml:space="preserve"> y </w:t>
      </w:r>
      <w:r w:rsidRPr="00A727DD">
        <w:rPr>
          <w:rFonts w:ascii="Palatino Linotype" w:hAnsi="Palatino Linotype" w:cs="Tahoma"/>
          <w:caps/>
          <w:sz w:val="22"/>
          <w:szCs w:val="22"/>
          <w:lang w:val="es-ES"/>
        </w:rPr>
        <w:t>Sexto</w:t>
      </w:r>
      <w:r>
        <w:rPr>
          <w:rFonts w:ascii="Palatino Linotype" w:hAnsi="Palatino Linotype" w:cs="Tahoma"/>
          <w:sz w:val="22"/>
          <w:szCs w:val="22"/>
          <w:lang w:val="es-ES"/>
        </w:rPr>
        <w:t xml:space="preserve"> de la presente Resolución.</w:t>
      </w:r>
    </w:p>
    <w:p w:rsidR="00B6258B" w:rsidRPr="00985849" w:rsidRDefault="00B6258B" w:rsidP="0018368E">
      <w:pPr>
        <w:shd w:val="clear" w:color="auto" w:fill="FFFFFF" w:themeFill="background1"/>
        <w:spacing w:line="360" w:lineRule="auto"/>
        <w:jc w:val="both"/>
        <w:rPr>
          <w:rFonts w:ascii="Palatino Linotype" w:hAnsi="Palatino Linotype" w:cs="Arial"/>
          <w:sz w:val="22"/>
          <w:szCs w:val="22"/>
        </w:rPr>
      </w:pPr>
    </w:p>
    <w:p w:rsidR="00130F33" w:rsidRPr="00985849" w:rsidRDefault="00D8718E" w:rsidP="00985849">
      <w:pPr>
        <w:spacing w:line="360" w:lineRule="auto"/>
        <w:jc w:val="both"/>
        <w:rPr>
          <w:rFonts w:ascii="Palatino Linotype" w:hAnsi="Palatino Linotype" w:cs="Tahoma"/>
          <w:i/>
          <w:sz w:val="22"/>
          <w:szCs w:val="22"/>
        </w:rPr>
      </w:pPr>
      <w:r w:rsidRPr="00985849">
        <w:rPr>
          <w:rFonts w:ascii="Palatino Linotype" w:eastAsia="Calibri" w:hAnsi="Palatino Linotype" w:cs="Tahoma"/>
          <w:b/>
          <w:bCs/>
          <w:sz w:val="22"/>
          <w:szCs w:val="22"/>
          <w:lang w:eastAsia="en-US"/>
        </w:rPr>
        <w:t>TERCERO.</w:t>
      </w:r>
      <w:r w:rsidR="007B0E7E">
        <w:rPr>
          <w:rFonts w:ascii="Palatino Linotype" w:eastAsia="Calibri" w:hAnsi="Palatino Linotype" w:cs="Tahoma"/>
          <w:b/>
          <w:bCs/>
          <w:sz w:val="22"/>
          <w:szCs w:val="22"/>
          <w:lang w:eastAsia="en-US"/>
        </w:rPr>
        <w:t xml:space="preserve"> </w:t>
      </w:r>
      <w:r w:rsidR="00130F33" w:rsidRPr="00985849">
        <w:rPr>
          <w:rFonts w:ascii="Palatino Linotype" w:hAnsi="Palatino Linotype" w:cs="Tahoma"/>
          <w:b/>
          <w:sz w:val="22"/>
          <w:szCs w:val="22"/>
        </w:rPr>
        <w:t xml:space="preserve">NOTIFÍQUESE </w:t>
      </w:r>
      <w:r w:rsidR="00130F33" w:rsidRPr="00985849">
        <w:rPr>
          <w:rFonts w:ascii="Palatino Linotype" w:hAnsi="Palatino Linotype" w:cs="Tahoma"/>
          <w:sz w:val="22"/>
          <w:szCs w:val="22"/>
        </w:rPr>
        <w:t xml:space="preserve">la presente resolución al Titular de la Unidad de Transparencia del </w:t>
      </w:r>
      <w:r w:rsidR="00956793">
        <w:rPr>
          <w:rFonts w:ascii="Palatino Linotype" w:hAnsi="Palatino Linotype" w:cs="Tahoma"/>
          <w:sz w:val="22"/>
          <w:szCs w:val="22"/>
        </w:rPr>
        <w:t>Sujeto Obligado</w:t>
      </w:r>
      <w:r w:rsidR="00130F33" w:rsidRPr="00985849">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130F33" w:rsidRPr="00985849" w:rsidRDefault="00130F33" w:rsidP="00985849">
      <w:pPr>
        <w:shd w:val="clear" w:color="auto" w:fill="FFFFFF" w:themeFill="background1"/>
        <w:spacing w:line="360" w:lineRule="auto"/>
        <w:jc w:val="both"/>
        <w:rPr>
          <w:rFonts w:ascii="Palatino Linotype" w:eastAsia="Calibri" w:hAnsi="Palatino Linotype" w:cs="Tahoma"/>
          <w:sz w:val="22"/>
          <w:szCs w:val="22"/>
          <w:lang w:eastAsia="es-MX"/>
        </w:rPr>
      </w:pPr>
    </w:p>
    <w:p w:rsidR="00130F33" w:rsidRPr="00985849" w:rsidRDefault="00D8718E" w:rsidP="00985849">
      <w:pPr>
        <w:shd w:val="clear" w:color="auto" w:fill="FFFFFF" w:themeFill="background1"/>
        <w:spacing w:line="360" w:lineRule="auto"/>
        <w:jc w:val="both"/>
        <w:rPr>
          <w:rFonts w:ascii="Palatino Linotype" w:hAnsi="Palatino Linotype" w:cs="Tahoma"/>
          <w:sz w:val="22"/>
          <w:szCs w:val="22"/>
        </w:rPr>
      </w:pPr>
      <w:r w:rsidRPr="00985849">
        <w:rPr>
          <w:rFonts w:ascii="Palatino Linotype" w:eastAsia="Calibri" w:hAnsi="Palatino Linotype" w:cs="Tahoma"/>
          <w:b/>
          <w:sz w:val="22"/>
          <w:szCs w:val="22"/>
          <w:lang w:eastAsia="es-MX"/>
        </w:rPr>
        <w:t>CUARTO</w:t>
      </w:r>
      <w:r w:rsidR="003C6934" w:rsidRPr="00985849">
        <w:rPr>
          <w:rFonts w:ascii="Palatino Linotype" w:eastAsia="Calibri" w:hAnsi="Palatino Linotype" w:cs="Tahoma"/>
          <w:b/>
          <w:bCs/>
          <w:sz w:val="22"/>
          <w:szCs w:val="22"/>
          <w:lang w:eastAsia="en-US"/>
        </w:rPr>
        <w:t>.</w:t>
      </w:r>
      <w:r w:rsidR="007B0E7E">
        <w:rPr>
          <w:rFonts w:ascii="Palatino Linotype" w:eastAsia="Calibri" w:hAnsi="Palatino Linotype" w:cs="Tahoma"/>
          <w:b/>
          <w:bCs/>
          <w:sz w:val="22"/>
          <w:szCs w:val="22"/>
          <w:lang w:eastAsia="en-US"/>
        </w:rPr>
        <w:t xml:space="preserve"> </w:t>
      </w:r>
      <w:r w:rsidR="00130F33" w:rsidRPr="00985849">
        <w:rPr>
          <w:rFonts w:ascii="Palatino Linotype" w:hAnsi="Palatino Linotype" w:cs="Tahoma"/>
          <w:b/>
          <w:sz w:val="22"/>
          <w:szCs w:val="22"/>
        </w:rPr>
        <w:t>NOTIFÍQUESE</w:t>
      </w:r>
      <w:r w:rsidR="00130F33" w:rsidRPr="0098584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B6258B" w:rsidRPr="00985849" w:rsidRDefault="0018368E" w:rsidP="00DE6AEC">
      <w:pPr>
        <w:tabs>
          <w:tab w:val="left" w:pos="650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ab/>
      </w:r>
    </w:p>
    <w:p w:rsidR="00E51E18" w:rsidRPr="00985849" w:rsidRDefault="00130F33" w:rsidP="00985849">
      <w:pPr>
        <w:spacing w:line="360" w:lineRule="auto"/>
        <w:ind w:right="-93"/>
        <w:jc w:val="both"/>
        <w:rPr>
          <w:rFonts w:ascii="Palatino Linotype" w:eastAsia="Calibri" w:hAnsi="Palatino Linotype" w:cs="Tahoma"/>
          <w:bCs/>
          <w:sz w:val="22"/>
          <w:szCs w:val="22"/>
          <w:lang w:val="es-ES_tradnl" w:eastAsia="en-US"/>
        </w:rPr>
      </w:pPr>
      <w:r w:rsidRPr="00985849">
        <w:rPr>
          <w:rFonts w:ascii="Palatino Linotype" w:eastAsia="Calibri" w:hAnsi="Palatino Linotype" w:cs="Tahoma"/>
          <w:b/>
          <w:bCs/>
          <w:sz w:val="22"/>
          <w:szCs w:val="22"/>
          <w:lang w:eastAsia="en-US"/>
        </w:rPr>
        <w:t>QUINTO</w:t>
      </w:r>
      <w:r w:rsidR="003C6934" w:rsidRPr="00985849">
        <w:rPr>
          <w:rFonts w:ascii="Palatino Linotype" w:eastAsia="Calibri" w:hAnsi="Palatino Linotype" w:cs="Tahoma"/>
          <w:b/>
          <w:bCs/>
          <w:sz w:val="22"/>
          <w:szCs w:val="22"/>
          <w:lang w:eastAsia="en-US"/>
        </w:rPr>
        <w:t>.</w:t>
      </w:r>
      <w:r w:rsidR="00E70887">
        <w:rPr>
          <w:rFonts w:ascii="Palatino Linotype" w:eastAsia="Calibri" w:hAnsi="Palatino Linotype" w:cs="Tahoma"/>
          <w:b/>
          <w:bCs/>
          <w:sz w:val="22"/>
          <w:szCs w:val="22"/>
          <w:lang w:eastAsia="en-US"/>
        </w:rPr>
        <w:t xml:space="preserve"> </w:t>
      </w:r>
      <w:r w:rsidR="008E2327" w:rsidRPr="00985849">
        <w:rPr>
          <w:rFonts w:ascii="Palatino Linotype" w:eastAsia="Calibri" w:hAnsi="Palatino Linotype" w:cs="Tahoma"/>
          <w:bCs/>
          <w:sz w:val="22"/>
          <w:szCs w:val="22"/>
          <w:lang w:val="es-ES_tradnl" w:eastAsia="en-US"/>
        </w:rPr>
        <w:t xml:space="preserve">Con fundamento en lo dispuesto en los artículos 190 de la </w:t>
      </w:r>
      <w:r w:rsidR="008E2327" w:rsidRPr="00985849">
        <w:rPr>
          <w:rFonts w:ascii="Palatino Linotype" w:hAnsi="Palatino Linotype" w:cs="Tahoma"/>
          <w:sz w:val="22"/>
          <w:szCs w:val="22"/>
        </w:rPr>
        <w:t>Ley de Transparencia y Acceso a la Información Pública del Estado de México y Municipios,</w:t>
      </w:r>
      <w:r w:rsidR="00E70503" w:rsidRPr="00985849">
        <w:rPr>
          <w:rFonts w:ascii="Palatino Linotype" w:hAnsi="Palatino Linotype" w:cs="Tahoma"/>
          <w:sz w:val="22"/>
          <w:szCs w:val="22"/>
        </w:rPr>
        <w:t xml:space="preserve"> </w:t>
      </w:r>
      <w:r w:rsidR="00426448" w:rsidRPr="00985849">
        <w:rPr>
          <w:rFonts w:ascii="Palatino Linotype" w:hAnsi="Palatino Linotype" w:cs="Tahoma"/>
          <w:sz w:val="22"/>
          <w:szCs w:val="22"/>
        </w:rPr>
        <w:t>g</w:t>
      </w:r>
      <w:proofErr w:type="spellStart"/>
      <w:r w:rsidR="00E51E18" w:rsidRPr="00985849">
        <w:rPr>
          <w:rFonts w:ascii="Palatino Linotype" w:eastAsia="Calibri" w:hAnsi="Palatino Linotype" w:cs="Tahoma"/>
          <w:bCs/>
          <w:sz w:val="22"/>
          <w:szCs w:val="22"/>
          <w:lang w:val="es-ES_tradnl" w:eastAsia="en-US"/>
        </w:rPr>
        <w:t>írese</w:t>
      </w:r>
      <w:proofErr w:type="spellEnd"/>
      <w:r w:rsidR="00E51E18" w:rsidRPr="00985849">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w:t>
      </w:r>
      <w:r w:rsidR="0071645E">
        <w:rPr>
          <w:rFonts w:ascii="Palatino Linotype" w:eastAsia="Calibri" w:hAnsi="Palatino Linotype" w:cs="Tahoma"/>
          <w:bCs/>
          <w:sz w:val="22"/>
          <w:szCs w:val="22"/>
          <w:lang w:val="es-ES_tradnl" w:eastAsia="en-US"/>
        </w:rPr>
        <w:t>Octavo</w:t>
      </w:r>
      <w:r w:rsidR="00E51E18" w:rsidRPr="00985849">
        <w:rPr>
          <w:rFonts w:ascii="Palatino Linotype" w:eastAsia="Calibri" w:hAnsi="Palatino Linotype" w:cs="Tahoma"/>
          <w:bCs/>
          <w:sz w:val="22"/>
          <w:szCs w:val="22"/>
          <w:lang w:val="es-ES_tradnl" w:eastAsia="en-US"/>
        </w:rPr>
        <w:t xml:space="preserve"> de la presente resolución.</w:t>
      </w:r>
    </w:p>
    <w:p w:rsidR="003C6934" w:rsidRPr="00985849" w:rsidRDefault="003C6934" w:rsidP="00985849">
      <w:pPr>
        <w:spacing w:line="360" w:lineRule="auto"/>
        <w:ind w:right="-93"/>
        <w:jc w:val="both"/>
        <w:rPr>
          <w:rFonts w:ascii="Palatino Linotype" w:eastAsia="Calibri" w:hAnsi="Palatino Linotype" w:cs="Tahoma"/>
          <w:b/>
          <w:bCs/>
          <w:sz w:val="22"/>
          <w:szCs w:val="22"/>
          <w:lang w:eastAsia="en-US"/>
        </w:rPr>
      </w:pPr>
    </w:p>
    <w:p w:rsidR="002F199F" w:rsidRPr="00985849" w:rsidRDefault="00F4018F" w:rsidP="00985849">
      <w:pPr>
        <w:spacing w:line="360" w:lineRule="auto"/>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ASÍ, POR </w:t>
      </w:r>
      <w:r w:rsidR="005A3131" w:rsidRPr="003C5742">
        <w:rPr>
          <w:rFonts w:ascii="Palatino Linotype" w:hAnsi="Palatino Linotype" w:cs="Tahoma"/>
          <w:b/>
          <w:sz w:val="22"/>
          <w:szCs w:val="22"/>
          <w:lang w:eastAsia="es-MX"/>
        </w:rPr>
        <w:t>UNANIMIDAD</w:t>
      </w:r>
      <w:r w:rsidR="005A3131"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5B5DEE" w:rsidRPr="00985849">
        <w:rPr>
          <w:rFonts w:ascii="Palatino Linotype" w:hAnsi="Palatino Linotype" w:cs="Tahoma"/>
          <w:sz w:val="22"/>
          <w:szCs w:val="22"/>
          <w:lang w:eastAsia="es-MX"/>
        </w:rPr>
        <w:t>;</w:t>
      </w:r>
      <w:r w:rsidR="007C6E6C" w:rsidRPr="00985849">
        <w:rPr>
          <w:rFonts w:ascii="Palatino Linotype" w:hAnsi="Palatino Linotype" w:cs="Tahoma"/>
          <w:sz w:val="22"/>
          <w:szCs w:val="22"/>
          <w:lang w:eastAsia="es-MX"/>
        </w:rPr>
        <w:t xml:space="preserve"> </w:t>
      </w:r>
      <w:r w:rsidRPr="00985849">
        <w:rPr>
          <w:rFonts w:ascii="Palatino Linotype" w:hAnsi="Palatino Linotype" w:cs="Tahoma"/>
          <w:bCs/>
          <w:sz w:val="22"/>
          <w:szCs w:val="22"/>
          <w:lang w:eastAsia="es-MX"/>
        </w:rPr>
        <w:t>EVA ABAID YAPUR</w:t>
      </w:r>
      <w:r w:rsidR="00697A6D">
        <w:rPr>
          <w:rFonts w:ascii="Palatino Linotype" w:hAnsi="Palatino Linotype" w:cs="Tahoma"/>
          <w:bCs/>
          <w:sz w:val="22"/>
          <w:szCs w:val="22"/>
          <w:lang w:eastAsia="es-MX"/>
        </w:rPr>
        <w:t xml:space="preserve"> (EMITIENDO VOTO PARTICULAR);</w:t>
      </w:r>
      <w:r w:rsidR="007C6E6C"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JOSÉ GUADALUPE LUNA HERNÁND</w:t>
      </w:r>
      <w:r w:rsidR="005B5DEE" w:rsidRPr="00985849">
        <w:rPr>
          <w:rFonts w:ascii="Palatino Linotype" w:hAnsi="Palatino Linotype" w:cs="Tahoma"/>
          <w:sz w:val="22"/>
          <w:szCs w:val="22"/>
          <w:lang w:eastAsia="es-MX"/>
        </w:rPr>
        <w:t>EZ</w:t>
      </w:r>
      <w:r w:rsidR="00697A6D">
        <w:rPr>
          <w:rFonts w:ascii="Palatino Linotype" w:hAnsi="Palatino Linotype" w:cs="Tahoma"/>
          <w:sz w:val="22"/>
          <w:szCs w:val="22"/>
          <w:lang w:eastAsia="es-MX"/>
        </w:rPr>
        <w:t xml:space="preserve"> </w:t>
      </w:r>
      <w:r w:rsidR="00697A6D">
        <w:rPr>
          <w:rFonts w:ascii="Palatino Linotype" w:hAnsi="Palatino Linotype" w:cs="Tahoma"/>
          <w:bCs/>
          <w:sz w:val="22"/>
          <w:szCs w:val="22"/>
          <w:lang w:eastAsia="es-MX"/>
        </w:rPr>
        <w:t>(EMITIENDO VOTO PARTICULAR)</w:t>
      </w:r>
      <w:r w:rsidR="005B5DEE"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val="es-ES_tradnl" w:eastAsia="es-MX"/>
        </w:rPr>
        <w:t>JAVIER MARTÍNEZ CRUZ Y LUIS GUSTAVO PARRA NORIEGA</w:t>
      </w:r>
      <w:r w:rsidRPr="00985849">
        <w:rPr>
          <w:rFonts w:ascii="Palatino Linotype" w:hAnsi="Palatino Linotype" w:cs="Tahoma"/>
          <w:sz w:val="22"/>
          <w:szCs w:val="22"/>
          <w:lang w:eastAsia="es-MX"/>
        </w:rPr>
        <w:t xml:space="preserve">, EN </w:t>
      </w:r>
      <w:r w:rsidR="003C5742">
        <w:rPr>
          <w:rFonts w:ascii="Palatino Linotype" w:hAnsi="Palatino Linotype" w:cs="Tahoma"/>
          <w:sz w:val="22"/>
          <w:szCs w:val="22"/>
          <w:lang w:eastAsia="es-MX"/>
        </w:rPr>
        <w:t xml:space="preserve">LA CUADRAGÉSIMA </w:t>
      </w:r>
      <w:r w:rsidR="00124A3E">
        <w:rPr>
          <w:rFonts w:ascii="Palatino Linotype" w:hAnsi="Palatino Linotype" w:cs="Tahoma"/>
          <w:sz w:val="22"/>
          <w:szCs w:val="22"/>
          <w:lang w:eastAsia="es-MX"/>
        </w:rPr>
        <w:t xml:space="preserve">QUINTA </w:t>
      </w:r>
      <w:r w:rsidRPr="00985849">
        <w:rPr>
          <w:rFonts w:ascii="Palatino Linotype" w:hAnsi="Palatino Linotype" w:cs="Tahoma"/>
          <w:sz w:val="22"/>
          <w:szCs w:val="22"/>
          <w:lang w:eastAsia="es-MX"/>
        </w:rPr>
        <w:t xml:space="preserve">SESIÓN ORDINARIA, CELEBRADA EL </w:t>
      </w:r>
      <w:r w:rsidR="00E14148">
        <w:rPr>
          <w:rFonts w:ascii="Palatino Linotype" w:hAnsi="Palatino Linotype" w:cs="Tahoma"/>
          <w:sz w:val="22"/>
          <w:szCs w:val="22"/>
          <w:lang w:eastAsia="es-MX"/>
        </w:rPr>
        <w:t>SEIS</w:t>
      </w:r>
      <w:r w:rsidR="00124A3E">
        <w:rPr>
          <w:rFonts w:ascii="Palatino Linotype" w:hAnsi="Palatino Linotype" w:cs="Tahoma"/>
          <w:sz w:val="22"/>
          <w:szCs w:val="22"/>
          <w:lang w:eastAsia="es-MX"/>
        </w:rPr>
        <w:t xml:space="preserve"> DE DICIEMBRE </w:t>
      </w:r>
      <w:r w:rsidRPr="00985849">
        <w:rPr>
          <w:rFonts w:ascii="Palatino Linotype" w:hAnsi="Palatino Linotype" w:cs="Tahoma"/>
          <w:sz w:val="22"/>
          <w:szCs w:val="22"/>
          <w:lang w:eastAsia="es-MX"/>
        </w:rPr>
        <w:t>DE DOS MIL DIECIOCHO, ANTE EL SECRETARIO TÉCNICO DEL PLENO,</w:t>
      </w:r>
      <w:r w:rsidR="007C6E6C"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ALEXIS TAPIA RAMÍREZ.</w:t>
      </w:r>
    </w:p>
    <w:tbl>
      <w:tblPr>
        <w:tblW w:w="9072" w:type="dxa"/>
        <w:tblInd w:w="137" w:type="dxa"/>
        <w:tblLook w:val="04A0" w:firstRow="1" w:lastRow="0" w:firstColumn="1" w:lastColumn="0" w:noHBand="0" w:noVBand="1"/>
      </w:tblPr>
      <w:tblGrid>
        <w:gridCol w:w="3402"/>
        <w:gridCol w:w="1985"/>
        <w:gridCol w:w="3685"/>
      </w:tblGrid>
      <w:tr w:rsidR="00F73751" w:rsidRPr="00985849" w:rsidTr="00F5374C">
        <w:tc>
          <w:tcPr>
            <w:tcW w:w="9072" w:type="dxa"/>
            <w:gridSpan w:val="3"/>
          </w:tcPr>
          <w:p w:rsidR="00400FDE" w:rsidRDefault="00400FDE" w:rsidP="00985849">
            <w:pPr>
              <w:spacing w:line="360" w:lineRule="auto"/>
              <w:rPr>
                <w:rFonts w:ascii="Palatino Linotype" w:eastAsia="Calibri" w:hAnsi="Palatino Linotype" w:cs="Tahoma"/>
                <w:b/>
                <w:sz w:val="22"/>
                <w:szCs w:val="22"/>
                <w:lang w:eastAsia="es-MX"/>
              </w:rPr>
            </w:pPr>
          </w:p>
          <w:p w:rsidR="00124A3E" w:rsidRPr="00985849" w:rsidRDefault="00124A3E" w:rsidP="00985849">
            <w:pPr>
              <w:spacing w:line="360" w:lineRule="auto"/>
              <w:rPr>
                <w:rFonts w:ascii="Palatino Linotype" w:eastAsia="Calibri" w:hAnsi="Palatino Linotype" w:cs="Tahoma"/>
                <w:b/>
                <w:sz w:val="22"/>
                <w:szCs w:val="22"/>
                <w:lang w:eastAsia="es-MX"/>
              </w:rPr>
            </w:pPr>
          </w:p>
          <w:p w:rsidR="00F73751" w:rsidRPr="00985849" w:rsidRDefault="00F73751" w:rsidP="00985849">
            <w:pPr>
              <w:tabs>
                <w:tab w:val="left" w:pos="2445"/>
                <w:tab w:val="center" w:pos="4428"/>
              </w:tabs>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Zulema Martínez Sánchez</w:t>
            </w:r>
          </w:p>
          <w:p w:rsidR="00F73751" w:rsidRPr="003C5742" w:rsidRDefault="005B5DEE" w:rsidP="00985849">
            <w:pPr>
              <w:spacing w:line="360" w:lineRule="auto"/>
              <w:ind w:right="-108"/>
              <w:jc w:val="center"/>
              <w:rPr>
                <w:rFonts w:ascii="Palatino Linotype" w:eastAsia="Calibri" w:hAnsi="Palatino Linotype" w:cs="Tahoma"/>
                <w:sz w:val="22"/>
                <w:szCs w:val="22"/>
              </w:rPr>
            </w:pPr>
            <w:r w:rsidRPr="003C5742">
              <w:rPr>
                <w:rFonts w:ascii="Palatino Linotype" w:eastAsia="Calibri" w:hAnsi="Palatino Linotype" w:cs="Tahoma"/>
                <w:szCs w:val="22"/>
                <w:lang w:eastAsia="es-MX"/>
              </w:rPr>
              <w:t>Comisionada Presidenta</w:t>
            </w:r>
          </w:p>
        </w:tc>
      </w:tr>
      <w:tr w:rsidR="00F73751" w:rsidRPr="00985849" w:rsidTr="00F5374C">
        <w:tc>
          <w:tcPr>
            <w:tcW w:w="3402" w:type="dxa"/>
          </w:tcPr>
          <w:p w:rsidR="00F73751" w:rsidRPr="00985849" w:rsidRDefault="00F73751" w:rsidP="00985849">
            <w:pPr>
              <w:spacing w:line="360" w:lineRule="auto"/>
              <w:jc w:val="center"/>
              <w:rPr>
                <w:rFonts w:ascii="Palatino Linotype" w:eastAsia="Calibri" w:hAnsi="Palatino Linotype" w:cs="Tahoma"/>
                <w:b/>
                <w:sz w:val="22"/>
                <w:szCs w:val="22"/>
              </w:rPr>
            </w:pPr>
          </w:p>
          <w:p w:rsidR="00124A3E" w:rsidRDefault="00124A3E" w:rsidP="00985849">
            <w:pPr>
              <w:spacing w:line="360" w:lineRule="auto"/>
              <w:ind w:right="-108"/>
              <w:rPr>
                <w:rFonts w:ascii="Palatino Linotype" w:eastAsia="Calibri" w:hAnsi="Palatino Linotype" w:cs="Tahoma"/>
                <w:b/>
                <w:sz w:val="22"/>
                <w:szCs w:val="22"/>
              </w:rPr>
            </w:pPr>
          </w:p>
          <w:p w:rsidR="00300A28" w:rsidRDefault="00300A28" w:rsidP="00985849">
            <w:pPr>
              <w:spacing w:line="360" w:lineRule="auto"/>
              <w:ind w:right="-108"/>
              <w:rPr>
                <w:rFonts w:ascii="Palatino Linotype" w:eastAsia="Calibri" w:hAnsi="Palatino Linotype" w:cs="Tahoma"/>
                <w:b/>
                <w:sz w:val="22"/>
                <w:szCs w:val="22"/>
              </w:rPr>
            </w:pPr>
          </w:p>
          <w:p w:rsidR="00697A6D" w:rsidRDefault="00697A6D" w:rsidP="00985849">
            <w:pPr>
              <w:spacing w:line="360" w:lineRule="auto"/>
              <w:ind w:right="-108"/>
              <w:rPr>
                <w:rFonts w:ascii="Palatino Linotype" w:eastAsia="Calibri" w:hAnsi="Palatino Linotype" w:cs="Tahoma"/>
                <w:b/>
                <w:sz w:val="22"/>
                <w:szCs w:val="22"/>
              </w:rPr>
            </w:pPr>
          </w:p>
          <w:p w:rsidR="00697A6D" w:rsidRDefault="00697A6D" w:rsidP="00985849">
            <w:pPr>
              <w:spacing w:line="360" w:lineRule="auto"/>
              <w:ind w:right="-108"/>
              <w:rPr>
                <w:rFonts w:ascii="Palatino Linotype" w:eastAsia="Calibri" w:hAnsi="Palatino Linotype" w:cs="Tahoma"/>
                <w:b/>
                <w:sz w:val="22"/>
                <w:szCs w:val="22"/>
              </w:rPr>
            </w:pPr>
          </w:p>
          <w:p w:rsidR="00697A6D" w:rsidRDefault="00697A6D" w:rsidP="00985849">
            <w:pPr>
              <w:spacing w:line="360" w:lineRule="auto"/>
              <w:ind w:right="-108"/>
              <w:rPr>
                <w:rFonts w:ascii="Palatino Linotype" w:eastAsia="Calibri" w:hAnsi="Palatino Linotype" w:cs="Tahoma"/>
                <w:b/>
                <w:sz w:val="22"/>
                <w:szCs w:val="22"/>
              </w:rPr>
            </w:pPr>
          </w:p>
          <w:p w:rsidR="00697A6D" w:rsidRDefault="00697A6D" w:rsidP="00985849">
            <w:pPr>
              <w:spacing w:line="360" w:lineRule="auto"/>
              <w:ind w:right="-108"/>
              <w:rPr>
                <w:rFonts w:ascii="Palatino Linotype" w:eastAsia="Calibri" w:hAnsi="Palatino Linotype" w:cs="Tahoma"/>
                <w:b/>
                <w:sz w:val="22"/>
                <w:szCs w:val="22"/>
              </w:rPr>
            </w:pPr>
          </w:p>
          <w:p w:rsidR="00F4018F" w:rsidRPr="00985849" w:rsidRDefault="00F73751" w:rsidP="00985849">
            <w:pPr>
              <w:spacing w:line="360"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 xml:space="preserve">Eva Abaid Yapur </w:t>
            </w:r>
          </w:p>
          <w:p w:rsidR="00F73751" w:rsidRPr="003C5742" w:rsidRDefault="00F73751" w:rsidP="00985849">
            <w:pPr>
              <w:spacing w:line="360"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Comisionada</w:t>
            </w:r>
          </w:p>
          <w:p w:rsidR="00400FDE" w:rsidRPr="00985849" w:rsidRDefault="00F4018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rsidR="00400FDE" w:rsidRPr="00985849" w:rsidRDefault="00400FDE" w:rsidP="00985849">
            <w:pPr>
              <w:spacing w:line="360" w:lineRule="auto"/>
              <w:ind w:right="-108"/>
              <w:jc w:val="center"/>
              <w:rPr>
                <w:rFonts w:ascii="Palatino Linotype" w:eastAsia="Batang" w:hAnsi="Palatino Linotype" w:cs="Tahoma"/>
                <w:b/>
                <w:sz w:val="22"/>
                <w:szCs w:val="22"/>
              </w:rPr>
            </w:pPr>
          </w:p>
        </w:tc>
        <w:tc>
          <w:tcPr>
            <w:tcW w:w="1985" w:type="dxa"/>
          </w:tcPr>
          <w:p w:rsidR="00F73751" w:rsidRPr="00985849" w:rsidRDefault="00697A6D" w:rsidP="00985849">
            <w:pPr>
              <w:spacing w:line="360" w:lineRule="auto"/>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lang w:eastAsia="es-MX"/>
              </w:rPr>
              <w:lastRenderedPageBreak/>
              <w:t xml:space="preserve">         </w:t>
            </w:r>
            <w:r w:rsidR="00F4018F"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00F4018F" w:rsidRPr="00985849">
              <w:rPr>
                <w:rFonts w:ascii="Palatino Linotype" w:eastAsia="Calibri" w:hAnsi="Palatino Linotype" w:cs="Tahoma"/>
                <w:b/>
                <w:sz w:val="22"/>
                <w:szCs w:val="22"/>
                <w:lang w:eastAsia="es-MX"/>
              </w:rPr>
              <w:t>)</w:t>
            </w:r>
          </w:p>
        </w:tc>
        <w:tc>
          <w:tcPr>
            <w:tcW w:w="3685" w:type="dxa"/>
          </w:tcPr>
          <w:p w:rsidR="00F73751" w:rsidRDefault="00F73751" w:rsidP="00985849">
            <w:pPr>
              <w:spacing w:line="360" w:lineRule="auto"/>
              <w:ind w:right="-108"/>
              <w:jc w:val="center"/>
              <w:rPr>
                <w:rFonts w:ascii="Palatino Linotype" w:eastAsia="Calibri" w:hAnsi="Palatino Linotype" w:cs="Tahoma"/>
                <w:b/>
                <w:sz w:val="22"/>
                <w:szCs w:val="22"/>
              </w:rPr>
            </w:pPr>
          </w:p>
          <w:p w:rsidR="00697A6D" w:rsidRDefault="00697A6D" w:rsidP="00985849">
            <w:pPr>
              <w:spacing w:line="360" w:lineRule="auto"/>
              <w:ind w:right="-108"/>
              <w:jc w:val="center"/>
              <w:rPr>
                <w:rFonts w:ascii="Palatino Linotype" w:eastAsia="Calibri" w:hAnsi="Palatino Linotype" w:cs="Tahoma"/>
                <w:b/>
                <w:sz w:val="22"/>
                <w:szCs w:val="22"/>
              </w:rPr>
            </w:pPr>
          </w:p>
          <w:p w:rsidR="00697A6D" w:rsidRDefault="00697A6D" w:rsidP="00985849">
            <w:pPr>
              <w:spacing w:line="360" w:lineRule="auto"/>
              <w:ind w:right="-108"/>
              <w:jc w:val="center"/>
              <w:rPr>
                <w:rFonts w:ascii="Palatino Linotype" w:eastAsia="Calibri" w:hAnsi="Palatino Linotype" w:cs="Tahoma"/>
                <w:b/>
                <w:sz w:val="22"/>
                <w:szCs w:val="22"/>
              </w:rPr>
            </w:pPr>
          </w:p>
          <w:p w:rsidR="00697A6D" w:rsidRPr="00985849" w:rsidRDefault="00697A6D" w:rsidP="00985849">
            <w:pPr>
              <w:spacing w:line="360" w:lineRule="auto"/>
              <w:ind w:right="-108"/>
              <w:jc w:val="center"/>
              <w:rPr>
                <w:rFonts w:ascii="Palatino Linotype" w:eastAsia="Calibri" w:hAnsi="Palatino Linotype" w:cs="Tahoma"/>
                <w:b/>
                <w:sz w:val="22"/>
                <w:szCs w:val="22"/>
              </w:rPr>
            </w:pPr>
          </w:p>
          <w:p w:rsidR="00956793" w:rsidRDefault="00956793" w:rsidP="00985849">
            <w:pPr>
              <w:spacing w:line="360" w:lineRule="auto"/>
              <w:ind w:right="-108"/>
              <w:rPr>
                <w:rFonts w:ascii="Palatino Linotype" w:eastAsia="Calibri" w:hAnsi="Palatino Linotype" w:cs="Tahoma"/>
                <w:b/>
                <w:sz w:val="22"/>
                <w:szCs w:val="22"/>
                <w:lang w:eastAsia="es-MX"/>
              </w:rPr>
            </w:pPr>
          </w:p>
          <w:p w:rsidR="00697A6D" w:rsidRDefault="00697A6D" w:rsidP="00985849">
            <w:pPr>
              <w:spacing w:line="360" w:lineRule="auto"/>
              <w:ind w:right="-108"/>
              <w:rPr>
                <w:rFonts w:ascii="Palatino Linotype" w:eastAsia="Calibri" w:hAnsi="Palatino Linotype" w:cs="Tahoma"/>
                <w:b/>
                <w:sz w:val="22"/>
                <w:szCs w:val="22"/>
                <w:lang w:eastAsia="es-MX"/>
              </w:rPr>
            </w:pPr>
          </w:p>
          <w:p w:rsidR="00300A28" w:rsidRPr="00985849" w:rsidRDefault="00300A28" w:rsidP="00985849">
            <w:pPr>
              <w:spacing w:line="360" w:lineRule="auto"/>
              <w:ind w:right="-108"/>
              <w:rPr>
                <w:rFonts w:ascii="Palatino Linotype" w:eastAsia="Calibri" w:hAnsi="Palatino Linotype" w:cs="Tahoma"/>
                <w:b/>
                <w:sz w:val="22"/>
                <w:szCs w:val="22"/>
                <w:lang w:eastAsia="es-MX"/>
              </w:rPr>
            </w:pPr>
          </w:p>
          <w:p w:rsidR="00F73751" w:rsidRPr="00985849" w:rsidRDefault="00F73751" w:rsidP="00985849">
            <w:pPr>
              <w:spacing w:line="360" w:lineRule="auto"/>
              <w:ind w:right="-108"/>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José Guadalupe Luna Hernández</w:t>
            </w:r>
          </w:p>
          <w:p w:rsidR="00F73751" w:rsidRPr="003C5742" w:rsidRDefault="00F73751" w:rsidP="00985849">
            <w:pPr>
              <w:spacing w:line="360" w:lineRule="auto"/>
              <w:ind w:right="-108"/>
              <w:jc w:val="center"/>
              <w:rPr>
                <w:rFonts w:ascii="Palatino Linotype" w:eastAsia="Calibri" w:hAnsi="Palatino Linotype" w:cs="Tahoma"/>
                <w:sz w:val="22"/>
                <w:szCs w:val="22"/>
                <w:lang w:eastAsia="es-MX"/>
              </w:rPr>
            </w:pPr>
            <w:r w:rsidRPr="003C5742">
              <w:rPr>
                <w:rFonts w:ascii="Palatino Linotype" w:eastAsia="Calibri" w:hAnsi="Palatino Linotype" w:cs="Tahoma"/>
                <w:sz w:val="22"/>
                <w:szCs w:val="22"/>
                <w:lang w:eastAsia="es-MX"/>
              </w:rPr>
              <w:t>Comisionado</w:t>
            </w:r>
          </w:p>
          <w:p w:rsidR="00400FDE" w:rsidRPr="00985849" w:rsidRDefault="00F4018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rsidR="00400FDE" w:rsidRPr="00985849" w:rsidRDefault="00400FDE" w:rsidP="00985849">
            <w:pPr>
              <w:spacing w:line="360" w:lineRule="auto"/>
              <w:ind w:right="-108"/>
              <w:jc w:val="center"/>
              <w:rPr>
                <w:rFonts w:ascii="Palatino Linotype" w:eastAsia="Batang" w:hAnsi="Palatino Linotype" w:cs="Tahoma"/>
                <w:b/>
                <w:sz w:val="22"/>
                <w:szCs w:val="22"/>
              </w:rPr>
            </w:pPr>
          </w:p>
        </w:tc>
      </w:tr>
      <w:tr w:rsidR="00F73751" w:rsidRPr="00985849" w:rsidTr="00F5374C">
        <w:tc>
          <w:tcPr>
            <w:tcW w:w="3402" w:type="dxa"/>
          </w:tcPr>
          <w:p w:rsidR="002F199F" w:rsidRDefault="002F199F" w:rsidP="00985849">
            <w:pPr>
              <w:spacing w:line="360" w:lineRule="auto"/>
              <w:rPr>
                <w:rFonts w:ascii="Palatino Linotype" w:eastAsia="Calibri" w:hAnsi="Palatino Linotype" w:cs="Tahoma"/>
                <w:b/>
                <w:sz w:val="22"/>
                <w:szCs w:val="22"/>
              </w:rPr>
            </w:pPr>
          </w:p>
          <w:p w:rsidR="00124A3E" w:rsidRDefault="00124A3E" w:rsidP="00985849">
            <w:pPr>
              <w:spacing w:line="360" w:lineRule="auto"/>
              <w:rPr>
                <w:rFonts w:ascii="Palatino Linotype" w:eastAsia="Calibri" w:hAnsi="Palatino Linotype" w:cs="Tahoma"/>
                <w:b/>
                <w:sz w:val="22"/>
                <w:szCs w:val="22"/>
              </w:rPr>
            </w:pPr>
          </w:p>
          <w:p w:rsidR="00956793" w:rsidRPr="00985849" w:rsidRDefault="00956793" w:rsidP="00985849">
            <w:pPr>
              <w:spacing w:line="360" w:lineRule="auto"/>
              <w:rPr>
                <w:rFonts w:ascii="Palatino Linotype" w:eastAsia="Calibri" w:hAnsi="Palatino Linotype" w:cs="Tahoma"/>
                <w:b/>
                <w:sz w:val="22"/>
                <w:szCs w:val="22"/>
              </w:rPr>
            </w:pPr>
          </w:p>
          <w:p w:rsidR="00F73751" w:rsidRPr="003C5742" w:rsidRDefault="00F73751" w:rsidP="00985849">
            <w:pPr>
              <w:spacing w:line="360" w:lineRule="auto"/>
              <w:jc w:val="center"/>
              <w:rPr>
                <w:rFonts w:ascii="Palatino Linotype" w:eastAsia="Calibri" w:hAnsi="Palatino Linotype" w:cs="Tahoma"/>
                <w:sz w:val="22"/>
                <w:szCs w:val="22"/>
              </w:rPr>
            </w:pPr>
            <w:r w:rsidRPr="00985849">
              <w:rPr>
                <w:rFonts w:ascii="Palatino Linotype" w:eastAsia="Calibri" w:hAnsi="Palatino Linotype" w:cs="Tahoma"/>
                <w:b/>
                <w:sz w:val="22"/>
                <w:szCs w:val="22"/>
                <w:lang w:val="es-ES_tradnl"/>
              </w:rPr>
              <w:t xml:space="preserve">Javier Martínez Cruz </w:t>
            </w:r>
            <w:r w:rsidRPr="003C5742">
              <w:rPr>
                <w:rFonts w:ascii="Palatino Linotype" w:eastAsia="Calibri" w:hAnsi="Palatino Linotype" w:cs="Tahoma"/>
                <w:sz w:val="22"/>
                <w:szCs w:val="22"/>
              </w:rPr>
              <w:t>Comisionado</w:t>
            </w:r>
          </w:p>
          <w:p w:rsidR="00400FDE" w:rsidRPr="00985849" w:rsidRDefault="00F4018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rsidR="00400FDE" w:rsidRPr="00985849" w:rsidRDefault="00400FDE" w:rsidP="00985849">
            <w:pPr>
              <w:spacing w:line="360" w:lineRule="auto"/>
              <w:jc w:val="center"/>
              <w:rPr>
                <w:rFonts w:ascii="Palatino Linotype" w:eastAsia="Batang" w:hAnsi="Palatino Linotype" w:cs="Tahoma"/>
                <w:b/>
                <w:sz w:val="22"/>
                <w:szCs w:val="22"/>
              </w:rPr>
            </w:pPr>
          </w:p>
        </w:tc>
        <w:tc>
          <w:tcPr>
            <w:tcW w:w="1985" w:type="dxa"/>
          </w:tcPr>
          <w:p w:rsidR="00F73751" w:rsidRPr="00985849" w:rsidRDefault="00F73751" w:rsidP="00985849">
            <w:pPr>
              <w:spacing w:line="360" w:lineRule="auto"/>
              <w:jc w:val="center"/>
              <w:rPr>
                <w:rFonts w:ascii="Palatino Linotype" w:eastAsia="Batang" w:hAnsi="Palatino Linotype" w:cs="Tahoma"/>
                <w:b/>
                <w:sz w:val="22"/>
                <w:szCs w:val="22"/>
              </w:rPr>
            </w:pPr>
          </w:p>
        </w:tc>
        <w:tc>
          <w:tcPr>
            <w:tcW w:w="3685" w:type="dxa"/>
          </w:tcPr>
          <w:p w:rsidR="00F73751" w:rsidRDefault="00F73751" w:rsidP="00985849">
            <w:pPr>
              <w:spacing w:line="360" w:lineRule="auto"/>
              <w:ind w:right="-108"/>
              <w:jc w:val="center"/>
              <w:rPr>
                <w:rFonts w:ascii="Palatino Linotype" w:eastAsia="Calibri" w:hAnsi="Palatino Linotype" w:cs="Tahoma"/>
                <w:b/>
                <w:sz w:val="22"/>
                <w:szCs w:val="22"/>
              </w:rPr>
            </w:pPr>
          </w:p>
          <w:p w:rsidR="00124A3E" w:rsidRPr="00985849" w:rsidRDefault="00124A3E" w:rsidP="00985849">
            <w:pPr>
              <w:spacing w:line="360" w:lineRule="auto"/>
              <w:ind w:right="-108"/>
              <w:jc w:val="center"/>
              <w:rPr>
                <w:rFonts w:ascii="Palatino Linotype" w:eastAsia="Calibri" w:hAnsi="Palatino Linotype" w:cs="Tahoma"/>
                <w:b/>
                <w:sz w:val="22"/>
                <w:szCs w:val="22"/>
              </w:rPr>
            </w:pPr>
          </w:p>
          <w:p w:rsidR="002F199F" w:rsidRPr="00985849" w:rsidRDefault="002F199F" w:rsidP="003C5742">
            <w:pPr>
              <w:spacing w:line="360" w:lineRule="auto"/>
              <w:ind w:right="-108"/>
              <w:rPr>
                <w:rFonts w:ascii="Palatino Linotype" w:eastAsia="Calibri" w:hAnsi="Palatino Linotype" w:cs="Tahoma"/>
                <w:sz w:val="22"/>
                <w:szCs w:val="22"/>
                <w:lang w:eastAsia="es-MX"/>
              </w:rPr>
            </w:pPr>
          </w:p>
          <w:p w:rsidR="00F73751" w:rsidRPr="00985849" w:rsidRDefault="00F73751" w:rsidP="00985849">
            <w:pPr>
              <w:spacing w:line="360"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lang w:val="es-ES_tradnl"/>
              </w:rPr>
              <w:t>Luis Gustavo Parra Noriega</w:t>
            </w:r>
          </w:p>
          <w:p w:rsidR="00F73751" w:rsidRPr="003C5742" w:rsidRDefault="00F73751" w:rsidP="00985849">
            <w:pPr>
              <w:spacing w:line="360"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Comisionado</w:t>
            </w:r>
          </w:p>
          <w:p w:rsidR="00400FDE" w:rsidRPr="00985849" w:rsidRDefault="00F4018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rsidR="00400FDE" w:rsidRPr="00985849" w:rsidRDefault="00400FDE" w:rsidP="00985849">
            <w:pPr>
              <w:spacing w:line="360" w:lineRule="auto"/>
              <w:ind w:right="-108"/>
              <w:jc w:val="center"/>
              <w:rPr>
                <w:rFonts w:ascii="Palatino Linotype" w:eastAsia="Batang" w:hAnsi="Palatino Linotype" w:cs="Tahoma"/>
                <w:b/>
                <w:sz w:val="22"/>
                <w:szCs w:val="22"/>
              </w:rPr>
            </w:pPr>
          </w:p>
        </w:tc>
      </w:tr>
      <w:tr w:rsidR="00F73751" w:rsidRPr="00985849" w:rsidTr="00F5374C">
        <w:tc>
          <w:tcPr>
            <w:tcW w:w="9072" w:type="dxa"/>
            <w:gridSpan w:val="3"/>
          </w:tcPr>
          <w:p w:rsidR="000813B0" w:rsidRDefault="000813B0" w:rsidP="00985849">
            <w:pPr>
              <w:spacing w:line="360" w:lineRule="auto"/>
              <w:jc w:val="center"/>
              <w:rPr>
                <w:rFonts w:ascii="Palatino Linotype" w:eastAsia="Calibri" w:hAnsi="Palatino Linotype" w:cs="Tahoma"/>
                <w:sz w:val="22"/>
                <w:szCs w:val="22"/>
                <w:lang w:eastAsia="es-MX"/>
              </w:rPr>
            </w:pPr>
          </w:p>
          <w:p w:rsidR="00681656" w:rsidRDefault="00681656" w:rsidP="00697A6D">
            <w:pPr>
              <w:tabs>
                <w:tab w:val="left" w:pos="2820"/>
              </w:tabs>
              <w:spacing w:line="360" w:lineRule="auto"/>
              <w:ind w:right="2414"/>
              <w:rPr>
                <w:rFonts w:ascii="Palatino Linotype" w:eastAsia="Calibri" w:hAnsi="Palatino Linotype" w:cs="Tahoma"/>
                <w:sz w:val="22"/>
                <w:szCs w:val="22"/>
                <w:lang w:eastAsia="es-MX"/>
              </w:rPr>
            </w:pPr>
          </w:p>
          <w:p w:rsidR="00697A6D" w:rsidRPr="00985849" w:rsidRDefault="00697A6D" w:rsidP="00697A6D">
            <w:pPr>
              <w:tabs>
                <w:tab w:val="left" w:pos="2820"/>
              </w:tabs>
              <w:spacing w:line="360" w:lineRule="auto"/>
              <w:ind w:right="2414"/>
              <w:rPr>
                <w:rFonts w:ascii="Palatino Linotype" w:eastAsia="Calibri" w:hAnsi="Palatino Linotype" w:cs="Tahoma"/>
                <w:b/>
                <w:sz w:val="22"/>
                <w:szCs w:val="22"/>
              </w:rPr>
            </w:pPr>
          </w:p>
          <w:p w:rsidR="00F5374C" w:rsidRPr="00985849" w:rsidRDefault="00F5374C" w:rsidP="00985849">
            <w:pPr>
              <w:spacing w:line="360" w:lineRule="auto"/>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Alexis Tapia Ramírez</w:t>
            </w:r>
          </w:p>
          <w:p w:rsidR="00F73751" w:rsidRPr="003C5742" w:rsidRDefault="00F73751" w:rsidP="00985849">
            <w:pPr>
              <w:spacing w:line="360" w:lineRule="auto"/>
              <w:jc w:val="center"/>
              <w:rPr>
                <w:rFonts w:ascii="Palatino Linotype" w:eastAsia="Calibri" w:hAnsi="Palatino Linotype" w:cs="Tahoma"/>
                <w:sz w:val="22"/>
                <w:szCs w:val="22"/>
              </w:rPr>
            </w:pPr>
            <w:r w:rsidRPr="003C5742">
              <w:rPr>
                <w:rFonts w:ascii="Palatino Linotype" w:eastAsia="Calibri" w:hAnsi="Palatino Linotype" w:cs="Tahoma"/>
                <w:sz w:val="22"/>
                <w:szCs w:val="22"/>
              </w:rPr>
              <w:t>Secretario Técnico del Pleno</w:t>
            </w:r>
          </w:p>
          <w:p w:rsidR="00B6258B" w:rsidRPr="00985849" w:rsidRDefault="002F199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003C5742">
              <w:rPr>
                <w:rFonts w:ascii="Palatino Linotype" w:eastAsia="Calibri" w:hAnsi="Palatino Linotype" w:cs="Tahoma"/>
                <w:b/>
                <w:sz w:val="22"/>
                <w:szCs w:val="22"/>
                <w:lang w:eastAsia="es-MX"/>
              </w:rPr>
              <w:t>)</w:t>
            </w:r>
          </w:p>
          <w:p w:rsidR="00B6258B" w:rsidRPr="00985849" w:rsidRDefault="00B6258B" w:rsidP="00985849">
            <w:pPr>
              <w:spacing w:line="360" w:lineRule="auto"/>
              <w:jc w:val="center"/>
              <w:rPr>
                <w:rFonts w:ascii="Palatino Linotype" w:eastAsia="Calibri" w:hAnsi="Palatino Linotype" w:cs="Tahoma"/>
                <w:color w:val="000000"/>
                <w:sz w:val="22"/>
                <w:szCs w:val="22"/>
              </w:rPr>
            </w:pPr>
          </w:p>
        </w:tc>
      </w:tr>
    </w:tbl>
    <w:p w:rsidR="000A238F" w:rsidRPr="00985849" w:rsidRDefault="000813B0" w:rsidP="00985849">
      <w:pPr>
        <w:tabs>
          <w:tab w:val="left" w:pos="8931"/>
        </w:tabs>
        <w:spacing w:line="360" w:lineRule="auto"/>
        <w:ind w:right="-93"/>
        <w:jc w:val="both"/>
        <w:rPr>
          <w:rFonts w:ascii="Palatino Linotype" w:eastAsia="Calibri" w:hAnsi="Palatino Linotype" w:cs="Arial"/>
          <w:sz w:val="22"/>
          <w:szCs w:val="22"/>
          <w:lang w:eastAsia="en-US"/>
        </w:rPr>
      </w:pPr>
      <w:r w:rsidRPr="00985849">
        <w:rPr>
          <w:rFonts w:ascii="Palatino Linotype" w:eastAsia="Calibri" w:hAnsi="Palatino Linotype" w:cs="Arial"/>
          <w:sz w:val="22"/>
          <w:szCs w:val="22"/>
          <w:lang w:eastAsia="en-US"/>
        </w:rPr>
        <w:t>Esta foja corresponde a la resolución de</w:t>
      </w:r>
      <w:r w:rsidR="00956793">
        <w:rPr>
          <w:rFonts w:ascii="Palatino Linotype" w:eastAsia="Calibri" w:hAnsi="Palatino Linotype" w:cs="Arial"/>
          <w:sz w:val="22"/>
          <w:szCs w:val="22"/>
          <w:lang w:eastAsia="en-US"/>
        </w:rPr>
        <w:t xml:space="preserve"> fecha </w:t>
      </w:r>
      <w:r w:rsidR="00E14148">
        <w:rPr>
          <w:rFonts w:ascii="Palatino Linotype" w:eastAsia="Calibri" w:hAnsi="Palatino Linotype" w:cs="Arial"/>
          <w:sz w:val="22"/>
          <w:szCs w:val="22"/>
          <w:lang w:eastAsia="en-US"/>
        </w:rPr>
        <w:t>seis</w:t>
      </w:r>
      <w:r w:rsidR="00124A3E">
        <w:rPr>
          <w:rFonts w:ascii="Palatino Linotype" w:eastAsia="Calibri" w:hAnsi="Palatino Linotype" w:cs="Arial"/>
          <w:sz w:val="22"/>
          <w:szCs w:val="22"/>
          <w:lang w:eastAsia="en-US"/>
        </w:rPr>
        <w:t xml:space="preserve"> de diciembre </w:t>
      </w:r>
      <w:r w:rsidR="00F4018F" w:rsidRPr="00985849">
        <w:rPr>
          <w:rFonts w:ascii="Palatino Linotype" w:eastAsia="Calibri" w:hAnsi="Palatino Linotype" w:cs="Arial"/>
          <w:sz w:val="22"/>
          <w:szCs w:val="22"/>
          <w:lang w:eastAsia="en-US"/>
        </w:rPr>
        <w:t xml:space="preserve">de dos mil dieciocho, emitida en el recurso de revisión número </w:t>
      </w:r>
      <w:r w:rsidR="00F4018F" w:rsidRPr="00985849">
        <w:rPr>
          <w:rFonts w:ascii="Palatino Linotype" w:eastAsia="Calibri" w:hAnsi="Palatino Linotype" w:cs="Arial"/>
          <w:bCs/>
          <w:sz w:val="22"/>
          <w:szCs w:val="22"/>
          <w:lang w:eastAsia="en-US"/>
        </w:rPr>
        <w:t>03</w:t>
      </w:r>
      <w:r w:rsidR="00124A3E">
        <w:rPr>
          <w:rFonts w:ascii="Palatino Linotype" w:eastAsia="Calibri" w:hAnsi="Palatino Linotype" w:cs="Arial"/>
          <w:bCs/>
          <w:sz w:val="22"/>
          <w:szCs w:val="22"/>
          <w:lang w:eastAsia="en-US"/>
        </w:rPr>
        <w:t>891</w:t>
      </w:r>
      <w:r w:rsidR="00F4018F" w:rsidRPr="00985849">
        <w:rPr>
          <w:rFonts w:ascii="Palatino Linotype" w:eastAsia="Calibri" w:hAnsi="Palatino Linotype" w:cs="Arial"/>
          <w:bCs/>
          <w:sz w:val="22"/>
          <w:szCs w:val="22"/>
          <w:lang w:eastAsia="en-US"/>
        </w:rPr>
        <w:t>/INFOEM/IP/RR/2018</w:t>
      </w:r>
      <w:r w:rsidR="00E86361" w:rsidRPr="00985849">
        <w:rPr>
          <w:rFonts w:ascii="Palatino Linotype" w:eastAsia="Calibri" w:hAnsi="Palatino Linotype" w:cs="Arial"/>
          <w:sz w:val="22"/>
          <w:szCs w:val="22"/>
          <w:lang w:eastAsia="en-US"/>
        </w:rPr>
        <w:t>.</w:t>
      </w:r>
    </w:p>
    <w:sectPr w:rsidR="000A238F" w:rsidRPr="00985849" w:rsidSect="00DB7E5F">
      <w:headerReference w:type="default" r:id="rId24"/>
      <w:footerReference w:type="default" r:id="rId25"/>
      <w:headerReference w:type="first" r:id="rId26"/>
      <w:footerReference w:type="first" r:id="rId2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55C0" w:rsidRDefault="000455C0" w:rsidP="00B31222">
      <w:r>
        <w:separator/>
      </w:r>
    </w:p>
  </w:endnote>
  <w:endnote w:type="continuationSeparator" w:id="0">
    <w:p w:rsidR="000455C0" w:rsidRDefault="000455C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A43739" w:rsidRDefault="00A4373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14148">
              <w:rPr>
                <w:b/>
                <w:bCs/>
                <w:noProof/>
              </w:rPr>
              <w:t>44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14148">
              <w:rPr>
                <w:b/>
                <w:bCs/>
                <w:noProof/>
              </w:rPr>
              <w:t>45</w:t>
            </w:r>
            <w:r>
              <w:rPr>
                <w:b/>
                <w:bCs/>
                <w:sz w:val="24"/>
                <w:szCs w:val="24"/>
              </w:rPr>
              <w:fldChar w:fldCharType="end"/>
            </w:r>
          </w:p>
        </w:sdtContent>
      </w:sdt>
    </w:sdtContent>
  </w:sdt>
  <w:p w:rsidR="00A43739" w:rsidRDefault="00A4373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A43739" w:rsidRDefault="00A4373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1414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14148">
              <w:rPr>
                <w:b/>
                <w:bCs/>
                <w:noProof/>
              </w:rPr>
              <w:t>45</w:t>
            </w:r>
            <w:r>
              <w:rPr>
                <w:b/>
                <w:bCs/>
                <w:sz w:val="24"/>
                <w:szCs w:val="24"/>
              </w:rPr>
              <w:fldChar w:fldCharType="end"/>
            </w:r>
          </w:p>
        </w:sdtContent>
      </w:sdt>
    </w:sdtContent>
  </w:sdt>
  <w:p w:rsidR="00A43739" w:rsidRDefault="00A437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55C0" w:rsidRDefault="000455C0" w:rsidP="00B31222">
      <w:r>
        <w:separator/>
      </w:r>
    </w:p>
  </w:footnote>
  <w:footnote w:type="continuationSeparator" w:id="0">
    <w:p w:rsidR="000455C0" w:rsidRDefault="000455C0"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A43739" w:rsidRPr="005C106F" w:rsidTr="00202DB8">
      <w:trPr>
        <w:trHeight w:val="1435"/>
      </w:trPr>
      <w:tc>
        <w:tcPr>
          <w:tcW w:w="2835" w:type="dxa"/>
          <w:shd w:val="clear" w:color="auto" w:fill="auto"/>
        </w:tcPr>
        <w:p w:rsidR="00A43739" w:rsidRPr="005C106F" w:rsidRDefault="00A43739" w:rsidP="00EF4A64">
          <w:pPr>
            <w:tabs>
              <w:tab w:val="right" w:pos="4273"/>
            </w:tabs>
            <w:rPr>
              <w:rFonts w:ascii="Garamond" w:eastAsia="Calibri" w:hAnsi="Garamond"/>
              <w:sz w:val="16"/>
              <w:szCs w:val="16"/>
              <w:lang w:eastAsia="en-US"/>
            </w:rPr>
          </w:pPr>
        </w:p>
      </w:tc>
      <w:tc>
        <w:tcPr>
          <w:tcW w:w="6733" w:type="dxa"/>
          <w:shd w:val="clear" w:color="auto" w:fill="auto"/>
        </w:tcPr>
        <w:p w:rsidR="00A43739" w:rsidRDefault="00A43739"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A43739" w:rsidTr="00753ABF">
            <w:trPr>
              <w:gridBefore w:val="1"/>
              <w:gridAfter w:val="1"/>
              <w:wBefore w:w="572" w:type="dxa"/>
              <w:wAfter w:w="142" w:type="dxa"/>
              <w:trHeight w:val="144"/>
            </w:trPr>
            <w:tc>
              <w:tcPr>
                <w:tcW w:w="2552" w:type="dxa"/>
              </w:tcPr>
              <w:p w:rsidR="00A43739" w:rsidRPr="00026EBB" w:rsidRDefault="00A43739"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rsidR="00A43739" w:rsidRPr="00026EBB" w:rsidRDefault="00A43739" w:rsidP="00753ABF">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03891</w:t>
                </w:r>
                <w:r w:rsidRPr="00026EBB">
                  <w:rPr>
                    <w:rFonts w:ascii="Palatino Linotype" w:eastAsia="Calibri" w:hAnsi="Palatino Linotype" w:cs="Tahoma"/>
                    <w:bCs/>
                    <w:sz w:val="22"/>
                    <w:szCs w:val="22"/>
                    <w:lang w:eastAsia="en-US"/>
                  </w:rPr>
                  <w:t>/INFOEM/IP/RR/2018</w:t>
                </w:r>
              </w:p>
            </w:tc>
          </w:tr>
          <w:tr w:rsidR="00A43739" w:rsidTr="00753ABF">
            <w:trPr>
              <w:gridBefore w:val="1"/>
              <w:gridAfter w:val="1"/>
              <w:wBefore w:w="572" w:type="dxa"/>
              <w:wAfter w:w="142" w:type="dxa"/>
              <w:trHeight w:val="138"/>
            </w:trPr>
            <w:tc>
              <w:tcPr>
                <w:tcW w:w="2552" w:type="dxa"/>
              </w:tcPr>
              <w:p w:rsidR="00A43739" w:rsidRPr="00026EBB" w:rsidRDefault="00A43739"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rsidR="00A43739" w:rsidRPr="00026EBB" w:rsidRDefault="00A43739" w:rsidP="009C0D1E">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de Timilpan</w:t>
                </w:r>
              </w:p>
            </w:tc>
          </w:tr>
          <w:tr w:rsidR="00A43739" w:rsidTr="00753ABF">
            <w:trPr>
              <w:trHeight w:val="283"/>
            </w:trPr>
            <w:tc>
              <w:tcPr>
                <w:tcW w:w="3124" w:type="dxa"/>
                <w:gridSpan w:val="2"/>
              </w:tcPr>
              <w:p w:rsidR="00A43739" w:rsidRPr="00026EBB" w:rsidRDefault="00A43739"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rsidR="00A43739" w:rsidRPr="00026EBB" w:rsidRDefault="00A43739"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rsidR="00A43739" w:rsidRPr="005C106F" w:rsidRDefault="00A43739" w:rsidP="005743D2">
          <w:pPr>
            <w:tabs>
              <w:tab w:val="right" w:pos="8838"/>
            </w:tabs>
            <w:ind w:left="-28"/>
            <w:jc w:val="both"/>
            <w:rPr>
              <w:rFonts w:ascii="Arial" w:eastAsia="Calibri" w:hAnsi="Arial" w:cs="Arial"/>
              <w:b/>
              <w:sz w:val="22"/>
              <w:szCs w:val="22"/>
              <w:lang w:eastAsia="en-US"/>
            </w:rPr>
          </w:pPr>
        </w:p>
      </w:tc>
    </w:tr>
  </w:tbl>
  <w:p w:rsidR="00A43739" w:rsidRPr="00443C6B" w:rsidRDefault="00A43739"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A43739" w:rsidRPr="005C106F" w:rsidTr="003B165A">
      <w:trPr>
        <w:trHeight w:val="1435"/>
      </w:trPr>
      <w:tc>
        <w:tcPr>
          <w:tcW w:w="2835" w:type="dxa"/>
          <w:shd w:val="clear" w:color="auto" w:fill="auto"/>
        </w:tcPr>
        <w:p w:rsidR="00A43739" w:rsidRPr="005C106F" w:rsidRDefault="00A43739" w:rsidP="00DB7E5F">
          <w:pPr>
            <w:tabs>
              <w:tab w:val="right" w:pos="4273"/>
            </w:tabs>
            <w:rPr>
              <w:rFonts w:ascii="Garamond" w:eastAsia="Calibri" w:hAnsi="Garamond"/>
              <w:sz w:val="16"/>
              <w:szCs w:val="16"/>
              <w:lang w:eastAsia="en-US"/>
            </w:rPr>
          </w:pPr>
        </w:p>
      </w:tc>
      <w:tc>
        <w:tcPr>
          <w:tcW w:w="6733" w:type="dxa"/>
          <w:shd w:val="clear" w:color="auto" w:fill="auto"/>
        </w:tcPr>
        <w:p w:rsidR="00A43739" w:rsidRPr="005C106F" w:rsidRDefault="00A43739" w:rsidP="00DB7E5F">
          <w:pPr>
            <w:tabs>
              <w:tab w:val="right" w:pos="8838"/>
            </w:tabs>
            <w:ind w:left="-28"/>
            <w:jc w:val="both"/>
            <w:rPr>
              <w:rFonts w:ascii="Arial" w:eastAsia="Calibri" w:hAnsi="Arial" w:cs="Arial"/>
              <w:b/>
              <w:sz w:val="22"/>
              <w:szCs w:val="22"/>
              <w:lang w:eastAsia="en-US"/>
            </w:rPr>
          </w:pPr>
        </w:p>
      </w:tc>
    </w:tr>
  </w:tbl>
  <w:p w:rsidR="00A43739" w:rsidRDefault="00A43739"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8"/>
  </w:num>
  <w:num w:numId="2">
    <w:abstractNumId w:val="0"/>
  </w:num>
  <w:num w:numId="3">
    <w:abstractNumId w:val="4"/>
  </w:num>
  <w:num w:numId="4">
    <w:abstractNumId w:val="27"/>
  </w:num>
  <w:num w:numId="5">
    <w:abstractNumId w:val="8"/>
  </w:num>
  <w:num w:numId="6">
    <w:abstractNumId w:val="26"/>
  </w:num>
  <w:num w:numId="7">
    <w:abstractNumId w:val="6"/>
  </w:num>
  <w:num w:numId="8">
    <w:abstractNumId w:val="24"/>
  </w:num>
  <w:num w:numId="9">
    <w:abstractNumId w:val="13"/>
  </w:num>
  <w:num w:numId="10">
    <w:abstractNumId w:val="1"/>
  </w:num>
  <w:num w:numId="11">
    <w:abstractNumId w:val="12"/>
  </w:num>
  <w:num w:numId="12">
    <w:abstractNumId w:val="16"/>
  </w:num>
  <w:num w:numId="13">
    <w:abstractNumId w:val="9"/>
  </w:num>
  <w:num w:numId="14">
    <w:abstractNumId w:val="10"/>
  </w:num>
  <w:num w:numId="15">
    <w:abstractNumId w:val="11"/>
  </w:num>
  <w:num w:numId="16">
    <w:abstractNumId w:val="19"/>
  </w:num>
  <w:num w:numId="17">
    <w:abstractNumId w:val="14"/>
  </w:num>
  <w:num w:numId="18">
    <w:abstractNumId w:val="15"/>
  </w:num>
  <w:num w:numId="19">
    <w:abstractNumId w:val="22"/>
  </w:num>
  <w:num w:numId="20">
    <w:abstractNumId w:val="21"/>
  </w:num>
  <w:num w:numId="21">
    <w:abstractNumId w:val="18"/>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7"/>
  </w:num>
  <w:num w:numId="25">
    <w:abstractNumId w:val="5"/>
  </w:num>
  <w:num w:numId="26">
    <w:abstractNumId w:val="20"/>
  </w:num>
  <w:num w:numId="27">
    <w:abstractNumId w:val="3"/>
  </w:num>
  <w:num w:numId="28">
    <w:abstractNumId w:val="7"/>
  </w:num>
  <w:num w:numId="2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485A"/>
    <w:rsid w:val="00006543"/>
    <w:rsid w:val="0001068E"/>
    <w:rsid w:val="00013A19"/>
    <w:rsid w:val="00014465"/>
    <w:rsid w:val="00017019"/>
    <w:rsid w:val="000212E5"/>
    <w:rsid w:val="00021C64"/>
    <w:rsid w:val="000241C5"/>
    <w:rsid w:val="00026EBB"/>
    <w:rsid w:val="000313A7"/>
    <w:rsid w:val="00032F5B"/>
    <w:rsid w:val="00034E9D"/>
    <w:rsid w:val="000373BC"/>
    <w:rsid w:val="00037B34"/>
    <w:rsid w:val="00037F4B"/>
    <w:rsid w:val="0004168D"/>
    <w:rsid w:val="00043C4B"/>
    <w:rsid w:val="000455C0"/>
    <w:rsid w:val="0004646B"/>
    <w:rsid w:val="000477E7"/>
    <w:rsid w:val="00047D67"/>
    <w:rsid w:val="000528E6"/>
    <w:rsid w:val="0006017B"/>
    <w:rsid w:val="000813B0"/>
    <w:rsid w:val="0008148B"/>
    <w:rsid w:val="0008165E"/>
    <w:rsid w:val="00094124"/>
    <w:rsid w:val="00097211"/>
    <w:rsid w:val="000A20A4"/>
    <w:rsid w:val="000A238F"/>
    <w:rsid w:val="000A7211"/>
    <w:rsid w:val="000B1D37"/>
    <w:rsid w:val="000B2C93"/>
    <w:rsid w:val="000B36DD"/>
    <w:rsid w:val="000B5711"/>
    <w:rsid w:val="000B6020"/>
    <w:rsid w:val="000B691A"/>
    <w:rsid w:val="000C2283"/>
    <w:rsid w:val="000C27CA"/>
    <w:rsid w:val="000C5940"/>
    <w:rsid w:val="000C59CB"/>
    <w:rsid w:val="000D0B08"/>
    <w:rsid w:val="000E0BEA"/>
    <w:rsid w:val="000E2F21"/>
    <w:rsid w:val="000E67E4"/>
    <w:rsid w:val="000F24C8"/>
    <w:rsid w:val="000F361A"/>
    <w:rsid w:val="000F3DA0"/>
    <w:rsid w:val="000F4876"/>
    <w:rsid w:val="000F555D"/>
    <w:rsid w:val="000F7A45"/>
    <w:rsid w:val="000F7FD8"/>
    <w:rsid w:val="00100BAC"/>
    <w:rsid w:val="001017B7"/>
    <w:rsid w:val="001034C6"/>
    <w:rsid w:val="001049B0"/>
    <w:rsid w:val="00104ADB"/>
    <w:rsid w:val="001057BC"/>
    <w:rsid w:val="00107D2F"/>
    <w:rsid w:val="001133D5"/>
    <w:rsid w:val="00114068"/>
    <w:rsid w:val="001150E9"/>
    <w:rsid w:val="00124A3E"/>
    <w:rsid w:val="00127757"/>
    <w:rsid w:val="00130F33"/>
    <w:rsid w:val="00132A80"/>
    <w:rsid w:val="00132F95"/>
    <w:rsid w:val="001426E4"/>
    <w:rsid w:val="0014307A"/>
    <w:rsid w:val="00144D0B"/>
    <w:rsid w:val="00147566"/>
    <w:rsid w:val="00151053"/>
    <w:rsid w:val="00151FBB"/>
    <w:rsid w:val="0015211F"/>
    <w:rsid w:val="00155F96"/>
    <w:rsid w:val="00156408"/>
    <w:rsid w:val="00156A6B"/>
    <w:rsid w:val="00161DF9"/>
    <w:rsid w:val="00162CCE"/>
    <w:rsid w:val="00165891"/>
    <w:rsid w:val="00167281"/>
    <w:rsid w:val="00170545"/>
    <w:rsid w:val="00171ADD"/>
    <w:rsid w:val="00173688"/>
    <w:rsid w:val="0017459B"/>
    <w:rsid w:val="00180310"/>
    <w:rsid w:val="00182F0F"/>
    <w:rsid w:val="0018368E"/>
    <w:rsid w:val="00183D24"/>
    <w:rsid w:val="001851A6"/>
    <w:rsid w:val="001875A7"/>
    <w:rsid w:val="001879E1"/>
    <w:rsid w:val="0019389B"/>
    <w:rsid w:val="00194582"/>
    <w:rsid w:val="001A1B94"/>
    <w:rsid w:val="001A22F5"/>
    <w:rsid w:val="001A7FD2"/>
    <w:rsid w:val="001B107D"/>
    <w:rsid w:val="001B2CD9"/>
    <w:rsid w:val="001B54B9"/>
    <w:rsid w:val="001B62A0"/>
    <w:rsid w:val="001C282F"/>
    <w:rsid w:val="001D0086"/>
    <w:rsid w:val="001D0094"/>
    <w:rsid w:val="001D7012"/>
    <w:rsid w:val="001D7BD2"/>
    <w:rsid w:val="001E2A4D"/>
    <w:rsid w:val="001E3BA6"/>
    <w:rsid w:val="001E53C2"/>
    <w:rsid w:val="001F0E9C"/>
    <w:rsid w:val="001F1540"/>
    <w:rsid w:val="001F652C"/>
    <w:rsid w:val="001F739F"/>
    <w:rsid w:val="001F78D9"/>
    <w:rsid w:val="00202DB8"/>
    <w:rsid w:val="00207736"/>
    <w:rsid w:val="00212460"/>
    <w:rsid w:val="00215D0D"/>
    <w:rsid w:val="00217AEF"/>
    <w:rsid w:val="00221EC9"/>
    <w:rsid w:val="00223ECD"/>
    <w:rsid w:val="002241A6"/>
    <w:rsid w:val="002241E8"/>
    <w:rsid w:val="00224774"/>
    <w:rsid w:val="002247B0"/>
    <w:rsid w:val="00224F7A"/>
    <w:rsid w:val="00225152"/>
    <w:rsid w:val="00225BE4"/>
    <w:rsid w:val="00230E81"/>
    <w:rsid w:val="00232673"/>
    <w:rsid w:val="00234311"/>
    <w:rsid w:val="00236857"/>
    <w:rsid w:val="00236863"/>
    <w:rsid w:val="00237C1F"/>
    <w:rsid w:val="00237D0D"/>
    <w:rsid w:val="00240764"/>
    <w:rsid w:val="002433A4"/>
    <w:rsid w:val="002435DC"/>
    <w:rsid w:val="00247B17"/>
    <w:rsid w:val="00250389"/>
    <w:rsid w:val="00252669"/>
    <w:rsid w:val="00254209"/>
    <w:rsid w:val="00254288"/>
    <w:rsid w:val="0025469C"/>
    <w:rsid w:val="00256163"/>
    <w:rsid w:val="00256C97"/>
    <w:rsid w:val="002579CE"/>
    <w:rsid w:val="00260FEC"/>
    <w:rsid w:val="00261DD6"/>
    <w:rsid w:val="00264223"/>
    <w:rsid w:val="002657E2"/>
    <w:rsid w:val="002705D2"/>
    <w:rsid w:val="002727CC"/>
    <w:rsid w:val="00273679"/>
    <w:rsid w:val="002739E6"/>
    <w:rsid w:val="00281A35"/>
    <w:rsid w:val="00283E90"/>
    <w:rsid w:val="00284486"/>
    <w:rsid w:val="00285644"/>
    <w:rsid w:val="0028581E"/>
    <w:rsid w:val="00293491"/>
    <w:rsid w:val="00293A8C"/>
    <w:rsid w:val="00293E0D"/>
    <w:rsid w:val="002A0FB8"/>
    <w:rsid w:val="002A3B3C"/>
    <w:rsid w:val="002A6193"/>
    <w:rsid w:val="002A7BD4"/>
    <w:rsid w:val="002A7F32"/>
    <w:rsid w:val="002B20A1"/>
    <w:rsid w:val="002B226E"/>
    <w:rsid w:val="002B46D4"/>
    <w:rsid w:val="002B54CF"/>
    <w:rsid w:val="002C5695"/>
    <w:rsid w:val="002C7038"/>
    <w:rsid w:val="002D1BE4"/>
    <w:rsid w:val="002D5DDD"/>
    <w:rsid w:val="002E5015"/>
    <w:rsid w:val="002E6811"/>
    <w:rsid w:val="002E7ACF"/>
    <w:rsid w:val="002F0CE9"/>
    <w:rsid w:val="002F199F"/>
    <w:rsid w:val="002F3BD0"/>
    <w:rsid w:val="002F5B6A"/>
    <w:rsid w:val="00300A0B"/>
    <w:rsid w:val="00300A28"/>
    <w:rsid w:val="00301F46"/>
    <w:rsid w:val="00303CAD"/>
    <w:rsid w:val="00306418"/>
    <w:rsid w:val="003100F3"/>
    <w:rsid w:val="00310C11"/>
    <w:rsid w:val="00315492"/>
    <w:rsid w:val="00316600"/>
    <w:rsid w:val="003172EC"/>
    <w:rsid w:val="003201BA"/>
    <w:rsid w:val="0032170B"/>
    <w:rsid w:val="00323325"/>
    <w:rsid w:val="003243B0"/>
    <w:rsid w:val="00325EC0"/>
    <w:rsid w:val="003340EC"/>
    <w:rsid w:val="003350FF"/>
    <w:rsid w:val="0034057C"/>
    <w:rsid w:val="00350142"/>
    <w:rsid w:val="00353B6D"/>
    <w:rsid w:val="00354920"/>
    <w:rsid w:val="00355DC6"/>
    <w:rsid w:val="003604D7"/>
    <w:rsid w:val="0036351E"/>
    <w:rsid w:val="00364521"/>
    <w:rsid w:val="00365026"/>
    <w:rsid w:val="00367637"/>
    <w:rsid w:val="00367F82"/>
    <w:rsid w:val="003756AF"/>
    <w:rsid w:val="00375815"/>
    <w:rsid w:val="00380441"/>
    <w:rsid w:val="00382696"/>
    <w:rsid w:val="0038438A"/>
    <w:rsid w:val="003864D2"/>
    <w:rsid w:val="00390249"/>
    <w:rsid w:val="00390BF8"/>
    <w:rsid w:val="00392877"/>
    <w:rsid w:val="00392E12"/>
    <w:rsid w:val="00394D7E"/>
    <w:rsid w:val="003956E9"/>
    <w:rsid w:val="003965EC"/>
    <w:rsid w:val="00396BA0"/>
    <w:rsid w:val="003A0E17"/>
    <w:rsid w:val="003A357E"/>
    <w:rsid w:val="003A67E6"/>
    <w:rsid w:val="003A6E62"/>
    <w:rsid w:val="003A78B5"/>
    <w:rsid w:val="003A7BE8"/>
    <w:rsid w:val="003A7C85"/>
    <w:rsid w:val="003A7FBE"/>
    <w:rsid w:val="003B0D09"/>
    <w:rsid w:val="003B165A"/>
    <w:rsid w:val="003B2140"/>
    <w:rsid w:val="003C2478"/>
    <w:rsid w:val="003C28B8"/>
    <w:rsid w:val="003C5742"/>
    <w:rsid w:val="003C6934"/>
    <w:rsid w:val="003C74F9"/>
    <w:rsid w:val="003C7FD0"/>
    <w:rsid w:val="003D0268"/>
    <w:rsid w:val="003D1A43"/>
    <w:rsid w:val="003D1A64"/>
    <w:rsid w:val="003D34FE"/>
    <w:rsid w:val="003E13A6"/>
    <w:rsid w:val="003E31E5"/>
    <w:rsid w:val="003E32ED"/>
    <w:rsid w:val="003E3A39"/>
    <w:rsid w:val="003E3CBF"/>
    <w:rsid w:val="003E58C9"/>
    <w:rsid w:val="003F578D"/>
    <w:rsid w:val="003F650B"/>
    <w:rsid w:val="003F67B8"/>
    <w:rsid w:val="004004E9"/>
    <w:rsid w:val="00400FDE"/>
    <w:rsid w:val="00402595"/>
    <w:rsid w:val="004052C5"/>
    <w:rsid w:val="004100AA"/>
    <w:rsid w:val="00412203"/>
    <w:rsid w:val="0041563A"/>
    <w:rsid w:val="00417DE3"/>
    <w:rsid w:val="00420B07"/>
    <w:rsid w:val="00422869"/>
    <w:rsid w:val="00425E3E"/>
    <w:rsid w:val="00426448"/>
    <w:rsid w:val="004304DC"/>
    <w:rsid w:val="0043257A"/>
    <w:rsid w:val="004369DE"/>
    <w:rsid w:val="00436FD3"/>
    <w:rsid w:val="004406CF"/>
    <w:rsid w:val="00441804"/>
    <w:rsid w:val="0044256E"/>
    <w:rsid w:val="004435B4"/>
    <w:rsid w:val="0046048A"/>
    <w:rsid w:val="00461690"/>
    <w:rsid w:val="00461DEF"/>
    <w:rsid w:val="00463015"/>
    <w:rsid w:val="00465DED"/>
    <w:rsid w:val="00466346"/>
    <w:rsid w:val="00470AC2"/>
    <w:rsid w:val="004751D6"/>
    <w:rsid w:val="00477DBA"/>
    <w:rsid w:val="00477E20"/>
    <w:rsid w:val="00480BB8"/>
    <w:rsid w:val="00481674"/>
    <w:rsid w:val="00481D51"/>
    <w:rsid w:val="0048519E"/>
    <w:rsid w:val="00485EC7"/>
    <w:rsid w:val="004860BD"/>
    <w:rsid w:val="00487430"/>
    <w:rsid w:val="00492DCA"/>
    <w:rsid w:val="004A0A7B"/>
    <w:rsid w:val="004A0BB0"/>
    <w:rsid w:val="004A26CD"/>
    <w:rsid w:val="004A3584"/>
    <w:rsid w:val="004A5121"/>
    <w:rsid w:val="004A54DC"/>
    <w:rsid w:val="004A577A"/>
    <w:rsid w:val="004A7990"/>
    <w:rsid w:val="004B021F"/>
    <w:rsid w:val="004B1796"/>
    <w:rsid w:val="004B591D"/>
    <w:rsid w:val="004B7542"/>
    <w:rsid w:val="004C4ACC"/>
    <w:rsid w:val="004C7E83"/>
    <w:rsid w:val="004D5DB3"/>
    <w:rsid w:val="004D65B7"/>
    <w:rsid w:val="004E345F"/>
    <w:rsid w:val="004E41C7"/>
    <w:rsid w:val="004F2D88"/>
    <w:rsid w:val="004F41A2"/>
    <w:rsid w:val="005070C3"/>
    <w:rsid w:val="00510326"/>
    <w:rsid w:val="005124DC"/>
    <w:rsid w:val="00514036"/>
    <w:rsid w:val="005220BE"/>
    <w:rsid w:val="00540B48"/>
    <w:rsid w:val="00542D5F"/>
    <w:rsid w:val="005435DE"/>
    <w:rsid w:val="0054438C"/>
    <w:rsid w:val="00544C28"/>
    <w:rsid w:val="00546BAE"/>
    <w:rsid w:val="00552EBD"/>
    <w:rsid w:val="00553827"/>
    <w:rsid w:val="00555F71"/>
    <w:rsid w:val="0057338D"/>
    <w:rsid w:val="005740F6"/>
    <w:rsid w:val="005743D2"/>
    <w:rsid w:val="00574856"/>
    <w:rsid w:val="00575DE3"/>
    <w:rsid w:val="00576F74"/>
    <w:rsid w:val="005802BD"/>
    <w:rsid w:val="00586FA8"/>
    <w:rsid w:val="00587F23"/>
    <w:rsid w:val="00591E3A"/>
    <w:rsid w:val="00593CB4"/>
    <w:rsid w:val="005A1803"/>
    <w:rsid w:val="005A3131"/>
    <w:rsid w:val="005B0D7C"/>
    <w:rsid w:val="005B0E86"/>
    <w:rsid w:val="005B5DEE"/>
    <w:rsid w:val="005B6854"/>
    <w:rsid w:val="005C0DBE"/>
    <w:rsid w:val="005C4034"/>
    <w:rsid w:val="005C465F"/>
    <w:rsid w:val="005C651C"/>
    <w:rsid w:val="005D1427"/>
    <w:rsid w:val="005D2B62"/>
    <w:rsid w:val="005D49C8"/>
    <w:rsid w:val="005D5607"/>
    <w:rsid w:val="005E37E9"/>
    <w:rsid w:val="005E3922"/>
    <w:rsid w:val="005F03DB"/>
    <w:rsid w:val="005F1701"/>
    <w:rsid w:val="00603A46"/>
    <w:rsid w:val="00611A49"/>
    <w:rsid w:val="0061248B"/>
    <w:rsid w:val="00613017"/>
    <w:rsid w:val="00613A54"/>
    <w:rsid w:val="00616189"/>
    <w:rsid w:val="00621760"/>
    <w:rsid w:val="006217BB"/>
    <w:rsid w:val="00625BD5"/>
    <w:rsid w:val="00625DFB"/>
    <w:rsid w:val="00634CEB"/>
    <w:rsid w:val="00637179"/>
    <w:rsid w:val="00646100"/>
    <w:rsid w:val="006476CA"/>
    <w:rsid w:val="00650EC4"/>
    <w:rsid w:val="006552AE"/>
    <w:rsid w:val="00655773"/>
    <w:rsid w:val="006563CA"/>
    <w:rsid w:val="006578FC"/>
    <w:rsid w:val="006608AB"/>
    <w:rsid w:val="00664587"/>
    <w:rsid w:val="00666F25"/>
    <w:rsid w:val="00667C1C"/>
    <w:rsid w:val="0067171E"/>
    <w:rsid w:val="00671885"/>
    <w:rsid w:val="00673DD4"/>
    <w:rsid w:val="00674AEB"/>
    <w:rsid w:val="006753B0"/>
    <w:rsid w:val="00681656"/>
    <w:rsid w:val="00683CB5"/>
    <w:rsid w:val="0068455C"/>
    <w:rsid w:val="006851C1"/>
    <w:rsid w:val="00685328"/>
    <w:rsid w:val="0069314E"/>
    <w:rsid w:val="0069333E"/>
    <w:rsid w:val="00693C8E"/>
    <w:rsid w:val="006969BA"/>
    <w:rsid w:val="00697A6D"/>
    <w:rsid w:val="006A026A"/>
    <w:rsid w:val="006A0425"/>
    <w:rsid w:val="006A1D62"/>
    <w:rsid w:val="006A3EA8"/>
    <w:rsid w:val="006A6D7F"/>
    <w:rsid w:val="006B0298"/>
    <w:rsid w:val="006B0E83"/>
    <w:rsid w:val="006B5493"/>
    <w:rsid w:val="006B79C8"/>
    <w:rsid w:val="006C10C0"/>
    <w:rsid w:val="006C1B1D"/>
    <w:rsid w:val="006C32BB"/>
    <w:rsid w:val="006C3747"/>
    <w:rsid w:val="006C7760"/>
    <w:rsid w:val="006C7EEA"/>
    <w:rsid w:val="006D3A39"/>
    <w:rsid w:val="006D522C"/>
    <w:rsid w:val="006D56AA"/>
    <w:rsid w:val="006D5AA5"/>
    <w:rsid w:val="006D7795"/>
    <w:rsid w:val="006D7ACB"/>
    <w:rsid w:val="006E00EF"/>
    <w:rsid w:val="006E06E5"/>
    <w:rsid w:val="006E1A7A"/>
    <w:rsid w:val="006E76AC"/>
    <w:rsid w:val="006F01E7"/>
    <w:rsid w:val="006F0351"/>
    <w:rsid w:val="006F1F3A"/>
    <w:rsid w:val="006F76DD"/>
    <w:rsid w:val="006F7EB8"/>
    <w:rsid w:val="00702DD7"/>
    <w:rsid w:val="007047D3"/>
    <w:rsid w:val="00705C40"/>
    <w:rsid w:val="007066E2"/>
    <w:rsid w:val="0070683A"/>
    <w:rsid w:val="0071087E"/>
    <w:rsid w:val="007128E9"/>
    <w:rsid w:val="0071645E"/>
    <w:rsid w:val="007229A1"/>
    <w:rsid w:val="00722A84"/>
    <w:rsid w:val="007235AA"/>
    <w:rsid w:val="00727568"/>
    <w:rsid w:val="0072762D"/>
    <w:rsid w:val="00732289"/>
    <w:rsid w:val="00735915"/>
    <w:rsid w:val="00735C21"/>
    <w:rsid w:val="0073614A"/>
    <w:rsid w:val="00736FF2"/>
    <w:rsid w:val="00740C8C"/>
    <w:rsid w:val="00741AC4"/>
    <w:rsid w:val="0074285B"/>
    <w:rsid w:val="00744E0C"/>
    <w:rsid w:val="007515BC"/>
    <w:rsid w:val="00752AFF"/>
    <w:rsid w:val="00753ABF"/>
    <w:rsid w:val="007573B2"/>
    <w:rsid w:val="007574BB"/>
    <w:rsid w:val="0075764C"/>
    <w:rsid w:val="00762198"/>
    <w:rsid w:val="00763CE8"/>
    <w:rsid w:val="00764E7C"/>
    <w:rsid w:val="00770792"/>
    <w:rsid w:val="00774FFE"/>
    <w:rsid w:val="00775638"/>
    <w:rsid w:val="00775677"/>
    <w:rsid w:val="0077599A"/>
    <w:rsid w:val="00777353"/>
    <w:rsid w:val="00780CD6"/>
    <w:rsid w:val="00782EA4"/>
    <w:rsid w:val="00785461"/>
    <w:rsid w:val="00786FF3"/>
    <w:rsid w:val="007876CF"/>
    <w:rsid w:val="00787778"/>
    <w:rsid w:val="00793090"/>
    <w:rsid w:val="00796F2A"/>
    <w:rsid w:val="007A0176"/>
    <w:rsid w:val="007A2F67"/>
    <w:rsid w:val="007A329B"/>
    <w:rsid w:val="007A3918"/>
    <w:rsid w:val="007B0E7E"/>
    <w:rsid w:val="007B0E89"/>
    <w:rsid w:val="007B2C38"/>
    <w:rsid w:val="007B2E54"/>
    <w:rsid w:val="007B6F5A"/>
    <w:rsid w:val="007B7498"/>
    <w:rsid w:val="007B7AEE"/>
    <w:rsid w:val="007C6E6C"/>
    <w:rsid w:val="007C7EB6"/>
    <w:rsid w:val="007D2F75"/>
    <w:rsid w:val="007D3C0E"/>
    <w:rsid w:val="007E22E7"/>
    <w:rsid w:val="007E4232"/>
    <w:rsid w:val="007E69BB"/>
    <w:rsid w:val="007E6AB8"/>
    <w:rsid w:val="007F2109"/>
    <w:rsid w:val="007F21C5"/>
    <w:rsid w:val="007F3EF1"/>
    <w:rsid w:val="00801BCE"/>
    <w:rsid w:val="00802515"/>
    <w:rsid w:val="0081283F"/>
    <w:rsid w:val="008146C2"/>
    <w:rsid w:val="0081480A"/>
    <w:rsid w:val="008202EB"/>
    <w:rsid w:val="008240D3"/>
    <w:rsid w:val="00827F88"/>
    <w:rsid w:val="008336A5"/>
    <w:rsid w:val="00835474"/>
    <w:rsid w:val="008373C0"/>
    <w:rsid w:val="0084145F"/>
    <w:rsid w:val="00841DA2"/>
    <w:rsid w:val="008458F6"/>
    <w:rsid w:val="00845AED"/>
    <w:rsid w:val="0084708E"/>
    <w:rsid w:val="00851AE4"/>
    <w:rsid w:val="0085598D"/>
    <w:rsid w:val="00862771"/>
    <w:rsid w:val="00865FFF"/>
    <w:rsid w:val="0086682F"/>
    <w:rsid w:val="0087095E"/>
    <w:rsid w:val="00876F54"/>
    <w:rsid w:val="00877292"/>
    <w:rsid w:val="0087754A"/>
    <w:rsid w:val="0087766C"/>
    <w:rsid w:val="00880552"/>
    <w:rsid w:val="008839DA"/>
    <w:rsid w:val="00884EE8"/>
    <w:rsid w:val="00885168"/>
    <w:rsid w:val="0089173B"/>
    <w:rsid w:val="00891E76"/>
    <w:rsid w:val="0089220F"/>
    <w:rsid w:val="008935AA"/>
    <w:rsid w:val="008963F0"/>
    <w:rsid w:val="008A03A5"/>
    <w:rsid w:val="008A0DF3"/>
    <w:rsid w:val="008A4138"/>
    <w:rsid w:val="008A5D96"/>
    <w:rsid w:val="008B5C93"/>
    <w:rsid w:val="008B60FB"/>
    <w:rsid w:val="008B6848"/>
    <w:rsid w:val="008C2FA1"/>
    <w:rsid w:val="008D2C4C"/>
    <w:rsid w:val="008D7E0D"/>
    <w:rsid w:val="008D7EDB"/>
    <w:rsid w:val="008E033D"/>
    <w:rsid w:val="008E1829"/>
    <w:rsid w:val="008E2327"/>
    <w:rsid w:val="008E5077"/>
    <w:rsid w:val="008E64F0"/>
    <w:rsid w:val="008E6FF3"/>
    <w:rsid w:val="008E7B05"/>
    <w:rsid w:val="008F18ED"/>
    <w:rsid w:val="008F26B3"/>
    <w:rsid w:val="008F3EA1"/>
    <w:rsid w:val="008F46C2"/>
    <w:rsid w:val="009001FC"/>
    <w:rsid w:val="009020A8"/>
    <w:rsid w:val="00903D37"/>
    <w:rsid w:val="0091055D"/>
    <w:rsid w:val="00914C61"/>
    <w:rsid w:val="00917D6F"/>
    <w:rsid w:val="00921B1A"/>
    <w:rsid w:val="00921DDA"/>
    <w:rsid w:val="0092600D"/>
    <w:rsid w:val="00927D70"/>
    <w:rsid w:val="0093039D"/>
    <w:rsid w:val="00931E4F"/>
    <w:rsid w:val="0093364D"/>
    <w:rsid w:val="00936574"/>
    <w:rsid w:val="009365C9"/>
    <w:rsid w:val="00943BCE"/>
    <w:rsid w:val="009472C8"/>
    <w:rsid w:val="00955268"/>
    <w:rsid w:val="00956793"/>
    <w:rsid w:val="00960346"/>
    <w:rsid w:val="009617D3"/>
    <w:rsid w:val="0096463B"/>
    <w:rsid w:val="0096693C"/>
    <w:rsid w:val="00967869"/>
    <w:rsid w:val="00971F54"/>
    <w:rsid w:val="009725C5"/>
    <w:rsid w:val="00973F40"/>
    <w:rsid w:val="00973FDF"/>
    <w:rsid w:val="00983AA1"/>
    <w:rsid w:val="009849EF"/>
    <w:rsid w:val="00984C5B"/>
    <w:rsid w:val="00985849"/>
    <w:rsid w:val="00986DB7"/>
    <w:rsid w:val="0098795A"/>
    <w:rsid w:val="009934CF"/>
    <w:rsid w:val="009A0C8C"/>
    <w:rsid w:val="009A0D75"/>
    <w:rsid w:val="009A347A"/>
    <w:rsid w:val="009A521D"/>
    <w:rsid w:val="009A620E"/>
    <w:rsid w:val="009B548D"/>
    <w:rsid w:val="009B6A6F"/>
    <w:rsid w:val="009C0D1E"/>
    <w:rsid w:val="009C1AFE"/>
    <w:rsid w:val="009C4081"/>
    <w:rsid w:val="009C5C0B"/>
    <w:rsid w:val="009C5F24"/>
    <w:rsid w:val="009D048B"/>
    <w:rsid w:val="009D69C6"/>
    <w:rsid w:val="009E5419"/>
    <w:rsid w:val="009E5A6E"/>
    <w:rsid w:val="009F46DC"/>
    <w:rsid w:val="00A01C00"/>
    <w:rsid w:val="00A112F7"/>
    <w:rsid w:val="00A11CAD"/>
    <w:rsid w:val="00A1620D"/>
    <w:rsid w:val="00A16AC0"/>
    <w:rsid w:val="00A23D31"/>
    <w:rsid w:val="00A24C9B"/>
    <w:rsid w:val="00A27D2B"/>
    <w:rsid w:val="00A301A7"/>
    <w:rsid w:val="00A30C34"/>
    <w:rsid w:val="00A30FD3"/>
    <w:rsid w:val="00A35E2F"/>
    <w:rsid w:val="00A35EFA"/>
    <w:rsid w:val="00A37891"/>
    <w:rsid w:val="00A40A51"/>
    <w:rsid w:val="00A43739"/>
    <w:rsid w:val="00A47916"/>
    <w:rsid w:val="00A50FAD"/>
    <w:rsid w:val="00A536DA"/>
    <w:rsid w:val="00A571CD"/>
    <w:rsid w:val="00A576F6"/>
    <w:rsid w:val="00A57A98"/>
    <w:rsid w:val="00A57C3D"/>
    <w:rsid w:val="00A6697B"/>
    <w:rsid w:val="00A74C2D"/>
    <w:rsid w:val="00A76B34"/>
    <w:rsid w:val="00A83487"/>
    <w:rsid w:val="00A854FF"/>
    <w:rsid w:val="00A87035"/>
    <w:rsid w:val="00A8745D"/>
    <w:rsid w:val="00A9024A"/>
    <w:rsid w:val="00A90F9B"/>
    <w:rsid w:val="00A92694"/>
    <w:rsid w:val="00A93072"/>
    <w:rsid w:val="00A9629C"/>
    <w:rsid w:val="00AA35D5"/>
    <w:rsid w:val="00AA417B"/>
    <w:rsid w:val="00AA533F"/>
    <w:rsid w:val="00AA5A86"/>
    <w:rsid w:val="00AA70FB"/>
    <w:rsid w:val="00AB010D"/>
    <w:rsid w:val="00AB0749"/>
    <w:rsid w:val="00AB76D8"/>
    <w:rsid w:val="00AB7E6A"/>
    <w:rsid w:val="00AC1B61"/>
    <w:rsid w:val="00AC2C6E"/>
    <w:rsid w:val="00AC5EE6"/>
    <w:rsid w:val="00AD0D24"/>
    <w:rsid w:val="00AD13CF"/>
    <w:rsid w:val="00AD1923"/>
    <w:rsid w:val="00AD2611"/>
    <w:rsid w:val="00AD29FD"/>
    <w:rsid w:val="00AD3AC5"/>
    <w:rsid w:val="00AD3D57"/>
    <w:rsid w:val="00AD7301"/>
    <w:rsid w:val="00AE47BF"/>
    <w:rsid w:val="00AF6432"/>
    <w:rsid w:val="00AF79BD"/>
    <w:rsid w:val="00B04421"/>
    <w:rsid w:val="00B07F12"/>
    <w:rsid w:val="00B1415B"/>
    <w:rsid w:val="00B15278"/>
    <w:rsid w:val="00B21BEE"/>
    <w:rsid w:val="00B234EC"/>
    <w:rsid w:val="00B271D8"/>
    <w:rsid w:val="00B274AE"/>
    <w:rsid w:val="00B274BF"/>
    <w:rsid w:val="00B31222"/>
    <w:rsid w:val="00B37CF8"/>
    <w:rsid w:val="00B42E81"/>
    <w:rsid w:val="00B4329D"/>
    <w:rsid w:val="00B443F5"/>
    <w:rsid w:val="00B517D5"/>
    <w:rsid w:val="00B520F9"/>
    <w:rsid w:val="00B52812"/>
    <w:rsid w:val="00B5495A"/>
    <w:rsid w:val="00B577A3"/>
    <w:rsid w:val="00B6258B"/>
    <w:rsid w:val="00B63AE7"/>
    <w:rsid w:val="00B64641"/>
    <w:rsid w:val="00B67D38"/>
    <w:rsid w:val="00B7262F"/>
    <w:rsid w:val="00B727C5"/>
    <w:rsid w:val="00B73823"/>
    <w:rsid w:val="00B73FD4"/>
    <w:rsid w:val="00B74FC5"/>
    <w:rsid w:val="00B75A6C"/>
    <w:rsid w:val="00B82F2D"/>
    <w:rsid w:val="00B83E2A"/>
    <w:rsid w:val="00B83E38"/>
    <w:rsid w:val="00B85DF3"/>
    <w:rsid w:val="00B86C0E"/>
    <w:rsid w:val="00B86C19"/>
    <w:rsid w:val="00B92EDF"/>
    <w:rsid w:val="00B93510"/>
    <w:rsid w:val="00B93E33"/>
    <w:rsid w:val="00B954F3"/>
    <w:rsid w:val="00B95BCD"/>
    <w:rsid w:val="00B95CDC"/>
    <w:rsid w:val="00B95CE5"/>
    <w:rsid w:val="00BA0D0B"/>
    <w:rsid w:val="00BA0ED5"/>
    <w:rsid w:val="00BA3B4C"/>
    <w:rsid w:val="00BA547A"/>
    <w:rsid w:val="00BB375D"/>
    <w:rsid w:val="00BB49A0"/>
    <w:rsid w:val="00BB515F"/>
    <w:rsid w:val="00BC1FA5"/>
    <w:rsid w:val="00BC2C0C"/>
    <w:rsid w:val="00BC732A"/>
    <w:rsid w:val="00BC758B"/>
    <w:rsid w:val="00BD0C28"/>
    <w:rsid w:val="00BD181B"/>
    <w:rsid w:val="00BD2EAC"/>
    <w:rsid w:val="00BD457D"/>
    <w:rsid w:val="00BD4BB3"/>
    <w:rsid w:val="00BD5CDF"/>
    <w:rsid w:val="00BE17C6"/>
    <w:rsid w:val="00BE2BD3"/>
    <w:rsid w:val="00BE4863"/>
    <w:rsid w:val="00BE4865"/>
    <w:rsid w:val="00BE69BF"/>
    <w:rsid w:val="00BE725A"/>
    <w:rsid w:val="00BE7430"/>
    <w:rsid w:val="00BE7B48"/>
    <w:rsid w:val="00BF3381"/>
    <w:rsid w:val="00C105B6"/>
    <w:rsid w:val="00C10FCF"/>
    <w:rsid w:val="00C16B4B"/>
    <w:rsid w:val="00C17427"/>
    <w:rsid w:val="00C20C00"/>
    <w:rsid w:val="00C210FD"/>
    <w:rsid w:val="00C21EB2"/>
    <w:rsid w:val="00C22901"/>
    <w:rsid w:val="00C22F6B"/>
    <w:rsid w:val="00C25238"/>
    <w:rsid w:val="00C254E8"/>
    <w:rsid w:val="00C2733C"/>
    <w:rsid w:val="00C305F2"/>
    <w:rsid w:val="00C3345C"/>
    <w:rsid w:val="00C407E5"/>
    <w:rsid w:val="00C42DAC"/>
    <w:rsid w:val="00C4342B"/>
    <w:rsid w:val="00C459A9"/>
    <w:rsid w:val="00C502A5"/>
    <w:rsid w:val="00C521F7"/>
    <w:rsid w:val="00C53008"/>
    <w:rsid w:val="00C55151"/>
    <w:rsid w:val="00C558FF"/>
    <w:rsid w:val="00C560FA"/>
    <w:rsid w:val="00C56AE3"/>
    <w:rsid w:val="00C570C5"/>
    <w:rsid w:val="00C57FF9"/>
    <w:rsid w:val="00C6034B"/>
    <w:rsid w:val="00C64434"/>
    <w:rsid w:val="00C7063C"/>
    <w:rsid w:val="00C73C57"/>
    <w:rsid w:val="00C74D43"/>
    <w:rsid w:val="00C75CA7"/>
    <w:rsid w:val="00C8079B"/>
    <w:rsid w:val="00C81961"/>
    <w:rsid w:val="00C901BB"/>
    <w:rsid w:val="00C90CD3"/>
    <w:rsid w:val="00C92552"/>
    <w:rsid w:val="00C93F1B"/>
    <w:rsid w:val="00C976D1"/>
    <w:rsid w:val="00CA71D4"/>
    <w:rsid w:val="00CB5D29"/>
    <w:rsid w:val="00CB675A"/>
    <w:rsid w:val="00CB782B"/>
    <w:rsid w:val="00CC0E77"/>
    <w:rsid w:val="00CC2092"/>
    <w:rsid w:val="00CC46D1"/>
    <w:rsid w:val="00CC5E76"/>
    <w:rsid w:val="00CC7B01"/>
    <w:rsid w:val="00CD2D24"/>
    <w:rsid w:val="00CD3A5D"/>
    <w:rsid w:val="00CD5FD4"/>
    <w:rsid w:val="00CE0DCE"/>
    <w:rsid w:val="00CE1BC9"/>
    <w:rsid w:val="00CE3270"/>
    <w:rsid w:val="00CE33C1"/>
    <w:rsid w:val="00CE4DD6"/>
    <w:rsid w:val="00CE76FF"/>
    <w:rsid w:val="00CF4012"/>
    <w:rsid w:val="00CF5C25"/>
    <w:rsid w:val="00D02BC6"/>
    <w:rsid w:val="00D0310D"/>
    <w:rsid w:val="00D05803"/>
    <w:rsid w:val="00D05C7C"/>
    <w:rsid w:val="00D06906"/>
    <w:rsid w:val="00D07742"/>
    <w:rsid w:val="00D12167"/>
    <w:rsid w:val="00D1276A"/>
    <w:rsid w:val="00D14DB7"/>
    <w:rsid w:val="00D15ED5"/>
    <w:rsid w:val="00D22B6A"/>
    <w:rsid w:val="00D348F7"/>
    <w:rsid w:val="00D3703D"/>
    <w:rsid w:val="00D40BC3"/>
    <w:rsid w:val="00D434EC"/>
    <w:rsid w:val="00D44E9D"/>
    <w:rsid w:val="00D472A7"/>
    <w:rsid w:val="00D47869"/>
    <w:rsid w:val="00D5484D"/>
    <w:rsid w:val="00D61A0E"/>
    <w:rsid w:val="00D71CF9"/>
    <w:rsid w:val="00D75FF9"/>
    <w:rsid w:val="00D80F9D"/>
    <w:rsid w:val="00D81BAE"/>
    <w:rsid w:val="00D849DD"/>
    <w:rsid w:val="00D84B17"/>
    <w:rsid w:val="00D8507D"/>
    <w:rsid w:val="00D86735"/>
    <w:rsid w:val="00D8718E"/>
    <w:rsid w:val="00D871FB"/>
    <w:rsid w:val="00D90C9D"/>
    <w:rsid w:val="00D90E57"/>
    <w:rsid w:val="00D91910"/>
    <w:rsid w:val="00D91AA8"/>
    <w:rsid w:val="00D944A6"/>
    <w:rsid w:val="00D95B92"/>
    <w:rsid w:val="00D95C7A"/>
    <w:rsid w:val="00D96BF1"/>
    <w:rsid w:val="00D96FC3"/>
    <w:rsid w:val="00DA12C3"/>
    <w:rsid w:val="00DA1E05"/>
    <w:rsid w:val="00DA2571"/>
    <w:rsid w:val="00DA495D"/>
    <w:rsid w:val="00DA7BA0"/>
    <w:rsid w:val="00DB469A"/>
    <w:rsid w:val="00DB52C3"/>
    <w:rsid w:val="00DB5DA3"/>
    <w:rsid w:val="00DB7E5F"/>
    <w:rsid w:val="00DC10B0"/>
    <w:rsid w:val="00DC1594"/>
    <w:rsid w:val="00DC4BCD"/>
    <w:rsid w:val="00DD1107"/>
    <w:rsid w:val="00DD178F"/>
    <w:rsid w:val="00DD1FE4"/>
    <w:rsid w:val="00DD53DC"/>
    <w:rsid w:val="00DE2966"/>
    <w:rsid w:val="00DE4107"/>
    <w:rsid w:val="00DE6AEC"/>
    <w:rsid w:val="00DF0B5E"/>
    <w:rsid w:val="00DF0ED5"/>
    <w:rsid w:val="00DF72D9"/>
    <w:rsid w:val="00DF7EC8"/>
    <w:rsid w:val="00E01527"/>
    <w:rsid w:val="00E028ED"/>
    <w:rsid w:val="00E104F6"/>
    <w:rsid w:val="00E10748"/>
    <w:rsid w:val="00E12F57"/>
    <w:rsid w:val="00E14148"/>
    <w:rsid w:val="00E14282"/>
    <w:rsid w:val="00E23EA6"/>
    <w:rsid w:val="00E27DDF"/>
    <w:rsid w:val="00E27E01"/>
    <w:rsid w:val="00E30A90"/>
    <w:rsid w:val="00E32DBA"/>
    <w:rsid w:val="00E350F4"/>
    <w:rsid w:val="00E42ED4"/>
    <w:rsid w:val="00E43469"/>
    <w:rsid w:val="00E442D7"/>
    <w:rsid w:val="00E445DA"/>
    <w:rsid w:val="00E45379"/>
    <w:rsid w:val="00E50B22"/>
    <w:rsid w:val="00E51E18"/>
    <w:rsid w:val="00E533BD"/>
    <w:rsid w:val="00E53706"/>
    <w:rsid w:val="00E54C94"/>
    <w:rsid w:val="00E573C6"/>
    <w:rsid w:val="00E57CE2"/>
    <w:rsid w:val="00E617BD"/>
    <w:rsid w:val="00E70503"/>
    <w:rsid w:val="00E705B4"/>
    <w:rsid w:val="00E70887"/>
    <w:rsid w:val="00E72967"/>
    <w:rsid w:val="00E8155D"/>
    <w:rsid w:val="00E86361"/>
    <w:rsid w:val="00E90C37"/>
    <w:rsid w:val="00E9556C"/>
    <w:rsid w:val="00EA0E04"/>
    <w:rsid w:val="00EA220D"/>
    <w:rsid w:val="00EA3156"/>
    <w:rsid w:val="00EA40A2"/>
    <w:rsid w:val="00EA4CD5"/>
    <w:rsid w:val="00EA5D2C"/>
    <w:rsid w:val="00EA5D8E"/>
    <w:rsid w:val="00EA68DA"/>
    <w:rsid w:val="00EB07CF"/>
    <w:rsid w:val="00EB3B88"/>
    <w:rsid w:val="00EC3B8F"/>
    <w:rsid w:val="00EC5CA0"/>
    <w:rsid w:val="00EC6641"/>
    <w:rsid w:val="00EC7372"/>
    <w:rsid w:val="00ED021D"/>
    <w:rsid w:val="00ED30E8"/>
    <w:rsid w:val="00ED3B69"/>
    <w:rsid w:val="00ED6CD1"/>
    <w:rsid w:val="00ED729D"/>
    <w:rsid w:val="00ED741E"/>
    <w:rsid w:val="00EE5F2E"/>
    <w:rsid w:val="00EE77C7"/>
    <w:rsid w:val="00EF2F2C"/>
    <w:rsid w:val="00EF4A64"/>
    <w:rsid w:val="00F00407"/>
    <w:rsid w:val="00F02171"/>
    <w:rsid w:val="00F033EF"/>
    <w:rsid w:val="00F061A6"/>
    <w:rsid w:val="00F06F4D"/>
    <w:rsid w:val="00F107AF"/>
    <w:rsid w:val="00F11AB3"/>
    <w:rsid w:val="00F15D77"/>
    <w:rsid w:val="00F20633"/>
    <w:rsid w:val="00F218DA"/>
    <w:rsid w:val="00F23E81"/>
    <w:rsid w:val="00F25CFE"/>
    <w:rsid w:val="00F35243"/>
    <w:rsid w:val="00F36AD0"/>
    <w:rsid w:val="00F36DFE"/>
    <w:rsid w:val="00F4018F"/>
    <w:rsid w:val="00F43E6E"/>
    <w:rsid w:val="00F44423"/>
    <w:rsid w:val="00F479BF"/>
    <w:rsid w:val="00F51236"/>
    <w:rsid w:val="00F5374C"/>
    <w:rsid w:val="00F541B8"/>
    <w:rsid w:val="00F56CC2"/>
    <w:rsid w:val="00F574B7"/>
    <w:rsid w:val="00F60BC0"/>
    <w:rsid w:val="00F61B7F"/>
    <w:rsid w:val="00F6224A"/>
    <w:rsid w:val="00F62370"/>
    <w:rsid w:val="00F628D3"/>
    <w:rsid w:val="00F6497E"/>
    <w:rsid w:val="00F677E2"/>
    <w:rsid w:val="00F73751"/>
    <w:rsid w:val="00F75EAD"/>
    <w:rsid w:val="00F77154"/>
    <w:rsid w:val="00F80F33"/>
    <w:rsid w:val="00F846D6"/>
    <w:rsid w:val="00F9173A"/>
    <w:rsid w:val="00F91800"/>
    <w:rsid w:val="00F94E99"/>
    <w:rsid w:val="00F9650A"/>
    <w:rsid w:val="00F967C7"/>
    <w:rsid w:val="00FA0437"/>
    <w:rsid w:val="00FA1086"/>
    <w:rsid w:val="00FA233F"/>
    <w:rsid w:val="00FA2E05"/>
    <w:rsid w:val="00FA4111"/>
    <w:rsid w:val="00FA7D57"/>
    <w:rsid w:val="00FB0008"/>
    <w:rsid w:val="00FB071C"/>
    <w:rsid w:val="00FB3EA0"/>
    <w:rsid w:val="00FB4127"/>
    <w:rsid w:val="00FB55F4"/>
    <w:rsid w:val="00FC0B63"/>
    <w:rsid w:val="00FC2209"/>
    <w:rsid w:val="00FC293B"/>
    <w:rsid w:val="00FC695D"/>
    <w:rsid w:val="00FC7531"/>
    <w:rsid w:val="00FC7EAA"/>
    <w:rsid w:val="00FD4FA5"/>
    <w:rsid w:val="00FD5166"/>
    <w:rsid w:val="00FD7E9D"/>
    <w:rsid w:val="00FE5410"/>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F1F9B3"/>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3128206">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onsultas.curp.gob.mx/CurpSP/html/informacionecurpPS.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mucd.org.mx/2017/10/decimo-septima-encuesta-nacional-sobre-percepcion-de-inseguridad-ciudadana-en-mexico/" TargetMode="External"/><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9EDB3-8DC0-46F7-A50B-066DD233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45</Pages>
  <Words>10159</Words>
  <Characters>55878</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Diaz Gonzalez Ivan</cp:lastModifiedBy>
  <cp:revision>7</cp:revision>
  <cp:lastPrinted>2018-12-10T22:48:00Z</cp:lastPrinted>
  <dcterms:created xsi:type="dcterms:W3CDTF">2018-12-03T16:54:00Z</dcterms:created>
  <dcterms:modified xsi:type="dcterms:W3CDTF">2018-12-24T15:19:00Z</dcterms:modified>
</cp:coreProperties>
</file>